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jc w:val="center"/>
        <w:rPr>
          <w:rFonts w:ascii="Arial" w:hAnsi="Arial" w:cs="Arial"/>
          <w:b/>
          <w:sz w:val="24"/>
          <w:szCs w:val="24"/>
        </w:rPr>
      </w:pPr>
      <w:r w:rsidRPr="0087185D">
        <w:rPr>
          <w:noProof/>
          <w:lang w:val="en-US"/>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US"/>
        </w:rPr>
        <w:drawing>
          <wp:inline distT="0" distB="0" distL="0" distR="0" wp14:anchorId="1C1630D7" wp14:editId="12F6E4A6">
            <wp:extent cx="1123950" cy="1168683"/>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167" cy="1195944"/>
                    </a:xfrm>
                    <a:prstGeom prst="rect">
                      <a:avLst/>
                    </a:prstGeom>
                    <a:noFill/>
                    <a:ln>
                      <a:noFill/>
                    </a:ln>
                  </pic:spPr>
                </pic:pic>
              </a:graphicData>
            </a:graphic>
          </wp:inline>
        </w:drawing>
      </w:r>
    </w:p>
    <w:p w14:paraId="1DC6986B" w14:textId="77777777" w:rsidR="00876019" w:rsidRPr="00FA2BFF" w:rsidRDefault="00876019" w:rsidP="00876019">
      <w:pPr>
        <w:tabs>
          <w:tab w:val="center" w:pos="4153"/>
          <w:tab w:val="right" w:pos="8306"/>
        </w:tabs>
        <w:spacing w:after="200"/>
        <w:jc w:val="center"/>
        <w:rPr>
          <w:rFonts w:ascii="Arial" w:hAnsi="Arial" w:cs="Arial"/>
          <w:bCs/>
          <w:sz w:val="24"/>
          <w:szCs w:val="24"/>
        </w:rPr>
      </w:pPr>
      <w:r w:rsidRPr="00FA2BFF">
        <w:rPr>
          <w:rFonts w:ascii="Arial" w:hAnsi="Arial" w:cs="Arial"/>
          <w:b/>
          <w:sz w:val="24"/>
          <w:szCs w:val="24"/>
        </w:rPr>
        <w:t>IN THE HIGH COURT OF NAMIBIA NORTHERN LOCAL DIVISION, OSHAKATI</w:t>
      </w:r>
    </w:p>
    <w:p w14:paraId="0FF71DE4" w14:textId="164274CB" w:rsidR="00F26B97" w:rsidRDefault="00876019" w:rsidP="00F26B97">
      <w:pPr>
        <w:spacing w:after="200"/>
        <w:jc w:val="center"/>
        <w:rPr>
          <w:rFonts w:ascii="Arial" w:hAnsi="Arial" w:cs="Arial"/>
          <w:b/>
          <w:sz w:val="24"/>
          <w:szCs w:val="24"/>
        </w:rPr>
      </w:pPr>
      <w:r w:rsidRPr="00FA2BFF">
        <w:rPr>
          <w:rFonts w:ascii="Arial" w:hAnsi="Arial" w:cs="Arial"/>
          <w:b/>
          <w:sz w:val="24"/>
          <w:szCs w:val="24"/>
        </w:rPr>
        <w:t>REVIEW JUDGMENT</w:t>
      </w:r>
    </w:p>
    <w:p w14:paraId="6CE712E4" w14:textId="245013B1" w:rsidR="00167CEB" w:rsidRPr="00167CEB" w:rsidRDefault="00167CEB" w:rsidP="00167CEB">
      <w:pPr>
        <w:spacing w:after="200"/>
        <w:jc w:val="center"/>
        <w:rPr>
          <w:rFonts w:ascii="Arial" w:hAnsi="Arial" w:cs="Arial"/>
          <w:b/>
          <w:sz w:val="24"/>
          <w:szCs w:val="24"/>
        </w:rPr>
      </w:pPr>
      <w:r>
        <w:rPr>
          <w:rFonts w:ascii="Arial" w:hAnsi="Arial" w:cs="Arial"/>
          <w:b/>
          <w:sz w:val="24"/>
          <w:szCs w:val="24"/>
        </w:rPr>
        <w:t>PRACTICE DIRECTIVE 61</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167CEB" w:rsidRPr="00FA2BFF" w14:paraId="591FBF95" w14:textId="77777777" w:rsidTr="004D6582">
        <w:trPr>
          <w:trHeight w:val="542"/>
        </w:trPr>
        <w:tc>
          <w:tcPr>
            <w:tcW w:w="5397" w:type="dxa"/>
            <w:gridSpan w:val="2"/>
            <w:vMerge w:val="restart"/>
            <w:tcBorders>
              <w:top w:val="single" w:sz="4" w:space="0" w:color="auto"/>
              <w:left w:val="single" w:sz="4" w:space="0" w:color="auto"/>
              <w:right w:val="single" w:sz="4" w:space="0" w:color="auto"/>
            </w:tcBorders>
            <w:hideMark/>
          </w:tcPr>
          <w:p w14:paraId="2721EDFA" w14:textId="77777777" w:rsidR="00167CEB" w:rsidRPr="00FA2BFF" w:rsidRDefault="00167CEB" w:rsidP="004D6582">
            <w:pPr>
              <w:jc w:val="both"/>
              <w:rPr>
                <w:rFonts w:ascii="Arial" w:hAnsi="Arial" w:cs="Arial"/>
                <w:sz w:val="24"/>
                <w:szCs w:val="24"/>
              </w:rPr>
            </w:pPr>
            <w:r w:rsidRPr="00FA2BFF">
              <w:rPr>
                <w:rFonts w:ascii="Arial" w:hAnsi="Arial" w:cs="Arial"/>
                <w:b/>
                <w:sz w:val="24"/>
                <w:szCs w:val="24"/>
              </w:rPr>
              <w:t>Case Title:</w:t>
            </w:r>
          </w:p>
          <w:p w14:paraId="5BB368C2" w14:textId="58C06F92" w:rsidR="00167CEB" w:rsidRPr="00F26B97" w:rsidRDefault="00167CEB" w:rsidP="004D6582">
            <w:pPr>
              <w:jc w:val="both"/>
              <w:rPr>
                <w:rFonts w:ascii="Arial" w:hAnsi="Arial" w:cs="Arial"/>
                <w:b/>
                <w:sz w:val="24"/>
                <w:szCs w:val="24"/>
              </w:rPr>
            </w:pPr>
            <w:r w:rsidRPr="00F26B97">
              <w:rPr>
                <w:rFonts w:ascii="Arial" w:hAnsi="Arial" w:cs="Arial"/>
                <w:sz w:val="24"/>
                <w:szCs w:val="24"/>
              </w:rPr>
              <w:t xml:space="preserve"> The State v </w:t>
            </w:r>
            <w:r w:rsidR="00A63F05">
              <w:rPr>
                <w:rFonts w:ascii="Arial" w:hAnsi="Arial" w:cs="Arial"/>
                <w:sz w:val="24"/>
                <w:szCs w:val="24"/>
              </w:rPr>
              <w:t>Danny Johannes</w:t>
            </w:r>
          </w:p>
          <w:p w14:paraId="0CC6CB9F" w14:textId="77777777" w:rsidR="00167CEB" w:rsidRPr="00FA2BFF" w:rsidRDefault="00167CEB" w:rsidP="004D6582">
            <w:pPr>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417E50E1" w14:textId="62B965ED" w:rsidR="00167CEB" w:rsidRPr="00FA2BFF" w:rsidRDefault="00167CEB" w:rsidP="004D6582">
            <w:pPr>
              <w:jc w:val="both"/>
              <w:rPr>
                <w:rFonts w:ascii="Arial" w:hAnsi="Arial" w:cs="Arial"/>
                <w:bCs/>
                <w:sz w:val="24"/>
                <w:szCs w:val="24"/>
              </w:rPr>
            </w:pPr>
            <w:r w:rsidRPr="00FA2BFF">
              <w:rPr>
                <w:rFonts w:ascii="Arial" w:hAnsi="Arial" w:cs="Arial"/>
                <w:b/>
                <w:bCs/>
                <w:sz w:val="24"/>
                <w:szCs w:val="24"/>
              </w:rPr>
              <w:t>CR</w:t>
            </w:r>
            <w:r w:rsidRPr="00FA2BFF">
              <w:rPr>
                <w:rFonts w:ascii="Arial" w:hAnsi="Arial" w:cs="Arial"/>
                <w:bCs/>
                <w:sz w:val="24"/>
                <w:szCs w:val="24"/>
              </w:rPr>
              <w:t xml:space="preserve">: </w:t>
            </w:r>
            <w:r w:rsidR="00AE637C">
              <w:rPr>
                <w:rFonts w:ascii="Arial" w:hAnsi="Arial" w:cs="Arial"/>
                <w:bCs/>
                <w:sz w:val="24"/>
                <w:szCs w:val="24"/>
              </w:rPr>
              <w:t>12</w:t>
            </w:r>
            <w:r w:rsidRPr="00FA2BFF">
              <w:rPr>
                <w:rFonts w:ascii="Arial" w:hAnsi="Arial" w:cs="Arial"/>
                <w:bCs/>
                <w:sz w:val="24"/>
                <w:szCs w:val="24"/>
              </w:rPr>
              <w:t>/202</w:t>
            </w:r>
            <w:r>
              <w:rPr>
                <w:rFonts w:ascii="Arial" w:hAnsi="Arial" w:cs="Arial"/>
                <w:bCs/>
                <w:sz w:val="24"/>
                <w:szCs w:val="24"/>
              </w:rPr>
              <w:t>4</w:t>
            </w:r>
          </w:p>
          <w:p w14:paraId="25F19178" w14:textId="77777777" w:rsidR="00167CEB" w:rsidRPr="00FA2BFF" w:rsidRDefault="00167CEB" w:rsidP="004D6582">
            <w:pPr>
              <w:jc w:val="both"/>
              <w:rPr>
                <w:rFonts w:ascii="Arial" w:hAnsi="Arial" w:cs="Arial"/>
                <w:sz w:val="24"/>
                <w:szCs w:val="24"/>
              </w:rPr>
            </w:pPr>
          </w:p>
          <w:p w14:paraId="3F66783E" w14:textId="77777777" w:rsidR="00167CEB" w:rsidRPr="00FA2BFF" w:rsidRDefault="00167CEB" w:rsidP="004D6582">
            <w:pPr>
              <w:jc w:val="both"/>
              <w:rPr>
                <w:rFonts w:ascii="Arial" w:hAnsi="Arial" w:cs="Arial"/>
                <w:b/>
                <w:sz w:val="24"/>
                <w:szCs w:val="24"/>
              </w:rPr>
            </w:pPr>
          </w:p>
        </w:tc>
      </w:tr>
      <w:tr w:rsidR="00167CEB" w:rsidRPr="00FA2BFF" w14:paraId="372AAE7E" w14:textId="77777777" w:rsidTr="004D6582">
        <w:trPr>
          <w:trHeight w:val="615"/>
        </w:trPr>
        <w:tc>
          <w:tcPr>
            <w:tcW w:w="5397" w:type="dxa"/>
            <w:gridSpan w:val="2"/>
            <w:vMerge/>
            <w:tcBorders>
              <w:left w:val="single" w:sz="4" w:space="0" w:color="auto"/>
              <w:bottom w:val="single" w:sz="4" w:space="0" w:color="auto"/>
              <w:right w:val="single" w:sz="4" w:space="0" w:color="auto"/>
            </w:tcBorders>
          </w:tcPr>
          <w:p w14:paraId="3205A7E6" w14:textId="77777777" w:rsidR="00167CEB" w:rsidRPr="00FA2BFF" w:rsidRDefault="00167CEB" w:rsidP="004D6582">
            <w:pPr>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1E06E432" w14:textId="77777777" w:rsidR="00167CEB" w:rsidRPr="00FA2BFF" w:rsidRDefault="00167CEB" w:rsidP="004D6582">
            <w:pPr>
              <w:jc w:val="both"/>
              <w:rPr>
                <w:rFonts w:ascii="Arial" w:hAnsi="Arial" w:cs="Arial"/>
                <w:sz w:val="24"/>
                <w:szCs w:val="24"/>
              </w:rPr>
            </w:pPr>
            <w:r w:rsidRPr="00FA2BFF">
              <w:rPr>
                <w:rFonts w:ascii="Arial" w:hAnsi="Arial" w:cs="Arial"/>
                <w:b/>
                <w:sz w:val="24"/>
                <w:szCs w:val="24"/>
              </w:rPr>
              <w:t>Division of Court:</w:t>
            </w:r>
          </w:p>
          <w:p w14:paraId="096D0A24" w14:textId="77777777" w:rsidR="00167CEB" w:rsidRPr="00FA2BFF" w:rsidRDefault="00167CEB" w:rsidP="004D6582">
            <w:pPr>
              <w:jc w:val="both"/>
              <w:rPr>
                <w:rFonts w:ascii="Arial" w:hAnsi="Arial" w:cs="Arial"/>
                <w:sz w:val="24"/>
                <w:szCs w:val="24"/>
              </w:rPr>
            </w:pPr>
            <w:r w:rsidRPr="00FA2BFF">
              <w:rPr>
                <w:rFonts w:ascii="Arial" w:hAnsi="Arial" w:cs="Arial"/>
                <w:sz w:val="24"/>
                <w:szCs w:val="24"/>
              </w:rPr>
              <w:t>Northern Local Division</w:t>
            </w:r>
          </w:p>
        </w:tc>
      </w:tr>
      <w:tr w:rsidR="00167CEB" w:rsidRPr="00FA2BFF" w14:paraId="231EDE88" w14:textId="77777777" w:rsidTr="004D6582">
        <w:trPr>
          <w:trHeight w:val="1211"/>
        </w:trPr>
        <w:tc>
          <w:tcPr>
            <w:tcW w:w="5397" w:type="dxa"/>
            <w:gridSpan w:val="2"/>
            <w:tcBorders>
              <w:top w:val="single" w:sz="4" w:space="0" w:color="auto"/>
              <w:left w:val="single" w:sz="4" w:space="0" w:color="auto"/>
              <w:bottom w:val="single" w:sz="4" w:space="0" w:color="auto"/>
              <w:right w:val="single" w:sz="4" w:space="0" w:color="auto"/>
            </w:tcBorders>
            <w:hideMark/>
          </w:tcPr>
          <w:p w14:paraId="7B74E013"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t xml:space="preserve"> Heard before:</w:t>
            </w:r>
          </w:p>
          <w:p w14:paraId="4DC543F8" w14:textId="77777777" w:rsidR="00167CEB" w:rsidRPr="00FA2BFF" w:rsidRDefault="00167CEB" w:rsidP="004D6582">
            <w:pPr>
              <w:jc w:val="both"/>
              <w:rPr>
                <w:rFonts w:ascii="Arial" w:hAnsi="Arial" w:cs="Arial"/>
                <w:sz w:val="24"/>
                <w:szCs w:val="24"/>
              </w:rPr>
            </w:pPr>
            <w:r w:rsidRPr="00FA2BFF">
              <w:rPr>
                <w:rFonts w:ascii="Arial" w:hAnsi="Arial" w:cs="Arial"/>
                <w:sz w:val="24"/>
                <w:szCs w:val="24"/>
              </w:rPr>
              <w:t xml:space="preserve"> Salionga J</w:t>
            </w:r>
            <w:r w:rsidRPr="00FA2BFF">
              <w:rPr>
                <w:rFonts w:ascii="Arial" w:hAnsi="Arial" w:cs="Arial"/>
                <w:i/>
                <w:sz w:val="24"/>
                <w:szCs w:val="24"/>
              </w:rPr>
              <w:t xml:space="preserve"> et</w:t>
            </w:r>
            <w:r w:rsidRPr="00FA2BFF">
              <w:rPr>
                <w:rFonts w:ascii="Arial" w:hAnsi="Arial" w:cs="Arial"/>
                <w:sz w:val="24"/>
                <w:szCs w:val="24"/>
              </w:rPr>
              <w:t xml:space="preserve"> Kesslau J</w:t>
            </w:r>
          </w:p>
        </w:tc>
        <w:tc>
          <w:tcPr>
            <w:tcW w:w="4323" w:type="dxa"/>
            <w:tcBorders>
              <w:top w:val="single" w:sz="4" w:space="0" w:color="auto"/>
              <w:left w:val="single" w:sz="4" w:space="0" w:color="auto"/>
              <w:bottom w:val="single" w:sz="4" w:space="0" w:color="auto"/>
              <w:right w:val="single" w:sz="4" w:space="0" w:color="auto"/>
            </w:tcBorders>
            <w:hideMark/>
          </w:tcPr>
          <w:p w14:paraId="23CD5FBB"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t>Delivered on:</w:t>
            </w:r>
          </w:p>
          <w:p w14:paraId="18DE4C39" w14:textId="69680584" w:rsidR="00167CEB" w:rsidRPr="00FA2BFF" w:rsidRDefault="00167CEB" w:rsidP="00E465B8">
            <w:pPr>
              <w:jc w:val="both"/>
              <w:rPr>
                <w:rFonts w:ascii="Arial" w:hAnsi="Arial" w:cs="Arial"/>
                <w:b/>
                <w:sz w:val="24"/>
                <w:szCs w:val="24"/>
              </w:rPr>
            </w:pPr>
            <w:r>
              <w:rPr>
                <w:rFonts w:ascii="Arial" w:hAnsi="Arial" w:cs="Arial"/>
                <w:sz w:val="24"/>
                <w:szCs w:val="24"/>
              </w:rPr>
              <w:t>1</w:t>
            </w:r>
            <w:r w:rsidR="00E465B8">
              <w:rPr>
                <w:rFonts w:ascii="Arial" w:hAnsi="Arial" w:cs="Arial"/>
                <w:sz w:val="24"/>
                <w:szCs w:val="24"/>
              </w:rPr>
              <w:t>5</w:t>
            </w:r>
            <w:r>
              <w:rPr>
                <w:rFonts w:ascii="Arial" w:hAnsi="Arial" w:cs="Arial"/>
                <w:sz w:val="24"/>
                <w:szCs w:val="24"/>
              </w:rPr>
              <w:t xml:space="preserve"> April</w:t>
            </w:r>
            <w:r w:rsidRPr="00FA2BFF">
              <w:rPr>
                <w:rFonts w:ascii="Arial" w:hAnsi="Arial" w:cs="Arial"/>
                <w:sz w:val="24"/>
                <w:szCs w:val="24"/>
              </w:rPr>
              <w:t xml:space="preserve"> 2024</w:t>
            </w:r>
          </w:p>
        </w:tc>
      </w:tr>
      <w:tr w:rsidR="00167CEB" w:rsidRPr="00FA2BFF" w14:paraId="6843625A" w14:textId="77777777" w:rsidTr="004D6582">
        <w:trPr>
          <w:trHeight w:val="393"/>
        </w:trPr>
        <w:tc>
          <w:tcPr>
            <w:tcW w:w="9720" w:type="dxa"/>
            <w:gridSpan w:val="3"/>
            <w:tcBorders>
              <w:top w:val="single" w:sz="4" w:space="0" w:color="auto"/>
              <w:left w:val="single" w:sz="4" w:space="0" w:color="auto"/>
              <w:bottom w:val="single" w:sz="4" w:space="0" w:color="auto"/>
              <w:right w:val="single" w:sz="4" w:space="0" w:color="auto"/>
            </w:tcBorders>
          </w:tcPr>
          <w:p w14:paraId="724BC73E" w14:textId="360416FF" w:rsidR="00167CEB" w:rsidRPr="00FA2BFF" w:rsidRDefault="00167CEB" w:rsidP="004D6582">
            <w:pPr>
              <w:spacing w:line="240" w:lineRule="auto"/>
              <w:jc w:val="both"/>
              <w:rPr>
                <w:rFonts w:ascii="Arial" w:hAnsi="Arial" w:cs="Arial"/>
                <w:sz w:val="24"/>
                <w:szCs w:val="24"/>
              </w:rPr>
            </w:pPr>
            <w:r w:rsidRPr="00FA2BFF">
              <w:rPr>
                <w:rFonts w:ascii="Arial" w:hAnsi="Arial" w:cs="Arial"/>
                <w:b/>
                <w:sz w:val="24"/>
                <w:szCs w:val="24"/>
              </w:rPr>
              <w:t xml:space="preserve">Neutral citation: </w:t>
            </w:r>
            <w:r w:rsidRPr="00FA2BFF">
              <w:rPr>
                <w:rFonts w:ascii="Arial" w:hAnsi="Arial" w:cs="Arial"/>
                <w:i/>
                <w:sz w:val="24"/>
                <w:szCs w:val="24"/>
              </w:rPr>
              <w:t xml:space="preserve">S v </w:t>
            </w:r>
            <w:r w:rsidR="00FC2CC1">
              <w:rPr>
                <w:rFonts w:ascii="Arial" w:hAnsi="Arial" w:cs="Arial"/>
                <w:i/>
                <w:sz w:val="24"/>
                <w:szCs w:val="24"/>
              </w:rPr>
              <w:t>Johannes</w:t>
            </w:r>
            <w:r w:rsidRPr="0028606E">
              <w:rPr>
                <w:rFonts w:ascii="Arial" w:hAnsi="Arial" w:cs="Arial"/>
                <w:sz w:val="24"/>
                <w:szCs w:val="24"/>
              </w:rPr>
              <w:t xml:space="preserve"> (</w:t>
            </w:r>
            <w:r w:rsidRPr="00FA2BFF">
              <w:rPr>
                <w:rFonts w:ascii="Arial" w:hAnsi="Arial" w:cs="Arial"/>
                <w:sz w:val="24"/>
                <w:szCs w:val="24"/>
              </w:rPr>
              <w:t xml:space="preserve">CR </w:t>
            </w:r>
            <w:r w:rsidR="00AE637C">
              <w:rPr>
                <w:rFonts w:ascii="Arial" w:hAnsi="Arial" w:cs="Arial"/>
                <w:sz w:val="24"/>
                <w:szCs w:val="24"/>
              </w:rPr>
              <w:t>12</w:t>
            </w:r>
            <w:r w:rsidRPr="00FA2BFF">
              <w:rPr>
                <w:rFonts w:ascii="Arial" w:hAnsi="Arial" w:cs="Arial"/>
                <w:sz w:val="24"/>
                <w:szCs w:val="24"/>
              </w:rPr>
              <w:t>/202</w:t>
            </w:r>
            <w:r>
              <w:rPr>
                <w:rFonts w:ascii="Arial" w:hAnsi="Arial" w:cs="Arial"/>
                <w:sz w:val="24"/>
                <w:szCs w:val="24"/>
              </w:rPr>
              <w:t>4</w:t>
            </w:r>
            <w:r w:rsidRPr="00FA2BFF">
              <w:rPr>
                <w:rFonts w:ascii="Arial" w:hAnsi="Arial" w:cs="Arial"/>
                <w:sz w:val="24"/>
                <w:szCs w:val="24"/>
              </w:rPr>
              <w:t>) [202</w:t>
            </w:r>
            <w:r>
              <w:rPr>
                <w:rFonts w:ascii="Arial" w:hAnsi="Arial" w:cs="Arial"/>
                <w:sz w:val="24"/>
                <w:szCs w:val="24"/>
              </w:rPr>
              <w:t>4</w:t>
            </w:r>
            <w:r w:rsidRPr="00FA2BFF">
              <w:rPr>
                <w:rFonts w:ascii="Arial" w:hAnsi="Arial" w:cs="Arial"/>
                <w:sz w:val="24"/>
                <w:szCs w:val="24"/>
              </w:rPr>
              <w:t xml:space="preserve">] NAHCNLD </w:t>
            </w:r>
            <w:r w:rsidR="00AE637C">
              <w:rPr>
                <w:rFonts w:ascii="Arial" w:hAnsi="Arial" w:cs="Arial"/>
                <w:sz w:val="24"/>
                <w:szCs w:val="24"/>
              </w:rPr>
              <w:t>37</w:t>
            </w:r>
            <w:r w:rsidRPr="00FA2BFF">
              <w:rPr>
                <w:rFonts w:ascii="Arial" w:hAnsi="Arial" w:cs="Arial"/>
                <w:sz w:val="24"/>
                <w:szCs w:val="24"/>
              </w:rPr>
              <w:t xml:space="preserve"> (</w:t>
            </w:r>
            <w:r>
              <w:rPr>
                <w:rFonts w:ascii="Arial" w:hAnsi="Arial" w:cs="Arial"/>
                <w:sz w:val="24"/>
                <w:szCs w:val="24"/>
              </w:rPr>
              <w:t>1</w:t>
            </w:r>
            <w:r w:rsidR="00E465B8">
              <w:rPr>
                <w:rFonts w:ascii="Arial" w:hAnsi="Arial" w:cs="Arial"/>
                <w:sz w:val="24"/>
                <w:szCs w:val="24"/>
              </w:rPr>
              <w:t>5</w:t>
            </w:r>
            <w:r>
              <w:rPr>
                <w:rFonts w:ascii="Arial" w:hAnsi="Arial" w:cs="Arial"/>
                <w:sz w:val="24"/>
                <w:szCs w:val="24"/>
              </w:rPr>
              <w:t xml:space="preserve"> April</w:t>
            </w:r>
            <w:r w:rsidRPr="00FA2BFF">
              <w:rPr>
                <w:rFonts w:ascii="Arial" w:hAnsi="Arial" w:cs="Arial"/>
                <w:sz w:val="24"/>
                <w:szCs w:val="24"/>
              </w:rPr>
              <w:t xml:space="preserve"> 2024)</w:t>
            </w:r>
          </w:p>
          <w:p w14:paraId="60278C6F" w14:textId="77777777" w:rsidR="00167CEB" w:rsidRPr="00FA2BFF" w:rsidRDefault="00167CEB" w:rsidP="004D6582">
            <w:pPr>
              <w:spacing w:line="240" w:lineRule="auto"/>
              <w:jc w:val="both"/>
              <w:rPr>
                <w:rFonts w:ascii="Arial" w:hAnsi="Arial" w:cs="Arial"/>
                <w:sz w:val="24"/>
                <w:szCs w:val="24"/>
              </w:rPr>
            </w:pPr>
          </w:p>
        </w:tc>
      </w:tr>
      <w:tr w:rsidR="00167CEB" w:rsidRPr="00FA2BFF" w14:paraId="5399610E" w14:textId="77777777" w:rsidTr="004D6582">
        <w:trPr>
          <w:trHeight w:val="1377"/>
        </w:trPr>
        <w:tc>
          <w:tcPr>
            <w:tcW w:w="9720" w:type="dxa"/>
            <w:gridSpan w:val="3"/>
            <w:tcBorders>
              <w:top w:val="single" w:sz="4" w:space="0" w:color="auto"/>
              <w:left w:val="single" w:sz="4" w:space="0" w:color="auto"/>
              <w:bottom w:val="single" w:sz="4" w:space="0" w:color="auto"/>
              <w:right w:val="single" w:sz="4" w:space="0" w:color="auto"/>
            </w:tcBorders>
          </w:tcPr>
          <w:p w14:paraId="7C210357"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t>It is hereby ordered that:</w:t>
            </w:r>
          </w:p>
          <w:p w14:paraId="198A08FC" w14:textId="3692EEB4" w:rsidR="00167CEB" w:rsidRPr="00153E65" w:rsidRDefault="00167CEB" w:rsidP="004D6582">
            <w:pPr>
              <w:pStyle w:val="ListParagraph"/>
              <w:numPr>
                <w:ilvl w:val="0"/>
                <w:numId w:val="13"/>
              </w:numPr>
              <w:spacing w:before="240"/>
              <w:ind w:left="517" w:hanging="540"/>
              <w:jc w:val="both"/>
              <w:rPr>
                <w:color w:val="000000"/>
                <w:sz w:val="24"/>
                <w:szCs w:val="24"/>
              </w:rPr>
            </w:pPr>
            <w:r w:rsidRPr="00153E65">
              <w:rPr>
                <w:color w:val="000000"/>
                <w:sz w:val="24"/>
                <w:szCs w:val="24"/>
              </w:rPr>
              <w:t xml:space="preserve">The conviction and sentence in </w:t>
            </w:r>
            <w:bookmarkStart w:id="0" w:name="_GoBack"/>
            <w:bookmarkEnd w:id="0"/>
            <w:r w:rsidRPr="00153E65">
              <w:rPr>
                <w:color w:val="000000"/>
                <w:sz w:val="24"/>
                <w:szCs w:val="24"/>
              </w:rPr>
              <w:t>respect of count</w:t>
            </w:r>
            <w:r w:rsidR="00FC2CC1">
              <w:rPr>
                <w:color w:val="000000"/>
                <w:sz w:val="24"/>
                <w:szCs w:val="24"/>
              </w:rPr>
              <w:t>s</w:t>
            </w:r>
            <w:r w:rsidRPr="00153E65">
              <w:rPr>
                <w:color w:val="000000"/>
                <w:sz w:val="24"/>
                <w:szCs w:val="24"/>
              </w:rPr>
              <w:t xml:space="preserve"> 1</w:t>
            </w:r>
            <w:r w:rsidR="00FC2CC1">
              <w:rPr>
                <w:color w:val="000000"/>
                <w:sz w:val="24"/>
                <w:szCs w:val="24"/>
              </w:rPr>
              <w:t xml:space="preserve"> and 3</w:t>
            </w:r>
            <w:r w:rsidRPr="00153E65">
              <w:rPr>
                <w:color w:val="000000"/>
                <w:sz w:val="24"/>
                <w:szCs w:val="24"/>
              </w:rPr>
              <w:t xml:space="preserve"> are confirmed.</w:t>
            </w:r>
          </w:p>
          <w:p w14:paraId="26464BF1" w14:textId="77777777" w:rsidR="00FC2CC1" w:rsidRDefault="00167CEB" w:rsidP="00FC2CC1">
            <w:pPr>
              <w:pStyle w:val="ListParagraph"/>
              <w:numPr>
                <w:ilvl w:val="0"/>
                <w:numId w:val="13"/>
              </w:numPr>
              <w:spacing w:before="240"/>
              <w:ind w:left="517" w:hanging="540"/>
              <w:jc w:val="both"/>
              <w:rPr>
                <w:color w:val="000000"/>
                <w:sz w:val="24"/>
                <w:szCs w:val="24"/>
              </w:rPr>
            </w:pPr>
            <w:r w:rsidRPr="00FA2BFF">
              <w:rPr>
                <w:color w:val="000000"/>
                <w:sz w:val="24"/>
                <w:szCs w:val="24"/>
              </w:rPr>
              <w:t xml:space="preserve">The </w:t>
            </w:r>
            <w:r>
              <w:rPr>
                <w:color w:val="000000"/>
                <w:sz w:val="24"/>
                <w:szCs w:val="24"/>
              </w:rPr>
              <w:t>conviction and sentence in respect of count 2 are set aside.</w:t>
            </w:r>
          </w:p>
          <w:p w14:paraId="57EA9AF4" w14:textId="28CEC67B" w:rsidR="00FC2CC1" w:rsidRPr="00FC2CC1" w:rsidRDefault="00FC2CC1" w:rsidP="00FC2CC1">
            <w:pPr>
              <w:pStyle w:val="ListParagraph"/>
              <w:numPr>
                <w:ilvl w:val="0"/>
                <w:numId w:val="13"/>
              </w:numPr>
              <w:spacing w:before="240"/>
              <w:ind w:left="517" w:hanging="540"/>
              <w:jc w:val="both"/>
              <w:rPr>
                <w:color w:val="000000"/>
                <w:sz w:val="24"/>
                <w:szCs w:val="24"/>
              </w:rPr>
            </w:pPr>
            <w:r w:rsidRPr="00FC2CC1">
              <w:rPr>
                <w:color w:val="000000"/>
                <w:sz w:val="24"/>
                <w:szCs w:val="24"/>
                <w:lang w:val="en-ZA"/>
              </w:rPr>
              <w:t xml:space="preserve">The matter is remitted to the court </w:t>
            </w:r>
            <w:r w:rsidRPr="00E0321F">
              <w:rPr>
                <w:color w:val="000000"/>
                <w:sz w:val="24"/>
                <w:szCs w:val="24"/>
                <w:lang w:val="en-ZA"/>
              </w:rPr>
              <w:t>a quo</w:t>
            </w:r>
            <w:r w:rsidRPr="00FC2CC1">
              <w:rPr>
                <w:color w:val="000000"/>
                <w:sz w:val="24"/>
                <w:szCs w:val="24"/>
                <w:lang w:val="en-ZA"/>
              </w:rPr>
              <w:t xml:space="preserve"> in terms of s 312 of the Criminal Procedure Act 51 of 1977 with the direction to question the accused</w:t>
            </w:r>
            <w:r>
              <w:rPr>
                <w:color w:val="000000"/>
                <w:sz w:val="24"/>
                <w:szCs w:val="24"/>
                <w:lang w:val="en-ZA"/>
              </w:rPr>
              <w:t xml:space="preserve"> in respect of count 2</w:t>
            </w:r>
            <w:r w:rsidRPr="00FC2CC1">
              <w:rPr>
                <w:color w:val="000000"/>
                <w:sz w:val="24"/>
                <w:szCs w:val="24"/>
                <w:lang w:val="en-ZA"/>
              </w:rPr>
              <w:t xml:space="preserve"> in terms of s 112(1</w:t>
            </w:r>
            <w:proofErr w:type="gramStart"/>
            <w:r w:rsidRPr="00FC2CC1">
              <w:rPr>
                <w:color w:val="000000"/>
                <w:sz w:val="24"/>
                <w:szCs w:val="24"/>
                <w:lang w:val="en-ZA"/>
              </w:rPr>
              <w:t>)(</w:t>
            </w:r>
            <w:proofErr w:type="gramEnd"/>
            <w:r w:rsidRPr="00FC2CC1">
              <w:rPr>
                <w:i/>
                <w:color w:val="000000"/>
                <w:sz w:val="24"/>
                <w:szCs w:val="24"/>
                <w:lang w:val="en-ZA"/>
              </w:rPr>
              <w:t>b</w:t>
            </w:r>
            <w:r w:rsidRPr="00FC2CC1">
              <w:rPr>
                <w:color w:val="000000"/>
                <w:sz w:val="24"/>
                <w:szCs w:val="24"/>
                <w:lang w:val="en-ZA"/>
              </w:rPr>
              <w:t>) and to bring proceedings to its natural conclusion.</w:t>
            </w:r>
          </w:p>
          <w:p w14:paraId="677D790A" w14:textId="77777777" w:rsidR="00167CEB" w:rsidRPr="00FA2BFF" w:rsidRDefault="00167CEB" w:rsidP="004D6582">
            <w:pPr>
              <w:pStyle w:val="ListParagraph"/>
              <w:spacing w:before="240"/>
              <w:ind w:left="517"/>
              <w:jc w:val="both"/>
              <w:rPr>
                <w:color w:val="000000"/>
                <w:sz w:val="24"/>
                <w:szCs w:val="24"/>
              </w:rPr>
            </w:pPr>
          </w:p>
        </w:tc>
      </w:tr>
      <w:tr w:rsidR="00167CEB" w:rsidRPr="00FA2BFF" w14:paraId="65A013C3" w14:textId="77777777" w:rsidTr="004D6582">
        <w:trPr>
          <w:trHeight w:val="306"/>
        </w:trPr>
        <w:tc>
          <w:tcPr>
            <w:tcW w:w="9720" w:type="dxa"/>
            <w:gridSpan w:val="3"/>
            <w:tcBorders>
              <w:top w:val="single" w:sz="4" w:space="0" w:color="auto"/>
              <w:left w:val="single" w:sz="4" w:space="0" w:color="auto"/>
              <w:bottom w:val="single" w:sz="4" w:space="0" w:color="auto"/>
              <w:right w:val="single" w:sz="4" w:space="0" w:color="auto"/>
            </w:tcBorders>
          </w:tcPr>
          <w:p w14:paraId="3E2D298E"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t>Reasons for the order:</w:t>
            </w:r>
          </w:p>
        </w:tc>
      </w:tr>
      <w:tr w:rsidR="00167CEB" w:rsidRPr="00FA2BFF" w14:paraId="3D884FA2" w14:textId="77777777" w:rsidTr="004D6582">
        <w:trPr>
          <w:trHeight w:val="3619"/>
        </w:trPr>
        <w:tc>
          <w:tcPr>
            <w:tcW w:w="9720" w:type="dxa"/>
            <w:gridSpan w:val="3"/>
            <w:tcBorders>
              <w:top w:val="single" w:sz="4" w:space="0" w:color="auto"/>
              <w:left w:val="single" w:sz="4" w:space="0" w:color="auto"/>
              <w:bottom w:val="single" w:sz="4" w:space="0" w:color="auto"/>
              <w:right w:val="single" w:sz="4" w:space="0" w:color="auto"/>
            </w:tcBorders>
          </w:tcPr>
          <w:p w14:paraId="4922FE40" w14:textId="77777777" w:rsidR="00167CEB" w:rsidRPr="00692E23" w:rsidRDefault="00167CEB" w:rsidP="004D6582">
            <w:pPr>
              <w:pStyle w:val="ListParagraph"/>
              <w:tabs>
                <w:tab w:val="left" w:pos="851"/>
              </w:tabs>
              <w:ind w:left="0"/>
              <w:jc w:val="both"/>
              <w:rPr>
                <w:bCs/>
                <w:sz w:val="24"/>
                <w:szCs w:val="24"/>
              </w:rPr>
            </w:pPr>
            <w:r w:rsidRPr="00692E23">
              <w:rPr>
                <w:bCs/>
                <w:sz w:val="24"/>
                <w:szCs w:val="24"/>
              </w:rPr>
              <w:lastRenderedPageBreak/>
              <w:t xml:space="preserve"> </w:t>
            </w:r>
          </w:p>
          <w:p w14:paraId="5E80B1FE" w14:textId="77777777" w:rsidR="00167CEB" w:rsidRPr="00692E23" w:rsidRDefault="00167CEB" w:rsidP="004D6582">
            <w:pPr>
              <w:pStyle w:val="ListParagraph"/>
              <w:tabs>
                <w:tab w:val="left" w:pos="851"/>
              </w:tabs>
              <w:ind w:left="0"/>
              <w:jc w:val="both"/>
              <w:rPr>
                <w:bCs/>
                <w:sz w:val="24"/>
                <w:szCs w:val="24"/>
              </w:rPr>
            </w:pPr>
            <w:r w:rsidRPr="00692E23">
              <w:rPr>
                <w:bCs/>
                <w:sz w:val="24"/>
                <w:szCs w:val="24"/>
              </w:rPr>
              <w:t>KESSLAU J  (SALIONGA J concurring)</w:t>
            </w:r>
          </w:p>
          <w:p w14:paraId="0A3947D3" w14:textId="77777777" w:rsidR="00167CEB" w:rsidRPr="00692E23" w:rsidRDefault="00167CEB" w:rsidP="00C5119C">
            <w:pPr>
              <w:pStyle w:val="ListParagraph"/>
              <w:tabs>
                <w:tab w:val="left" w:pos="851"/>
              </w:tabs>
              <w:spacing w:line="240" w:lineRule="auto"/>
              <w:ind w:left="0"/>
              <w:jc w:val="both"/>
              <w:rPr>
                <w:bCs/>
                <w:sz w:val="24"/>
                <w:szCs w:val="24"/>
              </w:rPr>
            </w:pPr>
          </w:p>
          <w:p w14:paraId="5285285E" w14:textId="1C94B415" w:rsidR="00167CEB" w:rsidRPr="00692E23" w:rsidRDefault="00167CEB" w:rsidP="004D6582">
            <w:pPr>
              <w:jc w:val="both"/>
              <w:rPr>
                <w:rFonts w:ascii="Arial" w:hAnsi="Arial" w:cs="Arial"/>
                <w:bCs/>
                <w:sz w:val="24"/>
                <w:szCs w:val="24"/>
              </w:rPr>
            </w:pPr>
            <w:r w:rsidRPr="00692E23">
              <w:rPr>
                <w:rFonts w:ascii="Arial" w:hAnsi="Arial" w:cs="Arial"/>
                <w:bCs/>
                <w:sz w:val="24"/>
                <w:szCs w:val="24"/>
              </w:rPr>
              <w:t>[1]</w:t>
            </w:r>
            <w:r w:rsidR="00C5119C" w:rsidRPr="00692E23">
              <w:rPr>
                <w:rFonts w:ascii="Arial" w:hAnsi="Arial" w:cs="Arial"/>
                <w:bCs/>
                <w:sz w:val="24"/>
                <w:szCs w:val="24"/>
              </w:rPr>
              <w:tab/>
            </w:r>
            <w:r w:rsidRPr="00692E23">
              <w:rPr>
                <w:rFonts w:ascii="Arial" w:hAnsi="Arial" w:cs="Arial"/>
                <w:bCs/>
                <w:sz w:val="24"/>
                <w:szCs w:val="24"/>
              </w:rPr>
              <w:t xml:space="preserve">The matter from the Magistrate’s court of </w:t>
            </w:r>
            <w:proofErr w:type="spellStart"/>
            <w:r w:rsidRPr="00692E23">
              <w:rPr>
                <w:rFonts w:ascii="Arial" w:hAnsi="Arial" w:cs="Arial"/>
                <w:bCs/>
                <w:sz w:val="24"/>
                <w:szCs w:val="24"/>
              </w:rPr>
              <w:t>O</w:t>
            </w:r>
            <w:r w:rsidR="00FC2CC1" w:rsidRPr="00692E23">
              <w:rPr>
                <w:rFonts w:ascii="Arial" w:hAnsi="Arial" w:cs="Arial"/>
                <w:bCs/>
                <w:sz w:val="24"/>
                <w:szCs w:val="24"/>
              </w:rPr>
              <w:t>puwo</w:t>
            </w:r>
            <w:proofErr w:type="spellEnd"/>
            <w:r w:rsidRPr="00692E23">
              <w:rPr>
                <w:rFonts w:ascii="Arial" w:hAnsi="Arial" w:cs="Arial"/>
                <w:bCs/>
                <w:sz w:val="24"/>
                <w:szCs w:val="24"/>
              </w:rPr>
              <w:t xml:space="preserve">, is before this court for review in terms of s 302 of the Criminal Procedure Act 51 of 1977, as amended (the CPA).  </w:t>
            </w:r>
          </w:p>
          <w:p w14:paraId="596A7943" w14:textId="77777777" w:rsidR="00167CEB" w:rsidRPr="00692E23" w:rsidRDefault="00167CEB" w:rsidP="00C5119C">
            <w:pPr>
              <w:spacing w:line="240" w:lineRule="auto"/>
              <w:jc w:val="both"/>
              <w:rPr>
                <w:rFonts w:ascii="Arial" w:hAnsi="Arial" w:cs="Arial"/>
                <w:bCs/>
                <w:sz w:val="24"/>
                <w:szCs w:val="24"/>
              </w:rPr>
            </w:pPr>
          </w:p>
          <w:p w14:paraId="1F75FDDB" w14:textId="1248DD9B" w:rsidR="0094719D" w:rsidRPr="00692E23" w:rsidRDefault="00167CEB" w:rsidP="004D6582">
            <w:pPr>
              <w:jc w:val="both"/>
              <w:rPr>
                <w:rFonts w:ascii="Arial" w:hAnsi="Arial" w:cs="Arial"/>
                <w:bCs/>
                <w:sz w:val="24"/>
                <w:szCs w:val="24"/>
              </w:rPr>
            </w:pPr>
            <w:r w:rsidRPr="00692E23">
              <w:rPr>
                <w:rFonts w:ascii="Arial" w:hAnsi="Arial" w:cs="Arial"/>
                <w:bCs/>
                <w:sz w:val="24"/>
                <w:szCs w:val="24"/>
              </w:rPr>
              <w:t>[2]</w:t>
            </w:r>
            <w:r w:rsidR="00C5119C" w:rsidRPr="00692E23">
              <w:rPr>
                <w:rFonts w:ascii="Arial" w:hAnsi="Arial" w:cs="Arial"/>
                <w:bCs/>
                <w:sz w:val="24"/>
                <w:szCs w:val="24"/>
              </w:rPr>
              <w:tab/>
            </w:r>
            <w:r w:rsidRPr="00692E23">
              <w:rPr>
                <w:rFonts w:ascii="Arial" w:hAnsi="Arial" w:cs="Arial"/>
                <w:bCs/>
                <w:sz w:val="24"/>
                <w:szCs w:val="24"/>
              </w:rPr>
              <w:t xml:space="preserve">The accused was charged with count 1: </w:t>
            </w:r>
            <w:r w:rsidR="00FC2CC1" w:rsidRPr="00692E23">
              <w:rPr>
                <w:rFonts w:ascii="Arial" w:hAnsi="Arial" w:cs="Arial"/>
                <w:bCs/>
                <w:sz w:val="24"/>
                <w:szCs w:val="24"/>
              </w:rPr>
              <w:t>Contravening section 80(1) of the Road Traffic and Transport Act 22 of 1999</w:t>
            </w:r>
            <w:r w:rsidR="00692E23" w:rsidRPr="00692E23">
              <w:rPr>
                <w:rFonts w:ascii="Arial" w:hAnsi="Arial" w:cs="Arial"/>
                <w:bCs/>
                <w:sz w:val="24"/>
                <w:szCs w:val="24"/>
              </w:rPr>
              <w:t xml:space="preserve"> (the Act)</w:t>
            </w:r>
            <w:r w:rsidR="00FC2CC1" w:rsidRPr="00692E23">
              <w:rPr>
                <w:rFonts w:ascii="Arial" w:hAnsi="Arial" w:cs="Arial"/>
                <w:bCs/>
                <w:sz w:val="24"/>
                <w:szCs w:val="24"/>
              </w:rPr>
              <w:t xml:space="preserve"> - Reckless or negligent driving; Count 2:  Contravening section 82(5</w:t>
            </w:r>
            <w:proofErr w:type="gramStart"/>
            <w:r w:rsidR="00FC2CC1" w:rsidRPr="00692E23">
              <w:rPr>
                <w:rFonts w:ascii="Arial" w:hAnsi="Arial" w:cs="Arial"/>
                <w:bCs/>
                <w:sz w:val="24"/>
                <w:szCs w:val="24"/>
              </w:rPr>
              <w:t>)(</w:t>
            </w:r>
            <w:proofErr w:type="gramEnd"/>
            <w:r w:rsidR="00FC2CC1" w:rsidRPr="00692E23">
              <w:rPr>
                <w:rFonts w:ascii="Arial" w:hAnsi="Arial" w:cs="Arial"/>
                <w:bCs/>
                <w:i/>
                <w:sz w:val="24"/>
                <w:szCs w:val="24"/>
              </w:rPr>
              <w:t>a</w:t>
            </w:r>
            <w:r w:rsidR="00FC2CC1" w:rsidRPr="00692E23">
              <w:rPr>
                <w:rFonts w:ascii="Arial" w:hAnsi="Arial" w:cs="Arial"/>
                <w:bCs/>
                <w:sz w:val="24"/>
                <w:szCs w:val="24"/>
              </w:rPr>
              <w:t>) of the Act – Driving with an excessive breath alcohol level and;</w:t>
            </w:r>
            <w:r w:rsidRPr="00692E23">
              <w:rPr>
                <w:rFonts w:ascii="Arial" w:hAnsi="Arial" w:cs="Arial"/>
                <w:bCs/>
                <w:sz w:val="24"/>
                <w:szCs w:val="24"/>
              </w:rPr>
              <w:t xml:space="preserve"> count </w:t>
            </w:r>
            <w:r w:rsidR="00FC2CC1" w:rsidRPr="00692E23">
              <w:rPr>
                <w:rFonts w:ascii="Arial" w:hAnsi="Arial" w:cs="Arial"/>
                <w:bCs/>
                <w:sz w:val="24"/>
                <w:szCs w:val="24"/>
              </w:rPr>
              <w:t>3</w:t>
            </w:r>
            <w:r w:rsidRPr="00692E23">
              <w:rPr>
                <w:rFonts w:ascii="Arial" w:hAnsi="Arial" w:cs="Arial"/>
                <w:bCs/>
                <w:sz w:val="24"/>
                <w:szCs w:val="24"/>
              </w:rPr>
              <w:t>:</w:t>
            </w:r>
            <w:r w:rsidR="00FC2CC1" w:rsidRPr="00692E23">
              <w:rPr>
                <w:rFonts w:ascii="Arial" w:hAnsi="Arial" w:cs="Arial"/>
                <w:bCs/>
                <w:sz w:val="24"/>
                <w:szCs w:val="24"/>
              </w:rPr>
              <w:t xml:space="preserve"> Contravening section 31(1)(</w:t>
            </w:r>
            <w:r w:rsidR="00FC2CC1" w:rsidRPr="00692E23">
              <w:rPr>
                <w:rFonts w:ascii="Arial" w:hAnsi="Arial" w:cs="Arial"/>
                <w:bCs/>
                <w:i/>
                <w:sz w:val="24"/>
                <w:szCs w:val="24"/>
              </w:rPr>
              <w:t>a</w:t>
            </w:r>
            <w:r w:rsidR="00FC2CC1" w:rsidRPr="00692E23">
              <w:rPr>
                <w:rFonts w:ascii="Arial" w:hAnsi="Arial" w:cs="Arial"/>
                <w:bCs/>
                <w:sz w:val="24"/>
                <w:szCs w:val="24"/>
              </w:rPr>
              <w:t xml:space="preserve">) of the Act – Driving without a driver’s licence. </w:t>
            </w:r>
          </w:p>
          <w:p w14:paraId="51AA9F72" w14:textId="77777777" w:rsidR="0094719D" w:rsidRPr="00692E23" w:rsidRDefault="0094719D" w:rsidP="004D6582">
            <w:pPr>
              <w:jc w:val="both"/>
              <w:rPr>
                <w:rFonts w:ascii="Arial" w:hAnsi="Arial" w:cs="Arial"/>
                <w:bCs/>
                <w:sz w:val="24"/>
                <w:szCs w:val="24"/>
              </w:rPr>
            </w:pPr>
          </w:p>
          <w:p w14:paraId="64BAD462" w14:textId="405A3B16" w:rsidR="00167CEB" w:rsidRPr="00692E23" w:rsidRDefault="0094719D" w:rsidP="004D6582">
            <w:pPr>
              <w:jc w:val="both"/>
              <w:rPr>
                <w:rFonts w:ascii="Arial" w:hAnsi="Arial" w:cs="Arial"/>
                <w:sz w:val="24"/>
                <w:szCs w:val="24"/>
              </w:rPr>
            </w:pPr>
            <w:r w:rsidRPr="00692E23">
              <w:rPr>
                <w:rFonts w:ascii="Arial" w:hAnsi="Arial" w:cs="Arial"/>
                <w:bCs/>
                <w:sz w:val="24"/>
                <w:szCs w:val="24"/>
              </w:rPr>
              <w:t>[3]      The accused</w:t>
            </w:r>
            <w:r w:rsidR="00167CEB" w:rsidRPr="00692E23">
              <w:rPr>
                <w:rFonts w:ascii="Arial" w:hAnsi="Arial" w:cs="Arial"/>
                <w:sz w:val="24"/>
                <w:szCs w:val="24"/>
              </w:rPr>
              <w:t xml:space="preserve"> pleaded guilty and, after the application of s 112(1</w:t>
            </w:r>
            <w:proofErr w:type="gramStart"/>
            <w:r w:rsidR="00167CEB" w:rsidRPr="00692E23">
              <w:rPr>
                <w:rFonts w:ascii="Arial" w:hAnsi="Arial" w:cs="Arial"/>
                <w:sz w:val="24"/>
                <w:szCs w:val="24"/>
              </w:rPr>
              <w:t>)(</w:t>
            </w:r>
            <w:proofErr w:type="gramEnd"/>
            <w:r w:rsidRPr="00692E23">
              <w:rPr>
                <w:rFonts w:ascii="Arial" w:hAnsi="Arial" w:cs="Arial"/>
                <w:i/>
                <w:sz w:val="24"/>
                <w:szCs w:val="24"/>
              </w:rPr>
              <w:t>b</w:t>
            </w:r>
            <w:r w:rsidR="00167CEB" w:rsidRPr="00692E23">
              <w:rPr>
                <w:rFonts w:ascii="Arial" w:hAnsi="Arial" w:cs="Arial"/>
                <w:sz w:val="24"/>
                <w:szCs w:val="24"/>
              </w:rPr>
              <w:t xml:space="preserve">) of the CPA, was convicted on his pleas of guilty and </w:t>
            </w:r>
            <w:r w:rsidRPr="00692E23">
              <w:rPr>
                <w:rFonts w:ascii="Arial" w:hAnsi="Arial" w:cs="Arial"/>
                <w:sz w:val="24"/>
                <w:szCs w:val="24"/>
              </w:rPr>
              <w:t xml:space="preserve">subsequently </w:t>
            </w:r>
            <w:r w:rsidR="00167CEB" w:rsidRPr="00692E23">
              <w:rPr>
                <w:rFonts w:ascii="Arial" w:hAnsi="Arial" w:cs="Arial"/>
                <w:sz w:val="24"/>
                <w:szCs w:val="24"/>
              </w:rPr>
              <w:t>sentenced.</w:t>
            </w:r>
            <w:r w:rsidRPr="00692E23">
              <w:rPr>
                <w:rFonts w:ascii="Arial" w:hAnsi="Arial" w:cs="Arial"/>
                <w:sz w:val="24"/>
                <w:szCs w:val="24"/>
              </w:rPr>
              <w:t xml:space="preserve"> In respect of count 1, he was rightfully convicted of negligent driving</w:t>
            </w:r>
            <w:r w:rsidR="00DA5499" w:rsidRPr="00692E23">
              <w:rPr>
                <w:rFonts w:ascii="Arial" w:hAnsi="Arial" w:cs="Arial"/>
                <w:sz w:val="24"/>
                <w:szCs w:val="24"/>
              </w:rPr>
              <w:t>. E</w:t>
            </w:r>
            <w:r w:rsidRPr="00692E23">
              <w:rPr>
                <w:rFonts w:ascii="Arial" w:hAnsi="Arial" w:cs="Arial"/>
                <w:sz w:val="24"/>
                <w:szCs w:val="24"/>
              </w:rPr>
              <w:t>qually</w:t>
            </w:r>
            <w:r w:rsidR="00DA5499" w:rsidRPr="00692E23">
              <w:rPr>
                <w:rFonts w:ascii="Arial" w:hAnsi="Arial" w:cs="Arial"/>
                <w:sz w:val="24"/>
                <w:szCs w:val="24"/>
              </w:rPr>
              <w:t>,</w:t>
            </w:r>
            <w:r w:rsidRPr="00692E23">
              <w:rPr>
                <w:rFonts w:ascii="Arial" w:hAnsi="Arial" w:cs="Arial"/>
                <w:sz w:val="24"/>
                <w:szCs w:val="24"/>
              </w:rPr>
              <w:t xml:space="preserve"> the conviction in respect of count 3 appears to be in accordance with justice. </w:t>
            </w:r>
            <w:r w:rsidR="00167CEB" w:rsidRPr="00692E23">
              <w:rPr>
                <w:rFonts w:ascii="Arial" w:hAnsi="Arial" w:cs="Arial"/>
                <w:sz w:val="24"/>
                <w:szCs w:val="24"/>
              </w:rPr>
              <w:t xml:space="preserve">     </w:t>
            </w:r>
          </w:p>
          <w:p w14:paraId="6E7293A8" w14:textId="77777777" w:rsidR="00167CEB" w:rsidRPr="00692E23" w:rsidRDefault="00167CEB" w:rsidP="004D6582">
            <w:pPr>
              <w:jc w:val="both"/>
              <w:rPr>
                <w:rFonts w:ascii="Arial" w:hAnsi="Arial" w:cs="Arial"/>
                <w:sz w:val="24"/>
                <w:szCs w:val="24"/>
              </w:rPr>
            </w:pPr>
          </w:p>
          <w:p w14:paraId="3C978EFD" w14:textId="147220E6" w:rsidR="00167CEB" w:rsidRPr="00692E23" w:rsidRDefault="00167CEB" w:rsidP="004D6582">
            <w:pPr>
              <w:jc w:val="both"/>
              <w:rPr>
                <w:rFonts w:ascii="Arial" w:hAnsi="Arial" w:cs="Arial"/>
                <w:sz w:val="24"/>
                <w:szCs w:val="24"/>
              </w:rPr>
            </w:pPr>
            <w:r w:rsidRPr="00692E23">
              <w:rPr>
                <w:rFonts w:ascii="Arial" w:hAnsi="Arial" w:cs="Arial"/>
                <w:sz w:val="24"/>
                <w:szCs w:val="24"/>
              </w:rPr>
              <w:t>[</w:t>
            </w:r>
            <w:r w:rsidR="0094719D" w:rsidRPr="00692E23">
              <w:rPr>
                <w:rFonts w:ascii="Arial" w:hAnsi="Arial" w:cs="Arial"/>
                <w:sz w:val="24"/>
                <w:szCs w:val="24"/>
              </w:rPr>
              <w:t>4</w:t>
            </w:r>
            <w:r w:rsidR="00C5119C" w:rsidRPr="00692E23">
              <w:rPr>
                <w:rFonts w:ascii="Arial" w:hAnsi="Arial" w:cs="Arial"/>
                <w:sz w:val="24"/>
                <w:szCs w:val="24"/>
              </w:rPr>
              <w:t>]</w:t>
            </w:r>
            <w:r w:rsidR="00C5119C" w:rsidRPr="00692E23">
              <w:rPr>
                <w:rFonts w:ascii="Arial" w:hAnsi="Arial" w:cs="Arial"/>
                <w:sz w:val="24"/>
                <w:szCs w:val="24"/>
              </w:rPr>
              <w:tab/>
            </w:r>
            <w:r w:rsidR="00DA5499" w:rsidRPr="00692E23">
              <w:rPr>
                <w:rFonts w:ascii="Arial" w:hAnsi="Arial" w:cs="Arial"/>
                <w:sz w:val="24"/>
                <w:szCs w:val="24"/>
              </w:rPr>
              <w:t xml:space="preserve">   </w:t>
            </w:r>
            <w:r w:rsidR="0094719D" w:rsidRPr="00692E23">
              <w:rPr>
                <w:rFonts w:ascii="Arial" w:hAnsi="Arial" w:cs="Arial"/>
                <w:sz w:val="24"/>
                <w:szCs w:val="24"/>
              </w:rPr>
              <w:t>In respect of count 2, t</w:t>
            </w:r>
            <w:r w:rsidRPr="00692E23">
              <w:rPr>
                <w:rFonts w:ascii="Arial" w:hAnsi="Arial" w:cs="Arial"/>
                <w:sz w:val="24"/>
                <w:szCs w:val="24"/>
              </w:rPr>
              <w:t>he following quer</w:t>
            </w:r>
            <w:r w:rsidR="0094719D" w:rsidRPr="00692E23">
              <w:rPr>
                <w:rFonts w:ascii="Arial" w:hAnsi="Arial" w:cs="Arial"/>
                <w:sz w:val="24"/>
                <w:szCs w:val="24"/>
              </w:rPr>
              <w:t>y</w:t>
            </w:r>
            <w:r w:rsidRPr="00692E23">
              <w:rPr>
                <w:rFonts w:ascii="Arial" w:hAnsi="Arial" w:cs="Arial"/>
                <w:sz w:val="24"/>
                <w:szCs w:val="24"/>
              </w:rPr>
              <w:t xml:space="preserve"> w</w:t>
            </w:r>
            <w:r w:rsidR="0094719D" w:rsidRPr="00692E23">
              <w:rPr>
                <w:rFonts w:ascii="Arial" w:hAnsi="Arial" w:cs="Arial"/>
                <w:sz w:val="24"/>
                <w:szCs w:val="24"/>
              </w:rPr>
              <w:t>as</w:t>
            </w:r>
            <w:r w:rsidRPr="00692E23">
              <w:rPr>
                <w:rFonts w:ascii="Arial" w:hAnsi="Arial" w:cs="Arial"/>
                <w:sz w:val="24"/>
                <w:szCs w:val="24"/>
              </w:rPr>
              <w:t xml:space="preserve"> sent to the Magistrate: </w:t>
            </w:r>
          </w:p>
          <w:p w14:paraId="2DBD5DE7" w14:textId="77777777" w:rsidR="00C5119C" w:rsidRPr="00692E23" w:rsidRDefault="00C5119C" w:rsidP="00C5119C">
            <w:pPr>
              <w:spacing w:line="240" w:lineRule="auto"/>
              <w:jc w:val="both"/>
              <w:rPr>
                <w:rFonts w:ascii="Arial" w:hAnsi="Arial" w:cs="Arial"/>
                <w:sz w:val="24"/>
                <w:szCs w:val="24"/>
              </w:rPr>
            </w:pPr>
          </w:p>
          <w:p w14:paraId="0D89E422" w14:textId="371B198E" w:rsidR="00167CEB" w:rsidRPr="00692E23" w:rsidRDefault="00DA5499" w:rsidP="004D6582">
            <w:pPr>
              <w:jc w:val="both"/>
              <w:rPr>
                <w:rFonts w:ascii="Arial" w:hAnsi="Arial" w:cs="Arial"/>
              </w:rPr>
            </w:pPr>
            <w:r w:rsidRPr="00692E23">
              <w:rPr>
                <w:rFonts w:ascii="Arial" w:hAnsi="Arial" w:cs="Arial"/>
              </w:rPr>
              <w:t xml:space="preserve">              </w:t>
            </w:r>
            <w:r w:rsidR="00167CEB" w:rsidRPr="00692E23">
              <w:rPr>
                <w:rFonts w:ascii="Arial" w:hAnsi="Arial" w:cs="Arial"/>
              </w:rPr>
              <w:t>‘</w:t>
            </w:r>
            <w:r w:rsidRPr="00692E23">
              <w:rPr>
                <w:rFonts w:ascii="Arial" w:hAnsi="Arial" w:cs="Arial"/>
              </w:rPr>
              <w:t>Can the Magistrate explain which question was asked to the accused to satisfy the requirement that the breath alcohol specimen was taken within the prescribed period of two hours?</w:t>
            </w:r>
            <w:r w:rsidR="00167CEB" w:rsidRPr="00692E23">
              <w:rPr>
                <w:rFonts w:ascii="Arial" w:hAnsi="Arial" w:cs="Arial"/>
              </w:rPr>
              <w:t>’</w:t>
            </w:r>
          </w:p>
          <w:p w14:paraId="7E01AC69" w14:textId="77777777" w:rsidR="00167CEB" w:rsidRPr="00692E23" w:rsidRDefault="00167CEB" w:rsidP="00C5119C">
            <w:pPr>
              <w:spacing w:line="240" w:lineRule="auto"/>
              <w:jc w:val="both"/>
              <w:rPr>
                <w:rFonts w:ascii="Arial" w:hAnsi="Arial" w:cs="Arial"/>
                <w:sz w:val="24"/>
                <w:szCs w:val="24"/>
              </w:rPr>
            </w:pPr>
          </w:p>
          <w:p w14:paraId="08F2F45F" w14:textId="19DB20A4" w:rsidR="00DA6BC5" w:rsidRPr="00692E23" w:rsidRDefault="00C5119C" w:rsidP="004D6582">
            <w:pPr>
              <w:jc w:val="both"/>
              <w:rPr>
                <w:rFonts w:ascii="Arial" w:hAnsi="Arial" w:cs="Arial"/>
                <w:sz w:val="24"/>
                <w:szCs w:val="24"/>
              </w:rPr>
            </w:pPr>
            <w:r w:rsidRPr="00692E23">
              <w:rPr>
                <w:rFonts w:ascii="Arial" w:hAnsi="Arial" w:cs="Arial"/>
                <w:sz w:val="24"/>
                <w:szCs w:val="24"/>
              </w:rPr>
              <w:t>[</w:t>
            </w:r>
            <w:r w:rsidR="00DA6BC5" w:rsidRPr="00692E23">
              <w:rPr>
                <w:rFonts w:ascii="Arial" w:hAnsi="Arial" w:cs="Arial"/>
                <w:sz w:val="24"/>
                <w:szCs w:val="24"/>
              </w:rPr>
              <w:t>5</w:t>
            </w:r>
            <w:r w:rsidRPr="00692E23">
              <w:rPr>
                <w:rFonts w:ascii="Arial" w:hAnsi="Arial" w:cs="Arial"/>
                <w:sz w:val="24"/>
                <w:szCs w:val="24"/>
              </w:rPr>
              <w:t>]</w:t>
            </w:r>
            <w:r w:rsidRPr="00692E23">
              <w:rPr>
                <w:rFonts w:ascii="Arial" w:hAnsi="Arial" w:cs="Arial"/>
                <w:sz w:val="24"/>
                <w:szCs w:val="24"/>
              </w:rPr>
              <w:tab/>
            </w:r>
            <w:r w:rsidR="00167CEB" w:rsidRPr="00692E23">
              <w:rPr>
                <w:rFonts w:ascii="Arial" w:hAnsi="Arial" w:cs="Arial"/>
                <w:sz w:val="24"/>
                <w:szCs w:val="24"/>
              </w:rPr>
              <w:t>The Magistrate</w:t>
            </w:r>
            <w:r w:rsidR="00DA6BC5" w:rsidRPr="00692E23">
              <w:rPr>
                <w:rFonts w:ascii="Arial" w:hAnsi="Arial" w:cs="Arial"/>
                <w:sz w:val="24"/>
                <w:szCs w:val="24"/>
              </w:rPr>
              <w:t xml:space="preserve"> gave the following </w:t>
            </w:r>
            <w:r w:rsidR="00692E23" w:rsidRPr="00692E23">
              <w:rPr>
                <w:rFonts w:ascii="Arial" w:hAnsi="Arial" w:cs="Arial"/>
                <w:sz w:val="24"/>
                <w:szCs w:val="24"/>
              </w:rPr>
              <w:t>perplexed</w:t>
            </w:r>
            <w:r w:rsidR="00DA6BC5" w:rsidRPr="00692E23">
              <w:rPr>
                <w:rFonts w:ascii="Arial" w:hAnsi="Arial" w:cs="Arial"/>
                <w:sz w:val="24"/>
                <w:szCs w:val="24"/>
              </w:rPr>
              <w:t xml:space="preserve"> reply:</w:t>
            </w:r>
          </w:p>
          <w:p w14:paraId="65D3B1A3" w14:textId="77777777" w:rsidR="00DA6BC5" w:rsidRPr="00692E23" w:rsidRDefault="00DA6BC5" w:rsidP="004D6582">
            <w:pPr>
              <w:jc w:val="both"/>
              <w:rPr>
                <w:rFonts w:ascii="Arial" w:hAnsi="Arial" w:cs="Arial"/>
                <w:sz w:val="24"/>
                <w:szCs w:val="24"/>
              </w:rPr>
            </w:pPr>
          </w:p>
          <w:p w14:paraId="214043F7" w14:textId="48006860" w:rsidR="00167CEB" w:rsidRPr="00692E23" w:rsidRDefault="00DA6BC5" w:rsidP="004D6582">
            <w:pPr>
              <w:jc w:val="both"/>
              <w:rPr>
                <w:rFonts w:ascii="Arial" w:hAnsi="Arial" w:cs="Arial"/>
                <w:sz w:val="24"/>
                <w:szCs w:val="24"/>
              </w:rPr>
            </w:pPr>
            <w:r w:rsidRPr="00692E23">
              <w:rPr>
                <w:rFonts w:ascii="Arial" w:hAnsi="Arial" w:cs="Arial"/>
              </w:rPr>
              <w:t xml:space="preserve">‘The learned Magistrate apologizes to the </w:t>
            </w:r>
            <w:proofErr w:type="spellStart"/>
            <w:r w:rsidRPr="00692E23">
              <w:rPr>
                <w:rFonts w:ascii="Arial" w:hAnsi="Arial" w:cs="Arial"/>
              </w:rPr>
              <w:t>Honorable</w:t>
            </w:r>
            <w:proofErr w:type="spellEnd"/>
            <w:r w:rsidRPr="00692E23">
              <w:rPr>
                <w:rFonts w:ascii="Arial" w:hAnsi="Arial" w:cs="Arial"/>
              </w:rPr>
              <w:t xml:space="preserve"> Judge for the mix up. The count 2 accused is charged with is Driving with an excessive alcohol breath level and not driving with an excessive blood alcohol level. Thus, the query by the </w:t>
            </w:r>
            <w:proofErr w:type="spellStart"/>
            <w:r w:rsidRPr="00692E23">
              <w:rPr>
                <w:rFonts w:ascii="Arial" w:hAnsi="Arial" w:cs="Arial"/>
              </w:rPr>
              <w:t>Honorable</w:t>
            </w:r>
            <w:proofErr w:type="spellEnd"/>
            <w:r w:rsidRPr="00692E23">
              <w:rPr>
                <w:rFonts w:ascii="Arial" w:hAnsi="Arial" w:cs="Arial"/>
              </w:rPr>
              <w:t xml:space="preserve"> judge would be invalid. The learned Magistrate erroneously omitted the correct charge at the sentence order, however as per record and charge annexure, the correct charge is Driving with an excessive breath alcohol level.’</w:t>
            </w:r>
            <w:r w:rsidRPr="00692E23">
              <w:rPr>
                <w:rFonts w:ascii="Arial" w:hAnsi="Arial" w:cs="Arial"/>
                <w:sz w:val="24"/>
                <w:szCs w:val="24"/>
              </w:rPr>
              <w:t xml:space="preserve"> (sic)</w:t>
            </w:r>
            <w:r w:rsidR="00167CEB" w:rsidRPr="00692E23">
              <w:rPr>
                <w:rFonts w:ascii="Arial" w:hAnsi="Arial" w:cs="Arial"/>
                <w:sz w:val="24"/>
                <w:szCs w:val="24"/>
              </w:rPr>
              <w:t xml:space="preserve"> </w:t>
            </w:r>
          </w:p>
          <w:p w14:paraId="397C0C1C" w14:textId="77777777" w:rsidR="00167CEB" w:rsidRPr="00692E23" w:rsidRDefault="00167CEB" w:rsidP="00C5119C">
            <w:pPr>
              <w:spacing w:line="240" w:lineRule="auto"/>
              <w:jc w:val="both"/>
              <w:rPr>
                <w:rFonts w:ascii="Arial" w:hAnsi="Arial" w:cs="Arial"/>
                <w:sz w:val="24"/>
                <w:szCs w:val="24"/>
              </w:rPr>
            </w:pPr>
          </w:p>
          <w:p w14:paraId="6ECB9C45" w14:textId="0FCD5C21" w:rsidR="00692E23" w:rsidRPr="00692E23" w:rsidRDefault="00C5119C" w:rsidP="00692E23">
            <w:pPr>
              <w:jc w:val="both"/>
              <w:rPr>
                <w:rFonts w:ascii="Arial" w:hAnsi="Arial" w:cs="Arial"/>
                <w:sz w:val="24"/>
                <w:szCs w:val="24"/>
              </w:rPr>
            </w:pPr>
            <w:r w:rsidRPr="00692E23">
              <w:rPr>
                <w:rFonts w:ascii="Arial" w:hAnsi="Arial" w:cs="Arial"/>
                <w:sz w:val="24"/>
                <w:szCs w:val="24"/>
              </w:rPr>
              <w:t>[</w:t>
            </w:r>
            <w:r w:rsidR="00DA6BC5" w:rsidRPr="00692E23">
              <w:rPr>
                <w:rFonts w:ascii="Arial" w:hAnsi="Arial" w:cs="Arial"/>
                <w:sz w:val="24"/>
                <w:szCs w:val="24"/>
              </w:rPr>
              <w:t>6</w:t>
            </w:r>
            <w:r w:rsidRPr="00692E23">
              <w:rPr>
                <w:rFonts w:ascii="Arial" w:hAnsi="Arial" w:cs="Arial"/>
                <w:sz w:val="24"/>
                <w:szCs w:val="24"/>
              </w:rPr>
              <w:t>]</w:t>
            </w:r>
            <w:r w:rsidRPr="00692E23">
              <w:rPr>
                <w:rFonts w:ascii="Arial" w:hAnsi="Arial" w:cs="Arial"/>
                <w:sz w:val="24"/>
                <w:szCs w:val="24"/>
              </w:rPr>
              <w:tab/>
            </w:r>
            <w:r w:rsidR="00DA6BC5" w:rsidRPr="00692E23">
              <w:rPr>
                <w:rFonts w:ascii="Arial" w:hAnsi="Arial" w:cs="Arial"/>
                <w:sz w:val="24"/>
                <w:szCs w:val="24"/>
              </w:rPr>
              <w:t>From the above reply</w:t>
            </w:r>
            <w:r w:rsidR="00E0321F">
              <w:rPr>
                <w:rFonts w:ascii="Arial" w:hAnsi="Arial" w:cs="Arial"/>
                <w:sz w:val="24"/>
                <w:szCs w:val="24"/>
              </w:rPr>
              <w:t>,</w:t>
            </w:r>
            <w:r w:rsidR="00DA6BC5" w:rsidRPr="00692E23">
              <w:rPr>
                <w:rFonts w:ascii="Arial" w:hAnsi="Arial" w:cs="Arial"/>
                <w:sz w:val="24"/>
                <w:szCs w:val="24"/>
              </w:rPr>
              <w:t xml:space="preserve"> it appears that the Magistrate is </w:t>
            </w:r>
            <w:r w:rsidR="00692E23" w:rsidRPr="00692E23">
              <w:rPr>
                <w:rFonts w:ascii="Arial" w:hAnsi="Arial" w:cs="Arial"/>
                <w:sz w:val="24"/>
                <w:szCs w:val="24"/>
              </w:rPr>
              <w:t xml:space="preserve">mistakenly </w:t>
            </w:r>
            <w:r w:rsidR="00DA6BC5" w:rsidRPr="00692E23">
              <w:rPr>
                <w:rFonts w:ascii="Arial" w:hAnsi="Arial" w:cs="Arial"/>
                <w:sz w:val="24"/>
                <w:szCs w:val="24"/>
              </w:rPr>
              <w:t xml:space="preserve">of the opinion that </w:t>
            </w:r>
            <w:r w:rsidR="00692E23" w:rsidRPr="00692E23">
              <w:rPr>
                <w:rFonts w:ascii="Arial" w:hAnsi="Arial" w:cs="Arial"/>
                <w:sz w:val="24"/>
                <w:szCs w:val="24"/>
              </w:rPr>
              <w:t>the breath alcohol specimen need not be collected within a two hour period.  However, the provisions of s 82(6) of the Act provide that:</w:t>
            </w:r>
          </w:p>
          <w:p w14:paraId="09C965A4" w14:textId="77777777" w:rsidR="00692E23" w:rsidRPr="00692E23" w:rsidRDefault="00692E23" w:rsidP="00692E23">
            <w:pPr>
              <w:jc w:val="both"/>
              <w:rPr>
                <w:rFonts w:ascii="Arial" w:hAnsi="Arial" w:cs="Arial"/>
                <w:sz w:val="24"/>
                <w:szCs w:val="24"/>
              </w:rPr>
            </w:pPr>
          </w:p>
          <w:p w14:paraId="14370405" w14:textId="41CE43C4" w:rsidR="00692E23" w:rsidRPr="00692E23" w:rsidRDefault="00692E23" w:rsidP="00692E23">
            <w:pPr>
              <w:jc w:val="both"/>
              <w:rPr>
                <w:rFonts w:ascii="Arial" w:hAnsi="Arial" w:cs="Arial"/>
                <w:sz w:val="24"/>
                <w:szCs w:val="24"/>
              </w:rPr>
            </w:pPr>
            <w:r w:rsidRPr="00692E23">
              <w:rPr>
                <w:rFonts w:ascii="Arial" w:hAnsi="Arial" w:cs="Arial"/>
              </w:rPr>
              <w:t xml:space="preserve">           ‘If, in any prosecution for a contravention of subsection (5), it is proved that the concentration of alcohol in any </w:t>
            </w:r>
            <w:r w:rsidRPr="00692E23">
              <w:rPr>
                <w:rFonts w:ascii="Arial" w:hAnsi="Arial" w:cs="Arial"/>
                <w:u w:val="single"/>
              </w:rPr>
              <w:t>specimen of breath</w:t>
            </w:r>
            <w:r w:rsidRPr="00692E23">
              <w:rPr>
                <w:rFonts w:ascii="Arial" w:hAnsi="Arial" w:cs="Arial"/>
              </w:rPr>
              <w:t xml:space="preserve"> of the person concerned exceeded 0</w:t>
            </w:r>
            <w:proofErr w:type="gramStart"/>
            <w:r w:rsidRPr="00692E23">
              <w:rPr>
                <w:rFonts w:ascii="Arial" w:hAnsi="Arial" w:cs="Arial"/>
              </w:rPr>
              <w:t>,37</w:t>
            </w:r>
            <w:proofErr w:type="gramEnd"/>
            <w:r w:rsidRPr="00692E23">
              <w:rPr>
                <w:rFonts w:ascii="Arial" w:hAnsi="Arial" w:cs="Arial"/>
              </w:rPr>
              <w:t xml:space="preserve"> milligrams per 1 000 millilitres of breath taken at any time </w:t>
            </w:r>
            <w:r w:rsidRPr="00692E23">
              <w:rPr>
                <w:rFonts w:ascii="Arial" w:hAnsi="Arial" w:cs="Arial"/>
                <w:u w:val="single"/>
              </w:rPr>
              <w:t>within two hours after the alleged offence</w:t>
            </w:r>
            <w:r w:rsidRPr="00692E23">
              <w:rPr>
                <w:rFonts w:ascii="Arial" w:hAnsi="Arial" w:cs="Arial"/>
              </w:rPr>
              <w:t xml:space="preserve">, it shall be presumed, </w:t>
            </w:r>
            <w:r w:rsidRPr="00692E23">
              <w:rPr>
                <w:rFonts w:ascii="Arial" w:hAnsi="Arial" w:cs="Arial"/>
              </w:rPr>
              <w:lastRenderedPageBreak/>
              <w:t>in the absence of evidence to the contrary, that such concentration exceeded 0,37 milligrams per 1 000 millilitres at the time of the alleged offence.</w:t>
            </w:r>
            <w:r w:rsidRPr="00692E23">
              <w:rPr>
                <w:rFonts w:ascii="Arial" w:hAnsi="Arial" w:cs="Arial"/>
                <w:sz w:val="24"/>
                <w:szCs w:val="24"/>
              </w:rPr>
              <w:t>’ (Emphasis added)</w:t>
            </w:r>
          </w:p>
          <w:p w14:paraId="17DBACA3" w14:textId="77777777" w:rsidR="00167CEB" w:rsidRPr="00EC6543" w:rsidRDefault="00167CEB" w:rsidP="00C5119C">
            <w:pPr>
              <w:spacing w:line="240" w:lineRule="auto"/>
              <w:jc w:val="both"/>
              <w:rPr>
                <w:rFonts w:ascii="Arial" w:hAnsi="Arial" w:cs="Arial"/>
                <w:sz w:val="24"/>
                <w:szCs w:val="24"/>
              </w:rPr>
            </w:pPr>
          </w:p>
          <w:p w14:paraId="2569C3FF" w14:textId="180A9AA1" w:rsidR="00167CEB" w:rsidRPr="00EC6543" w:rsidRDefault="00C5119C" w:rsidP="004D6582">
            <w:pPr>
              <w:jc w:val="both"/>
              <w:rPr>
                <w:rFonts w:ascii="Arial" w:hAnsi="Arial" w:cs="Arial"/>
                <w:sz w:val="24"/>
                <w:szCs w:val="24"/>
              </w:rPr>
            </w:pPr>
            <w:r w:rsidRPr="00EC6543">
              <w:rPr>
                <w:rFonts w:ascii="Arial" w:hAnsi="Arial" w:cs="Arial"/>
                <w:sz w:val="24"/>
                <w:szCs w:val="24"/>
              </w:rPr>
              <w:t>[</w:t>
            </w:r>
            <w:r w:rsidR="00DA6BC5" w:rsidRPr="00EC6543">
              <w:rPr>
                <w:rFonts w:ascii="Arial" w:hAnsi="Arial" w:cs="Arial"/>
                <w:sz w:val="24"/>
                <w:szCs w:val="24"/>
              </w:rPr>
              <w:t>7</w:t>
            </w:r>
            <w:r w:rsidRPr="00EC6543">
              <w:rPr>
                <w:rFonts w:ascii="Arial" w:hAnsi="Arial" w:cs="Arial"/>
                <w:sz w:val="24"/>
                <w:szCs w:val="24"/>
              </w:rPr>
              <w:t>]</w:t>
            </w:r>
            <w:r w:rsidRPr="00EC6543">
              <w:rPr>
                <w:rFonts w:ascii="Arial" w:hAnsi="Arial" w:cs="Arial"/>
                <w:sz w:val="24"/>
                <w:szCs w:val="24"/>
              </w:rPr>
              <w:tab/>
            </w:r>
            <w:r w:rsidR="00EC6543" w:rsidRPr="00EC6543">
              <w:rPr>
                <w:rFonts w:ascii="Arial" w:hAnsi="Arial" w:cs="Arial"/>
                <w:sz w:val="24"/>
                <w:szCs w:val="24"/>
              </w:rPr>
              <w:t xml:space="preserve"> The court </w:t>
            </w:r>
            <w:r w:rsidR="00EC6543" w:rsidRPr="00E0321F">
              <w:rPr>
                <w:rFonts w:ascii="Arial" w:hAnsi="Arial" w:cs="Arial"/>
                <w:sz w:val="24"/>
                <w:szCs w:val="24"/>
              </w:rPr>
              <w:t>a quo</w:t>
            </w:r>
            <w:r w:rsidR="00EC6543" w:rsidRPr="00EC6543">
              <w:rPr>
                <w:rFonts w:ascii="Arial" w:hAnsi="Arial" w:cs="Arial"/>
                <w:sz w:val="24"/>
                <w:szCs w:val="24"/>
              </w:rPr>
              <w:t xml:space="preserve"> failed to ask the accused whether the breath specimen was taken within two hours after the incident, a</w:t>
            </w:r>
            <w:r w:rsidR="00EC6543">
              <w:rPr>
                <w:rFonts w:ascii="Arial" w:hAnsi="Arial" w:cs="Arial"/>
                <w:sz w:val="24"/>
                <w:szCs w:val="24"/>
              </w:rPr>
              <w:t>n essential</w:t>
            </w:r>
            <w:r w:rsidR="00EC6543" w:rsidRPr="00EC6543">
              <w:rPr>
                <w:rFonts w:ascii="Arial" w:hAnsi="Arial" w:cs="Arial"/>
                <w:sz w:val="24"/>
                <w:szCs w:val="24"/>
              </w:rPr>
              <w:t xml:space="preserve"> element which, by its omission, clearly taints the conviction. </w:t>
            </w:r>
            <w:r w:rsidR="00EC6543">
              <w:rPr>
                <w:rFonts w:ascii="Arial" w:hAnsi="Arial" w:cs="Arial"/>
                <w:sz w:val="24"/>
                <w:szCs w:val="24"/>
              </w:rPr>
              <w:t xml:space="preserve">Considering that all the elements of count 2 were not admitted, the conviction and sentence cannot stand. </w:t>
            </w:r>
            <w:r w:rsidR="00167CEB" w:rsidRPr="00EC6543">
              <w:rPr>
                <w:rFonts w:ascii="Arial" w:hAnsi="Arial" w:cs="Arial"/>
                <w:sz w:val="24"/>
                <w:szCs w:val="24"/>
              </w:rPr>
              <w:t xml:space="preserve"> </w:t>
            </w:r>
          </w:p>
          <w:p w14:paraId="65766E32" w14:textId="77777777" w:rsidR="00EC6543" w:rsidRDefault="00EC6543" w:rsidP="004D6582">
            <w:pPr>
              <w:jc w:val="both"/>
              <w:rPr>
                <w:rFonts w:ascii="Arial" w:hAnsi="Arial" w:cs="Arial"/>
                <w:sz w:val="24"/>
                <w:szCs w:val="24"/>
              </w:rPr>
            </w:pPr>
          </w:p>
          <w:p w14:paraId="7E27BD60" w14:textId="69DADC24" w:rsidR="00167CEB" w:rsidRPr="00692E23" w:rsidRDefault="00167CEB" w:rsidP="004D6582">
            <w:pPr>
              <w:jc w:val="both"/>
              <w:rPr>
                <w:rFonts w:ascii="Arial" w:hAnsi="Arial" w:cs="Arial"/>
                <w:sz w:val="24"/>
                <w:szCs w:val="24"/>
              </w:rPr>
            </w:pPr>
            <w:r w:rsidRPr="00692E23">
              <w:rPr>
                <w:rFonts w:ascii="Arial" w:hAnsi="Arial" w:cs="Arial"/>
                <w:sz w:val="24"/>
                <w:szCs w:val="24"/>
              </w:rPr>
              <w:t>[</w:t>
            </w:r>
            <w:r w:rsidR="00DA6BC5" w:rsidRPr="00692E23">
              <w:rPr>
                <w:rFonts w:ascii="Arial" w:hAnsi="Arial" w:cs="Arial"/>
                <w:sz w:val="24"/>
                <w:szCs w:val="24"/>
              </w:rPr>
              <w:t>8</w:t>
            </w:r>
            <w:r w:rsidR="00C5119C" w:rsidRPr="00692E23">
              <w:rPr>
                <w:rFonts w:ascii="Arial" w:hAnsi="Arial" w:cs="Arial"/>
                <w:sz w:val="24"/>
                <w:szCs w:val="24"/>
              </w:rPr>
              <w:t>]</w:t>
            </w:r>
            <w:r w:rsidR="00C5119C" w:rsidRPr="00692E23">
              <w:rPr>
                <w:rFonts w:ascii="Arial" w:hAnsi="Arial" w:cs="Arial"/>
                <w:sz w:val="24"/>
                <w:szCs w:val="24"/>
              </w:rPr>
              <w:tab/>
            </w:r>
            <w:r w:rsidRPr="00692E23">
              <w:rPr>
                <w:rFonts w:ascii="Arial" w:hAnsi="Arial" w:cs="Arial"/>
                <w:sz w:val="24"/>
                <w:szCs w:val="24"/>
              </w:rPr>
              <w:t>In the result</w:t>
            </w:r>
            <w:r w:rsidR="00E0321F">
              <w:rPr>
                <w:rFonts w:ascii="Arial" w:hAnsi="Arial" w:cs="Arial"/>
                <w:sz w:val="24"/>
                <w:szCs w:val="24"/>
              </w:rPr>
              <w:t>,</w:t>
            </w:r>
            <w:r w:rsidRPr="00692E23">
              <w:rPr>
                <w:rFonts w:ascii="Arial" w:hAnsi="Arial" w:cs="Arial"/>
                <w:sz w:val="24"/>
                <w:szCs w:val="24"/>
              </w:rPr>
              <w:t xml:space="preserve"> the following orders are made:</w:t>
            </w:r>
          </w:p>
          <w:p w14:paraId="31614C0A" w14:textId="77777777" w:rsidR="00EC6543" w:rsidRPr="00EC6543" w:rsidRDefault="00EC6543" w:rsidP="00EC6543">
            <w:pPr>
              <w:pStyle w:val="ListParagraph"/>
              <w:numPr>
                <w:ilvl w:val="0"/>
                <w:numId w:val="44"/>
              </w:numPr>
              <w:spacing w:before="240"/>
              <w:jc w:val="both"/>
              <w:rPr>
                <w:color w:val="000000"/>
                <w:sz w:val="24"/>
                <w:szCs w:val="24"/>
              </w:rPr>
            </w:pPr>
            <w:r w:rsidRPr="00EC6543">
              <w:rPr>
                <w:color w:val="000000"/>
                <w:sz w:val="24"/>
                <w:szCs w:val="24"/>
              </w:rPr>
              <w:t>The conviction and sentence in respect of counts 1 and 3 are confirmed.</w:t>
            </w:r>
          </w:p>
          <w:p w14:paraId="7CAEDF37" w14:textId="77777777" w:rsidR="00EC6543" w:rsidRPr="00EC6543" w:rsidRDefault="00EC6543" w:rsidP="00EC6543">
            <w:pPr>
              <w:pStyle w:val="ListParagraph"/>
              <w:numPr>
                <w:ilvl w:val="0"/>
                <w:numId w:val="44"/>
              </w:numPr>
              <w:spacing w:before="240"/>
              <w:jc w:val="both"/>
              <w:rPr>
                <w:color w:val="000000"/>
                <w:sz w:val="24"/>
                <w:szCs w:val="24"/>
              </w:rPr>
            </w:pPr>
            <w:r w:rsidRPr="00EC6543">
              <w:rPr>
                <w:color w:val="000000"/>
                <w:sz w:val="24"/>
                <w:szCs w:val="24"/>
              </w:rPr>
              <w:t>The conviction and sentence in respect of count 2 are set aside.</w:t>
            </w:r>
          </w:p>
          <w:p w14:paraId="6A6E78A6" w14:textId="47821BEF" w:rsidR="00167CEB" w:rsidRPr="00EC6543" w:rsidRDefault="00EC6543" w:rsidP="00EC6543">
            <w:pPr>
              <w:pStyle w:val="ListParagraph"/>
              <w:numPr>
                <w:ilvl w:val="0"/>
                <w:numId w:val="44"/>
              </w:numPr>
              <w:spacing w:before="240"/>
              <w:jc w:val="both"/>
              <w:rPr>
                <w:color w:val="000000"/>
                <w:sz w:val="24"/>
                <w:szCs w:val="24"/>
              </w:rPr>
            </w:pPr>
            <w:r w:rsidRPr="00EC6543">
              <w:rPr>
                <w:color w:val="000000"/>
                <w:sz w:val="24"/>
                <w:szCs w:val="24"/>
              </w:rPr>
              <w:t>The matter is remitted to the court a quo in terms of s 312 of the Criminal Procedure Act 51 of 1977 with the direction to question the accused in respect of count 2 in terms of s 112(1</w:t>
            </w:r>
            <w:proofErr w:type="gramStart"/>
            <w:r w:rsidRPr="00EC6543">
              <w:rPr>
                <w:color w:val="000000"/>
                <w:sz w:val="24"/>
                <w:szCs w:val="24"/>
              </w:rPr>
              <w:t>)(</w:t>
            </w:r>
            <w:proofErr w:type="gramEnd"/>
            <w:r w:rsidRPr="00EC6543">
              <w:rPr>
                <w:i/>
                <w:color w:val="000000"/>
                <w:sz w:val="24"/>
                <w:szCs w:val="24"/>
              </w:rPr>
              <w:t>b</w:t>
            </w:r>
            <w:r w:rsidRPr="00EC6543">
              <w:rPr>
                <w:color w:val="000000"/>
                <w:sz w:val="24"/>
                <w:szCs w:val="24"/>
              </w:rPr>
              <w:t>) and to bring proceedings to its natural conclusion.</w:t>
            </w:r>
          </w:p>
          <w:p w14:paraId="2B17724A" w14:textId="77777777" w:rsidR="00167CEB" w:rsidRPr="00692E23" w:rsidRDefault="00167CEB" w:rsidP="004D6582">
            <w:pPr>
              <w:pStyle w:val="NoSpacing"/>
              <w:spacing w:line="360" w:lineRule="auto"/>
            </w:pPr>
          </w:p>
        </w:tc>
      </w:tr>
      <w:tr w:rsidR="00167CEB" w:rsidRPr="0087185D" w14:paraId="1B142B35" w14:textId="77777777" w:rsidTr="004D6582">
        <w:trPr>
          <w:trHeight w:val="306"/>
        </w:trPr>
        <w:tc>
          <w:tcPr>
            <w:tcW w:w="4770" w:type="dxa"/>
            <w:tcBorders>
              <w:top w:val="single" w:sz="4" w:space="0" w:color="auto"/>
              <w:left w:val="single" w:sz="4" w:space="0" w:color="auto"/>
              <w:bottom w:val="single" w:sz="4" w:space="0" w:color="auto"/>
              <w:right w:val="single" w:sz="4" w:space="0" w:color="auto"/>
            </w:tcBorders>
          </w:tcPr>
          <w:p w14:paraId="3163D005" w14:textId="77777777" w:rsidR="00167CEB" w:rsidRPr="00692E23" w:rsidRDefault="00167CEB" w:rsidP="004D6582">
            <w:pPr>
              <w:jc w:val="both"/>
              <w:rPr>
                <w:rFonts w:ascii="Arial" w:hAnsi="Arial" w:cs="Arial"/>
                <w:b/>
                <w:sz w:val="24"/>
                <w:szCs w:val="24"/>
              </w:rPr>
            </w:pPr>
            <w:r w:rsidRPr="00692E23">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5D30254F" w14:textId="77777777" w:rsidR="00167CEB" w:rsidRPr="00692E23" w:rsidRDefault="00167CEB" w:rsidP="004D6582">
            <w:pPr>
              <w:jc w:val="both"/>
              <w:rPr>
                <w:rFonts w:ascii="Arial" w:hAnsi="Arial" w:cs="Arial"/>
                <w:b/>
                <w:sz w:val="24"/>
                <w:szCs w:val="24"/>
              </w:rPr>
            </w:pPr>
            <w:r w:rsidRPr="00692E23">
              <w:rPr>
                <w:rFonts w:ascii="Arial" w:hAnsi="Arial" w:cs="Arial"/>
                <w:b/>
                <w:sz w:val="24"/>
                <w:szCs w:val="24"/>
              </w:rPr>
              <w:t>Comments:</w:t>
            </w:r>
            <w:r w:rsidRPr="00692E23">
              <w:rPr>
                <w:rFonts w:ascii="Arial" w:hAnsi="Arial" w:cs="Arial"/>
                <w:sz w:val="24"/>
                <w:szCs w:val="24"/>
              </w:rPr>
              <w:t xml:space="preserve">  </w:t>
            </w:r>
          </w:p>
        </w:tc>
      </w:tr>
      <w:tr w:rsidR="00167CEB" w:rsidRPr="0087185D" w14:paraId="6580E479" w14:textId="77777777" w:rsidTr="004D6582">
        <w:trPr>
          <w:trHeight w:val="602"/>
        </w:trPr>
        <w:tc>
          <w:tcPr>
            <w:tcW w:w="4770" w:type="dxa"/>
            <w:tcBorders>
              <w:top w:val="single" w:sz="4" w:space="0" w:color="auto"/>
              <w:left w:val="single" w:sz="4" w:space="0" w:color="auto"/>
              <w:bottom w:val="single" w:sz="4" w:space="0" w:color="auto"/>
              <w:right w:val="single" w:sz="4" w:space="0" w:color="auto"/>
            </w:tcBorders>
            <w:hideMark/>
          </w:tcPr>
          <w:p w14:paraId="6FCA4C1E" w14:textId="77777777" w:rsidR="00167CEB" w:rsidRPr="00692E23" w:rsidRDefault="00167CEB" w:rsidP="004D6582">
            <w:pPr>
              <w:jc w:val="both"/>
              <w:rPr>
                <w:rFonts w:ascii="Arial" w:hAnsi="Arial" w:cs="Arial"/>
                <w:sz w:val="24"/>
                <w:szCs w:val="24"/>
              </w:rPr>
            </w:pPr>
            <w:r w:rsidRPr="00692E23">
              <w:rPr>
                <w:rFonts w:ascii="Arial" w:hAnsi="Arial" w:cs="Arial"/>
                <w:sz w:val="24"/>
                <w:szCs w:val="24"/>
              </w:rPr>
              <w:t>KESSLAU J:</w:t>
            </w:r>
          </w:p>
          <w:p w14:paraId="3ED7201F" w14:textId="77777777" w:rsidR="00167CEB" w:rsidRPr="00692E23" w:rsidRDefault="00167CEB" w:rsidP="004D6582">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5DF81D9A" w14:textId="77777777" w:rsidR="00167CEB" w:rsidRPr="00692E23" w:rsidRDefault="00167CEB" w:rsidP="004D6582">
            <w:pPr>
              <w:jc w:val="both"/>
              <w:rPr>
                <w:rFonts w:ascii="Arial" w:hAnsi="Arial" w:cs="Arial"/>
                <w:sz w:val="24"/>
                <w:szCs w:val="24"/>
              </w:rPr>
            </w:pPr>
            <w:r w:rsidRPr="00692E23">
              <w:rPr>
                <w:rFonts w:ascii="Arial" w:hAnsi="Arial" w:cs="Arial"/>
                <w:sz w:val="24"/>
                <w:szCs w:val="24"/>
              </w:rPr>
              <w:t>None</w:t>
            </w:r>
          </w:p>
          <w:p w14:paraId="12947CB5" w14:textId="77777777" w:rsidR="00167CEB" w:rsidRPr="00692E23" w:rsidRDefault="00167CEB" w:rsidP="004D6582">
            <w:pPr>
              <w:jc w:val="both"/>
              <w:rPr>
                <w:rFonts w:ascii="Arial" w:hAnsi="Arial" w:cs="Arial"/>
                <w:b/>
                <w:sz w:val="24"/>
                <w:szCs w:val="24"/>
              </w:rPr>
            </w:pPr>
          </w:p>
        </w:tc>
      </w:tr>
      <w:tr w:rsidR="00167CEB" w:rsidRPr="0087185D" w14:paraId="35362EB2" w14:textId="77777777" w:rsidTr="004D6582">
        <w:trPr>
          <w:trHeight w:val="602"/>
        </w:trPr>
        <w:tc>
          <w:tcPr>
            <w:tcW w:w="4770" w:type="dxa"/>
            <w:tcBorders>
              <w:top w:val="single" w:sz="4" w:space="0" w:color="auto"/>
              <w:left w:val="single" w:sz="4" w:space="0" w:color="auto"/>
              <w:bottom w:val="single" w:sz="4" w:space="0" w:color="auto"/>
              <w:right w:val="single" w:sz="4" w:space="0" w:color="auto"/>
            </w:tcBorders>
          </w:tcPr>
          <w:p w14:paraId="1CC9E30E" w14:textId="77777777" w:rsidR="00167CEB" w:rsidRPr="00692E23" w:rsidRDefault="00167CEB" w:rsidP="004D6582">
            <w:pPr>
              <w:jc w:val="both"/>
              <w:rPr>
                <w:rFonts w:ascii="Arial" w:hAnsi="Arial" w:cs="Arial"/>
                <w:sz w:val="24"/>
                <w:szCs w:val="24"/>
              </w:rPr>
            </w:pPr>
            <w:r w:rsidRPr="00692E23">
              <w:rPr>
                <w:rFonts w:ascii="Arial" w:hAnsi="Arial" w:cs="Arial"/>
                <w:sz w:val="24"/>
                <w:szCs w:val="24"/>
              </w:rPr>
              <w:t xml:space="preserve">SALIONGA J: </w:t>
            </w:r>
          </w:p>
          <w:p w14:paraId="0818558C" w14:textId="77777777" w:rsidR="00167CEB" w:rsidRPr="00692E23" w:rsidRDefault="00167CEB" w:rsidP="004D6582">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28969DF3" w14:textId="77777777" w:rsidR="00167CEB" w:rsidRPr="00692E23" w:rsidRDefault="00167CEB" w:rsidP="004D6582">
            <w:pPr>
              <w:jc w:val="both"/>
              <w:rPr>
                <w:rFonts w:ascii="Arial" w:hAnsi="Arial" w:cs="Arial"/>
                <w:sz w:val="24"/>
                <w:szCs w:val="24"/>
              </w:rPr>
            </w:pPr>
            <w:r w:rsidRPr="00692E23">
              <w:rPr>
                <w:rFonts w:ascii="Arial" w:hAnsi="Arial" w:cs="Arial"/>
                <w:sz w:val="24"/>
                <w:szCs w:val="24"/>
              </w:rPr>
              <w:t>None</w:t>
            </w:r>
          </w:p>
        </w:tc>
      </w:tr>
    </w:tbl>
    <w:p w14:paraId="5CF354DF" w14:textId="77777777" w:rsidR="00167CEB" w:rsidRDefault="00167CEB" w:rsidP="00F26B97">
      <w:pPr>
        <w:spacing w:after="200"/>
        <w:jc w:val="center"/>
        <w:rPr>
          <w:rFonts w:ascii="Arial" w:hAnsi="Arial" w:cs="Arial"/>
          <w:b/>
          <w:sz w:val="24"/>
          <w:szCs w:val="24"/>
        </w:rPr>
      </w:pPr>
    </w:p>
    <w:p w14:paraId="4846084F" w14:textId="77777777" w:rsidR="00167CEB" w:rsidRPr="00FA2BFF" w:rsidRDefault="00167CEB" w:rsidP="00F26B97">
      <w:pPr>
        <w:spacing w:after="200"/>
        <w:jc w:val="center"/>
        <w:rPr>
          <w:rFonts w:ascii="Arial" w:hAnsi="Arial" w:cs="Arial"/>
          <w:b/>
          <w:sz w:val="24"/>
          <w:szCs w:val="24"/>
        </w:rPr>
      </w:pPr>
    </w:p>
    <w:p w14:paraId="0E181046" w14:textId="77777777" w:rsidR="00876019" w:rsidRPr="0087185D" w:rsidRDefault="00876019" w:rsidP="00075C5F"/>
    <w:sectPr w:rsidR="00876019" w:rsidRPr="0087185D" w:rsidSect="00C5119C">
      <w:headerReference w:type="default" r:id="rId9"/>
      <w:pgSz w:w="11906" w:h="16838"/>
      <w:pgMar w:top="126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8640" w14:textId="77777777" w:rsidR="008A6D53" w:rsidRDefault="008A6D53" w:rsidP="00876019">
      <w:pPr>
        <w:spacing w:line="240" w:lineRule="auto"/>
      </w:pPr>
      <w:r>
        <w:separator/>
      </w:r>
    </w:p>
  </w:endnote>
  <w:endnote w:type="continuationSeparator" w:id="0">
    <w:p w14:paraId="0C9EBBCC" w14:textId="77777777" w:rsidR="008A6D53" w:rsidRDefault="008A6D53" w:rsidP="0087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74D20" w14:textId="77777777" w:rsidR="008A6D53" w:rsidRDefault="008A6D53" w:rsidP="00876019">
      <w:pPr>
        <w:spacing w:line="240" w:lineRule="auto"/>
      </w:pPr>
      <w:r>
        <w:separator/>
      </w:r>
    </w:p>
  </w:footnote>
  <w:footnote w:type="continuationSeparator" w:id="0">
    <w:p w14:paraId="37B99086" w14:textId="77777777" w:rsidR="008A6D53" w:rsidRDefault="008A6D53" w:rsidP="008760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06009"/>
      <w:docPartObj>
        <w:docPartGallery w:val="Page Numbers (Top of Page)"/>
        <w:docPartUnique/>
      </w:docPartObj>
    </w:sdtPr>
    <w:sdtEndPr>
      <w:rPr>
        <w:rFonts w:ascii="Arial" w:hAnsi="Arial" w:cs="Arial"/>
        <w:noProof/>
        <w:sz w:val="24"/>
        <w:szCs w:val="24"/>
      </w:rPr>
    </w:sdtEndPr>
    <w:sdtContent>
      <w:p w14:paraId="11DE8777" w14:textId="06E0E34B" w:rsidR="006D09FF" w:rsidRPr="00C5119C" w:rsidRDefault="006D09FF">
        <w:pPr>
          <w:pStyle w:val="Header"/>
          <w:jc w:val="right"/>
          <w:rPr>
            <w:rFonts w:ascii="Arial" w:hAnsi="Arial" w:cs="Arial"/>
            <w:sz w:val="24"/>
            <w:szCs w:val="24"/>
          </w:rPr>
        </w:pPr>
        <w:r w:rsidRPr="00C5119C">
          <w:rPr>
            <w:rFonts w:ascii="Arial" w:hAnsi="Arial" w:cs="Arial"/>
            <w:sz w:val="24"/>
            <w:szCs w:val="24"/>
          </w:rPr>
          <w:fldChar w:fldCharType="begin"/>
        </w:r>
        <w:r w:rsidRPr="00C5119C">
          <w:rPr>
            <w:rFonts w:ascii="Arial" w:hAnsi="Arial" w:cs="Arial"/>
            <w:sz w:val="24"/>
            <w:szCs w:val="24"/>
          </w:rPr>
          <w:instrText xml:space="preserve"> PAGE   \* MERGEFORMAT </w:instrText>
        </w:r>
        <w:r w:rsidRPr="00C5119C">
          <w:rPr>
            <w:rFonts w:ascii="Arial" w:hAnsi="Arial" w:cs="Arial"/>
            <w:sz w:val="24"/>
            <w:szCs w:val="24"/>
          </w:rPr>
          <w:fldChar w:fldCharType="separate"/>
        </w:r>
        <w:r w:rsidR="0028606E">
          <w:rPr>
            <w:rFonts w:ascii="Arial" w:hAnsi="Arial" w:cs="Arial"/>
            <w:noProof/>
            <w:sz w:val="24"/>
            <w:szCs w:val="24"/>
          </w:rPr>
          <w:t>2</w:t>
        </w:r>
        <w:r w:rsidRPr="00C5119C">
          <w:rPr>
            <w:rFonts w:ascii="Arial" w:hAnsi="Arial" w:cs="Arial"/>
            <w:noProof/>
            <w:sz w:val="24"/>
            <w:szCs w:val="24"/>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9D0BE7"/>
    <w:multiLevelType w:val="hybridMultilevel"/>
    <w:tmpl w:val="34D4009A"/>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A30775"/>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7">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294D353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A6E42F9"/>
    <w:multiLevelType w:val="hybridMultilevel"/>
    <w:tmpl w:val="42B2FDCE"/>
    <w:lvl w:ilvl="0" w:tplc="77EAB2CC">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293" w:hanging="360"/>
      </w:pPr>
    </w:lvl>
    <w:lvl w:ilvl="2" w:tplc="1C09001B">
      <w:start w:val="1"/>
      <w:numFmt w:val="lowerRoman"/>
      <w:lvlText w:val="%3."/>
      <w:lvlJc w:val="right"/>
      <w:pPr>
        <w:ind w:left="2013" w:hanging="180"/>
      </w:pPr>
    </w:lvl>
    <w:lvl w:ilvl="3" w:tplc="1C09000F">
      <w:start w:val="1"/>
      <w:numFmt w:val="decimal"/>
      <w:lvlText w:val="%4."/>
      <w:lvlJc w:val="left"/>
      <w:pPr>
        <w:ind w:left="2733" w:hanging="360"/>
      </w:pPr>
    </w:lvl>
    <w:lvl w:ilvl="4" w:tplc="1C090019">
      <w:start w:val="1"/>
      <w:numFmt w:val="lowerLetter"/>
      <w:lvlText w:val="%5."/>
      <w:lvlJc w:val="left"/>
      <w:pPr>
        <w:ind w:left="3453" w:hanging="360"/>
      </w:pPr>
    </w:lvl>
    <w:lvl w:ilvl="5" w:tplc="1C09001B">
      <w:start w:val="1"/>
      <w:numFmt w:val="lowerRoman"/>
      <w:lvlText w:val="%6."/>
      <w:lvlJc w:val="right"/>
      <w:pPr>
        <w:ind w:left="4173" w:hanging="180"/>
      </w:pPr>
    </w:lvl>
    <w:lvl w:ilvl="6" w:tplc="1C09000F">
      <w:start w:val="1"/>
      <w:numFmt w:val="decimal"/>
      <w:lvlText w:val="%7."/>
      <w:lvlJc w:val="left"/>
      <w:pPr>
        <w:ind w:left="4893" w:hanging="360"/>
      </w:pPr>
    </w:lvl>
    <w:lvl w:ilvl="7" w:tplc="1C090019">
      <w:start w:val="1"/>
      <w:numFmt w:val="lowerLetter"/>
      <w:lvlText w:val="%8."/>
      <w:lvlJc w:val="left"/>
      <w:pPr>
        <w:ind w:left="5613" w:hanging="360"/>
      </w:pPr>
    </w:lvl>
    <w:lvl w:ilvl="8" w:tplc="1C09001B">
      <w:start w:val="1"/>
      <w:numFmt w:val="lowerRoman"/>
      <w:lvlText w:val="%9."/>
      <w:lvlJc w:val="right"/>
      <w:pPr>
        <w:ind w:left="6333" w:hanging="180"/>
      </w:pPr>
    </w:lvl>
  </w:abstractNum>
  <w:abstractNum w:abstractNumId="21">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2">
    <w:nsid w:val="3C612425"/>
    <w:multiLevelType w:val="hybridMultilevel"/>
    <w:tmpl w:val="D3D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800663B"/>
    <w:multiLevelType w:val="hybridMultilevel"/>
    <w:tmpl w:val="57B0854A"/>
    <w:lvl w:ilvl="0" w:tplc="F940A308">
      <w:start w:val="3"/>
      <w:numFmt w:val="decimal"/>
      <w:lvlText w:val="%1."/>
      <w:lvlJc w:val="left"/>
      <w:pPr>
        <w:ind w:left="8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2357274"/>
    <w:multiLevelType w:val="hybridMultilevel"/>
    <w:tmpl w:val="9DFE89B2"/>
    <w:lvl w:ilvl="0" w:tplc="1D1AF5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FA01DB7"/>
    <w:multiLevelType w:val="hybridMultilevel"/>
    <w:tmpl w:val="0E4CB800"/>
    <w:lvl w:ilvl="0" w:tplc="F940A308">
      <w:start w:val="2"/>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7">
    <w:nsid w:val="71AA49F6"/>
    <w:multiLevelType w:val="hybridMultilevel"/>
    <w:tmpl w:val="4C2807D8"/>
    <w:lvl w:ilvl="0" w:tplc="34DC3C3C">
      <w:start w:val="1"/>
      <w:numFmt w:val="decimal"/>
      <w:lvlText w:val="%1."/>
      <w:lvlJc w:val="left"/>
      <w:pPr>
        <w:ind w:left="830" w:hanging="4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1"/>
  </w:num>
  <w:num w:numId="6">
    <w:abstractNumId w:val="15"/>
  </w:num>
  <w:num w:numId="7">
    <w:abstractNumId w:val="2"/>
  </w:num>
  <w:num w:numId="8">
    <w:abstractNumId w:val="11"/>
  </w:num>
  <w:num w:numId="9">
    <w:abstractNumId w:val="8"/>
  </w:num>
  <w:num w:numId="10">
    <w:abstractNumId w:val="28"/>
  </w:num>
  <w:num w:numId="11">
    <w:abstractNumId w:val="42"/>
  </w:num>
  <w:num w:numId="12">
    <w:abstractNumId w:val="40"/>
  </w:num>
  <w:num w:numId="13">
    <w:abstractNumId w:val="35"/>
  </w:num>
  <w:num w:numId="14">
    <w:abstractNumId w:val="10"/>
  </w:num>
  <w:num w:numId="15">
    <w:abstractNumId w:val="19"/>
  </w:num>
  <w:num w:numId="16">
    <w:abstractNumId w:val="23"/>
  </w:num>
  <w:num w:numId="17">
    <w:abstractNumId w:val="4"/>
  </w:num>
  <w:num w:numId="18">
    <w:abstractNumId w:val="7"/>
  </w:num>
  <w:num w:numId="19">
    <w:abstractNumId w:val="17"/>
  </w:num>
  <w:num w:numId="20">
    <w:abstractNumId w:val="34"/>
  </w:num>
  <w:num w:numId="21">
    <w:abstractNumId w:val="27"/>
  </w:num>
  <w:num w:numId="22">
    <w:abstractNumId w:val="21"/>
  </w:num>
  <w:num w:numId="23">
    <w:abstractNumId w:val="32"/>
  </w:num>
  <w:num w:numId="24">
    <w:abstractNumId w:val="1"/>
  </w:num>
  <w:num w:numId="25">
    <w:abstractNumId w:val="33"/>
  </w:num>
  <w:num w:numId="26">
    <w:abstractNumId w:val="0"/>
  </w:num>
  <w:num w:numId="27">
    <w:abstractNumId w:val="41"/>
  </w:num>
  <w:num w:numId="28">
    <w:abstractNumId w:val="9"/>
  </w:num>
  <w:num w:numId="29">
    <w:abstractNumId w:val="6"/>
  </w:num>
  <w:num w:numId="30">
    <w:abstractNumId w:val="25"/>
  </w:num>
  <w:num w:numId="31">
    <w:abstractNumId w:val="38"/>
  </w:num>
  <w:num w:numId="32">
    <w:abstractNumId w:val="29"/>
  </w:num>
  <w:num w:numId="33">
    <w:abstractNumId w:val="3"/>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9"/>
  </w:num>
  <w:num w:numId="37">
    <w:abstractNumId w:val="20"/>
  </w:num>
  <w:num w:numId="38">
    <w:abstractNumId w:val="30"/>
  </w:num>
  <w:num w:numId="39">
    <w:abstractNumId w:val="12"/>
  </w:num>
  <w:num w:numId="40">
    <w:abstractNumId w:val="14"/>
  </w:num>
  <w:num w:numId="41">
    <w:abstractNumId w:val="36"/>
  </w:num>
  <w:num w:numId="42">
    <w:abstractNumId w:val="26"/>
  </w:num>
  <w:num w:numId="43">
    <w:abstractNumId w:val="37"/>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23D3"/>
    <w:rsid w:val="00005FCD"/>
    <w:rsid w:val="00007F50"/>
    <w:rsid w:val="000319DA"/>
    <w:rsid w:val="0003455F"/>
    <w:rsid w:val="0003623D"/>
    <w:rsid w:val="00042FA1"/>
    <w:rsid w:val="000441B7"/>
    <w:rsid w:val="00050D5A"/>
    <w:rsid w:val="00051326"/>
    <w:rsid w:val="000546D4"/>
    <w:rsid w:val="00055B59"/>
    <w:rsid w:val="00061DC1"/>
    <w:rsid w:val="000662E4"/>
    <w:rsid w:val="0007338E"/>
    <w:rsid w:val="00075C5F"/>
    <w:rsid w:val="0008318E"/>
    <w:rsid w:val="00084106"/>
    <w:rsid w:val="00085DD1"/>
    <w:rsid w:val="000875CC"/>
    <w:rsid w:val="00092F94"/>
    <w:rsid w:val="00093637"/>
    <w:rsid w:val="000966CD"/>
    <w:rsid w:val="000A0C52"/>
    <w:rsid w:val="000A0FB1"/>
    <w:rsid w:val="000A6FBE"/>
    <w:rsid w:val="000B3B3F"/>
    <w:rsid w:val="000C7DA6"/>
    <w:rsid w:val="000D1F2A"/>
    <w:rsid w:val="000D1F51"/>
    <w:rsid w:val="000E4249"/>
    <w:rsid w:val="000E433C"/>
    <w:rsid w:val="000E50E5"/>
    <w:rsid w:val="000E7ABD"/>
    <w:rsid w:val="000F16F0"/>
    <w:rsid w:val="000F17B0"/>
    <w:rsid w:val="000F3FC2"/>
    <w:rsid w:val="000F50AD"/>
    <w:rsid w:val="000F697C"/>
    <w:rsid w:val="00100402"/>
    <w:rsid w:val="00101198"/>
    <w:rsid w:val="00101984"/>
    <w:rsid w:val="00102576"/>
    <w:rsid w:val="0010569A"/>
    <w:rsid w:val="0010717A"/>
    <w:rsid w:val="00107B33"/>
    <w:rsid w:val="001176A1"/>
    <w:rsid w:val="0012390C"/>
    <w:rsid w:val="00123E8B"/>
    <w:rsid w:val="00126937"/>
    <w:rsid w:val="0015187E"/>
    <w:rsid w:val="00153E65"/>
    <w:rsid w:val="001634D4"/>
    <w:rsid w:val="00167CEB"/>
    <w:rsid w:val="00173490"/>
    <w:rsid w:val="00180CD5"/>
    <w:rsid w:val="00184049"/>
    <w:rsid w:val="00196CE0"/>
    <w:rsid w:val="001A1035"/>
    <w:rsid w:val="001A2FF7"/>
    <w:rsid w:val="001A5A28"/>
    <w:rsid w:val="001A6E95"/>
    <w:rsid w:val="001B5D99"/>
    <w:rsid w:val="001B7405"/>
    <w:rsid w:val="001C4126"/>
    <w:rsid w:val="001C74D7"/>
    <w:rsid w:val="001D2DB9"/>
    <w:rsid w:val="001D44D5"/>
    <w:rsid w:val="001D60FB"/>
    <w:rsid w:val="001E2262"/>
    <w:rsid w:val="001E4348"/>
    <w:rsid w:val="001E64D0"/>
    <w:rsid w:val="001E7A41"/>
    <w:rsid w:val="001F3AE3"/>
    <w:rsid w:val="001F6BD0"/>
    <w:rsid w:val="0020451B"/>
    <w:rsid w:val="002045FA"/>
    <w:rsid w:val="002108CF"/>
    <w:rsid w:val="00212D99"/>
    <w:rsid w:val="002171BD"/>
    <w:rsid w:val="00221E6B"/>
    <w:rsid w:val="00222B82"/>
    <w:rsid w:val="00233447"/>
    <w:rsid w:val="00242F84"/>
    <w:rsid w:val="00244C22"/>
    <w:rsid w:val="00246195"/>
    <w:rsid w:val="0024682C"/>
    <w:rsid w:val="00254F50"/>
    <w:rsid w:val="0027137B"/>
    <w:rsid w:val="002724A4"/>
    <w:rsid w:val="002732A3"/>
    <w:rsid w:val="00274978"/>
    <w:rsid w:val="0027555E"/>
    <w:rsid w:val="00275979"/>
    <w:rsid w:val="00275B6C"/>
    <w:rsid w:val="00277042"/>
    <w:rsid w:val="0028606E"/>
    <w:rsid w:val="002900F7"/>
    <w:rsid w:val="002A0F53"/>
    <w:rsid w:val="002B086C"/>
    <w:rsid w:val="002B0F0A"/>
    <w:rsid w:val="002D187D"/>
    <w:rsid w:val="002D2A94"/>
    <w:rsid w:val="002D32B8"/>
    <w:rsid w:val="002D5B60"/>
    <w:rsid w:val="002D675B"/>
    <w:rsid w:val="002D6E8E"/>
    <w:rsid w:val="002E0203"/>
    <w:rsid w:val="002E4FDC"/>
    <w:rsid w:val="002E5C54"/>
    <w:rsid w:val="002E5FC5"/>
    <w:rsid w:val="002F091E"/>
    <w:rsid w:val="002F3921"/>
    <w:rsid w:val="00326F81"/>
    <w:rsid w:val="00332203"/>
    <w:rsid w:val="00333F97"/>
    <w:rsid w:val="00337804"/>
    <w:rsid w:val="003411DF"/>
    <w:rsid w:val="00341751"/>
    <w:rsid w:val="00346761"/>
    <w:rsid w:val="0035126E"/>
    <w:rsid w:val="00355CDB"/>
    <w:rsid w:val="00357A07"/>
    <w:rsid w:val="00364EB4"/>
    <w:rsid w:val="003665FC"/>
    <w:rsid w:val="00376644"/>
    <w:rsid w:val="00380C6B"/>
    <w:rsid w:val="00381227"/>
    <w:rsid w:val="003826D4"/>
    <w:rsid w:val="00385906"/>
    <w:rsid w:val="00393169"/>
    <w:rsid w:val="00394538"/>
    <w:rsid w:val="003A1E9F"/>
    <w:rsid w:val="003A5C9F"/>
    <w:rsid w:val="003A6950"/>
    <w:rsid w:val="003B627B"/>
    <w:rsid w:val="003B7528"/>
    <w:rsid w:val="003C39E4"/>
    <w:rsid w:val="003C5DF6"/>
    <w:rsid w:val="003D38D4"/>
    <w:rsid w:val="003D502A"/>
    <w:rsid w:val="003E0008"/>
    <w:rsid w:val="003E2FF8"/>
    <w:rsid w:val="003E3A6E"/>
    <w:rsid w:val="003E5030"/>
    <w:rsid w:val="003E543D"/>
    <w:rsid w:val="003E7EE2"/>
    <w:rsid w:val="003F4F9D"/>
    <w:rsid w:val="004024AF"/>
    <w:rsid w:val="00407B93"/>
    <w:rsid w:val="00411CF7"/>
    <w:rsid w:val="00412188"/>
    <w:rsid w:val="0041490E"/>
    <w:rsid w:val="00415971"/>
    <w:rsid w:val="00420556"/>
    <w:rsid w:val="00426A0B"/>
    <w:rsid w:val="00434D26"/>
    <w:rsid w:val="00440690"/>
    <w:rsid w:val="00444392"/>
    <w:rsid w:val="00446F4C"/>
    <w:rsid w:val="0045126C"/>
    <w:rsid w:val="004573C3"/>
    <w:rsid w:val="004577DF"/>
    <w:rsid w:val="004626A7"/>
    <w:rsid w:val="00462F61"/>
    <w:rsid w:val="00464AB2"/>
    <w:rsid w:val="00470725"/>
    <w:rsid w:val="00474F16"/>
    <w:rsid w:val="004773B9"/>
    <w:rsid w:val="00480407"/>
    <w:rsid w:val="0048572B"/>
    <w:rsid w:val="00491407"/>
    <w:rsid w:val="00491BC9"/>
    <w:rsid w:val="00497471"/>
    <w:rsid w:val="004A2F43"/>
    <w:rsid w:val="004A3E9E"/>
    <w:rsid w:val="004A4BD0"/>
    <w:rsid w:val="004A6667"/>
    <w:rsid w:val="004B047B"/>
    <w:rsid w:val="004B1D02"/>
    <w:rsid w:val="004C25B7"/>
    <w:rsid w:val="004C68D1"/>
    <w:rsid w:val="004C7308"/>
    <w:rsid w:val="004D1AB8"/>
    <w:rsid w:val="004D1D0F"/>
    <w:rsid w:val="004D23E1"/>
    <w:rsid w:val="004D5DE1"/>
    <w:rsid w:val="004E357B"/>
    <w:rsid w:val="004E41C8"/>
    <w:rsid w:val="004E6D48"/>
    <w:rsid w:val="004F1F31"/>
    <w:rsid w:val="005031E9"/>
    <w:rsid w:val="00503479"/>
    <w:rsid w:val="00504376"/>
    <w:rsid w:val="00506331"/>
    <w:rsid w:val="00512CDD"/>
    <w:rsid w:val="00512EB2"/>
    <w:rsid w:val="005134CF"/>
    <w:rsid w:val="0051537A"/>
    <w:rsid w:val="00516131"/>
    <w:rsid w:val="005267F8"/>
    <w:rsid w:val="00531286"/>
    <w:rsid w:val="005323F3"/>
    <w:rsid w:val="00540393"/>
    <w:rsid w:val="00561530"/>
    <w:rsid w:val="005626FF"/>
    <w:rsid w:val="0056499D"/>
    <w:rsid w:val="00564A70"/>
    <w:rsid w:val="00566D3F"/>
    <w:rsid w:val="00566E7D"/>
    <w:rsid w:val="0057079A"/>
    <w:rsid w:val="00572E1C"/>
    <w:rsid w:val="00580316"/>
    <w:rsid w:val="00584CA4"/>
    <w:rsid w:val="00593D41"/>
    <w:rsid w:val="005955A2"/>
    <w:rsid w:val="005976C2"/>
    <w:rsid w:val="005A086B"/>
    <w:rsid w:val="005B4476"/>
    <w:rsid w:val="005B45AB"/>
    <w:rsid w:val="005B7A91"/>
    <w:rsid w:val="005B7C77"/>
    <w:rsid w:val="005C227F"/>
    <w:rsid w:val="005C2EB1"/>
    <w:rsid w:val="005C529A"/>
    <w:rsid w:val="005C61B3"/>
    <w:rsid w:val="005C6A0A"/>
    <w:rsid w:val="005D0BC0"/>
    <w:rsid w:val="005D32ED"/>
    <w:rsid w:val="005D45B5"/>
    <w:rsid w:val="005E2973"/>
    <w:rsid w:val="005E2BFC"/>
    <w:rsid w:val="005E4757"/>
    <w:rsid w:val="005F6CA9"/>
    <w:rsid w:val="00600657"/>
    <w:rsid w:val="0060123E"/>
    <w:rsid w:val="00602C83"/>
    <w:rsid w:val="00605130"/>
    <w:rsid w:val="00606AA7"/>
    <w:rsid w:val="00606AF7"/>
    <w:rsid w:val="00611645"/>
    <w:rsid w:val="0061223F"/>
    <w:rsid w:val="00613CB5"/>
    <w:rsid w:val="006179E6"/>
    <w:rsid w:val="00617D1A"/>
    <w:rsid w:val="00620458"/>
    <w:rsid w:val="00625306"/>
    <w:rsid w:val="006258E2"/>
    <w:rsid w:val="00627CE3"/>
    <w:rsid w:val="006330E2"/>
    <w:rsid w:val="00633751"/>
    <w:rsid w:val="00633BFE"/>
    <w:rsid w:val="006342A1"/>
    <w:rsid w:val="006360E1"/>
    <w:rsid w:val="00640897"/>
    <w:rsid w:val="00641C54"/>
    <w:rsid w:val="006426FF"/>
    <w:rsid w:val="0064324F"/>
    <w:rsid w:val="00644069"/>
    <w:rsid w:val="00647D42"/>
    <w:rsid w:val="00651295"/>
    <w:rsid w:val="00663A71"/>
    <w:rsid w:val="00663F05"/>
    <w:rsid w:val="006678C3"/>
    <w:rsid w:val="00674F05"/>
    <w:rsid w:val="006760F9"/>
    <w:rsid w:val="0068394D"/>
    <w:rsid w:val="00683A44"/>
    <w:rsid w:val="0068571C"/>
    <w:rsid w:val="006879BC"/>
    <w:rsid w:val="006915BD"/>
    <w:rsid w:val="00692E23"/>
    <w:rsid w:val="006A0772"/>
    <w:rsid w:val="006A207C"/>
    <w:rsid w:val="006A4D53"/>
    <w:rsid w:val="006A654A"/>
    <w:rsid w:val="006A671A"/>
    <w:rsid w:val="006B10A5"/>
    <w:rsid w:val="006B629D"/>
    <w:rsid w:val="006C0510"/>
    <w:rsid w:val="006C5436"/>
    <w:rsid w:val="006C680A"/>
    <w:rsid w:val="006D09FF"/>
    <w:rsid w:val="006D1A86"/>
    <w:rsid w:val="006D1DBA"/>
    <w:rsid w:val="006D3855"/>
    <w:rsid w:val="006D71D2"/>
    <w:rsid w:val="006E7375"/>
    <w:rsid w:val="006F03F7"/>
    <w:rsid w:val="006F67D1"/>
    <w:rsid w:val="006F796D"/>
    <w:rsid w:val="006F7BDC"/>
    <w:rsid w:val="00712FE3"/>
    <w:rsid w:val="00713C13"/>
    <w:rsid w:val="00713CA0"/>
    <w:rsid w:val="00716BCD"/>
    <w:rsid w:val="00717AE5"/>
    <w:rsid w:val="00723B7F"/>
    <w:rsid w:val="00726B2B"/>
    <w:rsid w:val="007272B2"/>
    <w:rsid w:val="007358D6"/>
    <w:rsid w:val="00737813"/>
    <w:rsid w:val="007421C8"/>
    <w:rsid w:val="00742496"/>
    <w:rsid w:val="00744542"/>
    <w:rsid w:val="00747B17"/>
    <w:rsid w:val="0075335A"/>
    <w:rsid w:val="00754ACA"/>
    <w:rsid w:val="007570BA"/>
    <w:rsid w:val="0076094C"/>
    <w:rsid w:val="00764FDE"/>
    <w:rsid w:val="00767B99"/>
    <w:rsid w:val="0077005B"/>
    <w:rsid w:val="00770E14"/>
    <w:rsid w:val="007754E9"/>
    <w:rsid w:val="00792756"/>
    <w:rsid w:val="007941E4"/>
    <w:rsid w:val="00794521"/>
    <w:rsid w:val="00794E00"/>
    <w:rsid w:val="00794ED2"/>
    <w:rsid w:val="00795070"/>
    <w:rsid w:val="007A17D4"/>
    <w:rsid w:val="007A3213"/>
    <w:rsid w:val="007A556C"/>
    <w:rsid w:val="007A683E"/>
    <w:rsid w:val="007B3C94"/>
    <w:rsid w:val="007B5C18"/>
    <w:rsid w:val="007C2B5B"/>
    <w:rsid w:val="007C3924"/>
    <w:rsid w:val="007C6CD3"/>
    <w:rsid w:val="007D6D44"/>
    <w:rsid w:val="007D71F2"/>
    <w:rsid w:val="007E026A"/>
    <w:rsid w:val="007E0A86"/>
    <w:rsid w:val="007E7BFE"/>
    <w:rsid w:val="007F4D63"/>
    <w:rsid w:val="007F6EE0"/>
    <w:rsid w:val="00801CEF"/>
    <w:rsid w:val="0080315A"/>
    <w:rsid w:val="00806719"/>
    <w:rsid w:val="00807FCB"/>
    <w:rsid w:val="008105FB"/>
    <w:rsid w:val="00811E7C"/>
    <w:rsid w:val="008159B3"/>
    <w:rsid w:val="008165B8"/>
    <w:rsid w:val="0082401A"/>
    <w:rsid w:val="00825611"/>
    <w:rsid w:val="00831375"/>
    <w:rsid w:val="0083610E"/>
    <w:rsid w:val="00843AB7"/>
    <w:rsid w:val="008458A4"/>
    <w:rsid w:val="008506D9"/>
    <w:rsid w:val="008508FA"/>
    <w:rsid w:val="00851DC4"/>
    <w:rsid w:val="00851F22"/>
    <w:rsid w:val="00853C76"/>
    <w:rsid w:val="00855E71"/>
    <w:rsid w:val="0086332A"/>
    <w:rsid w:val="008659C8"/>
    <w:rsid w:val="0087185D"/>
    <w:rsid w:val="008737DF"/>
    <w:rsid w:val="008757E5"/>
    <w:rsid w:val="00876019"/>
    <w:rsid w:val="00887281"/>
    <w:rsid w:val="00887A9F"/>
    <w:rsid w:val="00887F88"/>
    <w:rsid w:val="00893C1D"/>
    <w:rsid w:val="00897BF0"/>
    <w:rsid w:val="008A1AAD"/>
    <w:rsid w:val="008A21A4"/>
    <w:rsid w:val="008A6D53"/>
    <w:rsid w:val="008A7E59"/>
    <w:rsid w:val="008B2C0F"/>
    <w:rsid w:val="008B38D0"/>
    <w:rsid w:val="008B3F3D"/>
    <w:rsid w:val="008B512A"/>
    <w:rsid w:val="008C13E4"/>
    <w:rsid w:val="008C42F1"/>
    <w:rsid w:val="008D0DC9"/>
    <w:rsid w:val="008D3476"/>
    <w:rsid w:val="008D35F4"/>
    <w:rsid w:val="008D367F"/>
    <w:rsid w:val="008D7303"/>
    <w:rsid w:val="008D7C2F"/>
    <w:rsid w:val="008E077C"/>
    <w:rsid w:val="008E2A5A"/>
    <w:rsid w:val="008E2C81"/>
    <w:rsid w:val="008F03B8"/>
    <w:rsid w:val="008F21EB"/>
    <w:rsid w:val="008F5A50"/>
    <w:rsid w:val="008F6EEA"/>
    <w:rsid w:val="00900D1C"/>
    <w:rsid w:val="009019B4"/>
    <w:rsid w:val="00905C0B"/>
    <w:rsid w:val="00911083"/>
    <w:rsid w:val="00930A1B"/>
    <w:rsid w:val="00930AE1"/>
    <w:rsid w:val="009360C9"/>
    <w:rsid w:val="00937202"/>
    <w:rsid w:val="00940E3A"/>
    <w:rsid w:val="009428E5"/>
    <w:rsid w:val="0094719D"/>
    <w:rsid w:val="009507CC"/>
    <w:rsid w:val="00952BB3"/>
    <w:rsid w:val="00952DAA"/>
    <w:rsid w:val="00955002"/>
    <w:rsid w:val="00957346"/>
    <w:rsid w:val="009665B7"/>
    <w:rsid w:val="00973519"/>
    <w:rsid w:val="00975DC4"/>
    <w:rsid w:val="00975F27"/>
    <w:rsid w:val="00976D05"/>
    <w:rsid w:val="009860E7"/>
    <w:rsid w:val="0098694B"/>
    <w:rsid w:val="009907FA"/>
    <w:rsid w:val="0099114F"/>
    <w:rsid w:val="009928BC"/>
    <w:rsid w:val="0099757D"/>
    <w:rsid w:val="009A2CF0"/>
    <w:rsid w:val="009A46D8"/>
    <w:rsid w:val="009B3B6A"/>
    <w:rsid w:val="009B3FF1"/>
    <w:rsid w:val="009C0363"/>
    <w:rsid w:val="009C16F5"/>
    <w:rsid w:val="009D0858"/>
    <w:rsid w:val="009D2A5B"/>
    <w:rsid w:val="009E04C2"/>
    <w:rsid w:val="009E24D4"/>
    <w:rsid w:val="009F302B"/>
    <w:rsid w:val="009F3B5D"/>
    <w:rsid w:val="00A10DCB"/>
    <w:rsid w:val="00A17821"/>
    <w:rsid w:val="00A237F2"/>
    <w:rsid w:val="00A240AE"/>
    <w:rsid w:val="00A32C04"/>
    <w:rsid w:val="00A34420"/>
    <w:rsid w:val="00A40B34"/>
    <w:rsid w:val="00A4443B"/>
    <w:rsid w:val="00A45709"/>
    <w:rsid w:val="00A45A27"/>
    <w:rsid w:val="00A55C26"/>
    <w:rsid w:val="00A620C9"/>
    <w:rsid w:val="00A63F05"/>
    <w:rsid w:val="00A6571A"/>
    <w:rsid w:val="00A75224"/>
    <w:rsid w:val="00A907B5"/>
    <w:rsid w:val="00A938A6"/>
    <w:rsid w:val="00AA1358"/>
    <w:rsid w:val="00AA3578"/>
    <w:rsid w:val="00AA42C7"/>
    <w:rsid w:val="00AA57B2"/>
    <w:rsid w:val="00AB335C"/>
    <w:rsid w:val="00AD17BC"/>
    <w:rsid w:val="00AD6E06"/>
    <w:rsid w:val="00AE2721"/>
    <w:rsid w:val="00AE46D1"/>
    <w:rsid w:val="00AE637C"/>
    <w:rsid w:val="00AF379A"/>
    <w:rsid w:val="00AF6513"/>
    <w:rsid w:val="00AF6EAB"/>
    <w:rsid w:val="00AF77F2"/>
    <w:rsid w:val="00AF7806"/>
    <w:rsid w:val="00B0493E"/>
    <w:rsid w:val="00B052B7"/>
    <w:rsid w:val="00B068C5"/>
    <w:rsid w:val="00B07F5F"/>
    <w:rsid w:val="00B1317F"/>
    <w:rsid w:val="00B16FB3"/>
    <w:rsid w:val="00B234F7"/>
    <w:rsid w:val="00B348F5"/>
    <w:rsid w:val="00B349EF"/>
    <w:rsid w:val="00B43C42"/>
    <w:rsid w:val="00B47CB9"/>
    <w:rsid w:val="00B54F0E"/>
    <w:rsid w:val="00B5501A"/>
    <w:rsid w:val="00B70F72"/>
    <w:rsid w:val="00B72169"/>
    <w:rsid w:val="00B8243F"/>
    <w:rsid w:val="00B83F16"/>
    <w:rsid w:val="00B922CE"/>
    <w:rsid w:val="00B93071"/>
    <w:rsid w:val="00B937C1"/>
    <w:rsid w:val="00B9528A"/>
    <w:rsid w:val="00B955D3"/>
    <w:rsid w:val="00BA3613"/>
    <w:rsid w:val="00BA400F"/>
    <w:rsid w:val="00BA7226"/>
    <w:rsid w:val="00BA73CD"/>
    <w:rsid w:val="00BB50F4"/>
    <w:rsid w:val="00BC07EE"/>
    <w:rsid w:val="00BC3CAD"/>
    <w:rsid w:val="00BD6028"/>
    <w:rsid w:val="00BE1E22"/>
    <w:rsid w:val="00BE4E1E"/>
    <w:rsid w:val="00C0139C"/>
    <w:rsid w:val="00C03258"/>
    <w:rsid w:val="00C03CAA"/>
    <w:rsid w:val="00C10467"/>
    <w:rsid w:val="00C1102E"/>
    <w:rsid w:val="00C13C91"/>
    <w:rsid w:val="00C15951"/>
    <w:rsid w:val="00C202FB"/>
    <w:rsid w:val="00C23CEB"/>
    <w:rsid w:val="00C23DE0"/>
    <w:rsid w:val="00C25630"/>
    <w:rsid w:val="00C263C4"/>
    <w:rsid w:val="00C27C03"/>
    <w:rsid w:val="00C40382"/>
    <w:rsid w:val="00C41AC1"/>
    <w:rsid w:val="00C4322E"/>
    <w:rsid w:val="00C4554F"/>
    <w:rsid w:val="00C459ED"/>
    <w:rsid w:val="00C47395"/>
    <w:rsid w:val="00C509C6"/>
    <w:rsid w:val="00C5119C"/>
    <w:rsid w:val="00C52878"/>
    <w:rsid w:val="00C53E4D"/>
    <w:rsid w:val="00C572BC"/>
    <w:rsid w:val="00C653CD"/>
    <w:rsid w:val="00C66043"/>
    <w:rsid w:val="00C71075"/>
    <w:rsid w:val="00C73D72"/>
    <w:rsid w:val="00C74CB6"/>
    <w:rsid w:val="00CA1392"/>
    <w:rsid w:val="00CA68F9"/>
    <w:rsid w:val="00CB0CC6"/>
    <w:rsid w:val="00CB156F"/>
    <w:rsid w:val="00CB3319"/>
    <w:rsid w:val="00CB741D"/>
    <w:rsid w:val="00CC1D8A"/>
    <w:rsid w:val="00CC6BA2"/>
    <w:rsid w:val="00CC73B9"/>
    <w:rsid w:val="00CD137B"/>
    <w:rsid w:val="00CD3DD8"/>
    <w:rsid w:val="00CE35D5"/>
    <w:rsid w:val="00CE41E2"/>
    <w:rsid w:val="00CF079B"/>
    <w:rsid w:val="00CF3242"/>
    <w:rsid w:val="00CF5D4B"/>
    <w:rsid w:val="00CF6D5C"/>
    <w:rsid w:val="00CF6E24"/>
    <w:rsid w:val="00D007A5"/>
    <w:rsid w:val="00D01490"/>
    <w:rsid w:val="00D02240"/>
    <w:rsid w:val="00D2153A"/>
    <w:rsid w:val="00D30CC8"/>
    <w:rsid w:val="00D3124B"/>
    <w:rsid w:val="00D441EF"/>
    <w:rsid w:val="00D45A14"/>
    <w:rsid w:val="00D5003F"/>
    <w:rsid w:val="00D50BF3"/>
    <w:rsid w:val="00D539A5"/>
    <w:rsid w:val="00D55377"/>
    <w:rsid w:val="00D61011"/>
    <w:rsid w:val="00D62E3D"/>
    <w:rsid w:val="00D66F84"/>
    <w:rsid w:val="00D711C1"/>
    <w:rsid w:val="00D7333D"/>
    <w:rsid w:val="00D74BC9"/>
    <w:rsid w:val="00D83FDF"/>
    <w:rsid w:val="00D91709"/>
    <w:rsid w:val="00D9357E"/>
    <w:rsid w:val="00D95D2B"/>
    <w:rsid w:val="00DA19CE"/>
    <w:rsid w:val="00DA5499"/>
    <w:rsid w:val="00DA6BC5"/>
    <w:rsid w:val="00DA70A9"/>
    <w:rsid w:val="00DB0961"/>
    <w:rsid w:val="00DB6BE2"/>
    <w:rsid w:val="00DB6D7C"/>
    <w:rsid w:val="00DB6E85"/>
    <w:rsid w:val="00DD3A57"/>
    <w:rsid w:val="00DD40D5"/>
    <w:rsid w:val="00DD65B0"/>
    <w:rsid w:val="00DE1B0C"/>
    <w:rsid w:val="00DE3D1F"/>
    <w:rsid w:val="00DE51A8"/>
    <w:rsid w:val="00DE60AF"/>
    <w:rsid w:val="00DF259F"/>
    <w:rsid w:val="00DF466A"/>
    <w:rsid w:val="00DF6857"/>
    <w:rsid w:val="00E0321F"/>
    <w:rsid w:val="00E07622"/>
    <w:rsid w:val="00E179A7"/>
    <w:rsid w:val="00E23169"/>
    <w:rsid w:val="00E239FA"/>
    <w:rsid w:val="00E35E89"/>
    <w:rsid w:val="00E40C84"/>
    <w:rsid w:val="00E410B7"/>
    <w:rsid w:val="00E465B8"/>
    <w:rsid w:val="00E50981"/>
    <w:rsid w:val="00E54207"/>
    <w:rsid w:val="00E56544"/>
    <w:rsid w:val="00E60A64"/>
    <w:rsid w:val="00E62762"/>
    <w:rsid w:val="00E63295"/>
    <w:rsid w:val="00E63350"/>
    <w:rsid w:val="00E6642D"/>
    <w:rsid w:val="00E672F9"/>
    <w:rsid w:val="00E713AA"/>
    <w:rsid w:val="00E818B3"/>
    <w:rsid w:val="00E8196C"/>
    <w:rsid w:val="00E833F7"/>
    <w:rsid w:val="00E90C27"/>
    <w:rsid w:val="00E92F1E"/>
    <w:rsid w:val="00E97957"/>
    <w:rsid w:val="00EA4FE6"/>
    <w:rsid w:val="00EA7F94"/>
    <w:rsid w:val="00EB3B3B"/>
    <w:rsid w:val="00EB4D8A"/>
    <w:rsid w:val="00EC6543"/>
    <w:rsid w:val="00ED2788"/>
    <w:rsid w:val="00ED499D"/>
    <w:rsid w:val="00EE4439"/>
    <w:rsid w:val="00EE67CB"/>
    <w:rsid w:val="00EF1996"/>
    <w:rsid w:val="00EF52CC"/>
    <w:rsid w:val="00EF55C3"/>
    <w:rsid w:val="00F0097B"/>
    <w:rsid w:val="00F01003"/>
    <w:rsid w:val="00F03AD8"/>
    <w:rsid w:val="00F079A1"/>
    <w:rsid w:val="00F20B73"/>
    <w:rsid w:val="00F232B3"/>
    <w:rsid w:val="00F24313"/>
    <w:rsid w:val="00F243D4"/>
    <w:rsid w:val="00F26B97"/>
    <w:rsid w:val="00F30966"/>
    <w:rsid w:val="00F328DE"/>
    <w:rsid w:val="00F3365D"/>
    <w:rsid w:val="00F37426"/>
    <w:rsid w:val="00F40042"/>
    <w:rsid w:val="00F47AEF"/>
    <w:rsid w:val="00F520C5"/>
    <w:rsid w:val="00F52CA9"/>
    <w:rsid w:val="00F723FD"/>
    <w:rsid w:val="00F77F69"/>
    <w:rsid w:val="00F82004"/>
    <w:rsid w:val="00F8219E"/>
    <w:rsid w:val="00F827E7"/>
    <w:rsid w:val="00F86668"/>
    <w:rsid w:val="00F913E1"/>
    <w:rsid w:val="00F91DEC"/>
    <w:rsid w:val="00F94E3E"/>
    <w:rsid w:val="00FA2BFF"/>
    <w:rsid w:val="00FA5269"/>
    <w:rsid w:val="00FB0E2C"/>
    <w:rsid w:val="00FB60BD"/>
    <w:rsid w:val="00FC2CC1"/>
    <w:rsid w:val="00FD2D27"/>
    <w:rsid w:val="00FD3AA1"/>
    <w:rsid w:val="00FD42E6"/>
    <w:rsid w:val="00FD5512"/>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line="240" w:lineRule="auto"/>
      <w:ind w:left="-1418"/>
      <w:jc w:val="both"/>
    </w:pPr>
    <w:rPr>
      <w:rFonts w:asciiTheme="minorHAnsi" w:hAnsiTheme="minorHAnsi" w:cstheme="minorBidi"/>
      <w:sz w:val="22"/>
      <w:szCs w:val="22"/>
    </w:rPr>
  </w:style>
  <w:style w:type="character" w:styleId="Hyperlink">
    <w:name w:val="Hyperlink"/>
    <w:basedOn w:val="DefaultParagraphFont"/>
    <w:uiPriority w:val="99"/>
    <w:unhideWhenUsed/>
    <w:rsid w:val="00C45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779">
      <w:bodyDiv w:val="1"/>
      <w:marLeft w:val="0"/>
      <w:marRight w:val="0"/>
      <w:marTop w:val="0"/>
      <w:marBottom w:val="0"/>
      <w:divBdr>
        <w:top w:val="none" w:sz="0" w:space="0" w:color="auto"/>
        <w:left w:val="none" w:sz="0" w:space="0" w:color="auto"/>
        <w:bottom w:val="none" w:sz="0" w:space="0" w:color="auto"/>
        <w:right w:val="none" w:sz="0" w:space="0" w:color="auto"/>
      </w:divBdr>
    </w:div>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2024-04-14T18:30:00+00:00</Judgment_x0020_Date>
  </documentManagement>
</p:properties>
</file>

<file path=customXml/itemProps1.xml><?xml version="1.0" encoding="utf-8"?>
<ds:datastoreItem xmlns:ds="http://schemas.openxmlformats.org/officeDocument/2006/customXml" ds:itemID="{F946FCED-6F79-4B13-B60A-FAE93538ACCB}"/>
</file>

<file path=customXml/itemProps2.xml><?xml version="1.0" encoding="utf-8"?>
<ds:datastoreItem xmlns:ds="http://schemas.openxmlformats.org/officeDocument/2006/customXml" ds:itemID="{DBC88E1A-512A-43EA-85D8-F705A700E83D}"/>
</file>

<file path=customXml/itemProps3.xml><?xml version="1.0" encoding="utf-8"?>
<ds:datastoreItem xmlns:ds="http://schemas.openxmlformats.org/officeDocument/2006/customXml" ds:itemID="{F7C17A8D-7D7B-4D74-9232-A1BCBC145543}"/>
</file>

<file path=customXml/itemProps4.xml><?xml version="1.0" encoding="utf-8"?>
<ds:datastoreItem xmlns:ds="http://schemas.openxmlformats.org/officeDocument/2006/customXml" ds:itemID="{4489B4A3-28AA-41B6-8B29-D9355C78D3F4}"/>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 v Danny Johannes</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Johannes (CR 12-2024) [2024] NAHCNLD 37 (15 April 2024)</dc:title>
  <dc:creator>Erich.Kesslau@jud.gov.na</dc:creator>
  <cp:keywords/>
  <cp:lastModifiedBy>Bregitha Coetzee</cp:lastModifiedBy>
  <cp:revision>5</cp:revision>
  <cp:lastPrinted>2024-03-04T08:02:00Z</cp:lastPrinted>
  <dcterms:created xsi:type="dcterms:W3CDTF">2024-04-15T07:22:00Z</dcterms:created>
  <dcterms:modified xsi:type="dcterms:W3CDTF">2024-04-15T11:51:00Z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