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2E" w:rsidRPr="00BE09AB" w:rsidRDefault="005836C5" w:rsidP="00BE09AB">
      <w:pPr>
        <w:spacing w:after="0" w:line="360" w:lineRule="auto"/>
        <w:rPr>
          <w:rFonts w:ascii="Arial" w:hAnsi="Arial" w:cs="Arial"/>
          <w:b/>
          <w:sz w:val="24"/>
          <w:szCs w:val="24"/>
          <w:lang w:val="en-GB" w:eastAsia="en-GB"/>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2009775</wp:posOffset>
            </wp:positionH>
            <wp:positionV relativeFrom="paragraph">
              <wp:align>top</wp:align>
            </wp:positionV>
            <wp:extent cx="1304925" cy="1352550"/>
            <wp:effectExtent l="0" t="0" r="9525"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09AB" w:rsidRPr="00BE09AB">
        <w:rPr>
          <w:rFonts w:ascii="Arial" w:hAnsi="Arial" w:cs="Arial"/>
          <w:b/>
          <w:sz w:val="24"/>
          <w:szCs w:val="24"/>
          <w:lang w:val="en-GB" w:eastAsia="en-GB"/>
        </w:rPr>
        <w:br w:type="textWrapping" w:clear="all"/>
      </w:r>
    </w:p>
    <w:p w:rsidR="001C002E" w:rsidRPr="001C002E" w:rsidRDefault="00FF2266" w:rsidP="00FF2266">
      <w:pPr>
        <w:tabs>
          <w:tab w:val="right" w:pos="9360"/>
        </w:tabs>
        <w:spacing w:after="0" w:line="360" w:lineRule="auto"/>
        <w:rPr>
          <w:rFonts w:ascii="Arial" w:hAnsi="Arial" w:cs="Arial"/>
          <w:b/>
          <w:sz w:val="24"/>
          <w:szCs w:val="24"/>
        </w:rPr>
      </w:pPr>
      <w:r>
        <w:rPr>
          <w:rFonts w:ascii="Arial" w:hAnsi="Arial" w:cs="Arial"/>
          <w:b/>
          <w:sz w:val="24"/>
          <w:szCs w:val="24"/>
        </w:rPr>
        <w:tab/>
      </w:r>
      <w:r w:rsidR="001C002E" w:rsidRPr="001C002E">
        <w:rPr>
          <w:rFonts w:ascii="Arial" w:hAnsi="Arial" w:cs="Arial"/>
          <w:b/>
          <w:sz w:val="24"/>
          <w:szCs w:val="24"/>
        </w:rPr>
        <w:t xml:space="preserve">CASE NO:  </w:t>
      </w:r>
      <w:r w:rsidR="001C002E">
        <w:rPr>
          <w:rFonts w:ascii="Arial" w:hAnsi="Arial" w:cs="Arial"/>
          <w:b/>
          <w:sz w:val="24"/>
          <w:szCs w:val="24"/>
        </w:rPr>
        <w:t>LC</w:t>
      </w:r>
      <w:r w:rsidR="003A46F2">
        <w:rPr>
          <w:rFonts w:ascii="Arial" w:hAnsi="Arial" w:cs="Arial"/>
          <w:b/>
          <w:sz w:val="24"/>
          <w:szCs w:val="24"/>
        </w:rPr>
        <w:t xml:space="preserve">A </w:t>
      </w:r>
      <w:r w:rsidR="00802315">
        <w:rPr>
          <w:rFonts w:ascii="Arial" w:hAnsi="Arial" w:cs="Arial"/>
          <w:b/>
          <w:sz w:val="24"/>
          <w:szCs w:val="24"/>
        </w:rPr>
        <w:t>87/20</w:t>
      </w:r>
      <w:r w:rsidR="00B30200">
        <w:rPr>
          <w:rFonts w:ascii="Arial" w:hAnsi="Arial" w:cs="Arial"/>
          <w:b/>
          <w:sz w:val="24"/>
          <w:szCs w:val="24"/>
        </w:rPr>
        <w:t>0</w:t>
      </w:r>
      <w:r w:rsidR="00802315">
        <w:rPr>
          <w:rFonts w:ascii="Arial" w:hAnsi="Arial" w:cs="Arial"/>
          <w:b/>
          <w:sz w:val="24"/>
          <w:szCs w:val="24"/>
        </w:rPr>
        <w:t>9</w:t>
      </w:r>
    </w:p>
    <w:p w:rsidR="001C002E" w:rsidRPr="001C002E" w:rsidRDefault="001C002E" w:rsidP="00F36186">
      <w:pPr>
        <w:spacing w:after="0" w:line="240" w:lineRule="auto"/>
        <w:jc w:val="both"/>
        <w:rPr>
          <w:rFonts w:ascii="Arial" w:hAnsi="Arial" w:cs="Arial"/>
          <w:b/>
          <w:sz w:val="24"/>
          <w:szCs w:val="24"/>
        </w:rPr>
      </w:pPr>
      <w:r w:rsidRPr="001C002E">
        <w:rPr>
          <w:rFonts w:ascii="Arial" w:hAnsi="Arial" w:cs="Arial"/>
          <w:b/>
          <w:sz w:val="24"/>
          <w:szCs w:val="24"/>
        </w:rPr>
        <w:t xml:space="preserve">IN THE </w:t>
      </w:r>
      <w:r w:rsidR="00907765">
        <w:rPr>
          <w:rFonts w:ascii="Arial" w:hAnsi="Arial" w:cs="Arial"/>
          <w:b/>
          <w:sz w:val="24"/>
          <w:szCs w:val="24"/>
        </w:rPr>
        <w:t>LABOUR</w:t>
      </w:r>
      <w:r w:rsidRPr="001C002E">
        <w:rPr>
          <w:rFonts w:ascii="Arial" w:hAnsi="Arial" w:cs="Arial"/>
          <w:b/>
          <w:sz w:val="24"/>
          <w:szCs w:val="24"/>
        </w:rPr>
        <w:t xml:space="preserve"> COURT OF NAMIBIA</w:t>
      </w:r>
    </w:p>
    <w:p w:rsidR="00F36186" w:rsidRDefault="00F36186" w:rsidP="00F36186">
      <w:pPr>
        <w:spacing w:after="0" w:line="240" w:lineRule="auto"/>
        <w:rPr>
          <w:rFonts w:ascii="Arial" w:hAnsi="Arial" w:cs="Arial"/>
          <w:sz w:val="24"/>
          <w:szCs w:val="24"/>
        </w:rPr>
      </w:pPr>
    </w:p>
    <w:p w:rsidR="001C002E" w:rsidRPr="001C002E" w:rsidRDefault="001C002E" w:rsidP="00F36186">
      <w:pPr>
        <w:spacing w:after="0" w:line="240" w:lineRule="auto"/>
        <w:rPr>
          <w:rFonts w:ascii="Arial" w:hAnsi="Arial" w:cs="Arial"/>
          <w:sz w:val="24"/>
          <w:szCs w:val="24"/>
        </w:rPr>
      </w:pPr>
      <w:r w:rsidRPr="001C002E">
        <w:rPr>
          <w:rFonts w:ascii="Arial" w:hAnsi="Arial" w:cs="Arial"/>
          <w:sz w:val="24"/>
          <w:szCs w:val="24"/>
        </w:rPr>
        <w:t>In the matter between:</w:t>
      </w:r>
    </w:p>
    <w:p w:rsidR="00F36186" w:rsidRDefault="00F36186" w:rsidP="00F36186">
      <w:pPr>
        <w:spacing w:after="0" w:line="240" w:lineRule="auto"/>
        <w:rPr>
          <w:rFonts w:ascii="Arial" w:hAnsi="Arial" w:cs="Arial"/>
          <w:b/>
          <w:sz w:val="24"/>
          <w:szCs w:val="24"/>
        </w:rPr>
      </w:pPr>
    </w:p>
    <w:p w:rsidR="001C002E" w:rsidRPr="001C002E" w:rsidRDefault="00802315" w:rsidP="00F36186">
      <w:pPr>
        <w:tabs>
          <w:tab w:val="right" w:pos="9360"/>
        </w:tabs>
        <w:spacing w:after="0" w:line="240" w:lineRule="auto"/>
        <w:rPr>
          <w:rFonts w:ascii="Arial" w:hAnsi="Arial" w:cs="Arial"/>
          <w:b/>
          <w:sz w:val="24"/>
          <w:szCs w:val="24"/>
        </w:rPr>
      </w:pPr>
      <w:r>
        <w:rPr>
          <w:rFonts w:ascii="Arial" w:hAnsi="Arial" w:cs="Arial"/>
          <w:b/>
          <w:sz w:val="24"/>
          <w:szCs w:val="24"/>
        </w:rPr>
        <w:t>NAMIBIA DEVELOPMENT CORPORATION</w:t>
      </w:r>
      <w:r w:rsidR="003A46F2">
        <w:rPr>
          <w:rFonts w:ascii="Arial" w:hAnsi="Arial" w:cs="Arial"/>
          <w:b/>
          <w:sz w:val="24"/>
          <w:szCs w:val="24"/>
        </w:rPr>
        <w:tab/>
      </w:r>
      <w:r w:rsidR="001C002E" w:rsidRPr="001C002E">
        <w:rPr>
          <w:rFonts w:ascii="Arial" w:hAnsi="Arial" w:cs="Arial"/>
          <w:b/>
          <w:sz w:val="24"/>
          <w:szCs w:val="24"/>
        </w:rPr>
        <w:t>APPELLANT</w:t>
      </w:r>
    </w:p>
    <w:p w:rsidR="00F36186" w:rsidRDefault="00F36186" w:rsidP="00F36186">
      <w:pPr>
        <w:tabs>
          <w:tab w:val="right" w:pos="6358"/>
        </w:tabs>
        <w:spacing w:after="0" w:line="240" w:lineRule="auto"/>
        <w:rPr>
          <w:rFonts w:ascii="Arial" w:hAnsi="Arial" w:cs="Arial"/>
          <w:sz w:val="24"/>
          <w:szCs w:val="24"/>
        </w:rPr>
      </w:pPr>
    </w:p>
    <w:p w:rsidR="001C002E" w:rsidRPr="001C002E" w:rsidRDefault="001C002E" w:rsidP="00F36186">
      <w:pPr>
        <w:tabs>
          <w:tab w:val="right" w:pos="6358"/>
        </w:tabs>
        <w:spacing w:after="0" w:line="240" w:lineRule="auto"/>
        <w:rPr>
          <w:rFonts w:ascii="Arial" w:hAnsi="Arial" w:cs="Arial"/>
          <w:sz w:val="24"/>
          <w:szCs w:val="24"/>
        </w:rPr>
      </w:pPr>
      <w:r>
        <w:rPr>
          <w:rFonts w:ascii="Arial" w:hAnsi="Arial" w:cs="Arial"/>
          <w:sz w:val="24"/>
          <w:szCs w:val="24"/>
        </w:rPr>
        <w:t xml:space="preserve"> </w:t>
      </w:r>
      <w:r w:rsidRPr="001C002E">
        <w:rPr>
          <w:rFonts w:ascii="Arial" w:hAnsi="Arial" w:cs="Arial"/>
          <w:sz w:val="24"/>
          <w:szCs w:val="24"/>
        </w:rPr>
        <w:t>and</w:t>
      </w:r>
    </w:p>
    <w:p w:rsidR="00F36186" w:rsidRDefault="00F36186" w:rsidP="00F36186">
      <w:pPr>
        <w:tabs>
          <w:tab w:val="right" w:pos="9360"/>
        </w:tabs>
        <w:spacing w:after="0" w:line="240" w:lineRule="auto"/>
        <w:rPr>
          <w:rFonts w:ascii="Arial" w:hAnsi="Arial" w:cs="Arial"/>
          <w:b/>
          <w:sz w:val="24"/>
          <w:szCs w:val="24"/>
        </w:rPr>
      </w:pPr>
    </w:p>
    <w:p w:rsidR="001C002E" w:rsidRDefault="00802315" w:rsidP="00F36186">
      <w:pPr>
        <w:tabs>
          <w:tab w:val="right" w:pos="9360"/>
        </w:tabs>
        <w:spacing w:after="0" w:line="240" w:lineRule="auto"/>
        <w:rPr>
          <w:rFonts w:ascii="Arial" w:hAnsi="Arial" w:cs="Arial"/>
          <w:b/>
          <w:sz w:val="24"/>
          <w:szCs w:val="24"/>
        </w:rPr>
      </w:pPr>
      <w:r>
        <w:rPr>
          <w:rFonts w:ascii="Arial" w:hAnsi="Arial" w:cs="Arial"/>
          <w:b/>
          <w:sz w:val="24"/>
          <w:szCs w:val="24"/>
        </w:rPr>
        <w:t xml:space="preserve">PHILLIP MWANDINGI </w:t>
      </w:r>
      <w:r w:rsidR="003A46F2">
        <w:rPr>
          <w:rFonts w:ascii="Arial" w:hAnsi="Arial" w:cs="Arial"/>
          <w:b/>
          <w:sz w:val="24"/>
          <w:szCs w:val="24"/>
        </w:rPr>
        <w:tab/>
      </w:r>
      <w:r>
        <w:rPr>
          <w:rFonts w:ascii="Arial" w:hAnsi="Arial" w:cs="Arial"/>
          <w:b/>
          <w:sz w:val="24"/>
          <w:szCs w:val="24"/>
        </w:rPr>
        <w:t>1</w:t>
      </w:r>
      <w:r w:rsidRPr="00802315">
        <w:rPr>
          <w:rFonts w:ascii="Arial" w:hAnsi="Arial" w:cs="Arial"/>
          <w:b/>
          <w:sz w:val="24"/>
          <w:szCs w:val="24"/>
          <w:vertAlign w:val="superscript"/>
        </w:rPr>
        <w:t>ST</w:t>
      </w:r>
      <w:r>
        <w:rPr>
          <w:rFonts w:ascii="Arial" w:hAnsi="Arial" w:cs="Arial"/>
          <w:b/>
          <w:sz w:val="24"/>
          <w:szCs w:val="24"/>
        </w:rPr>
        <w:t xml:space="preserve"> </w:t>
      </w:r>
      <w:r w:rsidR="001C002E" w:rsidRPr="001C002E">
        <w:rPr>
          <w:rFonts w:ascii="Arial" w:hAnsi="Arial" w:cs="Arial"/>
          <w:b/>
          <w:sz w:val="24"/>
          <w:szCs w:val="24"/>
        </w:rPr>
        <w:t>RESPONDENT</w:t>
      </w:r>
    </w:p>
    <w:p w:rsidR="00AE3013" w:rsidRDefault="00AE3013" w:rsidP="00F36186">
      <w:pPr>
        <w:tabs>
          <w:tab w:val="right" w:pos="9360"/>
        </w:tabs>
        <w:spacing w:after="0" w:line="240" w:lineRule="auto"/>
        <w:rPr>
          <w:rFonts w:ascii="Arial" w:hAnsi="Arial" w:cs="Arial"/>
          <w:b/>
          <w:sz w:val="24"/>
          <w:szCs w:val="24"/>
        </w:rPr>
      </w:pPr>
      <w:r>
        <w:rPr>
          <w:rFonts w:ascii="Arial" w:hAnsi="Arial" w:cs="Arial"/>
          <w:b/>
          <w:sz w:val="24"/>
          <w:szCs w:val="24"/>
        </w:rPr>
        <w:t>THE LABOUR COMMISSIONER N.O.</w:t>
      </w:r>
      <w:r>
        <w:rPr>
          <w:rFonts w:ascii="Arial" w:hAnsi="Arial" w:cs="Arial"/>
          <w:b/>
          <w:sz w:val="24"/>
          <w:szCs w:val="24"/>
        </w:rPr>
        <w:tab/>
        <w:t>2</w:t>
      </w:r>
      <w:r w:rsidRPr="00AE3013">
        <w:rPr>
          <w:rFonts w:ascii="Arial" w:hAnsi="Arial" w:cs="Arial"/>
          <w:b/>
          <w:sz w:val="24"/>
          <w:szCs w:val="24"/>
          <w:vertAlign w:val="superscript"/>
        </w:rPr>
        <w:t>ND</w:t>
      </w:r>
      <w:r>
        <w:rPr>
          <w:rFonts w:ascii="Arial" w:hAnsi="Arial" w:cs="Arial"/>
          <w:b/>
          <w:sz w:val="24"/>
          <w:szCs w:val="24"/>
        </w:rPr>
        <w:t xml:space="preserve"> RESPONDENT</w:t>
      </w:r>
    </w:p>
    <w:p w:rsidR="00AE3013" w:rsidRDefault="00AE3013" w:rsidP="00F36186">
      <w:pPr>
        <w:tabs>
          <w:tab w:val="right" w:pos="9360"/>
        </w:tabs>
        <w:spacing w:after="0" w:line="240" w:lineRule="auto"/>
        <w:rPr>
          <w:rFonts w:ascii="Arial" w:hAnsi="Arial" w:cs="Arial"/>
          <w:b/>
          <w:sz w:val="24"/>
          <w:szCs w:val="24"/>
        </w:rPr>
      </w:pPr>
      <w:r>
        <w:rPr>
          <w:rFonts w:ascii="Arial" w:hAnsi="Arial" w:cs="Arial"/>
          <w:b/>
          <w:sz w:val="24"/>
          <w:szCs w:val="24"/>
        </w:rPr>
        <w:t>FELIX MUSUKUBILI N.O.</w:t>
      </w:r>
      <w:r>
        <w:rPr>
          <w:rFonts w:ascii="Arial" w:hAnsi="Arial" w:cs="Arial"/>
          <w:b/>
          <w:sz w:val="24"/>
          <w:szCs w:val="24"/>
        </w:rPr>
        <w:tab/>
        <w:t>3</w:t>
      </w:r>
      <w:r w:rsidRPr="00AE3013">
        <w:rPr>
          <w:rFonts w:ascii="Arial" w:hAnsi="Arial" w:cs="Arial"/>
          <w:b/>
          <w:sz w:val="24"/>
          <w:szCs w:val="24"/>
          <w:vertAlign w:val="superscript"/>
        </w:rPr>
        <w:t>RD</w:t>
      </w:r>
      <w:r>
        <w:rPr>
          <w:rFonts w:ascii="Arial" w:hAnsi="Arial" w:cs="Arial"/>
          <w:b/>
          <w:sz w:val="24"/>
          <w:szCs w:val="24"/>
        </w:rPr>
        <w:t xml:space="preserve"> RESPONDENT</w:t>
      </w:r>
    </w:p>
    <w:p w:rsidR="00053836" w:rsidRDefault="00053836" w:rsidP="00F36186">
      <w:pPr>
        <w:spacing w:after="0" w:line="240" w:lineRule="auto"/>
        <w:ind w:left="2160" w:hanging="2160"/>
        <w:jc w:val="both"/>
        <w:rPr>
          <w:rFonts w:ascii="Arial" w:hAnsi="Arial" w:cs="Arial"/>
          <w:i/>
          <w:sz w:val="24"/>
          <w:szCs w:val="24"/>
        </w:rPr>
      </w:pPr>
    </w:p>
    <w:p w:rsidR="00A92DA5" w:rsidRPr="00BB776C" w:rsidRDefault="00BB776C" w:rsidP="00F36186">
      <w:pPr>
        <w:spacing w:after="0" w:line="240" w:lineRule="auto"/>
        <w:ind w:left="2160" w:hanging="2160"/>
        <w:jc w:val="both"/>
        <w:rPr>
          <w:rFonts w:ascii="Arial" w:hAnsi="Arial" w:cs="Arial"/>
          <w:i/>
          <w:sz w:val="24"/>
          <w:szCs w:val="24"/>
        </w:rPr>
      </w:pPr>
      <w:r w:rsidRPr="00BB776C">
        <w:rPr>
          <w:rFonts w:ascii="Arial" w:hAnsi="Arial" w:cs="Arial"/>
          <w:i/>
          <w:sz w:val="24"/>
          <w:szCs w:val="24"/>
        </w:rPr>
        <w:t>Neutral citation:</w:t>
      </w:r>
      <w:r w:rsidRPr="00BB776C">
        <w:rPr>
          <w:rFonts w:ascii="Arial" w:hAnsi="Arial" w:cs="Arial"/>
          <w:i/>
          <w:sz w:val="24"/>
          <w:szCs w:val="24"/>
        </w:rPr>
        <w:tab/>
      </w:r>
      <w:r w:rsidR="00802315">
        <w:rPr>
          <w:rFonts w:ascii="Arial" w:hAnsi="Arial" w:cs="Arial"/>
          <w:i/>
          <w:sz w:val="24"/>
          <w:szCs w:val="24"/>
        </w:rPr>
        <w:t>Namibia Development Corporation</w:t>
      </w:r>
      <w:r w:rsidRPr="00BB776C">
        <w:rPr>
          <w:rFonts w:ascii="Arial" w:hAnsi="Arial" w:cs="Arial"/>
          <w:i/>
          <w:sz w:val="24"/>
          <w:szCs w:val="24"/>
        </w:rPr>
        <w:t xml:space="preserve"> v </w:t>
      </w:r>
      <w:r w:rsidR="00802315">
        <w:rPr>
          <w:rFonts w:ascii="Arial" w:hAnsi="Arial" w:cs="Arial"/>
          <w:i/>
          <w:sz w:val="24"/>
          <w:szCs w:val="24"/>
        </w:rPr>
        <w:t>Mwandingi &amp; Other</w:t>
      </w:r>
      <w:r w:rsidRPr="00BB776C">
        <w:rPr>
          <w:rFonts w:ascii="Arial" w:hAnsi="Arial" w:cs="Arial"/>
          <w:i/>
          <w:sz w:val="24"/>
          <w:szCs w:val="24"/>
        </w:rPr>
        <w:t xml:space="preserve"> (LCA </w:t>
      </w:r>
      <w:r w:rsidR="00802315">
        <w:rPr>
          <w:rFonts w:ascii="Arial" w:hAnsi="Arial" w:cs="Arial"/>
          <w:i/>
          <w:sz w:val="24"/>
          <w:szCs w:val="24"/>
        </w:rPr>
        <w:t>87/2009</w:t>
      </w:r>
      <w:r w:rsidRPr="00BB776C">
        <w:rPr>
          <w:rFonts w:ascii="Arial" w:hAnsi="Arial" w:cs="Arial"/>
          <w:i/>
          <w:sz w:val="24"/>
          <w:szCs w:val="24"/>
        </w:rPr>
        <w:t xml:space="preserve"> [2012] NALCMD </w:t>
      </w:r>
      <w:r w:rsidR="00FF2266">
        <w:rPr>
          <w:rFonts w:ascii="Arial" w:hAnsi="Arial" w:cs="Arial"/>
          <w:i/>
          <w:sz w:val="24"/>
          <w:szCs w:val="24"/>
        </w:rPr>
        <w:t>12</w:t>
      </w:r>
      <w:r w:rsidRPr="00BB776C">
        <w:rPr>
          <w:rFonts w:ascii="Arial" w:hAnsi="Arial" w:cs="Arial"/>
          <w:i/>
          <w:sz w:val="24"/>
          <w:szCs w:val="24"/>
        </w:rPr>
        <w:t xml:space="preserve"> (</w:t>
      </w:r>
      <w:r w:rsidR="005D1CEC">
        <w:rPr>
          <w:rFonts w:ascii="Arial" w:hAnsi="Arial" w:cs="Arial"/>
          <w:i/>
          <w:sz w:val="24"/>
          <w:szCs w:val="24"/>
        </w:rPr>
        <w:t>November 2012</w:t>
      </w:r>
      <w:r w:rsidRPr="00BB776C">
        <w:rPr>
          <w:rFonts w:ascii="Arial" w:hAnsi="Arial" w:cs="Arial"/>
          <w:i/>
          <w:sz w:val="24"/>
          <w:szCs w:val="24"/>
        </w:rPr>
        <w:t>)</w:t>
      </w:r>
    </w:p>
    <w:p w:rsidR="00BB776C" w:rsidRDefault="00BB776C" w:rsidP="00F36186">
      <w:pPr>
        <w:spacing w:after="0" w:line="240" w:lineRule="auto"/>
        <w:jc w:val="both"/>
        <w:rPr>
          <w:rFonts w:ascii="Arial" w:hAnsi="Arial" w:cs="Arial"/>
          <w:b/>
          <w:sz w:val="24"/>
          <w:szCs w:val="24"/>
        </w:rPr>
      </w:pPr>
    </w:p>
    <w:p w:rsidR="001C002E" w:rsidRPr="001C002E" w:rsidRDefault="001C002E" w:rsidP="00F36186">
      <w:pPr>
        <w:spacing w:after="0" w:line="240" w:lineRule="auto"/>
        <w:jc w:val="both"/>
        <w:rPr>
          <w:rFonts w:ascii="Arial" w:hAnsi="Arial" w:cs="Arial"/>
          <w:b/>
          <w:sz w:val="24"/>
          <w:szCs w:val="24"/>
        </w:rPr>
      </w:pPr>
      <w:r w:rsidRPr="001C002E">
        <w:rPr>
          <w:rFonts w:ascii="Arial" w:hAnsi="Arial" w:cs="Arial"/>
          <w:b/>
          <w:sz w:val="24"/>
          <w:szCs w:val="24"/>
        </w:rPr>
        <w:t>CORAM:</w:t>
      </w:r>
      <w:r w:rsidRPr="001C002E">
        <w:rPr>
          <w:rFonts w:ascii="Arial" w:hAnsi="Arial" w:cs="Arial"/>
          <w:b/>
          <w:sz w:val="24"/>
          <w:szCs w:val="24"/>
        </w:rPr>
        <w:tab/>
      </w:r>
      <w:r w:rsidRPr="001C002E">
        <w:rPr>
          <w:rFonts w:ascii="Arial" w:hAnsi="Arial" w:cs="Arial"/>
          <w:b/>
          <w:sz w:val="24"/>
          <w:szCs w:val="24"/>
        </w:rPr>
        <w:tab/>
        <w:t>SMUTS, J</w:t>
      </w:r>
    </w:p>
    <w:p w:rsidR="00FE060F" w:rsidRDefault="00FE060F" w:rsidP="001C002E">
      <w:pPr>
        <w:spacing w:after="0" w:line="360" w:lineRule="auto"/>
        <w:jc w:val="both"/>
        <w:rPr>
          <w:rFonts w:ascii="Arial" w:hAnsi="Arial" w:cs="Arial"/>
          <w:sz w:val="24"/>
          <w:szCs w:val="24"/>
        </w:rPr>
      </w:pPr>
    </w:p>
    <w:p w:rsidR="00930F11" w:rsidRDefault="001C002E" w:rsidP="001C002E">
      <w:pPr>
        <w:spacing w:after="0" w:line="360" w:lineRule="auto"/>
        <w:jc w:val="both"/>
        <w:rPr>
          <w:rFonts w:ascii="Arial" w:hAnsi="Arial" w:cs="Arial"/>
          <w:sz w:val="24"/>
          <w:szCs w:val="24"/>
        </w:rPr>
      </w:pPr>
      <w:r w:rsidRPr="001C002E">
        <w:rPr>
          <w:rFonts w:ascii="Arial" w:hAnsi="Arial" w:cs="Arial"/>
          <w:sz w:val="24"/>
          <w:szCs w:val="24"/>
        </w:rPr>
        <w:t>Heard on:</w:t>
      </w:r>
      <w:r w:rsidRPr="001C002E">
        <w:rPr>
          <w:rFonts w:ascii="Arial" w:hAnsi="Arial" w:cs="Arial"/>
          <w:sz w:val="24"/>
          <w:szCs w:val="24"/>
        </w:rPr>
        <w:tab/>
      </w:r>
      <w:r w:rsidR="00FE060F">
        <w:rPr>
          <w:rFonts w:ascii="Arial" w:hAnsi="Arial" w:cs="Arial"/>
          <w:sz w:val="24"/>
          <w:szCs w:val="24"/>
        </w:rPr>
        <w:tab/>
      </w:r>
      <w:r w:rsidR="00802315">
        <w:rPr>
          <w:rFonts w:ascii="Arial" w:hAnsi="Arial" w:cs="Arial"/>
          <w:sz w:val="24"/>
          <w:szCs w:val="24"/>
        </w:rPr>
        <w:t>23</w:t>
      </w:r>
      <w:r w:rsidR="003A46F2">
        <w:rPr>
          <w:rFonts w:ascii="Arial" w:hAnsi="Arial" w:cs="Arial"/>
          <w:sz w:val="24"/>
          <w:szCs w:val="24"/>
        </w:rPr>
        <w:t xml:space="preserve"> November</w:t>
      </w:r>
      <w:r w:rsidR="00FE060F">
        <w:rPr>
          <w:rFonts w:ascii="Arial" w:hAnsi="Arial" w:cs="Arial"/>
          <w:sz w:val="24"/>
          <w:szCs w:val="24"/>
        </w:rPr>
        <w:t xml:space="preserve"> 2012</w:t>
      </w:r>
      <w:r w:rsidRPr="001C002E">
        <w:rPr>
          <w:rFonts w:ascii="Arial" w:hAnsi="Arial" w:cs="Arial"/>
          <w:sz w:val="24"/>
          <w:szCs w:val="24"/>
        </w:rPr>
        <w:tab/>
      </w:r>
    </w:p>
    <w:p w:rsidR="00BB776C" w:rsidRDefault="00FE060F" w:rsidP="001C002E">
      <w:pPr>
        <w:spacing w:after="0" w:line="360" w:lineRule="auto"/>
        <w:jc w:val="both"/>
        <w:rPr>
          <w:rFonts w:ascii="Arial" w:hAnsi="Arial" w:cs="Arial"/>
          <w:sz w:val="24"/>
          <w:szCs w:val="24"/>
        </w:rPr>
      </w:pPr>
      <w:r>
        <w:rPr>
          <w:rFonts w:ascii="Arial" w:hAnsi="Arial" w:cs="Arial"/>
          <w:sz w:val="24"/>
          <w:szCs w:val="24"/>
        </w:rPr>
        <w:t>Delivered on:</w:t>
      </w:r>
      <w:r>
        <w:rPr>
          <w:rFonts w:ascii="Arial" w:hAnsi="Arial" w:cs="Arial"/>
          <w:sz w:val="24"/>
          <w:szCs w:val="24"/>
        </w:rPr>
        <w:tab/>
        <w:t xml:space="preserve"> </w:t>
      </w:r>
      <w:r w:rsidR="005D1CEC">
        <w:rPr>
          <w:rFonts w:ascii="Arial" w:hAnsi="Arial" w:cs="Arial"/>
          <w:sz w:val="24"/>
          <w:szCs w:val="24"/>
        </w:rPr>
        <w:tab/>
      </w:r>
      <w:r w:rsidR="00106D34">
        <w:rPr>
          <w:rFonts w:ascii="Arial" w:hAnsi="Arial" w:cs="Arial"/>
          <w:sz w:val="24"/>
          <w:szCs w:val="24"/>
        </w:rPr>
        <w:t xml:space="preserve">  3 December 2012</w:t>
      </w:r>
    </w:p>
    <w:p w:rsidR="00106D34" w:rsidRDefault="00106D34" w:rsidP="00BE09AB">
      <w:pPr>
        <w:spacing w:after="0" w:line="360" w:lineRule="auto"/>
        <w:ind w:left="1440" w:hanging="1440"/>
        <w:jc w:val="both"/>
        <w:rPr>
          <w:rFonts w:ascii="Arial" w:hAnsi="Arial" w:cs="Arial"/>
          <w:b/>
          <w:sz w:val="24"/>
          <w:szCs w:val="24"/>
        </w:rPr>
      </w:pPr>
    </w:p>
    <w:p w:rsidR="001C002E" w:rsidRPr="001C002E" w:rsidRDefault="00BB776C" w:rsidP="00BE09AB">
      <w:pPr>
        <w:spacing w:after="0" w:line="360" w:lineRule="auto"/>
        <w:ind w:left="1440" w:hanging="1440"/>
        <w:jc w:val="both"/>
        <w:rPr>
          <w:rFonts w:ascii="Arial" w:hAnsi="Arial" w:cs="Arial"/>
          <w:sz w:val="24"/>
          <w:szCs w:val="24"/>
        </w:rPr>
      </w:pPr>
      <w:r w:rsidRPr="00BE09AB">
        <w:rPr>
          <w:rFonts w:ascii="Arial" w:hAnsi="Arial" w:cs="Arial"/>
          <w:b/>
          <w:sz w:val="24"/>
          <w:szCs w:val="24"/>
        </w:rPr>
        <w:t>Flynote:</w:t>
      </w:r>
      <w:r w:rsidR="00106D34">
        <w:rPr>
          <w:rFonts w:ascii="Arial" w:hAnsi="Arial" w:cs="Arial"/>
          <w:b/>
          <w:sz w:val="24"/>
          <w:szCs w:val="24"/>
        </w:rPr>
        <w:tab/>
      </w:r>
      <w:r w:rsidR="00EF53D3">
        <w:rPr>
          <w:rFonts w:ascii="Arial" w:hAnsi="Arial" w:cs="Arial"/>
          <w:sz w:val="24"/>
          <w:szCs w:val="24"/>
        </w:rPr>
        <w:t>Time period within which a c</w:t>
      </w:r>
      <w:r w:rsidR="00106D34">
        <w:rPr>
          <w:rFonts w:ascii="Arial" w:hAnsi="Arial" w:cs="Arial"/>
          <w:sz w:val="24"/>
          <w:szCs w:val="24"/>
        </w:rPr>
        <w:t xml:space="preserve">laim for constructive dismissal which </w:t>
      </w:r>
      <w:r w:rsidR="00EF53D3">
        <w:rPr>
          <w:rFonts w:ascii="Arial" w:hAnsi="Arial" w:cs="Arial"/>
          <w:sz w:val="24"/>
          <w:szCs w:val="24"/>
        </w:rPr>
        <w:t xml:space="preserve">had arisen </w:t>
      </w:r>
      <w:r w:rsidR="00106D34">
        <w:rPr>
          <w:rFonts w:ascii="Arial" w:hAnsi="Arial" w:cs="Arial"/>
          <w:sz w:val="24"/>
          <w:szCs w:val="24"/>
        </w:rPr>
        <w:t xml:space="preserve">prior to the commencement of Act 11 of 2007 to be determined with reference to s24 of Act 6 of 1992 – referral more than 7 years after cause of action arose – </w:t>
      </w:r>
      <w:r w:rsidR="00EF53D3">
        <w:rPr>
          <w:rFonts w:ascii="Arial" w:hAnsi="Arial" w:cs="Arial"/>
          <w:sz w:val="24"/>
          <w:szCs w:val="24"/>
        </w:rPr>
        <w:t>s16 of Prescribed</w:t>
      </w:r>
      <w:r w:rsidR="00106D34">
        <w:rPr>
          <w:rFonts w:ascii="Arial" w:hAnsi="Arial" w:cs="Arial"/>
          <w:sz w:val="24"/>
          <w:szCs w:val="24"/>
        </w:rPr>
        <w:t xml:space="preserve"> Act, 68 of 1969 applicable – claim prescribed</w:t>
      </w:r>
      <w:r w:rsidR="00BE09AB">
        <w:rPr>
          <w:rFonts w:ascii="Arial" w:hAnsi="Arial" w:cs="Arial"/>
          <w:sz w:val="24"/>
          <w:szCs w:val="24"/>
        </w:rPr>
        <w:tab/>
      </w:r>
    </w:p>
    <w:p w:rsidR="00BB776C" w:rsidRDefault="00BB776C" w:rsidP="001C002E">
      <w:pPr>
        <w:spacing w:after="0" w:line="240" w:lineRule="auto"/>
        <w:jc w:val="both"/>
        <w:rPr>
          <w:rFonts w:ascii="Arial" w:hAnsi="Arial" w:cs="Arial"/>
          <w:sz w:val="24"/>
          <w:szCs w:val="24"/>
        </w:rPr>
      </w:pPr>
    </w:p>
    <w:p w:rsidR="00053836" w:rsidRDefault="00053836" w:rsidP="00053836">
      <w:pPr>
        <w:pBdr>
          <w:top w:val="single" w:sz="12" w:space="1" w:color="auto"/>
          <w:bottom w:val="single" w:sz="12" w:space="1" w:color="auto"/>
        </w:pBdr>
        <w:spacing w:after="0" w:line="240" w:lineRule="auto"/>
        <w:jc w:val="center"/>
        <w:rPr>
          <w:rFonts w:ascii="Arial" w:hAnsi="Arial" w:cs="Arial"/>
          <w:b/>
          <w:sz w:val="24"/>
          <w:szCs w:val="24"/>
        </w:rPr>
      </w:pPr>
    </w:p>
    <w:p w:rsidR="00DD08EA" w:rsidRDefault="00DD08EA" w:rsidP="00053836">
      <w:pPr>
        <w:pBdr>
          <w:top w:val="single" w:sz="12" w:space="1" w:color="auto"/>
          <w:bottom w:val="single" w:sz="12" w:space="1" w:color="auto"/>
        </w:pBdr>
        <w:spacing w:after="0" w:line="240" w:lineRule="auto"/>
        <w:jc w:val="center"/>
        <w:rPr>
          <w:rFonts w:ascii="Arial" w:hAnsi="Arial" w:cs="Arial"/>
          <w:b/>
          <w:sz w:val="24"/>
          <w:szCs w:val="24"/>
        </w:rPr>
      </w:pPr>
      <w:r w:rsidRPr="00DD08EA">
        <w:rPr>
          <w:rFonts w:ascii="Arial" w:hAnsi="Arial" w:cs="Arial"/>
          <w:b/>
          <w:sz w:val="24"/>
          <w:szCs w:val="24"/>
        </w:rPr>
        <w:t>ORDER</w:t>
      </w:r>
    </w:p>
    <w:p w:rsidR="00053836" w:rsidRPr="00DD08EA" w:rsidRDefault="00053836" w:rsidP="00053836">
      <w:pPr>
        <w:pBdr>
          <w:top w:val="single" w:sz="12" w:space="1" w:color="auto"/>
          <w:bottom w:val="single" w:sz="12" w:space="1" w:color="auto"/>
        </w:pBdr>
        <w:spacing w:after="0" w:line="240" w:lineRule="auto"/>
        <w:jc w:val="center"/>
        <w:rPr>
          <w:rFonts w:ascii="Arial" w:hAnsi="Arial" w:cs="Arial"/>
          <w:b/>
          <w:sz w:val="24"/>
          <w:szCs w:val="24"/>
        </w:rPr>
      </w:pPr>
    </w:p>
    <w:p w:rsidR="00DD08EA" w:rsidRDefault="00DD08EA" w:rsidP="00DD08EA">
      <w:pPr>
        <w:spacing w:after="0" w:line="360" w:lineRule="auto"/>
        <w:jc w:val="both"/>
        <w:rPr>
          <w:rFonts w:ascii="Arial" w:hAnsi="Arial" w:cs="Arial"/>
          <w:sz w:val="24"/>
          <w:szCs w:val="24"/>
        </w:rPr>
      </w:pPr>
    </w:p>
    <w:p w:rsidR="007B490B" w:rsidRPr="00FF2266" w:rsidRDefault="00106D34" w:rsidP="009673E5">
      <w:pPr>
        <w:spacing w:after="0" w:line="360" w:lineRule="auto"/>
        <w:jc w:val="both"/>
        <w:rPr>
          <w:rFonts w:ascii="Arial" w:hAnsi="Arial" w:cs="Arial"/>
          <w:sz w:val="24"/>
          <w:szCs w:val="24"/>
        </w:rPr>
      </w:pPr>
      <w:r>
        <w:rPr>
          <w:rFonts w:ascii="Arial" w:hAnsi="Arial" w:cs="Arial"/>
          <w:sz w:val="24"/>
          <w:szCs w:val="24"/>
        </w:rPr>
        <w:lastRenderedPageBreak/>
        <w:t>The appeal against the finding of the arbitrator that the first respondent’s claim of constructive dismissal had not prescribed is upheld. No order as to costs.</w:t>
      </w:r>
    </w:p>
    <w:p w:rsidR="007B490B" w:rsidRDefault="007B490B" w:rsidP="007B490B">
      <w:pPr>
        <w:pBdr>
          <w:top w:val="single" w:sz="12" w:space="1" w:color="auto"/>
          <w:bottom w:val="single" w:sz="12" w:space="1" w:color="auto"/>
        </w:pBdr>
        <w:spacing w:after="0" w:line="240" w:lineRule="auto"/>
        <w:jc w:val="both"/>
        <w:rPr>
          <w:rFonts w:ascii="Arial" w:hAnsi="Arial" w:cs="Arial"/>
          <w:b/>
          <w:sz w:val="24"/>
          <w:szCs w:val="24"/>
        </w:rPr>
      </w:pPr>
    </w:p>
    <w:p w:rsidR="007B490B" w:rsidRDefault="007B490B" w:rsidP="007B490B">
      <w:pPr>
        <w:pBdr>
          <w:top w:val="single" w:sz="12" w:space="1" w:color="auto"/>
          <w:bottom w:val="single" w:sz="12" w:space="1" w:color="auto"/>
        </w:pBdr>
        <w:spacing w:after="0" w:line="240" w:lineRule="auto"/>
        <w:jc w:val="center"/>
        <w:rPr>
          <w:rFonts w:ascii="Arial" w:hAnsi="Arial" w:cs="Arial"/>
          <w:b/>
          <w:sz w:val="24"/>
          <w:szCs w:val="24"/>
        </w:rPr>
      </w:pPr>
      <w:r w:rsidRPr="007B490B">
        <w:rPr>
          <w:rFonts w:ascii="Arial" w:hAnsi="Arial" w:cs="Arial"/>
          <w:b/>
          <w:sz w:val="24"/>
          <w:szCs w:val="24"/>
        </w:rPr>
        <w:t>JUDGMENT</w:t>
      </w:r>
    </w:p>
    <w:p w:rsidR="007B490B" w:rsidRPr="007B490B" w:rsidRDefault="007B490B" w:rsidP="007B490B">
      <w:pPr>
        <w:pBdr>
          <w:top w:val="single" w:sz="12" w:space="1" w:color="auto"/>
          <w:bottom w:val="single" w:sz="12" w:space="1" w:color="auto"/>
        </w:pBdr>
        <w:spacing w:after="0" w:line="240" w:lineRule="auto"/>
        <w:jc w:val="center"/>
        <w:rPr>
          <w:rFonts w:ascii="Arial" w:hAnsi="Arial" w:cs="Arial"/>
          <w:b/>
          <w:sz w:val="24"/>
          <w:szCs w:val="24"/>
        </w:rPr>
      </w:pPr>
    </w:p>
    <w:p w:rsidR="007B490B" w:rsidRDefault="007B490B" w:rsidP="009673E5">
      <w:pPr>
        <w:spacing w:after="0" w:line="360" w:lineRule="auto"/>
        <w:jc w:val="both"/>
        <w:rPr>
          <w:rFonts w:ascii="Arial" w:hAnsi="Arial" w:cs="Arial"/>
          <w:b/>
          <w:sz w:val="24"/>
          <w:szCs w:val="24"/>
          <w:u w:val="single"/>
        </w:rPr>
      </w:pPr>
    </w:p>
    <w:p w:rsidR="006207D9" w:rsidRDefault="00A77E08" w:rsidP="009673E5">
      <w:pPr>
        <w:spacing w:after="0" w:line="360" w:lineRule="auto"/>
        <w:jc w:val="both"/>
        <w:rPr>
          <w:rFonts w:ascii="Arial" w:hAnsi="Arial" w:cs="Arial"/>
          <w:sz w:val="24"/>
          <w:szCs w:val="24"/>
        </w:rPr>
      </w:pPr>
      <w:r w:rsidRPr="001C002E">
        <w:rPr>
          <w:rFonts w:ascii="Arial" w:hAnsi="Arial" w:cs="Arial"/>
          <w:b/>
          <w:sz w:val="24"/>
          <w:szCs w:val="24"/>
          <w:u w:val="single"/>
        </w:rPr>
        <w:t>SMUTS, J</w:t>
      </w:r>
      <w:r w:rsidR="001C002E" w:rsidRPr="001C002E">
        <w:rPr>
          <w:rFonts w:ascii="Arial" w:hAnsi="Arial" w:cs="Arial"/>
          <w:sz w:val="24"/>
          <w:szCs w:val="24"/>
        </w:rPr>
        <w:tab/>
      </w:r>
      <w:r w:rsidR="000415EC">
        <w:rPr>
          <w:rFonts w:ascii="Arial" w:hAnsi="Arial" w:cs="Arial"/>
          <w:sz w:val="24"/>
          <w:szCs w:val="24"/>
        </w:rPr>
        <w:t xml:space="preserve"> [1]</w:t>
      </w:r>
      <w:r w:rsidR="000415EC">
        <w:rPr>
          <w:rFonts w:ascii="Arial" w:hAnsi="Arial" w:cs="Arial"/>
          <w:sz w:val="24"/>
          <w:szCs w:val="24"/>
        </w:rPr>
        <w:tab/>
      </w:r>
      <w:r w:rsidR="00AA18A9">
        <w:rPr>
          <w:rFonts w:ascii="Arial" w:hAnsi="Arial" w:cs="Arial"/>
          <w:sz w:val="24"/>
          <w:szCs w:val="24"/>
        </w:rPr>
        <w:t>T</w:t>
      </w:r>
      <w:r w:rsidR="006207D9">
        <w:rPr>
          <w:rFonts w:ascii="Arial" w:hAnsi="Arial" w:cs="Arial"/>
          <w:sz w:val="24"/>
          <w:szCs w:val="24"/>
        </w:rPr>
        <w:t xml:space="preserve">his is an appeal </w:t>
      </w:r>
      <w:r w:rsidR="003A46F2">
        <w:rPr>
          <w:rFonts w:ascii="Arial" w:hAnsi="Arial" w:cs="Arial"/>
          <w:sz w:val="24"/>
          <w:szCs w:val="24"/>
        </w:rPr>
        <w:t xml:space="preserve">in terms of section s89 of the Labour Act, 11 of 2007 (the Act) against </w:t>
      </w:r>
      <w:r w:rsidR="00106D34">
        <w:rPr>
          <w:rFonts w:ascii="Arial" w:hAnsi="Arial" w:cs="Arial"/>
          <w:sz w:val="24"/>
          <w:szCs w:val="24"/>
        </w:rPr>
        <w:t>a ruling</w:t>
      </w:r>
      <w:r w:rsidR="003A46F2">
        <w:rPr>
          <w:rFonts w:ascii="Arial" w:hAnsi="Arial" w:cs="Arial"/>
          <w:sz w:val="24"/>
          <w:szCs w:val="24"/>
        </w:rPr>
        <w:t xml:space="preserve"> of an arbitrator </w:t>
      </w:r>
      <w:r w:rsidR="00C73453">
        <w:rPr>
          <w:rFonts w:ascii="Arial" w:hAnsi="Arial" w:cs="Arial"/>
          <w:sz w:val="24"/>
          <w:szCs w:val="24"/>
        </w:rPr>
        <w:t>rejec</w:t>
      </w:r>
      <w:r w:rsidR="00106D34">
        <w:rPr>
          <w:rFonts w:ascii="Arial" w:hAnsi="Arial" w:cs="Arial"/>
          <w:sz w:val="24"/>
          <w:szCs w:val="24"/>
        </w:rPr>
        <w:t>ting the appellant’s invocation</w:t>
      </w:r>
      <w:r w:rsidR="00C73453">
        <w:rPr>
          <w:rFonts w:ascii="Arial" w:hAnsi="Arial" w:cs="Arial"/>
          <w:sz w:val="24"/>
          <w:szCs w:val="24"/>
        </w:rPr>
        <w:t xml:space="preserve"> of prescription against the first respondent’s</w:t>
      </w:r>
      <w:r w:rsidR="00EF53D3">
        <w:rPr>
          <w:rFonts w:ascii="Arial" w:hAnsi="Arial" w:cs="Arial"/>
          <w:sz w:val="24"/>
          <w:szCs w:val="24"/>
        </w:rPr>
        <w:t xml:space="preserve"> constructive dismissal</w:t>
      </w:r>
      <w:r w:rsidR="00C73453">
        <w:rPr>
          <w:rFonts w:ascii="Arial" w:hAnsi="Arial" w:cs="Arial"/>
          <w:sz w:val="24"/>
          <w:szCs w:val="24"/>
        </w:rPr>
        <w:t xml:space="preserve"> complaint lodged more than seven years after the cause of action had </w:t>
      </w:r>
      <w:r w:rsidR="00AD0FE2">
        <w:rPr>
          <w:rFonts w:ascii="Arial" w:hAnsi="Arial" w:cs="Arial"/>
          <w:sz w:val="24"/>
          <w:szCs w:val="24"/>
        </w:rPr>
        <w:t>a</w:t>
      </w:r>
      <w:r w:rsidR="00C73453">
        <w:rPr>
          <w:rFonts w:ascii="Arial" w:hAnsi="Arial" w:cs="Arial"/>
          <w:sz w:val="24"/>
          <w:szCs w:val="24"/>
        </w:rPr>
        <w:t>risen.</w:t>
      </w:r>
    </w:p>
    <w:p w:rsidR="00E930CC" w:rsidRDefault="00E930CC" w:rsidP="009673E5">
      <w:pPr>
        <w:spacing w:after="0" w:line="360" w:lineRule="auto"/>
        <w:jc w:val="both"/>
        <w:rPr>
          <w:rFonts w:ascii="Arial" w:hAnsi="Arial" w:cs="Arial"/>
          <w:sz w:val="24"/>
          <w:szCs w:val="24"/>
        </w:rPr>
      </w:pPr>
    </w:p>
    <w:p w:rsidR="00106D34" w:rsidRDefault="00E930CC" w:rsidP="009673E5">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w:t>
      </w:r>
      <w:r w:rsidR="00C73453">
        <w:rPr>
          <w:rFonts w:ascii="Arial" w:hAnsi="Arial" w:cs="Arial"/>
          <w:sz w:val="24"/>
          <w:szCs w:val="24"/>
        </w:rPr>
        <w:t>first respondent (whom I shall referred to as the respondent in this judgment) is himself a principal conciliator and arbitrator officer employed with</w:t>
      </w:r>
      <w:r w:rsidR="00AD0FE2">
        <w:rPr>
          <w:rFonts w:ascii="Arial" w:hAnsi="Arial" w:cs="Arial"/>
          <w:sz w:val="24"/>
          <w:szCs w:val="24"/>
        </w:rPr>
        <w:t>in</w:t>
      </w:r>
      <w:r w:rsidR="00C73453">
        <w:rPr>
          <w:rFonts w:ascii="Arial" w:hAnsi="Arial" w:cs="Arial"/>
          <w:sz w:val="24"/>
          <w:szCs w:val="24"/>
        </w:rPr>
        <w:t xml:space="preserve"> the</w:t>
      </w:r>
      <w:r w:rsidR="00AD0FE2">
        <w:rPr>
          <w:rFonts w:ascii="Arial" w:hAnsi="Arial" w:cs="Arial"/>
          <w:sz w:val="24"/>
          <w:szCs w:val="24"/>
        </w:rPr>
        <w:t xml:space="preserve"> office of the</w:t>
      </w:r>
      <w:r w:rsidR="00106D34">
        <w:rPr>
          <w:rFonts w:ascii="Arial" w:hAnsi="Arial" w:cs="Arial"/>
          <w:sz w:val="24"/>
          <w:szCs w:val="24"/>
        </w:rPr>
        <w:t xml:space="preserve"> Labour Commissioner.</w:t>
      </w:r>
      <w:r w:rsidR="00C73453">
        <w:rPr>
          <w:rFonts w:ascii="Arial" w:hAnsi="Arial" w:cs="Arial"/>
          <w:sz w:val="24"/>
          <w:szCs w:val="24"/>
        </w:rPr>
        <w:t xml:space="preserve"> </w:t>
      </w:r>
      <w:r w:rsidR="00106D34">
        <w:rPr>
          <w:rFonts w:ascii="Arial" w:hAnsi="Arial" w:cs="Arial"/>
          <w:sz w:val="24"/>
          <w:szCs w:val="24"/>
        </w:rPr>
        <w:t>The latter</w:t>
      </w:r>
      <w:r w:rsidR="00AD0FE2">
        <w:rPr>
          <w:rFonts w:ascii="Arial" w:hAnsi="Arial" w:cs="Arial"/>
          <w:sz w:val="24"/>
          <w:szCs w:val="24"/>
        </w:rPr>
        <w:t xml:space="preserve"> is </w:t>
      </w:r>
      <w:r w:rsidR="00C73453">
        <w:rPr>
          <w:rFonts w:ascii="Arial" w:hAnsi="Arial" w:cs="Arial"/>
          <w:sz w:val="24"/>
          <w:szCs w:val="24"/>
        </w:rPr>
        <w:t>c</w:t>
      </w:r>
      <w:r w:rsidR="00AD0FE2">
        <w:rPr>
          <w:rFonts w:ascii="Arial" w:hAnsi="Arial" w:cs="Arial"/>
          <w:sz w:val="24"/>
          <w:szCs w:val="24"/>
        </w:rPr>
        <w:t>ited as the second respondent. Th</w:t>
      </w:r>
      <w:r w:rsidR="00C73453">
        <w:rPr>
          <w:rFonts w:ascii="Arial" w:hAnsi="Arial" w:cs="Arial"/>
          <w:sz w:val="24"/>
          <w:szCs w:val="24"/>
        </w:rPr>
        <w:t xml:space="preserve">e </w:t>
      </w:r>
      <w:r w:rsidR="00AD0FE2">
        <w:rPr>
          <w:rFonts w:ascii="Arial" w:hAnsi="Arial" w:cs="Arial"/>
          <w:sz w:val="24"/>
          <w:szCs w:val="24"/>
        </w:rPr>
        <w:t>arbit</w:t>
      </w:r>
      <w:r w:rsidR="00106D34">
        <w:rPr>
          <w:rFonts w:ascii="Arial" w:hAnsi="Arial" w:cs="Arial"/>
          <w:sz w:val="24"/>
          <w:szCs w:val="24"/>
        </w:rPr>
        <w:t xml:space="preserve">rator is cited </w:t>
      </w:r>
      <w:r w:rsidR="00AD0FE2">
        <w:rPr>
          <w:rFonts w:ascii="Arial" w:hAnsi="Arial" w:cs="Arial"/>
          <w:sz w:val="24"/>
          <w:szCs w:val="24"/>
        </w:rPr>
        <w:t>as the third respondent. The notice of appeal and record and some further matter ha</w:t>
      </w:r>
      <w:r w:rsidR="00EF53D3">
        <w:rPr>
          <w:rFonts w:ascii="Arial" w:hAnsi="Arial" w:cs="Arial"/>
          <w:sz w:val="24"/>
          <w:szCs w:val="24"/>
        </w:rPr>
        <w:t>ve</w:t>
      </w:r>
      <w:r w:rsidR="00AD0FE2">
        <w:rPr>
          <w:rFonts w:ascii="Arial" w:hAnsi="Arial" w:cs="Arial"/>
          <w:sz w:val="24"/>
          <w:szCs w:val="24"/>
        </w:rPr>
        <w:t xml:space="preserve"> been served on the second and third respondents. They do not oppose the appeal and have not placed any material before this court. </w:t>
      </w:r>
    </w:p>
    <w:p w:rsidR="00106D34" w:rsidRDefault="00106D34" w:rsidP="009673E5">
      <w:pPr>
        <w:spacing w:after="0" w:line="360" w:lineRule="auto"/>
        <w:jc w:val="both"/>
        <w:rPr>
          <w:rFonts w:ascii="Arial" w:hAnsi="Arial" w:cs="Arial"/>
          <w:sz w:val="24"/>
          <w:szCs w:val="24"/>
        </w:rPr>
      </w:pPr>
    </w:p>
    <w:p w:rsidR="00FE060F" w:rsidRDefault="00106D34" w:rsidP="009673E5">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AD0FE2">
        <w:rPr>
          <w:rFonts w:ascii="Arial" w:hAnsi="Arial" w:cs="Arial"/>
          <w:sz w:val="24"/>
          <w:szCs w:val="24"/>
        </w:rPr>
        <w:t xml:space="preserve">The respondent </w:t>
      </w:r>
      <w:r w:rsidR="00C73453">
        <w:rPr>
          <w:rFonts w:ascii="Arial" w:hAnsi="Arial" w:cs="Arial"/>
          <w:sz w:val="24"/>
          <w:szCs w:val="24"/>
        </w:rPr>
        <w:t>claims that he was constructively dismissed by the appellant in May 2001</w:t>
      </w:r>
      <w:r w:rsidR="00AD0FE2">
        <w:rPr>
          <w:rFonts w:ascii="Arial" w:hAnsi="Arial" w:cs="Arial"/>
          <w:sz w:val="24"/>
          <w:szCs w:val="24"/>
        </w:rPr>
        <w:t>. He</w:t>
      </w:r>
      <w:r w:rsidR="00C73453">
        <w:rPr>
          <w:rFonts w:ascii="Arial" w:hAnsi="Arial" w:cs="Arial"/>
          <w:sz w:val="24"/>
          <w:szCs w:val="24"/>
        </w:rPr>
        <w:t xml:space="preserve"> only referred the dispute to the Labour Commissioner on 11 September 2009. His referral was coupled with an application for condonation for the late filing of the </w:t>
      </w:r>
      <w:r w:rsidR="0059653E">
        <w:rPr>
          <w:rFonts w:ascii="Arial" w:hAnsi="Arial" w:cs="Arial"/>
          <w:sz w:val="24"/>
          <w:szCs w:val="24"/>
        </w:rPr>
        <w:t>referral/complaint. In it</w:t>
      </w:r>
      <w:r w:rsidR="00EF53D3">
        <w:rPr>
          <w:rFonts w:ascii="Arial" w:hAnsi="Arial" w:cs="Arial"/>
          <w:sz w:val="24"/>
          <w:szCs w:val="24"/>
        </w:rPr>
        <w:t>,</w:t>
      </w:r>
      <w:r w:rsidR="0059653E">
        <w:rPr>
          <w:rFonts w:ascii="Arial" w:hAnsi="Arial" w:cs="Arial"/>
          <w:sz w:val="24"/>
          <w:szCs w:val="24"/>
        </w:rPr>
        <w:t xml:space="preserve"> he stated</w:t>
      </w:r>
      <w:r w:rsidR="00C73453">
        <w:rPr>
          <w:rFonts w:ascii="Arial" w:hAnsi="Arial" w:cs="Arial"/>
          <w:sz w:val="24"/>
          <w:szCs w:val="24"/>
        </w:rPr>
        <w:t xml:space="preserve"> that he only realized that he had constructively dismissed in 2003 because, so he alleged, the appellant had kept fact</w:t>
      </w:r>
      <w:r>
        <w:rPr>
          <w:rFonts w:ascii="Arial" w:hAnsi="Arial" w:cs="Arial"/>
          <w:sz w:val="24"/>
          <w:szCs w:val="24"/>
        </w:rPr>
        <w:t>s</w:t>
      </w:r>
      <w:r w:rsidR="00C73453">
        <w:rPr>
          <w:rFonts w:ascii="Arial" w:hAnsi="Arial" w:cs="Arial"/>
          <w:sz w:val="24"/>
          <w:szCs w:val="24"/>
        </w:rPr>
        <w:t xml:space="preserve"> secret from him. The appellant objec</w:t>
      </w:r>
      <w:r>
        <w:rPr>
          <w:rFonts w:ascii="Arial" w:hAnsi="Arial" w:cs="Arial"/>
          <w:sz w:val="24"/>
          <w:szCs w:val="24"/>
        </w:rPr>
        <w:t>ted to the application for cond</w:t>
      </w:r>
      <w:r w:rsidR="00C73453">
        <w:rPr>
          <w:rFonts w:ascii="Arial" w:hAnsi="Arial" w:cs="Arial"/>
          <w:sz w:val="24"/>
          <w:szCs w:val="24"/>
        </w:rPr>
        <w:t xml:space="preserve">onation and raised the issue of prescription before the arbitrator. The arbitrator however found that the </w:t>
      </w:r>
      <w:r>
        <w:rPr>
          <w:rFonts w:ascii="Arial" w:hAnsi="Arial" w:cs="Arial"/>
          <w:sz w:val="24"/>
          <w:szCs w:val="24"/>
        </w:rPr>
        <w:t>Prescription A</w:t>
      </w:r>
      <w:r w:rsidR="000E0585">
        <w:rPr>
          <w:rFonts w:ascii="Arial" w:hAnsi="Arial" w:cs="Arial"/>
          <w:sz w:val="24"/>
          <w:szCs w:val="24"/>
        </w:rPr>
        <w:t>ct</w:t>
      </w:r>
      <w:r w:rsidR="00572F83">
        <w:rPr>
          <w:rFonts w:ascii="Arial" w:hAnsi="Arial" w:cs="Arial"/>
          <w:sz w:val="24"/>
          <w:szCs w:val="24"/>
        </w:rPr>
        <w:t>, 68 of 1969</w:t>
      </w:r>
      <w:r w:rsidR="000E0585">
        <w:rPr>
          <w:rFonts w:ascii="Arial" w:hAnsi="Arial" w:cs="Arial"/>
          <w:sz w:val="24"/>
          <w:szCs w:val="24"/>
        </w:rPr>
        <w:t xml:space="preserve"> did not apply to labour matters. The appellant has appealed against that ruling made </w:t>
      </w:r>
      <w:r w:rsidR="00572F83">
        <w:rPr>
          <w:rFonts w:ascii="Arial" w:hAnsi="Arial" w:cs="Arial"/>
          <w:sz w:val="24"/>
          <w:szCs w:val="24"/>
        </w:rPr>
        <w:t xml:space="preserve">on 29 </w:t>
      </w:r>
      <w:r w:rsidR="000E0585">
        <w:rPr>
          <w:rFonts w:ascii="Arial" w:hAnsi="Arial" w:cs="Arial"/>
          <w:sz w:val="24"/>
          <w:szCs w:val="24"/>
        </w:rPr>
        <w:t>October 2009.</w:t>
      </w:r>
    </w:p>
    <w:p w:rsidR="00FE060F" w:rsidRDefault="00FE060F" w:rsidP="009673E5">
      <w:pPr>
        <w:spacing w:after="0" w:line="360" w:lineRule="auto"/>
        <w:jc w:val="both"/>
        <w:rPr>
          <w:rFonts w:ascii="Arial" w:hAnsi="Arial" w:cs="Arial"/>
          <w:sz w:val="24"/>
          <w:szCs w:val="24"/>
        </w:rPr>
      </w:pPr>
    </w:p>
    <w:p w:rsidR="00685224" w:rsidRDefault="00FE060F" w:rsidP="009673E5">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0E0585">
        <w:rPr>
          <w:rFonts w:ascii="Arial" w:hAnsi="Arial" w:cs="Arial"/>
          <w:sz w:val="24"/>
          <w:szCs w:val="24"/>
        </w:rPr>
        <w:t xml:space="preserve">This appeal was in July 2012 set down for hearing </w:t>
      </w:r>
      <w:r w:rsidR="00EF53D3">
        <w:rPr>
          <w:rFonts w:ascii="Arial" w:hAnsi="Arial" w:cs="Arial"/>
          <w:sz w:val="24"/>
          <w:szCs w:val="24"/>
        </w:rPr>
        <w:t xml:space="preserve">on </w:t>
      </w:r>
      <w:r w:rsidR="000E0585">
        <w:rPr>
          <w:rFonts w:ascii="Arial" w:hAnsi="Arial" w:cs="Arial"/>
          <w:sz w:val="24"/>
          <w:szCs w:val="24"/>
        </w:rPr>
        <w:t>23 November 2012. The appellant served and filed its heads of argument timeously on 12 November 2012.</w:t>
      </w:r>
    </w:p>
    <w:p w:rsidR="00685224" w:rsidRDefault="00685224" w:rsidP="009673E5">
      <w:pPr>
        <w:spacing w:after="0" w:line="360" w:lineRule="auto"/>
        <w:jc w:val="both"/>
        <w:rPr>
          <w:rFonts w:ascii="Arial" w:hAnsi="Arial" w:cs="Arial"/>
          <w:sz w:val="24"/>
          <w:szCs w:val="24"/>
        </w:rPr>
      </w:pPr>
    </w:p>
    <w:p w:rsidR="00581C8B" w:rsidRDefault="00D770B5" w:rsidP="009673E5">
      <w:pPr>
        <w:spacing w:after="0" w:line="360" w:lineRule="auto"/>
        <w:jc w:val="both"/>
        <w:rPr>
          <w:rFonts w:ascii="Arial" w:hAnsi="Arial" w:cs="Arial"/>
          <w:sz w:val="24"/>
          <w:szCs w:val="24"/>
        </w:rPr>
      </w:pPr>
      <w:r>
        <w:rPr>
          <w:rFonts w:ascii="Arial" w:hAnsi="Arial" w:cs="Arial"/>
          <w:sz w:val="24"/>
          <w:szCs w:val="24"/>
        </w:rPr>
        <w:lastRenderedPageBreak/>
        <w:t>[4</w:t>
      </w:r>
      <w:r w:rsidR="00685224">
        <w:rPr>
          <w:rFonts w:ascii="Arial" w:hAnsi="Arial" w:cs="Arial"/>
          <w:sz w:val="24"/>
          <w:szCs w:val="24"/>
        </w:rPr>
        <w:t>]</w:t>
      </w:r>
      <w:r w:rsidR="00685224">
        <w:rPr>
          <w:rFonts w:ascii="Arial" w:hAnsi="Arial" w:cs="Arial"/>
          <w:sz w:val="24"/>
          <w:szCs w:val="24"/>
        </w:rPr>
        <w:tab/>
      </w:r>
      <w:r w:rsidR="000E0585">
        <w:rPr>
          <w:rFonts w:ascii="Arial" w:hAnsi="Arial" w:cs="Arial"/>
          <w:sz w:val="24"/>
          <w:szCs w:val="24"/>
        </w:rPr>
        <w:t xml:space="preserve">The respondent had however at no stage filed a notice to oppose the appeal. Nor had he filed grounds of opposition, as is required by rule 17(16), despite having been alerted to the need to do so by the appellant in June 2012. </w:t>
      </w:r>
    </w:p>
    <w:p w:rsidR="001C1DBB" w:rsidRDefault="001C1DBB" w:rsidP="009673E5">
      <w:pPr>
        <w:spacing w:after="0" w:line="360" w:lineRule="auto"/>
        <w:jc w:val="both"/>
        <w:rPr>
          <w:rFonts w:ascii="Arial" w:hAnsi="Arial" w:cs="Arial"/>
          <w:sz w:val="24"/>
          <w:szCs w:val="24"/>
        </w:rPr>
      </w:pPr>
    </w:p>
    <w:p w:rsidR="00581C8B" w:rsidRDefault="00581C8B" w:rsidP="009673E5">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0E0585">
        <w:rPr>
          <w:rFonts w:ascii="Arial" w:hAnsi="Arial" w:cs="Arial"/>
          <w:sz w:val="24"/>
          <w:szCs w:val="24"/>
        </w:rPr>
        <w:t>On 21 November 2012 – and thus only one clear court day before the hearing</w:t>
      </w:r>
      <w:r w:rsidR="00572F83">
        <w:rPr>
          <w:rFonts w:ascii="Arial" w:hAnsi="Arial" w:cs="Arial"/>
          <w:sz w:val="24"/>
          <w:szCs w:val="24"/>
        </w:rPr>
        <w:t xml:space="preserve"> of this </w:t>
      </w:r>
      <w:r w:rsidR="00EF53D3">
        <w:rPr>
          <w:rFonts w:ascii="Arial" w:hAnsi="Arial" w:cs="Arial"/>
          <w:sz w:val="24"/>
          <w:szCs w:val="24"/>
        </w:rPr>
        <w:t>appeal</w:t>
      </w:r>
      <w:r w:rsidR="000E0585">
        <w:rPr>
          <w:rFonts w:ascii="Arial" w:hAnsi="Arial" w:cs="Arial"/>
          <w:sz w:val="24"/>
          <w:szCs w:val="24"/>
        </w:rPr>
        <w:t xml:space="preserve"> – the respondent filed an application seeking condonation for the late filing of </w:t>
      </w:r>
      <w:r w:rsidR="0059653E">
        <w:rPr>
          <w:rFonts w:ascii="Arial" w:hAnsi="Arial" w:cs="Arial"/>
          <w:sz w:val="24"/>
          <w:szCs w:val="24"/>
        </w:rPr>
        <w:t>a</w:t>
      </w:r>
      <w:r w:rsidR="000E0585">
        <w:rPr>
          <w:rFonts w:ascii="Arial" w:hAnsi="Arial" w:cs="Arial"/>
          <w:sz w:val="24"/>
          <w:szCs w:val="24"/>
        </w:rPr>
        <w:t xml:space="preserve"> notice to oppose the appeal and seeking the postponement of the appeal itself. In this application, the respondent</w:t>
      </w:r>
      <w:r w:rsidR="0059653E">
        <w:rPr>
          <w:rFonts w:ascii="Arial" w:hAnsi="Arial" w:cs="Arial"/>
          <w:sz w:val="24"/>
          <w:szCs w:val="24"/>
        </w:rPr>
        <w:t>’s</w:t>
      </w:r>
      <w:r w:rsidR="000E0585">
        <w:rPr>
          <w:rFonts w:ascii="Arial" w:hAnsi="Arial" w:cs="Arial"/>
          <w:sz w:val="24"/>
          <w:szCs w:val="24"/>
        </w:rPr>
        <w:t xml:space="preserve"> legal practitioner, Mr Ntinda said that the two</w:t>
      </w:r>
      <w:r w:rsidR="0059653E">
        <w:rPr>
          <w:rFonts w:ascii="Arial" w:hAnsi="Arial" w:cs="Arial"/>
          <w:sz w:val="24"/>
          <w:szCs w:val="24"/>
        </w:rPr>
        <w:t xml:space="preserve"> other</w:t>
      </w:r>
      <w:r w:rsidR="000E0585">
        <w:rPr>
          <w:rFonts w:ascii="Arial" w:hAnsi="Arial" w:cs="Arial"/>
          <w:sz w:val="24"/>
          <w:szCs w:val="24"/>
        </w:rPr>
        <w:t xml:space="preserve"> practitioners within this firm who had previously had the conduct of the matter were no longer with that firm. He further said that he</w:t>
      </w:r>
      <w:r w:rsidR="00EF53D3">
        <w:rPr>
          <w:rFonts w:ascii="Arial" w:hAnsi="Arial" w:cs="Arial"/>
          <w:sz w:val="24"/>
          <w:szCs w:val="24"/>
        </w:rPr>
        <w:t xml:space="preserve"> had</w:t>
      </w:r>
      <w:r w:rsidR="000E0585">
        <w:rPr>
          <w:rFonts w:ascii="Arial" w:hAnsi="Arial" w:cs="Arial"/>
          <w:sz w:val="24"/>
          <w:szCs w:val="24"/>
        </w:rPr>
        <w:t xml:space="preserve"> inherited the matter only on 19 November 2012 following the departure </w:t>
      </w:r>
      <w:r w:rsidR="00572F83">
        <w:rPr>
          <w:rFonts w:ascii="Arial" w:hAnsi="Arial" w:cs="Arial"/>
          <w:sz w:val="24"/>
          <w:szCs w:val="24"/>
        </w:rPr>
        <w:t xml:space="preserve">on 16 November 2012 </w:t>
      </w:r>
      <w:r w:rsidR="000E0585">
        <w:rPr>
          <w:rFonts w:ascii="Arial" w:hAnsi="Arial" w:cs="Arial"/>
          <w:sz w:val="24"/>
          <w:szCs w:val="24"/>
        </w:rPr>
        <w:t xml:space="preserve">of his </w:t>
      </w:r>
      <w:r w:rsidR="00572F83">
        <w:rPr>
          <w:rFonts w:ascii="Arial" w:hAnsi="Arial" w:cs="Arial"/>
          <w:sz w:val="24"/>
          <w:szCs w:val="24"/>
        </w:rPr>
        <w:t>colleague</w:t>
      </w:r>
      <w:r w:rsidR="000E0585">
        <w:rPr>
          <w:rFonts w:ascii="Arial" w:hAnsi="Arial" w:cs="Arial"/>
          <w:sz w:val="24"/>
          <w:szCs w:val="24"/>
        </w:rPr>
        <w:t xml:space="preserve"> from that firm. He</w:t>
      </w:r>
      <w:r w:rsidR="00611D06">
        <w:rPr>
          <w:rFonts w:ascii="Arial" w:hAnsi="Arial" w:cs="Arial"/>
          <w:sz w:val="24"/>
          <w:szCs w:val="24"/>
        </w:rPr>
        <w:t xml:space="preserve"> further stated that he s</w:t>
      </w:r>
      <w:r w:rsidR="000E0585">
        <w:rPr>
          <w:rFonts w:ascii="Arial" w:hAnsi="Arial" w:cs="Arial"/>
          <w:sz w:val="24"/>
          <w:szCs w:val="24"/>
        </w:rPr>
        <w:t>ought the agreement of the appellant’s legal practitioner to file heads of argument on 21 November 2012</w:t>
      </w:r>
      <w:r w:rsidR="00611D06">
        <w:rPr>
          <w:rFonts w:ascii="Arial" w:hAnsi="Arial" w:cs="Arial"/>
          <w:sz w:val="24"/>
          <w:szCs w:val="24"/>
        </w:rPr>
        <w:t xml:space="preserve">. This had not been </w:t>
      </w:r>
      <w:r w:rsidR="00572F83">
        <w:rPr>
          <w:rFonts w:ascii="Arial" w:hAnsi="Arial" w:cs="Arial"/>
          <w:sz w:val="24"/>
          <w:szCs w:val="24"/>
        </w:rPr>
        <w:t>forthcoming</w:t>
      </w:r>
      <w:r w:rsidR="00611D06">
        <w:rPr>
          <w:rFonts w:ascii="Arial" w:hAnsi="Arial" w:cs="Arial"/>
          <w:sz w:val="24"/>
          <w:szCs w:val="24"/>
        </w:rPr>
        <w:t xml:space="preserve">. </w:t>
      </w:r>
      <w:r w:rsidR="0059653E">
        <w:rPr>
          <w:rFonts w:ascii="Arial" w:hAnsi="Arial" w:cs="Arial"/>
          <w:sz w:val="24"/>
          <w:szCs w:val="24"/>
        </w:rPr>
        <w:t>However, instead</w:t>
      </w:r>
      <w:r w:rsidR="00611D06">
        <w:rPr>
          <w:rFonts w:ascii="Arial" w:hAnsi="Arial" w:cs="Arial"/>
          <w:sz w:val="24"/>
          <w:szCs w:val="24"/>
        </w:rPr>
        <w:t xml:space="preserve"> of filling heads of argument with an application for condonation, the application for postponement was filed together with an application to condone the late filing of the notice to oppose the appeal</w:t>
      </w:r>
      <w:r w:rsidR="0059653E">
        <w:rPr>
          <w:rFonts w:ascii="Arial" w:hAnsi="Arial" w:cs="Arial"/>
          <w:sz w:val="24"/>
          <w:szCs w:val="24"/>
        </w:rPr>
        <w:t>.</w:t>
      </w:r>
      <w:r w:rsidR="00611D06">
        <w:rPr>
          <w:rFonts w:ascii="Arial" w:hAnsi="Arial" w:cs="Arial"/>
          <w:sz w:val="24"/>
          <w:szCs w:val="24"/>
        </w:rPr>
        <w:t xml:space="preserve"> </w:t>
      </w:r>
      <w:r w:rsidR="0059653E">
        <w:rPr>
          <w:rFonts w:ascii="Arial" w:hAnsi="Arial" w:cs="Arial"/>
          <w:sz w:val="24"/>
          <w:szCs w:val="24"/>
        </w:rPr>
        <w:t>There was no</w:t>
      </w:r>
      <w:r w:rsidR="00611D06">
        <w:rPr>
          <w:rFonts w:ascii="Arial" w:hAnsi="Arial" w:cs="Arial"/>
          <w:sz w:val="24"/>
          <w:szCs w:val="24"/>
        </w:rPr>
        <w:t xml:space="preserve"> application to condone the failure to ha</w:t>
      </w:r>
      <w:r w:rsidR="0059653E">
        <w:rPr>
          <w:rFonts w:ascii="Arial" w:hAnsi="Arial" w:cs="Arial"/>
          <w:sz w:val="24"/>
          <w:szCs w:val="24"/>
        </w:rPr>
        <w:t>ve</w:t>
      </w:r>
      <w:r w:rsidR="00611D06">
        <w:rPr>
          <w:rFonts w:ascii="Arial" w:hAnsi="Arial" w:cs="Arial"/>
          <w:sz w:val="24"/>
          <w:szCs w:val="24"/>
        </w:rPr>
        <w:t xml:space="preserve"> filed a notice setting out </w:t>
      </w:r>
      <w:r w:rsidR="0059653E">
        <w:rPr>
          <w:rFonts w:ascii="Arial" w:hAnsi="Arial" w:cs="Arial"/>
          <w:sz w:val="24"/>
          <w:szCs w:val="24"/>
        </w:rPr>
        <w:t xml:space="preserve">the grounds </w:t>
      </w:r>
      <w:r w:rsidR="00572F83">
        <w:rPr>
          <w:rFonts w:ascii="Arial" w:hAnsi="Arial" w:cs="Arial"/>
          <w:sz w:val="24"/>
          <w:szCs w:val="24"/>
        </w:rPr>
        <w:t>of</w:t>
      </w:r>
      <w:r w:rsidR="0059653E">
        <w:rPr>
          <w:rFonts w:ascii="Arial" w:hAnsi="Arial" w:cs="Arial"/>
          <w:sz w:val="24"/>
          <w:szCs w:val="24"/>
        </w:rPr>
        <w:t xml:space="preserve"> opposition to</w:t>
      </w:r>
      <w:r w:rsidR="00611D06">
        <w:rPr>
          <w:rFonts w:ascii="Arial" w:hAnsi="Arial" w:cs="Arial"/>
          <w:sz w:val="24"/>
          <w:szCs w:val="24"/>
        </w:rPr>
        <w:t xml:space="preserve"> the appeal. No adequate reasons were contained in this postponement application</w:t>
      </w:r>
      <w:r w:rsidR="0059653E">
        <w:rPr>
          <w:rFonts w:ascii="Arial" w:hAnsi="Arial" w:cs="Arial"/>
          <w:sz w:val="24"/>
          <w:szCs w:val="24"/>
        </w:rPr>
        <w:t xml:space="preserve">. Nor is it explained </w:t>
      </w:r>
      <w:r w:rsidR="00611D06">
        <w:rPr>
          <w:rFonts w:ascii="Arial" w:hAnsi="Arial" w:cs="Arial"/>
          <w:sz w:val="24"/>
          <w:szCs w:val="24"/>
        </w:rPr>
        <w:t xml:space="preserve">why heads could not have been prepared at </w:t>
      </w:r>
      <w:r w:rsidR="00572F83">
        <w:rPr>
          <w:rFonts w:ascii="Arial" w:hAnsi="Arial" w:cs="Arial"/>
          <w:sz w:val="24"/>
          <w:szCs w:val="24"/>
        </w:rPr>
        <w:t>that</w:t>
      </w:r>
      <w:r w:rsidR="00611D06">
        <w:rPr>
          <w:rFonts w:ascii="Arial" w:hAnsi="Arial" w:cs="Arial"/>
          <w:sz w:val="24"/>
          <w:szCs w:val="24"/>
        </w:rPr>
        <w:t xml:space="preserve"> late stage and condonation sought.</w:t>
      </w:r>
    </w:p>
    <w:p w:rsidR="00742554" w:rsidRDefault="00742554" w:rsidP="009673E5">
      <w:pPr>
        <w:spacing w:after="0" w:line="360" w:lineRule="auto"/>
        <w:jc w:val="both"/>
        <w:rPr>
          <w:rFonts w:ascii="Arial" w:hAnsi="Arial" w:cs="Arial"/>
          <w:sz w:val="24"/>
          <w:szCs w:val="24"/>
        </w:rPr>
      </w:pPr>
    </w:p>
    <w:p w:rsidR="00971F75" w:rsidRDefault="00742554" w:rsidP="009673E5">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w:t>
      </w:r>
      <w:r w:rsidR="00611D06">
        <w:rPr>
          <w:rFonts w:ascii="Arial" w:hAnsi="Arial" w:cs="Arial"/>
          <w:sz w:val="24"/>
          <w:szCs w:val="24"/>
        </w:rPr>
        <w:t>appellant oppose</w:t>
      </w:r>
      <w:r w:rsidR="0059653E">
        <w:rPr>
          <w:rFonts w:ascii="Arial" w:hAnsi="Arial" w:cs="Arial"/>
          <w:sz w:val="24"/>
          <w:szCs w:val="24"/>
        </w:rPr>
        <w:t>d</w:t>
      </w:r>
      <w:r w:rsidR="00611D06">
        <w:rPr>
          <w:rFonts w:ascii="Arial" w:hAnsi="Arial" w:cs="Arial"/>
          <w:sz w:val="24"/>
          <w:szCs w:val="24"/>
        </w:rPr>
        <w:t xml:space="preserve"> the postponement application and filed an </w:t>
      </w:r>
      <w:r w:rsidR="00572F83">
        <w:rPr>
          <w:rFonts w:ascii="Arial" w:hAnsi="Arial" w:cs="Arial"/>
          <w:sz w:val="24"/>
          <w:szCs w:val="24"/>
        </w:rPr>
        <w:t>answering</w:t>
      </w:r>
      <w:r w:rsidR="00611D06">
        <w:rPr>
          <w:rFonts w:ascii="Arial" w:hAnsi="Arial" w:cs="Arial"/>
          <w:sz w:val="24"/>
          <w:szCs w:val="24"/>
        </w:rPr>
        <w:t xml:space="preserve"> affidavit in support of that opposition. The appellant rightly criticized the vague allegations made by Mr Ntinda as to the handover of the file to him by his predecessor. There was also reference to </w:t>
      </w:r>
      <w:r w:rsidR="00572F83">
        <w:rPr>
          <w:rFonts w:ascii="Arial" w:hAnsi="Arial" w:cs="Arial"/>
          <w:sz w:val="24"/>
          <w:szCs w:val="24"/>
        </w:rPr>
        <w:t xml:space="preserve">earlier </w:t>
      </w:r>
      <w:r w:rsidR="00611D06">
        <w:rPr>
          <w:rFonts w:ascii="Arial" w:hAnsi="Arial" w:cs="Arial"/>
          <w:sz w:val="24"/>
          <w:szCs w:val="24"/>
        </w:rPr>
        <w:t xml:space="preserve">correspondence in which it was expressly pointed out to the respondent’s legal practitioners already in June of 2012 that a notice of the opposition to the appeal had not been filed and of the need to do so urgently.  </w:t>
      </w:r>
    </w:p>
    <w:p w:rsidR="00971F75" w:rsidRDefault="00971F75" w:rsidP="009673E5">
      <w:pPr>
        <w:spacing w:after="0" w:line="360" w:lineRule="auto"/>
        <w:jc w:val="both"/>
        <w:rPr>
          <w:rFonts w:ascii="Arial" w:hAnsi="Arial" w:cs="Arial"/>
          <w:sz w:val="24"/>
          <w:szCs w:val="24"/>
        </w:rPr>
      </w:pPr>
    </w:p>
    <w:p w:rsidR="00742554" w:rsidRDefault="00971F75" w:rsidP="009673E5">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611D06">
        <w:rPr>
          <w:rFonts w:ascii="Arial" w:hAnsi="Arial" w:cs="Arial"/>
          <w:sz w:val="24"/>
          <w:szCs w:val="24"/>
        </w:rPr>
        <w:t>The appellant also squ</w:t>
      </w:r>
      <w:r w:rsidR="0059653E">
        <w:rPr>
          <w:rFonts w:ascii="Arial" w:hAnsi="Arial" w:cs="Arial"/>
          <w:sz w:val="24"/>
          <w:szCs w:val="24"/>
        </w:rPr>
        <w:t>arely</w:t>
      </w:r>
      <w:r w:rsidR="00611D06">
        <w:rPr>
          <w:rFonts w:ascii="Arial" w:hAnsi="Arial" w:cs="Arial"/>
          <w:sz w:val="24"/>
          <w:szCs w:val="24"/>
        </w:rPr>
        <w:t xml:space="preserve"> took issue with the respondent’s assertion of strong prospect of success in opposing the appeal. Those</w:t>
      </w:r>
      <w:r w:rsidR="0059653E">
        <w:rPr>
          <w:rFonts w:ascii="Arial" w:hAnsi="Arial" w:cs="Arial"/>
          <w:sz w:val="24"/>
          <w:szCs w:val="24"/>
        </w:rPr>
        <w:t xml:space="preserve"> aspects a</w:t>
      </w:r>
      <w:r w:rsidR="00023DBA">
        <w:rPr>
          <w:rFonts w:ascii="Arial" w:hAnsi="Arial" w:cs="Arial"/>
          <w:sz w:val="24"/>
          <w:szCs w:val="24"/>
        </w:rPr>
        <w:t>re dealt with more fully</w:t>
      </w:r>
      <w:r w:rsidR="00572F83">
        <w:rPr>
          <w:rFonts w:ascii="Arial" w:hAnsi="Arial" w:cs="Arial"/>
          <w:sz w:val="24"/>
          <w:szCs w:val="24"/>
        </w:rPr>
        <w:t xml:space="preserve"> below</w:t>
      </w:r>
      <w:r w:rsidR="00023DBA">
        <w:rPr>
          <w:rFonts w:ascii="Arial" w:hAnsi="Arial" w:cs="Arial"/>
          <w:sz w:val="24"/>
          <w:szCs w:val="24"/>
        </w:rPr>
        <w:t xml:space="preserve"> in dealing with the merits of the appeal.</w:t>
      </w:r>
    </w:p>
    <w:p w:rsidR="00EC434A" w:rsidRDefault="00EC434A" w:rsidP="009673E5">
      <w:pPr>
        <w:spacing w:after="0" w:line="360" w:lineRule="auto"/>
        <w:jc w:val="both"/>
        <w:rPr>
          <w:rFonts w:ascii="Arial" w:hAnsi="Arial" w:cs="Arial"/>
          <w:sz w:val="24"/>
          <w:szCs w:val="24"/>
        </w:rPr>
      </w:pPr>
    </w:p>
    <w:p w:rsidR="008247CB" w:rsidRDefault="00971F75" w:rsidP="009673E5">
      <w:pPr>
        <w:spacing w:after="0" w:line="360" w:lineRule="auto"/>
        <w:jc w:val="both"/>
        <w:rPr>
          <w:rFonts w:ascii="Arial" w:hAnsi="Arial" w:cs="Arial"/>
          <w:sz w:val="24"/>
          <w:szCs w:val="24"/>
        </w:rPr>
      </w:pPr>
      <w:r>
        <w:rPr>
          <w:rFonts w:ascii="Arial" w:hAnsi="Arial" w:cs="Arial"/>
          <w:sz w:val="24"/>
          <w:szCs w:val="24"/>
        </w:rPr>
        <w:lastRenderedPageBreak/>
        <w:t>[8</w:t>
      </w:r>
      <w:r w:rsidR="00EC434A">
        <w:rPr>
          <w:rFonts w:ascii="Arial" w:hAnsi="Arial" w:cs="Arial"/>
          <w:sz w:val="24"/>
          <w:szCs w:val="24"/>
        </w:rPr>
        <w:t>]</w:t>
      </w:r>
      <w:r w:rsidR="00EC434A">
        <w:rPr>
          <w:rFonts w:ascii="Arial" w:hAnsi="Arial" w:cs="Arial"/>
          <w:sz w:val="24"/>
          <w:szCs w:val="24"/>
        </w:rPr>
        <w:tab/>
      </w:r>
      <w:r w:rsidR="00023DBA">
        <w:rPr>
          <w:rFonts w:ascii="Arial" w:hAnsi="Arial" w:cs="Arial"/>
          <w:sz w:val="24"/>
          <w:szCs w:val="24"/>
        </w:rPr>
        <w:t>The legal principles governing a</w:t>
      </w:r>
      <w:r w:rsidR="0059653E">
        <w:rPr>
          <w:rFonts w:ascii="Arial" w:hAnsi="Arial" w:cs="Arial"/>
          <w:sz w:val="24"/>
          <w:szCs w:val="24"/>
        </w:rPr>
        <w:t>pplications for postponements w</w:t>
      </w:r>
      <w:r w:rsidR="00023DBA">
        <w:rPr>
          <w:rFonts w:ascii="Arial" w:hAnsi="Arial" w:cs="Arial"/>
          <w:sz w:val="24"/>
          <w:szCs w:val="24"/>
        </w:rPr>
        <w:t>ere, with respect, l</w:t>
      </w:r>
      <w:r w:rsidR="0059653E">
        <w:rPr>
          <w:rFonts w:ascii="Arial" w:hAnsi="Arial" w:cs="Arial"/>
          <w:sz w:val="24"/>
          <w:szCs w:val="24"/>
        </w:rPr>
        <w:t>ucidly</w:t>
      </w:r>
      <w:r w:rsidR="00023DBA">
        <w:rPr>
          <w:rFonts w:ascii="Arial" w:hAnsi="Arial" w:cs="Arial"/>
          <w:sz w:val="24"/>
          <w:szCs w:val="24"/>
        </w:rPr>
        <w:t xml:space="preserve"> summarized by the Supreme Court </w:t>
      </w:r>
      <w:r w:rsidR="0059653E">
        <w:rPr>
          <w:rFonts w:ascii="Arial" w:hAnsi="Arial" w:cs="Arial"/>
          <w:sz w:val="24"/>
          <w:szCs w:val="24"/>
        </w:rPr>
        <w:t>in</w:t>
      </w:r>
      <w:r w:rsidR="00023DBA">
        <w:rPr>
          <w:rFonts w:ascii="Arial" w:hAnsi="Arial" w:cs="Arial"/>
          <w:sz w:val="24"/>
          <w:szCs w:val="24"/>
        </w:rPr>
        <w:t xml:space="preserve"> Myburgh Transport v Botha t/a SA Truck Bod</w:t>
      </w:r>
      <w:r w:rsidR="0059653E">
        <w:rPr>
          <w:rFonts w:ascii="Arial" w:hAnsi="Arial" w:cs="Arial"/>
          <w:sz w:val="24"/>
          <w:szCs w:val="24"/>
        </w:rPr>
        <w:t>ies</w:t>
      </w:r>
      <w:r w:rsidR="00322910">
        <w:rPr>
          <w:rStyle w:val="FootnoteReference"/>
          <w:rFonts w:ascii="Arial" w:hAnsi="Arial" w:cs="Arial"/>
          <w:sz w:val="24"/>
          <w:szCs w:val="24"/>
        </w:rPr>
        <w:footnoteReference w:id="1"/>
      </w:r>
      <w:r w:rsidR="00322910">
        <w:rPr>
          <w:rFonts w:ascii="Arial" w:hAnsi="Arial" w:cs="Arial"/>
          <w:sz w:val="24"/>
          <w:szCs w:val="24"/>
        </w:rPr>
        <w:t>. In applying those principles to the respondent’s application for postponement, it becomes clear that the explanation provided in support of</w:t>
      </w:r>
      <w:r w:rsidR="00917E8A">
        <w:rPr>
          <w:rFonts w:ascii="Arial" w:hAnsi="Arial" w:cs="Arial"/>
          <w:sz w:val="24"/>
          <w:szCs w:val="24"/>
        </w:rPr>
        <w:t xml:space="preserve"> the application for postponement is hopelessly inadequate and falls markedly short of the standards for applications of this nature.</w:t>
      </w:r>
      <w:r w:rsidR="00022EFE">
        <w:rPr>
          <w:rFonts w:ascii="Arial" w:hAnsi="Arial" w:cs="Arial"/>
          <w:sz w:val="24"/>
          <w:szCs w:val="24"/>
        </w:rPr>
        <w:t xml:space="preserve"> When the matter was argued, Mr Ntinda submitted that there was no prejudice to the appellant if the appeal were to be opposed. I then enquired from him on</w:t>
      </w:r>
      <w:r w:rsidR="0059653E">
        <w:rPr>
          <w:rFonts w:ascii="Arial" w:hAnsi="Arial" w:cs="Arial"/>
          <w:sz w:val="24"/>
          <w:szCs w:val="24"/>
        </w:rPr>
        <w:t xml:space="preserve"> no less than</w:t>
      </w:r>
      <w:r w:rsidR="00022EFE">
        <w:rPr>
          <w:rFonts w:ascii="Arial" w:hAnsi="Arial" w:cs="Arial"/>
          <w:sz w:val="24"/>
          <w:szCs w:val="24"/>
        </w:rPr>
        <w:t xml:space="preserve"> three occasions as to whether the respondent tendered the appellant’s</w:t>
      </w:r>
      <w:r w:rsidR="008247CB">
        <w:rPr>
          <w:rFonts w:ascii="Arial" w:hAnsi="Arial" w:cs="Arial"/>
          <w:sz w:val="24"/>
          <w:szCs w:val="24"/>
        </w:rPr>
        <w:t xml:space="preserve"> wasted costs of the hearing on 23 November 2012. On each occasion</w:t>
      </w:r>
      <w:r w:rsidR="00022EFE">
        <w:rPr>
          <w:rFonts w:ascii="Arial" w:hAnsi="Arial" w:cs="Arial"/>
          <w:sz w:val="24"/>
          <w:szCs w:val="24"/>
        </w:rPr>
        <w:t xml:space="preserve">, he declined to make such a tender on behalf of the respondent. Not only is that </w:t>
      </w:r>
      <w:r w:rsidR="008247CB">
        <w:rPr>
          <w:rFonts w:ascii="Arial" w:hAnsi="Arial" w:cs="Arial"/>
          <w:sz w:val="24"/>
          <w:szCs w:val="24"/>
        </w:rPr>
        <w:t xml:space="preserve">form of </w:t>
      </w:r>
      <w:r w:rsidR="00022EFE">
        <w:rPr>
          <w:rFonts w:ascii="Arial" w:hAnsi="Arial" w:cs="Arial"/>
          <w:sz w:val="24"/>
          <w:szCs w:val="24"/>
        </w:rPr>
        <w:t>prejudice thus self eviden</w:t>
      </w:r>
      <w:r w:rsidR="008247CB">
        <w:rPr>
          <w:rFonts w:ascii="Arial" w:hAnsi="Arial" w:cs="Arial"/>
          <w:sz w:val="24"/>
          <w:szCs w:val="24"/>
        </w:rPr>
        <w:t>t</w:t>
      </w:r>
      <w:r w:rsidR="00022EFE">
        <w:rPr>
          <w:rFonts w:ascii="Arial" w:hAnsi="Arial" w:cs="Arial"/>
          <w:sz w:val="24"/>
          <w:szCs w:val="24"/>
        </w:rPr>
        <w:t xml:space="preserve"> in view of the provisions of s118 of the Labour Act in respect of costs,</w:t>
      </w:r>
      <w:r w:rsidR="008247CB">
        <w:rPr>
          <w:rFonts w:ascii="Arial" w:hAnsi="Arial" w:cs="Arial"/>
          <w:sz w:val="24"/>
          <w:szCs w:val="24"/>
        </w:rPr>
        <w:t xml:space="preserve"> (by reason of the fact that a court would only award costs if parties </w:t>
      </w:r>
      <w:r w:rsidR="00572F83">
        <w:rPr>
          <w:rFonts w:ascii="Arial" w:hAnsi="Arial" w:cs="Arial"/>
          <w:sz w:val="24"/>
          <w:szCs w:val="24"/>
        </w:rPr>
        <w:t>acted frivolously or vex</w:t>
      </w:r>
      <w:r w:rsidR="008247CB">
        <w:rPr>
          <w:rFonts w:ascii="Arial" w:hAnsi="Arial" w:cs="Arial"/>
          <w:sz w:val="24"/>
          <w:szCs w:val="24"/>
        </w:rPr>
        <w:t>aciously)</w:t>
      </w:r>
      <w:r w:rsidR="00022EFE">
        <w:rPr>
          <w:rFonts w:ascii="Arial" w:hAnsi="Arial" w:cs="Arial"/>
          <w:sz w:val="24"/>
          <w:szCs w:val="24"/>
        </w:rPr>
        <w:t xml:space="preserve"> but Mr Maasdorp also pointed out the prejudice to the respondent of a further delay in the </w:t>
      </w:r>
      <w:r w:rsidR="00EA4ABB">
        <w:rPr>
          <w:rFonts w:ascii="Arial" w:hAnsi="Arial" w:cs="Arial"/>
          <w:sz w:val="24"/>
          <w:szCs w:val="24"/>
        </w:rPr>
        <w:t xml:space="preserve">finalization of the matter, as </w:t>
      </w:r>
      <w:r w:rsidR="008247CB">
        <w:rPr>
          <w:rFonts w:ascii="Arial" w:hAnsi="Arial" w:cs="Arial"/>
          <w:sz w:val="24"/>
          <w:szCs w:val="24"/>
        </w:rPr>
        <w:t>set out</w:t>
      </w:r>
      <w:r w:rsidR="00EA4ABB">
        <w:rPr>
          <w:rFonts w:ascii="Arial" w:hAnsi="Arial" w:cs="Arial"/>
          <w:sz w:val="24"/>
          <w:szCs w:val="24"/>
        </w:rPr>
        <w:t xml:space="preserve"> in the appellant’s opposing affidavit. This relates to the declining health of the appellant’s </w:t>
      </w:r>
      <w:r w:rsidR="008247CB">
        <w:rPr>
          <w:rFonts w:ascii="Arial" w:hAnsi="Arial" w:cs="Arial"/>
          <w:sz w:val="24"/>
          <w:szCs w:val="24"/>
        </w:rPr>
        <w:t xml:space="preserve">principal witness, being its former </w:t>
      </w:r>
      <w:r w:rsidR="00EA4ABB">
        <w:rPr>
          <w:rFonts w:ascii="Arial" w:hAnsi="Arial" w:cs="Arial"/>
          <w:sz w:val="24"/>
          <w:szCs w:val="24"/>
        </w:rPr>
        <w:t xml:space="preserve">Managing Director who is resident in Mauritius. Mr Maasdorp also </w:t>
      </w:r>
      <w:r w:rsidR="008247CB">
        <w:rPr>
          <w:rFonts w:ascii="Arial" w:hAnsi="Arial" w:cs="Arial"/>
          <w:sz w:val="24"/>
          <w:szCs w:val="24"/>
        </w:rPr>
        <w:t xml:space="preserve">rightly </w:t>
      </w:r>
      <w:r w:rsidR="00EA4ABB">
        <w:rPr>
          <w:rFonts w:ascii="Arial" w:hAnsi="Arial" w:cs="Arial"/>
          <w:sz w:val="24"/>
          <w:szCs w:val="24"/>
        </w:rPr>
        <w:t>referred to the considerable pass</w:t>
      </w:r>
      <w:r w:rsidR="008247CB">
        <w:rPr>
          <w:rFonts w:ascii="Arial" w:hAnsi="Arial" w:cs="Arial"/>
          <w:sz w:val="24"/>
          <w:szCs w:val="24"/>
        </w:rPr>
        <w:t>age</w:t>
      </w:r>
      <w:r w:rsidR="00EA4ABB">
        <w:rPr>
          <w:rFonts w:ascii="Arial" w:hAnsi="Arial" w:cs="Arial"/>
          <w:sz w:val="24"/>
          <w:szCs w:val="24"/>
        </w:rPr>
        <w:t xml:space="preserve"> of time since the ruling appealed against</w:t>
      </w:r>
      <w:r w:rsidR="008247CB">
        <w:rPr>
          <w:rFonts w:ascii="Arial" w:hAnsi="Arial" w:cs="Arial"/>
          <w:sz w:val="24"/>
          <w:szCs w:val="24"/>
        </w:rPr>
        <w:t xml:space="preserve"> had been made</w:t>
      </w:r>
      <w:r w:rsidR="00EA4ABB">
        <w:rPr>
          <w:rFonts w:ascii="Arial" w:hAnsi="Arial" w:cs="Arial"/>
          <w:sz w:val="24"/>
          <w:szCs w:val="24"/>
        </w:rPr>
        <w:t xml:space="preserve">, namely more than three years and eleven and </w:t>
      </w:r>
      <w:r w:rsidR="00572F83">
        <w:rPr>
          <w:rFonts w:ascii="Arial" w:hAnsi="Arial" w:cs="Arial"/>
          <w:sz w:val="24"/>
          <w:szCs w:val="24"/>
        </w:rPr>
        <w:t xml:space="preserve">a </w:t>
      </w:r>
      <w:r w:rsidR="00EA4ABB">
        <w:rPr>
          <w:rFonts w:ascii="Arial" w:hAnsi="Arial" w:cs="Arial"/>
          <w:sz w:val="24"/>
          <w:szCs w:val="24"/>
        </w:rPr>
        <w:t xml:space="preserve">half years after cause of action had </w:t>
      </w:r>
      <w:r w:rsidR="008247CB">
        <w:rPr>
          <w:rFonts w:ascii="Arial" w:hAnsi="Arial" w:cs="Arial"/>
          <w:sz w:val="24"/>
          <w:szCs w:val="24"/>
        </w:rPr>
        <w:t>a</w:t>
      </w:r>
      <w:r w:rsidR="00EA4ABB">
        <w:rPr>
          <w:rFonts w:ascii="Arial" w:hAnsi="Arial" w:cs="Arial"/>
          <w:sz w:val="24"/>
          <w:szCs w:val="24"/>
        </w:rPr>
        <w:t xml:space="preserve">risen. He </w:t>
      </w:r>
      <w:r w:rsidR="008247CB">
        <w:rPr>
          <w:rFonts w:ascii="Arial" w:hAnsi="Arial" w:cs="Arial"/>
          <w:sz w:val="24"/>
          <w:szCs w:val="24"/>
        </w:rPr>
        <w:t xml:space="preserve">also </w:t>
      </w:r>
      <w:r w:rsidR="00EA4ABB">
        <w:rPr>
          <w:rFonts w:ascii="Arial" w:hAnsi="Arial" w:cs="Arial"/>
          <w:sz w:val="24"/>
          <w:szCs w:val="24"/>
        </w:rPr>
        <w:t xml:space="preserve">referred to the need identified in the Act and the rules promulgated </w:t>
      </w:r>
      <w:r w:rsidR="008247CB">
        <w:rPr>
          <w:rFonts w:ascii="Arial" w:hAnsi="Arial" w:cs="Arial"/>
          <w:sz w:val="24"/>
          <w:szCs w:val="24"/>
        </w:rPr>
        <w:t xml:space="preserve">under the Act </w:t>
      </w:r>
      <w:r w:rsidR="00EF53D3">
        <w:rPr>
          <w:rFonts w:ascii="Arial" w:hAnsi="Arial" w:cs="Arial"/>
          <w:sz w:val="24"/>
          <w:szCs w:val="24"/>
        </w:rPr>
        <w:t>of</w:t>
      </w:r>
      <w:r w:rsidR="00EA4ABB">
        <w:rPr>
          <w:rFonts w:ascii="Arial" w:hAnsi="Arial" w:cs="Arial"/>
          <w:sz w:val="24"/>
          <w:szCs w:val="24"/>
        </w:rPr>
        <w:t xml:space="preserve"> expeditious</w:t>
      </w:r>
      <w:r w:rsidR="00EF53D3">
        <w:rPr>
          <w:rFonts w:ascii="Arial" w:hAnsi="Arial" w:cs="Arial"/>
          <w:sz w:val="24"/>
          <w:szCs w:val="24"/>
        </w:rPr>
        <w:t>ly</w:t>
      </w:r>
      <w:r w:rsidR="00EA4ABB">
        <w:rPr>
          <w:rFonts w:ascii="Arial" w:hAnsi="Arial" w:cs="Arial"/>
          <w:sz w:val="24"/>
          <w:szCs w:val="24"/>
        </w:rPr>
        <w:t xml:space="preserve"> finaliz</w:t>
      </w:r>
      <w:r w:rsidR="00EF53D3">
        <w:rPr>
          <w:rFonts w:ascii="Arial" w:hAnsi="Arial" w:cs="Arial"/>
          <w:sz w:val="24"/>
          <w:szCs w:val="24"/>
        </w:rPr>
        <w:t>ing</w:t>
      </w:r>
      <w:r w:rsidR="00EA4ABB">
        <w:rPr>
          <w:rFonts w:ascii="Arial" w:hAnsi="Arial" w:cs="Arial"/>
          <w:sz w:val="24"/>
          <w:szCs w:val="24"/>
        </w:rPr>
        <w:t xml:space="preserve"> proceedings. </w:t>
      </w:r>
    </w:p>
    <w:p w:rsidR="008247CB" w:rsidRDefault="008247CB" w:rsidP="009673E5">
      <w:pPr>
        <w:spacing w:after="0" w:line="360" w:lineRule="auto"/>
        <w:jc w:val="both"/>
        <w:rPr>
          <w:rFonts w:ascii="Arial" w:hAnsi="Arial" w:cs="Arial"/>
          <w:sz w:val="24"/>
          <w:szCs w:val="24"/>
        </w:rPr>
      </w:pPr>
    </w:p>
    <w:p w:rsidR="00EC434A" w:rsidRDefault="008247CB" w:rsidP="009673E5">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EA4ABB">
        <w:rPr>
          <w:rFonts w:ascii="Arial" w:hAnsi="Arial" w:cs="Arial"/>
          <w:sz w:val="24"/>
          <w:szCs w:val="24"/>
        </w:rPr>
        <w:t xml:space="preserve">Taking into account the entirely inadequate explanation for the late bringing of the application together with the prejudice to be sustained by the appellant, in </w:t>
      </w:r>
      <w:r w:rsidR="00A53A3D">
        <w:rPr>
          <w:rFonts w:ascii="Arial" w:hAnsi="Arial" w:cs="Arial"/>
          <w:sz w:val="24"/>
          <w:szCs w:val="24"/>
        </w:rPr>
        <w:t xml:space="preserve">the </w:t>
      </w:r>
      <w:r w:rsidR="00EA4ABB">
        <w:rPr>
          <w:rFonts w:ascii="Arial" w:hAnsi="Arial" w:cs="Arial"/>
          <w:sz w:val="24"/>
          <w:szCs w:val="24"/>
        </w:rPr>
        <w:t xml:space="preserve">exercise of my discretion I refused the application for </w:t>
      </w:r>
      <w:r w:rsidR="00A814B4">
        <w:rPr>
          <w:rFonts w:ascii="Arial" w:hAnsi="Arial" w:cs="Arial"/>
          <w:sz w:val="24"/>
          <w:szCs w:val="24"/>
        </w:rPr>
        <w:t>postponement and</w:t>
      </w:r>
      <w:r w:rsidR="00EA4ABB">
        <w:rPr>
          <w:rFonts w:ascii="Arial" w:hAnsi="Arial" w:cs="Arial"/>
          <w:sz w:val="24"/>
          <w:szCs w:val="24"/>
        </w:rPr>
        <w:t xml:space="preserve"> directed that the appeal should proceed</w:t>
      </w:r>
      <w:r>
        <w:rPr>
          <w:rFonts w:ascii="Arial" w:hAnsi="Arial" w:cs="Arial"/>
          <w:sz w:val="24"/>
          <w:szCs w:val="24"/>
        </w:rPr>
        <w:t>.</w:t>
      </w:r>
      <w:r w:rsidR="00EA4ABB">
        <w:rPr>
          <w:rFonts w:ascii="Arial" w:hAnsi="Arial" w:cs="Arial"/>
          <w:sz w:val="24"/>
          <w:szCs w:val="24"/>
        </w:rPr>
        <w:t xml:space="preserve"> </w:t>
      </w:r>
      <w:r>
        <w:rPr>
          <w:rFonts w:ascii="Arial" w:hAnsi="Arial" w:cs="Arial"/>
          <w:sz w:val="24"/>
          <w:szCs w:val="24"/>
        </w:rPr>
        <w:t>Given</w:t>
      </w:r>
      <w:r w:rsidR="00EA4ABB">
        <w:rPr>
          <w:rFonts w:ascii="Arial" w:hAnsi="Arial" w:cs="Arial"/>
          <w:sz w:val="24"/>
          <w:szCs w:val="24"/>
        </w:rPr>
        <w:t xml:space="preserve"> the fact that Mr Ntinda had in his affidavit made submissions concerning the pros</w:t>
      </w:r>
      <w:r w:rsidR="00A814B4">
        <w:rPr>
          <w:rFonts w:ascii="Arial" w:hAnsi="Arial" w:cs="Arial"/>
          <w:sz w:val="24"/>
          <w:szCs w:val="24"/>
        </w:rPr>
        <w:t>pect of success and the merit</w:t>
      </w:r>
      <w:r>
        <w:rPr>
          <w:rFonts w:ascii="Arial" w:hAnsi="Arial" w:cs="Arial"/>
          <w:sz w:val="24"/>
          <w:szCs w:val="24"/>
        </w:rPr>
        <w:t>s</w:t>
      </w:r>
      <w:r w:rsidR="00A814B4">
        <w:rPr>
          <w:rFonts w:ascii="Arial" w:hAnsi="Arial" w:cs="Arial"/>
          <w:sz w:val="24"/>
          <w:szCs w:val="24"/>
        </w:rPr>
        <w:t xml:space="preserve"> of the appeal, I </w:t>
      </w:r>
      <w:r>
        <w:rPr>
          <w:rFonts w:ascii="Arial" w:hAnsi="Arial" w:cs="Arial"/>
          <w:sz w:val="24"/>
          <w:szCs w:val="24"/>
        </w:rPr>
        <w:t>granted leave to him to</w:t>
      </w:r>
      <w:r w:rsidR="00A814B4">
        <w:rPr>
          <w:rFonts w:ascii="Arial" w:hAnsi="Arial" w:cs="Arial"/>
          <w:sz w:val="24"/>
          <w:szCs w:val="24"/>
        </w:rPr>
        <w:t xml:space="preserve"> address oral argument in opposition to the appeal, which he did</w:t>
      </w:r>
      <w:r>
        <w:rPr>
          <w:rFonts w:ascii="Arial" w:hAnsi="Arial" w:cs="Arial"/>
          <w:sz w:val="24"/>
          <w:szCs w:val="24"/>
        </w:rPr>
        <w:t xml:space="preserve">, even though </w:t>
      </w:r>
      <w:r w:rsidR="00572F83">
        <w:rPr>
          <w:rFonts w:ascii="Arial" w:hAnsi="Arial" w:cs="Arial"/>
          <w:sz w:val="24"/>
          <w:szCs w:val="24"/>
        </w:rPr>
        <w:t xml:space="preserve">neither </w:t>
      </w:r>
      <w:r>
        <w:rPr>
          <w:rFonts w:ascii="Arial" w:hAnsi="Arial" w:cs="Arial"/>
          <w:sz w:val="24"/>
          <w:szCs w:val="24"/>
        </w:rPr>
        <w:t xml:space="preserve">heads </w:t>
      </w:r>
      <w:r w:rsidR="00572F83">
        <w:rPr>
          <w:rFonts w:ascii="Arial" w:hAnsi="Arial" w:cs="Arial"/>
          <w:sz w:val="24"/>
          <w:szCs w:val="24"/>
        </w:rPr>
        <w:t>n</w:t>
      </w:r>
      <w:r>
        <w:rPr>
          <w:rFonts w:ascii="Arial" w:hAnsi="Arial" w:cs="Arial"/>
          <w:sz w:val="24"/>
          <w:szCs w:val="24"/>
        </w:rPr>
        <w:t>or the grounds of opposition had been provided</w:t>
      </w:r>
      <w:r w:rsidR="00A814B4">
        <w:rPr>
          <w:rFonts w:ascii="Arial" w:hAnsi="Arial" w:cs="Arial"/>
          <w:sz w:val="24"/>
          <w:szCs w:val="24"/>
        </w:rPr>
        <w:t>.</w:t>
      </w:r>
    </w:p>
    <w:p w:rsidR="006E3D8B" w:rsidRDefault="006E3D8B" w:rsidP="009673E5">
      <w:pPr>
        <w:spacing w:after="0" w:line="360" w:lineRule="auto"/>
        <w:jc w:val="both"/>
        <w:rPr>
          <w:rFonts w:ascii="Arial" w:hAnsi="Arial" w:cs="Arial"/>
          <w:sz w:val="24"/>
          <w:szCs w:val="24"/>
        </w:rPr>
      </w:pPr>
    </w:p>
    <w:p w:rsidR="006E3D8B" w:rsidRDefault="00EF53D3" w:rsidP="009673E5">
      <w:pPr>
        <w:spacing w:after="0" w:line="360" w:lineRule="auto"/>
        <w:jc w:val="both"/>
        <w:rPr>
          <w:rFonts w:ascii="Arial" w:hAnsi="Arial" w:cs="Arial"/>
          <w:sz w:val="24"/>
          <w:szCs w:val="24"/>
        </w:rPr>
      </w:pPr>
      <w:r>
        <w:rPr>
          <w:rFonts w:ascii="Arial" w:hAnsi="Arial" w:cs="Arial"/>
          <w:sz w:val="24"/>
          <w:szCs w:val="24"/>
        </w:rPr>
        <w:lastRenderedPageBreak/>
        <w:t>[10</w:t>
      </w:r>
      <w:r w:rsidR="006E3D8B">
        <w:rPr>
          <w:rFonts w:ascii="Arial" w:hAnsi="Arial" w:cs="Arial"/>
          <w:sz w:val="24"/>
          <w:szCs w:val="24"/>
        </w:rPr>
        <w:t>]</w:t>
      </w:r>
      <w:r w:rsidR="006E3D8B">
        <w:rPr>
          <w:rFonts w:ascii="Arial" w:hAnsi="Arial" w:cs="Arial"/>
          <w:sz w:val="24"/>
          <w:szCs w:val="24"/>
        </w:rPr>
        <w:tab/>
        <w:t>The issue raised in the app</w:t>
      </w:r>
      <w:r w:rsidR="00572F83">
        <w:rPr>
          <w:rFonts w:ascii="Arial" w:hAnsi="Arial" w:cs="Arial"/>
          <w:sz w:val="24"/>
          <w:szCs w:val="24"/>
        </w:rPr>
        <w:t>eal concerns whether the P</w:t>
      </w:r>
      <w:r w:rsidR="006E3D8B">
        <w:rPr>
          <w:rFonts w:ascii="Arial" w:hAnsi="Arial" w:cs="Arial"/>
          <w:sz w:val="24"/>
          <w:szCs w:val="24"/>
        </w:rPr>
        <w:t xml:space="preserve">rescription </w:t>
      </w:r>
      <w:r w:rsidR="00572F83">
        <w:rPr>
          <w:rFonts w:ascii="Arial" w:hAnsi="Arial" w:cs="Arial"/>
          <w:sz w:val="24"/>
          <w:szCs w:val="24"/>
        </w:rPr>
        <w:t>Act, 68</w:t>
      </w:r>
      <w:r w:rsidR="006E3D8B">
        <w:rPr>
          <w:rFonts w:ascii="Arial" w:hAnsi="Arial" w:cs="Arial"/>
          <w:sz w:val="24"/>
          <w:szCs w:val="24"/>
        </w:rPr>
        <w:t xml:space="preserve"> of 1969 applies to the claim made by the respondent </w:t>
      </w:r>
      <w:r>
        <w:rPr>
          <w:rFonts w:ascii="Arial" w:hAnsi="Arial" w:cs="Arial"/>
          <w:sz w:val="24"/>
          <w:szCs w:val="24"/>
        </w:rPr>
        <w:t>which had arise</w:t>
      </w:r>
      <w:r w:rsidR="00A53A3D">
        <w:rPr>
          <w:rFonts w:ascii="Arial" w:hAnsi="Arial" w:cs="Arial"/>
          <w:sz w:val="24"/>
          <w:szCs w:val="24"/>
        </w:rPr>
        <w:t>n</w:t>
      </w:r>
      <w:r>
        <w:rPr>
          <w:rFonts w:ascii="Arial" w:hAnsi="Arial" w:cs="Arial"/>
          <w:sz w:val="24"/>
          <w:szCs w:val="24"/>
        </w:rPr>
        <w:t xml:space="preserve"> when </w:t>
      </w:r>
      <w:r w:rsidR="006E3D8B">
        <w:rPr>
          <w:rFonts w:ascii="Arial" w:hAnsi="Arial" w:cs="Arial"/>
          <w:sz w:val="24"/>
          <w:szCs w:val="24"/>
        </w:rPr>
        <w:t xml:space="preserve">the erstwhile Labour Act, 6 of 1992 </w:t>
      </w:r>
      <w:r w:rsidR="00572F83">
        <w:rPr>
          <w:rFonts w:ascii="Arial" w:hAnsi="Arial" w:cs="Arial"/>
          <w:sz w:val="24"/>
          <w:szCs w:val="24"/>
        </w:rPr>
        <w:t>(the 1992 Act)</w:t>
      </w:r>
      <w:r>
        <w:rPr>
          <w:rFonts w:ascii="Arial" w:hAnsi="Arial" w:cs="Arial"/>
          <w:sz w:val="24"/>
          <w:szCs w:val="24"/>
        </w:rPr>
        <w:t xml:space="preserve"> applied,</w:t>
      </w:r>
      <w:r w:rsidR="00572F83">
        <w:rPr>
          <w:rFonts w:ascii="Arial" w:hAnsi="Arial" w:cs="Arial"/>
          <w:sz w:val="24"/>
          <w:szCs w:val="24"/>
        </w:rPr>
        <w:t xml:space="preserve"> </w:t>
      </w:r>
      <w:r w:rsidR="006E3D8B">
        <w:rPr>
          <w:rFonts w:ascii="Arial" w:hAnsi="Arial" w:cs="Arial"/>
          <w:sz w:val="24"/>
          <w:szCs w:val="24"/>
        </w:rPr>
        <w:t>read with the transitional provision</w:t>
      </w:r>
      <w:r w:rsidR="00572F83">
        <w:rPr>
          <w:rFonts w:ascii="Arial" w:hAnsi="Arial" w:cs="Arial"/>
          <w:sz w:val="24"/>
          <w:szCs w:val="24"/>
        </w:rPr>
        <w:t>s</w:t>
      </w:r>
      <w:r w:rsidR="006E3D8B">
        <w:rPr>
          <w:rFonts w:ascii="Arial" w:hAnsi="Arial" w:cs="Arial"/>
          <w:sz w:val="24"/>
          <w:szCs w:val="24"/>
        </w:rPr>
        <w:t xml:space="preserve"> of the Act. The question thus raised in this appeal is whether the </w:t>
      </w:r>
      <w:r w:rsidR="00572F83">
        <w:rPr>
          <w:rFonts w:ascii="Arial" w:hAnsi="Arial" w:cs="Arial"/>
          <w:sz w:val="24"/>
          <w:szCs w:val="24"/>
        </w:rPr>
        <w:t xml:space="preserve">respondent’s </w:t>
      </w:r>
      <w:r w:rsidR="006E3D8B">
        <w:rPr>
          <w:rFonts w:ascii="Arial" w:hAnsi="Arial" w:cs="Arial"/>
          <w:sz w:val="24"/>
          <w:szCs w:val="24"/>
        </w:rPr>
        <w:t xml:space="preserve">dismissal complaint or referral had become prescribed under the </w:t>
      </w:r>
      <w:r w:rsidR="00572F83">
        <w:rPr>
          <w:rFonts w:ascii="Arial" w:hAnsi="Arial" w:cs="Arial"/>
          <w:sz w:val="24"/>
          <w:szCs w:val="24"/>
        </w:rPr>
        <w:t>P</w:t>
      </w:r>
      <w:r w:rsidR="006E3D8B">
        <w:rPr>
          <w:rFonts w:ascii="Arial" w:hAnsi="Arial" w:cs="Arial"/>
          <w:sz w:val="24"/>
          <w:szCs w:val="24"/>
        </w:rPr>
        <w:t xml:space="preserve">rescription Act. </w:t>
      </w:r>
    </w:p>
    <w:p w:rsidR="00572F83" w:rsidRDefault="00572F83" w:rsidP="009673E5">
      <w:pPr>
        <w:spacing w:after="0" w:line="360" w:lineRule="auto"/>
        <w:jc w:val="both"/>
        <w:rPr>
          <w:rFonts w:ascii="Arial" w:hAnsi="Arial" w:cs="Arial"/>
          <w:sz w:val="24"/>
          <w:szCs w:val="24"/>
        </w:rPr>
      </w:pPr>
    </w:p>
    <w:p w:rsidR="00170EDF" w:rsidRDefault="00572F83" w:rsidP="009673E5">
      <w:pPr>
        <w:spacing w:after="0" w:line="360" w:lineRule="auto"/>
        <w:jc w:val="both"/>
        <w:rPr>
          <w:rFonts w:ascii="Arial" w:hAnsi="Arial" w:cs="Arial"/>
          <w:sz w:val="24"/>
          <w:szCs w:val="24"/>
        </w:rPr>
      </w:pPr>
      <w:r>
        <w:rPr>
          <w:rFonts w:ascii="Arial" w:hAnsi="Arial" w:cs="Arial"/>
          <w:sz w:val="24"/>
          <w:szCs w:val="24"/>
        </w:rPr>
        <w:t>[1</w:t>
      </w:r>
      <w:r w:rsidR="00EF53D3">
        <w:rPr>
          <w:rFonts w:ascii="Arial" w:hAnsi="Arial" w:cs="Arial"/>
          <w:sz w:val="24"/>
          <w:szCs w:val="24"/>
        </w:rPr>
        <w:t>1</w:t>
      </w:r>
      <w:r>
        <w:rPr>
          <w:rFonts w:ascii="Arial" w:hAnsi="Arial" w:cs="Arial"/>
          <w:sz w:val="24"/>
          <w:szCs w:val="24"/>
        </w:rPr>
        <w:t>]</w:t>
      </w:r>
      <w:r>
        <w:rPr>
          <w:rFonts w:ascii="Arial" w:hAnsi="Arial" w:cs="Arial"/>
          <w:sz w:val="24"/>
          <w:szCs w:val="24"/>
        </w:rPr>
        <w:tab/>
        <w:t>Before this</w:t>
      </w:r>
      <w:r w:rsidR="006E3D8B">
        <w:rPr>
          <w:rFonts w:ascii="Arial" w:hAnsi="Arial" w:cs="Arial"/>
          <w:sz w:val="24"/>
          <w:szCs w:val="24"/>
        </w:rPr>
        <w:t xml:space="preserve"> </w:t>
      </w:r>
      <w:r w:rsidR="00C54F76">
        <w:rPr>
          <w:rFonts w:ascii="Arial" w:hAnsi="Arial" w:cs="Arial"/>
          <w:sz w:val="24"/>
          <w:szCs w:val="24"/>
        </w:rPr>
        <w:t>issue</w:t>
      </w:r>
      <w:r w:rsidR="006E3D8B">
        <w:rPr>
          <w:rFonts w:ascii="Arial" w:hAnsi="Arial" w:cs="Arial"/>
          <w:sz w:val="24"/>
          <w:szCs w:val="24"/>
        </w:rPr>
        <w:t xml:space="preserve"> </w:t>
      </w:r>
      <w:r>
        <w:rPr>
          <w:rFonts w:ascii="Arial" w:hAnsi="Arial" w:cs="Arial"/>
          <w:sz w:val="24"/>
          <w:szCs w:val="24"/>
        </w:rPr>
        <w:t>is</w:t>
      </w:r>
      <w:r w:rsidR="006E3D8B">
        <w:rPr>
          <w:rFonts w:ascii="Arial" w:hAnsi="Arial" w:cs="Arial"/>
          <w:sz w:val="24"/>
          <w:szCs w:val="24"/>
        </w:rPr>
        <w:t xml:space="preserve"> dealt with, it would be appropriate first to address a preliminary point </w:t>
      </w:r>
      <w:r w:rsidR="00A53A3D">
        <w:rPr>
          <w:rFonts w:ascii="Arial" w:hAnsi="Arial" w:cs="Arial"/>
          <w:sz w:val="24"/>
          <w:szCs w:val="24"/>
        </w:rPr>
        <w:t>raised</w:t>
      </w:r>
      <w:r w:rsidR="006E3D8B">
        <w:rPr>
          <w:rFonts w:ascii="Arial" w:hAnsi="Arial" w:cs="Arial"/>
          <w:sz w:val="24"/>
          <w:szCs w:val="24"/>
        </w:rPr>
        <w:t xml:space="preserve"> by Mr Ntin</w:t>
      </w:r>
      <w:r>
        <w:rPr>
          <w:rFonts w:ascii="Arial" w:hAnsi="Arial" w:cs="Arial"/>
          <w:sz w:val="24"/>
          <w:szCs w:val="24"/>
        </w:rPr>
        <w:t>da. He contended that an award a</w:t>
      </w:r>
      <w:r w:rsidR="006E3D8B">
        <w:rPr>
          <w:rFonts w:ascii="Arial" w:hAnsi="Arial" w:cs="Arial"/>
          <w:sz w:val="24"/>
          <w:szCs w:val="24"/>
        </w:rPr>
        <w:t xml:space="preserve">s contemplated by s89 of the </w:t>
      </w:r>
      <w:r>
        <w:rPr>
          <w:rFonts w:ascii="Arial" w:hAnsi="Arial" w:cs="Arial"/>
          <w:sz w:val="24"/>
          <w:szCs w:val="24"/>
        </w:rPr>
        <w:t>A</w:t>
      </w:r>
      <w:r w:rsidR="006E3D8B">
        <w:rPr>
          <w:rFonts w:ascii="Arial" w:hAnsi="Arial" w:cs="Arial"/>
          <w:sz w:val="24"/>
          <w:szCs w:val="24"/>
        </w:rPr>
        <w:t xml:space="preserve">ct had not </w:t>
      </w:r>
      <w:r w:rsidR="00170EDF">
        <w:rPr>
          <w:rFonts w:ascii="Arial" w:hAnsi="Arial" w:cs="Arial"/>
          <w:sz w:val="24"/>
          <w:szCs w:val="24"/>
        </w:rPr>
        <w:t xml:space="preserve">as yet been made by the arbitrator and that the ruling appealed against occurred in the course of </w:t>
      </w:r>
      <w:r w:rsidR="00C54F76">
        <w:rPr>
          <w:rFonts w:ascii="Arial" w:hAnsi="Arial" w:cs="Arial"/>
          <w:sz w:val="24"/>
          <w:szCs w:val="24"/>
        </w:rPr>
        <w:t>conciliation</w:t>
      </w:r>
      <w:r w:rsidR="00170EDF">
        <w:rPr>
          <w:rFonts w:ascii="Arial" w:hAnsi="Arial" w:cs="Arial"/>
          <w:sz w:val="24"/>
          <w:szCs w:val="24"/>
        </w:rPr>
        <w:t>.</w:t>
      </w:r>
    </w:p>
    <w:p w:rsidR="00170EDF" w:rsidRDefault="00170EDF" w:rsidP="009673E5">
      <w:pPr>
        <w:spacing w:after="0" w:line="360" w:lineRule="auto"/>
        <w:jc w:val="both"/>
        <w:rPr>
          <w:rFonts w:ascii="Arial" w:hAnsi="Arial" w:cs="Arial"/>
          <w:sz w:val="24"/>
          <w:szCs w:val="24"/>
        </w:rPr>
      </w:pPr>
    </w:p>
    <w:p w:rsidR="00C54F76" w:rsidRDefault="00EF53D3" w:rsidP="009673E5">
      <w:pPr>
        <w:spacing w:after="0" w:line="360" w:lineRule="auto"/>
        <w:jc w:val="both"/>
        <w:rPr>
          <w:rFonts w:ascii="Arial" w:hAnsi="Arial" w:cs="Arial"/>
          <w:sz w:val="24"/>
          <w:szCs w:val="24"/>
        </w:rPr>
      </w:pPr>
      <w:r>
        <w:rPr>
          <w:rFonts w:ascii="Arial" w:hAnsi="Arial" w:cs="Arial"/>
          <w:sz w:val="24"/>
          <w:szCs w:val="24"/>
        </w:rPr>
        <w:t>[12</w:t>
      </w:r>
      <w:r w:rsidR="001D517A">
        <w:rPr>
          <w:rFonts w:ascii="Arial" w:hAnsi="Arial" w:cs="Arial"/>
          <w:sz w:val="24"/>
          <w:szCs w:val="24"/>
        </w:rPr>
        <w:t>]</w:t>
      </w:r>
      <w:r w:rsidR="001D517A">
        <w:rPr>
          <w:rFonts w:ascii="Arial" w:hAnsi="Arial" w:cs="Arial"/>
          <w:sz w:val="24"/>
          <w:szCs w:val="24"/>
        </w:rPr>
        <w:tab/>
        <w:t>Mr Maasdorp however countered with reference to the record</w:t>
      </w:r>
      <w:r w:rsidR="00170EDF">
        <w:rPr>
          <w:rFonts w:ascii="Arial" w:hAnsi="Arial" w:cs="Arial"/>
          <w:sz w:val="24"/>
          <w:szCs w:val="24"/>
        </w:rPr>
        <w:t xml:space="preserve"> that the arbitrator had made a decision on prescription, by ruling against the appellant </w:t>
      </w:r>
      <w:r w:rsidR="001D517A">
        <w:rPr>
          <w:rFonts w:ascii="Arial" w:hAnsi="Arial" w:cs="Arial"/>
          <w:sz w:val="24"/>
          <w:szCs w:val="24"/>
        </w:rPr>
        <w:t xml:space="preserve">which had </w:t>
      </w:r>
      <w:r w:rsidR="00170EDF">
        <w:rPr>
          <w:rFonts w:ascii="Arial" w:hAnsi="Arial" w:cs="Arial"/>
          <w:sz w:val="24"/>
          <w:szCs w:val="24"/>
        </w:rPr>
        <w:t>rais</w:t>
      </w:r>
      <w:r w:rsidR="001D517A">
        <w:rPr>
          <w:rFonts w:ascii="Arial" w:hAnsi="Arial" w:cs="Arial"/>
          <w:sz w:val="24"/>
          <w:szCs w:val="24"/>
        </w:rPr>
        <w:t xml:space="preserve">ed </w:t>
      </w:r>
      <w:r w:rsidR="00170EDF">
        <w:rPr>
          <w:rFonts w:ascii="Arial" w:hAnsi="Arial" w:cs="Arial"/>
          <w:sz w:val="24"/>
          <w:szCs w:val="24"/>
        </w:rPr>
        <w:t xml:space="preserve">prescription and </w:t>
      </w:r>
      <w:r w:rsidR="00A53A3D">
        <w:rPr>
          <w:rFonts w:ascii="Arial" w:hAnsi="Arial" w:cs="Arial"/>
          <w:sz w:val="24"/>
          <w:szCs w:val="24"/>
        </w:rPr>
        <w:t xml:space="preserve">by </w:t>
      </w:r>
      <w:r w:rsidR="00170EDF">
        <w:rPr>
          <w:rFonts w:ascii="Arial" w:hAnsi="Arial" w:cs="Arial"/>
          <w:sz w:val="24"/>
          <w:szCs w:val="24"/>
        </w:rPr>
        <w:t>direct</w:t>
      </w:r>
      <w:r w:rsidR="00A53A3D">
        <w:rPr>
          <w:rFonts w:ascii="Arial" w:hAnsi="Arial" w:cs="Arial"/>
          <w:sz w:val="24"/>
          <w:szCs w:val="24"/>
        </w:rPr>
        <w:t>ing</w:t>
      </w:r>
      <w:r w:rsidR="00170EDF">
        <w:rPr>
          <w:rFonts w:ascii="Arial" w:hAnsi="Arial" w:cs="Arial"/>
          <w:sz w:val="24"/>
          <w:szCs w:val="24"/>
        </w:rPr>
        <w:t xml:space="preserve"> that the arbitration should proceed on the merits. In order to address</w:t>
      </w:r>
      <w:r w:rsidR="00C54F76">
        <w:rPr>
          <w:rFonts w:ascii="Arial" w:hAnsi="Arial" w:cs="Arial"/>
          <w:sz w:val="24"/>
          <w:szCs w:val="24"/>
        </w:rPr>
        <w:t xml:space="preserve"> this point and the other statutory and legal question</w:t>
      </w:r>
      <w:r w:rsidR="001D517A">
        <w:rPr>
          <w:rFonts w:ascii="Arial" w:hAnsi="Arial" w:cs="Arial"/>
          <w:sz w:val="24"/>
          <w:szCs w:val="24"/>
        </w:rPr>
        <w:t>s</w:t>
      </w:r>
      <w:r w:rsidR="00C54F76">
        <w:rPr>
          <w:rFonts w:ascii="Arial" w:hAnsi="Arial" w:cs="Arial"/>
          <w:sz w:val="24"/>
          <w:szCs w:val="24"/>
        </w:rPr>
        <w:t xml:space="preserve"> which arise relating to prescription, it is necessary first to refer to the background facts of the matter.</w:t>
      </w:r>
    </w:p>
    <w:p w:rsidR="00C54F76" w:rsidRDefault="00C54F76" w:rsidP="009673E5">
      <w:pPr>
        <w:spacing w:after="0" w:line="360" w:lineRule="auto"/>
        <w:jc w:val="both"/>
        <w:rPr>
          <w:rFonts w:ascii="Arial" w:hAnsi="Arial" w:cs="Arial"/>
          <w:sz w:val="24"/>
          <w:szCs w:val="24"/>
        </w:rPr>
      </w:pPr>
    </w:p>
    <w:p w:rsidR="001D517A" w:rsidRDefault="00EF53D3" w:rsidP="009673E5">
      <w:pPr>
        <w:spacing w:after="0" w:line="360" w:lineRule="auto"/>
        <w:jc w:val="both"/>
        <w:rPr>
          <w:rFonts w:ascii="Arial" w:hAnsi="Arial" w:cs="Arial"/>
          <w:sz w:val="24"/>
          <w:szCs w:val="24"/>
        </w:rPr>
      </w:pPr>
      <w:r>
        <w:rPr>
          <w:rFonts w:ascii="Arial" w:hAnsi="Arial" w:cs="Arial"/>
          <w:sz w:val="24"/>
          <w:szCs w:val="24"/>
        </w:rPr>
        <w:t>[13</w:t>
      </w:r>
      <w:r w:rsidR="00C54F76">
        <w:rPr>
          <w:rFonts w:ascii="Arial" w:hAnsi="Arial" w:cs="Arial"/>
          <w:sz w:val="24"/>
          <w:szCs w:val="24"/>
        </w:rPr>
        <w:t>]</w:t>
      </w:r>
      <w:r w:rsidR="00C54F76">
        <w:rPr>
          <w:rFonts w:ascii="Arial" w:hAnsi="Arial" w:cs="Arial"/>
          <w:sz w:val="24"/>
          <w:szCs w:val="24"/>
        </w:rPr>
        <w:tab/>
      </w:r>
      <w:r w:rsidR="00A53A3D">
        <w:rPr>
          <w:rFonts w:ascii="Arial" w:hAnsi="Arial" w:cs="Arial"/>
          <w:sz w:val="24"/>
          <w:szCs w:val="24"/>
        </w:rPr>
        <w:t>T</w:t>
      </w:r>
      <w:r w:rsidR="00C54F76">
        <w:rPr>
          <w:rFonts w:ascii="Arial" w:hAnsi="Arial" w:cs="Arial"/>
          <w:sz w:val="24"/>
          <w:szCs w:val="24"/>
        </w:rPr>
        <w:t xml:space="preserve">he respondent had </w:t>
      </w:r>
      <w:r w:rsidR="001D517A">
        <w:rPr>
          <w:rFonts w:ascii="Arial" w:hAnsi="Arial" w:cs="Arial"/>
          <w:sz w:val="24"/>
          <w:szCs w:val="24"/>
        </w:rPr>
        <w:t>re</w:t>
      </w:r>
      <w:r w:rsidR="00C54F76">
        <w:rPr>
          <w:rFonts w:ascii="Arial" w:hAnsi="Arial" w:cs="Arial"/>
          <w:sz w:val="24"/>
          <w:szCs w:val="24"/>
        </w:rPr>
        <w:t>signed his employment position with th</w:t>
      </w:r>
      <w:r w:rsidR="00A53A3D">
        <w:rPr>
          <w:rFonts w:ascii="Arial" w:hAnsi="Arial" w:cs="Arial"/>
          <w:sz w:val="24"/>
          <w:szCs w:val="24"/>
        </w:rPr>
        <w:t>e appellant in May 2001. He had</w:t>
      </w:r>
      <w:r w:rsidR="00C54F76">
        <w:rPr>
          <w:rFonts w:ascii="Arial" w:hAnsi="Arial" w:cs="Arial"/>
          <w:sz w:val="24"/>
          <w:szCs w:val="24"/>
        </w:rPr>
        <w:t xml:space="preserve"> been </w:t>
      </w:r>
      <w:r w:rsidR="001D517A">
        <w:rPr>
          <w:rFonts w:ascii="Arial" w:hAnsi="Arial" w:cs="Arial"/>
          <w:sz w:val="24"/>
          <w:szCs w:val="24"/>
        </w:rPr>
        <w:t>appoint</w:t>
      </w:r>
      <w:r w:rsidR="00C54F76">
        <w:rPr>
          <w:rFonts w:ascii="Arial" w:hAnsi="Arial" w:cs="Arial"/>
          <w:sz w:val="24"/>
          <w:szCs w:val="24"/>
        </w:rPr>
        <w:t>ed as Manager: Human Resources by Amalgamated Commercial Holding (Pty) Ltd</w:t>
      </w:r>
      <w:r w:rsidR="006E3D8B">
        <w:rPr>
          <w:rFonts w:ascii="Arial" w:hAnsi="Arial" w:cs="Arial"/>
          <w:sz w:val="24"/>
          <w:szCs w:val="24"/>
        </w:rPr>
        <w:t xml:space="preserve"> </w:t>
      </w:r>
      <w:r w:rsidR="00C54F76">
        <w:rPr>
          <w:rFonts w:ascii="Arial" w:hAnsi="Arial" w:cs="Arial"/>
          <w:sz w:val="24"/>
          <w:szCs w:val="24"/>
        </w:rPr>
        <w:t xml:space="preserve">(AMCOM) on 1 July 2000. According to the respondent’s affidavit in support of condonation, he had acted as company secretary </w:t>
      </w:r>
      <w:r w:rsidR="001D517A">
        <w:rPr>
          <w:rFonts w:ascii="Arial" w:hAnsi="Arial" w:cs="Arial"/>
          <w:sz w:val="24"/>
          <w:szCs w:val="24"/>
        </w:rPr>
        <w:t xml:space="preserve">and </w:t>
      </w:r>
      <w:r>
        <w:rPr>
          <w:rFonts w:ascii="Arial" w:hAnsi="Arial" w:cs="Arial"/>
          <w:sz w:val="24"/>
          <w:szCs w:val="24"/>
        </w:rPr>
        <w:t xml:space="preserve">(head of) </w:t>
      </w:r>
      <w:r w:rsidR="001D517A">
        <w:rPr>
          <w:rFonts w:ascii="Arial" w:hAnsi="Arial" w:cs="Arial"/>
          <w:sz w:val="24"/>
          <w:szCs w:val="24"/>
        </w:rPr>
        <w:t>legal service</w:t>
      </w:r>
      <w:r>
        <w:rPr>
          <w:rFonts w:ascii="Arial" w:hAnsi="Arial" w:cs="Arial"/>
          <w:sz w:val="24"/>
          <w:szCs w:val="24"/>
        </w:rPr>
        <w:t>s</w:t>
      </w:r>
      <w:r w:rsidR="001D517A">
        <w:rPr>
          <w:rFonts w:ascii="Arial" w:hAnsi="Arial" w:cs="Arial"/>
          <w:sz w:val="24"/>
          <w:szCs w:val="24"/>
        </w:rPr>
        <w:t xml:space="preserve"> </w:t>
      </w:r>
      <w:r w:rsidR="00C54F76">
        <w:rPr>
          <w:rFonts w:ascii="Arial" w:hAnsi="Arial" w:cs="Arial"/>
          <w:sz w:val="24"/>
          <w:szCs w:val="24"/>
        </w:rPr>
        <w:t xml:space="preserve">of AMCOM from August 2000. But in December 2000 AMCOM became </w:t>
      </w:r>
      <w:r w:rsidR="001D517A">
        <w:rPr>
          <w:rFonts w:ascii="Arial" w:hAnsi="Arial" w:cs="Arial"/>
          <w:sz w:val="24"/>
          <w:szCs w:val="24"/>
        </w:rPr>
        <w:t>integrated</w:t>
      </w:r>
      <w:r w:rsidR="00C54F76">
        <w:rPr>
          <w:rFonts w:ascii="Arial" w:hAnsi="Arial" w:cs="Arial"/>
          <w:sz w:val="24"/>
          <w:szCs w:val="24"/>
        </w:rPr>
        <w:t xml:space="preserve"> with the appellant and the respondent and other staff members were given the option of being transferred to the appellant on an </w:t>
      </w:r>
      <w:r w:rsidR="00740524">
        <w:rPr>
          <w:rFonts w:ascii="Arial" w:hAnsi="Arial" w:cs="Arial"/>
          <w:sz w:val="24"/>
          <w:szCs w:val="24"/>
        </w:rPr>
        <w:t>uninterrupted</w:t>
      </w:r>
      <w:r w:rsidR="00C54F76">
        <w:rPr>
          <w:rFonts w:ascii="Arial" w:hAnsi="Arial" w:cs="Arial"/>
          <w:sz w:val="24"/>
          <w:szCs w:val="24"/>
        </w:rPr>
        <w:t xml:space="preserve"> basis</w:t>
      </w:r>
      <w:r w:rsidR="00740524">
        <w:rPr>
          <w:rFonts w:ascii="Arial" w:hAnsi="Arial" w:cs="Arial"/>
          <w:sz w:val="24"/>
          <w:szCs w:val="24"/>
        </w:rPr>
        <w:t xml:space="preserve"> whilst retaining the</w:t>
      </w:r>
      <w:r w:rsidR="00A53A3D">
        <w:rPr>
          <w:rFonts w:ascii="Arial" w:hAnsi="Arial" w:cs="Arial"/>
          <w:sz w:val="24"/>
          <w:szCs w:val="24"/>
        </w:rPr>
        <w:t>ir</w:t>
      </w:r>
      <w:r w:rsidR="00740524">
        <w:rPr>
          <w:rFonts w:ascii="Arial" w:hAnsi="Arial" w:cs="Arial"/>
          <w:sz w:val="24"/>
          <w:szCs w:val="24"/>
        </w:rPr>
        <w:t xml:space="preserve"> employment benefit</w:t>
      </w:r>
      <w:r w:rsidR="001D517A">
        <w:rPr>
          <w:rFonts w:ascii="Arial" w:hAnsi="Arial" w:cs="Arial"/>
          <w:sz w:val="24"/>
          <w:szCs w:val="24"/>
        </w:rPr>
        <w:t>s</w:t>
      </w:r>
      <w:r w:rsidR="00740524">
        <w:rPr>
          <w:rFonts w:ascii="Arial" w:hAnsi="Arial" w:cs="Arial"/>
          <w:sz w:val="24"/>
          <w:szCs w:val="24"/>
        </w:rPr>
        <w:t xml:space="preserve"> which they had previously enjoyed with AMCOM or to receive a voluntarily retrenchment package. He had at the time accepted the transfer to the appellant. </w:t>
      </w:r>
    </w:p>
    <w:p w:rsidR="001D517A" w:rsidRDefault="001D517A" w:rsidP="009673E5">
      <w:pPr>
        <w:spacing w:after="0" w:line="360" w:lineRule="auto"/>
        <w:jc w:val="both"/>
        <w:rPr>
          <w:rFonts w:ascii="Arial" w:hAnsi="Arial" w:cs="Arial"/>
          <w:sz w:val="24"/>
          <w:szCs w:val="24"/>
        </w:rPr>
      </w:pPr>
    </w:p>
    <w:p w:rsidR="006E3D8B" w:rsidRDefault="00EF53D3" w:rsidP="009673E5">
      <w:pPr>
        <w:spacing w:after="0" w:line="360" w:lineRule="auto"/>
        <w:jc w:val="both"/>
        <w:rPr>
          <w:rFonts w:ascii="Arial" w:hAnsi="Arial" w:cs="Arial"/>
          <w:sz w:val="24"/>
          <w:szCs w:val="24"/>
        </w:rPr>
      </w:pPr>
      <w:r>
        <w:rPr>
          <w:rFonts w:ascii="Arial" w:hAnsi="Arial" w:cs="Arial"/>
          <w:sz w:val="24"/>
          <w:szCs w:val="24"/>
        </w:rPr>
        <w:t>[14</w:t>
      </w:r>
      <w:r w:rsidR="001D517A">
        <w:rPr>
          <w:rFonts w:ascii="Arial" w:hAnsi="Arial" w:cs="Arial"/>
          <w:sz w:val="24"/>
          <w:szCs w:val="24"/>
        </w:rPr>
        <w:t>]</w:t>
      </w:r>
      <w:r w:rsidR="001D517A">
        <w:rPr>
          <w:rFonts w:ascii="Arial" w:hAnsi="Arial" w:cs="Arial"/>
          <w:sz w:val="24"/>
          <w:szCs w:val="24"/>
        </w:rPr>
        <w:tab/>
      </w:r>
      <w:r w:rsidR="00740524">
        <w:rPr>
          <w:rFonts w:ascii="Arial" w:hAnsi="Arial" w:cs="Arial"/>
          <w:sz w:val="24"/>
          <w:szCs w:val="24"/>
        </w:rPr>
        <w:t xml:space="preserve">The respondent stated that he continued with his work as acting company secretary and legal services after the transfer in dealing with outstanding AMCOM matters. The respondent further states that he was offered the opportunity to purchase one of the erstwhile businesses of AMCOM which </w:t>
      </w:r>
      <w:r>
        <w:rPr>
          <w:rFonts w:ascii="Arial" w:hAnsi="Arial" w:cs="Arial"/>
          <w:sz w:val="24"/>
          <w:szCs w:val="24"/>
        </w:rPr>
        <w:t>was</w:t>
      </w:r>
      <w:r w:rsidR="00740524">
        <w:rPr>
          <w:rFonts w:ascii="Arial" w:hAnsi="Arial" w:cs="Arial"/>
          <w:sz w:val="24"/>
          <w:szCs w:val="24"/>
        </w:rPr>
        <w:t xml:space="preserve"> being sold</w:t>
      </w:r>
      <w:r>
        <w:rPr>
          <w:rFonts w:ascii="Arial" w:hAnsi="Arial" w:cs="Arial"/>
          <w:sz w:val="24"/>
          <w:szCs w:val="24"/>
        </w:rPr>
        <w:t>,</w:t>
      </w:r>
      <w:r w:rsidR="00740524">
        <w:rPr>
          <w:rFonts w:ascii="Arial" w:hAnsi="Arial" w:cs="Arial"/>
          <w:sz w:val="24"/>
          <w:szCs w:val="24"/>
        </w:rPr>
        <w:t xml:space="preserve"> </w:t>
      </w:r>
      <w:r w:rsidR="001D517A">
        <w:rPr>
          <w:rFonts w:ascii="Arial" w:hAnsi="Arial" w:cs="Arial"/>
          <w:sz w:val="24"/>
          <w:szCs w:val="24"/>
        </w:rPr>
        <w:t xml:space="preserve">with </w:t>
      </w:r>
      <w:r w:rsidR="00740524">
        <w:rPr>
          <w:rFonts w:ascii="Arial" w:hAnsi="Arial" w:cs="Arial"/>
          <w:sz w:val="24"/>
          <w:szCs w:val="24"/>
        </w:rPr>
        <w:t xml:space="preserve">employees </w:t>
      </w:r>
      <w:r w:rsidR="001D517A">
        <w:rPr>
          <w:rFonts w:ascii="Arial" w:hAnsi="Arial" w:cs="Arial"/>
          <w:sz w:val="24"/>
          <w:szCs w:val="24"/>
        </w:rPr>
        <w:lastRenderedPageBreak/>
        <w:t>apparently being</w:t>
      </w:r>
      <w:r w:rsidR="00740524">
        <w:rPr>
          <w:rFonts w:ascii="Arial" w:hAnsi="Arial" w:cs="Arial"/>
          <w:sz w:val="24"/>
          <w:szCs w:val="24"/>
        </w:rPr>
        <w:t xml:space="preserve"> given preference in those sales. The respondent then exercise</w:t>
      </w:r>
      <w:r w:rsidR="001D517A">
        <w:rPr>
          <w:rFonts w:ascii="Arial" w:hAnsi="Arial" w:cs="Arial"/>
          <w:sz w:val="24"/>
          <w:szCs w:val="24"/>
        </w:rPr>
        <w:t>d</w:t>
      </w:r>
      <w:r w:rsidR="00740524">
        <w:rPr>
          <w:rFonts w:ascii="Arial" w:hAnsi="Arial" w:cs="Arial"/>
          <w:sz w:val="24"/>
          <w:szCs w:val="24"/>
        </w:rPr>
        <w:t xml:space="preserve"> the option to purchase </w:t>
      </w:r>
      <w:r w:rsidR="00A53A3D">
        <w:rPr>
          <w:rFonts w:ascii="Arial" w:hAnsi="Arial" w:cs="Arial"/>
          <w:sz w:val="24"/>
          <w:szCs w:val="24"/>
        </w:rPr>
        <w:t>that</w:t>
      </w:r>
      <w:r w:rsidR="00740524">
        <w:rPr>
          <w:rFonts w:ascii="Arial" w:hAnsi="Arial" w:cs="Arial"/>
          <w:sz w:val="24"/>
          <w:szCs w:val="24"/>
        </w:rPr>
        <w:t xml:space="preserve"> business in northern Namibia</w:t>
      </w:r>
      <w:r w:rsidR="001D517A">
        <w:rPr>
          <w:rFonts w:ascii="Arial" w:hAnsi="Arial" w:cs="Arial"/>
          <w:sz w:val="24"/>
          <w:szCs w:val="24"/>
        </w:rPr>
        <w:t>.</w:t>
      </w:r>
      <w:r>
        <w:rPr>
          <w:rFonts w:ascii="Arial" w:hAnsi="Arial" w:cs="Arial"/>
          <w:sz w:val="24"/>
          <w:szCs w:val="24"/>
        </w:rPr>
        <w:t xml:space="preserve"> </w:t>
      </w:r>
      <w:r w:rsidR="00A53A3D">
        <w:rPr>
          <w:rFonts w:ascii="Arial" w:hAnsi="Arial" w:cs="Arial"/>
          <w:sz w:val="24"/>
          <w:szCs w:val="24"/>
        </w:rPr>
        <w:t>H</w:t>
      </w:r>
      <w:r w:rsidR="001D517A">
        <w:rPr>
          <w:rFonts w:ascii="Arial" w:hAnsi="Arial" w:cs="Arial"/>
          <w:sz w:val="24"/>
          <w:szCs w:val="24"/>
        </w:rPr>
        <w:t>e</w:t>
      </w:r>
      <w:r w:rsidR="00740524">
        <w:rPr>
          <w:rFonts w:ascii="Arial" w:hAnsi="Arial" w:cs="Arial"/>
          <w:sz w:val="24"/>
          <w:szCs w:val="24"/>
        </w:rPr>
        <w:t xml:space="preserve"> stated that when he did so he was informed that he could not retain his</w:t>
      </w:r>
      <w:r w:rsidR="001D517A">
        <w:rPr>
          <w:rFonts w:ascii="Arial" w:hAnsi="Arial" w:cs="Arial"/>
          <w:sz w:val="24"/>
          <w:szCs w:val="24"/>
        </w:rPr>
        <w:t xml:space="preserve"> employment</w:t>
      </w:r>
      <w:r w:rsidR="00740524">
        <w:rPr>
          <w:rFonts w:ascii="Arial" w:hAnsi="Arial" w:cs="Arial"/>
          <w:sz w:val="24"/>
          <w:szCs w:val="24"/>
        </w:rPr>
        <w:t xml:space="preserve"> position and </w:t>
      </w:r>
      <w:r w:rsidR="001D517A">
        <w:rPr>
          <w:rFonts w:ascii="Arial" w:hAnsi="Arial" w:cs="Arial"/>
          <w:sz w:val="24"/>
          <w:szCs w:val="24"/>
        </w:rPr>
        <w:t>ac</w:t>
      </w:r>
      <w:r w:rsidR="00740524">
        <w:rPr>
          <w:rFonts w:ascii="Arial" w:hAnsi="Arial" w:cs="Arial"/>
          <w:sz w:val="24"/>
          <w:szCs w:val="24"/>
        </w:rPr>
        <w:t xml:space="preserve">quire the business at the same time and that he had to choose between the two. He then </w:t>
      </w:r>
      <w:r w:rsidR="001D517A">
        <w:rPr>
          <w:rFonts w:ascii="Arial" w:hAnsi="Arial" w:cs="Arial"/>
          <w:sz w:val="24"/>
          <w:szCs w:val="24"/>
        </w:rPr>
        <w:t xml:space="preserve">in May 2001 </w:t>
      </w:r>
      <w:r w:rsidR="00740524">
        <w:rPr>
          <w:rFonts w:ascii="Arial" w:hAnsi="Arial" w:cs="Arial"/>
          <w:sz w:val="24"/>
          <w:szCs w:val="24"/>
        </w:rPr>
        <w:t>resigned from the services of the appellant. He claims that in doing so he was ordered to resign</w:t>
      </w:r>
      <w:r w:rsidR="001D517A">
        <w:rPr>
          <w:rFonts w:ascii="Arial" w:hAnsi="Arial" w:cs="Arial"/>
          <w:sz w:val="24"/>
          <w:szCs w:val="24"/>
        </w:rPr>
        <w:t>.</w:t>
      </w:r>
      <w:r w:rsidR="00740524">
        <w:rPr>
          <w:rFonts w:ascii="Arial" w:hAnsi="Arial" w:cs="Arial"/>
          <w:sz w:val="24"/>
          <w:szCs w:val="24"/>
        </w:rPr>
        <w:t xml:space="preserve"> </w:t>
      </w:r>
      <w:r w:rsidR="001D517A">
        <w:rPr>
          <w:rFonts w:ascii="Arial" w:hAnsi="Arial" w:cs="Arial"/>
          <w:sz w:val="24"/>
          <w:szCs w:val="24"/>
        </w:rPr>
        <w:t>I</w:t>
      </w:r>
      <w:r w:rsidR="00740524">
        <w:rPr>
          <w:rFonts w:ascii="Arial" w:hAnsi="Arial" w:cs="Arial"/>
          <w:sz w:val="24"/>
          <w:szCs w:val="24"/>
        </w:rPr>
        <w:t xml:space="preserve">n September 2009, more than </w:t>
      </w:r>
      <w:r>
        <w:rPr>
          <w:rFonts w:ascii="Arial" w:hAnsi="Arial" w:cs="Arial"/>
          <w:sz w:val="24"/>
          <w:szCs w:val="24"/>
        </w:rPr>
        <w:t>eight</w:t>
      </w:r>
      <w:r w:rsidR="001D517A">
        <w:rPr>
          <w:rFonts w:ascii="Arial" w:hAnsi="Arial" w:cs="Arial"/>
          <w:sz w:val="24"/>
          <w:szCs w:val="24"/>
        </w:rPr>
        <w:t xml:space="preserve"> years later, he referred the</w:t>
      </w:r>
      <w:r>
        <w:rPr>
          <w:rFonts w:ascii="Arial" w:hAnsi="Arial" w:cs="Arial"/>
          <w:sz w:val="24"/>
          <w:szCs w:val="24"/>
        </w:rPr>
        <w:t xml:space="preserve"> dispute for conciliation </w:t>
      </w:r>
      <w:r w:rsidR="00740524">
        <w:rPr>
          <w:rFonts w:ascii="Arial" w:hAnsi="Arial" w:cs="Arial"/>
          <w:sz w:val="24"/>
          <w:szCs w:val="24"/>
        </w:rPr>
        <w:t>or arbitration to the Labour Commissoner (his current employer). The</w:t>
      </w:r>
      <w:r w:rsidR="001D517A">
        <w:rPr>
          <w:rFonts w:ascii="Arial" w:hAnsi="Arial" w:cs="Arial"/>
          <w:sz w:val="24"/>
          <w:szCs w:val="24"/>
        </w:rPr>
        <w:t xml:space="preserve"> respondent</w:t>
      </w:r>
      <w:r w:rsidR="00740524">
        <w:rPr>
          <w:rFonts w:ascii="Arial" w:hAnsi="Arial" w:cs="Arial"/>
          <w:sz w:val="24"/>
          <w:szCs w:val="24"/>
        </w:rPr>
        <w:t xml:space="preserve"> complained that he had been construct</w:t>
      </w:r>
      <w:r w:rsidR="001D517A">
        <w:rPr>
          <w:rFonts w:ascii="Arial" w:hAnsi="Arial" w:cs="Arial"/>
          <w:sz w:val="24"/>
          <w:szCs w:val="24"/>
        </w:rPr>
        <w:t>ively</w:t>
      </w:r>
      <w:r w:rsidR="00740524">
        <w:rPr>
          <w:rFonts w:ascii="Arial" w:hAnsi="Arial" w:cs="Arial"/>
          <w:sz w:val="24"/>
          <w:szCs w:val="24"/>
        </w:rPr>
        <w:t xml:space="preserve"> dismiss</w:t>
      </w:r>
      <w:r w:rsidR="001D517A">
        <w:rPr>
          <w:rFonts w:ascii="Arial" w:hAnsi="Arial" w:cs="Arial"/>
          <w:sz w:val="24"/>
          <w:szCs w:val="24"/>
        </w:rPr>
        <w:t>ed</w:t>
      </w:r>
      <w:r w:rsidR="00740524">
        <w:rPr>
          <w:rFonts w:ascii="Arial" w:hAnsi="Arial" w:cs="Arial"/>
          <w:sz w:val="24"/>
          <w:szCs w:val="24"/>
        </w:rPr>
        <w:t xml:space="preserve"> by the appellant </w:t>
      </w:r>
      <w:r w:rsidR="00393872">
        <w:rPr>
          <w:rFonts w:ascii="Arial" w:hAnsi="Arial" w:cs="Arial"/>
          <w:sz w:val="24"/>
          <w:szCs w:val="24"/>
        </w:rPr>
        <w:t>and claim</w:t>
      </w:r>
      <w:r w:rsidR="001D517A">
        <w:rPr>
          <w:rFonts w:ascii="Arial" w:hAnsi="Arial" w:cs="Arial"/>
          <w:sz w:val="24"/>
          <w:szCs w:val="24"/>
        </w:rPr>
        <w:t>ed</w:t>
      </w:r>
      <w:r w:rsidR="00393872">
        <w:rPr>
          <w:rFonts w:ascii="Arial" w:hAnsi="Arial" w:cs="Arial"/>
          <w:sz w:val="24"/>
          <w:szCs w:val="24"/>
        </w:rPr>
        <w:t xml:space="preserve"> re-instatement to his previous position or an equivalent position and claimed compensation in the sum of N$1 648 744 made up of his salary and benefits from June 2001 to August 2009. The compensation also included </w:t>
      </w:r>
      <w:r>
        <w:rPr>
          <w:rFonts w:ascii="Arial" w:hAnsi="Arial" w:cs="Arial"/>
          <w:sz w:val="24"/>
          <w:szCs w:val="24"/>
        </w:rPr>
        <w:t>a</w:t>
      </w:r>
      <w:r w:rsidR="00393872">
        <w:rPr>
          <w:rFonts w:ascii="Arial" w:hAnsi="Arial" w:cs="Arial"/>
          <w:sz w:val="24"/>
          <w:szCs w:val="24"/>
        </w:rPr>
        <w:t xml:space="preserve"> claim of N$100 000 in respect of legal fees </w:t>
      </w:r>
      <w:r w:rsidR="001D517A">
        <w:rPr>
          <w:rFonts w:ascii="Arial" w:hAnsi="Arial" w:cs="Arial"/>
          <w:sz w:val="24"/>
          <w:szCs w:val="24"/>
        </w:rPr>
        <w:t>an</w:t>
      </w:r>
      <w:r>
        <w:rPr>
          <w:rFonts w:ascii="Arial" w:hAnsi="Arial" w:cs="Arial"/>
          <w:sz w:val="24"/>
          <w:szCs w:val="24"/>
        </w:rPr>
        <w:t>d</w:t>
      </w:r>
      <w:r w:rsidR="001D517A">
        <w:rPr>
          <w:rFonts w:ascii="Arial" w:hAnsi="Arial" w:cs="Arial"/>
          <w:sz w:val="24"/>
          <w:szCs w:val="24"/>
        </w:rPr>
        <w:t xml:space="preserve"> </w:t>
      </w:r>
      <w:r w:rsidR="00393872">
        <w:rPr>
          <w:rFonts w:ascii="Arial" w:hAnsi="Arial" w:cs="Arial"/>
          <w:sz w:val="24"/>
          <w:szCs w:val="24"/>
        </w:rPr>
        <w:t xml:space="preserve">an acting allowance of N$12 744. </w:t>
      </w:r>
    </w:p>
    <w:p w:rsidR="00393872" w:rsidRDefault="00393872" w:rsidP="009673E5">
      <w:pPr>
        <w:spacing w:after="0" w:line="360" w:lineRule="auto"/>
        <w:jc w:val="both"/>
        <w:rPr>
          <w:rFonts w:ascii="Arial" w:hAnsi="Arial" w:cs="Arial"/>
          <w:sz w:val="24"/>
          <w:szCs w:val="24"/>
        </w:rPr>
      </w:pPr>
    </w:p>
    <w:p w:rsidR="00E032BA" w:rsidRDefault="00EF53D3" w:rsidP="009673E5">
      <w:pPr>
        <w:spacing w:after="0" w:line="360" w:lineRule="auto"/>
        <w:jc w:val="both"/>
        <w:rPr>
          <w:rFonts w:ascii="Arial" w:hAnsi="Arial" w:cs="Arial"/>
          <w:sz w:val="24"/>
          <w:szCs w:val="24"/>
        </w:rPr>
      </w:pPr>
      <w:r>
        <w:rPr>
          <w:rFonts w:ascii="Arial" w:hAnsi="Arial" w:cs="Arial"/>
          <w:sz w:val="24"/>
          <w:szCs w:val="24"/>
        </w:rPr>
        <w:t>[15</w:t>
      </w:r>
      <w:r w:rsidR="00393872">
        <w:rPr>
          <w:rFonts w:ascii="Arial" w:hAnsi="Arial" w:cs="Arial"/>
          <w:sz w:val="24"/>
          <w:szCs w:val="24"/>
        </w:rPr>
        <w:t>]</w:t>
      </w:r>
      <w:r w:rsidR="00393872">
        <w:rPr>
          <w:rFonts w:ascii="Arial" w:hAnsi="Arial" w:cs="Arial"/>
          <w:sz w:val="24"/>
          <w:szCs w:val="24"/>
        </w:rPr>
        <w:tab/>
        <w:t xml:space="preserve">In this referral to the </w:t>
      </w:r>
      <w:r w:rsidR="001D517A">
        <w:rPr>
          <w:rFonts w:ascii="Arial" w:hAnsi="Arial" w:cs="Arial"/>
          <w:sz w:val="24"/>
          <w:szCs w:val="24"/>
        </w:rPr>
        <w:t>Labour C</w:t>
      </w:r>
      <w:r w:rsidR="00393872">
        <w:rPr>
          <w:rFonts w:ascii="Arial" w:hAnsi="Arial" w:cs="Arial"/>
          <w:sz w:val="24"/>
          <w:szCs w:val="24"/>
        </w:rPr>
        <w:t xml:space="preserve">ommissioner, the respondent </w:t>
      </w:r>
      <w:r w:rsidR="001D517A">
        <w:rPr>
          <w:rFonts w:ascii="Arial" w:hAnsi="Arial" w:cs="Arial"/>
          <w:sz w:val="24"/>
          <w:szCs w:val="24"/>
        </w:rPr>
        <w:t xml:space="preserve">simultaneously </w:t>
      </w:r>
      <w:r w:rsidR="00393872">
        <w:rPr>
          <w:rFonts w:ascii="Arial" w:hAnsi="Arial" w:cs="Arial"/>
          <w:sz w:val="24"/>
          <w:szCs w:val="24"/>
        </w:rPr>
        <w:t>sought condonation for the late filing of this dispute. He claims that he only “realized what had happened in May 2003”</w:t>
      </w:r>
      <w:r>
        <w:rPr>
          <w:rFonts w:ascii="Arial" w:hAnsi="Arial" w:cs="Arial"/>
          <w:sz w:val="24"/>
          <w:szCs w:val="24"/>
        </w:rPr>
        <w:t>,</w:t>
      </w:r>
      <w:r w:rsidR="001D517A">
        <w:rPr>
          <w:rFonts w:ascii="Arial" w:hAnsi="Arial" w:cs="Arial"/>
          <w:sz w:val="24"/>
          <w:szCs w:val="24"/>
        </w:rPr>
        <w:t xml:space="preserve"> alleging </w:t>
      </w:r>
      <w:r>
        <w:rPr>
          <w:rFonts w:ascii="Arial" w:hAnsi="Arial" w:cs="Arial"/>
          <w:sz w:val="24"/>
          <w:szCs w:val="24"/>
        </w:rPr>
        <w:t xml:space="preserve">that </w:t>
      </w:r>
      <w:r w:rsidR="001D517A">
        <w:rPr>
          <w:rFonts w:ascii="Arial" w:hAnsi="Arial" w:cs="Arial"/>
          <w:sz w:val="24"/>
          <w:szCs w:val="24"/>
        </w:rPr>
        <w:t>facts had been kept secret from him.</w:t>
      </w:r>
      <w:r w:rsidR="00393872">
        <w:rPr>
          <w:rFonts w:ascii="Arial" w:hAnsi="Arial" w:cs="Arial"/>
          <w:sz w:val="24"/>
          <w:szCs w:val="24"/>
        </w:rPr>
        <w:t xml:space="preserve"> </w:t>
      </w:r>
      <w:r w:rsidR="00E032BA">
        <w:rPr>
          <w:rFonts w:ascii="Arial" w:hAnsi="Arial" w:cs="Arial"/>
          <w:sz w:val="24"/>
          <w:szCs w:val="24"/>
        </w:rPr>
        <w:t>I</w:t>
      </w:r>
      <w:r w:rsidR="00393872">
        <w:rPr>
          <w:rFonts w:ascii="Arial" w:hAnsi="Arial" w:cs="Arial"/>
          <w:sz w:val="24"/>
          <w:szCs w:val="24"/>
        </w:rPr>
        <w:t>t is not explained how he came to that realization in 2003</w:t>
      </w:r>
      <w:r>
        <w:rPr>
          <w:rFonts w:ascii="Arial" w:hAnsi="Arial" w:cs="Arial"/>
          <w:sz w:val="24"/>
          <w:szCs w:val="24"/>
        </w:rPr>
        <w:t>,</w:t>
      </w:r>
      <w:r w:rsidR="00393872">
        <w:rPr>
          <w:rFonts w:ascii="Arial" w:hAnsi="Arial" w:cs="Arial"/>
          <w:sz w:val="24"/>
          <w:szCs w:val="24"/>
        </w:rPr>
        <w:t xml:space="preserve"> although he referred to a </w:t>
      </w:r>
      <w:r w:rsidR="00D26E9F">
        <w:rPr>
          <w:rFonts w:ascii="Arial" w:hAnsi="Arial" w:cs="Arial"/>
          <w:sz w:val="24"/>
          <w:szCs w:val="24"/>
        </w:rPr>
        <w:t>P</w:t>
      </w:r>
      <w:r w:rsidR="00393872">
        <w:rPr>
          <w:rFonts w:ascii="Arial" w:hAnsi="Arial" w:cs="Arial"/>
          <w:sz w:val="24"/>
          <w:szCs w:val="24"/>
        </w:rPr>
        <w:t xml:space="preserve">residential </w:t>
      </w:r>
      <w:r w:rsidR="00D26E9F">
        <w:rPr>
          <w:rFonts w:ascii="Arial" w:hAnsi="Arial" w:cs="Arial"/>
          <w:sz w:val="24"/>
          <w:szCs w:val="24"/>
        </w:rPr>
        <w:t>C</w:t>
      </w:r>
      <w:r w:rsidR="00393872">
        <w:rPr>
          <w:rFonts w:ascii="Arial" w:hAnsi="Arial" w:cs="Arial"/>
          <w:sz w:val="24"/>
          <w:szCs w:val="24"/>
        </w:rPr>
        <w:t xml:space="preserve">ommission of </w:t>
      </w:r>
      <w:r w:rsidR="00D26E9F">
        <w:rPr>
          <w:rFonts w:ascii="Arial" w:hAnsi="Arial" w:cs="Arial"/>
          <w:sz w:val="24"/>
          <w:szCs w:val="24"/>
        </w:rPr>
        <w:t>E</w:t>
      </w:r>
      <w:r w:rsidR="00393872">
        <w:rPr>
          <w:rFonts w:ascii="Arial" w:hAnsi="Arial" w:cs="Arial"/>
          <w:sz w:val="24"/>
          <w:szCs w:val="24"/>
        </w:rPr>
        <w:t>nquiry</w:t>
      </w:r>
      <w:r w:rsidR="00D26E9F">
        <w:rPr>
          <w:rFonts w:ascii="Arial" w:hAnsi="Arial" w:cs="Arial"/>
          <w:sz w:val="24"/>
          <w:szCs w:val="24"/>
        </w:rPr>
        <w:t xml:space="preserve"> </w:t>
      </w:r>
      <w:r>
        <w:rPr>
          <w:rFonts w:ascii="Arial" w:hAnsi="Arial" w:cs="Arial"/>
          <w:sz w:val="24"/>
          <w:szCs w:val="24"/>
        </w:rPr>
        <w:t>in</w:t>
      </w:r>
      <w:r w:rsidR="00D26E9F">
        <w:rPr>
          <w:rFonts w:ascii="Arial" w:hAnsi="Arial" w:cs="Arial"/>
          <w:sz w:val="24"/>
          <w:szCs w:val="24"/>
        </w:rPr>
        <w:t xml:space="preserve">to AMCOM, </w:t>
      </w:r>
      <w:r w:rsidR="00E032BA">
        <w:rPr>
          <w:rFonts w:ascii="Arial" w:hAnsi="Arial" w:cs="Arial"/>
          <w:sz w:val="24"/>
          <w:szCs w:val="24"/>
        </w:rPr>
        <w:t>NDC (</w:t>
      </w:r>
      <w:r w:rsidR="00D26E9F">
        <w:rPr>
          <w:rFonts w:ascii="Arial" w:hAnsi="Arial" w:cs="Arial"/>
          <w:sz w:val="24"/>
          <w:szCs w:val="24"/>
        </w:rPr>
        <w:t>the appellant</w:t>
      </w:r>
      <w:r w:rsidR="00E032BA">
        <w:rPr>
          <w:rFonts w:ascii="Arial" w:hAnsi="Arial" w:cs="Arial"/>
          <w:sz w:val="24"/>
          <w:szCs w:val="24"/>
        </w:rPr>
        <w:t>)</w:t>
      </w:r>
      <w:r w:rsidR="00D26E9F">
        <w:rPr>
          <w:rFonts w:ascii="Arial" w:hAnsi="Arial" w:cs="Arial"/>
          <w:sz w:val="24"/>
          <w:szCs w:val="24"/>
        </w:rPr>
        <w:t xml:space="preserve"> and DBC which</w:t>
      </w:r>
      <w:r w:rsidR="00A53A3D">
        <w:rPr>
          <w:rFonts w:ascii="Arial" w:hAnsi="Arial" w:cs="Arial"/>
          <w:sz w:val="24"/>
          <w:szCs w:val="24"/>
        </w:rPr>
        <w:t xml:space="preserve"> he</w:t>
      </w:r>
      <w:r w:rsidR="00D26E9F">
        <w:rPr>
          <w:rFonts w:ascii="Arial" w:hAnsi="Arial" w:cs="Arial"/>
          <w:sz w:val="24"/>
          <w:szCs w:val="24"/>
        </w:rPr>
        <w:t xml:space="preserve"> </w:t>
      </w:r>
      <w:r w:rsidR="00E032BA">
        <w:rPr>
          <w:rFonts w:ascii="Arial" w:hAnsi="Arial" w:cs="Arial"/>
          <w:sz w:val="24"/>
          <w:szCs w:val="24"/>
        </w:rPr>
        <w:t>however</w:t>
      </w:r>
      <w:r w:rsidR="00A53A3D">
        <w:rPr>
          <w:rFonts w:ascii="Arial" w:hAnsi="Arial" w:cs="Arial"/>
          <w:sz w:val="24"/>
          <w:szCs w:val="24"/>
        </w:rPr>
        <w:t xml:space="preserve"> said</w:t>
      </w:r>
      <w:r w:rsidR="00E032BA">
        <w:rPr>
          <w:rFonts w:ascii="Arial" w:hAnsi="Arial" w:cs="Arial"/>
          <w:sz w:val="24"/>
          <w:szCs w:val="24"/>
        </w:rPr>
        <w:t xml:space="preserve"> </w:t>
      </w:r>
      <w:r>
        <w:rPr>
          <w:rFonts w:ascii="Arial" w:hAnsi="Arial" w:cs="Arial"/>
          <w:sz w:val="24"/>
          <w:szCs w:val="24"/>
        </w:rPr>
        <w:t xml:space="preserve">became </w:t>
      </w:r>
      <w:r w:rsidR="00D26E9F">
        <w:rPr>
          <w:rFonts w:ascii="Arial" w:hAnsi="Arial" w:cs="Arial"/>
          <w:sz w:val="24"/>
          <w:szCs w:val="24"/>
        </w:rPr>
        <w:t xml:space="preserve">revealed towards the end of 2004. </w:t>
      </w:r>
      <w:r w:rsidR="00E032BA">
        <w:rPr>
          <w:rFonts w:ascii="Arial" w:hAnsi="Arial" w:cs="Arial"/>
          <w:sz w:val="24"/>
          <w:szCs w:val="24"/>
        </w:rPr>
        <w:t>T</w:t>
      </w:r>
      <w:r w:rsidR="00D26E9F">
        <w:rPr>
          <w:rFonts w:ascii="Arial" w:hAnsi="Arial" w:cs="Arial"/>
          <w:sz w:val="24"/>
          <w:szCs w:val="24"/>
        </w:rPr>
        <w:t xml:space="preserve">he respondent sought the referral of the matter for conciliation and/or arbitration in terms of the </w:t>
      </w:r>
      <w:r w:rsidR="00E032BA">
        <w:rPr>
          <w:rFonts w:ascii="Arial" w:hAnsi="Arial" w:cs="Arial"/>
          <w:sz w:val="24"/>
          <w:szCs w:val="24"/>
        </w:rPr>
        <w:t>A</w:t>
      </w:r>
      <w:r w:rsidR="00D26E9F">
        <w:rPr>
          <w:rFonts w:ascii="Arial" w:hAnsi="Arial" w:cs="Arial"/>
          <w:sz w:val="24"/>
          <w:szCs w:val="24"/>
        </w:rPr>
        <w:t xml:space="preserve">ct. The form in which this was set out was delivered on the appellant on 11 September 2009. On 30 September 2009, the appellant set out its grounds upon which </w:t>
      </w:r>
      <w:r w:rsidR="00E032BA">
        <w:rPr>
          <w:rFonts w:ascii="Arial" w:hAnsi="Arial" w:cs="Arial"/>
          <w:sz w:val="24"/>
          <w:szCs w:val="24"/>
        </w:rPr>
        <w:t>it</w:t>
      </w:r>
      <w:r w:rsidR="00D26E9F">
        <w:rPr>
          <w:rFonts w:ascii="Arial" w:hAnsi="Arial" w:cs="Arial"/>
          <w:sz w:val="24"/>
          <w:szCs w:val="24"/>
        </w:rPr>
        <w:t xml:space="preserve"> opposed the application for condonation and </w:t>
      </w:r>
      <w:r w:rsidR="00A63293">
        <w:rPr>
          <w:rFonts w:ascii="Arial" w:hAnsi="Arial" w:cs="Arial"/>
          <w:sz w:val="24"/>
          <w:szCs w:val="24"/>
        </w:rPr>
        <w:t>it</w:t>
      </w:r>
      <w:r w:rsidR="00D26E9F">
        <w:rPr>
          <w:rFonts w:ascii="Arial" w:hAnsi="Arial" w:cs="Arial"/>
          <w:sz w:val="24"/>
          <w:szCs w:val="24"/>
        </w:rPr>
        <w:t xml:space="preserve"> also applied</w:t>
      </w:r>
      <w:r>
        <w:rPr>
          <w:rFonts w:ascii="Arial" w:hAnsi="Arial" w:cs="Arial"/>
          <w:sz w:val="24"/>
          <w:szCs w:val="24"/>
        </w:rPr>
        <w:t xml:space="preserve"> for condonation</w:t>
      </w:r>
      <w:r w:rsidR="00D26E9F">
        <w:rPr>
          <w:rFonts w:ascii="Arial" w:hAnsi="Arial" w:cs="Arial"/>
          <w:sz w:val="24"/>
          <w:szCs w:val="24"/>
        </w:rPr>
        <w:t xml:space="preserve"> </w:t>
      </w:r>
      <w:r w:rsidR="00E032BA">
        <w:rPr>
          <w:rFonts w:ascii="Arial" w:hAnsi="Arial" w:cs="Arial"/>
          <w:sz w:val="24"/>
          <w:szCs w:val="24"/>
        </w:rPr>
        <w:t>to</w:t>
      </w:r>
      <w:r w:rsidR="00D26E9F">
        <w:rPr>
          <w:rFonts w:ascii="Arial" w:hAnsi="Arial" w:cs="Arial"/>
          <w:sz w:val="24"/>
          <w:szCs w:val="24"/>
        </w:rPr>
        <w:t xml:space="preserve"> fil</w:t>
      </w:r>
      <w:r w:rsidR="00E032BA">
        <w:rPr>
          <w:rFonts w:ascii="Arial" w:hAnsi="Arial" w:cs="Arial"/>
          <w:sz w:val="24"/>
          <w:szCs w:val="24"/>
        </w:rPr>
        <w:t>e</w:t>
      </w:r>
      <w:r w:rsidR="00D26E9F">
        <w:rPr>
          <w:rFonts w:ascii="Arial" w:hAnsi="Arial" w:cs="Arial"/>
          <w:sz w:val="24"/>
          <w:szCs w:val="24"/>
        </w:rPr>
        <w:t xml:space="preserve"> that notice at that time. A conciliation meeting was then scheduled for 29 October 2009 before the arbitrator </w:t>
      </w:r>
      <w:r w:rsidR="00E032BA">
        <w:rPr>
          <w:rFonts w:ascii="Arial" w:hAnsi="Arial" w:cs="Arial"/>
          <w:sz w:val="24"/>
          <w:szCs w:val="24"/>
        </w:rPr>
        <w:t xml:space="preserve">who </w:t>
      </w:r>
      <w:r w:rsidR="00D26E9F">
        <w:rPr>
          <w:rFonts w:ascii="Arial" w:hAnsi="Arial" w:cs="Arial"/>
          <w:sz w:val="24"/>
          <w:szCs w:val="24"/>
        </w:rPr>
        <w:t xml:space="preserve">was appointed to the dispute. After conciliation of the matter did not bear fruit, the arbitrator directed that the matter then proceed to arbitration in November 2009. </w:t>
      </w:r>
    </w:p>
    <w:p w:rsidR="00E032BA" w:rsidRDefault="00E032BA" w:rsidP="009673E5">
      <w:pPr>
        <w:spacing w:after="0" w:line="360" w:lineRule="auto"/>
        <w:jc w:val="both"/>
        <w:rPr>
          <w:rFonts w:ascii="Arial" w:hAnsi="Arial" w:cs="Arial"/>
          <w:sz w:val="24"/>
          <w:szCs w:val="24"/>
        </w:rPr>
      </w:pPr>
    </w:p>
    <w:p w:rsidR="00E032BA" w:rsidRDefault="00E032BA" w:rsidP="009673E5">
      <w:pPr>
        <w:spacing w:after="0" w:line="360" w:lineRule="auto"/>
        <w:jc w:val="both"/>
        <w:rPr>
          <w:rFonts w:ascii="Arial" w:hAnsi="Arial" w:cs="Arial"/>
          <w:sz w:val="24"/>
          <w:szCs w:val="24"/>
        </w:rPr>
      </w:pPr>
      <w:r>
        <w:rPr>
          <w:rFonts w:ascii="Arial" w:hAnsi="Arial" w:cs="Arial"/>
          <w:sz w:val="24"/>
          <w:szCs w:val="24"/>
        </w:rPr>
        <w:t>[1</w:t>
      </w:r>
      <w:r w:rsidR="00EF53D3">
        <w:rPr>
          <w:rFonts w:ascii="Arial" w:hAnsi="Arial" w:cs="Arial"/>
          <w:sz w:val="24"/>
          <w:szCs w:val="24"/>
        </w:rPr>
        <w:t>6</w:t>
      </w:r>
      <w:r>
        <w:rPr>
          <w:rFonts w:ascii="Arial" w:hAnsi="Arial" w:cs="Arial"/>
          <w:sz w:val="24"/>
          <w:szCs w:val="24"/>
        </w:rPr>
        <w:t>]</w:t>
      </w:r>
      <w:r>
        <w:rPr>
          <w:rFonts w:ascii="Arial" w:hAnsi="Arial" w:cs="Arial"/>
          <w:sz w:val="24"/>
          <w:szCs w:val="24"/>
        </w:rPr>
        <w:tab/>
      </w:r>
      <w:r w:rsidR="00D26E9F">
        <w:rPr>
          <w:rFonts w:ascii="Arial" w:hAnsi="Arial" w:cs="Arial"/>
          <w:sz w:val="24"/>
          <w:szCs w:val="24"/>
        </w:rPr>
        <w:t xml:space="preserve">The appellant raised the question of prescription in opposing condonation, claiming that the respondent’s claim had become prescribed under the </w:t>
      </w:r>
      <w:r>
        <w:rPr>
          <w:rFonts w:ascii="Arial" w:hAnsi="Arial" w:cs="Arial"/>
          <w:sz w:val="24"/>
          <w:szCs w:val="24"/>
        </w:rPr>
        <w:t>P</w:t>
      </w:r>
      <w:r w:rsidR="00D26E9F">
        <w:rPr>
          <w:rFonts w:ascii="Arial" w:hAnsi="Arial" w:cs="Arial"/>
          <w:sz w:val="24"/>
          <w:szCs w:val="24"/>
        </w:rPr>
        <w:t xml:space="preserve">rescription </w:t>
      </w:r>
      <w:r>
        <w:rPr>
          <w:rFonts w:ascii="Arial" w:hAnsi="Arial" w:cs="Arial"/>
          <w:sz w:val="24"/>
          <w:szCs w:val="24"/>
        </w:rPr>
        <w:t>A</w:t>
      </w:r>
      <w:r w:rsidR="00D26E9F">
        <w:rPr>
          <w:rFonts w:ascii="Arial" w:hAnsi="Arial" w:cs="Arial"/>
          <w:sz w:val="24"/>
          <w:szCs w:val="24"/>
        </w:rPr>
        <w:t xml:space="preserve">ct. The arbitrator </w:t>
      </w:r>
      <w:r w:rsidR="00A63293">
        <w:rPr>
          <w:rFonts w:ascii="Arial" w:hAnsi="Arial" w:cs="Arial"/>
          <w:sz w:val="24"/>
          <w:szCs w:val="24"/>
        </w:rPr>
        <w:t>would then appear to have rejected the appellant’s point of prescription</w:t>
      </w:r>
      <w:r>
        <w:rPr>
          <w:rFonts w:ascii="Arial" w:hAnsi="Arial" w:cs="Arial"/>
          <w:sz w:val="24"/>
          <w:szCs w:val="24"/>
        </w:rPr>
        <w:t>.</w:t>
      </w:r>
      <w:r w:rsidR="00A63293">
        <w:rPr>
          <w:rFonts w:ascii="Arial" w:hAnsi="Arial" w:cs="Arial"/>
          <w:sz w:val="24"/>
          <w:szCs w:val="24"/>
        </w:rPr>
        <w:t xml:space="preserve"> </w:t>
      </w:r>
      <w:r>
        <w:rPr>
          <w:rFonts w:ascii="Arial" w:hAnsi="Arial" w:cs="Arial"/>
          <w:sz w:val="24"/>
          <w:szCs w:val="24"/>
        </w:rPr>
        <w:t>C</w:t>
      </w:r>
      <w:r w:rsidR="00A63293">
        <w:rPr>
          <w:rFonts w:ascii="Arial" w:hAnsi="Arial" w:cs="Arial"/>
          <w:sz w:val="24"/>
          <w:szCs w:val="24"/>
        </w:rPr>
        <w:t xml:space="preserve">ondonation </w:t>
      </w:r>
      <w:r>
        <w:rPr>
          <w:rFonts w:ascii="Arial" w:hAnsi="Arial" w:cs="Arial"/>
          <w:sz w:val="24"/>
          <w:szCs w:val="24"/>
        </w:rPr>
        <w:t xml:space="preserve">was </w:t>
      </w:r>
      <w:r w:rsidR="00DD6023">
        <w:rPr>
          <w:rFonts w:ascii="Arial" w:hAnsi="Arial" w:cs="Arial"/>
          <w:sz w:val="24"/>
          <w:szCs w:val="24"/>
        </w:rPr>
        <w:t xml:space="preserve">also </w:t>
      </w:r>
      <w:r>
        <w:rPr>
          <w:rFonts w:ascii="Arial" w:hAnsi="Arial" w:cs="Arial"/>
          <w:sz w:val="24"/>
          <w:szCs w:val="24"/>
        </w:rPr>
        <w:t xml:space="preserve">granted </w:t>
      </w:r>
      <w:r w:rsidR="00A63293">
        <w:rPr>
          <w:rFonts w:ascii="Arial" w:hAnsi="Arial" w:cs="Arial"/>
          <w:sz w:val="24"/>
          <w:szCs w:val="24"/>
        </w:rPr>
        <w:t xml:space="preserve">to the respondent for the late filling of his referral. </w:t>
      </w:r>
    </w:p>
    <w:p w:rsidR="00E032BA" w:rsidRDefault="00E032BA" w:rsidP="009673E5">
      <w:pPr>
        <w:spacing w:after="0" w:line="360" w:lineRule="auto"/>
        <w:jc w:val="both"/>
        <w:rPr>
          <w:rFonts w:ascii="Arial" w:hAnsi="Arial" w:cs="Arial"/>
          <w:sz w:val="24"/>
          <w:szCs w:val="24"/>
        </w:rPr>
      </w:pPr>
    </w:p>
    <w:p w:rsidR="00DD6023" w:rsidRDefault="00DD6023" w:rsidP="009673E5">
      <w:pPr>
        <w:spacing w:after="0" w:line="360" w:lineRule="auto"/>
        <w:jc w:val="both"/>
        <w:rPr>
          <w:rFonts w:ascii="Arial" w:hAnsi="Arial" w:cs="Arial"/>
          <w:sz w:val="24"/>
          <w:szCs w:val="24"/>
        </w:rPr>
      </w:pPr>
      <w:r>
        <w:rPr>
          <w:rFonts w:ascii="Arial" w:hAnsi="Arial" w:cs="Arial"/>
          <w:sz w:val="24"/>
          <w:szCs w:val="24"/>
        </w:rPr>
        <w:t>[17</w:t>
      </w:r>
      <w:r w:rsidR="00E032BA">
        <w:rPr>
          <w:rFonts w:ascii="Arial" w:hAnsi="Arial" w:cs="Arial"/>
          <w:sz w:val="24"/>
          <w:szCs w:val="24"/>
        </w:rPr>
        <w:t>]</w:t>
      </w:r>
      <w:r w:rsidR="00E032BA">
        <w:rPr>
          <w:rFonts w:ascii="Arial" w:hAnsi="Arial" w:cs="Arial"/>
          <w:sz w:val="24"/>
          <w:szCs w:val="24"/>
        </w:rPr>
        <w:tab/>
      </w:r>
      <w:r w:rsidR="00A63293">
        <w:rPr>
          <w:rFonts w:ascii="Arial" w:hAnsi="Arial" w:cs="Arial"/>
          <w:sz w:val="24"/>
          <w:szCs w:val="24"/>
        </w:rPr>
        <w:t>The arbitrator did not however set this out in any ruling or award</w:t>
      </w:r>
      <w:r w:rsidR="00A21D85">
        <w:rPr>
          <w:rFonts w:ascii="Arial" w:hAnsi="Arial" w:cs="Arial"/>
          <w:sz w:val="24"/>
          <w:szCs w:val="24"/>
        </w:rPr>
        <w:t xml:space="preserve"> but </w:t>
      </w:r>
      <w:r w:rsidR="00E032BA">
        <w:rPr>
          <w:rFonts w:ascii="Arial" w:hAnsi="Arial" w:cs="Arial"/>
          <w:sz w:val="24"/>
          <w:szCs w:val="24"/>
        </w:rPr>
        <w:t>mere</w:t>
      </w:r>
      <w:r w:rsidR="00A21D85">
        <w:rPr>
          <w:rFonts w:ascii="Arial" w:hAnsi="Arial" w:cs="Arial"/>
          <w:sz w:val="24"/>
          <w:szCs w:val="24"/>
        </w:rPr>
        <w:t xml:space="preserve">ly directed that the arbitration commence </w:t>
      </w:r>
      <w:r w:rsidR="00E032BA">
        <w:rPr>
          <w:rFonts w:ascii="Arial" w:hAnsi="Arial" w:cs="Arial"/>
          <w:sz w:val="24"/>
          <w:szCs w:val="24"/>
        </w:rPr>
        <w:t xml:space="preserve">and proceed on dates </w:t>
      </w:r>
      <w:r w:rsidR="00A21D85">
        <w:rPr>
          <w:rFonts w:ascii="Arial" w:hAnsi="Arial" w:cs="Arial"/>
          <w:sz w:val="24"/>
          <w:szCs w:val="24"/>
        </w:rPr>
        <w:t>during the following month</w:t>
      </w:r>
      <w:r>
        <w:rPr>
          <w:rFonts w:ascii="Arial" w:hAnsi="Arial" w:cs="Arial"/>
          <w:sz w:val="24"/>
          <w:szCs w:val="24"/>
        </w:rPr>
        <w:t xml:space="preserve"> after the issue of prescription had been pertinently raised</w:t>
      </w:r>
      <w:r w:rsidR="00A21D85">
        <w:rPr>
          <w:rFonts w:ascii="Arial" w:hAnsi="Arial" w:cs="Arial"/>
          <w:sz w:val="24"/>
          <w:szCs w:val="24"/>
        </w:rPr>
        <w:t>. The appellant requested reasons from the arbitrator for his decision to reject the plea of prescription and for reason</w:t>
      </w:r>
      <w:r>
        <w:rPr>
          <w:rFonts w:ascii="Arial" w:hAnsi="Arial" w:cs="Arial"/>
          <w:sz w:val="24"/>
          <w:szCs w:val="24"/>
        </w:rPr>
        <w:t>s</w:t>
      </w:r>
      <w:r w:rsidR="00A21D85">
        <w:rPr>
          <w:rFonts w:ascii="Arial" w:hAnsi="Arial" w:cs="Arial"/>
          <w:sz w:val="24"/>
          <w:szCs w:val="24"/>
        </w:rPr>
        <w:t xml:space="preserve"> why the matter w</w:t>
      </w:r>
      <w:r w:rsidR="00E032BA">
        <w:rPr>
          <w:rFonts w:ascii="Arial" w:hAnsi="Arial" w:cs="Arial"/>
          <w:sz w:val="24"/>
          <w:szCs w:val="24"/>
        </w:rPr>
        <w:t>ou</w:t>
      </w:r>
      <w:r w:rsidR="00A21D85">
        <w:rPr>
          <w:rFonts w:ascii="Arial" w:hAnsi="Arial" w:cs="Arial"/>
          <w:sz w:val="24"/>
          <w:szCs w:val="24"/>
        </w:rPr>
        <w:t>l</w:t>
      </w:r>
      <w:r w:rsidR="00E032BA">
        <w:rPr>
          <w:rFonts w:ascii="Arial" w:hAnsi="Arial" w:cs="Arial"/>
          <w:sz w:val="24"/>
          <w:szCs w:val="24"/>
        </w:rPr>
        <w:t>d</w:t>
      </w:r>
      <w:r w:rsidR="00A21D85">
        <w:rPr>
          <w:rFonts w:ascii="Arial" w:hAnsi="Arial" w:cs="Arial"/>
          <w:sz w:val="24"/>
          <w:szCs w:val="24"/>
        </w:rPr>
        <w:t xml:space="preserve"> further proceed to arbitration and for reasons for the granting of the application for condonation. Unfortunately the arbitrator failed to provide any reasons for his decision. </w:t>
      </w:r>
      <w:r>
        <w:rPr>
          <w:rFonts w:ascii="Arial" w:hAnsi="Arial" w:cs="Arial"/>
          <w:sz w:val="24"/>
          <w:szCs w:val="24"/>
        </w:rPr>
        <w:t>R</w:t>
      </w:r>
      <w:r w:rsidR="00A21D85">
        <w:rPr>
          <w:rFonts w:ascii="Arial" w:hAnsi="Arial" w:cs="Arial"/>
          <w:sz w:val="24"/>
          <w:szCs w:val="24"/>
        </w:rPr>
        <w:t>easons were sought from him in writing</w:t>
      </w:r>
      <w:r w:rsidR="00E032BA">
        <w:rPr>
          <w:rFonts w:ascii="Arial" w:hAnsi="Arial" w:cs="Arial"/>
          <w:sz w:val="24"/>
          <w:szCs w:val="24"/>
        </w:rPr>
        <w:t xml:space="preserve"> through the L</w:t>
      </w:r>
      <w:r w:rsidR="00A21D85">
        <w:rPr>
          <w:rFonts w:ascii="Arial" w:hAnsi="Arial" w:cs="Arial"/>
          <w:sz w:val="24"/>
          <w:szCs w:val="24"/>
        </w:rPr>
        <w:t xml:space="preserve">abour </w:t>
      </w:r>
      <w:r w:rsidR="00E032BA">
        <w:rPr>
          <w:rFonts w:ascii="Arial" w:hAnsi="Arial" w:cs="Arial"/>
          <w:sz w:val="24"/>
          <w:szCs w:val="24"/>
        </w:rPr>
        <w:t>C</w:t>
      </w:r>
      <w:r w:rsidR="00A21D85">
        <w:rPr>
          <w:rFonts w:ascii="Arial" w:hAnsi="Arial" w:cs="Arial"/>
          <w:sz w:val="24"/>
          <w:szCs w:val="24"/>
        </w:rPr>
        <w:t>ommission</w:t>
      </w:r>
      <w:r w:rsidR="00E032BA">
        <w:rPr>
          <w:rFonts w:ascii="Arial" w:hAnsi="Arial" w:cs="Arial"/>
          <w:sz w:val="24"/>
          <w:szCs w:val="24"/>
        </w:rPr>
        <w:t>er</w:t>
      </w:r>
      <w:r w:rsidR="00A21D85">
        <w:rPr>
          <w:rFonts w:ascii="Arial" w:hAnsi="Arial" w:cs="Arial"/>
          <w:sz w:val="24"/>
          <w:szCs w:val="24"/>
        </w:rPr>
        <w:t xml:space="preserve"> and directly. That approach did not </w:t>
      </w:r>
      <w:r>
        <w:rPr>
          <w:rFonts w:ascii="Arial" w:hAnsi="Arial" w:cs="Arial"/>
          <w:sz w:val="24"/>
          <w:szCs w:val="24"/>
        </w:rPr>
        <w:t xml:space="preserve">even </w:t>
      </w:r>
      <w:r w:rsidR="00A21D85">
        <w:rPr>
          <w:rFonts w:ascii="Arial" w:hAnsi="Arial" w:cs="Arial"/>
          <w:sz w:val="24"/>
          <w:szCs w:val="24"/>
        </w:rPr>
        <w:t xml:space="preserve">receive </w:t>
      </w:r>
      <w:r w:rsidR="00E032BA">
        <w:rPr>
          <w:rFonts w:ascii="Arial" w:hAnsi="Arial" w:cs="Arial"/>
          <w:sz w:val="24"/>
          <w:szCs w:val="24"/>
        </w:rPr>
        <w:t>the</w:t>
      </w:r>
      <w:r w:rsidR="00A21D85">
        <w:rPr>
          <w:rFonts w:ascii="Arial" w:hAnsi="Arial" w:cs="Arial"/>
          <w:sz w:val="24"/>
          <w:szCs w:val="24"/>
        </w:rPr>
        <w:t xml:space="preserve"> courtesy of an acknowledgment of its receipt. </w:t>
      </w:r>
    </w:p>
    <w:p w:rsidR="00DD6023" w:rsidRDefault="00DD6023" w:rsidP="009673E5">
      <w:pPr>
        <w:spacing w:after="0" w:line="360" w:lineRule="auto"/>
        <w:jc w:val="both"/>
        <w:rPr>
          <w:rFonts w:ascii="Arial" w:hAnsi="Arial" w:cs="Arial"/>
          <w:sz w:val="24"/>
          <w:szCs w:val="24"/>
        </w:rPr>
      </w:pPr>
    </w:p>
    <w:p w:rsidR="00393872" w:rsidRDefault="00DD6023" w:rsidP="009673E5">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E032BA">
        <w:rPr>
          <w:rFonts w:ascii="Arial" w:hAnsi="Arial" w:cs="Arial"/>
          <w:sz w:val="24"/>
          <w:szCs w:val="24"/>
        </w:rPr>
        <w:t>At the appellant’s instance, t</w:t>
      </w:r>
      <w:r w:rsidR="00A21D85">
        <w:rPr>
          <w:rFonts w:ascii="Arial" w:hAnsi="Arial" w:cs="Arial"/>
          <w:sz w:val="24"/>
          <w:szCs w:val="24"/>
        </w:rPr>
        <w:t xml:space="preserve">he arbitration </w:t>
      </w:r>
      <w:r w:rsidR="00A53A3D">
        <w:rPr>
          <w:rFonts w:ascii="Arial" w:hAnsi="Arial" w:cs="Arial"/>
          <w:sz w:val="24"/>
          <w:szCs w:val="24"/>
        </w:rPr>
        <w:t xml:space="preserve">scheduled for November 2009 </w:t>
      </w:r>
      <w:r w:rsidR="00A21D85">
        <w:rPr>
          <w:rFonts w:ascii="Arial" w:hAnsi="Arial" w:cs="Arial"/>
          <w:sz w:val="24"/>
          <w:szCs w:val="24"/>
        </w:rPr>
        <w:t xml:space="preserve">was </w:t>
      </w:r>
      <w:r w:rsidR="00E032BA">
        <w:rPr>
          <w:rFonts w:ascii="Arial" w:hAnsi="Arial" w:cs="Arial"/>
          <w:sz w:val="24"/>
          <w:szCs w:val="24"/>
        </w:rPr>
        <w:t xml:space="preserve">then </w:t>
      </w:r>
      <w:r w:rsidR="00A21D85">
        <w:rPr>
          <w:rFonts w:ascii="Arial" w:hAnsi="Arial" w:cs="Arial"/>
          <w:sz w:val="24"/>
          <w:szCs w:val="24"/>
        </w:rPr>
        <w:t xml:space="preserve">postponed and the appellant thereafter filed a notice of appeal </w:t>
      </w:r>
      <w:r w:rsidR="00E032BA">
        <w:rPr>
          <w:rFonts w:ascii="Arial" w:hAnsi="Arial" w:cs="Arial"/>
          <w:sz w:val="24"/>
          <w:szCs w:val="24"/>
        </w:rPr>
        <w:t xml:space="preserve">against the prescription ruling </w:t>
      </w:r>
      <w:r w:rsidR="00A21D85">
        <w:rPr>
          <w:rFonts w:ascii="Arial" w:hAnsi="Arial" w:cs="Arial"/>
          <w:sz w:val="24"/>
          <w:szCs w:val="24"/>
        </w:rPr>
        <w:t xml:space="preserve">which was served on </w:t>
      </w:r>
      <w:r w:rsidR="00E032BA">
        <w:rPr>
          <w:rFonts w:ascii="Arial" w:hAnsi="Arial" w:cs="Arial"/>
          <w:sz w:val="24"/>
          <w:szCs w:val="24"/>
        </w:rPr>
        <w:t xml:space="preserve">both </w:t>
      </w:r>
      <w:r w:rsidR="00A21D85">
        <w:rPr>
          <w:rFonts w:ascii="Arial" w:hAnsi="Arial" w:cs="Arial"/>
          <w:sz w:val="24"/>
          <w:szCs w:val="24"/>
        </w:rPr>
        <w:t xml:space="preserve">the </w:t>
      </w:r>
      <w:r w:rsidR="00E032BA">
        <w:rPr>
          <w:rFonts w:ascii="Arial" w:hAnsi="Arial" w:cs="Arial"/>
          <w:sz w:val="24"/>
          <w:szCs w:val="24"/>
        </w:rPr>
        <w:t>L</w:t>
      </w:r>
      <w:r w:rsidR="00A21D85">
        <w:rPr>
          <w:rFonts w:ascii="Arial" w:hAnsi="Arial" w:cs="Arial"/>
          <w:sz w:val="24"/>
          <w:szCs w:val="24"/>
        </w:rPr>
        <w:t xml:space="preserve">abour </w:t>
      </w:r>
      <w:r w:rsidR="00E032BA">
        <w:rPr>
          <w:rFonts w:ascii="Arial" w:hAnsi="Arial" w:cs="Arial"/>
          <w:sz w:val="24"/>
          <w:szCs w:val="24"/>
        </w:rPr>
        <w:t>C</w:t>
      </w:r>
      <w:r w:rsidR="00A21D85">
        <w:rPr>
          <w:rFonts w:ascii="Arial" w:hAnsi="Arial" w:cs="Arial"/>
          <w:sz w:val="24"/>
          <w:szCs w:val="24"/>
        </w:rPr>
        <w:t xml:space="preserve">ommissioner and the arbitrator, cited as second and third respondents as I have already indicated. </w:t>
      </w:r>
      <w:r>
        <w:rPr>
          <w:rFonts w:ascii="Arial" w:hAnsi="Arial" w:cs="Arial"/>
          <w:sz w:val="24"/>
          <w:szCs w:val="24"/>
        </w:rPr>
        <w:t>Even after</w:t>
      </w:r>
      <w:r w:rsidR="00A21D85">
        <w:rPr>
          <w:rFonts w:ascii="Arial" w:hAnsi="Arial" w:cs="Arial"/>
          <w:sz w:val="24"/>
          <w:szCs w:val="24"/>
        </w:rPr>
        <w:t xml:space="preserve"> the notice of appeal ha</w:t>
      </w:r>
      <w:r>
        <w:rPr>
          <w:rFonts w:ascii="Arial" w:hAnsi="Arial" w:cs="Arial"/>
          <w:sz w:val="24"/>
          <w:szCs w:val="24"/>
        </w:rPr>
        <w:t>d</w:t>
      </w:r>
      <w:r w:rsidR="00A21D85">
        <w:rPr>
          <w:rFonts w:ascii="Arial" w:hAnsi="Arial" w:cs="Arial"/>
          <w:sz w:val="24"/>
          <w:szCs w:val="24"/>
        </w:rPr>
        <w:t xml:space="preserve"> been served upon the arbitrator, no reasons for his decision were provided. </w:t>
      </w:r>
      <w:r>
        <w:rPr>
          <w:rFonts w:ascii="Arial" w:hAnsi="Arial" w:cs="Arial"/>
          <w:sz w:val="24"/>
          <w:szCs w:val="24"/>
        </w:rPr>
        <w:t>T</w:t>
      </w:r>
      <w:r w:rsidR="00A21D85">
        <w:rPr>
          <w:rFonts w:ascii="Arial" w:hAnsi="Arial" w:cs="Arial"/>
          <w:sz w:val="24"/>
          <w:szCs w:val="24"/>
        </w:rPr>
        <w:t>his is unfortu</w:t>
      </w:r>
      <w:r w:rsidR="00D970C4">
        <w:rPr>
          <w:rFonts w:ascii="Arial" w:hAnsi="Arial" w:cs="Arial"/>
          <w:sz w:val="24"/>
          <w:szCs w:val="24"/>
        </w:rPr>
        <w:t>nate and not what one would expect</w:t>
      </w:r>
      <w:r w:rsidR="00A21D85">
        <w:rPr>
          <w:rFonts w:ascii="Arial" w:hAnsi="Arial" w:cs="Arial"/>
          <w:sz w:val="24"/>
          <w:szCs w:val="24"/>
        </w:rPr>
        <w:t xml:space="preserve"> of a </w:t>
      </w:r>
      <w:r w:rsidR="00D970C4">
        <w:rPr>
          <w:rFonts w:ascii="Arial" w:hAnsi="Arial" w:cs="Arial"/>
          <w:sz w:val="24"/>
          <w:szCs w:val="24"/>
        </w:rPr>
        <w:t>decision</w:t>
      </w:r>
      <w:r w:rsidR="00A21D85">
        <w:rPr>
          <w:rFonts w:ascii="Arial" w:hAnsi="Arial" w:cs="Arial"/>
          <w:sz w:val="24"/>
          <w:szCs w:val="24"/>
        </w:rPr>
        <w:t xml:space="preserve"> maker under the </w:t>
      </w:r>
      <w:r w:rsidR="00E032BA">
        <w:rPr>
          <w:rFonts w:ascii="Arial" w:hAnsi="Arial" w:cs="Arial"/>
          <w:sz w:val="24"/>
          <w:szCs w:val="24"/>
        </w:rPr>
        <w:t>A</w:t>
      </w:r>
      <w:r w:rsidR="00A21D85">
        <w:rPr>
          <w:rFonts w:ascii="Arial" w:hAnsi="Arial" w:cs="Arial"/>
          <w:sz w:val="24"/>
          <w:szCs w:val="24"/>
        </w:rPr>
        <w:t>ct and indeed within public administration</w:t>
      </w:r>
      <w:r w:rsidR="00D970C4">
        <w:rPr>
          <w:rFonts w:ascii="Arial" w:hAnsi="Arial" w:cs="Arial"/>
          <w:sz w:val="24"/>
          <w:szCs w:val="24"/>
        </w:rPr>
        <w:t xml:space="preserve">, given the provisions of </w:t>
      </w:r>
      <w:r w:rsidR="00A23B18">
        <w:rPr>
          <w:rFonts w:ascii="Arial" w:hAnsi="Arial" w:cs="Arial"/>
          <w:sz w:val="24"/>
          <w:szCs w:val="24"/>
        </w:rPr>
        <w:t>A</w:t>
      </w:r>
      <w:r w:rsidR="00D970C4">
        <w:rPr>
          <w:rFonts w:ascii="Arial" w:hAnsi="Arial" w:cs="Arial"/>
          <w:sz w:val="24"/>
          <w:szCs w:val="24"/>
        </w:rPr>
        <w:t xml:space="preserve">rticle 18 of the </w:t>
      </w:r>
      <w:r w:rsidR="00A23B18">
        <w:rPr>
          <w:rFonts w:ascii="Arial" w:hAnsi="Arial" w:cs="Arial"/>
          <w:sz w:val="24"/>
          <w:szCs w:val="24"/>
        </w:rPr>
        <w:t>C</w:t>
      </w:r>
      <w:r w:rsidR="00D970C4">
        <w:rPr>
          <w:rFonts w:ascii="Arial" w:hAnsi="Arial" w:cs="Arial"/>
          <w:sz w:val="24"/>
          <w:szCs w:val="24"/>
        </w:rPr>
        <w:t>onstitution</w:t>
      </w:r>
      <w:r w:rsidR="00A23B18">
        <w:rPr>
          <w:rFonts w:ascii="Arial" w:hAnsi="Arial" w:cs="Arial"/>
          <w:sz w:val="24"/>
          <w:szCs w:val="24"/>
        </w:rPr>
        <w:t xml:space="preserve"> and the entitlement to reasons in respect of decisions of this nature</w:t>
      </w:r>
      <w:r>
        <w:rPr>
          <w:rFonts w:ascii="Arial" w:hAnsi="Arial" w:cs="Arial"/>
          <w:sz w:val="24"/>
          <w:szCs w:val="24"/>
        </w:rPr>
        <w:t>, particularly when requested by a party affected by the decision</w:t>
      </w:r>
      <w:r w:rsidR="00D970C4">
        <w:rPr>
          <w:rFonts w:ascii="Arial" w:hAnsi="Arial" w:cs="Arial"/>
          <w:sz w:val="24"/>
          <w:szCs w:val="24"/>
        </w:rPr>
        <w:t>.</w:t>
      </w:r>
    </w:p>
    <w:p w:rsidR="00D970C4" w:rsidRDefault="00D970C4" w:rsidP="009673E5">
      <w:pPr>
        <w:spacing w:after="0" w:line="360" w:lineRule="auto"/>
        <w:jc w:val="both"/>
        <w:rPr>
          <w:rFonts w:ascii="Arial" w:hAnsi="Arial" w:cs="Arial"/>
          <w:sz w:val="24"/>
          <w:szCs w:val="24"/>
        </w:rPr>
      </w:pPr>
    </w:p>
    <w:p w:rsidR="00A23B18" w:rsidRDefault="00DD6023" w:rsidP="009673E5">
      <w:pPr>
        <w:spacing w:after="0" w:line="360" w:lineRule="auto"/>
        <w:jc w:val="both"/>
        <w:rPr>
          <w:rFonts w:ascii="Arial" w:hAnsi="Arial" w:cs="Arial"/>
          <w:sz w:val="24"/>
          <w:szCs w:val="24"/>
        </w:rPr>
      </w:pPr>
      <w:r>
        <w:rPr>
          <w:rFonts w:ascii="Arial" w:hAnsi="Arial" w:cs="Arial"/>
          <w:sz w:val="24"/>
          <w:szCs w:val="24"/>
        </w:rPr>
        <w:t>[19</w:t>
      </w:r>
      <w:r w:rsidR="00D970C4">
        <w:rPr>
          <w:rFonts w:ascii="Arial" w:hAnsi="Arial" w:cs="Arial"/>
          <w:sz w:val="24"/>
          <w:szCs w:val="24"/>
        </w:rPr>
        <w:t>]</w:t>
      </w:r>
      <w:r w:rsidR="00D970C4">
        <w:rPr>
          <w:rFonts w:ascii="Arial" w:hAnsi="Arial" w:cs="Arial"/>
          <w:sz w:val="24"/>
          <w:szCs w:val="24"/>
        </w:rPr>
        <w:tab/>
        <w:t xml:space="preserve">Mr Ntinda contended in this context that the decision appealed against had been taken at the conciliation stage and would thus not be an award </w:t>
      </w:r>
      <w:r w:rsidR="00A23B18">
        <w:rPr>
          <w:rFonts w:ascii="Arial" w:hAnsi="Arial" w:cs="Arial"/>
          <w:sz w:val="24"/>
          <w:szCs w:val="24"/>
        </w:rPr>
        <w:t>for the purposes of s89 of the A</w:t>
      </w:r>
      <w:r w:rsidR="00D970C4">
        <w:rPr>
          <w:rFonts w:ascii="Arial" w:hAnsi="Arial" w:cs="Arial"/>
          <w:sz w:val="24"/>
          <w:szCs w:val="24"/>
        </w:rPr>
        <w:t xml:space="preserve">ct. Mr Maasdorp however submitted that arbitrator had been appointed </w:t>
      </w:r>
      <w:r>
        <w:rPr>
          <w:rFonts w:ascii="Arial" w:hAnsi="Arial" w:cs="Arial"/>
          <w:sz w:val="24"/>
          <w:szCs w:val="24"/>
        </w:rPr>
        <w:t xml:space="preserve">in that capacity </w:t>
      </w:r>
      <w:r w:rsidR="00D970C4">
        <w:rPr>
          <w:rFonts w:ascii="Arial" w:hAnsi="Arial" w:cs="Arial"/>
          <w:sz w:val="24"/>
          <w:szCs w:val="24"/>
        </w:rPr>
        <w:t xml:space="preserve">to deal with this dispute. He submitted that the decision </w:t>
      </w:r>
      <w:r w:rsidR="00A23B18">
        <w:rPr>
          <w:rFonts w:ascii="Arial" w:hAnsi="Arial" w:cs="Arial"/>
          <w:sz w:val="24"/>
          <w:szCs w:val="24"/>
        </w:rPr>
        <w:t xml:space="preserve">would have been </w:t>
      </w:r>
      <w:r w:rsidR="00D970C4">
        <w:rPr>
          <w:rFonts w:ascii="Arial" w:hAnsi="Arial" w:cs="Arial"/>
          <w:sz w:val="24"/>
          <w:szCs w:val="24"/>
        </w:rPr>
        <w:t>ma</w:t>
      </w:r>
      <w:r w:rsidR="00A23B18">
        <w:rPr>
          <w:rFonts w:ascii="Arial" w:hAnsi="Arial" w:cs="Arial"/>
          <w:sz w:val="24"/>
          <w:szCs w:val="24"/>
        </w:rPr>
        <w:t>de in the cour</w:t>
      </w:r>
      <w:r w:rsidR="00D970C4">
        <w:rPr>
          <w:rFonts w:ascii="Arial" w:hAnsi="Arial" w:cs="Arial"/>
          <w:sz w:val="24"/>
          <w:szCs w:val="24"/>
        </w:rPr>
        <w:t>se of arbitration even if the arbitration had been</w:t>
      </w:r>
      <w:r w:rsidR="00A23B18">
        <w:rPr>
          <w:rFonts w:ascii="Arial" w:hAnsi="Arial" w:cs="Arial"/>
          <w:sz w:val="24"/>
          <w:szCs w:val="24"/>
        </w:rPr>
        <w:t xml:space="preserve"> preceded by conciliation, as is</w:t>
      </w:r>
      <w:r w:rsidR="00D970C4">
        <w:rPr>
          <w:rFonts w:ascii="Arial" w:hAnsi="Arial" w:cs="Arial"/>
          <w:sz w:val="24"/>
          <w:szCs w:val="24"/>
        </w:rPr>
        <w:t xml:space="preserve"> contemplated in the </w:t>
      </w:r>
      <w:r w:rsidR="00A23B18">
        <w:rPr>
          <w:rFonts w:ascii="Arial" w:hAnsi="Arial" w:cs="Arial"/>
          <w:sz w:val="24"/>
          <w:szCs w:val="24"/>
        </w:rPr>
        <w:t>A</w:t>
      </w:r>
      <w:r w:rsidR="00D970C4">
        <w:rPr>
          <w:rFonts w:ascii="Arial" w:hAnsi="Arial" w:cs="Arial"/>
          <w:sz w:val="24"/>
          <w:szCs w:val="24"/>
        </w:rPr>
        <w:t xml:space="preserve">ct. </w:t>
      </w:r>
    </w:p>
    <w:p w:rsidR="00A23B18" w:rsidRDefault="00A23B18" w:rsidP="009673E5">
      <w:pPr>
        <w:spacing w:after="0" w:line="360" w:lineRule="auto"/>
        <w:jc w:val="both"/>
        <w:rPr>
          <w:rFonts w:ascii="Arial" w:hAnsi="Arial" w:cs="Arial"/>
          <w:sz w:val="24"/>
          <w:szCs w:val="24"/>
        </w:rPr>
      </w:pPr>
    </w:p>
    <w:p w:rsidR="00031D4D" w:rsidRDefault="00DD6023" w:rsidP="009673E5">
      <w:pPr>
        <w:spacing w:after="0" w:line="360" w:lineRule="auto"/>
        <w:jc w:val="both"/>
        <w:rPr>
          <w:rFonts w:ascii="Arial" w:hAnsi="Arial" w:cs="Arial"/>
          <w:sz w:val="24"/>
          <w:szCs w:val="24"/>
        </w:rPr>
      </w:pPr>
      <w:r>
        <w:rPr>
          <w:rFonts w:ascii="Arial" w:hAnsi="Arial" w:cs="Arial"/>
          <w:sz w:val="24"/>
          <w:szCs w:val="24"/>
        </w:rPr>
        <w:t>[20</w:t>
      </w:r>
      <w:r w:rsidR="00A23B18">
        <w:rPr>
          <w:rFonts w:ascii="Arial" w:hAnsi="Arial" w:cs="Arial"/>
          <w:sz w:val="24"/>
          <w:szCs w:val="24"/>
        </w:rPr>
        <w:t>]</w:t>
      </w:r>
      <w:r w:rsidR="00A23B18">
        <w:rPr>
          <w:rFonts w:ascii="Arial" w:hAnsi="Arial" w:cs="Arial"/>
          <w:sz w:val="24"/>
          <w:szCs w:val="24"/>
        </w:rPr>
        <w:tab/>
      </w:r>
      <w:r w:rsidR="00D970C4">
        <w:rPr>
          <w:rFonts w:ascii="Arial" w:hAnsi="Arial" w:cs="Arial"/>
          <w:sz w:val="24"/>
          <w:szCs w:val="24"/>
        </w:rPr>
        <w:t>Mr Maasdorp further contended tha</w:t>
      </w:r>
      <w:r w:rsidR="00A23B18">
        <w:rPr>
          <w:rFonts w:ascii="Arial" w:hAnsi="Arial" w:cs="Arial"/>
          <w:sz w:val="24"/>
          <w:szCs w:val="24"/>
        </w:rPr>
        <w:t>t a decision on prescription wou</w:t>
      </w:r>
      <w:r w:rsidR="00D970C4">
        <w:rPr>
          <w:rFonts w:ascii="Arial" w:hAnsi="Arial" w:cs="Arial"/>
          <w:sz w:val="24"/>
          <w:szCs w:val="24"/>
        </w:rPr>
        <w:t>l</w:t>
      </w:r>
      <w:r w:rsidR="00A23B18">
        <w:rPr>
          <w:rFonts w:ascii="Arial" w:hAnsi="Arial" w:cs="Arial"/>
          <w:sz w:val="24"/>
          <w:szCs w:val="24"/>
        </w:rPr>
        <w:t>d</w:t>
      </w:r>
      <w:r w:rsidR="00D970C4">
        <w:rPr>
          <w:rFonts w:ascii="Arial" w:hAnsi="Arial" w:cs="Arial"/>
          <w:sz w:val="24"/>
          <w:szCs w:val="24"/>
        </w:rPr>
        <w:t xml:space="preserve"> be appealable </w:t>
      </w:r>
      <w:r>
        <w:rPr>
          <w:rFonts w:ascii="Arial" w:hAnsi="Arial" w:cs="Arial"/>
          <w:sz w:val="24"/>
          <w:szCs w:val="24"/>
        </w:rPr>
        <w:t>forthwith</w:t>
      </w:r>
      <w:r>
        <w:rPr>
          <w:rStyle w:val="FootnoteReference"/>
          <w:rFonts w:ascii="Arial" w:hAnsi="Arial" w:cs="Arial"/>
          <w:sz w:val="24"/>
          <w:szCs w:val="24"/>
        </w:rPr>
        <w:footnoteReference w:id="2"/>
      </w:r>
      <w:r>
        <w:rPr>
          <w:rFonts w:ascii="Arial" w:hAnsi="Arial" w:cs="Arial"/>
          <w:sz w:val="24"/>
          <w:szCs w:val="24"/>
        </w:rPr>
        <w:t xml:space="preserve"> </w:t>
      </w:r>
      <w:r w:rsidR="00D970C4">
        <w:rPr>
          <w:rFonts w:ascii="Arial" w:hAnsi="Arial" w:cs="Arial"/>
          <w:sz w:val="24"/>
          <w:szCs w:val="24"/>
        </w:rPr>
        <w:t xml:space="preserve">and that this decision had been made as part of the arbitration. </w:t>
      </w:r>
      <w:r w:rsidR="00D970C4">
        <w:rPr>
          <w:rFonts w:ascii="Arial" w:hAnsi="Arial" w:cs="Arial"/>
          <w:sz w:val="24"/>
          <w:szCs w:val="24"/>
        </w:rPr>
        <w:lastRenderedPageBreak/>
        <w:t>This approach is in my view sound, despite the fact that the arbitrator has not favo</w:t>
      </w:r>
      <w:r w:rsidR="00A23B18">
        <w:rPr>
          <w:rFonts w:ascii="Arial" w:hAnsi="Arial" w:cs="Arial"/>
          <w:sz w:val="24"/>
          <w:szCs w:val="24"/>
        </w:rPr>
        <w:t>u</w:t>
      </w:r>
      <w:r w:rsidR="00D970C4">
        <w:rPr>
          <w:rFonts w:ascii="Arial" w:hAnsi="Arial" w:cs="Arial"/>
          <w:sz w:val="24"/>
          <w:szCs w:val="24"/>
        </w:rPr>
        <w:t xml:space="preserve">red the parties with any reasons or </w:t>
      </w:r>
      <w:r w:rsidR="00A23B18">
        <w:rPr>
          <w:rFonts w:ascii="Arial" w:hAnsi="Arial" w:cs="Arial"/>
          <w:sz w:val="24"/>
          <w:szCs w:val="24"/>
        </w:rPr>
        <w:t xml:space="preserve">the </w:t>
      </w:r>
      <w:r w:rsidR="00D970C4">
        <w:rPr>
          <w:rFonts w:ascii="Arial" w:hAnsi="Arial" w:cs="Arial"/>
          <w:sz w:val="24"/>
          <w:szCs w:val="24"/>
        </w:rPr>
        <w:t>proper articulation of his decision in that regard, even</w:t>
      </w:r>
      <w:r w:rsidR="00A23B18">
        <w:rPr>
          <w:rFonts w:ascii="Arial" w:hAnsi="Arial" w:cs="Arial"/>
          <w:sz w:val="24"/>
          <w:szCs w:val="24"/>
        </w:rPr>
        <w:t xml:space="preserve"> after</w:t>
      </w:r>
      <w:r w:rsidR="00D970C4">
        <w:rPr>
          <w:rFonts w:ascii="Arial" w:hAnsi="Arial" w:cs="Arial"/>
          <w:sz w:val="24"/>
          <w:szCs w:val="24"/>
        </w:rPr>
        <w:t xml:space="preserve"> </w:t>
      </w:r>
      <w:r>
        <w:rPr>
          <w:rFonts w:ascii="Arial" w:hAnsi="Arial" w:cs="Arial"/>
          <w:sz w:val="24"/>
          <w:szCs w:val="24"/>
        </w:rPr>
        <w:t>being</w:t>
      </w:r>
      <w:r w:rsidR="00D970C4">
        <w:rPr>
          <w:rFonts w:ascii="Arial" w:hAnsi="Arial" w:cs="Arial"/>
          <w:sz w:val="24"/>
          <w:szCs w:val="24"/>
        </w:rPr>
        <w:t xml:space="preserve"> called upon to do so. Nor did he even favo</w:t>
      </w:r>
      <w:r w:rsidR="00A23B18">
        <w:rPr>
          <w:rFonts w:ascii="Arial" w:hAnsi="Arial" w:cs="Arial"/>
          <w:sz w:val="24"/>
          <w:szCs w:val="24"/>
        </w:rPr>
        <w:t>u</w:t>
      </w:r>
      <w:r w:rsidR="00D970C4">
        <w:rPr>
          <w:rFonts w:ascii="Arial" w:hAnsi="Arial" w:cs="Arial"/>
          <w:sz w:val="24"/>
          <w:szCs w:val="24"/>
        </w:rPr>
        <w:t>r this court with any reasons for the decision after a notice of appeal had been served upon him. In the circumstances, and by reason of the conduct of the arbitrator to postpone the arbitration for a hearing on the merits to the following month after condonation had been raised</w:t>
      </w:r>
      <w:r w:rsidR="00A23B18">
        <w:rPr>
          <w:rFonts w:ascii="Arial" w:hAnsi="Arial" w:cs="Arial"/>
          <w:sz w:val="24"/>
          <w:szCs w:val="24"/>
        </w:rPr>
        <w:t xml:space="preserve"> and granted</w:t>
      </w:r>
      <w:r w:rsidR="00D970C4">
        <w:rPr>
          <w:rFonts w:ascii="Arial" w:hAnsi="Arial" w:cs="Arial"/>
          <w:sz w:val="24"/>
          <w:szCs w:val="24"/>
        </w:rPr>
        <w:t xml:space="preserve">, </w:t>
      </w:r>
      <w:r>
        <w:rPr>
          <w:rFonts w:ascii="Arial" w:hAnsi="Arial" w:cs="Arial"/>
          <w:sz w:val="24"/>
          <w:szCs w:val="24"/>
        </w:rPr>
        <w:t>and having ruled that the Prescription Act did not apply,</w:t>
      </w:r>
      <w:r w:rsidR="00D970C4">
        <w:rPr>
          <w:rFonts w:ascii="Arial" w:hAnsi="Arial" w:cs="Arial"/>
          <w:sz w:val="24"/>
          <w:szCs w:val="24"/>
        </w:rPr>
        <w:t xml:space="preserve"> </w:t>
      </w:r>
      <w:r w:rsidR="00A53A3D">
        <w:rPr>
          <w:rFonts w:ascii="Arial" w:hAnsi="Arial" w:cs="Arial"/>
          <w:sz w:val="24"/>
          <w:szCs w:val="24"/>
        </w:rPr>
        <w:t>it is clear</w:t>
      </w:r>
      <w:r w:rsidR="00D970C4">
        <w:rPr>
          <w:rFonts w:ascii="Arial" w:hAnsi="Arial" w:cs="Arial"/>
          <w:sz w:val="24"/>
          <w:szCs w:val="24"/>
        </w:rPr>
        <w:t xml:space="preserve"> that a decision on prescription had been made and that the </w:t>
      </w:r>
      <w:r w:rsidR="00A23B18">
        <w:rPr>
          <w:rFonts w:ascii="Arial" w:hAnsi="Arial" w:cs="Arial"/>
          <w:sz w:val="24"/>
          <w:szCs w:val="24"/>
        </w:rPr>
        <w:t xml:space="preserve">plea of </w:t>
      </w:r>
      <w:r w:rsidR="00D970C4">
        <w:rPr>
          <w:rFonts w:ascii="Arial" w:hAnsi="Arial" w:cs="Arial"/>
          <w:sz w:val="24"/>
          <w:szCs w:val="24"/>
        </w:rPr>
        <w:t xml:space="preserve">prescription had been </w:t>
      </w:r>
      <w:r>
        <w:rPr>
          <w:rFonts w:ascii="Arial" w:hAnsi="Arial" w:cs="Arial"/>
          <w:sz w:val="24"/>
          <w:szCs w:val="24"/>
        </w:rPr>
        <w:t xml:space="preserve">thus </w:t>
      </w:r>
      <w:r w:rsidR="00D970C4">
        <w:rPr>
          <w:rFonts w:ascii="Arial" w:hAnsi="Arial" w:cs="Arial"/>
          <w:sz w:val="24"/>
          <w:szCs w:val="24"/>
        </w:rPr>
        <w:t>rejected.</w:t>
      </w:r>
      <w:r w:rsidR="00536D89">
        <w:rPr>
          <w:rFonts w:ascii="Arial" w:hAnsi="Arial" w:cs="Arial"/>
          <w:sz w:val="24"/>
          <w:szCs w:val="24"/>
        </w:rPr>
        <w:t xml:space="preserve"> </w:t>
      </w:r>
      <w:r w:rsidR="00A53A3D">
        <w:rPr>
          <w:rFonts w:ascii="Arial" w:hAnsi="Arial" w:cs="Arial"/>
          <w:sz w:val="24"/>
          <w:szCs w:val="24"/>
        </w:rPr>
        <w:t>This is clear from the record and the unchallenged facts upon that issue</w:t>
      </w:r>
    </w:p>
    <w:p w:rsidR="00DD6023" w:rsidRDefault="00DD6023" w:rsidP="009673E5">
      <w:pPr>
        <w:spacing w:after="0" w:line="360" w:lineRule="auto"/>
        <w:jc w:val="both"/>
        <w:rPr>
          <w:rFonts w:ascii="Arial" w:hAnsi="Arial" w:cs="Arial"/>
          <w:sz w:val="24"/>
          <w:szCs w:val="24"/>
        </w:rPr>
      </w:pPr>
    </w:p>
    <w:p w:rsidR="00DD6023" w:rsidRDefault="00031D4D" w:rsidP="00DD6023">
      <w:pPr>
        <w:spacing w:after="0" w:line="360" w:lineRule="auto"/>
        <w:jc w:val="both"/>
        <w:rPr>
          <w:rFonts w:ascii="Arial" w:hAnsi="Arial" w:cs="Arial"/>
          <w:sz w:val="24"/>
          <w:szCs w:val="24"/>
        </w:rPr>
      </w:pPr>
      <w:r>
        <w:rPr>
          <w:rFonts w:ascii="Arial" w:hAnsi="Arial" w:cs="Arial"/>
          <w:sz w:val="24"/>
          <w:szCs w:val="24"/>
        </w:rPr>
        <w:t>[</w:t>
      </w:r>
      <w:r w:rsidR="00DD6023">
        <w:rPr>
          <w:rFonts w:ascii="Arial" w:hAnsi="Arial" w:cs="Arial"/>
          <w:sz w:val="24"/>
          <w:szCs w:val="24"/>
        </w:rPr>
        <w:t>21</w:t>
      </w:r>
      <w:r>
        <w:rPr>
          <w:rFonts w:ascii="Arial" w:hAnsi="Arial" w:cs="Arial"/>
          <w:sz w:val="24"/>
          <w:szCs w:val="24"/>
        </w:rPr>
        <w:t>]</w:t>
      </w:r>
      <w:r>
        <w:rPr>
          <w:rFonts w:ascii="Arial" w:hAnsi="Arial" w:cs="Arial"/>
          <w:sz w:val="24"/>
          <w:szCs w:val="24"/>
        </w:rPr>
        <w:tab/>
        <w:t>According to the unchallenged testimony on behalf of the appellant, the issue of prescription was raised at the meeting on 29 October 2009. On that occasion, the arbitrator stated that he had assume</w:t>
      </w:r>
      <w:r w:rsidR="00685602">
        <w:rPr>
          <w:rFonts w:ascii="Arial" w:hAnsi="Arial" w:cs="Arial"/>
          <w:sz w:val="24"/>
          <w:szCs w:val="24"/>
        </w:rPr>
        <w:t>d that the L</w:t>
      </w:r>
      <w:r>
        <w:rPr>
          <w:rFonts w:ascii="Arial" w:hAnsi="Arial" w:cs="Arial"/>
          <w:sz w:val="24"/>
          <w:szCs w:val="24"/>
        </w:rPr>
        <w:t xml:space="preserve">abour </w:t>
      </w:r>
      <w:r w:rsidR="00685602">
        <w:rPr>
          <w:rFonts w:ascii="Arial" w:hAnsi="Arial" w:cs="Arial"/>
          <w:sz w:val="24"/>
          <w:szCs w:val="24"/>
        </w:rPr>
        <w:t>C</w:t>
      </w:r>
      <w:r>
        <w:rPr>
          <w:rFonts w:ascii="Arial" w:hAnsi="Arial" w:cs="Arial"/>
          <w:sz w:val="24"/>
          <w:szCs w:val="24"/>
        </w:rPr>
        <w:t xml:space="preserve">ommissioner </w:t>
      </w:r>
      <w:r w:rsidR="00685602">
        <w:rPr>
          <w:rFonts w:ascii="Arial" w:hAnsi="Arial" w:cs="Arial"/>
          <w:sz w:val="24"/>
          <w:szCs w:val="24"/>
        </w:rPr>
        <w:t xml:space="preserve">had </w:t>
      </w:r>
      <w:r>
        <w:rPr>
          <w:rFonts w:ascii="Arial" w:hAnsi="Arial" w:cs="Arial"/>
          <w:sz w:val="24"/>
          <w:szCs w:val="24"/>
        </w:rPr>
        <w:t xml:space="preserve">granted the application for condonation as the appellant’s opposing affidavit was filed out time. The arbitrator further ruled that the </w:t>
      </w:r>
      <w:r w:rsidR="00685602">
        <w:rPr>
          <w:rFonts w:ascii="Arial" w:hAnsi="Arial" w:cs="Arial"/>
          <w:sz w:val="24"/>
          <w:szCs w:val="24"/>
        </w:rPr>
        <w:t>P</w:t>
      </w:r>
      <w:r>
        <w:rPr>
          <w:rFonts w:ascii="Arial" w:hAnsi="Arial" w:cs="Arial"/>
          <w:sz w:val="24"/>
          <w:szCs w:val="24"/>
        </w:rPr>
        <w:t>rescript</w:t>
      </w:r>
      <w:r w:rsidR="00685602">
        <w:rPr>
          <w:rFonts w:ascii="Arial" w:hAnsi="Arial" w:cs="Arial"/>
          <w:sz w:val="24"/>
          <w:szCs w:val="24"/>
        </w:rPr>
        <w:t>ion</w:t>
      </w:r>
      <w:r>
        <w:rPr>
          <w:rFonts w:ascii="Arial" w:hAnsi="Arial" w:cs="Arial"/>
          <w:sz w:val="24"/>
          <w:szCs w:val="24"/>
        </w:rPr>
        <w:t xml:space="preserve"> </w:t>
      </w:r>
      <w:r w:rsidR="00685602">
        <w:rPr>
          <w:rFonts w:ascii="Arial" w:hAnsi="Arial" w:cs="Arial"/>
          <w:sz w:val="24"/>
          <w:szCs w:val="24"/>
        </w:rPr>
        <w:t>A</w:t>
      </w:r>
      <w:r>
        <w:rPr>
          <w:rFonts w:ascii="Arial" w:hAnsi="Arial" w:cs="Arial"/>
          <w:sz w:val="24"/>
          <w:szCs w:val="24"/>
        </w:rPr>
        <w:t>ct was not applicable to labour matters and that prescription will thus not bar the matter from proceeding to arbitration and that</w:t>
      </w:r>
      <w:r w:rsidR="00685602">
        <w:rPr>
          <w:rFonts w:ascii="Arial" w:hAnsi="Arial" w:cs="Arial"/>
          <w:sz w:val="24"/>
          <w:szCs w:val="24"/>
        </w:rPr>
        <w:t>,</w:t>
      </w:r>
      <w:r>
        <w:rPr>
          <w:rFonts w:ascii="Arial" w:hAnsi="Arial" w:cs="Arial"/>
          <w:sz w:val="24"/>
          <w:szCs w:val="24"/>
        </w:rPr>
        <w:t xml:space="preserve"> in so far as may be necessary, he would grant condonation.</w:t>
      </w:r>
      <w:r w:rsidR="00DD6023">
        <w:rPr>
          <w:rFonts w:ascii="Arial" w:hAnsi="Arial" w:cs="Arial"/>
          <w:sz w:val="24"/>
          <w:szCs w:val="24"/>
        </w:rPr>
        <w:t xml:space="preserve"> It follows that the preliminary point raised by Mr Ntinda is not to be upheld.</w:t>
      </w:r>
    </w:p>
    <w:p w:rsidR="00031D4D" w:rsidRDefault="00031D4D" w:rsidP="009673E5">
      <w:pPr>
        <w:spacing w:after="0" w:line="360" w:lineRule="auto"/>
        <w:jc w:val="both"/>
        <w:rPr>
          <w:rFonts w:ascii="Arial" w:hAnsi="Arial" w:cs="Arial"/>
          <w:sz w:val="24"/>
          <w:szCs w:val="24"/>
        </w:rPr>
      </w:pPr>
    </w:p>
    <w:p w:rsidR="00EE294B" w:rsidRDefault="00DD6023" w:rsidP="009673E5">
      <w:pPr>
        <w:spacing w:after="0" w:line="360" w:lineRule="auto"/>
        <w:jc w:val="both"/>
        <w:rPr>
          <w:rFonts w:ascii="Arial" w:hAnsi="Arial" w:cs="Arial"/>
          <w:sz w:val="24"/>
          <w:szCs w:val="24"/>
        </w:rPr>
      </w:pPr>
      <w:r>
        <w:rPr>
          <w:rFonts w:ascii="Arial" w:hAnsi="Arial" w:cs="Arial"/>
          <w:sz w:val="24"/>
          <w:szCs w:val="24"/>
        </w:rPr>
        <w:t>[22</w:t>
      </w:r>
      <w:r w:rsidR="00031D4D">
        <w:rPr>
          <w:rFonts w:ascii="Arial" w:hAnsi="Arial" w:cs="Arial"/>
          <w:sz w:val="24"/>
          <w:szCs w:val="24"/>
        </w:rPr>
        <w:t>]</w:t>
      </w:r>
      <w:r w:rsidR="00031D4D">
        <w:rPr>
          <w:rFonts w:ascii="Arial" w:hAnsi="Arial" w:cs="Arial"/>
          <w:sz w:val="24"/>
          <w:szCs w:val="24"/>
        </w:rPr>
        <w:tab/>
        <w:t xml:space="preserve">Mr Maasdorp submitted that the </w:t>
      </w:r>
      <w:r w:rsidR="00685602">
        <w:rPr>
          <w:rFonts w:ascii="Arial" w:hAnsi="Arial" w:cs="Arial"/>
          <w:sz w:val="24"/>
          <w:szCs w:val="24"/>
        </w:rPr>
        <w:t>P</w:t>
      </w:r>
      <w:r w:rsidR="00031D4D">
        <w:rPr>
          <w:rFonts w:ascii="Arial" w:hAnsi="Arial" w:cs="Arial"/>
          <w:sz w:val="24"/>
          <w:szCs w:val="24"/>
        </w:rPr>
        <w:t xml:space="preserve">rescription </w:t>
      </w:r>
      <w:r w:rsidR="00685602">
        <w:rPr>
          <w:rFonts w:ascii="Arial" w:hAnsi="Arial" w:cs="Arial"/>
          <w:sz w:val="24"/>
          <w:szCs w:val="24"/>
        </w:rPr>
        <w:t>A</w:t>
      </w:r>
      <w:r w:rsidR="00031D4D">
        <w:rPr>
          <w:rFonts w:ascii="Arial" w:hAnsi="Arial" w:cs="Arial"/>
          <w:sz w:val="24"/>
          <w:szCs w:val="24"/>
        </w:rPr>
        <w:t>ct appl</w:t>
      </w:r>
      <w:r>
        <w:rPr>
          <w:rFonts w:ascii="Arial" w:hAnsi="Arial" w:cs="Arial"/>
          <w:sz w:val="24"/>
          <w:szCs w:val="24"/>
        </w:rPr>
        <w:t>ies</w:t>
      </w:r>
      <w:r w:rsidR="00031D4D">
        <w:rPr>
          <w:rFonts w:ascii="Arial" w:hAnsi="Arial" w:cs="Arial"/>
          <w:sz w:val="24"/>
          <w:szCs w:val="24"/>
        </w:rPr>
        <w:t xml:space="preserve"> to labour claims which arose under the erstwhile </w:t>
      </w:r>
      <w:r w:rsidR="00685602">
        <w:rPr>
          <w:rFonts w:ascii="Arial" w:hAnsi="Arial" w:cs="Arial"/>
          <w:sz w:val="24"/>
          <w:szCs w:val="24"/>
        </w:rPr>
        <w:t>L</w:t>
      </w:r>
      <w:r w:rsidR="00031D4D">
        <w:rPr>
          <w:rFonts w:ascii="Arial" w:hAnsi="Arial" w:cs="Arial"/>
          <w:sz w:val="24"/>
          <w:szCs w:val="24"/>
        </w:rPr>
        <w:t xml:space="preserve">abour, 6 of 1992 as well under the </w:t>
      </w:r>
      <w:r>
        <w:rPr>
          <w:rFonts w:ascii="Arial" w:hAnsi="Arial" w:cs="Arial"/>
          <w:sz w:val="24"/>
          <w:szCs w:val="24"/>
        </w:rPr>
        <w:t>A</w:t>
      </w:r>
      <w:r w:rsidR="00031D4D">
        <w:rPr>
          <w:rFonts w:ascii="Arial" w:hAnsi="Arial" w:cs="Arial"/>
          <w:sz w:val="24"/>
          <w:szCs w:val="24"/>
        </w:rPr>
        <w:t>ct. In support of this contention</w:t>
      </w:r>
      <w:r w:rsidR="00A11A83">
        <w:rPr>
          <w:rFonts w:ascii="Arial" w:hAnsi="Arial" w:cs="Arial"/>
          <w:sz w:val="24"/>
          <w:szCs w:val="24"/>
        </w:rPr>
        <w:t xml:space="preserve">, he referred to the position in South Africa. The time periods under the South African Labour Relations Act, 66 of 1995 </w:t>
      </w:r>
      <w:r w:rsidR="00685602">
        <w:rPr>
          <w:rFonts w:ascii="Arial" w:hAnsi="Arial" w:cs="Arial"/>
          <w:sz w:val="24"/>
          <w:szCs w:val="24"/>
        </w:rPr>
        <w:t xml:space="preserve">(LRA) </w:t>
      </w:r>
      <w:r w:rsidR="00A11A83">
        <w:rPr>
          <w:rFonts w:ascii="Arial" w:hAnsi="Arial" w:cs="Arial"/>
          <w:sz w:val="24"/>
          <w:szCs w:val="24"/>
        </w:rPr>
        <w:t xml:space="preserve">are different to those provided under the 1992 Act and </w:t>
      </w:r>
      <w:r>
        <w:rPr>
          <w:rFonts w:ascii="Arial" w:hAnsi="Arial" w:cs="Arial"/>
          <w:sz w:val="24"/>
          <w:szCs w:val="24"/>
        </w:rPr>
        <w:t xml:space="preserve">those </w:t>
      </w:r>
      <w:r w:rsidR="00A11A83">
        <w:rPr>
          <w:rFonts w:ascii="Arial" w:hAnsi="Arial" w:cs="Arial"/>
          <w:sz w:val="24"/>
          <w:szCs w:val="24"/>
        </w:rPr>
        <w:t xml:space="preserve">which currently apply under the Act. </w:t>
      </w:r>
      <w:r w:rsidR="00685602">
        <w:rPr>
          <w:rFonts w:ascii="Arial" w:hAnsi="Arial" w:cs="Arial"/>
          <w:sz w:val="24"/>
          <w:szCs w:val="24"/>
        </w:rPr>
        <w:t>In</w:t>
      </w:r>
      <w:r w:rsidR="00A11A83">
        <w:rPr>
          <w:rFonts w:ascii="Arial" w:hAnsi="Arial" w:cs="Arial"/>
          <w:sz w:val="24"/>
          <w:szCs w:val="24"/>
        </w:rPr>
        <w:t xml:space="preserve"> the </w:t>
      </w:r>
      <w:r w:rsidR="00685602">
        <w:rPr>
          <w:rFonts w:ascii="Arial" w:hAnsi="Arial" w:cs="Arial"/>
          <w:sz w:val="24"/>
          <w:szCs w:val="24"/>
        </w:rPr>
        <w:t>LRA, an</w:t>
      </w:r>
      <w:r w:rsidR="00A11A83">
        <w:rPr>
          <w:rFonts w:ascii="Arial" w:hAnsi="Arial" w:cs="Arial"/>
          <w:sz w:val="24"/>
          <w:szCs w:val="24"/>
        </w:rPr>
        <w:t xml:space="preserve"> unfair dismissal dispute must be referred within thirty days of the dismissal and one concerning an alleged unfair labour practice within 90 days of the date of the act or </w:t>
      </w:r>
      <w:r w:rsidR="00685602">
        <w:rPr>
          <w:rFonts w:ascii="Arial" w:hAnsi="Arial" w:cs="Arial"/>
          <w:sz w:val="24"/>
          <w:szCs w:val="24"/>
        </w:rPr>
        <w:t>o</w:t>
      </w:r>
      <w:r w:rsidR="00A11A83">
        <w:rPr>
          <w:rFonts w:ascii="Arial" w:hAnsi="Arial" w:cs="Arial"/>
          <w:sz w:val="24"/>
          <w:szCs w:val="24"/>
        </w:rPr>
        <w:t>mission complain</w:t>
      </w:r>
      <w:r>
        <w:rPr>
          <w:rFonts w:ascii="Arial" w:hAnsi="Arial" w:cs="Arial"/>
          <w:sz w:val="24"/>
          <w:szCs w:val="24"/>
        </w:rPr>
        <w:t>ed</w:t>
      </w:r>
      <w:r w:rsidR="00A11A83">
        <w:rPr>
          <w:rFonts w:ascii="Arial" w:hAnsi="Arial" w:cs="Arial"/>
          <w:sz w:val="24"/>
          <w:szCs w:val="24"/>
        </w:rPr>
        <w:t xml:space="preserve"> of. The </w:t>
      </w:r>
      <w:r w:rsidR="00685602">
        <w:rPr>
          <w:rFonts w:ascii="Arial" w:hAnsi="Arial" w:cs="Arial"/>
          <w:sz w:val="24"/>
          <w:szCs w:val="24"/>
        </w:rPr>
        <w:t>South African C</w:t>
      </w:r>
      <w:r w:rsidR="00A11A83">
        <w:rPr>
          <w:rFonts w:ascii="Arial" w:hAnsi="Arial" w:cs="Arial"/>
          <w:sz w:val="24"/>
          <w:szCs w:val="24"/>
        </w:rPr>
        <w:t xml:space="preserve">ommission for </w:t>
      </w:r>
      <w:r w:rsidR="00685602">
        <w:rPr>
          <w:rFonts w:ascii="Arial" w:hAnsi="Arial" w:cs="Arial"/>
          <w:sz w:val="24"/>
          <w:szCs w:val="24"/>
        </w:rPr>
        <w:t>C</w:t>
      </w:r>
      <w:r w:rsidR="00A11A83">
        <w:rPr>
          <w:rFonts w:ascii="Arial" w:hAnsi="Arial" w:cs="Arial"/>
          <w:sz w:val="24"/>
          <w:szCs w:val="24"/>
        </w:rPr>
        <w:t>onciliation</w:t>
      </w:r>
      <w:r>
        <w:rPr>
          <w:rFonts w:ascii="Arial" w:hAnsi="Arial" w:cs="Arial"/>
          <w:sz w:val="24"/>
          <w:szCs w:val="24"/>
        </w:rPr>
        <w:t>,</w:t>
      </w:r>
      <w:r w:rsidR="00A11A83">
        <w:rPr>
          <w:rFonts w:ascii="Arial" w:hAnsi="Arial" w:cs="Arial"/>
          <w:sz w:val="24"/>
          <w:szCs w:val="24"/>
        </w:rPr>
        <w:t xml:space="preserve"> </w:t>
      </w:r>
      <w:r w:rsidR="00685602">
        <w:rPr>
          <w:rFonts w:ascii="Arial" w:hAnsi="Arial" w:cs="Arial"/>
          <w:sz w:val="24"/>
          <w:szCs w:val="24"/>
        </w:rPr>
        <w:t xml:space="preserve">Mediation </w:t>
      </w:r>
      <w:r w:rsidR="00A11A83">
        <w:rPr>
          <w:rFonts w:ascii="Arial" w:hAnsi="Arial" w:cs="Arial"/>
          <w:sz w:val="24"/>
          <w:szCs w:val="24"/>
        </w:rPr>
        <w:t xml:space="preserve">and </w:t>
      </w:r>
      <w:r w:rsidR="00685602">
        <w:rPr>
          <w:rFonts w:ascii="Arial" w:hAnsi="Arial" w:cs="Arial"/>
          <w:sz w:val="24"/>
          <w:szCs w:val="24"/>
        </w:rPr>
        <w:t>A</w:t>
      </w:r>
      <w:r w:rsidR="00A11A83">
        <w:rPr>
          <w:rFonts w:ascii="Arial" w:hAnsi="Arial" w:cs="Arial"/>
          <w:sz w:val="24"/>
          <w:szCs w:val="24"/>
        </w:rPr>
        <w:t xml:space="preserve">rbitration </w:t>
      </w:r>
      <w:r w:rsidR="00685602">
        <w:rPr>
          <w:rFonts w:ascii="Arial" w:hAnsi="Arial" w:cs="Arial"/>
          <w:sz w:val="24"/>
          <w:szCs w:val="24"/>
        </w:rPr>
        <w:t>(CCMA) may at any time on good cau</w:t>
      </w:r>
      <w:r w:rsidR="00A11A83">
        <w:rPr>
          <w:rFonts w:ascii="Arial" w:hAnsi="Arial" w:cs="Arial"/>
          <w:sz w:val="24"/>
          <w:szCs w:val="24"/>
        </w:rPr>
        <w:t>se shown grant permission to refer</w:t>
      </w:r>
      <w:r w:rsidR="00525A85">
        <w:rPr>
          <w:rFonts w:ascii="Arial" w:hAnsi="Arial" w:cs="Arial"/>
          <w:sz w:val="24"/>
          <w:szCs w:val="24"/>
        </w:rPr>
        <w:t xml:space="preserve"> a</w:t>
      </w:r>
      <w:r w:rsidR="00A11A83">
        <w:rPr>
          <w:rFonts w:ascii="Arial" w:hAnsi="Arial" w:cs="Arial"/>
          <w:sz w:val="24"/>
          <w:szCs w:val="24"/>
        </w:rPr>
        <w:t xml:space="preserve"> dispute outside those periods. The court</w:t>
      </w:r>
      <w:r w:rsidR="00685602">
        <w:rPr>
          <w:rFonts w:ascii="Arial" w:hAnsi="Arial" w:cs="Arial"/>
          <w:sz w:val="24"/>
          <w:szCs w:val="24"/>
        </w:rPr>
        <w:t>s</w:t>
      </w:r>
      <w:r w:rsidR="00A11A83">
        <w:rPr>
          <w:rFonts w:ascii="Arial" w:hAnsi="Arial" w:cs="Arial"/>
          <w:sz w:val="24"/>
          <w:szCs w:val="24"/>
        </w:rPr>
        <w:t xml:space="preserve"> in South Africa have consistently found that the </w:t>
      </w:r>
      <w:r w:rsidR="00685602">
        <w:rPr>
          <w:rFonts w:ascii="Arial" w:hAnsi="Arial" w:cs="Arial"/>
          <w:sz w:val="24"/>
          <w:szCs w:val="24"/>
        </w:rPr>
        <w:t>P</w:t>
      </w:r>
      <w:r w:rsidR="00A11A83">
        <w:rPr>
          <w:rFonts w:ascii="Arial" w:hAnsi="Arial" w:cs="Arial"/>
          <w:sz w:val="24"/>
          <w:szCs w:val="24"/>
        </w:rPr>
        <w:t xml:space="preserve">rescription </w:t>
      </w:r>
      <w:r w:rsidR="00685602">
        <w:rPr>
          <w:rFonts w:ascii="Arial" w:hAnsi="Arial" w:cs="Arial"/>
          <w:sz w:val="24"/>
          <w:szCs w:val="24"/>
        </w:rPr>
        <w:t>A</w:t>
      </w:r>
      <w:r w:rsidR="00A11A83">
        <w:rPr>
          <w:rFonts w:ascii="Arial" w:hAnsi="Arial" w:cs="Arial"/>
          <w:sz w:val="24"/>
          <w:szCs w:val="24"/>
        </w:rPr>
        <w:t xml:space="preserve">ct and the three </w:t>
      </w:r>
      <w:r w:rsidR="00685602">
        <w:rPr>
          <w:rFonts w:ascii="Arial" w:hAnsi="Arial" w:cs="Arial"/>
          <w:sz w:val="24"/>
          <w:szCs w:val="24"/>
        </w:rPr>
        <w:t xml:space="preserve">year </w:t>
      </w:r>
      <w:r w:rsidR="00A11A83">
        <w:rPr>
          <w:rFonts w:ascii="Arial" w:hAnsi="Arial" w:cs="Arial"/>
          <w:sz w:val="24"/>
          <w:szCs w:val="24"/>
        </w:rPr>
        <w:t>period of prescription would apply to employment claims</w:t>
      </w:r>
      <w:r w:rsidR="00525A85">
        <w:rPr>
          <w:rFonts w:ascii="Arial" w:hAnsi="Arial" w:cs="Arial"/>
          <w:sz w:val="24"/>
          <w:szCs w:val="24"/>
        </w:rPr>
        <w:t xml:space="preserve"> and thus provide an upper limit to the period within which referrals </w:t>
      </w:r>
      <w:r w:rsidR="00525A85">
        <w:rPr>
          <w:rFonts w:ascii="Arial" w:hAnsi="Arial" w:cs="Arial"/>
          <w:sz w:val="24"/>
          <w:szCs w:val="24"/>
        </w:rPr>
        <w:lastRenderedPageBreak/>
        <w:t>could occur</w:t>
      </w:r>
      <w:r w:rsidR="00A11A83">
        <w:rPr>
          <w:rFonts w:ascii="Arial" w:hAnsi="Arial" w:cs="Arial"/>
          <w:sz w:val="24"/>
          <w:szCs w:val="24"/>
        </w:rPr>
        <w:t xml:space="preserve">. </w:t>
      </w:r>
      <w:r w:rsidR="00EE294B">
        <w:rPr>
          <w:rFonts w:ascii="Arial" w:hAnsi="Arial" w:cs="Arial"/>
          <w:sz w:val="24"/>
          <w:szCs w:val="24"/>
        </w:rPr>
        <w:t>Mr Maasdorp also refe</w:t>
      </w:r>
      <w:r w:rsidR="00525A85">
        <w:rPr>
          <w:rFonts w:ascii="Arial" w:hAnsi="Arial" w:cs="Arial"/>
          <w:sz w:val="24"/>
          <w:szCs w:val="24"/>
        </w:rPr>
        <w:t>rred to a recent matter in the L</w:t>
      </w:r>
      <w:r w:rsidR="00EE294B">
        <w:rPr>
          <w:rFonts w:ascii="Arial" w:hAnsi="Arial" w:cs="Arial"/>
          <w:sz w:val="24"/>
          <w:szCs w:val="24"/>
        </w:rPr>
        <w:t xml:space="preserve">abour </w:t>
      </w:r>
      <w:r w:rsidR="00525A85">
        <w:rPr>
          <w:rFonts w:ascii="Arial" w:hAnsi="Arial" w:cs="Arial"/>
          <w:sz w:val="24"/>
          <w:szCs w:val="24"/>
        </w:rPr>
        <w:t>C</w:t>
      </w:r>
      <w:r w:rsidR="00EE294B">
        <w:rPr>
          <w:rFonts w:ascii="Arial" w:hAnsi="Arial" w:cs="Arial"/>
          <w:sz w:val="24"/>
          <w:szCs w:val="24"/>
        </w:rPr>
        <w:t xml:space="preserve">ourt </w:t>
      </w:r>
      <w:r w:rsidR="00525A85">
        <w:rPr>
          <w:rFonts w:ascii="Arial" w:hAnsi="Arial" w:cs="Arial"/>
          <w:sz w:val="24"/>
          <w:szCs w:val="24"/>
        </w:rPr>
        <w:t>of</w:t>
      </w:r>
      <w:r w:rsidR="00EE294B">
        <w:rPr>
          <w:rFonts w:ascii="Arial" w:hAnsi="Arial" w:cs="Arial"/>
          <w:sz w:val="24"/>
          <w:szCs w:val="24"/>
        </w:rPr>
        <w:t xml:space="preserve"> South Africa where it was held</w:t>
      </w:r>
      <w:r w:rsidR="00685602">
        <w:rPr>
          <w:rFonts w:ascii="Arial" w:hAnsi="Arial" w:cs="Arial"/>
          <w:sz w:val="24"/>
          <w:szCs w:val="24"/>
        </w:rPr>
        <w:t xml:space="preserve"> with reference to a number of</w:t>
      </w:r>
      <w:r w:rsidR="00525A85">
        <w:rPr>
          <w:rFonts w:ascii="Arial" w:hAnsi="Arial" w:cs="Arial"/>
          <w:sz w:val="24"/>
          <w:szCs w:val="24"/>
        </w:rPr>
        <w:t xml:space="preserve"> prior</w:t>
      </w:r>
      <w:r w:rsidR="00685602">
        <w:rPr>
          <w:rFonts w:ascii="Arial" w:hAnsi="Arial" w:cs="Arial"/>
          <w:sz w:val="24"/>
          <w:szCs w:val="24"/>
        </w:rPr>
        <w:t xml:space="preserve"> reported decisions</w:t>
      </w:r>
      <w:r w:rsidR="00EE294B">
        <w:rPr>
          <w:rFonts w:ascii="Arial" w:hAnsi="Arial" w:cs="Arial"/>
          <w:sz w:val="24"/>
          <w:szCs w:val="24"/>
        </w:rPr>
        <w:t>:</w:t>
      </w:r>
    </w:p>
    <w:p w:rsidR="00EE294B" w:rsidRDefault="00EE294B" w:rsidP="009673E5">
      <w:pPr>
        <w:spacing w:after="0" w:line="360" w:lineRule="auto"/>
        <w:jc w:val="both"/>
        <w:rPr>
          <w:rFonts w:ascii="Arial" w:hAnsi="Arial" w:cs="Arial"/>
          <w:sz w:val="24"/>
          <w:szCs w:val="24"/>
        </w:rPr>
      </w:pPr>
      <w:r>
        <w:rPr>
          <w:rFonts w:ascii="Arial" w:hAnsi="Arial" w:cs="Arial"/>
          <w:sz w:val="24"/>
          <w:szCs w:val="24"/>
        </w:rPr>
        <w:tab/>
        <w:t xml:space="preserve">“It is now well established that </w:t>
      </w:r>
      <w:r w:rsidR="00685602">
        <w:rPr>
          <w:rFonts w:ascii="Arial" w:hAnsi="Arial" w:cs="Arial"/>
          <w:sz w:val="24"/>
          <w:szCs w:val="24"/>
        </w:rPr>
        <w:t>extinctive</w:t>
      </w:r>
      <w:r>
        <w:rPr>
          <w:rFonts w:ascii="Arial" w:hAnsi="Arial" w:cs="Arial"/>
          <w:sz w:val="24"/>
          <w:szCs w:val="24"/>
        </w:rPr>
        <w:t xml:space="preserve"> prescription as envisaged in the </w:t>
      </w:r>
      <w:r w:rsidR="00685602">
        <w:rPr>
          <w:rFonts w:ascii="Arial" w:hAnsi="Arial" w:cs="Arial"/>
          <w:sz w:val="24"/>
          <w:szCs w:val="24"/>
        </w:rPr>
        <w:t>P</w:t>
      </w:r>
      <w:r>
        <w:rPr>
          <w:rFonts w:ascii="Arial" w:hAnsi="Arial" w:cs="Arial"/>
          <w:sz w:val="24"/>
          <w:szCs w:val="24"/>
        </w:rPr>
        <w:t>rescript</w:t>
      </w:r>
      <w:r w:rsidR="00525A85">
        <w:rPr>
          <w:rFonts w:ascii="Arial" w:hAnsi="Arial" w:cs="Arial"/>
          <w:sz w:val="24"/>
          <w:szCs w:val="24"/>
        </w:rPr>
        <w:t>ion</w:t>
      </w:r>
      <w:r>
        <w:rPr>
          <w:rFonts w:ascii="Arial" w:hAnsi="Arial" w:cs="Arial"/>
          <w:sz w:val="24"/>
          <w:szCs w:val="24"/>
        </w:rPr>
        <w:t xml:space="preserve"> </w:t>
      </w:r>
      <w:r w:rsidR="00685602">
        <w:rPr>
          <w:rFonts w:ascii="Arial" w:hAnsi="Arial" w:cs="Arial"/>
          <w:sz w:val="24"/>
          <w:szCs w:val="24"/>
        </w:rPr>
        <w:t>A</w:t>
      </w:r>
      <w:r>
        <w:rPr>
          <w:rFonts w:ascii="Arial" w:hAnsi="Arial" w:cs="Arial"/>
          <w:sz w:val="24"/>
          <w:szCs w:val="24"/>
        </w:rPr>
        <w:t>ct applie</w:t>
      </w:r>
      <w:r w:rsidR="00685602">
        <w:rPr>
          <w:rFonts w:ascii="Arial" w:hAnsi="Arial" w:cs="Arial"/>
          <w:sz w:val="24"/>
          <w:szCs w:val="24"/>
        </w:rPr>
        <w:t xml:space="preserve">s </w:t>
      </w:r>
      <w:r>
        <w:rPr>
          <w:rFonts w:ascii="Arial" w:hAnsi="Arial" w:cs="Arial"/>
          <w:sz w:val="24"/>
          <w:szCs w:val="24"/>
        </w:rPr>
        <w:t>to employment issues”</w:t>
      </w:r>
      <w:r w:rsidR="00685602">
        <w:rPr>
          <w:rStyle w:val="FootnoteReference"/>
          <w:rFonts w:ascii="Arial" w:hAnsi="Arial" w:cs="Arial"/>
          <w:sz w:val="24"/>
          <w:szCs w:val="24"/>
        </w:rPr>
        <w:footnoteReference w:id="3"/>
      </w:r>
    </w:p>
    <w:p w:rsidR="00685602" w:rsidRDefault="00EE294B" w:rsidP="009673E5">
      <w:pPr>
        <w:spacing w:after="0" w:line="360" w:lineRule="auto"/>
        <w:jc w:val="both"/>
        <w:rPr>
          <w:rFonts w:ascii="Arial" w:hAnsi="Arial" w:cs="Arial"/>
          <w:sz w:val="24"/>
          <w:szCs w:val="24"/>
        </w:rPr>
      </w:pPr>
      <w:r>
        <w:rPr>
          <w:rFonts w:ascii="Arial" w:hAnsi="Arial" w:cs="Arial"/>
          <w:sz w:val="24"/>
          <w:szCs w:val="24"/>
        </w:rPr>
        <w:t>Th</w:t>
      </w:r>
      <w:r w:rsidR="00525A85">
        <w:rPr>
          <w:rFonts w:ascii="Arial" w:hAnsi="Arial" w:cs="Arial"/>
          <w:sz w:val="24"/>
          <w:szCs w:val="24"/>
        </w:rPr>
        <w:t>at</w:t>
      </w:r>
      <w:r>
        <w:rPr>
          <w:rFonts w:ascii="Arial" w:hAnsi="Arial" w:cs="Arial"/>
          <w:sz w:val="24"/>
          <w:szCs w:val="24"/>
        </w:rPr>
        <w:t xml:space="preserve"> court further </w:t>
      </w:r>
      <w:r w:rsidR="00A53A3D">
        <w:rPr>
          <w:rFonts w:ascii="Arial" w:hAnsi="Arial" w:cs="Arial"/>
          <w:sz w:val="24"/>
          <w:szCs w:val="24"/>
        </w:rPr>
        <w:t>held</w:t>
      </w:r>
      <w:r>
        <w:rPr>
          <w:rFonts w:ascii="Arial" w:hAnsi="Arial" w:cs="Arial"/>
          <w:sz w:val="24"/>
          <w:szCs w:val="24"/>
        </w:rPr>
        <w:t xml:space="preserve"> that</w:t>
      </w:r>
      <w:r w:rsidR="00525A85">
        <w:rPr>
          <w:rFonts w:ascii="Arial" w:hAnsi="Arial" w:cs="Arial"/>
          <w:sz w:val="24"/>
          <w:szCs w:val="24"/>
        </w:rPr>
        <w:t xml:space="preserve"> a</w:t>
      </w:r>
      <w:r>
        <w:rPr>
          <w:rFonts w:ascii="Arial" w:hAnsi="Arial" w:cs="Arial"/>
          <w:sz w:val="24"/>
          <w:szCs w:val="24"/>
        </w:rPr>
        <w:t xml:space="preserve"> “debt” would in </w:t>
      </w:r>
      <w:r w:rsidR="00A53A3D">
        <w:rPr>
          <w:rFonts w:ascii="Arial" w:hAnsi="Arial" w:cs="Arial"/>
          <w:sz w:val="24"/>
          <w:szCs w:val="24"/>
        </w:rPr>
        <w:t>the</w:t>
      </w:r>
      <w:r>
        <w:rPr>
          <w:rFonts w:ascii="Arial" w:hAnsi="Arial" w:cs="Arial"/>
          <w:sz w:val="24"/>
          <w:szCs w:val="24"/>
        </w:rPr>
        <w:t xml:space="preserve"> context of a dismissal claim mean that a respondent had an obligation not to unfairly dismiss the applicant</w:t>
      </w:r>
      <w:r w:rsidR="00685602">
        <w:rPr>
          <w:rStyle w:val="FootnoteReference"/>
          <w:rFonts w:ascii="Arial" w:hAnsi="Arial" w:cs="Arial"/>
          <w:sz w:val="24"/>
          <w:szCs w:val="24"/>
        </w:rPr>
        <w:footnoteReference w:id="4"/>
      </w:r>
      <w:r>
        <w:rPr>
          <w:rFonts w:ascii="Arial" w:hAnsi="Arial" w:cs="Arial"/>
          <w:sz w:val="24"/>
          <w:szCs w:val="24"/>
        </w:rPr>
        <w:t xml:space="preserve">. In that matter, an employee had filed an unfair labour practice claim ten years after learning that he had been recommended for promotion which had not been effected. The CCMA had granted an application for condonation for the late filling of the claim. The court however ruled that the matter had prescribed under the </w:t>
      </w:r>
      <w:r w:rsidR="00685602">
        <w:rPr>
          <w:rFonts w:ascii="Arial" w:hAnsi="Arial" w:cs="Arial"/>
          <w:sz w:val="24"/>
          <w:szCs w:val="24"/>
        </w:rPr>
        <w:t>P</w:t>
      </w:r>
      <w:r>
        <w:rPr>
          <w:rFonts w:ascii="Arial" w:hAnsi="Arial" w:cs="Arial"/>
          <w:sz w:val="24"/>
          <w:szCs w:val="24"/>
        </w:rPr>
        <w:t xml:space="preserve">rescription </w:t>
      </w:r>
      <w:r w:rsidR="00685602">
        <w:rPr>
          <w:rFonts w:ascii="Arial" w:hAnsi="Arial" w:cs="Arial"/>
          <w:sz w:val="24"/>
          <w:szCs w:val="24"/>
        </w:rPr>
        <w:t>A</w:t>
      </w:r>
      <w:r>
        <w:rPr>
          <w:rFonts w:ascii="Arial" w:hAnsi="Arial" w:cs="Arial"/>
          <w:sz w:val="24"/>
          <w:szCs w:val="24"/>
        </w:rPr>
        <w:t>ct,</w:t>
      </w:r>
      <w:r w:rsidR="004A21A8">
        <w:rPr>
          <w:rFonts w:ascii="Arial" w:hAnsi="Arial" w:cs="Arial"/>
          <w:sz w:val="24"/>
          <w:szCs w:val="24"/>
        </w:rPr>
        <w:t xml:space="preserve"> 68 of 1969. </w:t>
      </w:r>
    </w:p>
    <w:p w:rsidR="00685602" w:rsidRDefault="00685602" w:rsidP="009673E5">
      <w:pPr>
        <w:spacing w:after="0" w:line="360" w:lineRule="auto"/>
        <w:jc w:val="both"/>
        <w:rPr>
          <w:rFonts w:ascii="Arial" w:hAnsi="Arial" w:cs="Arial"/>
          <w:sz w:val="24"/>
          <w:szCs w:val="24"/>
        </w:rPr>
      </w:pPr>
    </w:p>
    <w:p w:rsidR="00031D4D" w:rsidRDefault="00525A85" w:rsidP="009673E5">
      <w:pPr>
        <w:spacing w:after="0" w:line="360" w:lineRule="auto"/>
        <w:jc w:val="both"/>
        <w:rPr>
          <w:rFonts w:ascii="Arial" w:hAnsi="Arial" w:cs="Arial"/>
          <w:sz w:val="24"/>
          <w:szCs w:val="24"/>
        </w:rPr>
      </w:pPr>
      <w:r>
        <w:rPr>
          <w:rFonts w:ascii="Arial" w:hAnsi="Arial" w:cs="Arial"/>
          <w:sz w:val="24"/>
          <w:szCs w:val="24"/>
        </w:rPr>
        <w:t>[23</w:t>
      </w:r>
      <w:r w:rsidR="00685602">
        <w:rPr>
          <w:rFonts w:ascii="Arial" w:hAnsi="Arial" w:cs="Arial"/>
          <w:sz w:val="24"/>
          <w:szCs w:val="24"/>
        </w:rPr>
        <w:t>]</w:t>
      </w:r>
      <w:r w:rsidR="00685602">
        <w:rPr>
          <w:rFonts w:ascii="Arial" w:hAnsi="Arial" w:cs="Arial"/>
          <w:sz w:val="24"/>
          <w:szCs w:val="24"/>
        </w:rPr>
        <w:tab/>
      </w:r>
      <w:r w:rsidR="004A21A8">
        <w:rPr>
          <w:rFonts w:ascii="Arial" w:hAnsi="Arial" w:cs="Arial"/>
          <w:sz w:val="24"/>
          <w:szCs w:val="24"/>
        </w:rPr>
        <w:t>In a more recent judgment, the</w:t>
      </w:r>
      <w:r>
        <w:rPr>
          <w:rFonts w:ascii="Arial" w:hAnsi="Arial" w:cs="Arial"/>
          <w:sz w:val="24"/>
          <w:szCs w:val="24"/>
        </w:rPr>
        <w:t xml:space="preserve"> (South African) Labour C</w:t>
      </w:r>
      <w:r w:rsidR="004A21A8">
        <w:rPr>
          <w:rFonts w:ascii="Arial" w:hAnsi="Arial" w:cs="Arial"/>
          <w:sz w:val="24"/>
          <w:szCs w:val="24"/>
        </w:rPr>
        <w:t xml:space="preserve">ourt had in a different context also held that the </w:t>
      </w:r>
      <w:r w:rsidR="00685602">
        <w:rPr>
          <w:rFonts w:ascii="Arial" w:hAnsi="Arial" w:cs="Arial"/>
          <w:sz w:val="24"/>
          <w:szCs w:val="24"/>
        </w:rPr>
        <w:t>P</w:t>
      </w:r>
      <w:r w:rsidR="004A21A8">
        <w:rPr>
          <w:rFonts w:ascii="Arial" w:hAnsi="Arial" w:cs="Arial"/>
          <w:sz w:val="24"/>
          <w:szCs w:val="24"/>
        </w:rPr>
        <w:t xml:space="preserve">rescription </w:t>
      </w:r>
      <w:r w:rsidR="00685602">
        <w:rPr>
          <w:rFonts w:ascii="Arial" w:hAnsi="Arial" w:cs="Arial"/>
          <w:sz w:val="24"/>
          <w:szCs w:val="24"/>
        </w:rPr>
        <w:t>A</w:t>
      </w:r>
      <w:r w:rsidR="004A21A8">
        <w:rPr>
          <w:rFonts w:ascii="Arial" w:hAnsi="Arial" w:cs="Arial"/>
          <w:sz w:val="24"/>
          <w:szCs w:val="24"/>
        </w:rPr>
        <w:t xml:space="preserve">ct, 1969 applies to disputes arising from the </w:t>
      </w:r>
      <w:r w:rsidR="00685602">
        <w:rPr>
          <w:rFonts w:ascii="Arial" w:hAnsi="Arial" w:cs="Arial"/>
          <w:sz w:val="24"/>
          <w:szCs w:val="24"/>
        </w:rPr>
        <w:t>LRA</w:t>
      </w:r>
      <w:r w:rsidR="004A21A8">
        <w:rPr>
          <w:rFonts w:ascii="Arial" w:hAnsi="Arial" w:cs="Arial"/>
          <w:sz w:val="24"/>
          <w:szCs w:val="24"/>
        </w:rPr>
        <w:t>. The court stressed that the LRA compel</w:t>
      </w:r>
      <w:r w:rsidR="00685602">
        <w:rPr>
          <w:rFonts w:ascii="Arial" w:hAnsi="Arial" w:cs="Arial"/>
          <w:sz w:val="24"/>
          <w:szCs w:val="24"/>
        </w:rPr>
        <w:t>s</w:t>
      </w:r>
      <w:r w:rsidR="004A21A8">
        <w:rPr>
          <w:rFonts w:ascii="Arial" w:hAnsi="Arial" w:cs="Arial"/>
          <w:sz w:val="24"/>
          <w:szCs w:val="24"/>
        </w:rPr>
        <w:t xml:space="preserve"> the effective resolution of disputes, implying that la</w:t>
      </w:r>
      <w:r w:rsidR="00B20DAF">
        <w:rPr>
          <w:rFonts w:ascii="Arial" w:hAnsi="Arial" w:cs="Arial"/>
          <w:sz w:val="24"/>
          <w:szCs w:val="24"/>
        </w:rPr>
        <w:t>bour disputes must be resolved or</w:t>
      </w:r>
      <w:r w:rsidR="004A21A8">
        <w:rPr>
          <w:rFonts w:ascii="Arial" w:hAnsi="Arial" w:cs="Arial"/>
          <w:sz w:val="24"/>
          <w:szCs w:val="24"/>
        </w:rPr>
        <w:t xml:space="preserve"> finalize</w:t>
      </w:r>
      <w:r w:rsidR="00B20DAF">
        <w:rPr>
          <w:rFonts w:ascii="Arial" w:hAnsi="Arial" w:cs="Arial"/>
          <w:sz w:val="24"/>
          <w:szCs w:val="24"/>
        </w:rPr>
        <w:t>d</w:t>
      </w:r>
      <w:r w:rsidR="004A21A8">
        <w:rPr>
          <w:rFonts w:ascii="Arial" w:hAnsi="Arial" w:cs="Arial"/>
          <w:sz w:val="24"/>
          <w:szCs w:val="24"/>
        </w:rPr>
        <w:t xml:space="preserve"> </w:t>
      </w:r>
      <w:r w:rsidR="00916CED">
        <w:rPr>
          <w:rFonts w:ascii="Arial" w:hAnsi="Arial" w:cs="Arial"/>
          <w:sz w:val="24"/>
          <w:szCs w:val="24"/>
        </w:rPr>
        <w:t>expeditiously</w:t>
      </w:r>
      <w:r w:rsidR="00B20DAF">
        <w:rPr>
          <w:rFonts w:ascii="Arial" w:hAnsi="Arial" w:cs="Arial"/>
          <w:sz w:val="24"/>
          <w:szCs w:val="24"/>
        </w:rPr>
        <w:t xml:space="preserve"> and applied</w:t>
      </w:r>
      <w:r w:rsidR="004A21A8">
        <w:rPr>
          <w:rFonts w:ascii="Arial" w:hAnsi="Arial" w:cs="Arial"/>
          <w:sz w:val="24"/>
          <w:szCs w:val="24"/>
        </w:rPr>
        <w:t xml:space="preserve"> the </w:t>
      </w:r>
      <w:r>
        <w:rPr>
          <w:rFonts w:ascii="Arial" w:hAnsi="Arial" w:cs="Arial"/>
          <w:sz w:val="24"/>
          <w:szCs w:val="24"/>
        </w:rPr>
        <w:t>P</w:t>
      </w:r>
      <w:r w:rsidR="004A21A8">
        <w:rPr>
          <w:rFonts w:ascii="Arial" w:hAnsi="Arial" w:cs="Arial"/>
          <w:sz w:val="24"/>
          <w:szCs w:val="24"/>
        </w:rPr>
        <w:t xml:space="preserve">rescription </w:t>
      </w:r>
      <w:r>
        <w:rPr>
          <w:rFonts w:ascii="Arial" w:hAnsi="Arial" w:cs="Arial"/>
          <w:sz w:val="24"/>
          <w:szCs w:val="24"/>
        </w:rPr>
        <w:t xml:space="preserve">Act to the relevant provisions </w:t>
      </w:r>
      <w:r w:rsidR="004A21A8">
        <w:rPr>
          <w:rFonts w:ascii="Arial" w:hAnsi="Arial" w:cs="Arial"/>
          <w:sz w:val="24"/>
          <w:szCs w:val="24"/>
        </w:rPr>
        <w:t>o</w:t>
      </w:r>
      <w:r>
        <w:rPr>
          <w:rFonts w:ascii="Arial" w:hAnsi="Arial" w:cs="Arial"/>
          <w:sz w:val="24"/>
          <w:szCs w:val="24"/>
        </w:rPr>
        <w:t>f</w:t>
      </w:r>
      <w:r w:rsidR="004A21A8">
        <w:rPr>
          <w:rFonts w:ascii="Arial" w:hAnsi="Arial" w:cs="Arial"/>
          <w:sz w:val="24"/>
          <w:szCs w:val="24"/>
        </w:rPr>
        <w:t xml:space="preserve"> the LRA</w:t>
      </w:r>
      <w:r w:rsidR="00B20DAF">
        <w:rPr>
          <w:rStyle w:val="FootnoteReference"/>
          <w:rFonts w:ascii="Arial" w:hAnsi="Arial" w:cs="Arial"/>
          <w:sz w:val="24"/>
          <w:szCs w:val="24"/>
        </w:rPr>
        <w:footnoteReference w:id="5"/>
      </w:r>
      <w:r w:rsidR="00B20DAF">
        <w:rPr>
          <w:rFonts w:ascii="Arial" w:hAnsi="Arial" w:cs="Arial"/>
          <w:sz w:val="24"/>
          <w:szCs w:val="24"/>
        </w:rPr>
        <w:t>.</w:t>
      </w:r>
    </w:p>
    <w:p w:rsidR="003839C3" w:rsidRDefault="003839C3" w:rsidP="009673E5">
      <w:pPr>
        <w:spacing w:after="0" w:line="360" w:lineRule="auto"/>
        <w:jc w:val="both"/>
        <w:rPr>
          <w:rFonts w:ascii="Arial" w:hAnsi="Arial" w:cs="Arial"/>
          <w:sz w:val="24"/>
          <w:szCs w:val="24"/>
        </w:rPr>
      </w:pPr>
    </w:p>
    <w:p w:rsidR="003839C3" w:rsidRDefault="00525A85" w:rsidP="009673E5">
      <w:pPr>
        <w:spacing w:after="0" w:line="360" w:lineRule="auto"/>
        <w:jc w:val="both"/>
        <w:rPr>
          <w:rFonts w:ascii="Arial" w:hAnsi="Arial" w:cs="Arial"/>
          <w:sz w:val="24"/>
          <w:szCs w:val="24"/>
        </w:rPr>
      </w:pPr>
      <w:r>
        <w:rPr>
          <w:rFonts w:ascii="Arial" w:hAnsi="Arial" w:cs="Arial"/>
          <w:sz w:val="24"/>
          <w:szCs w:val="24"/>
        </w:rPr>
        <w:t>[24</w:t>
      </w:r>
      <w:r w:rsidR="00B20DAF">
        <w:rPr>
          <w:rFonts w:ascii="Arial" w:hAnsi="Arial" w:cs="Arial"/>
          <w:sz w:val="24"/>
          <w:szCs w:val="24"/>
        </w:rPr>
        <w:t>]</w:t>
      </w:r>
      <w:r w:rsidR="00B20DAF">
        <w:rPr>
          <w:rFonts w:ascii="Arial" w:hAnsi="Arial" w:cs="Arial"/>
          <w:sz w:val="24"/>
          <w:szCs w:val="24"/>
        </w:rPr>
        <w:tab/>
        <w:t>The wording of s16(1) of the P</w:t>
      </w:r>
      <w:r w:rsidR="003839C3">
        <w:rPr>
          <w:rFonts w:ascii="Arial" w:hAnsi="Arial" w:cs="Arial"/>
          <w:sz w:val="24"/>
          <w:szCs w:val="24"/>
        </w:rPr>
        <w:t xml:space="preserve">rescription </w:t>
      </w:r>
      <w:r w:rsidR="00B20DAF">
        <w:rPr>
          <w:rFonts w:ascii="Arial" w:hAnsi="Arial" w:cs="Arial"/>
          <w:sz w:val="24"/>
          <w:szCs w:val="24"/>
        </w:rPr>
        <w:t>A</w:t>
      </w:r>
      <w:r w:rsidR="003839C3">
        <w:rPr>
          <w:rFonts w:ascii="Arial" w:hAnsi="Arial" w:cs="Arial"/>
          <w:sz w:val="24"/>
          <w:szCs w:val="24"/>
        </w:rPr>
        <w:t xml:space="preserve">ct is identical in </w:t>
      </w:r>
      <w:r w:rsidR="00A53A3D">
        <w:rPr>
          <w:rFonts w:ascii="Arial" w:hAnsi="Arial" w:cs="Arial"/>
          <w:sz w:val="24"/>
          <w:szCs w:val="24"/>
        </w:rPr>
        <w:t xml:space="preserve">both </w:t>
      </w:r>
      <w:r w:rsidR="003839C3">
        <w:rPr>
          <w:rFonts w:ascii="Arial" w:hAnsi="Arial" w:cs="Arial"/>
          <w:sz w:val="24"/>
          <w:szCs w:val="24"/>
        </w:rPr>
        <w:t>Namibia and South Africa. It provides:</w:t>
      </w:r>
    </w:p>
    <w:p w:rsidR="00916CED" w:rsidRPr="00916CED" w:rsidRDefault="00916CED" w:rsidP="00916CED">
      <w:pPr>
        <w:ind w:firstLine="720"/>
        <w:rPr>
          <w:rFonts w:ascii="Arial" w:hAnsi="Arial" w:cs="Arial"/>
        </w:rPr>
      </w:pPr>
      <w:r w:rsidRPr="00916CED">
        <w:rPr>
          <w:rFonts w:ascii="Arial" w:hAnsi="Arial" w:cs="Arial"/>
        </w:rPr>
        <w:t>“(1) Subject to the provisions of subsection (2)(b), the provisions of this chapter shall, save in so far as they are inconsistent with the provisions of any Act of Parliament which prescribes a specified period within which a claim is to be made or an action is to be instituted in respect of a debt or imposes conditions on the institution of an action for the recovery of a debt, apply to any debt arising after the commencement of this Act.”</w:t>
      </w:r>
    </w:p>
    <w:p w:rsidR="00FF2266" w:rsidRDefault="00FF2266" w:rsidP="009673E5">
      <w:pPr>
        <w:spacing w:after="0" w:line="360" w:lineRule="auto"/>
        <w:jc w:val="both"/>
        <w:rPr>
          <w:rFonts w:ascii="Arial" w:hAnsi="Arial" w:cs="Arial"/>
          <w:sz w:val="24"/>
          <w:szCs w:val="24"/>
        </w:rPr>
      </w:pPr>
    </w:p>
    <w:p w:rsidR="003839C3" w:rsidRDefault="00525A85" w:rsidP="009673E5">
      <w:pPr>
        <w:spacing w:after="0" w:line="360" w:lineRule="auto"/>
        <w:jc w:val="both"/>
        <w:rPr>
          <w:rFonts w:ascii="Arial" w:hAnsi="Arial" w:cs="Arial"/>
          <w:sz w:val="24"/>
          <w:szCs w:val="24"/>
        </w:rPr>
      </w:pPr>
      <w:r>
        <w:rPr>
          <w:rFonts w:ascii="Arial" w:hAnsi="Arial" w:cs="Arial"/>
          <w:sz w:val="24"/>
          <w:szCs w:val="24"/>
        </w:rPr>
        <w:t>[25</w:t>
      </w:r>
      <w:r w:rsidR="003839C3">
        <w:rPr>
          <w:rFonts w:ascii="Arial" w:hAnsi="Arial" w:cs="Arial"/>
          <w:sz w:val="24"/>
          <w:szCs w:val="24"/>
        </w:rPr>
        <w:t>]</w:t>
      </w:r>
      <w:r w:rsidR="003839C3">
        <w:rPr>
          <w:rFonts w:ascii="Arial" w:hAnsi="Arial" w:cs="Arial"/>
          <w:sz w:val="24"/>
          <w:szCs w:val="24"/>
        </w:rPr>
        <w:tab/>
        <w:t xml:space="preserve">Mr Maasdorp submitted on the strength of the South African authority that the </w:t>
      </w:r>
      <w:r w:rsidR="00B20DAF">
        <w:rPr>
          <w:rFonts w:ascii="Arial" w:hAnsi="Arial" w:cs="Arial"/>
          <w:sz w:val="24"/>
          <w:szCs w:val="24"/>
        </w:rPr>
        <w:t>provisions</w:t>
      </w:r>
      <w:r w:rsidR="003839C3">
        <w:rPr>
          <w:rFonts w:ascii="Arial" w:hAnsi="Arial" w:cs="Arial"/>
          <w:sz w:val="24"/>
          <w:szCs w:val="24"/>
        </w:rPr>
        <w:t xml:space="preserve"> of the </w:t>
      </w:r>
      <w:r w:rsidR="00B20DAF">
        <w:rPr>
          <w:rFonts w:ascii="Arial" w:hAnsi="Arial" w:cs="Arial"/>
          <w:sz w:val="24"/>
          <w:szCs w:val="24"/>
        </w:rPr>
        <w:t>P</w:t>
      </w:r>
      <w:r w:rsidR="003839C3">
        <w:rPr>
          <w:rFonts w:ascii="Arial" w:hAnsi="Arial" w:cs="Arial"/>
          <w:sz w:val="24"/>
          <w:szCs w:val="24"/>
        </w:rPr>
        <w:t xml:space="preserve">rescription </w:t>
      </w:r>
      <w:r w:rsidR="00B20DAF">
        <w:rPr>
          <w:rFonts w:ascii="Arial" w:hAnsi="Arial" w:cs="Arial"/>
          <w:sz w:val="24"/>
          <w:szCs w:val="24"/>
        </w:rPr>
        <w:t>A</w:t>
      </w:r>
      <w:r w:rsidR="003839C3">
        <w:rPr>
          <w:rFonts w:ascii="Arial" w:hAnsi="Arial" w:cs="Arial"/>
          <w:sz w:val="24"/>
          <w:szCs w:val="24"/>
        </w:rPr>
        <w:t xml:space="preserve">ct and the three year </w:t>
      </w:r>
      <w:r w:rsidR="00B20DAF">
        <w:rPr>
          <w:rFonts w:ascii="Arial" w:hAnsi="Arial" w:cs="Arial"/>
          <w:sz w:val="24"/>
          <w:szCs w:val="24"/>
        </w:rPr>
        <w:t>p</w:t>
      </w:r>
      <w:r w:rsidR="003839C3">
        <w:rPr>
          <w:rFonts w:ascii="Arial" w:hAnsi="Arial" w:cs="Arial"/>
          <w:sz w:val="24"/>
          <w:szCs w:val="24"/>
        </w:rPr>
        <w:t xml:space="preserve">rescription period </w:t>
      </w:r>
      <w:r>
        <w:rPr>
          <w:rFonts w:ascii="Arial" w:hAnsi="Arial" w:cs="Arial"/>
          <w:sz w:val="24"/>
          <w:szCs w:val="24"/>
        </w:rPr>
        <w:t xml:space="preserve">should also </w:t>
      </w:r>
      <w:r w:rsidR="003839C3">
        <w:rPr>
          <w:rFonts w:ascii="Arial" w:hAnsi="Arial" w:cs="Arial"/>
          <w:sz w:val="24"/>
          <w:szCs w:val="24"/>
        </w:rPr>
        <w:t>appl</w:t>
      </w:r>
      <w:r w:rsidR="00B20DAF">
        <w:rPr>
          <w:rFonts w:ascii="Arial" w:hAnsi="Arial" w:cs="Arial"/>
          <w:sz w:val="24"/>
          <w:szCs w:val="24"/>
        </w:rPr>
        <w:t>y</w:t>
      </w:r>
      <w:r w:rsidR="003839C3">
        <w:rPr>
          <w:rFonts w:ascii="Arial" w:hAnsi="Arial" w:cs="Arial"/>
          <w:sz w:val="24"/>
          <w:szCs w:val="24"/>
        </w:rPr>
        <w:t xml:space="preserve"> to employment related claims</w:t>
      </w:r>
      <w:r>
        <w:rPr>
          <w:rFonts w:ascii="Arial" w:hAnsi="Arial" w:cs="Arial"/>
          <w:sz w:val="24"/>
          <w:szCs w:val="24"/>
        </w:rPr>
        <w:t xml:space="preserve"> which had arisen under the Labour Act</w:t>
      </w:r>
      <w:r w:rsidR="009B4F39">
        <w:rPr>
          <w:rFonts w:ascii="Arial" w:hAnsi="Arial" w:cs="Arial"/>
          <w:sz w:val="24"/>
          <w:szCs w:val="24"/>
        </w:rPr>
        <w:t xml:space="preserve"> of 1992 and the current Act</w:t>
      </w:r>
      <w:r w:rsidR="003839C3">
        <w:rPr>
          <w:rFonts w:ascii="Arial" w:hAnsi="Arial" w:cs="Arial"/>
          <w:sz w:val="24"/>
          <w:szCs w:val="24"/>
        </w:rPr>
        <w:t>.</w:t>
      </w:r>
    </w:p>
    <w:p w:rsidR="003839C3" w:rsidRDefault="003839C3" w:rsidP="009673E5">
      <w:pPr>
        <w:spacing w:after="0" w:line="360" w:lineRule="auto"/>
        <w:jc w:val="both"/>
        <w:rPr>
          <w:rFonts w:ascii="Arial" w:hAnsi="Arial" w:cs="Arial"/>
          <w:sz w:val="24"/>
          <w:szCs w:val="24"/>
        </w:rPr>
      </w:pPr>
    </w:p>
    <w:p w:rsidR="003352C1" w:rsidRDefault="009B4F39" w:rsidP="009673E5">
      <w:pPr>
        <w:spacing w:after="0" w:line="360" w:lineRule="auto"/>
        <w:jc w:val="both"/>
        <w:rPr>
          <w:rFonts w:ascii="Arial" w:hAnsi="Arial" w:cs="Arial"/>
          <w:sz w:val="24"/>
          <w:szCs w:val="24"/>
        </w:rPr>
      </w:pPr>
      <w:r>
        <w:rPr>
          <w:rFonts w:ascii="Arial" w:hAnsi="Arial" w:cs="Arial"/>
          <w:sz w:val="24"/>
          <w:szCs w:val="24"/>
        </w:rPr>
        <w:lastRenderedPageBreak/>
        <w:t>[26</w:t>
      </w:r>
      <w:r w:rsidR="003839C3">
        <w:rPr>
          <w:rFonts w:ascii="Arial" w:hAnsi="Arial" w:cs="Arial"/>
          <w:sz w:val="24"/>
          <w:szCs w:val="24"/>
        </w:rPr>
        <w:t>]</w:t>
      </w:r>
      <w:r w:rsidR="003839C3">
        <w:rPr>
          <w:rFonts w:ascii="Arial" w:hAnsi="Arial" w:cs="Arial"/>
          <w:sz w:val="24"/>
          <w:szCs w:val="24"/>
        </w:rPr>
        <w:tab/>
        <w:t xml:space="preserve">The </w:t>
      </w:r>
      <w:r w:rsidR="00B20DAF">
        <w:rPr>
          <w:rFonts w:ascii="Arial" w:hAnsi="Arial" w:cs="Arial"/>
          <w:sz w:val="24"/>
          <w:szCs w:val="24"/>
        </w:rPr>
        <w:t>reasoning</w:t>
      </w:r>
      <w:r w:rsidR="003839C3">
        <w:rPr>
          <w:rFonts w:ascii="Arial" w:hAnsi="Arial" w:cs="Arial"/>
          <w:sz w:val="24"/>
          <w:szCs w:val="24"/>
        </w:rPr>
        <w:t xml:space="preserve"> employed by the court</w:t>
      </w:r>
      <w:r w:rsidR="00B20DAF">
        <w:rPr>
          <w:rFonts w:ascii="Arial" w:hAnsi="Arial" w:cs="Arial"/>
          <w:sz w:val="24"/>
          <w:szCs w:val="24"/>
        </w:rPr>
        <w:t>s</w:t>
      </w:r>
      <w:r w:rsidR="003839C3">
        <w:rPr>
          <w:rFonts w:ascii="Arial" w:hAnsi="Arial" w:cs="Arial"/>
          <w:sz w:val="24"/>
          <w:szCs w:val="24"/>
        </w:rPr>
        <w:t xml:space="preserve"> in South Africa with reference to the application of the </w:t>
      </w:r>
      <w:r w:rsidR="00B20DAF">
        <w:rPr>
          <w:rFonts w:ascii="Arial" w:hAnsi="Arial" w:cs="Arial"/>
          <w:sz w:val="24"/>
          <w:szCs w:val="24"/>
        </w:rPr>
        <w:t>P</w:t>
      </w:r>
      <w:r w:rsidR="003839C3">
        <w:rPr>
          <w:rFonts w:ascii="Arial" w:hAnsi="Arial" w:cs="Arial"/>
          <w:sz w:val="24"/>
          <w:szCs w:val="24"/>
        </w:rPr>
        <w:t xml:space="preserve">rescription </w:t>
      </w:r>
      <w:r w:rsidR="00B20DAF">
        <w:rPr>
          <w:rFonts w:ascii="Arial" w:hAnsi="Arial" w:cs="Arial"/>
          <w:sz w:val="24"/>
          <w:szCs w:val="24"/>
        </w:rPr>
        <w:t>A</w:t>
      </w:r>
      <w:r w:rsidR="003839C3">
        <w:rPr>
          <w:rFonts w:ascii="Arial" w:hAnsi="Arial" w:cs="Arial"/>
          <w:sz w:val="24"/>
          <w:szCs w:val="24"/>
        </w:rPr>
        <w:t xml:space="preserve">ct would </w:t>
      </w:r>
      <w:r>
        <w:rPr>
          <w:rFonts w:ascii="Arial" w:hAnsi="Arial" w:cs="Arial"/>
          <w:sz w:val="24"/>
          <w:szCs w:val="24"/>
        </w:rPr>
        <w:t xml:space="preserve">in my view </w:t>
      </w:r>
      <w:r w:rsidR="003839C3">
        <w:rPr>
          <w:rFonts w:ascii="Arial" w:hAnsi="Arial" w:cs="Arial"/>
          <w:sz w:val="24"/>
          <w:szCs w:val="24"/>
        </w:rPr>
        <w:t>apply with equal force to</w:t>
      </w:r>
      <w:r w:rsidR="00B20DAF">
        <w:rPr>
          <w:rFonts w:ascii="Arial" w:hAnsi="Arial" w:cs="Arial"/>
          <w:sz w:val="24"/>
          <w:szCs w:val="24"/>
        </w:rPr>
        <w:t xml:space="preserve"> claims arising from</w:t>
      </w:r>
      <w:r w:rsidR="003839C3">
        <w:rPr>
          <w:rFonts w:ascii="Arial" w:hAnsi="Arial" w:cs="Arial"/>
          <w:sz w:val="24"/>
          <w:szCs w:val="24"/>
        </w:rPr>
        <w:t xml:space="preserve"> the erstwhile </w:t>
      </w:r>
      <w:r w:rsidR="00B20DAF">
        <w:rPr>
          <w:rFonts w:ascii="Arial" w:hAnsi="Arial" w:cs="Arial"/>
          <w:sz w:val="24"/>
          <w:szCs w:val="24"/>
        </w:rPr>
        <w:t>L</w:t>
      </w:r>
      <w:r w:rsidR="003839C3">
        <w:rPr>
          <w:rFonts w:ascii="Arial" w:hAnsi="Arial" w:cs="Arial"/>
          <w:sz w:val="24"/>
          <w:szCs w:val="24"/>
        </w:rPr>
        <w:t xml:space="preserve">abour </w:t>
      </w:r>
      <w:r w:rsidR="00B20DAF">
        <w:rPr>
          <w:rFonts w:ascii="Arial" w:hAnsi="Arial" w:cs="Arial"/>
          <w:sz w:val="24"/>
          <w:szCs w:val="24"/>
        </w:rPr>
        <w:t>A</w:t>
      </w:r>
      <w:r w:rsidR="003839C3">
        <w:rPr>
          <w:rFonts w:ascii="Arial" w:hAnsi="Arial" w:cs="Arial"/>
          <w:sz w:val="24"/>
          <w:szCs w:val="24"/>
        </w:rPr>
        <w:t xml:space="preserve">ct of 1992 and the </w:t>
      </w:r>
      <w:r w:rsidR="00B20DAF">
        <w:rPr>
          <w:rFonts w:ascii="Arial" w:hAnsi="Arial" w:cs="Arial"/>
          <w:sz w:val="24"/>
          <w:szCs w:val="24"/>
        </w:rPr>
        <w:t>A</w:t>
      </w:r>
      <w:r w:rsidR="003839C3">
        <w:rPr>
          <w:rFonts w:ascii="Arial" w:hAnsi="Arial" w:cs="Arial"/>
          <w:sz w:val="24"/>
          <w:szCs w:val="24"/>
        </w:rPr>
        <w:t xml:space="preserve">ct. The objective of both acts as well as the </w:t>
      </w:r>
      <w:r>
        <w:rPr>
          <w:rFonts w:ascii="Arial" w:hAnsi="Arial" w:cs="Arial"/>
          <w:sz w:val="24"/>
          <w:szCs w:val="24"/>
        </w:rPr>
        <w:t>P</w:t>
      </w:r>
      <w:r w:rsidR="003839C3">
        <w:rPr>
          <w:rFonts w:ascii="Arial" w:hAnsi="Arial" w:cs="Arial"/>
          <w:sz w:val="24"/>
          <w:szCs w:val="24"/>
        </w:rPr>
        <w:t xml:space="preserve">rescription </w:t>
      </w:r>
      <w:r>
        <w:rPr>
          <w:rFonts w:ascii="Arial" w:hAnsi="Arial" w:cs="Arial"/>
          <w:sz w:val="24"/>
          <w:szCs w:val="24"/>
        </w:rPr>
        <w:t>A</w:t>
      </w:r>
      <w:r w:rsidR="003839C3">
        <w:rPr>
          <w:rFonts w:ascii="Arial" w:hAnsi="Arial" w:cs="Arial"/>
          <w:sz w:val="24"/>
          <w:szCs w:val="24"/>
        </w:rPr>
        <w:t>ct is bring certainty and finality to dispute</w:t>
      </w:r>
      <w:r>
        <w:rPr>
          <w:rFonts w:ascii="Arial" w:hAnsi="Arial" w:cs="Arial"/>
          <w:sz w:val="24"/>
          <w:szCs w:val="24"/>
        </w:rPr>
        <w:t>s</w:t>
      </w:r>
      <w:r w:rsidR="003839C3">
        <w:rPr>
          <w:rFonts w:ascii="Arial" w:hAnsi="Arial" w:cs="Arial"/>
          <w:sz w:val="24"/>
          <w:szCs w:val="24"/>
        </w:rPr>
        <w:t xml:space="preserve"> within a reasonable time. The courts in South Africa</w:t>
      </w:r>
      <w:r w:rsidR="003352C1">
        <w:rPr>
          <w:rFonts w:ascii="Arial" w:hAnsi="Arial" w:cs="Arial"/>
          <w:sz w:val="24"/>
          <w:szCs w:val="24"/>
        </w:rPr>
        <w:t xml:space="preserve"> </w:t>
      </w:r>
      <w:r w:rsidR="00B20DAF">
        <w:rPr>
          <w:rFonts w:ascii="Arial" w:hAnsi="Arial" w:cs="Arial"/>
          <w:sz w:val="24"/>
          <w:szCs w:val="24"/>
        </w:rPr>
        <w:t xml:space="preserve">have </w:t>
      </w:r>
      <w:r w:rsidR="003352C1">
        <w:rPr>
          <w:rFonts w:ascii="Arial" w:hAnsi="Arial" w:cs="Arial"/>
          <w:sz w:val="24"/>
          <w:szCs w:val="24"/>
        </w:rPr>
        <w:t xml:space="preserve">accorded a wide meaning to the term “debt” used in the </w:t>
      </w:r>
      <w:r w:rsidR="00B20DAF">
        <w:rPr>
          <w:rFonts w:ascii="Arial" w:hAnsi="Arial" w:cs="Arial"/>
          <w:sz w:val="24"/>
          <w:szCs w:val="24"/>
        </w:rPr>
        <w:t>P</w:t>
      </w:r>
      <w:r w:rsidR="003352C1">
        <w:rPr>
          <w:rFonts w:ascii="Arial" w:hAnsi="Arial" w:cs="Arial"/>
          <w:sz w:val="24"/>
          <w:szCs w:val="24"/>
        </w:rPr>
        <w:t xml:space="preserve">rescription </w:t>
      </w:r>
      <w:r w:rsidR="00B20DAF">
        <w:rPr>
          <w:rFonts w:ascii="Arial" w:hAnsi="Arial" w:cs="Arial"/>
          <w:sz w:val="24"/>
          <w:szCs w:val="24"/>
        </w:rPr>
        <w:t>Act which the L</w:t>
      </w:r>
      <w:r w:rsidR="003352C1">
        <w:rPr>
          <w:rFonts w:ascii="Arial" w:hAnsi="Arial" w:cs="Arial"/>
          <w:sz w:val="24"/>
          <w:szCs w:val="24"/>
        </w:rPr>
        <w:t>abou</w:t>
      </w:r>
      <w:r w:rsidR="00B20DAF">
        <w:rPr>
          <w:rFonts w:ascii="Arial" w:hAnsi="Arial" w:cs="Arial"/>
          <w:sz w:val="24"/>
          <w:szCs w:val="24"/>
        </w:rPr>
        <w:t>r C</w:t>
      </w:r>
      <w:r w:rsidR="003352C1">
        <w:rPr>
          <w:rFonts w:ascii="Arial" w:hAnsi="Arial" w:cs="Arial"/>
          <w:sz w:val="24"/>
          <w:szCs w:val="24"/>
        </w:rPr>
        <w:t xml:space="preserve">ourt in South Africa has </w:t>
      </w:r>
      <w:r w:rsidR="00B20DAF">
        <w:rPr>
          <w:rFonts w:ascii="Arial" w:hAnsi="Arial" w:cs="Arial"/>
          <w:sz w:val="24"/>
          <w:szCs w:val="24"/>
        </w:rPr>
        <w:t>found</w:t>
      </w:r>
      <w:r w:rsidR="003352C1">
        <w:rPr>
          <w:rFonts w:ascii="Arial" w:hAnsi="Arial" w:cs="Arial"/>
          <w:sz w:val="24"/>
          <w:szCs w:val="24"/>
        </w:rPr>
        <w:t xml:space="preserve"> would include </w:t>
      </w:r>
      <w:r w:rsidR="00B20DAF">
        <w:rPr>
          <w:rFonts w:ascii="Arial" w:hAnsi="Arial" w:cs="Arial"/>
          <w:sz w:val="24"/>
          <w:szCs w:val="24"/>
        </w:rPr>
        <w:t>a</w:t>
      </w:r>
      <w:r w:rsidR="003352C1">
        <w:rPr>
          <w:rFonts w:ascii="Arial" w:hAnsi="Arial" w:cs="Arial"/>
          <w:sz w:val="24"/>
          <w:szCs w:val="24"/>
        </w:rPr>
        <w:t xml:space="preserve"> respondent hav</w:t>
      </w:r>
      <w:r w:rsidR="00B20DAF">
        <w:rPr>
          <w:rFonts w:ascii="Arial" w:hAnsi="Arial" w:cs="Arial"/>
          <w:sz w:val="24"/>
          <w:szCs w:val="24"/>
        </w:rPr>
        <w:t>ing</w:t>
      </w:r>
      <w:r w:rsidR="003352C1">
        <w:rPr>
          <w:rFonts w:ascii="Arial" w:hAnsi="Arial" w:cs="Arial"/>
          <w:sz w:val="24"/>
          <w:szCs w:val="24"/>
        </w:rPr>
        <w:t xml:space="preserve"> an obligation not to unfairly dismiss an applicant or complainant.</w:t>
      </w:r>
      <w:r>
        <w:rPr>
          <w:rFonts w:ascii="Arial" w:hAnsi="Arial" w:cs="Arial"/>
          <w:sz w:val="24"/>
          <w:szCs w:val="24"/>
        </w:rPr>
        <w:t xml:space="preserve"> I agree with that approach.</w:t>
      </w:r>
    </w:p>
    <w:p w:rsidR="003352C1" w:rsidRDefault="003352C1" w:rsidP="009673E5">
      <w:pPr>
        <w:spacing w:after="0" w:line="360" w:lineRule="auto"/>
        <w:jc w:val="both"/>
        <w:rPr>
          <w:rFonts w:ascii="Arial" w:hAnsi="Arial" w:cs="Arial"/>
          <w:sz w:val="24"/>
          <w:szCs w:val="24"/>
        </w:rPr>
      </w:pPr>
    </w:p>
    <w:p w:rsidR="003839C3" w:rsidRDefault="009B4F39" w:rsidP="009673E5">
      <w:pPr>
        <w:spacing w:after="0" w:line="360" w:lineRule="auto"/>
        <w:jc w:val="both"/>
        <w:rPr>
          <w:rFonts w:ascii="Arial" w:hAnsi="Arial" w:cs="Arial"/>
          <w:sz w:val="24"/>
          <w:szCs w:val="24"/>
        </w:rPr>
      </w:pPr>
      <w:r>
        <w:rPr>
          <w:rFonts w:ascii="Arial" w:hAnsi="Arial" w:cs="Arial"/>
          <w:sz w:val="24"/>
          <w:szCs w:val="24"/>
        </w:rPr>
        <w:t>[27</w:t>
      </w:r>
      <w:r w:rsidR="003352C1">
        <w:rPr>
          <w:rFonts w:ascii="Arial" w:hAnsi="Arial" w:cs="Arial"/>
          <w:sz w:val="24"/>
          <w:szCs w:val="24"/>
        </w:rPr>
        <w:t>]</w:t>
      </w:r>
      <w:r w:rsidR="003352C1">
        <w:rPr>
          <w:rFonts w:ascii="Arial" w:hAnsi="Arial" w:cs="Arial"/>
          <w:sz w:val="24"/>
          <w:szCs w:val="24"/>
        </w:rPr>
        <w:tab/>
      </w:r>
      <w:r w:rsidR="00B20DAF">
        <w:rPr>
          <w:rFonts w:ascii="Arial" w:hAnsi="Arial" w:cs="Arial"/>
          <w:sz w:val="24"/>
          <w:szCs w:val="24"/>
        </w:rPr>
        <w:t>As to the position in Namibia, the courts i</w:t>
      </w:r>
      <w:r w:rsidR="003352C1">
        <w:rPr>
          <w:rFonts w:ascii="Arial" w:hAnsi="Arial" w:cs="Arial"/>
          <w:sz w:val="24"/>
          <w:szCs w:val="24"/>
        </w:rPr>
        <w:t xml:space="preserve">n considering the provisions of s24 of the 1992 </w:t>
      </w:r>
      <w:r w:rsidR="00B20DAF">
        <w:rPr>
          <w:rFonts w:ascii="Arial" w:hAnsi="Arial" w:cs="Arial"/>
          <w:sz w:val="24"/>
          <w:szCs w:val="24"/>
        </w:rPr>
        <w:t>A</w:t>
      </w:r>
      <w:r w:rsidR="003352C1">
        <w:rPr>
          <w:rFonts w:ascii="Arial" w:hAnsi="Arial" w:cs="Arial"/>
          <w:sz w:val="24"/>
          <w:szCs w:val="24"/>
        </w:rPr>
        <w:t>ct</w:t>
      </w:r>
      <w:r w:rsidR="00B20DAF">
        <w:rPr>
          <w:rFonts w:ascii="Arial" w:hAnsi="Arial" w:cs="Arial"/>
          <w:sz w:val="24"/>
          <w:szCs w:val="24"/>
        </w:rPr>
        <w:t>,</w:t>
      </w:r>
      <w:r w:rsidR="003352C1">
        <w:rPr>
          <w:rFonts w:ascii="Arial" w:hAnsi="Arial" w:cs="Arial"/>
          <w:sz w:val="24"/>
          <w:szCs w:val="24"/>
        </w:rPr>
        <w:t xml:space="preserve"> </w:t>
      </w:r>
      <w:r>
        <w:rPr>
          <w:rFonts w:ascii="Arial" w:hAnsi="Arial" w:cs="Arial"/>
          <w:sz w:val="24"/>
          <w:szCs w:val="24"/>
        </w:rPr>
        <w:t>have</w:t>
      </w:r>
      <w:r w:rsidR="003352C1">
        <w:rPr>
          <w:rFonts w:ascii="Arial" w:hAnsi="Arial" w:cs="Arial"/>
          <w:sz w:val="24"/>
          <w:szCs w:val="24"/>
        </w:rPr>
        <w:t xml:space="preserve"> not </w:t>
      </w:r>
      <w:r>
        <w:rPr>
          <w:rFonts w:ascii="Arial" w:hAnsi="Arial" w:cs="Arial"/>
          <w:sz w:val="24"/>
          <w:szCs w:val="24"/>
        </w:rPr>
        <w:t xml:space="preserve">uniformly </w:t>
      </w:r>
      <w:r w:rsidR="003352C1">
        <w:rPr>
          <w:rFonts w:ascii="Arial" w:hAnsi="Arial" w:cs="Arial"/>
          <w:sz w:val="24"/>
          <w:szCs w:val="24"/>
        </w:rPr>
        <w:t>determine</w:t>
      </w:r>
      <w:r>
        <w:rPr>
          <w:rFonts w:ascii="Arial" w:hAnsi="Arial" w:cs="Arial"/>
          <w:sz w:val="24"/>
          <w:szCs w:val="24"/>
        </w:rPr>
        <w:t>d</w:t>
      </w:r>
      <w:r w:rsidR="003352C1">
        <w:rPr>
          <w:rFonts w:ascii="Arial" w:hAnsi="Arial" w:cs="Arial"/>
          <w:sz w:val="24"/>
          <w:szCs w:val="24"/>
        </w:rPr>
        <w:t xml:space="preserve"> whether the </w:t>
      </w:r>
      <w:r w:rsidR="00B20DAF">
        <w:rPr>
          <w:rFonts w:ascii="Arial" w:hAnsi="Arial" w:cs="Arial"/>
          <w:sz w:val="24"/>
          <w:szCs w:val="24"/>
        </w:rPr>
        <w:t>Prescription A</w:t>
      </w:r>
      <w:r w:rsidR="003352C1">
        <w:rPr>
          <w:rFonts w:ascii="Arial" w:hAnsi="Arial" w:cs="Arial"/>
          <w:sz w:val="24"/>
          <w:szCs w:val="24"/>
        </w:rPr>
        <w:t>ct appl</w:t>
      </w:r>
      <w:r>
        <w:rPr>
          <w:rFonts w:ascii="Arial" w:hAnsi="Arial" w:cs="Arial"/>
          <w:sz w:val="24"/>
          <w:szCs w:val="24"/>
        </w:rPr>
        <w:t>ied</w:t>
      </w:r>
      <w:r w:rsidR="003352C1">
        <w:rPr>
          <w:rFonts w:ascii="Arial" w:hAnsi="Arial" w:cs="Arial"/>
          <w:sz w:val="24"/>
          <w:szCs w:val="24"/>
        </w:rPr>
        <w:t xml:space="preserve"> to labour matters. Mr Maasdorp referred to Kahurahe-Martin v Telecom Namibia</w:t>
      </w:r>
      <w:r w:rsidR="003352C1">
        <w:rPr>
          <w:rStyle w:val="FootnoteReference"/>
          <w:rFonts w:ascii="Arial" w:hAnsi="Arial" w:cs="Arial"/>
          <w:sz w:val="24"/>
          <w:szCs w:val="24"/>
        </w:rPr>
        <w:footnoteReference w:id="6"/>
      </w:r>
      <w:r w:rsidR="003352C1">
        <w:rPr>
          <w:rFonts w:ascii="Arial" w:hAnsi="Arial" w:cs="Arial"/>
          <w:sz w:val="24"/>
          <w:szCs w:val="24"/>
        </w:rPr>
        <w:t xml:space="preserve"> w</w:t>
      </w:r>
      <w:r w:rsidR="00E657AB">
        <w:rPr>
          <w:rFonts w:ascii="Arial" w:hAnsi="Arial" w:cs="Arial"/>
          <w:sz w:val="24"/>
          <w:szCs w:val="24"/>
        </w:rPr>
        <w:t>h</w:t>
      </w:r>
      <w:r w:rsidR="003352C1">
        <w:rPr>
          <w:rFonts w:ascii="Arial" w:hAnsi="Arial" w:cs="Arial"/>
          <w:sz w:val="24"/>
          <w:szCs w:val="24"/>
        </w:rPr>
        <w:t>e</w:t>
      </w:r>
      <w:r w:rsidR="00B20DAF">
        <w:rPr>
          <w:rFonts w:ascii="Arial" w:hAnsi="Arial" w:cs="Arial"/>
          <w:sz w:val="24"/>
          <w:szCs w:val="24"/>
        </w:rPr>
        <w:t>re Manyarara AJ found that the P</w:t>
      </w:r>
      <w:r w:rsidR="003352C1">
        <w:rPr>
          <w:rFonts w:ascii="Arial" w:hAnsi="Arial" w:cs="Arial"/>
          <w:sz w:val="24"/>
          <w:szCs w:val="24"/>
        </w:rPr>
        <w:t xml:space="preserve">rescription </w:t>
      </w:r>
      <w:r w:rsidR="00B20DAF">
        <w:rPr>
          <w:rFonts w:ascii="Arial" w:hAnsi="Arial" w:cs="Arial"/>
          <w:sz w:val="24"/>
          <w:szCs w:val="24"/>
        </w:rPr>
        <w:t>A</w:t>
      </w:r>
      <w:r w:rsidR="003352C1">
        <w:rPr>
          <w:rFonts w:ascii="Arial" w:hAnsi="Arial" w:cs="Arial"/>
          <w:sz w:val="24"/>
          <w:szCs w:val="24"/>
        </w:rPr>
        <w:t>ct appl</w:t>
      </w:r>
      <w:r w:rsidR="00B20DAF">
        <w:rPr>
          <w:rFonts w:ascii="Arial" w:hAnsi="Arial" w:cs="Arial"/>
          <w:sz w:val="24"/>
          <w:szCs w:val="24"/>
        </w:rPr>
        <w:t>ied</w:t>
      </w:r>
      <w:r w:rsidR="003352C1">
        <w:rPr>
          <w:rFonts w:ascii="Arial" w:hAnsi="Arial" w:cs="Arial"/>
          <w:sz w:val="24"/>
          <w:szCs w:val="24"/>
        </w:rPr>
        <w:t xml:space="preserve"> to labour matters. In another matter, Silungwe, P </w:t>
      </w:r>
      <w:r>
        <w:rPr>
          <w:rFonts w:ascii="Arial" w:hAnsi="Arial" w:cs="Arial"/>
          <w:sz w:val="24"/>
          <w:szCs w:val="24"/>
        </w:rPr>
        <w:t>on the other hand</w:t>
      </w:r>
      <w:r w:rsidR="00B36385">
        <w:rPr>
          <w:rFonts w:ascii="Arial" w:hAnsi="Arial" w:cs="Arial"/>
          <w:sz w:val="24"/>
          <w:szCs w:val="24"/>
        </w:rPr>
        <w:t>,</w:t>
      </w:r>
      <w:r>
        <w:rPr>
          <w:rFonts w:ascii="Arial" w:hAnsi="Arial" w:cs="Arial"/>
          <w:sz w:val="24"/>
          <w:szCs w:val="24"/>
        </w:rPr>
        <w:t xml:space="preserve"> although</w:t>
      </w:r>
      <w:r w:rsidR="003352C1">
        <w:rPr>
          <w:rFonts w:ascii="Arial" w:hAnsi="Arial" w:cs="Arial"/>
          <w:sz w:val="24"/>
          <w:szCs w:val="24"/>
        </w:rPr>
        <w:t xml:space="preserve"> </w:t>
      </w:r>
      <w:r w:rsidR="00E657AB">
        <w:rPr>
          <w:rFonts w:ascii="Arial" w:hAnsi="Arial" w:cs="Arial"/>
          <w:sz w:val="24"/>
          <w:szCs w:val="24"/>
        </w:rPr>
        <w:t>it is not clear that</w:t>
      </w:r>
      <w:r w:rsidR="003352C1">
        <w:rPr>
          <w:rFonts w:ascii="Arial" w:hAnsi="Arial" w:cs="Arial"/>
          <w:sz w:val="24"/>
          <w:szCs w:val="24"/>
        </w:rPr>
        <w:t xml:space="preserve"> the issue</w:t>
      </w:r>
      <w:r w:rsidR="00E657AB">
        <w:rPr>
          <w:rFonts w:ascii="Arial" w:hAnsi="Arial" w:cs="Arial"/>
          <w:sz w:val="24"/>
          <w:szCs w:val="24"/>
        </w:rPr>
        <w:t xml:space="preserve"> was fully argued</w:t>
      </w:r>
      <w:r>
        <w:rPr>
          <w:rFonts w:ascii="Arial" w:hAnsi="Arial" w:cs="Arial"/>
          <w:sz w:val="24"/>
          <w:szCs w:val="24"/>
        </w:rPr>
        <w:t>,</w:t>
      </w:r>
      <w:r w:rsidR="003352C1">
        <w:rPr>
          <w:rFonts w:ascii="Arial" w:hAnsi="Arial" w:cs="Arial"/>
          <w:sz w:val="24"/>
          <w:szCs w:val="24"/>
        </w:rPr>
        <w:t xml:space="preserve"> </w:t>
      </w:r>
      <w:r w:rsidR="00B20DAF">
        <w:rPr>
          <w:rFonts w:ascii="Arial" w:hAnsi="Arial" w:cs="Arial"/>
          <w:sz w:val="24"/>
          <w:szCs w:val="24"/>
        </w:rPr>
        <w:t>indirectly appeared to find that the Prescribed Act did not apply</w:t>
      </w:r>
      <w:r w:rsidR="00B36385">
        <w:rPr>
          <w:rFonts w:ascii="Arial" w:hAnsi="Arial" w:cs="Arial"/>
          <w:sz w:val="24"/>
          <w:szCs w:val="24"/>
        </w:rPr>
        <w:t>,</w:t>
      </w:r>
      <w:r w:rsidR="00B20DAF">
        <w:rPr>
          <w:rFonts w:ascii="Arial" w:hAnsi="Arial" w:cs="Arial"/>
          <w:sz w:val="24"/>
          <w:szCs w:val="24"/>
        </w:rPr>
        <w:t xml:space="preserve"> in holding</w:t>
      </w:r>
      <w:r w:rsidR="003352C1">
        <w:rPr>
          <w:rFonts w:ascii="Arial" w:hAnsi="Arial" w:cs="Arial"/>
          <w:sz w:val="24"/>
          <w:szCs w:val="24"/>
        </w:rPr>
        <w:t xml:space="preserve"> that the question is not whether the appellant’s action ha</w:t>
      </w:r>
      <w:r w:rsidR="00E657AB">
        <w:rPr>
          <w:rFonts w:ascii="Arial" w:hAnsi="Arial" w:cs="Arial"/>
          <w:sz w:val="24"/>
          <w:szCs w:val="24"/>
        </w:rPr>
        <w:t>d</w:t>
      </w:r>
      <w:r w:rsidR="003352C1">
        <w:rPr>
          <w:rFonts w:ascii="Arial" w:hAnsi="Arial" w:cs="Arial"/>
          <w:sz w:val="24"/>
          <w:szCs w:val="24"/>
        </w:rPr>
        <w:t xml:space="preserve"> prescribed but </w:t>
      </w:r>
      <w:r w:rsidR="00AE6EB1">
        <w:rPr>
          <w:rFonts w:ascii="Arial" w:hAnsi="Arial" w:cs="Arial"/>
          <w:sz w:val="24"/>
          <w:szCs w:val="24"/>
        </w:rPr>
        <w:t xml:space="preserve">rather </w:t>
      </w:r>
      <w:r w:rsidR="003352C1">
        <w:rPr>
          <w:rFonts w:ascii="Arial" w:hAnsi="Arial" w:cs="Arial"/>
          <w:sz w:val="24"/>
          <w:szCs w:val="24"/>
        </w:rPr>
        <w:t xml:space="preserve">whether </w:t>
      </w:r>
      <w:r w:rsidR="00B36385">
        <w:rPr>
          <w:rFonts w:ascii="Arial" w:hAnsi="Arial" w:cs="Arial"/>
          <w:sz w:val="24"/>
          <w:szCs w:val="24"/>
        </w:rPr>
        <w:t>the</w:t>
      </w:r>
      <w:r w:rsidR="00B20DAF">
        <w:rPr>
          <w:rFonts w:ascii="Arial" w:hAnsi="Arial" w:cs="Arial"/>
          <w:sz w:val="24"/>
          <w:szCs w:val="24"/>
        </w:rPr>
        <w:t xml:space="preserve"> chairperson exercised </w:t>
      </w:r>
      <w:r w:rsidR="003352C1">
        <w:rPr>
          <w:rFonts w:ascii="Arial" w:hAnsi="Arial" w:cs="Arial"/>
          <w:sz w:val="24"/>
          <w:szCs w:val="24"/>
        </w:rPr>
        <w:t>he</w:t>
      </w:r>
      <w:r w:rsidR="00B20DAF">
        <w:rPr>
          <w:rFonts w:ascii="Arial" w:hAnsi="Arial" w:cs="Arial"/>
          <w:sz w:val="24"/>
          <w:szCs w:val="24"/>
        </w:rPr>
        <w:t>r</w:t>
      </w:r>
      <w:r w:rsidR="003352C1">
        <w:rPr>
          <w:rFonts w:ascii="Arial" w:hAnsi="Arial" w:cs="Arial"/>
          <w:sz w:val="24"/>
          <w:szCs w:val="24"/>
        </w:rPr>
        <w:t xml:space="preserve"> discretion properly when she granted condonation of the appellant’s late filing of the complaint</w:t>
      </w:r>
      <w:r w:rsidR="0060717C">
        <w:rPr>
          <w:rStyle w:val="FootnoteReference"/>
          <w:rFonts w:ascii="Arial" w:hAnsi="Arial" w:cs="Arial"/>
          <w:sz w:val="24"/>
          <w:szCs w:val="24"/>
        </w:rPr>
        <w:footnoteReference w:id="7"/>
      </w:r>
      <w:r w:rsidR="003352C1">
        <w:rPr>
          <w:rFonts w:ascii="Arial" w:hAnsi="Arial" w:cs="Arial"/>
          <w:sz w:val="24"/>
          <w:szCs w:val="24"/>
        </w:rPr>
        <w:t xml:space="preserve">. </w:t>
      </w:r>
      <w:r w:rsidR="00C64FCC">
        <w:rPr>
          <w:rFonts w:ascii="Arial" w:hAnsi="Arial" w:cs="Arial"/>
          <w:sz w:val="24"/>
          <w:szCs w:val="24"/>
        </w:rPr>
        <w:t xml:space="preserve">Mr Maasdorp pointed out that it was not clear </w:t>
      </w:r>
      <w:r w:rsidR="0060717C">
        <w:rPr>
          <w:rFonts w:ascii="Arial" w:hAnsi="Arial" w:cs="Arial"/>
          <w:sz w:val="24"/>
          <w:szCs w:val="24"/>
        </w:rPr>
        <w:t xml:space="preserve">from that decision </w:t>
      </w:r>
      <w:r w:rsidR="00C64FCC">
        <w:rPr>
          <w:rFonts w:ascii="Arial" w:hAnsi="Arial" w:cs="Arial"/>
          <w:sz w:val="24"/>
          <w:szCs w:val="24"/>
        </w:rPr>
        <w:t xml:space="preserve">whether a special plea raising prescription had been taken </w:t>
      </w:r>
      <w:r w:rsidR="00E657AB">
        <w:rPr>
          <w:rFonts w:ascii="Arial" w:hAnsi="Arial" w:cs="Arial"/>
          <w:sz w:val="24"/>
          <w:szCs w:val="24"/>
        </w:rPr>
        <w:t xml:space="preserve">in </w:t>
      </w:r>
      <w:r w:rsidR="00C64FCC">
        <w:rPr>
          <w:rFonts w:ascii="Arial" w:hAnsi="Arial" w:cs="Arial"/>
          <w:sz w:val="24"/>
          <w:szCs w:val="24"/>
        </w:rPr>
        <w:t>the district labour court and that it was not the dismissal of the special plea and prescription which serve</w:t>
      </w:r>
      <w:r w:rsidR="00E657AB">
        <w:rPr>
          <w:rFonts w:ascii="Arial" w:hAnsi="Arial" w:cs="Arial"/>
          <w:sz w:val="24"/>
          <w:szCs w:val="24"/>
        </w:rPr>
        <w:t>d</w:t>
      </w:r>
      <w:r w:rsidR="00C64FCC">
        <w:rPr>
          <w:rFonts w:ascii="Arial" w:hAnsi="Arial" w:cs="Arial"/>
          <w:sz w:val="24"/>
          <w:szCs w:val="24"/>
        </w:rPr>
        <w:t xml:space="preserve"> before court</w:t>
      </w:r>
      <w:r w:rsidR="00E657AB">
        <w:rPr>
          <w:rFonts w:ascii="Arial" w:hAnsi="Arial" w:cs="Arial"/>
          <w:sz w:val="24"/>
          <w:szCs w:val="24"/>
        </w:rPr>
        <w:t xml:space="preserve"> but rather whether condonation should have been granted</w:t>
      </w:r>
      <w:r w:rsidR="00C64FCC">
        <w:rPr>
          <w:rFonts w:ascii="Arial" w:hAnsi="Arial" w:cs="Arial"/>
          <w:sz w:val="24"/>
          <w:szCs w:val="24"/>
        </w:rPr>
        <w:t>. However he submitted that in so far as</w:t>
      </w:r>
      <w:r w:rsidR="0060717C">
        <w:rPr>
          <w:rFonts w:ascii="Arial" w:hAnsi="Arial" w:cs="Arial"/>
          <w:sz w:val="24"/>
          <w:szCs w:val="24"/>
        </w:rPr>
        <w:t xml:space="preserve"> the approach of Silungwe, P</w:t>
      </w:r>
      <w:r w:rsidR="00C64FCC">
        <w:rPr>
          <w:rFonts w:ascii="Arial" w:hAnsi="Arial" w:cs="Arial"/>
          <w:sz w:val="24"/>
          <w:szCs w:val="24"/>
        </w:rPr>
        <w:t xml:space="preserve"> conflicted with the decision of Manyarara AJ, </w:t>
      </w:r>
      <w:r w:rsidR="0060717C">
        <w:rPr>
          <w:rFonts w:ascii="Arial" w:hAnsi="Arial" w:cs="Arial"/>
          <w:sz w:val="24"/>
          <w:szCs w:val="24"/>
        </w:rPr>
        <w:t xml:space="preserve">the </w:t>
      </w:r>
      <w:r w:rsidR="00C64FCC">
        <w:rPr>
          <w:rFonts w:ascii="Arial" w:hAnsi="Arial" w:cs="Arial"/>
          <w:sz w:val="24"/>
          <w:szCs w:val="24"/>
        </w:rPr>
        <w:t xml:space="preserve">approach </w:t>
      </w:r>
      <w:r w:rsidR="00AE6EB1">
        <w:rPr>
          <w:rFonts w:ascii="Arial" w:hAnsi="Arial" w:cs="Arial"/>
          <w:sz w:val="24"/>
          <w:szCs w:val="24"/>
        </w:rPr>
        <w:t xml:space="preserve">of the latter </w:t>
      </w:r>
      <w:r w:rsidR="00C64FCC">
        <w:rPr>
          <w:rFonts w:ascii="Arial" w:hAnsi="Arial" w:cs="Arial"/>
          <w:sz w:val="24"/>
          <w:szCs w:val="24"/>
        </w:rPr>
        <w:t>should be preferred.</w:t>
      </w:r>
      <w:r w:rsidR="0060717C">
        <w:rPr>
          <w:rFonts w:ascii="Arial" w:hAnsi="Arial" w:cs="Arial"/>
          <w:sz w:val="24"/>
          <w:szCs w:val="24"/>
        </w:rPr>
        <w:t xml:space="preserve"> I am inclined to agree</w:t>
      </w:r>
      <w:r w:rsidR="00AE6EB1">
        <w:rPr>
          <w:rFonts w:ascii="Arial" w:hAnsi="Arial" w:cs="Arial"/>
          <w:sz w:val="24"/>
          <w:szCs w:val="24"/>
        </w:rPr>
        <w:t xml:space="preserve"> with that submission.</w:t>
      </w:r>
    </w:p>
    <w:p w:rsidR="00C64FCC" w:rsidRDefault="00C64FCC" w:rsidP="009673E5">
      <w:pPr>
        <w:spacing w:after="0" w:line="360" w:lineRule="auto"/>
        <w:jc w:val="both"/>
        <w:rPr>
          <w:rFonts w:ascii="Arial" w:hAnsi="Arial" w:cs="Arial"/>
          <w:sz w:val="24"/>
          <w:szCs w:val="24"/>
        </w:rPr>
      </w:pPr>
    </w:p>
    <w:p w:rsidR="007E67D2" w:rsidRDefault="009328BA" w:rsidP="009673E5">
      <w:pPr>
        <w:spacing w:after="0" w:line="360" w:lineRule="auto"/>
        <w:jc w:val="both"/>
        <w:rPr>
          <w:rFonts w:ascii="Arial" w:hAnsi="Arial" w:cs="Arial"/>
          <w:sz w:val="24"/>
          <w:szCs w:val="24"/>
        </w:rPr>
      </w:pPr>
      <w:r>
        <w:rPr>
          <w:rFonts w:ascii="Arial" w:hAnsi="Arial" w:cs="Arial"/>
          <w:sz w:val="24"/>
          <w:szCs w:val="24"/>
        </w:rPr>
        <w:t>[28</w:t>
      </w:r>
      <w:r w:rsidR="00C64FCC">
        <w:rPr>
          <w:rFonts w:ascii="Arial" w:hAnsi="Arial" w:cs="Arial"/>
          <w:sz w:val="24"/>
          <w:szCs w:val="24"/>
        </w:rPr>
        <w:t>]</w:t>
      </w:r>
      <w:r w:rsidR="00C64FCC">
        <w:rPr>
          <w:rFonts w:ascii="Arial" w:hAnsi="Arial" w:cs="Arial"/>
          <w:sz w:val="24"/>
          <w:szCs w:val="24"/>
        </w:rPr>
        <w:tab/>
        <w:t xml:space="preserve">Mr Maasdorp </w:t>
      </w:r>
      <w:r w:rsidR="0060717C">
        <w:rPr>
          <w:rFonts w:ascii="Arial" w:hAnsi="Arial" w:cs="Arial"/>
          <w:sz w:val="24"/>
          <w:szCs w:val="24"/>
        </w:rPr>
        <w:t>also</w:t>
      </w:r>
      <w:r w:rsidR="00C64FCC">
        <w:rPr>
          <w:rFonts w:ascii="Arial" w:hAnsi="Arial" w:cs="Arial"/>
          <w:sz w:val="24"/>
          <w:szCs w:val="24"/>
        </w:rPr>
        <w:t xml:space="preserve"> referred to more recent decisions under the current </w:t>
      </w:r>
      <w:r w:rsidR="0060717C">
        <w:rPr>
          <w:rFonts w:ascii="Arial" w:hAnsi="Arial" w:cs="Arial"/>
          <w:sz w:val="24"/>
          <w:szCs w:val="24"/>
        </w:rPr>
        <w:t>A</w:t>
      </w:r>
      <w:r w:rsidR="00C64FCC">
        <w:rPr>
          <w:rFonts w:ascii="Arial" w:hAnsi="Arial" w:cs="Arial"/>
          <w:sz w:val="24"/>
          <w:szCs w:val="24"/>
        </w:rPr>
        <w:t>ct. In Nedbank v Louw</w:t>
      </w:r>
      <w:r w:rsidR="00C64FCC">
        <w:rPr>
          <w:rStyle w:val="FootnoteReference"/>
          <w:rFonts w:ascii="Arial" w:hAnsi="Arial" w:cs="Arial"/>
          <w:sz w:val="24"/>
          <w:szCs w:val="24"/>
        </w:rPr>
        <w:footnoteReference w:id="8"/>
      </w:r>
      <w:r w:rsidR="00C64FCC">
        <w:rPr>
          <w:rFonts w:ascii="Arial" w:hAnsi="Arial" w:cs="Arial"/>
          <w:sz w:val="24"/>
          <w:szCs w:val="24"/>
        </w:rPr>
        <w:t xml:space="preserve"> , Henning</w:t>
      </w:r>
      <w:r w:rsidR="000B1C4F">
        <w:rPr>
          <w:rFonts w:ascii="Arial" w:hAnsi="Arial" w:cs="Arial"/>
          <w:sz w:val="24"/>
          <w:szCs w:val="24"/>
        </w:rPr>
        <w:t>,</w:t>
      </w:r>
      <w:r w:rsidR="00C64FCC">
        <w:rPr>
          <w:rFonts w:ascii="Arial" w:hAnsi="Arial" w:cs="Arial"/>
          <w:sz w:val="24"/>
          <w:szCs w:val="24"/>
        </w:rPr>
        <w:t xml:space="preserve"> AJ </w:t>
      </w:r>
      <w:r w:rsidR="0060717C">
        <w:rPr>
          <w:rFonts w:ascii="Arial" w:hAnsi="Arial" w:cs="Arial"/>
          <w:sz w:val="24"/>
          <w:szCs w:val="24"/>
        </w:rPr>
        <w:t>expressed the obiter view</w:t>
      </w:r>
      <w:r w:rsidR="00C64FCC">
        <w:rPr>
          <w:rFonts w:ascii="Arial" w:hAnsi="Arial" w:cs="Arial"/>
          <w:sz w:val="24"/>
          <w:szCs w:val="24"/>
        </w:rPr>
        <w:t xml:space="preserve"> that the referral of </w:t>
      </w:r>
      <w:r>
        <w:rPr>
          <w:rFonts w:ascii="Arial" w:hAnsi="Arial" w:cs="Arial"/>
          <w:sz w:val="24"/>
          <w:szCs w:val="24"/>
        </w:rPr>
        <w:t>a</w:t>
      </w:r>
      <w:r w:rsidR="00C64FCC">
        <w:rPr>
          <w:rFonts w:ascii="Arial" w:hAnsi="Arial" w:cs="Arial"/>
          <w:sz w:val="24"/>
          <w:szCs w:val="24"/>
        </w:rPr>
        <w:t xml:space="preserve"> dispute outside the time period of s86(2)(a) rendered </w:t>
      </w:r>
      <w:r w:rsidR="0060717C">
        <w:rPr>
          <w:rFonts w:ascii="Arial" w:hAnsi="Arial" w:cs="Arial"/>
          <w:sz w:val="24"/>
          <w:szCs w:val="24"/>
        </w:rPr>
        <w:t>an</w:t>
      </w:r>
      <w:r w:rsidR="00C64FCC">
        <w:rPr>
          <w:rFonts w:ascii="Arial" w:hAnsi="Arial" w:cs="Arial"/>
          <w:sz w:val="24"/>
          <w:szCs w:val="24"/>
        </w:rPr>
        <w:t xml:space="preserve"> award based on that referral a nullity by reason of the arbitrator acting ultra vires his</w:t>
      </w:r>
      <w:r w:rsidR="0060717C">
        <w:rPr>
          <w:rFonts w:ascii="Arial" w:hAnsi="Arial" w:cs="Arial"/>
          <w:sz w:val="24"/>
          <w:szCs w:val="24"/>
        </w:rPr>
        <w:t xml:space="preserve"> or her</w:t>
      </w:r>
      <w:r w:rsidR="00C64FCC">
        <w:rPr>
          <w:rFonts w:ascii="Arial" w:hAnsi="Arial" w:cs="Arial"/>
          <w:sz w:val="24"/>
          <w:szCs w:val="24"/>
        </w:rPr>
        <w:t xml:space="preserve"> authority in considering the </w:t>
      </w:r>
      <w:r w:rsidR="00C64FCC">
        <w:rPr>
          <w:rFonts w:ascii="Arial" w:hAnsi="Arial" w:cs="Arial"/>
          <w:sz w:val="24"/>
          <w:szCs w:val="24"/>
        </w:rPr>
        <w:lastRenderedPageBreak/>
        <w:t>dispute. I respectfully agree with that approach as I indicate below. In Standard Bank v Mouton</w:t>
      </w:r>
      <w:r w:rsidR="00C64FCC">
        <w:rPr>
          <w:rStyle w:val="FootnoteReference"/>
          <w:rFonts w:ascii="Arial" w:hAnsi="Arial" w:cs="Arial"/>
          <w:sz w:val="24"/>
          <w:szCs w:val="24"/>
        </w:rPr>
        <w:footnoteReference w:id="9"/>
      </w:r>
      <w:r w:rsidR="00C64FCC">
        <w:rPr>
          <w:rFonts w:ascii="Arial" w:hAnsi="Arial" w:cs="Arial"/>
          <w:sz w:val="24"/>
          <w:szCs w:val="24"/>
        </w:rPr>
        <w:t xml:space="preserve">, Hoff J found that the referral </w:t>
      </w:r>
      <w:r>
        <w:rPr>
          <w:rFonts w:ascii="Arial" w:hAnsi="Arial" w:cs="Arial"/>
          <w:sz w:val="24"/>
          <w:szCs w:val="24"/>
        </w:rPr>
        <w:t>in question</w:t>
      </w:r>
      <w:r w:rsidR="00C64FCC">
        <w:rPr>
          <w:rFonts w:ascii="Arial" w:hAnsi="Arial" w:cs="Arial"/>
          <w:sz w:val="24"/>
          <w:szCs w:val="24"/>
        </w:rPr>
        <w:t xml:space="preserve"> was out of time</w:t>
      </w:r>
      <w:r>
        <w:rPr>
          <w:rFonts w:ascii="Arial" w:hAnsi="Arial" w:cs="Arial"/>
          <w:sz w:val="24"/>
          <w:szCs w:val="24"/>
        </w:rPr>
        <w:t xml:space="preserve"> </w:t>
      </w:r>
      <w:r w:rsidR="00E657AB">
        <w:rPr>
          <w:rFonts w:ascii="Arial" w:hAnsi="Arial" w:cs="Arial"/>
          <w:sz w:val="24"/>
          <w:szCs w:val="24"/>
        </w:rPr>
        <w:t xml:space="preserve">and beyond the </w:t>
      </w:r>
      <w:r>
        <w:rPr>
          <w:rFonts w:ascii="Arial" w:hAnsi="Arial" w:cs="Arial"/>
          <w:sz w:val="24"/>
          <w:szCs w:val="24"/>
        </w:rPr>
        <w:t>period in s86(2)</w:t>
      </w:r>
      <w:r w:rsidR="00C64FCC">
        <w:rPr>
          <w:rFonts w:ascii="Arial" w:hAnsi="Arial" w:cs="Arial"/>
          <w:sz w:val="24"/>
          <w:szCs w:val="24"/>
        </w:rPr>
        <w:t xml:space="preserve"> and </w:t>
      </w:r>
      <w:r w:rsidR="0060717C">
        <w:rPr>
          <w:rFonts w:ascii="Arial" w:hAnsi="Arial" w:cs="Arial"/>
          <w:sz w:val="24"/>
          <w:szCs w:val="24"/>
        </w:rPr>
        <w:t>had</w:t>
      </w:r>
      <w:r w:rsidR="00C64FCC">
        <w:rPr>
          <w:rFonts w:ascii="Arial" w:hAnsi="Arial" w:cs="Arial"/>
          <w:sz w:val="24"/>
          <w:szCs w:val="24"/>
        </w:rPr>
        <w:t xml:space="preserve"> in fact prescribe</w:t>
      </w:r>
      <w:r w:rsidR="0060717C">
        <w:rPr>
          <w:rFonts w:ascii="Arial" w:hAnsi="Arial" w:cs="Arial"/>
          <w:sz w:val="24"/>
          <w:szCs w:val="24"/>
        </w:rPr>
        <w:t>d</w:t>
      </w:r>
      <w:r w:rsidR="00C64FCC">
        <w:rPr>
          <w:rFonts w:ascii="Arial" w:hAnsi="Arial" w:cs="Arial"/>
          <w:sz w:val="24"/>
          <w:szCs w:val="24"/>
        </w:rPr>
        <w:t xml:space="preserve"> in terms of s86</w:t>
      </w:r>
      <w:r w:rsidR="007E67D2">
        <w:rPr>
          <w:rFonts w:ascii="Arial" w:hAnsi="Arial" w:cs="Arial"/>
          <w:sz w:val="24"/>
          <w:szCs w:val="24"/>
        </w:rPr>
        <w:t xml:space="preserve">(2). </w:t>
      </w:r>
      <w:r>
        <w:rPr>
          <w:rFonts w:ascii="Arial" w:hAnsi="Arial" w:cs="Arial"/>
          <w:sz w:val="24"/>
          <w:szCs w:val="24"/>
        </w:rPr>
        <w:t>Both of these decisions make it plain that</w:t>
      </w:r>
      <w:r w:rsidR="007E67D2">
        <w:rPr>
          <w:rFonts w:ascii="Arial" w:hAnsi="Arial" w:cs="Arial"/>
          <w:sz w:val="24"/>
          <w:szCs w:val="24"/>
        </w:rPr>
        <w:t xml:space="preserve"> the provisions of s86(2)(a) are peremptory. </w:t>
      </w:r>
      <w:r w:rsidR="00E657AB">
        <w:rPr>
          <w:rFonts w:ascii="Arial" w:hAnsi="Arial" w:cs="Arial"/>
          <w:sz w:val="24"/>
          <w:szCs w:val="24"/>
        </w:rPr>
        <w:t xml:space="preserve">I agree with that conclusion. </w:t>
      </w:r>
      <w:r w:rsidR="007E67D2">
        <w:rPr>
          <w:rFonts w:ascii="Arial" w:hAnsi="Arial" w:cs="Arial"/>
          <w:sz w:val="24"/>
          <w:szCs w:val="24"/>
        </w:rPr>
        <w:t>This subsection does not provide for any power of amelioration by means of a power to condone the late filing of any referral. It provides:</w:t>
      </w:r>
    </w:p>
    <w:p w:rsidR="00916CED" w:rsidRPr="009C1F9B" w:rsidRDefault="00916CED" w:rsidP="00916CED">
      <w:pPr>
        <w:spacing w:after="0" w:line="240" w:lineRule="auto"/>
        <w:ind w:firstLine="720"/>
      </w:pPr>
      <w:r>
        <w:t>“</w:t>
      </w:r>
      <w:r w:rsidRPr="009C1F9B">
        <w:t>(2)</w:t>
      </w:r>
      <w:r>
        <w:tab/>
      </w:r>
      <w:r w:rsidRPr="009C1F9B">
        <w:t>A party may refer a dispute in terms of subsection (1) only-</w:t>
      </w:r>
    </w:p>
    <w:p w:rsidR="00916CED" w:rsidRDefault="00916CED" w:rsidP="00916CED">
      <w:pPr>
        <w:spacing w:after="0" w:line="240" w:lineRule="auto"/>
        <w:ind w:left="720"/>
      </w:pPr>
    </w:p>
    <w:p w:rsidR="00916CED" w:rsidRPr="009C1F9B" w:rsidRDefault="00916CED" w:rsidP="00916CED">
      <w:pPr>
        <w:spacing w:after="0" w:line="240" w:lineRule="auto"/>
      </w:pPr>
      <w:r w:rsidRPr="009C1F9B">
        <w:t>(a)</w:t>
      </w:r>
      <w:r w:rsidRPr="009C1F9B">
        <w:tab/>
        <w:t>within six months after the date of dismissal, if the dispute concerns a dismissal; or”</w:t>
      </w:r>
    </w:p>
    <w:p w:rsidR="007E67D2" w:rsidRDefault="007E67D2" w:rsidP="009673E5">
      <w:pPr>
        <w:spacing w:after="0" w:line="360" w:lineRule="auto"/>
        <w:jc w:val="both"/>
        <w:rPr>
          <w:rFonts w:ascii="Arial" w:hAnsi="Arial" w:cs="Arial"/>
          <w:sz w:val="24"/>
          <w:szCs w:val="24"/>
        </w:rPr>
      </w:pPr>
    </w:p>
    <w:p w:rsidR="00D970C4" w:rsidRDefault="009328BA" w:rsidP="009673E5">
      <w:pPr>
        <w:spacing w:after="0" w:line="360" w:lineRule="auto"/>
        <w:jc w:val="both"/>
        <w:rPr>
          <w:rFonts w:ascii="Arial" w:hAnsi="Arial" w:cs="Arial"/>
          <w:sz w:val="24"/>
          <w:szCs w:val="24"/>
        </w:rPr>
      </w:pPr>
      <w:r>
        <w:rPr>
          <w:rFonts w:ascii="Arial" w:hAnsi="Arial" w:cs="Arial"/>
          <w:sz w:val="24"/>
          <w:szCs w:val="24"/>
        </w:rPr>
        <w:t>[29</w:t>
      </w:r>
      <w:r w:rsidR="007E67D2">
        <w:rPr>
          <w:rFonts w:ascii="Arial" w:hAnsi="Arial" w:cs="Arial"/>
          <w:sz w:val="24"/>
          <w:szCs w:val="24"/>
        </w:rPr>
        <w:t xml:space="preserve">] </w:t>
      </w:r>
      <w:r w:rsidR="007E67D2">
        <w:rPr>
          <w:rFonts w:ascii="Arial" w:hAnsi="Arial" w:cs="Arial"/>
          <w:sz w:val="24"/>
          <w:szCs w:val="24"/>
        </w:rPr>
        <w:tab/>
        <w:t>Rule 10 of the rules relating to the conduct of conciliation and arbitration which purport</w:t>
      </w:r>
      <w:r w:rsidR="0060717C">
        <w:rPr>
          <w:rFonts w:ascii="Arial" w:hAnsi="Arial" w:cs="Arial"/>
          <w:sz w:val="24"/>
          <w:szCs w:val="24"/>
        </w:rPr>
        <w:t>s</w:t>
      </w:r>
      <w:r w:rsidR="007E67D2">
        <w:rPr>
          <w:rFonts w:ascii="Arial" w:hAnsi="Arial" w:cs="Arial"/>
          <w:sz w:val="24"/>
          <w:szCs w:val="24"/>
        </w:rPr>
        <w:t xml:space="preserve"> to grant </w:t>
      </w:r>
      <w:r>
        <w:rPr>
          <w:rFonts w:ascii="Arial" w:hAnsi="Arial" w:cs="Arial"/>
          <w:sz w:val="24"/>
          <w:szCs w:val="24"/>
        </w:rPr>
        <w:t>the</w:t>
      </w:r>
      <w:r w:rsidR="007E67D2">
        <w:rPr>
          <w:rFonts w:ascii="Arial" w:hAnsi="Arial" w:cs="Arial"/>
          <w:sz w:val="24"/>
          <w:szCs w:val="24"/>
        </w:rPr>
        <w:t xml:space="preserve"> power to arbitrators or conciliators to condone the delivery of a referral of a dispute outside the time period</w:t>
      </w:r>
      <w:r w:rsidR="00E657AB">
        <w:rPr>
          <w:rFonts w:ascii="Arial" w:hAnsi="Arial" w:cs="Arial"/>
          <w:sz w:val="24"/>
          <w:szCs w:val="24"/>
        </w:rPr>
        <w:t>s</w:t>
      </w:r>
      <w:r w:rsidR="007E67D2">
        <w:rPr>
          <w:rFonts w:ascii="Arial" w:hAnsi="Arial" w:cs="Arial"/>
          <w:sz w:val="24"/>
          <w:szCs w:val="24"/>
        </w:rPr>
        <w:t xml:space="preserve"> contained in s86(2)(a) would</w:t>
      </w:r>
      <w:r w:rsidR="0060717C">
        <w:rPr>
          <w:rFonts w:ascii="Arial" w:hAnsi="Arial" w:cs="Arial"/>
          <w:sz w:val="24"/>
          <w:szCs w:val="24"/>
        </w:rPr>
        <w:t>,</w:t>
      </w:r>
      <w:r w:rsidR="007E67D2">
        <w:rPr>
          <w:rFonts w:ascii="Arial" w:hAnsi="Arial" w:cs="Arial"/>
          <w:sz w:val="24"/>
          <w:szCs w:val="24"/>
        </w:rPr>
        <w:t xml:space="preserve"> to the </w:t>
      </w:r>
      <w:r w:rsidR="0060717C">
        <w:rPr>
          <w:rFonts w:ascii="Arial" w:hAnsi="Arial" w:cs="Arial"/>
          <w:sz w:val="24"/>
          <w:szCs w:val="24"/>
        </w:rPr>
        <w:t>extent</w:t>
      </w:r>
      <w:r w:rsidR="007E67D2">
        <w:rPr>
          <w:rFonts w:ascii="Arial" w:hAnsi="Arial" w:cs="Arial"/>
          <w:sz w:val="24"/>
          <w:szCs w:val="24"/>
        </w:rPr>
        <w:t xml:space="preserve"> that it seeks to do so</w:t>
      </w:r>
      <w:r w:rsidR="0060717C">
        <w:rPr>
          <w:rFonts w:ascii="Arial" w:hAnsi="Arial" w:cs="Arial"/>
          <w:sz w:val="24"/>
          <w:szCs w:val="24"/>
        </w:rPr>
        <w:t>, appear to</w:t>
      </w:r>
      <w:r w:rsidR="007E67D2">
        <w:rPr>
          <w:rFonts w:ascii="Arial" w:hAnsi="Arial" w:cs="Arial"/>
          <w:sz w:val="24"/>
          <w:szCs w:val="24"/>
        </w:rPr>
        <w:t xml:space="preserve"> </w:t>
      </w:r>
      <w:r w:rsidR="00E657AB">
        <w:rPr>
          <w:rFonts w:ascii="Arial" w:hAnsi="Arial" w:cs="Arial"/>
          <w:sz w:val="24"/>
          <w:szCs w:val="24"/>
        </w:rPr>
        <w:t xml:space="preserve">me to </w:t>
      </w:r>
      <w:r w:rsidR="007E67D2">
        <w:rPr>
          <w:rFonts w:ascii="Arial" w:hAnsi="Arial" w:cs="Arial"/>
          <w:sz w:val="24"/>
          <w:szCs w:val="24"/>
        </w:rPr>
        <w:t xml:space="preserve">be ultra vires the power of the rule maker. This point was raised on behalf of the appellant but not persisted with because the </w:t>
      </w:r>
      <w:r w:rsidR="0060717C">
        <w:rPr>
          <w:rFonts w:ascii="Arial" w:hAnsi="Arial" w:cs="Arial"/>
          <w:sz w:val="24"/>
          <w:szCs w:val="24"/>
        </w:rPr>
        <w:t>M</w:t>
      </w:r>
      <w:r w:rsidR="007E67D2">
        <w:rPr>
          <w:rFonts w:ascii="Arial" w:hAnsi="Arial" w:cs="Arial"/>
          <w:sz w:val="24"/>
          <w:szCs w:val="24"/>
        </w:rPr>
        <w:t>inister</w:t>
      </w:r>
      <w:r>
        <w:rPr>
          <w:rFonts w:ascii="Arial" w:hAnsi="Arial" w:cs="Arial"/>
          <w:sz w:val="24"/>
          <w:szCs w:val="24"/>
        </w:rPr>
        <w:t>, as rule</w:t>
      </w:r>
      <w:r w:rsidR="007E67D2">
        <w:rPr>
          <w:rFonts w:ascii="Arial" w:hAnsi="Arial" w:cs="Arial"/>
          <w:sz w:val="24"/>
          <w:szCs w:val="24"/>
        </w:rPr>
        <w:t>make</w:t>
      </w:r>
      <w:r w:rsidR="0060717C">
        <w:rPr>
          <w:rFonts w:ascii="Arial" w:hAnsi="Arial" w:cs="Arial"/>
          <w:sz w:val="24"/>
          <w:szCs w:val="24"/>
        </w:rPr>
        <w:t>r</w:t>
      </w:r>
      <w:r>
        <w:rPr>
          <w:rFonts w:ascii="Arial" w:hAnsi="Arial" w:cs="Arial"/>
          <w:sz w:val="24"/>
          <w:szCs w:val="24"/>
        </w:rPr>
        <w:t>,</w:t>
      </w:r>
      <w:r w:rsidR="007E67D2">
        <w:rPr>
          <w:rFonts w:ascii="Arial" w:hAnsi="Arial" w:cs="Arial"/>
          <w:sz w:val="24"/>
          <w:szCs w:val="24"/>
        </w:rPr>
        <w:t xml:space="preserve"> had not been joined to these proceedings. It would also not appear to be necessary to </w:t>
      </w:r>
      <w:r>
        <w:rPr>
          <w:rFonts w:ascii="Arial" w:hAnsi="Arial" w:cs="Arial"/>
          <w:sz w:val="24"/>
          <w:szCs w:val="24"/>
        </w:rPr>
        <w:t>determine</w:t>
      </w:r>
      <w:r w:rsidR="007E67D2">
        <w:rPr>
          <w:rFonts w:ascii="Arial" w:hAnsi="Arial" w:cs="Arial"/>
          <w:sz w:val="24"/>
          <w:szCs w:val="24"/>
        </w:rPr>
        <w:t xml:space="preserve"> this issue by virtue of the transitional provisions contained in the </w:t>
      </w:r>
      <w:r w:rsidR="0060717C">
        <w:rPr>
          <w:rFonts w:ascii="Arial" w:hAnsi="Arial" w:cs="Arial"/>
          <w:sz w:val="24"/>
          <w:szCs w:val="24"/>
        </w:rPr>
        <w:t>A</w:t>
      </w:r>
      <w:r w:rsidR="007E67D2">
        <w:rPr>
          <w:rFonts w:ascii="Arial" w:hAnsi="Arial" w:cs="Arial"/>
          <w:sz w:val="24"/>
          <w:szCs w:val="24"/>
        </w:rPr>
        <w:t>ct</w:t>
      </w:r>
      <w:r w:rsidR="0060717C">
        <w:rPr>
          <w:rFonts w:ascii="Arial" w:hAnsi="Arial" w:cs="Arial"/>
          <w:sz w:val="24"/>
          <w:szCs w:val="24"/>
        </w:rPr>
        <w:t xml:space="preserve"> </w:t>
      </w:r>
      <w:r>
        <w:rPr>
          <w:rFonts w:ascii="Arial" w:hAnsi="Arial" w:cs="Arial"/>
          <w:sz w:val="24"/>
          <w:szCs w:val="24"/>
        </w:rPr>
        <w:t>which apply to this matter.</w:t>
      </w:r>
      <w:r w:rsidR="007E67D2">
        <w:rPr>
          <w:rFonts w:ascii="Arial" w:hAnsi="Arial" w:cs="Arial"/>
          <w:sz w:val="24"/>
          <w:szCs w:val="24"/>
        </w:rPr>
        <w:t xml:space="preserve"> The view I express </w:t>
      </w:r>
      <w:r w:rsidR="0060717C">
        <w:rPr>
          <w:rFonts w:ascii="Arial" w:hAnsi="Arial" w:cs="Arial"/>
          <w:sz w:val="24"/>
          <w:szCs w:val="24"/>
        </w:rPr>
        <w:t xml:space="preserve">in this regard </w:t>
      </w:r>
      <w:r w:rsidR="007E67D2">
        <w:rPr>
          <w:rFonts w:ascii="Arial" w:hAnsi="Arial" w:cs="Arial"/>
          <w:sz w:val="24"/>
          <w:szCs w:val="24"/>
        </w:rPr>
        <w:t>is accordingly</w:t>
      </w:r>
      <w:r w:rsidR="00FD5ED1">
        <w:rPr>
          <w:rFonts w:ascii="Arial" w:hAnsi="Arial" w:cs="Arial"/>
          <w:sz w:val="24"/>
          <w:szCs w:val="24"/>
        </w:rPr>
        <w:t xml:space="preserve"> </w:t>
      </w:r>
      <w:r w:rsidR="007E67D2">
        <w:rPr>
          <w:rFonts w:ascii="Arial" w:hAnsi="Arial" w:cs="Arial"/>
          <w:sz w:val="24"/>
          <w:szCs w:val="24"/>
        </w:rPr>
        <w:t>obiter</w:t>
      </w:r>
      <w:r w:rsidR="00FD5ED1">
        <w:rPr>
          <w:rFonts w:ascii="Arial" w:hAnsi="Arial" w:cs="Arial"/>
          <w:sz w:val="24"/>
          <w:szCs w:val="24"/>
        </w:rPr>
        <w:t>.</w:t>
      </w:r>
    </w:p>
    <w:p w:rsidR="00FD5ED1" w:rsidRDefault="00FD5ED1" w:rsidP="009673E5">
      <w:pPr>
        <w:spacing w:after="0" w:line="360" w:lineRule="auto"/>
        <w:jc w:val="both"/>
        <w:rPr>
          <w:rFonts w:ascii="Arial" w:hAnsi="Arial" w:cs="Arial"/>
          <w:sz w:val="24"/>
          <w:szCs w:val="24"/>
        </w:rPr>
      </w:pPr>
    </w:p>
    <w:p w:rsidR="00E657AB" w:rsidRDefault="009328BA" w:rsidP="009673E5">
      <w:pPr>
        <w:spacing w:after="0" w:line="360" w:lineRule="auto"/>
        <w:jc w:val="both"/>
        <w:rPr>
          <w:rFonts w:ascii="Arial" w:hAnsi="Arial" w:cs="Arial"/>
          <w:sz w:val="24"/>
          <w:szCs w:val="24"/>
        </w:rPr>
      </w:pPr>
      <w:r>
        <w:rPr>
          <w:rFonts w:ascii="Arial" w:hAnsi="Arial" w:cs="Arial"/>
          <w:sz w:val="24"/>
          <w:szCs w:val="24"/>
        </w:rPr>
        <w:t>[30</w:t>
      </w:r>
      <w:r w:rsidR="00FD5ED1">
        <w:rPr>
          <w:rFonts w:ascii="Arial" w:hAnsi="Arial" w:cs="Arial"/>
          <w:sz w:val="24"/>
          <w:szCs w:val="24"/>
        </w:rPr>
        <w:t>]</w:t>
      </w:r>
      <w:r w:rsidR="00FD5ED1">
        <w:rPr>
          <w:rFonts w:ascii="Arial" w:hAnsi="Arial" w:cs="Arial"/>
          <w:sz w:val="24"/>
          <w:szCs w:val="24"/>
        </w:rPr>
        <w:tab/>
        <w:t xml:space="preserve">Mr Maasdorp very </w:t>
      </w:r>
      <w:r>
        <w:rPr>
          <w:rFonts w:ascii="Arial" w:hAnsi="Arial" w:cs="Arial"/>
          <w:sz w:val="24"/>
          <w:szCs w:val="24"/>
        </w:rPr>
        <w:t>properly</w:t>
      </w:r>
      <w:r w:rsidR="00FD5ED1">
        <w:rPr>
          <w:rFonts w:ascii="Arial" w:hAnsi="Arial" w:cs="Arial"/>
          <w:sz w:val="24"/>
          <w:szCs w:val="24"/>
        </w:rPr>
        <w:t xml:space="preserve"> referred me to the approach of the Supreme Court as well as </w:t>
      </w:r>
      <w:r w:rsidR="0060717C">
        <w:rPr>
          <w:rFonts w:ascii="Arial" w:hAnsi="Arial" w:cs="Arial"/>
          <w:sz w:val="24"/>
          <w:szCs w:val="24"/>
        </w:rPr>
        <w:t xml:space="preserve">that of </w:t>
      </w:r>
      <w:r w:rsidR="00FD5ED1">
        <w:rPr>
          <w:rFonts w:ascii="Arial" w:hAnsi="Arial" w:cs="Arial"/>
          <w:sz w:val="24"/>
          <w:szCs w:val="24"/>
        </w:rPr>
        <w:t>the High Court in the matter of Majiedt and 2 Others v Minister of Home Affairs and Another</w:t>
      </w:r>
      <w:r w:rsidR="00FD5ED1">
        <w:rPr>
          <w:rStyle w:val="FootnoteReference"/>
          <w:rFonts w:ascii="Arial" w:hAnsi="Arial" w:cs="Arial"/>
          <w:sz w:val="24"/>
          <w:szCs w:val="24"/>
        </w:rPr>
        <w:footnoteReference w:id="10"/>
      </w:r>
      <w:r w:rsidR="00FD5ED1">
        <w:rPr>
          <w:rFonts w:ascii="Arial" w:hAnsi="Arial" w:cs="Arial"/>
          <w:sz w:val="24"/>
          <w:szCs w:val="24"/>
        </w:rPr>
        <w:t xml:space="preserve">. Although the </w:t>
      </w:r>
      <w:r w:rsidR="00E657AB">
        <w:rPr>
          <w:rFonts w:ascii="Arial" w:hAnsi="Arial" w:cs="Arial"/>
          <w:sz w:val="24"/>
          <w:szCs w:val="24"/>
        </w:rPr>
        <w:t xml:space="preserve">two </w:t>
      </w:r>
      <w:r w:rsidR="00FD5ED1">
        <w:rPr>
          <w:rFonts w:ascii="Arial" w:hAnsi="Arial" w:cs="Arial"/>
          <w:sz w:val="24"/>
          <w:szCs w:val="24"/>
        </w:rPr>
        <w:t>courts reached different conclusion</w:t>
      </w:r>
      <w:r w:rsidR="0060717C">
        <w:rPr>
          <w:rFonts w:ascii="Arial" w:hAnsi="Arial" w:cs="Arial"/>
          <w:sz w:val="24"/>
          <w:szCs w:val="24"/>
        </w:rPr>
        <w:t>s</w:t>
      </w:r>
      <w:r w:rsidR="00FD5ED1">
        <w:rPr>
          <w:rFonts w:ascii="Arial" w:hAnsi="Arial" w:cs="Arial"/>
          <w:sz w:val="24"/>
          <w:szCs w:val="24"/>
        </w:rPr>
        <w:t xml:space="preserve"> </w:t>
      </w:r>
      <w:r w:rsidR="0060717C">
        <w:rPr>
          <w:rFonts w:ascii="Arial" w:hAnsi="Arial" w:cs="Arial"/>
          <w:sz w:val="24"/>
          <w:szCs w:val="24"/>
        </w:rPr>
        <w:t>o</w:t>
      </w:r>
      <w:r w:rsidR="00FD5ED1">
        <w:rPr>
          <w:rFonts w:ascii="Arial" w:hAnsi="Arial" w:cs="Arial"/>
          <w:sz w:val="24"/>
          <w:szCs w:val="24"/>
        </w:rPr>
        <w:t xml:space="preserve">n the ultimate question before </w:t>
      </w:r>
      <w:r w:rsidR="0060717C">
        <w:rPr>
          <w:rFonts w:ascii="Arial" w:hAnsi="Arial" w:cs="Arial"/>
          <w:sz w:val="24"/>
          <w:szCs w:val="24"/>
        </w:rPr>
        <w:t>them</w:t>
      </w:r>
      <w:r w:rsidR="00FD5ED1">
        <w:rPr>
          <w:rFonts w:ascii="Arial" w:hAnsi="Arial" w:cs="Arial"/>
          <w:sz w:val="24"/>
          <w:szCs w:val="24"/>
        </w:rPr>
        <w:t xml:space="preserve"> concerning the constitutionality of the time limitation for the institution of legal proceedings </w:t>
      </w:r>
      <w:r w:rsidR="006B130E">
        <w:rPr>
          <w:rFonts w:ascii="Arial" w:hAnsi="Arial" w:cs="Arial"/>
          <w:sz w:val="24"/>
          <w:szCs w:val="24"/>
        </w:rPr>
        <w:t>u</w:t>
      </w:r>
      <w:r>
        <w:rPr>
          <w:rFonts w:ascii="Arial" w:hAnsi="Arial" w:cs="Arial"/>
          <w:sz w:val="24"/>
          <w:szCs w:val="24"/>
        </w:rPr>
        <w:t>nder the Police Act, 19 of 1990,</w:t>
      </w:r>
      <w:r w:rsidR="006B130E">
        <w:rPr>
          <w:rFonts w:ascii="Arial" w:hAnsi="Arial" w:cs="Arial"/>
          <w:sz w:val="24"/>
          <w:szCs w:val="24"/>
        </w:rPr>
        <w:t xml:space="preserve"> </w:t>
      </w:r>
      <w:r>
        <w:rPr>
          <w:rFonts w:ascii="Arial" w:hAnsi="Arial" w:cs="Arial"/>
          <w:sz w:val="24"/>
          <w:szCs w:val="24"/>
        </w:rPr>
        <w:t>b</w:t>
      </w:r>
      <w:r w:rsidR="00FD5ED1">
        <w:rPr>
          <w:rFonts w:ascii="Arial" w:hAnsi="Arial" w:cs="Arial"/>
          <w:sz w:val="24"/>
          <w:szCs w:val="24"/>
        </w:rPr>
        <w:t>oth courts appear</w:t>
      </w:r>
      <w:r w:rsidR="006B130E">
        <w:rPr>
          <w:rFonts w:ascii="Arial" w:hAnsi="Arial" w:cs="Arial"/>
          <w:sz w:val="24"/>
          <w:szCs w:val="24"/>
        </w:rPr>
        <w:t>ed</w:t>
      </w:r>
      <w:r w:rsidR="00FD5ED1">
        <w:rPr>
          <w:rFonts w:ascii="Arial" w:hAnsi="Arial" w:cs="Arial"/>
          <w:sz w:val="24"/>
          <w:szCs w:val="24"/>
        </w:rPr>
        <w:t xml:space="preserve"> to </w:t>
      </w:r>
      <w:r w:rsidR="006B130E">
        <w:rPr>
          <w:rFonts w:ascii="Arial" w:hAnsi="Arial" w:cs="Arial"/>
          <w:sz w:val="24"/>
          <w:szCs w:val="24"/>
        </w:rPr>
        <w:t xml:space="preserve">accept that </w:t>
      </w:r>
      <w:r w:rsidR="00FD5ED1">
        <w:rPr>
          <w:rFonts w:ascii="Arial" w:hAnsi="Arial" w:cs="Arial"/>
          <w:sz w:val="24"/>
          <w:szCs w:val="24"/>
        </w:rPr>
        <w:t>the limitation provision in question</w:t>
      </w:r>
      <w:r>
        <w:rPr>
          <w:rFonts w:ascii="Arial" w:hAnsi="Arial" w:cs="Arial"/>
          <w:sz w:val="24"/>
          <w:szCs w:val="24"/>
        </w:rPr>
        <w:t xml:space="preserve"> excluded the operation of the Prescription Act</w:t>
      </w:r>
      <w:r w:rsidR="00FD5ED1">
        <w:rPr>
          <w:rFonts w:ascii="Arial" w:hAnsi="Arial" w:cs="Arial"/>
          <w:sz w:val="24"/>
          <w:szCs w:val="24"/>
        </w:rPr>
        <w:t>. Mr Maasdorp correctly</w:t>
      </w:r>
      <w:r w:rsidR="006B130E">
        <w:rPr>
          <w:rFonts w:ascii="Arial" w:hAnsi="Arial" w:cs="Arial"/>
          <w:sz w:val="24"/>
          <w:szCs w:val="24"/>
        </w:rPr>
        <w:t xml:space="preserve"> pointed out that neither court</w:t>
      </w:r>
      <w:r w:rsidR="00FD5ED1">
        <w:rPr>
          <w:rFonts w:ascii="Arial" w:hAnsi="Arial" w:cs="Arial"/>
          <w:sz w:val="24"/>
          <w:szCs w:val="24"/>
        </w:rPr>
        <w:t xml:space="preserve"> dealt </w:t>
      </w:r>
      <w:r w:rsidR="006B130E">
        <w:rPr>
          <w:rFonts w:ascii="Arial" w:hAnsi="Arial" w:cs="Arial"/>
          <w:sz w:val="24"/>
          <w:szCs w:val="24"/>
        </w:rPr>
        <w:t xml:space="preserve">with the time limitation embodied in s24 under the </w:t>
      </w:r>
      <w:r w:rsidR="00FD5ED1">
        <w:rPr>
          <w:rFonts w:ascii="Arial" w:hAnsi="Arial" w:cs="Arial"/>
          <w:sz w:val="24"/>
          <w:szCs w:val="24"/>
        </w:rPr>
        <w:t>Labour Act</w:t>
      </w:r>
      <w:r>
        <w:rPr>
          <w:rFonts w:ascii="Arial" w:hAnsi="Arial" w:cs="Arial"/>
          <w:sz w:val="24"/>
          <w:szCs w:val="24"/>
        </w:rPr>
        <w:t xml:space="preserve"> of 1992</w:t>
      </w:r>
      <w:r w:rsidR="00FD5ED1">
        <w:rPr>
          <w:rFonts w:ascii="Arial" w:hAnsi="Arial" w:cs="Arial"/>
          <w:sz w:val="24"/>
          <w:szCs w:val="24"/>
        </w:rPr>
        <w:t xml:space="preserve">. The approach of </w:t>
      </w:r>
      <w:r w:rsidR="006B130E">
        <w:rPr>
          <w:rFonts w:ascii="Arial" w:hAnsi="Arial" w:cs="Arial"/>
          <w:sz w:val="24"/>
          <w:szCs w:val="24"/>
        </w:rPr>
        <w:t>both</w:t>
      </w:r>
      <w:r w:rsidR="00FD5ED1">
        <w:rPr>
          <w:rFonts w:ascii="Arial" w:hAnsi="Arial" w:cs="Arial"/>
          <w:sz w:val="24"/>
          <w:szCs w:val="24"/>
        </w:rPr>
        <w:t xml:space="preserve"> courts in </w:t>
      </w:r>
      <w:r w:rsidR="006B130E">
        <w:rPr>
          <w:rFonts w:ascii="Arial" w:hAnsi="Arial" w:cs="Arial"/>
          <w:sz w:val="24"/>
          <w:szCs w:val="24"/>
        </w:rPr>
        <w:t>that matter</w:t>
      </w:r>
      <w:r w:rsidR="00FD5ED1">
        <w:rPr>
          <w:rFonts w:ascii="Arial" w:hAnsi="Arial" w:cs="Arial"/>
          <w:sz w:val="24"/>
          <w:szCs w:val="24"/>
        </w:rPr>
        <w:t xml:space="preserve"> would in my view be distinguishable</w:t>
      </w:r>
      <w:r w:rsidR="006B130E">
        <w:rPr>
          <w:rFonts w:ascii="Arial" w:hAnsi="Arial" w:cs="Arial"/>
          <w:sz w:val="24"/>
          <w:szCs w:val="24"/>
        </w:rPr>
        <w:t>,</w:t>
      </w:r>
      <w:r w:rsidR="00FD5ED1">
        <w:rPr>
          <w:rFonts w:ascii="Arial" w:hAnsi="Arial" w:cs="Arial"/>
          <w:sz w:val="24"/>
          <w:szCs w:val="24"/>
        </w:rPr>
        <w:t xml:space="preserve"> given the differen</w:t>
      </w:r>
      <w:r>
        <w:rPr>
          <w:rFonts w:ascii="Arial" w:hAnsi="Arial" w:cs="Arial"/>
          <w:sz w:val="24"/>
          <w:szCs w:val="24"/>
        </w:rPr>
        <w:t>ce in the</w:t>
      </w:r>
      <w:r w:rsidR="00FD5ED1">
        <w:rPr>
          <w:rFonts w:ascii="Arial" w:hAnsi="Arial" w:cs="Arial"/>
          <w:sz w:val="24"/>
          <w:szCs w:val="24"/>
        </w:rPr>
        <w:t xml:space="preserve"> nature of the time limitation provision</w:t>
      </w:r>
      <w:r w:rsidR="00AC258B">
        <w:rPr>
          <w:rFonts w:ascii="Arial" w:hAnsi="Arial" w:cs="Arial"/>
          <w:sz w:val="24"/>
          <w:szCs w:val="24"/>
        </w:rPr>
        <w:t>s</w:t>
      </w:r>
      <w:r w:rsidR="00FD5ED1">
        <w:rPr>
          <w:rFonts w:ascii="Arial" w:hAnsi="Arial" w:cs="Arial"/>
          <w:sz w:val="24"/>
          <w:szCs w:val="24"/>
        </w:rPr>
        <w:t xml:space="preserve"> in question. In the Police Act, the provision is more along the lines of a forfeiture of the right to sue the defendant if notice had </w:t>
      </w:r>
      <w:r w:rsidR="00AC258B">
        <w:rPr>
          <w:rFonts w:ascii="Arial" w:hAnsi="Arial" w:cs="Arial"/>
          <w:sz w:val="24"/>
          <w:szCs w:val="24"/>
        </w:rPr>
        <w:t xml:space="preserve">not </w:t>
      </w:r>
      <w:r w:rsidR="00FD5ED1">
        <w:rPr>
          <w:rFonts w:ascii="Arial" w:hAnsi="Arial" w:cs="Arial"/>
          <w:sz w:val="24"/>
          <w:szCs w:val="24"/>
        </w:rPr>
        <w:t>been given and the claim instituted within the period provided for. The provisions of s24</w:t>
      </w:r>
      <w:r w:rsidR="00711863">
        <w:rPr>
          <w:rFonts w:ascii="Arial" w:hAnsi="Arial" w:cs="Arial"/>
          <w:sz w:val="24"/>
          <w:szCs w:val="24"/>
        </w:rPr>
        <w:t xml:space="preserve"> of the 1992 </w:t>
      </w:r>
      <w:r w:rsidR="006B130E">
        <w:rPr>
          <w:rFonts w:ascii="Arial" w:hAnsi="Arial" w:cs="Arial"/>
          <w:sz w:val="24"/>
          <w:szCs w:val="24"/>
        </w:rPr>
        <w:t>A</w:t>
      </w:r>
      <w:r w:rsidR="00711863">
        <w:rPr>
          <w:rFonts w:ascii="Arial" w:hAnsi="Arial" w:cs="Arial"/>
          <w:sz w:val="24"/>
          <w:szCs w:val="24"/>
        </w:rPr>
        <w:t xml:space="preserve">ct are </w:t>
      </w:r>
      <w:r w:rsidR="00711863">
        <w:rPr>
          <w:rFonts w:ascii="Arial" w:hAnsi="Arial" w:cs="Arial"/>
          <w:sz w:val="24"/>
          <w:szCs w:val="24"/>
        </w:rPr>
        <w:lastRenderedPageBreak/>
        <w:t xml:space="preserve">quite different. </w:t>
      </w:r>
      <w:r w:rsidR="00AC258B">
        <w:rPr>
          <w:rFonts w:ascii="Arial" w:hAnsi="Arial" w:cs="Arial"/>
          <w:sz w:val="24"/>
          <w:szCs w:val="24"/>
        </w:rPr>
        <w:t>Section 24 required parties to</w:t>
      </w:r>
      <w:r w:rsidR="006B130E">
        <w:rPr>
          <w:rFonts w:ascii="Arial" w:hAnsi="Arial" w:cs="Arial"/>
          <w:sz w:val="24"/>
          <w:szCs w:val="24"/>
        </w:rPr>
        <w:t xml:space="preserve"> exercise the remedies</w:t>
      </w:r>
      <w:r w:rsidR="00711863">
        <w:rPr>
          <w:rFonts w:ascii="Arial" w:hAnsi="Arial" w:cs="Arial"/>
          <w:sz w:val="24"/>
          <w:szCs w:val="24"/>
        </w:rPr>
        <w:t xml:space="preserve"> provided for in the 1992 </w:t>
      </w:r>
      <w:r w:rsidR="006B130E">
        <w:rPr>
          <w:rFonts w:ascii="Arial" w:hAnsi="Arial" w:cs="Arial"/>
          <w:sz w:val="24"/>
          <w:szCs w:val="24"/>
        </w:rPr>
        <w:t>A</w:t>
      </w:r>
      <w:r w:rsidR="00711863">
        <w:rPr>
          <w:rFonts w:ascii="Arial" w:hAnsi="Arial" w:cs="Arial"/>
          <w:sz w:val="24"/>
          <w:szCs w:val="24"/>
        </w:rPr>
        <w:t>ct within the period of twelve months o</w:t>
      </w:r>
      <w:r w:rsidR="006B130E">
        <w:rPr>
          <w:rFonts w:ascii="Arial" w:hAnsi="Arial" w:cs="Arial"/>
          <w:sz w:val="24"/>
          <w:szCs w:val="24"/>
        </w:rPr>
        <w:t>r such further period with the L</w:t>
      </w:r>
      <w:r w:rsidR="00711863">
        <w:rPr>
          <w:rFonts w:ascii="Arial" w:hAnsi="Arial" w:cs="Arial"/>
          <w:sz w:val="24"/>
          <w:szCs w:val="24"/>
        </w:rPr>
        <w:t xml:space="preserve">abour </w:t>
      </w:r>
      <w:r w:rsidR="006B130E">
        <w:rPr>
          <w:rFonts w:ascii="Arial" w:hAnsi="Arial" w:cs="Arial"/>
          <w:sz w:val="24"/>
          <w:szCs w:val="24"/>
        </w:rPr>
        <w:t>C</w:t>
      </w:r>
      <w:r w:rsidR="00711863">
        <w:rPr>
          <w:rFonts w:ascii="Arial" w:hAnsi="Arial" w:cs="Arial"/>
          <w:sz w:val="24"/>
          <w:szCs w:val="24"/>
        </w:rPr>
        <w:t xml:space="preserve">ourt or </w:t>
      </w:r>
      <w:r w:rsidR="006B130E">
        <w:rPr>
          <w:rFonts w:ascii="Arial" w:hAnsi="Arial" w:cs="Arial"/>
          <w:sz w:val="24"/>
          <w:szCs w:val="24"/>
        </w:rPr>
        <w:t xml:space="preserve">a </w:t>
      </w:r>
      <w:r w:rsidR="00711863">
        <w:rPr>
          <w:rFonts w:ascii="Arial" w:hAnsi="Arial" w:cs="Arial"/>
          <w:sz w:val="24"/>
          <w:szCs w:val="24"/>
        </w:rPr>
        <w:t>district</w:t>
      </w:r>
      <w:r w:rsidR="006B130E">
        <w:rPr>
          <w:rFonts w:ascii="Arial" w:hAnsi="Arial" w:cs="Arial"/>
          <w:sz w:val="24"/>
          <w:szCs w:val="24"/>
        </w:rPr>
        <w:t xml:space="preserve"> labour court would </w:t>
      </w:r>
      <w:r w:rsidR="00AC258B">
        <w:rPr>
          <w:rFonts w:ascii="Arial" w:hAnsi="Arial" w:cs="Arial"/>
          <w:sz w:val="24"/>
          <w:szCs w:val="24"/>
        </w:rPr>
        <w:t xml:space="preserve">permit </w:t>
      </w:r>
      <w:r w:rsidR="006B130E">
        <w:rPr>
          <w:rFonts w:ascii="Arial" w:hAnsi="Arial" w:cs="Arial"/>
          <w:sz w:val="24"/>
          <w:szCs w:val="24"/>
        </w:rPr>
        <w:t>on good cau</w:t>
      </w:r>
      <w:r w:rsidR="00711863">
        <w:rPr>
          <w:rFonts w:ascii="Arial" w:hAnsi="Arial" w:cs="Arial"/>
          <w:sz w:val="24"/>
          <w:szCs w:val="24"/>
        </w:rPr>
        <w:t>se</w:t>
      </w:r>
      <w:r w:rsidR="006B130E">
        <w:rPr>
          <w:rFonts w:ascii="Arial" w:hAnsi="Arial" w:cs="Arial"/>
          <w:sz w:val="24"/>
          <w:szCs w:val="24"/>
        </w:rPr>
        <w:t xml:space="preserve"> shown</w:t>
      </w:r>
      <w:r w:rsidR="00711863">
        <w:rPr>
          <w:rFonts w:ascii="Arial" w:hAnsi="Arial" w:cs="Arial"/>
          <w:sz w:val="24"/>
          <w:szCs w:val="24"/>
        </w:rPr>
        <w:t>. This section provides as follows</w:t>
      </w:r>
      <w:r w:rsidR="00E657AB">
        <w:rPr>
          <w:rFonts w:ascii="Arial" w:hAnsi="Arial" w:cs="Arial"/>
          <w:sz w:val="24"/>
          <w:szCs w:val="24"/>
        </w:rPr>
        <w:t>:</w:t>
      </w:r>
    </w:p>
    <w:p w:rsidR="00E657AB" w:rsidRPr="00432DEF" w:rsidRDefault="00E657AB" w:rsidP="009673E5">
      <w:pPr>
        <w:spacing w:after="0" w:line="360" w:lineRule="auto"/>
        <w:jc w:val="both"/>
        <w:rPr>
          <w:rFonts w:ascii="Arial" w:hAnsi="Arial" w:cs="Arial"/>
        </w:rPr>
      </w:pPr>
      <w:r>
        <w:rPr>
          <w:rFonts w:ascii="Arial" w:hAnsi="Arial" w:cs="Arial"/>
          <w:sz w:val="24"/>
          <w:szCs w:val="24"/>
        </w:rPr>
        <w:tab/>
      </w:r>
      <w:r w:rsidRPr="00432DEF">
        <w:rPr>
          <w:rFonts w:ascii="Arial" w:hAnsi="Arial" w:cs="Arial"/>
        </w:rPr>
        <w:t>“Notwithstanding the provisions of any other law to the contrary, no proceedings shall be instituted in the Labour Court or any complaint lodged with any district labour court after the expiration of a period of 12 months as from the date on which the cause of action has arisen or the contravention or failure in question has taken place or from the date on which the party instituting such proceedings or lodging such complaint has become or could reasonably have become aware of such cause of action or contravention or failure, as the case may be, except with the approval of the Labour Court or district labour court, as the case may be, on good cause shown</w:t>
      </w:r>
      <w:r w:rsidR="00432DEF" w:rsidRPr="00432DEF">
        <w:rPr>
          <w:rFonts w:ascii="Arial" w:hAnsi="Arial" w:cs="Arial"/>
        </w:rPr>
        <w:t>”</w:t>
      </w:r>
      <w:r w:rsidRPr="00432DEF">
        <w:rPr>
          <w:rFonts w:ascii="Arial" w:hAnsi="Arial" w:cs="Arial"/>
        </w:rPr>
        <w:t>.</w:t>
      </w:r>
    </w:p>
    <w:p w:rsidR="00711863" w:rsidRDefault="00711863" w:rsidP="009673E5">
      <w:pPr>
        <w:spacing w:after="0" w:line="360" w:lineRule="auto"/>
        <w:jc w:val="both"/>
        <w:rPr>
          <w:rFonts w:ascii="Arial" w:hAnsi="Arial" w:cs="Arial"/>
          <w:sz w:val="24"/>
          <w:szCs w:val="24"/>
        </w:rPr>
      </w:pPr>
    </w:p>
    <w:p w:rsidR="00711863" w:rsidRDefault="00AC258B" w:rsidP="009673E5">
      <w:pPr>
        <w:spacing w:after="0" w:line="360" w:lineRule="auto"/>
        <w:jc w:val="both"/>
        <w:rPr>
          <w:rFonts w:ascii="Arial" w:hAnsi="Arial" w:cs="Arial"/>
          <w:sz w:val="24"/>
          <w:szCs w:val="24"/>
        </w:rPr>
      </w:pPr>
      <w:r>
        <w:rPr>
          <w:rFonts w:ascii="Arial" w:hAnsi="Arial" w:cs="Arial"/>
          <w:sz w:val="24"/>
          <w:szCs w:val="24"/>
        </w:rPr>
        <w:t>[31</w:t>
      </w:r>
      <w:r w:rsidR="00711863">
        <w:rPr>
          <w:rFonts w:ascii="Arial" w:hAnsi="Arial" w:cs="Arial"/>
          <w:sz w:val="24"/>
          <w:szCs w:val="24"/>
        </w:rPr>
        <w:t>]</w:t>
      </w:r>
      <w:r w:rsidR="00711863">
        <w:rPr>
          <w:rFonts w:ascii="Arial" w:hAnsi="Arial" w:cs="Arial"/>
          <w:sz w:val="24"/>
          <w:szCs w:val="24"/>
        </w:rPr>
        <w:tab/>
        <w:t xml:space="preserve">There is thus not an automatic forfeiture of a right following the expiration of the period in question but rather </w:t>
      </w:r>
      <w:r w:rsidR="00432DEF">
        <w:rPr>
          <w:rFonts w:ascii="Arial" w:hAnsi="Arial" w:cs="Arial"/>
          <w:sz w:val="24"/>
          <w:szCs w:val="24"/>
        </w:rPr>
        <w:t xml:space="preserve">the </w:t>
      </w:r>
      <w:r w:rsidR="006B130E">
        <w:rPr>
          <w:rFonts w:ascii="Arial" w:hAnsi="Arial" w:cs="Arial"/>
          <w:sz w:val="24"/>
          <w:szCs w:val="24"/>
        </w:rPr>
        <w:t xml:space="preserve">barring </w:t>
      </w:r>
      <w:r w:rsidR="00432DEF">
        <w:rPr>
          <w:rFonts w:ascii="Arial" w:hAnsi="Arial" w:cs="Arial"/>
          <w:sz w:val="24"/>
          <w:szCs w:val="24"/>
        </w:rPr>
        <w:t xml:space="preserve">of </w:t>
      </w:r>
      <w:r w:rsidR="00711863">
        <w:rPr>
          <w:rFonts w:ascii="Arial" w:hAnsi="Arial" w:cs="Arial"/>
          <w:sz w:val="24"/>
          <w:szCs w:val="24"/>
        </w:rPr>
        <w:t xml:space="preserve">the exercise </w:t>
      </w:r>
      <w:r>
        <w:rPr>
          <w:rFonts w:ascii="Arial" w:hAnsi="Arial" w:cs="Arial"/>
          <w:sz w:val="24"/>
          <w:szCs w:val="24"/>
        </w:rPr>
        <w:t xml:space="preserve">of </w:t>
      </w:r>
      <w:r w:rsidR="00711863">
        <w:rPr>
          <w:rFonts w:ascii="Arial" w:hAnsi="Arial" w:cs="Arial"/>
          <w:sz w:val="24"/>
          <w:szCs w:val="24"/>
        </w:rPr>
        <w:t>remedies brought a</w:t>
      </w:r>
      <w:r w:rsidR="006B130E">
        <w:rPr>
          <w:rFonts w:ascii="Arial" w:hAnsi="Arial" w:cs="Arial"/>
          <w:sz w:val="24"/>
          <w:szCs w:val="24"/>
        </w:rPr>
        <w:t>fter the period unless good cau</w:t>
      </w:r>
      <w:r w:rsidR="00711863">
        <w:rPr>
          <w:rFonts w:ascii="Arial" w:hAnsi="Arial" w:cs="Arial"/>
          <w:sz w:val="24"/>
          <w:szCs w:val="24"/>
        </w:rPr>
        <w:t>se could be shown</w:t>
      </w:r>
      <w:r w:rsidR="00C22E71">
        <w:rPr>
          <w:rFonts w:ascii="Arial" w:hAnsi="Arial" w:cs="Arial"/>
          <w:sz w:val="24"/>
          <w:szCs w:val="24"/>
        </w:rPr>
        <w:t xml:space="preserve"> in a condonation application to the court having jurisdiction in respect of the matter. It would seem to me that s24 reflect</w:t>
      </w:r>
      <w:r w:rsidR="006B130E">
        <w:rPr>
          <w:rFonts w:ascii="Arial" w:hAnsi="Arial" w:cs="Arial"/>
          <w:sz w:val="24"/>
          <w:szCs w:val="24"/>
        </w:rPr>
        <w:t>s</w:t>
      </w:r>
      <w:r w:rsidR="00C22E71">
        <w:rPr>
          <w:rFonts w:ascii="Arial" w:hAnsi="Arial" w:cs="Arial"/>
          <w:sz w:val="24"/>
          <w:szCs w:val="24"/>
        </w:rPr>
        <w:t xml:space="preserve"> a legislative intention for labour matters and remedies brought under that </w:t>
      </w:r>
      <w:r w:rsidR="006B130E">
        <w:rPr>
          <w:rFonts w:ascii="Arial" w:hAnsi="Arial" w:cs="Arial"/>
          <w:sz w:val="24"/>
          <w:szCs w:val="24"/>
        </w:rPr>
        <w:t>A</w:t>
      </w:r>
      <w:r w:rsidR="00C22E71">
        <w:rPr>
          <w:rFonts w:ascii="Arial" w:hAnsi="Arial" w:cs="Arial"/>
          <w:sz w:val="24"/>
          <w:szCs w:val="24"/>
        </w:rPr>
        <w:t xml:space="preserve">ct to be </w:t>
      </w:r>
      <w:r>
        <w:rPr>
          <w:rFonts w:ascii="Arial" w:hAnsi="Arial" w:cs="Arial"/>
          <w:sz w:val="24"/>
          <w:szCs w:val="24"/>
        </w:rPr>
        <w:t>effected</w:t>
      </w:r>
      <w:r w:rsidR="00C22E71">
        <w:rPr>
          <w:rFonts w:ascii="Arial" w:hAnsi="Arial" w:cs="Arial"/>
          <w:sz w:val="24"/>
          <w:szCs w:val="24"/>
        </w:rPr>
        <w:t xml:space="preserve"> expeditiously and withi</w:t>
      </w:r>
      <w:r w:rsidR="006B130E">
        <w:rPr>
          <w:rFonts w:ascii="Arial" w:hAnsi="Arial" w:cs="Arial"/>
          <w:sz w:val="24"/>
          <w:szCs w:val="24"/>
        </w:rPr>
        <w:t>n twelve months unless good cau</w:t>
      </w:r>
      <w:r w:rsidR="00C22E71">
        <w:rPr>
          <w:rFonts w:ascii="Arial" w:hAnsi="Arial" w:cs="Arial"/>
          <w:sz w:val="24"/>
          <w:szCs w:val="24"/>
        </w:rPr>
        <w:t xml:space="preserve">se could be shown in respect of a further period. The legislature did not </w:t>
      </w:r>
      <w:r>
        <w:rPr>
          <w:rFonts w:ascii="Arial" w:hAnsi="Arial" w:cs="Arial"/>
          <w:sz w:val="24"/>
          <w:szCs w:val="24"/>
        </w:rPr>
        <w:t>exclude</w:t>
      </w:r>
      <w:r w:rsidR="00C22E71">
        <w:rPr>
          <w:rFonts w:ascii="Arial" w:hAnsi="Arial" w:cs="Arial"/>
          <w:sz w:val="24"/>
          <w:szCs w:val="24"/>
        </w:rPr>
        <w:t xml:space="preserve"> the </w:t>
      </w:r>
      <w:r w:rsidR="006B130E">
        <w:rPr>
          <w:rFonts w:ascii="Arial" w:hAnsi="Arial" w:cs="Arial"/>
          <w:sz w:val="24"/>
          <w:szCs w:val="24"/>
        </w:rPr>
        <w:t>P</w:t>
      </w:r>
      <w:r w:rsidR="00C22E71">
        <w:rPr>
          <w:rFonts w:ascii="Arial" w:hAnsi="Arial" w:cs="Arial"/>
          <w:sz w:val="24"/>
          <w:szCs w:val="24"/>
        </w:rPr>
        <w:t xml:space="preserve">rescription </w:t>
      </w:r>
      <w:r w:rsidR="006B130E">
        <w:rPr>
          <w:rFonts w:ascii="Arial" w:hAnsi="Arial" w:cs="Arial"/>
          <w:sz w:val="24"/>
          <w:szCs w:val="24"/>
        </w:rPr>
        <w:t>A</w:t>
      </w:r>
      <w:r w:rsidR="00C22E71">
        <w:rPr>
          <w:rFonts w:ascii="Arial" w:hAnsi="Arial" w:cs="Arial"/>
          <w:sz w:val="24"/>
          <w:szCs w:val="24"/>
        </w:rPr>
        <w:t xml:space="preserve">ct </w:t>
      </w:r>
      <w:r>
        <w:rPr>
          <w:rFonts w:ascii="Arial" w:hAnsi="Arial" w:cs="Arial"/>
          <w:sz w:val="24"/>
          <w:szCs w:val="24"/>
        </w:rPr>
        <w:t>from</w:t>
      </w:r>
      <w:r w:rsidR="00C22E71">
        <w:rPr>
          <w:rFonts w:ascii="Arial" w:hAnsi="Arial" w:cs="Arial"/>
          <w:sz w:val="24"/>
          <w:szCs w:val="24"/>
        </w:rPr>
        <w:t xml:space="preserve"> apply</w:t>
      </w:r>
      <w:r>
        <w:rPr>
          <w:rFonts w:ascii="Arial" w:hAnsi="Arial" w:cs="Arial"/>
          <w:sz w:val="24"/>
          <w:szCs w:val="24"/>
        </w:rPr>
        <w:t>ing</w:t>
      </w:r>
      <w:r w:rsidR="00C22E71">
        <w:rPr>
          <w:rFonts w:ascii="Arial" w:hAnsi="Arial" w:cs="Arial"/>
          <w:sz w:val="24"/>
          <w:szCs w:val="24"/>
        </w:rPr>
        <w:t xml:space="preserve"> to claims which arise under the provisions of the 1992 </w:t>
      </w:r>
      <w:r w:rsidR="006B130E">
        <w:rPr>
          <w:rFonts w:ascii="Arial" w:hAnsi="Arial" w:cs="Arial"/>
          <w:sz w:val="24"/>
          <w:szCs w:val="24"/>
        </w:rPr>
        <w:t>A</w:t>
      </w:r>
      <w:r w:rsidR="00C22E71">
        <w:rPr>
          <w:rFonts w:ascii="Arial" w:hAnsi="Arial" w:cs="Arial"/>
          <w:sz w:val="24"/>
          <w:szCs w:val="24"/>
        </w:rPr>
        <w:t>ct</w:t>
      </w:r>
      <w:r w:rsidR="00193AF9">
        <w:rPr>
          <w:rFonts w:ascii="Arial" w:hAnsi="Arial" w:cs="Arial"/>
          <w:sz w:val="24"/>
          <w:szCs w:val="24"/>
        </w:rPr>
        <w:t xml:space="preserve">. </w:t>
      </w:r>
      <w:r w:rsidR="001228F5">
        <w:rPr>
          <w:rFonts w:ascii="Arial" w:hAnsi="Arial" w:cs="Arial"/>
          <w:sz w:val="24"/>
          <w:szCs w:val="24"/>
        </w:rPr>
        <w:t>Nor</w:t>
      </w:r>
      <w:r w:rsidR="00432DEF">
        <w:rPr>
          <w:rFonts w:ascii="Arial" w:hAnsi="Arial" w:cs="Arial"/>
          <w:sz w:val="24"/>
          <w:szCs w:val="24"/>
        </w:rPr>
        <w:t xml:space="preserve"> is this by implication in the 1992 Act. </w:t>
      </w:r>
      <w:r>
        <w:rPr>
          <w:rFonts w:ascii="Arial" w:hAnsi="Arial" w:cs="Arial"/>
          <w:sz w:val="24"/>
          <w:szCs w:val="24"/>
        </w:rPr>
        <w:t xml:space="preserve">It would also not be inconsistent with the </w:t>
      </w:r>
      <w:r w:rsidR="00432DEF">
        <w:rPr>
          <w:rFonts w:ascii="Arial" w:hAnsi="Arial" w:cs="Arial"/>
          <w:sz w:val="24"/>
          <w:szCs w:val="24"/>
        </w:rPr>
        <w:t>P</w:t>
      </w:r>
      <w:r>
        <w:rPr>
          <w:rFonts w:ascii="Arial" w:hAnsi="Arial" w:cs="Arial"/>
          <w:sz w:val="24"/>
          <w:szCs w:val="24"/>
        </w:rPr>
        <w:t xml:space="preserve">rescription Act </w:t>
      </w:r>
      <w:r w:rsidR="00432DEF">
        <w:rPr>
          <w:rFonts w:ascii="Arial" w:hAnsi="Arial" w:cs="Arial"/>
          <w:sz w:val="24"/>
          <w:szCs w:val="24"/>
        </w:rPr>
        <w:t>for it to apply to such claims</w:t>
      </w:r>
      <w:r>
        <w:rPr>
          <w:rFonts w:ascii="Arial" w:hAnsi="Arial" w:cs="Arial"/>
          <w:sz w:val="24"/>
          <w:szCs w:val="24"/>
        </w:rPr>
        <w:t>. Indeed, the</w:t>
      </w:r>
      <w:r w:rsidR="005216B7">
        <w:rPr>
          <w:rFonts w:ascii="Arial" w:hAnsi="Arial" w:cs="Arial"/>
          <w:sz w:val="24"/>
          <w:szCs w:val="24"/>
        </w:rPr>
        <w:t xml:space="preserve"> statutory purpose of s24 and the 1992 </w:t>
      </w:r>
      <w:r w:rsidR="006B130E">
        <w:rPr>
          <w:rFonts w:ascii="Arial" w:hAnsi="Arial" w:cs="Arial"/>
          <w:sz w:val="24"/>
          <w:szCs w:val="24"/>
        </w:rPr>
        <w:t>A</w:t>
      </w:r>
      <w:r w:rsidR="005216B7">
        <w:rPr>
          <w:rFonts w:ascii="Arial" w:hAnsi="Arial" w:cs="Arial"/>
          <w:sz w:val="24"/>
          <w:szCs w:val="24"/>
        </w:rPr>
        <w:t xml:space="preserve">ct </w:t>
      </w:r>
      <w:r>
        <w:rPr>
          <w:rFonts w:ascii="Arial" w:hAnsi="Arial" w:cs="Arial"/>
          <w:sz w:val="24"/>
          <w:szCs w:val="24"/>
        </w:rPr>
        <w:t>(</w:t>
      </w:r>
      <w:r w:rsidR="005216B7">
        <w:rPr>
          <w:rFonts w:ascii="Arial" w:hAnsi="Arial" w:cs="Arial"/>
          <w:sz w:val="24"/>
          <w:szCs w:val="24"/>
        </w:rPr>
        <w:t>and s</w:t>
      </w:r>
      <w:r w:rsidR="006B130E">
        <w:rPr>
          <w:rFonts w:ascii="Arial" w:hAnsi="Arial" w:cs="Arial"/>
          <w:sz w:val="24"/>
          <w:szCs w:val="24"/>
        </w:rPr>
        <w:t>8</w:t>
      </w:r>
      <w:r w:rsidR="005216B7">
        <w:rPr>
          <w:rFonts w:ascii="Arial" w:hAnsi="Arial" w:cs="Arial"/>
          <w:sz w:val="24"/>
          <w:szCs w:val="24"/>
        </w:rPr>
        <w:t xml:space="preserve">6(2) in the current </w:t>
      </w:r>
      <w:r w:rsidR="006B130E">
        <w:rPr>
          <w:rFonts w:ascii="Arial" w:hAnsi="Arial" w:cs="Arial"/>
          <w:sz w:val="24"/>
          <w:szCs w:val="24"/>
        </w:rPr>
        <w:t>A</w:t>
      </w:r>
      <w:r w:rsidR="005216B7">
        <w:rPr>
          <w:rFonts w:ascii="Arial" w:hAnsi="Arial" w:cs="Arial"/>
          <w:sz w:val="24"/>
          <w:szCs w:val="24"/>
        </w:rPr>
        <w:t>ct</w:t>
      </w:r>
      <w:r>
        <w:rPr>
          <w:rFonts w:ascii="Arial" w:hAnsi="Arial" w:cs="Arial"/>
          <w:sz w:val="24"/>
          <w:szCs w:val="24"/>
        </w:rPr>
        <w:t>)</w:t>
      </w:r>
      <w:r w:rsidR="005216B7">
        <w:rPr>
          <w:rFonts w:ascii="Arial" w:hAnsi="Arial" w:cs="Arial"/>
          <w:sz w:val="24"/>
          <w:szCs w:val="24"/>
        </w:rPr>
        <w:t xml:space="preserve"> is to ensure that dispute</w:t>
      </w:r>
      <w:r w:rsidR="006B130E">
        <w:rPr>
          <w:rFonts w:ascii="Arial" w:hAnsi="Arial" w:cs="Arial"/>
          <w:sz w:val="24"/>
          <w:szCs w:val="24"/>
        </w:rPr>
        <w:t>s</w:t>
      </w:r>
      <w:r w:rsidR="005216B7">
        <w:rPr>
          <w:rFonts w:ascii="Arial" w:hAnsi="Arial" w:cs="Arial"/>
          <w:sz w:val="24"/>
          <w:szCs w:val="24"/>
        </w:rPr>
        <w:t xml:space="preserve"> under the respective </w:t>
      </w:r>
      <w:r>
        <w:rPr>
          <w:rFonts w:ascii="Arial" w:hAnsi="Arial" w:cs="Arial"/>
          <w:sz w:val="24"/>
          <w:szCs w:val="24"/>
        </w:rPr>
        <w:t>A</w:t>
      </w:r>
      <w:r w:rsidR="005216B7">
        <w:rPr>
          <w:rFonts w:ascii="Arial" w:hAnsi="Arial" w:cs="Arial"/>
          <w:sz w:val="24"/>
          <w:szCs w:val="24"/>
        </w:rPr>
        <w:t>ct</w:t>
      </w:r>
      <w:r>
        <w:rPr>
          <w:rFonts w:ascii="Arial" w:hAnsi="Arial" w:cs="Arial"/>
          <w:sz w:val="24"/>
          <w:szCs w:val="24"/>
        </w:rPr>
        <w:t>s</w:t>
      </w:r>
      <w:r w:rsidR="005216B7">
        <w:rPr>
          <w:rFonts w:ascii="Arial" w:hAnsi="Arial" w:cs="Arial"/>
          <w:sz w:val="24"/>
          <w:szCs w:val="24"/>
        </w:rPr>
        <w:t xml:space="preserve"> are to be dealt with and finalized expeditiously. This also accords with the general spirit and legislative purpose </w:t>
      </w:r>
      <w:r>
        <w:rPr>
          <w:rFonts w:ascii="Arial" w:hAnsi="Arial" w:cs="Arial"/>
          <w:sz w:val="24"/>
          <w:szCs w:val="24"/>
        </w:rPr>
        <w:t>of</w:t>
      </w:r>
      <w:r w:rsidR="005216B7">
        <w:rPr>
          <w:rFonts w:ascii="Arial" w:hAnsi="Arial" w:cs="Arial"/>
          <w:sz w:val="24"/>
          <w:szCs w:val="24"/>
        </w:rPr>
        <w:t xml:space="preserve"> those </w:t>
      </w:r>
      <w:r>
        <w:rPr>
          <w:rFonts w:ascii="Arial" w:hAnsi="Arial" w:cs="Arial"/>
          <w:sz w:val="24"/>
          <w:szCs w:val="24"/>
        </w:rPr>
        <w:t>A</w:t>
      </w:r>
      <w:r w:rsidR="005216B7">
        <w:rPr>
          <w:rFonts w:ascii="Arial" w:hAnsi="Arial" w:cs="Arial"/>
          <w:sz w:val="24"/>
          <w:szCs w:val="24"/>
        </w:rPr>
        <w:t>cts. This approach also accords wi</w:t>
      </w:r>
      <w:r w:rsidR="006B130E">
        <w:rPr>
          <w:rFonts w:ascii="Arial" w:hAnsi="Arial" w:cs="Arial"/>
          <w:sz w:val="24"/>
          <w:szCs w:val="24"/>
        </w:rPr>
        <w:t>th the approach adopted by the Labour C</w:t>
      </w:r>
      <w:r w:rsidR="005216B7">
        <w:rPr>
          <w:rFonts w:ascii="Arial" w:hAnsi="Arial" w:cs="Arial"/>
          <w:sz w:val="24"/>
          <w:szCs w:val="24"/>
        </w:rPr>
        <w:t>ourt in South Africa in respect of claims arising under the LRA.</w:t>
      </w:r>
    </w:p>
    <w:p w:rsidR="005216B7" w:rsidRDefault="005216B7" w:rsidP="009673E5">
      <w:pPr>
        <w:spacing w:after="0" w:line="360" w:lineRule="auto"/>
        <w:jc w:val="both"/>
        <w:rPr>
          <w:rFonts w:ascii="Arial" w:hAnsi="Arial" w:cs="Arial"/>
          <w:sz w:val="24"/>
          <w:szCs w:val="24"/>
        </w:rPr>
      </w:pPr>
    </w:p>
    <w:p w:rsidR="005216B7" w:rsidRDefault="006B130E" w:rsidP="009673E5">
      <w:pPr>
        <w:spacing w:after="0" w:line="360" w:lineRule="auto"/>
        <w:jc w:val="both"/>
        <w:rPr>
          <w:rFonts w:ascii="Arial" w:hAnsi="Arial" w:cs="Arial"/>
          <w:sz w:val="24"/>
          <w:szCs w:val="24"/>
        </w:rPr>
      </w:pPr>
      <w:r>
        <w:rPr>
          <w:rFonts w:ascii="Arial" w:hAnsi="Arial" w:cs="Arial"/>
          <w:sz w:val="24"/>
          <w:szCs w:val="24"/>
        </w:rPr>
        <w:t>[3</w:t>
      </w:r>
      <w:r w:rsidR="00AC258B">
        <w:rPr>
          <w:rFonts w:ascii="Arial" w:hAnsi="Arial" w:cs="Arial"/>
          <w:sz w:val="24"/>
          <w:szCs w:val="24"/>
        </w:rPr>
        <w:t>2</w:t>
      </w:r>
      <w:r w:rsidR="005216B7">
        <w:rPr>
          <w:rFonts w:ascii="Arial" w:hAnsi="Arial" w:cs="Arial"/>
          <w:sz w:val="24"/>
          <w:szCs w:val="24"/>
        </w:rPr>
        <w:t>]</w:t>
      </w:r>
      <w:r w:rsidR="005216B7">
        <w:rPr>
          <w:rFonts w:ascii="Arial" w:hAnsi="Arial" w:cs="Arial"/>
          <w:sz w:val="24"/>
          <w:szCs w:val="24"/>
        </w:rPr>
        <w:tab/>
        <w:t xml:space="preserve">The transitional provisions in the </w:t>
      </w:r>
      <w:r>
        <w:rPr>
          <w:rFonts w:ascii="Arial" w:hAnsi="Arial" w:cs="Arial"/>
          <w:sz w:val="24"/>
          <w:szCs w:val="24"/>
        </w:rPr>
        <w:t>A</w:t>
      </w:r>
      <w:r w:rsidR="005216B7">
        <w:rPr>
          <w:rFonts w:ascii="Arial" w:hAnsi="Arial" w:cs="Arial"/>
          <w:sz w:val="24"/>
          <w:szCs w:val="24"/>
        </w:rPr>
        <w:t xml:space="preserve">ct – </w:t>
      </w:r>
      <w:r>
        <w:rPr>
          <w:rFonts w:ascii="Arial" w:hAnsi="Arial" w:cs="Arial"/>
          <w:sz w:val="24"/>
          <w:szCs w:val="24"/>
        </w:rPr>
        <w:t>em</w:t>
      </w:r>
      <w:r w:rsidR="005216B7">
        <w:rPr>
          <w:rFonts w:ascii="Arial" w:hAnsi="Arial" w:cs="Arial"/>
          <w:sz w:val="24"/>
          <w:szCs w:val="24"/>
        </w:rPr>
        <w:t>bodied in item</w:t>
      </w:r>
      <w:r>
        <w:rPr>
          <w:rFonts w:ascii="Arial" w:hAnsi="Arial" w:cs="Arial"/>
          <w:sz w:val="24"/>
          <w:szCs w:val="24"/>
        </w:rPr>
        <w:t>s</w:t>
      </w:r>
      <w:r w:rsidR="005216B7">
        <w:rPr>
          <w:rFonts w:ascii="Arial" w:hAnsi="Arial" w:cs="Arial"/>
          <w:sz w:val="24"/>
          <w:szCs w:val="24"/>
        </w:rPr>
        <w:t xml:space="preserve"> 15(2</w:t>
      </w:r>
      <w:r>
        <w:rPr>
          <w:rFonts w:ascii="Arial" w:hAnsi="Arial" w:cs="Arial"/>
          <w:sz w:val="24"/>
          <w:szCs w:val="24"/>
        </w:rPr>
        <w:t>)</w:t>
      </w:r>
      <w:r w:rsidR="005216B7">
        <w:rPr>
          <w:rFonts w:ascii="Arial" w:hAnsi="Arial" w:cs="Arial"/>
          <w:sz w:val="24"/>
          <w:szCs w:val="24"/>
        </w:rPr>
        <w:t xml:space="preserve"> and </w:t>
      </w:r>
      <w:r>
        <w:rPr>
          <w:rFonts w:ascii="Arial" w:hAnsi="Arial" w:cs="Arial"/>
          <w:sz w:val="24"/>
          <w:szCs w:val="24"/>
        </w:rPr>
        <w:t xml:space="preserve">(3) </w:t>
      </w:r>
      <w:r w:rsidR="00432DEF">
        <w:rPr>
          <w:rFonts w:ascii="Arial" w:hAnsi="Arial" w:cs="Arial"/>
          <w:sz w:val="24"/>
          <w:szCs w:val="24"/>
        </w:rPr>
        <w:t xml:space="preserve">of Schedule 1 </w:t>
      </w:r>
      <w:r>
        <w:rPr>
          <w:rFonts w:ascii="Arial" w:hAnsi="Arial" w:cs="Arial"/>
          <w:sz w:val="24"/>
          <w:szCs w:val="24"/>
        </w:rPr>
        <w:t>–</w:t>
      </w:r>
      <w:r w:rsidR="00432DEF">
        <w:rPr>
          <w:rFonts w:ascii="Arial" w:hAnsi="Arial" w:cs="Arial"/>
          <w:sz w:val="24"/>
          <w:szCs w:val="24"/>
        </w:rPr>
        <w:t xml:space="preserve"> </w:t>
      </w:r>
      <w:r w:rsidR="005216B7">
        <w:rPr>
          <w:rFonts w:ascii="Arial" w:hAnsi="Arial" w:cs="Arial"/>
          <w:sz w:val="24"/>
          <w:szCs w:val="24"/>
        </w:rPr>
        <w:t xml:space="preserve">although </w:t>
      </w:r>
      <w:r w:rsidR="00AC258B">
        <w:rPr>
          <w:rFonts w:ascii="Arial" w:hAnsi="Arial" w:cs="Arial"/>
          <w:sz w:val="24"/>
          <w:szCs w:val="24"/>
        </w:rPr>
        <w:t>not well</w:t>
      </w:r>
      <w:r w:rsidR="005216B7">
        <w:rPr>
          <w:rFonts w:ascii="Arial" w:hAnsi="Arial" w:cs="Arial"/>
          <w:sz w:val="24"/>
          <w:szCs w:val="24"/>
        </w:rPr>
        <w:t xml:space="preserve"> formulated, effectively provide that the dispute referred by the respondent is to be proceeded with in terms of the </w:t>
      </w:r>
      <w:r>
        <w:rPr>
          <w:rFonts w:ascii="Arial" w:hAnsi="Arial" w:cs="Arial"/>
          <w:sz w:val="24"/>
          <w:szCs w:val="24"/>
        </w:rPr>
        <w:t>machinery provided in the A</w:t>
      </w:r>
      <w:r w:rsidR="005216B7">
        <w:rPr>
          <w:rFonts w:ascii="Arial" w:hAnsi="Arial" w:cs="Arial"/>
          <w:sz w:val="24"/>
          <w:szCs w:val="24"/>
        </w:rPr>
        <w:t xml:space="preserve">ct </w:t>
      </w:r>
      <w:r>
        <w:rPr>
          <w:rFonts w:ascii="Arial" w:hAnsi="Arial" w:cs="Arial"/>
          <w:sz w:val="24"/>
          <w:szCs w:val="24"/>
        </w:rPr>
        <w:lastRenderedPageBreak/>
        <w:t xml:space="preserve">but </w:t>
      </w:r>
      <w:r w:rsidR="005216B7">
        <w:rPr>
          <w:rFonts w:ascii="Arial" w:hAnsi="Arial" w:cs="Arial"/>
          <w:sz w:val="24"/>
          <w:szCs w:val="24"/>
        </w:rPr>
        <w:t xml:space="preserve">that </w:t>
      </w:r>
      <w:r w:rsidR="00AC258B">
        <w:rPr>
          <w:rFonts w:ascii="Arial" w:hAnsi="Arial" w:cs="Arial"/>
          <w:sz w:val="24"/>
          <w:szCs w:val="24"/>
        </w:rPr>
        <w:t>s</w:t>
      </w:r>
      <w:r w:rsidR="005216B7">
        <w:rPr>
          <w:rFonts w:ascii="Arial" w:hAnsi="Arial" w:cs="Arial"/>
          <w:sz w:val="24"/>
          <w:szCs w:val="24"/>
        </w:rPr>
        <w:t xml:space="preserve">24 of the 1992 </w:t>
      </w:r>
      <w:r>
        <w:rPr>
          <w:rFonts w:ascii="Arial" w:hAnsi="Arial" w:cs="Arial"/>
          <w:sz w:val="24"/>
          <w:szCs w:val="24"/>
        </w:rPr>
        <w:t>A</w:t>
      </w:r>
      <w:r w:rsidR="005216B7">
        <w:rPr>
          <w:rFonts w:ascii="Arial" w:hAnsi="Arial" w:cs="Arial"/>
          <w:sz w:val="24"/>
          <w:szCs w:val="24"/>
        </w:rPr>
        <w:t xml:space="preserve">ct would determine </w:t>
      </w:r>
      <w:r>
        <w:rPr>
          <w:rFonts w:ascii="Arial" w:hAnsi="Arial" w:cs="Arial"/>
          <w:sz w:val="24"/>
          <w:szCs w:val="24"/>
        </w:rPr>
        <w:t>whether the</w:t>
      </w:r>
      <w:r w:rsidR="005216B7">
        <w:rPr>
          <w:rFonts w:ascii="Arial" w:hAnsi="Arial" w:cs="Arial"/>
          <w:sz w:val="24"/>
          <w:szCs w:val="24"/>
        </w:rPr>
        <w:t xml:space="preserve"> dispute </w:t>
      </w:r>
      <w:r>
        <w:rPr>
          <w:rFonts w:ascii="Arial" w:hAnsi="Arial" w:cs="Arial"/>
          <w:sz w:val="24"/>
          <w:szCs w:val="24"/>
        </w:rPr>
        <w:t>is barred</w:t>
      </w:r>
      <w:r w:rsidR="005216B7">
        <w:rPr>
          <w:rFonts w:ascii="Arial" w:hAnsi="Arial" w:cs="Arial"/>
          <w:sz w:val="24"/>
          <w:szCs w:val="24"/>
        </w:rPr>
        <w:t xml:space="preserve"> due to passage of time, </w:t>
      </w:r>
      <w:r w:rsidR="00432DEF">
        <w:rPr>
          <w:rFonts w:ascii="Arial" w:hAnsi="Arial" w:cs="Arial"/>
          <w:sz w:val="24"/>
          <w:szCs w:val="24"/>
        </w:rPr>
        <w:t xml:space="preserve">or not </w:t>
      </w:r>
      <w:r w:rsidR="005216B7">
        <w:rPr>
          <w:rFonts w:ascii="Arial" w:hAnsi="Arial" w:cs="Arial"/>
          <w:sz w:val="24"/>
          <w:szCs w:val="24"/>
        </w:rPr>
        <w:t xml:space="preserve">as if it had not been </w:t>
      </w:r>
      <w:r>
        <w:rPr>
          <w:rFonts w:ascii="Arial" w:hAnsi="Arial" w:cs="Arial"/>
          <w:sz w:val="24"/>
          <w:szCs w:val="24"/>
        </w:rPr>
        <w:t>re</w:t>
      </w:r>
      <w:r w:rsidR="005216B7">
        <w:rPr>
          <w:rFonts w:ascii="Arial" w:hAnsi="Arial" w:cs="Arial"/>
          <w:sz w:val="24"/>
          <w:szCs w:val="24"/>
        </w:rPr>
        <w:t>pealed.</w:t>
      </w:r>
    </w:p>
    <w:p w:rsidR="005216B7" w:rsidRDefault="005216B7" w:rsidP="009673E5">
      <w:pPr>
        <w:spacing w:after="0" w:line="360" w:lineRule="auto"/>
        <w:jc w:val="both"/>
        <w:rPr>
          <w:rFonts w:ascii="Arial" w:hAnsi="Arial" w:cs="Arial"/>
          <w:sz w:val="24"/>
          <w:szCs w:val="24"/>
        </w:rPr>
      </w:pPr>
    </w:p>
    <w:p w:rsidR="00ED479D" w:rsidRDefault="00AC258B" w:rsidP="009673E5">
      <w:pPr>
        <w:spacing w:after="0" w:line="360" w:lineRule="auto"/>
        <w:jc w:val="both"/>
        <w:rPr>
          <w:rFonts w:ascii="Arial" w:hAnsi="Arial" w:cs="Arial"/>
          <w:sz w:val="24"/>
          <w:szCs w:val="24"/>
        </w:rPr>
      </w:pPr>
      <w:r>
        <w:rPr>
          <w:rFonts w:ascii="Arial" w:hAnsi="Arial" w:cs="Arial"/>
          <w:sz w:val="24"/>
          <w:szCs w:val="24"/>
        </w:rPr>
        <w:t>[33</w:t>
      </w:r>
      <w:r w:rsidR="005216B7">
        <w:rPr>
          <w:rFonts w:ascii="Arial" w:hAnsi="Arial" w:cs="Arial"/>
          <w:sz w:val="24"/>
          <w:szCs w:val="24"/>
        </w:rPr>
        <w:t>]</w:t>
      </w:r>
      <w:r w:rsidR="005216B7">
        <w:rPr>
          <w:rFonts w:ascii="Arial" w:hAnsi="Arial" w:cs="Arial"/>
          <w:sz w:val="24"/>
          <w:szCs w:val="24"/>
        </w:rPr>
        <w:tab/>
        <w:t>I cannot accept the submission by Mr Ntinda</w:t>
      </w:r>
      <w:r w:rsidR="006B130E">
        <w:rPr>
          <w:rFonts w:ascii="Arial" w:hAnsi="Arial" w:cs="Arial"/>
          <w:sz w:val="24"/>
          <w:szCs w:val="24"/>
        </w:rPr>
        <w:t>,</w:t>
      </w:r>
      <w:r w:rsidR="005216B7">
        <w:rPr>
          <w:rFonts w:ascii="Arial" w:hAnsi="Arial" w:cs="Arial"/>
          <w:sz w:val="24"/>
          <w:szCs w:val="24"/>
        </w:rPr>
        <w:t xml:space="preserve"> which would be necessary to support the approach of the arbitrator, that a labour related debt </w:t>
      </w:r>
      <w:r>
        <w:rPr>
          <w:rFonts w:ascii="Arial" w:hAnsi="Arial" w:cs="Arial"/>
          <w:sz w:val="24"/>
          <w:szCs w:val="24"/>
        </w:rPr>
        <w:t xml:space="preserve">under the 1992 Act </w:t>
      </w:r>
      <w:r w:rsidR="005216B7">
        <w:rPr>
          <w:rFonts w:ascii="Arial" w:hAnsi="Arial" w:cs="Arial"/>
          <w:sz w:val="24"/>
          <w:szCs w:val="24"/>
        </w:rPr>
        <w:t>is never extinguished by the pass</w:t>
      </w:r>
      <w:r w:rsidR="006B130E">
        <w:rPr>
          <w:rFonts w:ascii="Arial" w:hAnsi="Arial" w:cs="Arial"/>
          <w:sz w:val="24"/>
          <w:szCs w:val="24"/>
        </w:rPr>
        <w:t>age of time as good cau</w:t>
      </w:r>
      <w:r w:rsidR="005216B7">
        <w:rPr>
          <w:rFonts w:ascii="Arial" w:hAnsi="Arial" w:cs="Arial"/>
          <w:sz w:val="24"/>
          <w:szCs w:val="24"/>
        </w:rPr>
        <w:t>se c</w:t>
      </w:r>
      <w:r>
        <w:rPr>
          <w:rFonts w:ascii="Arial" w:hAnsi="Arial" w:cs="Arial"/>
          <w:sz w:val="24"/>
          <w:szCs w:val="24"/>
        </w:rPr>
        <w:t>ould</w:t>
      </w:r>
      <w:r w:rsidR="005216B7">
        <w:rPr>
          <w:rFonts w:ascii="Arial" w:hAnsi="Arial" w:cs="Arial"/>
          <w:sz w:val="24"/>
          <w:szCs w:val="24"/>
        </w:rPr>
        <w:t xml:space="preserve"> be shown after the period of one year has expired</w:t>
      </w:r>
      <w:r w:rsidR="00432DEF">
        <w:rPr>
          <w:rFonts w:ascii="Arial" w:hAnsi="Arial" w:cs="Arial"/>
          <w:sz w:val="24"/>
          <w:szCs w:val="24"/>
        </w:rPr>
        <w:t xml:space="preserve"> without any cut off</w:t>
      </w:r>
      <w:r w:rsidR="005216B7">
        <w:rPr>
          <w:rFonts w:ascii="Arial" w:hAnsi="Arial" w:cs="Arial"/>
          <w:sz w:val="24"/>
          <w:szCs w:val="24"/>
        </w:rPr>
        <w:t xml:space="preserve">. I </w:t>
      </w:r>
      <w:r w:rsidR="006B130E">
        <w:rPr>
          <w:rFonts w:ascii="Arial" w:hAnsi="Arial" w:cs="Arial"/>
          <w:sz w:val="24"/>
          <w:szCs w:val="24"/>
        </w:rPr>
        <w:t xml:space="preserve">have </w:t>
      </w:r>
      <w:r w:rsidR="005216B7">
        <w:rPr>
          <w:rFonts w:ascii="Arial" w:hAnsi="Arial" w:cs="Arial"/>
          <w:sz w:val="24"/>
          <w:szCs w:val="24"/>
        </w:rPr>
        <w:t xml:space="preserve">found nothing in the 1992 </w:t>
      </w:r>
      <w:r w:rsidR="006B130E">
        <w:rPr>
          <w:rFonts w:ascii="Arial" w:hAnsi="Arial" w:cs="Arial"/>
          <w:sz w:val="24"/>
          <w:szCs w:val="24"/>
        </w:rPr>
        <w:t>A</w:t>
      </w:r>
      <w:r w:rsidR="005216B7">
        <w:rPr>
          <w:rFonts w:ascii="Arial" w:hAnsi="Arial" w:cs="Arial"/>
          <w:sz w:val="24"/>
          <w:szCs w:val="24"/>
        </w:rPr>
        <w:t xml:space="preserve">ct to support this </w:t>
      </w:r>
      <w:r w:rsidR="006B130E">
        <w:rPr>
          <w:rFonts w:ascii="Arial" w:hAnsi="Arial" w:cs="Arial"/>
          <w:sz w:val="24"/>
          <w:szCs w:val="24"/>
        </w:rPr>
        <w:t xml:space="preserve">approach. On the contrary, the </w:t>
      </w:r>
      <w:r>
        <w:rPr>
          <w:rFonts w:ascii="Arial" w:hAnsi="Arial" w:cs="Arial"/>
          <w:sz w:val="24"/>
          <w:szCs w:val="24"/>
        </w:rPr>
        <w:t>to need to exercise a remedy within a year by</w:t>
      </w:r>
      <w:r w:rsidR="005216B7">
        <w:rPr>
          <w:rFonts w:ascii="Arial" w:hAnsi="Arial" w:cs="Arial"/>
          <w:sz w:val="24"/>
          <w:szCs w:val="24"/>
        </w:rPr>
        <w:t xml:space="preserve"> s24 in the con</w:t>
      </w:r>
      <w:r w:rsidR="00ED479D">
        <w:rPr>
          <w:rFonts w:ascii="Arial" w:hAnsi="Arial" w:cs="Arial"/>
          <w:sz w:val="24"/>
          <w:szCs w:val="24"/>
        </w:rPr>
        <w:t xml:space="preserve">text of the </w:t>
      </w:r>
      <w:r>
        <w:rPr>
          <w:rFonts w:ascii="Arial" w:hAnsi="Arial" w:cs="Arial"/>
          <w:sz w:val="24"/>
          <w:szCs w:val="24"/>
        </w:rPr>
        <w:t>1992 A</w:t>
      </w:r>
      <w:r w:rsidR="00ED479D">
        <w:rPr>
          <w:rFonts w:ascii="Arial" w:hAnsi="Arial" w:cs="Arial"/>
          <w:sz w:val="24"/>
          <w:szCs w:val="24"/>
        </w:rPr>
        <w:t xml:space="preserve">ct and the rules </w:t>
      </w:r>
      <w:r w:rsidR="006B130E">
        <w:rPr>
          <w:rFonts w:ascii="Arial" w:hAnsi="Arial" w:cs="Arial"/>
          <w:sz w:val="24"/>
          <w:szCs w:val="24"/>
        </w:rPr>
        <w:t>promulgated</w:t>
      </w:r>
      <w:r w:rsidR="005216B7">
        <w:rPr>
          <w:rFonts w:ascii="Arial" w:hAnsi="Arial" w:cs="Arial"/>
          <w:sz w:val="24"/>
          <w:szCs w:val="24"/>
        </w:rPr>
        <w:t xml:space="preserve"> pursuant to it</w:t>
      </w:r>
      <w:r w:rsidR="00ED479D">
        <w:rPr>
          <w:rFonts w:ascii="Arial" w:hAnsi="Arial" w:cs="Arial"/>
          <w:sz w:val="24"/>
          <w:szCs w:val="24"/>
        </w:rPr>
        <w:t xml:space="preserve"> and the nature of the dispute</w:t>
      </w:r>
      <w:r w:rsidR="006B130E">
        <w:rPr>
          <w:rFonts w:ascii="Arial" w:hAnsi="Arial" w:cs="Arial"/>
          <w:sz w:val="24"/>
          <w:szCs w:val="24"/>
        </w:rPr>
        <w:t>s</w:t>
      </w:r>
      <w:r w:rsidR="00ED479D">
        <w:rPr>
          <w:rFonts w:ascii="Arial" w:hAnsi="Arial" w:cs="Arial"/>
          <w:sz w:val="24"/>
          <w:szCs w:val="24"/>
        </w:rPr>
        <w:t xml:space="preserve"> to be determined under the </w:t>
      </w:r>
      <w:r w:rsidR="006B130E">
        <w:rPr>
          <w:rFonts w:ascii="Arial" w:hAnsi="Arial" w:cs="Arial"/>
          <w:sz w:val="24"/>
          <w:szCs w:val="24"/>
        </w:rPr>
        <w:t>A</w:t>
      </w:r>
      <w:r w:rsidR="00ED479D">
        <w:rPr>
          <w:rFonts w:ascii="Arial" w:hAnsi="Arial" w:cs="Arial"/>
          <w:sz w:val="24"/>
          <w:szCs w:val="24"/>
        </w:rPr>
        <w:t>ct clearly show statutory inten</w:t>
      </w:r>
      <w:r w:rsidR="00432DEF">
        <w:rPr>
          <w:rFonts w:ascii="Arial" w:hAnsi="Arial" w:cs="Arial"/>
          <w:sz w:val="24"/>
          <w:szCs w:val="24"/>
        </w:rPr>
        <w:t>t</w:t>
      </w:r>
      <w:r w:rsidR="00ED479D">
        <w:rPr>
          <w:rFonts w:ascii="Arial" w:hAnsi="Arial" w:cs="Arial"/>
          <w:sz w:val="24"/>
          <w:szCs w:val="24"/>
        </w:rPr>
        <w:t>ion for dispute</w:t>
      </w:r>
      <w:r w:rsidR="006B130E">
        <w:rPr>
          <w:rFonts w:ascii="Arial" w:hAnsi="Arial" w:cs="Arial"/>
          <w:sz w:val="24"/>
          <w:szCs w:val="24"/>
        </w:rPr>
        <w:t>s</w:t>
      </w:r>
      <w:r w:rsidR="00ED479D">
        <w:rPr>
          <w:rFonts w:ascii="Arial" w:hAnsi="Arial" w:cs="Arial"/>
          <w:sz w:val="24"/>
          <w:szCs w:val="24"/>
        </w:rPr>
        <w:t xml:space="preserve"> of that nature to be resolved and determined expeditiously. This approach is even more emphatical</w:t>
      </w:r>
      <w:r w:rsidR="006B130E">
        <w:rPr>
          <w:rFonts w:ascii="Arial" w:hAnsi="Arial" w:cs="Arial"/>
          <w:sz w:val="24"/>
          <w:szCs w:val="24"/>
        </w:rPr>
        <w:t xml:space="preserve">ly reflected in </w:t>
      </w:r>
      <w:r w:rsidR="00037EB2">
        <w:rPr>
          <w:rFonts w:ascii="Arial" w:hAnsi="Arial" w:cs="Arial"/>
          <w:sz w:val="24"/>
          <w:szCs w:val="24"/>
        </w:rPr>
        <w:t xml:space="preserve">the </w:t>
      </w:r>
      <w:r w:rsidR="006B130E">
        <w:rPr>
          <w:rFonts w:ascii="Arial" w:hAnsi="Arial" w:cs="Arial"/>
          <w:sz w:val="24"/>
          <w:szCs w:val="24"/>
        </w:rPr>
        <w:t>current A</w:t>
      </w:r>
      <w:r w:rsidR="00ED479D">
        <w:rPr>
          <w:rFonts w:ascii="Arial" w:hAnsi="Arial" w:cs="Arial"/>
          <w:sz w:val="24"/>
          <w:szCs w:val="24"/>
        </w:rPr>
        <w:t>ct with the shorter period</w:t>
      </w:r>
      <w:r w:rsidR="006B130E">
        <w:rPr>
          <w:rFonts w:ascii="Arial" w:hAnsi="Arial" w:cs="Arial"/>
          <w:sz w:val="24"/>
          <w:szCs w:val="24"/>
        </w:rPr>
        <w:t>s</w:t>
      </w:r>
      <w:r w:rsidR="00ED479D">
        <w:rPr>
          <w:rFonts w:ascii="Arial" w:hAnsi="Arial" w:cs="Arial"/>
          <w:sz w:val="24"/>
          <w:szCs w:val="24"/>
        </w:rPr>
        <w:t xml:space="preserve"> referred to in s86(2) </w:t>
      </w:r>
      <w:r w:rsidR="006B130E">
        <w:rPr>
          <w:rFonts w:ascii="Arial" w:hAnsi="Arial" w:cs="Arial"/>
          <w:sz w:val="24"/>
          <w:szCs w:val="24"/>
        </w:rPr>
        <w:t>without</w:t>
      </w:r>
      <w:r w:rsidR="00ED479D">
        <w:rPr>
          <w:rFonts w:ascii="Arial" w:hAnsi="Arial" w:cs="Arial"/>
          <w:sz w:val="24"/>
          <w:szCs w:val="24"/>
        </w:rPr>
        <w:t xml:space="preserve"> this section </w:t>
      </w:r>
      <w:r w:rsidR="006B130E">
        <w:rPr>
          <w:rFonts w:ascii="Arial" w:hAnsi="Arial" w:cs="Arial"/>
          <w:sz w:val="24"/>
          <w:szCs w:val="24"/>
        </w:rPr>
        <w:t xml:space="preserve">vesting arbitrators or the courts with </w:t>
      </w:r>
      <w:r w:rsidR="00ED479D">
        <w:rPr>
          <w:rFonts w:ascii="Arial" w:hAnsi="Arial" w:cs="Arial"/>
          <w:sz w:val="24"/>
          <w:szCs w:val="24"/>
        </w:rPr>
        <w:t xml:space="preserve">the power to condone the failure to refer the dispute in question within the shorter periods </w:t>
      </w:r>
      <w:r w:rsidR="006B130E">
        <w:rPr>
          <w:rFonts w:ascii="Arial" w:hAnsi="Arial" w:cs="Arial"/>
          <w:sz w:val="24"/>
          <w:szCs w:val="24"/>
        </w:rPr>
        <w:t>provided for – six month</w:t>
      </w:r>
      <w:r w:rsidR="002B7F04">
        <w:rPr>
          <w:rFonts w:ascii="Arial" w:hAnsi="Arial" w:cs="Arial"/>
          <w:sz w:val="24"/>
          <w:szCs w:val="24"/>
        </w:rPr>
        <w:t>s in the case of a dismissal</w:t>
      </w:r>
      <w:r w:rsidR="00ED479D">
        <w:rPr>
          <w:rFonts w:ascii="Arial" w:hAnsi="Arial" w:cs="Arial"/>
          <w:sz w:val="24"/>
          <w:szCs w:val="24"/>
        </w:rPr>
        <w:t xml:space="preserve">. </w:t>
      </w:r>
      <w:r w:rsidR="00037EB2">
        <w:rPr>
          <w:rFonts w:ascii="Arial" w:hAnsi="Arial" w:cs="Arial"/>
          <w:sz w:val="24"/>
          <w:szCs w:val="24"/>
        </w:rPr>
        <w:t>These considerations would indicate a statutory intention that the Prescription Act should apply to labour related debts and that they should be extinguished by the prescriptive period of 3 years</w:t>
      </w:r>
      <w:r w:rsidR="00432DEF">
        <w:rPr>
          <w:rFonts w:ascii="Arial" w:hAnsi="Arial" w:cs="Arial"/>
          <w:sz w:val="24"/>
          <w:szCs w:val="24"/>
        </w:rPr>
        <w:t xml:space="preserve"> and certainly in the case of s24</w:t>
      </w:r>
      <w:r w:rsidR="00037EB2">
        <w:rPr>
          <w:rFonts w:ascii="Arial" w:hAnsi="Arial" w:cs="Arial"/>
          <w:sz w:val="24"/>
          <w:szCs w:val="24"/>
        </w:rPr>
        <w:t xml:space="preserve">. </w:t>
      </w:r>
      <w:r w:rsidR="00ED479D">
        <w:rPr>
          <w:rFonts w:ascii="Arial" w:hAnsi="Arial" w:cs="Arial"/>
          <w:sz w:val="24"/>
          <w:szCs w:val="24"/>
        </w:rPr>
        <w:t xml:space="preserve">This </w:t>
      </w:r>
      <w:r w:rsidR="00037EB2">
        <w:rPr>
          <w:rFonts w:ascii="Arial" w:hAnsi="Arial" w:cs="Arial"/>
          <w:sz w:val="24"/>
          <w:szCs w:val="24"/>
        </w:rPr>
        <w:t xml:space="preserve">is also the </w:t>
      </w:r>
      <w:r w:rsidR="00ED479D">
        <w:rPr>
          <w:rFonts w:ascii="Arial" w:hAnsi="Arial" w:cs="Arial"/>
          <w:sz w:val="24"/>
          <w:szCs w:val="24"/>
        </w:rPr>
        <w:t xml:space="preserve">approach of the South African courts. </w:t>
      </w:r>
    </w:p>
    <w:p w:rsidR="00432DEF" w:rsidRDefault="00432DEF" w:rsidP="009673E5">
      <w:pPr>
        <w:spacing w:after="0" w:line="360" w:lineRule="auto"/>
        <w:jc w:val="both"/>
        <w:rPr>
          <w:rFonts w:ascii="Arial" w:hAnsi="Arial" w:cs="Arial"/>
          <w:sz w:val="24"/>
          <w:szCs w:val="24"/>
        </w:rPr>
      </w:pPr>
    </w:p>
    <w:p w:rsidR="00ED479D" w:rsidRDefault="00FF2266" w:rsidP="009673E5">
      <w:pPr>
        <w:spacing w:after="0" w:line="360" w:lineRule="auto"/>
        <w:jc w:val="both"/>
        <w:rPr>
          <w:rFonts w:ascii="Arial" w:hAnsi="Arial" w:cs="Arial"/>
          <w:sz w:val="24"/>
          <w:szCs w:val="24"/>
        </w:rPr>
      </w:pPr>
      <w:r>
        <w:rPr>
          <w:rFonts w:ascii="Arial" w:hAnsi="Arial" w:cs="Arial"/>
          <w:sz w:val="24"/>
          <w:szCs w:val="24"/>
        </w:rPr>
        <w:t>[34</w:t>
      </w:r>
      <w:r w:rsidR="00ED479D">
        <w:rPr>
          <w:rFonts w:ascii="Arial" w:hAnsi="Arial" w:cs="Arial"/>
          <w:sz w:val="24"/>
          <w:szCs w:val="24"/>
        </w:rPr>
        <w:t>]</w:t>
      </w:r>
      <w:r w:rsidR="00ED479D">
        <w:rPr>
          <w:rFonts w:ascii="Arial" w:hAnsi="Arial" w:cs="Arial"/>
          <w:sz w:val="24"/>
          <w:szCs w:val="24"/>
        </w:rPr>
        <w:tab/>
        <w:t xml:space="preserve">I agree with the submission by Mr Maasdorp that the provisions of s24 of the 1992 </w:t>
      </w:r>
      <w:r w:rsidR="002B7F04">
        <w:rPr>
          <w:rFonts w:ascii="Arial" w:hAnsi="Arial" w:cs="Arial"/>
          <w:sz w:val="24"/>
          <w:szCs w:val="24"/>
        </w:rPr>
        <w:t>A</w:t>
      </w:r>
      <w:r w:rsidR="00ED479D">
        <w:rPr>
          <w:rFonts w:ascii="Arial" w:hAnsi="Arial" w:cs="Arial"/>
          <w:sz w:val="24"/>
          <w:szCs w:val="24"/>
        </w:rPr>
        <w:t xml:space="preserve">ct read with </w:t>
      </w:r>
      <w:r>
        <w:rPr>
          <w:rFonts w:ascii="Arial" w:hAnsi="Arial" w:cs="Arial"/>
          <w:sz w:val="24"/>
          <w:szCs w:val="24"/>
        </w:rPr>
        <w:t xml:space="preserve">the transitional provisions in </w:t>
      </w:r>
      <w:r w:rsidR="00ED479D">
        <w:rPr>
          <w:rFonts w:ascii="Arial" w:hAnsi="Arial" w:cs="Arial"/>
          <w:sz w:val="24"/>
          <w:szCs w:val="24"/>
        </w:rPr>
        <w:t xml:space="preserve">the current </w:t>
      </w:r>
      <w:r w:rsidR="002B7F04">
        <w:rPr>
          <w:rFonts w:ascii="Arial" w:hAnsi="Arial" w:cs="Arial"/>
          <w:sz w:val="24"/>
          <w:szCs w:val="24"/>
        </w:rPr>
        <w:t>A</w:t>
      </w:r>
      <w:r w:rsidR="00ED479D">
        <w:rPr>
          <w:rFonts w:ascii="Arial" w:hAnsi="Arial" w:cs="Arial"/>
          <w:sz w:val="24"/>
          <w:szCs w:val="24"/>
        </w:rPr>
        <w:t xml:space="preserve">ct are procedural provisions </w:t>
      </w:r>
      <w:r w:rsidR="00432DEF">
        <w:rPr>
          <w:rFonts w:ascii="Arial" w:hAnsi="Arial" w:cs="Arial"/>
          <w:sz w:val="24"/>
          <w:szCs w:val="24"/>
        </w:rPr>
        <w:t xml:space="preserve">(and not substantive) </w:t>
      </w:r>
      <w:r w:rsidR="00ED479D">
        <w:rPr>
          <w:rFonts w:ascii="Arial" w:hAnsi="Arial" w:cs="Arial"/>
          <w:sz w:val="24"/>
          <w:szCs w:val="24"/>
        </w:rPr>
        <w:t>which do not affect application of prescript</w:t>
      </w:r>
      <w:r w:rsidR="002B7F04">
        <w:rPr>
          <w:rFonts w:ascii="Arial" w:hAnsi="Arial" w:cs="Arial"/>
          <w:sz w:val="24"/>
          <w:szCs w:val="24"/>
        </w:rPr>
        <w:t>ion under</w:t>
      </w:r>
      <w:r w:rsidR="00ED479D">
        <w:rPr>
          <w:rFonts w:ascii="Arial" w:hAnsi="Arial" w:cs="Arial"/>
          <w:sz w:val="24"/>
          <w:szCs w:val="24"/>
        </w:rPr>
        <w:t xml:space="preserve"> </w:t>
      </w:r>
      <w:r>
        <w:rPr>
          <w:rFonts w:ascii="Arial" w:hAnsi="Arial" w:cs="Arial"/>
          <w:sz w:val="24"/>
          <w:szCs w:val="24"/>
        </w:rPr>
        <w:t>C</w:t>
      </w:r>
      <w:r w:rsidR="00ED479D">
        <w:rPr>
          <w:rFonts w:ascii="Arial" w:hAnsi="Arial" w:cs="Arial"/>
          <w:sz w:val="24"/>
          <w:szCs w:val="24"/>
        </w:rPr>
        <w:t xml:space="preserve">hapter </w:t>
      </w:r>
      <w:r>
        <w:rPr>
          <w:rFonts w:ascii="Arial" w:hAnsi="Arial" w:cs="Arial"/>
          <w:sz w:val="24"/>
          <w:szCs w:val="24"/>
        </w:rPr>
        <w:t>III</w:t>
      </w:r>
      <w:r w:rsidR="00ED479D">
        <w:rPr>
          <w:rFonts w:ascii="Arial" w:hAnsi="Arial" w:cs="Arial"/>
          <w:sz w:val="24"/>
          <w:szCs w:val="24"/>
        </w:rPr>
        <w:t xml:space="preserve"> of the </w:t>
      </w:r>
      <w:r w:rsidR="002B7F04">
        <w:rPr>
          <w:rFonts w:ascii="Arial" w:hAnsi="Arial" w:cs="Arial"/>
          <w:sz w:val="24"/>
          <w:szCs w:val="24"/>
        </w:rPr>
        <w:t>P</w:t>
      </w:r>
      <w:r w:rsidR="00ED479D">
        <w:rPr>
          <w:rFonts w:ascii="Arial" w:hAnsi="Arial" w:cs="Arial"/>
          <w:sz w:val="24"/>
          <w:szCs w:val="24"/>
        </w:rPr>
        <w:t xml:space="preserve">rescription </w:t>
      </w:r>
      <w:r w:rsidR="002B7F04">
        <w:rPr>
          <w:rFonts w:ascii="Arial" w:hAnsi="Arial" w:cs="Arial"/>
          <w:sz w:val="24"/>
          <w:szCs w:val="24"/>
        </w:rPr>
        <w:t>A</w:t>
      </w:r>
      <w:r w:rsidR="00ED479D">
        <w:rPr>
          <w:rFonts w:ascii="Arial" w:hAnsi="Arial" w:cs="Arial"/>
          <w:sz w:val="24"/>
          <w:szCs w:val="24"/>
        </w:rPr>
        <w:t>ct in respect of labour matters</w:t>
      </w:r>
      <w:r>
        <w:rPr>
          <w:rStyle w:val="FootnoteReference"/>
          <w:rFonts w:ascii="Arial" w:hAnsi="Arial" w:cs="Arial"/>
          <w:sz w:val="24"/>
          <w:szCs w:val="24"/>
        </w:rPr>
        <w:footnoteReference w:id="11"/>
      </w:r>
      <w:r w:rsidR="00ED479D">
        <w:rPr>
          <w:rFonts w:ascii="Arial" w:hAnsi="Arial" w:cs="Arial"/>
          <w:sz w:val="24"/>
          <w:szCs w:val="24"/>
        </w:rPr>
        <w:t xml:space="preserve">. I accordingly conclude that the provisions of the </w:t>
      </w:r>
      <w:r w:rsidR="002B7F04">
        <w:rPr>
          <w:rFonts w:ascii="Arial" w:hAnsi="Arial" w:cs="Arial"/>
          <w:sz w:val="24"/>
          <w:szCs w:val="24"/>
        </w:rPr>
        <w:t>P</w:t>
      </w:r>
      <w:r w:rsidR="00ED479D">
        <w:rPr>
          <w:rFonts w:ascii="Arial" w:hAnsi="Arial" w:cs="Arial"/>
          <w:sz w:val="24"/>
          <w:szCs w:val="24"/>
        </w:rPr>
        <w:t xml:space="preserve">rescription </w:t>
      </w:r>
      <w:r w:rsidR="002B7F04">
        <w:rPr>
          <w:rFonts w:ascii="Arial" w:hAnsi="Arial" w:cs="Arial"/>
          <w:sz w:val="24"/>
          <w:szCs w:val="24"/>
        </w:rPr>
        <w:t>A</w:t>
      </w:r>
      <w:r w:rsidR="00ED479D">
        <w:rPr>
          <w:rFonts w:ascii="Arial" w:hAnsi="Arial" w:cs="Arial"/>
          <w:sz w:val="24"/>
          <w:szCs w:val="24"/>
        </w:rPr>
        <w:t xml:space="preserve">ct would apply to labour matters and debts arising </w:t>
      </w:r>
      <w:r w:rsidR="002B7F04">
        <w:rPr>
          <w:rFonts w:ascii="Arial" w:hAnsi="Arial" w:cs="Arial"/>
          <w:sz w:val="24"/>
          <w:szCs w:val="24"/>
        </w:rPr>
        <w:t>from</w:t>
      </w:r>
      <w:r w:rsidR="00ED479D">
        <w:rPr>
          <w:rFonts w:ascii="Arial" w:hAnsi="Arial" w:cs="Arial"/>
          <w:sz w:val="24"/>
          <w:szCs w:val="24"/>
        </w:rPr>
        <w:t xml:space="preserve"> the 1992 </w:t>
      </w:r>
      <w:r w:rsidR="002B7F04">
        <w:rPr>
          <w:rFonts w:ascii="Arial" w:hAnsi="Arial" w:cs="Arial"/>
          <w:sz w:val="24"/>
          <w:szCs w:val="24"/>
        </w:rPr>
        <w:t>A</w:t>
      </w:r>
      <w:r w:rsidR="00ED479D">
        <w:rPr>
          <w:rFonts w:ascii="Arial" w:hAnsi="Arial" w:cs="Arial"/>
          <w:sz w:val="24"/>
          <w:szCs w:val="24"/>
        </w:rPr>
        <w:t>ct.</w:t>
      </w:r>
    </w:p>
    <w:p w:rsidR="00ED479D" w:rsidRDefault="00ED479D" w:rsidP="009673E5">
      <w:pPr>
        <w:spacing w:after="0" w:line="360" w:lineRule="auto"/>
        <w:jc w:val="both"/>
        <w:rPr>
          <w:rFonts w:ascii="Arial" w:hAnsi="Arial" w:cs="Arial"/>
          <w:sz w:val="24"/>
          <w:szCs w:val="24"/>
        </w:rPr>
      </w:pPr>
    </w:p>
    <w:p w:rsidR="00ED479D" w:rsidRDefault="00FF2266" w:rsidP="009673E5">
      <w:pPr>
        <w:spacing w:after="0" w:line="360" w:lineRule="auto"/>
        <w:jc w:val="both"/>
        <w:rPr>
          <w:rFonts w:ascii="Arial" w:hAnsi="Arial" w:cs="Arial"/>
          <w:sz w:val="24"/>
          <w:szCs w:val="24"/>
        </w:rPr>
      </w:pPr>
      <w:r>
        <w:rPr>
          <w:rFonts w:ascii="Arial" w:hAnsi="Arial" w:cs="Arial"/>
          <w:sz w:val="24"/>
          <w:szCs w:val="24"/>
        </w:rPr>
        <w:t>[35</w:t>
      </w:r>
      <w:r w:rsidR="00ED479D">
        <w:rPr>
          <w:rFonts w:ascii="Arial" w:hAnsi="Arial" w:cs="Arial"/>
          <w:sz w:val="24"/>
          <w:szCs w:val="24"/>
        </w:rPr>
        <w:t>]</w:t>
      </w:r>
      <w:r w:rsidR="00ED479D">
        <w:rPr>
          <w:rFonts w:ascii="Arial" w:hAnsi="Arial" w:cs="Arial"/>
          <w:sz w:val="24"/>
          <w:szCs w:val="24"/>
        </w:rPr>
        <w:tab/>
      </w:r>
      <w:r w:rsidR="002B7F04">
        <w:rPr>
          <w:rFonts w:ascii="Arial" w:hAnsi="Arial" w:cs="Arial"/>
          <w:sz w:val="24"/>
          <w:szCs w:val="24"/>
        </w:rPr>
        <w:t xml:space="preserve">There were no allegations of prescription </w:t>
      </w:r>
      <w:r w:rsidR="00432DEF">
        <w:rPr>
          <w:rFonts w:ascii="Arial" w:hAnsi="Arial" w:cs="Arial"/>
          <w:sz w:val="24"/>
          <w:szCs w:val="24"/>
        </w:rPr>
        <w:t xml:space="preserve">being interrupted </w:t>
      </w:r>
      <w:r w:rsidR="002B7F04">
        <w:rPr>
          <w:rFonts w:ascii="Arial" w:hAnsi="Arial" w:cs="Arial"/>
          <w:sz w:val="24"/>
          <w:szCs w:val="24"/>
        </w:rPr>
        <w:t>by the respondent. It would clearly follow</w:t>
      </w:r>
      <w:r w:rsidR="00ED479D">
        <w:rPr>
          <w:rFonts w:ascii="Arial" w:hAnsi="Arial" w:cs="Arial"/>
          <w:sz w:val="24"/>
          <w:szCs w:val="24"/>
        </w:rPr>
        <w:t xml:space="preserve"> that the respondent’s claim for </w:t>
      </w:r>
      <w:r w:rsidR="002B7F04">
        <w:rPr>
          <w:rFonts w:ascii="Arial" w:hAnsi="Arial" w:cs="Arial"/>
          <w:sz w:val="24"/>
          <w:szCs w:val="24"/>
        </w:rPr>
        <w:t>constructive</w:t>
      </w:r>
      <w:r w:rsidR="00ED479D">
        <w:rPr>
          <w:rFonts w:ascii="Arial" w:hAnsi="Arial" w:cs="Arial"/>
          <w:sz w:val="24"/>
          <w:szCs w:val="24"/>
        </w:rPr>
        <w:t xml:space="preserve"> dismissal would, even on the assumption that </w:t>
      </w:r>
      <w:r w:rsidR="002469E3">
        <w:rPr>
          <w:rFonts w:ascii="Arial" w:hAnsi="Arial" w:cs="Arial"/>
          <w:sz w:val="24"/>
          <w:szCs w:val="24"/>
        </w:rPr>
        <w:t>prescription only commence</w:t>
      </w:r>
      <w:r w:rsidR="002B7F04">
        <w:rPr>
          <w:rFonts w:ascii="Arial" w:hAnsi="Arial" w:cs="Arial"/>
          <w:sz w:val="24"/>
          <w:szCs w:val="24"/>
        </w:rPr>
        <w:t>d</w:t>
      </w:r>
      <w:r w:rsidR="002469E3">
        <w:rPr>
          <w:rFonts w:ascii="Arial" w:hAnsi="Arial" w:cs="Arial"/>
          <w:sz w:val="24"/>
          <w:szCs w:val="24"/>
        </w:rPr>
        <w:t xml:space="preserve"> to run in 2003</w:t>
      </w:r>
      <w:r w:rsidR="00432DEF">
        <w:rPr>
          <w:rFonts w:ascii="Arial" w:hAnsi="Arial" w:cs="Arial"/>
          <w:sz w:val="24"/>
          <w:szCs w:val="24"/>
        </w:rPr>
        <w:t>,</w:t>
      </w:r>
      <w:r w:rsidR="00916CED">
        <w:rPr>
          <w:rFonts w:ascii="Arial" w:hAnsi="Arial" w:cs="Arial"/>
          <w:sz w:val="24"/>
          <w:szCs w:val="24"/>
        </w:rPr>
        <w:t xml:space="preserve"> which would need to be established, had become prescribed prior to its referral in September 2009.</w:t>
      </w:r>
    </w:p>
    <w:p w:rsidR="00916CED" w:rsidRDefault="00916CED" w:rsidP="009673E5">
      <w:pPr>
        <w:spacing w:after="0" w:line="360" w:lineRule="auto"/>
        <w:jc w:val="both"/>
        <w:rPr>
          <w:rFonts w:ascii="Arial" w:hAnsi="Arial" w:cs="Arial"/>
          <w:sz w:val="24"/>
          <w:szCs w:val="24"/>
        </w:rPr>
      </w:pPr>
    </w:p>
    <w:p w:rsidR="00916CED" w:rsidRDefault="00FF2266" w:rsidP="009673E5">
      <w:pPr>
        <w:spacing w:after="0" w:line="360" w:lineRule="auto"/>
        <w:jc w:val="both"/>
        <w:rPr>
          <w:rFonts w:ascii="Arial" w:hAnsi="Arial" w:cs="Arial"/>
          <w:sz w:val="24"/>
          <w:szCs w:val="24"/>
        </w:rPr>
      </w:pPr>
      <w:r>
        <w:rPr>
          <w:rFonts w:ascii="Arial" w:hAnsi="Arial" w:cs="Arial"/>
          <w:sz w:val="24"/>
          <w:szCs w:val="24"/>
        </w:rPr>
        <w:t>[36</w:t>
      </w:r>
      <w:r w:rsidR="00916CED">
        <w:rPr>
          <w:rFonts w:ascii="Arial" w:hAnsi="Arial" w:cs="Arial"/>
          <w:sz w:val="24"/>
          <w:szCs w:val="24"/>
        </w:rPr>
        <w:t>]</w:t>
      </w:r>
      <w:r w:rsidR="00916CED">
        <w:rPr>
          <w:rFonts w:ascii="Arial" w:hAnsi="Arial" w:cs="Arial"/>
          <w:sz w:val="24"/>
          <w:szCs w:val="24"/>
        </w:rPr>
        <w:tab/>
        <w:t xml:space="preserve">It </w:t>
      </w:r>
      <w:r w:rsidR="002B7F04">
        <w:rPr>
          <w:rFonts w:ascii="Arial" w:hAnsi="Arial" w:cs="Arial"/>
          <w:sz w:val="24"/>
          <w:szCs w:val="24"/>
        </w:rPr>
        <w:t xml:space="preserve">further </w:t>
      </w:r>
      <w:r w:rsidR="00916CED">
        <w:rPr>
          <w:rFonts w:ascii="Arial" w:hAnsi="Arial" w:cs="Arial"/>
          <w:sz w:val="24"/>
          <w:szCs w:val="24"/>
        </w:rPr>
        <w:t>follows that the appeal against the finding by the arbitrator that the first respondent complaint had not prescribed is to be upheld</w:t>
      </w:r>
      <w:r w:rsidR="00432DEF">
        <w:rPr>
          <w:rFonts w:ascii="Arial" w:hAnsi="Arial" w:cs="Arial"/>
          <w:sz w:val="24"/>
          <w:szCs w:val="24"/>
        </w:rPr>
        <w:t xml:space="preserve"> as the first respondent’s claim had become prescribed</w:t>
      </w:r>
      <w:r w:rsidR="00916CED">
        <w:rPr>
          <w:rFonts w:ascii="Arial" w:hAnsi="Arial" w:cs="Arial"/>
          <w:sz w:val="24"/>
          <w:szCs w:val="24"/>
        </w:rPr>
        <w:t xml:space="preserve">. Given the provisions </w:t>
      </w:r>
      <w:r w:rsidR="00767E58">
        <w:rPr>
          <w:rFonts w:ascii="Arial" w:hAnsi="Arial" w:cs="Arial"/>
          <w:sz w:val="24"/>
          <w:szCs w:val="24"/>
        </w:rPr>
        <w:t>of</w:t>
      </w:r>
      <w:r w:rsidR="00916CED">
        <w:rPr>
          <w:rFonts w:ascii="Arial" w:hAnsi="Arial" w:cs="Arial"/>
          <w:sz w:val="24"/>
          <w:szCs w:val="24"/>
        </w:rPr>
        <w:t xml:space="preserve"> s118 of the</w:t>
      </w:r>
      <w:r w:rsidR="00432DEF">
        <w:rPr>
          <w:rFonts w:ascii="Arial" w:hAnsi="Arial" w:cs="Arial"/>
          <w:sz w:val="24"/>
          <w:szCs w:val="24"/>
        </w:rPr>
        <w:t xml:space="preserve"> Act</w:t>
      </w:r>
      <w:r w:rsidR="00916CED">
        <w:rPr>
          <w:rFonts w:ascii="Arial" w:hAnsi="Arial" w:cs="Arial"/>
          <w:sz w:val="24"/>
          <w:szCs w:val="24"/>
        </w:rPr>
        <w:t>, there is no order as to costs.</w:t>
      </w:r>
    </w:p>
    <w:p w:rsidR="00D970C4" w:rsidRDefault="00D970C4" w:rsidP="009673E5">
      <w:pPr>
        <w:spacing w:after="0" w:line="360" w:lineRule="auto"/>
        <w:jc w:val="both"/>
        <w:rPr>
          <w:rFonts w:ascii="Arial" w:hAnsi="Arial" w:cs="Arial"/>
          <w:sz w:val="24"/>
          <w:szCs w:val="24"/>
        </w:rPr>
      </w:pPr>
    </w:p>
    <w:p w:rsidR="008624F4" w:rsidRDefault="00FF2266" w:rsidP="00AB0465">
      <w:pPr>
        <w:tabs>
          <w:tab w:val="right" w:pos="9360"/>
        </w:tabs>
        <w:spacing w:after="0" w:line="360" w:lineRule="auto"/>
        <w:jc w:val="both"/>
        <w:rPr>
          <w:rFonts w:ascii="Arial" w:hAnsi="Arial" w:cs="Arial"/>
          <w:sz w:val="24"/>
          <w:szCs w:val="24"/>
        </w:rPr>
      </w:pPr>
      <w:r>
        <w:rPr>
          <w:rFonts w:ascii="Arial" w:hAnsi="Arial" w:cs="Arial"/>
          <w:sz w:val="24"/>
          <w:szCs w:val="24"/>
        </w:rPr>
        <w:tab/>
      </w:r>
    </w:p>
    <w:p w:rsidR="008958D4" w:rsidRPr="00AB0465" w:rsidRDefault="008624F4" w:rsidP="00AB0465">
      <w:pPr>
        <w:tabs>
          <w:tab w:val="right" w:pos="9360"/>
        </w:tabs>
        <w:spacing w:after="0" w:line="360" w:lineRule="auto"/>
        <w:jc w:val="both"/>
        <w:rPr>
          <w:rFonts w:ascii="Arial" w:hAnsi="Arial" w:cs="Arial"/>
          <w:sz w:val="24"/>
          <w:szCs w:val="24"/>
        </w:rPr>
      </w:pPr>
      <w:r>
        <w:rPr>
          <w:rFonts w:ascii="Arial" w:hAnsi="Arial" w:cs="Arial"/>
          <w:sz w:val="24"/>
          <w:szCs w:val="24"/>
        </w:rPr>
        <w:tab/>
      </w:r>
      <w:r w:rsidR="008958D4" w:rsidRPr="00AB0465">
        <w:rPr>
          <w:rFonts w:ascii="Arial" w:hAnsi="Arial" w:cs="Arial"/>
          <w:sz w:val="24"/>
          <w:szCs w:val="24"/>
        </w:rPr>
        <w:t>_____________</w:t>
      </w:r>
    </w:p>
    <w:p w:rsidR="000C5489" w:rsidRDefault="00AB0465" w:rsidP="008624F4">
      <w:pPr>
        <w:tabs>
          <w:tab w:val="right" w:pos="9360"/>
        </w:tabs>
        <w:spacing w:after="0" w:line="360" w:lineRule="auto"/>
        <w:ind w:left="1440" w:hanging="1440"/>
        <w:jc w:val="both"/>
        <w:rPr>
          <w:rFonts w:ascii="Arial" w:hAnsi="Arial" w:cs="Arial"/>
          <w:sz w:val="24"/>
          <w:szCs w:val="24"/>
        </w:rPr>
      </w:pPr>
      <w:r w:rsidRPr="00AB0465">
        <w:rPr>
          <w:rFonts w:ascii="Arial" w:hAnsi="Arial" w:cs="Arial"/>
          <w:sz w:val="24"/>
          <w:szCs w:val="24"/>
        </w:rPr>
        <w:tab/>
      </w:r>
      <w:r w:rsidRPr="00AB0465">
        <w:rPr>
          <w:rFonts w:ascii="Arial" w:hAnsi="Arial" w:cs="Arial"/>
          <w:sz w:val="24"/>
          <w:szCs w:val="24"/>
        </w:rPr>
        <w:tab/>
      </w:r>
      <w:r w:rsidR="008624F4">
        <w:rPr>
          <w:rFonts w:ascii="Arial" w:hAnsi="Arial" w:cs="Arial"/>
          <w:sz w:val="24"/>
          <w:szCs w:val="24"/>
        </w:rPr>
        <w:t>D</w:t>
      </w:r>
      <w:r w:rsidR="00892C37">
        <w:rPr>
          <w:rFonts w:ascii="Arial" w:hAnsi="Arial" w:cs="Arial"/>
          <w:sz w:val="24"/>
          <w:szCs w:val="24"/>
        </w:rPr>
        <w:t xml:space="preserve">F </w:t>
      </w:r>
      <w:r w:rsidR="0026780A" w:rsidRPr="00AB0465">
        <w:rPr>
          <w:rFonts w:ascii="Arial" w:hAnsi="Arial" w:cs="Arial"/>
          <w:sz w:val="24"/>
          <w:szCs w:val="24"/>
        </w:rPr>
        <w:t>SMUTS</w:t>
      </w:r>
    </w:p>
    <w:p w:rsidR="00A129D5" w:rsidRPr="00126A04" w:rsidRDefault="00892C37" w:rsidP="00126A04">
      <w:pPr>
        <w:tabs>
          <w:tab w:val="right" w:pos="9360"/>
        </w:tabs>
        <w:spacing w:after="0" w:line="360" w:lineRule="auto"/>
        <w:ind w:left="1440" w:hanging="1440"/>
        <w:jc w:val="both"/>
        <w:rPr>
          <w:rFonts w:ascii="Arial" w:hAnsi="Arial" w:cs="Arial"/>
          <w:sz w:val="24"/>
          <w:szCs w:val="24"/>
        </w:rPr>
      </w:pPr>
      <w:r>
        <w:rPr>
          <w:rFonts w:ascii="Arial" w:hAnsi="Arial" w:cs="Arial"/>
          <w:sz w:val="24"/>
          <w:szCs w:val="24"/>
        </w:rPr>
        <w:tab/>
      </w:r>
      <w:r>
        <w:rPr>
          <w:rFonts w:ascii="Arial" w:hAnsi="Arial" w:cs="Arial"/>
          <w:sz w:val="24"/>
          <w:szCs w:val="24"/>
        </w:rPr>
        <w:tab/>
        <w:t>Judge</w:t>
      </w:r>
    </w:p>
    <w:p w:rsidR="00F36186" w:rsidRDefault="00F36186" w:rsidP="00126A04">
      <w:pPr>
        <w:rPr>
          <w:rFonts w:ascii="Arial" w:hAnsi="Arial" w:cs="Arial"/>
        </w:rPr>
      </w:pPr>
      <w:r>
        <w:rPr>
          <w:rFonts w:ascii="Arial" w:hAnsi="Arial" w:cs="Arial"/>
          <w:sz w:val="24"/>
          <w:szCs w:val="24"/>
        </w:rPr>
        <w:br w:type="page"/>
      </w:r>
      <w:r w:rsidRPr="00AA10AC">
        <w:rPr>
          <w:rFonts w:ascii="Arial" w:hAnsi="Arial" w:cs="Arial"/>
        </w:rPr>
        <w:lastRenderedPageBreak/>
        <w:t>APPEARANCES</w:t>
      </w:r>
    </w:p>
    <w:p w:rsidR="00D72957" w:rsidRDefault="00D72957" w:rsidP="00F36186">
      <w:pPr>
        <w:pStyle w:val="BodyText"/>
        <w:autoSpaceDE w:val="0"/>
        <w:autoSpaceDN w:val="0"/>
        <w:adjustRightInd w:val="0"/>
        <w:spacing w:line="360" w:lineRule="auto"/>
        <w:jc w:val="both"/>
        <w:rPr>
          <w:rFonts w:ascii="Arial" w:hAnsi="Arial" w:cs="Arial"/>
        </w:rPr>
      </w:pPr>
    </w:p>
    <w:p w:rsidR="00D72957" w:rsidRDefault="00D72957" w:rsidP="00F36186">
      <w:pPr>
        <w:pStyle w:val="BodyText"/>
        <w:autoSpaceDE w:val="0"/>
        <w:autoSpaceDN w:val="0"/>
        <w:adjustRightInd w:val="0"/>
        <w:spacing w:line="360" w:lineRule="auto"/>
        <w:jc w:val="both"/>
        <w:rPr>
          <w:rFonts w:ascii="Arial" w:hAnsi="Arial" w:cs="Arial"/>
        </w:rPr>
      </w:pPr>
      <w:r>
        <w:rPr>
          <w:rFonts w:ascii="Arial" w:hAnsi="Arial" w:cs="Arial"/>
        </w:rPr>
        <w:t>APPLICANT:</w:t>
      </w:r>
      <w:r>
        <w:rPr>
          <w:rFonts w:ascii="Arial" w:hAnsi="Arial" w:cs="Arial"/>
        </w:rPr>
        <w:tab/>
      </w:r>
      <w:r>
        <w:rPr>
          <w:rFonts w:ascii="Arial" w:hAnsi="Arial" w:cs="Arial"/>
        </w:rPr>
        <w:tab/>
      </w:r>
      <w:r>
        <w:rPr>
          <w:rFonts w:ascii="Arial" w:hAnsi="Arial" w:cs="Arial"/>
        </w:rPr>
        <w:tab/>
      </w:r>
      <w:r>
        <w:rPr>
          <w:rFonts w:ascii="Arial" w:hAnsi="Arial" w:cs="Arial"/>
        </w:rPr>
        <w:tab/>
      </w:r>
      <w:r w:rsidR="00DF0D2A">
        <w:rPr>
          <w:rFonts w:ascii="Arial" w:hAnsi="Arial" w:cs="Arial"/>
        </w:rPr>
        <w:t xml:space="preserve">R </w:t>
      </w:r>
      <w:r w:rsidR="00A814B4">
        <w:rPr>
          <w:rFonts w:ascii="Arial" w:hAnsi="Arial" w:cs="Arial"/>
        </w:rPr>
        <w:t>Maasdorp</w:t>
      </w:r>
    </w:p>
    <w:p w:rsidR="00D72957" w:rsidRDefault="00D72957" w:rsidP="00F36186">
      <w:pPr>
        <w:pStyle w:val="BodyText"/>
        <w:autoSpaceDE w:val="0"/>
        <w:autoSpaceDN w:val="0"/>
        <w:adjustRightInd w:val="0"/>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Instructed by G.F Köpplinger Legal Practitioners</w:t>
      </w:r>
    </w:p>
    <w:p w:rsidR="00D72957" w:rsidRDefault="00D72957" w:rsidP="00F36186">
      <w:pPr>
        <w:pStyle w:val="BodyText"/>
        <w:autoSpaceDE w:val="0"/>
        <w:autoSpaceDN w:val="0"/>
        <w:adjustRightInd w:val="0"/>
        <w:spacing w:line="360" w:lineRule="auto"/>
        <w:jc w:val="both"/>
        <w:rPr>
          <w:rFonts w:ascii="Arial" w:hAnsi="Arial" w:cs="Arial"/>
        </w:rPr>
      </w:pPr>
    </w:p>
    <w:p w:rsidR="00D72957" w:rsidRDefault="00D72957" w:rsidP="00F36186">
      <w:pPr>
        <w:pStyle w:val="BodyText"/>
        <w:autoSpaceDE w:val="0"/>
        <w:autoSpaceDN w:val="0"/>
        <w:adjustRightInd w:val="0"/>
        <w:spacing w:line="360" w:lineRule="auto"/>
        <w:jc w:val="both"/>
        <w:rPr>
          <w:rFonts w:ascii="Arial" w:hAnsi="Arial" w:cs="Arial"/>
        </w:rPr>
      </w:pPr>
      <w:r>
        <w:rPr>
          <w:rFonts w:ascii="Arial" w:hAnsi="Arial" w:cs="Arial"/>
        </w:rPr>
        <w:t>RESPONDENT:</w:t>
      </w:r>
      <w:r>
        <w:rPr>
          <w:rFonts w:ascii="Arial" w:hAnsi="Arial" w:cs="Arial"/>
        </w:rPr>
        <w:tab/>
      </w:r>
      <w:r>
        <w:rPr>
          <w:rFonts w:ascii="Arial" w:hAnsi="Arial" w:cs="Arial"/>
        </w:rPr>
        <w:tab/>
      </w:r>
      <w:r>
        <w:rPr>
          <w:rFonts w:ascii="Arial" w:hAnsi="Arial" w:cs="Arial"/>
        </w:rPr>
        <w:tab/>
      </w:r>
      <w:r w:rsidR="0016046E">
        <w:rPr>
          <w:rFonts w:ascii="Arial" w:hAnsi="Arial" w:cs="Arial"/>
        </w:rPr>
        <w:t xml:space="preserve">M </w:t>
      </w:r>
      <w:r w:rsidR="00A814B4">
        <w:rPr>
          <w:rFonts w:ascii="Arial" w:hAnsi="Arial" w:cs="Arial"/>
        </w:rPr>
        <w:t>Ntinda</w:t>
      </w:r>
    </w:p>
    <w:p w:rsidR="00D72957" w:rsidRPr="00AA10AC" w:rsidRDefault="00D72957" w:rsidP="00F36186">
      <w:pPr>
        <w:pStyle w:val="BodyText"/>
        <w:autoSpaceDE w:val="0"/>
        <w:autoSpaceDN w:val="0"/>
        <w:adjustRightInd w:val="0"/>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97ACB">
        <w:rPr>
          <w:rFonts w:ascii="Arial" w:hAnsi="Arial" w:cs="Arial"/>
        </w:rPr>
        <w:t xml:space="preserve">Instructed by </w:t>
      </w:r>
      <w:r w:rsidR="00536D89">
        <w:rPr>
          <w:rFonts w:ascii="Arial" w:hAnsi="Arial" w:cs="Arial"/>
        </w:rPr>
        <w:t>Sisa Namandje &amp; Co.</w:t>
      </w:r>
      <w:r w:rsidR="00D97ACB">
        <w:rPr>
          <w:rFonts w:ascii="Arial" w:hAnsi="Arial" w:cs="Arial"/>
        </w:rPr>
        <w:t xml:space="preserve"> Inc.</w:t>
      </w:r>
    </w:p>
    <w:p w:rsidR="00F36186" w:rsidRPr="00AA10AC" w:rsidRDefault="00F36186" w:rsidP="00F36186">
      <w:pPr>
        <w:pStyle w:val="BodyText"/>
        <w:autoSpaceDE w:val="0"/>
        <w:autoSpaceDN w:val="0"/>
        <w:adjustRightInd w:val="0"/>
        <w:spacing w:line="360" w:lineRule="auto"/>
        <w:jc w:val="both"/>
        <w:rPr>
          <w:rFonts w:ascii="Arial" w:hAnsi="Arial" w:cs="Arial"/>
        </w:rPr>
      </w:pPr>
    </w:p>
    <w:p w:rsidR="00F64BEE" w:rsidRPr="001C002E" w:rsidRDefault="00F64BEE" w:rsidP="00F36186">
      <w:pPr>
        <w:rPr>
          <w:rFonts w:ascii="Arial" w:hAnsi="Arial" w:cs="Arial"/>
          <w:sz w:val="24"/>
          <w:szCs w:val="24"/>
        </w:rPr>
      </w:pPr>
    </w:p>
    <w:sectPr w:rsidR="00F64BEE" w:rsidRPr="001C002E" w:rsidSect="00BB776C">
      <w:headerReference w:type="default" r:id="rId10"/>
      <w:headerReference w:type="first" r:id="rId11"/>
      <w:pgSz w:w="12240" w:h="15840"/>
      <w:pgMar w:top="113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5ED" w:rsidRDefault="007915ED" w:rsidP="001C002E">
      <w:pPr>
        <w:spacing w:after="0" w:line="240" w:lineRule="auto"/>
      </w:pPr>
      <w:r>
        <w:separator/>
      </w:r>
    </w:p>
  </w:endnote>
  <w:endnote w:type="continuationSeparator" w:id="0">
    <w:p w:rsidR="007915ED" w:rsidRDefault="007915ED" w:rsidP="001C0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5ED" w:rsidRDefault="007915ED" w:rsidP="001C002E">
      <w:pPr>
        <w:spacing w:after="0" w:line="240" w:lineRule="auto"/>
      </w:pPr>
      <w:r>
        <w:separator/>
      </w:r>
    </w:p>
  </w:footnote>
  <w:footnote w:type="continuationSeparator" w:id="0">
    <w:p w:rsidR="007915ED" w:rsidRDefault="007915ED" w:rsidP="001C002E">
      <w:pPr>
        <w:spacing w:after="0" w:line="240" w:lineRule="auto"/>
      </w:pPr>
      <w:r>
        <w:continuationSeparator/>
      </w:r>
    </w:p>
  </w:footnote>
  <w:footnote w:id="1">
    <w:p w:rsidR="00000000" w:rsidRDefault="00E657AB">
      <w:pPr>
        <w:pStyle w:val="FootnoteText"/>
      </w:pPr>
      <w:r>
        <w:rPr>
          <w:rStyle w:val="FootnoteReference"/>
        </w:rPr>
        <w:footnoteRef/>
      </w:r>
      <w:r>
        <w:t xml:space="preserve"> 1991 NR 170 SC at 174-175</w:t>
      </w:r>
    </w:p>
  </w:footnote>
  <w:footnote w:id="2">
    <w:p w:rsidR="00000000" w:rsidRDefault="00E657AB">
      <w:pPr>
        <w:pStyle w:val="FootnoteText"/>
      </w:pPr>
      <w:r>
        <w:rPr>
          <w:rStyle w:val="FootnoteReference"/>
        </w:rPr>
        <w:footnoteRef/>
      </w:r>
      <w:r>
        <w:t xml:space="preserve"> With reliance upon Thiro v M&amp;Z Motors NLLP 2002(2) 370 (NLC) with which J respectfully agree</w:t>
      </w:r>
    </w:p>
  </w:footnote>
  <w:footnote w:id="3">
    <w:p w:rsidR="00000000" w:rsidRDefault="00E657AB">
      <w:pPr>
        <w:pStyle w:val="FootnoteText"/>
      </w:pPr>
      <w:r>
        <w:rPr>
          <w:rStyle w:val="FootnoteReference"/>
        </w:rPr>
        <w:footnoteRef/>
      </w:r>
      <w:r>
        <w:t xml:space="preserve"> Fredericks v Grobler NO and Others [2010] 6 BLLR 644 (LC);</w:t>
      </w:r>
    </w:p>
  </w:footnote>
  <w:footnote w:id="4">
    <w:p w:rsidR="00000000" w:rsidRDefault="00E657AB">
      <w:pPr>
        <w:pStyle w:val="FootnoteText"/>
      </w:pPr>
      <w:r>
        <w:rPr>
          <w:rStyle w:val="FootnoteReference"/>
        </w:rPr>
        <w:footnoteRef/>
      </w:r>
      <w:r>
        <w:t xml:space="preserve"> Supra at par 22</w:t>
      </w:r>
    </w:p>
  </w:footnote>
  <w:footnote w:id="5">
    <w:p w:rsidR="00000000" w:rsidRDefault="00E657AB">
      <w:pPr>
        <w:pStyle w:val="FootnoteText"/>
      </w:pPr>
      <w:r>
        <w:rPr>
          <w:rStyle w:val="FootnoteReference"/>
        </w:rPr>
        <w:footnoteRef/>
      </w:r>
      <w:r>
        <w:t xml:space="preserve"> Food and Allied Worker Union and Others v Country Bird (2012) 33 ILJ 856 (LC)</w:t>
      </w:r>
    </w:p>
  </w:footnote>
  <w:footnote w:id="6">
    <w:p w:rsidR="00000000" w:rsidRDefault="00E657AB">
      <w:pPr>
        <w:pStyle w:val="FootnoteText"/>
      </w:pPr>
      <w:r>
        <w:rPr>
          <w:rStyle w:val="FootnoteReference"/>
        </w:rPr>
        <w:footnoteRef/>
      </w:r>
      <w:r>
        <w:t xml:space="preserve"> MLLP 2002 (267) NLC at 270-271</w:t>
      </w:r>
    </w:p>
  </w:footnote>
  <w:footnote w:id="7">
    <w:p w:rsidR="00000000" w:rsidRDefault="00E657AB">
      <w:pPr>
        <w:pStyle w:val="FootnoteText"/>
      </w:pPr>
      <w:r>
        <w:rPr>
          <w:rStyle w:val="FootnoteReference"/>
        </w:rPr>
        <w:footnoteRef/>
      </w:r>
      <w:r>
        <w:t xml:space="preserve"> Thiro v M&amp;Z Motors NLLP 2002 (2) 370 (NLC) at 378</w:t>
      </w:r>
    </w:p>
  </w:footnote>
  <w:footnote w:id="8">
    <w:p w:rsidR="00000000" w:rsidRDefault="00E657AB">
      <w:pPr>
        <w:pStyle w:val="FootnoteText"/>
      </w:pPr>
      <w:r>
        <w:rPr>
          <w:rStyle w:val="FootnoteReference"/>
        </w:rPr>
        <w:footnoteRef/>
      </w:r>
      <w:r>
        <w:t xml:space="preserve"> Unreported, case LC 68/2010, 30 November 2010</w:t>
      </w:r>
    </w:p>
  </w:footnote>
  <w:footnote w:id="9">
    <w:p w:rsidR="00000000" w:rsidRDefault="00E657AB">
      <w:pPr>
        <w:pStyle w:val="FootnoteText"/>
      </w:pPr>
      <w:r>
        <w:rPr>
          <w:rStyle w:val="FootnoteReference"/>
        </w:rPr>
        <w:footnoteRef/>
      </w:r>
      <w:r>
        <w:t xml:space="preserve"> Unreported, case no. LCA 74/2011 of 29 July 2011</w:t>
      </w:r>
    </w:p>
  </w:footnote>
  <w:footnote w:id="10">
    <w:p w:rsidR="00000000" w:rsidRDefault="00E657AB">
      <w:pPr>
        <w:pStyle w:val="FootnoteText"/>
      </w:pPr>
      <w:r>
        <w:rPr>
          <w:rStyle w:val="FootnoteReference"/>
        </w:rPr>
        <w:footnoteRef/>
      </w:r>
      <w:r>
        <w:t xml:space="preserve"> 2007(2) NR 475 (SC) and the High Court judgment, unreported, Case no. A 190/2003, 16 May 2005</w:t>
      </w:r>
    </w:p>
  </w:footnote>
  <w:footnote w:id="11">
    <w:p w:rsidR="00000000" w:rsidRDefault="00E657AB">
      <w:pPr>
        <w:pStyle w:val="FootnoteText"/>
      </w:pPr>
      <w:r>
        <w:rPr>
          <w:rStyle w:val="FootnoteReference"/>
        </w:rPr>
        <w:footnoteRef/>
      </w:r>
      <w:r w:rsidR="00432DEF">
        <w:t xml:space="preserve"> See generally L</w:t>
      </w:r>
      <w:r>
        <w:t xml:space="preserve">oubser </w:t>
      </w:r>
      <w:r w:rsidRPr="00FF2266">
        <w:rPr>
          <w:u w:val="single"/>
        </w:rPr>
        <w:t>Extinctive Prescription</w:t>
      </w:r>
      <w:r>
        <w:t xml:space="preserve"> (1996) at p20</w:t>
      </w:r>
      <w:r w:rsidR="00432DEF">
        <w:t>. See also Joubert The law of South Africa 2nd ed . vol 21 at p116-118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AB" w:rsidRDefault="007C7BFB">
    <w:pPr>
      <w:pStyle w:val="Header"/>
      <w:jc w:val="right"/>
    </w:pPr>
    <w:r>
      <w:fldChar w:fldCharType="begin"/>
    </w:r>
    <w:r>
      <w:instrText xml:space="preserve"> PAGE   \* MERGEFORMAT </w:instrText>
    </w:r>
    <w:r>
      <w:fldChar w:fldCharType="separate"/>
    </w:r>
    <w:r w:rsidR="005836C5">
      <w:rPr>
        <w:noProof/>
      </w:rPr>
      <w:t>15</w:t>
    </w:r>
    <w:r>
      <w:fldChar w:fldCharType="end"/>
    </w:r>
  </w:p>
  <w:p w:rsidR="00E657AB" w:rsidRDefault="00E657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AB" w:rsidRPr="00BE09AB" w:rsidRDefault="00E657AB">
    <w:pPr>
      <w:pStyle w:val="Header"/>
      <w:rPr>
        <w:sz w:val="24"/>
        <w:szCs w:val="24"/>
        <w:u w:val="single"/>
      </w:rPr>
    </w:pPr>
    <w:r>
      <w:tab/>
    </w:r>
    <w:r>
      <w:tab/>
    </w:r>
    <w:r w:rsidRPr="00BE09AB">
      <w:rPr>
        <w:sz w:val="24"/>
        <w:szCs w:val="24"/>
        <w:u w:val="single"/>
      </w:rPr>
      <w:t>REPORTABLE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A1656"/>
    <w:multiLevelType w:val="hybridMultilevel"/>
    <w:tmpl w:val="FEB63178"/>
    <w:lvl w:ilvl="0" w:tplc="1FC2D52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6B696E9B"/>
    <w:multiLevelType w:val="hybridMultilevel"/>
    <w:tmpl w:val="879017DC"/>
    <w:lvl w:ilvl="0" w:tplc="1DB89D6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7D2375CF"/>
    <w:multiLevelType w:val="hybridMultilevel"/>
    <w:tmpl w:val="17380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2E"/>
    <w:rsid w:val="00002C43"/>
    <w:rsid w:val="00015280"/>
    <w:rsid w:val="00022EFE"/>
    <w:rsid w:val="00023DBA"/>
    <w:rsid w:val="0002607D"/>
    <w:rsid w:val="000303F9"/>
    <w:rsid w:val="00031D4D"/>
    <w:rsid w:val="000329D9"/>
    <w:rsid w:val="00037EB2"/>
    <w:rsid w:val="000415EC"/>
    <w:rsid w:val="00042286"/>
    <w:rsid w:val="00050FEA"/>
    <w:rsid w:val="00051B5D"/>
    <w:rsid w:val="00053250"/>
    <w:rsid w:val="00053836"/>
    <w:rsid w:val="00063130"/>
    <w:rsid w:val="00065566"/>
    <w:rsid w:val="0006621B"/>
    <w:rsid w:val="00067C22"/>
    <w:rsid w:val="00071A11"/>
    <w:rsid w:val="0007449C"/>
    <w:rsid w:val="000745DE"/>
    <w:rsid w:val="00087EDA"/>
    <w:rsid w:val="00092EAA"/>
    <w:rsid w:val="000B1C4F"/>
    <w:rsid w:val="000B466B"/>
    <w:rsid w:val="000C5489"/>
    <w:rsid w:val="000D105E"/>
    <w:rsid w:val="000D4124"/>
    <w:rsid w:val="000E0585"/>
    <w:rsid w:val="000E4ADF"/>
    <w:rsid w:val="000E6034"/>
    <w:rsid w:val="000E7F8F"/>
    <w:rsid w:val="00102A6F"/>
    <w:rsid w:val="00106D34"/>
    <w:rsid w:val="00116BFD"/>
    <w:rsid w:val="001228F5"/>
    <w:rsid w:val="00126A04"/>
    <w:rsid w:val="0013435F"/>
    <w:rsid w:val="00154EEE"/>
    <w:rsid w:val="0015725B"/>
    <w:rsid w:val="0016046E"/>
    <w:rsid w:val="001617ED"/>
    <w:rsid w:val="00164678"/>
    <w:rsid w:val="001677BF"/>
    <w:rsid w:val="00167D6C"/>
    <w:rsid w:val="00170EDF"/>
    <w:rsid w:val="00173433"/>
    <w:rsid w:val="00175F07"/>
    <w:rsid w:val="00176964"/>
    <w:rsid w:val="001939A1"/>
    <w:rsid w:val="00193AF9"/>
    <w:rsid w:val="0019636E"/>
    <w:rsid w:val="001A1690"/>
    <w:rsid w:val="001A4537"/>
    <w:rsid w:val="001A680A"/>
    <w:rsid w:val="001B4C33"/>
    <w:rsid w:val="001B5F13"/>
    <w:rsid w:val="001C002E"/>
    <w:rsid w:val="001C01AC"/>
    <w:rsid w:val="001C1DBB"/>
    <w:rsid w:val="001C4F04"/>
    <w:rsid w:val="001C6D7B"/>
    <w:rsid w:val="001D2223"/>
    <w:rsid w:val="001D517A"/>
    <w:rsid w:val="001E1C75"/>
    <w:rsid w:val="001F0457"/>
    <w:rsid w:val="001F7112"/>
    <w:rsid w:val="001F74D1"/>
    <w:rsid w:val="001F7A72"/>
    <w:rsid w:val="00201355"/>
    <w:rsid w:val="00212CDE"/>
    <w:rsid w:val="00216250"/>
    <w:rsid w:val="0022261F"/>
    <w:rsid w:val="002231F5"/>
    <w:rsid w:val="00232B4A"/>
    <w:rsid w:val="002347AC"/>
    <w:rsid w:val="0023594D"/>
    <w:rsid w:val="002449CA"/>
    <w:rsid w:val="002469E3"/>
    <w:rsid w:val="0026780A"/>
    <w:rsid w:val="00267D4B"/>
    <w:rsid w:val="00273CCD"/>
    <w:rsid w:val="00274B8C"/>
    <w:rsid w:val="00282A42"/>
    <w:rsid w:val="002852C4"/>
    <w:rsid w:val="00292654"/>
    <w:rsid w:val="00295BFF"/>
    <w:rsid w:val="00295C7F"/>
    <w:rsid w:val="002A057A"/>
    <w:rsid w:val="002A0BDF"/>
    <w:rsid w:val="002A3341"/>
    <w:rsid w:val="002A36FE"/>
    <w:rsid w:val="002A5D77"/>
    <w:rsid w:val="002B0C66"/>
    <w:rsid w:val="002B7CD4"/>
    <w:rsid w:val="002B7F04"/>
    <w:rsid w:val="002C0AE3"/>
    <w:rsid w:val="002D27F0"/>
    <w:rsid w:val="002D575A"/>
    <w:rsid w:val="002D683E"/>
    <w:rsid w:val="002D7D70"/>
    <w:rsid w:val="002E3866"/>
    <w:rsid w:val="0030139D"/>
    <w:rsid w:val="0030156C"/>
    <w:rsid w:val="003016C9"/>
    <w:rsid w:val="003053D4"/>
    <w:rsid w:val="003218FD"/>
    <w:rsid w:val="00322910"/>
    <w:rsid w:val="00326E6E"/>
    <w:rsid w:val="0032724C"/>
    <w:rsid w:val="003352C1"/>
    <w:rsid w:val="00337634"/>
    <w:rsid w:val="00356EA1"/>
    <w:rsid w:val="0037667E"/>
    <w:rsid w:val="003812E2"/>
    <w:rsid w:val="003814E0"/>
    <w:rsid w:val="003839C3"/>
    <w:rsid w:val="00385E52"/>
    <w:rsid w:val="00393700"/>
    <w:rsid w:val="00393872"/>
    <w:rsid w:val="003A0873"/>
    <w:rsid w:val="003A21A8"/>
    <w:rsid w:val="003A46F2"/>
    <w:rsid w:val="003A5C2E"/>
    <w:rsid w:val="003B25BB"/>
    <w:rsid w:val="003B617B"/>
    <w:rsid w:val="003C39C1"/>
    <w:rsid w:val="003C5C8A"/>
    <w:rsid w:val="003C6FA7"/>
    <w:rsid w:val="003D4348"/>
    <w:rsid w:val="003D448F"/>
    <w:rsid w:val="003D5156"/>
    <w:rsid w:val="003D63CB"/>
    <w:rsid w:val="003E5ED6"/>
    <w:rsid w:val="003F7778"/>
    <w:rsid w:val="00403CD1"/>
    <w:rsid w:val="00406CDA"/>
    <w:rsid w:val="00407441"/>
    <w:rsid w:val="00407A15"/>
    <w:rsid w:val="004147C3"/>
    <w:rsid w:val="00432ADE"/>
    <w:rsid w:val="00432DEF"/>
    <w:rsid w:val="0043347D"/>
    <w:rsid w:val="00435347"/>
    <w:rsid w:val="0043565E"/>
    <w:rsid w:val="0043598E"/>
    <w:rsid w:val="004627A0"/>
    <w:rsid w:val="004746A8"/>
    <w:rsid w:val="004767D8"/>
    <w:rsid w:val="004822F6"/>
    <w:rsid w:val="0049293C"/>
    <w:rsid w:val="004A21A8"/>
    <w:rsid w:val="004A519C"/>
    <w:rsid w:val="004A5500"/>
    <w:rsid w:val="004A6B22"/>
    <w:rsid w:val="004D3DDE"/>
    <w:rsid w:val="004E342A"/>
    <w:rsid w:val="004F2CA7"/>
    <w:rsid w:val="004F374D"/>
    <w:rsid w:val="004F4AED"/>
    <w:rsid w:val="00500DDE"/>
    <w:rsid w:val="00500EBB"/>
    <w:rsid w:val="00513B8B"/>
    <w:rsid w:val="005216B7"/>
    <w:rsid w:val="00525A85"/>
    <w:rsid w:val="00536D89"/>
    <w:rsid w:val="00537AEE"/>
    <w:rsid w:val="00540D6D"/>
    <w:rsid w:val="00540E09"/>
    <w:rsid w:val="00543CB9"/>
    <w:rsid w:val="00545CEF"/>
    <w:rsid w:val="00563D7A"/>
    <w:rsid w:val="00572F83"/>
    <w:rsid w:val="005738A3"/>
    <w:rsid w:val="00581C8B"/>
    <w:rsid w:val="005836C5"/>
    <w:rsid w:val="0059653E"/>
    <w:rsid w:val="005A1D85"/>
    <w:rsid w:val="005A769A"/>
    <w:rsid w:val="005C0590"/>
    <w:rsid w:val="005C2034"/>
    <w:rsid w:val="005C79A5"/>
    <w:rsid w:val="005D0D51"/>
    <w:rsid w:val="005D1CEC"/>
    <w:rsid w:val="005D7DFC"/>
    <w:rsid w:val="005E125F"/>
    <w:rsid w:val="005E1ADC"/>
    <w:rsid w:val="005E4A68"/>
    <w:rsid w:val="005E5A80"/>
    <w:rsid w:val="005E6DAC"/>
    <w:rsid w:val="005E71CE"/>
    <w:rsid w:val="005F04CE"/>
    <w:rsid w:val="005F1A73"/>
    <w:rsid w:val="005F2231"/>
    <w:rsid w:val="005F2668"/>
    <w:rsid w:val="005F2A70"/>
    <w:rsid w:val="00602D55"/>
    <w:rsid w:val="0060717C"/>
    <w:rsid w:val="00611D06"/>
    <w:rsid w:val="006207D9"/>
    <w:rsid w:val="00630FF3"/>
    <w:rsid w:val="0066670F"/>
    <w:rsid w:val="00675312"/>
    <w:rsid w:val="0068269D"/>
    <w:rsid w:val="00685224"/>
    <w:rsid w:val="00685602"/>
    <w:rsid w:val="006947AA"/>
    <w:rsid w:val="00694B40"/>
    <w:rsid w:val="006A49B9"/>
    <w:rsid w:val="006A7490"/>
    <w:rsid w:val="006A770F"/>
    <w:rsid w:val="006B130E"/>
    <w:rsid w:val="006B2955"/>
    <w:rsid w:val="006D193A"/>
    <w:rsid w:val="006D46ED"/>
    <w:rsid w:val="006E1BDB"/>
    <w:rsid w:val="006E1F62"/>
    <w:rsid w:val="006E3D8B"/>
    <w:rsid w:val="006F458D"/>
    <w:rsid w:val="00702278"/>
    <w:rsid w:val="00710A63"/>
    <w:rsid w:val="00711863"/>
    <w:rsid w:val="00715604"/>
    <w:rsid w:val="00724E79"/>
    <w:rsid w:val="007252B3"/>
    <w:rsid w:val="00737615"/>
    <w:rsid w:val="00737FB7"/>
    <w:rsid w:val="00740524"/>
    <w:rsid w:val="00742554"/>
    <w:rsid w:val="00744A8F"/>
    <w:rsid w:val="00766CE2"/>
    <w:rsid w:val="00767E58"/>
    <w:rsid w:val="00781534"/>
    <w:rsid w:val="00785100"/>
    <w:rsid w:val="00787E9D"/>
    <w:rsid w:val="007915ED"/>
    <w:rsid w:val="00793B7B"/>
    <w:rsid w:val="007A2F80"/>
    <w:rsid w:val="007B490B"/>
    <w:rsid w:val="007C4D0A"/>
    <w:rsid w:val="007C69DC"/>
    <w:rsid w:val="007C7BFB"/>
    <w:rsid w:val="007D0B86"/>
    <w:rsid w:val="007D105B"/>
    <w:rsid w:val="007D1669"/>
    <w:rsid w:val="007D2CCC"/>
    <w:rsid w:val="007E0D0D"/>
    <w:rsid w:val="007E67D2"/>
    <w:rsid w:val="007E7670"/>
    <w:rsid w:val="007F7A03"/>
    <w:rsid w:val="00801036"/>
    <w:rsid w:val="00802315"/>
    <w:rsid w:val="008038EB"/>
    <w:rsid w:val="0081031F"/>
    <w:rsid w:val="008132DF"/>
    <w:rsid w:val="008215D1"/>
    <w:rsid w:val="0082242E"/>
    <w:rsid w:val="008247CB"/>
    <w:rsid w:val="0082723D"/>
    <w:rsid w:val="00837A1C"/>
    <w:rsid w:val="00843DB1"/>
    <w:rsid w:val="00845B3F"/>
    <w:rsid w:val="0085148E"/>
    <w:rsid w:val="0085731D"/>
    <w:rsid w:val="008624F4"/>
    <w:rsid w:val="00863028"/>
    <w:rsid w:val="00864795"/>
    <w:rsid w:val="0086516C"/>
    <w:rsid w:val="00871580"/>
    <w:rsid w:val="00874590"/>
    <w:rsid w:val="008860B5"/>
    <w:rsid w:val="00886347"/>
    <w:rsid w:val="00892C37"/>
    <w:rsid w:val="008958D4"/>
    <w:rsid w:val="008A0956"/>
    <w:rsid w:val="008B28A0"/>
    <w:rsid w:val="008C4EE1"/>
    <w:rsid w:val="008C563A"/>
    <w:rsid w:val="008D2368"/>
    <w:rsid w:val="008E57C8"/>
    <w:rsid w:val="0090362F"/>
    <w:rsid w:val="00907765"/>
    <w:rsid w:val="00910090"/>
    <w:rsid w:val="009111F3"/>
    <w:rsid w:val="00916CED"/>
    <w:rsid w:val="00917E8A"/>
    <w:rsid w:val="00930F11"/>
    <w:rsid w:val="009328BA"/>
    <w:rsid w:val="00937B10"/>
    <w:rsid w:val="00950B27"/>
    <w:rsid w:val="0096071E"/>
    <w:rsid w:val="00963078"/>
    <w:rsid w:val="009673E5"/>
    <w:rsid w:val="00971F75"/>
    <w:rsid w:val="009742D4"/>
    <w:rsid w:val="009767EB"/>
    <w:rsid w:val="00980181"/>
    <w:rsid w:val="00984F40"/>
    <w:rsid w:val="009874EB"/>
    <w:rsid w:val="00996329"/>
    <w:rsid w:val="009A4BB4"/>
    <w:rsid w:val="009A5AFE"/>
    <w:rsid w:val="009A5E53"/>
    <w:rsid w:val="009B06C4"/>
    <w:rsid w:val="009B431F"/>
    <w:rsid w:val="009B4F39"/>
    <w:rsid w:val="009C1F9B"/>
    <w:rsid w:val="009D02D6"/>
    <w:rsid w:val="009D03AC"/>
    <w:rsid w:val="009E0B01"/>
    <w:rsid w:val="009F2EFB"/>
    <w:rsid w:val="009F6A99"/>
    <w:rsid w:val="00A11A83"/>
    <w:rsid w:val="00A11CCE"/>
    <w:rsid w:val="00A129D5"/>
    <w:rsid w:val="00A16BB7"/>
    <w:rsid w:val="00A21D85"/>
    <w:rsid w:val="00A23B18"/>
    <w:rsid w:val="00A446F8"/>
    <w:rsid w:val="00A47B1C"/>
    <w:rsid w:val="00A53093"/>
    <w:rsid w:val="00A53A3D"/>
    <w:rsid w:val="00A56281"/>
    <w:rsid w:val="00A63293"/>
    <w:rsid w:val="00A6550E"/>
    <w:rsid w:val="00A77E08"/>
    <w:rsid w:val="00A814B4"/>
    <w:rsid w:val="00A92061"/>
    <w:rsid w:val="00A92DA5"/>
    <w:rsid w:val="00A94B48"/>
    <w:rsid w:val="00A97179"/>
    <w:rsid w:val="00AA10AC"/>
    <w:rsid w:val="00AA18A9"/>
    <w:rsid w:val="00AB0465"/>
    <w:rsid w:val="00AB1DE0"/>
    <w:rsid w:val="00AC258B"/>
    <w:rsid w:val="00AD0FE2"/>
    <w:rsid w:val="00AE3013"/>
    <w:rsid w:val="00AE540C"/>
    <w:rsid w:val="00AE59F2"/>
    <w:rsid w:val="00AE6EB1"/>
    <w:rsid w:val="00AF0DB2"/>
    <w:rsid w:val="00AF235D"/>
    <w:rsid w:val="00B05A2F"/>
    <w:rsid w:val="00B136EA"/>
    <w:rsid w:val="00B17E0C"/>
    <w:rsid w:val="00B20DAF"/>
    <w:rsid w:val="00B22F17"/>
    <w:rsid w:val="00B30200"/>
    <w:rsid w:val="00B32EB3"/>
    <w:rsid w:val="00B36385"/>
    <w:rsid w:val="00B373B2"/>
    <w:rsid w:val="00B44180"/>
    <w:rsid w:val="00B47DE8"/>
    <w:rsid w:val="00B602B0"/>
    <w:rsid w:val="00B65568"/>
    <w:rsid w:val="00B75642"/>
    <w:rsid w:val="00B75B13"/>
    <w:rsid w:val="00BA15E1"/>
    <w:rsid w:val="00BA7460"/>
    <w:rsid w:val="00BA7770"/>
    <w:rsid w:val="00BB2A3C"/>
    <w:rsid w:val="00BB36A0"/>
    <w:rsid w:val="00BB3FAA"/>
    <w:rsid w:val="00BB776C"/>
    <w:rsid w:val="00BC1588"/>
    <w:rsid w:val="00BC1C27"/>
    <w:rsid w:val="00BD0509"/>
    <w:rsid w:val="00BD0979"/>
    <w:rsid w:val="00BE09AB"/>
    <w:rsid w:val="00BE42D9"/>
    <w:rsid w:val="00C0506A"/>
    <w:rsid w:val="00C067AF"/>
    <w:rsid w:val="00C22E71"/>
    <w:rsid w:val="00C23DCC"/>
    <w:rsid w:val="00C26E61"/>
    <w:rsid w:val="00C53C42"/>
    <w:rsid w:val="00C54F76"/>
    <w:rsid w:val="00C576C2"/>
    <w:rsid w:val="00C5780C"/>
    <w:rsid w:val="00C64FCC"/>
    <w:rsid w:val="00C726AF"/>
    <w:rsid w:val="00C72BD8"/>
    <w:rsid w:val="00C73453"/>
    <w:rsid w:val="00C85B37"/>
    <w:rsid w:val="00C872FF"/>
    <w:rsid w:val="00C9022C"/>
    <w:rsid w:val="00C906C6"/>
    <w:rsid w:val="00C90975"/>
    <w:rsid w:val="00C925AA"/>
    <w:rsid w:val="00CC00C7"/>
    <w:rsid w:val="00CC5124"/>
    <w:rsid w:val="00CD07A5"/>
    <w:rsid w:val="00CD4B8A"/>
    <w:rsid w:val="00CE5530"/>
    <w:rsid w:val="00CF42AB"/>
    <w:rsid w:val="00D027CD"/>
    <w:rsid w:val="00D20ADF"/>
    <w:rsid w:val="00D26E9F"/>
    <w:rsid w:val="00D3567E"/>
    <w:rsid w:val="00D3747A"/>
    <w:rsid w:val="00D412A4"/>
    <w:rsid w:val="00D41FAF"/>
    <w:rsid w:val="00D520CE"/>
    <w:rsid w:val="00D551EB"/>
    <w:rsid w:val="00D626B3"/>
    <w:rsid w:val="00D62FAC"/>
    <w:rsid w:val="00D63984"/>
    <w:rsid w:val="00D65501"/>
    <w:rsid w:val="00D7246E"/>
    <w:rsid w:val="00D72957"/>
    <w:rsid w:val="00D770B5"/>
    <w:rsid w:val="00D80C07"/>
    <w:rsid w:val="00D90CC4"/>
    <w:rsid w:val="00D916F3"/>
    <w:rsid w:val="00D91B4E"/>
    <w:rsid w:val="00D92947"/>
    <w:rsid w:val="00D970C4"/>
    <w:rsid w:val="00D97ACB"/>
    <w:rsid w:val="00DA1117"/>
    <w:rsid w:val="00DA2318"/>
    <w:rsid w:val="00DA7F44"/>
    <w:rsid w:val="00DB6617"/>
    <w:rsid w:val="00DD08EA"/>
    <w:rsid w:val="00DD44B7"/>
    <w:rsid w:val="00DD6023"/>
    <w:rsid w:val="00DE2E01"/>
    <w:rsid w:val="00DF0D2A"/>
    <w:rsid w:val="00DF3EBA"/>
    <w:rsid w:val="00DF508C"/>
    <w:rsid w:val="00E032BA"/>
    <w:rsid w:val="00E12141"/>
    <w:rsid w:val="00E204E2"/>
    <w:rsid w:val="00E30120"/>
    <w:rsid w:val="00E315EA"/>
    <w:rsid w:val="00E34142"/>
    <w:rsid w:val="00E450E3"/>
    <w:rsid w:val="00E56E1B"/>
    <w:rsid w:val="00E614D6"/>
    <w:rsid w:val="00E657AB"/>
    <w:rsid w:val="00E73DDF"/>
    <w:rsid w:val="00E80CAF"/>
    <w:rsid w:val="00E8155B"/>
    <w:rsid w:val="00E837D1"/>
    <w:rsid w:val="00E85BBF"/>
    <w:rsid w:val="00E91E3B"/>
    <w:rsid w:val="00E930CC"/>
    <w:rsid w:val="00EA081F"/>
    <w:rsid w:val="00EA0A14"/>
    <w:rsid w:val="00EA4ABB"/>
    <w:rsid w:val="00EA4BFE"/>
    <w:rsid w:val="00EC434A"/>
    <w:rsid w:val="00ED0259"/>
    <w:rsid w:val="00ED1FC5"/>
    <w:rsid w:val="00ED479D"/>
    <w:rsid w:val="00EE294B"/>
    <w:rsid w:val="00EE3BDD"/>
    <w:rsid w:val="00EE4674"/>
    <w:rsid w:val="00EF36EA"/>
    <w:rsid w:val="00EF53D3"/>
    <w:rsid w:val="00F0044A"/>
    <w:rsid w:val="00F01682"/>
    <w:rsid w:val="00F13BBF"/>
    <w:rsid w:val="00F20BDD"/>
    <w:rsid w:val="00F22C0B"/>
    <w:rsid w:val="00F30075"/>
    <w:rsid w:val="00F3292B"/>
    <w:rsid w:val="00F36186"/>
    <w:rsid w:val="00F3750A"/>
    <w:rsid w:val="00F467A7"/>
    <w:rsid w:val="00F5115F"/>
    <w:rsid w:val="00F54784"/>
    <w:rsid w:val="00F54C49"/>
    <w:rsid w:val="00F57EAE"/>
    <w:rsid w:val="00F640B7"/>
    <w:rsid w:val="00F64BEE"/>
    <w:rsid w:val="00F66C45"/>
    <w:rsid w:val="00F67BDC"/>
    <w:rsid w:val="00F709D3"/>
    <w:rsid w:val="00F76A9F"/>
    <w:rsid w:val="00F76C00"/>
    <w:rsid w:val="00F851BF"/>
    <w:rsid w:val="00F968C7"/>
    <w:rsid w:val="00FA3CFE"/>
    <w:rsid w:val="00FA5F6C"/>
    <w:rsid w:val="00FB5A21"/>
    <w:rsid w:val="00FC3929"/>
    <w:rsid w:val="00FD1FD2"/>
    <w:rsid w:val="00FD5ED1"/>
    <w:rsid w:val="00FD6F2A"/>
    <w:rsid w:val="00FE0163"/>
    <w:rsid w:val="00FE060F"/>
    <w:rsid w:val="00FE4E0B"/>
    <w:rsid w:val="00FE7E57"/>
    <w:rsid w:val="00FF2266"/>
    <w:rsid w:val="00FF25D4"/>
    <w:rsid w:val="00FF4572"/>
    <w:rsid w:val="00FF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002E"/>
    <w:rPr>
      <w:rFonts w:ascii="Tahoma" w:eastAsia="Times New Roman" w:hAnsi="Tahoma" w:cs="Tahoma"/>
      <w:sz w:val="16"/>
      <w:szCs w:val="16"/>
    </w:rPr>
  </w:style>
  <w:style w:type="paragraph" w:styleId="Header">
    <w:name w:val="header"/>
    <w:basedOn w:val="Normal"/>
    <w:link w:val="HeaderChar"/>
    <w:uiPriority w:val="99"/>
    <w:unhideWhenUsed/>
    <w:rsid w:val="001C002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C002E"/>
    <w:rPr>
      <w:rFonts w:ascii="Calibri" w:eastAsia="Times New Roman" w:hAnsi="Calibri" w:cs="Times New Roman"/>
    </w:rPr>
  </w:style>
  <w:style w:type="paragraph" w:styleId="Footer">
    <w:name w:val="footer"/>
    <w:basedOn w:val="Normal"/>
    <w:link w:val="FooterChar"/>
    <w:uiPriority w:val="99"/>
    <w:semiHidden/>
    <w:unhideWhenUsed/>
    <w:rsid w:val="001C00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C002E"/>
    <w:rPr>
      <w:rFonts w:ascii="Calibri" w:eastAsia="Times New Roman" w:hAnsi="Calibri" w:cs="Times New Roman"/>
    </w:rPr>
  </w:style>
  <w:style w:type="paragraph" w:styleId="ListParagraph">
    <w:name w:val="List Paragraph"/>
    <w:basedOn w:val="Normal"/>
    <w:uiPriority w:val="34"/>
    <w:qFormat/>
    <w:rsid w:val="0026780A"/>
    <w:pPr>
      <w:ind w:left="720"/>
      <w:contextualSpacing/>
    </w:pPr>
  </w:style>
  <w:style w:type="paragraph" w:styleId="FootnoteText">
    <w:name w:val="footnote text"/>
    <w:basedOn w:val="Normal"/>
    <w:link w:val="FootnoteTextChar"/>
    <w:uiPriority w:val="99"/>
    <w:semiHidden/>
    <w:unhideWhenUsed/>
    <w:rsid w:val="00050FE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50FEA"/>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050FEA"/>
    <w:rPr>
      <w:rFonts w:cs="Times New Roman"/>
      <w:vertAlign w:val="superscript"/>
    </w:rPr>
  </w:style>
  <w:style w:type="paragraph" w:styleId="BodyText">
    <w:name w:val="Body Text"/>
    <w:basedOn w:val="Normal"/>
    <w:link w:val="BodyTextChar"/>
    <w:uiPriority w:val="99"/>
    <w:rsid w:val="00F36186"/>
    <w:pPr>
      <w:spacing w:after="0" w:line="240" w:lineRule="auto"/>
      <w:jc w:val="center"/>
    </w:pPr>
    <w:rPr>
      <w:rFonts w:ascii="Times New Roman" w:hAnsi="Times New Roman"/>
      <w:sz w:val="24"/>
      <w:szCs w:val="24"/>
      <w:lang w:val="en-GB"/>
    </w:rPr>
  </w:style>
  <w:style w:type="character" w:customStyle="1" w:styleId="BodyTextChar">
    <w:name w:val="Body Text Char"/>
    <w:basedOn w:val="DefaultParagraphFont"/>
    <w:link w:val="BodyText"/>
    <w:uiPriority w:val="99"/>
    <w:locked/>
    <w:rsid w:val="00F36186"/>
    <w:rPr>
      <w:rFonts w:ascii="Times New Roman" w:hAnsi="Times New Roman" w:cs="Times New Roman"/>
      <w:sz w:val="24"/>
      <w:szCs w:val="24"/>
      <w:lang w:val="en-GB" w:eastAsia="x-none"/>
    </w:rPr>
  </w:style>
  <w:style w:type="paragraph" w:styleId="BodyTextIndent">
    <w:name w:val="Body Text Indent"/>
    <w:basedOn w:val="Normal"/>
    <w:link w:val="BodyTextIndentChar"/>
    <w:uiPriority w:val="99"/>
    <w:rsid w:val="00F36186"/>
    <w:pPr>
      <w:spacing w:after="0" w:line="240" w:lineRule="auto"/>
      <w:ind w:left="1440"/>
    </w:pPr>
    <w:rPr>
      <w:rFonts w:ascii="Times New Roman" w:hAnsi="Times New Roman"/>
      <w:sz w:val="24"/>
      <w:szCs w:val="24"/>
      <w:lang w:val="en-GB"/>
    </w:rPr>
  </w:style>
  <w:style w:type="character" w:customStyle="1" w:styleId="BodyTextIndentChar">
    <w:name w:val="Body Text Indent Char"/>
    <w:basedOn w:val="DefaultParagraphFont"/>
    <w:link w:val="BodyTextIndent"/>
    <w:uiPriority w:val="99"/>
    <w:locked/>
    <w:rsid w:val="00F36186"/>
    <w:rPr>
      <w:rFonts w:ascii="Times New Roman" w:hAnsi="Times New Roman" w:cs="Times New Roman"/>
      <w:sz w:val="24"/>
      <w:szCs w:val="24"/>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002E"/>
    <w:rPr>
      <w:rFonts w:ascii="Tahoma" w:eastAsia="Times New Roman" w:hAnsi="Tahoma" w:cs="Tahoma"/>
      <w:sz w:val="16"/>
      <w:szCs w:val="16"/>
    </w:rPr>
  </w:style>
  <w:style w:type="paragraph" w:styleId="Header">
    <w:name w:val="header"/>
    <w:basedOn w:val="Normal"/>
    <w:link w:val="HeaderChar"/>
    <w:uiPriority w:val="99"/>
    <w:unhideWhenUsed/>
    <w:rsid w:val="001C002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C002E"/>
    <w:rPr>
      <w:rFonts w:ascii="Calibri" w:eastAsia="Times New Roman" w:hAnsi="Calibri" w:cs="Times New Roman"/>
    </w:rPr>
  </w:style>
  <w:style w:type="paragraph" w:styleId="Footer">
    <w:name w:val="footer"/>
    <w:basedOn w:val="Normal"/>
    <w:link w:val="FooterChar"/>
    <w:uiPriority w:val="99"/>
    <w:semiHidden/>
    <w:unhideWhenUsed/>
    <w:rsid w:val="001C00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C002E"/>
    <w:rPr>
      <w:rFonts w:ascii="Calibri" w:eastAsia="Times New Roman" w:hAnsi="Calibri" w:cs="Times New Roman"/>
    </w:rPr>
  </w:style>
  <w:style w:type="paragraph" w:styleId="ListParagraph">
    <w:name w:val="List Paragraph"/>
    <w:basedOn w:val="Normal"/>
    <w:uiPriority w:val="34"/>
    <w:qFormat/>
    <w:rsid w:val="0026780A"/>
    <w:pPr>
      <w:ind w:left="720"/>
      <w:contextualSpacing/>
    </w:pPr>
  </w:style>
  <w:style w:type="paragraph" w:styleId="FootnoteText">
    <w:name w:val="footnote text"/>
    <w:basedOn w:val="Normal"/>
    <w:link w:val="FootnoteTextChar"/>
    <w:uiPriority w:val="99"/>
    <w:semiHidden/>
    <w:unhideWhenUsed/>
    <w:rsid w:val="00050FE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50FEA"/>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050FEA"/>
    <w:rPr>
      <w:rFonts w:cs="Times New Roman"/>
      <w:vertAlign w:val="superscript"/>
    </w:rPr>
  </w:style>
  <w:style w:type="paragraph" w:styleId="BodyText">
    <w:name w:val="Body Text"/>
    <w:basedOn w:val="Normal"/>
    <w:link w:val="BodyTextChar"/>
    <w:uiPriority w:val="99"/>
    <w:rsid w:val="00F36186"/>
    <w:pPr>
      <w:spacing w:after="0" w:line="240" w:lineRule="auto"/>
      <w:jc w:val="center"/>
    </w:pPr>
    <w:rPr>
      <w:rFonts w:ascii="Times New Roman" w:hAnsi="Times New Roman"/>
      <w:sz w:val="24"/>
      <w:szCs w:val="24"/>
      <w:lang w:val="en-GB"/>
    </w:rPr>
  </w:style>
  <w:style w:type="character" w:customStyle="1" w:styleId="BodyTextChar">
    <w:name w:val="Body Text Char"/>
    <w:basedOn w:val="DefaultParagraphFont"/>
    <w:link w:val="BodyText"/>
    <w:uiPriority w:val="99"/>
    <w:locked/>
    <w:rsid w:val="00F36186"/>
    <w:rPr>
      <w:rFonts w:ascii="Times New Roman" w:hAnsi="Times New Roman" w:cs="Times New Roman"/>
      <w:sz w:val="24"/>
      <w:szCs w:val="24"/>
      <w:lang w:val="en-GB" w:eastAsia="x-none"/>
    </w:rPr>
  </w:style>
  <w:style w:type="paragraph" w:styleId="BodyTextIndent">
    <w:name w:val="Body Text Indent"/>
    <w:basedOn w:val="Normal"/>
    <w:link w:val="BodyTextIndentChar"/>
    <w:uiPriority w:val="99"/>
    <w:rsid w:val="00F36186"/>
    <w:pPr>
      <w:spacing w:after="0" w:line="240" w:lineRule="auto"/>
      <w:ind w:left="1440"/>
    </w:pPr>
    <w:rPr>
      <w:rFonts w:ascii="Times New Roman" w:hAnsi="Times New Roman"/>
      <w:sz w:val="24"/>
      <w:szCs w:val="24"/>
      <w:lang w:val="en-GB"/>
    </w:rPr>
  </w:style>
  <w:style w:type="character" w:customStyle="1" w:styleId="BodyTextIndentChar">
    <w:name w:val="Body Text Indent Char"/>
    <w:basedOn w:val="DefaultParagraphFont"/>
    <w:link w:val="BodyTextIndent"/>
    <w:uiPriority w:val="99"/>
    <w:locked/>
    <w:rsid w:val="00F36186"/>
    <w:rPr>
      <w:rFonts w:ascii="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2012-12-02T18:30:00+00:00</Judgment_x0020_Date>
    <Year xmlns="aec0a7e9-5f5c-4ba9-87b2-85cfc8a38b86">2012</Year>
  </documentManagement>
</p:properties>
</file>

<file path=customXml/itemProps1.xml><?xml version="1.0" encoding="utf-8"?>
<ds:datastoreItem xmlns:ds="http://schemas.openxmlformats.org/officeDocument/2006/customXml" ds:itemID="{ABEB3F75-C11B-4008-949A-50439E529F1B}"/>
</file>

<file path=customXml/itemProps2.xml><?xml version="1.0" encoding="utf-8"?>
<ds:datastoreItem xmlns:ds="http://schemas.openxmlformats.org/officeDocument/2006/customXml" ds:itemID="{4504D2F7-E1A0-41FC-A754-203828C2A060}"/>
</file>

<file path=customXml/itemProps3.xml><?xml version="1.0" encoding="utf-8"?>
<ds:datastoreItem xmlns:ds="http://schemas.openxmlformats.org/officeDocument/2006/customXml" ds:itemID="{20CE4F27-D84E-4A6C-972A-2FF28B4FF768}"/>
</file>

<file path=customXml/itemProps4.xml><?xml version="1.0" encoding="utf-8"?>
<ds:datastoreItem xmlns:ds="http://schemas.openxmlformats.org/officeDocument/2006/customXml" ds:itemID="{025C95C3-623E-449E-B2FD-C6835E15716E}"/>
</file>

<file path=docProps/app.xml><?xml version="1.0" encoding="utf-8"?>
<Properties xmlns="http://schemas.openxmlformats.org/officeDocument/2006/extended-properties" xmlns:vt="http://schemas.openxmlformats.org/officeDocument/2006/docPropsVTypes">
  <Template>Normal</Template>
  <TotalTime>1</TotalTime>
  <Pages>15</Pages>
  <Words>4204</Words>
  <Characters>23964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M.Mucheka</dc:creator>
  <cp:lastModifiedBy>sikongo</cp:lastModifiedBy>
  <cp:revision>2</cp:revision>
  <cp:lastPrinted>2012-12-04T08:56:00Z</cp:lastPrinted>
  <dcterms:created xsi:type="dcterms:W3CDTF">2013-11-07T10:12:00Z</dcterms:created>
  <dcterms:modified xsi:type="dcterms:W3CDTF">2013-11-07T10:12:00Z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21100</vt:r8>
  </property>
  <property fmtid="{D5CDD505-2E9C-101B-9397-08002B2CF9AE}" pid="3" name="WorkflowChangePath">
    <vt:lpwstr>51234616-b7fe-46f9-8258-192439289d77,5;51234616-b7fe-46f9-8258-192439289d77,9;</vt:lpwstr>
  </property>
  <property fmtid="{D5CDD505-2E9C-101B-9397-08002B2CF9AE}" pid="4" name="ContentTypeId">
    <vt:lpwstr>0x0101008CCF6D66F229EE4D8B714E6AF2A2557D</vt:lpwstr>
  </property>
</Properties>
</file>