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676" w:rsidRPr="00917016" w:rsidRDefault="00950676" w:rsidP="0044298F">
      <w:pPr>
        <w:spacing w:after="0" w:line="240" w:lineRule="auto"/>
        <w:ind w:right="95"/>
        <w:jc w:val="center"/>
        <w:rPr>
          <w:rFonts w:ascii="Arial" w:hAnsi="Arial" w:cs="Arial"/>
          <w:sz w:val="24"/>
          <w:szCs w:val="24"/>
        </w:rPr>
      </w:pPr>
      <w:bookmarkStart w:id="0" w:name="_GoBack"/>
      <w:bookmarkEnd w:id="0"/>
      <w:r w:rsidRPr="00917016">
        <w:rPr>
          <w:rFonts w:ascii="Arial" w:hAnsi="Arial" w:cs="Arial"/>
          <w:sz w:val="24"/>
          <w:szCs w:val="24"/>
        </w:rPr>
        <w:t>Practice Directive 61</w:t>
      </w:r>
    </w:p>
    <w:p w:rsidR="00950676" w:rsidRPr="00917016" w:rsidRDefault="00950676" w:rsidP="0044298F">
      <w:pPr>
        <w:spacing w:after="0" w:line="360" w:lineRule="auto"/>
        <w:ind w:right="95"/>
        <w:jc w:val="both"/>
        <w:rPr>
          <w:rFonts w:ascii="Arial" w:hAnsi="Arial" w:cs="Arial"/>
          <w:sz w:val="24"/>
          <w:szCs w:val="24"/>
        </w:rPr>
      </w:pPr>
    </w:p>
    <w:p w:rsidR="00950676" w:rsidRPr="00917016" w:rsidRDefault="00950676" w:rsidP="0044298F">
      <w:pPr>
        <w:spacing w:after="0" w:line="360" w:lineRule="auto"/>
        <w:ind w:right="95"/>
        <w:jc w:val="center"/>
        <w:rPr>
          <w:rFonts w:ascii="Arial" w:hAnsi="Arial" w:cs="Arial"/>
          <w:b/>
          <w:sz w:val="24"/>
          <w:szCs w:val="24"/>
        </w:rPr>
      </w:pPr>
      <w:r w:rsidRPr="00917016">
        <w:rPr>
          <w:rFonts w:ascii="Arial" w:hAnsi="Arial" w:cs="Arial"/>
          <w:b/>
          <w:sz w:val="24"/>
          <w:szCs w:val="24"/>
        </w:rPr>
        <w:t>IN THE HIGH COURT OF NAMIBIA</w:t>
      </w:r>
    </w:p>
    <w:p w:rsidR="00917016" w:rsidRPr="00917016" w:rsidRDefault="00917016" w:rsidP="0044298F">
      <w:pPr>
        <w:spacing w:after="0" w:line="360" w:lineRule="auto"/>
        <w:ind w:right="95"/>
        <w:jc w:val="center"/>
        <w:rPr>
          <w:rFonts w:ascii="Arial" w:hAnsi="Arial" w:cs="Arial"/>
          <w:b/>
          <w:sz w:val="24"/>
          <w:szCs w:val="24"/>
        </w:rPr>
      </w:pPr>
      <w:r w:rsidRPr="00917016">
        <w:rPr>
          <w:rFonts w:ascii="Arial" w:hAnsi="Arial" w:cs="Arial"/>
          <w:b/>
          <w:sz w:val="24"/>
          <w:szCs w:val="24"/>
        </w:rPr>
        <w:t>RULING</w:t>
      </w:r>
    </w:p>
    <w:p w:rsidR="00950676" w:rsidRPr="00917016" w:rsidRDefault="00950676" w:rsidP="0044298F">
      <w:pPr>
        <w:spacing w:after="0" w:line="360" w:lineRule="auto"/>
        <w:ind w:right="95"/>
        <w:jc w:val="both"/>
        <w:rPr>
          <w:rFonts w:ascii="Arial" w:hAnsi="Arial" w:cs="Arial"/>
          <w:sz w:val="24"/>
          <w:szCs w:val="24"/>
        </w:rPr>
      </w:pPr>
    </w:p>
    <w:tbl>
      <w:tblPr>
        <w:tblStyle w:val="TableGrid"/>
        <w:tblW w:w="9909" w:type="dxa"/>
        <w:tblInd w:w="-275" w:type="dxa"/>
        <w:tblLook w:val="04A0" w:firstRow="1" w:lastRow="0" w:firstColumn="1" w:lastColumn="0" w:noHBand="0" w:noVBand="1"/>
      </w:tblPr>
      <w:tblGrid>
        <w:gridCol w:w="4770"/>
        <w:gridCol w:w="627"/>
        <w:gridCol w:w="4512"/>
      </w:tblGrid>
      <w:tr w:rsidR="00950676" w:rsidRPr="00917016" w:rsidTr="0044298F">
        <w:trPr>
          <w:trHeight w:val="744"/>
        </w:trPr>
        <w:tc>
          <w:tcPr>
            <w:tcW w:w="5397" w:type="dxa"/>
            <w:gridSpan w:val="2"/>
            <w:vMerge w:val="restart"/>
          </w:tcPr>
          <w:p w:rsidR="00950676" w:rsidRPr="00917016" w:rsidRDefault="00950676" w:rsidP="0044298F">
            <w:pPr>
              <w:spacing w:line="360" w:lineRule="auto"/>
              <w:ind w:right="95"/>
              <w:jc w:val="both"/>
              <w:rPr>
                <w:rFonts w:ascii="Arial" w:hAnsi="Arial" w:cs="Arial"/>
                <w:sz w:val="24"/>
                <w:szCs w:val="24"/>
              </w:rPr>
            </w:pPr>
            <w:r w:rsidRPr="00917016">
              <w:rPr>
                <w:rFonts w:ascii="Arial" w:hAnsi="Arial" w:cs="Arial"/>
                <w:b/>
                <w:sz w:val="24"/>
                <w:szCs w:val="24"/>
              </w:rPr>
              <w:t>Case Title:</w:t>
            </w:r>
          </w:p>
          <w:p w:rsidR="00950676" w:rsidRPr="00917016" w:rsidRDefault="00697988" w:rsidP="0044298F">
            <w:pPr>
              <w:tabs>
                <w:tab w:val="left" w:pos="6750"/>
              </w:tabs>
              <w:spacing w:after="0" w:line="360" w:lineRule="auto"/>
              <w:ind w:right="95"/>
              <w:jc w:val="both"/>
              <w:rPr>
                <w:rFonts w:ascii="Arial" w:eastAsia="Times New Roman" w:hAnsi="Arial" w:cs="Arial"/>
                <w:sz w:val="24"/>
                <w:szCs w:val="24"/>
              </w:rPr>
            </w:pPr>
            <w:r w:rsidRPr="00917016">
              <w:rPr>
                <w:rFonts w:ascii="Arial" w:eastAsia="Times New Roman" w:hAnsi="Arial" w:cs="Arial"/>
                <w:sz w:val="24"/>
                <w:szCs w:val="24"/>
              </w:rPr>
              <w:t xml:space="preserve">Transnamib Holdings Limited </w:t>
            </w:r>
          </w:p>
          <w:p w:rsidR="00917016" w:rsidRPr="00917016" w:rsidRDefault="00697988" w:rsidP="0044298F">
            <w:pPr>
              <w:tabs>
                <w:tab w:val="left" w:pos="6750"/>
              </w:tabs>
              <w:spacing w:after="0" w:line="360" w:lineRule="auto"/>
              <w:ind w:right="95"/>
              <w:jc w:val="both"/>
              <w:rPr>
                <w:rFonts w:ascii="Arial" w:eastAsia="Times New Roman" w:hAnsi="Arial" w:cs="Arial"/>
                <w:sz w:val="24"/>
                <w:szCs w:val="24"/>
              </w:rPr>
            </w:pPr>
            <w:r>
              <w:rPr>
                <w:rFonts w:ascii="Arial" w:eastAsia="Times New Roman" w:hAnsi="Arial" w:cs="Arial"/>
                <w:sz w:val="24"/>
                <w:szCs w:val="24"/>
              </w:rPr>
              <w:t>v</w:t>
            </w:r>
          </w:p>
          <w:p w:rsidR="00917016" w:rsidRPr="00917016" w:rsidRDefault="00697988" w:rsidP="0044298F">
            <w:pPr>
              <w:tabs>
                <w:tab w:val="left" w:pos="6750"/>
              </w:tabs>
              <w:spacing w:after="0" w:line="360" w:lineRule="auto"/>
              <w:ind w:right="95"/>
              <w:jc w:val="both"/>
              <w:rPr>
                <w:rFonts w:ascii="Arial" w:hAnsi="Arial" w:cs="Arial"/>
                <w:sz w:val="24"/>
                <w:szCs w:val="24"/>
              </w:rPr>
            </w:pPr>
            <w:r w:rsidRPr="00917016">
              <w:rPr>
                <w:rFonts w:ascii="Arial" w:eastAsia="Times New Roman" w:hAnsi="Arial" w:cs="Arial"/>
                <w:sz w:val="24"/>
                <w:szCs w:val="24"/>
              </w:rPr>
              <w:t>In</w:t>
            </w:r>
            <w:r w:rsidR="007336CF">
              <w:rPr>
                <w:rFonts w:ascii="Arial" w:eastAsia="Times New Roman" w:hAnsi="Arial" w:cs="Arial"/>
                <w:sz w:val="24"/>
                <w:szCs w:val="24"/>
              </w:rPr>
              <w:t>stitute o</w:t>
            </w:r>
            <w:r>
              <w:rPr>
                <w:rFonts w:ascii="Arial" w:eastAsia="Times New Roman" w:hAnsi="Arial" w:cs="Arial"/>
                <w:sz w:val="24"/>
                <w:szCs w:val="24"/>
              </w:rPr>
              <w:t>f Management Science CC</w:t>
            </w:r>
          </w:p>
        </w:tc>
        <w:tc>
          <w:tcPr>
            <w:tcW w:w="4512" w:type="dxa"/>
          </w:tcPr>
          <w:p w:rsidR="00950676" w:rsidRPr="00917016" w:rsidRDefault="00950676" w:rsidP="0044298F">
            <w:pPr>
              <w:spacing w:line="360" w:lineRule="auto"/>
              <w:ind w:right="95"/>
              <w:jc w:val="both"/>
              <w:rPr>
                <w:rFonts w:ascii="Arial" w:hAnsi="Arial" w:cs="Arial"/>
                <w:sz w:val="24"/>
                <w:szCs w:val="24"/>
              </w:rPr>
            </w:pPr>
            <w:r w:rsidRPr="00917016">
              <w:rPr>
                <w:rFonts w:ascii="Arial" w:hAnsi="Arial" w:cs="Arial"/>
                <w:b/>
                <w:sz w:val="24"/>
                <w:szCs w:val="24"/>
              </w:rPr>
              <w:t>Case No:</w:t>
            </w:r>
          </w:p>
          <w:p w:rsidR="00950676" w:rsidRPr="00917016" w:rsidRDefault="00950676" w:rsidP="0044298F">
            <w:pPr>
              <w:spacing w:line="360" w:lineRule="auto"/>
              <w:ind w:right="95"/>
              <w:rPr>
                <w:rFonts w:ascii="Arial" w:hAnsi="Arial" w:cs="Arial"/>
                <w:b/>
                <w:sz w:val="24"/>
                <w:szCs w:val="24"/>
              </w:rPr>
            </w:pPr>
            <w:r w:rsidRPr="00917016">
              <w:rPr>
                <w:rFonts w:ascii="Arial" w:hAnsi="Arial" w:cs="Arial"/>
                <w:sz w:val="24"/>
                <w:szCs w:val="24"/>
              </w:rPr>
              <w:t>HC-MD-CIV-</w:t>
            </w:r>
            <w:r w:rsidR="008E1BDB" w:rsidRPr="00917016">
              <w:rPr>
                <w:rFonts w:ascii="Arial" w:hAnsi="Arial" w:cs="Arial"/>
                <w:sz w:val="24"/>
                <w:szCs w:val="24"/>
              </w:rPr>
              <w:t>ACT-</w:t>
            </w:r>
            <w:r w:rsidR="00643641" w:rsidRPr="00917016">
              <w:rPr>
                <w:rFonts w:ascii="Arial" w:hAnsi="Arial" w:cs="Arial"/>
                <w:sz w:val="24"/>
                <w:szCs w:val="24"/>
              </w:rPr>
              <w:t>CON-</w:t>
            </w:r>
            <w:r w:rsidR="00917016" w:rsidRPr="00917016">
              <w:rPr>
                <w:rFonts w:ascii="Arial" w:hAnsi="Arial" w:cs="Arial"/>
                <w:sz w:val="24"/>
                <w:szCs w:val="24"/>
              </w:rPr>
              <w:t>2020/04267</w:t>
            </w:r>
          </w:p>
        </w:tc>
      </w:tr>
      <w:tr w:rsidR="00950676" w:rsidRPr="00917016" w:rsidTr="0044298F">
        <w:trPr>
          <w:trHeight w:val="844"/>
        </w:trPr>
        <w:tc>
          <w:tcPr>
            <w:tcW w:w="5397" w:type="dxa"/>
            <w:gridSpan w:val="2"/>
            <w:vMerge/>
          </w:tcPr>
          <w:p w:rsidR="00950676" w:rsidRPr="00917016" w:rsidRDefault="00950676" w:rsidP="0044298F">
            <w:pPr>
              <w:spacing w:line="360" w:lineRule="auto"/>
              <w:ind w:right="95"/>
              <w:jc w:val="both"/>
              <w:rPr>
                <w:rFonts w:ascii="Arial" w:hAnsi="Arial" w:cs="Arial"/>
                <w:sz w:val="24"/>
                <w:szCs w:val="24"/>
              </w:rPr>
            </w:pPr>
          </w:p>
        </w:tc>
        <w:tc>
          <w:tcPr>
            <w:tcW w:w="4512" w:type="dxa"/>
          </w:tcPr>
          <w:p w:rsidR="00950676" w:rsidRPr="00917016" w:rsidRDefault="00950676" w:rsidP="0044298F">
            <w:pPr>
              <w:spacing w:line="360" w:lineRule="auto"/>
              <w:ind w:right="95"/>
              <w:jc w:val="both"/>
              <w:rPr>
                <w:rFonts w:ascii="Arial" w:hAnsi="Arial" w:cs="Arial"/>
                <w:sz w:val="24"/>
                <w:szCs w:val="24"/>
              </w:rPr>
            </w:pPr>
            <w:r w:rsidRPr="00917016">
              <w:rPr>
                <w:rFonts w:ascii="Arial" w:hAnsi="Arial" w:cs="Arial"/>
                <w:b/>
                <w:sz w:val="24"/>
                <w:szCs w:val="24"/>
              </w:rPr>
              <w:t>Division of Court:</w:t>
            </w:r>
          </w:p>
          <w:p w:rsidR="00950676" w:rsidRPr="00917016" w:rsidRDefault="00697988" w:rsidP="0044298F">
            <w:pPr>
              <w:spacing w:line="360" w:lineRule="auto"/>
              <w:ind w:right="95"/>
              <w:jc w:val="both"/>
              <w:rPr>
                <w:rFonts w:ascii="Arial" w:hAnsi="Arial" w:cs="Arial"/>
                <w:sz w:val="24"/>
                <w:szCs w:val="24"/>
              </w:rPr>
            </w:pPr>
            <w:r>
              <w:rPr>
                <w:rFonts w:ascii="Arial" w:hAnsi="Arial" w:cs="Arial"/>
                <w:sz w:val="24"/>
                <w:szCs w:val="24"/>
              </w:rPr>
              <w:t>Main Division</w:t>
            </w:r>
          </w:p>
        </w:tc>
      </w:tr>
      <w:tr w:rsidR="00950676" w:rsidRPr="00917016" w:rsidTr="0044298F">
        <w:trPr>
          <w:trHeight w:val="990"/>
        </w:trPr>
        <w:tc>
          <w:tcPr>
            <w:tcW w:w="5397" w:type="dxa"/>
            <w:gridSpan w:val="2"/>
            <w:vMerge w:val="restart"/>
          </w:tcPr>
          <w:p w:rsidR="00950676" w:rsidRPr="00917016" w:rsidRDefault="00950676" w:rsidP="0044298F">
            <w:pPr>
              <w:spacing w:line="360" w:lineRule="auto"/>
              <w:ind w:right="95"/>
              <w:jc w:val="both"/>
              <w:rPr>
                <w:rFonts w:ascii="Arial" w:hAnsi="Arial" w:cs="Arial"/>
                <w:b/>
                <w:sz w:val="24"/>
                <w:szCs w:val="24"/>
              </w:rPr>
            </w:pPr>
            <w:r w:rsidRPr="00917016">
              <w:rPr>
                <w:rFonts w:ascii="Arial" w:hAnsi="Arial" w:cs="Arial"/>
                <w:b/>
                <w:sz w:val="24"/>
                <w:szCs w:val="24"/>
              </w:rPr>
              <w:t>Heard before:</w:t>
            </w:r>
          </w:p>
          <w:p w:rsidR="00950676" w:rsidRPr="00917016" w:rsidRDefault="006422DA" w:rsidP="0044298F">
            <w:pPr>
              <w:spacing w:after="0" w:line="360" w:lineRule="auto"/>
              <w:ind w:right="95"/>
              <w:jc w:val="both"/>
              <w:rPr>
                <w:rFonts w:ascii="Arial" w:hAnsi="Arial" w:cs="Arial"/>
                <w:sz w:val="24"/>
                <w:szCs w:val="24"/>
              </w:rPr>
            </w:pPr>
            <w:r>
              <w:rPr>
                <w:rFonts w:ascii="Arial" w:hAnsi="Arial" w:cs="Arial"/>
                <w:sz w:val="24"/>
                <w:szCs w:val="24"/>
              </w:rPr>
              <w:t>Honourable Lady</w:t>
            </w:r>
            <w:r w:rsidR="00950676" w:rsidRPr="00917016">
              <w:rPr>
                <w:rFonts w:ascii="Arial" w:hAnsi="Arial" w:cs="Arial"/>
                <w:sz w:val="24"/>
                <w:szCs w:val="24"/>
              </w:rPr>
              <w:t xml:space="preserve"> Justice Rakow</w:t>
            </w:r>
            <w:r w:rsidR="00917016" w:rsidRPr="00917016">
              <w:rPr>
                <w:rFonts w:ascii="Arial" w:hAnsi="Arial" w:cs="Arial"/>
                <w:sz w:val="24"/>
                <w:szCs w:val="24"/>
              </w:rPr>
              <w:t>, J</w:t>
            </w:r>
          </w:p>
        </w:tc>
        <w:tc>
          <w:tcPr>
            <w:tcW w:w="4512" w:type="dxa"/>
          </w:tcPr>
          <w:p w:rsidR="00950676" w:rsidRPr="00917016" w:rsidRDefault="00950676" w:rsidP="0044298F">
            <w:pPr>
              <w:spacing w:after="0" w:line="360" w:lineRule="auto"/>
              <w:ind w:right="95"/>
              <w:jc w:val="both"/>
              <w:rPr>
                <w:rFonts w:ascii="Arial" w:hAnsi="Arial" w:cs="Arial"/>
                <w:b/>
                <w:sz w:val="24"/>
                <w:szCs w:val="24"/>
              </w:rPr>
            </w:pPr>
            <w:r w:rsidRPr="00917016">
              <w:rPr>
                <w:rFonts w:ascii="Arial" w:hAnsi="Arial" w:cs="Arial"/>
                <w:b/>
                <w:sz w:val="24"/>
                <w:szCs w:val="24"/>
              </w:rPr>
              <w:t>Date of hearing:</w:t>
            </w:r>
          </w:p>
          <w:p w:rsidR="00950676" w:rsidRPr="00917016" w:rsidRDefault="00917016" w:rsidP="0044298F">
            <w:pPr>
              <w:spacing w:after="0" w:line="360" w:lineRule="auto"/>
              <w:ind w:right="95"/>
              <w:jc w:val="both"/>
              <w:rPr>
                <w:rFonts w:ascii="Arial" w:hAnsi="Arial" w:cs="Arial"/>
                <w:sz w:val="24"/>
                <w:szCs w:val="24"/>
              </w:rPr>
            </w:pPr>
            <w:r w:rsidRPr="00917016">
              <w:rPr>
                <w:rFonts w:ascii="Arial" w:hAnsi="Arial" w:cs="Arial"/>
                <w:sz w:val="24"/>
                <w:szCs w:val="24"/>
              </w:rPr>
              <w:t>15 February 2021</w:t>
            </w:r>
          </w:p>
        </w:tc>
      </w:tr>
      <w:tr w:rsidR="00950676" w:rsidRPr="00917016" w:rsidTr="0044298F">
        <w:trPr>
          <w:trHeight w:val="588"/>
        </w:trPr>
        <w:tc>
          <w:tcPr>
            <w:tcW w:w="5397" w:type="dxa"/>
            <w:gridSpan w:val="2"/>
            <w:vMerge/>
          </w:tcPr>
          <w:p w:rsidR="00950676" w:rsidRPr="00917016" w:rsidRDefault="00950676" w:rsidP="0044298F">
            <w:pPr>
              <w:spacing w:line="360" w:lineRule="auto"/>
              <w:ind w:right="95"/>
              <w:jc w:val="both"/>
              <w:rPr>
                <w:rFonts w:ascii="Arial" w:hAnsi="Arial" w:cs="Arial"/>
                <w:b/>
                <w:sz w:val="24"/>
                <w:szCs w:val="24"/>
              </w:rPr>
            </w:pPr>
          </w:p>
        </w:tc>
        <w:tc>
          <w:tcPr>
            <w:tcW w:w="4512" w:type="dxa"/>
          </w:tcPr>
          <w:p w:rsidR="00E27463" w:rsidRPr="00917016" w:rsidRDefault="00950676" w:rsidP="0044298F">
            <w:pPr>
              <w:spacing w:line="360" w:lineRule="auto"/>
              <w:ind w:right="95"/>
              <w:jc w:val="both"/>
              <w:rPr>
                <w:rFonts w:ascii="Arial" w:hAnsi="Arial" w:cs="Arial"/>
                <w:b/>
                <w:sz w:val="24"/>
                <w:szCs w:val="24"/>
              </w:rPr>
            </w:pPr>
            <w:r w:rsidRPr="00917016">
              <w:rPr>
                <w:rFonts w:ascii="Arial" w:hAnsi="Arial" w:cs="Arial"/>
                <w:b/>
                <w:sz w:val="24"/>
                <w:szCs w:val="24"/>
              </w:rPr>
              <w:t>Date of order:</w:t>
            </w:r>
          </w:p>
          <w:p w:rsidR="00950676" w:rsidRPr="00917016" w:rsidRDefault="00917016" w:rsidP="0044298F">
            <w:pPr>
              <w:spacing w:line="360" w:lineRule="auto"/>
              <w:ind w:right="95"/>
              <w:jc w:val="both"/>
              <w:rPr>
                <w:rFonts w:ascii="Arial" w:hAnsi="Arial" w:cs="Arial"/>
                <w:sz w:val="24"/>
                <w:szCs w:val="24"/>
              </w:rPr>
            </w:pPr>
            <w:r w:rsidRPr="00917016">
              <w:rPr>
                <w:rFonts w:ascii="Arial" w:hAnsi="Arial" w:cs="Arial"/>
                <w:sz w:val="24"/>
                <w:szCs w:val="24"/>
              </w:rPr>
              <w:t>8 March 2021</w:t>
            </w:r>
          </w:p>
        </w:tc>
      </w:tr>
      <w:tr w:rsidR="00950676" w:rsidRPr="00917016" w:rsidTr="0044298F">
        <w:tc>
          <w:tcPr>
            <w:tcW w:w="9909" w:type="dxa"/>
            <w:gridSpan w:val="3"/>
          </w:tcPr>
          <w:p w:rsidR="00950676" w:rsidRDefault="00950676" w:rsidP="0044298F">
            <w:pPr>
              <w:pStyle w:val="form-control-static"/>
              <w:shd w:val="clear" w:color="auto" w:fill="FFFFFF"/>
              <w:spacing w:before="0" w:beforeAutospacing="0" w:after="0" w:afterAutospacing="0"/>
              <w:ind w:right="95"/>
              <w:jc w:val="both"/>
              <w:rPr>
                <w:rFonts w:ascii="Arial" w:hAnsi="Arial" w:cs="Arial"/>
              </w:rPr>
            </w:pPr>
            <w:r w:rsidRPr="00917016">
              <w:rPr>
                <w:rFonts w:ascii="Arial" w:hAnsi="Arial" w:cs="Arial"/>
                <w:b/>
              </w:rPr>
              <w:t xml:space="preserve">Neutral citation: </w:t>
            </w:r>
            <w:r w:rsidR="00917016" w:rsidRPr="00917016">
              <w:rPr>
                <w:rFonts w:ascii="Arial" w:hAnsi="Arial" w:cs="Arial"/>
                <w:i/>
                <w:lang w:val="en-ZA"/>
              </w:rPr>
              <w:t>Transnamib Holdings Limited v Institute of Management Science</w:t>
            </w:r>
            <w:r w:rsidR="003E1CD0" w:rsidRPr="00917016">
              <w:rPr>
                <w:rFonts w:ascii="Arial" w:hAnsi="Arial" w:cs="Arial"/>
                <w:i/>
                <w:lang w:val="en-ZA"/>
              </w:rPr>
              <w:t xml:space="preserve"> CC</w:t>
            </w:r>
            <w:r w:rsidR="00643641" w:rsidRPr="00917016">
              <w:rPr>
                <w:rFonts w:ascii="Arial" w:hAnsi="Arial" w:cs="Arial"/>
                <w:i/>
                <w:lang w:val="en-ZA"/>
              </w:rPr>
              <w:t xml:space="preserve"> </w:t>
            </w:r>
            <w:r w:rsidR="003E1CD0" w:rsidRPr="00917016">
              <w:rPr>
                <w:rFonts w:ascii="Arial" w:hAnsi="Arial" w:cs="Arial"/>
                <w:lang w:val="en-ZA"/>
              </w:rPr>
              <w:t>(</w:t>
            </w:r>
            <w:r w:rsidR="008E1BDB" w:rsidRPr="00917016">
              <w:rPr>
                <w:rFonts w:ascii="Arial" w:hAnsi="Arial" w:cs="Arial"/>
                <w:lang w:val="en-ZA"/>
              </w:rPr>
              <w:t>HC-MD-CIV-ACT-</w:t>
            </w:r>
            <w:r w:rsidR="00643641" w:rsidRPr="00917016">
              <w:rPr>
                <w:rFonts w:ascii="Arial" w:hAnsi="Arial" w:cs="Arial"/>
                <w:lang w:val="en-ZA"/>
              </w:rPr>
              <w:t>CON</w:t>
            </w:r>
            <w:r w:rsidR="00917016" w:rsidRPr="00917016">
              <w:rPr>
                <w:rFonts w:ascii="Arial" w:hAnsi="Arial" w:cs="Arial"/>
                <w:lang w:val="en-ZA"/>
              </w:rPr>
              <w:t>-2020/04267</w:t>
            </w:r>
            <w:r w:rsidR="009B0213" w:rsidRPr="00917016">
              <w:rPr>
                <w:rFonts w:ascii="Arial" w:hAnsi="Arial" w:cs="Arial"/>
              </w:rPr>
              <w:t>) [202</w:t>
            </w:r>
            <w:r w:rsidR="00917016" w:rsidRPr="00917016">
              <w:rPr>
                <w:rFonts w:ascii="Arial" w:hAnsi="Arial" w:cs="Arial"/>
              </w:rPr>
              <w:t>1</w:t>
            </w:r>
            <w:r w:rsidRPr="00917016">
              <w:rPr>
                <w:rFonts w:ascii="Arial" w:hAnsi="Arial" w:cs="Arial"/>
              </w:rPr>
              <w:t>] NAHC</w:t>
            </w:r>
            <w:r w:rsidR="00917016" w:rsidRPr="00917016">
              <w:rPr>
                <w:rFonts w:ascii="Arial" w:hAnsi="Arial" w:cs="Arial"/>
              </w:rPr>
              <w:t xml:space="preserve">MD </w:t>
            </w:r>
            <w:r w:rsidR="0049360C" w:rsidRPr="0049360C">
              <w:rPr>
                <w:rFonts w:ascii="Arial" w:hAnsi="Arial" w:cs="Arial"/>
              </w:rPr>
              <w:t>101</w:t>
            </w:r>
            <w:r w:rsidR="00E27463" w:rsidRPr="0049360C">
              <w:rPr>
                <w:rFonts w:ascii="Arial" w:hAnsi="Arial" w:cs="Arial"/>
              </w:rPr>
              <w:t xml:space="preserve"> </w:t>
            </w:r>
            <w:r w:rsidRPr="0049360C">
              <w:rPr>
                <w:rFonts w:ascii="Arial" w:hAnsi="Arial" w:cs="Arial"/>
              </w:rPr>
              <w:t>(</w:t>
            </w:r>
            <w:r w:rsidR="00917016" w:rsidRPr="00917016">
              <w:rPr>
                <w:rFonts w:ascii="Arial" w:hAnsi="Arial" w:cs="Arial"/>
              </w:rPr>
              <w:t>8 March 2021</w:t>
            </w:r>
            <w:r w:rsidRPr="00917016">
              <w:rPr>
                <w:rFonts w:ascii="Arial" w:hAnsi="Arial" w:cs="Arial"/>
              </w:rPr>
              <w:t>)</w:t>
            </w:r>
          </w:p>
          <w:p w:rsidR="006422DA" w:rsidRPr="006422DA" w:rsidRDefault="006422DA" w:rsidP="0044298F">
            <w:pPr>
              <w:pStyle w:val="form-control-static"/>
              <w:shd w:val="clear" w:color="auto" w:fill="FFFFFF"/>
              <w:spacing w:before="0" w:beforeAutospacing="0" w:after="0" w:afterAutospacing="0"/>
              <w:ind w:right="95"/>
              <w:jc w:val="both"/>
              <w:rPr>
                <w:rFonts w:ascii="Arial" w:hAnsi="Arial" w:cs="Arial"/>
                <w:b/>
              </w:rPr>
            </w:pPr>
          </w:p>
        </w:tc>
      </w:tr>
      <w:tr w:rsidR="00950676" w:rsidRPr="00917016" w:rsidTr="0044298F">
        <w:tc>
          <w:tcPr>
            <w:tcW w:w="9909" w:type="dxa"/>
            <w:gridSpan w:val="3"/>
          </w:tcPr>
          <w:p w:rsidR="007336CF" w:rsidRPr="007336CF" w:rsidRDefault="00950676" w:rsidP="0044298F">
            <w:pPr>
              <w:spacing w:line="360" w:lineRule="auto"/>
              <w:ind w:right="95"/>
              <w:jc w:val="both"/>
              <w:rPr>
                <w:rFonts w:ascii="Arial" w:hAnsi="Arial" w:cs="Arial"/>
                <w:sz w:val="24"/>
                <w:szCs w:val="24"/>
              </w:rPr>
            </w:pPr>
            <w:r w:rsidRPr="00917016">
              <w:rPr>
                <w:rFonts w:ascii="Arial" w:hAnsi="Arial" w:cs="Arial"/>
                <w:sz w:val="24"/>
                <w:szCs w:val="24"/>
              </w:rPr>
              <w:t>Having read the record of proceedings as well as submissions ma</w:t>
            </w:r>
            <w:r w:rsidR="007B0F64" w:rsidRPr="00917016">
              <w:rPr>
                <w:rFonts w:ascii="Arial" w:hAnsi="Arial" w:cs="Arial"/>
                <w:sz w:val="24"/>
                <w:szCs w:val="24"/>
              </w:rPr>
              <w:t>d</w:t>
            </w:r>
            <w:r w:rsidR="003E1CD0" w:rsidRPr="00917016">
              <w:rPr>
                <w:rFonts w:ascii="Arial" w:hAnsi="Arial" w:cs="Arial"/>
                <w:sz w:val="24"/>
                <w:szCs w:val="24"/>
              </w:rPr>
              <w:t>e by counsels for the Plaintiff</w:t>
            </w:r>
            <w:r w:rsidRPr="00917016">
              <w:rPr>
                <w:rFonts w:ascii="Arial" w:hAnsi="Arial" w:cs="Arial"/>
                <w:sz w:val="24"/>
                <w:szCs w:val="24"/>
              </w:rPr>
              <w:t xml:space="preserve"> and the </w:t>
            </w:r>
            <w:r w:rsidR="003E1CD0" w:rsidRPr="00917016">
              <w:rPr>
                <w:rFonts w:ascii="Arial" w:hAnsi="Arial" w:cs="Arial"/>
                <w:sz w:val="24"/>
                <w:szCs w:val="24"/>
                <w:lang w:val="af-ZA"/>
              </w:rPr>
              <w:t>Defendant</w:t>
            </w:r>
            <w:r w:rsidRPr="00917016">
              <w:rPr>
                <w:rFonts w:ascii="Arial" w:hAnsi="Arial" w:cs="Arial"/>
                <w:sz w:val="24"/>
                <w:szCs w:val="24"/>
              </w:rPr>
              <w:t>:</w:t>
            </w:r>
          </w:p>
          <w:p w:rsidR="00950676" w:rsidRPr="00917016" w:rsidRDefault="00950676" w:rsidP="0044298F">
            <w:pPr>
              <w:spacing w:line="360" w:lineRule="auto"/>
              <w:ind w:right="95"/>
              <w:jc w:val="both"/>
              <w:rPr>
                <w:rFonts w:ascii="Arial" w:hAnsi="Arial" w:cs="Arial"/>
                <w:b/>
                <w:sz w:val="24"/>
                <w:szCs w:val="24"/>
              </w:rPr>
            </w:pPr>
            <w:r w:rsidRPr="00917016">
              <w:rPr>
                <w:rFonts w:ascii="Arial" w:hAnsi="Arial" w:cs="Arial"/>
                <w:b/>
                <w:sz w:val="24"/>
                <w:szCs w:val="24"/>
              </w:rPr>
              <w:t>IT IS HEREBY ORDERED THAT:</w:t>
            </w:r>
          </w:p>
          <w:p w:rsidR="00A068CF" w:rsidRPr="007336CF" w:rsidRDefault="00A068CF" w:rsidP="0044298F">
            <w:pPr>
              <w:pStyle w:val="ListParagraph"/>
              <w:numPr>
                <w:ilvl w:val="0"/>
                <w:numId w:val="8"/>
              </w:numPr>
              <w:spacing w:after="0" w:line="360" w:lineRule="auto"/>
              <w:ind w:right="95"/>
              <w:jc w:val="both"/>
              <w:rPr>
                <w:rFonts w:ascii="Arial" w:hAnsi="Arial" w:cs="Arial"/>
                <w:sz w:val="24"/>
                <w:szCs w:val="24"/>
                <w:lang w:val="af-ZA"/>
              </w:rPr>
            </w:pPr>
            <w:r w:rsidRPr="007336CF">
              <w:rPr>
                <w:rFonts w:ascii="Arial" w:hAnsi="Arial" w:cs="Arial"/>
                <w:sz w:val="24"/>
                <w:szCs w:val="24"/>
                <w:lang w:val="af-ZA"/>
              </w:rPr>
              <w:t>The point in limine that the papers do not meet the technical standard needed</w:t>
            </w:r>
            <w:r w:rsidR="00697988" w:rsidRPr="007336CF">
              <w:rPr>
                <w:rFonts w:ascii="Arial" w:hAnsi="Arial" w:cs="Arial"/>
                <w:sz w:val="24"/>
                <w:szCs w:val="24"/>
                <w:lang w:val="af-ZA"/>
              </w:rPr>
              <w:t xml:space="preserve"> is upheld</w:t>
            </w:r>
            <w:r w:rsidRPr="007336CF">
              <w:rPr>
                <w:rFonts w:ascii="Arial" w:hAnsi="Arial" w:cs="Arial"/>
                <w:sz w:val="24"/>
                <w:szCs w:val="24"/>
                <w:lang w:val="af-ZA"/>
              </w:rPr>
              <w:t xml:space="preserve"> and therefor the summar</w:t>
            </w:r>
            <w:r w:rsidR="00697988" w:rsidRPr="007336CF">
              <w:rPr>
                <w:rFonts w:ascii="Arial" w:hAnsi="Arial" w:cs="Arial"/>
                <w:sz w:val="24"/>
                <w:szCs w:val="24"/>
                <w:lang w:val="af-ZA"/>
              </w:rPr>
              <w:t>y judgement application is struck</w:t>
            </w:r>
            <w:r w:rsidRPr="007336CF">
              <w:rPr>
                <w:rFonts w:ascii="Arial" w:hAnsi="Arial" w:cs="Arial"/>
                <w:sz w:val="24"/>
                <w:szCs w:val="24"/>
                <w:lang w:val="af-ZA"/>
              </w:rPr>
              <w:t xml:space="preserve"> from the roll.</w:t>
            </w:r>
          </w:p>
          <w:p w:rsidR="00A068CF" w:rsidRPr="007336CF" w:rsidRDefault="00A068CF" w:rsidP="0044298F">
            <w:pPr>
              <w:pStyle w:val="ListParagraph"/>
              <w:numPr>
                <w:ilvl w:val="0"/>
                <w:numId w:val="8"/>
              </w:numPr>
              <w:spacing w:after="0" w:line="360" w:lineRule="auto"/>
              <w:ind w:right="95"/>
              <w:jc w:val="both"/>
              <w:rPr>
                <w:rFonts w:ascii="Arial" w:hAnsi="Arial" w:cs="Arial"/>
                <w:sz w:val="24"/>
                <w:szCs w:val="24"/>
                <w:lang w:val="af-ZA"/>
              </w:rPr>
            </w:pPr>
            <w:r w:rsidRPr="007336CF">
              <w:rPr>
                <w:rFonts w:ascii="Arial" w:hAnsi="Arial" w:cs="Arial"/>
                <w:sz w:val="24"/>
                <w:szCs w:val="24"/>
                <w:lang w:val="af-ZA"/>
              </w:rPr>
              <w:t>Cost of this application is awarded to the defendants, of which costs are limited in terms of the provisions of Rule 32(11).</w:t>
            </w:r>
          </w:p>
          <w:p w:rsidR="00A068CF" w:rsidRPr="007336CF" w:rsidRDefault="00A068CF" w:rsidP="0044298F">
            <w:pPr>
              <w:pStyle w:val="ListParagraph"/>
              <w:numPr>
                <w:ilvl w:val="0"/>
                <w:numId w:val="8"/>
              </w:numPr>
              <w:spacing w:after="0" w:line="360" w:lineRule="auto"/>
              <w:ind w:right="95"/>
              <w:jc w:val="both"/>
              <w:rPr>
                <w:rFonts w:ascii="Arial" w:hAnsi="Arial" w:cs="Arial"/>
                <w:sz w:val="24"/>
                <w:szCs w:val="24"/>
                <w:lang w:val="af-ZA"/>
              </w:rPr>
            </w:pPr>
            <w:r w:rsidRPr="007336CF">
              <w:rPr>
                <w:rFonts w:ascii="Arial" w:hAnsi="Arial" w:cs="Arial"/>
                <w:sz w:val="24"/>
                <w:szCs w:val="24"/>
                <w:lang w:val="af-ZA"/>
              </w:rPr>
              <w:t>The parties are ordered to file a joint case plan by no later than 25 March 2021 at 15h00.</w:t>
            </w:r>
          </w:p>
          <w:p w:rsidR="00697988" w:rsidRDefault="00A068CF" w:rsidP="0044298F">
            <w:pPr>
              <w:pStyle w:val="NoSpacing"/>
              <w:numPr>
                <w:ilvl w:val="0"/>
                <w:numId w:val="8"/>
              </w:numPr>
              <w:spacing w:line="360" w:lineRule="auto"/>
              <w:ind w:right="95"/>
              <w:jc w:val="both"/>
              <w:rPr>
                <w:rFonts w:ascii="Arial" w:hAnsi="Arial" w:cs="Arial"/>
                <w:sz w:val="24"/>
                <w:szCs w:val="24"/>
                <w:lang w:val="af-ZA"/>
              </w:rPr>
            </w:pPr>
            <w:r w:rsidRPr="00A068CF">
              <w:rPr>
                <w:rFonts w:ascii="Arial" w:hAnsi="Arial" w:cs="Arial"/>
                <w:sz w:val="24"/>
                <w:szCs w:val="24"/>
                <w:lang w:val="af-ZA"/>
              </w:rPr>
              <w:t>The case is postponed to 30 March 2021 at 15h30 for a case planning conference</w:t>
            </w:r>
            <w:r w:rsidR="007336CF">
              <w:rPr>
                <w:rFonts w:ascii="Arial" w:hAnsi="Arial" w:cs="Arial"/>
                <w:sz w:val="24"/>
                <w:szCs w:val="24"/>
                <w:lang w:val="af-ZA"/>
              </w:rPr>
              <w:t>.</w:t>
            </w:r>
          </w:p>
          <w:p w:rsidR="007336CF" w:rsidRPr="00917016" w:rsidRDefault="007336CF" w:rsidP="0044298F">
            <w:pPr>
              <w:pStyle w:val="NoSpacing"/>
              <w:spacing w:line="360" w:lineRule="auto"/>
              <w:ind w:right="95"/>
              <w:jc w:val="both"/>
              <w:rPr>
                <w:rFonts w:ascii="Arial" w:hAnsi="Arial" w:cs="Arial"/>
                <w:sz w:val="24"/>
                <w:szCs w:val="24"/>
                <w:lang w:val="af-ZA"/>
              </w:rPr>
            </w:pPr>
          </w:p>
        </w:tc>
      </w:tr>
      <w:tr w:rsidR="00950676" w:rsidRPr="00917016" w:rsidTr="0044298F">
        <w:tc>
          <w:tcPr>
            <w:tcW w:w="9909" w:type="dxa"/>
            <w:gridSpan w:val="3"/>
          </w:tcPr>
          <w:p w:rsidR="00950676" w:rsidRPr="00917016" w:rsidRDefault="00950676" w:rsidP="002B34FE">
            <w:pPr>
              <w:spacing w:before="240" w:line="360" w:lineRule="auto"/>
              <w:ind w:right="95"/>
              <w:jc w:val="both"/>
              <w:rPr>
                <w:rFonts w:ascii="Arial" w:hAnsi="Arial" w:cs="Arial"/>
                <w:b/>
                <w:sz w:val="24"/>
                <w:szCs w:val="24"/>
              </w:rPr>
            </w:pPr>
            <w:r w:rsidRPr="00917016">
              <w:rPr>
                <w:rFonts w:ascii="Arial" w:hAnsi="Arial" w:cs="Arial"/>
                <w:b/>
                <w:sz w:val="24"/>
                <w:szCs w:val="24"/>
              </w:rPr>
              <w:t>Reasons for orders:</w:t>
            </w:r>
          </w:p>
        </w:tc>
      </w:tr>
      <w:tr w:rsidR="00950676" w:rsidRPr="00917016" w:rsidTr="0044298F">
        <w:tc>
          <w:tcPr>
            <w:tcW w:w="9909" w:type="dxa"/>
            <w:gridSpan w:val="3"/>
          </w:tcPr>
          <w:p w:rsidR="007336CF" w:rsidRDefault="007336CF" w:rsidP="0044298F">
            <w:pPr>
              <w:spacing w:after="0" w:line="360" w:lineRule="auto"/>
              <w:ind w:right="95"/>
              <w:jc w:val="both"/>
              <w:rPr>
                <w:rFonts w:ascii="Arial" w:hAnsi="Arial" w:cs="Arial"/>
                <w:sz w:val="24"/>
                <w:szCs w:val="24"/>
                <w:u w:val="single"/>
                <w:lang w:val="af-ZA"/>
              </w:rPr>
            </w:pPr>
          </w:p>
          <w:p w:rsidR="0044298F" w:rsidRDefault="0044298F" w:rsidP="0044298F">
            <w:pPr>
              <w:spacing w:after="0" w:line="360" w:lineRule="auto"/>
              <w:ind w:right="95"/>
              <w:jc w:val="both"/>
              <w:rPr>
                <w:rFonts w:ascii="Arial" w:hAnsi="Arial" w:cs="Arial"/>
                <w:sz w:val="24"/>
                <w:szCs w:val="24"/>
                <w:u w:val="single"/>
                <w:lang w:val="af-ZA"/>
              </w:rPr>
            </w:pPr>
          </w:p>
          <w:p w:rsidR="0044298F" w:rsidRDefault="0044298F" w:rsidP="0044298F">
            <w:pPr>
              <w:spacing w:after="0" w:line="360" w:lineRule="auto"/>
              <w:ind w:right="95"/>
              <w:jc w:val="both"/>
              <w:rPr>
                <w:rFonts w:ascii="Arial" w:hAnsi="Arial" w:cs="Arial"/>
                <w:sz w:val="24"/>
                <w:szCs w:val="24"/>
                <w:u w:val="single"/>
                <w:lang w:val="af-ZA"/>
              </w:rPr>
            </w:pPr>
          </w:p>
          <w:p w:rsidR="00B6047C" w:rsidRDefault="00396E53" w:rsidP="0044298F">
            <w:pPr>
              <w:spacing w:after="0" w:line="360" w:lineRule="auto"/>
              <w:ind w:right="95"/>
              <w:jc w:val="both"/>
              <w:rPr>
                <w:rFonts w:ascii="Arial" w:hAnsi="Arial" w:cs="Arial"/>
                <w:sz w:val="24"/>
                <w:szCs w:val="24"/>
                <w:u w:val="single"/>
                <w:lang w:val="af-ZA"/>
              </w:rPr>
            </w:pPr>
            <w:r w:rsidRPr="00917016">
              <w:rPr>
                <w:rFonts w:ascii="Arial" w:hAnsi="Arial" w:cs="Arial"/>
                <w:sz w:val="24"/>
                <w:szCs w:val="24"/>
                <w:u w:val="single"/>
                <w:lang w:val="af-ZA"/>
              </w:rPr>
              <w:t>Background</w:t>
            </w:r>
          </w:p>
          <w:p w:rsidR="0044298F" w:rsidRPr="00917016" w:rsidRDefault="0044298F" w:rsidP="0044298F">
            <w:pPr>
              <w:spacing w:after="0" w:line="360" w:lineRule="auto"/>
              <w:ind w:right="95"/>
              <w:jc w:val="both"/>
              <w:rPr>
                <w:rFonts w:ascii="Arial" w:hAnsi="Arial" w:cs="Arial"/>
                <w:sz w:val="24"/>
                <w:szCs w:val="24"/>
                <w:u w:val="single"/>
                <w:lang w:val="af-ZA"/>
              </w:rPr>
            </w:pPr>
          </w:p>
          <w:p w:rsidR="00092CB2" w:rsidRPr="00092CB2" w:rsidRDefault="00092CB2" w:rsidP="0044298F">
            <w:pPr>
              <w:spacing w:after="0" w:line="360" w:lineRule="auto"/>
              <w:ind w:right="95"/>
              <w:jc w:val="both"/>
              <w:rPr>
                <w:rFonts w:ascii="Arial" w:hAnsi="Arial" w:cs="Arial"/>
                <w:sz w:val="24"/>
                <w:szCs w:val="24"/>
                <w:lang w:val="af-ZA"/>
              </w:rPr>
            </w:pPr>
            <w:r w:rsidRPr="00092CB2">
              <w:rPr>
                <w:rFonts w:ascii="Arial" w:hAnsi="Arial" w:cs="Arial"/>
                <w:sz w:val="24"/>
                <w:szCs w:val="24"/>
                <w:u w:val="single"/>
                <w:lang w:val="af-ZA"/>
              </w:rPr>
              <w:t>[</w:t>
            </w:r>
            <w:r w:rsidRPr="00092CB2">
              <w:rPr>
                <w:rFonts w:ascii="Arial" w:hAnsi="Arial" w:cs="Arial"/>
                <w:sz w:val="24"/>
                <w:szCs w:val="24"/>
                <w:lang w:val="af-ZA"/>
              </w:rPr>
              <w:t>1]</w:t>
            </w:r>
            <w:r w:rsidR="007336CF">
              <w:rPr>
                <w:rFonts w:ascii="Arial" w:hAnsi="Arial" w:cs="Arial"/>
                <w:sz w:val="24"/>
                <w:szCs w:val="24"/>
                <w:lang w:val="af-ZA"/>
              </w:rPr>
              <w:tab/>
            </w:r>
            <w:r w:rsidRPr="00092CB2">
              <w:rPr>
                <w:rFonts w:ascii="Arial" w:hAnsi="Arial" w:cs="Arial"/>
                <w:sz w:val="24"/>
                <w:szCs w:val="24"/>
                <w:lang w:val="af-ZA"/>
              </w:rPr>
              <w:t xml:space="preserve">On </w:t>
            </w:r>
            <w:r w:rsidR="007336CF">
              <w:rPr>
                <w:rFonts w:ascii="Arial" w:hAnsi="Arial" w:cs="Arial"/>
                <w:sz w:val="24"/>
                <w:szCs w:val="24"/>
                <w:lang w:val="af-ZA"/>
              </w:rPr>
              <w:t>or about 11 November 2006, the applicant/p</w:t>
            </w:r>
            <w:r w:rsidRPr="00092CB2">
              <w:rPr>
                <w:rFonts w:ascii="Arial" w:hAnsi="Arial" w:cs="Arial"/>
                <w:sz w:val="24"/>
                <w:szCs w:val="24"/>
                <w:lang w:val="af-ZA"/>
              </w:rPr>
              <w:t>laintiff entered into a wr</w:t>
            </w:r>
            <w:r w:rsidR="007336CF">
              <w:rPr>
                <w:rFonts w:ascii="Arial" w:hAnsi="Arial" w:cs="Arial"/>
                <w:sz w:val="24"/>
                <w:szCs w:val="24"/>
                <w:lang w:val="af-ZA"/>
              </w:rPr>
              <w:t>itten lease agreement with the respondent/defendant in terms of which the applicant leased to the r</w:t>
            </w:r>
            <w:r w:rsidRPr="00092CB2">
              <w:rPr>
                <w:rFonts w:ascii="Arial" w:hAnsi="Arial" w:cs="Arial"/>
                <w:sz w:val="24"/>
                <w:szCs w:val="24"/>
                <w:lang w:val="af-ZA"/>
              </w:rPr>
              <w:t xml:space="preserve">espondent a certain property known as TransNamib Main Sports Club which included offices, rooms, a hall and tennis courts situated at erf 194, TransNamib building, Bahnhoff Street in Windhoek. The initial lease agreement was for a period of nine years and on 20 November 2013 the lease agreement was extended for a further five years, the agreement to come to an end on 31 December 2020. On 24 August 2016 the agreement was however extended with another five years and is set to come </w:t>
            </w:r>
            <w:r w:rsidR="007336CF">
              <w:rPr>
                <w:rFonts w:ascii="Arial" w:hAnsi="Arial" w:cs="Arial"/>
                <w:sz w:val="24"/>
                <w:szCs w:val="24"/>
                <w:lang w:val="af-ZA"/>
              </w:rPr>
              <w:t xml:space="preserve">to an end on 30 November 2025. </w:t>
            </w:r>
            <w:r w:rsidRPr="00092CB2">
              <w:rPr>
                <w:rFonts w:ascii="Arial" w:hAnsi="Arial" w:cs="Arial"/>
                <w:sz w:val="24"/>
                <w:szCs w:val="24"/>
                <w:lang w:val="af-ZA"/>
              </w:rPr>
              <w:t>This extension was however not explained in the Particulars of Claim as the Particulars of Claim only deals with the running out of the lease at 31 December 2020, neither was a c</w:t>
            </w:r>
            <w:r w:rsidR="007336CF">
              <w:rPr>
                <w:rFonts w:ascii="Arial" w:hAnsi="Arial" w:cs="Arial"/>
                <w:sz w:val="24"/>
                <w:szCs w:val="24"/>
                <w:lang w:val="af-ZA"/>
              </w:rPr>
              <w:t>opy of such extension uploaded.</w:t>
            </w:r>
            <w:r w:rsidRPr="00092CB2">
              <w:rPr>
                <w:rFonts w:ascii="Arial" w:hAnsi="Arial" w:cs="Arial"/>
                <w:sz w:val="24"/>
                <w:szCs w:val="24"/>
                <w:lang w:val="af-ZA"/>
              </w:rPr>
              <w:t xml:space="preserve"> A copy of this addendum was however attached to</w:t>
            </w:r>
            <w:r w:rsidR="007336CF">
              <w:rPr>
                <w:rFonts w:ascii="Arial" w:hAnsi="Arial" w:cs="Arial"/>
                <w:sz w:val="24"/>
                <w:szCs w:val="24"/>
                <w:lang w:val="af-ZA"/>
              </w:rPr>
              <w:t xml:space="preserve"> the opposing affidavit of the r</w:t>
            </w:r>
            <w:r w:rsidRPr="00092CB2">
              <w:rPr>
                <w:rFonts w:ascii="Arial" w:hAnsi="Arial" w:cs="Arial"/>
                <w:sz w:val="24"/>
                <w:szCs w:val="24"/>
                <w:lang w:val="af-ZA"/>
              </w:rPr>
              <w:t>espondent.</w:t>
            </w:r>
          </w:p>
          <w:p w:rsidR="00092CB2" w:rsidRPr="00092CB2" w:rsidRDefault="00092CB2" w:rsidP="0044298F">
            <w:pPr>
              <w:spacing w:after="0" w:line="360" w:lineRule="auto"/>
              <w:ind w:right="95"/>
              <w:jc w:val="both"/>
              <w:rPr>
                <w:rFonts w:ascii="Arial" w:hAnsi="Arial" w:cs="Arial"/>
                <w:sz w:val="24"/>
                <w:szCs w:val="24"/>
                <w:lang w:val="af-ZA"/>
              </w:rPr>
            </w:pPr>
          </w:p>
          <w:p w:rsidR="00092CB2" w:rsidRPr="00092CB2" w:rsidRDefault="00092CB2" w:rsidP="0044298F">
            <w:pPr>
              <w:spacing w:after="0" w:line="360" w:lineRule="auto"/>
              <w:ind w:right="95"/>
              <w:jc w:val="both"/>
              <w:rPr>
                <w:rFonts w:ascii="Arial" w:hAnsi="Arial" w:cs="Arial"/>
                <w:sz w:val="24"/>
                <w:szCs w:val="24"/>
                <w:lang w:val="af-ZA"/>
              </w:rPr>
            </w:pPr>
            <w:r w:rsidRPr="00092CB2">
              <w:rPr>
                <w:rFonts w:ascii="Arial" w:hAnsi="Arial" w:cs="Arial"/>
                <w:sz w:val="24"/>
                <w:szCs w:val="24"/>
                <w:lang w:val="af-ZA"/>
              </w:rPr>
              <w:t>[2]</w:t>
            </w:r>
            <w:r w:rsidR="00152579">
              <w:rPr>
                <w:rFonts w:ascii="Arial" w:hAnsi="Arial" w:cs="Arial"/>
                <w:sz w:val="24"/>
                <w:szCs w:val="24"/>
                <w:lang w:val="af-ZA"/>
              </w:rPr>
              <w:tab/>
              <w:t xml:space="preserve">On </w:t>
            </w:r>
            <w:r w:rsidR="00152579" w:rsidRPr="00092CB2">
              <w:rPr>
                <w:rFonts w:ascii="Arial" w:hAnsi="Arial" w:cs="Arial"/>
                <w:sz w:val="24"/>
                <w:szCs w:val="24"/>
                <w:lang w:val="af-ZA"/>
              </w:rPr>
              <w:t xml:space="preserve">31 May 2019 </w:t>
            </w:r>
            <w:r w:rsidR="00152579">
              <w:rPr>
                <w:rFonts w:ascii="Arial" w:hAnsi="Arial" w:cs="Arial"/>
                <w:sz w:val="24"/>
                <w:szCs w:val="24"/>
                <w:lang w:val="af-ZA"/>
              </w:rPr>
              <w:t>the applicant gave the r</w:t>
            </w:r>
            <w:r w:rsidRPr="00092CB2">
              <w:rPr>
                <w:rFonts w:ascii="Arial" w:hAnsi="Arial" w:cs="Arial"/>
                <w:sz w:val="24"/>
                <w:szCs w:val="24"/>
                <w:lang w:val="af-ZA"/>
              </w:rPr>
              <w:t>espondent notice that the lease agreement of buildings on portion of erf 194 Windhoek is</w:t>
            </w:r>
            <w:r w:rsidR="00152579">
              <w:rPr>
                <w:rFonts w:ascii="Arial" w:hAnsi="Arial" w:cs="Arial"/>
                <w:sz w:val="24"/>
                <w:szCs w:val="24"/>
                <w:lang w:val="af-ZA"/>
              </w:rPr>
              <w:t xml:space="preserve"> to terminate on 31 May 2020 and such notice was</w:t>
            </w:r>
            <w:r w:rsidRPr="00092CB2">
              <w:rPr>
                <w:rFonts w:ascii="Arial" w:hAnsi="Arial" w:cs="Arial"/>
                <w:sz w:val="24"/>
                <w:szCs w:val="24"/>
                <w:lang w:val="af-ZA"/>
              </w:rPr>
              <w:t xml:space="preserve"> in terms of section 32(1) </w:t>
            </w:r>
            <w:r w:rsidR="00152579">
              <w:rPr>
                <w:rFonts w:ascii="Arial" w:hAnsi="Arial" w:cs="Arial"/>
                <w:sz w:val="24"/>
                <w:szCs w:val="24"/>
                <w:lang w:val="af-ZA"/>
              </w:rPr>
              <w:t>of Rents Ordinance</w:t>
            </w:r>
            <w:r w:rsidR="00C90A2C">
              <w:rPr>
                <w:rStyle w:val="FootnoteReference"/>
                <w:rFonts w:ascii="Arial" w:hAnsi="Arial" w:cs="Arial"/>
                <w:sz w:val="24"/>
                <w:szCs w:val="24"/>
                <w:lang w:val="af-ZA"/>
              </w:rPr>
              <w:footnoteReference w:id="1"/>
            </w:r>
            <w:r w:rsidR="00152579">
              <w:rPr>
                <w:rFonts w:ascii="Arial" w:hAnsi="Arial" w:cs="Arial"/>
                <w:sz w:val="24"/>
                <w:szCs w:val="24"/>
                <w:lang w:val="af-ZA"/>
              </w:rPr>
              <w:t>. The applicant alleges that the r</w:t>
            </w:r>
            <w:r w:rsidRPr="00092CB2">
              <w:rPr>
                <w:rFonts w:ascii="Arial" w:hAnsi="Arial" w:cs="Arial"/>
                <w:sz w:val="24"/>
                <w:szCs w:val="24"/>
                <w:lang w:val="af-ZA"/>
              </w:rPr>
              <w:t xml:space="preserve">espondent is in breach of the lease agreement as they are in arrears of municipal fees </w:t>
            </w:r>
            <w:r w:rsidR="00152579">
              <w:rPr>
                <w:rFonts w:ascii="Arial" w:hAnsi="Arial" w:cs="Arial"/>
                <w:sz w:val="24"/>
                <w:szCs w:val="24"/>
                <w:lang w:val="af-ZA"/>
              </w:rPr>
              <w:t xml:space="preserve">to the amount of N$182 508.81. </w:t>
            </w:r>
            <w:r w:rsidRPr="00092CB2">
              <w:rPr>
                <w:rFonts w:ascii="Arial" w:hAnsi="Arial" w:cs="Arial"/>
                <w:sz w:val="24"/>
                <w:szCs w:val="24"/>
                <w:lang w:val="af-ZA"/>
              </w:rPr>
              <w:t>The</w:t>
            </w:r>
            <w:r w:rsidR="00152579">
              <w:rPr>
                <w:rFonts w:ascii="Arial" w:hAnsi="Arial" w:cs="Arial"/>
                <w:sz w:val="24"/>
                <w:szCs w:val="24"/>
                <w:lang w:val="af-ZA"/>
              </w:rPr>
              <w:t xml:space="preserve"> applicant therefore seeks</w:t>
            </w:r>
            <w:r w:rsidRPr="00092CB2">
              <w:rPr>
                <w:rFonts w:ascii="Arial" w:hAnsi="Arial" w:cs="Arial"/>
                <w:sz w:val="24"/>
                <w:szCs w:val="24"/>
                <w:lang w:val="af-ZA"/>
              </w:rPr>
              <w:t xml:space="preserve"> for the termination of the lease agreement and ejectment of the respondent in light of the fact that the agreement was breached, alternatively because the respondent was given a year’s notice under the Rents Ordinance.</w:t>
            </w:r>
          </w:p>
          <w:p w:rsidR="00092CB2" w:rsidRPr="00092CB2" w:rsidRDefault="00092CB2" w:rsidP="0044298F">
            <w:pPr>
              <w:spacing w:after="0" w:line="360" w:lineRule="auto"/>
              <w:ind w:right="95"/>
              <w:jc w:val="both"/>
              <w:rPr>
                <w:rFonts w:ascii="Arial" w:hAnsi="Arial" w:cs="Arial"/>
                <w:sz w:val="24"/>
                <w:szCs w:val="24"/>
                <w:lang w:val="af-ZA"/>
              </w:rPr>
            </w:pPr>
          </w:p>
          <w:p w:rsidR="00092CB2" w:rsidRDefault="00092CB2" w:rsidP="0044298F">
            <w:pPr>
              <w:spacing w:after="0" w:line="360" w:lineRule="auto"/>
              <w:ind w:right="95"/>
              <w:jc w:val="both"/>
              <w:rPr>
                <w:rFonts w:ascii="Arial" w:hAnsi="Arial" w:cs="Arial"/>
                <w:sz w:val="24"/>
                <w:szCs w:val="24"/>
                <w:u w:val="single"/>
                <w:lang w:val="af-ZA"/>
              </w:rPr>
            </w:pPr>
            <w:r w:rsidRPr="00092CB2">
              <w:rPr>
                <w:rFonts w:ascii="Arial" w:hAnsi="Arial" w:cs="Arial"/>
                <w:sz w:val="24"/>
                <w:szCs w:val="24"/>
                <w:u w:val="single"/>
                <w:lang w:val="af-ZA"/>
              </w:rPr>
              <w:t>The arguments</w:t>
            </w:r>
          </w:p>
          <w:p w:rsidR="002B34FE" w:rsidRPr="00092CB2" w:rsidRDefault="002B34FE" w:rsidP="0044298F">
            <w:pPr>
              <w:spacing w:after="0" w:line="360" w:lineRule="auto"/>
              <w:ind w:right="95"/>
              <w:jc w:val="both"/>
              <w:rPr>
                <w:rFonts w:ascii="Arial" w:hAnsi="Arial" w:cs="Arial"/>
                <w:sz w:val="24"/>
                <w:szCs w:val="24"/>
                <w:u w:val="single"/>
                <w:lang w:val="af-ZA"/>
              </w:rPr>
            </w:pPr>
          </w:p>
          <w:p w:rsidR="00092CB2" w:rsidRPr="00092CB2" w:rsidRDefault="00092CB2" w:rsidP="0044298F">
            <w:pPr>
              <w:spacing w:after="0" w:line="360" w:lineRule="auto"/>
              <w:ind w:right="95"/>
              <w:jc w:val="both"/>
              <w:rPr>
                <w:rFonts w:ascii="Arial" w:hAnsi="Arial" w:cs="Arial"/>
                <w:sz w:val="24"/>
                <w:szCs w:val="24"/>
                <w:lang w:val="af-ZA"/>
              </w:rPr>
            </w:pPr>
            <w:r w:rsidRPr="00092CB2">
              <w:rPr>
                <w:rFonts w:ascii="Arial" w:hAnsi="Arial" w:cs="Arial"/>
                <w:sz w:val="24"/>
                <w:szCs w:val="24"/>
                <w:lang w:val="af-ZA"/>
              </w:rPr>
              <w:t>[3]</w:t>
            </w:r>
            <w:r w:rsidR="00C90A2C">
              <w:rPr>
                <w:rFonts w:ascii="Arial" w:hAnsi="Arial" w:cs="Arial"/>
                <w:sz w:val="24"/>
                <w:szCs w:val="24"/>
                <w:lang w:val="af-ZA"/>
              </w:rPr>
              <w:tab/>
            </w:r>
            <w:r w:rsidRPr="00092CB2">
              <w:rPr>
                <w:rFonts w:ascii="Arial" w:hAnsi="Arial" w:cs="Arial"/>
                <w:sz w:val="24"/>
                <w:szCs w:val="24"/>
                <w:lang w:val="af-ZA"/>
              </w:rPr>
              <w:t>Numerous points in limin</w:t>
            </w:r>
            <w:r w:rsidR="00C90A2C">
              <w:rPr>
                <w:rFonts w:ascii="Arial" w:hAnsi="Arial" w:cs="Arial"/>
                <w:sz w:val="24"/>
                <w:szCs w:val="24"/>
                <w:lang w:val="af-ZA"/>
              </w:rPr>
              <w:t xml:space="preserve">e were raised on behalf of the respondent. </w:t>
            </w:r>
            <w:r w:rsidRPr="00092CB2">
              <w:rPr>
                <w:rFonts w:ascii="Arial" w:hAnsi="Arial" w:cs="Arial"/>
                <w:sz w:val="24"/>
                <w:szCs w:val="24"/>
                <w:lang w:val="af-ZA"/>
              </w:rPr>
              <w:t>These were:</w:t>
            </w:r>
          </w:p>
          <w:p w:rsidR="00092CB2" w:rsidRPr="00092CB2" w:rsidRDefault="00C90A2C" w:rsidP="002B34FE">
            <w:pPr>
              <w:spacing w:after="0" w:line="360" w:lineRule="auto"/>
              <w:ind w:right="95"/>
              <w:jc w:val="both"/>
              <w:rPr>
                <w:rFonts w:ascii="Arial" w:hAnsi="Arial" w:cs="Arial"/>
                <w:sz w:val="24"/>
                <w:szCs w:val="24"/>
                <w:lang w:val="af-ZA"/>
              </w:rPr>
            </w:pPr>
            <w:r>
              <w:rPr>
                <w:rFonts w:ascii="Arial" w:hAnsi="Arial" w:cs="Arial"/>
                <w:sz w:val="24"/>
                <w:szCs w:val="24"/>
                <w:lang w:val="af-ZA"/>
              </w:rPr>
              <w:t>That t</w:t>
            </w:r>
            <w:r w:rsidR="00092CB2" w:rsidRPr="00092CB2">
              <w:rPr>
                <w:rFonts w:ascii="Arial" w:hAnsi="Arial" w:cs="Arial"/>
                <w:sz w:val="24"/>
                <w:szCs w:val="24"/>
                <w:lang w:val="af-ZA"/>
              </w:rPr>
              <w:t>he original contract signed during November 2006 under sub-clause 16.1 contains a non-optional arbitration clause in that it reads ‘should the parties be unable to resolve the dispute in this manner, the dispute shall be referred to a single arbitrator for arbitration.’</w:t>
            </w:r>
          </w:p>
          <w:p w:rsidR="00092CB2" w:rsidRPr="00092CB2" w:rsidRDefault="00092CB2" w:rsidP="0044298F">
            <w:pPr>
              <w:spacing w:after="0" w:line="360" w:lineRule="auto"/>
              <w:ind w:right="95"/>
              <w:jc w:val="both"/>
              <w:rPr>
                <w:rFonts w:ascii="Arial" w:hAnsi="Arial" w:cs="Arial"/>
                <w:sz w:val="24"/>
                <w:szCs w:val="24"/>
                <w:lang w:val="af-ZA"/>
              </w:rPr>
            </w:pPr>
          </w:p>
          <w:p w:rsidR="00092CB2" w:rsidRPr="00C90A2C" w:rsidRDefault="00092CB2" w:rsidP="0044298F">
            <w:pPr>
              <w:pStyle w:val="ListParagraph"/>
              <w:numPr>
                <w:ilvl w:val="0"/>
                <w:numId w:val="15"/>
              </w:numPr>
              <w:spacing w:after="0" w:line="360" w:lineRule="auto"/>
              <w:ind w:right="95"/>
              <w:jc w:val="both"/>
              <w:rPr>
                <w:rFonts w:ascii="Arial" w:hAnsi="Arial" w:cs="Arial"/>
                <w:sz w:val="24"/>
                <w:szCs w:val="24"/>
                <w:lang w:val="af-ZA"/>
              </w:rPr>
            </w:pPr>
            <w:r w:rsidRPr="00C90A2C">
              <w:rPr>
                <w:rFonts w:ascii="Arial" w:hAnsi="Arial" w:cs="Arial"/>
                <w:sz w:val="24"/>
                <w:szCs w:val="24"/>
                <w:lang w:val="af-ZA"/>
              </w:rPr>
              <w:lastRenderedPageBreak/>
              <w:t>Mr Johnny Smith in his Founding Affidavit alleges that he is ‘duly authorized to make this affidavit’ but he does allege that he is authorised to bring the Application for Summary Judgement and the application is therefore not properly before court.</w:t>
            </w:r>
          </w:p>
          <w:p w:rsidR="00092CB2" w:rsidRPr="00092CB2" w:rsidRDefault="00092CB2" w:rsidP="0044298F">
            <w:pPr>
              <w:spacing w:after="0" w:line="360" w:lineRule="auto"/>
              <w:ind w:right="95"/>
              <w:jc w:val="both"/>
              <w:rPr>
                <w:rFonts w:ascii="Arial" w:hAnsi="Arial" w:cs="Arial"/>
                <w:sz w:val="24"/>
                <w:szCs w:val="24"/>
                <w:lang w:val="af-ZA"/>
              </w:rPr>
            </w:pPr>
          </w:p>
          <w:p w:rsidR="00092CB2" w:rsidRPr="00C90A2C" w:rsidRDefault="00092CB2" w:rsidP="0044298F">
            <w:pPr>
              <w:pStyle w:val="ListParagraph"/>
              <w:numPr>
                <w:ilvl w:val="0"/>
                <w:numId w:val="15"/>
              </w:numPr>
              <w:spacing w:after="0" w:line="360" w:lineRule="auto"/>
              <w:ind w:right="95"/>
              <w:jc w:val="both"/>
              <w:rPr>
                <w:rFonts w:ascii="Arial" w:hAnsi="Arial" w:cs="Arial"/>
                <w:sz w:val="24"/>
                <w:szCs w:val="24"/>
                <w:lang w:val="af-ZA"/>
              </w:rPr>
            </w:pPr>
            <w:r w:rsidRPr="00C90A2C">
              <w:rPr>
                <w:rFonts w:ascii="Arial" w:hAnsi="Arial" w:cs="Arial"/>
                <w:sz w:val="24"/>
                <w:szCs w:val="24"/>
                <w:lang w:val="af-ZA"/>
              </w:rPr>
              <w:t>The third point in limine is that the particulars of claim is vague and embarr</w:t>
            </w:r>
            <w:r w:rsidR="00C90A2C" w:rsidRPr="00C90A2C">
              <w:rPr>
                <w:rFonts w:ascii="Arial" w:hAnsi="Arial" w:cs="Arial"/>
                <w:sz w:val="24"/>
                <w:szCs w:val="24"/>
                <w:lang w:val="af-ZA"/>
              </w:rPr>
              <w:t>assing and therefore excipiable. In that u</w:t>
            </w:r>
            <w:r w:rsidRPr="00C90A2C">
              <w:rPr>
                <w:rFonts w:ascii="Arial" w:hAnsi="Arial" w:cs="Arial"/>
                <w:sz w:val="24"/>
                <w:szCs w:val="24"/>
                <w:lang w:val="af-ZA"/>
              </w:rPr>
              <w:t xml:space="preserve">nder paragraph 4 of the Particulars of claim it is alleged by the </w:t>
            </w:r>
            <w:r w:rsidR="00C90A2C" w:rsidRPr="00C90A2C">
              <w:rPr>
                <w:rFonts w:ascii="Arial" w:hAnsi="Arial" w:cs="Arial"/>
                <w:sz w:val="24"/>
                <w:szCs w:val="24"/>
                <w:lang w:val="af-ZA"/>
              </w:rPr>
              <w:t>a</w:t>
            </w:r>
            <w:r w:rsidRPr="00C90A2C">
              <w:rPr>
                <w:rFonts w:ascii="Arial" w:hAnsi="Arial" w:cs="Arial"/>
                <w:sz w:val="24"/>
                <w:szCs w:val="24"/>
                <w:lang w:val="af-ZA"/>
              </w:rPr>
              <w:t>pplicant that the parties entered into a written lease agreement on or about 20 November 2013 whilst this is in fact incorrect as the agreement was entered into on 7 November 2006.  Parag</w:t>
            </w:r>
            <w:r w:rsidR="00C90A2C" w:rsidRPr="00C90A2C">
              <w:rPr>
                <w:rFonts w:ascii="Arial" w:hAnsi="Arial" w:cs="Arial"/>
                <w:sz w:val="24"/>
                <w:szCs w:val="24"/>
                <w:lang w:val="af-ZA"/>
              </w:rPr>
              <w:t>raph 5 further claims that the a</w:t>
            </w:r>
            <w:r w:rsidRPr="00C90A2C">
              <w:rPr>
                <w:rFonts w:ascii="Arial" w:hAnsi="Arial" w:cs="Arial"/>
                <w:sz w:val="24"/>
                <w:szCs w:val="24"/>
                <w:lang w:val="af-ZA"/>
              </w:rPr>
              <w:t>pplicant was at all times represented by its Acting Chief Executive Officer, Mr. Struggle Ihuhua and this is not true as t</w:t>
            </w:r>
            <w:r w:rsidR="00C90A2C" w:rsidRPr="00C90A2C">
              <w:rPr>
                <w:rFonts w:ascii="Arial" w:hAnsi="Arial" w:cs="Arial"/>
                <w:sz w:val="24"/>
                <w:szCs w:val="24"/>
                <w:lang w:val="af-ZA"/>
              </w:rPr>
              <w:t>he a</w:t>
            </w:r>
            <w:r w:rsidRPr="00C90A2C">
              <w:rPr>
                <w:rFonts w:ascii="Arial" w:hAnsi="Arial" w:cs="Arial"/>
                <w:sz w:val="24"/>
                <w:szCs w:val="24"/>
                <w:lang w:val="af-ZA"/>
              </w:rPr>
              <w:t xml:space="preserve">pplicant was represented by Mr. John Mueneni Shaetonhodi at the conclusion of </w:t>
            </w:r>
            <w:r w:rsidR="00C90A2C" w:rsidRPr="00C90A2C">
              <w:rPr>
                <w:rFonts w:ascii="Arial" w:hAnsi="Arial" w:cs="Arial"/>
                <w:sz w:val="24"/>
                <w:szCs w:val="24"/>
                <w:lang w:val="af-ZA"/>
              </w:rPr>
              <w:t xml:space="preserve">the principle lease agreement. </w:t>
            </w:r>
            <w:r w:rsidRPr="00C90A2C">
              <w:rPr>
                <w:rFonts w:ascii="Arial" w:hAnsi="Arial" w:cs="Arial"/>
                <w:sz w:val="24"/>
                <w:szCs w:val="24"/>
                <w:lang w:val="af-ZA"/>
              </w:rPr>
              <w:t>Th</w:t>
            </w:r>
            <w:r w:rsidR="00C90A2C" w:rsidRPr="00C90A2C">
              <w:rPr>
                <w:rFonts w:ascii="Arial" w:hAnsi="Arial" w:cs="Arial"/>
                <w:sz w:val="24"/>
                <w:szCs w:val="24"/>
                <w:lang w:val="af-ZA"/>
              </w:rPr>
              <w:t>at</w:t>
            </w:r>
            <w:r w:rsidRPr="00C90A2C">
              <w:rPr>
                <w:rFonts w:ascii="Arial" w:hAnsi="Arial" w:cs="Arial"/>
                <w:sz w:val="24"/>
                <w:szCs w:val="24"/>
                <w:lang w:val="af-ZA"/>
              </w:rPr>
              <w:t xml:space="preserve"> Dr. Zechari</w:t>
            </w:r>
            <w:r w:rsidR="00C90A2C" w:rsidRPr="00C90A2C">
              <w:rPr>
                <w:rFonts w:ascii="Arial" w:hAnsi="Arial" w:cs="Arial"/>
                <w:sz w:val="24"/>
                <w:szCs w:val="24"/>
                <w:lang w:val="af-ZA"/>
              </w:rPr>
              <w:t>ah Ochola Bolo represented the r</w:t>
            </w:r>
            <w:r w:rsidRPr="00C90A2C">
              <w:rPr>
                <w:rFonts w:ascii="Arial" w:hAnsi="Arial" w:cs="Arial"/>
                <w:sz w:val="24"/>
                <w:szCs w:val="24"/>
                <w:lang w:val="af-ZA"/>
              </w:rPr>
              <w:t xml:space="preserve">espondent during the signing of the original lease agreement and later the addendum was signed </w:t>
            </w:r>
            <w:r w:rsidR="00C90A2C" w:rsidRPr="00C90A2C">
              <w:rPr>
                <w:rFonts w:ascii="Arial" w:hAnsi="Arial" w:cs="Arial"/>
                <w:sz w:val="24"/>
                <w:szCs w:val="24"/>
                <w:lang w:val="af-ZA"/>
              </w:rPr>
              <w:t>by Lucy Bolo.</w:t>
            </w:r>
            <w:r w:rsidRPr="00C90A2C">
              <w:rPr>
                <w:rFonts w:ascii="Arial" w:hAnsi="Arial" w:cs="Arial"/>
                <w:sz w:val="24"/>
                <w:szCs w:val="24"/>
                <w:lang w:val="af-ZA"/>
              </w:rPr>
              <w:t xml:space="preserve"> The allegations made in the Particulars of Claim are therefore manif</w:t>
            </w:r>
            <w:r w:rsidR="00C90A2C" w:rsidRPr="00C90A2C">
              <w:rPr>
                <w:rFonts w:ascii="Arial" w:hAnsi="Arial" w:cs="Arial"/>
                <w:sz w:val="24"/>
                <w:szCs w:val="24"/>
                <w:lang w:val="af-ZA"/>
              </w:rPr>
              <w:t>estly incorrect and confusing. The r</w:t>
            </w:r>
            <w:r w:rsidRPr="00C90A2C">
              <w:rPr>
                <w:rFonts w:ascii="Arial" w:hAnsi="Arial" w:cs="Arial"/>
                <w:sz w:val="24"/>
                <w:szCs w:val="24"/>
                <w:lang w:val="af-ZA"/>
              </w:rPr>
              <w:t>espondent then proceeded to</w:t>
            </w:r>
            <w:r w:rsidR="00C90A2C" w:rsidRPr="00C90A2C">
              <w:rPr>
                <w:rFonts w:ascii="Arial" w:hAnsi="Arial" w:cs="Arial"/>
                <w:sz w:val="24"/>
                <w:szCs w:val="24"/>
                <w:lang w:val="af-ZA"/>
              </w:rPr>
              <w:t xml:space="preserve"> point out a number of other exc</w:t>
            </w:r>
            <w:r w:rsidRPr="00C90A2C">
              <w:rPr>
                <w:rFonts w:ascii="Arial" w:hAnsi="Arial" w:cs="Arial"/>
                <w:sz w:val="24"/>
                <w:szCs w:val="24"/>
                <w:lang w:val="af-ZA"/>
              </w:rPr>
              <w:t>i</w:t>
            </w:r>
            <w:r w:rsidR="00C90A2C" w:rsidRPr="00C90A2C">
              <w:rPr>
                <w:rFonts w:ascii="Arial" w:hAnsi="Arial" w:cs="Arial"/>
                <w:sz w:val="24"/>
                <w:szCs w:val="24"/>
                <w:lang w:val="af-ZA"/>
              </w:rPr>
              <w:t>pi</w:t>
            </w:r>
            <w:r w:rsidRPr="00C90A2C">
              <w:rPr>
                <w:rFonts w:ascii="Arial" w:hAnsi="Arial" w:cs="Arial"/>
                <w:sz w:val="24"/>
                <w:szCs w:val="24"/>
                <w:lang w:val="af-ZA"/>
              </w:rPr>
              <w:t>able allegations in the Particulars of Claim.</w:t>
            </w:r>
          </w:p>
          <w:p w:rsidR="00092CB2" w:rsidRPr="00092CB2" w:rsidRDefault="00092CB2" w:rsidP="0044298F">
            <w:pPr>
              <w:spacing w:after="0" w:line="360" w:lineRule="auto"/>
              <w:ind w:right="95"/>
              <w:jc w:val="both"/>
              <w:rPr>
                <w:rFonts w:ascii="Arial" w:hAnsi="Arial" w:cs="Arial"/>
                <w:sz w:val="24"/>
                <w:szCs w:val="24"/>
                <w:lang w:val="af-ZA"/>
              </w:rPr>
            </w:pPr>
          </w:p>
          <w:p w:rsidR="00092CB2" w:rsidRPr="00C90A2C" w:rsidRDefault="00C90A2C" w:rsidP="0044298F">
            <w:pPr>
              <w:pStyle w:val="ListParagraph"/>
              <w:numPr>
                <w:ilvl w:val="0"/>
                <w:numId w:val="15"/>
              </w:numPr>
              <w:spacing w:after="0" w:line="360" w:lineRule="auto"/>
              <w:ind w:right="95"/>
              <w:jc w:val="both"/>
              <w:rPr>
                <w:rFonts w:ascii="Arial" w:hAnsi="Arial" w:cs="Arial"/>
                <w:sz w:val="24"/>
                <w:szCs w:val="24"/>
                <w:lang w:val="af-ZA"/>
              </w:rPr>
            </w:pPr>
            <w:r w:rsidRPr="00C90A2C">
              <w:rPr>
                <w:rFonts w:ascii="Arial" w:hAnsi="Arial" w:cs="Arial"/>
                <w:sz w:val="24"/>
                <w:szCs w:val="24"/>
                <w:lang w:val="af-ZA"/>
              </w:rPr>
              <w:t>T</w:t>
            </w:r>
            <w:r w:rsidR="00092CB2" w:rsidRPr="00C90A2C">
              <w:rPr>
                <w:rFonts w:ascii="Arial" w:hAnsi="Arial" w:cs="Arial"/>
                <w:sz w:val="24"/>
                <w:szCs w:val="24"/>
                <w:lang w:val="af-ZA"/>
              </w:rPr>
              <w:t>he non-compliance with the Stamp Duties Act, 15 of 1993 in that although the principle lease agreement was stamped, the two ad</w:t>
            </w:r>
            <w:r w:rsidRPr="00C90A2C">
              <w:rPr>
                <w:rFonts w:ascii="Arial" w:hAnsi="Arial" w:cs="Arial"/>
                <w:sz w:val="24"/>
                <w:szCs w:val="24"/>
                <w:lang w:val="af-ZA"/>
              </w:rPr>
              <w:t>dendums were</w:t>
            </w:r>
            <w:r w:rsidR="00092CB2" w:rsidRPr="00C90A2C">
              <w:rPr>
                <w:rFonts w:ascii="Arial" w:hAnsi="Arial" w:cs="Arial"/>
                <w:sz w:val="24"/>
                <w:szCs w:val="24"/>
                <w:lang w:val="af-ZA"/>
              </w:rPr>
              <w:t xml:space="preserve"> not stamped and the principle lease agreement was only stamped for the initial nine year period of lease and not for the sub</w:t>
            </w:r>
            <w:r w:rsidRPr="00C90A2C">
              <w:rPr>
                <w:rFonts w:ascii="Arial" w:hAnsi="Arial" w:cs="Arial"/>
                <w:sz w:val="24"/>
                <w:szCs w:val="24"/>
                <w:lang w:val="af-ZA"/>
              </w:rPr>
              <w:t xml:space="preserve">sequent two five year periods. </w:t>
            </w:r>
          </w:p>
          <w:p w:rsidR="00C90A2C" w:rsidRDefault="00C90A2C" w:rsidP="0044298F">
            <w:pPr>
              <w:spacing w:after="0" w:line="360" w:lineRule="auto"/>
              <w:ind w:right="95"/>
              <w:jc w:val="both"/>
              <w:rPr>
                <w:rFonts w:ascii="Arial" w:hAnsi="Arial" w:cs="Arial"/>
                <w:sz w:val="24"/>
                <w:szCs w:val="24"/>
                <w:lang w:val="af-ZA"/>
              </w:rPr>
            </w:pPr>
          </w:p>
          <w:p w:rsidR="00092CB2" w:rsidRPr="00C90A2C" w:rsidRDefault="00092CB2" w:rsidP="0044298F">
            <w:pPr>
              <w:pStyle w:val="ListParagraph"/>
              <w:numPr>
                <w:ilvl w:val="0"/>
                <w:numId w:val="15"/>
              </w:numPr>
              <w:spacing w:after="0" w:line="360" w:lineRule="auto"/>
              <w:ind w:right="95"/>
              <w:jc w:val="both"/>
              <w:rPr>
                <w:rFonts w:ascii="Arial" w:hAnsi="Arial" w:cs="Arial"/>
                <w:sz w:val="24"/>
                <w:szCs w:val="24"/>
                <w:lang w:val="af-ZA"/>
              </w:rPr>
            </w:pPr>
            <w:r w:rsidRPr="00C90A2C">
              <w:rPr>
                <w:rFonts w:ascii="Arial" w:hAnsi="Arial" w:cs="Arial"/>
                <w:sz w:val="24"/>
                <w:szCs w:val="24"/>
                <w:lang w:val="af-ZA"/>
              </w:rPr>
              <w:t xml:space="preserve">The next issue raised </w:t>
            </w:r>
            <w:r w:rsidR="00C90A2C" w:rsidRPr="00C90A2C">
              <w:rPr>
                <w:rFonts w:ascii="Arial" w:hAnsi="Arial" w:cs="Arial"/>
                <w:sz w:val="24"/>
                <w:szCs w:val="24"/>
                <w:lang w:val="af-ZA"/>
              </w:rPr>
              <w:t>was the non-compliance of the applicant with the</w:t>
            </w:r>
            <w:r w:rsidRPr="00C90A2C">
              <w:rPr>
                <w:rFonts w:ascii="Arial" w:hAnsi="Arial" w:cs="Arial"/>
                <w:sz w:val="24"/>
                <w:szCs w:val="24"/>
                <w:lang w:val="af-ZA"/>
              </w:rPr>
              <w:t xml:space="preserve"> case plan order indicating that the summary judgement application was to be filed by 7 December 2020 and the duly commissioned Founding Affidavit in support of the Summary Judgement Application was only fi</w:t>
            </w:r>
            <w:r w:rsidR="00C90A2C" w:rsidRPr="00C90A2C">
              <w:rPr>
                <w:rFonts w:ascii="Arial" w:hAnsi="Arial" w:cs="Arial"/>
                <w:sz w:val="24"/>
                <w:szCs w:val="24"/>
                <w:lang w:val="af-ZA"/>
              </w:rPr>
              <w:t>led on 8 December 2020 and the a</w:t>
            </w:r>
            <w:r w:rsidRPr="00C90A2C">
              <w:rPr>
                <w:rFonts w:ascii="Arial" w:hAnsi="Arial" w:cs="Arial"/>
                <w:sz w:val="24"/>
                <w:szCs w:val="24"/>
                <w:lang w:val="af-ZA"/>
              </w:rPr>
              <w:t>pplicant did not seek condonation for the l</w:t>
            </w:r>
            <w:r w:rsidR="00C90A2C" w:rsidRPr="00C90A2C">
              <w:rPr>
                <w:rFonts w:ascii="Arial" w:hAnsi="Arial" w:cs="Arial"/>
                <w:sz w:val="24"/>
                <w:szCs w:val="24"/>
                <w:lang w:val="af-ZA"/>
              </w:rPr>
              <w:t>ate filing of the application.</w:t>
            </w:r>
          </w:p>
          <w:p w:rsidR="00092CB2" w:rsidRPr="00092CB2" w:rsidRDefault="00092CB2" w:rsidP="0044298F">
            <w:pPr>
              <w:spacing w:after="0" w:line="360" w:lineRule="auto"/>
              <w:ind w:right="95"/>
              <w:jc w:val="both"/>
              <w:rPr>
                <w:rFonts w:ascii="Arial" w:hAnsi="Arial" w:cs="Arial"/>
                <w:sz w:val="24"/>
                <w:szCs w:val="24"/>
                <w:lang w:val="af-ZA"/>
              </w:rPr>
            </w:pPr>
          </w:p>
          <w:p w:rsidR="00092CB2" w:rsidRPr="00092CB2" w:rsidRDefault="00092CB2" w:rsidP="0044298F">
            <w:pPr>
              <w:spacing w:after="0" w:line="360" w:lineRule="auto"/>
              <w:ind w:right="95"/>
              <w:jc w:val="both"/>
              <w:rPr>
                <w:rFonts w:ascii="Arial" w:hAnsi="Arial" w:cs="Arial"/>
                <w:sz w:val="24"/>
                <w:szCs w:val="24"/>
                <w:lang w:val="af-ZA"/>
              </w:rPr>
            </w:pPr>
            <w:r w:rsidRPr="00092CB2">
              <w:rPr>
                <w:rFonts w:ascii="Arial" w:hAnsi="Arial" w:cs="Arial"/>
                <w:sz w:val="24"/>
                <w:szCs w:val="24"/>
                <w:lang w:val="af-ZA"/>
              </w:rPr>
              <w:t>[4]</w:t>
            </w:r>
            <w:r w:rsidR="00C90A2C">
              <w:rPr>
                <w:rFonts w:ascii="Arial" w:hAnsi="Arial" w:cs="Arial"/>
                <w:sz w:val="24"/>
                <w:szCs w:val="24"/>
                <w:lang w:val="af-ZA"/>
              </w:rPr>
              <w:tab/>
            </w:r>
            <w:r w:rsidRPr="00092CB2">
              <w:rPr>
                <w:rFonts w:ascii="Arial" w:hAnsi="Arial" w:cs="Arial"/>
                <w:sz w:val="24"/>
                <w:szCs w:val="24"/>
                <w:lang w:val="af-ZA"/>
              </w:rPr>
              <w:t xml:space="preserve">On behalf of the </w:t>
            </w:r>
            <w:r w:rsidR="004865BC">
              <w:rPr>
                <w:rFonts w:ascii="Arial" w:hAnsi="Arial" w:cs="Arial"/>
                <w:sz w:val="24"/>
                <w:szCs w:val="24"/>
                <w:lang w:val="af-ZA"/>
              </w:rPr>
              <w:t>r</w:t>
            </w:r>
            <w:r w:rsidRPr="00092CB2">
              <w:rPr>
                <w:rFonts w:ascii="Arial" w:hAnsi="Arial" w:cs="Arial"/>
                <w:sz w:val="24"/>
                <w:szCs w:val="24"/>
                <w:lang w:val="af-ZA"/>
              </w:rPr>
              <w:t>espondent the legal practitioner then</w:t>
            </w:r>
            <w:r w:rsidR="004865BC">
              <w:rPr>
                <w:rFonts w:ascii="Arial" w:hAnsi="Arial" w:cs="Arial"/>
                <w:sz w:val="24"/>
                <w:szCs w:val="24"/>
                <w:lang w:val="af-ZA"/>
              </w:rPr>
              <w:t xml:space="preserve"> proceeded and argued that the r</w:t>
            </w:r>
            <w:r w:rsidRPr="00092CB2">
              <w:rPr>
                <w:rFonts w:ascii="Arial" w:hAnsi="Arial" w:cs="Arial"/>
                <w:sz w:val="24"/>
                <w:szCs w:val="24"/>
                <w:lang w:val="af-ZA"/>
              </w:rPr>
              <w:t>espondent did not breach the agreement as they asked for a break-down in how t</w:t>
            </w:r>
            <w:r w:rsidR="004865BC">
              <w:rPr>
                <w:rFonts w:ascii="Arial" w:hAnsi="Arial" w:cs="Arial"/>
                <w:sz w:val="24"/>
                <w:szCs w:val="24"/>
                <w:lang w:val="af-ZA"/>
              </w:rPr>
              <w:t xml:space="preserve">he arrear amount was calculated, </w:t>
            </w:r>
            <w:r w:rsidRPr="00092CB2">
              <w:rPr>
                <w:rFonts w:ascii="Arial" w:hAnsi="Arial" w:cs="Arial"/>
                <w:sz w:val="24"/>
                <w:szCs w:val="24"/>
                <w:lang w:val="af-ZA"/>
              </w:rPr>
              <w:t>as they are not the only tenants receiving services from the municipality and there is only one wa</w:t>
            </w:r>
            <w:r w:rsidR="004865BC">
              <w:rPr>
                <w:rFonts w:ascii="Arial" w:hAnsi="Arial" w:cs="Arial"/>
                <w:sz w:val="24"/>
                <w:szCs w:val="24"/>
                <w:lang w:val="af-ZA"/>
              </w:rPr>
              <w:t xml:space="preserve">ter meter for all the tenants. </w:t>
            </w:r>
            <w:r w:rsidRPr="00092CB2">
              <w:rPr>
                <w:rFonts w:ascii="Arial" w:hAnsi="Arial" w:cs="Arial"/>
                <w:sz w:val="24"/>
                <w:szCs w:val="24"/>
                <w:lang w:val="af-ZA"/>
              </w:rPr>
              <w:t>In terms of sub-clause 15.11 of the Principal Lease Agreement they are only responsible for ‘municipal services proportional to the extent of the property charged by the Local Authority’ and they share these premises with v</w:t>
            </w:r>
            <w:r w:rsidR="004865BC">
              <w:rPr>
                <w:rFonts w:ascii="Arial" w:hAnsi="Arial" w:cs="Arial"/>
                <w:sz w:val="24"/>
                <w:szCs w:val="24"/>
                <w:lang w:val="af-ZA"/>
              </w:rPr>
              <w:t>arious other entities like the a</w:t>
            </w:r>
            <w:r w:rsidRPr="00092CB2">
              <w:rPr>
                <w:rFonts w:ascii="Arial" w:hAnsi="Arial" w:cs="Arial"/>
                <w:sz w:val="24"/>
                <w:szCs w:val="24"/>
                <w:lang w:val="af-ZA"/>
              </w:rPr>
              <w:t>pplicant itself, TransNamib Bowling Club, a cosmetics shop, a beauty shop and a car dealership.</w:t>
            </w:r>
          </w:p>
          <w:p w:rsidR="00092CB2" w:rsidRPr="00092CB2" w:rsidRDefault="00092CB2" w:rsidP="0044298F">
            <w:pPr>
              <w:spacing w:after="0" w:line="360" w:lineRule="auto"/>
              <w:ind w:right="95"/>
              <w:jc w:val="both"/>
              <w:rPr>
                <w:rFonts w:ascii="Arial" w:hAnsi="Arial" w:cs="Arial"/>
                <w:sz w:val="24"/>
                <w:szCs w:val="24"/>
                <w:lang w:val="af-ZA"/>
              </w:rPr>
            </w:pPr>
          </w:p>
          <w:p w:rsidR="00092CB2" w:rsidRDefault="00092CB2" w:rsidP="0044298F">
            <w:pPr>
              <w:spacing w:after="0" w:line="360" w:lineRule="auto"/>
              <w:ind w:right="95"/>
              <w:jc w:val="both"/>
              <w:rPr>
                <w:rFonts w:ascii="Arial" w:hAnsi="Arial" w:cs="Arial"/>
                <w:sz w:val="24"/>
                <w:szCs w:val="24"/>
                <w:lang w:val="af-ZA"/>
              </w:rPr>
            </w:pPr>
            <w:r w:rsidRPr="00092CB2">
              <w:rPr>
                <w:rFonts w:ascii="Arial" w:hAnsi="Arial" w:cs="Arial"/>
                <w:sz w:val="24"/>
                <w:szCs w:val="24"/>
                <w:lang w:val="af-ZA"/>
              </w:rPr>
              <w:t>[5]</w:t>
            </w:r>
            <w:r w:rsidR="00E70295">
              <w:rPr>
                <w:rFonts w:ascii="Arial" w:hAnsi="Arial" w:cs="Arial"/>
                <w:sz w:val="24"/>
                <w:szCs w:val="24"/>
                <w:lang w:val="af-ZA"/>
              </w:rPr>
              <w:tab/>
            </w:r>
            <w:r w:rsidRPr="00092CB2">
              <w:rPr>
                <w:rFonts w:ascii="Arial" w:hAnsi="Arial" w:cs="Arial"/>
                <w:sz w:val="24"/>
                <w:szCs w:val="24"/>
                <w:lang w:val="af-ZA"/>
              </w:rPr>
              <w:t>It was further argued that the lease agreement was extended for a further period which was not dealt with at all in t</w:t>
            </w:r>
            <w:r w:rsidR="00B507CC">
              <w:rPr>
                <w:rFonts w:ascii="Arial" w:hAnsi="Arial" w:cs="Arial"/>
                <w:sz w:val="24"/>
                <w:szCs w:val="24"/>
                <w:lang w:val="af-ZA"/>
              </w:rPr>
              <w:t>he Particulars of Claim of the a</w:t>
            </w:r>
            <w:r w:rsidRPr="00092CB2">
              <w:rPr>
                <w:rFonts w:ascii="Arial" w:hAnsi="Arial" w:cs="Arial"/>
                <w:sz w:val="24"/>
                <w:szCs w:val="24"/>
                <w:lang w:val="af-ZA"/>
              </w:rPr>
              <w:t>pplicant but which is set to run out on 30 November 2025 and that they have complied with all its obligations under the said lease agreement.</w:t>
            </w:r>
          </w:p>
          <w:p w:rsidR="00B507CC" w:rsidRPr="00092CB2" w:rsidRDefault="00B507CC" w:rsidP="0044298F">
            <w:pPr>
              <w:spacing w:after="0" w:line="360" w:lineRule="auto"/>
              <w:ind w:right="95"/>
              <w:jc w:val="both"/>
              <w:rPr>
                <w:rFonts w:ascii="Arial" w:hAnsi="Arial" w:cs="Arial"/>
                <w:sz w:val="24"/>
                <w:szCs w:val="24"/>
                <w:lang w:val="af-ZA"/>
              </w:rPr>
            </w:pPr>
          </w:p>
          <w:p w:rsidR="00092CB2" w:rsidRPr="00092CB2" w:rsidRDefault="00092CB2" w:rsidP="0044298F">
            <w:pPr>
              <w:spacing w:after="0" w:line="360" w:lineRule="auto"/>
              <w:ind w:right="95"/>
              <w:jc w:val="both"/>
              <w:rPr>
                <w:rFonts w:ascii="Arial" w:hAnsi="Arial" w:cs="Arial"/>
                <w:sz w:val="24"/>
                <w:szCs w:val="24"/>
                <w:lang w:val="af-ZA"/>
              </w:rPr>
            </w:pPr>
            <w:r w:rsidRPr="00092CB2">
              <w:rPr>
                <w:rFonts w:ascii="Arial" w:hAnsi="Arial" w:cs="Arial"/>
                <w:sz w:val="24"/>
                <w:szCs w:val="24"/>
                <w:lang w:val="af-ZA"/>
              </w:rPr>
              <w:t>[6]</w:t>
            </w:r>
            <w:r w:rsidR="00B507CC">
              <w:rPr>
                <w:rFonts w:ascii="Arial" w:hAnsi="Arial" w:cs="Arial"/>
                <w:sz w:val="24"/>
                <w:szCs w:val="24"/>
                <w:lang w:val="af-ZA"/>
              </w:rPr>
              <w:tab/>
            </w:r>
            <w:r w:rsidRPr="00092CB2">
              <w:rPr>
                <w:rFonts w:ascii="Arial" w:hAnsi="Arial" w:cs="Arial"/>
                <w:sz w:val="24"/>
                <w:szCs w:val="24"/>
                <w:lang w:val="af-ZA"/>
              </w:rPr>
              <w:t xml:space="preserve">On behalf of the </w:t>
            </w:r>
            <w:r w:rsidR="00B507CC">
              <w:rPr>
                <w:rFonts w:ascii="Arial" w:hAnsi="Arial" w:cs="Arial"/>
                <w:sz w:val="24"/>
                <w:szCs w:val="24"/>
                <w:lang w:val="af-ZA"/>
              </w:rPr>
              <w:t>a</w:t>
            </w:r>
            <w:r w:rsidRPr="00092CB2">
              <w:rPr>
                <w:rFonts w:ascii="Arial" w:hAnsi="Arial" w:cs="Arial"/>
                <w:sz w:val="24"/>
                <w:szCs w:val="24"/>
                <w:lang w:val="af-ZA"/>
              </w:rPr>
              <w:t>pplicant the following was argued regarding the points in limine raised:</w:t>
            </w:r>
          </w:p>
          <w:p w:rsidR="00092CB2" w:rsidRPr="00B507CC" w:rsidRDefault="00092CB2" w:rsidP="0044298F">
            <w:pPr>
              <w:pStyle w:val="ListParagraph"/>
              <w:numPr>
                <w:ilvl w:val="0"/>
                <w:numId w:val="16"/>
              </w:numPr>
              <w:spacing w:after="0" w:line="360" w:lineRule="auto"/>
              <w:ind w:right="95"/>
              <w:jc w:val="both"/>
              <w:rPr>
                <w:rFonts w:ascii="Arial" w:hAnsi="Arial" w:cs="Arial"/>
                <w:sz w:val="24"/>
                <w:szCs w:val="24"/>
                <w:lang w:val="af-ZA"/>
              </w:rPr>
            </w:pPr>
            <w:r w:rsidRPr="00B507CC">
              <w:rPr>
                <w:rFonts w:ascii="Arial" w:hAnsi="Arial" w:cs="Arial"/>
                <w:sz w:val="24"/>
                <w:szCs w:val="24"/>
                <w:lang w:val="af-ZA"/>
              </w:rPr>
              <w:t>Ad the Arbitration cla</w:t>
            </w:r>
            <w:r w:rsidR="00B507CC" w:rsidRPr="00B507CC">
              <w:rPr>
                <w:rFonts w:ascii="Arial" w:hAnsi="Arial" w:cs="Arial"/>
                <w:sz w:val="24"/>
                <w:szCs w:val="24"/>
                <w:lang w:val="af-ZA"/>
              </w:rPr>
              <w:t xml:space="preserve">use: </w:t>
            </w:r>
            <w:r w:rsidR="00201184">
              <w:rPr>
                <w:rFonts w:ascii="Arial" w:hAnsi="Arial" w:cs="Arial"/>
                <w:sz w:val="24"/>
                <w:szCs w:val="24"/>
                <w:lang w:val="af-ZA"/>
              </w:rPr>
              <w:t>the a</w:t>
            </w:r>
            <w:r w:rsidRPr="00B507CC">
              <w:rPr>
                <w:rFonts w:ascii="Arial" w:hAnsi="Arial" w:cs="Arial"/>
                <w:sz w:val="24"/>
                <w:szCs w:val="24"/>
                <w:lang w:val="af-ZA"/>
              </w:rPr>
              <w:t>pplicant argued that the arbitration clause is not applicable in this case because it is a question of default in rental payments as opposed to a dispute and in terms of clause 12.1 which provided that ‘ should the LESSEE fail to pay any rental due by it on the due date’ the LESSOR shall be entitled to cancel this Agreement, claim damages and/or repossess the Property’ and it therefore follows that the arbitration clause does not in any way justify the defendant withholding possession of the leas</w:t>
            </w:r>
            <w:r w:rsidR="00201184">
              <w:rPr>
                <w:rFonts w:ascii="Arial" w:hAnsi="Arial" w:cs="Arial"/>
                <w:sz w:val="24"/>
                <w:szCs w:val="24"/>
                <w:lang w:val="af-ZA"/>
              </w:rPr>
              <w:t>ed property from the a</w:t>
            </w:r>
            <w:r w:rsidRPr="00B507CC">
              <w:rPr>
                <w:rFonts w:ascii="Arial" w:hAnsi="Arial" w:cs="Arial"/>
                <w:sz w:val="24"/>
                <w:szCs w:val="24"/>
                <w:lang w:val="af-ZA"/>
              </w:rPr>
              <w:t>pplicant.</w:t>
            </w:r>
            <w:r w:rsidR="00201184">
              <w:rPr>
                <w:rFonts w:ascii="Arial" w:hAnsi="Arial" w:cs="Arial"/>
                <w:sz w:val="24"/>
                <w:szCs w:val="24"/>
                <w:lang w:val="af-ZA"/>
              </w:rPr>
              <w:t xml:space="preserve"> </w:t>
            </w:r>
          </w:p>
          <w:p w:rsidR="00092CB2" w:rsidRPr="00092CB2" w:rsidRDefault="00092CB2" w:rsidP="0044298F">
            <w:pPr>
              <w:spacing w:after="0" w:line="360" w:lineRule="auto"/>
              <w:ind w:right="95"/>
              <w:jc w:val="both"/>
              <w:rPr>
                <w:rFonts w:ascii="Arial" w:hAnsi="Arial" w:cs="Arial"/>
                <w:sz w:val="24"/>
                <w:szCs w:val="24"/>
                <w:lang w:val="af-ZA"/>
              </w:rPr>
            </w:pPr>
          </w:p>
          <w:p w:rsidR="00092CB2" w:rsidRPr="00B507CC" w:rsidRDefault="00092CB2" w:rsidP="0044298F">
            <w:pPr>
              <w:pStyle w:val="ListParagraph"/>
              <w:numPr>
                <w:ilvl w:val="0"/>
                <w:numId w:val="16"/>
              </w:numPr>
              <w:spacing w:after="0" w:line="360" w:lineRule="auto"/>
              <w:ind w:right="95"/>
              <w:jc w:val="both"/>
              <w:rPr>
                <w:rFonts w:ascii="Arial" w:hAnsi="Arial" w:cs="Arial"/>
                <w:sz w:val="24"/>
                <w:szCs w:val="24"/>
                <w:lang w:val="af-ZA"/>
              </w:rPr>
            </w:pPr>
            <w:r w:rsidRPr="00B507CC">
              <w:rPr>
                <w:rFonts w:ascii="Arial" w:hAnsi="Arial" w:cs="Arial"/>
                <w:sz w:val="24"/>
                <w:szCs w:val="24"/>
                <w:lang w:val="af-ZA"/>
              </w:rPr>
              <w:t>Ad the lo</w:t>
            </w:r>
            <w:r w:rsidR="00201184">
              <w:rPr>
                <w:rFonts w:ascii="Arial" w:hAnsi="Arial" w:cs="Arial"/>
                <w:sz w:val="24"/>
                <w:szCs w:val="24"/>
                <w:lang w:val="af-ZA"/>
              </w:rPr>
              <w:t xml:space="preserve">cus standi of Mr. Johny Smith: </w:t>
            </w:r>
            <w:r w:rsidRPr="00B507CC">
              <w:rPr>
                <w:rFonts w:ascii="Arial" w:hAnsi="Arial" w:cs="Arial"/>
                <w:sz w:val="24"/>
                <w:szCs w:val="24"/>
                <w:lang w:val="af-ZA"/>
              </w:rPr>
              <w:t>In his affidavit he clearly alleged that he was authorised to depose to the affidavit in support of the summary judgement application and in doing so, it is implied that he is also authorised to bring the application for summary judgement.</w:t>
            </w:r>
          </w:p>
          <w:p w:rsidR="00092CB2" w:rsidRPr="00092CB2" w:rsidRDefault="00092CB2" w:rsidP="0044298F">
            <w:pPr>
              <w:spacing w:after="0" w:line="360" w:lineRule="auto"/>
              <w:ind w:right="95"/>
              <w:jc w:val="both"/>
              <w:rPr>
                <w:rFonts w:ascii="Arial" w:hAnsi="Arial" w:cs="Arial"/>
                <w:sz w:val="24"/>
                <w:szCs w:val="24"/>
                <w:lang w:val="af-ZA"/>
              </w:rPr>
            </w:pPr>
          </w:p>
          <w:p w:rsidR="00092CB2" w:rsidRPr="00B507CC" w:rsidRDefault="00092CB2" w:rsidP="0044298F">
            <w:pPr>
              <w:pStyle w:val="ListParagraph"/>
              <w:numPr>
                <w:ilvl w:val="0"/>
                <w:numId w:val="16"/>
              </w:numPr>
              <w:spacing w:after="0" w:line="360" w:lineRule="auto"/>
              <w:ind w:right="95"/>
              <w:jc w:val="both"/>
              <w:rPr>
                <w:rFonts w:ascii="Arial" w:hAnsi="Arial" w:cs="Arial"/>
                <w:sz w:val="24"/>
                <w:szCs w:val="24"/>
                <w:lang w:val="af-ZA"/>
              </w:rPr>
            </w:pPr>
            <w:r w:rsidRPr="00B507CC">
              <w:rPr>
                <w:rFonts w:ascii="Arial" w:hAnsi="Arial" w:cs="Arial"/>
                <w:sz w:val="24"/>
                <w:szCs w:val="24"/>
                <w:lang w:val="af-ZA"/>
              </w:rPr>
              <w:t xml:space="preserve">Ad the point in limine that the particulars of claim is vague and embarrassing: </w:t>
            </w:r>
            <w:r w:rsidR="00201184">
              <w:rPr>
                <w:rFonts w:ascii="Arial" w:hAnsi="Arial" w:cs="Arial"/>
                <w:sz w:val="24"/>
                <w:szCs w:val="24"/>
                <w:lang w:val="af-ZA"/>
              </w:rPr>
              <w:t>At the time that the summons wer issued the a</w:t>
            </w:r>
            <w:r w:rsidRPr="00B507CC">
              <w:rPr>
                <w:rFonts w:ascii="Arial" w:hAnsi="Arial" w:cs="Arial"/>
                <w:sz w:val="24"/>
                <w:szCs w:val="24"/>
                <w:lang w:val="af-ZA"/>
              </w:rPr>
              <w:t xml:space="preserve">pplicant relied on the 2013 agreement that extended the lease period for five years and that during the conclusion </w:t>
            </w:r>
            <w:r w:rsidR="00201184">
              <w:rPr>
                <w:rFonts w:ascii="Arial" w:hAnsi="Arial" w:cs="Arial"/>
                <w:sz w:val="24"/>
                <w:szCs w:val="24"/>
                <w:lang w:val="af-ZA"/>
              </w:rPr>
              <w:t>of this specific agreement the a</w:t>
            </w:r>
            <w:r w:rsidRPr="00B507CC">
              <w:rPr>
                <w:rFonts w:ascii="Arial" w:hAnsi="Arial" w:cs="Arial"/>
                <w:sz w:val="24"/>
                <w:szCs w:val="24"/>
                <w:lang w:val="af-ZA"/>
              </w:rPr>
              <w:t>pplicant was represen</w:t>
            </w:r>
            <w:r w:rsidR="00201184">
              <w:rPr>
                <w:rFonts w:ascii="Arial" w:hAnsi="Arial" w:cs="Arial"/>
                <w:sz w:val="24"/>
                <w:szCs w:val="24"/>
                <w:lang w:val="af-ZA"/>
              </w:rPr>
              <w:t>ted by Struggle Ihuhua and the defendant by Lucy Bolo. The r</w:t>
            </w:r>
            <w:r w:rsidRPr="00B507CC">
              <w:rPr>
                <w:rFonts w:ascii="Arial" w:hAnsi="Arial" w:cs="Arial"/>
                <w:sz w:val="24"/>
                <w:szCs w:val="24"/>
                <w:lang w:val="af-ZA"/>
              </w:rPr>
              <w:t>espondent was further focusing on the wrong agreement.</w:t>
            </w:r>
          </w:p>
          <w:p w:rsidR="00B507CC" w:rsidRDefault="00B507CC" w:rsidP="0044298F">
            <w:pPr>
              <w:spacing w:after="0" w:line="360" w:lineRule="auto"/>
              <w:ind w:right="95"/>
              <w:jc w:val="both"/>
              <w:rPr>
                <w:rFonts w:ascii="Arial" w:hAnsi="Arial" w:cs="Arial"/>
                <w:sz w:val="24"/>
                <w:szCs w:val="24"/>
                <w:lang w:val="af-ZA"/>
              </w:rPr>
            </w:pPr>
          </w:p>
          <w:p w:rsidR="00092CB2" w:rsidRPr="00B507CC" w:rsidRDefault="00092CB2" w:rsidP="0044298F">
            <w:pPr>
              <w:pStyle w:val="ListParagraph"/>
              <w:numPr>
                <w:ilvl w:val="0"/>
                <w:numId w:val="16"/>
              </w:numPr>
              <w:spacing w:after="0" w:line="360" w:lineRule="auto"/>
              <w:ind w:right="95"/>
              <w:jc w:val="both"/>
              <w:rPr>
                <w:rFonts w:ascii="Arial" w:hAnsi="Arial" w:cs="Arial"/>
                <w:sz w:val="24"/>
                <w:szCs w:val="24"/>
                <w:lang w:val="af-ZA"/>
              </w:rPr>
            </w:pPr>
            <w:r w:rsidRPr="00B507CC">
              <w:rPr>
                <w:rFonts w:ascii="Arial" w:hAnsi="Arial" w:cs="Arial"/>
                <w:sz w:val="24"/>
                <w:szCs w:val="24"/>
                <w:lang w:val="af-ZA"/>
              </w:rPr>
              <w:t>Ad non-complia</w:t>
            </w:r>
            <w:r w:rsidR="00201184">
              <w:rPr>
                <w:rFonts w:ascii="Arial" w:hAnsi="Arial" w:cs="Arial"/>
                <w:sz w:val="24"/>
                <w:szCs w:val="24"/>
                <w:lang w:val="af-ZA"/>
              </w:rPr>
              <w:t xml:space="preserve">nce with the Stamp Duties Act: </w:t>
            </w:r>
            <w:r w:rsidRPr="00B507CC">
              <w:rPr>
                <w:rFonts w:ascii="Arial" w:hAnsi="Arial" w:cs="Arial"/>
                <w:sz w:val="24"/>
                <w:szCs w:val="24"/>
                <w:lang w:val="af-ZA"/>
              </w:rPr>
              <w:t>The argumen</w:t>
            </w:r>
            <w:r w:rsidR="00201184">
              <w:rPr>
                <w:rFonts w:ascii="Arial" w:hAnsi="Arial" w:cs="Arial"/>
                <w:sz w:val="24"/>
                <w:szCs w:val="24"/>
                <w:lang w:val="af-ZA"/>
              </w:rPr>
              <w:t>t put forward on behalf of the a</w:t>
            </w:r>
            <w:r w:rsidRPr="00B507CC">
              <w:rPr>
                <w:rFonts w:ascii="Arial" w:hAnsi="Arial" w:cs="Arial"/>
                <w:sz w:val="24"/>
                <w:szCs w:val="24"/>
                <w:lang w:val="af-ZA"/>
              </w:rPr>
              <w:t>pplicant is that in terms of clause 15.9 of th</w:t>
            </w:r>
            <w:r w:rsidR="00201184">
              <w:rPr>
                <w:rFonts w:ascii="Arial" w:hAnsi="Arial" w:cs="Arial"/>
                <w:sz w:val="24"/>
                <w:szCs w:val="24"/>
                <w:lang w:val="af-ZA"/>
              </w:rPr>
              <w:t>e principal lease agreement,</w:t>
            </w:r>
            <w:r w:rsidRPr="00B507CC">
              <w:rPr>
                <w:rFonts w:ascii="Arial" w:hAnsi="Arial" w:cs="Arial"/>
                <w:sz w:val="24"/>
                <w:szCs w:val="24"/>
                <w:lang w:val="af-ZA"/>
              </w:rPr>
              <w:t xml:space="preserve"> it is the obligation of the Lessee to pay for stamp duty in terms of the Stamp Duties Act 15 of 1993.</w:t>
            </w:r>
          </w:p>
          <w:p w:rsidR="00092CB2" w:rsidRPr="00092CB2" w:rsidRDefault="00092CB2" w:rsidP="0044298F">
            <w:pPr>
              <w:spacing w:after="0" w:line="360" w:lineRule="auto"/>
              <w:ind w:right="95"/>
              <w:jc w:val="both"/>
              <w:rPr>
                <w:rFonts w:ascii="Arial" w:hAnsi="Arial" w:cs="Arial"/>
                <w:sz w:val="24"/>
                <w:szCs w:val="24"/>
                <w:lang w:val="af-ZA"/>
              </w:rPr>
            </w:pPr>
          </w:p>
          <w:p w:rsidR="00092CB2" w:rsidRPr="00B507CC" w:rsidRDefault="00092CB2" w:rsidP="0044298F">
            <w:pPr>
              <w:pStyle w:val="ListParagraph"/>
              <w:numPr>
                <w:ilvl w:val="0"/>
                <w:numId w:val="16"/>
              </w:numPr>
              <w:spacing w:after="0" w:line="360" w:lineRule="auto"/>
              <w:ind w:right="95"/>
              <w:jc w:val="both"/>
              <w:rPr>
                <w:rFonts w:ascii="Arial" w:hAnsi="Arial" w:cs="Arial"/>
                <w:sz w:val="24"/>
                <w:szCs w:val="24"/>
                <w:lang w:val="af-ZA"/>
              </w:rPr>
            </w:pPr>
            <w:r w:rsidRPr="00B507CC">
              <w:rPr>
                <w:rFonts w:ascii="Arial" w:hAnsi="Arial" w:cs="Arial"/>
                <w:sz w:val="24"/>
                <w:szCs w:val="24"/>
                <w:lang w:val="af-ZA"/>
              </w:rPr>
              <w:t>Ad non</w:t>
            </w:r>
            <w:r w:rsidR="00201184">
              <w:rPr>
                <w:rFonts w:ascii="Arial" w:hAnsi="Arial" w:cs="Arial"/>
                <w:sz w:val="24"/>
                <w:szCs w:val="24"/>
                <w:lang w:val="af-ZA"/>
              </w:rPr>
              <w:t>-</w:t>
            </w:r>
            <w:r w:rsidRPr="00B507CC">
              <w:rPr>
                <w:rFonts w:ascii="Arial" w:hAnsi="Arial" w:cs="Arial"/>
                <w:sz w:val="24"/>
                <w:szCs w:val="24"/>
                <w:lang w:val="af-ZA"/>
              </w:rPr>
              <w:t xml:space="preserve">compliance with a </w:t>
            </w:r>
            <w:r w:rsidR="00201184">
              <w:rPr>
                <w:rFonts w:ascii="Arial" w:hAnsi="Arial" w:cs="Arial"/>
                <w:sz w:val="24"/>
                <w:szCs w:val="24"/>
                <w:lang w:val="af-ZA"/>
              </w:rPr>
              <w:t>c</w:t>
            </w:r>
            <w:r w:rsidRPr="00B507CC">
              <w:rPr>
                <w:rFonts w:ascii="Arial" w:hAnsi="Arial" w:cs="Arial"/>
                <w:sz w:val="24"/>
                <w:szCs w:val="24"/>
                <w:lang w:val="af-ZA"/>
              </w:rPr>
              <w:t xml:space="preserve">ourt order: </w:t>
            </w:r>
            <w:r w:rsidR="00201184">
              <w:rPr>
                <w:rFonts w:ascii="Arial" w:hAnsi="Arial" w:cs="Arial"/>
                <w:sz w:val="24"/>
                <w:szCs w:val="24"/>
                <w:lang w:val="af-ZA"/>
              </w:rPr>
              <w:t>The a</w:t>
            </w:r>
            <w:r w:rsidRPr="00B507CC">
              <w:rPr>
                <w:rFonts w:ascii="Arial" w:hAnsi="Arial" w:cs="Arial"/>
                <w:sz w:val="24"/>
                <w:szCs w:val="24"/>
                <w:lang w:val="af-ZA"/>
              </w:rPr>
              <w:t>pplicant filed its application for summary judgement on 7 De</w:t>
            </w:r>
            <w:r w:rsidR="00201184">
              <w:rPr>
                <w:rFonts w:ascii="Arial" w:hAnsi="Arial" w:cs="Arial"/>
                <w:sz w:val="24"/>
                <w:szCs w:val="24"/>
                <w:lang w:val="af-ZA"/>
              </w:rPr>
              <w:t>cember 2020 together with an un</w:t>
            </w:r>
            <w:r w:rsidRPr="00B507CC">
              <w:rPr>
                <w:rFonts w:ascii="Arial" w:hAnsi="Arial" w:cs="Arial"/>
                <w:sz w:val="24"/>
                <w:szCs w:val="24"/>
                <w:lang w:val="af-ZA"/>
              </w:rPr>
              <w:t>commissioned affidavit in support of the application. The commissioned affidavit was only filed on 8 Decembe</w:t>
            </w:r>
            <w:r w:rsidR="00201184">
              <w:rPr>
                <w:rFonts w:ascii="Arial" w:hAnsi="Arial" w:cs="Arial"/>
                <w:sz w:val="24"/>
                <w:szCs w:val="24"/>
                <w:lang w:val="af-ZA"/>
              </w:rPr>
              <w:t>r 2020. The r</w:t>
            </w:r>
            <w:r w:rsidRPr="00B507CC">
              <w:rPr>
                <w:rFonts w:ascii="Arial" w:hAnsi="Arial" w:cs="Arial"/>
                <w:sz w:val="24"/>
                <w:szCs w:val="24"/>
                <w:lang w:val="af-ZA"/>
              </w:rPr>
              <w:t>espondent did not suffer any prejudice as the uncommissioned and commissioned affidavits are the same word for word.</w:t>
            </w:r>
          </w:p>
          <w:p w:rsidR="00092CB2" w:rsidRPr="00092CB2" w:rsidRDefault="00092CB2" w:rsidP="0044298F">
            <w:pPr>
              <w:spacing w:after="0" w:line="360" w:lineRule="auto"/>
              <w:ind w:right="95"/>
              <w:jc w:val="both"/>
              <w:rPr>
                <w:rFonts w:ascii="Arial" w:hAnsi="Arial" w:cs="Arial"/>
                <w:sz w:val="24"/>
                <w:szCs w:val="24"/>
                <w:lang w:val="af-ZA"/>
              </w:rPr>
            </w:pPr>
          </w:p>
          <w:p w:rsidR="0080236E" w:rsidRDefault="00092CB2" w:rsidP="0044298F">
            <w:pPr>
              <w:spacing w:after="0" w:line="360" w:lineRule="auto"/>
              <w:ind w:right="95"/>
              <w:jc w:val="both"/>
              <w:rPr>
                <w:rFonts w:ascii="Arial" w:hAnsi="Arial" w:cs="Arial"/>
                <w:sz w:val="24"/>
                <w:szCs w:val="24"/>
                <w:lang w:val="af-ZA"/>
              </w:rPr>
            </w:pPr>
            <w:r w:rsidRPr="00092CB2">
              <w:rPr>
                <w:rFonts w:ascii="Arial" w:hAnsi="Arial" w:cs="Arial"/>
                <w:sz w:val="24"/>
                <w:szCs w:val="24"/>
                <w:lang w:val="af-ZA"/>
              </w:rPr>
              <w:t>[7]</w:t>
            </w:r>
            <w:r w:rsidR="00201184">
              <w:rPr>
                <w:rFonts w:ascii="Arial" w:hAnsi="Arial" w:cs="Arial"/>
                <w:sz w:val="24"/>
                <w:szCs w:val="24"/>
                <w:lang w:val="af-ZA"/>
              </w:rPr>
              <w:tab/>
            </w:r>
            <w:r w:rsidRPr="00092CB2">
              <w:rPr>
                <w:rFonts w:ascii="Arial" w:hAnsi="Arial" w:cs="Arial"/>
                <w:sz w:val="24"/>
                <w:szCs w:val="24"/>
                <w:lang w:val="af-ZA"/>
              </w:rPr>
              <w:t xml:space="preserve">On the merit of the application </w:t>
            </w:r>
            <w:r w:rsidR="00144E2A">
              <w:rPr>
                <w:rFonts w:ascii="Arial" w:hAnsi="Arial" w:cs="Arial"/>
                <w:sz w:val="24"/>
                <w:szCs w:val="24"/>
                <w:lang w:val="af-ZA"/>
              </w:rPr>
              <w:t>it was argued on behalf of the a</w:t>
            </w:r>
            <w:r w:rsidRPr="00092CB2">
              <w:rPr>
                <w:rFonts w:ascii="Arial" w:hAnsi="Arial" w:cs="Arial"/>
                <w:sz w:val="24"/>
                <w:szCs w:val="24"/>
                <w:lang w:val="af-ZA"/>
              </w:rPr>
              <w:t>pp</w:t>
            </w:r>
            <w:r w:rsidR="00144E2A">
              <w:rPr>
                <w:rFonts w:ascii="Arial" w:hAnsi="Arial" w:cs="Arial"/>
                <w:sz w:val="24"/>
                <w:szCs w:val="24"/>
                <w:lang w:val="af-ZA"/>
              </w:rPr>
              <w:t>licant that the reason why the r</w:t>
            </w:r>
            <w:r w:rsidRPr="00092CB2">
              <w:rPr>
                <w:rFonts w:ascii="Arial" w:hAnsi="Arial" w:cs="Arial"/>
                <w:sz w:val="24"/>
                <w:szCs w:val="24"/>
                <w:lang w:val="af-ZA"/>
              </w:rPr>
              <w:t>espondent is in breach of the lease agreement, is because they are in arrears of the amoun</w:t>
            </w:r>
            <w:r w:rsidR="00144E2A">
              <w:rPr>
                <w:rFonts w:ascii="Arial" w:hAnsi="Arial" w:cs="Arial"/>
                <w:sz w:val="24"/>
                <w:szCs w:val="24"/>
                <w:lang w:val="af-ZA"/>
              </w:rPr>
              <w:t>t of N$182 508.81 although the r</w:t>
            </w:r>
            <w:r w:rsidRPr="00092CB2">
              <w:rPr>
                <w:rFonts w:ascii="Arial" w:hAnsi="Arial" w:cs="Arial"/>
                <w:sz w:val="24"/>
                <w:szCs w:val="24"/>
                <w:lang w:val="af-ZA"/>
              </w:rPr>
              <w:t>espondent alleges that all rental and other obl</w:t>
            </w:r>
            <w:r w:rsidR="00144E2A">
              <w:rPr>
                <w:rFonts w:ascii="Arial" w:hAnsi="Arial" w:cs="Arial"/>
                <w:sz w:val="24"/>
                <w:szCs w:val="24"/>
                <w:lang w:val="af-ZA"/>
              </w:rPr>
              <w:t>igations were timeously paid</w:t>
            </w:r>
            <w:r w:rsidRPr="00092CB2">
              <w:rPr>
                <w:rFonts w:ascii="Arial" w:hAnsi="Arial" w:cs="Arial"/>
                <w:sz w:val="24"/>
                <w:szCs w:val="24"/>
                <w:lang w:val="af-ZA"/>
              </w:rPr>
              <w:t xml:space="preserve"> no proof was attached of the </w:t>
            </w:r>
            <w:r w:rsidR="00144E2A">
              <w:rPr>
                <w:rFonts w:ascii="Arial" w:hAnsi="Arial" w:cs="Arial"/>
                <w:sz w:val="24"/>
                <w:szCs w:val="24"/>
                <w:lang w:val="af-ZA"/>
              </w:rPr>
              <w:t>payment of the rental arrears. The r</w:t>
            </w:r>
            <w:r w:rsidRPr="00092CB2">
              <w:rPr>
                <w:rFonts w:ascii="Arial" w:hAnsi="Arial" w:cs="Arial"/>
                <w:sz w:val="24"/>
                <w:szCs w:val="24"/>
                <w:lang w:val="af-ZA"/>
              </w:rPr>
              <w:t>espo</w:t>
            </w:r>
            <w:r w:rsidR="00144E2A">
              <w:rPr>
                <w:rFonts w:ascii="Arial" w:hAnsi="Arial" w:cs="Arial"/>
                <w:sz w:val="24"/>
                <w:szCs w:val="24"/>
                <w:lang w:val="af-ZA"/>
              </w:rPr>
              <w:t>ndent contended that the applicant</w:t>
            </w:r>
            <w:r w:rsidRPr="00092CB2">
              <w:rPr>
                <w:rFonts w:ascii="Arial" w:hAnsi="Arial" w:cs="Arial"/>
                <w:sz w:val="24"/>
                <w:szCs w:val="24"/>
                <w:lang w:val="af-ZA"/>
              </w:rPr>
              <w:t xml:space="preserve"> was overcharging it for municipal services since the inception of the Principal Lease Agreement and relie</w:t>
            </w:r>
            <w:r w:rsidR="00144E2A">
              <w:rPr>
                <w:rFonts w:ascii="Arial" w:hAnsi="Arial" w:cs="Arial"/>
                <w:sz w:val="24"/>
                <w:szCs w:val="24"/>
                <w:lang w:val="af-ZA"/>
              </w:rPr>
              <w:t>d on an email addressed to the a</w:t>
            </w:r>
            <w:r w:rsidRPr="00092CB2">
              <w:rPr>
                <w:rFonts w:ascii="Arial" w:hAnsi="Arial" w:cs="Arial"/>
                <w:sz w:val="24"/>
                <w:szCs w:val="24"/>
                <w:lang w:val="af-ZA"/>
              </w:rPr>
              <w:t>pplicant’s legal practitioner in which it was communicated that the 2018 case was stayed until a detailed reconciliation of payments and outstanding payments for rentals and water bills is finalized and this has been done and still no payment of the amount of N$182 508.81 was made.</w:t>
            </w:r>
          </w:p>
          <w:p w:rsidR="00092CB2" w:rsidRPr="00092CB2" w:rsidRDefault="00092CB2" w:rsidP="0044298F">
            <w:pPr>
              <w:spacing w:after="0" w:line="360" w:lineRule="auto"/>
              <w:ind w:right="95"/>
              <w:jc w:val="both"/>
              <w:rPr>
                <w:rFonts w:ascii="Arial" w:hAnsi="Arial" w:cs="Arial"/>
                <w:sz w:val="24"/>
                <w:szCs w:val="24"/>
                <w:lang w:val="af-ZA"/>
              </w:rPr>
            </w:pPr>
          </w:p>
          <w:p w:rsidR="007A0BFB" w:rsidRDefault="000307FD" w:rsidP="0044298F">
            <w:pPr>
              <w:spacing w:after="0" w:line="360" w:lineRule="auto"/>
              <w:ind w:right="95"/>
              <w:jc w:val="both"/>
              <w:rPr>
                <w:rFonts w:ascii="Arial" w:hAnsi="Arial" w:cs="Arial"/>
                <w:sz w:val="24"/>
                <w:szCs w:val="24"/>
                <w:u w:val="single"/>
                <w:lang w:val="af-ZA"/>
              </w:rPr>
            </w:pPr>
            <w:r>
              <w:rPr>
                <w:rFonts w:ascii="Arial" w:hAnsi="Arial" w:cs="Arial"/>
                <w:sz w:val="24"/>
                <w:szCs w:val="24"/>
                <w:u w:val="single"/>
                <w:lang w:val="af-ZA"/>
              </w:rPr>
              <w:t>Considering the arguments.</w:t>
            </w:r>
          </w:p>
          <w:p w:rsidR="00092CB2" w:rsidRDefault="00092CB2" w:rsidP="0044298F">
            <w:pPr>
              <w:spacing w:after="0" w:line="360" w:lineRule="auto"/>
              <w:ind w:right="95"/>
              <w:jc w:val="both"/>
              <w:rPr>
                <w:rFonts w:ascii="Arial" w:hAnsi="Arial" w:cs="Arial"/>
                <w:sz w:val="24"/>
                <w:szCs w:val="24"/>
                <w:u w:val="single"/>
                <w:lang w:val="af-ZA"/>
              </w:rPr>
            </w:pPr>
          </w:p>
          <w:p w:rsidR="004F4238" w:rsidRPr="004F4238" w:rsidRDefault="004F4238" w:rsidP="0044298F">
            <w:pPr>
              <w:spacing w:after="0" w:line="360" w:lineRule="auto"/>
              <w:ind w:right="95"/>
              <w:jc w:val="both"/>
              <w:rPr>
                <w:rFonts w:ascii="Arial" w:hAnsi="Arial" w:cs="Arial"/>
                <w:sz w:val="24"/>
                <w:szCs w:val="24"/>
                <w:lang w:val="af-ZA"/>
              </w:rPr>
            </w:pPr>
            <w:r>
              <w:rPr>
                <w:rFonts w:ascii="Arial" w:hAnsi="Arial" w:cs="Arial"/>
                <w:sz w:val="24"/>
                <w:szCs w:val="24"/>
                <w:lang w:val="af-ZA"/>
              </w:rPr>
              <w:t>[8]</w:t>
            </w:r>
            <w:r w:rsidR="0078716A">
              <w:rPr>
                <w:rFonts w:ascii="Arial" w:hAnsi="Arial" w:cs="Arial"/>
                <w:sz w:val="24"/>
                <w:szCs w:val="24"/>
                <w:lang w:val="af-ZA"/>
              </w:rPr>
              <w:tab/>
            </w:r>
            <w:r w:rsidRPr="004F4238">
              <w:rPr>
                <w:rFonts w:ascii="Arial" w:hAnsi="Arial" w:cs="Arial"/>
                <w:sz w:val="24"/>
                <w:szCs w:val="24"/>
                <w:lang w:val="af-ZA"/>
              </w:rPr>
              <w:t>Van Niekerk, Geyer and Mundell in Summar</w:t>
            </w:r>
            <w:r>
              <w:rPr>
                <w:rFonts w:ascii="Arial" w:hAnsi="Arial" w:cs="Arial"/>
                <w:sz w:val="24"/>
                <w:szCs w:val="24"/>
                <w:lang w:val="af-ZA"/>
              </w:rPr>
              <w:t>y Judgement – A practical guide</w:t>
            </w:r>
            <w:r>
              <w:rPr>
                <w:rStyle w:val="FootnoteReference"/>
                <w:rFonts w:ascii="Arial" w:hAnsi="Arial" w:cs="Arial"/>
                <w:sz w:val="24"/>
                <w:szCs w:val="24"/>
                <w:lang w:val="af-ZA"/>
              </w:rPr>
              <w:footnoteReference w:id="2"/>
            </w:r>
            <w:r w:rsidRPr="004F4238">
              <w:rPr>
                <w:rFonts w:ascii="Arial" w:hAnsi="Arial" w:cs="Arial"/>
                <w:sz w:val="24"/>
                <w:szCs w:val="24"/>
                <w:lang w:val="af-ZA"/>
              </w:rPr>
              <w:t xml:space="preserve"> said the following:</w:t>
            </w:r>
          </w:p>
          <w:p w:rsidR="004F4238" w:rsidRPr="004F4238" w:rsidRDefault="004F4238" w:rsidP="0044298F">
            <w:pPr>
              <w:spacing w:after="0" w:line="360" w:lineRule="auto"/>
              <w:ind w:right="95"/>
              <w:jc w:val="both"/>
              <w:rPr>
                <w:rFonts w:ascii="Arial" w:hAnsi="Arial" w:cs="Arial"/>
                <w:lang w:val="af-ZA"/>
              </w:rPr>
            </w:pPr>
            <w:r w:rsidRPr="004F4238">
              <w:rPr>
                <w:rFonts w:ascii="Arial" w:hAnsi="Arial" w:cs="Arial"/>
                <w:sz w:val="24"/>
                <w:szCs w:val="24"/>
                <w:lang w:val="af-ZA"/>
              </w:rPr>
              <w:tab/>
            </w:r>
            <w:r w:rsidRPr="004F4238">
              <w:rPr>
                <w:rFonts w:ascii="Arial" w:hAnsi="Arial" w:cs="Arial"/>
                <w:lang w:val="af-ZA"/>
              </w:rPr>
              <w:t xml:space="preserve">‘Departing from the premise that the remedy is drastic, our courts have laid down three rules for summary judgement applications.  Firstly, that there is a numerous clausus of instances in which a plaintiff may apply for summary judgement in the sense that no application is possible which falls outside the strict ambit of rule 32(1); secondly, that, before a court will entertain an application for summary judgement, a plaintiff must present a clear case on technically correct papers while complying strictly with the rule and thirdly, that, in cases which are doubtful, summary judgement must be refused. (See Art Printing </w:t>
            </w:r>
            <w:r w:rsidRPr="0078716A">
              <w:rPr>
                <w:rFonts w:ascii="Arial" w:hAnsi="Arial" w:cs="Arial"/>
                <w:i/>
                <w:lang w:val="af-ZA"/>
              </w:rPr>
              <w:t>Works Ltd v Citizen (Pty) Ltd</w:t>
            </w:r>
            <w:r w:rsidRPr="004F4238">
              <w:rPr>
                <w:rFonts w:ascii="Arial" w:hAnsi="Arial" w:cs="Arial"/>
                <w:lang w:val="af-ZA"/>
              </w:rPr>
              <w:t xml:space="preserve"> 1957 2 SA 95 (SR) 97H; </w:t>
            </w:r>
            <w:r w:rsidRPr="0078716A">
              <w:rPr>
                <w:rFonts w:ascii="Arial" w:hAnsi="Arial" w:cs="Arial"/>
                <w:i/>
                <w:lang w:val="af-ZA"/>
              </w:rPr>
              <w:t>Davis v Terry</w:t>
            </w:r>
            <w:r w:rsidRPr="004F4238">
              <w:rPr>
                <w:rFonts w:ascii="Arial" w:hAnsi="Arial" w:cs="Arial"/>
                <w:lang w:val="af-ZA"/>
              </w:rPr>
              <w:t xml:space="preserve"> 1957 4 SA 98 (SR) 100 in fin 101A; and others)</w:t>
            </w:r>
          </w:p>
          <w:p w:rsidR="004F4238" w:rsidRPr="004F4238" w:rsidRDefault="004F4238" w:rsidP="0044298F">
            <w:pPr>
              <w:spacing w:after="0" w:line="360" w:lineRule="auto"/>
              <w:ind w:right="95"/>
              <w:jc w:val="both"/>
              <w:rPr>
                <w:rFonts w:ascii="Arial" w:hAnsi="Arial" w:cs="Arial"/>
                <w:lang w:val="af-ZA"/>
              </w:rPr>
            </w:pPr>
          </w:p>
          <w:p w:rsidR="000307FD" w:rsidRDefault="004F4238" w:rsidP="0044298F">
            <w:pPr>
              <w:spacing w:after="0" w:line="360" w:lineRule="auto"/>
              <w:ind w:right="95"/>
              <w:jc w:val="both"/>
              <w:rPr>
                <w:rFonts w:ascii="Arial" w:hAnsi="Arial" w:cs="Arial"/>
                <w:sz w:val="24"/>
                <w:szCs w:val="24"/>
                <w:lang w:val="af-ZA"/>
              </w:rPr>
            </w:pPr>
            <w:r w:rsidRPr="004F4238">
              <w:rPr>
                <w:rFonts w:ascii="Arial" w:hAnsi="Arial" w:cs="Arial"/>
                <w:lang w:val="af-ZA"/>
              </w:rPr>
              <w:t xml:space="preserve">The drastic nature of the remedy has also prompted the courts to draw the conclusion that the plaintiff’s compliance with rule 32(2) must be judged more strictly than the defendant’s </w:t>
            </w:r>
            <w:r w:rsidR="0078716A">
              <w:rPr>
                <w:rFonts w:ascii="Arial" w:hAnsi="Arial" w:cs="Arial"/>
                <w:lang w:val="af-ZA"/>
              </w:rPr>
              <w:t>compliance with ru</w:t>
            </w:r>
            <w:r w:rsidRPr="004F4238">
              <w:rPr>
                <w:rFonts w:ascii="Arial" w:hAnsi="Arial" w:cs="Arial"/>
                <w:lang w:val="af-ZA"/>
              </w:rPr>
              <w:t>l</w:t>
            </w:r>
            <w:r w:rsidR="0078716A">
              <w:rPr>
                <w:rFonts w:ascii="Arial" w:hAnsi="Arial" w:cs="Arial"/>
                <w:lang w:val="af-ZA"/>
              </w:rPr>
              <w:t>e</w:t>
            </w:r>
            <w:r w:rsidRPr="004F4238">
              <w:rPr>
                <w:rFonts w:ascii="Arial" w:hAnsi="Arial" w:cs="Arial"/>
                <w:lang w:val="af-ZA"/>
              </w:rPr>
              <w:t xml:space="preserve"> 32(3). (See </w:t>
            </w:r>
            <w:r w:rsidRPr="0078716A">
              <w:rPr>
                <w:rFonts w:ascii="Arial" w:hAnsi="Arial" w:cs="Arial"/>
                <w:i/>
                <w:lang w:val="af-ZA"/>
              </w:rPr>
              <w:t>JNOG Teale &amp; Sons (Pty) Ltd v Vrystaatse Plantediens (Pty) Ltd</w:t>
            </w:r>
            <w:r w:rsidRPr="004F4238">
              <w:rPr>
                <w:rFonts w:ascii="Arial" w:hAnsi="Arial" w:cs="Arial"/>
                <w:lang w:val="af-ZA"/>
              </w:rPr>
              <w:t xml:space="preserve"> 1968 (4) SA 371 and others).</w:t>
            </w:r>
            <w:r>
              <w:rPr>
                <w:rFonts w:ascii="Arial" w:hAnsi="Arial" w:cs="Arial"/>
                <w:sz w:val="24"/>
                <w:szCs w:val="24"/>
                <w:lang w:val="af-ZA"/>
              </w:rPr>
              <w:t>’</w:t>
            </w:r>
          </w:p>
          <w:p w:rsidR="00092CB2" w:rsidRPr="004F4238" w:rsidRDefault="00092CB2" w:rsidP="0044298F">
            <w:pPr>
              <w:spacing w:after="0" w:line="360" w:lineRule="auto"/>
              <w:ind w:right="95"/>
              <w:jc w:val="both"/>
              <w:rPr>
                <w:rFonts w:ascii="Arial" w:hAnsi="Arial" w:cs="Arial"/>
                <w:sz w:val="24"/>
                <w:szCs w:val="24"/>
                <w:lang w:val="af-ZA"/>
              </w:rPr>
            </w:pPr>
          </w:p>
          <w:p w:rsidR="00092CB2" w:rsidRDefault="00092CB2" w:rsidP="0044298F">
            <w:pPr>
              <w:spacing w:after="0" w:line="360" w:lineRule="auto"/>
              <w:ind w:right="95"/>
              <w:jc w:val="both"/>
              <w:rPr>
                <w:rFonts w:ascii="Arial" w:hAnsi="Arial" w:cs="Arial"/>
                <w:sz w:val="24"/>
                <w:szCs w:val="24"/>
                <w:lang w:val="af-ZA"/>
              </w:rPr>
            </w:pPr>
            <w:r w:rsidRPr="00092CB2">
              <w:rPr>
                <w:rFonts w:ascii="Arial" w:hAnsi="Arial" w:cs="Arial"/>
                <w:sz w:val="24"/>
                <w:szCs w:val="24"/>
                <w:u w:val="single"/>
                <w:lang w:val="af-ZA"/>
              </w:rPr>
              <w:t>[</w:t>
            </w:r>
            <w:r w:rsidRPr="00092CB2">
              <w:rPr>
                <w:rFonts w:ascii="Arial" w:hAnsi="Arial" w:cs="Arial"/>
                <w:sz w:val="24"/>
                <w:szCs w:val="24"/>
                <w:lang w:val="af-ZA"/>
              </w:rPr>
              <w:t>9]</w:t>
            </w:r>
            <w:r w:rsidR="0078716A">
              <w:rPr>
                <w:rFonts w:ascii="Arial" w:hAnsi="Arial" w:cs="Arial"/>
                <w:sz w:val="24"/>
                <w:szCs w:val="24"/>
                <w:lang w:val="af-ZA"/>
              </w:rPr>
              <w:tab/>
            </w:r>
            <w:r w:rsidRPr="00092CB2">
              <w:rPr>
                <w:rFonts w:ascii="Arial" w:hAnsi="Arial" w:cs="Arial"/>
                <w:sz w:val="24"/>
                <w:szCs w:val="24"/>
                <w:lang w:val="af-ZA"/>
              </w:rPr>
              <w:t>In the current matter two points in limine were raised against the correctness of the papers, being the allegation that the Particulars of Claim is vague and embarrassing and that the documents relied upon, the lease agreement and the addendums were not stamped in accordance with the requirements of th</w:t>
            </w:r>
            <w:r w:rsidR="0078716A">
              <w:rPr>
                <w:rFonts w:ascii="Arial" w:hAnsi="Arial" w:cs="Arial"/>
                <w:sz w:val="24"/>
                <w:szCs w:val="24"/>
                <w:lang w:val="af-ZA"/>
              </w:rPr>
              <w:t>e Stamp Duties Act, 15 of 1993.</w:t>
            </w:r>
            <w:r w:rsidRPr="00092CB2">
              <w:rPr>
                <w:rFonts w:ascii="Arial" w:hAnsi="Arial" w:cs="Arial"/>
                <w:sz w:val="24"/>
                <w:szCs w:val="24"/>
                <w:lang w:val="af-ZA"/>
              </w:rPr>
              <w:t xml:space="preserve"> The court further noted that the copy of the lease agreement that was uploaded does not contain a page 12 as i</w:t>
            </w:r>
            <w:r w:rsidR="0078716A">
              <w:rPr>
                <w:rFonts w:ascii="Arial" w:hAnsi="Arial" w:cs="Arial"/>
                <w:sz w:val="24"/>
                <w:szCs w:val="24"/>
                <w:lang w:val="af-ZA"/>
              </w:rPr>
              <w:t>t goes from page 11 to page 13.</w:t>
            </w:r>
            <w:r w:rsidRPr="00092CB2">
              <w:rPr>
                <w:rFonts w:ascii="Arial" w:hAnsi="Arial" w:cs="Arial"/>
                <w:sz w:val="24"/>
                <w:szCs w:val="24"/>
                <w:lang w:val="af-ZA"/>
              </w:rPr>
              <w:t xml:space="preserve"> The clause relied upon regarding the first point in limine dealing with non-optional arbitration clause is therefore not before court. </w:t>
            </w:r>
          </w:p>
          <w:p w:rsidR="00092CB2" w:rsidRPr="00092CB2" w:rsidRDefault="00092CB2" w:rsidP="0044298F">
            <w:pPr>
              <w:spacing w:after="0" w:line="360" w:lineRule="auto"/>
              <w:ind w:right="95"/>
              <w:jc w:val="both"/>
              <w:rPr>
                <w:rFonts w:ascii="Arial" w:hAnsi="Arial" w:cs="Arial"/>
                <w:sz w:val="24"/>
                <w:szCs w:val="24"/>
                <w:lang w:val="af-ZA"/>
              </w:rPr>
            </w:pPr>
          </w:p>
          <w:p w:rsidR="00092CB2" w:rsidRDefault="00092CB2" w:rsidP="0044298F">
            <w:pPr>
              <w:spacing w:after="0" w:line="360" w:lineRule="auto"/>
              <w:ind w:right="95"/>
              <w:jc w:val="both"/>
              <w:rPr>
                <w:rFonts w:ascii="Arial" w:hAnsi="Arial" w:cs="Arial"/>
                <w:sz w:val="24"/>
                <w:szCs w:val="24"/>
                <w:lang w:val="af-ZA"/>
              </w:rPr>
            </w:pPr>
            <w:r w:rsidRPr="00092CB2">
              <w:rPr>
                <w:rFonts w:ascii="Arial" w:hAnsi="Arial" w:cs="Arial"/>
                <w:sz w:val="24"/>
                <w:szCs w:val="24"/>
                <w:lang w:val="af-ZA"/>
              </w:rPr>
              <w:t>[10]</w:t>
            </w:r>
            <w:r w:rsidR="00D873C4">
              <w:rPr>
                <w:rFonts w:ascii="Arial" w:hAnsi="Arial" w:cs="Arial"/>
                <w:sz w:val="24"/>
                <w:szCs w:val="24"/>
                <w:lang w:val="af-ZA"/>
              </w:rPr>
              <w:tab/>
            </w:r>
            <w:r w:rsidRPr="00092CB2">
              <w:rPr>
                <w:rFonts w:ascii="Arial" w:hAnsi="Arial" w:cs="Arial"/>
                <w:sz w:val="24"/>
                <w:szCs w:val="24"/>
                <w:lang w:val="af-ZA"/>
              </w:rPr>
              <w:t>For the purpose of this application, the court will first determine the point in limine dealing with the stamps which was not affixed to the addendums of the lease which exten</w:t>
            </w:r>
            <w:r w:rsidR="00D873C4">
              <w:rPr>
                <w:rFonts w:ascii="Arial" w:hAnsi="Arial" w:cs="Arial"/>
                <w:sz w:val="24"/>
                <w:szCs w:val="24"/>
                <w:lang w:val="af-ZA"/>
              </w:rPr>
              <w:t xml:space="preserve">ded the original lease period. </w:t>
            </w:r>
            <w:r w:rsidRPr="00092CB2">
              <w:rPr>
                <w:rFonts w:ascii="Arial" w:hAnsi="Arial" w:cs="Arial"/>
                <w:sz w:val="24"/>
                <w:szCs w:val="24"/>
                <w:lang w:val="af-ZA"/>
              </w:rPr>
              <w:t>Sec</w:t>
            </w:r>
            <w:r w:rsidR="00C751C0">
              <w:rPr>
                <w:rFonts w:ascii="Arial" w:hAnsi="Arial" w:cs="Arial"/>
                <w:sz w:val="24"/>
                <w:szCs w:val="24"/>
                <w:lang w:val="af-ZA"/>
              </w:rPr>
              <w:t>tion 22 of the Stamp Duties Act</w:t>
            </w:r>
            <w:r w:rsidR="00C751C0">
              <w:rPr>
                <w:rStyle w:val="FootnoteReference"/>
                <w:rFonts w:ascii="Arial" w:hAnsi="Arial" w:cs="Arial"/>
                <w:sz w:val="24"/>
                <w:szCs w:val="24"/>
                <w:lang w:val="af-ZA"/>
              </w:rPr>
              <w:footnoteReference w:id="3"/>
            </w:r>
            <w:r w:rsidRPr="00092CB2">
              <w:rPr>
                <w:rFonts w:ascii="Arial" w:hAnsi="Arial" w:cs="Arial"/>
                <w:sz w:val="24"/>
                <w:szCs w:val="24"/>
                <w:lang w:val="af-ZA"/>
              </w:rPr>
              <w:t xml:space="preserve"> deals specifically with the duty payable on leases of immovable property.</w:t>
            </w:r>
            <w:r w:rsidR="00C751C0">
              <w:rPr>
                <w:rFonts w:ascii="Arial" w:hAnsi="Arial" w:cs="Arial"/>
                <w:sz w:val="24"/>
                <w:szCs w:val="24"/>
                <w:lang w:val="af-ZA"/>
              </w:rPr>
              <w:t xml:space="preserve"> </w:t>
            </w:r>
            <w:r>
              <w:rPr>
                <w:rFonts w:ascii="Arial" w:hAnsi="Arial" w:cs="Arial"/>
                <w:sz w:val="24"/>
                <w:szCs w:val="24"/>
                <w:lang w:val="af-ZA"/>
              </w:rPr>
              <w:t>It reads as follows:</w:t>
            </w:r>
          </w:p>
          <w:p w:rsidR="00092CB2" w:rsidRPr="00092CB2" w:rsidRDefault="00092CB2" w:rsidP="0044298F">
            <w:pPr>
              <w:spacing w:after="0" w:line="360" w:lineRule="auto"/>
              <w:ind w:right="95"/>
              <w:jc w:val="both"/>
              <w:rPr>
                <w:rFonts w:ascii="Arial" w:hAnsi="Arial" w:cs="Arial"/>
                <w:lang w:val="af-ZA"/>
              </w:rPr>
            </w:pPr>
          </w:p>
          <w:p w:rsidR="00162748" w:rsidRPr="00162748" w:rsidRDefault="00C751C0" w:rsidP="0044298F">
            <w:pPr>
              <w:spacing w:after="0" w:line="360" w:lineRule="auto"/>
              <w:ind w:right="95"/>
              <w:jc w:val="both"/>
              <w:rPr>
                <w:rFonts w:ascii="Arial" w:hAnsi="Arial" w:cs="Arial"/>
                <w:lang w:val="af-ZA"/>
              </w:rPr>
            </w:pPr>
            <w:r>
              <w:rPr>
                <w:rFonts w:ascii="Arial" w:hAnsi="Arial" w:cs="Arial"/>
                <w:lang w:val="af-ZA"/>
              </w:rPr>
              <w:tab/>
            </w:r>
            <w:r w:rsidR="00162748" w:rsidRPr="00162748">
              <w:rPr>
                <w:rFonts w:ascii="Arial" w:hAnsi="Arial" w:cs="Arial"/>
                <w:lang w:val="af-ZA"/>
              </w:rPr>
              <w:t>‘22. (1) In this section “lease” means a lease or agreement of lease contemplated in Item 10 of Schedule 1.</w:t>
            </w:r>
          </w:p>
          <w:p w:rsidR="00162748" w:rsidRDefault="00162748" w:rsidP="0044298F">
            <w:pPr>
              <w:spacing w:after="0" w:line="360" w:lineRule="auto"/>
              <w:ind w:right="95"/>
              <w:jc w:val="both"/>
              <w:rPr>
                <w:rFonts w:ascii="Arial" w:hAnsi="Arial" w:cs="Arial"/>
                <w:lang w:val="af-ZA"/>
              </w:rPr>
            </w:pPr>
          </w:p>
          <w:p w:rsidR="00162748" w:rsidRPr="00162748" w:rsidRDefault="00162748" w:rsidP="0044298F">
            <w:pPr>
              <w:spacing w:after="0" w:line="360" w:lineRule="auto"/>
              <w:ind w:right="95"/>
              <w:jc w:val="both"/>
              <w:rPr>
                <w:rFonts w:ascii="Arial" w:hAnsi="Arial" w:cs="Arial"/>
                <w:lang w:val="af-ZA"/>
              </w:rPr>
            </w:pPr>
            <w:r w:rsidRPr="00162748">
              <w:rPr>
                <w:rFonts w:ascii="Arial" w:hAnsi="Arial" w:cs="Arial"/>
                <w:lang w:val="af-ZA"/>
              </w:rPr>
              <w:t>(2)    The period for which a lease shall be stamped shall be -</w:t>
            </w:r>
          </w:p>
          <w:p w:rsidR="00162748" w:rsidRPr="00162748" w:rsidRDefault="00162748" w:rsidP="0044298F">
            <w:pPr>
              <w:spacing w:after="0" w:line="360" w:lineRule="auto"/>
              <w:ind w:right="95"/>
              <w:jc w:val="both"/>
              <w:rPr>
                <w:rFonts w:ascii="Arial" w:hAnsi="Arial" w:cs="Arial"/>
                <w:lang w:val="af-ZA"/>
              </w:rPr>
            </w:pPr>
            <w:r w:rsidRPr="00162748">
              <w:rPr>
                <w:rFonts w:ascii="Arial" w:hAnsi="Arial" w:cs="Arial"/>
                <w:lang w:val="af-ZA"/>
              </w:rPr>
              <w:t xml:space="preserve">  (a)   .........</w:t>
            </w:r>
          </w:p>
          <w:p w:rsidR="00162748" w:rsidRPr="00162748" w:rsidRDefault="00162748" w:rsidP="0044298F">
            <w:pPr>
              <w:spacing w:after="0" w:line="360" w:lineRule="auto"/>
              <w:ind w:right="95"/>
              <w:jc w:val="both"/>
              <w:rPr>
                <w:rFonts w:ascii="Arial" w:hAnsi="Arial" w:cs="Arial"/>
                <w:lang w:val="af-ZA"/>
              </w:rPr>
            </w:pPr>
            <w:r w:rsidRPr="00162748">
              <w:rPr>
                <w:rFonts w:ascii="Arial" w:hAnsi="Arial" w:cs="Arial"/>
                <w:lang w:val="af-ZA"/>
              </w:rPr>
              <w:t xml:space="preserve">  (b)   ..........</w:t>
            </w:r>
          </w:p>
          <w:p w:rsidR="00162748" w:rsidRPr="00162748" w:rsidRDefault="00162748" w:rsidP="0044298F">
            <w:pPr>
              <w:spacing w:after="0" w:line="360" w:lineRule="auto"/>
              <w:ind w:right="95"/>
              <w:jc w:val="both"/>
              <w:rPr>
                <w:rFonts w:ascii="Arial" w:hAnsi="Arial" w:cs="Arial"/>
                <w:lang w:val="af-ZA"/>
              </w:rPr>
            </w:pPr>
            <w:r w:rsidRPr="00162748">
              <w:rPr>
                <w:rFonts w:ascii="Arial" w:hAnsi="Arial" w:cs="Arial"/>
                <w:lang w:val="af-ZA"/>
              </w:rPr>
              <w:t xml:space="preserve">  (c)   in the case of a lease for a definite period (hereinaf</w:t>
            </w:r>
            <w:r>
              <w:rPr>
                <w:rFonts w:ascii="Arial" w:hAnsi="Arial" w:cs="Arial"/>
                <w:lang w:val="af-ZA"/>
              </w:rPr>
              <w:t xml:space="preserve">ter referred to as the original </w:t>
            </w:r>
            <w:r w:rsidRPr="00162748">
              <w:rPr>
                <w:rFonts w:ascii="Arial" w:hAnsi="Arial" w:cs="Arial"/>
                <w:lang w:val="af-ZA"/>
              </w:rPr>
              <w:t>period), with provision for the continuance, renewal or extension thereof beyond the original period or any subsequent period d</w:t>
            </w:r>
            <w:r>
              <w:rPr>
                <w:rFonts w:ascii="Arial" w:hAnsi="Arial" w:cs="Arial"/>
                <w:lang w:val="af-ZA"/>
              </w:rPr>
              <w:t xml:space="preserve">uring which the lease may be in </w:t>
            </w:r>
            <w:r w:rsidRPr="00162748">
              <w:rPr>
                <w:rFonts w:ascii="Arial" w:hAnsi="Arial" w:cs="Arial"/>
                <w:lang w:val="af-ZA"/>
              </w:rPr>
              <w:t>force, a period equal to the aggregate of the following periods, namely -</w:t>
            </w:r>
          </w:p>
          <w:p w:rsidR="00162748" w:rsidRPr="00162748" w:rsidRDefault="00162748" w:rsidP="0044298F">
            <w:pPr>
              <w:spacing w:after="0" w:line="360" w:lineRule="auto"/>
              <w:ind w:right="95"/>
              <w:jc w:val="both"/>
              <w:rPr>
                <w:rFonts w:ascii="Arial" w:hAnsi="Arial" w:cs="Arial"/>
                <w:lang w:val="af-ZA"/>
              </w:rPr>
            </w:pPr>
            <w:r>
              <w:rPr>
                <w:rFonts w:ascii="Arial" w:hAnsi="Arial" w:cs="Arial"/>
                <w:lang w:val="af-ZA"/>
              </w:rPr>
              <w:t xml:space="preserve">      </w:t>
            </w:r>
            <w:r w:rsidRPr="00162748">
              <w:rPr>
                <w:rFonts w:ascii="Arial" w:hAnsi="Arial" w:cs="Arial"/>
                <w:lang w:val="af-ZA"/>
              </w:rPr>
              <w:t>(i) the original period; and</w:t>
            </w:r>
          </w:p>
          <w:p w:rsidR="00162748" w:rsidRPr="00162748" w:rsidRDefault="00162748" w:rsidP="0044298F">
            <w:pPr>
              <w:spacing w:after="0" w:line="360" w:lineRule="auto"/>
              <w:ind w:right="95"/>
              <w:jc w:val="both"/>
              <w:rPr>
                <w:rFonts w:ascii="Arial" w:hAnsi="Arial" w:cs="Arial"/>
                <w:lang w:val="af-ZA"/>
              </w:rPr>
            </w:pPr>
            <w:r>
              <w:rPr>
                <w:rFonts w:ascii="Arial" w:hAnsi="Arial" w:cs="Arial"/>
                <w:lang w:val="af-ZA"/>
              </w:rPr>
              <w:t xml:space="preserve">      </w:t>
            </w:r>
            <w:r w:rsidRPr="00162748">
              <w:rPr>
                <w:rFonts w:ascii="Arial" w:hAnsi="Arial" w:cs="Arial"/>
                <w:lang w:val="af-ZA"/>
              </w:rPr>
              <w:t>(ii) any definite periods of continuance, renewal o</w:t>
            </w:r>
            <w:r>
              <w:rPr>
                <w:rFonts w:ascii="Arial" w:hAnsi="Arial" w:cs="Arial"/>
                <w:lang w:val="af-ZA"/>
              </w:rPr>
              <w:t xml:space="preserve">r extension provided for in the </w:t>
            </w:r>
            <w:r w:rsidRPr="00162748">
              <w:rPr>
                <w:rFonts w:ascii="Arial" w:hAnsi="Arial" w:cs="Arial"/>
                <w:lang w:val="af-ZA"/>
              </w:rPr>
              <w:t>lease; and</w:t>
            </w:r>
          </w:p>
          <w:p w:rsidR="00162748" w:rsidRPr="00162748" w:rsidRDefault="00162748" w:rsidP="0044298F">
            <w:pPr>
              <w:spacing w:after="0" w:line="360" w:lineRule="auto"/>
              <w:ind w:right="95"/>
              <w:jc w:val="both"/>
              <w:rPr>
                <w:rFonts w:ascii="Arial" w:hAnsi="Arial" w:cs="Arial"/>
                <w:lang w:val="af-ZA"/>
              </w:rPr>
            </w:pPr>
            <w:r>
              <w:rPr>
                <w:rFonts w:ascii="Arial" w:hAnsi="Arial" w:cs="Arial"/>
                <w:lang w:val="af-ZA"/>
              </w:rPr>
              <w:t xml:space="preserve">      </w:t>
            </w:r>
            <w:r w:rsidRPr="00162748">
              <w:rPr>
                <w:rFonts w:ascii="Arial" w:hAnsi="Arial" w:cs="Arial"/>
                <w:lang w:val="af-ZA"/>
              </w:rPr>
              <w:t>(iii) if the lease is to continue in force or may be</w:t>
            </w:r>
            <w:r>
              <w:rPr>
                <w:rFonts w:ascii="Arial" w:hAnsi="Arial" w:cs="Arial"/>
                <w:lang w:val="af-ZA"/>
              </w:rPr>
              <w:t xml:space="preserve"> continued, renewed or extended </w:t>
            </w:r>
            <w:r w:rsidRPr="00162748">
              <w:rPr>
                <w:rFonts w:ascii="Arial" w:hAnsi="Arial" w:cs="Arial"/>
                <w:lang w:val="af-ZA"/>
              </w:rPr>
              <w:t>for an indefinite period following the original</w:t>
            </w:r>
            <w:r>
              <w:rPr>
                <w:rFonts w:ascii="Arial" w:hAnsi="Arial" w:cs="Arial"/>
                <w:lang w:val="af-ZA"/>
              </w:rPr>
              <w:t xml:space="preserve"> period or the definite periods </w:t>
            </w:r>
            <w:r w:rsidRPr="00162748">
              <w:rPr>
                <w:rFonts w:ascii="Arial" w:hAnsi="Arial" w:cs="Arial"/>
                <w:lang w:val="af-ZA"/>
              </w:rPr>
              <w:t>referred to in subparagraph (ii), a period of two years.</w:t>
            </w:r>
          </w:p>
          <w:p w:rsidR="00162748" w:rsidRDefault="00162748" w:rsidP="0044298F">
            <w:pPr>
              <w:spacing w:after="0" w:line="360" w:lineRule="auto"/>
              <w:ind w:right="95"/>
              <w:jc w:val="both"/>
              <w:rPr>
                <w:rFonts w:ascii="Arial" w:hAnsi="Arial" w:cs="Arial"/>
                <w:lang w:val="af-ZA"/>
              </w:rPr>
            </w:pPr>
          </w:p>
          <w:p w:rsidR="00162748" w:rsidRPr="00162748" w:rsidRDefault="00162748" w:rsidP="0044298F">
            <w:pPr>
              <w:spacing w:after="0" w:line="360" w:lineRule="auto"/>
              <w:ind w:right="95"/>
              <w:jc w:val="both"/>
              <w:rPr>
                <w:rFonts w:ascii="Arial" w:hAnsi="Arial" w:cs="Arial"/>
                <w:lang w:val="af-ZA"/>
              </w:rPr>
            </w:pPr>
            <w:r w:rsidRPr="00162748">
              <w:rPr>
                <w:rFonts w:ascii="Arial" w:hAnsi="Arial" w:cs="Arial"/>
                <w:lang w:val="af-ZA"/>
              </w:rPr>
              <w:t xml:space="preserve">(3) </w:t>
            </w:r>
            <w:r>
              <w:rPr>
                <w:rFonts w:ascii="Arial" w:hAnsi="Arial" w:cs="Arial"/>
                <w:lang w:val="af-ZA"/>
              </w:rPr>
              <w:t xml:space="preserve">  </w:t>
            </w:r>
            <w:r w:rsidRPr="00162748">
              <w:rPr>
                <w:rFonts w:ascii="Arial" w:hAnsi="Arial" w:cs="Arial"/>
                <w:lang w:val="af-ZA"/>
              </w:rPr>
              <w:t>Where any lease may be continued, renewed or ext</w:t>
            </w:r>
            <w:r>
              <w:rPr>
                <w:rFonts w:ascii="Arial" w:hAnsi="Arial" w:cs="Arial"/>
                <w:lang w:val="af-ZA"/>
              </w:rPr>
              <w:t xml:space="preserve">ended only in writing, duty may </w:t>
            </w:r>
            <w:r w:rsidRPr="00162748">
              <w:rPr>
                <w:rFonts w:ascii="Arial" w:hAnsi="Arial" w:cs="Arial"/>
                <w:lang w:val="af-ZA"/>
              </w:rPr>
              <w:t xml:space="preserve">in the first instance be paid only in respect of the original period </w:t>
            </w:r>
            <w:r>
              <w:rPr>
                <w:rFonts w:ascii="Arial" w:hAnsi="Arial" w:cs="Arial"/>
                <w:lang w:val="af-ZA"/>
              </w:rPr>
              <w:t xml:space="preserve">of the lease and, in respect of </w:t>
            </w:r>
            <w:r w:rsidRPr="00162748">
              <w:rPr>
                <w:rFonts w:ascii="Arial" w:hAnsi="Arial" w:cs="Arial"/>
                <w:lang w:val="af-ZA"/>
              </w:rPr>
              <w:t>any continuance, renewal or extension, the provisions of subsecti</w:t>
            </w:r>
            <w:r>
              <w:rPr>
                <w:rFonts w:ascii="Arial" w:hAnsi="Arial" w:cs="Arial"/>
                <w:lang w:val="af-ZA"/>
              </w:rPr>
              <w:t xml:space="preserve">on (4) shall apply, but if such </w:t>
            </w:r>
            <w:r w:rsidRPr="00162748">
              <w:rPr>
                <w:rFonts w:ascii="Arial" w:hAnsi="Arial" w:cs="Arial"/>
                <w:lang w:val="af-ZA"/>
              </w:rPr>
              <w:t xml:space="preserve">lease is tendered for registration it shall before the registration be stamped for the period </w:t>
            </w:r>
            <w:r>
              <w:rPr>
                <w:rFonts w:ascii="Arial" w:hAnsi="Arial" w:cs="Arial"/>
                <w:lang w:val="af-ZA"/>
              </w:rPr>
              <w:t xml:space="preserve">for </w:t>
            </w:r>
            <w:r w:rsidRPr="00162748">
              <w:rPr>
                <w:rFonts w:ascii="Arial" w:hAnsi="Arial" w:cs="Arial"/>
                <w:lang w:val="af-ZA"/>
              </w:rPr>
              <w:t>stamping provided in subsection (2)(c).</w:t>
            </w:r>
          </w:p>
          <w:p w:rsidR="00162748" w:rsidRDefault="00162748" w:rsidP="0044298F">
            <w:pPr>
              <w:spacing w:after="0" w:line="360" w:lineRule="auto"/>
              <w:ind w:right="95"/>
              <w:jc w:val="both"/>
              <w:rPr>
                <w:rFonts w:ascii="Arial" w:hAnsi="Arial" w:cs="Arial"/>
                <w:lang w:val="af-ZA"/>
              </w:rPr>
            </w:pPr>
          </w:p>
          <w:p w:rsidR="00162748" w:rsidRPr="00162748" w:rsidRDefault="00162748" w:rsidP="0044298F">
            <w:pPr>
              <w:spacing w:after="0" w:line="360" w:lineRule="auto"/>
              <w:ind w:right="95"/>
              <w:jc w:val="both"/>
              <w:rPr>
                <w:rFonts w:ascii="Arial" w:hAnsi="Arial" w:cs="Arial"/>
                <w:lang w:val="af-ZA"/>
              </w:rPr>
            </w:pPr>
            <w:r w:rsidRPr="00162748">
              <w:rPr>
                <w:rFonts w:ascii="Arial" w:hAnsi="Arial" w:cs="Arial"/>
                <w:lang w:val="af-ZA"/>
              </w:rPr>
              <w:t xml:space="preserve">(4) </w:t>
            </w:r>
            <w:r>
              <w:rPr>
                <w:rFonts w:ascii="Arial" w:hAnsi="Arial" w:cs="Arial"/>
                <w:lang w:val="af-ZA"/>
              </w:rPr>
              <w:t xml:space="preserve">   </w:t>
            </w:r>
            <w:r w:rsidRPr="00162748">
              <w:rPr>
                <w:rFonts w:ascii="Arial" w:hAnsi="Arial" w:cs="Arial"/>
                <w:lang w:val="af-ZA"/>
              </w:rPr>
              <w:t xml:space="preserve">(a) Any instrument whereby a lease (including </w:t>
            </w:r>
            <w:r>
              <w:rPr>
                <w:rFonts w:ascii="Arial" w:hAnsi="Arial" w:cs="Arial"/>
                <w:lang w:val="af-ZA"/>
              </w:rPr>
              <w:t xml:space="preserve">any lease or agreement of lease </w:t>
            </w:r>
            <w:r w:rsidRPr="00162748">
              <w:rPr>
                <w:rFonts w:ascii="Arial" w:hAnsi="Arial" w:cs="Arial"/>
                <w:lang w:val="af-ZA"/>
              </w:rPr>
              <w:t>chargeable with stamp duty under any previous law of Namibia</w:t>
            </w:r>
            <w:r>
              <w:rPr>
                <w:rFonts w:ascii="Arial" w:hAnsi="Arial" w:cs="Arial"/>
                <w:lang w:val="af-ZA"/>
              </w:rPr>
              <w:t xml:space="preserve">) is continued, </w:t>
            </w:r>
            <w:r w:rsidRPr="00162748">
              <w:rPr>
                <w:rFonts w:ascii="Arial" w:hAnsi="Arial" w:cs="Arial"/>
                <w:lang w:val="af-ZA"/>
              </w:rPr>
              <w:t>renewed or extended beyond the period for wh</w:t>
            </w:r>
            <w:r>
              <w:rPr>
                <w:rFonts w:ascii="Arial" w:hAnsi="Arial" w:cs="Arial"/>
                <w:lang w:val="af-ZA"/>
              </w:rPr>
              <w:t xml:space="preserve">ich such lease (or any previous </w:t>
            </w:r>
            <w:r w:rsidRPr="00162748">
              <w:rPr>
                <w:rFonts w:ascii="Arial" w:hAnsi="Arial" w:cs="Arial"/>
                <w:lang w:val="af-ZA"/>
              </w:rPr>
              <w:t>continuance, renewal or extension thereof) was r</w:t>
            </w:r>
            <w:r>
              <w:rPr>
                <w:rFonts w:ascii="Arial" w:hAnsi="Arial" w:cs="Arial"/>
                <w:lang w:val="af-ZA"/>
              </w:rPr>
              <w:t xml:space="preserve">equired to be stamped, shall be </w:t>
            </w:r>
            <w:r w:rsidRPr="00162748">
              <w:rPr>
                <w:rFonts w:ascii="Arial" w:hAnsi="Arial" w:cs="Arial"/>
                <w:lang w:val="af-ZA"/>
              </w:rPr>
              <w:t xml:space="preserve">chargeable with the duty payable in respect of a </w:t>
            </w:r>
            <w:r>
              <w:rPr>
                <w:rFonts w:ascii="Arial" w:hAnsi="Arial" w:cs="Arial"/>
                <w:lang w:val="af-ZA"/>
              </w:rPr>
              <w:t xml:space="preserve">lease for a period equal to the </w:t>
            </w:r>
            <w:r w:rsidRPr="00162748">
              <w:rPr>
                <w:rFonts w:ascii="Arial" w:hAnsi="Arial" w:cs="Arial"/>
                <w:lang w:val="af-ZA"/>
              </w:rPr>
              <w:t>entire period of the aforesaid lease (including an</w:t>
            </w:r>
            <w:r>
              <w:rPr>
                <w:rFonts w:ascii="Arial" w:hAnsi="Arial" w:cs="Arial"/>
                <w:lang w:val="af-ZA"/>
              </w:rPr>
              <w:t xml:space="preserve">y periods for which it has been </w:t>
            </w:r>
            <w:r w:rsidRPr="00162748">
              <w:rPr>
                <w:rFonts w:ascii="Arial" w:hAnsi="Arial" w:cs="Arial"/>
                <w:lang w:val="af-ZA"/>
              </w:rPr>
              <w:t>continued, renewed or extended), less the s</w:t>
            </w:r>
            <w:r>
              <w:rPr>
                <w:rFonts w:ascii="Arial" w:hAnsi="Arial" w:cs="Arial"/>
                <w:lang w:val="af-ZA"/>
              </w:rPr>
              <w:t xml:space="preserve">um of the amounts of stamp duty </w:t>
            </w:r>
            <w:r w:rsidRPr="00162748">
              <w:rPr>
                <w:rFonts w:ascii="Arial" w:hAnsi="Arial" w:cs="Arial"/>
                <w:lang w:val="af-ZA"/>
              </w:rPr>
              <w:t xml:space="preserve">previously payable in respect of such lease and any </w:t>
            </w:r>
            <w:r>
              <w:rPr>
                <w:rFonts w:ascii="Arial" w:hAnsi="Arial" w:cs="Arial"/>
                <w:lang w:val="af-ZA"/>
              </w:rPr>
              <w:t xml:space="preserve">earlier continuations, renewals </w:t>
            </w:r>
            <w:r w:rsidRPr="00162748">
              <w:rPr>
                <w:rFonts w:ascii="Arial" w:hAnsi="Arial" w:cs="Arial"/>
                <w:lang w:val="af-ZA"/>
              </w:rPr>
              <w:t>or extensions thereof, whether under this Act or any previous law of Namibia.</w:t>
            </w:r>
          </w:p>
          <w:p w:rsidR="00162748" w:rsidRDefault="00A068CF" w:rsidP="0044298F">
            <w:pPr>
              <w:spacing w:after="0" w:line="360" w:lineRule="auto"/>
              <w:ind w:right="95"/>
              <w:jc w:val="both"/>
              <w:rPr>
                <w:rFonts w:ascii="Arial" w:hAnsi="Arial" w:cs="Arial"/>
                <w:lang w:val="af-ZA"/>
              </w:rPr>
            </w:pPr>
            <w:r>
              <w:rPr>
                <w:rFonts w:ascii="Arial" w:hAnsi="Arial" w:cs="Arial"/>
                <w:lang w:val="af-ZA"/>
              </w:rPr>
              <w:t xml:space="preserve">    </w:t>
            </w:r>
            <w:r w:rsidR="00162748" w:rsidRPr="00162748">
              <w:rPr>
                <w:rFonts w:ascii="Arial" w:hAnsi="Arial" w:cs="Arial"/>
                <w:lang w:val="af-ZA"/>
              </w:rPr>
              <w:t xml:space="preserve">(b) Where any lease referred to in paragraph (a) for </w:t>
            </w:r>
            <w:r>
              <w:rPr>
                <w:rFonts w:ascii="Arial" w:hAnsi="Arial" w:cs="Arial"/>
                <w:lang w:val="af-ZA"/>
              </w:rPr>
              <w:t xml:space="preserve">a definite period is continued, </w:t>
            </w:r>
            <w:r w:rsidR="00162748" w:rsidRPr="00162748">
              <w:rPr>
                <w:rFonts w:ascii="Arial" w:hAnsi="Arial" w:cs="Arial"/>
                <w:lang w:val="af-ZA"/>
              </w:rPr>
              <w:t>renewed or extended for an indefinite period, the entir</w:t>
            </w:r>
            <w:r>
              <w:rPr>
                <w:rFonts w:ascii="Arial" w:hAnsi="Arial" w:cs="Arial"/>
                <w:lang w:val="af-ZA"/>
              </w:rPr>
              <w:t xml:space="preserve">e period of the lease shall for </w:t>
            </w:r>
            <w:r w:rsidR="00162748" w:rsidRPr="00162748">
              <w:rPr>
                <w:rFonts w:ascii="Arial" w:hAnsi="Arial" w:cs="Arial"/>
                <w:lang w:val="af-ZA"/>
              </w:rPr>
              <w:t>the purposes of the said paragraph be deemed to be the total period covered by the</w:t>
            </w:r>
            <w:r>
              <w:rPr>
                <w:rFonts w:ascii="Arial" w:hAnsi="Arial" w:cs="Arial"/>
                <w:lang w:val="af-ZA"/>
              </w:rPr>
              <w:t xml:space="preserve"> </w:t>
            </w:r>
            <w:r w:rsidR="00162748" w:rsidRPr="00162748">
              <w:rPr>
                <w:rFonts w:ascii="Arial" w:hAnsi="Arial" w:cs="Arial"/>
                <w:lang w:val="af-ZA"/>
              </w:rPr>
              <w:t xml:space="preserve">original period of such lease and any definite </w:t>
            </w:r>
            <w:r>
              <w:rPr>
                <w:rFonts w:ascii="Arial" w:hAnsi="Arial" w:cs="Arial"/>
                <w:lang w:val="af-ZA"/>
              </w:rPr>
              <w:t xml:space="preserve">periods for which the lease has </w:t>
            </w:r>
            <w:r w:rsidR="00162748" w:rsidRPr="00162748">
              <w:rPr>
                <w:rFonts w:ascii="Arial" w:hAnsi="Arial" w:cs="Arial"/>
                <w:lang w:val="af-ZA"/>
              </w:rPr>
              <w:t>previously been continued, renewed or extended, and a further period of two years.</w:t>
            </w:r>
            <w:r>
              <w:rPr>
                <w:rFonts w:ascii="Arial" w:hAnsi="Arial" w:cs="Arial"/>
                <w:lang w:val="af-ZA"/>
              </w:rPr>
              <w:t xml:space="preserve"> ‘</w:t>
            </w:r>
          </w:p>
          <w:p w:rsidR="00A068CF" w:rsidRDefault="00A068CF" w:rsidP="0044298F">
            <w:pPr>
              <w:spacing w:after="0" w:line="360" w:lineRule="auto"/>
              <w:ind w:right="95"/>
              <w:jc w:val="both"/>
              <w:rPr>
                <w:rFonts w:ascii="Arial" w:hAnsi="Arial" w:cs="Arial"/>
                <w:lang w:val="af-ZA"/>
              </w:rPr>
            </w:pPr>
          </w:p>
          <w:p w:rsidR="00DB40E9" w:rsidRDefault="00A068CF" w:rsidP="0044298F">
            <w:pPr>
              <w:spacing w:after="0" w:line="360" w:lineRule="auto"/>
              <w:ind w:right="95"/>
              <w:jc w:val="both"/>
              <w:rPr>
                <w:rFonts w:ascii="Arial" w:hAnsi="Arial" w:cs="Arial"/>
                <w:sz w:val="24"/>
                <w:szCs w:val="24"/>
                <w:lang w:val="af-ZA"/>
              </w:rPr>
            </w:pPr>
            <w:r>
              <w:rPr>
                <w:rFonts w:ascii="Arial" w:hAnsi="Arial" w:cs="Arial"/>
                <w:sz w:val="24"/>
                <w:szCs w:val="24"/>
                <w:lang w:val="af-ZA"/>
              </w:rPr>
              <w:t>[12]</w:t>
            </w:r>
            <w:r w:rsidR="00C751C0">
              <w:rPr>
                <w:rFonts w:ascii="Arial" w:hAnsi="Arial" w:cs="Arial"/>
                <w:sz w:val="24"/>
                <w:szCs w:val="24"/>
                <w:lang w:val="af-ZA"/>
              </w:rPr>
              <w:tab/>
            </w:r>
            <w:r>
              <w:rPr>
                <w:rFonts w:ascii="Arial" w:hAnsi="Arial" w:cs="Arial"/>
                <w:sz w:val="24"/>
                <w:szCs w:val="24"/>
                <w:lang w:val="af-ZA"/>
              </w:rPr>
              <w:t>In light of the above it is clear that the 2013 adendum to the leas</w:t>
            </w:r>
            <w:r w:rsidR="00DB40E9">
              <w:rPr>
                <w:rFonts w:ascii="Arial" w:hAnsi="Arial" w:cs="Arial"/>
                <w:sz w:val="24"/>
                <w:szCs w:val="24"/>
                <w:lang w:val="af-ZA"/>
              </w:rPr>
              <w:t>e, which is relied upon by the a</w:t>
            </w:r>
            <w:r>
              <w:rPr>
                <w:rFonts w:ascii="Arial" w:hAnsi="Arial" w:cs="Arial"/>
                <w:sz w:val="24"/>
                <w:szCs w:val="24"/>
                <w:lang w:val="af-ZA"/>
              </w:rPr>
              <w:t>pplicant is subject to duty being paid on the said lease and should hav</w:t>
            </w:r>
            <w:r w:rsidR="00DB40E9">
              <w:rPr>
                <w:rFonts w:ascii="Arial" w:hAnsi="Arial" w:cs="Arial"/>
                <w:sz w:val="24"/>
                <w:szCs w:val="24"/>
                <w:lang w:val="af-ZA"/>
              </w:rPr>
              <w:t xml:space="preserve">e been stamped to that effect. </w:t>
            </w:r>
            <w:r>
              <w:rPr>
                <w:rFonts w:ascii="Arial" w:hAnsi="Arial" w:cs="Arial"/>
                <w:sz w:val="24"/>
                <w:szCs w:val="24"/>
                <w:lang w:val="af-ZA"/>
              </w:rPr>
              <w:t xml:space="preserve">The document on which the </w:t>
            </w:r>
            <w:r w:rsidR="00DB40E9">
              <w:rPr>
                <w:rFonts w:ascii="Arial" w:hAnsi="Arial" w:cs="Arial"/>
                <w:sz w:val="24"/>
                <w:szCs w:val="24"/>
                <w:lang w:val="af-ZA"/>
              </w:rPr>
              <w:t>a</w:t>
            </w:r>
            <w:r>
              <w:rPr>
                <w:rFonts w:ascii="Arial" w:hAnsi="Arial" w:cs="Arial"/>
                <w:sz w:val="24"/>
                <w:szCs w:val="24"/>
                <w:lang w:val="af-ZA"/>
              </w:rPr>
              <w:t>pplicant therefore relies is not properly before court and the party who wish to rely on such a document bear</w:t>
            </w:r>
            <w:r w:rsidR="00DB40E9">
              <w:rPr>
                <w:rFonts w:ascii="Arial" w:hAnsi="Arial" w:cs="Arial"/>
                <w:sz w:val="24"/>
                <w:szCs w:val="24"/>
                <w:lang w:val="af-ZA"/>
              </w:rPr>
              <w:t xml:space="preserve">s the duty to have it stamped. </w:t>
            </w:r>
            <w:r>
              <w:rPr>
                <w:rFonts w:ascii="Arial" w:hAnsi="Arial" w:cs="Arial"/>
                <w:sz w:val="24"/>
                <w:szCs w:val="24"/>
                <w:lang w:val="af-ZA"/>
              </w:rPr>
              <w:t xml:space="preserve">The </w:t>
            </w:r>
            <w:r w:rsidR="00DB40E9">
              <w:rPr>
                <w:rFonts w:ascii="Arial" w:hAnsi="Arial" w:cs="Arial"/>
                <w:sz w:val="24"/>
                <w:szCs w:val="24"/>
                <w:lang w:val="af-ZA"/>
              </w:rPr>
              <w:t>a</w:t>
            </w:r>
            <w:r>
              <w:rPr>
                <w:rFonts w:ascii="Arial" w:hAnsi="Arial" w:cs="Arial"/>
                <w:sz w:val="24"/>
                <w:szCs w:val="24"/>
                <w:lang w:val="af-ZA"/>
              </w:rPr>
              <w:t xml:space="preserve">pplicant therefore had the duty, if </w:t>
            </w:r>
            <w:r w:rsidR="00DB40E9">
              <w:rPr>
                <w:rFonts w:ascii="Arial" w:hAnsi="Arial" w:cs="Arial"/>
                <w:sz w:val="24"/>
                <w:szCs w:val="24"/>
                <w:lang w:val="af-ZA"/>
              </w:rPr>
              <w:t xml:space="preserve">it relies on the said agreement, </w:t>
            </w:r>
            <w:r>
              <w:rPr>
                <w:rFonts w:ascii="Arial" w:hAnsi="Arial" w:cs="Arial"/>
                <w:sz w:val="24"/>
                <w:szCs w:val="24"/>
                <w:lang w:val="af-ZA"/>
              </w:rPr>
              <w:t xml:space="preserve">to pay for the stamps and to affix them to the document in order for it to form part of the bundle of documents </w:t>
            </w:r>
            <w:r w:rsidR="00DB40E9">
              <w:rPr>
                <w:rFonts w:ascii="Arial" w:hAnsi="Arial" w:cs="Arial"/>
                <w:sz w:val="24"/>
                <w:szCs w:val="24"/>
                <w:lang w:val="af-ZA"/>
              </w:rPr>
              <w:t>upon whic this matter is based</w:t>
            </w:r>
            <w:r>
              <w:rPr>
                <w:rFonts w:ascii="Arial" w:hAnsi="Arial" w:cs="Arial"/>
                <w:sz w:val="24"/>
                <w:szCs w:val="24"/>
                <w:lang w:val="af-ZA"/>
              </w:rPr>
              <w:t>. It can therefore not be said that the Summary Judgement application is before court on tecnical</w:t>
            </w:r>
            <w:r w:rsidR="00DB40E9">
              <w:rPr>
                <w:rFonts w:ascii="Arial" w:hAnsi="Arial" w:cs="Arial"/>
                <w:sz w:val="24"/>
                <w:szCs w:val="24"/>
                <w:lang w:val="af-ZA"/>
              </w:rPr>
              <w:t>ly correct papers and it should be</w:t>
            </w:r>
            <w:r>
              <w:rPr>
                <w:rFonts w:ascii="Arial" w:hAnsi="Arial" w:cs="Arial"/>
                <w:sz w:val="24"/>
                <w:szCs w:val="24"/>
                <w:lang w:val="af-ZA"/>
              </w:rPr>
              <w:t xml:space="preserve"> struck </w:t>
            </w:r>
            <w:r w:rsidR="00DB40E9">
              <w:rPr>
                <w:rFonts w:ascii="Arial" w:hAnsi="Arial" w:cs="Arial"/>
                <w:sz w:val="24"/>
                <w:szCs w:val="24"/>
                <w:lang w:val="af-ZA"/>
              </w:rPr>
              <w:t>from the roll for that reason.</w:t>
            </w:r>
          </w:p>
          <w:p w:rsidR="00DB40E9" w:rsidRDefault="00DB40E9" w:rsidP="0044298F">
            <w:pPr>
              <w:spacing w:after="0" w:line="360" w:lineRule="auto"/>
              <w:ind w:right="95"/>
              <w:jc w:val="both"/>
              <w:rPr>
                <w:rFonts w:ascii="Arial" w:hAnsi="Arial" w:cs="Arial"/>
                <w:sz w:val="24"/>
                <w:szCs w:val="24"/>
                <w:lang w:val="af-ZA"/>
              </w:rPr>
            </w:pPr>
          </w:p>
          <w:p w:rsidR="00A068CF" w:rsidRPr="00A068CF" w:rsidRDefault="00DB40E9" w:rsidP="0044298F">
            <w:pPr>
              <w:spacing w:after="0" w:line="360" w:lineRule="auto"/>
              <w:ind w:right="95"/>
              <w:jc w:val="both"/>
              <w:rPr>
                <w:rFonts w:ascii="Arial" w:hAnsi="Arial" w:cs="Arial"/>
                <w:sz w:val="24"/>
                <w:szCs w:val="24"/>
                <w:lang w:val="af-ZA"/>
              </w:rPr>
            </w:pPr>
            <w:r>
              <w:rPr>
                <w:rFonts w:ascii="Arial" w:hAnsi="Arial" w:cs="Arial"/>
                <w:sz w:val="24"/>
                <w:szCs w:val="24"/>
                <w:lang w:val="af-ZA"/>
              </w:rPr>
              <w:t>[13]</w:t>
            </w:r>
            <w:r>
              <w:rPr>
                <w:rFonts w:ascii="Arial" w:hAnsi="Arial" w:cs="Arial"/>
                <w:sz w:val="24"/>
                <w:szCs w:val="24"/>
                <w:lang w:val="af-ZA"/>
              </w:rPr>
              <w:tab/>
            </w:r>
            <w:r w:rsidR="00A068CF">
              <w:rPr>
                <w:rFonts w:ascii="Arial" w:hAnsi="Arial" w:cs="Arial"/>
                <w:sz w:val="24"/>
                <w:szCs w:val="24"/>
                <w:lang w:val="af-ZA"/>
              </w:rPr>
              <w:t>The court did not deal with any of the other points in limine which might also have an inpact on the question whether the summary judgement application is properly before court as the point in limine raised regarding the upaid stamp duties went to the basis on which the application was brought.</w:t>
            </w:r>
          </w:p>
          <w:p w:rsidR="00A068CF" w:rsidRPr="00162748" w:rsidRDefault="00A068CF" w:rsidP="0044298F">
            <w:pPr>
              <w:spacing w:after="0" w:line="360" w:lineRule="auto"/>
              <w:ind w:right="95"/>
              <w:jc w:val="both"/>
              <w:rPr>
                <w:rFonts w:ascii="Arial" w:hAnsi="Arial" w:cs="Arial"/>
                <w:lang w:val="af-ZA"/>
              </w:rPr>
            </w:pPr>
          </w:p>
          <w:p w:rsidR="00B55B1F" w:rsidRDefault="00DB40E9" w:rsidP="0044298F">
            <w:pPr>
              <w:spacing w:after="0" w:line="360" w:lineRule="auto"/>
              <w:ind w:right="95"/>
              <w:jc w:val="both"/>
              <w:rPr>
                <w:rFonts w:ascii="Arial" w:hAnsi="Arial" w:cs="Arial"/>
                <w:sz w:val="24"/>
                <w:szCs w:val="24"/>
                <w:lang w:val="af-ZA"/>
              </w:rPr>
            </w:pPr>
            <w:r>
              <w:rPr>
                <w:rFonts w:ascii="Arial" w:hAnsi="Arial" w:cs="Arial"/>
                <w:sz w:val="24"/>
                <w:szCs w:val="24"/>
                <w:lang w:val="af-ZA"/>
              </w:rPr>
              <w:t>[14</w:t>
            </w:r>
            <w:r w:rsidR="00A068CF" w:rsidRPr="00A068CF">
              <w:rPr>
                <w:rFonts w:ascii="Arial" w:hAnsi="Arial" w:cs="Arial"/>
                <w:sz w:val="24"/>
                <w:szCs w:val="24"/>
                <w:lang w:val="af-ZA"/>
              </w:rPr>
              <w:t>]</w:t>
            </w:r>
            <w:r>
              <w:rPr>
                <w:rFonts w:ascii="Arial" w:hAnsi="Arial" w:cs="Arial"/>
                <w:sz w:val="24"/>
                <w:szCs w:val="24"/>
                <w:lang w:val="af-ZA"/>
              </w:rPr>
              <w:tab/>
              <w:t>T</w:t>
            </w:r>
            <w:r w:rsidR="00B55B1F">
              <w:rPr>
                <w:rFonts w:ascii="Arial" w:hAnsi="Arial" w:cs="Arial"/>
                <w:sz w:val="24"/>
                <w:szCs w:val="24"/>
                <w:lang w:val="af-ZA"/>
              </w:rPr>
              <w:t>he court considered the application for a cost order on attorney cl</w:t>
            </w:r>
            <w:r>
              <w:rPr>
                <w:rFonts w:ascii="Arial" w:hAnsi="Arial" w:cs="Arial"/>
                <w:sz w:val="24"/>
                <w:szCs w:val="24"/>
                <w:lang w:val="af-ZA"/>
              </w:rPr>
              <w:t>ient scale as requested by the respondent</w:t>
            </w:r>
            <w:r w:rsidR="00B55B1F">
              <w:rPr>
                <w:rFonts w:ascii="Arial" w:hAnsi="Arial" w:cs="Arial"/>
                <w:sz w:val="24"/>
                <w:szCs w:val="24"/>
                <w:lang w:val="af-ZA"/>
              </w:rPr>
              <w:t xml:space="preserve"> but came to the conclusion that because this application for summary judgement is struck from the roll for a tecnical reason, it would not be appropriate</w:t>
            </w:r>
            <w:r>
              <w:rPr>
                <w:rFonts w:ascii="Arial" w:hAnsi="Arial" w:cs="Arial"/>
                <w:sz w:val="24"/>
                <w:szCs w:val="24"/>
                <w:lang w:val="af-ZA"/>
              </w:rPr>
              <w:t xml:space="preserve"> to grant such a cost order in the current circumstances. The repondent is</w:t>
            </w:r>
            <w:r w:rsidR="00B55B1F">
              <w:rPr>
                <w:rFonts w:ascii="Arial" w:hAnsi="Arial" w:cs="Arial"/>
                <w:sz w:val="24"/>
                <w:szCs w:val="24"/>
                <w:lang w:val="af-ZA"/>
              </w:rPr>
              <w:t xml:space="preserve"> however awarded a normal cost order, capped in terms of rule 32(11).</w:t>
            </w:r>
          </w:p>
          <w:p w:rsidR="00B55B1F" w:rsidRDefault="00B55B1F" w:rsidP="0044298F">
            <w:pPr>
              <w:spacing w:after="0" w:line="360" w:lineRule="auto"/>
              <w:ind w:right="95"/>
              <w:jc w:val="both"/>
              <w:rPr>
                <w:rFonts w:ascii="Arial" w:hAnsi="Arial" w:cs="Arial"/>
                <w:sz w:val="24"/>
                <w:szCs w:val="24"/>
                <w:lang w:val="af-ZA"/>
              </w:rPr>
            </w:pPr>
          </w:p>
          <w:p w:rsidR="001A2C5D" w:rsidRDefault="00DB40E9" w:rsidP="0044298F">
            <w:pPr>
              <w:spacing w:after="0" w:line="360" w:lineRule="auto"/>
              <w:ind w:right="95"/>
              <w:jc w:val="both"/>
              <w:rPr>
                <w:rFonts w:ascii="Arial" w:hAnsi="Arial" w:cs="Arial"/>
                <w:sz w:val="24"/>
                <w:szCs w:val="24"/>
                <w:lang w:val="af-ZA"/>
              </w:rPr>
            </w:pPr>
            <w:r>
              <w:rPr>
                <w:rFonts w:ascii="Arial" w:hAnsi="Arial" w:cs="Arial"/>
                <w:sz w:val="24"/>
                <w:szCs w:val="24"/>
                <w:lang w:val="af-ZA"/>
              </w:rPr>
              <w:t>[15</w:t>
            </w:r>
            <w:r w:rsidR="00B55B1F">
              <w:rPr>
                <w:rFonts w:ascii="Arial" w:hAnsi="Arial" w:cs="Arial"/>
                <w:sz w:val="24"/>
                <w:szCs w:val="24"/>
                <w:lang w:val="af-ZA"/>
              </w:rPr>
              <w:t>]</w:t>
            </w:r>
            <w:r>
              <w:rPr>
                <w:rFonts w:ascii="Arial" w:hAnsi="Arial" w:cs="Arial"/>
                <w:sz w:val="24"/>
                <w:szCs w:val="24"/>
                <w:lang w:val="af-ZA"/>
              </w:rPr>
              <w:tab/>
            </w:r>
            <w:r w:rsidR="001A2C5D" w:rsidRPr="00A068CF">
              <w:rPr>
                <w:rFonts w:ascii="Arial" w:hAnsi="Arial" w:cs="Arial"/>
                <w:sz w:val="24"/>
                <w:szCs w:val="24"/>
                <w:lang w:val="af-ZA"/>
              </w:rPr>
              <w:t>I</w:t>
            </w:r>
            <w:r w:rsidR="001A2C5D" w:rsidRPr="00917016">
              <w:rPr>
                <w:rFonts w:ascii="Arial" w:hAnsi="Arial" w:cs="Arial"/>
                <w:sz w:val="24"/>
                <w:szCs w:val="24"/>
                <w:lang w:val="af-ZA"/>
              </w:rPr>
              <w:t xml:space="preserve"> therefore make the following order:</w:t>
            </w:r>
          </w:p>
          <w:p w:rsidR="0044298F" w:rsidRPr="00917016" w:rsidRDefault="0044298F" w:rsidP="0044298F">
            <w:pPr>
              <w:spacing w:after="0" w:line="360" w:lineRule="auto"/>
              <w:ind w:right="95"/>
              <w:jc w:val="both"/>
              <w:rPr>
                <w:rFonts w:ascii="Arial" w:hAnsi="Arial" w:cs="Arial"/>
                <w:sz w:val="24"/>
                <w:szCs w:val="24"/>
                <w:lang w:val="af-ZA"/>
              </w:rPr>
            </w:pPr>
          </w:p>
          <w:p w:rsidR="007336CF" w:rsidRPr="007336CF" w:rsidRDefault="007336CF" w:rsidP="0044298F">
            <w:pPr>
              <w:pStyle w:val="ListParagraph"/>
              <w:numPr>
                <w:ilvl w:val="0"/>
                <w:numId w:val="10"/>
              </w:numPr>
              <w:spacing w:after="0" w:line="360" w:lineRule="auto"/>
              <w:ind w:right="95"/>
              <w:jc w:val="both"/>
              <w:rPr>
                <w:rFonts w:ascii="Arial" w:hAnsi="Arial" w:cs="Arial"/>
                <w:sz w:val="24"/>
                <w:szCs w:val="24"/>
                <w:lang w:val="af-ZA"/>
              </w:rPr>
            </w:pPr>
            <w:r w:rsidRPr="007336CF">
              <w:rPr>
                <w:rFonts w:ascii="Arial" w:hAnsi="Arial" w:cs="Arial"/>
                <w:sz w:val="24"/>
                <w:szCs w:val="24"/>
                <w:lang w:val="af-ZA"/>
              </w:rPr>
              <w:t>The point in limine that the papers do not meet the technical standard needed is upheld and therefor the summary judgement application is struck from the roll.</w:t>
            </w:r>
          </w:p>
          <w:p w:rsidR="007336CF" w:rsidRPr="007336CF" w:rsidRDefault="007336CF" w:rsidP="0044298F">
            <w:pPr>
              <w:pStyle w:val="ListParagraph"/>
              <w:numPr>
                <w:ilvl w:val="0"/>
                <w:numId w:val="10"/>
              </w:numPr>
              <w:spacing w:after="0" w:line="360" w:lineRule="auto"/>
              <w:ind w:right="95"/>
              <w:jc w:val="both"/>
              <w:rPr>
                <w:rFonts w:ascii="Arial" w:hAnsi="Arial" w:cs="Arial"/>
                <w:sz w:val="24"/>
                <w:szCs w:val="24"/>
                <w:lang w:val="af-ZA"/>
              </w:rPr>
            </w:pPr>
            <w:r w:rsidRPr="007336CF">
              <w:rPr>
                <w:rFonts w:ascii="Arial" w:hAnsi="Arial" w:cs="Arial"/>
                <w:sz w:val="24"/>
                <w:szCs w:val="24"/>
                <w:lang w:val="af-ZA"/>
              </w:rPr>
              <w:t>Cost of this application is awarded to the defendants, of which costs are limited in terms of the provisions of Rule 32(11).</w:t>
            </w:r>
          </w:p>
          <w:p w:rsidR="007336CF" w:rsidRPr="007336CF" w:rsidRDefault="007336CF" w:rsidP="0044298F">
            <w:pPr>
              <w:pStyle w:val="ListParagraph"/>
              <w:numPr>
                <w:ilvl w:val="0"/>
                <w:numId w:val="10"/>
              </w:numPr>
              <w:spacing w:after="0" w:line="360" w:lineRule="auto"/>
              <w:ind w:right="95"/>
              <w:jc w:val="both"/>
              <w:rPr>
                <w:rFonts w:ascii="Arial" w:hAnsi="Arial" w:cs="Arial"/>
                <w:sz w:val="24"/>
                <w:szCs w:val="24"/>
                <w:lang w:val="af-ZA"/>
              </w:rPr>
            </w:pPr>
            <w:r w:rsidRPr="007336CF">
              <w:rPr>
                <w:rFonts w:ascii="Arial" w:hAnsi="Arial" w:cs="Arial"/>
                <w:sz w:val="24"/>
                <w:szCs w:val="24"/>
                <w:lang w:val="af-ZA"/>
              </w:rPr>
              <w:t>The parties are ordered to file a joint case plan by no later than 25 March 2021 at 15h00.</w:t>
            </w:r>
          </w:p>
          <w:p w:rsidR="007336CF" w:rsidRDefault="007336CF" w:rsidP="0044298F">
            <w:pPr>
              <w:pStyle w:val="NoSpacing"/>
              <w:numPr>
                <w:ilvl w:val="0"/>
                <w:numId w:val="10"/>
              </w:numPr>
              <w:spacing w:line="360" w:lineRule="auto"/>
              <w:ind w:right="95"/>
              <w:jc w:val="both"/>
              <w:rPr>
                <w:rFonts w:ascii="Arial" w:hAnsi="Arial" w:cs="Arial"/>
                <w:sz w:val="24"/>
                <w:szCs w:val="24"/>
                <w:lang w:val="af-ZA"/>
              </w:rPr>
            </w:pPr>
            <w:r w:rsidRPr="00A068CF">
              <w:rPr>
                <w:rFonts w:ascii="Arial" w:hAnsi="Arial" w:cs="Arial"/>
                <w:sz w:val="24"/>
                <w:szCs w:val="24"/>
                <w:lang w:val="af-ZA"/>
              </w:rPr>
              <w:t>The case is postponed to 30 March 2021 at 15h30 for a case planning conference</w:t>
            </w:r>
            <w:r>
              <w:rPr>
                <w:rFonts w:ascii="Arial" w:hAnsi="Arial" w:cs="Arial"/>
                <w:sz w:val="24"/>
                <w:szCs w:val="24"/>
                <w:lang w:val="af-ZA"/>
              </w:rPr>
              <w:t>.</w:t>
            </w:r>
          </w:p>
          <w:p w:rsidR="00950676" w:rsidRPr="00917016" w:rsidRDefault="00950676" w:rsidP="0044298F">
            <w:pPr>
              <w:spacing w:line="360" w:lineRule="auto"/>
              <w:ind w:right="95"/>
              <w:rPr>
                <w:rFonts w:ascii="Arial" w:hAnsi="Arial" w:cs="Arial"/>
                <w:color w:val="242121"/>
                <w:sz w:val="24"/>
                <w:szCs w:val="24"/>
                <w:shd w:val="clear" w:color="auto" w:fill="FFFFFF"/>
              </w:rPr>
            </w:pPr>
          </w:p>
        </w:tc>
      </w:tr>
      <w:tr w:rsidR="00950676" w:rsidRPr="00917016" w:rsidTr="0044298F">
        <w:tc>
          <w:tcPr>
            <w:tcW w:w="4770" w:type="dxa"/>
          </w:tcPr>
          <w:p w:rsidR="00950676" w:rsidRPr="00917016" w:rsidRDefault="00950676" w:rsidP="0044298F">
            <w:pPr>
              <w:spacing w:line="360" w:lineRule="auto"/>
              <w:ind w:right="95"/>
              <w:jc w:val="center"/>
              <w:rPr>
                <w:rFonts w:ascii="Arial" w:hAnsi="Arial" w:cs="Arial"/>
                <w:b/>
                <w:sz w:val="24"/>
                <w:szCs w:val="24"/>
              </w:rPr>
            </w:pPr>
            <w:r w:rsidRPr="00917016">
              <w:rPr>
                <w:rFonts w:ascii="Arial" w:hAnsi="Arial" w:cs="Arial"/>
                <w:b/>
                <w:sz w:val="24"/>
                <w:szCs w:val="24"/>
              </w:rPr>
              <w:lastRenderedPageBreak/>
              <w:t>Judge’s signature</w:t>
            </w:r>
          </w:p>
        </w:tc>
        <w:tc>
          <w:tcPr>
            <w:tcW w:w="5139" w:type="dxa"/>
            <w:gridSpan w:val="2"/>
          </w:tcPr>
          <w:p w:rsidR="00950676" w:rsidRPr="00917016" w:rsidRDefault="00950676" w:rsidP="0044298F">
            <w:pPr>
              <w:spacing w:line="360" w:lineRule="auto"/>
              <w:ind w:right="95"/>
              <w:jc w:val="center"/>
              <w:rPr>
                <w:rFonts w:ascii="Arial" w:hAnsi="Arial" w:cs="Arial"/>
                <w:b/>
                <w:sz w:val="24"/>
                <w:szCs w:val="24"/>
              </w:rPr>
            </w:pPr>
            <w:r w:rsidRPr="00917016">
              <w:rPr>
                <w:rFonts w:ascii="Arial" w:hAnsi="Arial" w:cs="Arial"/>
                <w:b/>
                <w:sz w:val="24"/>
                <w:szCs w:val="24"/>
              </w:rPr>
              <w:t>Note to the parties:</w:t>
            </w:r>
          </w:p>
        </w:tc>
      </w:tr>
      <w:tr w:rsidR="00950676" w:rsidRPr="00917016" w:rsidTr="0044298F">
        <w:trPr>
          <w:trHeight w:val="1114"/>
        </w:trPr>
        <w:tc>
          <w:tcPr>
            <w:tcW w:w="4770" w:type="dxa"/>
          </w:tcPr>
          <w:p w:rsidR="00950676" w:rsidRPr="00917016" w:rsidRDefault="002B34FE" w:rsidP="002B34FE">
            <w:pPr>
              <w:spacing w:before="240" w:line="360" w:lineRule="auto"/>
              <w:ind w:right="95"/>
              <w:jc w:val="center"/>
              <w:rPr>
                <w:rFonts w:ascii="Arial" w:hAnsi="Arial" w:cs="Arial"/>
                <w:sz w:val="24"/>
                <w:szCs w:val="24"/>
              </w:rPr>
            </w:pPr>
            <w:r w:rsidRPr="00917016">
              <w:rPr>
                <w:rFonts w:ascii="Arial" w:hAnsi="Arial" w:cs="Arial"/>
                <w:sz w:val="24"/>
                <w:szCs w:val="24"/>
              </w:rPr>
              <w:t>Rakow, J</w:t>
            </w:r>
          </w:p>
        </w:tc>
        <w:tc>
          <w:tcPr>
            <w:tcW w:w="5139" w:type="dxa"/>
            <w:gridSpan w:val="2"/>
          </w:tcPr>
          <w:p w:rsidR="00950676" w:rsidRPr="00917016" w:rsidRDefault="00950676" w:rsidP="002B34FE">
            <w:pPr>
              <w:spacing w:before="240" w:line="360" w:lineRule="auto"/>
              <w:ind w:right="95"/>
              <w:jc w:val="both"/>
              <w:rPr>
                <w:rFonts w:ascii="Arial" w:hAnsi="Arial" w:cs="Arial"/>
                <w:sz w:val="24"/>
                <w:szCs w:val="24"/>
              </w:rPr>
            </w:pPr>
            <w:r w:rsidRPr="00917016">
              <w:rPr>
                <w:rFonts w:ascii="Arial" w:hAnsi="Arial" w:cs="Arial"/>
                <w:sz w:val="24"/>
                <w:szCs w:val="24"/>
              </w:rPr>
              <w:t>Not applicable.</w:t>
            </w:r>
          </w:p>
        </w:tc>
      </w:tr>
      <w:tr w:rsidR="00950676" w:rsidRPr="00917016" w:rsidTr="0044298F">
        <w:tc>
          <w:tcPr>
            <w:tcW w:w="9909" w:type="dxa"/>
            <w:gridSpan w:val="3"/>
          </w:tcPr>
          <w:p w:rsidR="00950676" w:rsidRPr="00917016" w:rsidRDefault="00950676" w:rsidP="0044298F">
            <w:pPr>
              <w:spacing w:line="360" w:lineRule="auto"/>
              <w:ind w:right="95"/>
              <w:jc w:val="center"/>
              <w:rPr>
                <w:rFonts w:ascii="Arial" w:hAnsi="Arial" w:cs="Arial"/>
                <w:b/>
                <w:sz w:val="24"/>
                <w:szCs w:val="24"/>
              </w:rPr>
            </w:pPr>
            <w:r w:rsidRPr="00917016">
              <w:rPr>
                <w:rFonts w:ascii="Arial" w:hAnsi="Arial" w:cs="Arial"/>
                <w:b/>
                <w:sz w:val="24"/>
                <w:szCs w:val="24"/>
              </w:rPr>
              <w:t>Counsel:</w:t>
            </w:r>
          </w:p>
        </w:tc>
      </w:tr>
      <w:tr w:rsidR="00950676" w:rsidRPr="00917016" w:rsidTr="0044298F">
        <w:tc>
          <w:tcPr>
            <w:tcW w:w="4770" w:type="dxa"/>
          </w:tcPr>
          <w:p w:rsidR="00950676" w:rsidRPr="00917016" w:rsidRDefault="00950676" w:rsidP="0044298F">
            <w:pPr>
              <w:spacing w:line="360" w:lineRule="auto"/>
              <w:ind w:right="95"/>
              <w:jc w:val="center"/>
              <w:rPr>
                <w:rFonts w:ascii="Arial" w:hAnsi="Arial" w:cs="Arial"/>
                <w:b/>
                <w:sz w:val="24"/>
                <w:szCs w:val="24"/>
              </w:rPr>
            </w:pPr>
            <w:r w:rsidRPr="00917016">
              <w:rPr>
                <w:rFonts w:ascii="Arial" w:hAnsi="Arial" w:cs="Arial"/>
                <w:b/>
                <w:sz w:val="24"/>
                <w:szCs w:val="24"/>
              </w:rPr>
              <w:t>Applicant</w:t>
            </w:r>
            <w:r w:rsidR="00190BB3" w:rsidRPr="00917016">
              <w:rPr>
                <w:rFonts w:ascii="Arial" w:hAnsi="Arial" w:cs="Arial"/>
                <w:b/>
                <w:sz w:val="24"/>
                <w:szCs w:val="24"/>
              </w:rPr>
              <w:t>s</w:t>
            </w:r>
          </w:p>
        </w:tc>
        <w:tc>
          <w:tcPr>
            <w:tcW w:w="5139" w:type="dxa"/>
            <w:gridSpan w:val="2"/>
          </w:tcPr>
          <w:p w:rsidR="00950676" w:rsidRPr="00917016" w:rsidRDefault="00950676" w:rsidP="0044298F">
            <w:pPr>
              <w:spacing w:line="360" w:lineRule="auto"/>
              <w:ind w:right="95"/>
              <w:jc w:val="center"/>
              <w:rPr>
                <w:rFonts w:ascii="Arial" w:hAnsi="Arial" w:cs="Arial"/>
                <w:b/>
                <w:sz w:val="24"/>
                <w:szCs w:val="24"/>
              </w:rPr>
            </w:pPr>
            <w:r w:rsidRPr="00917016">
              <w:rPr>
                <w:rFonts w:ascii="Arial" w:hAnsi="Arial" w:cs="Arial"/>
                <w:b/>
                <w:sz w:val="24"/>
                <w:szCs w:val="24"/>
              </w:rPr>
              <w:t xml:space="preserve"> Respondent</w:t>
            </w:r>
          </w:p>
        </w:tc>
      </w:tr>
      <w:tr w:rsidR="00950676" w:rsidRPr="00917016" w:rsidTr="0044298F">
        <w:tc>
          <w:tcPr>
            <w:tcW w:w="4770" w:type="dxa"/>
          </w:tcPr>
          <w:p w:rsidR="00950676" w:rsidRDefault="008B72B3" w:rsidP="0044298F">
            <w:pPr>
              <w:tabs>
                <w:tab w:val="left" w:pos="1800"/>
              </w:tabs>
              <w:spacing w:after="0" w:line="360" w:lineRule="auto"/>
              <w:ind w:right="95"/>
              <w:jc w:val="center"/>
              <w:rPr>
                <w:rFonts w:ascii="Arial" w:hAnsi="Arial" w:cs="Arial"/>
                <w:sz w:val="24"/>
                <w:szCs w:val="24"/>
              </w:rPr>
            </w:pPr>
            <w:r>
              <w:rPr>
                <w:rFonts w:ascii="Arial" w:hAnsi="Arial" w:cs="Arial"/>
                <w:sz w:val="24"/>
                <w:szCs w:val="24"/>
              </w:rPr>
              <w:t>F</w:t>
            </w:r>
            <w:r w:rsidR="00B55B1F">
              <w:rPr>
                <w:rFonts w:ascii="Arial" w:hAnsi="Arial" w:cs="Arial"/>
                <w:sz w:val="24"/>
                <w:szCs w:val="24"/>
              </w:rPr>
              <w:t xml:space="preserve"> Bangamwabo</w:t>
            </w:r>
          </w:p>
          <w:p w:rsidR="008B72B3" w:rsidRDefault="008B72B3" w:rsidP="0044298F">
            <w:pPr>
              <w:tabs>
                <w:tab w:val="left" w:pos="1800"/>
              </w:tabs>
              <w:spacing w:after="0" w:line="360" w:lineRule="auto"/>
              <w:ind w:right="95"/>
              <w:jc w:val="center"/>
              <w:rPr>
                <w:rFonts w:ascii="Arial" w:hAnsi="Arial" w:cs="Arial"/>
                <w:sz w:val="24"/>
                <w:szCs w:val="24"/>
              </w:rPr>
            </w:pPr>
            <w:r>
              <w:rPr>
                <w:rFonts w:ascii="Arial" w:hAnsi="Arial" w:cs="Arial"/>
                <w:sz w:val="24"/>
                <w:szCs w:val="24"/>
              </w:rPr>
              <w:t xml:space="preserve">Of </w:t>
            </w:r>
          </w:p>
          <w:p w:rsidR="008B72B3" w:rsidRDefault="008B72B3" w:rsidP="0044298F">
            <w:pPr>
              <w:tabs>
                <w:tab w:val="left" w:pos="1800"/>
              </w:tabs>
              <w:spacing w:after="0" w:line="360" w:lineRule="auto"/>
              <w:ind w:right="95"/>
              <w:jc w:val="center"/>
              <w:rPr>
                <w:rFonts w:ascii="Arial" w:hAnsi="Arial" w:cs="Arial"/>
                <w:sz w:val="24"/>
                <w:szCs w:val="24"/>
              </w:rPr>
            </w:pPr>
            <w:r w:rsidRPr="008B72B3">
              <w:rPr>
                <w:rFonts w:ascii="Arial" w:hAnsi="Arial" w:cs="Arial"/>
                <w:sz w:val="24"/>
                <w:szCs w:val="24"/>
              </w:rPr>
              <w:t>FB Law Chambers</w:t>
            </w:r>
          </w:p>
          <w:p w:rsidR="008B72B3" w:rsidRPr="00917016" w:rsidRDefault="008B72B3" w:rsidP="0044298F">
            <w:pPr>
              <w:tabs>
                <w:tab w:val="left" w:pos="1800"/>
              </w:tabs>
              <w:spacing w:after="0" w:line="360" w:lineRule="auto"/>
              <w:ind w:right="95"/>
              <w:jc w:val="center"/>
              <w:rPr>
                <w:rFonts w:ascii="Arial" w:hAnsi="Arial" w:cs="Arial"/>
                <w:sz w:val="24"/>
                <w:szCs w:val="24"/>
              </w:rPr>
            </w:pPr>
            <w:r>
              <w:rPr>
                <w:rFonts w:ascii="Arial" w:hAnsi="Arial" w:cs="Arial"/>
                <w:sz w:val="24"/>
                <w:szCs w:val="24"/>
              </w:rPr>
              <w:t>Windhoek</w:t>
            </w:r>
          </w:p>
        </w:tc>
        <w:tc>
          <w:tcPr>
            <w:tcW w:w="5139" w:type="dxa"/>
            <w:gridSpan w:val="2"/>
          </w:tcPr>
          <w:p w:rsidR="00950676" w:rsidRDefault="008B72B3" w:rsidP="0044298F">
            <w:pPr>
              <w:spacing w:after="0" w:line="360" w:lineRule="auto"/>
              <w:ind w:right="95"/>
              <w:jc w:val="center"/>
              <w:rPr>
                <w:rFonts w:ascii="Arial" w:hAnsi="Arial" w:cs="Arial"/>
                <w:sz w:val="24"/>
                <w:szCs w:val="24"/>
              </w:rPr>
            </w:pPr>
            <w:r>
              <w:rPr>
                <w:rFonts w:ascii="Arial" w:hAnsi="Arial" w:cs="Arial"/>
                <w:sz w:val="24"/>
                <w:szCs w:val="24"/>
              </w:rPr>
              <w:t>K Morland</w:t>
            </w:r>
          </w:p>
          <w:p w:rsidR="008B72B3" w:rsidRDefault="008B72B3" w:rsidP="0044298F">
            <w:pPr>
              <w:spacing w:after="0" w:line="360" w:lineRule="auto"/>
              <w:ind w:right="95"/>
              <w:jc w:val="center"/>
              <w:rPr>
                <w:rFonts w:ascii="Arial" w:hAnsi="Arial" w:cs="Arial"/>
                <w:sz w:val="24"/>
                <w:szCs w:val="24"/>
              </w:rPr>
            </w:pPr>
            <w:r>
              <w:rPr>
                <w:rFonts w:ascii="Arial" w:hAnsi="Arial" w:cs="Arial"/>
                <w:sz w:val="24"/>
                <w:szCs w:val="24"/>
              </w:rPr>
              <w:t xml:space="preserve">Of </w:t>
            </w:r>
          </w:p>
          <w:p w:rsidR="008B72B3" w:rsidRDefault="008B72B3" w:rsidP="0044298F">
            <w:pPr>
              <w:spacing w:after="0" w:line="360" w:lineRule="auto"/>
              <w:ind w:right="95"/>
              <w:jc w:val="center"/>
              <w:rPr>
                <w:rFonts w:ascii="Arial" w:hAnsi="Arial" w:cs="Arial"/>
                <w:sz w:val="24"/>
                <w:szCs w:val="24"/>
              </w:rPr>
            </w:pPr>
            <w:r w:rsidRPr="008B72B3">
              <w:rPr>
                <w:rFonts w:ascii="Arial" w:hAnsi="Arial" w:cs="Arial"/>
                <w:sz w:val="24"/>
                <w:szCs w:val="24"/>
              </w:rPr>
              <w:t>Michelle Saaiman Incorporated</w:t>
            </w:r>
          </w:p>
          <w:p w:rsidR="008B72B3" w:rsidRPr="00917016" w:rsidRDefault="008B72B3" w:rsidP="0044298F">
            <w:pPr>
              <w:spacing w:after="0" w:line="360" w:lineRule="auto"/>
              <w:ind w:right="95"/>
              <w:jc w:val="center"/>
              <w:rPr>
                <w:rFonts w:ascii="Arial" w:hAnsi="Arial" w:cs="Arial"/>
                <w:sz w:val="24"/>
                <w:szCs w:val="24"/>
              </w:rPr>
            </w:pPr>
            <w:r>
              <w:rPr>
                <w:rFonts w:ascii="Arial" w:hAnsi="Arial" w:cs="Arial"/>
                <w:sz w:val="24"/>
                <w:szCs w:val="24"/>
              </w:rPr>
              <w:t>Windhoek</w:t>
            </w:r>
          </w:p>
        </w:tc>
      </w:tr>
    </w:tbl>
    <w:p w:rsidR="00627FDD" w:rsidRPr="00917016" w:rsidRDefault="00DE7E65" w:rsidP="0044298F">
      <w:pPr>
        <w:ind w:right="95"/>
        <w:rPr>
          <w:rFonts w:ascii="Arial" w:hAnsi="Arial" w:cs="Arial"/>
          <w:sz w:val="24"/>
          <w:szCs w:val="24"/>
        </w:rPr>
      </w:pPr>
    </w:p>
    <w:sectPr w:rsidR="00627FDD" w:rsidRPr="00917016" w:rsidSect="003D0BA1">
      <w:headerReference w:type="default" r:id="rId11"/>
      <w:footerReference w:type="default" r:id="rId12"/>
      <w:pgSz w:w="11906" w:h="16838"/>
      <w:pgMar w:top="1080" w:right="1440" w:bottom="1134"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E65" w:rsidRDefault="00DE7E65">
      <w:pPr>
        <w:spacing w:after="0" w:line="240" w:lineRule="auto"/>
      </w:pPr>
      <w:r>
        <w:separator/>
      </w:r>
    </w:p>
  </w:endnote>
  <w:endnote w:type="continuationSeparator" w:id="0">
    <w:p w:rsidR="00DE7E65" w:rsidRDefault="00DE7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8D" w:rsidRDefault="00DE7E65">
    <w:pPr>
      <w:pStyle w:val="Footer"/>
      <w:jc w:val="right"/>
    </w:pPr>
  </w:p>
  <w:p w:rsidR="00536B8D" w:rsidRDefault="00B32997" w:rsidP="00B32997">
    <w:pPr>
      <w:pStyle w:val="Footer"/>
      <w:tabs>
        <w:tab w:val="left" w:pos="6555"/>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E65" w:rsidRDefault="00DE7E65">
      <w:pPr>
        <w:spacing w:after="0" w:line="240" w:lineRule="auto"/>
      </w:pPr>
      <w:r>
        <w:separator/>
      </w:r>
    </w:p>
  </w:footnote>
  <w:footnote w:type="continuationSeparator" w:id="0">
    <w:p w:rsidR="00DE7E65" w:rsidRDefault="00DE7E65">
      <w:pPr>
        <w:spacing w:after="0" w:line="240" w:lineRule="auto"/>
      </w:pPr>
      <w:r>
        <w:continuationSeparator/>
      </w:r>
    </w:p>
  </w:footnote>
  <w:footnote w:id="1">
    <w:p w:rsidR="00C90A2C" w:rsidRPr="00C90A2C" w:rsidRDefault="00C90A2C">
      <w:pPr>
        <w:pStyle w:val="FootnoteText"/>
        <w:rPr>
          <w:lang w:val="en-US"/>
        </w:rPr>
      </w:pPr>
      <w:r>
        <w:rPr>
          <w:rStyle w:val="FootnoteReference"/>
        </w:rPr>
        <w:footnoteRef/>
      </w:r>
      <w:r>
        <w:t xml:space="preserve"> </w:t>
      </w:r>
      <w:r w:rsidRPr="00C90A2C">
        <w:rPr>
          <w:rFonts w:ascii="Arial" w:hAnsi="Arial" w:cs="Arial"/>
          <w:lang w:val="af-ZA"/>
        </w:rPr>
        <w:t>13 of 1977.</w:t>
      </w:r>
    </w:p>
  </w:footnote>
  <w:footnote w:id="2">
    <w:p w:rsidR="004F4238" w:rsidRPr="0078716A" w:rsidRDefault="004F4238">
      <w:pPr>
        <w:pStyle w:val="FootnoteText"/>
        <w:rPr>
          <w:rFonts w:ascii="Arial" w:hAnsi="Arial" w:cs="Arial"/>
        </w:rPr>
      </w:pPr>
      <w:r w:rsidRPr="0078716A">
        <w:rPr>
          <w:rStyle w:val="FootnoteReference"/>
          <w:rFonts w:ascii="Arial" w:hAnsi="Arial" w:cs="Arial"/>
        </w:rPr>
        <w:footnoteRef/>
      </w:r>
      <w:r w:rsidRPr="0078716A">
        <w:rPr>
          <w:rFonts w:ascii="Arial" w:hAnsi="Arial" w:cs="Arial"/>
        </w:rPr>
        <w:t xml:space="preserve"> LexisNexis, Durban 1998, at page 5-4</w:t>
      </w:r>
      <w:r w:rsidR="0078716A" w:rsidRPr="0078716A">
        <w:rPr>
          <w:rFonts w:ascii="Arial" w:hAnsi="Arial" w:cs="Arial"/>
        </w:rPr>
        <w:t>.</w:t>
      </w:r>
    </w:p>
  </w:footnote>
  <w:footnote w:id="3">
    <w:p w:rsidR="00C751C0" w:rsidRPr="00C751C0" w:rsidRDefault="00C751C0">
      <w:pPr>
        <w:pStyle w:val="FootnoteText"/>
        <w:rPr>
          <w:rFonts w:ascii="Arial" w:hAnsi="Arial" w:cs="Arial"/>
          <w:lang w:val="en-US"/>
        </w:rPr>
      </w:pPr>
      <w:r w:rsidRPr="00C751C0">
        <w:rPr>
          <w:rStyle w:val="FootnoteReference"/>
          <w:rFonts w:ascii="Arial" w:hAnsi="Arial" w:cs="Arial"/>
        </w:rPr>
        <w:footnoteRef/>
      </w:r>
      <w:r w:rsidRPr="00C751C0">
        <w:rPr>
          <w:rFonts w:ascii="Arial" w:hAnsi="Arial" w:cs="Arial"/>
        </w:rPr>
        <w:t xml:space="preserve"> </w:t>
      </w:r>
      <w:r w:rsidRPr="00C751C0">
        <w:rPr>
          <w:rFonts w:ascii="Arial" w:hAnsi="Arial" w:cs="Arial"/>
          <w:lang w:val="af-ZA"/>
        </w:rPr>
        <w:t>15 of 1993.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noProof/>
      </w:rPr>
    </w:sdtEndPr>
    <w:sdtContent>
      <w:p w:rsidR="00536B8D" w:rsidRDefault="007E39A5">
        <w:pPr>
          <w:pStyle w:val="Header"/>
          <w:jc w:val="right"/>
        </w:pPr>
        <w:r>
          <w:fldChar w:fldCharType="begin"/>
        </w:r>
        <w:r>
          <w:instrText xml:space="preserve"> PAGE   \* MERGEFORMAT </w:instrText>
        </w:r>
        <w:r>
          <w:fldChar w:fldCharType="separate"/>
        </w:r>
        <w:r w:rsidR="00DB5EBD">
          <w:rPr>
            <w:noProof/>
          </w:rPr>
          <w:t>2</w:t>
        </w:r>
        <w:r>
          <w:rPr>
            <w:noProof/>
          </w:rPr>
          <w:fldChar w:fldCharType="end"/>
        </w:r>
      </w:p>
    </w:sdtContent>
  </w:sdt>
  <w:p w:rsidR="00536B8D" w:rsidRDefault="00DE7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2719"/>
    <w:multiLevelType w:val="hybridMultilevel"/>
    <w:tmpl w:val="7164A29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764517"/>
    <w:multiLevelType w:val="hybridMultilevel"/>
    <w:tmpl w:val="69E604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C00B2"/>
    <w:multiLevelType w:val="hybridMultilevel"/>
    <w:tmpl w:val="AA12E7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260ADD"/>
    <w:multiLevelType w:val="hybridMultilevel"/>
    <w:tmpl w:val="73C0EB24"/>
    <w:lvl w:ilvl="0" w:tplc="4CBE7978">
      <w:start w:val="8"/>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77D69E1"/>
    <w:multiLevelType w:val="hybridMultilevel"/>
    <w:tmpl w:val="A14C9046"/>
    <w:lvl w:ilvl="0" w:tplc="54F498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62120D7"/>
    <w:multiLevelType w:val="hybridMultilevel"/>
    <w:tmpl w:val="29A8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74175"/>
    <w:multiLevelType w:val="hybridMultilevel"/>
    <w:tmpl w:val="B6A68D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18393B"/>
    <w:multiLevelType w:val="hybridMultilevel"/>
    <w:tmpl w:val="7B4483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C61CF"/>
    <w:multiLevelType w:val="hybridMultilevel"/>
    <w:tmpl w:val="ED56AABE"/>
    <w:lvl w:ilvl="0" w:tplc="FBB2A66C">
      <w:start w:val="1"/>
      <w:numFmt w:val="lowerLetter"/>
      <w:lvlText w:val="(%1)"/>
      <w:lvlJc w:val="left"/>
      <w:pPr>
        <w:ind w:left="960" w:hanging="60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95B2FCD"/>
    <w:multiLevelType w:val="hybridMultilevel"/>
    <w:tmpl w:val="169EEC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2E231B"/>
    <w:multiLevelType w:val="hybridMultilevel"/>
    <w:tmpl w:val="E604A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6C610E"/>
    <w:multiLevelType w:val="hybridMultilevel"/>
    <w:tmpl w:val="9B629368"/>
    <w:lvl w:ilvl="0" w:tplc="365A9B5C">
      <w:start w:val="8"/>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DF64C36"/>
    <w:multiLevelType w:val="hybridMultilevel"/>
    <w:tmpl w:val="AA12E7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707DEE"/>
    <w:multiLevelType w:val="hybridMultilevel"/>
    <w:tmpl w:val="50B22E72"/>
    <w:lvl w:ilvl="0" w:tplc="9F20FAC8">
      <w:start w:val="8"/>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38341FB"/>
    <w:multiLevelType w:val="hybridMultilevel"/>
    <w:tmpl w:val="AA12E7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1357DF"/>
    <w:multiLevelType w:val="hybridMultilevel"/>
    <w:tmpl w:val="0428BBC4"/>
    <w:lvl w:ilvl="0" w:tplc="C81C51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15"/>
  </w:num>
  <w:num w:numId="5">
    <w:abstractNumId w:val="13"/>
  </w:num>
  <w:num w:numId="6">
    <w:abstractNumId w:val="3"/>
  </w:num>
  <w:num w:numId="7">
    <w:abstractNumId w:val="11"/>
  </w:num>
  <w:num w:numId="8">
    <w:abstractNumId w:val="2"/>
  </w:num>
  <w:num w:numId="9">
    <w:abstractNumId w:val="12"/>
  </w:num>
  <w:num w:numId="10">
    <w:abstractNumId w:val="14"/>
  </w:num>
  <w:num w:numId="11">
    <w:abstractNumId w:val="10"/>
  </w:num>
  <w:num w:numId="12">
    <w:abstractNumId w:val="5"/>
  </w:num>
  <w:num w:numId="13">
    <w:abstractNumId w:val="7"/>
  </w:num>
  <w:num w:numId="14">
    <w:abstractNumId w:val="6"/>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76"/>
    <w:rsid w:val="00022CA7"/>
    <w:rsid w:val="000307FD"/>
    <w:rsid w:val="0008523C"/>
    <w:rsid w:val="00092CB2"/>
    <w:rsid w:val="000934EC"/>
    <w:rsid w:val="000C32BA"/>
    <w:rsid w:val="000D4AF7"/>
    <w:rsid w:val="000F2E52"/>
    <w:rsid w:val="001024C1"/>
    <w:rsid w:val="0013534D"/>
    <w:rsid w:val="00136FA0"/>
    <w:rsid w:val="00144E2A"/>
    <w:rsid w:val="00145F7E"/>
    <w:rsid w:val="00152579"/>
    <w:rsid w:val="00162748"/>
    <w:rsid w:val="00164F37"/>
    <w:rsid w:val="00182236"/>
    <w:rsid w:val="00190BB3"/>
    <w:rsid w:val="00195714"/>
    <w:rsid w:val="00197241"/>
    <w:rsid w:val="001A2964"/>
    <w:rsid w:val="001A2A1D"/>
    <w:rsid w:val="001A2C5D"/>
    <w:rsid w:val="001D09AA"/>
    <w:rsid w:val="001F0ADA"/>
    <w:rsid w:val="001F5565"/>
    <w:rsid w:val="00201184"/>
    <w:rsid w:val="0020319D"/>
    <w:rsid w:val="00240D15"/>
    <w:rsid w:val="00260788"/>
    <w:rsid w:val="00272EE2"/>
    <w:rsid w:val="00283C38"/>
    <w:rsid w:val="00294086"/>
    <w:rsid w:val="002B34FE"/>
    <w:rsid w:val="002B3847"/>
    <w:rsid w:val="002C32C0"/>
    <w:rsid w:val="002D1A8C"/>
    <w:rsid w:val="002E76C8"/>
    <w:rsid w:val="002F0DC6"/>
    <w:rsid w:val="00313CE2"/>
    <w:rsid w:val="003403CF"/>
    <w:rsid w:val="00341DE7"/>
    <w:rsid w:val="00343FC9"/>
    <w:rsid w:val="00354864"/>
    <w:rsid w:val="00356FA2"/>
    <w:rsid w:val="0036298C"/>
    <w:rsid w:val="00396E53"/>
    <w:rsid w:val="003B099C"/>
    <w:rsid w:val="003D0BA1"/>
    <w:rsid w:val="003D7B15"/>
    <w:rsid w:val="003E1CD0"/>
    <w:rsid w:val="003F2084"/>
    <w:rsid w:val="00425298"/>
    <w:rsid w:val="0044298F"/>
    <w:rsid w:val="00445901"/>
    <w:rsid w:val="00476C95"/>
    <w:rsid w:val="00484CAA"/>
    <w:rsid w:val="004853CF"/>
    <w:rsid w:val="004865BC"/>
    <w:rsid w:val="00490A3E"/>
    <w:rsid w:val="0049360C"/>
    <w:rsid w:val="004B35D6"/>
    <w:rsid w:val="004F4238"/>
    <w:rsid w:val="005330BF"/>
    <w:rsid w:val="00566D6F"/>
    <w:rsid w:val="00583191"/>
    <w:rsid w:val="00590CB3"/>
    <w:rsid w:val="005912D1"/>
    <w:rsid w:val="005B30C1"/>
    <w:rsid w:val="005B5600"/>
    <w:rsid w:val="005D433F"/>
    <w:rsid w:val="005F5509"/>
    <w:rsid w:val="00602C77"/>
    <w:rsid w:val="006058E1"/>
    <w:rsid w:val="00622D33"/>
    <w:rsid w:val="00631338"/>
    <w:rsid w:val="006422DA"/>
    <w:rsid w:val="00643641"/>
    <w:rsid w:val="006719E5"/>
    <w:rsid w:val="0067497C"/>
    <w:rsid w:val="006814EA"/>
    <w:rsid w:val="0069574E"/>
    <w:rsid w:val="00697988"/>
    <w:rsid w:val="006B37C1"/>
    <w:rsid w:val="006B4B2C"/>
    <w:rsid w:val="006B7A53"/>
    <w:rsid w:val="006D68AE"/>
    <w:rsid w:val="006E1C56"/>
    <w:rsid w:val="006F4541"/>
    <w:rsid w:val="006F4E02"/>
    <w:rsid w:val="00714A1C"/>
    <w:rsid w:val="007311FC"/>
    <w:rsid w:val="007336CF"/>
    <w:rsid w:val="00741741"/>
    <w:rsid w:val="007420C6"/>
    <w:rsid w:val="00752467"/>
    <w:rsid w:val="00761D89"/>
    <w:rsid w:val="00771BBE"/>
    <w:rsid w:val="0078716A"/>
    <w:rsid w:val="007A0BFB"/>
    <w:rsid w:val="007B0F64"/>
    <w:rsid w:val="007E39A5"/>
    <w:rsid w:val="007E5EBF"/>
    <w:rsid w:val="007E7FC6"/>
    <w:rsid w:val="0080236E"/>
    <w:rsid w:val="0084585F"/>
    <w:rsid w:val="008524DB"/>
    <w:rsid w:val="008834B5"/>
    <w:rsid w:val="008A611E"/>
    <w:rsid w:val="008A7EF2"/>
    <w:rsid w:val="008B0F26"/>
    <w:rsid w:val="008B1563"/>
    <w:rsid w:val="008B2F23"/>
    <w:rsid w:val="008B3556"/>
    <w:rsid w:val="008B72B3"/>
    <w:rsid w:val="008E1BDB"/>
    <w:rsid w:val="008E6D0A"/>
    <w:rsid w:val="00911788"/>
    <w:rsid w:val="00917016"/>
    <w:rsid w:val="00924050"/>
    <w:rsid w:val="00931FFE"/>
    <w:rsid w:val="00945D60"/>
    <w:rsid w:val="00950676"/>
    <w:rsid w:val="0097088C"/>
    <w:rsid w:val="0098758C"/>
    <w:rsid w:val="009B0213"/>
    <w:rsid w:val="009B675D"/>
    <w:rsid w:val="009C41F5"/>
    <w:rsid w:val="009F3BC1"/>
    <w:rsid w:val="00A068CF"/>
    <w:rsid w:val="00A41781"/>
    <w:rsid w:val="00A42ADF"/>
    <w:rsid w:val="00A57893"/>
    <w:rsid w:val="00AA11C6"/>
    <w:rsid w:val="00AE69ED"/>
    <w:rsid w:val="00AE79A4"/>
    <w:rsid w:val="00B21E34"/>
    <w:rsid w:val="00B32997"/>
    <w:rsid w:val="00B41109"/>
    <w:rsid w:val="00B507CC"/>
    <w:rsid w:val="00B55B1F"/>
    <w:rsid w:val="00B6047C"/>
    <w:rsid w:val="00B707AE"/>
    <w:rsid w:val="00BA62B0"/>
    <w:rsid w:val="00BC6760"/>
    <w:rsid w:val="00BF569E"/>
    <w:rsid w:val="00BF724C"/>
    <w:rsid w:val="00C44DB7"/>
    <w:rsid w:val="00C62860"/>
    <w:rsid w:val="00C73FE1"/>
    <w:rsid w:val="00C751C0"/>
    <w:rsid w:val="00C90A2C"/>
    <w:rsid w:val="00CA219B"/>
    <w:rsid w:val="00CB173D"/>
    <w:rsid w:val="00CB2DD6"/>
    <w:rsid w:val="00CC23FE"/>
    <w:rsid w:val="00CC43C7"/>
    <w:rsid w:val="00CC59C6"/>
    <w:rsid w:val="00CD4F6E"/>
    <w:rsid w:val="00D175BC"/>
    <w:rsid w:val="00D475EB"/>
    <w:rsid w:val="00D5088E"/>
    <w:rsid w:val="00D5607F"/>
    <w:rsid w:val="00D71526"/>
    <w:rsid w:val="00D83688"/>
    <w:rsid w:val="00D873C4"/>
    <w:rsid w:val="00D92FF3"/>
    <w:rsid w:val="00DA1B7C"/>
    <w:rsid w:val="00DB1034"/>
    <w:rsid w:val="00DB40E9"/>
    <w:rsid w:val="00DB5EBD"/>
    <w:rsid w:val="00DC0ED4"/>
    <w:rsid w:val="00DC6EEA"/>
    <w:rsid w:val="00DD6F6B"/>
    <w:rsid w:val="00DE7E65"/>
    <w:rsid w:val="00E00AB4"/>
    <w:rsid w:val="00E01384"/>
    <w:rsid w:val="00E05F5D"/>
    <w:rsid w:val="00E103CC"/>
    <w:rsid w:val="00E1463D"/>
    <w:rsid w:val="00E156FB"/>
    <w:rsid w:val="00E17A14"/>
    <w:rsid w:val="00E27463"/>
    <w:rsid w:val="00E56270"/>
    <w:rsid w:val="00E70295"/>
    <w:rsid w:val="00E8648C"/>
    <w:rsid w:val="00ED21B5"/>
    <w:rsid w:val="00EF0F06"/>
    <w:rsid w:val="00EF3220"/>
    <w:rsid w:val="00F921C2"/>
    <w:rsid w:val="00F93E0E"/>
    <w:rsid w:val="00FB001E"/>
    <w:rsid w:val="00FB09C0"/>
    <w:rsid w:val="00FB1202"/>
    <w:rsid w:val="00FC137A"/>
    <w:rsid w:val="00FC36A6"/>
    <w:rsid w:val="00FD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90FB18-887C-4C32-93F9-831B572E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676"/>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67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50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676"/>
    <w:rPr>
      <w:lang w:val="en-ZA"/>
    </w:rPr>
  </w:style>
  <w:style w:type="paragraph" w:customStyle="1" w:styleId="form-control-static">
    <w:name w:val="form-control-static"/>
    <w:basedOn w:val="Normal"/>
    <w:rsid w:val="0095067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50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676"/>
    <w:rPr>
      <w:lang w:val="en-ZA"/>
    </w:rPr>
  </w:style>
  <w:style w:type="paragraph" w:styleId="NoSpacing">
    <w:name w:val="No Spacing"/>
    <w:uiPriority w:val="1"/>
    <w:qFormat/>
    <w:rsid w:val="00950676"/>
    <w:pPr>
      <w:spacing w:after="0" w:line="240" w:lineRule="auto"/>
    </w:pPr>
    <w:rPr>
      <w:rFonts w:ascii="Calibri" w:eastAsia="Calibri" w:hAnsi="Calibri" w:cs="Calibri"/>
      <w:color w:val="000000"/>
      <w:lang w:val="en-ZA" w:eastAsia="en-ZA"/>
    </w:rPr>
  </w:style>
  <w:style w:type="paragraph" w:styleId="BalloonText">
    <w:name w:val="Balloon Text"/>
    <w:basedOn w:val="Normal"/>
    <w:link w:val="BalloonTextChar"/>
    <w:uiPriority w:val="99"/>
    <w:semiHidden/>
    <w:unhideWhenUsed/>
    <w:rsid w:val="003D0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A1"/>
    <w:rPr>
      <w:rFonts w:ascii="Tahoma" w:hAnsi="Tahoma" w:cs="Tahoma"/>
      <w:sz w:val="16"/>
      <w:szCs w:val="16"/>
      <w:lang w:val="en-ZA"/>
    </w:rPr>
  </w:style>
  <w:style w:type="character" w:styleId="Strong">
    <w:name w:val="Strong"/>
    <w:basedOn w:val="DefaultParagraphFont"/>
    <w:uiPriority w:val="22"/>
    <w:qFormat/>
    <w:rsid w:val="0098758C"/>
    <w:rPr>
      <w:b/>
      <w:bCs/>
    </w:rPr>
  </w:style>
  <w:style w:type="paragraph" w:styleId="NormalWeb">
    <w:name w:val="Normal (Web)"/>
    <w:basedOn w:val="Normal"/>
    <w:uiPriority w:val="99"/>
    <w:semiHidden/>
    <w:unhideWhenUsed/>
    <w:rsid w:val="00E8648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E8648C"/>
    <w:rPr>
      <w:color w:val="0000FF"/>
      <w:u w:val="single"/>
    </w:rPr>
  </w:style>
  <w:style w:type="paragraph" w:styleId="FootnoteText">
    <w:name w:val="footnote text"/>
    <w:basedOn w:val="Normal"/>
    <w:link w:val="FootnoteTextChar"/>
    <w:uiPriority w:val="99"/>
    <w:semiHidden/>
    <w:unhideWhenUsed/>
    <w:rsid w:val="00E864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648C"/>
    <w:rPr>
      <w:sz w:val="20"/>
      <w:szCs w:val="20"/>
      <w:lang w:val="en-ZA"/>
    </w:rPr>
  </w:style>
  <w:style w:type="character" w:styleId="FootnoteReference">
    <w:name w:val="footnote reference"/>
    <w:basedOn w:val="DefaultParagraphFont"/>
    <w:uiPriority w:val="99"/>
    <w:semiHidden/>
    <w:unhideWhenUsed/>
    <w:rsid w:val="00E8648C"/>
    <w:rPr>
      <w:vertAlign w:val="superscript"/>
    </w:rPr>
  </w:style>
  <w:style w:type="paragraph" w:styleId="ListParagraph">
    <w:name w:val="List Paragraph"/>
    <w:basedOn w:val="Normal"/>
    <w:uiPriority w:val="34"/>
    <w:qFormat/>
    <w:rsid w:val="00343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50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2021-03-07T18:30:00+00:00</Judgment_x0020_Date>
    <Year xmlns="c1afb1bd-f2fb-40fd-9abb-aea55b4d7662">2021</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796A3-9171-4607-94BD-ECF47C679AC0}">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B7177DA0-B2D5-49BB-8424-CC11EEFB9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15D1DF-82B4-410C-8A35-F3259068D5E1}">
  <ds:schemaRefs>
    <ds:schemaRef ds:uri="http://schemas.microsoft.com/sharepoint/v3/contenttype/forms"/>
  </ds:schemaRefs>
</ds:datastoreItem>
</file>

<file path=customXml/itemProps4.xml><?xml version="1.0" encoding="utf-8"?>
<ds:datastoreItem xmlns:ds="http://schemas.openxmlformats.org/officeDocument/2006/customXml" ds:itemID="{D5BBC8D4-148B-4748-B8E7-89B8965D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2330</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Transnamib Holdings Limited v Institute of Management Science CC (HC-MD-CIV-ACT-CON-2020/04267) [2021] NAHCMD 101 (8 March 2021)</vt:lpstr>
    </vt:vector>
  </TitlesOfParts>
  <Company/>
  <LinksUpToDate>false</LinksUpToDate>
  <CharactersWithSpaces>15586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Transnamib Holdings Limited v Institute of Management Science CC (HC-MD-CIV-ACT-CON-2020/04267) [2021] NAHCMD 101 (8 March 2021)</dc:title>
  <dc:creator>Priscilla Nande</dc:creator>
  <cp:lastModifiedBy>HOME</cp:lastModifiedBy>
  <cp:revision>2</cp:revision>
  <cp:lastPrinted>2019-11-18T13:57:00Z</cp:lastPrinted>
  <dcterms:created xsi:type="dcterms:W3CDTF">2021-07-12T11:23:00Z</dcterms:created>
  <dcterms:modified xsi:type="dcterms:W3CDTF">2021-07-12T11:23:00Z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