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17" w:rsidRPr="006E026B" w:rsidRDefault="000E5B17" w:rsidP="000E5B17">
      <w:pPr>
        <w:spacing w:after="0" w:line="360" w:lineRule="auto"/>
        <w:jc w:val="center"/>
        <w:rPr>
          <w:rFonts w:ascii="Arial" w:hAnsi="Arial" w:cs="Arial"/>
          <w:b/>
          <w:sz w:val="24"/>
          <w:szCs w:val="24"/>
        </w:rPr>
      </w:pPr>
      <w:bookmarkStart w:id="0" w:name="_GoBack"/>
      <w:bookmarkEnd w:id="0"/>
      <w:r w:rsidRPr="006E026B">
        <w:rPr>
          <w:rFonts w:ascii="Arial" w:hAnsi="Arial" w:cs="Arial"/>
          <w:b/>
          <w:sz w:val="24"/>
          <w:szCs w:val="24"/>
        </w:rPr>
        <w:t>REPUBLIC OF NAMIBIA</w:t>
      </w:r>
    </w:p>
    <w:p w:rsidR="000E5B17" w:rsidRDefault="009B341E" w:rsidP="000E5B17">
      <w:pPr>
        <w:spacing w:after="0" w:line="360" w:lineRule="auto"/>
        <w:jc w:val="center"/>
        <w:rPr>
          <w:b/>
          <w:sz w:val="32"/>
          <w:szCs w:val="32"/>
        </w:rPr>
      </w:pPr>
      <w:r w:rsidRPr="000E5B17">
        <w:rPr>
          <w:b/>
          <w:noProof/>
          <w:sz w:val="32"/>
          <w:szCs w:val="32"/>
        </w:rPr>
        <w:drawing>
          <wp:inline distT="0" distB="0" distL="0" distR="0">
            <wp:extent cx="1276350" cy="1323975"/>
            <wp:effectExtent l="0" t="0" r="0" b="9525"/>
            <wp:docPr id="5"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E5B17" w:rsidRPr="006E026B" w:rsidRDefault="000E5B17" w:rsidP="000E5B17">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0E5B17" w:rsidRPr="005C41E7" w:rsidRDefault="000E5B17" w:rsidP="000E5B17">
      <w:pPr>
        <w:spacing w:after="0" w:line="360" w:lineRule="auto"/>
        <w:jc w:val="center"/>
        <w:rPr>
          <w:rFonts w:ascii="Arial" w:hAnsi="Arial" w:cs="Arial"/>
          <w:b/>
          <w:sz w:val="10"/>
          <w:szCs w:val="10"/>
        </w:rPr>
      </w:pPr>
    </w:p>
    <w:p w:rsidR="000E5B17" w:rsidRDefault="000E5B17" w:rsidP="000E5B17">
      <w:pPr>
        <w:spacing w:after="0" w:line="360" w:lineRule="auto"/>
        <w:jc w:val="center"/>
        <w:rPr>
          <w:rFonts w:ascii="Arial" w:hAnsi="Arial" w:cs="Arial"/>
          <w:b/>
          <w:sz w:val="24"/>
          <w:szCs w:val="24"/>
        </w:rPr>
      </w:pPr>
      <w:r>
        <w:rPr>
          <w:rFonts w:ascii="Arial" w:hAnsi="Arial" w:cs="Arial"/>
          <w:b/>
          <w:sz w:val="24"/>
          <w:szCs w:val="24"/>
        </w:rPr>
        <w:t>JUDGMENT</w:t>
      </w:r>
    </w:p>
    <w:p w:rsidR="002D5C30" w:rsidRPr="00B54654" w:rsidRDefault="002D5C30" w:rsidP="002D5C30">
      <w:pPr>
        <w:spacing w:after="0" w:line="360" w:lineRule="auto"/>
        <w:jc w:val="both"/>
        <w:rPr>
          <w:rFonts w:ascii="Arial" w:hAnsi="Arial" w:cs="Arial"/>
          <w:sz w:val="16"/>
          <w:szCs w:val="16"/>
        </w:rPr>
      </w:pPr>
    </w:p>
    <w:p w:rsidR="001B7E1F" w:rsidRPr="00B54654" w:rsidRDefault="001B7E1F" w:rsidP="001B7E1F">
      <w:pPr>
        <w:tabs>
          <w:tab w:val="right" w:pos="9000"/>
        </w:tabs>
        <w:spacing w:after="0" w:line="360" w:lineRule="auto"/>
        <w:jc w:val="center"/>
        <w:rPr>
          <w:rFonts w:ascii="Arial" w:hAnsi="Arial" w:cs="Arial"/>
          <w:b/>
          <w:sz w:val="24"/>
          <w:szCs w:val="24"/>
        </w:rPr>
      </w:pPr>
      <w:r w:rsidRPr="00B54654">
        <w:rPr>
          <w:rFonts w:ascii="Arial" w:hAnsi="Arial" w:cs="Arial"/>
          <w:b/>
          <w:sz w:val="24"/>
          <w:szCs w:val="24"/>
        </w:rPr>
        <w:tab/>
      </w:r>
      <w:r w:rsidR="00EA7AEF" w:rsidRPr="00B54654">
        <w:rPr>
          <w:rFonts w:ascii="Arial" w:hAnsi="Arial" w:cs="Arial"/>
          <w:sz w:val="24"/>
          <w:szCs w:val="24"/>
        </w:rPr>
        <w:t>Case N</w:t>
      </w:r>
      <w:r w:rsidR="00B54654">
        <w:rPr>
          <w:rFonts w:ascii="Arial" w:hAnsi="Arial" w:cs="Arial"/>
          <w:sz w:val="24"/>
          <w:szCs w:val="24"/>
        </w:rPr>
        <w:t>o</w:t>
      </w:r>
      <w:r w:rsidR="00B54654" w:rsidRPr="00B54654">
        <w:rPr>
          <w:rFonts w:ascii="Arial" w:hAnsi="Arial" w:cs="Arial"/>
          <w:sz w:val="24"/>
          <w:szCs w:val="24"/>
        </w:rPr>
        <w:t>: HC-MD-CIV-MOT-REV-2017/00135</w:t>
      </w:r>
    </w:p>
    <w:p w:rsidR="001B7E1F" w:rsidRPr="00B54654" w:rsidRDefault="001B7E1F" w:rsidP="001B7E1F">
      <w:pPr>
        <w:spacing w:after="0" w:line="360" w:lineRule="auto"/>
        <w:rPr>
          <w:rFonts w:ascii="Arial" w:hAnsi="Arial" w:cs="Arial"/>
          <w:sz w:val="24"/>
          <w:szCs w:val="24"/>
        </w:rPr>
      </w:pPr>
    </w:p>
    <w:p w:rsidR="001B7E1F" w:rsidRPr="00B54654" w:rsidRDefault="001B7E1F" w:rsidP="008E45DF">
      <w:pPr>
        <w:spacing w:after="0" w:line="360" w:lineRule="auto"/>
        <w:jc w:val="both"/>
        <w:rPr>
          <w:rFonts w:ascii="Arial" w:hAnsi="Arial" w:cs="Arial"/>
          <w:sz w:val="24"/>
          <w:szCs w:val="24"/>
        </w:rPr>
      </w:pPr>
      <w:r w:rsidRPr="00B54654">
        <w:rPr>
          <w:rFonts w:ascii="Arial" w:hAnsi="Arial" w:cs="Arial"/>
          <w:sz w:val="24"/>
          <w:szCs w:val="24"/>
        </w:rPr>
        <w:t>In the matter between:</w:t>
      </w:r>
    </w:p>
    <w:p w:rsidR="00F35AD4" w:rsidRPr="00B54654" w:rsidRDefault="00F35AD4" w:rsidP="008E45DF">
      <w:pPr>
        <w:spacing w:after="0" w:line="360" w:lineRule="auto"/>
        <w:jc w:val="both"/>
        <w:rPr>
          <w:rFonts w:ascii="Arial" w:hAnsi="Arial" w:cs="Arial"/>
          <w:sz w:val="24"/>
          <w:szCs w:val="24"/>
        </w:rPr>
      </w:pPr>
    </w:p>
    <w:p w:rsidR="0008184B" w:rsidRPr="00B54654" w:rsidRDefault="00B54654" w:rsidP="00103837">
      <w:pPr>
        <w:tabs>
          <w:tab w:val="right" w:pos="9000"/>
        </w:tabs>
        <w:spacing w:after="0" w:line="240" w:lineRule="auto"/>
        <w:jc w:val="both"/>
        <w:rPr>
          <w:rFonts w:ascii="Arial" w:hAnsi="Arial" w:cs="Arial"/>
          <w:b/>
          <w:sz w:val="24"/>
          <w:szCs w:val="24"/>
        </w:rPr>
      </w:pPr>
      <w:r>
        <w:rPr>
          <w:rFonts w:ascii="Arial" w:hAnsi="Arial" w:cs="Arial"/>
          <w:b/>
          <w:sz w:val="24"/>
          <w:szCs w:val="24"/>
        </w:rPr>
        <w:t xml:space="preserve">CONSOLIDATED POWER PROJECTS </w:t>
      </w:r>
      <w:r w:rsidR="00EA7AEF" w:rsidRPr="00B54654">
        <w:rPr>
          <w:rFonts w:ascii="Arial" w:hAnsi="Arial" w:cs="Arial"/>
          <w:b/>
          <w:sz w:val="24"/>
          <w:szCs w:val="24"/>
        </w:rPr>
        <w:t>NAMIBIA (PTY) LTD</w:t>
      </w:r>
      <w:r w:rsidR="0008184B" w:rsidRPr="00B54654">
        <w:rPr>
          <w:rFonts w:ascii="Arial" w:hAnsi="Arial" w:cs="Arial"/>
          <w:b/>
          <w:sz w:val="24"/>
          <w:szCs w:val="24"/>
          <w:lang w:val="en-GB"/>
        </w:rPr>
        <w:tab/>
      </w:r>
      <w:r w:rsidRPr="00B54654">
        <w:rPr>
          <w:rFonts w:ascii="Arial" w:hAnsi="Arial" w:cs="Arial"/>
          <w:b/>
          <w:sz w:val="24"/>
          <w:szCs w:val="24"/>
        </w:rPr>
        <w:t>APPLICANT</w:t>
      </w:r>
    </w:p>
    <w:p w:rsidR="00152F33" w:rsidRPr="00B54654" w:rsidRDefault="00152F33" w:rsidP="008E45DF">
      <w:pPr>
        <w:spacing w:after="0" w:line="360" w:lineRule="auto"/>
        <w:jc w:val="both"/>
        <w:rPr>
          <w:rFonts w:ascii="Arial" w:hAnsi="Arial" w:cs="Arial"/>
          <w:sz w:val="24"/>
          <w:szCs w:val="24"/>
        </w:rPr>
      </w:pPr>
    </w:p>
    <w:p w:rsidR="001B7E1F" w:rsidRPr="00B54654" w:rsidRDefault="00152F33" w:rsidP="008E45DF">
      <w:pPr>
        <w:spacing w:after="0" w:line="360" w:lineRule="auto"/>
        <w:jc w:val="both"/>
        <w:rPr>
          <w:rFonts w:ascii="Arial" w:hAnsi="Arial" w:cs="Arial"/>
          <w:sz w:val="24"/>
          <w:szCs w:val="24"/>
        </w:rPr>
      </w:pPr>
      <w:r w:rsidRPr="00B54654">
        <w:rPr>
          <w:rFonts w:ascii="Arial" w:hAnsi="Arial" w:cs="Arial"/>
          <w:sz w:val="24"/>
          <w:szCs w:val="24"/>
        </w:rPr>
        <w:t>a</w:t>
      </w:r>
      <w:r w:rsidR="001B7E1F" w:rsidRPr="00B54654">
        <w:rPr>
          <w:rFonts w:ascii="Arial" w:hAnsi="Arial" w:cs="Arial"/>
          <w:sz w:val="24"/>
          <w:szCs w:val="24"/>
        </w:rPr>
        <w:t>nd</w:t>
      </w:r>
    </w:p>
    <w:p w:rsidR="00152F33" w:rsidRPr="00B54654" w:rsidRDefault="00152F33" w:rsidP="008E45DF">
      <w:pPr>
        <w:spacing w:after="0" w:line="360" w:lineRule="auto"/>
        <w:jc w:val="both"/>
        <w:rPr>
          <w:rFonts w:ascii="Arial" w:hAnsi="Arial" w:cs="Arial"/>
          <w:sz w:val="24"/>
          <w:szCs w:val="24"/>
        </w:rPr>
      </w:pPr>
    </w:p>
    <w:p w:rsidR="00EA7AEF" w:rsidRPr="00B54654" w:rsidRDefault="00EA7AEF" w:rsidP="00B21D08">
      <w:pPr>
        <w:tabs>
          <w:tab w:val="right" w:pos="9000"/>
        </w:tabs>
        <w:spacing w:after="0" w:line="360" w:lineRule="auto"/>
        <w:jc w:val="both"/>
        <w:rPr>
          <w:rFonts w:ascii="Arial" w:hAnsi="Arial" w:cs="Arial"/>
          <w:b/>
          <w:sz w:val="24"/>
          <w:szCs w:val="24"/>
        </w:rPr>
      </w:pPr>
      <w:r w:rsidRPr="00B54654">
        <w:rPr>
          <w:rFonts w:ascii="Arial" w:hAnsi="Arial" w:cs="Arial"/>
          <w:b/>
          <w:sz w:val="24"/>
          <w:szCs w:val="24"/>
        </w:rPr>
        <w:t xml:space="preserve">NAMIBIA POWER CORPORATION </w:t>
      </w:r>
      <w:r w:rsidRPr="00B54654">
        <w:rPr>
          <w:rFonts w:ascii="Arial" w:hAnsi="Arial" w:cs="Arial"/>
          <w:b/>
          <w:sz w:val="24"/>
          <w:szCs w:val="24"/>
        </w:rPr>
        <w:tab/>
        <w:t xml:space="preserve">FIRST RESPONDENT </w:t>
      </w:r>
    </w:p>
    <w:p w:rsidR="00EA7AEF" w:rsidRPr="00B54654" w:rsidRDefault="00EA7AEF" w:rsidP="00B54654">
      <w:pPr>
        <w:tabs>
          <w:tab w:val="right" w:pos="9000"/>
        </w:tabs>
        <w:spacing w:after="0" w:line="240" w:lineRule="auto"/>
        <w:jc w:val="both"/>
        <w:rPr>
          <w:rFonts w:ascii="Arial" w:hAnsi="Arial" w:cs="Arial"/>
          <w:b/>
          <w:sz w:val="24"/>
          <w:szCs w:val="24"/>
        </w:rPr>
      </w:pPr>
      <w:r w:rsidRPr="00B54654">
        <w:rPr>
          <w:rFonts w:ascii="Arial" w:hAnsi="Arial" w:cs="Arial"/>
          <w:b/>
          <w:sz w:val="24"/>
          <w:szCs w:val="24"/>
        </w:rPr>
        <w:t>CHAIRPERS</w:t>
      </w:r>
      <w:r w:rsidR="00B54654">
        <w:rPr>
          <w:rFonts w:ascii="Arial" w:hAnsi="Arial" w:cs="Arial"/>
          <w:b/>
          <w:sz w:val="24"/>
          <w:szCs w:val="24"/>
        </w:rPr>
        <w:t>ON OF THE BOARD OF DIRECTORS</w:t>
      </w:r>
    </w:p>
    <w:p w:rsidR="00EA7AEF" w:rsidRPr="00B54654" w:rsidRDefault="00EA7AEF" w:rsidP="00B54654">
      <w:pPr>
        <w:tabs>
          <w:tab w:val="right" w:pos="9000"/>
        </w:tabs>
        <w:spacing w:after="0" w:line="360" w:lineRule="auto"/>
        <w:jc w:val="both"/>
        <w:rPr>
          <w:rFonts w:ascii="Arial" w:hAnsi="Arial" w:cs="Arial"/>
          <w:b/>
          <w:sz w:val="24"/>
          <w:szCs w:val="24"/>
        </w:rPr>
      </w:pPr>
      <w:r w:rsidRPr="00B54654">
        <w:rPr>
          <w:rFonts w:ascii="Arial" w:hAnsi="Arial" w:cs="Arial"/>
          <w:b/>
          <w:sz w:val="24"/>
          <w:szCs w:val="24"/>
        </w:rPr>
        <w:t>OF THE NAMIBIA POWER CORPORATION N.O</w:t>
      </w:r>
      <w:r w:rsidR="00B54654">
        <w:rPr>
          <w:rFonts w:ascii="Arial" w:hAnsi="Arial" w:cs="Arial"/>
          <w:b/>
          <w:sz w:val="24"/>
          <w:szCs w:val="24"/>
        </w:rPr>
        <w:tab/>
      </w:r>
      <w:r w:rsidR="00B54654" w:rsidRPr="00B54654">
        <w:rPr>
          <w:rFonts w:ascii="Arial" w:hAnsi="Arial" w:cs="Arial"/>
          <w:b/>
          <w:sz w:val="24"/>
          <w:szCs w:val="24"/>
        </w:rPr>
        <w:t>SECOND RESPONDENT</w:t>
      </w:r>
    </w:p>
    <w:p w:rsidR="00EA7AEF" w:rsidRPr="00B54654" w:rsidRDefault="00EA7AEF" w:rsidP="00B54654">
      <w:pPr>
        <w:tabs>
          <w:tab w:val="right" w:pos="9000"/>
        </w:tabs>
        <w:spacing w:after="0" w:line="240" w:lineRule="auto"/>
        <w:jc w:val="both"/>
        <w:rPr>
          <w:rFonts w:ascii="Arial" w:hAnsi="Arial" w:cs="Arial"/>
          <w:b/>
          <w:sz w:val="24"/>
          <w:szCs w:val="24"/>
        </w:rPr>
      </w:pPr>
      <w:r w:rsidRPr="00B54654">
        <w:rPr>
          <w:rFonts w:ascii="Arial" w:hAnsi="Arial" w:cs="Arial"/>
          <w:b/>
          <w:sz w:val="24"/>
          <w:szCs w:val="24"/>
        </w:rPr>
        <w:t>CHAI</w:t>
      </w:r>
      <w:r w:rsidR="00B54654">
        <w:rPr>
          <w:rFonts w:ascii="Arial" w:hAnsi="Arial" w:cs="Arial"/>
          <w:b/>
          <w:sz w:val="24"/>
          <w:szCs w:val="24"/>
        </w:rPr>
        <w:t>RPERSON OF THE TENDER BOARD OF</w:t>
      </w:r>
    </w:p>
    <w:p w:rsidR="00EA7AEF" w:rsidRPr="00B54654" w:rsidRDefault="00EA7AEF" w:rsidP="00B54654">
      <w:pPr>
        <w:tabs>
          <w:tab w:val="right" w:pos="9000"/>
        </w:tabs>
        <w:spacing w:after="0" w:line="360" w:lineRule="auto"/>
        <w:jc w:val="both"/>
        <w:rPr>
          <w:rFonts w:ascii="Arial" w:hAnsi="Arial" w:cs="Arial"/>
          <w:b/>
          <w:sz w:val="24"/>
          <w:szCs w:val="24"/>
        </w:rPr>
      </w:pPr>
      <w:r w:rsidRPr="00B54654">
        <w:rPr>
          <w:rFonts w:ascii="Arial" w:hAnsi="Arial" w:cs="Arial"/>
          <w:b/>
          <w:sz w:val="24"/>
          <w:szCs w:val="24"/>
        </w:rPr>
        <w:t>NAMIBIA POWER CORPORATION N.O</w:t>
      </w:r>
      <w:r w:rsidR="00B54654">
        <w:rPr>
          <w:rFonts w:ascii="Arial" w:hAnsi="Arial" w:cs="Arial"/>
          <w:b/>
          <w:sz w:val="24"/>
          <w:szCs w:val="24"/>
        </w:rPr>
        <w:tab/>
      </w:r>
      <w:r w:rsidR="00B54654" w:rsidRPr="00B54654">
        <w:rPr>
          <w:rFonts w:ascii="Arial" w:hAnsi="Arial" w:cs="Arial"/>
          <w:b/>
          <w:sz w:val="24"/>
          <w:szCs w:val="24"/>
        </w:rPr>
        <w:t>THIRD RESPONDENT</w:t>
      </w:r>
    </w:p>
    <w:p w:rsidR="00EA7AEF" w:rsidRPr="00B54654" w:rsidRDefault="00B54654" w:rsidP="00B54654">
      <w:pPr>
        <w:tabs>
          <w:tab w:val="right" w:pos="9000"/>
        </w:tabs>
        <w:spacing w:after="0" w:line="240" w:lineRule="auto"/>
        <w:jc w:val="both"/>
        <w:rPr>
          <w:rFonts w:ascii="Arial" w:hAnsi="Arial" w:cs="Arial"/>
          <w:b/>
          <w:sz w:val="24"/>
          <w:szCs w:val="24"/>
        </w:rPr>
      </w:pPr>
      <w:r>
        <w:rPr>
          <w:rFonts w:ascii="Arial" w:hAnsi="Arial" w:cs="Arial"/>
          <w:b/>
          <w:sz w:val="24"/>
          <w:szCs w:val="24"/>
        </w:rPr>
        <w:t>CENTRAL PROCUREMENT BOARD OF</w:t>
      </w:r>
    </w:p>
    <w:p w:rsidR="00EA7AEF" w:rsidRPr="00B54654" w:rsidRDefault="00EA7AEF" w:rsidP="00B54654">
      <w:pPr>
        <w:tabs>
          <w:tab w:val="right" w:pos="9000"/>
        </w:tabs>
        <w:spacing w:after="0" w:line="360" w:lineRule="auto"/>
        <w:jc w:val="both"/>
        <w:rPr>
          <w:rFonts w:ascii="Arial" w:hAnsi="Arial" w:cs="Arial"/>
          <w:b/>
          <w:sz w:val="24"/>
          <w:szCs w:val="24"/>
        </w:rPr>
      </w:pPr>
      <w:r w:rsidRPr="00B54654">
        <w:rPr>
          <w:rFonts w:ascii="Arial" w:hAnsi="Arial" w:cs="Arial"/>
          <w:b/>
          <w:sz w:val="24"/>
          <w:szCs w:val="24"/>
        </w:rPr>
        <w:t>NAMIBIA</w:t>
      </w:r>
      <w:r w:rsidR="00B54654">
        <w:rPr>
          <w:rFonts w:ascii="Arial" w:hAnsi="Arial" w:cs="Arial"/>
          <w:b/>
          <w:sz w:val="24"/>
          <w:szCs w:val="24"/>
        </w:rPr>
        <w:tab/>
      </w:r>
      <w:r w:rsidR="00B54654" w:rsidRPr="00B54654">
        <w:rPr>
          <w:rFonts w:ascii="Arial" w:hAnsi="Arial" w:cs="Arial"/>
          <w:b/>
          <w:sz w:val="24"/>
          <w:szCs w:val="24"/>
        </w:rPr>
        <w:t>FOURTH RESPONDENT</w:t>
      </w:r>
    </w:p>
    <w:p w:rsidR="00EA7AEF" w:rsidRPr="00B54654" w:rsidRDefault="00EA7AEF" w:rsidP="00B54654">
      <w:pPr>
        <w:tabs>
          <w:tab w:val="right" w:pos="9000"/>
        </w:tabs>
        <w:spacing w:after="0" w:line="360" w:lineRule="auto"/>
        <w:jc w:val="both"/>
        <w:rPr>
          <w:rFonts w:ascii="Arial" w:hAnsi="Arial" w:cs="Arial"/>
          <w:b/>
          <w:sz w:val="24"/>
          <w:szCs w:val="24"/>
        </w:rPr>
      </w:pPr>
      <w:r w:rsidRPr="00B54654">
        <w:rPr>
          <w:rFonts w:ascii="Arial" w:hAnsi="Arial" w:cs="Arial"/>
          <w:b/>
          <w:sz w:val="24"/>
          <w:szCs w:val="24"/>
        </w:rPr>
        <w:t xml:space="preserve">SIEMENS AKTIENGESELLSCHAFT </w:t>
      </w:r>
      <w:r w:rsidRPr="00B54654">
        <w:rPr>
          <w:rFonts w:ascii="Arial" w:hAnsi="Arial" w:cs="Arial"/>
          <w:b/>
          <w:sz w:val="24"/>
          <w:szCs w:val="24"/>
        </w:rPr>
        <w:tab/>
        <w:t>FIFTH RESPONDENT</w:t>
      </w:r>
    </w:p>
    <w:p w:rsidR="00EA7AEF" w:rsidRPr="00B54654" w:rsidRDefault="00EA7AEF" w:rsidP="00B54654">
      <w:pPr>
        <w:tabs>
          <w:tab w:val="right" w:pos="9000"/>
        </w:tabs>
        <w:spacing w:after="0" w:line="240" w:lineRule="auto"/>
        <w:jc w:val="both"/>
        <w:rPr>
          <w:rFonts w:ascii="Arial" w:hAnsi="Arial" w:cs="Arial"/>
          <w:b/>
          <w:sz w:val="24"/>
          <w:szCs w:val="24"/>
        </w:rPr>
      </w:pPr>
      <w:r w:rsidRPr="00B54654">
        <w:rPr>
          <w:rFonts w:ascii="Arial" w:hAnsi="Arial" w:cs="Arial"/>
          <w:b/>
          <w:sz w:val="24"/>
          <w:szCs w:val="24"/>
        </w:rPr>
        <w:t>GE G</w:t>
      </w:r>
      <w:r w:rsidR="00B54654">
        <w:rPr>
          <w:rFonts w:ascii="Arial" w:hAnsi="Arial" w:cs="Arial"/>
          <w:b/>
          <w:sz w:val="24"/>
          <w:szCs w:val="24"/>
        </w:rPr>
        <w:t>RID SOLUTIONS AND RADIAL TRUSS</w:t>
      </w:r>
    </w:p>
    <w:p w:rsidR="00EA7AEF" w:rsidRPr="00B54654" w:rsidRDefault="00EA7AEF" w:rsidP="00B54654">
      <w:pPr>
        <w:tabs>
          <w:tab w:val="right" w:pos="9000"/>
        </w:tabs>
        <w:spacing w:after="0" w:line="240" w:lineRule="auto"/>
        <w:jc w:val="both"/>
        <w:rPr>
          <w:rFonts w:ascii="Arial" w:hAnsi="Arial" w:cs="Arial"/>
          <w:b/>
          <w:sz w:val="24"/>
          <w:szCs w:val="24"/>
        </w:rPr>
      </w:pPr>
      <w:r w:rsidRPr="00B54654">
        <w:rPr>
          <w:rFonts w:ascii="Arial" w:hAnsi="Arial" w:cs="Arial"/>
          <w:b/>
          <w:sz w:val="24"/>
          <w:szCs w:val="24"/>
        </w:rPr>
        <w:t>INDUSTRIES (PTY) LTD CONSORTIUM</w:t>
      </w:r>
      <w:r w:rsidR="00B54654">
        <w:rPr>
          <w:rFonts w:ascii="Arial" w:hAnsi="Arial" w:cs="Arial"/>
          <w:b/>
          <w:sz w:val="24"/>
          <w:szCs w:val="24"/>
        </w:rPr>
        <w:tab/>
      </w:r>
      <w:r w:rsidR="00B54654" w:rsidRPr="00B54654">
        <w:rPr>
          <w:rFonts w:ascii="Arial" w:hAnsi="Arial" w:cs="Arial"/>
          <w:b/>
          <w:sz w:val="24"/>
          <w:szCs w:val="24"/>
        </w:rPr>
        <w:t>SIXTH RESPONDENT</w:t>
      </w:r>
    </w:p>
    <w:p w:rsidR="001B7E1F" w:rsidRPr="00B54654" w:rsidRDefault="001B7E1F" w:rsidP="001B7E1F">
      <w:pPr>
        <w:spacing w:after="0" w:line="360" w:lineRule="auto"/>
        <w:ind w:left="2160" w:hanging="2160"/>
        <w:jc w:val="both"/>
        <w:rPr>
          <w:rFonts w:ascii="Arial" w:hAnsi="Arial" w:cs="Arial"/>
          <w:sz w:val="24"/>
          <w:szCs w:val="24"/>
        </w:rPr>
      </w:pPr>
    </w:p>
    <w:p w:rsidR="004761AC" w:rsidRPr="00B54654" w:rsidRDefault="004761AC" w:rsidP="00B21D08">
      <w:pPr>
        <w:spacing w:after="0" w:line="360" w:lineRule="auto"/>
        <w:ind w:left="2250" w:hanging="2250"/>
        <w:jc w:val="both"/>
        <w:rPr>
          <w:rFonts w:ascii="Arial" w:hAnsi="Arial" w:cs="Arial"/>
          <w:sz w:val="24"/>
          <w:szCs w:val="24"/>
        </w:rPr>
      </w:pPr>
      <w:r w:rsidRPr="00B54654">
        <w:rPr>
          <w:rFonts w:ascii="Arial" w:hAnsi="Arial" w:cs="Arial"/>
          <w:b/>
          <w:sz w:val="24"/>
          <w:szCs w:val="24"/>
        </w:rPr>
        <w:t>Neutral citation:</w:t>
      </w:r>
      <w:r w:rsidRPr="00B54654">
        <w:rPr>
          <w:rFonts w:ascii="Arial" w:hAnsi="Arial" w:cs="Arial"/>
          <w:b/>
          <w:sz w:val="24"/>
          <w:szCs w:val="24"/>
        </w:rPr>
        <w:tab/>
      </w:r>
      <w:r w:rsidR="00EA7AEF" w:rsidRPr="00B54654">
        <w:rPr>
          <w:rFonts w:ascii="Arial" w:hAnsi="Arial" w:cs="Arial"/>
          <w:i/>
          <w:sz w:val="24"/>
          <w:szCs w:val="24"/>
        </w:rPr>
        <w:t xml:space="preserve">Consolidated Power Projects Namibia (Pty) Ltd v Namibia Power Corporation </w:t>
      </w:r>
      <w:r w:rsidRPr="00B54654">
        <w:rPr>
          <w:rFonts w:ascii="Arial" w:hAnsi="Arial" w:cs="Arial"/>
          <w:sz w:val="24"/>
          <w:szCs w:val="24"/>
        </w:rPr>
        <w:t>(</w:t>
      </w:r>
      <w:r w:rsidR="00EA7AEF" w:rsidRPr="00B54654">
        <w:rPr>
          <w:rFonts w:ascii="Arial" w:hAnsi="Arial" w:cs="Arial"/>
          <w:sz w:val="24"/>
          <w:szCs w:val="24"/>
        </w:rPr>
        <w:t>HC-MD-CIV-MOT-REV-2017/00135</w:t>
      </w:r>
      <w:r w:rsidRPr="00B54654">
        <w:rPr>
          <w:rFonts w:ascii="Arial" w:hAnsi="Arial" w:cs="Arial"/>
          <w:sz w:val="24"/>
          <w:szCs w:val="24"/>
        </w:rPr>
        <w:t>)</w:t>
      </w:r>
      <w:r w:rsidR="00660FDC" w:rsidRPr="00B54654">
        <w:rPr>
          <w:rFonts w:ascii="Arial" w:hAnsi="Arial" w:cs="Arial"/>
          <w:sz w:val="24"/>
          <w:szCs w:val="24"/>
        </w:rPr>
        <w:t xml:space="preserve"> </w:t>
      </w:r>
      <w:r w:rsidRPr="00B54654">
        <w:rPr>
          <w:rFonts w:ascii="Arial" w:hAnsi="Arial" w:cs="Arial"/>
          <w:sz w:val="24"/>
          <w:szCs w:val="24"/>
        </w:rPr>
        <w:t xml:space="preserve">[2017] NAHCMD </w:t>
      </w:r>
      <w:r w:rsidR="0073041A">
        <w:rPr>
          <w:rFonts w:ascii="Arial" w:hAnsi="Arial" w:cs="Arial"/>
          <w:sz w:val="24"/>
          <w:szCs w:val="24"/>
        </w:rPr>
        <w:t>281</w:t>
      </w:r>
      <w:r w:rsidRPr="00B54654">
        <w:rPr>
          <w:rFonts w:ascii="Arial" w:hAnsi="Arial" w:cs="Arial"/>
          <w:sz w:val="24"/>
          <w:szCs w:val="24"/>
        </w:rPr>
        <w:t xml:space="preserve"> (</w:t>
      </w:r>
      <w:r w:rsidR="00B54654">
        <w:rPr>
          <w:rFonts w:ascii="Arial" w:hAnsi="Arial" w:cs="Arial"/>
          <w:sz w:val="24"/>
          <w:szCs w:val="24"/>
        </w:rPr>
        <w:t>22</w:t>
      </w:r>
      <w:r w:rsidR="00D71D78" w:rsidRPr="00B54654">
        <w:rPr>
          <w:rFonts w:ascii="Arial" w:hAnsi="Arial" w:cs="Arial"/>
          <w:sz w:val="24"/>
          <w:szCs w:val="24"/>
        </w:rPr>
        <w:t xml:space="preserve"> September</w:t>
      </w:r>
      <w:r w:rsidRPr="00B54654">
        <w:rPr>
          <w:rFonts w:ascii="Arial" w:hAnsi="Arial" w:cs="Arial"/>
          <w:sz w:val="24"/>
          <w:szCs w:val="24"/>
        </w:rPr>
        <w:t xml:space="preserve"> 2017)</w:t>
      </w:r>
    </w:p>
    <w:p w:rsidR="004761AC" w:rsidRPr="00B54654" w:rsidRDefault="004761AC" w:rsidP="001B7E1F">
      <w:pPr>
        <w:spacing w:after="0" w:line="360" w:lineRule="auto"/>
        <w:ind w:left="2160" w:hanging="2160"/>
        <w:jc w:val="both"/>
        <w:rPr>
          <w:rFonts w:ascii="Arial" w:hAnsi="Arial" w:cs="Arial"/>
          <w:sz w:val="24"/>
          <w:szCs w:val="24"/>
        </w:rPr>
      </w:pPr>
    </w:p>
    <w:p w:rsidR="001B7E1F" w:rsidRPr="00B54654" w:rsidRDefault="001B7E1F" w:rsidP="001B7E1F">
      <w:pPr>
        <w:spacing w:after="0" w:line="360" w:lineRule="auto"/>
        <w:ind w:left="1440" w:hanging="1440"/>
        <w:jc w:val="both"/>
        <w:rPr>
          <w:rFonts w:ascii="Arial" w:hAnsi="Arial" w:cs="Arial"/>
          <w:b/>
          <w:i/>
          <w:sz w:val="24"/>
          <w:szCs w:val="24"/>
        </w:rPr>
      </w:pPr>
      <w:r w:rsidRPr="00B54654">
        <w:rPr>
          <w:rFonts w:ascii="Arial" w:hAnsi="Arial" w:cs="Arial"/>
          <w:b/>
          <w:sz w:val="24"/>
          <w:szCs w:val="24"/>
        </w:rPr>
        <w:t>Coram:</w:t>
      </w:r>
      <w:r w:rsidRPr="00B54654">
        <w:rPr>
          <w:rFonts w:ascii="Arial" w:hAnsi="Arial" w:cs="Arial"/>
          <w:sz w:val="24"/>
          <w:szCs w:val="24"/>
        </w:rPr>
        <w:tab/>
      </w:r>
      <w:r w:rsidR="004761AC" w:rsidRPr="00B54654">
        <w:rPr>
          <w:rFonts w:ascii="Arial" w:hAnsi="Arial" w:cs="Arial"/>
          <w:sz w:val="24"/>
          <w:szCs w:val="24"/>
        </w:rPr>
        <w:t>ANGULA DJP</w:t>
      </w:r>
    </w:p>
    <w:p w:rsidR="001B7E1F" w:rsidRPr="00B54654" w:rsidRDefault="001B7E1F" w:rsidP="00067BFB">
      <w:pPr>
        <w:spacing w:after="0" w:line="360" w:lineRule="auto"/>
        <w:ind w:left="1440" w:hanging="1440"/>
        <w:jc w:val="both"/>
        <w:rPr>
          <w:rFonts w:ascii="Arial" w:hAnsi="Arial" w:cs="Arial"/>
          <w:b/>
          <w:sz w:val="24"/>
          <w:szCs w:val="24"/>
        </w:rPr>
      </w:pPr>
      <w:r w:rsidRPr="00B54654">
        <w:rPr>
          <w:rFonts w:ascii="Arial" w:hAnsi="Arial" w:cs="Arial"/>
          <w:b/>
          <w:bCs/>
          <w:sz w:val="24"/>
          <w:szCs w:val="24"/>
        </w:rPr>
        <w:t>Heard</w:t>
      </w:r>
      <w:r w:rsidRPr="00B54654">
        <w:rPr>
          <w:rFonts w:ascii="Arial" w:hAnsi="Arial" w:cs="Arial"/>
          <w:sz w:val="24"/>
          <w:szCs w:val="24"/>
        </w:rPr>
        <w:t>:</w:t>
      </w:r>
      <w:r w:rsidRPr="00B54654">
        <w:rPr>
          <w:rFonts w:ascii="Arial" w:hAnsi="Arial" w:cs="Arial"/>
          <w:sz w:val="24"/>
          <w:szCs w:val="24"/>
        </w:rPr>
        <w:tab/>
      </w:r>
      <w:r w:rsidR="0073041A">
        <w:rPr>
          <w:rFonts w:ascii="Arial" w:hAnsi="Arial" w:cs="Arial"/>
          <w:b/>
          <w:sz w:val="24"/>
          <w:szCs w:val="24"/>
        </w:rPr>
        <w:t>15 August 2017</w:t>
      </w:r>
    </w:p>
    <w:p w:rsidR="001B7E1F" w:rsidRDefault="00B1571B" w:rsidP="00121E33">
      <w:pPr>
        <w:spacing w:after="0" w:line="360" w:lineRule="auto"/>
        <w:jc w:val="both"/>
        <w:rPr>
          <w:rFonts w:ascii="Arial" w:hAnsi="Arial" w:cs="Arial"/>
          <w:sz w:val="24"/>
          <w:szCs w:val="24"/>
        </w:rPr>
      </w:pPr>
      <w:r w:rsidRPr="00B54654">
        <w:rPr>
          <w:rFonts w:ascii="Arial" w:hAnsi="Arial" w:cs="Arial"/>
          <w:b/>
          <w:bCs/>
          <w:sz w:val="24"/>
          <w:szCs w:val="24"/>
        </w:rPr>
        <w:t>Delivered</w:t>
      </w:r>
      <w:r w:rsidR="001B7E1F" w:rsidRPr="00B54654">
        <w:rPr>
          <w:rFonts w:ascii="Arial" w:hAnsi="Arial" w:cs="Arial"/>
          <w:sz w:val="24"/>
          <w:szCs w:val="24"/>
        </w:rPr>
        <w:t>:</w:t>
      </w:r>
      <w:r w:rsidR="001B7E1F" w:rsidRPr="00B54654">
        <w:rPr>
          <w:rFonts w:ascii="Arial" w:hAnsi="Arial" w:cs="Arial"/>
          <w:b/>
          <w:sz w:val="24"/>
          <w:szCs w:val="24"/>
        </w:rPr>
        <w:tab/>
      </w:r>
      <w:r w:rsidR="00F25BDB" w:rsidRPr="00B54654">
        <w:rPr>
          <w:rFonts w:ascii="Arial" w:hAnsi="Arial" w:cs="Arial"/>
          <w:b/>
          <w:sz w:val="24"/>
          <w:szCs w:val="24"/>
        </w:rPr>
        <w:t>22</w:t>
      </w:r>
      <w:r w:rsidR="00EA7AEF" w:rsidRPr="00B54654">
        <w:rPr>
          <w:rFonts w:ascii="Arial" w:hAnsi="Arial" w:cs="Arial"/>
          <w:b/>
          <w:sz w:val="24"/>
          <w:szCs w:val="24"/>
        </w:rPr>
        <w:t xml:space="preserve"> September 2017</w:t>
      </w:r>
    </w:p>
    <w:p w:rsidR="00277A41" w:rsidRPr="00DD5338" w:rsidRDefault="00277A41" w:rsidP="00277A41">
      <w:pPr>
        <w:spacing w:after="0" w:line="360" w:lineRule="auto"/>
        <w:jc w:val="both"/>
        <w:rPr>
          <w:rFonts w:ascii="Arial" w:hAnsi="Arial" w:cs="Arial"/>
          <w:b/>
          <w:sz w:val="24"/>
          <w:szCs w:val="24"/>
        </w:rPr>
      </w:pPr>
      <w:r w:rsidRPr="00DD5338">
        <w:rPr>
          <w:rFonts w:ascii="Arial" w:hAnsi="Arial" w:cs="Arial"/>
          <w:b/>
          <w:sz w:val="24"/>
          <w:szCs w:val="24"/>
        </w:rPr>
        <w:t>Reasons given:</w:t>
      </w:r>
      <w:r w:rsidRPr="00DD5338">
        <w:rPr>
          <w:rFonts w:ascii="Arial" w:hAnsi="Arial" w:cs="Arial"/>
          <w:b/>
          <w:sz w:val="24"/>
          <w:szCs w:val="24"/>
        </w:rPr>
        <w:tab/>
      </w:r>
      <w:r w:rsidR="0073041A">
        <w:rPr>
          <w:rFonts w:ascii="Arial" w:hAnsi="Arial" w:cs="Arial"/>
          <w:b/>
          <w:sz w:val="24"/>
          <w:szCs w:val="24"/>
        </w:rPr>
        <w:t>6</w:t>
      </w:r>
      <w:r w:rsidRPr="00DD5338">
        <w:rPr>
          <w:rFonts w:ascii="Arial" w:hAnsi="Arial" w:cs="Arial"/>
          <w:b/>
          <w:sz w:val="24"/>
          <w:szCs w:val="24"/>
        </w:rPr>
        <w:t xml:space="preserve"> October 2017</w:t>
      </w:r>
    </w:p>
    <w:p w:rsidR="00277A41" w:rsidRPr="00B54654" w:rsidRDefault="00277A41" w:rsidP="00121E33">
      <w:pPr>
        <w:spacing w:after="0" w:line="360" w:lineRule="auto"/>
        <w:jc w:val="both"/>
        <w:rPr>
          <w:rFonts w:ascii="Arial" w:hAnsi="Arial" w:cs="Arial"/>
          <w:b/>
          <w:sz w:val="24"/>
          <w:szCs w:val="24"/>
        </w:rPr>
      </w:pPr>
    </w:p>
    <w:p w:rsidR="00905113" w:rsidRPr="00905113" w:rsidRDefault="00905113" w:rsidP="00816D34">
      <w:pPr>
        <w:pStyle w:val="BodyText"/>
        <w:spacing w:line="360" w:lineRule="auto"/>
        <w:jc w:val="both"/>
        <w:rPr>
          <w:rFonts w:ascii="Arial" w:hAnsi="Arial" w:cs="Arial"/>
        </w:rPr>
      </w:pPr>
    </w:p>
    <w:p w:rsidR="00816D34" w:rsidRPr="00277A41" w:rsidRDefault="00D26D79" w:rsidP="00816D34">
      <w:pPr>
        <w:pStyle w:val="BodyText"/>
        <w:spacing w:line="360" w:lineRule="auto"/>
        <w:jc w:val="both"/>
        <w:rPr>
          <w:rFonts w:ascii="Arial" w:hAnsi="Arial" w:cs="Arial"/>
        </w:rPr>
      </w:pPr>
      <w:r w:rsidRPr="00B54654">
        <w:rPr>
          <w:rFonts w:ascii="Arial" w:hAnsi="Arial" w:cs="Arial"/>
          <w:b/>
        </w:rPr>
        <w:t>Flynote:</w:t>
      </w:r>
      <w:r w:rsidR="004279F3" w:rsidRPr="00B54654">
        <w:rPr>
          <w:rFonts w:ascii="Arial" w:hAnsi="Arial" w:cs="Arial"/>
          <w:b/>
        </w:rPr>
        <w:tab/>
      </w:r>
      <w:r w:rsidR="00277A41">
        <w:rPr>
          <w:rFonts w:ascii="Arial" w:hAnsi="Arial" w:cs="Arial"/>
        </w:rPr>
        <w:t xml:space="preserve">Motion </w:t>
      </w:r>
      <w:r w:rsidR="00277A41" w:rsidRPr="00DD5338">
        <w:rPr>
          <w:rFonts w:ascii="Arial" w:hAnsi="Arial" w:cs="Arial"/>
        </w:rPr>
        <w:t>Proceedings</w:t>
      </w:r>
      <w:r w:rsidR="00277A41">
        <w:rPr>
          <w:rFonts w:ascii="Arial" w:hAnsi="Arial" w:cs="Arial"/>
        </w:rPr>
        <w:t xml:space="preserve"> – I</w:t>
      </w:r>
      <w:r w:rsidR="00277A41" w:rsidRPr="00FB34D4">
        <w:rPr>
          <w:rFonts w:ascii="Arial" w:hAnsi="Arial" w:cs="Arial"/>
        </w:rPr>
        <w:t xml:space="preserve">nterlocutory application in terms of rule 76(6) and (7) of </w:t>
      </w:r>
      <w:r w:rsidR="00277A41">
        <w:rPr>
          <w:rFonts w:ascii="Arial" w:hAnsi="Arial" w:cs="Arial"/>
        </w:rPr>
        <w:t xml:space="preserve">Court – Applicant </w:t>
      </w:r>
      <w:r w:rsidR="00277A41" w:rsidRPr="00FB34D4">
        <w:rPr>
          <w:rFonts w:ascii="Arial" w:hAnsi="Arial" w:cs="Arial"/>
        </w:rPr>
        <w:t xml:space="preserve">seeks disclosure of a number of documents, which the applicant alleges are relevant to the decisions sought to be </w:t>
      </w:r>
      <w:r w:rsidR="00277A41">
        <w:rPr>
          <w:rFonts w:ascii="Arial" w:hAnsi="Arial" w:cs="Arial"/>
        </w:rPr>
        <w:t xml:space="preserve">reviewed and </w:t>
      </w:r>
      <w:r w:rsidR="00277A41" w:rsidRPr="00FB34D4">
        <w:rPr>
          <w:rFonts w:ascii="Arial" w:hAnsi="Arial" w:cs="Arial"/>
        </w:rPr>
        <w:t>set aside</w:t>
      </w:r>
      <w:r w:rsidR="00277A41">
        <w:rPr>
          <w:rFonts w:ascii="Arial" w:hAnsi="Arial" w:cs="Arial"/>
        </w:rPr>
        <w:t xml:space="preserve"> in </w:t>
      </w:r>
      <w:r w:rsidR="00277A41" w:rsidRPr="00277A41">
        <w:rPr>
          <w:rFonts w:ascii="Arial" w:hAnsi="Arial" w:cs="Arial"/>
        </w:rPr>
        <w:t xml:space="preserve">the main review application – Respondents Opposed interlocutory application – Court Ordered; </w:t>
      </w:r>
      <w:r w:rsidR="00277A41" w:rsidRPr="00277A41">
        <w:rPr>
          <w:rFonts w:ascii="Arial" w:hAnsi="Arial" w:cs="Arial"/>
          <w:lang w:val="en-US"/>
        </w:rPr>
        <w:t>the first, second and third respondents to disclose to the applicant the documents sought.</w:t>
      </w:r>
    </w:p>
    <w:p w:rsidR="001B7E1F" w:rsidRPr="00277A41" w:rsidRDefault="001B7E1F" w:rsidP="009D2D54">
      <w:pPr>
        <w:pStyle w:val="BodyText"/>
        <w:spacing w:line="360" w:lineRule="auto"/>
        <w:jc w:val="both"/>
        <w:rPr>
          <w:rFonts w:ascii="Arial" w:hAnsi="Arial" w:cs="Arial"/>
        </w:rPr>
      </w:pPr>
    </w:p>
    <w:p w:rsidR="001300AA" w:rsidRPr="00277A41" w:rsidRDefault="00A91B05" w:rsidP="001300AA">
      <w:pPr>
        <w:spacing w:after="0" w:line="360" w:lineRule="auto"/>
        <w:jc w:val="both"/>
        <w:rPr>
          <w:rFonts w:ascii="Arial" w:hAnsi="Arial" w:cs="Arial"/>
          <w:sz w:val="24"/>
          <w:szCs w:val="24"/>
        </w:rPr>
      </w:pPr>
      <w:r w:rsidRPr="00277A41">
        <w:rPr>
          <w:rFonts w:ascii="Arial" w:hAnsi="Arial" w:cs="Arial"/>
          <w:b/>
          <w:sz w:val="24"/>
          <w:szCs w:val="24"/>
        </w:rPr>
        <w:t>Summary:</w:t>
      </w:r>
      <w:r w:rsidR="004279F3" w:rsidRPr="00277A41">
        <w:rPr>
          <w:rFonts w:ascii="Arial" w:hAnsi="Arial" w:cs="Arial"/>
          <w:b/>
          <w:sz w:val="24"/>
          <w:szCs w:val="24"/>
        </w:rPr>
        <w:tab/>
      </w:r>
      <w:r w:rsidR="00277A41" w:rsidRPr="00277A41">
        <w:rPr>
          <w:rFonts w:ascii="Arial" w:hAnsi="Arial" w:cs="Arial"/>
          <w:sz w:val="24"/>
          <w:szCs w:val="24"/>
        </w:rPr>
        <w:t>This is an interlocutory application in which the applicant the seeks an order in terms of rule 76(6)</w:t>
      </w:r>
      <w:r w:rsidR="00277A41" w:rsidRPr="00277A41">
        <w:rPr>
          <w:rFonts w:ascii="Arial" w:hAnsi="Arial" w:cs="Arial"/>
          <w:sz w:val="24"/>
          <w:szCs w:val="24"/>
          <w:vertAlign w:val="superscript"/>
        </w:rPr>
        <w:footnoteReference w:id="1"/>
      </w:r>
      <w:r w:rsidR="00277A41" w:rsidRPr="00277A41">
        <w:rPr>
          <w:rFonts w:ascii="Arial" w:hAnsi="Arial" w:cs="Arial"/>
          <w:sz w:val="24"/>
          <w:szCs w:val="24"/>
        </w:rPr>
        <w:t xml:space="preserve"> and (7) of Court, for disclosure of a number of documents, which the applicant alleges are relevant to the decisions sought to be reviewed and set aside in the main review application.</w:t>
      </w:r>
    </w:p>
    <w:p w:rsidR="00EA7AEF" w:rsidRPr="00277A41" w:rsidRDefault="00EA7AEF" w:rsidP="00EA7AEF">
      <w:pPr>
        <w:spacing w:after="0" w:line="360" w:lineRule="auto"/>
        <w:jc w:val="both"/>
        <w:rPr>
          <w:rFonts w:ascii="Arial" w:hAnsi="Arial" w:cs="Arial"/>
          <w:sz w:val="24"/>
          <w:szCs w:val="24"/>
        </w:rPr>
      </w:pPr>
    </w:p>
    <w:p w:rsidR="00277A41" w:rsidRPr="00277A41" w:rsidRDefault="00277A41" w:rsidP="00EA7AEF">
      <w:pPr>
        <w:spacing w:after="0" w:line="360" w:lineRule="auto"/>
        <w:jc w:val="both"/>
        <w:rPr>
          <w:rFonts w:ascii="Arial" w:hAnsi="Arial" w:cs="Arial"/>
          <w:sz w:val="24"/>
          <w:szCs w:val="24"/>
        </w:rPr>
      </w:pPr>
      <w:r w:rsidRPr="00277A41">
        <w:rPr>
          <w:rFonts w:ascii="Arial" w:hAnsi="Arial" w:cs="Arial"/>
          <w:sz w:val="24"/>
          <w:szCs w:val="24"/>
        </w:rPr>
        <w:t>The decisions sought to be set aside, concerned the cancellation by the Board Directors of Nampower of Tender NPWR/2016/16 for the construction of the new Masivi and Shiyambi Substations, as communicated to the applicant on 16 February 2017, as well as the cancellation of Tender NPWR/2015/50 for the construction of the new Kunene Substations and the Omatando Substation Extensions, communicated to the applicant on 16 February 2017.</w:t>
      </w:r>
    </w:p>
    <w:p w:rsidR="00277A41" w:rsidRPr="00277A41" w:rsidRDefault="00277A41" w:rsidP="00EA7AEF">
      <w:pPr>
        <w:spacing w:after="0" w:line="360" w:lineRule="auto"/>
        <w:jc w:val="both"/>
        <w:rPr>
          <w:rFonts w:ascii="Arial" w:hAnsi="Arial" w:cs="Arial"/>
          <w:sz w:val="24"/>
          <w:szCs w:val="24"/>
        </w:rPr>
      </w:pPr>
    </w:p>
    <w:p w:rsidR="00277A41" w:rsidRPr="00277A41" w:rsidRDefault="00277A41" w:rsidP="00EA7AEF">
      <w:pPr>
        <w:spacing w:after="0" w:line="360" w:lineRule="auto"/>
        <w:jc w:val="both"/>
        <w:rPr>
          <w:rFonts w:ascii="Arial" w:hAnsi="Arial" w:cs="Arial"/>
          <w:sz w:val="24"/>
          <w:szCs w:val="24"/>
        </w:rPr>
      </w:pPr>
      <w:r w:rsidRPr="00277A41">
        <w:rPr>
          <w:rFonts w:ascii="Arial" w:hAnsi="Arial" w:cs="Arial"/>
          <w:sz w:val="24"/>
          <w:szCs w:val="24"/>
        </w:rPr>
        <w:t xml:space="preserve">The application is opposed by the first, second and third respondents who raised two points </w:t>
      </w:r>
      <w:r w:rsidRPr="00277A41">
        <w:rPr>
          <w:rFonts w:ascii="Arial" w:hAnsi="Arial" w:cs="Arial"/>
          <w:i/>
          <w:sz w:val="24"/>
          <w:szCs w:val="24"/>
        </w:rPr>
        <w:t>in limine</w:t>
      </w:r>
      <w:r w:rsidRPr="00277A41">
        <w:rPr>
          <w:rFonts w:ascii="Arial" w:hAnsi="Arial" w:cs="Arial"/>
          <w:sz w:val="24"/>
          <w:szCs w:val="24"/>
        </w:rPr>
        <w:t xml:space="preserve">; firstly, that the relationship between the applicant and the respondents was contractual (to which the applicant agreed when it decided to submit the tender) as opposed to administrative in nature; therefore the applicant can protect its rights through private law remedies without resorting to review proceedings; and secondly, that the applicant did do not exhausted its internal remedies. Both points </w:t>
      </w:r>
      <w:r w:rsidRPr="00277A41">
        <w:rPr>
          <w:rFonts w:ascii="Arial" w:hAnsi="Arial" w:cs="Arial"/>
          <w:i/>
          <w:sz w:val="24"/>
          <w:szCs w:val="24"/>
        </w:rPr>
        <w:t>in limine</w:t>
      </w:r>
      <w:r w:rsidRPr="00277A41">
        <w:rPr>
          <w:rFonts w:ascii="Arial" w:hAnsi="Arial" w:cs="Arial"/>
          <w:sz w:val="24"/>
          <w:szCs w:val="24"/>
        </w:rPr>
        <w:t xml:space="preserve"> were dismissed.</w:t>
      </w:r>
    </w:p>
    <w:p w:rsidR="00277A41" w:rsidRPr="00277A41" w:rsidRDefault="00277A41" w:rsidP="00EA7AEF">
      <w:pPr>
        <w:spacing w:after="0" w:line="360" w:lineRule="auto"/>
        <w:jc w:val="both"/>
        <w:rPr>
          <w:rFonts w:ascii="Arial" w:hAnsi="Arial" w:cs="Arial"/>
          <w:sz w:val="24"/>
          <w:szCs w:val="24"/>
        </w:rPr>
      </w:pPr>
    </w:p>
    <w:p w:rsidR="00277A41" w:rsidRDefault="00277A41" w:rsidP="00EA7AEF">
      <w:pPr>
        <w:spacing w:after="0" w:line="360" w:lineRule="auto"/>
        <w:jc w:val="both"/>
        <w:rPr>
          <w:rFonts w:ascii="Arial" w:hAnsi="Arial" w:cs="Arial"/>
          <w:sz w:val="24"/>
          <w:szCs w:val="24"/>
        </w:rPr>
      </w:pPr>
      <w:r w:rsidRPr="00277A41">
        <w:rPr>
          <w:rFonts w:ascii="Arial" w:hAnsi="Arial" w:cs="Arial"/>
          <w:i/>
          <w:sz w:val="24"/>
          <w:szCs w:val="24"/>
        </w:rPr>
        <w:t>Court held:</w:t>
      </w:r>
      <w:r w:rsidRPr="00277A41">
        <w:rPr>
          <w:rFonts w:ascii="Arial" w:hAnsi="Arial" w:cs="Arial"/>
          <w:sz w:val="24"/>
          <w:szCs w:val="24"/>
        </w:rPr>
        <w:tab/>
        <w:t xml:space="preserve">In order to inquire into the authority of the Board of Nampower to make the decision sought to be set aside, the procedural fairness of the decision to cancel the tender and the substantive fairness to cancel the tender, it </w:t>
      </w:r>
      <w:r w:rsidR="00A115EB">
        <w:rPr>
          <w:rFonts w:ascii="Arial" w:hAnsi="Arial" w:cs="Arial"/>
          <w:sz w:val="24"/>
          <w:szCs w:val="24"/>
        </w:rPr>
        <w:t>was</w:t>
      </w:r>
      <w:r w:rsidRPr="00277A41">
        <w:rPr>
          <w:rFonts w:ascii="Arial" w:hAnsi="Arial" w:cs="Arial"/>
          <w:sz w:val="24"/>
          <w:szCs w:val="24"/>
        </w:rPr>
        <w:t xml:space="preserve"> necessary that ‘every scrap of paper throwing light, however indirectly on what the proceedings were, both procedurally and evidentially…’ must be disclosed.</w:t>
      </w:r>
    </w:p>
    <w:p w:rsidR="00905113" w:rsidRDefault="00905113" w:rsidP="00EA7AEF">
      <w:pPr>
        <w:spacing w:after="0" w:line="360" w:lineRule="auto"/>
        <w:jc w:val="both"/>
        <w:rPr>
          <w:rFonts w:ascii="Arial" w:hAnsi="Arial" w:cs="Arial"/>
          <w:sz w:val="24"/>
          <w:szCs w:val="24"/>
        </w:rPr>
      </w:pPr>
    </w:p>
    <w:p w:rsidR="00277A41" w:rsidRPr="00277A41" w:rsidRDefault="00277A41" w:rsidP="00EA7AEF">
      <w:pPr>
        <w:spacing w:after="0" w:line="360" w:lineRule="auto"/>
        <w:jc w:val="both"/>
        <w:rPr>
          <w:rFonts w:ascii="Arial" w:hAnsi="Arial" w:cs="Arial"/>
          <w:sz w:val="24"/>
          <w:szCs w:val="24"/>
        </w:rPr>
      </w:pPr>
      <w:r w:rsidRPr="00277A41">
        <w:rPr>
          <w:rFonts w:ascii="Arial" w:hAnsi="Arial" w:cs="Arial"/>
          <w:i/>
          <w:sz w:val="24"/>
          <w:szCs w:val="24"/>
        </w:rPr>
        <w:t>Court held further:</w:t>
      </w:r>
      <w:r w:rsidRPr="00277A41">
        <w:rPr>
          <w:rFonts w:ascii="Arial" w:hAnsi="Arial" w:cs="Arial"/>
          <w:i/>
          <w:sz w:val="24"/>
          <w:szCs w:val="24"/>
        </w:rPr>
        <w:tab/>
      </w:r>
      <w:r w:rsidRPr="00277A41">
        <w:rPr>
          <w:rFonts w:ascii="Arial" w:hAnsi="Arial" w:cs="Arial"/>
          <w:sz w:val="24"/>
          <w:szCs w:val="24"/>
        </w:rPr>
        <w:t>The respondent’s grounds for refusal to disclose documents based on irrelevance and lack of proper identification. This ground lacked</w:t>
      </w:r>
      <w:r>
        <w:rPr>
          <w:rFonts w:ascii="Arial" w:hAnsi="Arial" w:cs="Arial"/>
          <w:sz w:val="24"/>
          <w:szCs w:val="24"/>
        </w:rPr>
        <w:t xml:space="preserve"> merit</w:t>
      </w:r>
      <w:r w:rsidR="00411EC6">
        <w:rPr>
          <w:rFonts w:ascii="Arial" w:hAnsi="Arial" w:cs="Arial"/>
          <w:sz w:val="24"/>
          <w:szCs w:val="24"/>
        </w:rPr>
        <w:t>;</w:t>
      </w:r>
      <w:r>
        <w:rPr>
          <w:rFonts w:ascii="Arial" w:hAnsi="Arial" w:cs="Arial"/>
          <w:sz w:val="24"/>
          <w:szCs w:val="24"/>
        </w:rPr>
        <w:t xml:space="preserve"> t</w:t>
      </w:r>
      <w:r w:rsidRPr="00277A41">
        <w:rPr>
          <w:rFonts w:ascii="Arial" w:hAnsi="Arial" w:cs="Arial"/>
          <w:sz w:val="24"/>
          <w:szCs w:val="24"/>
        </w:rPr>
        <w:t>hat</w:t>
      </w:r>
      <w:r w:rsidR="00411EC6">
        <w:rPr>
          <w:rFonts w:ascii="Arial" w:hAnsi="Arial" w:cs="Arial"/>
          <w:sz w:val="24"/>
          <w:szCs w:val="24"/>
        </w:rPr>
        <w:t xml:space="preserve"> it</w:t>
      </w:r>
      <w:r w:rsidRPr="00277A41">
        <w:rPr>
          <w:rFonts w:ascii="Arial" w:hAnsi="Arial" w:cs="Arial"/>
          <w:sz w:val="24"/>
          <w:szCs w:val="24"/>
        </w:rPr>
        <w:t xml:space="preserve"> was not for the respondents to decide what was and what </w:t>
      </w:r>
      <w:r>
        <w:rPr>
          <w:rFonts w:ascii="Arial" w:hAnsi="Arial" w:cs="Arial"/>
          <w:sz w:val="24"/>
          <w:szCs w:val="24"/>
        </w:rPr>
        <w:t>was</w:t>
      </w:r>
      <w:r w:rsidRPr="00277A41">
        <w:rPr>
          <w:rFonts w:ascii="Arial" w:hAnsi="Arial" w:cs="Arial"/>
          <w:sz w:val="24"/>
          <w:szCs w:val="24"/>
        </w:rPr>
        <w:t xml:space="preserve"> not relevant; </w:t>
      </w:r>
      <w:r>
        <w:rPr>
          <w:rFonts w:ascii="Arial" w:hAnsi="Arial" w:cs="Arial"/>
          <w:sz w:val="24"/>
          <w:szCs w:val="24"/>
        </w:rPr>
        <w:t xml:space="preserve">it is not for the court to determine </w:t>
      </w:r>
      <w:r w:rsidRPr="00277A41">
        <w:rPr>
          <w:rFonts w:ascii="Arial" w:hAnsi="Arial" w:cs="Arial"/>
          <w:sz w:val="24"/>
          <w:szCs w:val="24"/>
        </w:rPr>
        <w:t>that the document has been sufficiently identified.</w:t>
      </w:r>
    </w:p>
    <w:p w:rsidR="00277A41" w:rsidRPr="00277A41" w:rsidRDefault="00277A41" w:rsidP="00EA7AEF">
      <w:pPr>
        <w:spacing w:after="0" w:line="360" w:lineRule="auto"/>
        <w:jc w:val="both"/>
        <w:rPr>
          <w:rFonts w:ascii="Arial" w:hAnsi="Arial" w:cs="Arial"/>
          <w:sz w:val="24"/>
          <w:szCs w:val="24"/>
        </w:rPr>
      </w:pPr>
    </w:p>
    <w:p w:rsidR="00277A41" w:rsidRPr="00277A41" w:rsidRDefault="00277A41" w:rsidP="00277A41">
      <w:pPr>
        <w:pStyle w:val="BodyText"/>
        <w:spacing w:line="360" w:lineRule="auto"/>
        <w:jc w:val="both"/>
        <w:rPr>
          <w:rFonts w:ascii="Arial" w:hAnsi="Arial" w:cs="Arial"/>
        </w:rPr>
      </w:pPr>
      <w:r w:rsidRPr="00277A41">
        <w:rPr>
          <w:rFonts w:ascii="Arial" w:hAnsi="Arial" w:cs="Arial"/>
          <w:i/>
        </w:rPr>
        <w:t>Court held further:</w:t>
      </w:r>
      <w:r w:rsidRPr="00277A41">
        <w:rPr>
          <w:rFonts w:ascii="Arial" w:hAnsi="Arial" w:cs="Arial"/>
        </w:rPr>
        <w:tab/>
        <w:t xml:space="preserve">The applicant’s request for disclosure in the present proceedings did not constitute a ‘fishing expedition’ or pre-litigation disclosure as contended by the respondents: it was permissible and perfectly made under rule 76. </w:t>
      </w:r>
    </w:p>
    <w:p w:rsidR="00277A41" w:rsidRPr="00277A41" w:rsidRDefault="00277A41" w:rsidP="00EA7AEF">
      <w:pPr>
        <w:spacing w:after="0" w:line="360" w:lineRule="auto"/>
        <w:jc w:val="both"/>
        <w:rPr>
          <w:rFonts w:ascii="Arial" w:hAnsi="Arial" w:cs="Arial"/>
          <w:sz w:val="24"/>
          <w:szCs w:val="24"/>
        </w:rPr>
      </w:pPr>
    </w:p>
    <w:p w:rsidR="00EA7AEF" w:rsidRPr="00B54654" w:rsidRDefault="00EA7AEF" w:rsidP="00EA7AEF">
      <w:pPr>
        <w:spacing w:after="0" w:line="360" w:lineRule="auto"/>
        <w:jc w:val="both"/>
        <w:rPr>
          <w:rFonts w:ascii="Arial" w:hAnsi="Arial" w:cs="Arial"/>
          <w:bCs/>
          <w:sz w:val="24"/>
          <w:szCs w:val="24"/>
        </w:rPr>
      </w:pPr>
      <w:r w:rsidRPr="00B54654">
        <w:rPr>
          <w:rFonts w:ascii="Arial" w:hAnsi="Arial" w:cs="Arial"/>
          <w:bCs/>
          <w:sz w:val="24"/>
          <w:szCs w:val="24"/>
        </w:rPr>
        <w:pict>
          <v:rect id="_x0000_i1025" style="width:0;height:1.5pt" o:hralign="center" o:hrstd="t" o:hr="t" fillcolor="#a0a0a0" stroked="f"/>
        </w:pict>
      </w:r>
    </w:p>
    <w:p w:rsidR="00EA7AEF" w:rsidRPr="00B54654" w:rsidRDefault="00EA7AEF" w:rsidP="00EA7AEF">
      <w:pPr>
        <w:spacing w:after="0" w:line="360" w:lineRule="auto"/>
        <w:jc w:val="center"/>
        <w:rPr>
          <w:rFonts w:ascii="Arial" w:hAnsi="Arial" w:cs="Arial"/>
          <w:b/>
          <w:bCs/>
          <w:sz w:val="24"/>
          <w:szCs w:val="24"/>
        </w:rPr>
      </w:pPr>
      <w:r w:rsidRPr="00B54654">
        <w:rPr>
          <w:rFonts w:ascii="Arial" w:hAnsi="Arial" w:cs="Arial"/>
          <w:b/>
          <w:bCs/>
          <w:sz w:val="24"/>
          <w:szCs w:val="24"/>
        </w:rPr>
        <w:t>ORDER</w:t>
      </w:r>
    </w:p>
    <w:p w:rsidR="00EA7AEF" w:rsidRPr="00B54654" w:rsidRDefault="00EA7AEF" w:rsidP="00EA7AEF">
      <w:pPr>
        <w:spacing w:after="0" w:line="360" w:lineRule="auto"/>
        <w:jc w:val="center"/>
        <w:rPr>
          <w:rFonts w:ascii="Arial" w:hAnsi="Arial" w:cs="Arial"/>
          <w:b/>
          <w:bCs/>
          <w:sz w:val="24"/>
          <w:szCs w:val="24"/>
        </w:rPr>
      </w:pPr>
      <w:r w:rsidRPr="00B54654">
        <w:rPr>
          <w:rFonts w:ascii="Arial" w:hAnsi="Arial" w:cs="Arial"/>
          <w:bCs/>
          <w:sz w:val="24"/>
          <w:szCs w:val="24"/>
        </w:rPr>
        <w:pict>
          <v:rect id="_x0000_i1026" style="width:0;height:1.5pt" o:hralign="center" o:hrstd="t" o:hr="t" fillcolor="#a0a0a0" stroked="f"/>
        </w:pict>
      </w:r>
    </w:p>
    <w:p w:rsidR="00F25BDB" w:rsidRPr="00B54654" w:rsidRDefault="00F25BDB" w:rsidP="00F25BDB">
      <w:pPr>
        <w:pStyle w:val="BodyText"/>
        <w:spacing w:line="360" w:lineRule="auto"/>
        <w:jc w:val="both"/>
        <w:rPr>
          <w:rFonts w:ascii="Arial" w:hAnsi="Arial" w:cs="Arial"/>
        </w:rPr>
      </w:pPr>
    </w:p>
    <w:p w:rsidR="00F25BDB" w:rsidRPr="00B54654" w:rsidRDefault="00F25BDB" w:rsidP="00B54654">
      <w:pPr>
        <w:pStyle w:val="BodyText"/>
        <w:spacing w:line="360" w:lineRule="auto"/>
        <w:jc w:val="both"/>
        <w:rPr>
          <w:rFonts w:ascii="Arial" w:hAnsi="Arial" w:cs="Arial"/>
        </w:rPr>
      </w:pPr>
      <w:r w:rsidRPr="00B54654">
        <w:rPr>
          <w:rFonts w:ascii="Arial" w:hAnsi="Arial" w:cs="Arial"/>
        </w:rPr>
        <w:t>The first, second and third respondents are ordered, to disclose the</w:t>
      </w:r>
      <w:r w:rsidR="00FC3767" w:rsidRPr="00B54654">
        <w:rPr>
          <w:rFonts w:ascii="Arial" w:hAnsi="Arial" w:cs="Arial"/>
        </w:rPr>
        <w:t xml:space="preserve"> applicant the </w:t>
      </w:r>
      <w:r w:rsidRPr="00B54654">
        <w:rPr>
          <w:rFonts w:ascii="Arial" w:hAnsi="Arial" w:cs="Arial"/>
        </w:rPr>
        <w:t>documents listed hereunder on or before 13 October 2017:</w:t>
      </w:r>
    </w:p>
    <w:p w:rsidR="00F25BDB" w:rsidRPr="00B54654" w:rsidRDefault="00F25BDB" w:rsidP="00F25BDB">
      <w:pPr>
        <w:pStyle w:val="BodyText"/>
        <w:spacing w:line="360" w:lineRule="auto"/>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All Tender Evaluation Reports for Tender NPWR 2015/50 and NPWR 2016/16, which had to have been prepared in terms of the first respondent’s Tender and Procurement Policy Clause 29, specifically 29.8 (Page 34 of 60).</w:t>
      </w:r>
    </w:p>
    <w:p w:rsidR="00F25BDB" w:rsidRPr="00FB34D4" w:rsidRDefault="00F25BDB" w:rsidP="00B5465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All Tender Board Recommendation Forms (signed by Head of Tender Evaluation team, Chairperson of Tender Board &amp; MD) for Tender NPWR 2015/50 and NPWR 2016/16.</w:t>
      </w:r>
    </w:p>
    <w:p w:rsidR="00F25BDB" w:rsidRPr="00FB34D4" w:rsidRDefault="00F25BDB" w:rsidP="00FB34D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Minutes of each NamPower Tender Board Meeting where Tender NPWR 2015 and NPWR 2016/16 was discussed.</w:t>
      </w:r>
    </w:p>
    <w:p w:rsidR="00F25BDB" w:rsidRPr="00FB34D4" w:rsidRDefault="00F25BDB" w:rsidP="00FB34D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Minutes of each NamPower Board Tender Committee Meeting where Tender NPWR 2015/50 and NPWR was discussed.</w:t>
      </w:r>
    </w:p>
    <w:p w:rsidR="00F25BDB" w:rsidRPr="00FB34D4" w:rsidRDefault="00F25BDB" w:rsidP="00FB34D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8 February 2017 NamPower Board of Directors Meeting minutes, referred to in discovered 15 February 2017 Board meeting minutes.</w:t>
      </w:r>
    </w:p>
    <w:p w:rsidR="00F25BDB" w:rsidRPr="00FB34D4" w:rsidRDefault="00F25BDB" w:rsidP="00FB34D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lastRenderedPageBreak/>
        <w:t>13 December 2016 NamPower Board of Directors allegedly resolved to block the award of the two tenders NPWR 2015/50 and NPWR 2016/16 to the applicant, notwithstanding the recommendations from the internal Tender Board to award the tenders to the applicant, allegedly due to a conflict of interest.</w:t>
      </w:r>
    </w:p>
    <w:p w:rsidR="00F25BDB" w:rsidRPr="00FB34D4" w:rsidRDefault="00F25BDB" w:rsidP="00FB34D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Documents evidencing each objection raised to and by the NamPower Board of Directors against awarding the tenders NPWR 2015/50 and 2016/16 to the applicant, including but not limited to those raised by Siemens and General Electric, directed to the NamPower Managing Director, the NamPower Tender Board and/or the Nampower Board of directors, about conflict of interest, between the period September 2016 to December 2016.</w:t>
      </w:r>
    </w:p>
    <w:p w:rsidR="00F25BDB" w:rsidRPr="00FB34D4" w:rsidRDefault="00F25BDB" w:rsidP="00FB34D4">
      <w:pPr>
        <w:pStyle w:val="ColorfulList-Accent1"/>
        <w:spacing w:line="360" w:lineRule="auto"/>
        <w:ind w:left="0"/>
        <w:contextualSpacing/>
        <w:jc w:val="both"/>
        <w:rPr>
          <w:rFonts w:ascii="Arial" w:hAnsi="Arial" w:cs="Arial"/>
        </w:rPr>
      </w:pPr>
    </w:p>
    <w:p w:rsidR="00F25BDB" w:rsidRPr="00FB34D4" w:rsidRDefault="00F25BDB"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Documents evidencing each action taken by NamPower management, the NamPower Tender Board and/or the NamPower Board of Directors following and/or in response to the objections raised against the award of tenders NPWR 2015/50 and 2016/16 to the applicant.</w:t>
      </w:r>
    </w:p>
    <w:p w:rsidR="00F25BDB" w:rsidRPr="00FB34D4" w:rsidRDefault="00F25BDB" w:rsidP="00FB34D4">
      <w:pPr>
        <w:pStyle w:val="ColorfulList-Accent1"/>
        <w:spacing w:line="360" w:lineRule="auto"/>
        <w:ind w:left="0"/>
        <w:contextualSpacing/>
        <w:jc w:val="both"/>
        <w:rPr>
          <w:rFonts w:ascii="Arial" w:hAnsi="Arial" w:cs="Arial"/>
        </w:rPr>
      </w:pPr>
    </w:p>
    <w:p w:rsidR="00FB34D4" w:rsidRPr="00FB34D4" w:rsidRDefault="00FB34D4"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The respondents to make copies of the requested documents available to the applicant for inspection and complying within 10 days.</w:t>
      </w:r>
    </w:p>
    <w:p w:rsidR="00FB34D4" w:rsidRPr="00FB34D4" w:rsidRDefault="00FB34D4" w:rsidP="00FB34D4">
      <w:pPr>
        <w:pStyle w:val="ListParagraph"/>
        <w:ind w:left="0"/>
        <w:rPr>
          <w:rFonts w:ascii="Arial" w:hAnsi="Arial" w:cs="Arial"/>
          <w:sz w:val="24"/>
          <w:szCs w:val="24"/>
        </w:rPr>
      </w:pPr>
    </w:p>
    <w:p w:rsidR="00FB34D4" w:rsidRPr="00FB34D4" w:rsidRDefault="00FB34D4"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In the event of confidentiality being claimed by the respondents in respect of a specific document, such issue is to be referred to the managing judge for directions.</w:t>
      </w:r>
    </w:p>
    <w:p w:rsidR="00FB34D4" w:rsidRPr="00FB34D4" w:rsidRDefault="00FB34D4" w:rsidP="00FB34D4">
      <w:pPr>
        <w:pStyle w:val="ListParagraph"/>
        <w:ind w:left="0"/>
        <w:rPr>
          <w:rFonts w:ascii="Arial" w:hAnsi="Arial" w:cs="Arial"/>
          <w:sz w:val="24"/>
          <w:szCs w:val="24"/>
        </w:rPr>
      </w:pPr>
    </w:p>
    <w:p w:rsidR="00FB34D4" w:rsidRPr="00FB34D4" w:rsidRDefault="00FB34D4"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The respondents are to supplement the record filed with the Registrar, within 5 days of having given the applicant access to the requested documents.</w:t>
      </w:r>
    </w:p>
    <w:p w:rsidR="00FB34D4" w:rsidRPr="00FB34D4" w:rsidRDefault="00FB34D4" w:rsidP="00FB34D4">
      <w:pPr>
        <w:pStyle w:val="ListParagraph"/>
        <w:ind w:left="0"/>
        <w:rPr>
          <w:rFonts w:ascii="Arial" w:hAnsi="Arial" w:cs="Arial"/>
          <w:sz w:val="24"/>
          <w:szCs w:val="24"/>
        </w:rPr>
      </w:pPr>
    </w:p>
    <w:p w:rsidR="00FB34D4" w:rsidRPr="00FB34D4" w:rsidRDefault="00FB34D4"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The respondents are to pay the applicant’s costs of this application not limited to N$20,000, as per rule 32(11), such to include the costs of employing one instructing counsel and tw</w:t>
      </w:r>
      <w:r w:rsidR="00277A41">
        <w:rPr>
          <w:rFonts w:ascii="Arial" w:hAnsi="Arial" w:cs="Arial"/>
        </w:rPr>
        <w:t>o</w:t>
      </w:r>
      <w:r w:rsidRPr="00FB34D4">
        <w:rPr>
          <w:rFonts w:ascii="Arial" w:hAnsi="Arial" w:cs="Arial"/>
        </w:rPr>
        <w:t xml:space="preserve"> instructed counsel.</w:t>
      </w:r>
    </w:p>
    <w:p w:rsidR="00FB34D4" w:rsidRPr="00FB34D4" w:rsidRDefault="00FB34D4" w:rsidP="00FB34D4">
      <w:pPr>
        <w:pStyle w:val="ListParagraph"/>
        <w:ind w:left="0"/>
        <w:rPr>
          <w:rFonts w:ascii="Arial" w:hAnsi="Arial" w:cs="Arial"/>
          <w:sz w:val="24"/>
          <w:szCs w:val="24"/>
        </w:rPr>
      </w:pPr>
    </w:p>
    <w:p w:rsidR="00F25BDB" w:rsidRPr="00FB34D4" w:rsidRDefault="00FB34D4" w:rsidP="00FB34D4">
      <w:pPr>
        <w:pStyle w:val="ColorfulList-Accent1"/>
        <w:numPr>
          <w:ilvl w:val="0"/>
          <w:numId w:val="42"/>
        </w:numPr>
        <w:spacing w:line="360" w:lineRule="auto"/>
        <w:ind w:left="567" w:hanging="567"/>
        <w:contextualSpacing/>
        <w:jc w:val="both"/>
        <w:rPr>
          <w:rFonts w:ascii="Arial" w:hAnsi="Arial" w:cs="Arial"/>
        </w:rPr>
      </w:pPr>
      <w:r w:rsidRPr="00FB34D4">
        <w:rPr>
          <w:rFonts w:ascii="Arial" w:hAnsi="Arial" w:cs="Arial"/>
        </w:rPr>
        <w:t xml:space="preserve">The matter is postponed to </w:t>
      </w:r>
      <w:r w:rsidRPr="00FB34D4">
        <w:rPr>
          <w:rFonts w:ascii="Arial" w:hAnsi="Arial" w:cs="Arial"/>
          <w:b/>
        </w:rPr>
        <w:t>18 October 2017</w:t>
      </w:r>
      <w:r w:rsidRPr="00FB34D4">
        <w:rPr>
          <w:rFonts w:ascii="Arial" w:hAnsi="Arial" w:cs="Arial"/>
        </w:rPr>
        <w:t xml:space="preserve"> at </w:t>
      </w:r>
      <w:r w:rsidRPr="00FB34D4">
        <w:rPr>
          <w:rFonts w:ascii="Arial" w:hAnsi="Arial" w:cs="Arial"/>
          <w:b/>
        </w:rPr>
        <w:t>08h30</w:t>
      </w:r>
      <w:r w:rsidRPr="00FB34D4">
        <w:rPr>
          <w:rFonts w:ascii="Arial" w:hAnsi="Arial" w:cs="Arial"/>
        </w:rPr>
        <w:t xml:space="preserve"> for case management conference.</w:t>
      </w:r>
    </w:p>
    <w:p w:rsidR="00F25BDB" w:rsidRPr="00FB34D4" w:rsidRDefault="00F25BDB" w:rsidP="00F25BDB">
      <w:pPr>
        <w:pStyle w:val="BodyText"/>
        <w:spacing w:line="360" w:lineRule="auto"/>
        <w:jc w:val="both"/>
        <w:rPr>
          <w:rFonts w:ascii="Arial" w:hAnsi="Arial" w:cs="Arial"/>
        </w:rPr>
      </w:pPr>
    </w:p>
    <w:p w:rsidR="001B7E1F" w:rsidRPr="00FB34D4" w:rsidRDefault="007100DD" w:rsidP="001B7E1F">
      <w:pPr>
        <w:spacing w:after="0" w:line="360" w:lineRule="auto"/>
        <w:jc w:val="both"/>
        <w:rPr>
          <w:rFonts w:ascii="Arial" w:hAnsi="Arial" w:cs="Arial"/>
          <w:bCs/>
          <w:sz w:val="24"/>
          <w:szCs w:val="24"/>
        </w:rPr>
      </w:pPr>
      <w:r w:rsidRPr="00FB34D4">
        <w:rPr>
          <w:rFonts w:ascii="Arial" w:hAnsi="Arial" w:cs="Arial"/>
          <w:bCs/>
          <w:sz w:val="24"/>
          <w:szCs w:val="24"/>
        </w:rPr>
        <w:pict>
          <v:rect id="_x0000_i1027" style="width:0;height:1.5pt" o:hralign="center" o:hrstd="t" o:hr="t" fillcolor="#a0a0a0" stroked="f"/>
        </w:pict>
      </w:r>
    </w:p>
    <w:p w:rsidR="001B7E1F" w:rsidRPr="00FB34D4" w:rsidRDefault="00EA7AEF" w:rsidP="001B7E1F">
      <w:pPr>
        <w:spacing w:after="0" w:line="360" w:lineRule="auto"/>
        <w:jc w:val="center"/>
        <w:rPr>
          <w:rFonts w:ascii="Arial" w:hAnsi="Arial" w:cs="Arial"/>
          <w:b/>
          <w:sz w:val="24"/>
          <w:szCs w:val="24"/>
        </w:rPr>
      </w:pPr>
      <w:r w:rsidRPr="00FB34D4">
        <w:rPr>
          <w:rFonts w:ascii="Arial" w:hAnsi="Arial" w:cs="Arial"/>
          <w:b/>
          <w:sz w:val="24"/>
          <w:szCs w:val="24"/>
        </w:rPr>
        <w:t>JUDGMENT</w:t>
      </w:r>
      <w:r w:rsidR="007100DD" w:rsidRPr="00FB34D4">
        <w:rPr>
          <w:rFonts w:ascii="Arial" w:hAnsi="Arial" w:cs="Arial"/>
          <w:bCs/>
          <w:sz w:val="24"/>
          <w:szCs w:val="24"/>
        </w:rPr>
        <w:pict>
          <v:rect id="_x0000_i1028" style="width:0;height:1.5pt" o:hralign="center" o:hrstd="t" o:hr="t" fillcolor="#a0a0a0" stroked="f"/>
        </w:pict>
      </w:r>
    </w:p>
    <w:p w:rsidR="001B7E1F" w:rsidRPr="00FB34D4" w:rsidRDefault="001B7E1F" w:rsidP="00F053AB">
      <w:pPr>
        <w:spacing w:after="0" w:line="360" w:lineRule="auto"/>
        <w:ind w:left="1440" w:hanging="1440"/>
        <w:jc w:val="both"/>
        <w:rPr>
          <w:rFonts w:ascii="Arial" w:hAnsi="Arial" w:cs="Arial"/>
          <w:sz w:val="24"/>
          <w:szCs w:val="24"/>
        </w:rPr>
      </w:pPr>
    </w:p>
    <w:p w:rsidR="001B7E1F" w:rsidRPr="00FB34D4" w:rsidRDefault="008A5C8E" w:rsidP="00F053AB">
      <w:pPr>
        <w:spacing w:after="0" w:line="360" w:lineRule="auto"/>
        <w:ind w:left="1440" w:hanging="1440"/>
        <w:jc w:val="both"/>
        <w:rPr>
          <w:rFonts w:ascii="Arial" w:hAnsi="Arial" w:cs="Arial"/>
          <w:b/>
          <w:i/>
          <w:sz w:val="24"/>
          <w:szCs w:val="24"/>
        </w:rPr>
      </w:pPr>
      <w:r w:rsidRPr="00FB34D4">
        <w:rPr>
          <w:rFonts w:ascii="Arial" w:hAnsi="Arial" w:cs="Arial"/>
          <w:sz w:val="24"/>
          <w:szCs w:val="24"/>
        </w:rPr>
        <w:t>ANGULA DJP</w:t>
      </w:r>
      <w:r w:rsidR="001B7E1F" w:rsidRPr="00FB34D4">
        <w:rPr>
          <w:rFonts w:ascii="Arial" w:hAnsi="Arial" w:cs="Arial"/>
          <w:sz w:val="24"/>
          <w:szCs w:val="24"/>
        </w:rPr>
        <w:t>:</w:t>
      </w:r>
    </w:p>
    <w:p w:rsidR="00833371" w:rsidRPr="00FB34D4" w:rsidRDefault="00833371" w:rsidP="00D22B43">
      <w:pPr>
        <w:spacing w:after="0" w:line="360" w:lineRule="auto"/>
        <w:jc w:val="both"/>
        <w:rPr>
          <w:rFonts w:ascii="Arial" w:hAnsi="Arial" w:cs="Arial"/>
          <w:sz w:val="24"/>
          <w:szCs w:val="24"/>
        </w:rPr>
      </w:pPr>
    </w:p>
    <w:p w:rsidR="00D22B43" w:rsidRPr="00FB34D4" w:rsidRDefault="00D22B43" w:rsidP="00D22B43">
      <w:pPr>
        <w:spacing w:after="0" w:line="360" w:lineRule="auto"/>
        <w:jc w:val="both"/>
        <w:rPr>
          <w:rFonts w:ascii="Arial" w:hAnsi="Arial" w:cs="Arial"/>
          <w:sz w:val="24"/>
          <w:szCs w:val="24"/>
          <w:u w:val="single"/>
        </w:rPr>
      </w:pPr>
      <w:r w:rsidRPr="00FB34D4">
        <w:rPr>
          <w:rFonts w:ascii="Arial" w:hAnsi="Arial" w:cs="Arial"/>
          <w:sz w:val="24"/>
          <w:szCs w:val="24"/>
          <w:u w:val="single"/>
        </w:rPr>
        <w:t>Introduction</w:t>
      </w:r>
    </w:p>
    <w:p w:rsidR="00D22B43" w:rsidRPr="00FB34D4" w:rsidRDefault="00D22B43" w:rsidP="00D22B43">
      <w:pPr>
        <w:spacing w:after="0" w:line="360" w:lineRule="auto"/>
        <w:jc w:val="both"/>
        <w:rPr>
          <w:rFonts w:ascii="Arial" w:hAnsi="Arial" w:cs="Arial"/>
          <w:sz w:val="24"/>
          <w:szCs w:val="24"/>
          <w:u w:val="single"/>
        </w:rPr>
      </w:pPr>
    </w:p>
    <w:p w:rsidR="0008515F" w:rsidRPr="00FB34D4" w:rsidRDefault="00D22B43" w:rsidP="00FB34D4">
      <w:pPr>
        <w:pStyle w:val="ColorfulList-Accent1"/>
        <w:spacing w:line="360" w:lineRule="auto"/>
        <w:ind w:left="0"/>
        <w:contextualSpacing/>
        <w:jc w:val="both"/>
        <w:rPr>
          <w:rFonts w:ascii="Arial" w:hAnsi="Arial" w:cs="Arial"/>
        </w:rPr>
      </w:pPr>
      <w:r w:rsidRPr="00FB34D4">
        <w:rPr>
          <w:rFonts w:ascii="Arial" w:hAnsi="Arial" w:cs="Arial"/>
        </w:rPr>
        <w:t>[1]</w:t>
      </w:r>
      <w:r w:rsidRPr="00FB34D4">
        <w:rPr>
          <w:rFonts w:ascii="Arial" w:hAnsi="Arial" w:cs="Arial"/>
        </w:rPr>
        <w:tab/>
      </w:r>
      <w:r w:rsidR="00277A41" w:rsidRPr="00FB34D4">
        <w:rPr>
          <w:rFonts w:ascii="Arial" w:hAnsi="Arial" w:cs="Arial"/>
        </w:rPr>
        <w:t>This is an interlocutory application where</w:t>
      </w:r>
      <w:r w:rsidR="00277A41">
        <w:rPr>
          <w:rFonts w:ascii="Arial" w:hAnsi="Arial" w:cs="Arial"/>
        </w:rPr>
        <w:t>in</w:t>
      </w:r>
      <w:r w:rsidR="00277A41" w:rsidRPr="00FB34D4">
        <w:rPr>
          <w:rFonts w:ascii="Arial" w:hAnsi="Arial" w:cs="Arial"/>
        </w:rPr>
        <w:t xml:space="preserve"> the applicant, in terms of rule 76(6)</w:t>
      </w:r>
      <w:r w:rsidR="00277A41" w:rsidRPr="00FB34D4">
        <w:rPr>
          <w:rStyle w:val="FootnoteReference"/>
          <w:rFonts w:ascii="Arial" w:hAnsi="Arial" w:cs="Arial"/>
        </w:rPr>
        <w:footnoteReference w:id="2"/>
      </w:r>
      <w:r w:rsidR="00277A41" w:rsidRPr="00FB34D4">
        <w:rPr>
          <w:rFonts w:ascii="Arial" w:hAnsi="Arial" w:cs="Arial"/>
        </w:rPr>
        <w:t xml:space="preserve"> and (7) of Court, seeks disclosure of a number of documents, which the applicant alleges are relevant to the</w:t>
      </w:r>
      <w:r w:rsidR="00277A41">
        <w:rPr>
          <w:rFonts w:ascii="Arial" w:hAnsi="Arial" w:cs="Arial"/>
        </w:rPr>
        <w:t xml:space="preserve"> two</w:t>
      </w:r>
      <w:r w:rsidR="00277A41" w:rsidRPr="00FB34D4">
        <w:rPr>
          <w:rFonts w:ascii="Arial" w:hAnsi="Arial" w:cs="Arial"/>
        </w:rPr>
        <w:t xml:space="preserve"> decisions sought to be </w:t>
      </w:r>
      <w:r w:rsidR="00277A41">
        <w:rPr>
          <w:rFonts w:ascii="Arial" w:hAnsi="Arial" w:cs="Arial"/>
        </w:rPr>
        <w:t xml:space="preserve">reviewed and </w:t>
      </w:r>
      <w:r w:rsidR="00277A41" w:rsidRPr="00FB34D4">
        <w:rPr>
          <w:rFonts w:ascii="Arial" w:hAnsi="Arial" w:cs="Arial"/>
        </w:rPr>
        <w:t>set aside in the main review application</w:t>
      </w:r>
      <w:r w:rsidR="0008515F" w:rsidRPr="00FB34D4">
        <w:rPr>
          <w:rFonts w:ascii="Arial" w:hAnsi="Arial" w:cs="Arial"/>
        </w:rPr>
        <w:t>.</w:t>
      </w:r>
    </w:p>
    <w:p w:rsidR="0008515F" w:rsidRPr="00FB34D4" w:rsidRDefault="0008515F" w:rsidP="00FB34D4">
      <w:pPr>
        <w:pStyle w:val="ColorfulList-Accent1"/>
        <w:spacing w:line="360" w:lineRule="auto"/>
        <w:ind w:left="0"/>
        <w:contextualSpacing/>
        <w:jc w:val="both"/>
        <w:rPr>
          <w:rFonts w:ascii="Arial" w:hAnsi="Arial" w:cs="Arial"/>
        </w:rPr>
      </w:pPr>
    </w:p>
    <w:p w:rsidR="0008515F" w:rsidRPr="00FB34D4" w:rsidRDefault="0008515F" w:rsidP="00FB34D4">
      <w:pPr>
        <w:pStyle w:val="BodyText"/>
        <w:spacing w:line="360" w:lineRule="auto"/>
        <w:jc w:val="both"/>
        <w:rPr>
          <w:rFonts w:ascii="Arial" w:hAnsi="Arial" w:cs="Arial"/>
        </w:rPr>
      </w:pPr>
      <w:r w:rsidRPr="00FB34D4">
        <w:rPr>
          <w:rFonts w:ascii="Arial" w:hAnsi="Arial" w:cs="Arial"/>
        </w:rPr>
        <w:t>[2]</w:t>
      </w:r>
      <w:r w:rsidRPr="00FB34D4">
        <w:rPr>
          <w:rFonts w:ascii="Arial" w:hAnsi="Arial" w:cs="Arial"/>
        </w:rPr>
        <w:tab/>
      </w:r>
      <w:r w:rsidR="00277A41" w:rsidRPr="00FB34D4">
        <w:rPr>
          <w:rFonts w:ascii="Arial" w:hAnsi="Arial" w:cs="Arial"/>
        </w:rPr>
        <w:t>The decisions concerned the cancellation by the Board Directors of Nampower of Tender NPWR/2016/16 for the construction of the new Masivi and Shiyambi Substations, as communicated to the applicant on 16 February 2017, as well as the cancellation of Tender NPWR/2015/50 for the construction of the new Kunene Substations and the Omatando Substation Extensions, communicated to the applicant on 16 February 2017</w:t>
      </w:r>
      <w:r w:rsidRPr="00FB34D4">
        <w:rPr>
          <w:rFonts w:ascii="Arial" w:hAnsi="Arial" w:cs="Arial"/>
        </w:rPr>
        <w:t>.</w:t>
      </w:r>
    </w:p>
    <w:p w:rsidR="00FB34D4" w:rsidRPr="00FB34D4" w:rsidRDefault="00FB34D4" w:rsidP="00FB34D4">
      <w:pPr>
        <w:pStyle w:val="BodyText"/>
        <w:spacing w:line="360" w:lineRule="auto"/>
        <w:jc w:val="both"/>
        <w:rPr>
          <w:rFonts w:ascii="Arial" w:hAnsi="Arial" w:cs="Arial"/>
        </w:rPr>
      </w:pPr>
    </w:p>
    <w:p w:rsidR="00697F97" w:rsidRPr="00FB34D4" w:rsidRDefault="00697F97" w:rsidP="00FB34D4">
      <w:pPr>
        <w:pStyle w:val="BodyText"/>
        <w:spacing w:line="360" w:lineRule="auto"/>
        <w:jc w:val="both"/>
        <w:rPr>
          <w:rFonts w:ascii="Arial" w:hAnsi="Arial" w:cs="Arial"/>
        </w:rPr>
      </w:pPr>
      <w:r w:rsidRPr="00FB34D4">
        <w:rPr>
          <w:rFonts w:ascii="Arial" w:hAnsi="Arial" w:cs="Arial"/>
        </w:rPr>
        <w:t>[3]</w:t>
      </w:r>
      <w:r w:rsidRPr="00FB34D4">
        <w:rPr>
          <w:rFonts w:ascii="Arial" w:hAnsi="Arial" w:cs="Arial"/>
        </w:rPr>
        <w:tab/>
      </w:r>
      <w:r w:rsidR="00277A41" w:rsidRPr="00FB34D4">
        <w:rPr>
          <w:rFonts w:ascii="Arial" w:hAnsi="Arial" w:cs="Arial"/>
        </w:rPr>
        <w:t>The applicant further seeks an order directing the Central Procurement Board of Namibia to consider all the tender bids in respect of the aforesaid tenders and further, that if the Central Procurement Board of Namibia contemplates cancelling the aforesaid tenders, that it be directed to communicate the reasons of such intention to the tenderers and afford them an opportunity to make representations thereon</w:t>
      </w:r>
      <w:r w:rsidR="009C6326" w:rsidRPr="00FB34D4">
        <w:rPr>
          <w:rFonts w:ascii="Arial" w:hAnsi="Arial" w:cs="Arial"/>
        </w:rPr>
        <w:t>.</w:t>
      </w:r>
    </w:p>
    <w:p w:rsidR="00697F97" w:rsidRPr="00FB34D4" w:rsidRDefault="00697F97" w:rsidP="0008515F">
      <w:pPr>
        <w:pStyle w:val="BodyText"/>
        <w:spacing w:line="360" w:lineRule="auto"/>
        <w:jc w:val="both"/>
        <w:rPr>
          <w:rFonts w:ascii="Arial" w:hAnsi="Arial" w:cs="Arial"/>
        </w:rPr>
      </w:pPr>
    </w:p>
    <w:p w:rsidR="00C63F52" w:rsidRPr="00FB34D4" w:rsidRDefault="00697F97" w:rsidP="0017270C">
      <w:pPr>
        <w:spacing w:after="0" w:line="360" w:lineRule="auto"/>
        <w:jc w:val="both"/>
        <w:rPr>
          <w:rFonts w:ascii="Arial" w:hAnsi="Arial" w:cs="Arial"/>
          <w:sz w:val="24"/>
          <w:szCs w:val="24"/>
        </w:rPr>
      </w:pPr>
      <w:r w:rsidRPr="00FB34D4">
        <w:rPr>
          <w:rFonts w:ascii="Arial" w:eastAsia="Times New Roman" w:hAnsi="Arial" w:cs="Arial"/>
          <w:sz w:val="24"/>
          <w:szCs w:val="24"/>
          <w:lang w:val="en-GB"/>
        </w:rPr>
        <w:t>[4]</w:t>
      </w:r>
      <w:r w:rsidRPr="00FB34D4">
        <w:rPr>
          <w:rFonts w:ascii="Arial" w:eastAsia="Times New Roman" w:hAnsi="Arial" w:cs="Arial"/>
          <w:sz w:val="24"/>
          <w:szCs w:val="24"/>
          <w:lang w:val="en-GB"/>
        </w:rPr>
        <w:tab/>
      </w:r>
      <w:r w:rsidR="00277A41" w:rsidRPr="00FB34D4">
        <w:rPr>
          <w:rFonts w:ascii="Arial" w:eastAsia="Times New Roman" w:hAnsi="Arial" w:cs="Arial"/>
          <w:sz w:val="24"/>
          <w:szCs w:val="24"/>
          <w:lang w:val="en-GB"/>
        </w:rPr>
        <w:t>The applicant contends that the decisions were taken by an unauthorised body (the Board of Directors instead of the Tender Board) without a preceding recommendations made by the Evaluation Committee to the Tender Board as required by clause 32 of NamPower’s Tender and the Procurement Policy, without affording the applicant an opportunity to be heard in circumstances where it was imperative to have done so; without any lawful reason for the decisions; and on the basis of false allegations</w:t>
      </w:r>
      <w:r w:rsidR="00C63F52" w:rsidRPr="00FB34D4">
        <w:rPr>
          <w:rFonts w:ascii="Arial" w:eastAsia="Times New Roman" w:hAnsi="Arial" w:cs="Arial"/>
          <w:sz w:val="24"/>
          <w:szCs w:val="24"/>
          <w:lang w:val="en-GB"/>
        </w:rPr>
        <w:t>.</w:t>
      </w:r>
    </w:p>
    <w:p w:rsidR="00FE2B73" w:rsidRPr="00B54654" w:rsidRDefault="00FE2B73" w:rsidP="00D22B43">
      <w:pPr>
        <w:pStyle w:val="ColorfulList-Accent1"/>
        <w:spacing w:line="360" w:lineRule="auto"/>
        <w:ind w:left="0"/>
        <w:contextualSpacing/>
        <w:jc w:val="both"/>
        <w:rPr>
          <w:rFonts w:ascii="Arial" w:hAnsi="Arial" w:cs="Arial"/>
        </w:rPr>
      </w:pPr>
    </w:p>
    <w:p w:rsidR="00D71AAE" w:rsidRPr="00B54654" w:rsidRDefault="005147F0" w:rsidP="00D22B43">
      <w:pPr>
        <w:pStyle w:val="ColorfulList-Accent1"/>
        <w:spacing w:line="360" w:lineRule="auto"/>
        <w:ind w:left="0"/>
        <w:contextualSpacing/>
        <w:jc w:val="both"/>
        <w:rPr>
          <w:rFonts w:ascii="Arial" w:hAnsi="Arial" w:cs="Arial"/>
        </w:rPr>
      </w:pPr>
      <w:r w:rsidRPr="00B54654">
        <w:rPr>
          <w:rFonts w:ascii="Arial" w:hAnsi="Arial" w:cs="Arial"/>
        </w:rPr>
        <w:t>[</w:t>
      </w:r>
      <w:r w:rsidR="009C6326" w:rsidRPr="00B54654">
        <w:rPr>
          <w:rFonts w:ascii="Arial" w:hAnsi="Arial" w:cs="Arial"/>
        </w:rPr>
        <w:t>5</w:t>
      </w:r>
      <w:r w:rsidR="00FB34D4">
        <w:rPr>
          <w:rFonts w:ascii="Arial" w:hAnsi="Arial" w:cs="Arial"/>
        </w:rPr>
        <w:t>]</w:t>
      </w:r>
      <w:r w:rsidRPr="00B54654">
        <w:rPr>
          <w:rFonts w:ascii="Arial" w:hAnsi="Arial" w:cs="Arial"/>
        </w:rPr>
        <w:tab/>
      </w:r>
      <w:r w:rsidR="00277A41" w:rsidRPr="00B54654">
        <w:rPr>
          <w:rFonts w:ascii="Arial" w:hAnsi="Arial" w:cs="Arial"/>
        </w:rPr>
        <w:t>The application is opposed by the first, second and third respondents who in this judgment, are collectively referred to as ‘the respondents’</w:t>
      </w:r>
      <w:r w:rsidR="00D71AAE" w:rsidRPr="00B54654">
        <w:rPr>
          <w:rFonts w:ascii="Arial" w:hAnsi="Arial" w:cs="Arial"/>
        </w:rPr>
        <w:t xml:space="preserve">. </w:t>
      </w:r>
    </w:p>
    <w:p w:rsidR="00F42B60" w:rsidRPr="00B54654" w:rsidRDefault="00F42B60" w:rsidP="00D22B43">
      <w:pPr>
        <w:pStyle w:val="ColorfulList-Accent1"/>
        <w:spacing w:line="360" w:lineRule="auto"/>
        <w:ind w:left="0"/>
        <w:contextualSpacing/>
        <w:jc w:val="both"/>
        <w:rPr>
          <w:rFonts w:ascii="Arial" w:hAnsi="Arial" w:cs="Arial"/>
        </w:rPr>
      </w:pPr>
    </w:p>
    <w:p w:rsidR="00537BF0" w:rsidRPr="00B54654" w:rsidRDefault="009C6326" w:rsidP="00D22B43">
      <w:pPr>
        <w:pStyle w:val="ColorfulList-Accent1"/>
        <w:spacing w:line="360" w:lineRule="auto"/>
        <w:ind w:left="0"/>
        <w:contextualSpacing/>
        <w:jc w:val="both"/>
        <w:rPr>
          <w:rFonts w:ascii="Arial" w:hAnsi="Arial" w:cs="Arial"/>
        </w:rPr>
      </w:pPr>
      <w:r w:rsidRPr="00B54654">
        <w:rPr>
          <w:rFonts w:ascii="Arial" w:hAnsi="Arial" w:cs="Arial"/>
        </w:rPr>
        <w:t>[6</w:t>
      </w:r>
      <w:r w:rsidR="00D71AAE" w:rsidRPr="00B54654">
        <w:rPr>
          <w:rFonts w:ascii="Arial" w:hAnsi="Arial" w:cs="Arial"/>
        </w:rPr>
        <w:t>]</w:t>
      </w:r>
      <w:r w:rsidRPr="00B54654">
        <w:rPr>
          <w:rFonts w:ascii="Arial" w:hAnsi="Arial" w:cs="Arial"/>
        </w:rPr>
        <w:tab/>
      </w:r>
      <w:r w:rsidR="00277A41" w:rsidRPr="00B54654">
        <w:rPr>
          <w:rFonts w:ascii="Arial" w:hAnsi="Arial" w:cs="Arial"/>
        </w:rPr>
        <w:t>The applicant seeks disclosure of the following document</w:t>
      </w:r>
      <w:r w:rsidR="00537BF0" w:rsidRPr="00B54654">
        <w:rPr>
          <w:rFonts w:ascii="Arial" w:hAnsi="Arial" w:cs="Arial"/>
        </w:rPr>
        <w:t>:</w:t>
      </w:r>
    </w:p>
    <w:p w:rsidR="00537BF0" w:rsidRPr="00B54654" w:rsidRDefault="00537BF0" w:rsidP="00D22B43">
      <w:pPr>
        <w:pStyle w:val="ColorfulList-Accent1"/>
        <w:spacing w:line="360" w:lineRule="auto"/>
        <w:ind w:left="0"/>
        <w:contextualSpacing/>
        <w:jc w:val="both"/>
        <w:rPr>
          <w:rFonts w:ascii="Arial" w:hAnsi="Arial" w:cs="Arial"/>
        </w:rPr>
      </w:pPr>
    </w:p>
    <w:p w:rsidR="00537BF0" w:rsidRPr="00FB34D4" w:rsidRDefault="00FB34D4" w:rsidP="00FB34D4">
      <w:pPr>
        <w:tabs>
          <w:tab w:val="left" w:pos="1276"/>
        </w:tabs>
        <w:spacing w:after="0" w:line="360" w:lineRule="auto"/>
        <w:ind w:left="720"/>
        <w:jc w:val="both"/>
        <w:rPr>
          <w:rFonts w:ascii="Arial" w:eastAsia="Times New Roman" w:hAnsi="Arial" w:cs="Arial"/>
          <w:lang w:val="en-GB"/>
        </w:rPr>
      </w:pPr>
      <w:r>
        <w:rPr>
          <w:rFonts w:ascii="Arial" w:eastAsia="Times New Roman" w:hAnsi="Arial" w:cs="Arial"/>
          <w:lang w:val="en-GB"/>
        </w:rPr>
        <w:t>‘</w:t>
      </w:r>
      <w:r w:rsidR="00537BF0" w:rsidRPr="00FB34D4">
        <w:rPr>
          <w:rFonts w:ascii="Arial" w:eastAsia="Times New Roman" w:hAnsi="Arial" w:cs="Arial"/>
          <w:lang w:val="en-GB"/>
        </w:rPr>
        <w:t>1.</w:t>
      </w:r>
      <w:r w:rsidR="00537BF0" w:rsidRPr="00FB34D4">
        <w:rPr>
          <w:rFonts w:ascii="Arial" w:eastAsia="Times New Roman" w:hAnsi="Arial" w:cs="Arial"/>
          <w:lang w:val="en-GB"/>
        </w:rPr>
        <w:tab/>
        <w:t>All Tender Evaluation Reports for Tender NPWR 2015/50 and NPWR 2016/16, which had to have been prepared in terms of the first respondent’s Tender and Procurement Policy Clause 29, specifically 29.8 (Page 34 of 60).</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FB34D4">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2.</w:t>
      </w:r>
      <w:r w:rsidRPr="00FB34D4">
        <w:rPr>
          <w:rFonts w:ascii="Arial" w:eastAsia="Times New Roman" w:hAnsi="Arial" w:cs="Arial"/>
          <w:lang w:val="en-GB"/>
        </w:rPr>
        <w:tab/>
        <w:t>All Tender Board Recommendation Forms (signed by Head of Tender Evaluation team, Chairperson of Tender Board &amp; MD for NPWR 2015/50 and NPWR 2016/16.</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D17E55">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3.</w:t>
      </w:r>
      <w:r w:rsidRPr="00FB34D4">
        <w:rPr>
          <w:rFonts w:ascii="Arial" w:eastAsia="Times New Roman" w:hAnsi="Arial" w:cs="Arial"/>
          <w:lang w:val="en-GB"/>
        </w:rPr>
        <w:tab/>
        <w:t>Minutes of each NamPower Tender Board Meeting where Tender NPWR 2015/50 and NPWR 2016/16 was discussed.</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FB34D4">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4.</w:t>
      </w:r>
      <w:r w:rsidRPr="00FB34D4">
        <w:rPr>
          <w:rFonts w:ascii="Arial" w:eastAsia="Times New Roman" w:hAnsi="Arial" w:cs="Arial"/>
          <w:lang w:val="en-GB"/>
        </w:rPr>
        <w:tab/>
        <w:t>Minutes of each NamPower Board Tender Committee Meeting where Tender NPWR 2015/50 and NPWR 2016/16 was discussed.</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D17E55">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5.</w:t>
      </w:r>
      <w:r w:rsidRPr="00FB34D4">
        <w:rPr>
          <w:rFonts w:ascii="Arial" w:eastAsia="Times New Roman" w:hAnsi="Arial" w:cs="Arial"/>
          <w:lang w:val="en-GB"/>
        </w:rPr>
        <w:tab/>
        <w:t>8 February 2017 NamPower Board of Directors Meeting minutes, referred to in discovered 15 February 2017 Board meeting minutes.</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D17E55">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6.</w:t>
      </w:r>
      <w:r w:rsidRPr="00FB34D4">
        <w:rPr>
          <w:rFonts w:ascii="Arial" w:eastAsia="Times New Roman" w:hAnsi="Arial" w:cs="Arial"/>
          <w:lang w:val="en-GB"/>
        </w:rPr>
        <w:tab/>
        <w:t>13 December 2016 NamPower Board of Directors Meeting minutes when the NamPower Board allegedly resolved to block the award of the two tenders NPWR 2015/50 and NPWR 2016/16 to the applicant, notwithstanding the recommendations from the internal Tender Board to award the tenders to the applicant, allegedly due to a conflict of interest.</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D17E55">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7.</w:t>
      </w:r>
      <w:r w:rsidRPr="00FB34D4">
        <w:rPr>
          <w:rFonts w:ascii="Arial" w:eastAsia="Times New Roman" w:hAnsi="Arial" w:cs="Arial"/>
          <w:lang w:val="en-GB"/>
        </w:rPr>
        <w:tab/>
        <w:t>Documents evidencing each objection raised to and by the NamPower Board of Directors against awarding the tenders NPWR 2015/50 and NPWR 2016/16 to the applicant, including but not limited to those raised by Siemens and General Electric, directed to the NamPower Managing Director, the NamPower Tender Board and/or the NamPower Board of Directors, and which served before the Nampower Tender Board and/or the NamPower Board of directors, about conflict of interest, between the period September 2016 to December 2016.</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D17E55">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8.</w:t>
      </w:r>
      <w:r w:rsidRPr="00FB34D4">
        <w:rPr>
          <w:rFonts w:ascii="Arial" w:eastAsia="Times New Roman" w:hAnsi="Arial" w:cs="Arial"/>
          <w:lang w:val="en-GB"/>
        </w:rPr>
        <w:tab/>
        <w:t>Documents evidencing each action taken by NamPower management, the NamPower Tender Board and/or the NamPower Board of Directors following and/or in response to the objections raised against the award of tenders NPWR 2015/50 and 2016/16 to the applicant.</w:t>
      </w:r>
    </w:p>
    <w:p w:rsidR="00537BF0" w:rsidRPr="00FB34D4" w:rsidRDefault="00537BF0" w:rsidP="00FB34D4">
      <w:pPr>
        <w:spacing w:after="0" w:line="360" w:lineRule="auto"/>
        <w:ind w:left="720"/>
        <w:jc w:val="both"/>
        <w:rPr>
          <w:rFonts w:ascii="Arial" w:eastAsia="Times New Roman" w:hAnsi="Arial" w:cs="Arial"/>
          <w:lang w:val="en-GB"/>
        </w:rPr>
      </w:pPr>
    </w:p>
    <w:p w:rsidR="00537BF0" w:rsidRPr="00FB34D4" w:rsidRDefault="00537BF0" w:rsidP="00D17E55">
      <w:pPr>
        <w:tabs>
          <w:tab w:val="left" w:pos="1276"/>
        </w:tabs>
        <w:spacing w:after="0" w:line="360" w:lineRule="auto"/>
        <w:ind w:left="720"/>
        <w:jc w:val="both"/>
        <w:rPr>
          <w:rFonts w:ascii="Arial" w:eastAsia="Times New Roman" w:hAnsi="Arial" w:cs="Arial"/>
          <w:lang w:val="en-GB"/>
        </w:rPr>
      </w:pPr>
      <w:r w:rsidRPr="00FB34D4">
        <w:rPr>
          <w:rFonts w:ascii="Arial" w:eastAsia="Times New Roman" w:hAnsi="Arial" w:cs="Arial"/>
          <w:lang w:val="en-GB"/>
        </w:rPr>
        <w:t>9.</w:t>
      </w:r>
      <w:r w:rsidRPr="00FB34D4">
        <w:rPr>
          <w:rFonts w:ascii="Arial" w:eastAsia="Times New Roman" w:hAnsi="Arial" w:cs="Arial"/>
          <w:lang w:val="en-GB"/>
        </w:rPr>
        <w:tab/>
        <w:t>All minutes, recommendation and presentations and similar documents related to tenders NPWR 2015/50 and NPWR 2016/16, which are not specifically identified here, but which served before the NamPower Tender Board and/or the NamPower Board of Directors when it discussed and/or made decisions regarding tenders NPWR 2015/50 and NPWR 2016/16.</w:t>
      </w:r>
    </w:p>
    <w:p w:rsidR="00537BF0" w:rsidRPr="00B54654" w:rsidRDefault="00537BF0" w:rsidP="00537BF0">
      <w:pPr>
        <w:spacing w:after="0" w:line="360" w:lineRule="auto"/>
        <w:jc w:val="both"/>
        <w:rPr>
          <w:rFonts w:ascii="Arial" w:eastAsia="Times New Roman" w:hAnsi="Arial" w:cs="Arial"/>
          <w:sz w:val="24"/>
          <w:szCs w:val="24"/>
          <w:lang w:val="en-GB"/>
        </w:rPr>
      </w:pPr>
    </w:p>
    <w:p w:rsidR="00537BF0" w:rsidRPr="00B54654" w:rsidRDefault="009C6326" w:rsidP="006170E8">
      <w:pPr>
        <w:spacing w:after="0" w:line="360" w:lineRule="auto"/>
        <w:jc w:val="both"/>
        <w:rPr>
          <w:rFonts w:ascii="Arial" w:eastAsia="Times New Roman" w:hAnsi="Arial" w:cs="Arial"/>
          <w:sz w:val="24"/>
          <w:szCs w:val="24"/>
          <w:lang w:val="en-GB"/>
        </w:rPr>
      </w:pPr>
      <w:r w:rsidRPr="00B54654">
        <w:rPr>
          <w:rFonts w:ascii="Arial" w:eastAsia="Times New Roman" w:hAnsi="Arial" w:cs="Arial"/>
          <w:sz w:val="24"/>
          <w:szCs w:val="24"/>
          <w:lang w:val="en-GB"/>
        </w:rPr>
        <w:t>Upon disclosure the appli</w:t>
      </w:r>
      <w:r w:rsidR="00D17E55">
        <w:rPr>
          <w:rFonts w:ascii="Arial" w:eastAsia="Times New Roman" w:hAnsi="Arial" w:cs="Arial"/>
          <w:sz w:val="24"/>
          <w:szCs w:val="24"/>
          <w:lang w:val="en-GB"/>
        </w:rPr>
        <w:t>cant wishes in terms of rule 76</w:t>
      </w:r>
      <w:r w:rsidRPr="00B54654">
        <w:rPr>
          <w:rFonts w:ascii="Arial" w:eastAsia="Times New Roman" w:hAnsi="Arial" w:cs="Arial"/>
          <w:sz w:val="24"/>
          <w:szCs w:val="24"/>
          <w:lang w:val="en-GB"/>
        </w:rPr>
        <w:t xml:space="preserve">(7) to </w:t>
      </w:r>
      <w:r w:rsidR="006170E8" w:rsidRPr="00B54654">
        <w:rPr>
          <w:rFonts w:ascii="Arial" w:eastAsia="Times New Roman" w:hAnsi="Arial" w:cs="Arial"/>
          <w:sz w:val="24"/>
          <w:szCs w:val="24"/>
          <w:lang w:val="en-GB"/>
        </w:rPr>
        <w:t xml:space="preserve">inspect and </w:t>
      </w:r>
      <w:r w:rsidRPr="00B54654">
        <w:rPr>
          <w:rFonts w:ascii="Arial" w:eastAsia="Times New Roman" w:hAnsi="Arial" w:cs="Arial"/>
          <w:sz w:val="24"/>
          <w:szCs w:val="24"/>
          <w:lang w:val="en-GB"/>
        </w:rPr>
        <w:t xml:space="preserve">make </w:t>
      </w:r>
      <w:r w:rsidR="00537BF0" w:rsidRPr="00B54654">
        <w:rPr>
          <w:rFonts w:ascii="Arial" w:eastAsia="Times New Roman" w:hAnsi="Arial" w:cs="Arial"/>
          <w:sz w:val="24"/>
          <w:szCs w:val="24"/>
          <w:lang w:val="en-GB"/>
        </w:rPr>
        <w:t xml:space="preserve">copies of the </w:t>
      </w:r>
      <w:r w:rsidRPr="00B54654">
        <w:rPr>
          <w:rFonts w:ascii="Arial" w:eastAsia="Times New Roman" w:hAnsi="Arial" w:cs="Arial"/>
          <w:sz w:val="24"/>
          <w:szCs w:val="24"/>
          <w:lang w:val="en-GB"/>
        </w:rPr>
        <w:t>documents so disclosed</w:t>
      </w:r>
      <w:r w:rsidR="00D17E55">
        <w:rPr>
          <w:rFonts w:ascii="Arial" w:eastAsia="Times New Roman" w:hAnsi="Arial" w:cs="Arial"/>
          <w:sz w:val="24"/>
          <w:szCs w:val="24"/>
          <w:lang w:val="en-GB"/>
        </w:rPr>
        <w:t>.</w:t>
      </w:r>
    </w:p>
    <w:p w:rsidR="00537BF0" w:rsidRPr="00B54654" w:rsidRDefault="00537BF0" w:rsidP="00D22B43">
      <w:pPr>
        <w:pStyle w:val="ColorfulList-Accent1"/>
        <w:spacing w:line="360" w:lineRule="auto"/>
        <w:ind w:left="0"/>
        <w:contextualSpacing/>
        <w:jc w:val="both"/>
        <w:rPr>
          <w:rFonts w:ascii="Arial" w:hAnsi="Arial" w:cs="Arial"/>
        </w:rPr>
      </w:pPr>
    </w:p>
    <w:p w:rsidR="00537BF0" w:rsidRPr="00B54654" w:rsidRDefault="00537BF0" w:rsidP="00D22B43">
      <w:pPr>
        <w:pStyle w:val="ColorfulList-Accent1"/>
        <w:spacing w:line="360" w:lineRule="auto"/>
        <w:ind w:left="0"/>
        <w:contextualSpacing/>
        <w:jc w:val="both"/>
        <w:rPr>
          <w:rFonts w:ascii="Arial" w:hAnsi="Arial" w:cs="Arial"/>
          <w:u w:val="single"/>
        </w:rPr>
      </w:pPr>
      <w:r w:rsidRPr="00B54654">
        <w:rPr>
          <w:rFonts w:ascii="Arial" w:hAnsi="Arial" w:cs="Arial"/>
          <w:u w:val="single"/>
        </w:rPr>
        <w:t>Background</w:t>
      </w:r>
    </w:p>
    <w:p w:rsidR="00537BF0" w:rsidRPr="00B54654" w:rsidRDefault="00537BF0" w:rsidP="00D22B43">
      <w:pPr>
        <w:pStyle w:val="ColorfulList-Accent1"/>
        <w:spacing w:line="360" w:lineRule="auto"/>
        <w:ind w:left="0"/>
        <w:contextualSpacing/>
        <w:jc w:val="both"/>
        <w:rPr>
          <w:rFonts w:ascii="Arial" w:hAnsi="Arial" w:cs="Arial"/>
          <w:u w:val="single"/>
        </w:rPr>
      </w:pPr>
    </w:p>
    <w:p w:rsidR="00F42B60" w:rsidRPr="00B54654" w:rsidRDefault="006170E8" w:rsidP="00D22B43">
      <w:pPr>
        <w:pStyle w:val="ColorfulList-Accent1"/>
        <w:spacing w:line="360" w:lineRule="auto"/>
        <w:ind w:left="0"/>
        <w:contextualSpacing/>
        <w:jc w:val="both"/>
        <w:rPr>
          <w:rFonts w:ascii="Arial" w:hAnsi="Arial" w:cs="Arial"/>
        </w:rPr>
      </w:pPr>
      <w:r w:rsidRPr="00B54654">
        <w:rPr>
          <w:rFonts w:ascii="Arial" w:hAnsi="Arial" w:cs="Arial"/>
        </w:rPr>
        <w:t>[7</w:t>
      </w:r>
      <w:r w:rsidR="00537BF0" w:rsidRPr="00B54654">
        <w:rPr>
          <w:rFonts w:ascii="Arial" w:hAnsi="Arial" w:cs="Arial"/>
        </w:rPr>
        <w:t>]</w:t>
      </w:r>
      <w:r w:rsidR="00537BF0" w:rsidRPr="00B54654">
        <w:rPr>
          <w:rFonts w:ascii="Arial" w:hAnsi="Arial" w:cs="Arial"/>
        </w:rPr>
        <w:tab/>
      </w:r>
      <w:r w:rsidR="006B72D1" w:rsidRPr="00B54654">
        <w:rPr>
          <w:rFonts w:ascii="Arial" w:hAnsi="Arial" w:cs="Arial"/>
        </w:rPr>
        <w:t>It is necessary to briefly set out the background preceding the launching of this application</w:t>
      </w:r>
      <w:r w:rsidR="00D17E55">
        <w:rPr>
          <w:rFonts w:ascii="Arial" w:hAnsi="Arial" w:cs="Arial"/>
        </w:rPr>
        <w:t>.</w:t>
      </w:r>
    </w:p>
    <w:p w:rsidR="0017270C" w:rsidRPr="00B54654" w:rsidRDefault="0017270C" w:rsidP="00D22B43">
      <w:pPr>
        <w:pStyle w:val="ColorfulList-Accent1"/>
        <w:spacing w:line="360" w:lineRule="auto"/>
        <w:ind w:left="0"/>
        <w:contextualSpacing/>
        <w:jc w:val="both"/>
        <w:rPr>
          <w:rFonts w:ascii="Arial" w:hAnsi="Arial" w:cs="Arial"/>
        </w:rPr>
      </w:pPr>
    </w:p>
    <w:p w:rsidR="0017270C" w:rsidRPr="00B54654" w:rsidRDefault="0017270C" w:rsidP="00D22B43">
      <w:pPr>
        <w:pStyle w:val="ColorfulList-Accent1"/>
        <w:spacing w:line="360" w:lineRule="auto"/>
        <w:ind w:left="0"/>
        <w:contextualSpacing/>
        <w:jc w:val="both"/>
        <w:rPr>
          <w:rFonts w:ascii="Arial" w:hAnsi="Arial" w:cs="Arial"/>
        </w:rPr>
      </w:pPr>
      <w:r w:rsidRPr="00B54654">
        <w:rPr>
          <w:rFonts w:ascii="Arial" w:hAnsi="Arial" w:cs="Arial"/>
        </w:rPr>
        <w:t>[</w:t>
      </w:r>
      <w:r w:rsidR="00D17E55">
        <w:rPr>
          <w:rFonts w:ascii="Arial" w:hAnsi="Arial" w:cs="Arial"/>
        </w:rPr>
        <w:t>8</w:t>
      </w:r>
      <w:r w:rsidRPr="00B54654">
        <w:rPr>
          <w:rFonts w:ascii="Arial" w:hAnsi="Arial" w:cs="Arial"/>
        </w:rPr>
        <w:t>]</w:t>
      </w:r>
      <w:r w:rsidRPr="00B54654">
        <w:rPr>
          <w:rFonts w:ascii="Arial" w:hAnsi="Arial" w:cs="Arial"/>
        </w:rPr>
        <w:tab/>
      </w:r>
      <w:r w:rsidR="006B72D1" w:rsidRPr="00B54654">
        <w:rPr>
          <w:rFonts w:ascii="Arial" w:hAnsi="Arial" w:cs="Arial"/>
        </w:rPr>
        <w:t>On 9 June the applicant delivered to the responden</w:t>
      </w:r>
      <w:r w:rsidR="006B72D1">
        <w:rPr>
          <w:rFonts w:ascii="Arial" w:hAnsi="Arial" w:cs="Arial"/>
        </w:rPr>
        <w:t>ts a notice in terms of rule 76</w:t>
      </w:r>
      <w:r w:rsidR="006B72D1" w:rsidRPr="00B54654">
        <w:rPr>
          <w:rFonts w:ascii="Arial" w:hAnsi="Arial" w:cs="Arial"/>
        </w:rPr>
        <w:t>(6) and (7). In response to the notice the respondents first filed edited minutes of the Board Meet</w:t>
      </w:r>
      <w:r w:rsidR="006B72D1">
        <w:rPr>
          <w:rFonts w:ascii="Arial" w:hAnsi="Arial" w:cs="Arial"/>
        </w:rPr>
        <w:t>ing minutes of 8 February 2017</w:t>
      </w:r>
      <w:r w:rsidR="00D17E55">
        <w:rPr>
          <w:rFonts w:ascii="Arial" w:hAnsi="Arial" w:cs="Arial"/>
        </w:rPr>
        <w:t>.</w:t>
      </w:r>
    </w:p>
    <w:p w:rsidR="005147F0" w:rsidRPr="00B54654" w:rsidRDefault="005147F0" w:rsidP="00D22B43">
      <w:pPr>
        <w:pStyle w:val="ColorfulList-Accent1"/>
        <w:spacing w:line="360" w:lineRule="auto"/>
        <w:ind w:left="0"/>
        <w:contextualSpacing/>
        <w:jc w:val="both"/>
        <w:rPr>
          <w:rFonts w:ascii="Arial" w:hAnsi="Arial" w:cs="Arial"/>
        </w:rPr>
      </w:pPr>
    </w:p>
    <w:p w:rsidR="0024184C" w:rsidRPr="00B54654" w:rsidRDefault="008256CE" w:rsidP="0006728A">
      <w:pPr>
        <w:pStyle w:val="ColorfulList-Accent1"/>
        <w:spacing w:line="360" w:lineRule="auto"/>
        <w:ind w:left="0"/>
        <w:contextualSpacing/>
        <w:jc w:val="both"/>
        <w:rPr>
          <w:rFonts w:ascii="Arial" w:hAnsi="Arial" w:cs="Arial"/>
        </w:rPr>
      </w:pPr>
      <w:r w:rsidRPr="00B54654">
        <w:rPr>
          <w:rFonts w:ascii="Arial" w:hAnsi="Arial" w:cs="Arial"/>
        </w:rPr>
        <w:t>[</w:t>
      </w:r>
      <w:r w:rsidR="00D17E55">
        <w:rPr>
          <w:rFonts w:ascii="Arial" w:hAnsi="Arial" w:cs="Arial"/>
        </w:rPr>
        <w:t>9</w:t>
      </w:r>
      <w:r w:rsidR="00F42B60" w:rsidRPr="00B54654">
        <w:rPr>
          <w:rFonts w:ascii="Arial" w:hAnsi="Arial" w:cs="Arial"/>
        </w:rPr>
        <w:t xml:space="preserve">] </w:t>
      </w:r>
      <w:r w:rsidR="00F42B60" w:rsidRPr="00B54654">
        <w:rPr>
          <w:rFonts w:ascii="Arial" w:hAnsi="Arial" w:cs="Arial"/>
        </w:rPr>
        <w:tab/>
      </w:r>
      <w:r w:rsidR="006B72D1" w:rsidRPr="00B54654">
        <w:rPr>
          <w:rFonts w:ascii="Arial" w:hAnsi="Arial" w:cs="Arial"/>
        </w:rPr>
        <w:t xml:space="preserve">On 16 June 2016, the respondents legal practitioners addressed a letter to the applicant’s legal practitioners in which it refused to discover </w:t>
      </w:r>
      <w:r w:rsidR="006B72D1">
        <w:rPr>
          <w:rFonts w:ascii="Arial" w:hAnsi="Arial" w:cs="Arial"/>
        </w:rPr>
        <w:t xml:space="preserve">the </w:t>
      </w:r>
      <w:r w:rsidR="006B72D1" w:rsidRPr="00B54654">
        <w:rPr>
          <w:rFonts w:ascii="Arial" w:hAnsi="Arial" w:cs="Arial"/>
        </w:rPr>
        <w:t xml:space="preserve">documents listed in the notice asserting inter alia that the documents sought for discovery were </w:t>
      </w:r>
      <w:r w:rsidR="006B72D1">
        <w:rPr>
          <w:rFonts w:ascii="Arial" w:hAnsi="Arial" w:cs="Arial"/>
        </w:rPr>
        <w:t>‘</w:t>
      </w:r>
      <w:r w:rsidR="006B72D1" w:rsidRPr="00B54654">
        <w:rPr>
          <w:rFonts w:ascii="Arial" w:hAnsi="Arial" w:cs="Arial"/>
        </w:rPr>
        <w:t>not relevant</w:t>
      </w:r>
      <w:r w:rsidR="006B72D1">
        <w:rPr>
          <w:rFonts w:ascii="Arial" w:hAnsi="Arial" w:cs="Arial"/>
        </w:rPr>
        <w:t>’</w:t>
      </w:r>
      <w:r w:rsidR="006B72D1" w:rsidRPr="00B54654">
        <w:rPr>
          <w:rFonts w:ascii="Arial" w:hAnsi="Arial" w:cs="Arial"/>
        </w:rPr>
        <w:t xml:space="preserve"> to the decision sought to be reviewed; that the document were </w:t>
      </w:r>
      <w:r w:rsidR="006B72D1">
        <w:rPr>
          <w:rFonts w:ascii="Arial" w:hAnsi="Arial" w:cs="Arial"/>
        </w:rPr>
        <w:t>‘</w:t>
      </w:r>
      <w:r w:rsidR="006B72D1" w:rsidRPr="00B54654">
        <w:rPr>
          <w:rFonts w:ascii="Arial" w:hAnsi="Arial" w:cs="Arial"/>
        </w:rPr>
        <w:t>confidential</w:t>
      </w:r>
      <w:r w:rsidR="006B72D1">
        <w:rPr>
          <w:rFonts w:ascii="Arial" w:hAnsi="Arial" w:cs="Arial"/>
        </w:rPr>
        <w:t>’</w:t>
      </w:r>
      <w:r w:rsidR="006B72D1" w:rsidRPr="00B54654">
        <w:rPr>
          <w:rFonts w:ascii="Arial" w:hAnsi="Arial" w:cs="Arial"/>
        </w:rPr>
        <w:t xml:space="preserve"> by virtue of Nampower Procurement Policy; and finally that the documents were not </w:t>
      </w:r>
      <w:r w:rsidR="006B72D1">
        <w:rPr>
          <w:rFonts w:ascii="Arial" w:hAnsi="Arial" w:cs="Arial"/>
        </w:rPr>
        <w:t>‘</w:t>
      </w:r>
      <w:r w:rsidR="006B72D1" w:rsidRPr="00B54654">
        <w:rPr>
          <w:rFonts w:ascii="Arial" w:hAnsi="Arial" w:cs="Arial"/>
        </w:rPr>
        <w:t>reasonably identified</w:t>
      </w:r>
      <w:r w:rsidR="006B72D1">
        <w:rPr>
          <w:rFonts w:ascii="Arial" w:hAnsi="Arial" w:cs="Arial"/>
        </w:rPr>
        <w:t>’</w:t>
      </w:r>
      <w:r w:rsidR="00AA6DF7" w:rsidRPr="00B54654">
        <w:rPr>
          <w:rFonts w:ascii="Arial" w:hAnsi="Arial" w:cs="Arial"/>
        </w:rPr>
        <w:t>.</w:t>
      </w:r>
    </w:p>
    <w:p w:rsidR="00931A01" w:rsidRPr="00B54654" w:rsidRDefault="00931A01" w:rsidP="00D22B43">
      <w:pPr>
        <w:pStyle w:val="ColorfulList-Accent1"/>
        <w:spacing w:line="360" w:lineRule="auto"/>
        <w:ind w:left="0"/>
        <w:contextualSpacing/>
        <w:jc w:val="both"/>
        <w:rPr>
          <w:rFonts w:ascii="Arial" w:hAnsi="Arial" w:cs="Arial"/>
        </w:rPr>
      </w:pPr>
    </w:p>
    <w:p w:rsidR="00C01C4F" w:rsidRPr="00B54654" w:rsidRDefault="00433616" w:rsidP="00D22B43">
      <w:pPr>
        <w:pStyle w:val="ColorfulList-Accent1"/>
        <w:spacing w:line="360" w:lineRule="auto"/>
        <w:ind w:left="0"/>
        <w:contextualSpacing/>
        <w:jc w:val="both"/>
        <w:rPr>
          <w:rFonts w:ascii="Arial" w:hAnsi="Arial" w:cs="Arial"/>
        </w:rPr>
      </w:pPr>
      <w:r w:rsidRPr="00B54654">
        <w:rPr>
          <w:rFonts w:ascii="Arial" w:hAnsi="Arial" w:cs="Arial"/>
        </w:rPr>
        <w:t>[</w:t>
      </w:r>
      <w:r w:rsidR="00D17E55">
        <w:rPr>
          <w:rFonts w:ascii="Arial" w:hAnsi="Arial" w:cs="Arial"/>
        </w:rPr>
        <w:t>10</w:t>
      </w:r>
      <w:r w:rsidR="00BA31C8" w:rsidRPr="00B54654">
        <w:rPr>
          <w:rFonts w:ascii="Arial" w:hAnsi="Arial" w:cs="Arial"/>
        </w:rPr>
        <w:t>]</w:t>
      </w:r>
      <w:r w:rsidR="00BA31C8" w:rsidRPr="00B54654">
        <w:rPr>
          <w:rFonts w:ascii="Arial" w:hAnsi="Arial" w:cs="Arial"/>
        </w:rPr>
        <w:tab/>
      </w:r>
      <w:r w:rsidR="006B72D1" w:rsidRPr="00B54654">
        <w:rPr>
          <w:rFonts w:ascii="Arial" w:hAnsi="Arial" w:cs="Arial"/>
        </w:rPr>
        <w:t>Thereafter on 11</w:t>
      </w:r>
      <w:r w:rsidR="006B72D1">
        <w:rPr>
          <w:rFonts w:ascii="Arial" w:hAnsi="Arial" w:cs="Arial"/>
        </w:rPr>
        <w:t xml:space="preserve"> </w:t>
      </w:r>
      <w:r w:rsidR="006B72D1" w:rsidRPr="00B54654">
        <w:rPr>
          <w:rFonts w:ascii="Arial" w:hAnsi="Arial" w:cs="Arial"/>
        </w:rPr>
        <w:t xml:space="preserve">July 2017 the applicant’s legal practitioners responded to the respondents’ legal practitioner letter of 16 June 2017, in which they drew the respondents’ attention to the well-established principles of law pertaining to review proceedings and further highlighted the nature and import of proceedings envisaged in rule 76 of Court. The letter further reiterated and stressed </w:t>
      </w:r>
      <w:r w:rsidR="006B72D1">
        <w:rPr>
          <w:rFonts w:ascii="Arial" w:hAnsi="Arial" w:cs="Arial"/>
        </w:rPr>
        <w:t xml:space="preserve">that </w:t>
      </w:r>
      <w:r w:rsidR="006B72D1" w:rsidRPr="00B54654">
        <w:rPr>
          <w:rFonts w:ascii="Arial" w:hAnsi="Arial" w:cs="Arial"/>
        </w:rPr>
        <w:t>the respondents’ need</w:t>
      </w:r>
      <w:r w:rsidR="006B72D1">
        <w:rPr>
          <w:rFonts w:ascii="Arial" w:hAnsi="Arial" w:cs="Arial"/>
        </w:rPr>
        <w:t>ed</w:t>
      </w:r>
      <w:r w:rsidR="006B72D1" w:rsidRPr="00B54654">
        <w:rPr>
          <w:rFonts w:ascii="Arial" w:hAnsi="Arial" w:cs="Arial"/>
        </w:rPr>
        <w:t xml:space="preserve"> to comply with the notice to discover in an endeavour curb costly proceedings</w:t>
      </w:r>
      <w:r w:rsidR="00D74A47" w:rsidRPr="00B54654">
        <w:rPr>
          <w:rFonts w:ascii="Arial" w:hAnsi="Arial" w:cs="Arial"/>
        </w:rPr>
        <w:t>.</w:t>
      </w:r>
    </w:p>
    <w:p w:rsidR="00C01C4F" w:rsidRPr="00B54654" w:rsidRDefault="00C01C4F" w:rsidP="00D22B43">
      <w:pPr>
        <w:pStyle w:val="ColorfulList-Accent1"/>
        <w:spacing w:line="360" w:lineRule="auto"/>
        <w:ind w:left="0"/>
        <w:contextualSpacing/>
        <w:jc w:val="both"/>
        <w:rPr>
          <w:rFonts w:ascii="Arial" w:hAnsi="Arial" w:cs="Arial"/>
        </w:rPr>
      </w:pPr>
    </w:p>
    <w:p w:rsidR="00A4471A" w:rsidRPr="00B54654" w:rsidRDefault="00C01C4F" w:rsidP="00D22B43">
      <w:pPr>
        <w:pStyle w:val="ColorfulList-Accent1"/>
        <w:spacing w:line="360" w:lineRule="auto"/>
        <w:ind w:left="0"/>
        <w:contextualSpacing/>
        <w:jc w:val="both"/>
        <w:rPr>
          <w:rFonts w:ascii="Arial" w:hAnsi="Arial" w:cs="Arial"/>
        </w:rPr>
      </w:pPr>
      <w:r w:rsidRPr="00B54654">
        <w:rPr>
          <w:rFonts w:ascii="Arial" w:hAnsi="Arial" w:cs="Arial"/>
        </w:rPr>
        <w:t>[</w:t>
      </w:r>
      <w:r w:rsidR="00D17E55">
        <w:rPr>
          <w:rFonts w:ascii="Arial" w:hAnsi="Arial" w:cs="Arial"/>
        </w:rPr>
        <w:t>11</w:t>
      </w:r>
      <w:r w:rsidRPr="00B54654">
        <w:rPr>
          <w:rFonts w:ascii="Arial" w:hAnsi="Arial" w:cs="Arial"/>
        </w:rPr>
        <w:t>]</w:t>
      </w:r>
      <w:r w:rsidRPr="00B54654">
        <w:rPr>
          <w:rFonts w:ascii="Arial" w:hAnsi="Arial" w:cs="Arial"/>
        </w:rPr>
        <w:tab/>
      </w:r>
      <w:r w:rsidR="006B72D1" w:rsidRPr="00B54654">
        <w:rPr>
          <w:rFonts w:ascii="Arial" w:hAnsi="Arial" w:cs="Arial"/>
        </w:rPr>
        <w:t>On 14 July 2017, the respondents’ legal practitioners reiterated their earlier stance. The letter further advised that they were in the process to determin</w:t>
      </w:r>
      <w:r w:rsidR="006B72D1">
        <w:rPr>
          <w:rFonts w:ascii="Arial" w:hAnsi="Arial" w:cs="Arial"/>
        </w:rPr>
        <w:t>ing whether</w:t>
      </w:r>
      <w:r w:rsidR="006B72D1" w:rsidRPr="00B54654">
        <w:rPr>
          <w:rFonts w:ascii="Arial" w:hAnsi="Arial" w:cs="Arial"/>
        </w:rPr>
        <w:t xml:space="preserve"> if any other documents exist pertaining to the decision to cancel the tenders</w:t>
      </w:r>
      <w:r w:rsidR="00F4573F" w:rsidRPr="00B54654">
        <w:rPr>
          <w:rFonts w:ascii="Arial" w:hAnsi="Arial" w:cs="Arial"/>
        </w:rPr>
        <w:t>.</w:t>
      </w:r>
    </w:p>
    <w:p w:rsidR="00F4573F" w:rsidRPr="00B54654" w:rsidRDefault="00F4573F" w:rsidP="00D22B43">
      <w:pPr>
        <w:pStyle w:val="ColorfulList-Accent1"/>
        <w:spacing w:line="360" w:lineRule="auto"/>
        <w:ind w:left="0"/>
        <w:contextualSpacing/>
        <w:jc w:val="both"/>
        <w:rPr>
          <w:rFonts w:ascii="Arial" w:hAnsi="Arial" w:cs="Arial"/>
        </w:rPr>
      </w:pPr>
    </w:p>
    <w:p w:rsidR="00F4573F" w:rsidRPr="00B54654" w:rsidRDefault="00F4573F" w:rsidP="00D22B43">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2</w:t>
      </w:r>
      <w:r w:rsidRPr="00B54654">
        <w:rPr>
          <w:rFonts w:ascii="Arial" w:hAnsi="Arial" w:cs="Arial"/>
        </w:rPr>
        <w:t>]</w:t>
      </w:r>
      <w:r w:rsidRPr="00B54654">
        <w:rPr>
          <w:rFonts w:ascii="Arial" w:hAnsi="Arial" w:cs="Arial"/>
        </w:rPr>
        <w:tab/>
      </w:r>
      <w:r w:rsidR="006B72D1" w:rsidRPr="00B54654">
        <w:rPr>
          <w:rFonts w:ascii="Arial" w:hAnsi="Arial" w:cs="Arial"/>
        </w:rPr>
        <w:t>A status report was subsequently file</w:t>
      </w:r>
      <w:r w:rsidR="006B72D1">
        <w:rPr>
          <w:rFonts w:ascii="Arial" w:hAnsi="Arial" w:cs="Arial"/>
        </w:rPr>
        <w:t>d</w:t>
      </w:r>
      <w:r w:rsidR="006B72D1" w:rsidRPr="00B54654">
        <w:rPr>
          <w:rFonts w:ascii="Arial" w:hAnsi="Arial" w:cs="Arial"/>
        </w:rPr>
        <w:t xml:space="preserve"> stating inter alia that a dispute </w:t>
      </w:r>
      <w:r w:rsidR="006B72D1">
        <w:rPr>
          <w:rFonts w:ascii="Arial" w:hAnsi="Arial" w:cs="Arial"/>
        </w:rPr>
        <w:t>arose</w:t>
      </w:r>
      <w:r w:rsidR="006B72D1" w:rsidRPr="00B54654">
        <w:rPr>
          <w:rStyle w:val="FootnoteReference"/>
          <w:rFonts w:ascii="Arial" w:hAnsi="Arial" w:cs="Arial"/>
        </w:rPr>
        <w:footnoteReference w:id="3"/>
      </w:r>
      <w:r w:rsidR="006B72D1" w:rsidRPr="00B54654">
        <w:rPr>
          <w:rFonts w:ascii="Arial" w:hAnsi="Arial" w:cs="Arial"/>
        </w:rPr>
        <w:t xml:space="preserve"> as to whether further documents should be discovered</w:t>
      </w:r>
      <w:r w:rsidRPr="00B54654">
        <w:rPr>
          <w:rFonts w:ascii="Arial" w:hAnsi="Arial" w:cs="Arial"/>
        </w:rPr>
        <w:t>.</w:t>
      </w:r>
    </w:p>
    <w:p w:rsidR="00B707E2" w:rsidRPr="00B54654" w:rsidRDefault="00B707E2" w:rsidP="00D22B43">
      <w:pPr>
        <w:pStyle w:val="ColorfulList-Accent1"/>
        <w:spacing w:line="360" w:lineRule="auto"/>
        <w:ind w:left="0"/>
        <w:contextualSpacing/>
        <w:jc w:val="both"/>
        <w:rPr>
          <w:rFonts w:ascii="Arial" w:hAnsi="Arial" w:cs="Arial"/>
        </w:rPr>
      </w:pPr>
    </w:p>
    <w:p w:rsidR="00B707E2" w:rsidRPr="00B54654" w:rsidRDefault="00B707E2" w:rsidP="00D22B43">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3</w:t>
      </w:r>
      <w:r w:rsidRPr="00B54654">
        <w:rPr>
          <w:rFonts w:ascii="Arial" w:hAnsi="Arial" w:cs="Arial"/>
        </w:rPr>
        <w:t>]</w:t>
      </w:r>
      <w:r w:rsidRPr="00B54654">
        <w:rPr>
          <w:rFonts w:ascii="Arial" w:hAnsi="Arial" w:cs="Arial"/>
        </w:rPr>
        <w:tab/>
        <w:t xml:space="preserve">Thereafter the parties appeared in chambers and allocated a date for hearing of </w:t>
      </w:r>
      <w:r w:rsidR="00D17E55" w:rsidRPr="00B54654">
        <w:rPr>
          <w:rFonts w:ascii="Arial" w:hAnsi="Arial" w:cs="Arial"/>
        </w:rPr>
        <w:t>arguments</w:t>
      </w:r>
      <w:r w:rsidR="006B72D1">
        <w:rPr>
          <w:rFonts w:ascii="Arial" w:hAnsi="Arial" w:cs="Arial"/>
        </w:rPr>
        <w:t xml:space="preserve"> on the issue of further discovery</w:t>
      </w:r>
      <w:r w:rsidRPr="00B54654">
        <w:rPr>
          <w:rFonts w:ascii="Arial" w:hAnsi="Arial" w:cs="Arial"/>
        </w:rPr>
        <w:t>.</w:t>
      </w:r>
    </w:p>
    <w:p w:rsidR="00F4573F" w:rsidRPr="00B54654" w:rsidRDefault="00F4573F" w:rsidP="00D22B43">
      <w:pPr>
        <w:pStyle w:val="ColorfulList-Accent1"/>
        <w:spacing w:line="360" w:lineRule="auto"/>
        <w:ind w:left="0"/>
        <w:contextualSpacing/>
        <w:jc w:val="both"/>
        <w:rPr>
          <w:rFonts w:ascii="Arial" w:hAnsi="Arial" w:cs="Arial"/>
        </w:rPr>
      </w:pPr>
    </w:p>
    <w:p w:rsidR="00A4471A" w:rsidRPr="00B54654" w:rsidRDefault="00A4471A" w:rsidP="00D22B43">
      <w:pPr>
        <w:pStyle w:val="ColorfulList-Accent1"/>
        <w:spacing w:line="360" w:lineRule="auto"/>
        <w:ind w:left="0"/>
        <w:contextualSpacing/>
        <w:jc w:val="both"/>
        <w:rPr>
          <w:rFonts w:ascii="Arial" w:hAnsi="Arial" w:cs="Arial"/>
          <w:u w:val="single"/>
        </w:rPr>
      </w:pPr>
      <w:r w:rsidRPr="00B54654">
        <w:rPr>
          <w:rFonts w:ascii="Arial" w:hAnsi="Arial" w:cs="Arial"/>
          <w:u w:val="single"/>
        </w:rPr>
        <w:t>Issue</w:t>
      </w:r>
      <w:r w:rsidR="000328B4" w:rsidRPr="00B54654">
        <w:rPr>
          <w:rFonts w:ascii="Arial" w:hAnsi="Arial" w:cs="Arial"/>
          <w:u w:val="single"/>
        </w:rPr>
        <w:t xml:space="preserve"> for determination</w:t>
      </w:r>
    </w:p>
    <w:p w:rsidR="00D74A47" w:rsidRPr="00B54654" w:rsidRDefault="00D74A47" w:rsidP="00D22B43">
      <w:pPr>
        <w:pStyle w:val="ColorfulList-Accent1"/>
        <w:spacing w:line="360" w:lineRule="auto"/>
        <w:ind w:left="0"/>
        <w:contextualSpacing/>
        <w:jc w:val="both"/>
        <w:rPr>
          <w:rFonts w:ascii="Arial" w:hAnsi="Arial" w:cs="Arial"/>
        </w:rPr>
      </w:pPr>
    </w:p>
    <w:p w:rsidR="00A4471A" w:rsidRPr="00B54654" w:rsidRDefault="00D17E55" w:rsidP="004755BF">
      <w:pPr>
        <w:pStyle w:val="ColorfulList-Accent1"/>
        <w:spacing w:line="360" w:lineRule="auto"/>
        <w:ind w:left="0"/>
        <w:contextualSpacing/>
        <w:jc w:val="both"/>
        <w:rPr>
          <w:rFonts w:ascii="Arial" w:hAnsi="Arial" w:cs="Arial"/>
        </w:rPr>
      </w:pPr>
      <w:r>
        <w:rPr>
          <w:rFonts w:ascii="Arial" w:hAnsi="Arial" w:cs="Arial"/>
        </w:rPr>
        <w:t>[14</w:t>
      </w:r>
      <w:r w:rsidR="004755BF" w:rsidRPr="00B54654">
        <w:rPr>
          <w:rFonts w:ascii="Arial" w:hAnsi="Arial" w:cs="Arial"/>
        </w:rPr>
        <w:t>]</w:t>
      </w:r>
      <w:r w:rsidR="004755BF" w:rsidRPr="00B54654">
        <w:rPr>
          <w:rFonts w:ascii="Arial" w:hAnsi="Arial" w:cs="Arial"/>
        </w:rPr>
        <w:tab/>
      </w:r>
      <w:r w:rsidR="00CB4B5D" w:rsidRPr="00B54654">
        <w:rPr>
          <w:rFonts w:ascii="Arial" w:hAnsi="Arial" w:cs="Arial"/>
        </w:rPr>
        <w:t xml:space="preserve">Falling for determination is </w:t>
      </w:r>
      <w:r w:rsidR="00CB4B5D">
        <w:rPr>
          <w:rFonts w:ascii="Arial" w:hAnsi="Arial" w:cs="Arial"/>
        </w:rPr>
        <w:t xml:space="preserve">therefore </w:t>
      </w:r>
      <w:r w:rsidR="00CB4B5D" w:rsidRPr="00B54654">
        <w:rPr>
          <w:rFonts w:ascii="Arial" w:hAnsi="Arial" w:cs="Arial"/>
        </w:rPr>
        <w:t>whether the applicant is entitled to discovery of the documents listed in the notice in terms of rule 76(6)</w:t>
      </w:r>
      <w:r w:rsidR="00B707E2" w:rsidRPr="00B54654">
        <w:rPr>
          <w:rFonts w:ascii="Arial" w:hAnsi="Arial" w:cs="Arial"/>
        </w:rPr>
        <w:t>.</w:t>
      </w:r>
    </w:p>
    <w:p w:rsidR="00A4471A" w:rsidRPr="00B54654" w:rsidRDefault="00A4471A" w:rsidP="004755BF">
      <w:pPr>
        <w:pStyle w:val="ColorfulList-Accent1"/>
        <w:spacing w:line="360" w:lineRule="auto"/>
        <w:ind w:left="0"/>
        <w:contextualSpacing/>
        <w:jc w:val="both"/>
        <w:rPr>
          <w:rFonts w:ascii="Arial" w:hAnsi="Arial" w:cs="Arial"/>
        </w:rPr>
      </w:pPr>
    </w:p>
    <w:p w:rsidR="00931A01" w:rsidRPr="00B54654" w:rsidRDefault="00931A01" w:rsidP="004755BF">
      <w:pPr>
        <w:pStyle w:val="ColorfulList-Accent1"/>
        <w:spacing w:line="360" w:lineRule="auto"/>
        <w:ind w:left="0"/>
        <w:contextualSpacing/>
        <w:jc w:val="both"/>
        <w:rPr>
          <w:rFonts w:ascii="Arial" w:hAnsi="Arial" w:cs="Arial"/>
          <w:u w:val="single"/>
        </w:rPr>
      </w:pPr>
      <w:r w:rsidRPr="00B54654">
        <w:rPr>
          <w:rFonts w:ascii="Arial" w:hAnsi="Arial" w:cs="Arial"/>
          <w:u w:val="single"/>
        </w:rPr>
        <w:t>Scope of application</w:t>
      </w:r>
    </w:p>
    <w:p w:rsidR="00931A01" w:rsidRPr="00B54654" w:rsidRDefault="00931A01" w:rsidP="004755BF">
      <w:pPr>
        <w:pStyle w:val="ColorfulList-Accent1"/>
        <w:spacing w:line="360" w:lineRule="auto"/>
        <w:ind w:left="0"/>
        <w:contextualSpacing/>
        <w:jc w:val="both"/>
        <w:rPr>
          <w:rFonts w:ascii="Arial" w:hAnsi="Arial" w:cs="Arial"/>
          <w:u w:val="single"/>
        </w:rPr>
      </w:pPr>
    </w:p>
    <w:p w:rsidR="004755BF" w:rsidRPr="00B54654" w:rsidRDefault="00433616" w:rsidP="004755BF">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5</w:t>
      </w:r>
      <w:r w:rsidR="00A4471A" w:rsidRPr="00B54654">
        <w:rPr>
          <w:rFonts w:ascii="Arial" w:hAnsi="Arial" w:cs="Arial"/>
        </w:rPr>
        <w:t>]</w:t>
      </w:r>
      <w:r w:rsidR="00A4471A" w:rsidRPr="00B54654">
        <w:rPr>
          <w:rFonts w:ascii="Arial" w:hAnsi="Arial" w:cs="Arial"/>
        </w:rPr>
        <w:tab/>
      </w:r>
      <w:r w:rsidR="00CB4B5D" w:rsidRPr="00B54654">
        <w:rPr>
          <w:rFonts w:ascii="Arial" w:hAnsi="Arial" w:cs="Arial"/>
        </w:rPr>
        <w:t>It might be necessary to record that this application is to be adjudicated strictly with reference to the following documents filed of record:</w:t>
      </w:r>
    </w:p>
    <w:p w:rsidR="004755BF" w:rsidRPr="00B54654" w:rsidRDefault="004755BF" w:rsidP="004755BF">
      <w:pPr>
        <w:pStyle w:val="ColorfulList-Accent1"/>
        <w:spacing w:line="360" w:lineRule="auto"/>
        <w:ind w:left="0"/>
        <w:contextualSpacing/>
        <w:jc w:val="both"/>
        <w:rPr>
          <w:rFonts w:ascii="Arial" w:hAnsi="Arial" w:cs="Arial"/>
        </w:rPr>
      </w:pPr>
    </w:p>
    <w:p w:rsidR="004755BF" w:rsidRPr="00B54654" w:rsidRDefault="004755BF" w:rsidP="00D17E55">
      <w:pPr>
        <w:pStyle w:val="ColorfulList-Accent1"/>
        <w:tabs>
          <w:tab w:val="left" w:pos="1276"/>
        </w:tabs>
        <w:spacing w:line="360" w:lineRule="auto"/>
        <w:ind w:left="709"/>
        <w:contextualSpacing/>
        <w:jc w:val="both"/>
        <w:rPr>
          <w:rFonts w:ascii="Arial" w:hAnsi="Arial" w:cs="Arial"/>
        </w:rPr>
      </w:pPr>
      <w:r w:rsidRPr="00B54654">
        <w:rPr>
          <w:rFonts w:ascii="Arial" w:hAnsi="Arial" w:cs="Arial"/>
        </w:rPr>
        <w:t>(a)</w:t>
      </w:r>
      <w:r w:rsidRPr="00B54654">
        <w:rPr>
          <w:rFonts w:ascii="Arial" w:hAnsi="Arial" w:cs="Arial"/>
        </w:rPr>
        <w:tab/>
      </w:r>
      <w:r w:rsidR="00CB4B5D" w:rsidRPr="00B54654">
        <w:rPr>
          <w:rFonts w:ascii="Arial" w:hAnsi="Arial" w:cs="Arial"/>
        </w:rPr>
        <w:t>the applicant’s founding papers in the main proceedings</w:t>
      </w:r>
      <w:r w:rsidRPr="00B54654">
        <w:rPr>
          <w:rFonts w:ascii="Arial" w:hAnsi="Arial" w:cs="Arial"/>
        </w:rPr>
        <w:t>;</w:t>
      </w:r>
    </w:p>
    <w:p w:rsidR="004755BF" w:rsidRPr="00B54654" w:rsidRDefault="004755BF" w:rsidP="004755BF">
      <w:pPr>
        <w:pStyle w:val="ColorfulList-Accent1"/>
        <w:spacing w:line="360" w:lineRule="auto"/>
        <w:ind w:left="0"/>
        <w:contextualSpacing/>
        <w:jc w:val="both"/>
        <w:rPr>
          <w:rFonts w:ascii="Arial" w:hAnsi="Arial" w:cs="Arial"/>
        </w:rPr>
      </w:pPr>
    </w:p>
    <w:p w:rsidR="004755BF" w:rsidRPr="00B54654" w:rsidRDefault="004755BF" w:rsidP="00D17E55">
      <w:pPr>
        <w:pStyle w:val="ColorfulList-Accent1"/>
        <w:spacing w:line="360" w:lineRule="auto"/>
        <w:ind w:left="1276" w:hanging="567"/>
        <w:contextualSpacing/>
        <w:jc w:val="both"/>
        <w:rPr>
          <w:rFonts w:ascii="Arial" w:hAnsi="Arial" w:cs="Arial"/>
        </w:rPr>
      </w:pPr>
      <w:r w:rsidRPr="00B54654">
        <w:rPr>
          <w:rFonts w:ascii="Arial" w:hAnsi="Arial" w:cs="Arial"/>
        </w:rPr>
        <w:t>(b)</w:t>
      </w:r>
      <w:r w:rsidRPr="00B54654">
        <w:rPr>
          <w:rFonts w:ascii="Arial" w:hAnsi="Arial" w:cs="Arial"/>
        </w:rPr>
        <w:tab/>
      </w:r>
      <w:r w:rsidR="00CB4B5D" w:rsidRPr="00B54654">
        <w:rPr>
          <w:rFonts w:ascii="Arial" w:hAnsi="Arial" w:cs="Arial"/>
        </w:rPr>
        <w:t>the review record disclosed by the respondents (being extracts of the Board Meeting Minutes of 8 and 15 February 2017)</w:t>
      </w:r>
      <w:r w:rsidRPr="00B54654">
        <w:rPr>
          <w:rFonts w:ascii="Arial" w:hAnsi="Arial" w:cs="Arial"/>
        </w:rPr>
        <w:t>;</w:t>
      </w:r>
    </w:p>
    <w:p w:rsidR="004755BF" w:rsidRPr="00B54654" w:rsidRDefault="004755BF" w:rsidP="004755BF">
      <w:pPr>
        <w:pStyle w:val="ColorfulList-Accent1"/>
        <w:spacing w:line="360" w:lineRule="auto"/>
        <w:ind w:left="0"/>
        <w:contextualSpacing/>
        <w:jc w:val="both"/>
        <w:rPr>
          <w:rFonts w:ascii="Arial" w:hAnsi="Arial" w:cs="Arial"/>
        </w:rPr>
      </w:pPr>
    </w:p>
    <w:p w:rsidR="004755BF" w:rsidRPr="00B54654" w:rsidRDefault="004755BF" w:rsidP="00D17E55">
      <w:pPr>
        <w:pStyle w:val="ColorfulList-Accent1"/>
        <w:tabs>
          <w:tab w:val="left" w:pos="1276"/>
        </w:tabs>
        <w:spacing w:line="360" w:lineRule="auto"/>
        <w:ind w:left="709"/>
        <w:contextualSpacing/>
        <w:jc w:val="both"/>
        <w:rPr>
          <w:rFonts w:ascii="Arial" w:hAnsi="Arial" w:cs="Arial"/>
        </w:rPr>
      </w:pPr>
      <w:r w:rsidRPr="00B54654">
        <w:rPr>
          <w:rFonts w:ascii="Arial" w:hAnsi="Arial" w:cs="Arial"/>
        </w:rPr>
        <w:t>(c)</w:t>
      </w:r>
      <w:r w:rsidRPr="00B54654">
        <w:rPr>
          <w:rFonts w:ascii="Arial" w:hAnsi="Arial" w:cs="Arial"/>
        </w:rPr>
        <w:tab/>
      </w:r>
      <w:r w:rsidR="00CB4B5D" w:rsidRPr="00B54654">
        <w:rPr>
          <w:rFonts w:ascii="Arial" w:hAnsi="Arial" w:cs="Arial"/>
        </w:rPr>
        <w:t>the applicant’s notice in terms of rule 76; and</w:t>
      </w:r>
    </w:p>
    <w:p w:rsidR="004755BF" w:rsidRPr="00B54654" w:rsidRDefault="004755BF" w:rsidP="00D17E55">
      <w:pPr>
        <w:pStyle w:val="ColorfulList-Accent1"/>
        <w:spacing w:line="360" w:lineRule="auto"/>
        <w:ind w:left="0"/>
        <w:contextualSpacing/>
        <w:jc w:val="both"/>
        <w:rPr>
          <w:rFonts w:ascii="Arial" w:hAnsi="Arial" w:cs="Arial"/>
        </w:rPr>
      </w:pPr>
    </w:p>
    <w:p w:rsidR="004755BF" w:rsidRPr="00B54654" w:rsidRDefault="004755BF" w:rsidP="00D17E55">
      <w:pPr>
        <w:pStyle w:val="ColorfulList-Accent1"/>
        <w:tabs>
          <w:tab w:val="left" w:pos="1276"/>
        </w:tabs>
        <w:spacing w:line="360" w:lineRule="auto"/>
        <w:ind w:left="1276" w:hanging="567"/>
        <w:contextualSpacing/>
        <w:jc w:val="both"/>
        <w:rPr>
          <w:rFonts w:ascii="Arial" w:hAnsi="Arial" w:cs="Arial"/>
        </w:rPr>
      </w:pPr>
      <w:r w:rsidRPr="00B54654">
        <w:rPr>
          <w:rFonts w:ascii="Arial" w:hAnsi="Arial" w:cs="Arial"/>
        </w:rPr>
        <w:t>(d)</w:t>
      </w:r>
      <w:r w:rsidRPr="00B54654">
        <w:rPr>
          <w:rFonts w:ascii="Arial" w:hAnsi="Arial" w:cs="Arial"/>
        </w:rPr>
        <w:tab/>
      </w:r>
      <w:r w:rsidR="00CB4B5D" w:rsidRPr="00B54654">
        <w:rPr>
          <w:rFonts w:ascii="Arial" w:hAnsi="Arial" w:cs="Arial"/>
        </w:rPr>
        <w:t>the status report dated 18 July 2017 and the documents attached thereto</w:t>
      </w:r>
      <w:r w:rsidRPr="00B54654">
        <w:rPr>
          <w:rFonts w:ascii="Arial" w:hAnsi="Arial" w:cs="Arial"/>
        </w:rPr>
        <w:t>.</w:t>
      </w:r>
    </w:p>
    <w:p w:rsidR="00FE3F97" w:rsidRPr="00B54654" w:rsidRDefault="00FE3F97" w:rsidP="004755BF">
      <w:pPr>
        <w:pStyle w:val="ColorfulList-Accent1"/>
        <w:spacing w:line="360" w:lineRule="auto"/>
        <w:ind w:left="0"/>
        <w:contextualSpacing/>
        <w:jc w:val="both"/>
        <w:rPr>
          <w:rFonts w:ascii="Arial" w:hAnsi="Arial" w:cs="Arial"/>
        </w:rPr>
      </w:pPr>
    </w:p>
    <w:p w:rsidR="00902787" w:rsidRPr="00B54654" w:rsidRDefault="00433616" w:rsidP="00905113">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6</w:t>
      </w:r>
      <w:r w:rsidR="00FE3F97" w:rsidRPr="00B54654">
        <w:rPr>
          <w:rFonts w:ascii="Arial" w:hAnsi="Arial" w:cs="Arial"/>
        </w:rPr>
        <w:t>]</w:t>
      </w:r>
      <w:r w:rsidR="00FE3F97" w:rsidRPr="00B54654">
        <w:rPr>
          <w:rFonts w:ascii="Arial" w:hAnsi="Arial" w:cs="Arial"/>
        </w:rPr>
        <w:tab/>
      </w:r>
      <w:r w:rsidR="00CB4B5D" w:rsidRPr="00B54654">
        <w:rPr>
          <w:rFonts w:ascii="Arial" w:hAnsi="Arial" w:cs="Arial"/>
        </w:rPr>
        <w:t>Mr Heathcote SC assisted by Mr Maasdorp, appeared for the applicant and Mr Shikongo assisted by Ms Miller, appeared for the respondents. Counsel filed extensive heads of arguments for which the court expres</w:t>
      </w:r>
      <w:r w:rsidR="00CB4B5D">
        <w:rPr>
          <w:rFonts w:ascii="Arial" w:hAnsi="Arial" w:cs="Arial"/>
        </w:rPr>
        <w:t>s</w:t>
      </w:r>
      <w:r w:rsidR="00CB4B5D" w:rsidRPr="00B54654">
        <w:rPr>
          <w:rFonts w:ascii="Arial" w:hAnsi="Arial" w:cs="Arial"/>
        </w:rPr>
        <w:t>es its appreciation</w:t>
      </w:r>
      <w:r w:rsidR="00341B22" w:rsidRPr="00B54654">
        <w:rPr>
          <w:rFonts w:ascii="Arial" w:hAnsi="Arial" w:cs="Arial"/>
        </w:rPr>
        <w:t>.</w:t>
      </w:r>
    </w:p>
    <w:p w:rsidR="00902787" w:rsidRPr="00B54654" w:rsidRDefault="00902787" w:rsidP="00905113">
      <w:pPr>
        <w:pStyle w:val="ColorfulList-Accent1"/>
        <w:spacing w:line="360" w:lineRule="auto"/>
        <w:ind w:left="0"/>
        <w:contextualSpacing/>
        <w:jc w:val="both"/>
        <w:rPr>
          <w:rFonts w:ascii="Arial" w:hAnsi="Arial" w:cs="Arial"/>
        </w:rPr>
      </w:pPr>
    </w:p>
    <w:p w:rsidR="00FE3F97" w:rsidRPr="00B54654" w:rsidRDefault="00902787" w:rsidP="00905113">
      <w:pPr>
        <w:pStyle w:val="ColorfulList-Accent1"/>
        <w:spacing w:line="360" w:lineRule="auto"/>
        <w:ind w:left="0"/>
        <w:contextualSpacing/>
        <w:jc w:val="both"/>
        <w:rPr>
          <w:rFonts w:ascii="Arial" w:hAnsi="Arial" w:cs="Arial"/>
          <w:u w:val="single"/>
        </w:rPr>
      </w:pPr>
      <w:r w:rsidRPr="00B54654">
        <w:rPr>
          <w:rFonts w:ascii="Arial" w:hAnsi="Arial" w:cs="Arial"/>
          <w:u w:val="single"/>
        </w:rPr>
        <w:t>Points in limine</w:t>
      </w:r>
      <w:r w:rsidR="004D28DC" w:rsidRPr="00B54654">
        <w:rPr>
          <w:rFonts w:ascii="Arial" w:hAnsi="Arial" w:cs="Arial"/>
          <w:u w:val="single"/>
        </w:rPr>
        <w:t xml:space="preserve"> </w:t>
      </w:r>
    </w:p>
    <w:p w:rsidR="00705821" w:rsidRPr="00B54654" w:rsidRDefault="00705821" w:rsidP="00905113">
      <w:pPr>
        <w:pStyle w:val="ColorfulList-Accent1"/>
        <w:spacing w:line="360" w:lineRule="auto"/>
        <w:ind w:left="0"/>
        <w:contextualSpacing/>
        <w:jc w:val="both"/>
        <w:rPr>
          <w:rFonts w:ascii="Arial" w:hAnsi="Arial" w:cs="Arial"/>
        </w:rPr>
      </w:pPr>
    </w:p>
    <w:p w:rsidR="00BA39FC" w:rsidRPr="00B54654" w:rsidRDefault="00433616" w:rsidP="00FE3F97">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7</w:t>
      </w:r>
      <w:r w:rsidR="00705821" w:rsidRPr="00B54654">
        <w:rPr>
          <w:rFonts w:ascii="Arial" w:hAnsi="Arial" w:cs="Arial"/>
        </w:rPr>
        <w:t>]</w:t>
      </w:r>
      <w:r w:rsidR="00705821" w:rsidRPr="00B54654">
        <w:rPr>
          <w:rFonts w:ascii="Arial" w:hAnsi="Arial" w:cs="Arial"/>
        </w:rPr>
        <w:tab/>
      </w:r>
      <w:r w:rsidR="00CB4B5D" w:rsidRPr="00B54654">
        <w:rPr>
          <w:rFonts w:ascii="Arial" w:hAnsi="Arial" w:cs="Arial"/>
        </w:rPr>
        <w:t xml:space="preserve">The respondents raised two points in law </w:t>
      </w:r>
      <w:r w:rsidR="00CB4B5D" w:rsidRPr="00B54654">
        <w:rPr>
          <w:rFonts w:ascii="Arial" w:hAnsi="Arial" w:cs="Arial"/>
          <w:i/>
        </w:rPr>
        <w:t>in limine</w:t>
      </w:r>
      <w:r w:rsidR="00F25BDB" w:rsidRPr="00B54654">
        <w:rPr>
          <w:rFonts w:ascii="Arial" w:hAnsi="Arial" w:cs="Arial"/>
        </w:rPr>
        <w:t xml:space="preserve">. </w:t>
      </w:r>
    </w:p>
    <w:p w:rsidR="00BA39FC" w:rsidRPr="00B54654" w:rsidRDefault="00BA39FC" w:rsidP="00FE3F97">
      <w:pPr>
        <w:pStyle w:val="ColorfulList-Accent1"/>
        <w:spacing w:line="360" w:lineRule="auto"/>
        <w:ind w:left="0"/>
        <w:contextualSpacing/>
        <w:jc w:val="both"/>
        <w:rPr>
          <w:rFonts w:ascii="Arial" w:hAnsi="Arial" w:cs="Arial"/>
        </w:rPr>
      </w:pPr>
    </w:p>
    <w:p w:rsidR="00DC0D8C" w:rsidRPr="00B54654" w:rsidRDefault="00BA39FC" w:rsidP="00FE3F97">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8</w:t>
      </w:r>
      <w:r w:rsidRPr="00B54654">
        <w:rPr>
          <w:rFonts w:ascii="Arial" w:hAnsi="Arial" w:cs="Arial"/>
        </w:rPr>
        <w:t>]</w:t>
      </w:r>
      <w:r w:rsidRPr="00B54654">
        <w:rPr>
          <w:rFonts w:ascii="Arial" w:hAnsi="Arial" w:cs="Arial"/>
        </w:rPr>
        <w:tab/>
      </w:r>
      <w:r w:rsidR="00CB4B5D" w:rsidRPr="00B54654">
        <w:rPr>
          <w:rFonts w:ascii="Arial" w:hAnsi="Arial" w:cs="Arial"/>
        </w:rPr>
        <w:t xml:space="preserve">The first point </w:t>
      </w:r>
      <w:r w:rsidR="00CB4B5D" w:rsidRPr="00B54654">
        <w:rPr>
          <w:rFonts w:ascii="Arial" w:hAnsi="Arial" w:cs="Arial"/>
          <w:i/>
        </w:rPr>
        <w:t>in limine</w:t>
      </w:r>
      <w:r w:rsidR="00CB4B5D" w:rsidRPr="00B54654">
        <w:rPr>
          <w:rFonts w:ascii="Arial" w:hAnsi="Arial" w:cs="Arial"/>
        </w:rPr>
        <w:t xml:space="preserve"> advanced is that the relationship between the applicant and the respondents was contractual (to which the applicant agreed when it decided to submit the tender) as opposed to administrative in nature; therefore the applicant can protect its rights through private law remedies without resorting to review proceedings; and that the review proceedings gives the applicant an unfair advantage while abusing court process</w:t>
      </w:r>
      <w:r w:rsidR="007E5833" w:rsidRPr="00B54654">
        <w:rPr>
          <w:rFonts w:ascii="Arial" w:hAnsi="Arial" w:cs="Arial"/>
        </w:rPr>
        <w:t>.</w:t>
      </w:r>
    </w:p>
    <w:p w:rsidR="00DC0D8C" w:rsidRPr="00B54654" w:rsidRDefault="00DC0D8C" w:rsidP="00FE3F97">
      <w:pPr>
        <w:pStyle w:val="ColorfulList-Accent1"/>
        <w:spacing w:line="360" w:lineRule="auto"/>
        <w:ind w:left="0"/>
        <w:contextualSpacing/>
        <w:jc w:val="both"/>
        <w:rPr>
          <w:rFonts w:ascii="Arial" w:hAnsi="Arial" w:cs="Arial"/>
        </w:rPr>
      </w:pPr>
    </w:p>
    <w:p w:rsidR="00F25BDB" w:rsidRPr="00B54654" w:rsidRDefault="00DC0D8C" w:rsidP="00FE3F97">
      <w:pPr>
        <w:pStyle w:val="ColorfulList-Accent1"/>
        <w:spacing w:line="360" w:lineRule="auto"/>
        <w:ind w:left="0"/>
        <w:contextualSpacing/>
        <w:jc w:val="both"/>
        <w:rPr>
          <w:rFonts w:ascii="Arial" w:hAnsi="Arial" w:cs="Arial"/>
        </w:rPr>
      </w:pPr>
      <w:r w:rsidRPr="00B54654">
        <w:rPr>
          <w:rFonts w:ascii="Arial" w:hAnsi="Arial" w:cs="Arial"/>
        </w:rPr>
        <w:t>[1</w:t>
      </w:r>
      <w:r w:rsidR="00D17E55">
        <w:rPr>
          <w:rFonts w:ascii="Arial" w:hAnsi="Arial" w:cs="Arial"/>
        </w:rPr>
        <w:t>9</w:t>
      </w:r>
      <w:r w:rsidRPr="00B54654">
        <w:rPr>
          <w:rFonts w:ascii="Arial" w:hAnsi="Arial" w:cs="Arial"/>
        </w:rPr>
        <w:t>]</w:t>
      </w:r>
      <w:r w:rsidRPr="00B54654">
        <w:rPr>
          <w:rFonts w:ascii="Arial" w:hAnsi="Arial" w:cs="Arial"/>
        </w:rPr>
        <w:tab/>
      </w:r>
      <w:r w:rsidR="00CB4B5D" w:rsidRPr="00B54654">
        <w:rPr>
          <w:rFonts w:ascii="Arial" w:hAnsi="Arial" w:cs="Arial"/>
        </w:rPr>
        <w:t xml:space="preserve">The second point </w:t>
      </w:r>
      <w:r w:rsidR="00CB4B5D" w:rsidRPr="00B54654">
        <w:rPr>
          <w:rFonts w:ascii="Arial" w:hAnsi="Arial" w:cs="Arial"/>
          <w:i/>
        </w:rPr>
        <w:t>in limine</w:t>
      </w:r>
      <w:r w:rsidR="00CB4B5D" w:rsidRPr="00B54654">
        <w:rPr>
          <w:rFonts w:ascii="Arial" w:hAnsi="Arial" w:cs="Arial"/>
        </w:rPr>
        <w:t xml:space="preserve"> is that the court is not the correct forum for hearing this review application as section 59(4) of the Public Procurement Act 15 of 2015 (</w:t>
      </w:r>
      <w:r w:rsidR="00CB4B5D">
        <w:rPr>
          <w:rFonts w:ascii="Arial" w:hAnsi="Arial" w:cs="Arial"/>
        </w:rPr>
        <w:t>‘Procurement Act’</w:t>
      </w:r>
      <w:r w:rsidR="00CB4B5D" w:rsidRPr="00B54654">
        <w:rPr>
          <w:rFonts w:ascii="Arial" w:hAnsi="Arial" w:cs="Arial"/>
        </w:rPr>
        <w:t>), provides that, ‘[A] bidder or supplier who is aggrieved or claims to have suffered or to be likely to suffer, loss under this Act must exhaust all available remedies under this Act before instituting any judicial action in the High Court’. In the light of that provision, it is accordingly the respondents’ contention that applicant did do not exhausted its internal remedies</w:t>
      </w:r>
      <w:r w:rsidR="00CB4B5D">
        <w:rPr>
          <w:rFonts w:ascii="Arial" w:hAnsi="Arial" w:cs="Arial"/>
        </w:rPr>
        <w:t>.</w:t>
      </w:r>
      <w:r w:rsidR="0046603C" w:rsidRPr="00B54654">
        <w:rPr>
          <w:rFonts w:ascii="Arial" w:hAnsi="Arial" w:cs="Arial"/>
        </w:rPr>
        <w:t xml:space="preserve"> </w:t>
      </w:r>
    </w:p>
    <w:p w:rsidR="00F25BDB" w:rsidRPr="00B54654" w:rsidRDefault="00F25BDB" w:rsidP="00FE3F97">
      <w:pPr>
        <w:pStyle w:val="ColorfulList-Accent1"/>
        <w:spacing w:line="360" w:lineRule="auto"/>
        <w:ind w:left="0"/>
        <w:contextualSpacing/>
        <w:jc w:val="both"/>
        <w:rPr>
          <w:rFonts w:ascii="Arial" w:hAnsi="Arial" w:cs="Arial"/>
        </w:rPr>
      </w:pPr>
    </w:p>
    <w:p w:rsidR="00705821" w:rsidRPr="00B54654" w:rsidRDefault="00433616" w:rsidP="00FE3F97">
      <w:pPr>
        <w:pStyle w:val="ColorfulList-Accent1"/>
        <w:spacing w:line="360" w:lineRule="auto"/>
        <w:ind w:left="0"/>
        <w:contextualSpacing/>
        <w:jc w:val="both"/>
        <w:rPr>
          <w:rFonts w:ascii="Arial" w:hAnsi="Arial" w:cs="Arial"/>
        </w:rPr>
      </w:pPr>
      <w:r w:rsidRPr="00B54654">
        <w:rPr>
          <w:rFonts w:ascii="Arial" w:hAnsi="Arial" w:cs="Arial"/>
        </w:rPr>
        <w:t>[</w:t>
      </w:r>
      <w:r w:rsidR="00D17E55">
        <w:rPr>
          <w:rFonts w:ascii="Arial" w:hAnsi="Arial" w:cs="Arial"/>
        </w:rPr>
        <w:t>20]</w:t>
      </w:r>
      <w:r w:rsidR="00F25BDB" w:rsidRPr="00B54654">
        <w:rPr>
          <w:rFonts w:ascii="Arial" w:hAnsi="Arial" w:cs="Arial"/>
        </w:rPr>
        <w:tab/>
      </w:r>
      <w:r w:rsidR="00CB4B5D" w:rsidRPr="00B54654">
        <w:rPr>
          <w:rFonts w:ascii="Arial" w:hAnsi="Arial" w:cs="Arial"/>
        </w:rPr>
        <w:t xml:space="preserve">I must confess that I have </w:t>
      </w:r>
      <w:r w:rsidR="00CB4B5D">
        <w:rPr>
          <w:rFonts w:ascii="Arial" w:hAnsi="Arial" w:cs="Arial"/>
        </w:rPr>
        <w:t xml:space="preserve">an </w:t>
      </w:r>
      <w:r w:rsidR="00CB4B5D" w:rsidRPr="00B54654">
        <w:rPr>
          <w:rFonts w:ascii="Arial" w:hAnsi="Arial" w:cs="Arial"/>
        </w:rPr>
        <w:t xml:space="preserve">uneasy feeling in dealing with the points </w:t>
      </w:r>
      <w:r w:rsidR="00CB4B5D" w:rsidRPr="008A384D">
        <w:rPr>
          <w:rFonts w:ascii="Arial" w:hAnsi="Arial" w:cs="Arial"/>
          <w:i/>
        </w:rPr>
        <w:t>in limine</w:t>
      </w:r>
      <w:r w:rsidR="00CB4B5D" w:rsidRPr="00B54654">
        <w:rPr>
          <w:rFonts w:ascii="Arial" w:hAnsi="Arial" w:cs="Arial"/>
        </w:rPr>
        <w:t xml:space="preserve"> in this interlocutory application. I would have expected these point to be raised in the main application because if they are upheld they </w:t>
      </w:r>
      <w:r w:rsidR="00CB4B5D">
        <w:rPr>
          <w:rFonts w:ascii="Arial" w:hAnsi="Arial" w:cs="Arial"/>
        </w:rPr>
        <w:t xml:space="preserve">might have unintended consequences on </w:t>
      </w:r>
      <w:r w:rsidR="00CB4B5D" w:rsidRPr="00B54654">
        <w:rPr>
          <w:rFonts w:ascii="Arial" w:hAnsi="Arial" w:cs="Arial"/>
        </w:rPr>
        <w:t>the main application.</w:t>
      </w:r>
      <w:r w:rsidR="00CB4B5D">
        <w:rPr>
          <w:rFonts w:ascii="Arial" w:hAnsi="Arial" w:cs="Arial"/>
        </w:rPr>
        <w:t xml:space="preserve"> </w:t>
      </w:r>
      <w:r w:rsidR="00CB4B5D" w:rsidRPr="00B54654">
        <w:rPr>
          <w:rFonts w:ascii="Arial" w:hAnsi="Arial" w:cs="Arial"/>
        </w:rPr>
        <w:t xml:space="preserve">The respondents chose to raise them now and I have to consider them. The points </w:t>
      </w:r>
      <w:r w:rsidR="00CB4B5D" w:rsidRPr="00B54654">
        <w:rPr>
          <w:rFonts w:ascii="Arial" w:hAnsi="Arial" w:cs="Arial"/>
          <w:i/>
        </w:rPr>
        <w:t>in limine</w:t>
      </w:r>
      <w:r w:rsidR="00CB4B5D" w:rsidRPr="00B54654">
        <w:rPr>
          <w:rFonts w:ascii="Arial" w:hAnsi="Arial" w:cs="Arial"/>
        </w:rPr>
        <w:t xml:space="preserve"> are briefly </w:t>
      </w:r>
      <w:r w:rsidR="00CB4B5D">
        <w:rPr>
          <w:rFonts w:ascii="Arial" w:hAnsi="Arial" w:cs="Arial"/>
        </w:rPr>
        <w:t xml:space="preserve">dealt with in turn before </w:t>
      </w:r>
      <w:r w:rsidR="00CB4B5D" w:rsidRPr="00B54654">
        <w:rPr>
          <w:rFonts w:ascii="Arial" w:hAnsi="Arial" w:cs="Arial"/>
        </w:rPr>
        <w:t>consideration of the merits</w:t>
      </w:r>
      <w:r w:rsidR="0046603C" w:rsidRPr="00B54654">
        <w:rPr>
          <w:rFonts w:ascii="Arial" w:hAnsi="Arial" w:cs="Arial"/>
        </w:rPr>
        <w:t>.</w:t>
      </w:r>
    </w:p>
    <w:p w:rsidR="0046603C" w:rsidRPr="00B54654" w:rsidRDefault="0046603C" w:rsidP="00FE3F97">
      <w:pPr>
        <w:pStyle w:val="ColorfulList-Accent1"/>
        <w:spacing w:line="360" w:lineRule="auto"/>
        <w:ind w:left="0"/>
        <w:contextualSpacing/>
        <w:jc w:val="both"/>
        <w:rPr>
          <w:rFonts w:ascii="Arial" w:hAnsi="Arial" w:cs="Arial"/>
        </w:rPr>
      </w:pPr>
    </w:p>
    <w:p w:rsidR="003B3399" w:rsidRPr="00B54654" w:rsidRDefault="0046603C" w:rsidP="00F44C12">
      <w:pPr>
        <w:pStyle w:val="BodyText"/>
        <w:spacing w:line="360" w:lineRule="auto"/>
        <w:jc w:val="both"/>
        <w:rPr>
          <w:rFonts w:ascii="Arial" w:hAnsi="Arial" w:cs="Arial"/>
          <w:u w:val="single"/>
        </w:rPr>
      </w:pPr>
      <w:r w:rsidRPr="00B54654">
        <w:rPr>
          <w:rFonts w:ascii="Arial" w:hAnsi="Arial" w:cs="Arial"/>
          <w:u w:val="single"/>
        </w:rPr>
        <w:t>Administrative action versus contractual relationship</w:t>
      </w:r>
    </w:p>
    <w:p w:rsidR="0046603C" w:rsidRPr="00B54654" w:rsidRDefault="0046603C" w:rsidP="00F44C12">
      <w:pPr>
        <w:pStyle w:val="BodyText"/>
        <w:spacing w:line="360" w:lineRule="auto"/>
        <w:jc w:val="both"/>
        <w:rPr>
          <w:rFonts w:ascii="Arial" w:hAnsi="Arial" w:cs="Arial"/>
        </w:rPr>
      </w:pPr>
    </w:p>
    <w:p w:rsidR="00DD4186" w:rsidRPr="00B54654" w:rsidRDefault="0046603C" w:rsidP="00F44C12">
      <w:pPr>
        <w:pStyle w:val="BodyText"/>
        <w:spacing w:line="360" w:lineRule="auto"/>
        <w:jc w:val="both"/>
        <w:rPr>
          <w:rFonts w:ascii="Arial" w:hAnsi="Arial" w:cs="Arial"/>
        </w:rPr>
      </w:pPr>
      <w:r w:rsidRPr="00B54654">
        <w:rPr>
          <w:rFonts w:ascii="Arial" w:hAnsi="Arial" w:cs="Arial"/>
        </w:rPr>
        <w:t>[</w:t>
      </w:r>
      <w:r w:rsidR="00D17E55">
        <w:rPr>
          <w:rFonts w:ascii="Arial" w:hAnsi="Arial" w:cs="Arial"/>
        </w:rPr>
        <w:t>2</w:t>
      </w:r>
      <w:r w:rsidR="00CB4B5D">
        <w:rPr>
          <w:rFonts w:ascii="Arial" w:hAnsi="Arial" w:cs="Arial"/>
        </w:rPr>
        <w:t>1</w:t>
      </w:r>
      <w:r w:rsidR="00225508" w:rsidRPr="00B54654">
        <w:rPr>
          <w:rFonts w:ascii="Arial" w:hAnsi="Arial" w:cs="Arial"/>
        </w:rPr>
        <w:t>]</w:t>
      </w:r>
      <w:r w:rsidR="00225508" w:rsidRPr="00B54654">
        <w:rPr>
          <w:rFonts w:ascii="Arial" w:hAnsi="Arial" w:cs="Arial"/>
        </w:rPr>
        <w:tab/>
      </w:r>
      <w:r w:rsidR="00CB4B5D" w:rsidRPr="00B54654">
        <w:rPr>
          <w:rFonts w:ascii="Arial" w:hAnsi="Arial" w:cs="Arial"/>
        </w:rPr>
        <w:t xml:space="preserve">In support of this point </w:t>
      </w:r>
      <w:r w:rsidR="00CB4B5D" w:rsidRPr="008A384D">
        <w:rPr>
          <w:rFonts w:ascii="Arial" w:hAnsi="Arial" w:cs="Arial"/>
          <w:i/>
        </w:rPr>
        <w:t>in limine</w:t>
      </w:r>
      <w:r w:rsidR="00CB4B5D" w:rsidRPr="00B54654">
        <w:rPr>
          <w:rFonts w:ascii="Arial" w:hAnsi="Arial" w:cs="Arial"/>
        </w:rPr>
        <w:t xml:space="preserve"> the respondents submitted </w:t>
      </w:r>
      <w:r w:rsidR="00CB4B5D">
        <w:rPr>
          <w:rFonts w:ascii="Arial" w:hAnsi="Arial" w:cs="Arial"/>
        </w:rPr>
        <w:t xml:space="preserve">that </w:t>
      </w:r>
      <w:r w:rsidR="00CB4B5D" w:rsidRPr="00B54654">
        <w:rPr>
          <w:rFonts w:ascii="Arial" w:hAnsi="Arial" w:cs="Arial"/>
        </w:rPr>
        <w:t>the applicant is a major commercial undertaking, who contracted freely with the respondents; that the applicant can protect its right through private remedies without resorting to a review process; and finally the applicant failed to set out sufficient facts why a review is justified.</w:t>
      </w:r>
    </w:p>
    <w:p w:rsidR="00DD4186" w:rsidRPr="00B54654" w:rsidRDefault="00DD4186" w:rsidP="00F44C12">
      <w:pPr>
        <w:pStyle w:val="BodyText"/>
        <w:spacing w:line="360" w:lineRule="auto"/>
        <w:jc w:val="both"/>
        <w:rPr>
          <w:rFonts w:ascii="Arial" w:hAnsi="Arial" w:cs="Arial"/>
        </w:rPr>
      </w:pPr>
    </w:p>
    <w:p w:rsidR="00DD4186" w:rsidRPr="00B54654" w:rsidRDefault="003D52FB" w:rsidP="00F44C12">
      <w:pPr>
        <w:pStyle w:val="BodyText"/>
        <w:spacing w:line="360" w:lineRule="auto"/>
        <w:jc w:val="both"/>
        <w:rPr>
          <w:rFonts w:ascii="Arial" w:hAnsi="Arial" w:cs="Arial"/>
        </w:rPr>
      </w:pPr>
      <w:r w:rsidRPr="00B54654">
        <w:rPr>
          <w:rFonts w:ascii="Arial" w:hAnsi="Arial" w:cs="Arial"/>
        </w:rPr>
        <w:t>[2</w:t>
      </w:r>
      <w:r w:rsidR="00CB4B5D">
        <w:rPr>
          <w:rFonts w:ascii="Arial" w:hAnsi="Arial" w:cs="Arial"/>
        </w:rPr>
        <w:t>2</w:t>
      </w:r>
      <w:r w:rsidRPr="00B54654">
        <w:rPr>
          <w:rFonts w:ascii="Arial" w:hAnsi="Arial" w:cs="Arial"/>
        </w:rPr>
        <w:t>]</w:t>
      </w:r>
      <w:r w:rsidRPr="00B54654">
        <w:rPr>
          <w:rFonts w:ascii="Arial" w:hAnsi="Arial" w:cs="Arial"/>
        </w:rPr>
        <w:tab/>
      </w:r>
      <w:r w:rsidR="00CB4B5D" w:rsidRPr="00B54654">
        <w:rPr>
          <w:rFonts w:ascii="Arial" w:hAnsi="Arial" w:cs="Arial"/>
        </w:rPr>
        <w:t xml:space="preserve">The respondents’ submissions are based on what was referred to by Damaseb J (as he then was) in the matter of </w:t>
      </w:r>
      <w:r w:rsidR="00CB4B5D" w:rsidRPr="00B54654">
        <w:rPr>
          <w:rFonts w:ascii="Arial" w:hAnsi="Arial" w:cs="Arial"/>
          <w:i/>
        </w:rPr>
        <w:t>Open Learning Group Namibia Finance CC v Permanent Secretary of Ministry of Finance &amp; 3 Others</w:t>
      </w:r>
      <w:r w:rsidR="00CB4B5D" w:rsidRPr="00B54654">
        <w:rPr>
          <w:rStyle w:val="FootnoteReference"/>
          <w:rFonts w:ascii="Arial" w:hAnsi="Arial" w:cs="Arial"/>
        </w:rPr>
        <w:footnoteReference w:id="4"/>
      </w:r>
      <w:r w:rsidR="00CB4B5D" w:rsidRPr="00B54654">
        <w:rPr>
          <w:rFonts w:ascii="Arial" w:hAnsi="Arial" w:cs="Arial"/>
        </w:rPr>
        <w:t xml:space="preserve"> in the course of the judgment at par</w:t>
      </w:r>
      <w:r w:rsidR="00CB4B5D">
        <w:rPr>
          <w:rFonts w:ascii="Arial" w:hAnsi="Arial" w:cs="Arial"/>
        </w:rPr>
        <w:t>a</w:t>
      </w:r>
      <w:r w:rsidR="00CB4B5D" w:rsidRPr="00B54654">
        <w:rPr>
          <w:rFonts w:ascii="Arial" w:hAnsi="Arial" w:cs="Arial"/>
        </w:rPr>
        <w:t xml:space="preserve"> 109 the court discussed the judgment in </w:t>
      </w:r>
      <w:r w:rsidR="00CB4B5D" w:rsidRPr="00D17E55">
        <w:rPr>
          <w:rFonts w:ascii="Arial" w:hAnsi="Arial" w:cs="Arial"/>
          <w:i/>
        </w:rPr>
        <w:t>Cape Metropolitan Council v Metro Inspection Services CC and Others</w:t>
      </w:r>
      <w:r w:rsidR="00CB4B5D" w:rsidRPr="00B54654">
        <w:rPr>
          <w:rFonts w:ascii="Arial" w:hAnsi="Arial" w:cs="Arial"/>
        </w:rPr>
        <w:t xml:space="preserve"> 2001 (3) 1013 (SCA) where the South African Supreme Court of Appeal said the following</w:t>
      </w:r>
      <w:r w:rsidR="00527E55" w:rsidRPr="00B54654">
        <w:rPr>
          <w:rFonts w:ascii="Arial" w:hAnsi="Arial" w:cs="Arial"/>
        </w:rPr>
        <w:t>:</w:t>
      </w:r>
    </w:p>
    <w:p w:rsidR="00632F51" w:rsidRPr="00B54654" w:rsidRDefault="00632F51" w:rsidP="00F44C12">
      <w:pPr>
        <w:pStyle w:val="BodyText"/>
        <w:spacing w:line="360" w:lineRule="auto"/>
        <w:jc w:val="both"/>
        <w:rPr>
          <w:rFonts w:ascii="Arial" w:hAnsi="Arial" w:cs="Arial"/>
        </w:rPr>
      </w:pPr>
    </w:p>
    <w:p w:rsidR="00632F51" w:rsidRDefault="00D17E55" w:rsidP="00D17E55">
      <w:pPr>
        <w:pStyle w:val="BodyText"/>
        <w:spacing w:line="360" w:lineRule="auto"/>
        <w:ind w:firstLine="567"/>
        <w:jc w:val="both"/>
        <w:rPr>
          <w:rFonts w:ascii="Arial" w:hAnsi="Arial" w:cs="Arial"/>
          <w:sz w:val="22"/>
          <w:szCs w:val="22"/>
        </w:rPr>
      </w:pPr>
      <w:r w:rsidRPr="00D17E55">
        <w:rPr>
          <w:rFonts w:ascii="Arial" w:hAnsi="Arial" w:cs="Arial"/>
          <w:sz w:val="22"/>
          <w:szCs w:val="22"/>
        </w:rPr>
        <w:t>‘</w:t>
      </w:r>
      <w:r w:rsidR="00632F51" w:rsidRPr="00D17E55">
        <w:rPr>
          <w:rFonts w:ascii="Arial" w:hAnsi="Arial" w:cs="Arial"/>
          <w:sz w:val="22"/>
          <w:szCs w:val="22"/>
        </w:rPr>
        <w:t>It is now accepted that Cape Metropolitan</w:t>
      </w:r>
    </w:p>
    <w:p w:rsidR="00D17E55" w:rsidRDefault="00D17E55" w:rsidP="00D17E55">
      <w:pPr>
        <w:pStyle w:val="BodyText"/>
        <w:spacing w:line="360" w:lineRule="auto"/>
        <w:jc w:val="both"/>
        <w:rPr>
          <w:rFonts w:ascii="Arial" w:hAnsi="Arial" w:cs="Arial"/>
          <w:sz w:val="22"/>
          <w:szCs w:val="22"/>
        </w:rPr>
      </w:pPr>
    </w:p>
    <w:p w:rsidR="00527E55" w:rsidRPr="00D17E55" w:rsidRDefault="00CB4B5D" w:rsidP="00D17E55">
      <w:pPr>
        <w:pStyle w:val="BodyText"/>
        <w:spacing w:line="360" w:lineRule="auto"/>
        <w:ind w:firstLine="567"/>
        <w:jc w:val="both"/>
        <w:rPr>
          <w:rFonts w:ascii="Arial" w:hAnsi="Arial" w:cs="Arial"/>
          <w:sz w:val="22"/>
          <w:szCs w:val="22"/>
        </w:rPr>
      </w:pPr>
      <w:r>
        <w:rPr>
          <w:rFonts w:ascii="Arial" w:hAnsi="Arial" w:cs="Arial"/>
          <w:sz w:val="22"/>
          <w:szCs w:val="22"/>
        </w:rPr>
        <w:t>‘</w:t>
      </w:r>
      <w:r w:rsidRPr="00D17E55">
        <w:rPr>
          <w:rFonts w:ascii="Arial" w:hAnsi="Arial" w:cs="Arial"/>
          <w:sz w:val="22"/>
          <w:szCs w:val="22"/>
        </w:rPr>
        <w:t>...</w:t>
      </w:r>
      <w:r>
        <w:rPr>
          <w:rFonts w:ascii="Arial" w:hAnsi="Arial" w:cs="Arial"/>
          <w:sz w:val="22"/>
          <w:szCs w:val="22"/>
        </w:rPr>
        <w:t xml:space="preserve"> </w:t>
      </w:r>
      <w:r w:rsidRPr="00D17E55">
        <w:rPr>
          <w:rFonts w:ascii="Arial" w:hAnsi="Arial" w:cs="Arial"/>
          <w:sz w:val="22"/>
          <w:szCs w:val="22"/>
        </w:rPr>
        <w:t xml:space="preserve">establishes the proposition that a public authority's invocation of a power of cancellation in a contract concluded on equal terms with a major commercial undertaking, without any element of superiority or authority deriving from its public position, does not amount to an exercise of public power'. (Per Cameron JA in </w:t>
      </w:r>
      <w:r w:rsidRPr="00D17E55">
        <w:rPr>
          <w:rFonts w:ascii="Arial" w:hAnsi="Arial" w:cs="Arial"/>
          <w:i/>
          <w:sz w:val="22"/>
          <w:szCs w:val="22"/>
        </w:rPr>
        <w:t>Logbro Properties CC v Bedderson NO and Others</w:t>
      </w:r>
      <w:r w:rsidRPr="00D17E55">
        <w:rPr>
          <w:rFonts w:ascii="Arial" w:hAnsi="Arial" w:cs="Arial"/>
          <w:sz w:val="22"/>
          <w:szCs w:val="22"/>
        </w:rPr>
        <w:t xml:space="preserve"> 2003 (2) SA 460 (SCA) in para [10].’</w:t>
      </w:r>
    </w:p>
    <w:p w:rsidR="00DD4186" w:rsidRPr="00B54654" w:rsidRDefault="00DD4186" w:rsidP="00F44C12">
      <w:pPr>
        <w:pStyle w:val="BodyText"/>
        <w:spacing w:line="360" w:lineRule="auto"/>
        <w:jc w:val="both"/>
        <w:rPr>
          <w:rFonts w:ascii="Arial" w:hAnsi="Arial" w:cs="Arial"/>
        </w:rPr>
      </w:pPr>
    </w:p>
    <w:p w:rsidR="00632F51" w:rsidRPr="00B54654" w:rsidRDefault="00632F51" w:rsidP="00632F51">
      <w:pPr>
        <w:pStyle w:val="BodyText"/>
        <w:spacing w:line="360" w:lineRule="auto"/>
        <w:jc w:val="both"/>
        <w:rPr>
          <w:rFonts w:ascii="Arial" w:hAnsi="Arial" w:cs="Arial"/>
        </w:rPr>
      </w:pPr>
      <w:r w:rsidRPr="00B54654">
        <w:rPr>
          <w:rFonts w:ascii="Arial" w:hAnsi="Arial" w:cs="Arial"/>
        </w:rPr>
        <w:t>The learned Judge however said the following at par 111:</w:t>
      </w:r>
    </w:p>
    <w:p w:rsidR="00632F51" w:rsidRPr="00B54654" w:rsidRDefault="00632F51" w:rsidP="00632F51">
      <w:pPr>
        <w:pStyle w:val="BodyText"/>
        <w:spacing w:line="360" w:lineRule="auto"/>
        <w:jc w:val="both"/>
        <w:rPr>
          <w:rFonts w:ascii="Arial" w:hAnsi="Arial" w:cs="Arial"/>
        </w:rPr>
      </w:pPr>
    </w:p>
    <w:p w:rsidR="00632F51" w:rsidRPr="001261DA" w:rsidRDefault="00CB4B5D" w:rsidP="001261DA">
      <w:pPr>
        <w:pStyle w:val="BodyText"/>
        <w:spacing w:line="360" w:lineRule="auto"/>
        <w:ind w:firstLine="720"/>
        <w:jc w:val="both"/>
        <w:rPr>
          <w:rFonts w:ascii="Arial" w:hAnsi="Arial" w:cs="Arial"/>
          <w:sz w:val="22"/>
          <w:szCs w:val="22"/>
        </w:rPr>
      </w:pPr>
      <w:r w:rsidRPr="001261DA">
        <w:rPr>
          <w:rFonts w:ascii="Arial" w:hAnsi="Arial" w:cs="Arial"/>
          <w:sz w:val="22"/>
          <w:szCs w:val="22"/>
        </w:rPr>
        <w:t xml:space="preserve">‘The decision of the Supreme Court of Appeal in </w:t>
      </w:r>
      <w:r w:rsidRPr="001261DA">
        <w:rPr>
          <w:rFonts w:ascii="Arial" w:hAnsi="Arial" w:cs="Arial"/>
          <w:i/>
          <w:sz w:val="22"/>
          <w:szCs w:val="22"/>
        </w:rPr>
        <w:t>Logbro</w:t>
      </w:r>
      <w:r w:rsidRPr="001261DA">
        <w:rPr>
          <w:rFonts w:ascii="Arial" w:hAnsi="Arial" w:cs="Arial"/>
          <w:sz w:val="22"/>
          <w:szCs w:val="22"/>
        </w:rPr>
        <w:t xml:space="preserve"> is significant for the following reasons: first, it overrules the conclusion of the majority of the Court in Mustapha and confirms the dissenting judgment of Schreiner JA supra. Second, it makes clear that Cape Metropolitan is not authority for the general proposition that a public authority empowered by statute to contract may exercise its contractual rights without regard to public duties of fairness. Third, it confirms that Cape Metropolitan is to be confined to its facts (as to which also see Bullock at 269). Fourth, it makes clear that, whether or not a public authority's exercise of powers enjoyed under contract renders it subject to the duty to act fairly, will depend on all the circumstances.’</w:t>
      </w:r>
    </w:p>
    <w:p w:rsidR="001261DA" w:rsidRPr="00B54654" w:rsidRDefault="001261DA" w:rsidP="00632F51">
      <w:pPr>
        <w:pStyle w:val="BodyText"/>
        <w:spacing w:line="360" w:lineRule="auto"/>
        <w:jc w:val="both"/>
        <w:rPr>
          <w:rFonts w:ascii="Arial" w:hAnsi="Arial" w:cs="Arial"/>
        </w:rPr>
      </w:pPr>
    </w:p>
    <w:p w:rsidR="003D52FB" w:rsidRPr="00B54654" w:rsidRDefault="003D52FB" w:rsidP="00632F51">
      <w:pPr>
        <w:pStyle w:val="BodyText"/>
        <w:spacing w:line="360" w:lineRule="auto"/>
        <w:jc w:val="both"/>
        <w:rPr>
          <w:rFonts w:ascii="Arial" w:hAnsi="Arial" w:cs="Arial"/>
        </w:rPr>
      </w:pPr>
      <w:r w:rsidRPr="00B54654">
        <w:rPr>
          <w:rFonts w:ascii="Arial" w:hAnsi="Arial" w:cs="Arial"/>
        </w:rPr>
        <w:t>The learned judge the concluded at par 116 as follows:</w:t>
      </w:r>
    </w:p>
    <w:p w:rsidR="00632F51" w:rsidRPr="00B54654" w:rsidRDefault="00632F51" w:rsidP="00632F51">
      <w:pPr>
        <w:pStyle w:val="BodyText"/>
        <w:spacing w:line="360" w:lineRule="auto"/>
        <w:jc w:val="both"/>
        <w:rPr>
          <w:rFonts w:ascii="Arial" w:hAnsi="Arial" w:cs="Arial"/>
        </w:rPr>
      </w:pPr>
    </w:p>
    <w:p w:rsidR="003D52FB" w:rsidRPr="001261DA" w:rsidRDefault="00CB4B5D" w:rsidP="001261DA">
      <w:pPr>
        <w:pStyle w:val="BodyText"/>
        <w:spacing w:line="360" w:lineRule="auto"/>
        <w:ind w:firstLine="720"/>
        <w:jc w:val="both"/>
        <w:rPr>
          <w:rFonts w:ascii="Arial" w:hAnsi="Arial" w:cs="Arial"/>
          <w:sz w:val="22"/>
          <w:szCs w:val="22"/>
        </w:rPr>
      </w:pPr>
      <w:r w:rsidRPr="001261DA">
        <w:rPr>
          <w:rFonts w:ascii="Arial" w:hAnsi="Arial" w:cs="Arial"/>
          <w:sz w:val="22"/>
          <w:szCs w:val="22"/>
        </w:rPr>
        <w:t>‘The drift of authority from the leading South African cases which I have examined establishes that each case must be approached on its facts in determining whether or not a particular decision of a public authority terminating a contract amounts to administrative action and therefore judicial review should avail. I follow that approach in interpreting art 18 of the Namibian Constitution.’</w:t>
      </w:r>
    </w:p>
    <w:p w:rsidR="003D52FB" w:rsidRPr="00B54654" w:rsidRDefault="003D52FB" w:rsidP="001261DA">
      <w:pPr>
        <w:pStyle w:val="BodyText"/>
        <w:spacing w:line="360" w:lineRule="auto"/>
        <w:jc w:val="both"/>
        <w:rPr>
          <w:rFonts w:ascii="Arial" w:hAnsi="Arial" w:cs="Arial"/>
        </w:rPr>
      </w:pPr>
    </w:p>
    <w:p w:rsidR="00DB4E05" w:rsidRPr="00B54654" w:rsidRDefault="00BF1DB6" w:rsidP="003D52FB">
      <w:pPr>
        <w:pStyle w:val="BodyText"/>
        <w:spacing w:line="360" w:lineRule="auto"/>
        <w:jc w:val="both"/>
        <w:rPr>
          <w:rFonts w:ascii="Arial" w:hAnsi="Arial" w:cs="Arial"/>
        </w:rPr>
      </w:pPr>
      <w:r w:rsidRPr="00B54654">
        <w:rPr>
          <w:rFonts w:ascii="Arial" w:hAnsi="Arial" w:cs="Arial"/>
        </w:rPr>
        <w:t>[</w:t>
      </w:r>
      <w:r w:rsidR="00CB4B5D">
        <w:rPr>
          <w:rFonts w:ascii="Arial" w:hAnsi="Arial" w:cs="Arial"/>
        </w:rPr>
        <w:t>23</w:t>
      </w:r>
      <w:r w:rsidRPr="00B54654">
        <w:rPr>
          <w:rFonts w:ascii="Arial" w:hAnsi="Arial" w:cs="Arial"/>
        </w:rPr>
        <w:t>]</w:t>
      </w:r>
      <w:r w:rsidRPr="00B54654">
        <w:rPr>
          <w:rFonts w:ascii="Arial" w:hAnsi="Arial" w:cs="Arial"/>
        </w:rPr>
        <w:tab/>
      </w:r>
      <w:r w:rsidR="00CB4B5D" w:rsidRPr="00B54654">
        <w:rPr>
          <w:rFonts w:ascii="Arial" w:hAnsi="Arial" w:cs="Arial"/>
        </w:rPr>
        <w:t xml:space="preserve">In </w:t>
      </w:r>
      <w:r w:rsidR="00CB4B5D">
        <w:rPr>
          <w:rFonts w:ascii="Arial" w:hAnsi="Arial" w:cs="Arial"/>
        </w:rPr>
        <w:t>countering the</w:t>
      </w:r>
      <w:r w:rsidR="00CB4B5D" w:rsidRPr="00B54654">
        <w:rPr>
          <w:rFonts w:ascii="Arial" w:hAnsi="Arial" w:cs="Arial"/>
        </w:rPr>
        <w:t xml:space="preserve"> respondents’ </w:t>
      </w:r>
      <w:r w:rsidR="00CB4B5D">
        <w:rPr>
          <w:rFonts w:ascii="Arial" w:hAnsi="Arial" w:cs="Arial"/>
        </w:rPr>
        <w:t xml:space="preserve">foregoing </w:t>
      </w:r>
      <w:r w:rsidR="00CB4B5D" w:rsidRPr="00B54654">
        <w:rPr>
          <w:rFonts w:ascii="Arial" w:hAnsi="Arial" w:cs="Arial"/>
        </w:rPr>
        <w:t>argument</w:t>
      </w:r>
      <w:r w:rsidR="00CB4B5D">
        <w:rPr>
          <w:rFonts w:ascii="Arial" w:hAnsi="Arial" w:cs="Arial"/>
        </w:rPr>
        <w:t>,</w:t>
      </w:r>
      <w:r w:rsidR="00CB4B5D" w:rsidRPr="00B54654">
        <w:rPr>
          <w:rFonts w:ascii="Arial" w:hAnsi="Arial" w:cs="Arial"/>
        </w:rPr>
        <w:t xml:space="preserve"> counse</w:t>
      </w:r>
      <w:r w:rsidR="00CB4B5D">
        <w:rPr>
          <w:rFonts w:ascii="Arial" w:hAnsi="Arial" w:cs="Arial"/>
        </w:rPr>
        <w:t xml:space="preserve">l for the applicant referred </w:t>
      </w:r>
      <w:r w:rsidR="00CB4B5D" w:rsidRPr="00B54654">
        <w:rPr>
          <w:rFonts w:ascii="Arial" w:hAnsi="Arial" w:cs="Arial"/>
        </w:rPr>
        <w:t xml:space="preserve">the court to the judgment of the SCA in </w:t>
      </w:r>
      <w:r w:rsidR="00CB4B5D" w:rsidRPr="00B54654">
        <w:rPr>
          <w:rFonts w:ascii="Arial" w:hAnsi="Arial" w:cs="Arial"/>
          <w:i/>
        </w:rPr>
        <w:t>Logbro Properties v Bedderson NO and Others</w:t>
      </w:r>
      <w:r w:rsidR="00CB4B5D" w:rsidRPr="00B54654">
        <w:rPr>
          <w:rStyle w:val="FootnoteReference"/>
          <w:rFonts w:ascii="Arial" w:hAnsi="Arial" w:cs="Arial"/>
          <w:i/>
        </w:rPr>
        <w:footnoteReference w:id="5"/>
      </w:r>
      <w:r w:rsidR="00CB4B5D" w:rsidRPr="00B54654">
        <w:rPr>
          <w:rFonts w:ascii="Arial" w:hAnsi="Arial" w:cs="Arial"/>
        </w:rPr>
        <w:t xml:space="preserve">. The facts in that matter concerned a tendering process for a sale of a property. The Supreme Court of Appeal held </w:t>
      </w:r>
      <w:r w:rsidR="00CB4B5D" w:rsidRPr="008A384D">
        <w:rPr>
          <w:rFonts w:ascii="Arial" w:hAnsi="Arial" w:cs="Arial"/>
          <w:i/>
        </w:rPr>
        <w:t>inter alia</w:t>
      </w:r>
      <w:r w:rsidR="00CB4B5D" w:rsidRPr="00B54654">
        <w:rPr>
          <w:rFonts w:ascii="Arial" w:hAnsi="Arial" w:cs="Arial"/>
        </w:rPr>
        <w:t xml:space="preserve"> that the tender process consti</w:t>
      </w:r>
      <w:r w:rsidR="00CB4B5D">
        <w:rPr>
          <w:rFonts w:ascii="Arial" w:hAnsi="Arial" w:cs="Arial"/>
        </w:rPr>
        <w:t xml:space="preserve">tuted ‘administrative action’. </w:t>
      </w:r>
      <w:r w:rsidR="00CB4B5D" w:rsidRPr="00B54654">
        <w:rPr>
          <w:rFonts w:ascii="Arial" w:hAnsi="Arial" w:cs="Arial"/>
        </w:rPr>
        <w:t>The court stated at p</w:t>
      </w:r>
      <w:r w:rsidR="00CB4B5D">
        <w:rPr>
          <w:rFonts w:ascii="Arial" w:hAnsi="Arial" w:cs="Arial"/>
        </w:rPr>
        <w:t xml:space="preserve"> </w:t>
      </w:r>
      <w:r w:rsidR="00CB4B5D" w:rsidRPr="00B54654">
        <w:rPr>
          <w:rFonts w:ascii="Arial" w:hAnsi="Arial" w:cs="Arial"/>
        </w:rPr>
        <w:t>466 F – G as follows</w:t>
      </w:r>
      <w:r w:rsidR="00BF4C68" w:rsidRPr="00B54654">
        <w:rPr>
          <w:rFonts w:ascii="Arial" w:hAnsi="Arial" w:cs="Arial"/>
        </w:rPr>
        <w:t>:</w:t>
      </w:r>
    </w:p>
    <w:p w:rsidR="00DB4E05" w:rsidRPr="00B54654" w:rsidRDefault="00DB4E05" w:rsidP="00F44C12">
      <w:pPr>
        <w:pStyle w:val="BodyText"/>
        <w:spacing w:line="360" w:lineRule="auto"/>
        <w:jc w:val="both"/>
        <w:rPr>
          <w:rFonts w:ascii="Arial" w:hAnsi="Arial" w:cs="Arial"/>
        </w:rPr>
      </w:pPr>
    </w:p>
    <w:p w:rsidR="00DB4E05" w:rsidRPr="001261DA" w:rsidRDefault="00CB4B5D" w:rsidP="001261DA">
      <w:pPr>
        <w:pStyle w:val="BodyText"/>
        <w:spacing w:line="360" w:lineRule="auto"/>
        <w:ind w:firstLine="720"/>
        <w:jc w:val="both"/>
        <w:rPr>
          <w:rFonts w:ascii="Arial" w:hAnsi="Arial" w:cs="Arial"/>
          <w:sz w:val="22"/>
          <w:szCs w:val="22"/>
        </w:rPr>
      </w:pPr>
      <w:r w:rsidRPr="001261DA">
        <w:rPr>
          <w:rFonts w:ascii="Arial" w:hAnsi="Arial" w:cs="Arial"/>
          <w:sz w:val="22"/>
          <w:szCs w:val="22"/>
        </w:rPr>
        <w:t>‘But the argument is flawed. Even if the conditions constituted a contract (a finding not in issue before us, and on which I express no opinion), its provisions did not exhaust the province's duties toward the tenderers. Principles of administrative justice continued to govern that relationship, and the province in exercising its contractual rights in the tender process was obliged to act lawfully, procedurally and fairly. In consequence, some of its contractual rights – such as the entitlement to give no reasons – would necessarily yield before its public duties under the Constitution and any applicable legislation.</w:t>
      </w:r>
    </w:p>
    <w:p w:rsidR="00DB4E05" w:rsidRPr="001261DA" w:rsidRDefault="00DB4E05" w:rsidP="00DB4E05">
      <w:pPr>
        <w:pStyle w:val="BodyText"/>
        <w:spacing w:line="360" w:lineRule="auto"/>
        <w:jc w:val="both"/>
        <w:rPr>
          <w:rFonts w:ascii="Arial" w:hAnsi="Arial" w:cs="Arial"/>
          <w:sz w:val="22"/>
          <w:szCs w:val="22"/>
        </w:rPr>
      </w:pPr>
    </w:p>
    <w:p w:rsidR="00DB4E05" w:rsidRPr="001261DA" w:rsidRDefault="001261DA" w:rsidP="001261DA">
      <w:pPr>
        <w:pStyle w:val="BodyText"/>
        <w:tabs>
          <w:tab w:val="left" w:pos="1276"/>
        </w:tabs>
        <w:spacing w:line="360" w:lineRule="auto"/>
        <w:ind w:left="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DB4E05" w:rsidRPr="001261DA">
        <w:rPr>
          <w:rFonts w:ascii="Arial" w:hAnsi="Arial" w:cs="Arial"/>
          <w:sz w:val="22"/>
          <w:szCs w:val="22"/>
        </w:rPr>
        <w:t>This is not to say that the conditions for which the province stipulated in putting out the tender were irrelevant to its subsequent powers. As will appear, such stipulations might bear on the exact ambit of the ever-flexible duty to act fairly that rested on the province. The principles of administrative justice nevertheless framed the parties' contractual relationship, and continued in particular to govern the province's exercise of the rights it derived from the contract.</w:t>
      </w:r>
      <w:r w:rsidRPr="001261DA">
        <w:rPr>
          <w:rFonts w:ascii="Arial" w:hAnsi="Arial" w:cs="Arial"/>
          <w:sz w:val="22"/>
          <w:szCs w:val="22"/>
        </w:rPr>
        <w:t>’</w:t>
      </w:r>
    </w:p>
    <w:p w:rsidR="00270AA2" w:rsidRPr="00B54654" w:rsidRDefault="00270AA2" w:rsidP="001261DA">
      <w:pPr>
        <w:pStyle w:val="BodyText"/>
        <w:spacing w:line="360" w:lineRule="auto"/>
        <w:jc w:val="both"/>
        <w:rPr>
          <w:rFonts w:ascii="Arial" w:hAnsi="Arial" w:cs="Arial"/>
        </w:rPr>
      </w:pPr>
    </w:p>
    <w:p w:rsidR="00905113" w:rsidRDefault="00905113" w:rsidP="00F44C12">
      <w:pPr>
        <w:pStyle w:val="BodyText"/>
        <w:spacing w:line="360" w:lineRule="auto"/>
        <w:jc w:val="both"/>
        <w:rPr>
          <w:rFonts w:ascii="Arial" w:hAnsi="Arial" w:cs="Arial"/>
        </w:rPr>
      </w:pPr>
    </w:p>
    <w:p w:rsidR="003D52FB" w:rsidRPr="00B54654" w:rsidRDefault="00BF1DB6" w:rsidP="00F44C12">
      <w:pPr>
        <w:pStyle w:val="BodyText"/>
        <w:spacing w:line="360" w:lineRule="auto"/>
        <w:jc w:val="both"/>
        <w:rPr>
          <w:rFonts w:ascii="Arial" w:hAnsi="Arial" w:cs="Arial"/>
        </w:rPr>
      </w:pPr>
      <w:r w:rsidRPr="00B54654">
        <w:rPr>
          <w:rFonts w:ascii="Arial" w:hAnsi="Arial" w:cs="Arial"/>
        </w:rPr>
        <w:t>[</w:t>
      </w:r>
      <w:r w:rsidR="003D52FB" w:rsidRPr="00B54654">
        <w:rPr>
          <w:rFonts w:ascii="Arial" w:hAnsi="Arial" w:cs="Arial"/>
        </w:rPr>
        <w:t>2</w:t>
      </w:r>
      <w:r w:rsidR="00CB4B5D">
        <w:rPr>
          <w:rFonts w:ascii="Arial" w:hAnsi="Arial" w:cs="Arial"/>
        </w:rPr>
        <w:t>4</w:t>
      </w:r>
      <w:r w:rsidRPr="00B54654">
        <w:rPr>
          <w:rFonts w:ascii="Arial" w:hAnsi="Arial" w:cs="Arial"/>
        </w:rPr>
        <w:t>]</w:t>
      </w:r>
      <w:r w:rsidRPr="00B54654">
        <w:rPr>
          <w:rFonts w:ascii="Arial" w:hAnsi="Arial" w:cs="Arial"/>
        </w:rPr>
        <w:tab/>
      </w:r>
      <w:r w:rsidR="00CB4B5D" w:rsidRPr="00B54654">
        <w:rPr>
          <w:rFonts w:ascii="Arial" w:hAnsi="Arial" w:cs="Arial"/>
        </w:rPr>
        <w:t>A tender process</w:t>
      </w:r>
      <w:r w:rsidR="00CB4B5D">
        <w:rPr>
          <w:rFonts w:ascii="Arial" w:hAnsi="Arial" w:cs="Arial"/>
        </w:rPr>
        <w:t xml:space="preserve"> by a public authority</w:t>
      </w:r>
      <w:r w:rsidR="00CB4B5D" w:rsidRPr="00B54654">
        <w:rPr>
          <w:rFonts w:ascii="Arial" w:hAnsi="Arial" w:cs="Arial"/>
        </w:rPr>
        <w:t xml:space="preserve"> has consistently been held by courts in South Africa and Namibia to constitute administrative action</w:t>
      </w:r>
      <w:r w:rsidR="00CB4B5D" w:rsidRPr="00B54654">
        <w:rPr>
          <w:rStyle w:val="FootnoteReference"/>
          <w:rFonts w:ascii="Arial" w:hAnsi="Arial" w:cs="Arial"/>
        </w:rPr>
        <w:footnoteReference w:id="6"/>
      </w:r>
      <w:r w:rsidR="00CB4B5D">
        <w:rPr>
          <w:rFonts w:ascii="Arial" w:hAnsi="Arial" w:cs="Arial"/>
        </w:rPr>
        <w:t>.</w:t>
      </w:r>
    </w:p>
    <w:p w:rsidR="003D52FB" w:rsidRPr="00B54654" w:rsidRDefault="003D52FB" w:rsidP="00F44C12">
      <w:pPr>
        <w:pStyle w:val="BodyText"/>
        <w:spacing w:line="360" w:lineRule="auto"/>
        <w:jc w:val="both"/>
        <w:rPr>
          <w:rFonts w:ascii="Arial" w:hAnsi="Arial" w:cs="Arial"/>
        </w:rPr>
      </w:pPr>
    </w:p>
    <w:p w:rsidR="00DB4E05" w:rsidRPr="00B54654" w:rsidRDefault="001261DA" w:rsidP="00F44C12">
      <w:pPr>
        <w:pStyle w:val="BodyText"/>
        <w:spacing w:line="360" w:lineRule="auto"/>
        <w:jc w:val="both"/>
        <w:rPr>
          <w:rFonts w:ascii="Arial" w:hAnsi="Arial" w:cs="Arial"/>
        </w:rPr>
      </w:pPr>
      <w:r>
        <w:rPr>
          <w:rFonts w:ascii="Arial" w:hAnsi="Arial" w:cs="Arial"/>
        </w:rPr>
        <w:t>[2</w:t>
      </w:r>
      <w:r w:rsidR="00CB4B5D">
        <w:rPr>
          <w:rFonts w:ascii="Arial" w:hAnsi="Arial" w:cs="Arial"/>
        </w:rPr>
        <w:t>5</w:t>
      </w:r>
      <w:r w:rsidR="003D52FB" w:rsidRPr="00B54654">
        <w:rPr>
          <w:rFonts w:ascii="Arial" w:hAnsi="Arial" w:cs="Arial"/>
        </w:rPr>
        <w:t>]</w:t>
      </w:r>
      <w:r w:rsidR="003D52FB" w:rsidRPr="00B54654">
        <w:rPr>
          <w:rFonts w:ascii="Arial" w:hAnsi="Arial" w:cs="Arial"/>
        </w:rPr>
        <w:tab/>
      </w:r>
      <w:r w:rsidR="00CB4B5D" w:rsidRPr="00B54654">
        <w:rPr>
          <w:rFonts w:ascii="Arial" w:hAnsi="Arial" w:cs="Arial"/>
        </w:rPr>
        <w:t xml:space="preserve">It is </w:t>
      </w:r>
      <w:r w:rsidR="00CB4B5D">
        <w:rPr>
          <w:rFonts w:ascii="Arial" w:hAnsi="Arial" w:cs="Arial"/>
        </w:rPr>
        <w:t>not disputed by the respondents in their heads of argument</w:t>
      </w:r>
      <w:r w:rsidR="00CB4B5D" w:rsidRPr="00B54654">
        <w:rPr>
          <w:rFonts w:ascii="Arial" w:hAnsi="Arial" w:cs="Arial"/>
        </w:rPr>
        <w:t xml:space="preserve"> that the third respondent cancelled the tender without giving the applicant an opportunity to be heard. The respondents even in the exercise of the contractual rights in the tender process were obliged to act lawfully, procedurally</w:t>
      </w:r>
      <w:r w:rsidR="00CB4B5D">
        <w:rPr>
          <w:rFonts w:ascii="Arial" w:hAnsi="Arial" w:cs="Arial"/>
        </w:rPr>
        <w:t xml:space="preserve"> and fairly. </w:t>
      </w:r>
      <w:r w:rsidR="00CB4B5D" w:rsidRPr="00B54654">
        <w:rPr>
          <w:rFonts w:ascii="Arial" w:hAnsi="Arial" w:cs="Arial"/>
        </w:rPr>
        <w:t>The third respondent failed to act in such manner</w:t>
      </w:r>
      <w:r w:rsidR="00D904F5" w:rsidRPr="00B54654">
        <w:rPr>
          <w:rFonts w:ascii="Arial" w:hAnsi="Arial" w:cs="Arial"/>
        </w:rPr>
        <w:t>.</w:t>
      </w:r>
    </w:p>
    <w:p w:rsidR="00270AA2" w:rsidRPr="00B54654" w:rsidRDefault="00270AA2" w:rsidP="00F44C12">
      <w:pPr>
        <w:pStyle w:val="BodyText"/>
        <w:spacing w:line="360" w:lineRule="auto"/>
        <w:jc w:val="both"/>
        <w:rPr>
          <w:rFonts w:ascii="Arial" w:hAnsi="Arial" w:cs="Arial"/>
        </w:rPr>
      </w:pPr>
    </w:p>
    <w:p w:rsidR="00F53B8F" w:rsidRPr="00B54654" w:rsidRDefault="00BF1DB6" w:rsidP="00F44C12">
      <w:pPr>
        <w:pStyle w:val="BodyText"/>
        <w:spacing w:line="360" w:lineRule="auto"/>
        <w:jc w:val="both"/>
        <w:rPr>
          <w:rFonts w:ascii="Arial" w:hAnsi="Arial" w:cs="Arial"/>
        </w:rPr>
      </w:pPr>
      <w:r w:rsidRPr="00B54654">
        <w:rPr>
          <w:rFonts w:ascii="Arial" w:hAnsi="Arial" w:cs="Arial"/>
        </w:rPr>
        <w:t>[</w:t>
      </w:r>
      <w:r w:rsidR="003D52FB" w:rsidRPr="00B54654">
        <w:rPr>
          <w:rFonts w:ascii="Arial" w:hAnsi="Arial" w:cs="Arial"/>
        </w:rPr>
        <w:t>2</w:t>
      </w:r>
      <w:r w:rsidR="00CB4B5D">
        <w:rPr>
          <w:rFonts w:ascii="Arial" w:hAnsi="Arial" w:cs="Arial"/>
        </w:rPr>
        <w:t>6</w:t>
      </w:r>
      <w:r w:rsidRPr="00B54654">
        <w:rPr>
          <w:rFonts w:ascii="Arial" w:hAnsi="Arial" w:cs="Arial"/>
        </w:rPr>
        <w:t>]</w:t>
      </w:r>
      <w:r w:rsidRPr="00B54654">
        <w:rPr>
          <w:rFonts w:ascii="Arial" w:hAnsi="Arial" w:cs="Arial"/>
        </w:rPr>
        <w:tab/>
      </w:r>
      <w:r w:rsidR="00CB4B5D" w:rsidRPr="00B54654">
        <w:rPr>
          <w:rFonts w:ascii="Arial" w:hAnsi="Arial" w:cs="Arial"/>
        </w:rPr>
        <w:t>In the light of the foregoing</w:t>
      </w:r>
      <w:r w:rsidR="00CB4B5D">
        <w:rPr>
          <w:rFonts w:ascii="Arial" w:hAnsi="Arial" w:cs="Arial"/>
        </w:rPr>
        <w:t>,</w:t>
      </w:r>
      <w:r w:rsidR="00CB4B5D" w:rsidRPr="00B54654">
        <w:rPr>
          <w:rFonts w:ascii="Arial" w:hAnsi="Arial" w:cs="Arial"/>
        </w:rPr>
        <w:t xml:space="preserve"> I am of the view that there is no merit in the point </w:t>
      </w:r>
      <w:r w:rsidR="00CB4B5D" w:rsidRPr="00CB4B5D">
        <w:rPr>
          <w:rFonts w:ascii="Arial" w:hAnsi="Arial" w:cs="Arial"/>
          <w:i/>
        </w:rPr>
        <w:t>in limine</w:t>
      </w:r>
      <w:r w:rsidR="00CB4B5D" w:rsidRPr="00B54654">
        <w:rPr>
          <w:rFonts w:ascii="Arial" w:hAnsi="Arial" w:cs="Arial"/>
        </w:rPr>
        <w:t xml:space="preserve"> at this stage of the proceedings and</w:t>
      </w:r>
      <w:r w:rsidR="00CB4B5D">
        <w:rPr>
          <w:rFonts w:ascii="Arial" w:hAnsi="Arial" w:cs="Arial"/>
        </w:rPr>
        <w:t xml:space="preserve"> the</w:t>
      </w:r>
      <w:r w:rsidR="00CB4B5D" w:rsidRPr="00B54654">
        <w:rPr>
          <w:rFonts w:ascii="Arial" w:hAnsi="Arial" w:cs="Arial"/>
        </w:rPr>
        <w:t xml:space="preserve"> point stands to be dismissed</w:t>
      </w:r>
      <w:r w:rsidR="00F53B8F" w:rsidRPr="00B54654">
        <w:rPr>
          <w:rFonts w:ascii="Arial" w:hAnsi="Arial" w:cs="Arial"/>
        </w:rPr>
        <w:t>.</w:t>
      </w:r>
    </w:p>
    <w:p w:rsidR="00F53B8F" w:rsidRPr="00B54654" w:rsidRDefault="00F53B8F" w:rsidP="00F44C12">
      <w:pPr>
        <w:pStyle w:val="BodyText"/>
        <w:spacing w:line="360" w:lineRule="auto"/>
        <w:jc w:val="both"/>
        <w:rPr>
          <w:rFonts w:ascii="Arial" w:hAnsi="Arial" w:cs="Arial"/>
        </w:rPr>
      </w:pPr>
    </w:p>
    <w:p w:rsidR="0046603C" w:rsidRPr="00B54654" w:rsidRDefault="00225508" w:rsidP="00F44C12">
      <w:pPr>
        <w:pStyle w:val="BodyText"/>
        <w:spacing w:line="360" w:lineRule="auto"/>
        <w:jc w:val="both"/>
        <w:rPr>
          <w:rFonts w:ascii="Arial" w:hAnsi="Arial" w:cs="Arial"/>
          <w:u w:val="single"/>
        </w:rPr>
      </w:pPr>
      <w:r w:rsidRPr="00B54654">
        <w:rPr>
          <w:rFonts w:ascii="Arial" w:hAnsi="Arial" w:cs="Arial"/>
          <w:u w:val="single"/>
        </w:rPr>
        <w:t>This Court’s lack of jurisdiction</w:t>
      </w:r>
      <w:r w:rsidR="00B80AD0" w:rsidRPr="00B54654">
        <w:rPr>
          <w:rFonts w:ascii="Arial" w:hAnsi="Arial" w:cs="Arial"/>
          <w:u w:val="single"/>
        </w:rPr>
        <w:t xml:space="preserve"> </w:t>
      </w:r>
      <w:r w:rsidR="009935FD" w:rsidRPr="00B54654">
        <w:rPr>
          <w:rFonts w:ascii="Arial" w:hAnsi="Arial" w:cs="Arial"/>
          <w:u w:val="single"/>
        </w:rPr>
        <w:t xml:space="preserve">due to the applicant’s </w:t>
      </w:r>
      <w:r w:rsidR="00B80AD0" w:rsidRPr="00B54654">
        <w:rPr>
          <w:rFonts w:ascii="Arial" w:hAnsi="Arial" w:cs="Arial"/>
          <w:u w:val="single"/>
        </w:rPr>
        <w:t>non-exhaustion of internal remedies</w:t>
      </w:r>
    </w:p>
    <w:p w:rsidR="00225508" w:rsidRPr="00B54654" w:rsidRDefault="00225508" w:rsidP="00F44C12">
      <w:pPr>
        <w:pStyle w:val="BodyText"/>
        <w:spacing w:line="360" w:lineRule="auto"/>
        <w:jc w:val="both"/>
        <w:rPr>
          <w:rFonts w:ascii="Arial" w:hAnsi="Arial" w:cs="Arial"/>
        </w:rPr>
      </w:pPr>
    </w:p>
    <w:p w:rsidR="00225508" w:rsidRPr="00B54654" w:rsidRDefault="002B7988" w:rsidP="00F44C12">
      <w:pPr>
        <w:pStyle w:val="BodyText"/>
        <w:spacing w:line="360" w:lineRule="auto"/>
        <w:jc w:val="both"/>
        <w:rPr>
          <w:rFonts w:ascii="Arial" w:hAnsi="Arial" w:cs="Arial"/>
        </w:rPr>
      </w:pPr>
      <w:r w:rsidRPr="00B54654">
        <w:rPr>
          <w:rFonts w:ascii="Arial" w:hAnsi="Arial" w:cs="Arial"/>
        </w:rPr>
        <w:t>[</w:t>
      </w:r>
      <w:r w:rsidR="00605A8E" w:rsidRPr="00B54654">
        <w:rPr>
          <w:rFonts w:ascii="Arial" w:hAnsi="Arial" w:cs="Arial"/>
        </w:rPr>
        <w:t>2</w:t>
      </w:r>
      <w:r w:rsidR="00CB4B5D">
        <w:rPr>
          <w:rFonts w:ascii="Arial" w:hAnsi="Arial" w:cs="Arial"/>
        </w:rPr>
        <w:t>7</w:t>
      </w:r>
      <w:r w:rsidR="00225508" w:rsidRPr="00B54654">
        <w:rPr>
          <w:rFonts w:ascii="Arial" w:hAnsi="Arial" w:cs="Arial"/>
        </w:rPr>
        <w:t>]</w:t>
      </w:r>
      <w:r w:rsidR="00225508" w:rsidRPr="00B54654">
        <w:rPr>
          <w:rFonts w:ascii="Arial" w:hAnsi="Arial" w:cs="Arial"/>
        </w:rPr>
        <w:tab/>
      </w:r>
      <w:r w:rsidR="00CB4B5D" w:rsidRPr="00B54654">
        <w:rPr>
          <w:rFonts w:ascii="Arial" w:hAnsi="Arial" w:cs="Arial"/>
        </w:rPr>
        <w:t xml:space="preserve">In motivating this point </w:t>
      </w:r>
      <w:r w:rsidR="00CB4B5D" w:rsidRPr="00B54654">
        <w:rPr>
          <w:rFonts w:ascii="Arial" w:hAnsi="Arial" w:cs="Arial"/>
          <w:i/>
        </w:rPr>
        <w:t>in limine</w:t>
      </w:r>
      <w:r w:rsidR="00CB4B5D" w:rsidRPr="00B54654">
        <w:rPr>
          <w:rFonts w:ascii="Arial" w:hAnsi="Arial" w:cs="Arial"/>
        </w:rPr>
        <w:t>, respondents’ counsel drew the Court’s attention to the following provisions, placing emphasis on the underlined portions:</w:t>
      </w:r>
    </w:p>
    <w:p w:rsidR="00225508" w:rsidRPr="00B54654" w:rsidRDefault="00225508" w:rsidP="00F44C12">
      <w:pPr>
        <w:pStyle w:val="BodyText"/>
        <w:spacing w:line="360" w:lineRule="auto"/>
        <w:jc w:val="both"/>
        <w:rPr>
          <w:rFonts w:ascii="Arial" w:hAnsi="Arial" w:cs="Arial"/>
        </w:rPr>
      </w:pPr>
    </w:p>
    <w:p w:rsidR="00095AD1" w:rsidRPr="001261DA" w:rsidRDefault="00095AD1" w:rsidP="001261DA">
      <w:pPr>
        <w:pStyle w:val="BodyText"/>
        <w:spacing w:line="360" w:lineRule="auto"/>
        <w:ind w:firstLine="709"/>
        <w:jc w:val="both"/>
        <w:rPr>
          <w:rFonts w:ascii="Arial" w:hAnsi="Arial" w:cs="Arial"/>
          <w:sz w:val="22"/>
          <w:szCs w:val="22"/>
        </w:rPr>
      </w:pPr>
      <w:r w:rsidRPr="001261DA">
        <w:rPr>
          <w:rFonts w:ascii="Arial" w:hAnsi="Arial" w:cs="Arial"/>
          <w:sz w:val="22"/>
          <w:szCs w:val="22"/>
        </w:rPr>
        <w:t>Rule 76(1) of the High Court:</w:t>
      </w:r>
    </w:p>
    <w:p w:rsidR="00095AD1" w:rsidRPr="001261DA" w:rsidRDefault="00095AD1" w:rsidP="001261DA">
      <w:pPr>
        <w:pStyle w:val="BodyText"/>
        <w:spacing w:line="360" w:lineRule="auto"/>
        <w:jc w:val="both"/>
        <w:rPr>
          <w:rFonts w:ascii="Arial" w:hAnsi="Arial" w:cs="Arial"/>
          <w:sz w:val="22"/>
          <w:szCs w:val="22"/>
        </w:rPr>
      </w:pPr>
    </w:p>
    <w:p w:rsidR="00095AD1" w:rsidRPr="001261DA" w:rsidRDefault="001261DA" w:rsidP="001261DA">
      <w:pPr>
        <w:widowControl w:val="0"/>
        <w:autoSpaceDE w:val="0"/>
        <w:autoSpaceDN w:val="0"/>
        <w:adjustRightInd w:val="0"/>
        <w:spacing w:after="0" w:line="360" w:lineRule="auto"/>
        <w:ind w:left="709"/>
        <w:jc w:val="both"/>
        <w:rPr>
          <w:rFonts w:ascii="Arial" w:hAnsi="Arial" w:cs="Arial"/>
        </w:rPr>
      </w:pPr>
      <w:r>
        <w:rPr>
          <w:rFonts w:ascii="Arial" w:hAnsi="Arial" w:cs="Arial"/>
          <w:bCs/>
        </w:rPr>
        <w:t>‘Review application</w:t>
      </w:r>
    </w:p>
    <w:p w:rsidR="004A1E17" w:rsidRDefault="00095AD1" w:rsidP="001261DA">
      <w:pPr>
        <w:widowControl w:val="0"/>
        <w:tabs>
          <w:tab w:val="left" w:pos="1134"/>
          <w:tab w:val="left" w:pos="1560"/>
        </w:tabs>
        <w:autoSpaceDE w:val="0"/>
        <w:autoSpaceDN w:val="0"/>
        <w:adjustRightInd w:val="0"/>
        <w:spacing w:after="0" w:line="360" w:lineRule="auto"/>
        <w:ind w:left="709"/>
        <w:jc w:val="both"/>
        <w:rPr>
          <w:rFonts w:ascii="Arial" w:hAnsi="Arial" w:cs="Arial"/>
        </w:rPr>
      </w:pPr>
      <w:r w:rsidRPr="001261DA">
        <w:rPr>
          <w:rFonts w:ascii="Arial" w:hAnsi="Arial" w:cs="Arial"/>
          <w:bCs/>
        </w:rPr>
        <w:t>76</w:t>
      </w:r>
      <w:r w:rsidRPr="001261DA">
        <w:rPr>
          <w:rFonts w:ascii="Arial" w:hAnsi="Arial" w:cs="Arial"/>
        </w:rPr>
        <w:t>(1)</w:t>
      </w:r>
      <w:r w:rsidR="001261DA">
        <w:rPr>
          <w:rFonts w:ascii="Arial" w:hAnsi="Arial" w:cs="Arial"/>
        </w:rPr>
        <w:tab/>
      </w:r>
      <w:r w:rsidRPr="001261DA">
        <w:rPr>
          <w:rFonts w:ascii="Arial" w:hAnsi="Arial" w:cs="Arial"/>
        </w:rPr>
        <w:t xml:space="preserve">All proceedings to bring under review the decision or proceedings of an inferior court, a tribunal, an administrative body or administrative official are, </w:t>
      </w:r>
      <w:r w:rsidRPr="001261DA">
        <w:rPr>
          <w:rFonts w:ascii="Arial" w:hAnsi="Arial" w:cs="Arial"/>
          <w:u w:val="single"/>
        </w:rPr>
        <w:t>unless a law otherwise provides</w:t>
      </w:r>
      <w:r w:rsidRPr="001261DA">
        <w:rPr>
          <w:rFonts w:ascii="Arial" w:hAnsi="Arial" w:cs="Arial"/>
        </w:rPr>
        <w:t>, by way of application directed and delivered by the party seeking to review such decision or proceedings to the magistrate or presiding officer of the court, the chairperson of the tribunal, the chairperson of the administrative body or the administrative official and to all other parties affected.</w:t>
      </w:r>
      <w:r w:rsidR="001261DA">
        <w:rPr>
          <w:rFonts w:ascii="Arial" w:hAnsi="Arial" w:cs="Arial"/>
        </w:rPr>
        <w:t>’</w:t>
      </w:r>
    </w:p>
    <w:p w:rsidR="001261DA" w:rsidRPr="001261DA" w:rsidRDefault="001261DA" w:rsidP="001261DA">
      <w:pPr>
        <w:widowControl w:val="0"/>
        <w:tabs>
          <w:tab w:val="left" w:pos="1134"/>
          <w:tab w:val="left" w:pos="1701"/>
        </w:tabs>
        <w:autoSpaceDE w:val="0"/>
        <w:autoSpaceDN w:val="0"/>
        <w:adjustRightInd w:val="0"/>
        <w:spacing w:after="0" w:line="360" w:lineRule="auto"/>
        <w:ind w:left="709"/>
        <w:jc w:val="both"/>
        <w:rPr>
          <w:rFonts w:ascii="Arial" w:hAnsi="Arial" w:cs="Arial"/>
        </w:rPr>
      </w:pPr>
    </w:p>
    <w:p w:rsidR="00095AD1" w:rsidRDefault="001C33D0" w:rsidP="001261DA">
      <w:pPr>
        <w:widowControl w:val="0"/>
        <w:autoSpaceDE w:val="0"/>
        <w:autoSpaceDN w:val="0"/>
        <w:adjustRightInd w:val="0"/>
        <w:spacing w:after="0" w:line="360" w:lineRule="auto"/>
        <w:ind w:firstLine="709"/>
        <w:jc w:val="both"/>
        <w:rPr>
          <w:rFonts w:ascii="Arial" w:hAnsi="Arial" w:cs="Arial"/>
        </w:rPr>
      </w:pPr>
      <w:r w:rsidRPr="001261DA">
        <w:rPr>
          <w:rFonts w:ascii="Arial" w:hAnsi="Arial" w:cs="Arial"/>
        </w:rPr>
        <w:t xml:space="preserve">The </w:t>
      </w:r>
      <w:r w:rsidR="001261DA">
        <w:rPr>
          <w:rFonts w:ascii="Arial" w:hAnsi="Arial" w:cs="Arial"/>
        </w:rPr>
        <w:t>Procurement Act</w:t>
      </w:r>
    </w:p>
    <w:p w:rsidR="001261DA" w:rsidRPr="001261DA" w:rsidRDefault="001261DA" w:rsidP="001261DA">
      <w:pPr>
        <w:widowControl w:val="0"/>
        <w:autoSpaceDE w:val="0"/>
        <w:autoSpaceDN w:val="0"/>
        <w:adjustRightInd w:val="0"/>
        <w:spacing w:after="0" w:line="360" w:lineRule="auto"/>
        <w:ind w:firstLine="709"/>
        <w:jc w:val="both"/>
        <w:rPr>
          <w:rFonts w:ascii="Arial" w:hAnsi="Arial" w:cs="Arial"/>
        </w:rPr>
      </w:pPr>
    </w:p>
    <w:p w:rsidR="00585DE5" w:rsidRPr="001261DA" w:rsidRDefault="001261DA" w:rsidP="001261DA">
      <w:pPr>
        <w:widowControl w:val="0"/>
        <w:autoSpaceDE w:val="0"/>
        <w:autoSpaceDN w:val="0"/>
        <w:adjustRightInd w:val="0"/>
        <w:spacing w:after="0" w:line="360" w:lineRule="auto"/>
        <w:ind w:left="709"/>
        <w:jc w:val="both"/>
        <w:rPr>
          <w:rFonts w:ascii="Arial" w:hAnsi="Arial" w:cs="Arial"/>
        </w:rPr>
      </w:pPr>
      <w:r>
        <w:rPr>
          <w:rFonts w:ascii="Arial" w:hAnsi="Arial" w:cs="Arial"/>
          <w:bCs/>
        </w:rPr>
        <w:t>‘Transitional provisions</w:t>
      </w:r>
    </w:p>
    <w:p w:rsidR="00585DE5" w:rsidRPr="001261DA" w:rsidRDefault="00A4471A" w:rsidP="001261DA">
      <w:pPr>
        <w:widowControl w:val="0"/>
        <w:tabs>
          <w:tab w:val="left" w:pos="1560"/>
        </w:tabs>
        <w:autoSpaceDE w:val="0"/>
        <w:autoSpaceDN w:val="0"/>
        <w:adjustRightInd w:val="0"/>
        <w:spacing w:after="0" w:line="360" w:lineRule="auto"/>
        <w:ind w:left="709"/>
        <w:jc w:val="both"/>
        <w:rPr>
          <w:rFonts w:ascii="Arial" w:hAnsi="Arial" w:cs="Arial"/>
        </w:rPr>
      </w:pPr>
      <w:r w:rsidRPr="001261DA">
        <w:rPr>
          <w:rFonts w:ascii="Arial" w:hAnsi="Arial" w:cs="Arial"/>
        </w:rPr>
        <w:t>81</w:t>
      </w:r>
      <w:r w:rsidR="001261DA">
        <w:rPr>
          <w:rFonts w:ascii="Arial" w:hAnsi="Arial" w:cs="Arial"/>
        </w:rPr>
        <w:t>(2)</w:t>
      </w:r>
      <w:r w:rsidR="00585DE5" w:rsidRPr="001261DA">
        <w:rPr>
          <w:rFonts w:ascii="Arial" w:hAnsi="Arial" w:cs="Arial"/>
        </w:rPr>
        <w:tab/>
        <w:t xml:space="preserve">A tender that has been advertised for bidding before the date of commencement of this Act, whether the tender advert has been closed or not, the </w:t>
      </w:r>
      <w:r w:rsidR="00585DE5" w:rsidRPr="001261DA">
        <w:rPr>
          <w:rFonts w:ascii="Arial" w:hAnsi="Arial" w:cs="Arial"/>
          <w:u w:val="single"/>
        </w:rPr>
        <w:t>bidding is dealt with in terms of this Act</w:t>
      </w:r>
      <w:r w:rsidR="001261DA">
        <w:rPr>
          <w:rFonts w:ascii="Arial" w:hAnsi="Arial" w:cs="Arial"/>
        </w:rPr>
        <w:t>.’</w:t>
      </w:r>
    </w:p>
    <w:p w:rsidR="001261DA" w:rsidRDefault="001261DA" w:rsidP="001261DA">
      <w:pPr>
        <w:pStyle w:val="BodyText"/>
        <w:spacing w:line="360" w:lineRule="auto"/>
        <w:jc w:val="both"/>
        <w:rPr>
          <w:rFonts w:ascii="Arial" w:hAnsi="Arial" w:cs="Arial"/>
          <w:sz w:val="22"/>
          <w:szCs w:val="22"/>
        </w:rPr>
      </w:pPr>
    </w:p>
    <w:p w:rsidR="00585DE5" w:rsidRPr="001261DA" w:rsidRDefault="00F805EC" w:rsidP="001261DA">
      <w:pPr>
        <w:pStyle w:val="BodyText"/>
        <w:spacing w:line="360" w:lineRule="auto"/>
        <w:ind w:firstLine="709"/>
        <w:jc w:val="both"/>
        <w:rPr>
          <w:rFonts w:ascii="Arial" w:hAnsi="Arial" w:cs="Arial"/>
          <w:sz w:val="22"/>
          <w:szCs w:val="22"/>
        </w:rPr>
      </w:pPr>
      <w:r w:rsidRPr="001261DA">
        <w:rPr>
          <w:rFonts w:ascii="Arial" w:hAnsi="Arial" w:cs="Arial"/>
          <w:sz w:val="22"/>
          <w:szCs w:val="22"/>
        </w:rPr>
        <w:t>a</w:t>
      </w:r>
      <w:r w:rsidR="00585DE5" w:rsidRPr="001261DA">
        <w:rPr>
          <w:rFonts w:ascii="Arial" w:hAnsi="Arial" w:cs="Arial"/>
          <w:sz w:val="22"/>
          <w:szCs w:val="22"/>
        </w:rPr>
        <w:t>nd</w:t>
      </w:r>
    </w:p>
    <w:p w:rsidR="00A356E8" w:rsidRPr="001261DA" w:rsidRDefault="00A356E8" w:rsidP="001261DA">
      <w:pPr>
        <w:pStyle w:val="BodyText"/>
        <w:spacing w:line="360" w:lineRule="auto"/>
        <w:jc w:val="both"/>
        <w:rPr>
          <w:rFonts w:ascii="Arial" w:hAnsi="Arial" w:cs="Arial"/>
          <w:sz w:val="22"/>
          <w:szCs w:val="22"/>
        </w:rPr>
      </w:pPr>
    </w:p>
    <w:p w:rsidR="00585DE5" w:rsidRPr="001261DA" w:rsidRDefault="001261DA" w:rsidP="001261DA">
      <w:pPr>
        <w:widowControl w:val="0"/>
        <w:autoSpaceDE w:val="0"/>
        <w:autoSpaceDN w:val="0"/>
        <w:adjustRightInd w:val="0"/>
        <w:spacing w:after="0" w:line="360" w:lineRule="auto"/>
        <w:ind w:left="709"/>
        <w:jc w:val="both"/>
        <w:rPr>
          <w:rFonts w:ascii="Arial" w:hAnsi="Arial" w:cs="Arial"/>
          <w:bCs/>
        </w:rPr>
      </w:pPr>
      <w:r>
        <w:rPr>
          <w:rFonts w:ascii="Arial" w:hAnsi="Arial" w:cs="Arial"/>
          <w:bCs/>
        </w:rPr>
        <w:t>‘</w:t>
      </w:r>
      <w:r w:rsidR="00585DE5" w:rsidRPr="001261DA">
        <w:rPr>
          <w:rFonts w:ascii="Arial" w:hAnsi="Arial" w:cs="Arial"/>
          <w:bCs/>
        </w:rPr>
        <w:t>Application for review</w:t>
      </w:r>
    </w:p>
    <w:p w:rsidR="00585DE5" w:rsidRDefault="00585DE5" w:rsidP="001261DA">
      <w:pPr>
        <w:widowControl w:val="0"/>
        <w:tabs>
          <w:tab w:val="left" w:pos="1560"/>
        </w:tabs>
        <w:autoSpaceDE w:val="0"/>
        <w:autoSpaceDN w:val="0"/>
        <w:adjustRightInd w:val="0"/>
        <w:spacing w:after="0" w:line="360" w:lineRule="auto"/>
        <w:ind w:left="709"/>
        <w:jc w:val="both"/>
        <w:rPr>
          <w:rFonts w:ascii="Arial" w:hAnsi="Arial" w:cs="Arial"/>
        </w:rPr>
      </w:pPr>
      <w:r w:rsidRPr="001261DA">
        <w:rPr>
          <w:rFonts w:ascii="Arial" w:hAnsi="Arial" w:cs="Arial"/>
          <w:bCs/>
        </w:rPr>
        <w:t>59</w:t>
      </w:r>
      <w:r w:rsidR="001261DA">
        <w:rPr>
          <w:rFonts w:ascii="Arial" w:hAnsi="Arial" w:cs="Arial"/>
        </w:rPr>
        <w:t>(1)</w:t>
      </w:r>
      <w:r w:rsidRPr="001261DA">
        <w:rPr>
          <w:rFonts w:ascii="Arial" w:hAnsi="Arial" w:cs="Arial"/>
        </w:rPr>
        <w:tab/>
      </w:r>
      <w:r w:rsidRPr="001261DA">
        <w:rPr>
          <w:rFonts w:ascii="Arial" w:hAnsi="Arial" w:cs="Arial"/>
          <w:u w:val="single"/>
        </w:rPr>
        <w:t>A bidder or supplier may</w:t>
      </w:r>
      <w:r w:rsidRPr="001261DA">
        <w:rPr>
          <w:rFonts w:ascii="Arial" w:hAnsi="Arial" w:cs="Arial"/>
        </w:rPr>
        <w:t xml:space="preserve">, as prescribed, </w:t>
      </w:r>
      <w:r w:rsidRPr="001261DA">
        <w:rPr>
          <w:rFonts w:ascii="Arial" w:hAnsi="Arial" w:cs="Arial"/>
          <w:u w:val="single"/>
        </w:rPr>
        <w:t>apply to the Review Panel for review of a decision or an action taken</w:t>
      </w:r>
      <w:r w:rsidRPr="001261DA">
        <w:rPr>
          <w:rFonts w:ascii="Arial" w:hAnsi="Arial" w:cs="Arial"/>
        </w:rPr>
        <w:t xml:space="preserve"> </w:t>
      </w:r>
      <w:r w:rsidR="001261DA">
        <w:rPr>
          <w:rFonts w:ascii="Arial" w:hAnsi="Arial" w:cs="Arial"/>
        </w:rPr>
        <w:t>–</w:t>
      </w:r>
      <w:r w:rsidRPr="001261DA">
        <w:rPr>
          <w:rFonts w:ascii="Arial" w:hAnsi="Arial" w:cs="Arial"/>
        </w:rPr>
        <w:t xml:space="preserve"> </w:t>
      </w:r>
    </w:p>
    <w:p w:rsidR="001261DA" w:rsidRPr="001261DA" w:rsidRDefault="001261DA" w:rsidP="001261DA">
      <w:pPr>
        <w:widowControl w:val="0"/>
        <w:tabs>
          <w:tab w:val="left" w:pos="1560"/>
        </w:tabs>
        <w:autoSpaceDE w:val="0"/>
        <w:autoSpaceDN w:val="0"/>
        <w:adjustRightInd w:val="0"/>
        <w:spacing w:after="0" w:line="360" w:lineRule="auto"/>
        <w:ind w:left="709"/>
        <w:jc w:val="both"/>
        <w:rPr>
          <w:rFonts w:ascii="Arial" w:hAnsi="Arial" w:cs="Arial"/>
          <w:bCs/>
          <w:u w:val="single"/>
        </w:rPr>
      </w:pPr>
    </w:p>
    <w:p w:rsidR="00585DE5" w:rsidRPr="001261DA" w:rsidRDefault="00585DE5" w:rsidP="001261DA">
      <w:pPr>
        <w:widowControl w:val="0"/>
        <w:tabs>
          <w:tab w:val="left" w:pos="220"/>
          <w:tab w:val="left" w:pos="2127"/>
        </w:tabs>
        <w:autoSpaceDE w:val="0"/>
        <w:autoSpaceDN w:val="0"/>
        <w:adjustRightInd w:val="0"/>
        <w:spacing w:after="0" w:line="360" w:lineRule="auto"/>
        <w:ind w:left="1560"/>
        <w:jc w:val="both"/>
        <w:rPr>
          <w:rFonts w:ascii="Arial" w:hAnsi="Arial" w:cs="Arial"/>
        </w:rPr>
      </w:pPr>
      <w:r w:rsidRPr="001261DA">
        <w:rPr>
          <w:rFonts w:ascii="Arial" w:hAnsi="Arial" w:cs="Arial"/>
        </w:rPr>
        <w:t>(a)</w:t>
      </w:r>
      <w:r w:rsidRPr="001261DA">
        <w:rPr>
          <w:rFonts w:ascii="Arial" w:hAnsi="Arial" w:cs="Arial"/>
        </w:rPr>
        <w:tab/>
        <w:t xml:space="preserve">by the Board; or </w:t>
      </w:r>
      <w:r w:rsidRPr="001261DA">
        <w:rPr>
          <w:rFonts w:ascii="MS Gothic" w:eastAsia="MS Gothic" w:hAnsi="MS Gothic" w:cs="MS Gothic" w:hint="eastAsia"/>
        </w:rPr>
        <w:t> </w:t>
      </w:r>
    </w:p>
    <w:p w:rsidR="00585DE5" w:rsidRPr="001261DA" w:rsidRDefault="00585DE5" w:rsidP="001261DA">
      <w:pPr>
        <w:widowControl w:val="0"/>
        <w:tabs>
          <w:tab w:val="left" w:pos="220"/>
          <w:tab w:val="left" w:pos="2127"/>
        </w:tabs>
        <w:autoSpaceDE w:val="0"/>
        <w:autoSpaceDN w:val="0"/>
        <w:adjustRightInd w:val="0"/>
        <w:spacing w:after="0" w:line="360" w:lineRule="auto"/>
        <w:ind w:left="1560"/>
        <w:jc w:val="both"/>
        <w:rPr>
          <w:rFonts w:ascii="Arial" w:hAnsi="Arial" w:cs="Arial"/>
        </w:rPr>
      </w:pPr>
      <w:r w:rsidRPr="001261DA">
        <w:rPr>
          <w:rFonts w:ascii="Arial" w:hAnsi="Arial" w:cs="Arial"/>
        </w:rPr>
        <w:t>(b)</w:t>
      </w:r>
      <w:r w:rsidRPr="001261DA">
        <w:rPr>
          <w:rFonts w:ascii="Arial" w:hAnsi="Arial" w:cs="Arial"/>
        </w:rPr>
        <w:tab/>
      </w:r>
      <w:r w:rsidRPr="001261DA">
        <w:rPr>
          <w:rFonts w:ascii="Arial" w:hAnsi="Arial" w:cs="Arial"/>
          <w:u w:val="single"/>
        </w:rPr>
        <w:t>by a public entity</w:t>
      </w:r>
      <w:r w:rsidRPr="001261DA">
        <w:rPr>
          <w:rFonts w:ascii="Arial" w:hAnsi="Arial" w:cs="Arial"/>
        </w:rPr>
        <w:t>, for the aw</w:t>
      </w:r>
      <w:r w:rsidR="001261DA">
        <w:rPr>
          <w:rFonts w:ascii="Arial" w:hAnsi="Arial" w:cs="Arial"/>
        </w:rPr>
        <w:t>ard of a procurement contract.</w:t>
      </w:r>
    </w:p>
    <w:p w:rsidR="001261DA" w:rsidRDefault="001261DA" w:rsidP="001261DA">
      <w:pPr>
        <w:widowControl w:val="0"/>
        <w:autoSpaceDE w:val="0"/>
        <w:autoSpaceDN w:val="0"/>
        <w:adjustRightInd w:val="0"/>
        <w:spacing w:after="0" w:line="360" w:lineRule="auto"/>
        <w:ind w:left="709"/>
        <w:jc w:val="both"/>
        <w:rPr>
          <w:rFonts w:ascii="Arial" w:hAnsi="Arial" w:cs="Arial"/>
        </w:rPr>
      </w:pPr>
    </w:p>
    <w:p w:rsidR="001261DA" w:rsidRDefault="00585DE5" w:rsidP="001261DA">
      <w:pPr>
        <w:widowControl w:val="0"/>
        <w:tabs>
          <w:tab w:val="left" w:pos="1418"/>
        </w:tabs>
        <w:autoSpaceDE w:val="0"/>
        <w:autoSpaceDN w:val="0"/>
        <w:adjustRightInd w:val="0"/>
        <w:spacing w:after="0" w:line="360" w:lineRule="auto"/>
        <w:ind w:left="709"/>
        <w:jc w:val="both"/>
        <w:rPr>
          <w:rFonts w:ascii="Arial" w:hAnsi="Arial" w:cs="Arial"/>
        </w:rPr>
      </w:pPr>
      <w:r w:rsidRPr="001261DA">
        <w:rPr>
          <w:rFonts w:ascii="Arial" w:hAnsi="Arial" w:cs="Arial"/>
        </w:rPr>
        <w:t>(4)</w:t>
      </w:r>
      <w:r w:rsidRPr="001261DA">
        <w:rPr>
          <w:rFonts w:ascii="Arial" w:hAnsi="Arial" w:cs="Arial"/>
        </w:rPr>
        <w:tab/>
      </w:r>
      <w:r w:rsidRPr="001261DA">
        <w:rPr>
          <w:rFonts w:ascii="Arial" w:hAnsi="Arial" w:cs="Arial"/>
          <w:u w:val="single"/>
        </w:rPr>
        <w:t>A bidder or supplier who is aggrieved or claims to have suffered</w:t>
      </w:r>
      <w:r w:rsidRPr="001261DA">
        <w:rPr>
          <w:rFonts w:ascii="Arial" w:hAnsi="Arial" w:cs="Arial"/>
        </w:rPr>
        <w:t xml:space="preserve">, or to be likely to suffer, loss under this Act </w:t>
      </w:r>
      <w:r w:rsidRPr="001261DA">
        <w:rPr>
          <w:rFonts w:ascii="Arial" w:hAnsi="Arial" w:cs="Arial"/>
          <w:u w:val="single"/>
        </w:rPr>
        <w:t>must exhaust all available remedies under this Act before instituting any judicial action in the High Court</w:t>
      </w:r>
      <w:r w:rsidRPr="001261DA">
        <w:rPr>
          <w:rFonts w:ascii="Arial" w:hAnsi="Arial" w:cs="Arial"/>
        </w:rPr>
        <w:t>.</w:t>
      </w:r>
      <w:r w:rsidR="001261DA">
        <w:rPr>
          <w:rFonts w:ascii="Arial" w:hAnsi="Arial" w:cs="Arial"/>
        </w:rPr>
        <w:t>’</w:t>
      </w:r>
    </w:p>
    <w:p w:rsidR="001261DA" w:rsidRPr="001261DA" w:rsidRDefault="001261DA" w:rsidP="001261DA">
      <w:pPr>
        <w:widowControl w:val="0"/>
        <w:tabs>
          <w:tab w:val="left" w:pos="1418"/>
        </w:tabs>
        <w:autoSpaceDE w:val="0"/>
        <w:autoSpaceDN w:val="0"/>
        <w:adjustRightInd w:val="0"/>
        <w:spacing w:after="0" w:line="360" w:lineRule="auto"/>
        <w:jc w:val="both"/>
        <w:rPr>
          <w:rFonts w:ascii="Arial" w:hAnsi="Arial" w:cs="Arial"/>
          <w:sz w:val="24"/>
          <w:szCs w:val="24"/>
        </w:rPr>
      </w:pPr>
    </w:p>
    <w:p w:rsidR="00225508" w:rsidRPr="00B54654" w:rsidRDefault="0094422B" w:rsidP="001261DA">
      <w:pPr>
        <w:pStyle w:val="BodyText"/>
        <w:spacing w:line="360" w:lineRule="auto"/>
        <w:jc w:val="both"/>
        <w:rPr>
          <w:rFonts w:ascii="Arial" w:hAnsi="Arial" w:cs="Arial"/>
        </w:rPr>
      </w:pPr>
      <w:r w:rsidRPr="00B54654">
        <w:rPr>
          <w:rFonts w:ascii="Arial" w:hAnsi="Arial" w:cs="Arial"/>
        </w:rPr>
        <w:t>[</w:t>
      </w:r>
      <w:r w:rsidR="00605A8E" w:rsidRPr="00B54654">
        <w:rPr>
          <w:rFonts w:ascii="Arial" w:hAnsi="Arial" w:cs="Arial"/>
        </w:rPr>
        <w:t>2</w:t>
      </w:r>
      <w:r w:rsidR="00CB4B5D">
        <w:rPr>
          <w:rFonts w:ascii="Arial" w:hAnsi="Arial" w:cs="Arial"/>
        </w:rPr>
        <w:t>8</w:t>
      </w:r>
      <w:r w:rsidRPr="00B54654">
        <w:rPr>
          <w:rFonts w:ascii="Arial" w:hAnsi="Arial" w:cs="Arial"/>
        </w:rPr>
        <w:t>]</w:t>
      </w:r>
      <w:r w:rsidRPr="00B54654">
        <w:rPr>
          <w:rFonts w:ascii="Arial" w:hAnsi="Arial" w:cs="Arial"/>
        </w:rPr>
        <w:tab/>
      </w:r>
      <w:r w:rsidR="00CB4B5D" w:rsidRPr="00B54654">
        <w:rPr>
          <w:rFonts w:ascii="Arial" w:hAnsi="Arial" w:cs="Arial"/>
        </w:rPr>
        <w:t>Counsel contended that a careful reading of the above provisions, leads to the conclusion that the applicant, as an aggrieved bidder, ought to have approached the review panel for the relief it seeks in this application instead of approaching this Court. Counsel therefore submitted that the applicant’s failure to exhaust the remedies provided in the Procurement Act rendered this application liable for dismissal</w:t>
      </w:r>
      <w:r w:rsidR="00CB4B5D">
        <w:rPr>
          <w:rFonts w:ascii="Arial" w:hAnsi="Arial" w:cs="Arial"/>
        </w:rPr>
        <w:t xml:space="preserve"> with costs</w:t>
      </w:r>
      <w:r w:rsidR="006B26AD">
        <w:rPr>
          <w:rFonts w:ascii="Arial" w:hAnsi="Arial" w:cs="Arial"/>
        </w:rPr>
        <w:t>.</w:t>
      </w:r>
    </w:p>
    <w:p w:rsidR="003D0AA4" w:rsidRPr="00B54654" w:rsidRDefault="003D0AA4" w:rsidP="00F44C12">
      <w:pPr>
        <w:pStyle w:val="BodyText"/>
        <w:spacing w:line="360" w:lineRule="auto"/>
        <w:jc w:val="both"/>
        <w:rPr>
          <w:rFonts w:ascii="Arial" w:hAnsi="Arial" w:cs="Arial"/>
        </w:rPr>
      </w:pPr>
    </w:p>
    <w:p w:rsidR="008F719D" w:rsidRPr="00B54654" w:rsidRDefault="003D0AA4" w:rsidP="00F44C12">
      <w:pPr>
        <w:pStyle w:val="BodyText"/>
        <w:spacing w:line="360" w:lineRule="auto"/>
        <w:jc w:val="both"/>
        <w:rPr>
          <w:rFonts w:ascii="Arial" w:hAnsi="Arial" w:cs="Arial"/>
        </w:rPr>
      </w:pPr>
      <w:r w:rsidRPr="00B54654">
        <w:rPr>
          <w:rFonts w:ascii="Arial" w:hAnsi="Arial" w:cs="Arial"/>
        </w:rPr>
        <w:t>[</w:t>
      </w:r>
      <w:r w:rsidR="0094422B" w:rsidRPr="00B54654">
        <w:rPr>
          <w:rFonts w:ascii="Arial" w:hAnsi="Arial" w:cs="Arial"/>
        </w:rPr>
        <w:t>2</w:t>
      </w:r>
      <w:r w:rsidR="00CB4B5D">
        <w:rPr>
          <w:rFonts w:ascii="Arial" w:hAnsi="Arial" w:cs="Arial"/>
        </w:rPr>
        <w:t>9</w:t>
      </w:r>
      <w:r w:rsidRPr="00B54654">
        <w:rPr>
          <w:rFonts w:ascii="Arial" w:hAnsi="Arial" w:cs="Arial"/>
        </w:rPr>
        <w:t>]</w:t>
      </w:r>
      <w:r w:rsidRPr="00B54654">
        <w:rPr>
          <w:rFonts w:ascii="Arial" w:hAnsi="Arial" w:cs="Arial"/>
        </w:rPr>
        <w:tab/>
      </w:r>
      <w:r w:rsidR="00CB4B5D" w:rsidRPr="00B54654">
        <w:rPr>
          <w:rFonts w:ascii="Arial" w:hAnsi="Arial" w:cs="Arial"/>
        </w:rPr>
        <w:t xml:space="preserve">In </w:t>
      </w:r>
      <w:r w:rsidR="00CB4B5D" w:rsidRPr="00B54654">
        <w:rPr>
          <w:rFonts w:ascii="Arial" w:hAnsi="Arial" w:cs="Arial"/>
          <w:i/>
        </w:rPr>
        <w:t>Namibia Competition Commission v Wal-Mart Stores</w:t>
      </w:r>
      <w:r w:rsidR="00CB4B5D" w:rsidRPr="00B54654">
        <w:rPr>
          <w:rStyle w:val="FootnoteReference"/>
          <w:rFonts w:ascii="Arial" w:hAnsi="Arial" w:cs="Arial"/>
        </w:rPr>
        <w:footnoteReference w:id="7"/>
      </w:r>
      <w:r w:rsidR="00CB4B5D" w:rsidRPr="00B54654">
        <w:rPr>
          <w:rFonts w:ascii="Arial" w:hAnsi="Arial" w:cs="Arial"/>
        </w:rPr>
        <w:t>, the Supreme Court set out criteria that should guide a court in determining whether a litigant has exhausted internal remedies. The Court stated that firstly, the court should consider the wording of the relevant statutory provision, and secondly, the court should consider whether the internal remedy affords an aggrieved party sufficient and practic</w:t>
      </w:r>
      <w:r w:rsidR="00CB4B5D">
        <w:rPr>
          <w:rFonts w:ascii="Arial" w:hAnsi="Arial" w:cs="Arial"/>
        </w:rPr>
        <w:t>al relief in the circumstances</w:t>
      </w:r>
      <w:r w:rsidR="006B26AD">
        <w:rPr>
          <w:rFonts w:ascii="Arial" w:hAnsi="Arial" w:cs="Arial"/>
        </w:rPr>
        <w:t>.</w:t>
      </w:r>
    </w:p>
    <w:p w:rsidR="004170EA" w:rsidRPr="00B54654" w:rsidRDefault="004170EA" w:rsidP="00F44C12">
      <w:pPr>
        <w:pStyle w:val="BodyText"/>
        <w:spacing w:line="360" w:lineRule="auto"/>
        <w:jc w:val="both"/>
        <w:rPr>
          <w:rFonts w:ascii="Arial" w:hAnsi="Arial" w:cs="Arial"/>
        </w:rPr>
      </w:pPr>
    </w:p>
    <w:p w:rsidR="008F719D" w:rsidRPr="00B54654" w:rsidRDefault="002B7988" w:rsidP="00F44C12">
      <w:pPr>
        <w:pStyle w:val="BodyText"/>
        <w:spacing w:line="360" w:lineRule="auto"/>
        <w:jc w:val="both"/>
        <w:rPr>
          <w:rFonts w:ascii="Arial" w:hAnsi="Arial" w:cs="Arial"/>
        </w:rPr>
      </w:pPr>
      <w:r w:rsidRPr="00B54654">
        <w:rPr>
          <w:rFonts w:ascii="Arial" w:hAnsi="Arial" w:cs="Arial"/>
        </w:rPr>
        <w:t>[</w:t>
      </w:r>
      <w:r w:rsidR="00CB4B5D">
        <w:rPr>
          <w:rFonts w:ascii="Arial" w:hAnsi="Arial" w:cs="Arial"/>
        </w:rPr>
        <w:t>30</w:t>
      </w:r>
      <w:r w:rsidR="004170EA" w:rsidRPr="00B54654">
        <w:rPr>
          <w:rFonts w:ascii="Arial" w:hAnsi="Arial" w:cs="Arial"/>
        </w:rPr>
        <w:t>]</w:t>
      </w:r>
      <w:r w:rsidR="004170EA" w:rsidRPr="00B54654">
        <w:rPr>
          <w:rFonts w:ascii="Arial" w:hAnsi="Arial" w:cs="Arial"/>
        </w:rPr>
        <w:tab/>
      </w:r>
      <w:r w:rsidR="00CB4B5D" w:rsidRPr="00B54654">
        <w:rPr>
          <w:rFonts w:ascii="Arial" w:hAnsi="Arial" w:cs="Arial"/>
        </w:rPr>
        <w:t xml:space="preserve">Section 59(4) of the Procurement Act is explicit in its wording regarding the aggrieved bidder or supplier obligation to first exhaust internal remedies before approaching this court for any relief. Applying the guideline set out by the Supreme Court in </w:t>
      </w:r>
      <w:r w:rsidR="00CB4B5D" w:rsidRPr="00B54654">
        <w:rPr>
          <w:rFonts w:ascii="Arial" w:hAnsi="Arial" w:cs="Arial"/>
          <w:i/>
        </w:rPr>
        <w:t>Wal-Mart</w:t>
      </w:r>
      <w:r w:rsidR="00CB4B5D" w:rsidRPr="00B54654">
        <w:rPr>
          <w:rFonts w:ascii="Arial" w:hAnsi="Arial" w:cs="Arial"/>
        </w:rPr>
        <w:t xml:space="preserve"> to the facts of this matter, I am of the view that the respondents’ contention cannot be sustained. </w:t>
      </w:r>
      <w:r w:rsidR="00CB4B5D">
        <w:rPr>
          <w:rFonts w:ascii="Arial" w:hAnsi="Arial" w:cs="Arial"/>
        </w:rPr>
        <w:t>Taking into account the following factors</w:t>
      </w:r>
      <w:r w:rsidR="006B26AD">
        <w:rPr>
          <w:rFonts w:ascii="Arial" w:hAnsi="Arial" w:cs="Arial"/>
        </w:rPr>
        <w:t>:</w:t>
      </w:r>
    </w:p>
    <w:p w:rsidR="008F719D" w:rsidRDefault="008F719D" w:rsidP="00F44C12">
      <w:pPr>
        <w:pStyle w:val="BodyText"/>
        <w:spacing w:line="360" w:lineRule="auto"/>
        <w:jc w:val="both"/>
        <w:rPr>
          <w:rFonts w:ascii="Arial" w:hAnsi="Arial" w:cs="Arial"/>
        </w:rPr>
      </w:pPr>
    </w:p>
    <w:p w:rsidR="00905113" w:rsidRDefault="00905113" w:rsidP="00F44C12">
      <w:pPr>
        <w:pStyle w:val="BodyText"/>
        <w:spacing w:line="360" w:lineRule="auto"/>
        <w:jc w:val="both"/>
        <w:rPr>
          <w:rFonts w:ascii="Arial" w:hAnsi="Arial" w:cs="Arial"/>
        </w:rPr>
      </w:pPr>
    </w:p>
    <w:p w:rsidR="00905113" w:rsidRPr="00B54654" w:rsidRDefault="00905113" w:rsidP="00F44C12">
      <w:pPr>
        <w:pStyle w:val="BodyText"/>
        <w:spacing w:line="360" w:lineRule="auto"/>
        <w:jc w:val="both"/>
        <w:rPr>
          <w:rFonts w:ascii="Arial" w:hAnsi="Arial" w:cs="Arial"/>
        </w:rPr>
      </w:pPr>
    </w:p>
    <w:p w:rsidR="00054A8F" w:rsidRPr="00B54654" w:rsidRDefault="00054A8F" w:rsidP="006B26AD">
      <w:pPr>
        <w:pStyle w:val="BodyText"/>
        <w:numPr>
          <w:ilvl w:val="0"/>
          <w:numId w:val="39"/>
        </w:numPr>
        <w:spacing w:line="360" w:lineRule="auto"/>
        <w:ind w:left="1276" w:hanging="567"/>
        <w:jc w:val="both"/>
        <w:rPr>
          <w:rFonts w:ascii="Arial" w:hAnsi="Arial" w:cs="Arial"/>
        </w:rPr>
      </w:pPr>
      <w:r w:rsidRPr="00B54654">
        <w:rPr>
          <w:rFonts w:ascii="Arial" w:hAnsi="Arial" w:cs="Arial"/>
        </w:rPr>
        <w:t xml:space="preserve">the tender </w:t>
      </w:r>
      <w:r w:rsidR="00113856" w:rsidRPr="00B54654">
        <w:rPr>
          <w:rFonts w:ascii="Arial" w:hAnsi="Arial" w:cs="Arial"/>
        </w:rPr>
        <w:t xml:space="preserve">was </w:t>
      </w:r>
      <w:r w:rsidRPr="00B54654">
        <w:rPr>
          <w:rFonts w:ascii="Arial" w:hAnsi="Arial" w:cs="Arial"/>
        </w:rPr>
        <w:t>advertised on 21 August 2015</w:t>
      </w:r>
      <w:r w:rsidR="00DD7F18" w:rsidRPr="00B54654">
        <w:rPr>
          <w:rFonts w:ascii="Arial" w:hAnsi="Arial" w:cs="Arial"/>
        </w:rPr>
        <w:t>, where after evaluation was allegedly conducted</w:t>
      </w:r>
      <w:r w:rsidRPr="00B54654">
        <w:rPr>
          <w:rFonts w:ascii="Arial" w:hAnsi="Arial" w:cs="Arial"/>
        </w:rPr>
        <w:t>;</w:t>
      </w:r>
    </w:p>
    <w:p w:rsidR="00054A8F" w:rsidRPr="00B54654" w:rsidRDefault="00054A8F" w:rsidP="00054A8F">
      <w:pPr>
        <w:pStyle w:val="BodyText"/>
        <w:spacing w:line="360" w:lineRule="auto"/>
        <w:ind w:left="709"/>
        <w:jc w:val="both"/>
        <w:rPr>
          <w:rFonts w:ascii="Arial" w:hAnsi="Arial" w:cs="Arial"/>
        </w:rPr>
      </w:pPr>
    </w:p>
    <w:p w:rsidR="001D1E28" w:rsidRPr="00B54654" w:rsidRDefault="008F719D" w:rsidP="006B26AD">
      <w:pPr>
        <w:pStyle w:val="BodyText"/>
        <w:numPr>
          <w:ilvl w:val="0"/>
          <w:numId w:val="39"/>
        </w:numPr>
        <w:spacing w:line="360" w:lineRule="auto"/>
        <w:ind w:left="1276" w:hanging="567"/>
        <w:jc w:val="both"/>
        <w:rPr>
          <w:rFonts w:ascii="Arial" w:hAnsi="Arial" w:cs="Arial"/>
        </w:rPr>
      </w:pPr>
      <w:r w:rsidRPr="00B54654">
        <w:rPr>
          <w:rFonts w:ascii="Arial" w:hAnsi="Arial" w:cs="Arial"/>
        </w:rPr>
        <w:t xml:space="preserve">the tender decision sought to be reviewed was </w:t>
      </w:r>
      <w:r w:rsidR="000F3AE1" w:rsidRPr="00B54654">
        <w:rPr>
          <w:rFonts w:ascii="Arial" w:hAnsi="Arial" w:cs="Arial"/>
        </w:rPr>
        <w:t>communicated to the applicants</w:t>
      </w:r>
      <w:r w:rsidRPr="00B54654">
        <w:rPr>
          <w:rFonts w:ascii="Arial" w:hAnsi="Arial" w:cs="Arial"/>
        </w:rPr>
        <w:t xml:space="preserve"> on </w:t>
      </w:r>
      <w:r w:rsidR="000F3AE1" w:rsidRPr="00B54654">
        <w:rPr>
          <w:rFonts w:ascii="Arial" w:hAnsi="Arial" w:cs="Arial"/>
        </w:rPr>
        <w:t>16 February 2017</w:t>
      </w:r>
      <w:r w:rsidRPr="00B54654">
        <w:rPr>
          <w:rFonts w:ascii="Arial" w:hAnsi="Arial" w:cs="Arial"/>
        </w:rPr>
        <w:t>;</w:t>
      </w:r>
    </w:p>
    <w:p w:rsidR="001D1E28" w:rsidRPr="00B54654" w:rsidRDefault="001D1E28" w:rsidP="00054A8F">
      <w:pPr>
        <w:pStyle w:val="BodyText"/>
        <w:spacing w:line="360" w:lineRule="auto"/>
        <w:ind w:left="709"/>
        <w:jc w:val="both"/>
        <w:rPr>
          <w:rFonts w:ascii="Arial" w:hAnsi="Arial" w:cs="Arial"/>
        </w:rPr>
      </w:pPr>
    </w:p>
    <w:p w:rsidR="004860F3" w:rsidRPr="006B26AD" w:rsidRDefault="00765D48" w:rsidP="006B26AD">
      <w:pPr>
        <w:pStyle w:val="BodyText"/>
        <w:numPr>
          <w:ilvl w:val="0"/>
          <w:numId w:val="39"/>
        </w:numPr>
        <w:spacing w:line="360" w:lineRule="auto"/>
        <w:ind w:left="1276" w:hanging="567"/>
        <w:jc w:val="both"/>
        <w:rPr>
          <w:rFonts w:ascii="Arial" w:hAnsi="Arial" w:cs="Arial"/>
        </w:rPr>
      </w:pPr>
      <w:r w:rsidRPr="006B26AD">
        <w:rPr>
          <w:rFonts w:ascii="Arial" w:hAnsi="Arial" w:cs="Arial"/>
        </w:rPr>
        <w:t>the</w:t>
      </w:r>
      <w:r w:rsidR="00054A8F" w:rsidRPr="006B26AD">
        <w:rPr>
          <w:rFonts w:ascii="Arial" w:hAnsi="Arial" w:cs="Arial"/>
        </w:rPr>
        <w:t xml:space="preserve"> Procurement Act, promulgated on 31 December 2015,</w:t>
      </w:r>
      <w:r w:rsidRPr="006B26AD">
        <w:rPr>
          <w:rFonts w:ascii="Arial" w:hAnsi="Arial" w:cs="Arial"/>
        </w:rPr>
        <w:t xml:space="preserve"> came into operation on 01 April 2017</w:t>
      </w:r>
      <w:r w:rsidR="00054A8F" w:rsidRPr="006B26AD">
        <w:rPr>
          <w:rFonts w:ascii="Arial" w:hAnsi="Arial" w:cs="Arial"/>
        </w:rPr>
        <w:t xml:space="preserve"> by way of Government Gaz</w:t>
      </w:r>
      <w:r w:rsidR="00605A8E" w:rsidRPr="006B26AD">
        <w:rPr>
          <w:rFonts w:ascii="Arial" w:hAnsi="Arial" w:cs="Arial"/>
        </w:rPr>
        <w:t>e</w:t>
      </w:r>
      <w:r w:rsidR="00054A8F" w:rsidRPr="006B26AD">
        <w:rPr>
          <w:rFonts w:ascii="Arial" w:hAnsi="Arial" w:cs="Arial"/>
        </w:rPr>
        <w:t>tte No. 6255/No.46;</w:t>
      </w:r>
    </w:p>
    <w:p w:rsidR="001D1E28" w:rsidRPr="006B26AD" w:rsidRDefault="001D1E28" w:rsidP="006B26AD">
      <w:pPr>
        <w:pStyle w:val="BodyText"/>
        <w:spacing w:line="360" w:lineRule="auto"/>
        <w:ind w:left="709"/>
        <w:jc w:val="both"/>
        <w:rPr>
          <w:rFonts w:ascii="Arial" w:hAnsi="Arial" w:cs="Arial"/>
        </w:rPr>
      </w:pPr>
    </w:p>
    <w:p w:rsidR="004860F3" w:rsidRPr="006B26AD" w:rsidRDefault="00765D48" w:rsidP="006B26AD">
      <w:pPr>
        <w:pStyle w:val="BodyText"/>
        <w:numPr>
          <w:ilvl w:val="0"/>
          <w:numId w:val="39"/>
        </w:numPr>
        <w:tabs>
          <w:tab w:val="left" w:pos="1276"/>
        </w:tabs>
        <w:spacing w:line="360" w:lineRule="auto"/>
        <w:ind w:left="709" w:firstLine="0"/>
        <w:jc w:val="both"/>
        <w:rPr>
          <w:rFonts w:ascii="Arial" w:hAnsi="Arial" w:cs="Arial"/>
        </w:rPr>
      </w:pPr>
      <w:r w:rsidRPr="006B26AD">
        <w:rPr>
          <w:rFonts w:ascii="Arial" w:hAnsi="Arial" w:cs="Arial"/>
        </w:rPr>
        <w:t>the main application was instituted on 25 April 2017</w:t>
      </w:r>
      <w:r w:rsidR="004860F3" w:rsidRPr="006B26AD">
        <w:rPr>
          <w:rFonts w:ascii="Arial" w:hAnsi="Arial" w:cs="Arial"/>
        </w:rPr>
        <w:t xml:space="preserve">; and </w:t>
      </w:r>
    </w:p>
    <w:p w:rsidR="001D1E28" w:rsidRPr="006B26AD" w:rsidRDefault="001D1E28" w:rsidP="006B26AD">
      <w:pPr>
        <w:pStyle w:val="BodyText"/>
        <w:spacing w:line="360" w:lineRule="auto"/>
        <w:ind w:left="709"/>
        <w:jc w:val="both"/>
        <w:rPr>
          <w:rFonts w:ascii="Arial" w:hAnsi="Arial" w:cs="Arial"/>
        </w:rPr>
      </w:pPr>
    </w:p>
    <w:p w:rsidR="004860F3" w:rsidRPr="006B26AD" w:rsidRDefault="004860F3" w:rsidP="006B26AD">
      <w:pPr>
        <w:pStyle w:val="BodyText"/>
        <w:numPr>
          <w:ilvl w:val="0"/>
          <w:numId w:val="39"/>
        </w:numPr>
        <w:tabs>
          <w:tab w:val="left" w:pos="1276"/>
        </w:tabs>
        <w:spacing w:line="360" w:lineRule="auto"/>
        <w:ind w:left="1276" w:hanging="567"/>
        <w:jc w:val="both"/>
        <w:rPr>
          <w:rFonts w:ascii="Arial" w:hAnsi="Arial" w:cs="Arial"/>
        </w:rPr>
      </w:pPr>
      <w:r w:rsidRPr="006B26AD">
        <w:rPr>
          <w:rFonts w:ascii="Arial" w:hAnsi="Arial" w:cs="Arial"/>
        </w:rPr>
        <w:t xml:space="preserve">the </w:t>
      </w:r>
      <w:r w:rsidR="00605A8E" w:rsidRPr="006B26AD">
        <w:rPr>
          <w:rFonts w:ascii="Arial" w:hAnsi="Arial" w:cs="Arial"/>
        </w:rPr>
        <w:t xml:space="preserve">individual from which to choose members of the </w:t>
      </w:r>
      <w:r w:rsidRPr="006B26AD">
        <w:rPr>
          <w:rFonts w:ascii="Arial" w:hAnsi="Arial" w:cs="Arial"/>
        </w:rPr>
        <w:t xml:space="preserve">review panel was only </w:t>
      </w:r>
      <w:r w:rsidR="00605A8E" w:rsidRPr="006B26AD">
        <w:rPr>
          <w:rFonts w:ascii="Arial" w:hAnsi="Arial" w:cs="Arial"/>
        </w:rPr>
        <w:t>published</w:t>
      </w:r>
      <w:r w:rsidR="00182364" w:rsidRPr="006B26AD">
        <w:rPr>
          <w:rFonts w:ascii="Arial" w:hAnsi="Arial" w:cs="Arial"/>
        </w:rPr>
        <w:t xml:space="preserve"> the </w:t>
      </w:r>
      <w:r w:rsidRPr="006B26AD">
        <w:rPr>
          <w:rFonts w:ascii="Arial" w:hAnsi="Arial" w:cs="Arial"/>
        </w:rPr>
        <w:t>Government Gaz</w:t>
      </w:r>
      <w:r w:rsidR="00A51C7A" w:rsidRPr="006B26AD">
        <w:rPr>
          <w:rFonts w:ascii="Arial" w:hAnsi="Arial" w:cs="Arial"/>
        </w:rPr>
        <w:t>e</w:t>
      </w:r>
      <w:r w:rsidRPr="006B26AD">
        <w:rPr>
          <w:rFonts w:ascii="Arial" w:hAnsi="Arial" w:cs="Arial"/>
        </w:rPr>
        <w:t xml:space="preserve">tte </w:t>
      </w:r>
      <w:r w:rsidR="00182364" w:rsidRPr="006B26AD">
        <w:rPr>
          <w:rFonts w:ascii="Arial" w:hAnsi="Arial" w:cs="Arial"/>
        </w:rPr>
        <w:t>on</w:t>
      </w:r>
      <w:r w:rsidR="00605A8E" w:rsidRPr="006B26AD">
        <w:rPr>
          <w:rFonts w:ascii="Arial" w:hAnsi="Arial" w:cs="Arial"/>
        </w:rPr>
        <w:t xml:space="preserve"> 1 August 2017</w:t>
      </w:r>
      <w:r w:rsidR="00964764">
        <w:rPr>
          <w:rFonts w:ascii="Arial" w:hAnsi="Arial" w:cs="Arial"/>
        </w:rPr>
        <w:t>.</w:t>
      </w:r>
    </w:p>
    <w:p w:rsidR="004860F3" w:rsidRPr="006B26AD" w:rsidRDefault="004860F3" w:rsidP="006B26AD">
      <w:pPr>
        <w:pStyle w:val="BodyText"/>
        <w:spacing w:line="360" w:lineRule="auto"/>
        <w:jc w:val="both"/>
        <w:rPr>
          <w:rFonts w:ascii="Arial" w:hAnsi="Arial" w:cs="Arial"/>
        </w:rPr>
      </w:pPr>
    </w:p>
    <w:p w:rsidR="00113856" w:rsidRPr="00B54654" w:rsidRDefault="00113856" w:rsidP="006B26AD">
      <w:pPr>
        <w:pStyle w:val="BodyText"/>
        <w:spacing w:line="360" w:lineRule="auto"/>
        <w:jc w:val="both"/>
        <w:rPr>
          <w:rFonts w:ascii="Arial" w:hAnsi="Arial" w:cs="Arial"/>
        </w:rPr>
      </w:pPr>
      <w:r w:rsidRPr="006B26AD">
        <w:rPr>
          <w:rFonts w:ascii="Arial" w:hAnsi="Arial" w:cs="Arial"/>
          <w:bCs/>
        </w:rPr>
        <w:t>[</w:t>
      </w:r>
      <w:r w:rsidR="006B26AD">
        <w:rPr>
          <w:rFonts w:ascii="Arial" w:hAnsi="Arial" w:cs="Arial"/>
          <w:bCs/>
        </w:rPr>
        <w:t>3</w:t>
      </w:r>
      <w:r w:rsidR="00964764">
        <w:rPr>
          <w:rFonts w:ascii="Arial" w:hAnsi="Arial" w:cs="Arial"/>
          <w:bCs/>
        </w:rPr>
        <w:t>1</w:t>
      </w:r>
      <w:r w:rsidRPr="006B26AD">
        <w:rPr>
          <w:rFonts w:ascii="Arial" w:hAnsi="Arial" w:cs="Arial"/>
          <w:bCs/>
        </w:rPr>
        <w:t>]</w:t>
      </w:r>
      <w:r w:rsidRPr="006B26AD">
        <w:rPr>
          <w:rFonts w:ascii="Arial" w:hAnsi="Arial" w:cs="Arial"/>
          <w:bCs/>
        </w:rPr>
        <w:tab/>
      </w:r>
      <w:r w:rsidR="00964764" w:rsidRPr="006B26AD">
        <w:rPr>
          <w:rFonts w:ascii="Arial" w:hAnsi="Arial" w:cs="Arial"/>
          <w:bCs/>
        </w:rPr>
        <w:t>From the above timeline, the following is evident: Firstly,</w:t>
      </w:r>
      <w:r w:rsidR="00964764" w:rsidRPr="006B26AD">
        <w:rPr>
          <w:rFonts w:ascii="Arial" w:hAnsi="Arial" w:cs="Arial"/>
        </w:rPr>
        <w:t xml:space="preserve"> the tender which</w:t>
      </w:r>
      <w:r w:rsidR="00964764" w:rsidRPr="00B54654">
        <w:rPr>
          <w:rFonts w:ascii="Arial" w:hAnsi="Arial" w:cs="Arial"/>
        </w:rPr>
        <w:t xml:space="preserve"> forms the subject matter of this review proceedings was advertised before the date of the commencement of the Procurement Act. Secondly, the bidding and the alleged evaluation process was conducted long before the coming into operation of the Procurement Act, thus the transitional provision of section 81(2) does not apply. Thirdly, the cancellation of the tender was communicated to the applicant before the coming into operation of the Procurement Act. Fourthly, the list of individual from which members of the review panel can be chose</w:t>
      </w:r>
      <w:r w:rsidR="00964764">
        <w:rPr>
          <w:rFonts w:ascii="Arial" w:hAnsi="Arial" w:cs="Arial"/>
        </w:rPr>
        <w:t>n</w:t>
      </w:r>
      <w:r w:rsidR="00964764" w:rsidRPr="00B54654">
        <w:rPr>
          <w:rFonts w:ascii="Arial" w:hAnsi="Arial" w:cs="Arial"/>
        </w:rPr>
        <w:t>, was constituted long after the proceedings in the main review application were instituted. In short the internal remedies envisaged by the Procurement Act were not in existence at the time the present proceedings were instituted</w:t>
      </w:r>
      <w:r w:rsidR="00794E2E" w:rsidRPr="00B54654">
        <w:rPr>
          <w:rFonts w:ascii="Arial" w:hAnsi="Arial" w:cs="Arial"/>
        </w:rPr>
        <w:t>.</w:t>
      </w:r>
    </w:p>
    <w:p w:rsidR="00113856" w:rsidRPr="00B54654" w:rsidRDefault="00113856" w:rsidP="003D0AA4">
      <w:pPr>
        <w:pStyle w:val="BodyText"/>
        <w:spacing w:line="360" w:lineRule="auto"/>
        <w:jc w:val="both"/>
        <w:rPr>
          <w:rFonts w:ascii="Arial" w:hAnsi="Arial" w:cs="Arial"/>
        </w:rPr>
      </w:pPr>
    </w:p>
    <w:p w:rsidR="003D0AA4" w:rsidRPr="00B54654" w:rsidRDefault="002B7988" w:rsidP="003D0AA4">
      <w:pPr>
        <w:pStyle w:val="BodyText"/>
        <w:spacing w:line="360" w:lineRule="auto"/>
        <w:jc w:val="both"/>
        <w:rPr>
          <w:rFonts w:ascii="Arial" w:hAnsi="Arial" w:cs="Arial"/>
        </w:rPr>
      </w:pPr>
      <w:r w:rsidRPr="00B54654">
        <w:rPr>
          <w:rFonts w:ascii="Arial" w:hAnsi="Arial" w:cs="Arial"/>
        </w:rPr>
        <w:t>[</w:t>
      </w:r>
      <w:r w:rsidR="006B26AD">
        <w:rPr>
          <w:rFonts w:ascii="Arial" w:hAnsi="Arial" w:cs="Arial"/>
        </w:rPr>
        <w:t>3</w:t>
      </w:r>
      <w:r w:rsidR="00964764">
        <w:rPr>
          <w:rFonts w:ascii="Arial" w:hAnsi="Arial" w:cs="Arial"/>
        </w:rPr>
        <w:t>2</w:t>
      </w:r>
      <w:r w:rsidR="004170EA" w:rsidRPr="00B54654">
        <w:rPr>
          <w:rFonts w:ascii="Arial" w:hAnsi="Arial" w:cs="Arial"/>
        </w:rPr>
        <w:t>]</w:t>
      </w:r>
      <w:r w:rsidR="004170EA" w:rsidRPr="00B54654">
        <w:rPr>
          <w:rFonts w:ascii="Arial" w:hAnsi="Arial" w:cs="Arial"/>
        </w:rPr>
        <w:tab/>
      </w:r>
      <w:r w:rsidR="00964764" w:rsidRPr="00B54654">
        <w:rPr>
          <w:rFonts w:ascii="Arial" w:hAnsi="Arial" w:cs="Arial"/>
        </w:rPr>
        <w:t xml:space="preserve">I am therefore of the considered </w:t>
      </w:r>
      <w:r w:rsidR="00964764">
        <w:rPr>
          <w:rFonts w:ascii="Arial" w:hAnsi="Arial" w:cs="Arial"/>
        </w:rPr>
        <w:t xml:space="preserve">view </w:t>
      </w:r>
      <w:r w:rsidR="00964764" w:rsidRPr="00B54654">
        <w:rPr>
          <w:rFonts w:ascii="Arial" w:hAnsi="Arial" w:cs="Arial"/>
        </w:rPr>
        <w:t xml:space="preserve">that there is no merit in the respondents’ contention that applicant could or should have approached the review panel for the relief in respect of the main proceedings or this application because the review panel was not constituted. For this reason, this point </w:t>
      </w:r>
      <w:r w:rsidR="00964764" w:rsidRPr="00B54654">
        <w:rPr>
          <w:rFonts w:ascii="Arial" w:hAnsi="Arial" w:cs="Arial"/>
          <w:i/>
        </w:rPr>
        <w:t>in limine</w:t>
      </w:r>
      <w:r w:rsidR="00964764" w:rsidRPr="00B54654">
        <w:rPr>
          <w:rFonts w:ascii="Arial" w:hAnsi="Arial" w:cs="Arial"/>
        </w:rPr>
        <w:t xml:space="preserve"> similarly fails</w:t>
      </w:r>
      <w:r w:rsidR="001D1E28" w:rsidRPr="00B54654">
        <w:rPr>
          <w:rFonts w:ascii="Arial" w:hAnsi="Arial" w:cs="Arial"/>
        </w:rPr>
        <w:t>.</w:t>
      </w:r>
      <w:r w:rsidR="003D0AA4" w:rsidRPr="00B54654">
        <w:rPr>
          <w:rFonts w:ascii="Arial" w:hAnsi="Arial" w:cs="Arial"/>
        </w:rPr>
        <w:t xml:space="preserve"> </w:t>
      </w:r>
    </w:p>
    <w:p w:rsidR="007031B4" w:rsidRDefault="007031B4" w:rsidP="00F44C12">
      <w:pPr>
        <w:pStyle w:val="BodyText"/>
        <w:spacing w:line="360" w:lineRule="auto"/>
        <w:jc w:val="both"/>
        <w:rPr>
          <w:rFonts w:ascii="Arial" w:hAnsi="Arial" w:cs="Arial"/>
          <w:u w:val="single"/>
        </w:rPr>
      </w:pPr>
    </w:p>
    <w:p w:rsidR="00905113" w:rsidRPr="00B54654" w:rsidRDefault="00905113" w:rsidP="00F44C12">
      <w:pPr>
        <w:pStyle w:val="BodyText"/>
        <w:spacing w:line="360" w:lineRule="auto"/>
        <w:jc w:val="both"/>
        <w:rPr>
          <w:rFonts w:ascii="Arial" w:hAnsi="Arial" w:cs="Arial"/>
          <w:u w:val="single"/>
        </w:rPr>
      </w:pPr>
    </w:p>
    <w:p w:rsidR="008668C6" w:rsidRPr="00B54654" w:rsidRDefault="008668C6" w:rsidP="00F44C12">
      <w:pPr>
        <w:pStyle w:val="BodyText"/>
        <w:spacing w:line="360" w:lineRule="auto"/>
        <w:jc w:val="both"/>
        <w:rPr>
          <w:rFonts w:ascii="Arial" w:hAnsi="Arial" w:cs="Arial"/>
          <w:u w:val="single"/>
        </w:rPr>
      </w:pPr>
      <w:r w:rsidRPr="00B54654">
        <w:rPr>
          <w:rFonts w:ascii="Arial" w:hAnsi="Arial" w:cs="Arial"/>
          <w:u w:val="single"/>
        </w:rPr>
        <w:t>The merits</w:t>
      </w:r>
    </w:p>
    <w:p w:rsidR="003B3399" w:rsidRPr="00B54654" w:rsidRDefault="003B3399" w:rsidP="006B26AD">
      <w:pPr>
        <w:pStyle w:val="BodyText"/>
        <w:spacing w:line="360" w:lineRule="auto"/>
        <w:jc w:val="both"/>
        <w:rPr>
          <w:rFonts w:ascii="Arial" w:hAnsi="Arial" w:cs="Arial"/>
          <w:u w:val="single"/>
        </w:rPr>
      </w:pPr>
    </w:p>
    <w:p w:rsidR="00310FC2" w:rsidRPr="00B54654" w:rsidRDefault="002B7988" w:rsidP="006B26AD">
      <w:pPr>
        <w:spacing w:after="0" w:line="360" w:lineRule="auto"/>
        <w:jc w:val="both"/>
        <w:rPr>
          <w:rFonts w:ascii="Arial" w:hAnsi="Arial" w:cs="Arial"/>
          <w:sz w:val="24"/>
          <w:szCs w:val="24"/>
        </w:rPr>
      </w:pPr>
      <w:r w:rsidRPr="00B54654">
        <w:rPr>
          <w:rFonts w:ascii="Arial" w:hAnsi="Arial" w:cs="Arial"/>
          <w:sz w:val="24"/>
          <w:szCs w:val="24"/>
        </w:rPr>
        <w:t>[</w:t>
      </w:r>
      <w:r w:rsidR="00794E2E" w:rsidRPr="00B54654">
        <w:rPr>
          <w:rFonts w:ascii="Arial" w:hAnsi="Arial" w:cs="Arial"/>
          <w:sz w:val="24"/>
          <w:szCs w:val="24"/>
        </w:rPr>
        <w:t>3</w:t>
      </w:r>
      <w:r w:rsidR="00964764">
        <w:rPr>
          <w:rFonts w:ascii="Arial" w:hAnsi="Arial" w:cs="Arial"/>
          <w:sz w:val="24"/>
          <w:szCs w:val="24"/>
        </w:rPr>
        <w:t>3</w:t>
      </w:r>
      <w:r w:rsidR="00694F9D" w:rsidRPr="00B54654">
        <w:rPr>
          <w:rFonts w:ascii="Arial" w:hAnsi="Arial" w:cs="Arial"/>
          <w:sz w:val="24"/>
          <w:szCs w:val="24"/>
        </w:rPr>
        <w:t>]</w:t>
      </w:r>
      <w:r w:rsidR="00694F9D" w:rsidRPr="00B54654">
        <w:rPr>
          <w:rFonts w:ascii="Arial" w:hAnsi="Arial" w:cs="Arial"/>
          <w:sz w:val="24"/>
          <w:szCs w:val="24"/>
        </w:rPr>
        <w:tab/>
      </w:r>
      <w:r w:rsidR="00964764" w:rsidRPr="00B54654">
        <w:rPr>
          <w:rFonts w:ascii="Arial" w:hAnsi="Arial" w:cs="Arial"/>
          <w:sz w:val="24"/>
          <w:szCs w:val="24"/>
        </w:rPr>
        <w:t>I next turn to consider the grounds upon which the respondents opposed the disclosure of the documents sought namely, that the documents are not relevant to the decisions sought to be set aside; the documents have not been reasonably identified; and that the documents are confidential</w:t>
      </w:r>
      <w:r w:rsidR="00310FC2" w:rsidRPr="00B54654">
        <w:rPr>
          <w:rFonts w:ascii="Arial" w:hAnsi="Arial" w:cs="Arial"/>
          <w:sz w:val="24"/>
          <w:szCs w:val="24"/>
        </w:rPr>
        <w:t>.</w:t>
      </w:r>
    </w:p>
    <w:p w:rsidR="00370ED7" w:rsidRPr="00B54654" w:rsidRDefault="00370ED7" w:rsidP="006B26AD">
      <w:pPr>
        <w:spacing w:after="0" w:line="360" w:lineRule="auto"/>
        <w:jc w:val="both"/>
        <w:rPr>
          <w:rFonts w:ascii="Arial" w:hAnsi="Arial" w:cs="Arial"/>
          <w:sz w:val="24"/>
          <w:szCs w:val="24"/>
        </w:rPr>
      </w:pPr>
    </w:p>
    <w:p w:rsidR="004C3F64" w:rsidRPr="00B54654" w:rsidRDefault="004C3F64" w:rsidP="006B26AD">
      <w:pPr>
        <w:spacing w:after="0" w:line="360" w:lineRule="auto"/>
        <w:jc w:val="both"/>
        <w:rPr>
          <w:rFonts w:ascii="Arial" w:hAnsi="Arial" w:cs="Arial"/>
          <w:sz w:val="24"/>
          <w:szCs w:val="24"/>
        </w:rPr>
      </w:pPr>
      <w:r w:rsidRPr="00B54654">
        <w:rPr>
          <w:rFonts w:ascii="Arial" w:hAnsi="Arial" w:cs="Arial"/>
          <w:sz w:val="24"/>
          <w:szCs w:val="24"/>
        </w:rPr>
        <w:t>[3</w:t>
      </w:r>
      <w:r w:rsidR="00964764">
        <w:rPr>
          <w:rFonts w:ascii="Arial" w:hAnsi="Arial" w:cs="Arial"/>
          <w:sz w:val="24"/>
          <w:szCs w:val="24"/>
        </w:rPr>
        <w:t>4</w:t>
      </w:r>
      <w:r w:rsidRPr="00B54654">
        <w:rPr>
          <w:rFonts w:ascii="Arial" w:hAnsi="Arial" w:cs="Arial"/>
          <w:sz w:val="24"/>
          <w:szCs w:val="24"/>
        </w:rPr>
        <w:t>]</w:t>
      </w:r>
      <w:r w:rsidRPr="00B54654">
        <w:rPr>
          <w:rFonts w:ascii="Arial" w:hAnsi="Arial" w:cs="Arial"/>
          <w:sz w:val="24"/>
          <w:szCs w:val="24"/>
        </w:rPr>
        <w:tab/>
      </w:r>
      <w:r w:rsidR="00964764" w:rsidRPr="00B54654">
        <w:rPr>
          <w:rFonts w:ascii="Arial" w:hAnsi="Arial" w:cs="Arial"/>
          <w:sz w:val="24"/>
          <w:szCs w:val="24"/>
        </w:rPr>
        <w:t>It is submitted on behalf of the respondents that the disclosure required by the applicant fell within the parameters of pre-litigation disclosure and that the applicant is therefore not entitled to such disclosure</w:t>
      </w:r>
      <w:r w:rsidR="00370ED7" w:rsidRPr="00B54654">
        <w:rPr>
          <w:rFonts w:ascii="Arial" w:hAnsi="Arial" w:cs="Arial"/>
          <w:sz w:val="24"/>
          <w:szCs w:val="24"/>
        </w:rPr>
        <w:t>.</w:t>
      </w:r>
    </w:p>
    <w:p w:rsidR="004C3F64" w:rsidRPr="00B54654" w:rsidRDefault="004C3F64" w:rsidP="006B26AD">
      <w:pPr>
        <w:spacing w:after="0" w:line="360" w:lineRule="auto"/>
        <w:jc w:val="both"/>
        <w:rPr>
          <w:rFonts w:ascii="Arial" w:hAnsi="Arial" w:cs="Arial"/>
          <w:sz w:val="24"/>
          <w:szCs w:val="24"/>
        </w:rPr>
      </w:pPr>
    </w:p>
    <w:p w:rsidR="00CF27C9" w:rsidRPr="00B54654" w:rsidRDefault="004C3F64" w:rsidP="006B26AD">
      <w:pPr>
        <w:spacing w:after="0" w:line="360" w:lineRule="auto"/>
        <w:jc w:val="both"/>
        <w:rPr>
          <w:rFonts w:ascii="Arial" w:hAnsi="Arial" w:cs="Arial"/>
          <w:sz w:val="24"/>
          <w:szCs w:val="24"/>
        </w:rPr>
      </w:pPr>
      <w:r w:rsidRPr="00B54654">
        <w:rPr>
          <w:rFonts w:ascii="Arial" w:hAnsi="Arial" w:cs="Arial"/>
          <w:sz w:val="24"/>
          <w:szCs w:val="24"/>
        </w:rPr>
        <w:t>[3</w:t>
      </w:r>
      <w:r w:rsidR="00964764">
        <w:rPr>
          <w:rFonts w:ascii="Arial" w:hAnsi="Arial" w:cs="Arial"/>
          <w:sz w:val="24"/>
          <w:szCs w:val="24"/>
        </w:rPr>
        <w:t>5</w:t>
      </w:r>
      <w:r w:rsidRPr="00B54654">
        <w:rPr>
          <w:rFonts w:ascii="Arial" w:hAnsi="Arial" w:cs="Arial"/>
          <w:sz w:val="24"/>
          <w:szCs w:val="24"/>
        </w:rPr>
        <w:t>]</w:t>
      </w:r>
      <w:r w:rsidRPr="00B54654">
        <w:rPr>
          <w:rFonts w:ascii="Arial" w:hAnsi="Arial" w:cs="Arial"/>
          <w:sz w:val="24"/>
          <w:szCs w:val="24"/>
        </w:rPr>
        <w:tab/>
      </w:r>
      <w:r w:rsidR="00964764" w:rsidRPr="00B54654">
        <w:rPr>
          <w:rFonts w:ascii="Arial" w:hAnsi="Arial" w:cs="Arial"/>
          <w:sz w:val="24"/>
          <w:szCs w:val="24"/>
        </w:rPr>
        <w:t xml:space="preserve">In support of the above contention counsel referred the court to the Supreme Court judgment in the matter of </w:t>
      </w:r>
      <w:r w:rsidR="00964764" w:rsidRPr="00B54654">
        <w:rPr>
          <w:rFonts w:ascii="Arial" w:hAnsi="Arial" w:cs="Arial"/>
          <w:i/>
          <w:sz w:val="24"/>
          <w:szCs w:val="24"/>
        </w:rPr>
        <w:t>Chairperson of the Tender Board of Namibia v Pamo Trading Enterprises CC and Circle Hospitality Services (Pty) Ltd</w:t>
      </w:r>
      <w:r w:rsidR="00964764" w:rsidRPr="00B54654">
        <w:rPr>
          <w:rStyle w:val="FootnoteReference"/>
          <w:rFonts w:ascii="Arial" w:hAnsi="Arial" w:cs="Arial"/>
          <w:i/>
          <w:sz w:val="24"/>
          <w:szCs w:val="24"/>
        </w:rPr>
        <w:footnoteReference w:id="8"/>
      </w:r>
      <w:r w:rsidR="00964764" w:rsidRPr="00B54654">
        <w:rPr>
          <w:rFonts w:ascii="Arial" w:hAnsi="Arial" w:cs="Arial"/>
          <w:i/>
          <w:sz w:val="24"/>
          <w:szCs w:val="24"/>
        </w:rPr>
        <w:t xml:space="preserve"> </w:t>
      </w:r>
      <w:r w:rsidR="00964764" w:rsidRPr="006B26AD">
        <w:rPr>
          <w:rFonts w:ascii="Arial" w:hAnsi="Arial" w:cs="Arial"/>
          <w:sz w:val="24"/>
          <w:szCs w:val="24"/>
        </w:rPr>
        <w:t>Case No: SA 87/2014.</w:t>
      </w:r>
      <w:r w:rsidR="00964764" w:rsidRPr="00B54654">
        <w:rPr>
          <w:rFonts w:ascii="Arial" w:hAnsi="Arial" w:cs="Arial"/>
          <w:i/>
          <w:sz w:val="24"/>
          <w:szCs w:val="24"/>
        </w:rPr>
        <w:t xml:space="preserve"> </w:t>
      </w:r>
      <w:r w:rsidR="00964764" w:rsidRPr="00B54654">
        <w:rPr>
          <w:rFonts w:ascii="Arial" w:hAnsi="Arial" w:cs="Arial"/>
          <w:sz w:val="24"/>
          <w:szCs w:val="24"/>
        </w:rPr>
        <w:t>In that matter the applicant applied for an order to compel the Tender Board to provide minutes of its meetings and documentations as a form of pre-litigation discovery claiming a right of access to such documents grounded on Art</w:t>
      </w:r>
      <w:r w:rsidR="00964764">
        <w:rPr>
          <w:rFonts w:ascii="Arial" w:hAnsi="Arial" w:cs="Arial"/>
          <w:sz w:val="24"/>
          <w:szCs w:val="24"/>
        </w:rPr>
        <w:t>icle</w:t>
      </w:r>
      <w:r w:rsidR="00964764" w:rsidRPr="00B54654">
        <w:rPr>
          <w:rFonts w:ascii="Arial" w:hAnsi="Arial" w:cs="Arial"/>
          <w:sz w:val="24"/>
          <w:szCs w:val="24"/>
        </w:rPr>
        <w:t xml:space="preserve">s 18 and 12 of the </w:t>
      </w:r>
      <w:r w:rsidR="00964764">
        <w:rPr>
          <w:rFonts w:ascii="Arial" w:hAnsi="Arial" w:cs="Arial"/>
          <w:sz w:val="24"/>
          <w:szCs w:val="24"/>
        </w:rPr>
        <w:t xml:space="preserve">Namibian </w:t>
      </w:r>
      <w:r w:rsidR="00964764" w:rsidRPr="00B54654">
        <w:rPr>
          <w:rFonts w:ascii="Arial" w:hAnsi="Arial" w:cs="Arial"/>
          <w:sz w:val="24"/>
          <w:szCs w:val="24"/>
        </w:rPr>
        <w:t>Constitution. The High Court held that the respondents were requesting reasons which would prove the fairness of the process and thus directed the Tender Board to provide copy of the minutes of the meeting of a specific board meeting. The Supreme Court found that that the respondents did not establish a right to access to the minutes under Article 18 because of the sketchy and unsupported basis raised in the founding papers</w:t>
      </w:r>
      <w:r w:rsidR="003F6A7F" w:rsidRPr="00B54654">
        <w:rPr>
          <w:rFonts w:ascii="Arial" w:hAnsi="Arial" w:cs="Arial"/>
          <w:sz w:val="24"/>
          <w:szCs w:val="24"/>
        </w:rPr>
        <w:t>.</w:t>
      </w:r>
    </w:p>
    <w:p w:rsidR="002C476B" w:rsidRPr="00B54654" w:rsidRDefault="002C476B" w:rsidP="006B26AD">
      <w:pPr>
        <w:spacing w:after="0" w:line="360" w:lineRule="auto"/>
        <w:jc w:val="both"/>
        <w:rPr>
          <w:rFonts w:ascii="Arial" w:hAnsi="Arial" w:cs="Arial"/>
          <w:i/>
          <w:sz w:val="24"/>
          <w:szCs w:val="24"/>
        </w:rPr>
      </w:pPr>
    </w:p>
    <w:p w:rsidR="00370ED7" w:rsidRPr="00B54654" w:rsidRDefault="004C3F64" w:rsidP="006B26AD">
      <w:pPr>
        <w:spacing w:after="0" w:line="360" w:lineRule="auto"/>
        <w:jc w:val="both"/>
        <w:rPr>
          <w:rFonts w:ascii="Arial" w:hAnsi="Arial" w:cs="Arial"/>
          <w:sz w:val="24"/>
          <w:szCs w:val="24"/>
        </w:rPr>
      </w:pPr>
      <w:r w:rsidRPr="00B54654">
        <w:rPr>
          <w:rFonts w:ascii="Arial" w:hAnsi="Arial" w:cs="Arial"/>
          <w:sz w:val="24"/>
          <w:szCs w:val="24"/>
        </w:rPr>
        <w:t>[3</w:t>
      </w:r>
      <w:r w:rsidR="00964764">
        <w:rPr>
          <w:rFonts w:ascii="Arial" w:hAnsi="Arial" w:cs="Arial"/>
          <w:sz w:val="24"/>
          <w:szCs w:val="24"/>
        </w:rPr>
        <w:t>6</w:t>
      </w:r>
      <w:r w:rsidRPr="00B54654">
        <w:rPr>
          <w:rFonts w:ascii="Arial" w:hAnsi="Arial" w:cs="Arial"/>
          <w:sz w:val="24"/>
          <w:szCs w:val="24"/>
        </w:rPr>
        <w:t>]</w:t>
      </w:r>
      <w:r w:rsidRPr="00B54654">
        <w:rPr>
          <w:rFonts w:ascii="Arial" w:hAnsi="Arial" w:cs="Arial"/>
          <w:sz w:val="24"/>
          <w:szCs w:val="24"/>
        </w:rPr>
        <w:tab/>
      </w:r>
      <w:r w:rsidR="00964764">
        <w:rPr>
          <w:rFonts w:ascii="Arial" w:hAnsi="Arial" w:cs="Arial"/>
          <w:sz w:val="24"/>
          <w:szCs w:val="24"/>
        </w:rPr>
        <w:t>I</w:t>
      </w:r>
      <w:r w:rsidR="00964764" w:rsidRPr="00B54654">
        <w:rPr>
          <w:rFonts w:ascii="Arial" w:hAnsi="Arial" w:cs="Arial"/>
          <w:sz w:val="24"/>
          <w:szCs w:val="24"/>
        </w:rPr>
        <w:t>t would become</w:t>
      </w:r>
      <w:r w:rsidR="00964764" w:rsidRPr="00B54654">
        <w:rPr>
          <w:rFonts w:ascii="Arial" w:hAnsi="Arial" w:cs="Arial"/>
          <w:i/>
          <w:sz w:val="24"/>
          <w:szCs w:val="24"/>
        </w:rPr>
        <w:t xml:space="preserve"> </w:t>
      </w:r>
      <w:r w:rsidR="00964764" w:rsidRPr="00B54654">
        <w:rPr>
          <w:rFonts w:ascii="Arial" w:hAnsi="Arial" w:cs="Arial"/>
          <w:sz w:val="24"/>
          <w:szCs w:val="24"/>
        </w:rPr>
        <w:t xml:space="preserve">apparent shortly, </w:t>
      </w:r>
      <w:r w:rsidR="00964764">
        <w:rPr>
          <w:rFonts w:ascii="Arial" w:hAnsi="Arial" w:cs="Arial"/>
          <w:sz w:val="24"/>
          <w:szCs w:val="24"/>
        </w:rPr>
        <w:t xml:space="preserve">that </w:t>
      </w:r>
      <w:r w:rsidR="00964764" w:rsidRPr="00B54654">
        <w:rPr>
          <w:rFonts w:ascii="Arial" w:hAnsi="Arial" w:cs="Arial"/>
          <w:sz w:val="24"/>
          <w:szCs w:val="24"/>
        </w:rPr>
        <w:t xml:space="preserve">the </w:t>
      </w:r>
      <w:r w:rsidR="00964764" w:rsidRPr="00B54654">
        <w:rPr>
          <w:rFonts w:ascii="Arial" w:hAnsi="Arial" w:cs="Arial"/>
          <w:i/>
          <w:sz w:val="24"/>
          <w:szCs w:val="24"/>
        </w:rPr>
        <w:t>Pamo</w:t>
      </w:r>
      <w:r w:rsidR="00964764" w:rsidRPr="00B54654">
        <w:rPr>
          <w:rFonts w:ascii="Arial" w:hAnsi="Arial" w:cs="Arial"/>
          <w:sz w:val="24"/>
          <w:szCs w:val="24"/>
        </w:rPr>
        <w:t xml:space="preserve"> matter is not of assistance to the respondents. In the first place it is distinguishable from the facts in the present matter in that in this matter</w:t>
      </w:r>
      <w:r w:rsidR="00964764">
        <w:rPr>
          <w:rFonts w:ascii="Arial" w:hAnsi="Arial" w:cs="Arial"/>
          <w:sz w:val="24"/>
          <w:szCs w:val="24"/>
        </w:rPr>
        <w:t>,</w:t>
      </w:r>
      <w:r w:rsidR="00964764" w:rsidRPr="00B54654">
        <w:rPr>
          <w:rFonts w:ascii="Arial" w:hAnsi="Arial" w:cs="Arial"/>
          <w:sz w:val="24"/>
          <w:szCs w:val="24"/>
        </w:rPr>
        <w:t xml:space="preserve"> the applicant has instituted review proceedings. In the </w:t>
      </w:r>
      <w:r w:rsidR="00964764" w:rsidRPr="00B54654">
        <w:rPr>
          <w:rFonts w:ascii="Arial" w:hAnsi="Arial" w:cs="Arial"/>
          <w:i/>
          <w:sz w:val="24"/>
          <w:szCs w:val="24"/>
        </w:rPr>
        <w:t>Pamo</w:t>
      </w:r>
      <w:r w:rsidR="00964764" w:rsidRPr="00B54654">
        <w:rPr>
          <w:rFonts w:ascii="Arial" w:hAnsi="Arial" w:cs="Arial"/>
          <w:sz w:val="24"/>
          <w:szCs w:val="24"/>
        </w:rPr>
        <w:t xml:space="preserve"> matter the application was brought before any review or any other proceedings had been instituted. Secondly in </w:t>
      </w:r>
      <w:r w:rsidR="00964764" w:rsidRPr="00B54654">
        <w:rPr>
          <w:rFonts w:ascii="Arial" w:hAnsi="Arial" w:cs="Arial"/>
          <w:i/>
          <w:sz w:val="24"/>
          <w:szCs w:val="24"/>
        </w:rPr>
        <w:t xml:space="preserve">Pamo </w:t>
      </w:r>
      <w:r w:rsidR="00964764" w:rsidRPr="00B54654">
        <w:rPr>
          <w:rFonts w:ascii="Arial" w:hAnsi="Arial" w:cs="Arial"/>
          <w:sz w:val="24"/>
          <w:szCs w:val="24"/>
        </w:rPr>
        <w:t>matter the applicants asserted their rights to access to documentations of an administrative body at pre-litigation stage based on Articles 12 and 18 of the Constitution. In the present matter the applicant’s demand to access to documentation is purely based on rule 76 of the rules of this court. This is in line with the Supreme Court’s view expressed at par 66</w:t>
      </w:r>
      <w:r w:rsidR="00964764">
        <w:rPr>
          <w:rFonts w:ascii="Arial" w:hAnsi="Arial" w:cs="Arial"/>
          <w:sz w:val="24"/>
          <w:szCs w:val="24"/>
        </w:rPr>
        <w:t xml:space="preserve"> of </w:t>
      </w:r>
      <w:r w:rsidR="00964764" w:rsidRPr="008A384D">
        <w:rPr>
          <w:rFonts w:ascii="Arial" w:hAnsi="Arial" w:cs="Arial"/>
          <w:i/>
          <w:sz w:val="24"/>
          <w:szCs w:val="24"/>
        </w:rPr>
        <w:t>Pamo</w:t>
      </w:r>
      <w:r w:rsidR="00964764" w:rsidRPr="00B54654">
        <w:rPr>
          <w:rFonts w:ascii="Arial" w:hAnsi="Arial" w:cs="Arial"/>
          <w:sz w:val="24"/>
          <w:szCs w:val="24"/>
        </w:rPr>
        <w:t xml:space="preserve"> judgment that under judicial case management a party can demand discovery after the institution of proceedings under rule 76 in order to ensure that the case is dealt with expeditiously and fairly. The court further pointed out that this is because rule 76 expressly requires a decision maker to serve the complete record of the decision making within 15 days after receipt of the review application; and furthermore that the court have interpreted the record to include ‘every scrap of paper throwing light, however indirectly on that proceedings were, both procedurally and evidentially’</w:t>
      </w:r>
      <w:r w:rsidR="007B0BC6" w:rsidRPr="00B54654">
        <w:rPr>
          <w:rFonts w:ascii="Arial" w:hAnsi="Arial" w:cs="Arial"/>
          <w:sz w:val="24"/>
          <w:szCs w:val="24"/>
        </w:rPr>
        <w:t>.</w:t>
      </w:r>
    </w:p>
    <w:p w:rsidR="00240FE2" w:rsidRPr="00B54654" w:rsidRDefault="00240FE2" w:rsidP="006B26AD">
      <w:pPr>
        <w:spacing w:after="0" w:line="360" w:lineRule="auto"/>
        <w:jc w:val="both"/>
        <w:rPr>
          <w:rFonts w:ascii="Arial" w:hAnsi="Arial" w:cs="Arial"/>
          <w:sz w:val="24"/>
          <w:szCs w:val="24"/>
        </w:rPr>
      </w:pPr>
    </w:p>
    <w:p w:rsidR="00734B1A" w:rsidRPr="00B54654" w:rsidRDefault="003F6A7F" w:rsidP="006B26AD">
      <w:pPr>
        <w:pStyle w:val="BodyText"/>
        <w:spacing w:line="360" w:lineRule="auto"/>
        <w:jc w:val="both"/>
        <w:rPr>
          <w:rFonts w:ascii="Arial" w:hAnsi="Arial" w:cs="Arial"/>
        </w:rPr>
      </w:pPr>
      <w:r w:rsidRPr="00B54654">
        <w:rPr>
          <w:rFonts w:ascii="Arial" w:hAnsi="Arial" w:cs="Arial"/>
        </w:rPr>
        <w:t>[</w:t>
      </w:r>
      <w:r w:rsidR="00496409" w:rsidRPr="00B54654">
        <w:rPr>
          <w:rFonts w:ascii="Arial" w:hAnsi="Arial" w:cs="Arial"/>
        </w:rPr>
        <w:t>3</w:t>
      </w:r>
      <w:r w:rsidR="00964764">
        <w:rPr>
          <w:rFonts w:ascii="Arial" w:hAnsi="Arial" w:cs="Arial"/>
        </w:rPr>
        <w:t>7</w:t>
      </w:r>
      <w:r w:rsidR="00E4649D" w:rsidRPr="00B54654">
        <w:rPr>
          <w:rFonts w:ascii="Arial" w:hAnsi="Arial" w:cs="Arial"/>
        </w:rPr>
        <w:t>]</w:t>
      </w:r>
      <w:r w:rsidR="00E4649D" w:rsidRPr="00B54654">
        <w:rPr>
          <w:rFonts w:ascii="Arial" w:hAnsi="Arial" w:cs="Arial"/>
        </w:rPr>
        <w:tab/>
      </w:r>
      <w:r w:rsidR="00964764" w:rsidRPr="00B54654">
        <w:rPr>
          <w:rFonts w:ascii="Arial" w:hAnsi="Arial" w:cs="Arial"/>
        </w:rPr>
        <w:t xml:space="preserve">Counsel for the applicant referred the Court </w:t>
      </w:r>
      <w:r w:rsidR="00964764">
        <w:rPr>
          <w:rFonts w:ascii="Arial" w:hAnsi="Arial" w:cs="Arial"/>
        </w:rPr>
        <w:t xml:space="preserve">to </w:t>
      </w:r>
      <w:r w:rsidR="00964764" w:rsidRPr="00B54654">
        <w:rPr>
          <w:rFonts w:ascii="Arial" w:hAnsi="Arial" w:cs="Arial"/>
        </w:rPr>
        <w:t xml:space="preserve">the import of the procedure afforded to an applicant in terms of rule 76 of Court (the old rule 53 of the Uniform Rules of Court) articulated in </w:t>
      </w:r>
      <w:r w:rsidR="00964764" w:rsidRPr="00B54654">
        <w:rPr>
          <w:rFonts w:ascii="Arial" w:hAnsi="Arial" w:cs="Arial"/>
          <w:i/>
        </w:rPr>
        <w:t>Jockey Club of South Africa v Forbes</w:t>
      </w:r>
      <w:r w:rsidR="00964764" w:rsidRPr="00B54654">
        <w:rPr>
          <w:rStyle w:val="FootnoteReference"/>
          <w:rFonts w:ascii="Arial" w:hAnsi="Arial" w:cs="Arial"/>
        </w:rPr>
        <w:footnoteReference w:id="9"/>
      </w:r>
      <w:r w:rsidR="00964764" w:rsidRPr="00B54654">
        <w:rPr>
          <w:rFonts w:ascii="Arial" w:hAnsi="Arial" w:cs="Arial"/>
          <w:i/>
        </w:rPr>
        <w:t>,</w:t>
      </w:r>
      <w:r w:rsidR="00964764" w:rsidRPr="00B54654">
        <w:rPr>
          <w:rFonts w:ascii="Arial" w:hAnsi="Arial" w:cs="Arial"/>
        </w:rPr>
        <w:t xml:space="preserve"> where the court stated the following</w:t>
      </w:r>
      <w:r w:rsidR="006F1262" w:rsidRPr="00B54654">
        <w:rPr>
          <w:rFonts w:ascii="Arial" w:hAnsi="Arial" w:cs="Arial"/>
        </w:rPr>
        <w:t>:</w:t>
      </w:r>
    </w:p>
    <w:p w:rsidR="00602BC3" w:rsidRPr="006B26AD" w:rsidRDefault="00602BC3" w:rsidP="006B26AD">
      <w:pPr>
        <w:pStyle w:val="BodyText"/>
        <w:spacing w:line="360" w:lineRule="auto"/>
        <w:jc w:val="both"/>
        <w:rPr>
          <w:rFonts w:ascii="Arial" w:hAnsi="Arial" w:cs="Arial"/>
        </w:rPr>
      </w:pPr>
    </w:p>
    <w:p w:rsidR="00734B1A" w:rsidRDefault="006B26AD" w:rsidP="006B26AD">
      <w:pPr>
        <w:shd w:val="clear" w:color="auto" w:fill="FFFFFF"/>
        <w:spacing w:after="0" w:line="360" w:lineRule="auto"/>
        <w:ind w:firstLine="720"/>
        <w:jc w:val="both"/>
        <w:rPr>
          <w:rFonts w:ascii="Arial" w:hAnsi="Arial" w:cs="Arial"/>
          <w:color w:val="242121"/>
        </w:rPr>
      </w:pPr>
      <w:r w:rsidRPr="006B26AD">
        <w:rPr>
          <w:rFonts w:ascii="Arial" w:hAnsi="Arial" w:cs="Arial"/>
          <w:color w:val="242121"/>
        </w:rPr>
        <w:t>‘</w:t>
      </w:r>
      <w:r w:rsidR="00734B1A" w:rsidRPr="006B26AD">
        <w:rPr>
          <w:rFonts w:ascii="Arial" w:hAnsi="Arial" w:cs="Arial"/>
          <w:color w:val="242121"/>
        </w:rPr>
        <w:t>Not infrequently the private citizen is faced with an administrative or quasi-judicial decision adversely affecting his rights, but has no access to the record of the relevant proceedings nor any knowledge of the reasons founding such decision. Were it not for rule 53 he would be obliged to launch review proceedings in the dark and, depending on the answering affidavit(s) of the respondent(s), he could then apply to amend his notice of motion and to supplement his founding affidavit. Manifestly the procedure created by the rule is to his advantage in that it obviates the delay and expense of an application to amend and provide</w:t>
      </w:r>
      <w:r w:rsidRPr="006B26AD">
        <w:rPr>
          <w:rFonts w:ascii="Arial" w:hAnsi="Arial" w:cs="Arial"/>
          <w:color w:val="242121"/>
        </w:rPr>
        <w:t>s him with access to the record…</w:t>
      </w:r>
    </w:p>
    <w:p w:rsidR="006B26AD" w:rsidRPr="006B26AD" w:rsidRDefault="006B26AD" w:rsidP="006B26AD">
      <w:pPr>
        <w:shd w:val="clear" w:color="auto" w:fill="FFFFFF"/>
        <w:spacing w:after="0" w:line="360" w:lineRule="auto"/>
        <w:jc w:val="both"/>
        <w:rPr>
          <w:rFonts w:ascii="Arial" w:hAnsi="Arial" w:cs="Arial"/>
        </w:rPr>
      </w:pPr>
    </w:p>
    <w:p w:rsidR="00734B1A" w:rsidRPr="006B26AD" w:rsidRDefault="006B26AD" w:rsidP="006B26AD">
      <w:pPr>
        <w:shd w:val="clear" w:color="auto" w:fill="FFFFFF"/>
        <w:spacing w:after="0" w:line="360" w:lineRule="auto"/>
        <w:ind w:firstLine="720"/>
        <w:jc w:val="both"/>
        <w:rPr>
          <w:rFonts w:ascii="Arial" w:hAnsi="Arial" w:cs="Arial"/>
          <w:color w:val="242121"/>
          <w:sz w:val="24"/>
          <w:szCs w:val="24"/>
        </w:rPr>
      </w:pPr>
      <w:r w:rsidRPr="006B26AD">
        <w:rPr>
          <w:rFonts w:ascii="Arial" w:hAnsi="Arial" w:cs="Arial"/>
          <w:color w:val="242121"/>
        </w:rPr>
        <w:t xml:space="preserve">The purpose of rule 53 is </w:t>
      </w:r>
      <w:r w:rsidR="00734B1A" w:rsidRPr="008A384D">
        <w:rPr>
          <w:rFonts w:ascii="Arial" w:hAnsi="Arial" w:cs="Arial"/>
          <w:color w:val="242121"/>
          <w:u w:val="single"/>
        </w:rPr>
        <w:t>not</w:t>
      </w:r>
      <w:r w:rsidRPr="008A384D">
        <w:rPr>
          <w:rFonts w:ascii="Arial" w:hAnsi="Arial" w:cs="Arial"/>
          <w:color w:val="242121"/>
        </w:rPr>
        <w:t xml:space="preserve"> </w:t>
      </w:r>
      <w:r w:rsidR="00734B1A" w:rsidRPr="006B26AD">
        <w:rPr>
          <w:rFonts w:ascii="Arial" w:hAnsi="Arial" w:cs="Arial"/>
          <w:color w:val="242121"/>
        </w:rPr>
        <w:t xml:space="preserve">to protect the </w:t>
      </w:r>
      <w:r w:rsidRPr="006B26AD">
        <w:rPr>
          <w:rFonts w:ascii="Arial" w:hAnsi="Arial" w:cs="Arial"/>
          <w:color w:val="242121"/>
        </w:rPr>
        <w:t>‘</w:t>
      </w:r>
      <w:r w:rsidR="00734B1A" w:rsidRPr="006B26AD">
        <w:rPr>
          <w:rFonts w:ascii="Arial" w:hAnsi="Arial" w:cs="Arial"/>
          <w:color w:val="242121"/>
        </w:rPr>
        <w:t>decision- maker</w:t>
      </w:r>
      <w:r w:rsidRPr="006B26AD">
        <w:rPr>
          <w:rFonts w:ascii="Arial" w:hAnsi="Arial" w:cs="Arial"/>
          <w:color w:val="242121"/>
        </w:rPr>
        <w:t>’</w:t>
      </w:r>
      <w:r w:rsidR="00734B1A" w:rsidRPr="006B26AD">
        <w:rPr>
          <w:rFonts w:ascii="Arial" w:hAnsi="Arial" w:cs="Arial"/>
          <w:color w:val="242121"/>
        </w:rPr>
        <w:t xml:space="preserve"> but to facilitate applications for review and to ensure their speedy and orderly presentation. Such benefits as it may confer on a respondent, in contradistinction to those ordinarily enjoyed by a respondent under rule 6, are incidental and minor. It confers real benefits on the applicant, benefits which he may employ if and to the extent needed in his particular circumstances.</w:t>
      </w:r>
      <w:r w:rsidRPr="006B26AD">
        <w:rPr>
          <w:rFonts w:ascii="Arial" w:hAnsi="Arial" w:cs="Arial"/>
          <w:color w:val="242121"/>
        </w:rPr>
        <w:t>’</w:t>
      </w:r>
    </w:p>
    <w:p w:rsidR="00496409" w:rsidRPr="006B26AD" w:rsidRDefault="00496409" w:rsidP="006B26AD">
      <w:pPr>
        <w:spacing w:after="0" w:line="360" w:lineRule="auto"/>
        <w:jc w:val="both"/>
        <w:rPr>
          <w:rFonts w:ascii="Arial" w:hAnsi="Arial" w:cs="Arial"/>
          <w:sz w:val="24"/>
          <w:szCs w:val="24"/>
        </w:rPr>
      </w:pPr>
    </w:p>
    <w:p w:rsidR="00532669" w:rsidRDefault="00496409" w:rsidP="006B26AD">
      <w:pPr>
        <w:spacing w:after="0" w:line="360" w:lineRule="auto"/>
        <w:jc w:val="both"/>
        <w:rPr>
          <w:rFonts w:ascii="Arial" w:hAnsi="Arial" w:cs="Arial"/>
          <w:sz w:val="24"/>
          <w:szCs w:val="24"/>
        </w:rPr>
      </w:pPr>
      <w:r w:rsidRPr="006B26AD">
        <w:rPr>
          <w:rFonts w:ascii="Arial" w:hAnsi="Arial" w:cs="Arial"/>
          <w:sz w:val="24"/>
          <w:szCs w:val="24"/>
        </w:rPr>
        <w:t>[3</w:t>
      </w:r>
      <w:r w:rsidR="00964764">
        <w:rPr>
          <w:rFonts w:ascii="Arial" w:hAnsi="Arial" w:cs="Arial"/>
          <w:sz w:val="24"/>
          <w:szCs w:val="24"/>
        </w:rPr>
        <w:t>8</w:t>
      </w:r>
      <w:r w:rsidRPr="006B26AD">
        <w:rPr>
          <w:rFonts w:ascii="Arial" w:hAnsi="Arial" w:cs="Arial"/>
          <w:sz w:val="24"/>
          <w:szCs w:val="24"/>
        </w:rPr>
        <w:t>]</w:t>
      </w:r>
      <w:r w:rsidRPr="006B26AD">
        <w:rPr>
          <w:rFonts w:ascii="Arial" w:hAnsi="Arial" w:cs="Arial"/>
          <w:sz w:val="24"/>
          <w:szCs w:val="24"/>
        </w:rPr>
        <w:tab/>
      </w:r>
      <w:r w:rsidR="00964764" w:rsidRPr="006B26AD">
        <w:rPr>
          <w:rFonts w:ascii="Arial" w:hAnsi="Arial" w:cs="Arial"/>
          <w:sz w:val="24"/>
          <w:szCs w:val="24"/>
        </w:rPr>
        <w:t xml:space="preserve">Counsel for the applicant raised a question as to what is the import and meaning of the wording a ‘complete record of the proceedings sought to be corrected or set aside’ in rule 76. The answer was provided in the classic judgment of </w:t>
      </w:r>
      <w:r w:rsidR="00964764" w:rsidRPr="006B26AD">
        <w:rPr>
          <w:rFonts w:ascii="Arial" w:hAnsi="Arial" w:cs="Arial"/>
          <w:i/>
          <w:sz w:val="24"/>
          <w:szCs w:val="24"/>
        </w:rPr>
        <w:t>Johannesburg City Council v The Administrator of Transvaal and Another</w:t>
      </w:r>
      <w:r w:rsidR="00964764" w:rsidRPr="006B26AD">
        <w:rPr>
          <w:rStyle w:val="FootnoteReference"/>
          <w:rFonts w:ascii="Arial" w:hAnsi="Arial" w:cs="Arial"/>
          <w:i/>
          <w:sz w:val="24"/>
          <w:szCs w:val="24"/>
        </w:rPr>
        <w:footnoteReference w:id="10"/>
      </w:r>
      <w:r w:rsidR="00964764" w:rsidRPr="006B26AD">
        <w:rPr>
          <w:rFonts w:ascii="Arial" w:hAnsi="Arial" w:cs="Arial"/>
          <w:i/>
          <w:sz w:val="24"/>
          <w:szCs w:val="24"/>
        </w:rPr>
        <w:t xml:space="preserve"> </w:t>
      </w:r>
      <w:r w:rsidR="00964764" w:rsidRPr="006B26AD">
        <w:rPr>
          <w:rFonts w:ascii="Arial" w:hAnsi="Arial" w:cs="Arial"/>
          <w:sz w:val="24"/>
          <w:szCs w:val="24"/>
        </w:rPr>
        <w:t xml:space="preserve">followed by our court in the matter of </w:t>
      </w:r>
      <w:r w:rsidR="00964764" w:rsidRPr="006B26AD">
        <w:rPr>
          <w:rFonts w:ascii="Arial" w:hAnsi="Arial" w:cs="Arial"/>
          <w:i/>
          <w:sz w:val="24"/>
          <w:szCs w:val="24"/>
        </w:rPr>
        <w:t>Aoinin Fishing v Minister of Fisheries and Marine Resources</w:t>
      </w:r>
      <w:r w:rsidR="00964764" w:rsidRPr="006B26AD">
        <w:rPr>
          <w:rStyle w:val="FootnoteReference"/>
          <w:rFonts w:ascii="Arial" w:hAnsi="Arial" w:cs="Arial"/>
          <w:i/>
          <w:sz w:val="24"/>
          <w:szCs w:val="24"/>
        </w:rPr>
        <w:footnoteReference w:id="11"/>
      </w:r>
      <w:r w:rsidR="00964764">
        <w:rPr>
          <w:rFonts w:ascii="Arial" w:hAnsi="Arial" w:cs="Arial"/>
          <w:sz w:val="24"/>
          <w:szCs w:val="24"/>
        </w:rPr>
        <w:t>.</w:t>
      </w:r>
    </w:p>
    <w:p w:rsidR="006B26AD" w:rsidRPr="006B26AD" w:rsidRDefault="006B26AD" w:rsidP="006B26AD">
      <w:pPr>
        <w:spacing w:after="0" w:line="360" w:lineRule="auto"/>
        <w:jc w:val="both"/>
        <w:rPr>
          <w:rFonts w:ascii="Arial" w:hAnsi="Arial" w:cs="Arial"/>
          <w:sz w:val="24"/>
          <w:szCs w:val="24"/>
        </w:rPr>
      </w:pPr>
    </w:p>
    <w:p w:rsidR="00EE0630" w:rsidRPr="006B26AD" w:rsidRDefault="00964764" w:rsidP="006B26AD">
      <w:pPr>
        <w:spacing w:after="0" w:line="360" w:lineRule="auto"/>
        <w:ind w:firstLine="720"/>
        <w:jc w:val="both"/>
        <w:rPr>
          <w:rFonts w:ascii="Arial" w:hAnsi="Arial" w:cs="Arial"/>
        </w:rPr>
      </w:pPr>
      <w:r w:rsidRPr="006B26AD">
        <w:rPr>
          <w:rFonts w:ascii="Arial" w:hAnsi="Arial" w:cs="Arial"/>
        </w:rPr>
        <w:t>‘The words 'record of proceedings' cannot be otherwise construed, in my view, than as a loose description of the documents, evidence, arguments and other information before the tribunal relating to the matter under review, at the time of the making of the decision in question. It may be a formal record and dossier of what has happened before the tribunal, but it may also be a disjointed indication of the material that was at the tribunal's disposal. In the latter case it would, I venture to think, include every scrap of paper throwing light, however indirectly, on what the proceedings were, both procedurally and evidentially. A record of proceedings is analagous to the record of proceedings in a court of law which quite clearly does not include a record of the deliberations subsequent to the receiving of the evidence and preceding the announcement of the court's decision. Thus the deliberations of the Executive Committee are as little part of the record of proceedings as the private deliberations of the jury or of the Court in a case before it. It does, however, include all the documents before the Executive Committee as well as all documents which are by reference incorporated in the file before it. Thus the previous decision of the Administrator, and the documents pertaining to the merits of that decision, could not have been otherwise than present to the mind of the Administrator-in-Executive-Committee at the time he made the second decision. If they were not, he could not have brought his mind to bear properly on this issue before him, which is of course denied by the respondents.</w:t>
      </w:r>
      <w:r w:rsidR="006B26AD">
        <w:rPr>
          <w:rFonts w:ascii="Arial" w:hAnsi="Arial" w:cs="Arial"/>
        </w:rPr>
        <w:t>’</w:t>
      </w:r>
    </w:p>
    <w:p w:rsidR="00357F0A" w:rsidRPr="006B26AD" w:rsidRDefault="00357F0A" w:rsidP="006B26AD">
      <w:pPr>
        <w:spacing w:after="0" w:line="360" w:lineRule="auto"/>
        <w:jc w:val="both"/>
        <w:rPr>
          <w:rFonts w:ascii="Arial" w:hAnsi="Arial" w:cs="Arial"/>
          <w:sz w:val="24"/>
          <w:szCs w:val="24"/>
        </w:rPr>
      </w:pPr>
    </w:p>
    <w:p w:rsidR="00A638EF" w:rsidRPr="00B54654" w:rsidRDefault="00496409" w:rsidP="006B26AD">
      <w:pPr>
        <w:pStyle w:val="ColorfulList-Accent1"/>
        <w:spacing w:line="360" w:lineRule="auto"/>
        <w:ind w:left="0"/>
        <w:jc w:val="both"/>
        <w:rPr>
          <w:rFonts w:ascii="Arial" w:hAnsi="Arial" w:cs="Arial"/>
        </w:rPr>
      </w:pPr>
      <w:r w:rsidRPr="00B54654">
        <w:rPr>
          <w:rFonts w:ascii="Arial" w:hAnsi="Arial" w:cs="Arial"/>
        </w:rPr>
        <w:t>[3</w:t>
      </w:r>
      <w:r w:rsidR="00964764">
        <w:rPr>
          <w:rFonts w:ascii="Arial" w:hAnsi="Arial" w:cs="Arial"/>
        </w:rPr>
        <w:t>9</w:t>
      </w:r>
      <w:r w:rsidRPr="00B54654">
        <w:rPr>
          <w:rFonts w:ascii="Arial" w:hAnsi="Arial" w:cs="Arial"/>
        </w:rPr>
        <w:t>]</w:t>
      </w:r>
      <w:r w:rsidRPr="00B54654">
        <w:rPr>
          <w:rFonts w:ascii="Arial" w:hAnsi="Arial" w:cs="Arial"/>
        </w:rPr>
        <w:tab/>
      </w:r>
      <w:r w:rsidR="00964764" w:rsidRPr="00B54654">
        <w:rPr>
          <w:rFonts w:ascii="Arial" w:hAnsi="Arial" w:cs="Arial"/>
        </w:rPr>
        <w:t>As mentioned earlier, the ‘record of the proceedings’ filed by the respondents constitutes only of extracts of the Board Meeting Minutes of 8 and 15 February 2017. Counsel for the applicant, correctly in my view, argued that the extracts discovered would not assist neither the applicant nor the court to interrogate the decision or to perform an objective assessment of the lawfulness of the decision. In my view, in order to inquire into the authority of the Board of Nampower to make the decision sought to be set aside, the procedural fairness of the decision to cancel the tender and the substantive fairness to cancel the tender, it is necessary that ‘every scrap of paper throwing light, however indirectly on what the proceedings were, both procedurally and evidentially…’ must be disclosed</w:t>
      </w:r>
      <w:r w:rsidR="00A638EF" w:rsidRPr="00B54654">
        <w:rPr>
          <w:rFonts w:ascii="Arial" w:hAnsi="Arial" w:cs="Arial"/>
        </w:rPr>
        <w:t xml:space="preserve">. </w:t>
      </w:r>
    </w:p>
    <w:p w:rsidR="00A638EF" w:rsidRDefault="00A638EF" w:rsidP="006B26AD">
      <w:pPr>
        <w:pStyle w:val="ColorfulList-Accent1"/>
        <w:spacing w:line="360" w:lineRule="auto"/>
        <w:ind w:left="0"/>
        <w:jc w:val="both"/>
        <w:rPr>
          <w:rFonts w:ascii="Arial" w:hAnsi="Arial" w:cs="Arial"/>
        </w:rPr>
      </w:pPr>
    </w:p>
    <w:p w:rsidR="00905113" w:rsidRDefault="00905113" w:rsidP="006B26AD">
      <w:pPr>
        <w:pStyle w:val="ColorfulList-Accent1"/>
        <w:spacing w:line="360" w:lineRule="auto"/>
        <w:ind w:left="0"/>
        <w:jc w:val="both"/>
        <w:rPr>
          <w:rFonts w:ascii="Arial" w:hAnsi="Arial" w:cs="Arial"/>
        </w:rPr>
      </w:pPr>
    </w:p>
    <w:p w:rsidR="00905113" w:rsidRDefault="00905113" w:rsidP="006B26AD">
      <w:pPr>
        <w:pStyle w:val="ColorfulList-Accent1"/>
        <w:spacing w:line="360" w:lineRule="auto"/>
        <w:ind w:left="0"/>
        <w:jc w:val="both"/>
        <w:rPr>
          <w:rFonts w:ascii="Arial" w:hAnsi="Arial" w:cs="Arial"/>
        </w:rPr>
      </w:pPr>
    </w:p>
    <w:p w:rsidR="00905113" w:rsidRPr="00B54654" w:rsidRDefault="00905113" w:rsidP="006B26AD">
      <w:pPr>
        <w:pStyle w:val="ColorfulList-Accent1"/>
        <w:spacing w:line="360" w:lineRule="auto"/>
        <w:ind w:left="0"/>
        <w:jc w:val="both"/>
        <w:rPr>
          <w:rFonts w:ascii="Arial" w:hAnsi="Arial" w:cs="Arial"/>
        </w:rPr>
      </w:pPr>
    </w:p>
    <w:p w:rsidR="00253CA0" w:rsidRPr="008A384D" w:rsidRDefault="00496409" w:rsidP="006B26AD">
      <w:pPr>
        <w:spacing w:after="0" w:line="360" w:lineRule="auto"/>
        <w:jc w:val="both"/>
        <w:rPr>
          <w:rFonts w:ascii="Arial" w:hAnsi="Arial" w:cs="Arial"/>
          <w:sz w:val="24"/>
          <w:szCs w:val="24"/>
        </w:rPr>
      </w:pPr>
      <w:r w:rsidRPr="00B54654">
        <w:rPr>
          <w:rFonts w:ascii="Arial" w:hAnsi="Arial" w:cs="Arial"/>
          <w:sz w:val="24"/>
          <w:szCs w:val="24"/>
        </w:rPr>
        <w:t>[</w:t>
      </w:r>
      <w:r w:rsidR="00964764">
        <w:rPr>
          <w:rFonts w:ascii="Arial" w:hAnsi="Arial" w:cs="Arial"/>
          <w:sz w:val="24"/>
          <w:szCs w:val="24"/>
        </w:rPr>
        <w:t>40</w:t>
      </w:r>
      <w:r w:rsidRPr="00B54654">
        <w:rPr>
          <w:rFonts w:ascii="Arial" w:hAnsi="Arial" w:cs="Arial"/>
          <w:sz w:val="24"/>
          <w:szCs w:val="24"/>
        </w:rPr>
        <w:t>]</w:t>
      </w:r>
      <w:r w:rsidRPr="00B54654">
        <w:rPr>
          <w:rFonts w:ascii="Arial" w:hAnsi="Arial" w:cs="Arial"/>
          <w:sz w:val="24"/>
          <w:szCs w:val="24"/>
        </w:rPr>
        <w:tab/>
      </w:r>
      <w:r w:rsidR="00D54AFD" w:rsidRPr="00B54654">
        <w:rPr>
          <w:rFonts w:ascii="Arial" w:hAnsi="Arial" w:cs="Arial"/>
          <w:sz w:val="24"/>
          <w:szCs w:val="24"/>
        </w:rPr>
        <w:t xml:space="preserve">I next move to consider the respondents’ refusal to disclose the documents requested on the basis that they are confidential based clause 6.2 of Nampower’s Tender Procurement. The clause stipulates as follows: </w:t>
      </w:r>
      <w:r w:rsidR="00D54AFD">
        <w:rPr>
          <w:rFonts w:ascii="Arial" w:hAnsi="Arial" w:cs="Arial"/>
          <w:sz w:val="24"/>
          <w:szCs w:val="24"/>
        </w:rPr>
        <w:t>“</w:t>
      </w:r>
      <w:r w:rsidR="00D54AFD" w:rsidRPr="008A384D">
        <w:rPr>
          <w:rFonts w:ascii="Arial" w:hAnsi="Arial" w:cs="Arial"/>
          <w:i/>
          <w:sz w:val="24"/>
          <w:szCs w:val="24"/>
        </w:rPr>
        <w:t>Inf</w:t>
      </w:r>
      <w:r w:rsidR="00D54AFD" w:rsidRPr="00B54654">
        <w:rPr>
          <w:rFonts w:ascii="Arial" w:hAnsi="Arial" w:cs="Arial"/>
          <w:i/>
          <w:sz w:val="24"/>
          <w:szCs w:val="24"/>
        </w:rPr>
        <w:t>ormati</w:t>
      </w:r>
      <w:r w:rsidR="00D54AFD">
        <w:rPr>
          <w:rFonts w:ascii="Arial" w:hAnsi="Arial" w:cs="Arial"/>
          <w:i/>
          <w:sz w:val="24"/>
          <w:szCs w:val="24"/>
        </w:rPr>
        <w:t xml:space="preserve">on relating to the examination, </w:t>
      </w:r>
      <w:r w:rsidR="00D54AFD" w:rsidRPr="00B54654">
        <w:rPr>
          <w:rFonts w:ascii="Arial" w:hAnsi="Arial" w:cs="Arial"/>
          <w:i/>
          <w:sz w:val="24"/>
          <w:szCs w:val="24"/>
        </w:rPr>
        <w:t>clarification, and evaluation of tenders and recommendations concerning wards shall not be communicated to the public and shall remain confidential at all times</w:t>
      </w:r>
      <w:r w:rsidR="008A384D">
        <w:rPr>
          <w:rFonts w:ascii="Arial" w:hAnsi="Arial" w:cs="Arial"/>
          <w:sz w:val="24"/>
          <w:szCs w:val="24"/>
        </w:rPr>
        <w:t>.</w:t>
      </w:r>
    </w:p>
    <w:p w:rsidR="00B4754C" w:rsidRPr="00B54654" w:rsidRDefault="00B4754C" w:rsidP="006B26AD">
      <w:pPr>
        <w:spacing w:after="0" w:line="360" w:lineRule="auto"/>
        <w:jc w:val="both"/>
        <w:rPr>
          <w:rFonts w:ascii="Arial" w:hAnsi="Arial" w:cs="Arial"/>
          <w:i/>
          <w:sz w:val="24"/>
          <w:szCs w:val="24"/>
        </w:rPr>
      </w:pPr>
    </w:p>
    <w:p w:rsidR="00F3480C" w:rsidRPr="00B54654" w:rsidRDefault="004F6513" w:rsidP="006B26AD">
      <w:pPr>
        <w:spacing w:after="0" w:line="360" w:lineRule="auto"/>
        <w:jc w:val="both"/>
        <w:rPr>
          <w:rFonts w:ascii="Arial" w:hAnsi="Arial" w:cs="Arial"/>
          <w:i/>
          <w:sz w:val="24"/>
          <w:szCs w:val="24"/>
        </w:rPr>
      </w:pPr>
      <w:r w:rsidRPr="00B54654">
        <w:rPr>
          <w:rFonts w:ascii="Arial" w:hAnsi="Arial" w:cs="Arial"/>
          <w:sz w:val="24"/>
          <w:szCs w:val="24"/>
        </w:rPr>
        <w:t>[</w:t>
      </w:r>
      <w:r w:rsidR="001744C9">
        <w:rPr>
          <w:rFonts w:ascii="Arial" w:hAnsi="Arial" w:cs="Arial"/>
          <w:sz w:val="24"/>
          <w:szCs w:val="24"/>
        </w:rPr>
        <w:t>4</w:t>
      </w:r>
      <w:r w:rsidR="00D54AFD">
        <w:rPr>
          <w:rFonts w:ascii="Arial" w:hAnsi="Arial" w:cs="Arial"/>
          <w:sz w:val="24"/>
          <w:szCs w:val="24"/>
        </w:rPr>
        <w:t>1</w:t>
      </w:r>
      <w:r w:rsidRPr="00B54654">
        <w:rPr>
          <w:rFonts w:ascii="Arial" w:hAnsi="Arial" w:cs="Arial"/>
          <w:sz w:val="24"/>
          <w:szCs w:val="24"/>
        </w:rPr>
        <w:t>]</w:t>
      </w:r>
      <w:r w:rsidRPr="00B54654">
        <w:rPr>
          <w:rFonts w:ascii="Arial" w:hAnsi="Arial" w:cs="Arial"/>
          <w:sz w:val="24"/>
          <w:szCs w:val="24"/>
        </w:rPr>
        <w:tab/>
      </w:r>
      <w:r w:rsidR="00D54AFD" w:rsidRPr="00B54654">
        <w:rPr>
          <w:rFonts w:ascii="Arial" w:hAnsi="Arial" w:cs="Arial"/>
          <w:sz w:val="24"/>
          <w:szCs w:val="24"/>
        </w:rPr>
        <w:t xml:space="preserve">In </w:t>
      </w:r>
      <w:r w:rsidR="00D54AFD" w:rsidRPr="00B54654">
        <w:rPr>
          <w:rFonts w:ascii="Arial" w:hAnsi="Arial" w:cs="Arial"/>
          <w:i/>
          <w:color w:val="000000"/>
          <w:sz w:val="24"/>
          <w:szCs w:val="24"/>
        </w:rPr>
        <w:t>South African Poultry Association and Others v The Ministry of Trade and Industry</w:t>
      </w:r>
      <w:r w:rsidR="00D54AFD" w:rsidRPr="00B54654">
        <w:rPr>
          <w:rStyle w:val="FootnoteReference"/>
          <w:rFonts w:ascii="Arial" w:hAnsi="Arial" w:cs="Arial"/>
          <w:i/>
          <w:color w:val="000000"/>
          <w:sz w:val="24"/>
          <w:szCs w:val="24"/>
        </w:rPr>
        <w:footnoteReference w:id="12"/>
      </w:r>
      <w:r w:rsidR="00D54AFD" w:rsidRPr="00B54654">
        <w:rPr>
          <w:rFonts w:ascii="Arial" w:hAnsi="Arial" w:cs="Arial"/>
          <w:i/>
          <w:color w:val="000000"/>
          <w:sz w:val="24"/>
          <w:szCs w:val="24"/>
        </w:rPr>
        <w:t xml:space="preserve">, </w:t>
      </w:r>
      <w:r w:rsidR="00D54AFD" w:rsidRPr="00B54654">
        <w:rPr>
          <w:rFonts w:ascii="Arial" w:hAnsi="Arial" w:cs="Arial"/>
          <w:color w:val="000000"/>
          <w:sz w:val="24"/>
          <w:szCs w:val="24"/>
        </w:rPr>
        <w:t>this Court, held that a party seeking to prevent its opponent from acces</w:t>
      </w:r>
      <w:r w:rsidR="00D54AFD">
        <w:rPr>
          <w:rFonts w:ascii="Arial" w:hAnsi="Arial" w:cs="Arial"/>
          <w:color w:val="000000"/>
          <w:sz w:val="24"/>
          <w:szCs w:val="24"/>
        </w:rPr>
        <w:t>sing information on the basis</w:t>
      </w:r>
      <w:r w:rsidR="00D54AFD" w:rsidRPr="00B54654">
        <w:rPr>
          <w:rFonts w:ascii="Arial" w:hAnsi="Arial" w:cs="Arial"/>
          <w:color w:val="000000"/>
          <w:sz w:val="24"/>
          <w:szCs w:val="24"/>
        </w:rPr>
        <w:t xml:space="preserve"> that they were competitors must make out a clear case for such an order. In addition the court held that a blanket claim for confidentiality, without specifying the documents in respect of which confidentiality was claimed, undermined a claim for confidentiality. Finally that the party who claims confidentiality in respect of documents bears the onus of demonstrating that exceptional circumstances exist precluding the disclosure of such documents.  In this context counsel for the applicant, correctly in my view, submitted that the degree of substantiation required to justify a claim to confidentiality would be at the very least </w:t>
      </w:r>
      <w:r w:rsidR="00D54AFD">
        <w:rPr>
          <w:rFonts w:ascii="Arial" w:hAnsi="Arial" w:cs="Arial"/>
          <w:color w:val="000000"/>
          <w:sz w:val="24"/>
          <w:szCs w:val="24"/>
        </w:rPr>
        <w:t xml:space="preserve">be </w:t>
      </w:r>
      <w:r w:rsidR="00D54AFD" w:rsidRPr="00B54654">
        <w:rPr>
          <w:rFonts w:ascii="Arial" w:hAnsi="Arial" w:cs="Arial"/>
          <w:color w:val="000000"/>
          <w:sz w:val="24"/>
          <w:szCs w:val="24"/>
        </w:rPr>
        <w:t>equal to that of a private body. I am prepared to venture to say that it should be higher for a public body given the public ownership</w:t>
      </w:r>
      <w:r w:rsidR="00D54AFD">
        <w:rPr>
          <w:rFonts w:ascii="Arial" w:hAnsi="Arial" w:cs="Arial"/>
          <w:color w:val="000000"/>
          <w:sz w:val="24"/>
          <w:szCs w:val="24"/>
        </w:rPr>
        <w:t xml:space="preserve"> thereby,</w:t>
      </w:r>
      <w:r w:rsidR="00D54AFD" w:rsidRPr="00B54654">
        <w:rPr>
          <w:rFonts w:ascii="Arial" w:hAnsi="Arial" w:cs="Arial"/>
          <w:color w:val="000000"/>
          <w:sz w:val="24"/>
          <w:szCs w:val="24"/>
        </w:rPr>
        <w:t xml:space="preserve"> of such body which requir</w:t>
      </w:r>
      <w:r w:rsidR="00D54AFD">
        <w:rPr>
          <w:rFonts w:ascii="Arial" w:hAnsi="Arial" w:cs="Arial"/>
          <w:color w:val="000000"/>
          <w:sz w:val="24"/>
          <w:szCs w:val="24"/>
        </w:rPr>
        <w:t xml:space="preserve">ing the observance of </w:t>
      </w:r>
      <w:r w:rsidR="00D54AFD" w:rsidRPr="00B54654">
        <w:rPr>
          <w:rFonts w:ascii="Arial" w:hAnsi="Arial" w:cs="Arial"/>
          <w:color w:val="000000"/>
          <w:sz w:val="24"/>
          <w:szCs w:val="24"/>
        </w:rPr>
        <w:t>transparency and accountability.</w:t>
      </w:r>
    </w:p>
    <w:p w:rsidR="00C745B5" w:rsidRPr="00B54654" w:rsidRDefault="00C745B5" w:rsidP="006B26AD">
      <w:pPr>
        <w:spacing w:after="0" w:line="360" w:lineRule="auto"/>
        <w:jc w:val="both"/>
        <w:rPr>
          <w:rFonts w:ascii="Arial" w:hAnsi="Arial" w:cs="Arial"/>
          <w:color w:val="000000"/>
          <w:sz w:val="24"/>
          <w:szCs w:val="24"/>
        </w:rPr>
      </w:pPr>
    </w:p>
    <w:p w:rsidR="001910E8" w:rsidRPr="00B54654" w:rsidRDefault="004F6513" w:rsidP="001744C9">
      <w:pPr>
        <w:spacing w:after="0" w:line="360" w:lineRule="auto"/>
        <w:jc w:val="both"/>
        <w:rPr>
          <w:rFonts w:ascii="Arial" w:hAnsi="Arial" w:cs="Arial"/>
          <w:color w:val="000000"/>
          <w:sz w:val="24"/>
          <w:szCs w:val="24"/>
        </w:rPr>
      </w:pPr>
      <w:r w:rsidRPr="00B54654">
        <w:rPr>
          <w:rFonts w:ascii="Arial" w:hAnsi="Arial" w:cs="Arial"/>
          <w:color w:val="000000"/>
          <w:sz w:val="24"/>
          <w:szCs w:val="24"/>
        </w:rPr>
        <w:t>[</w:t>
      </w:r>
      <w:r w:rsidR="00D54AFD">
        <w:rPr>
          <w:rFonts w:ascii="Arial" w:hAnsi="Arial" w:cs="Arial"/>
          <w:color w:val="000000"/>
          <w:sz w:val="24"/>
          <w:szCs w:val="24"/>
        </w:rPr>
        <w:t>42</w:t>
      </w:r>
      <w:r w:rsidRPr="00B54654">
        <w:rPr>
          <w:rFonts w:ascii="Arial" w:hAnsi="Arial" w:cs="Arial"/>
          <w:color w:val="000000"/>
          <w:sz w:val="24"/>
          <w:szCs w:val="24"/>
        </w:rPr>
        <w:t>]</w:t>
      </w:r>
      <w:r w:rsidRPr="00B54654">
        <w:rPr>
          <w:rFonts w:ascii="Arial" w:hAnsi="Arial" w:cs="Arial"/>
          <w:color w:val="000000"/>
          <w:sz w:val="24"/>
          <w:szCs w:val="24"/>
        </w:rPr>
        <w:tab/>
      </w:r>
      <w:r w:rsidR="00D54AFD" w:rsidRPr="00B54654">
        <w:rPr>
          <w:rFonts w:ascii="Arial" w:hAnsi="Arial" w:cs="Arial"/>
          <w:color w:val="000000"/>
          <w:sz w:val="24"/>
          <w:szCs w:val="24"/>
        </w:rPr>
        <w:t>Counsel for the applicant further submitted that the respondents’ reliance on clause 6.2 of Nampower’s Tender Conditions to justify confidentiality is misplaced. In my view the submission is correct</w:t>
      </w:r>
      <w:r w:rsidR="00D54AFD">
        <w:rPr>
          <w:rFonts w:ascii="Arial" w:hAnsi="Arial" w:cs="Arial"/>
          <w:color w:val="000000"/>
          <w:sz w:val="24"/>
          <w:szCs w:val="24"/>
        </w:rPr>
        <w:t>,</w:t>
      </w:r>
      <w:r w:rsidR="00D54AFD" w:rsidRPr="00B54654">
        <w:rPr>
          <w:rFonts w:ascii="Arial" w:hAnsi="Arial" w:cs="Arial"/>
          <w:color w:val="000000"/>
          <w:sz w:val="24"/>
          <w:szCs w:val="24"/>
        </w:rPr>
        <w:t xml:space="preserve"> if the respondents sought to interpret the said clause to oust the power of this court to compel a public body such as Nampower to disclose documents relevant to the court to adjudicate whether a decision is reviewable or not, the interpretation would be wrong </w:t>
      </w:r>
      <w:r w:rsidR="00D54AFD">
        <w:rPr>
          <w:rFonts w:ascii="Arial" w:hAnsi="Arial" w:cs="Arial"/>
          <w:color w:val="000000"/>
          <w:sz w:val="24"/>
          <w:szCs w:val="24"/>
        </w:rPr>
        <w:t>and</w:t>
      </w:r>
      <w:r w:rsidR="00D54AFD" w:rsidRPr="00B54654">
        <w:rPr>
          <w:rFonts w:ascii="Arial" w:hAnsi="Arial" w:cs="Arial"/>
          <w:color w:val="000000"/>
          <w:sz w:val="24"/>
          <w:szCs w:val="24"/>
        </w:rPr>
        <w:t xml:space="preserve"> the clause itself would be </w:t>
      </w:r>
      <w:r w:rsidR="00D54AFD" w:rsidRPr="00B54654">
        <w:rPr>
          <w:rFonts w:ascii="Arial" w:hAnsi="Arial" w:cs="Arial"/>
          <w:i/>
          <w:color w:val="000000"/>
          <w:sz w:val="24"/>
          <w:szCs w:val="24"/>
        </w:rPr>
        <w:t>contra bones mores</w:t>
      </w:r>
      <w:r w:rsidR="00D54AFD" w:rsidRPr="00B54654">
        <w:rPr>
          <w:rFonts w:ascii="Arial" w:hAnsi="Arial" w:cs="Arial"/>
          <w:color w:val="000000"/>
          <w:sz w:val="24"/>
          <w:szCs w:val="24"/>
        </w:rPr>
        <w:t xml:space="preserve"> as it would facilitate arbitrariness in decision making by public bodies</w:t>
      </w:r>
      <w:r w:rsidR="00D54AFD">
        <w:rPr>
          <w:rFonts w:ascii="Arial" w:hAnsi="Arial" w:cs="Arial"/>
          <w:color w:val="000000"/>
          <w:sz w:val="24"/>
          <w:szCs w:val="24"/>
        </w:rPr>
        <w:t>.</w:t>
      </w:r>
    </w:p>
    <w:p w:rsidR="004F6513" w:rsidRDefault="004F6513" w:rsidP="001744C9">
      <w:pPr>
        <w:spacing w:after="0" w:line="360" w:lineRule="auto"/>
        <w:jc w:val="both"/>
        <w:rPr>
          <w:rFonts w:ascii="Arial" w:hAnsi="Arial" w:cs="Arial"/>
          <w:color w:val="000000"/>
          <w:sz w:val="24"/>
          <w:szCs w:val="24"/>
        </w:rPr>
      </w:pPr>
    </w:p>
    <w:p w:rsidR="00905113" w:rsidRDefault="00905113" w:rsidP="001744C9">
      <w:pPr>
        <w:spacing w:after="0" w:line="360" w:lineRule="auto"/>
        <w:jc w:val="both"/>
        <w:rPr>
          <w:rFonts w:ascii="Arial" w:hAnsi="Arial" w:cs="Arial"/>
          <w:color w:val="000000"/>
          <w:sz w:val="24"/>
          <w:szCs w:val="24"/>
        </w:rPr>
      </w:pPr>
    </w:p>
    <w:p w:rsidR="00905113" w:rsidRDefault="00905113" w:rsidP="001744C9">
      <w:pPr>
        <w:spacing w:after="0" w:line="360" w:lineRule="auto"/>
        <w:jc w:val="both"/>
        <w:rPr>
          <w:rFonts w:ascii="Arial" w:hAnsi="Arial" w:cs="Arial"/>
          <w:color w:val="000000"/>
          <w:sz w:val="24"/>
          <w:szCs w:val="24"/>
        </w:rPr>
      </w:pPr>
    </w:p>
    <w:p w:rsidR="00905113" w:rsidRPr="00B54654" w:rsidRDefault="00905113" w:rsidP="001744C9">
      <w:pPr>
        <w:spacing w:after="0" w:line="360" w:lineRule="auto"/>
        <w:jc w:val="both"/>
        <w:rPr>
          <w:rFonts w:ascii="Arial" w:hAnsi="Arial" w:cs="Arial"/>
          <w:color w:val="000000"/>
          <w:sz w:val="24"/>
          <w:szCs w:val="24"/>
        </w:rPr>
      </w:pPr>
    </w:p>
    <w:p w:rsidR="00B7277B" w:rsidRDefault="001744C9" w:rsidP="001744C9">
      <w:pPr>
        <w:spacing w:after="0" w:line="360" w:lineRule="auto"/>
        <w:jc w:val="both"/>
        <w:rPr>
          <w:rFonts w:ascii="Arial" w:hAnsi="Arial" w:cs="Arial"/>
          <w:color w:val="000000"/>
          <w:sz w:val="24"/>
          <w:szCs w:val="24"/>
        </w:rPr>
      </w:pPr>
      <w:r>
        <w:rPr>
          <w:rFonts w:ascii="Arial" w:hAnsi="Arial" w:cs="Arial"/>
          <w:color w:val="000000"/>
          <w:sz w:val="24"/>
          <w:szCs w:val="24"/>
        </w:rPr>
        <w:t>[4</w:t>
      </w:r>
      <w:r w:rsidR="00D54AFD">
        <w:rPr>
          <w:rFonts w:ascii="Arial" w:hAnsi="Arial" w:cs="Arial"/>
          <w:color w:val="000000"/>
          <w:sz w:val="24"/>
          <w:szCs w:val="24"/>
        </w:rPr>
        <w:t>3</w:t>
      </w:r>
      <w:r w:rsidR="004F6513" w:rsidRPr="00B54654">
        <w:rPr>
          <w:rFonts w:ascii="Arial" w:hAnsi="Arial" w:cs="Arial"/>
          <w:color w:val="000000"/>
          <w:sz w:val="24"/>
          <w:szCs w:val="24"/>
        </w:rPr>
        <w:t>]</w:t>
      </w:r>
      <w:r w:rsidR="004F6513" w:rsidRPr="00B54654">
        <w:rPr>
          <w:rFonts w:ascii="Arial" w:hAnsi="Arial" w:cs="Arial"/>
          <w:color w:val="000000"/>
          <w:sz w:val="24"/>
          <w:szCs w:val="24"/>
        </w:rPr>
        <w:tab/>
      </w:r>
      <w:r w:rsidR="00D54AFD" w:rsidRPr="00B54654">
        <w:rPr>
          <w:rFonts w:ascii="Arial" w:hAnsi="Arial" w:cs="Arial"/>
          <w:color w:val="000000"/>
          <w:sz w:val="24"/>
          <w:szCs w:val="24"/>
        </w:rPr>
        <w:t xml:space="preserve">In </w:t>
      </w:r>
      <w:r w:rsidR="00D54AFD" w:rsidRPr="00B54654">
        <w:rPr>
          <w:rFonts w:ascii="Arial" w:hAnsi="Arial" w:cs="Arial"/>
          <w:i/>
          <w:color w:val="000000"/>
          <w:sz w:val="24"/>
          <w:szCs w:val="24"/>
        </w:rPr>
        <w:t>Democratic Alliance v Acting National Director of Public Prosecutions</w:t>
      </w:r>
      <w:r w:rsidR="00D54AFD" w:rsidRPr="00B54654">
        <w:rPr>
          <w:rStyle w:val="FootnoteReference"/>
          <w:rFonts w:ascii="Arial" w:hAnsi="Arial" w:cs="Arial"/>
          <w:i/>
          <w:color w:val="000000"/>
          <w:sz w:val="24"/>
          <w:szCs w:val="24"/>
        </w:rPr>
        <w:footnoteReference w:id="13"/>
      </w:r>
      <w:r w:rsidR="00D54AFD" w:rsidRPr="00B54654">
        <w:rPr>
          <w:rFonts w:ascii="Arial" w:hAnsi="Arial" w:cs="Arial"/>
          <w:i/>
          <w:color w:val="000000"/>
          <w:sz w:val="24"/>
          <w:szCs w:val="24"/>
        </w:rPr>
        <w:t xml:space="preserve"> </w:t>
      </w:r>
      <w:r w:rsidR="00D54AFD" w:rsidRPr="00B54654">
        <w:rPr>
          <w:rFonts w:ascii="Arial" w:hAnsi="Arial" w:cs="Arial"/>
          <w:color w:val="000000"/>
          <w:sz w:val="24"/>
          <w:szCs w:val="24"/>
        </w:rPr>
        <w:t>the court had the following to say with regard to an attempt by a party to limit the court’s power order discovery:</w:t>
      </w:r>
    </w:p>
    <w:p w:rsidR="00905113" w:rsidRPr="00B54654" w:rsidRDefault="00905113" w:rsidP="001744C9">
      <w:pPr>
        <w:spacing w:after="0" w:line="360" w:lineRule="auto"/>
        <w:jc w:val="both"/>
        <w:rPr>
          <w:rFonts w:ascii="Arial" w:hAnsi="Arial" w:cs="Arial"/>
          <w:color w:val="000000"/>
          <w:sz w:val="24"/>
          <w:szCs w:val="24"/>
        </w:rPr>
      </w:pPr>
    </w:p>
    <w:p w:rsidR="009F03E5" w:rsidRPr="001744C9" w:rsidRDefault="00D54AFD" w:rsidP="001744C9">
      <w:pPr>
        <w:spacing w:after="0" w:line="360" w:lineRule="auto"/>
        <w:ind w:firstLine="720"/>
        <w:jc w:val="both"/>
        <w:rPr>
          <w:rFonts w:ascii="Arial" w:hAnsi="Arial" w:cs="Arial"/>
          <w:color w:val="000000"/>
        </w:rPr>
      </w:pPr>
      <w:r w:rsidRPr="001744C9">
        <w:rPr>
          <w:rFonts w:ascii="Arial" w:hAnsi="Arial" w:cs="Arial"/>
          <w:color w:val="000000"/>
        </w:rPr>
        <w:t xml:space="preserve">‘In my view it is not appropriate for a court exercising its power of scrutiny and legality to have its power limited by the </w:t>
      </w:r>
      <w:r w:rsidRPr="001744C9">
        <w:rPr>
          <w:rFonts w:ascii="Arial" w:hAnsi="Arial" w:cs="Arial"/>
          <w:i/>
          <w:color w:val="000000"/>
        </w:rPr>
        <w:t>ipse dixit</w:t>
      </w:r>
      <w:r w:rsidRPr="001744C9">
        <w:rPr>
          <w:rFonts w:ascii="Arial" w:hAnsi="Arial" w:cs="Arial"/>
          <w:color w:val="000000"/>
        </w:rPr>
        <w:t xml:space="preserve"> of one party. A substantial prejudice will occur if reliance is placed on the value judgment of the first respondent. To permit the first respondent to be the final arbiter and determine which documents must be produced is illogical… [T]the first respondent has no right to independently edit the record. It must produce everything</w:t>
      </w:r>
      <w:r w:rsidR="001744C9" w:rsidRPr="001744C9">
        <w:rPr>
          <w:rFonts w:ascii="Arial" w:hAnsi="Arial" w:cs="Arial"/>
          <w:color w:val="000000"/>
        </w:rPr>
        <w:t>.’</w:t>
      </w:r>
    </w:p>
    <w:p w:rsidR="001744C9" w:rsidRPr="00B54654" w:rsidRDefault="001744C9" w:rsidP="001744C9">
      <w:pPr>
        <w:spacing w:after="0" w:line="360" w:lineRule="auto"/>
        <w:jc w:val="both"/>
        <w:rPr>
          <w:rFonts w:ascii="Arial" w:hAnsi="Arial" w:cs="Arial"/>
          <w:color w:val="000000"/>
          <w:sz w:val="24"/>
          <w:szCs w:val="24"/>
        </w:rPr>
      </w:pPr>
    </w:p>
    <w:p w:rsidR="009A63C6" w:rsidRDefault="004F6513" w:rsidP="001744C9">
      <w:pPr>
        <w:spacing w:after="0" w:line="360" w:lineRule="auto"/>
        <w:jc w:val="both"/>
        <w:rPr>
          <w:rFonts w:ascii="Arial" w:hAnsi="Arial" w:cs="Arial"/>
          <w:color w:val="000000"/>
          <w:sz w:val="24"/>
          <w:szCs w:val="24"/>
        </w:rPr>
      </w:pPr>
      <w:r w:rsidRPr="00B54654">
        <w:rPr>
          <w:rFonts w:ascii="Arial" w:hAnsi="Arial" w:cs="Arial"/>
          <w:color w:val="000000"/>
          <w:sz w:val="24"/>
          <w:szCs w:val="24"/>
        </w:rPr>
        <w:t>[4</w:t>
      </w:r>
      <w:r w:rsidR="00D54AFD">
        <w:rPr>
          <w:rFonts w:ascii="Arial" w:hAnsi="Arial" w:cs="Arial"/>
          <w:color w:val="000000"/>
          <w:sz w:val="24"/>
          <w:szCs w:val="24"/>
        </w:rPr>
        <w:t>4</w:t>
      </w:r>
      <w:r w:rsidRPr="00B54654">
        <w:rPr>
          <w:rFonts w:ascii="Arial" w:hAnsi="Arial" w:cs="Arial"/>
          <w:color w:val="000000"/>
          <w:sz w:val="24"/>
          <w:szCs w:val="24"/>
        </w:rPr>
        <w:t>]</w:t>
      </w:r>
      <w:r w:rsidRPr="00B54654">
        <w:rPr>
          <w:rFonts w:ascii="Arial" w:hAnsi="Arial" w:cs="Arial"/>
          <w:color w:val="000000"/>
          <w:sz w:val="24"/>
          <w:szCs w:val="24"/>
        </w:rPr>
        <w:tab/>
      </w:r>
      <w:r w:rsidR="00D54AFD" w:rsidRPr="00B54654">
        <w:rPr>
          <w:rFonts w:ascii="Arial" w:hAnsi="Arial" w:cs="Arial"/>
          <w:color w:val="000000"/>
          <w:sz w:val="24"/>
          <w:szCs w:val="24"/>
        </w:rPr>
        <w:t>Similarly in Democratic Alliance case</w:t>
      </w:r>
      <w:r w:rsidR="00D54AFD" w:rsidRPr="00B54654">
        <w:rPr>
          <w:rStyle w:val="FootnoteReference"/>
          <w:rFonts w:ascii="Arial" w:hAnsi="Arial" w:cs="Arial"/>
          <w:color w:val="000000"/>
          <w:sz w:val="24"/>
          <w:szCs w:val="24"/>
        </w:rPr>
        <w:footnoteReference w:id="14"/>
      </w:r>
      <w:r w:rsidR="00D54AFD" w:rsidRPr="00B54654">
        <w:rPr>
          <w:rFonts w:ascii="Arial" w:hAnsi="Arial" w:cs="Arial"/>
          <w:color w:val="000000"/>
          <w:sz w:val="24"/>
          <w:szCs w:val="24"/>
        </w:rPr>
        <w:t xml:space="preserve"> the South African Supreme Court of Appeal </w:t>
      </w:r>
      <w:r w:rsidR="00D54AFD">
        <w:rPr>
          <w:rFonts w:ascii="Arial" w:hAnsi="Arial" w:cs="Arial"/>
          <w:color w:val="000000"/>
          <w:sz w:val="24"/>
          <w:szCs w:val="24"/>
        </w:rPr>
        <w:t>said the following</w:t>
      </w:r>
      <w:r w:rsidR="00457925" w:rsidRPr="00B54654">
        <w:rPr>
          <w:rFonts w:ascii="Arial" w:hAnsi="Arial" w:cs="Arial"/>
          <w:color w:val="000000"/>
          <w:sz w:val="24"/>
          <w:szCs w:val="24"/>
        </w:rPr>
        <w:t>:</w:t>
      </w:r>
    </w:p>
    <w:p w:rsidR="001744C9" w:rsidRPr="00B54654" w:rsidRDefault="001744C9" w:rsidP="001744C9">
      <w:pPr>
        <w:spacing w:after="0" w:line="360" w:lineRule="auto"/>
        <w:jc w:val="both"/>
        <w:rPr>
          <w:rFonts w:ascii="Arial" w:hAnsi="Arial" w:cs="Arial"/>
          <w:color w:val="000000"/>
          <w:sz w:val="24"/>
          <w:szCs w:val="24"/>
        </w:rPr>
      </w:pPr>
    </w:p>
    <w:p w:rsidR="009A63C6" w:rsidRPr="001744C9" w:rsidRDefault="001744C9" w:rsidP="001744C9">
      <w:pPr>
        <w:spacing w:after="0" w:line="360" w:lineRule="auto"/>
        <w:ind w:firstLine="720"/>
        <w:jc w:val="both"/>
        <w:rPr>
          <w:rFonts w:ascii="Arial" w:hAnsi="Arial" w:cs="Arial"/>
          <w:color w:val="000000"/>
        </w:rPr>
      </w:pPr>
      <w:r w:rsidRPr="001744C9">
        <w:rPr>
          <w:rFonts w:ascii="Arial" w:hAnsi="Arial" w:cs="Arial"/>
          <w:color w:val="000000"/>
        </w:rPr>
        <w:t>‘</w:t>
      </w:r>
      <w:r w:rsidR="00052FC5" w:rsidRPr="001744C9">
        <w:rPr>
          <w:rFonts w:ascii="Arial" w:hAnsi="Arial" w:cs="Arial"/>
          <w:color w:val="000000"/>
        </w:rPr>
        <w:t>It can hardly be argued that, in an era of greater transparency, accountability and access to information, a record of decision related to the exercise of public power that can be reviewed should not be made available, whether in terms of rule 53 or by courts exercising their inherent power</w:t>
      </w:r>
      <w:r w:rsidRPr="001744C9">
        <w:rPr>
          <w:rFonts w:ascii="Arial" w:hAnsi="Arial" w:cs="Arial"/>
          <w:color w:val="000000"/>
        </w:rPr>
        <w:t xml:space="preserve"> to regulate their own process.’</w:t>
      </w:r>
    </w:p>
    <w:p w:rsidR="004F6513" w:rsidRPr="00B54654" w:rsidRDefault="004F6513" w:rsidP="001744C9">
      <w:pPr>
        <w:spacing w:after="0" w:line="360" w:lineRule="auto"/>
        <w:jc w:val="both"/>
        <w:rPr>
          <w:rFonts w:ascii="Arial" w:hAnsi="Arial" w:cs="Arial"/>
          <w:color w:val="000000"/>
          <w:sz w:val="24"/>
          <w:szCs w:val="24"/>
        </w:rPr>
      </w:pPr>
    </w:p>
    <w:p w:rsidR="00457925" w:rsidRPr="00B54654" w:rsidRDefault="004F6513" w:rsidP="001744C9">
      <w:pPr>
        <w:spacing w:after="0" w:line="360" w:lineRule="auto"/>
        <w:jc w:val="both"/>
        <w:rPr>
          <w:rFonts w:ascii="Arial" w:hAnsi="Arial" w:cs="Arial"/>
          <w:color w:val="000000"/>
          <w:sz w:val="24"/>
          <w:szCs w:val="24"/>
        </w:rPr>
      </w:pPr>
      <w:r w:rsidRPr="00B54654">
        <w:rPr>
          <w:rFonts w:ascii="Arial" w:hAnsi="Arial" w:cs="Arial"/>
          <w:color w:val="000000"/>
          <w:sz w:val="24"/>
          <w:szCs w:val="24"/>
        </w:rPr>
        <w:t>[4</w:t>
      </w:r>
      <w:r w:rsidR="00D54AFD">
        <w:rPr>
          <w:rFonts w:ascii="Arial" w:hAnsi="Arial" w:cs="Arial"/>
          <w:color w:val="000000"/>
          <w:sz w:val="24"/>
          <w:szCs w:val="24"/>
        </w:rPr>
        <w:t>5</w:t>
      </w:r>
      <w:r w:rsidRPr="00B54654">
        <w:rPr>
          <w:rFonts w:ascii="Arial" w:hAnsi="Arial" w:cs="Arial"/>
          <w:color w:val="000000"/>
          <w:sz w:val="24"/>
          <w:szCs w:val="24"/>
        </w:rPr>
        <w:t>]</w:t>
      </w:r>
      <w:r w:rsidRPr="00B54654">
        <w:rPr>
          <w:rFonts w:ascii="Arial" w:hAnsi="Arial" w:cs="Arial"/>
          <w:color w:val="000000"/>
          <w:sz w:val="24"/>
          <w:szCs w:val="24"/>
        </w:rPr>
        <w:tab/>
      </w:r>
      <w:r w:rsidR="00D54AFD" w:rsidRPr="00B54654">
        <w:rPr>
          <w:rFonts w:ascii="Arial" w:hAnsi="Arial" w:cs="Arial"/>
          <w:color w:val="000000"/>
          <w:sz w:val="24"/>
          <w:szCs w:val="24"/>
        </w:rPr>
        <w:t>The respondents did not list specific documents in their possession which they claim are confidential. They simply referred to clause 6.2 of the Tender Conditions. The wording of the clause is so wide to the extent that it covers every document relating to the tender. For my part, I cannot understand for instanc</w:t>
      </w:r>
      <w:r w:rsidR="00D54AFD">
        <w:rPr>
          <w:rFonts w:ascii="Arial" w:hAnsi="Arial" w:cs="Arial"/>
          <w:color w:val="000000"/>
          <w:sz w:val="24"/>
          <w:szCs w:val="24"/>
        </w:rPr>
        <w:t>e why information relating the ‘</w:t>
      </w:r>
      <w:r w:rsidR="00D54AFD" w:rsidRPr="00B54654">
        <w:rPr>
          <w:rFonts w:ascii="Arial" w:hAnsi="Arial" w:cs="Arial"/>
          <w:color w:val="000000"/>
          <w:sz w:val="24"/>
          <w:szCs w:val="24"/>
        </w:rPr>
        <w:t>examination</w:t>
      </w:r>
      <w:r w:rsidR="00D54AFD">
        <w:rPr>
          <w:rFonts w:ascii="Arial" w:hAnsi="Arial" w:cs="Arial"/>
          <w:color w:val="000000"/>
          <w:sz w:val="24"/>
          <w:szCs w:val="24"/>
        </w:rPr>
        <w:t>’</w:t>
      </w:r>
      <w:r w:rsidR="00D54AFD" w:rsidRPr="00B54654">
        <w:rPr>
          <w:rFonts w:ascii="Arial" w:hAnsi="Arial" w:cs="Arial"/>
          <w:color w:val="000000"/>
          <w:sz w:val="24"/>
          <w:szCs w:val="24"/>
        </w:rPr>
        <w:t xml:space="preserve"> of the tender would be confidential as clause 6.2 stipulates. In any event I am of the view that within the framework of judicial case management the issue of confidentiality can be managed by the managing judge. I propose to make an order to that effect</w:t>
      </w:r>
      <w:r w:rsidR="007A3DB6" w:rsidRPr="00B54654">
        <w:rPr>
          <w:rFonts w:ascii="Arial" w:hAnsi="Arial" w:cs="Arial"/>
          <w:color w:val="000000"/>
          <w:sz w:val="24"/>
          <w:szCs w:val="24"/>
        </w:rPr>
        <w:t>.</w:t>
      </w:r>
    </w:p>
    <w:p w:rsidR="007A3DB6" w:rsidRPr="00B54654" w:rsidRDefault="007A3DB6" w:rsidP="001744C9">
      <w:pPr>
        <w:spacing w:after="0" w:line="360" w:lineRule="auto"/>
        <w:jc w:val="both"/>
        <w:rPr>
          <w:rFonts w:ascii="Arial" w:hAnsi="Arial" w:cs="Arial"/>
          <w:color w:val="000000"/>
          <w:sz w:val="24"/>
          <w:szCs w:val="24"/>
        </w:rPr>
      </w:pPr>
    </w:p>
    <w:p w:rsidR="007A3DB6" w:rsidRPr="00B54654" w:rsidRDefault="001744C9" w:rsidP="001744C9">
      <w:pPr>
        <w:spacing w:after="0" w:line="360" w:lineRule="auto"/>
        <w:jc w:val="both"/>
        <w:rPr>
          <w:rFonts w:ascii="Arial" w:hAnsi="Arial" w:cs="Arial"/>
          <w:color w:val="000000"/>
          <w:sz w:val="24"/>
          <w:szCs w:val="24"/>
        </w:rPr>
      </w:pPr>
      <w:r>
        <w:rPr>
          <w:rFonts w:ascii="Arial" w:hAnsi="Arial" w:cs="Arial"/>
          <w:color w:val="000000"/>
          <w:sz w:val="24"/>
          <w:szCs w:val="24"/>
        </w:rPr>
        <w:t>[4</w:t>
      </w:r>
      <w:r w:rsidR="00D54AFD">
        <w:rPr>
          <w:rFonts w:ascii="Arial" w:hAnsi="Arial" w:cs="Arial"/>
          <w:color w:val="000000"/>
          <w:sz w:val="24"/>
          <w:szCs w:val="24"/>
        </w:rPr>
        <w:t>6</w:t>
      </w:r>
      <w:r w:rsidR="004F6513" w:rsidRPr="00B54654">
        <w:rPr>
          <w:rFonts w:ascii="Arial" w:hAnsi="Arial" w:cs="Arial"/>
          <w:color w:val="000000"/>
          <w:sz w:val="24"/>
          <w:szCs w:val="24"/>
        </w:rPr>
        <w:t>]</w:t>
      </w:r>
      <w:r w:rsidR="004F6513" w:rsidRPr="00B54654">
        <w:rPr>
          <w:rFonts w:ascii="Arial" w:hAnsi="Arial" w:cs="Arial"/>
          <w:color w:val="000000"/>
          <w:sz w:val="24"/>
          <w:szCs w:val="24"/>
        </w:rPr>
        <w:tab/>
      </w:r>
      <w:r w:rsidR="00D54AFD" w:rsidRPr="00B54654">
        <w:rPr>
          <w:rFonts w:ascii="Arial" w:hAnsi="Arial" w:cs="Arial"/>
          <w:color w:val="000000"/>
          <w:sz w:val="24"/>
          <w:szCs w:val="24"/>
        </w:rPr>
        <w:t xml:space="preserve">The respondent’s refusal to disclose documents based on the grounds of irrelevance and lack of proper identification do not require much attention. </w:t>
      </w:r>
      <w:r w:rsidR="00D54AFD">
        <w:rPr>
          <w:rFonts w:ascii="Arial" w:hAnsi="Arial" w:cs="Arial"/>
          <w:color w:val="000000"/>
          <w:sz w:val="24"/>
          <w:szCs w:val="24"/>
        </w:rPr>
        <w:t>The ground lacks</w:t>
      </w:r>
      <w:r w:rsidR="00D54AFD" w:rsidRPr="00B54654">
        <w:rPr>
          <w:rFonts w:ascii="Arial" w:hAnsi="Arial" w:cs="Arial"/>
          <w:color w:val="000000"/>
          <w:sz w:val="24"/>
          <w:szCs w:val="24"/>
        </w:rPr>
        <w:t xml:space="preserve"> merit. It suffices to say that it is not for the respondents to decide what is and what is not relevant; it is for the court to determine. Significantly the respondent did not make any effort to seek clarity as to the identity of the documents requested for disclosure. In my view the basis demonstrate lack of commitment to transparency. It is advanced as a smokescreen to avoid disclosure. It has been held that rule 76 must be generously interpreted so as to include ‘every scrap of paper throwing light, however indirectly, on the decision in question, both procedurally and evidentially</w:t>
      </w:r>
      <w:r w:rsidR="00D54AFD" w:rsidRPr="00B54654">
        <w:rPr>
          <w:rStyle w:val="FootnoteReference"/>
          <w:rFonts w:ascii="Arial" w:hAnsi="Arial" w:cs="Arial"/>
          <w:color w:val="000000"/>
          <w:sz w:val="24"/>
          <w:szCs w:val="24"/>
        </w:rPr>
        <w:footnoteReference w:id="15"/>
      </w:r>
      <w:r w:rsidR="00D54AFD">
        <w:rPr>
          <w:rFonts w:ascii="Arial" w:hAnsi="Arial" w:cs="Arial"/>
          <w:color w:val="000000"/>
          <w:sz w:val="24"/>
          <w:szCs w:val="24"/>
        </w:rPr>
        <w:t>’.</w:t>
      </w:r>
    </w:p>
    <w:p w:rsidR="009F03E5" w:rsidRPr="00B54654" w:rsidRDefault="009F03E5" w:rsidP="001744C9">
      <w:pPr>
        <w:spacing w:after="0" w:line="360" w:lineRule="auto"/>
        <w:jc w:val="both"/>
        <w:rPr>
          <w:rFonts w:ascii="Arial" w:hAnsi="Arial" w:cs="Arial"/>
          <w:color w:val="000000"/>
          <w:sz w:val="24"/>
          <w:szCs w:val="24"/>
        </w:rPr>
      </w:pPr>
    </w:p>
    <w:p w:rsidR="00EC54CE" w:rsidRDefault="00EC54CE" w:rsidP="00563B0A">
      <w:pPr>
        <w:spacing w:after="0" w:line="360" w:lineRule="auto"/>
        <w:jc w:val="both"/>
        <w:rPr>
          <w:rFonts w:ascii="Arial" w:hAnsi="Arial" w:cs="Arial"/>
          <w:color w:val="000000"/>
          <w:sz w:val="24"/>
          <w:szCs w:val="24"/>
        </w:rPr>
      </w:pPr>
      <w:r w:rsidRPr="00B54654">
        <w:rPr>
          <w:rFonts w:ascii="Arial" w:hAnsi="Arial" w:cs="Arial"/>
          <w:color w:val="000000"/>
          <w:sz w:val="24"/>
          <w:szCs w:val="24"/>
        </w:rPr>
        <w:t>[4</w:t>
      </w:r>
      <w:r w:rsidR="00D54AFD">
        <w:rPr>
          <w:rFonts w:ascii="Arial" w:hAnsi="Arial" w:cs="Arial"/>
          <w:color w:val="000000"/>
          <w:sz w:val="24"/>
          <w:szCs w:val="24"/>
        </w:rPr>
        <w:t>7</w:t>
      </w:r>
      <w:r w:rsidRPr="00B54654">
        <w:rPr>
          <w:rFonts w:ascii="Arial" w:hAnsi="Arial" w:cs="Arial"/>
          <w:color w:val="000000"/>
          <w:sz w:val="24"/>
          <w:szCs w:val="24"/>
        </w:rPr>
        <w:t>]</w:t>
      </w:r>
      <w:r w:rsidRPr="00B54654">
        <w:rPr>
          <w:rFonts w:ascii="Arial" w:hAnsi="Arial" w:cs="Arial"/>
          <w:color w:val="000000"/>
          <w:sz w:val="24"/>
          <w:szCs w:val="24"/>
        </w:rPr>
        <w:tab/>
        <w:t xml:space="preserve"> </w:t>
      </w:r>
      <w:r w:rsidR="00D54AFD" w:rsidRPr="00B54654">
        <w:rPr>
          <w:rFonts w:ascii="Arial" w:hAnsi="Arial" w:cs="Arial"/>
          <w:color w:val="000000"/>
          <w:sz w:val="24"/>
          <w:szCs w:val="24"/>
        </w:rPr>
        <w:t>Finally I am of the view that the request for disclosure in point nine of the notice in terms of rule 76(6) is too wide and the documents requested therein are already covered in the preceding points</w:t>
      </w:r>
      <w:r w:rsidRPr="00B54654">
        <w:rPr>
          <w:rFonts w:ascii="Arial" w:hAnsi="Arial" w:cs="Arial"/>
          <w:color w:val="000000"/>
          <w:sz w:val="24"/>
          <w:szCs w:val="24"/>
        </w:rPr>
        <w:t>.</w:t>
      </w:r>
    </w:p>
    <w:p w:rsidR="00563B0A" w:rsidRDefault="00563B0A" w:rsidP="00563B0A">
      <w:pPr>
        <w:spacing w:after="0" w:line="360" w:lineRule="auto"/>
        <w:jc w:val="both"/>
        <w:rPr>
          <w:rFonts w:ascii="Arial" w:hAnsi="Arial" w:cs="Arial"/>
          <w:color w:val="000000"/>
          <w:sz w:val="24"/>
          <w:szCs w:val="24"/>
        </w:rPr>
      </w:pPr>
    </w:p>
    <w:p w:rsidR="006422BA" w:rsidRPr="00B54654" w:rsidRDefault="006422BA" w:rsidP="00563B0A">
      <w:pPr>
        <w:pStyle w:val="BodyText"/>
        <w:spacing w:line="360" w:lineRule="auto"/>
        <w:jc w:val="both"/>
        <w:rPr>
          <w:rFonts w:ascii="Arial" w:hAnsi="Arial" w:cs="Arial"/>
          <w:u w:val="single"/>
        </w:rPr>
      </w:pPr>
      <w:r w:rsidRPr="00B54654">
        <w:rPr>
          <w:rFonts w:ascii="Arial" w:hAnsi="Arial" w:cs="Arial"/>
          <w:u w:val="single"/>
        </w:rPr>
        <w:t>Conclusion</w:t>
      </w:r>
    </w:p>
    <w:p w:rsidR="006422BA" w:rsidRPr="00B54654" w:rsidRDefault="006422BA" w:rsidP="00563B0A">
      <w:pPr>
        <w:pStyle w:val="BodyText"/>
        <w:spacing w:line="360" w:lineRule="auto"/>
        <w:jc w:val="both"/>
        <w:rPr>
          <w:rFonts w:ascii="Arial" w:hAnsi="Arial" w:cs="Arial"/>
          <w:u w:val="single"/>
        </w:rPr>
      </w:pPr>
    </w:p>
    <w:p w:rsidR="003B3399" w:rsidRPr="00B54654" w:rsidRDefault="00180A15" w:rsidP="00563B0A">
      <w:pPr>
        <w:pStyle w:val="BodyText"/>
        <w:spacing w:line="360" w:lineRule="auto"/>
        <w:jc w:val="both"/>
        <w:rPr>
          <w:rFonts w:ascii="Arial" w:hAnsi="Arial" w:cs="Arial"/>
        </w:rPr>
      </w:pPr>
      <w:r w:rsidRPr="00B54654">
        <w:rPr>
          <w:rFonts w:ascii="Arial" w:hAnsi="Arial" w:cs="Arial"/>
        </w:rPr>
        <w:t>[</w:t>
      </w:r>
      <w:r w:rsidR="00E66BB6" w:rsidRPr="00B54654">
        <w:rPr>
          <w:rFonts w:ascii="Arial" w:hAnsi="Arial" w:cs="Arial"/>
        </w:rPr>
        <w:t>4</w:t>
      </w:r>
      <w:r w:rsidR="00D54AFD">
        <w:rPr>
          <w:rFonts w:ascii="Arial" w:hAnsi="Arial" w:cs="Arial"/>
        </w:rPr>
        <w:t>8</w:t>
      </w:r>
      <w:r w:rsidRPr="00B54654">
        <w:rPr>
          <w:rFonts w:ascii="Arial" w:hAnsi="Arial" w:cs="Arial"/>
        </w:rPr>
        <w:t>]</w:t>
      </w:r>
      <w:r w:rsidRPr="00B54654">
        <w:rPr>
          <w:rFonts w:ascii="Arial" w:hAnsi="Arial" w:cs="Arial"/>
        </w:rPr>
        <w:tab/>
      </w:r>
      <w:r w:rsidR="00D54AFD" w:rsidRPr="00B54654">
        <w:rPr>
          <w:rFonts w:ascii="Arial" w:hAnsi="Arial" w:cs="Arial"/>
        </w:rPr>
        <w:t xml:space="preserve">I am of the considered view that the applicant’s request for disclosure in the present proceedings does not constitute a ‘fishing expedition’ or pre-litigation disclosure as contended by the respondents: it is permissible and perfectly made under rule 76. I am of the further view that the documents sought by the applicant must be disclosed. The disclosure of the documents sought by the applicant </w:t>
      </w:r>
      <w:r w:rsidR="00D54AFD">
        <w:rPr>
          <w:rFonts w:ascii="Arial" w:hAnsi="Arial" w:cs="Arial"/>
        </w:rPr>
        <w:t>potentially</w:t>
      </w:r>
      <w:r w:rsidR="00D54AFD" w:rsidRPr="00B54654">
        <w:rPr>
          <w:rFonts w:ascii="Arial" w:hAnsi="Arial" w:cs="Arial"/>
        </w:rPr>
        <w:t xml:space="preserve"> allow a proper and fair adjudication of the issues in the main review proceedings. I am of the further view that the respondents’ concern with regard to confidentiality of some of the documents can be adequately addressed by the managing judge through the judicial case management process</w:t>
      </w:r>
      <w:r w:rsidR="00D1465B" w:rsidRPr="00B54654">
        <w:rPr>
          <w:rFonts w:ascii="Arial" w:hAnsi="Arial" w:cs="Arial"/>
        </w:rPr>
        <w:t>.</w:t>
      </w:r>
    </w:p>
    <w:p w:rsidR="006B39D3" w:rsidRPr="00B54654" w:rsidRDefault="006B39D3" w:rsidP="00427462">
      <w:pPr>
        <w:pStyle w:val="BodyText"/>
        <w:spacing w:line="360" w:lineRule="auto"/>
        <w:jc w:val="both"/>
        <w:rPr>
          <w:rFonts w:ascii="Arial" w:hAnsi="Arial" w:cs="Arial"/>
        </w:rPr>
      </w:pPr>
    </w:p>
    <w:p w:rsidR="006B39D3" w:rsidRPr="00B54654" w:rsidRDefault="00774001" w:rsidP="00427462">
      <w:pPr>
        <w:pStyle w:val="BodyText"/>
        <w:spacing w:line="360" w:lineRule="auto"/>
        <w:jc w:val="both"/>
        <w:rPr>
          <w:rFonts w:ascii="Arial" w:hAnsi="Arial" w:cs="Arial"/>
          <w:u w:val="single"/>
        </w:rPr>
      </w:pPr>
      <w:r w:rsidRPr="00B54654">
        <w:rPr>
          <w:rFonts w:ascii="Arial" w:hAnsi="Arial" w:cs="Arial"/>
          <w:u w:val="single"/>
        </w:rPr>
        <w:t>C</w:t>
      </w:r>
      <w:r w:rsidR="001744C9">
        <w:rPr>
          <w:rFonts w:ascii="Arial" w:hAnsi="Arial" w:cs="Arial"/>
          <w:u w:val="single"/>
        </w:rPr>
        <w:t>osts</w:t>
      </w:r>
    </w:p>
    <w:p w:rsidR="00433616" w:rsidRPr="00B54654" w:rsidRDefault="00433616" w:rsidP="00F44C12">
      <w:pPr>
        <w:pStyle w:val="BodyText"/>
        <w:spacing w:line="360" w:lineRule="auto"/>
        <w:jc w:val="both"/>
        <w:rPr>
          <w:rFonts w:ascii="Arial" w:hAnsi="Arial" w:cs="Arial"/>
        </w:rPr>
      </w:pPr>
    </w:p>
    <w:p w:rsidR="00FD4320" w:rsidRPr="00B54654" w:rsidRDefault="00874BE5" w:rsidP="001744C9">
      <w:pPr>
        <w:pStyle w:val="BodyText"/>
        <w:spacing w:line="360" w:lineRule="auto"/>
        <w:jc w:val="both"/>
        <w:rPr>
          <w:rFonts w:ascii="Arial" w:hAnsi="Arial" w:cs="Arial"/>
        </w:rPr>
      </w:pPr>
      <w:r w:rsidRPr="00B54654">
        <w:rPr>
          <w:rFonts w:ascii="Arial" w:hAnsi="Arial" w:cs="Arial"/>
        </w:rPr>
        <w:t>[</w:t>
      </w:r>
      <w:r w:rsidR="00E66BB6" w:rsidRPr="00B54654">
        <w:rPr>
          <w:rFonts w:ascii="Arial" w:hAnsi="Arial" w:cs="Arial"/>
        </w:rPr>
        <w:t>4</w:t>
      </w:r>
      <w:r w:rsidR="00D54AFD">
        <w:rPr>
          <w:rFonts w:ascii="Arial" w:hAnsi="Arial" w:cs="Arial"/>
        </w:rPr>
        <w:t>9</w:t>
      </w:r>
      <w:r w:rsidRPr="00B54654">
        <w:rPr>
          <w:rFonts w:ascii="Arial" w:hAnsi="Arial" w:cs="Arial"/>
        </w:rPr>
        <w:t>]</w:t>
      </w:r>
      <w:r w:rsidRPr="00B54654">
        <w:rPr>
          <w:rFonts w:ascii="Arial" w:hAnsi="Arial" w:cs="Arial"/>
        </w:rPr>
        <w:tab/>
      </w:r>
      <w:r w:rsidR="00D54AFD" w:rsidRPr="00B54654">
        <w:rPr>
          <w:rFonts w:ascii="Arial" w:hAnsi="Arial" w:cs="Arial"/>
        </w:rPr>
        <w:t>The application has been</w:t>
      </w:r>
      <w:r w:rsidR="00D54AFD">
        <w:rPr>
          <w:rFonts w:ascii="Arial" w:hAnsi="Arial" w:cs="Arial"/>
        </w:rPr>
        <w:t xml:space="preserve"> decided</w:t>
      </w:r>
      <w:r w:rsidR="00D54AFD" w:rsidRPr="00B54654">
        <w:rPr>
          <w:rFonts w:ascii="Arial" w:hAnsi="Arial" w:cs="Arial"/>
        </w:rPr>
        <w:t xml:space="preserve"> in favour of the applicant. Counsel for the applicant moved for a costs order that the respondents’ pay the costs of this application, such costs to include the costs one instructing counsel and two instructed counsel, not limited to the provisions of rule 32(11)</w:t>
      </w:r>
      <w:r w:rsidR="00D54AFD" w:rsidRPr="00B54654">
        <w:rPr>
          <w:rStyle w:val="FootnoteReference"/>
          <w:rFonts w:ascii="Arial" w:hAnsi="Arial" w:cs="Arial"/>
        </w:rPr>
        <w:footnoteReference w:id="16"/>
      </w:r>
      <w:r w:rsidR="00D54AFD" w:rsidRPr="00B54654">
        <w:rPr>
          <w:rFonts w:ascii="Arial" w:hAnsi="Arial" w:cs="Arial"/>
        </w:rPr>
        <w:t>. In support of such order counsel submitted that the respondents not only unreasonably refused to disclose the documents sought in in terms of rule 76(6) of Court but further unreasonably opposed this application.</w:t>
      </w:r>
      <w:r w:rsidR="00D54AFD">
        <w:rPr>
          <w:rFonts w:ascii="Arial" w:hAnsi="Arial" w:cs="Arial"/>
        </w:rPr>
        <w:t xml:space="preserve"> </w:t>
      </w:r>
      <w:r w:rsidR="00D54AFD" w:rsidRPr="00B54654">
        <w:rPr>
          <w:rFonts w:ascii="Arial" w:hAnsi="Arial" w:cs="Arial"/>
        </w:rPr>
        <w:t xml:space="preserve">I am inclined to agree. From the correspondent exchanged before the launching of this application it is clear that the respondent did not have intention to co-operate and find an amicable solution. The respondents raised points </w:t>
      </w:r>
      <w:r w:rsidR="00D54AFD" w:rsidRPr="00D54AFD">
        <w:rPr>
          <w:rFonts w:ascii="Arial" w:hAnsi="Arial" w:cs="Arial"/>
          <w:i/>
        </w:rPr>
        <w:t>in limine</w:t>
      </w:r>
      <w:r w:rsidR="00D54AFD" w:rsidRPr="00B54654">
        <w:rPr>
          <w:rFonts w:ascii="Arial" w:hAnsi="Arial" w:cs="Arial"/>
        </w:rPr>
        <w:t xml:space="preserve"> in this interlocutory application which were aimed at dismissing the main application. The respondents further argued the merits of the main application during this interlocutory application in an attempt to, so to speak, </w:t>
      </w:r>
      <w:r w:rsidR="00D54AFD">
        <w:rPr>
          <w:rFonts w:ascii="Arial" w:hAnsi="Arial" w:cs="Arial"/>
        </w:rPr>
        <w:t>to nip the main application in the bud.</w:t>
      </w:r>
      <w:r w:rsidR="00C816B9" w:rsidRPr="00B54654">
        <w:rPr>
          <w:rFonts w:ascii="Arial" w:hAnsi="Arial" w:cs="Arial"/>
        </w:rPr>
        <w:t xml:space="preserve"> </w:t>
      </w:r>
    </w:p>
    <w:p w:rsidR="00433616" w:rsidRPr="00B54654" w:rsidRDefault="00433616" w:rsidP="001744C9">
      <w:pPr>
        <w:pStyle w:val="BodyText"/>
        <w:spacing w:line="360" w:lineRule="auto"/>
        <w:jc w:val="both"/>
        <w:rPr>
          <w:rFonts w:ascii="Arial" w:hAnsi="Arial" w:cs="Arial"/>
        </w:rPr>
      </w:pPr>
    </w:p>
    <w:p w:rsidR="009C1D81" w:rsidRPr="00B54654" w:rsidRDefault="00602BC3" w:rsidP="001744C9">
      <w:pPr>
        <w:pStyle w:val="BodyText"/>
        <w:spacing w:line="360" w:lineRule="auto"/>
        <w:jc w:val="both"/>
        <w:rPr>
          <w:rFonts w:ascii="Arial" w:hAnsi="Arial" w:cs="Arial"/>
        </w:rPr>
      </w:pPr>
      <w:r w:rsidRPr="00B54654">
        <w:rPr>
          <w:rFonts w:ascii="Arial" w:hAnsi="Arial" w:cs="Arial"/>
        </w:rPr>
        <w:t>[</w:t>
      </w:r>
      <w:r w:rsidR="00D54AFD">
        <w:rPr>
          <w:rFonts w:ascii="Arial" w:hAnsi="Arial" w:cs="Arial"/>
        </w:rPr>
        <w:t>50</w:t>
      </w:r>
      <w:r w:rsidR="008C66CB" w:rsidRPr="00B54654">
        <w:rPr>
          <w:rFonts w:ascii="Arial" w:hAnsi="Arial" w:cs="Arial"/>
        </w:rPr>
        <w:t>]</w:t>
      </w:r>
      <w:r w:rsidR="008C66CB" w:rsidRPr="00B54654">
        <w:rPr>
          <w:rFonts w:ascii="Arial" w:hAnsi="Arial" w:cs="Arial"/>
        </w:rPr>
        <w:tab/>
      </w:r>
      <w:r w:rsidR="00D54AFD" w:rsidRPr="00B54654">
        <w:rPr>
          <w:rFonts w:ascii="Arial" w:hAnsi="Arial" w:cs="Arial"/>
        </w:rPr>
        <w:t>This court feels duty bound to demonstrate its disapproval of the respondents’ obstructive and uncooperative conduct by making an order of costs in the terms suggested by applicant’s counsel</w:t>
      </w:r>
      <w:r w:rsidR="00D54AFD" w:rsidRPr="00B54654">
        <w:rPr>
          <w:rStyle w:val="FootnoteReference"/>
          <w:rFonts w:ascii="Arial" w:hAnsi="Arial" w:cs="Arial"/>
        </w:rPr>
        <w:footnoteReference w:id="17"/>
      </w:r>
      <w:r w:rsidR="00D54AFD">
        <w:rPr>
          <w:rFonts w:ascii="Arial" w:hAnsi="Arial" w:cs="Arial"/>
        </w:rPr>
        <w:t>.</w:t>
      </w:r>
    </w:p>
    <w:p w:rsidR="00007CED" w:rsidRPr="00B54654" w:rsidRDefault="00007CED" w:rsidP="001744C9">
      <w:pPr>
        <w:pStyle w:val="BodyText"/>
        <w:spacing w:line="360" w:lineRule="auto"/>
        <w:jc w:val="both"/>
        <w:rPr>
          <w:rFonts w:ascii="Arial" w:hAnsi="Arial" w:cs="Arial"/>
        </w:rPr>
      </w:pPr>
    </w:p>
    <w:p w:rsidR="00963492" w:rsidRPr="00B54654" w:rsidRDefault="00367DFF" w:rsidP="001744C9">
      <w:pPr>
        <w:pStyle w:val="BodyText"/>
        <w:spacing w:line="360" w:lineRule="auto"/>
        <w:jc w:val="both"/>
        <w:rPr>
          <w:rFonts w:ascii="Arial" w:hAnsi="Arial" w:cs="Arial"/>
        </w:rPr>
      </w:pPr>
      <w:r w:rsidRPr="00B54654">
        <w:rPr>
          <w:rFonts w:ascii="Arial" w:hAnsi="Arial" w:cs="Arial"/>
        </w:rPr>
        <w:t>[</w:t>
      </w:r>
      <w:r w:rsidR="00D54AFD">
        <w:rPr>
          <w:rFonts w:ascii="Arial" w:hAnsi="Arial" w:cs="Arial"/>
        </w:rPr>
        <w:t>51</w:t>
      </w:r>
      <w:r w:rsidRPr="00B54654">
        <w:rPr>
          <w:rFonts w:ascii="Arial" w:hAnsi="Arial" w:cs="Arial"/>
        </w:rPr>
        <w:t>]</w:t>
      </w:r>
      <w:r w:rsidRPr="00B54654">
        <w:rPr>
          <w:rFonts w:ascii="Arial" w:hAnsi="Arial" w:cs="Arial"/>
        </w:rPr>
        <w:tab/>
      </w:r>
      <w:r w:rsidR="00963492" w:rsidRPr="00B54654">
        <w:rPr>
          <w:rFonts w:ascii="Arial" w:hAnsi="Arial" w:cs="Arial"/>
        </w:rPr>
        <w:t>I</w:t>
      </w:r>
      <w:r w:rsidR="007031B4" w:rsidRPr="00B54654">
        <w:rPr>
          <w:rFonts w:ascii="Arial" w:hAnsi="Arial" w:cs="Arial"/>
        </w:rPr>
        <w:t>n the resu</w:t>
      </w:r>
      <w:r w:rsidR="001744C9">
        <w:rPr>
          <w:rFonts w:ascii="Arial" w:hAnsi="Arial" w:cs="Arial"/>
        </w:rPr>
        <w:t>lt, I make the following order:</w:t>
      </w:r>
    </w:p>
    <w:p w:rsidR="00963492" w:rsidRDefault="00963492" w:rsidP="001744C9">
      <w:pPr>
        <w:pStyle w:val="BodyText"/>
        <w:spacing w:line="360" w:lineRule="auto"/>
        <w:jc w:val="both"/>
        <w:rPr>
          <w:rFonts w:ascii="Arial" w:hAnsi="Arial" w:cs="Arial"/>
        </w:rPr>
      </w:pPr>
    </w:p>
    <w:p w:rsidR="001744C9" w:rsidRPr="00B54654" w:rsidRDefault="001744C9" w:rsidP="001744C9">
      <w:pPr>
        <w:pStyle w:val="BodyText"/>
        <w:spacing w:line="360" w:lineRule="auto"/>
        <w:ind w:left="709"/>
        <w:jc w:val="both"/>
        <w:rPr>
          <w:rFonts w:ascii="Arial" w:hAnsi="Arial" w:cs="Arial"/>
        </w:rPr>
      </w:pPr>
      <w:r w:rsidRPr="00B54654">
        <w:rPr>
          <w:rFonts w:ascii="Arial" w:hAnsi="Arial" w:cs="Arial"/>
        </w:rPr>
        <w:t>The first, second and third respondents are ordered, to disclose the applicant the documents listed hereunder on or before 13 October 2017:</w:t>
      </w:r>
    </w:p>
    <w:p w:rsidR="001744C9" w:rsidRPr="00B54654" w:rsidRDefault="001744C9" w:rsidP="001744C9">
      <w:pPr>
        <w:pStyle w:val="BodyText"/>
        <w:spacing w:line="360" w:lineRule="auto"/>
        <w:jc w:val="both"/>
        <w:rPr>
          <w:rFonts w:ascii="Arial" w:hAnsi="Arial" w:cs="Arial"/>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All Tender Evaluation Reports for Tender NPWR 2015/50 and NPWR 2016/16, which had to have been prepared in terms of the first respondent’s Tender and Procurement Policy Clause 29, specifically 29.8 (Page 34 of 60).</w:t>
      </w:r>
    </w:p>
    <w:p w:rsidR="001744C9" w:rsidRPr="00FB34D4" w:rsidRDefault="001744C9" w:rsidP="009750A8">
      <w:pPr>
        <w:pStyle w:val="ColorfulList-Accent1"/>
        <w:spacing w:line="360" w:lineRule="auto"/>
        <w:ind w:left="709"/>
        <w:contextualSpacing/>
        <w:jc w:val="both"/>
        <w:rPr>
          <w:rFonts w:ascii="Arial" w:hAnsi="Arial" w:cs="Arial"/>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All Tender Board Recommendation Forms (signed by Head of Tender Evaluation team, Chairperson of Tender Board &amp; MD) for Tender NPWR 2015/50 and NPWR 2016/16.</w:t>
      </w:r>
    </w:p>
    <w:p w:rsidR="001744C9" w:rsidRPr="00FB34D4" w:rsidRDefault="001744C9" w:rsidP="009750A8">
      <w:pPr>
        <w:pStyle w:val="ColorfulList-Accent1"/>
        <w:spacing w:line="360" w:lineRule="auto"/>
        <w:ind w:left="709"/>
        <w:contextualSpacing/>
        <w:jc w:val="both"/>
        <w:rPr>
          <w:rFonts w:ascii="Arial" w:hAnsi="Arial" w:cs="Arial"/>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Minutes of each NamPower Tender Board Meeting where Tender NPWR 2015 and NPWR 2016/16 was discussed.</w:t>
      </w:r>
    </w:p>
    <w:p w:rsidR="001744C9" w:rsidRPr="00FB34D4" w:rsidRDefault="001744C9" w:rsidP="009750A8">
      <w:pPr>
        <w:pStyle w:val="ColorfulList-Accent1"/>
        <w:spacing w:line="360" w:lineRule="auto"/>
        <w:ind w:left="709"/>
        <w:contextualSpacing/>
        <w:jc w:val="both"/>
        <w:rPr>
          <w:rFonts w:ascii="Arial" w:hAnsi="Arial" w:cs="Arial"/>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Minutes of each NamPower Board Tender Committee Meeting where Tender NPWR 2015/50 and NPWR was discussed.</w:t>
      </w:r>
    </w:p>
    <w:p w:rsidR="001744C9" w:rsidRPr="00FB34D4" w:rsidRDefault="001744C9" w:rsidP="009750A8">
      <w:pPr>
        <w:pStyle w:val="ColorfulList-Accent1"/>
        <w:spacing w:line="360" w:lineRule="auto"/>
        <w:ind w:left="709"/>
        <w:contextualSpacing/>
        <w:jc w:val="both"/>
        <w:rPr>
          <w:rFonts w:ascii="Arial" w:hAnsi="Arial" w:cs="Arial"/>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8 February 2017 NamPower Board of Directors Meeting minutes, referred to in discovered 15 February 2017 Board meeting minutes.</w:t>
      </w:r>
    </w:p>
    <w:p w:rsidR="001744C9" w:rsidRPr="00FB34D4" w:rsidRDefault="001744C9" w:rsidP="009750A8">
      <w:pPr>
        <w:pStyle w:val="ColorfulList-Accent1"/>
        <w:spacing w:line="360" w:lineRule="auto"/>
        <w:ind w:left="709"/>
        <w:contextualSpacing/>
        <w:jc w:val="both"/>
        <w:rPr>
          <w:rFonts w:ascii="Arial" w:hAnsi="Arial" w:cs="Arial"/>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13 December 2016 NamPower Board of Directors allegedly resolved to block the award of the two tenders NPWR 2015/50 and NPWR 2016/16 to the applicant, notwithstanding the recommendations from the internal Tender Board to award the tenders to the applicant, allegedly due to a conflict of interest.</w:t>
      </w:r>
    </w:p>
    <w:p w:rsidR="001744C9" w:rsidRPr="00FB34D4" w:rsidRDefault="001744C9" w:rsidP="009750A8">
      <w:pPr>
        <w:pStyle w:val="ColorfulList-Accent1"/>
        <w:spacing w:line="360" w:lineRule="auto"/>
        <w:ind w:left="709"/>
        <w:contextualSpacing/>
        <w:jc w:val="both"/>
        <w:rPr>
          <w:rFonts w:ascii="Arial" w:hAnsi="Arial" w:cs="Arial"/>
        </w:rPr>
      </w:pPr>
    </w:p>
    <w:p w:rsidR="001744C9" w:rsidRPr="00FB34D4" w:rsidRDefault="001744C9" w:rsidP="00D54AFD">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Documents evidencing each objection raised to and by the NamPower Board of Directors against awarding the tenders NPWR 2015/50 and 2016/16 to the applicant, including but not limited to those raised by Siemens and General Electric, directed to the NamPower Managing Director, the NamPower Tender Board and/or the Nampower Board of directors, about conflict of interest, between the period September 2016 to December 2016.</w:t>
      </w:r>
    </w:p>
    <w:p w:rsidR="001744C9" w:rsidRPr="00FB34D4" w:rsidRDefault="001744C9" w:rsidP="00D54AFD">
      <w:pPr>
        <w:pStyle w:val="ColorfulList-Accent1"/>
        <w:spacing w:line="360" w:lineRule="auto"/>
        <w:ind w:left="709"/>
        <w:contextualSpacing/>
        <w:jc w:val="both"/>
        <w:rPr>
          <w:rFonts w:ascii="Arial" w:hAnsi="Arial" w:cs="Arial"/>
        </w:rPr>
      </w:pPr>
    </w:p>
    <w:p w:rsidR="001744C9" w:rsidRPr="00FB34D4" w:rsidRDefault="001744C9" w:rsidP="00D54AFD">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Documents evidencing each action taken by NamPower management, the NamPower Tender Board and/or the NamPower Board of Directors following and/or in response to the objections raised against the award of tenders NPWR 2015/50 and 2016/16 to the applicant.</w:t>
      </w:r>
    </w:p>
    <w:p w:rsidR="001744C9" w:rsidRPr="00FB34D4" w:rsidRDefault="001744C9" w:rsidP="00D54AFD">
      <w:pPr>
        <w:pStyle w:val="ColorfulList-Accent1"/>
        <w:spacing w:line="360" w:lineRule="auto"/>
        <w:ind w:left="709"/>
        <w:contextualSpacing/>
        <w:jc w:val="both"/>
        <w:rPr>
          <w:rFonts w:ascii="Arial" w:hAnsi="Arial" w:cs="Arial"/>
        </w:rPr>
      </w:pPr>
    </w:p>
    <w:p w:rsidR="001744C9" w:rsidRPr="00FB34D4" w:rsidRDefault="001744C9" w:rsidP="00D54AFD">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The respondents to make copies of the requested documents available to the applicant for inspection and complying within 10 days.</w:t>
      </w:r>
    </w:p>
    <w:p w:rsidR="001744C9" w:rsidRPr="00FB34D4" w:rsidRDefault="001744C9" w:rsidP="009750A8">
      <w:pPr>
        <w:pStyle w:val="ListParagraph"/>
        <w:spacing w:after="0" w:line="360" w:lineRule="auto"/>
        <w:ind w:left="709"/>
        <w:rPr>
          <w:rFonts w:ascii="Arial" w:hAnsi="Arial" w:cs="Arial"/>
          <w:sz w:val="24"/>
          <w:szCs w:val="24"/>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In the event of confidentiality being claimed by the respondents in respect of a specific document, such issue is to be referred to the managing judge for directions.</w:t>
      </w:r>
    </w:p>
    <w:p w:rsidR="001744C9" w:rsidRPr="00FB34D4" w:rsidRDefault="001744C9" w:rsidP="009750A8">
      <w:pPr>
        <w:pStyle w:val="ListParagraph"/>
        <w:spacing w:after="0" w:line="360" w:lineRule="auto"/>
        <w:ind w:left="709"/>
        <w:rPr>
          <w:rFonts w:ascii="Arial" w:hAnsi="Arial" w:cs="Arial"/>
          <w:sz w:val="24"/>
          <w:szCs w:val="24"/>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The respondents are to supplement the record filed with the Registrar, within 5 days of having given the applicant access to the requested documents.</w:t>
      </w:r>
    </w:p>
    <w:p w:rsidR="001744C9" w:rsidRDefault="001744C9" w:rsidP="009750A8">
      <w:pPr>
        <w:pStyle w:val="ColorfulList-Accent1"/>
        <w:spacing w:line="360" w:lineRule="auto"/>
        <w:ind w:left="709"/>
        <w:contextualSpacing/>
        <w:jc w:val="both"/>
        <w:rPr>
          <w:rFonts w:ascii="Arial" w:eastAsia="Calibri" w:hAnsi="Arial" w:cs="Arial"/>
          <w:lang w:val="en-US" w:eastAsia="en-US"/>
        </w:rPr>
      </w:pPr>
    </w:p>
    <w:p w:rsidR="001744C9" w:rsidRPr="00FB34D4" w:rsidRDefault="001744C9" w:rsidP="009750A8">
      <w:pPr>
        <w:pStyle w:val="ColorfulList-Accent1"/>
        <w:numPr>
          <w:ilvl w:val="0"/>
          <w:numId w:val="43"/>
        </w:numPr>
        <w:spacing w:line="360" w:lineRule="auto"/>
        <w:ind w:left="1134" w:hanging="425"/>
        <w:contextualSpacing/>
        <w:jc w:val="both"/>
        <w:rPr>
          <w:rFonts w:ascii="Arial" w:hAnsi="Arial" w:cs="Arial"/>
        </w:rPr>
      </w:pPr>
      <w:r w:rsidRPr="00FB34D4">
        <w:rPr>
          <w:rFonts w:ascii="Arial" w:hAnsi="Arial" w:cs="Arial"/>
        </w:rPr>
        <w:t>The respondents are to pay the applicant’s costs of this application not limited to N$20,000, as per rule 32(11), such to include the costs of employing one instructing counsel and tow instructed counsel.</w:t>
      </w:r>
    </w:p>
    <w:p w:rsidR="001744C9" w:rsidRPr="00FB34D4" w:rsidRDefault="001744C9" w:rsidP="009750A8">
      <w:pPr>
        <w:pStyle w:val="ListParagraph"/>
        <w:spacing w:after="0" w:line="360" w:lineRule="auto"/>
        <w:ind w:left="709"/>
        <w:rPr>
          <w:rFonts w:ascii="Arial" w:hAnsi="Arial" w:cs="Arial"/>
          <w:sz w:val="24"/>
          <w:szCs w:val="24"/>
        </w:rPr>
      </w:pPr>
    </w:p>
    <w:p w:rsidR="001744C9" w:rsidRDefault="001744C9" w:rsidP="009750A8">
      <w:pPr>
        <w:pStyle w:val="BodyText"/>
        <w:numPr>
          <w:ilvl w:val="0"/>
          <w:numId w:val="43"/>
        </w:numPr>
        <w:spacing w:line="360" w:lineRule="auto"/>
        <w:ind w:left="1134" w:hanging="425"/>
        <w:jc w:val="both"/>
        <w:rPr>
          <w:rFonts w:ascii="Arial" w:hAnsi="Arial" w:cs="Arial"/>
        </w:rPr>
      </w:pPr>
      <w:r w:rsidRPr="00FB34D4">
        <w:rPr>
          <w:rFonts w:ascii="Arial" w:hAnsi="Arial" w:cs="Arial"/>
        </w:rPr>
        <w:t xml:space="preserve">The matter is postponed to </w:t>
      </w:r>
      <w:r w:rsidRPr="00FB34D4">
        <w:rPr>
          <w:rFonts w:ascii="Arial" w:hAnsi="Arial" w:cs="Arial"/>
          <w:b/>
        </w:rPr>
        <w:t>18 October 2017</w:t>
      </w:r>
      <w:r w:rsidRPr="00FB34D4">
        <w:rPr>
          <w:rFonts w:ascii="Arial" w:hAnsi="Arial" w:cs="Arial"/>
        </w:rPr>
        <w:t xml:space="preserve"> at </w:t>
      </w:r>
      <w:r w:rsidRPr="00FB34D4">
        <w:rPr>
          <w:rFonts w:ascii="Arial" w:hAnsi="Arial" w:cs="Arial"/>
          <w:b/>
        </w:rPr>
        <w:t>08h30</w:t>
      </w:r>
      <w:r w:rsidRPr="00FB34D4">
        <w:rPr>
          <w:rFonts w:ascii="Arial" w:hAnsi="Arial" w:cs="Arial"/>
        </w:rPr>
        <w:t xml:space="preserve"> for case management conference.</w:t>
      </w:r>
    </w:p>
    <w:p w:rsidR="001744C9" w:rsidRDefault="001744C9" w:rsidP="001744C9">
      <w:pPr>
        <w:pStyle w:val="BodyText"/>
        <w:spacing w:line="360" w:lineRule="auto"/>
        <w:jc w:val="both"/>
        <w:rPr>
          <w:rFonts w:ascii="Arial" w:hAnsi="Arial" w:cs="Arial"/>
        </w:rPr>
      </w:pPr>
    </w:p>
    <w:p w:rsidR="00905113" w:rsidRDefault="00905113" w:rsidP="001744C9">
      <w:pPr>
        <w:pStyle w:val="BodyText"/>
        <w:spacing w:line="360" w:lineRule="auto"/>
        <w:jc w:val="both"/>
        <w:rPr>
          <w:rFonts w:ascii="Arial" w:hAnsi="Arial" w:cs="Arial"/>
        </w:rPr>
      </w:pPr>
    </w:p>
    <w:p w:rsidR="00905113" w:rsidRPr="00CE2F1D" w:rsidRDefault="00905113" w:rsidP="001744C9">
      <w:pPr>
        <w:pStyle w:val="BodyText"/>
        <w:spacing w:line="360" w:lineRule="auto"/>
        <w:jc w:val="both"/>
        <w:rPr>
          <w:rFonts w:ascii="Arial" w:hAnsi="Arial" w:cs="Arial"/>
        </w:rPr>
      </w:pPr>
    </w:p>
    <w:p w:rsidR="009750A8" w:rsidRDefault="009750A8" w:rsidP="009750A8">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9750A8" w:rsidRDefault="009750A8" w:rsidP="009750A8">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9750A8" w:rsidRPr="00103837" w:rsidRDefault="009750A8" w:rsidP="009750A8">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9750A8" w:rsidRDefault="009750A8" w:rsidP="009750A8">
      <w:pPr>
        <w:pStyle w:val="BodyText"/>
        <w:autoSpaceDE w:val="0"/>
        <w:autoSpaceDN w:val="0"/>
        <w:adjustRightInd w:val="0"/>
        <w:spacing w:line="360" w:lineRule="auto"/>
        <w:jc w:val="both"/>
        <w:rPr>
          <w:rFonts w:ascii="Arial" w:hAnsi="Arial" w:cs="Arial"/>
        </w:rPr>
      </w:pPr>
    </w:p>
    <w:p w:rsidR="009750A8" w:rsidRDefault="009750A8" w:rsidP="009750A8">
      <w:pPr>
        <w:pStyle w:val="BodyText"/>
        <w:autoSpaceDE w:val="0"/>
        <w:autoSpaceDN w:val="0"/>
        <w:adjustRightInd w:val="0"/>
        <w:spacing w:line="360" w:lineRule="auto"/>
        <w:jc w:val="both"/>
        <w:rPr>
          <w:rFonts w:ascii="Arial" w:hAnsi="Arial" w:cs="Arial"/>
        </w:rPr>
      </w:pPr>
    </w:p>
    <w:p w:rsidR="009750A8" w:rsidRDefault="009750A8" w:rsidP="009750A8">
      <w:pPr>
        <w:pStyle w:val="BodyText"/>
        <w:autoSpaceDE w:val="0"/>
        <w:autoSpaceDN w:val="0"/>
        <w:adjustRightInd w:val="0"/>
        <w:spacing w:line="360" w:lineRule="auto"/>
        <w:jc w:val="both"/>
        <w:rPr>
          <w:rFonts w:ascii="Arial" w:hAnsi="Arial" w:cs="Arial"/>
        </w:rPr>
        <w:sectPr w:rsidR="009750A8" w:rsidSect="008D64DA">
          <w:headerReference w:type="default" r:id="rId13"/>
          <w:pgSz w:w="11907" w:h="16839" w:code="9"/>
          <w:pgMar w:top="810" w:right="1440" w:bottom="1260" w:left="1440" w:header="720" w:footer="45" w:gutter="0"/>
          <w:cols w:space="720"/>
          <w:titlePg/>
          <w:docGrid w:linePitch="360"/>
        </w:sectPr>
      </w:pPr>
    </w:p>
    <w:p w:rsidR="00E63835" w:rsidRPr="00B54654" w:rsidRDefault="00E63835" w:rsidP="001744C9">
      <w:pPr>
        <w:pStyle w:val="BodyText"/>
        <w:spacing w:line="360" w:lineRule="auto"/>
        <w:jc w:val="both"/>
        <w:rPr>
          <w:rFonts w:ascii="Arial" w:hAnsi="Arial" w:cs="Arial"/>
        </w:rPr>
      </w:pPr>
    </w:p>
    <w:p w:rsidR="003B3399" w:rsidRPr="00B54654" w:rsidRDefault="003B3399" w:rsidP="001744C9">
      <w:pPr>
        <w:pStyle w:val="BodyText"/>
        <w:spacing w:line="360" w:lineRule="auto"/>
        <w:jc w:val="both"/>
        <w:rPr>
          <w:rFonts w:ascii="Arial" w:hAnsi="Arial" w:cs="Arial"/>
        </w:rPr>
      </w:pPr>
    </w:p>
    <w:p w:rsidR="001B7E1F" w:rsidRPr="00B54654" w:rsidRDefault="001B7E1F" w:rsidP="001744C9">
      <w:pPr>
        <w:pStyle w:val="BodyText"/>
        <w:autoSpaceDE w:val="0"/>
        <w:autoSpaceDN w:val="0"/>
        <w:adjustRightInd w:val="0"/>
        <w:spacing w:line="360" w:lineRule="auto"/>
        <w:jc w:val="both"/>
        <w:rPr>
          <w:rFonts w:ascii="Arial" w:hAnsi="Arial" w:cs="Arial"/>
        </w:rPr>
      </w:pPr>
      <w:r w:rsidRPr="00B54654">
        <w:rPr>
          <w:rFonts w:ascii="Arial" w:hAnsi="Arial" w:cs="Arial"/>
        </w:rPr>
        <w:t>APPEARANCES</w:t>
      </w:r>
      <w:r w:rsidR="00F37E20" w:rsidRPr="00B54654">
        <w:rPr>
          <w:rFonts w:ascii="Arial" w:hAnsi="Arial" w:cs="Arial"/>
        </w:rPr>
        <w:t>:</w:t>
      </w:r>
    </w:p>
    <w:p w:rsidR="001B7E1F" w:rsidRPr="00B54654" w:rsidRDefault="001B7E1F" w:rsidP="001744C9">
      <w:pPr>
        <w:pStyle w:val="BodyText"/>
        <w:autoSpaceDE w:val="0"/>
        <w:autoSpaceDN w:val="0"/>
        <w:adjustRightInd w:val="0"/>
        <w:spacing w:line="360" w:lineRule="auto"/>
        <w:jc w:val="both"/>
        <w:rPr>
          <w:rFonts w:ascii="Arial" w:hAnsi="Arial" w:cs="Arial"/>
        </w:rPr>
      </w:pPr>
    </w:p>
    <w:p w:rsidR="002551FE" w:rsidRPr="00B54654" w:rsidRDefault="002551FE" w:rsidP="001744C9">
      <w:pPr>
        <w:pStyle w:val="BodyText"/>
        <w:autoSpaceDE w:val="0"/>
        <w:autoSpaceDN w:val="0"/>
        <w:adjustRightInd w:val="0"/>
        <w:spacing w:line="360" w:lineRule="auto"/>
        <w:jc w:val="both"/>
        <w:rPr>
          <w:rFonts w:ascii="Arial" w:hAnsi="Arial" w:cs="Arial"/>
        </w:rPr>
      </w:pPr>
    </w:p>
    <w:p w:rsidR="001B7E1F" w:rsidRPr="00B54654" w:rsidRDefault="001F664D" w:rsidP="001744C9">
      <w:pPr>
        <w:tabs>
          <w:tab w:val="left" w:pos="1394"/>
          <w:tab w:val="left" w:pos="3240"/>
        </w:tabs>
        <w:spacing w:after="0" w:line="360" w:lineRule="auto"/>
        <w:jc w:val="both"/>
        <w:rPr>
          <w:rFonts w:ascii="Arial" w:hAnsi="Arial" w:cs="Arial"/>
          <w:sz w:val="24"/>
          <w:szCs w:val="24"/>
        </w:rPr>
      </w:pPr>
      <w:r w:rsidRPr="00B54654">
        <w:rPr>
          <w:rFonts w:ascii="Arial" w:hAnsi="Arial" w:cs="Arial"/>
          <w:sz w:val="24"/>
          <w:szCs w:val="24"/>
        </w:rPr>
        <w:t>APPLICANT</w:t>
      </w:r>
      <w:r w:rsidR="008C3957" w:rsidRPr="00B54654">
        <w:rPr>
          <w:rFonts w:ascii="Arial" w:hAnsi="Arial" w:cs="Arial"/>
          <w:sz w:val="24"/>
          <w:szCs w:val="24"/>
        </w:rPr>
        <w:t>:</w:t>
      </w:r>
      <w:r w:rsidR="001B7E1F" w:rsidRPr="00B54654">
        <w:rPr>
          <w:rFonts w:ascii="Arial" w:hAnsi="Arial" w:cs="Arial"/>
          <w:sz w:val="24"/>
          <w:szCs w:val="24"/>
        </w:rPr>
        <w:tab/>
      </w:r>
      <w:r w:rsidR="00DD7F18" w:rsidRPr="00B54654">
        <w:rPr>
          <w:rFonts w:ascii="Arial" w:hAnsi="Arial" w:cs="Arial"/>
          <w:sz w:val="24"/>
          <w:szCs w:val="24"/>
        </w:rPr>
        <w:t xml:space="preserve">R </w:t>
      </w:r>
      <w:r w:rsidR="009750A8">
        <w:rPr>
          <w:rFonts w:ascii="Arial" w:hAnsi="Arial" w:cs="Arial"/>
          <w:sz w:val="24"/>
          <w:szCs w:val="24"/>
        </w:rPr>
        <w:t xml:space="preserve">HEATHCOTE </w:t>
      </w:r>
      <w:r w:rsidR="00DD7F18" w:rsidRPr="00B54654">
        <w:rPr>
          <w:rFonts w:ascii="Arial" w:hAnsi="Arial" w:cs="Arial"/>
          <w:sz w:val="24"/>
          <w:szCs w:val="24"/>
        </w:rPr>
        <w:t xml:space="preserve">SC (with him R </w:t>
      </w:r>
      <w:r w:rsidR="009750A8">
        <w:rPr>
          <w:rFonts w:ascii="Arial" w:hAnsi="Arial" w:cs="Arial"/>
          <w:sz w:val="24"/>
          <w:szCs w:val="24"/>
        </w:rPr>
        <w:t>MAASDORP</w:t>
      </w:r>
      <w:r w:rsidR="00DD7F18" w:rsidRPr="00B54654">
        <w:rPr>
          <w:rFonts w:ascii="Arial" w:hAnsi="Arial" w:cs="Arial"/>
          <w:sz w:val="24"/>
          <w:szCs w:val="24"/>
        </w:rPr>
        <w:t>)</w:t>
      </w:r>
    </w:p>
    <w:p w:rsidR="001B7E1F" w:rsidRPr="00B54654" w:rsidRDefault="00DD7F18" w:rsidP="001744C9">
      <w:pPr>
        <w:autoSpaceDE w:val="0"/>
        <w:autoSpaceDN w:val="0"/>
        <w:adjustRightInd w:val="0"/>
        <w:spacing w:after="0" w:line="360" w:lineRule="auto"/>
        <w:ind w:left="3240"/>
        <w:jc w:val="both"/>
        <w:rPr>
          <w:rFonts w:ascii="Arial" w:hAnsi="Arial" w:cs="Arial"/>
          <w:sz w:val="24"/>
          <w:szCs w:val="24"/>
        </w:rPr>
      </w:pPr>
      <w:r w:rsidRPr="00B54654">
        <w:rPr>
          <w:rFonts w:ascii="Arial" w:hAnsi="Arial" w:cs="Arial"/>
          <w:sz w:val="24"/>
          <w:szCs w:val="24"/>
        </w:rPr>
        <w:t>Instructed by Engling Stritter</w:t>
      </w:r>
      <w:r w:rsidR="00757B2F" w:rsidRPr="00B54654">
        <w:rPr>
          <w:rFonts w:ascii="Arial" w:hAnsi="Arial" w:cs="Arial"/>
          <w:sz w:val="24"/>
          <w:szCs w:val="24"/>
        </w:rPr>
        <w:t xml:space="preserve"> &amp; Partners</w:t>
      </w:r>
      <w:r w:rsidRPr="00B54654">
        <w:rPr>
          <w:rFonts w:ascii="Arial" w:hAnsi="Arial" w:cs="Arial"/>
          <w:sz w:val="24"/>
          <w:szCs w:val="24"/>
        </w:rPr>
        <w:t xml:space="preserve">, Windhoek </w:t>
      </w:r>
    </w:p>
    <w:p w:rsidR="001B7E1F" w:rsidRPr="00B54654" w:rsidRDefault="001B7E1F" w:rsidP="001744C9">
      <w:pPr>
        <w:autoSpaceDE w:val="0"/>
        <w:autoSpaceDN w:val="0"/>
        <w:adjustRightInd w:val="0"/>
        <w:spacing w:after="0" w:line="360" w:lineRule="auto"/>
        <w:ind w:left="3780" w:hanging="3780"/>
        <w:jc w:val="both"/>
        <w:rPr>
          <w:rFonts w:ascii="Arial" w:hAnsi="Arial" w:cs="Arial"/>
          <w:sz w:val="24"/>
          <w:szCs w:val="24"/>
        </w:rPr>
      </w:pPr>
    </w:p>
    <w:p w:rsidR="000F39AE" w:rsidRPr="00B54654" w:rsidRDefault="000F39AE" w:rsidP="001744C9">
      <w:pPr>
        <w:autoSpaceDE w:val="0"/>
        <w:autoSpaceDN w:val="0"/>
        <w:adjustRightInd w:val="0"/>
        <w:spacing w:after="0" w:line="360" w:lineRule="auto"/>
        <w:ind w:left="3780" w:hanging="3780"/>
        <w:jc w:val="both"/>
        <w:rPr>
          <w:rFonts w:ascii="Arial" w:hAnsi="Arial" w:cs="Arial"/>
          <w:sz w:val="24"/>
          <w:szCs w:val="24"/>
        </w:rPr>
      </w:pPr>
    </w:p>
    <w:p w:rsidR="00F44C12" w:rsidRPr="00B54654" w:rsidRDefault="00F44C12" w:rsidP="001744C9">
      <w:pPr>
        <w:autoSpaceDE w:val="0"/>
        <w:autoSpaceDN w:val="0"/>
        <w:adjustRightInd w:val="0"/>
        <w:spacing w:after="0" w:line="360" w:lineRule="auto"/>
        <w:ind w:left="3780" w:hanging="3780"/>
        <w:jc w:val="both"/>
        <w:rPr>
          <w:rFonts w:ascii="Arial" w:hAnsi="Arial" w:cs="Arial"/>
          <w:sz w:val="24"/>
          <w:szCs w:val="24"/>
        </w:rPr>
      </w:pPr>
    </w:p>
    <w:p w:rsidR="00F44C12" w:rsidRPr="00B54654" w:rsidRDefault="00DD26D4" w:rsidP="001744C9">
      <w:pPr>
        <w:tabs>
          <w:tab w:val="left" w:pos="1394"/>
          <w:tab w:val="left" w:pos="2250"/>
          <w:tab w:val="left" w:pos="2520"/>
          <w:tab w:val="left" w:pos="3240"/>
        </w:tabs>
        <w:spacing w:after="0" w:line="360" w:lineRule="auto"/>
        <w:jc w:val="both"/>
        <w:rPr>
          <w:rFonts w:ascii="Arial" w:hAnsi="Arial" w:cs="Arial"/>
          <w:sz w:val="24"/>
          <w:szCs w:val="24"/>
        </w:rPr>
      </w:pPr>
      <w:r w:rsidRPr="00B54654">
        <w:rPr>
          <w:rFonts w:ascii="Arial" w:hAnsi="Arial" w:cs="Arial"/>
          <w:sz w:val="24"/>
          <w:szCs w:val="24"/>
        </w:rPr>
        <w:t>RESPONDENT</w:t>
      </w:r>
      <w:r w:rsidR="002406DD" w:rsidRPr="00B54654">
        <w:rPr>
          <w:rFonts w:ascii="Arial" w:hAnsi="Arial" w:cs="Arial"/>
          <w:sz w:val="24"/>
          <w:szCs w:val="24"/>
        </w:rPr>
        <w:t>S</w:t>
      </w:r>
      <w:r w:rsidR="00F44C12" w:rsidRPr="00B54654">
        <w:rPr>
          <w:rFonts w:ascii="Arial" w:hAnsi="Arial" w:cs="Arial"/>
          <w:sz w:val="24"/>
          <w:szCs w:val="24"/>
        </w:rPr>
        <w:t>:</w:t>
      </w:r>
      <w:r w:rsidRPr="00B54654">
        <w:rPr>
          <w:rFonts w:ascii="Arial" w:hAnsi="Arial" w:cs="Arial"/>
          <w:sz w:val="24"/>
          <w:szCs w:val="24"/>
        </w:rPr>
        <w:tab/>
      </w:r>
      <w:r w:rsidR="000F39AE" w:rsidRPr="00B54654">
        <w:rPr>
          <w:rFonts w:ascii="Arial" w:hAnsi="Arial" w:cs="Arial"/>
          <w:sz w:val="24"/>
          <w:szCs w:val="24"/>
        </w:rPr>
        <w:tab/>
      </w:r>
      <w:r w:rsidR="000F39AE" w:rsidRPr="00B54654">
        <w:rPr>
          <w:rFonts w:ascii="Arial" w:hAnsi="Arial" w:cs="Arial"/>
          <w:sz w:val="24"/>
          <w:szCs w:val="24"/>
        </w:rPr>
        <w:tab/>
      </w:r>
      <w:r w:rsidR="00DD7F18" w:rsidRPr="00B54654">
        <w:rPr>
          <w:rFonts w:ascii="Arial" w:hAnsi="Arial" w:cs="Arial"/>
          <w:sz w:val="24"/>
          <w:szCs w:val="24"/>
        </w:rPr>
        <w:t xml:space="preserve">E </w:t>
      </w:r>
      <w:r w:rsidR="009750A8">
        <w:rPr>
          <w:rFonts w:ascii="Arial" w:hAnsi="Arial" w:cs="Arial"/>
          <w:sz w:val="24"/>
          <w:szCs w:val="24"/>
        </w:rPr>
        <w:t>SHIKONGO</w:t>
      </w:r>
      <w:r w:rsidR="00DD7F18" w:rsidRPr="00B54654">
        <w:rPr>
          <w:rFonts w:ascii="Arial" w:hAnsi="Arial" w:cs="Arial"/>
          <w:sz w:val="24"/>
          <w:szCs w:val="24"/>
        </w:rPr>
        <w:t xml:space="preserve"> (with him S </w:t>
      </w:r>
      <w:r w:rsidR="009750A8">
        <w:rPr>
          <w:rFonts w:ascii="Arial" w:hAnsi="Arial" w:cs="Arial"/>
          <w:sz w:val="24"/>
          <w:szCs w:val="24"/>
        </w:rPr>
        <w:t>MILLER</w:t>
      </w:r>
      <w:r w:rsidR="00DD7F18" w:rsidRPr="00B54654">
        <w:rPr>
          <w:rFonts w:ascii="Arial" w:hAnsi="Arial" w:cs="Arial"/>
          <w:sz w:val="24"/>
          <w:szCs w:val="24"/>
        </w:rPr>
        <w:t>)</w:t>
      </w:r>
    </w:p>
    <w:p w:rsidR="00F44C12" w:rsidRPr="00B54654" w:rsidRDefault="009750A8" w:rsidP="001744C9">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 xml:space="preserve">Of </w:t>
      </w:r>
      <w:r w:rsidR="00DD7F18" w:rsidRPr="00B54654">
        <w:rPr>
          <w:rFonts w:ascii="Arial" w:hAnsi="Arial" w:cs="Arial"/>
          <w:sz w:val="24"/>
          <w:szCs w:val="24"/>
        </w:rPr>
        <w:t xml:space="preserve">Shikongo Law Chambers, Windhoek </w:t>
      </w:r>
    </w:p>
    <w:p w:rsidR="0004272A" w:rsidRPr="00B54654" w:rsidRDefault="0004272A" w:rsidP="001744C9">
      <w:pPr>
        <w:tabs>
          <w:tab w:val="left" w:pos="1394"/>
          <w:tab w:val="left" w:pos="2528"/>
          <w:tab w:val="left" w:pos="3060"/>
        </w:tabs>
        <w:spacing w:after="0" w:line="360" w:lineRule="auto"/>
        <w:jc w:val="both"/>
        <w:rPr>
          <w:rFonts w:ascii="Arial" w:hAnsi="Arial" w:cs="Arial"/>
          <w:sz w:val="24"/>
          <w:szCs w:val="24"/>
        </w:rPr>
      </w:pPr>
    </w:p>
    <w:p w:rsidR="005F5DFF" w:rsidRPr="00B54654" w:rsidRDefault="005F5DFF" w:rsidP="001744C9">
      <w:pPr>
        <w:tabs>
          <w:tab w:val="left" w:pos="1394"/>
          <w:tab w:val="left" w:pos="2528"/>
          <w:tab w:val="left" w:pos="3060"/>
        </w:tabs>
        <w:spacing w:after="0" w:line="360" w:lineRule="auto"/>
        <w:jc w:val="both"/>
        <w:rPr>
          <w:rFonts w:ascii="Arial" w:hAnsi="Arial" w:cs="Arial"/>
          <w:sz w:val="24"/>
          <w:szCs w:val="24"/>
        </w:rPr>
      </w:pPr>
    </w:p>
    <w:p w:rsidR="005D5F68" w:rsidRPr="00B54654" w:rsidRDefault="005D5F68" w:rsidP="001744C9">
      <w:pPr>
        <w:pStyle w:val="BodyTextIndent"/>
        <w:tabs>
          <w:tab w:val="left" w:pos="1394"/>
          <w:tab w:val="left" w:pos="2528"/>
          <w:tab w:val="left" w:pos="3780"/>
        </w:tabs>
        <w:spacing w:line="360" w:lineRule="auto"/>
        <w:ind w:left="0"/>
        <w:jc w:val="both"/>
        <w:rPr>
          <w:rFonts w:ascii="Arial" w:hAnsi="Arial" w:cs="Arial"/>
        </w:rPr>
      </w:pPr>
    </w:p>
    <w:sectPr w:rsidR="005D5F68" w:rsidRPr="00B54654" w:rsidSect="000E5B17">
      <w:headerReference w:type="default" r:id="rId14"/>
      <w:pgSz w:w="11907" w:h="16839" w:code="9"/>
      <w:pgMar w:top="851"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2D" w:rsidRDefault="00552C2D" w:rsidP="00741B0B">
      <w:pPr>
        <w:spacing w:after="0" w:line="240" w:lineRule="auto"/>
      </w:pPr>
      <w:r>
        <w:separator/>
      </w:r>
    </w:p>
  </w:endnote>
  <w:endnote w:type="continuationSeparator" w:id="0">
    <w:p w:rsidR="00552C2D" w:rsidRDefault="00552C2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2D" w:rsidRDefault="00552C2D" w:rsidP="00741B0B">
      <w:pPr>
        <w:spacing w:after="0" w:line="240" w:lineRule="auto"/>
      </w:pPr>
      <w:r>
        <w:separator/>
      </w:r>
    </w:p>
  </w:footnote>
  <w:footnote w:type="continuationSeparator" w:id="0">
    <w:p w:rsidR="00552C2D" w:rsidRDefault="00552C2D" w:rsidP="00741B0B">
      <w:pPr>
        <w:spacing w:after="0" w:line="240" w:lineRule="auto"/>
      </w:pPr>
      <w:r>
        <w:continuationSeparator/>
      </w:r>
    </w:p>
  </w:footnote>
  <w:footnote w:id="1">
    <w:p w:rsidR="00277A41" w:rsidRPr="00A356E8" w:rsidRDefault="00DB6027" w:rsidP="00277A41">
      <w:pPr>
        <w:pStyle w:val="FootnoteText"/>
        <w:jc w:val="both"/>
        <w:rPr>
          <w:lang w:val="en-US"/>
        </w:rPr>
      </w:pPr>
      <w:r w:rsidRPr="00277A41">
        <w:rPr>
          <w:rFonts w:ascii="Arial" w:hAnsi="Arial" w:cs="Arial"/>
          <w:sz w:val="24"/>
          <w:szCs w:val="24"/>
          <w:vertAlign w:val="superscript"/>
        </w:rPr>
        <w:footnoteRef/>
      </w:r>
      <w:r>
        <w:rPr>
          <w:rFonts w:ascii="Arial" w:hAnsi="Arial" w:cs="Arial"/>
          <w:sz w:val="18"/>
          <w:szCs w:val="18"/>
        </w:rPr>
        <w:t xml:space="preserve"> </w:t>
      </w:r>
      <w:r w:rsidRPr="00277A41">
        <w:rPr>
          <w:rFonts w:ascii="Arial" w:hAnsi="Arial" w:cs="Arial"/>
          <w:sz w:val="18"/>
          <w:szCs w:val="18"/>
        </w:rPr>
        <w:t>Rule 76(6) of the High Court</w:t>
      </w:r>
    </w:p>
  </w:footnote>
  <w:footnote w:id="2">
    <w:p w:rsidR="00277A41" w:rsidRPr="00277A41" w:rsidRDefault="00277A41" w:rsidP="00277A41">
      <w:pPr>
        <w:pStyle w:val="FootnoteText"/>
        <w:jc w:val="both"/>
        <w:rPr>
          <w:rFonts w:ascii="Arial" w:hAnsi="Arial" w:cs="Arial"/>
          <w:sz w:val="18"/>
          <w:szCs w:val="18"/>
        </w:rPr>
      </w:pPr>
      <w:r w:rsidRPr="00277A41">
        <w:rPr>
          <w:rStyle w:val="FootnoteReference"/>
          <w:rFonts w:ascii="Arial" w:hAnsi="Arial" w:cs="Arial"/>
          <w:sz w:val="18"/>
          <w:szCs w:val="18"/>
        </w:rPr>
        <w:footnoteRef/>
      </w:r>
      <w:r w:rsidRPr="00277A41">
        <w:rPr>
          <w:rFonts w:ascii="Arial" w:hAnsi="Arial" w:cs="Arial"/>
          <w:sz w:val="18"/>
          <w:szCs w:val="18"/>
        </w:rPr>
        <w:t xml:space="preserve"> Rule 76(6) of the High Court: “If the applicant believes there are other documents in possession of the respondent, which are relevant to the decision or proceedings sought to be reviewed, he or she must, within 14 days from receiving copies of the record, give notice to the respondent that such further reasonably identified documents must be discovered within five days after the date that notice is delivered to the other party.”</w:t>
      </w:r>
    </w:p>
    <w:p w:rsidR="00277A41" w:rsidRPr="00A356E8" w:rsidRDefault="00277A41" w:rsidP="00277A41">
      <w:pPr>
        <w:pStyle w:val="FootnoteText"/>
        <w:jc w:val="both"/>
        <w:rPr>
          <w:lang w:val="en-US"/>
        </w:rPr>
      </w:pPr>
    </w:p>
  </w:footnote>
  <w:footnote w:id="3">
    <w:p w:rsidR="006B72D1" w:rsidRPr="00CB4B5D" w:rsidRDefault="006B72D1" w:rsidP="006B72D1">
      <w:pPr>
        <w:pStyle w:val="FootnoteText"/>
        <w:jc w:val="both"/>
        <w:rPr>
          <w:rFonts w:ascii="Arial" w:hAnsi="Arial" w:cs="Arial"/>
          <w:sz w:val="18"/>
          <w:szCs w:val="18"/>
          <w:lang w:val="en-US"/>
        </w:rPr>
      </w:pPr>
      <w:r w:rsidRPr="00CB4B5D">
        <w:rPr>
          <w:rStyle w:val="FootnoteReference"/>
          <w:rFonts w:ascii="Arial" w:hAnsi="Arial" w:cs="Arial"/>
          <w:sz w:val="18"/>
          <w:szCs w:val="18"/>
        </w:rPr>
        <w:footnoteRef/>
      </w:r>
      <w:r w:rsidRPr="00CB4B5D">
        <w:rPr>
          <w:rFonts w:ascii="Arial" w:hAnsi="Arial" w:cs="Arial"/>
          <w:sz w:val="18"/>
          <w:szCs w:val="18"/>
        </w:rPr>
        <w:t xml:space="preserve"> Rule 76(8) if a dispute arises as to whether any further documents should be discovered the parties may approach the managing judge in chambers who must give directions for the dispute to be resolved.</w:t>
      </w:r>
    </w:p>
  </w:footnote>
  <w:footnote w:id="4">
    <w:p w:rsidR="00CB4B5D" w:rsidRPr="00CB4B5D" w:rsidRDefault="00CB4B5D" w:rsidP="00CB4B5D">
      <w:pPr>
        <w:pStyle w:val="FootnoteText"/>
        <w:rPr>
          <w:rFonts w:ascii="Arial" w:hAnsi="Arial" w:cs="Arial"/>
          <w:sz w:val="18"/>
          <w:szCs w:val="18"/>
          <w:lang w:val="en-US"/>
        </w:rPr>
      </w:pPr>
      <w:r w:rsidRPr="00CB4B5D">
        <w:rPr>
          <w:rStyle w:val="FootnoteReference"/>
          <w:rFonts w:ascii="Arial" w:hAnsi="Arial" w:cs="Arial"/>
          <w:sz w:val="18"/>
          <w:szCs w:val="18"/>
        </w:rPr>
        <w:footnoteRef/>
      </w:r>
      <w:r w:rsidRPr="00CB4B5D">
        <w:rPr>
          <w:rFonts w:ascii="Arial" w:hAnsi="Arial" w:cs="Arial"/>
          <w:sz w:val="18"/>
          <w:szCs w:val="18"/>
        </w:rPr>
        <w:t xml:space="preserve"> </w:t>
      </w:r>
      <w:r w:rsidRPr="00CB4B5D">
        <w:rPr>
          <w:rFonts w:ascii="Arial" w:hAnsi="Arial" w:cs="Arial"/>
          <w:sz w:val="18"/>
          <w:szCs w:val="18"/>
          <w:lang w:val="en-US"/>
        </w:rPr>
        <w:t>2006 (1) NR 275 para 110-118.</w:t>
      </w:r>
    </w:p>
  </w:footnote>
  <w:footnote w:id="5">
    <w:p w:rsidR="00CB4B5D" w:rsidRPr="00CB4B5D" w:rsidRDefault="00CB4B5D" w:rsidP="00CB4B5D">
      <w:pPr>
        <w:pStyle w:val="FootnoteText"/>
        <w:rPr>
          <w:rFonts w:ascii="Arial" w:hAnsi="Arial" w:cs="Arial"/>
          <w:sz w:val="18"/>
          <w:szCs w:val="18"/>
          <w:lang w:val="en-US"/>
        </w:rPr>
      </w:pPr>
      <w:r w:rsidRPr="00CB4B5D">
        <w:rPr>
          <w:rStyle w:val="FootnoteReference"/>
          <w:rFonts w:ascii="Arial" w:hAnsi="Arial" w:cs="Arial"/>
          <w:sz w:val="18"/>
          <w:szCs w:val="18"/>
        </w:rPr>
        <w:footnoteRef/>
      </w:r>
      <w:r w:rsidRPr="00CB4B5D">
        <w:rPr>
          <w:rFonts w:ascii="Arial" w:hAnsi="Arial" w:cs="Arial"/>
          <w:sz w:val="18"/>
          <w:szCs w:val="18"/>
        </w:rPr>
        <w:t xml:space="preserve"> </w:t>
      </w:r>
      <w:r w:rsidRPr="00CB4B5D">
        <w:rPr>
          <w:rFonts w:ascii="Arial" w:hAnsi="Arial" w:cs="Arial"/>
          <w:sz w:val="18"/>
          <w:szCs w:val="18"/>
          <w:lang w:val="en-US"/>
        </w:rPr>
        <w:t>2003 (2) 2003 SA 460 (SCA)  at 466</w:t>
      </w:r>
    </w:p>
  </w:footnote>
  <w:footnote w:id="6">
    <w:p w:rsidR="00CB4B5D" w:rsidRPr="00CB4B5D" w:rsidRDefault="00CB4B5D" w:rsidP="00CB4B5D">
      <w:pPr>
        <w:pStyle w:val="FootnoteText"/>
        <w:rPr>
          <w:rFonts w:ascii="Arial" w:hAnsi="Arial" w:cs="Arial"/>
          <w:sz w:val="18"/>
          <w:szCs w:val="18"/>
          <w:lang w:val="en-US"/>
        </w:rPr>
      </w:pPr>
      <w:r w:rsidRPr="00CB4B5D">
        <w:rPr>
          <w:rStyle w:val="FootnoteReference"/>
          <w:rFonts w:ascii="Arial" w:hAnsi="Arial" w:cs="Arial"/>
          <w:sz w:val="18"/>
          <w:szCs w:val="18"/>
        </w:rPr>
        <w:footnoteRef/>
      </w:r>
      <w:r w:rsidRPr="00CB4B5D">
        <w:rPr>
          <w:rFonts w:ascii="Arial" w:hAnsi="Arial" w:cs="Arial"/>
          <w:sz w:val="18"/>
          <w:szCs w:val="18"/>
        </w:rPr>
        <w:t xml:space="preserve"> </w:t>
      </w:r>
      <w:r w:rsidRPr="00CB4B5D">
        <w:rPr>
          <w:rFonts w:ascii="Arial" w:hAnsi="Arial" w:cs="Arial"/>
          <w:i/>
          <w:sz w:val="18"/>
          <w:szCs w:val="18"/>
          <w:lang w:val="en-US"/>
        </w:rPr>
        <w:t>Permanent Secretary of Ministry of Finance and Others v Ward</w:t>
      </w:r>
      <w:r w:rsidRPr="00CB4B5D">
        <w:rPr>
          <w:rFonts w:ascii="Arial" w:hAnsi="Arial" w:cs="Arial"/>
          <w:sz w:val="18"/>
          <w:szCs w:val="18"/>
          <w:lang w:val="en-US"/>
        </w:rPr>
        <w:t xml:space="preserve"> 2009 (1) NR 314 at par 74</w:t>
      </w:r>
    </w:p>
  </w:footnote>
  <w:footnote w:id="7">
    <w:p w:rsidR="00CB4B5D" w:rsidRPr="00CB4B5D" w:rsidRDefault="00CB4B5D" w:rsidP="00CB4B5D">
      <w:pPr>
        <w:pStyle w:val="FootnoteText"/>
        <w:rPr>
          <w:rFonts w:ascii="Arial" w:hAnsi="Arial" w:cs="Arial"/>
          <w:sz w:val="18"/>
          <w:szCs w:val="18"/>
          <w:lang w:val="en-US"/>
        </w:rPr>
      </w:pPr>
      <w:r w:rsidRPr="00CB4B5D">
        <w:rPr>
          <w:rStyle w:val="FootnoteReference"/>
          <w:rFonts w:ascii="Arial" w:hAnsi="Arial" w:cs="Arial"/>
          <w:sz w:val="18"/>
          <w:szCs w:val="18"/>
        </w:rPr>
        <w:footnoteRef/>
      </w:r>
      <w:r w:rsidRPr="00CB4B5D">
        <w:rPr>
          <w:rFonts w:ascii="Arial" w:hAnsi="Arial" w:cs="Arial"/>
          <w:sz w:val="18"/>
          <w:szCs w:val="18"/>
        </w:rPr>
        <w:t xml:space="preserve"> 2012 (1) NR 69 (SC), paragraphs 47-49</w:t>
      </w:r>
    </w:p>
  </w:footnote>
  <w:footnote w:id="8">
    <w:p w:rsidR="00964764" w:rsidRPr="00964764" w:rsidRDefault="00964764" w:rsidP="00964764">
      <w:pPr>
        <w:pStyle w:val="FootnoteText"/>
        <w:rPr>
          <w:rFonts w:ascii="Arial" w:hAnsi="Arial" w:cs="Arial"/>
          <w:sz w:val="18"/>
          <w:szCs w:val="18"/>
          <w:lang w:val="en-US"/>
        </w:rPr>
      </w:pPr>
      <w:r w:rsidRPr="00964764">
        <w:rPr>
          <w:rStyle w:val="FootnoteReference"/>
          <w:rFonts w:ascii="Arial" w:hAnsi="Arial" w:cs="Arial"/>
          <w:sz w:val="18"/>
          <w:szCs w:val="18"/>
        </w:rPr>
        <w:footnoteRef/>
      </w:r>
      <w:r w:rsidRPr="00964764">
        <w:rPr>
          <w:rFonts w:ascii="Arial" w:hAnsi="Arial" w:cs="Arial"/>
          <w:sz w:val="18"/>
          <w:szCs w:val="18"/>
        </w:rPr>
        <w:t xml:space="preserve"> </w:t>
      </w:r>
      <w:r w:rsidRPr="00964764">
        <w:rPr>
          <w:rFonts w:ascii="Arial" w:hAnsi="Arial" w:cs="Arial"/>
          <w:sz w:val="18"/>
          <w:szCs w:val="18"/>
          <w:lang w:val="en-US"/>
        </w:rPr>
        <w:t>Case No 87/2014 judgment delivered on 17 November 2016</w:t>
      </w:r>
    </w:p>
  </w:footnote>
  <w:footnote w:id="9">
    <w:p w:rsidR="00964764" w:rsidRPr="00964764" w:rsidRDefault="00964764" w:rsidP="00964764">
      <w:pPr>
        <w:pStyle w:val="FootnoteText"/>
        <w:spacing w:line="276" w:lineRule="auto"/>
        <w:jc w:val="both"/>
        <w:rPr>
          <w:rFonts w:ascii="Arial" w:hAnsi="Arial" w:cs="Arial"/>
          <w:sz w:val="18"/>
          <w:szCs w:val="18"/>
          <w:lang w:val="en-US"/>
        </w:rPr>
      </w:pPr>
      <w:r w:rsidRPr="00964764">
        <w:rPr>
          <w:rStyle w:val="FootnoteReference"/>
          <w:rFonts w:ascii="Arial" w:hAnsi="Arial" w:cs="Arial"/>
          <w:sz w:val="18"/>
          <w:szCs w:val="18"/>
        </w:rPr>
        <w:footnoteRef/>
      </w:r>
      <w:r w:rsidRPr="00964764">
        <w:rPr>
          <w:rFonts w:ascii="Arial" w:hAnsi="Arial" w:cs="Arial"/>
          <w:sz w:val="18"/>
          <w:szCs w:val="18"/>
        </w:rPr>
        <w:t xml:space="preserve"> </w:t>
      </w:r>
      <w:r w:rsidRPr="00964764">
        <w:rPr>
          <w:rFonts w:ascii="Arial" w:hAnsi="Arial" w:cs="Arial"/>
          <w:sz w:val="18"/>
          <w:szCs w:val="18"/>
          <w:lang w:val="en-US"/>
        </w:rPr>
        <w:t>1993 (1) SA 649 (AD) at 660 and 662.</w:t>
      </w:r>
    </w:p>
  </w:footnote>
  <w:footnote w:id="10">
    <w:p w:rsidR="00964764" w:rsidRPr="00964764" w:rsidRDefault="00964764" w:rsidP="00964764">
      <w:pPr>
        <w:pStyle w:val="FootnoteText"/>
        <w:rPr>
          <w:rFonts w:ascii="Arial" w:hAnsi="Arial" w:cs="Arial"/>
          <w:sz w:val="18"/>
          <w:szCs w:val="18"/>
          <w:lang w:val="en-US"/>
        </w:rPr>
      </w:pPr>
      <w:r w:rsidRPr="00964764">
        <w:rPr>
          <w:rStyle w:val="FootnoteReference"/>
          <w:rFonts w:ascii="Arial" w:hAnsi="Arial" w:cs="Arial"/>
          <w:sz w:val="18"/>
          <w:szCs w:val="18"/>
        </w:rPr>
        <w:footnoteRef/>
      </w:r>
      <w:r w:rsidRPr="00964764">
        <w:rPr>
          <w:rFonts w:ascii="Arial" w:hAnsi="Arial" w:cs="Arial"/>
          <w:sz w:val="18"/>
          <w:szCs w:val="18"/>
        </w:rPr>
        <w:t xml:space="preserve"> 1970 (2) SA 89 (T) 91</w:t>
      </w:r>
    </w:p>
  </w:footnote>
  <w:footnote w:id="11">
    <w:p w:rsidR="00964764" w:rsidRPr="00964764" w:rsidRDefault="00964764" w:rsidP="00964764">
      <w:pPr>
        <w:pStyle w:val="FootnoteText"/>
        <w:rPr>
          <w:rFonts w:ascii="Arial" w:hAnsi="Arial" w:cs="Arial"/>
          <w:sz w:val="18"/>
          <w:szCs w:val="18"/>
          <w:lang w:val="en-US"/>
        </w:rPr>
      </w:pPr>
      <w:r w:rsidRPr="00964764">
        <w:rPr>
          <w:rStyle w:val="FootnoteReference"/>
          <w:rFonts w:ascii="Arial" w:hAnsi="Arial" w:cs="Arial"/>
          <w:sz w:val="18"/>
          <w:szCs w:val="18"/>
        </w:rPr>
        <w:footnoteRef/>
      </w:r>
      <w:r w:rsidRPr="00964764">
        <w:rPr>
          <w:rFonts w:ascii="Arial" w:hAnsi="Arial" w:cs="Arial"/>
          <w:sz w:val="18"/>
          <w:szCs w:val="18"/>
        </w:rPr>
        <w:t xml:space="preserve"> </w:t>
      </w:r>
      <w:r w:rsidRPr="00964764">
        <w:rPr>
          <w:rFonts w:ascii="Arial" w:hAnsi="Arial" w:cs="Arial"/>
          <w:sz w:val="18"/>
          <w:szCs w:val="18"/>
          <w:lang w:val="en-US"/>
        </w:rPr>
        <w:t>1998 NR 147 at 150 B-F</w:t>
      </w:r>
    </w:p>
  </w:footnote>
  <w:footnote w:id="12">
    <w:p w:rsidR="00D54AFD" w:rsidRPr="00D54AFD" w:rsidRDefault="00D54AFD" w:rsidP="00D54AFD">
      <w:pPr>
        <w:pStyle w:val="FootnoteText"/>
        <w:rPr>
          <w:rFonts w:ascii="Arial" w:hAnsi="Arial" w:cs="Arial"/>
          <w:sz w:val="18"/>
          <w:szCs w:val="18"/>
          <w:lang w:val="en-US"/>
        </w:rPr>
      </w:pPr>
      <w:r w:rsidRPr="00D54AFD">
        <w:rPr>
          <w:rStyle w:val="FootnoteReference"/>
          <w:rFonts w:ascii="Arial" w:hAnsi="Arial" w:cs="Arial"/>
          <w:sz w:val="18"/>
          <w:szCs w:val="18"/>
        </w:rPr>
        <w:footnoteRef/>
      </w:r>
      <w:r w:rsidRPr="00D54AFD">
        <w:rPr>
          <w:rFonts w:ascii="Arial" w:hAnsi="Arial" w:cs="Arial"/>
          <w:sz w:val="18"/>
          <w:szCs w:val="18"/>
        </w:rPr>
        <w:t xml:space="preserve"> </w:t>
      </w:r>
      <w:r w:rsidRPr="00D54AFD">
        <w:rPr>
          <w:rFonts w:ascii="Arial" w:hAnsi="Arial" w:cs="Arial"/>
          <w:sz w:val="18"/>
          <w:szCs w:val="18"/>
          <w:lang w:val="en-US"/>
        </w:rPr>
        <w:t>2015 (1) NR 260 at pars 42, 43 and 46.</w:t>
      </w:r>
    </w:p>
  </w:footnote>
  <w:footnote w:id="13">
    <w:p w:rsidR="00D54AFD" w:rsidRPr="00D54AFD" w:rsidRDefault="00D54AFD" w:rsidP="00D54AFD">
      <w:pPr>
        <w:pStyle w:val="FootnoteText"/>
        <w:rPr>
          <w:rFonts w:ascii="Arial" w:hAnsi="Arial" w:cs="Arial"/>
          <w:sz w:val="18"/>
          <w:szCs w:val="18"/>
          <w:lang w:val="en-US"/>
        </w:rPr>
      </w:pPr>
      <w:r w:rsidRPr="00D54AFD">
        <w:rPr>
          <w:rStyle w:val="FootnoteReference"/>
          <w:rFonts w:ascii="Arial" w:hAnsi="Arial" w:cs="Arial"/>
          <w:sz w:val="18"/>
          <w:szCs w:val="18"/>
        </w:rPr>
        <w:footnoteRef/>
      </w:r>
      <w:r w:rsidRPr="00D54AFD">
        <w:rPr>
          <w:rFonts w:ascii="Arial" w:hAnsi="Arial" w:cs="Arial"/>
          <w:sz w:val="18"/>
          <w:szCs w:val="18"/>
        </w:rPr>
        <w:t xml:space="preserve"> </w:t>
      </w:r>
      <w:r w:rsidRPr="00D54AFD">
        <w:rPr>
          <w:rFonts w:ascii="Arial" w:hAnsi="Arial" w:cs="Arial"/>
          <w:sz w:val="18"/>
          <w:szCs w:val="18"/>
          <w:lang w:val="en-US"/>
        </w:rPr>
        <w:t>[2013] 4 All SA 610 (GNP) (16 August 2013) at par 29</w:t>
      </w:r>
    </w:p>
  </w:footnote>
  <w:footnote w:id="14">
    <w:p w:rsidR="00D54AFD" w:rsidRPr="00D54AFD" w:rsidRDefault="00D54AFD" w:rsidP="00D54AFD">
      <w:pPr>
        <w:pStyle w:val="FootnoteText"/>
        <w:rPr>
          <w:rFonts w:ascii="Arial" w:hAnsi="Arial" w:cs="Arial"/>
          <w:sz w:val="18"/>
          <w:szCs w:val="18"/>
          <w:lang w:val="en-US"/>
        </w:rPr>
      </w:pPr>
      <w:r w:rsidRPr="00D54AFD">
        <w:rPr>
          <w:rStyle w:val="FootnoteReference"/>
          <w:rFonts w:ascii="Arial" w:hAnsi="Arial" w:cs="Arial"/>
          <w:sz w:val="18"/>
          <w:szCs w:val="18"/>
        </w:rPr>
        <w:footnoteRef/>
      </w:r>
      <w:r w:rsidRPr="00D54AFD">
        <w:rPr>
          <w:rFonts w:ascii="Arial" w:hAnsi="Arial" w:cs="Arial"/>
          <w:sz w:val="18"/>
          <w:szCs w:val="18"/>
        </w:rPr>
        <w:t xml:space="preserve"> </w:t>
      </w:r>
      <w:r w:rsidRPr="00D54AFD">
        <w:rPr>
          <w:rFonts w:ascii="Arial" w:hAnsi="Arial" w:cs="Arial"/>
          <w:i/>
          <w:sz w:val="18"/>
          <w:szCs w:val="18"/>
          <w:lang w:val="en-US"/>
        </w:rPr>
        <w:t>Democratic Alliance and Others v Acting National Director of Public Prosecution and Others</w:t>
      </w:r>
      <w:r w:rsidRPr="00D54AFD">
        <w:rPr>
          <w:rFonts w:ascii="Arial" w:hAnsi="Arial" w:cs="Arial"/>
          <w:sz w:val="18"/>
          <w:szCs w:val="18"/>
          <w:lang w:val="en-US"/>
        </w:rPr>
        <w:t xml:space="preserve"> 2012 (3) SA 486 (SCA) at 501 at par 37</w:t>
      </w:r>
    </w:p>
  </w:footnote>
  <w:footnote w:id="15">
    <w:p w:rsidR="00D54AFD" w:rsidRPr="00D54AFD" w:rsidRDefault="00D54AFD" w:rsidP="00D54AFD">
      <w:pPr>
        <w:pStyle w:val="FootnoteText"/>
        <w:rPr>
          <w:rFonts w:ascii="Arial" w:hAnsi="Arial" w:cs="Arial"/>
          <w:sz w:val="18"/>
          <w:szCs w:val="18"/>
          <w:lang w:val="en-US"/>
        </w:rPr>
      </w:pPr>
      <w:r w:rsidRPr="00D54AFD">
        <w:rPr>
          <w:rStyle w:val="FootnoteReference"/>
          <w:rFonts w:ascii="Arial" w:hAnsi="Arial" w:cs="Arial"/>
          <w:sz w:val="18"/>
          <w:szCs w:val="18"/>
        </w:rPr>
        <w:footnoteRef/>
      </w:r>
      <w:r w:rsidRPr="00D54AFD">
        <w:rPr>
          <w:rFonts w:ascii="Arial" w:hAnsi="Arial" w:cs="Arial"/>
          <w:sz w:val="18"/>
          <w:szCs w:val="18"/>
        </w:rPr>
        <w:t xml:space="preserve"> </w:t>
      </w:r>
      <w:r w:rsidRPr="00D54AFD">
        <w:rPr>
          <w:rFonts w:ascii="Arial" w:hAnsi="Arial" w:cs="Arial"/>
          <w:i/>
          <w:sz w:val="18"/>
          <w:szCs w:val="18"/>
          <w:lang w:val="en-US"/>
        </w:rPr>
        <w:t>Aonin Fishing</w:t>
      </w:r>
      <w:r w:rsidRPr="00D54AFD">
        <w:rPr>
          <w:rFonts w:ascii="Arial" w:hAnsi="Arial" w:cs="Arial"/>
          <w:sz w:val="18"/>
          <w:szCs w:val="18"/>
          <w:lang w:val="en-US"/>
        </w:rPr>
        <w:t xml:space="preserve"> case ( supra)</w:t>
      </w:r>
    </w:p>
  </w:footnote>
  <w:footnote w:id="16">
    <w:p w:rsidR="00D54AFD" w:rsidRPr="00D54AFD" w:rsidRDefault="00D54AFD" w:rsidP="00D54AFD">
      <w:pPr>
        <w:widowControl w:val="0"/>
        <w:autoSpaceDE w:val="0"/>
        <w:autoSpaceDN w:val="0"/>
        <w:adjustRightInd w:val="0"/>
        <w:spacing w:after="0" w:line="240" w:lineRule="auto"/>
        <w:jc w:val="both"/>
        <w:rPr>
          <w:sz w:val="18"/>
          <w:szCs w:val="18"/>
        </w:rPr>
      </w:pPr>
      <w:r w:rsidRPr="00D54AFD">
        <w:rPr>
          <w:rStyle w:val="FootnoteReference"/>
          <w:rFonts w:ascii="Arial" w:hAnsi="Arial" w:cs="Arial"/>
          <w:sz w:val="18"/>
          <w:szCs w:val="18"/>
        </w:rPr>
        <w:footnoteRef/>
      </w:r>
      <w:r w:rsidRPr="00D54AFD">
        <w:rPr>
          <w:rFonts w:ascii="Arial" w:hAnsi="Arial" w:cs="Arial"/>
          <w:sz w:val="18"/>
          <w:szCs w:val="18"/>
        </w:rPr>
        <w:t xml:space="preserve"> Rule 32(11) of the High Court: ‘Despite anything to the contrary in these rules, whether or not instructing and instructed legal practitioners are engaged in a cause or matter, the costs that may be awarded to a successful party in any interlocutory proceeding may not exceed N$20 000’.</w:t>
      </w:r>
    </w:p>
  </w:footnote>
  <w:footnote w:id="17">
    <w:p w:rsidR="00D54AFD" w:rsidRPr="00D54AFD" w:rsidRDefault="00D54AFD" w:rsidP="00D54AFD">
      <w:pPr>
        <w:pStyle w:val="FootnoteText"/>
        <w:jc w:val="both"/>
        <w:rPr>
          <w:rFonts w:ascii="Arial" w:hAnsi="Arial" w:cs="Arial"/>
          <w:sz w:val="18"/>
          <w:szCs w:val="18"/>
          <w:lang w:val="en-US"/>
        </w:rPr>
      </w:pPr>
      <w:r w:rsidRPr="00D54AFD">
        <w:rPr>
          <w:rStyle w:val="FootnoteReference"/>
          <w:rFonts w:ascii="Arial" w:hAnsi="Arial" w:cs="Arial"/>
          <w:sz w:val="18"/>
          <w:szCs w:val="18"/>
        </w:rPr>
        <w:footnoteRef/>
      </w:r>
      <w:r w:rsidRPr="00D54AFD">
        <w:rPr>
          <w:rFonts w:ascii="Arial" w:hAnsi="Arial" w:cs="Arial"/>
          <w:sz w:val="18"/>
          <w:szCs w:val="18"/>
        </w:rPr>
        <w:t xml:space="preserve"> </w:t>
      </w:r>
      <w:r w:rsidRPr="00D54AFD">
        <w:rPr>
          <w:rFonts w:ascii="Arial" w:hAnsi="Arial" w:cs="Arial"/>
          <w:i/>
          <w:color w:val="000000"/>
          <w:sz w:val="18"/>
          <w:szCs w:val="18"/>
        </w:rPr>
        <w:t>South African Poultry Association v The Ministry of Trade and Industry</w:t>
      </w:r>
      <w:r w:rsidRPr="00D54AFD">
        <w:rPr>
          <w:rFonts w:ascii="Arial" w:hAnsi="Arial" w:cs="Arial"/>
          <w:color w:val="000000"/>
          <w:sz w:val="18"/>
          <w:szCs w:val="18"/>
        </w:rPr>
        <w:t xml:space="preserve"> (A 94/2014) [2014] NAHCMD 331 (7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A8" w:rsidRDefault="009750A8">
    <w:pPr>
      <w:pStyle w:val="Header"/>
      <w:jc w:val="right"/>
    </w:pPr>
    <w:r>
      <w:fldChar w:fldCharType="begin"/>
    </w:r>
    <w:r>
      <w:instrText xml:space="preserve"> PAGE   \* MERGEFORMAT </w:instrText>
    </w:r>
    <w:r>
      <w:fldChar w:fldCharType="separate"/>
    </w:r>
    <w:r w:rsidR="009B341E">
      <w:rPr>
        <w:noProof/>
      </w:rPr>
      <w:t>2</w:t>
    </w:r>
    <w:r>
      <w:fldChar w:fldCharType="end"/>
    </w:r>
  </w:p>
  <w:p w:rsidR="009750A8" w:rsidRDefault="00975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A" w:rsidRDefault="008F7D8A">
    <w:pPr>
      <w:pStyle w:val="Header"/>
      <w:jc w:val="right"/>
    </w:pPr>
    <w:r>
      <w:fldChar w:fldCharType="begin"/>
    </w:r>
    <w:r>
      <w:instrText xml:space="preserve"> PAGE   \* MERGEFORMAT </w:instrText>
    </w:r>
    <w:r>
      <w:fldChar w:fldCharType="separate"/>
    </w:r>
    <w:r w:rsidR="009750A8">
      <w:rPr>
        <w:noProof/>
      </w:rPr>
      <w:t>20</w:t>
    </w:r>
    <w:r>
      <w:fldChar w:fldCharType="end"/>
    </w:r>
  </w:p>
  <w:p w:rsidR="008F7D8A" w:rsidRDefault="008F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D81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 w15:restartNumberingAfterBreak="0">
    <w:nsid w:val="04113F1A"/>
    <w:multiLevelType w:val="hybridMultilevel"/>
    <w:tmpl w:val="152ED0AC"/>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15:restartNumberingAfterBreak="0">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3F6495"/>
    <w:multiLevelType w:val="hybridMultilevel"/>
    <w:tmpl w:val="0DC0CF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722B24"/>
    <w:multiLevelType w:val="hybridMultilevel"/>
    <w:tmpl w:val="828231E4"/>
    <w:lvl w:ilvl="0" w:tplc="AF049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C16FFA"/>
    <w:multiLevelType w:val="hybridMultilevel"/>
    <w:tmpl w:val="38B8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96566"/>
    <w:multiLevelType w:val="hybridMultilevel"/>
    <w:tmpl w:val="CBE83D44"/>
    <w:lvl w:ilvl="0" w:tplc="35FEAE7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9"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62CEE"/>
    <w:multiLevelType w:val="hybridMultilevel"/>
    <w:tmpl w:val="96A47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EC4907"/>
    <w:multiLevelType w:val="hybridMultilevel"/>
    <w:tmpl w:val="20129DBC"/>
    <w:lvl w:ilvl="0" w:tplc="9BC08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BA1273B"/>
    <w:multiLevelType w:val="hybridMultilevel"/>
    <w:tmpl w:val="C1CC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518EB"/>
    <w:multiLevelType w:val="hybridMultilevel"/>
    <w:tmpl w:val="3ABCC3A4"/>
    <w:lvl w:ilvl="0" w:tplc="D616B5C8">
      <w:start w:val="1"/>
      <w:numFmt w:val="lowerLetter"/>
      <w:lvlText w:val="(%1)"/>
      <w:lvlJc w:val="left"/>
      <w:pPr>
        <w:ind w:left="1181" w:hanging="72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1"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3" w15:restartNumberingAfterBreak="0">
    <w:nsid w:val="577A3916"/>
    <w:multiLevelType w:val="hybridMultilevel"/>
    <w:tmpl w:val="A67C5288"/>
    <w:lvl w:ilvl="0" w:tplc="F3C0A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1246EF"/>
    <w:multiLevelType w:val="hybridMultilevel"/>
    <w:tmpl w:val="152E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4"/>
  </w:num>
  <w:num w:numId="2">
    <w:abstractNumId w:val="31"/>
  </w:num>
  <w:num w:numId="3">
    <w:abstractNumId w:val="35"/>
  </w:num>
  <w:num w:numId="4">
    <w:abstractNumId w:val="41"/>
  </w:num>
  <w:num w:numId="5">
    <w:abstractNumId w:val="16"/>
  </w:num>
  <w:num w:numId="6">
    <w:abstractNumId w:val="28"/>
  </w:num>
  <w:num w:numId="7">
    <w:abstractNumId w:val="14"/>
  </w:num>
  <w:num w:numId="8">
    <w:abstractNumId w:val="15"/>
  </w:num>
  <w:num w:numId="9">
    <w:abstractNumId w:val="8"/>
  </w:num>
  <w:num w:numId="10">
    <w:abstractNumId w:val="11"/>
  </w:num>
  <w:num w:numId="11">
    <w:abstractNumId w:val="21"/>
  </w:num>
  <w:num w:numId="12">
    <w:abstractNumId w:val="7"/>
  </w:num>
  <w:num w:numId="13">
    <w:abstractNumId w:val="38"/>
  </w:num>
  <w:num w:numId="14">
    <w:abstractNumId w:val="19"/>
  </w:num>
  <w:num w:numId="15">
    <w:abstractNumId w:val="23"/>
  </w:num>
  <w:num w:numId="16">
    <w:abstractNumId w:val="26"/>
  </w:num>
  <w:num w:numId="17">
    <w:abstractNumId w:val="5"/>
  </w:num>
  <w:num w:numId="18">
    <w:abstractNumId w:val="4"/>
  </w:num>
  <w:num w:numId="19">
    <w:abstractNumId w:val="6"/>
  </w:num>
  <w:num w:numId="20">
    <w:abstractNumId w:val="32"/>
  </w:num>
  <w:num w:numId="21">
    <w:abstractNumId w:val="25"/>
  </w:num>
  <w:num w:numId="22">
    <w:abstractNumId w:val="36"/>
  </w:num>
  <w:num w:numId="23">
    <w:abstractNumId w:val="42"/>
  </w:num>
  <w:num w:numId="24">
    <w:abstractNumId w:val="37"/>
  </w:num>
  <w:num w:numId="25">
    <w:abstractNumId w:val="40"/>
  </w:num>
  <w:num w:numId="26">
    <w:abstractNumId w:val="2"/>
  </w:num>
  <w:num w:numId="27">
    <w:abstractNumId w:val="18"/>
  </w:num>
  <w:num w:numId="28">
    <w:abstractNumId w:val="24"/>
  </w:num>
  <w:num w:numId="29">
    <w:abstractNumId w:val="9"/>
  </w:num>
  <w:num w:numId="30">
    <w:abstractNumId w:val="22"/>
  </w:num>
  <w:num w:numId="31">
    <w:abstractNumId w:val="12"/>
  </w:num>
  <w:num w:numId="32">
    <w:abstractNumId w:val="20"/>
  </w:num>
  <w:num w:numId="33">
    <w:abstractNumId w:val="29"/>
  </w:num>
  <w:num w:numId="34">
    <w:abstractNumId w:val="27"/>
  </w:num>
  <w:num w:numId="35">
    <w:abstractNumId w:val="33"/>
  </w:num>
  <w:num w:numId="36">
    <w:abstractNumId w:val="0"/>
  </w:num>
  <w:num w:numId="37">
    <w:abstractNumId w:val="3"/>
  </w:num>
  <w:num w:numId="38">
    <w:abstractNumId w:val="1"/>
  </w:num>
  <w:num w:numId="39">
    <w:abstractNumId w:val="30"/>
  </w:num>
  <w:num w:numId="40">
    <w:abstractNumId w:val="39"/>
  </w:num>
  <w:num w:numId="41">
    <w:abstractNumId w:val="1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4CEA"/>
    <w:rsid w:val="00004D0A"/>
    <w:rsid w:val="00004F9F"/>
    <w:rsid w:val="00005194"/>
    <w:rsid w:val="00006402"/>
    <w:rsid w:val="000069F0"/>
    <w:rsid w:val="00007CED"/>
    <w:rsid w:val="00010D9A"/>
    <w:rsid w:val="0001287C"/>
    <w:rsid w:val="000128F9"/>
    <w:rsid w:val="00013B48"/>
    <w:rsid w:val="00014040"/>
    <w:rsid w:val="0001414A"/>
    <w:rsid w:val="00014B82"/>
    <w:rsid w:val="00015398"/>
    <w:rsid w:val="000169C7"/>
    <w:rsid w:val="000177D3"/>
    <w:rsid w:val="000178C1"/>
    <w:rsid w:val="00020C7E"/>
    <w:rsid w:val="00021D75"/>
    <w:rsid w:val="000225AD"/>
    <w:rsid w:val="00022608"/>
    <w:rsid w:val="00023394"/>
    <w:rsid w:val="0002396A"/>
    <w:rsid w:val="00025622"/>
    <w:rsid w:val="00027B6A"/>
    <w:rsid w:val="00031DD4"/>
    <w:rsid w:val="000328B4"/>
    <w:rsid w:val="0003539C"/>
    <w:rsid w:val="00035475"/>
    <w:rsid w:val="00036D47"/>
    <w:rsid w:val="00037AA9"/>
    <w:rsid w:val="00040F38"/>
    <w:rsid w:val="0004183D"/>
    <w:rsid w:val="0004272A"/>
    <w:rsid w:val="00042968"/>
    <w:rsid w:val="00042AEB"/>
    <w:rsid w:val="000442CC"/>
    <w:rsid w:val="00044BEF"/>
    <w:rsid w:val="00045AD4"/>
    <w:rsid w:val="00046E1D"/>
    <w:rsid w:val="00050E90"/>
    <w:rsid w:val="0005187E"/>
    <w:rsid w:val="00052FC5"/>
    <w:rsid w:val="000546D4"/>
    <w:rsid w:val="00054796"/>
    <w:rsid w:val="00054A8F"/>
    <w:rsid w:val="00054D24"/>
    <w:rsid w:val="00054F19"/>
    <w:rsid w:val="00055359"/>
    <w:rsid w:val="000555FA"/>
    <w:rsid w:val="00057ADB"/>
    <w:rsid w:val="0006007A"/>
    <w:rsid w:val="0006041A"/>
    <w:rsid w:val="00060DB4"/>
    <w:rsid w:val="00061984"/>
    <w:rsid w:val="00063ECC"/>
    <w:rsid w:val="00066485"/>
    <w:rsid w:val="0006728A"/>
    <w:rsid w:val="00067BFB"/>
    <w:rsid w:val="00067C7D"/>
    <w:rsid w:val="0007022A"/>
    <w:rsid w:val="00071B8E"/>
    <w:rsid w:val="000734F1"/>
    <w:rsid w:val="000739A2"/>
    <w:rsid w:val="00073F88"/>
    <w:rsid w:val="00074EA9"/>
    <w:rsid w:val="00075470"/>
    <w:rsid w:val="00076190"/>
    <w:rsid w:val="000776BE"/>
    <w:rsid w:val="00080236"/>
    <w:rsid w:val="0008184B"/>
    <w:rsid w:val="00082D70"/>
    <w:rsid w:val="000843D2"/>
    <w:rsid w:val="0008515F"/>
    <w:rsid w:val="00085269"/>
    <w:rsid w:val="00085469"/>
    <w:rsid w:val="00085CE6"/>
    <w:rsid w:val="00086A0E"/>
    <w:rsid w:val="000900C0"/>
    <w:rsid w:val="000916DA"/>
    <w:rsid w:val="00094C13"/>
    <w:rsid w:val="000955B9"/>
    <w:rsid w:val="00095AD1"/>
    <w:rsid w:val="00096473"/>
    <w:rsid w:val="00097C38"/>
    <w:rsid w:val="00097F43"/>
    <w:rsid w:val="000A1C38"/>
    <w:rsid w:val="000A2B26"/>
    <w:rsid w:val="000A2FFC"/>
    <w:rsid w:val="000A4083"/>
    <w:rsid w:val="000A4DA4"/>
    <w:rsid w:val="000A5C4C"/>
    <w:rsid w:val="000A6555"/>
    <w:rsid w:val="000A73F6"/>
    <w:rsid w:val="000B1459"/>
    <w:rsid w:val="000B1E2F"/>
    <w:rsid w:val="000B235F"/>
    <w:rsid w:val="000B33D1"/>
    <w:rsid w:val="000B4073"/>
    <w:rsid w:val="000B6955"/>
    <w:rsid w:val="000C108C"/>
    <w:rsid w:val="000C1F03"/>
    <w:rsid w:val="000C22F0"/>
    <w:rsid w:val="000C3797"/>
    <w:rsid w:val="000C48FB"/>
    <w:rsid w:val="000C4EDE"/>
    <w:rsid w:val="000C5D6F"/>
    <w:rsid w:val="000C5F47"/>
    <w:rsid w:val="000D03E4"/>
    <w:rsid w:val="000D05B0"/>
    <w:rsid w:val="000D076E"/>
    <w:rsid w:val="000D0C72"/>
    <w:rsid w:val="000D1E68"/>
    <w:rsid w:val="000D285E"/>
    <w:rsid w:val="000D2DEE"/>
    <w:rsid w:val="000D5076"/>
    <w:rsid w:val="000D5A7E"/>
    <w:rsid w:val="000D62AE"/>
    <w:rsid w:val="000D7A06"/>
    <w:rsid w:val="000E0E86"/>
    <w:rsid w:val="000E1A4E"/>
    <w:rsid w:val="000E2C2F"/>
    <w:rsid w:val="000E3421"/>
    <w:rsid w:val="000E34B2"/>
    <w:rsid w:val="000E5B17"/>
    <w:rsid w:val="000E6399"/>
    <w:rsid w:val="000F0CF9"/>
    <w:rsid w:val="000F197D"/>
    <w:rsid w:val="000F3319"/>
    <w:rsid w:val="000F39AE"/>
    <w:rsid w:val="000F3AE1"/>
    <w:rsid w:val="000F3DA9"/>
    <w:rsid w:val="000F3EB6"/>
    <w:rsid w:val="000F4DDF"/>
    <w:rsid w:val="000F76C7"/>
    <w:rsid w:val="0010060C"/>
    <w:rsid w:val="00101EBC"/>
    <w:rsid w:val="00102AB3"/>
    <w:rsid w:val="00103837"/>
    <w:rsid w:val="00103F00"/>
    <w:rsid w:val="00106833"/>
    <w:rsid w:val="0010688A"/>
    <w:rsid w:val="00107D0B"/>
    <w:rsid w:val="00110731"/>
    <w:rsid w:val="00111478"/>
    <w:rsid w:val="00113856"/>
    <w:rsid w:val="0011406B"/>
    <w:rsid w:val="001143D5"/>
    <w:rsid w:val="00115A20"/>
    <w:rsid w:val="001216EC"/>
    <w:rsid w:val="00121E33"/>
    <w:rsid w:val="0012225B"/>
    <w:rsid w:val="001225B9"/>
    <w:rsid w:val="001240AB"/>
    <w:rsid w:val="001250C9"/>
    <w:rsid w:val="001261DA"/>
    <w:rsid w:val="0012623D"/>
    <w:rsid w:val="00126652"/>
    <w:rsid w:val="00127527"/>
    <w:rsid w:val="001300AA"/>
    <w:rsid w:val="001315AB"/>
    <w:rsid w:val="00131A79"/>
    <w:rsid w:val="00133934"/>
    <w:rsid w:val="001344C3"/>
    <w:rsid w:val="00136A2B"/>
    <w:rsid w:val="001372CC"/>
    <w:rsid w:val="00137595"/>
    <w:rsid w:val="001405F1"/>
    <w:rsid w:val="0014098D"/>
    <w:rsid w:val="0014151F"/>
    <w:rsid w:val="00142368"/>
    <w:rsid w:val="00142386"/>
    <w:rsid w:val="0014275B"/>
    <w:rsid w:val="0014482B"/>
    <w:rsid w:val="001449B9"/>
    <w:rsid w:val="001456BD"/>
    <w:rsid w:val="00146738"/>
    <w:rsid w:val="00146768"/>
    <w:rsid w:val="00147F4F"/>
    <w:rsid w:val="00151001"/>
    <w:rsid w:val="00152F33"/>
    <w:rsid w:val="001533BF"/>
    <w:rsid w:val="00155B25"/>
    <w:rsid w:val="00155CA6"/>
    <w:rsid w:val="00156FF6"/>
    <w:rsid w:val="001639F5"/>
    <w:rsid w:val="00163A2C"/>
    <w:rsid w:val="001645E5"/>
    <w:rsid w:val="00166A17"/>
    <w:rsid w:val="00166E23"/>
    <w:rsid w:val="00167642"/>
    <w:rsid w:val="00167681"/>
    <w:rsid w:val="00170060"/>
    <w:rsid w:val="001700FC"/>
    <w:rsid w:val="0017270C"/>
    <w:rsid w:val="00172F78"/>
    <w:rsid w:val="001744C9"/>
    <w:rsid w:val="00174E5A"/>
    <w:rsid w:val="00176D01"/>
    <w:rsid w:val="00177483"/>
    <w:rsid w:val="00177F14"/>
    <w:rsid w:val="00180A15"/>
    <w:rsid w:val="00182364"/>
    <w:rsid w:val="0018268A"/>
    <w:rsid w:val="00183884"/>
    <w:rsid w:val="00184ED0"/>
    <w:rsid w:val="00186536"/>
    <w:rsid w:val="00190DA6"/>
    <w:rsid w:val="00190F27"/>
    <w:rsid w:val="001910E8"/>
    <w:rsid w:val="00191375"/>
    <w:rsid w:val="0019372F"/>
    <w:rsid w:val="00193BD3"/>
    <w:rsid w:val="00194B77"/>
    <w:rsid w:val="00194E8C"/>
    <w:rsid w:val="00197251"/>
    <w:rsid w:val="001A20C2"/>
    <w:rsid w:val="001A2311"/>
    <w:rsid w:val="001A247F"/>
    <w:rsid w:val="001A4CB4"/>
    <w:rsid w:val="001A5731"/>
    <w:rsid w:val="001A730D"/>
    <w:rsid w:val="001B09FB"/>
    <w:rsid w:val="001B2090"/>
    <w:rsid w:val="001B29EB"/>
    <w:rsid w:val="001B3AF0"/>
    <w:rsid w:val="001B43B8"/>
    <w:rsid w:val="001B4C87"/>
    <w:rsid w:val="001B5B2D"/>
    <w:rsid w:val="001B6636"/>
    <w:rsid w:val="001B7243"/>
    <w:rsid w:val="001B7E1F"/>
    <w:rsid w:val="001C069F"/>
    <w:rsid w:val="001C1797"/>
    <w:rsid w:val="001C33D0"/>
    <w:rsid w:val="001C3796"/>
    <w:rsid w:val="001C393C"/>
    <w:rsid w:val="001C403E"/>
    <w:rsid w:val="001C5670"/>
    <w:rsid w:val="001C7FFE"/>
    <w:rsid w:val="001D1223"/>
    <w:rsid w:val="001D123A"/>
    <w:rsid w:val="001D1D9D"/>
    <w:rsid w:val="001D1E28"/>
    <w:rsid w:val="001D2795"/>
    <w:rsid w:val="001D6B0D"/>
    <w:rsid w:val="001D6C3B"/>
    <w:rsid w:val="001E0E8A"/>
    <w:rsid w:val="001E25FE"/>
    <w:rsid w:val="001E3965"/>
    <w:rsid w:val="001E4E39"/>
    <w:rsid w:val="001E5405"/>
    <w:rsid w:val="001E5749"/>
    <w:rsid w:val="001E707C"/>
    <w:rsid w:val="001E72A4"/>
    <w:rsid w:val="001F2495"/>
    <w:rsid w:val="001F2E9D"/>
    <w:rsid w:val="001F3D62"/>
    <w:rsid w:val="001F48AE"/>
    <w:rsid w:val="001F4BE4"/>
    <w:rsid w:val="001F664D"/>
    <w:rsid w:val="001F714E"/>
    <w:rsid w:val="00200642"/>
    <w:rsid w:val="00201100"/>
    <w:rsid w:val="002031CA"/>
    <w:rsid w:val="00205F7B"/>
    <w:rsid w:val="0020697A"/>
    <w:rsid w:val="00206FCD"/>
    <w:rsid w:val="0020747A"/>
    <w:rsid w:val="002118C8"/>
    <w:rsid w:val="002128C7"/>
    <w:rsid w:val="00212F96"/>
    <w:rsid w:val="00213A16"/>
    <w:rsid w:val="00213B9D"/>
    <w:rsid w:val="00213D3D"/>
    <w:rsid w:val="00214B6E"/>
    <w:rsid w:val="00214FEC"/>
    <w:rsid w:val="00216E85"/>
    <w:rsid w:val="002175A8"/>
    <w:rsid w:val="00217CB3"/>
    <w:rsid w:val="002205CD"/>
    <w:rsid w:val="00220A0E"/>
    <w:rsid w:val="0022198B"/>
    <w:rsid w:val="00221A20"/>
    <w:rsid w:val="00221CA6"/>
    <w:rsid w:val="0022242C"/>
    <w:rsid w:val="00223B11"/>
    <w:rsid w:val="00225508"/>
    <w:rsid w:val="0022663E"/>
    <w:rsid w:val="002266BC"/>
    <w:rsid w:val="00226994"/>
    <w:rsid w:val="00227078"/>
    <w:rsid w:val="00230295"/>
    <w:rsid w:val="0023090B"/>
    <w:rsid w:val="00230E21"/>
    <w:rsid w:val="002319CE"/>
    <w:rsid w:val="00231CB2"/>
    <w:rsid w:val="00233BEF"/>
    <w:rsid w:val="00233E10"/>
    <w:rsid w:val="002341D6"/>
    <w:rsid w:val="002354CD"/>
    <w:rsid w:val="00236873"/>
    <w:rsid w:val="00237363"/>
    <w:rsid w:val="002406DD"/>
    <w:rsid w:val="00240FE2"/>
    <w:rsid w:val="0024184C"/>
    <w:rsid w:val="00241B31"/>
    <w:rsid w:val="0024227D"/>
    <w:rsid w:val="0024240F"/>
    <w:rsid w:val="00243973"/>
    <w:rsid w:val="00245EB5"/>
    <w:rsid w:val="00247342"/>
    <w:rsid w:val="00247AA5"/>
    <w:rsid w:val="002502C9"/>
    <w:rsid w:val="00250C6B"/>
    <w:rsid w:val="002514F6"/>
    <w:rsid w:val="0025304B"/>
    <w:rsid w:val="00253CA0"/>
    <w:rsid w:val="00254109"/>
    <w:rsid w:val="002551FE"/>
    <w:rsid w:val="002566A3"/>
    <w:rsid w:val="00256839"/>
    <w:rsid w:val="00260012"/>
    <w:rsid w:val="002603FA"/>
    <w:rsid w:val="00260D04"/>
    <w:rsid w:val="00261C77"/>
    <w:rsid w:val="00262B15"/>
    <w:rsid w:val="00265A7D"/>
    <w:rsid w:val="00265ECE"/>
    <w:rsid w:val="00270579"/>
    <w:rsid w:val="00270AA2"/>
    <w:rsid w:val="00270B3C"/>
    <w:rsid w:val="002711C1"/>
    <w:rsid w:val="0027222B"/>
    <w:rsid w:val="00273583"/>
    <w:rsid w:val="0027609E"/>
    <w:rsid w:val="00276364"/>
    <w:rsid w:val="002764BA"/>
    <w:rsid w:val="00276717"/>
    <w:rsid w:val="00277A41"/>
    <w:rsid w:val="0028085F"/>
    <w:rsid w:val="00283C29"/>
    <w:rsid w:val="00284C0F"/>
    <w:rsid w:val="0028515C"/>
    <w:rsid w:val="002852BE"/>
    <w:rsid w:val="002867E0"/>
    <w:rsid w:val="00286BE1"/>
    <w:rsid w:val="00287B60"/>
    <w:rsid w:val="002901D5"/>
    <w:rsid w:val="00290CC9"/>
    <w:rsid w:val="00290F96"/>
    <w:rsid w:val="00292C67"/>
    <w:rsid w:val="00292FE8"/>
    <w:rsid w:val="0029407B"/>
    <w:rsid w:val="00294254"/>
    <w:rsid w:val="0029436E"/>
    <w:rsid w:val="00295C1C"/>
    <w:rsid w:val="00295DB1"/>
    <w:rsid w:val="0029736D"/>
    <w:rsid w:val="002A1DC6"/>
    <w:rsid w:val="002A2ED7"/>
    <w:rsid w:val="002A4580"/>
    <w:rsid w:val="002A468E"/>
    <w:rsid w:val="002A5976"/>
    <w:rsid w:val="002B0346"/>
    <w:rsid w:val="002B0623"/>
    <w:rsid w:val="002B365C"/>
    <w:rsid w:val="002B5820"/>
    <w:rsid w:val="002B59D1"/>
    <w:rsid w:val="002B633C"/>
    <w:rsid w:val="002B669C"/>
    <w:rsid w:val="002B7988"/>
    <w:rsid w:val="002C1920"/>
    <w:rsid w:val="002C1DB8"/>
    <w:rsid w:val="002C3350"/>
    <w:rsid w:val="002C476B"/>
    <w:rsid w:val="002C5AA0"/>
    <w:rsid w:val="002C6E89"/>
    <w:rsid w:val="002C73ED"/>
    <w:rsid w:val="002D1DD2"/>
    <w:rsid w:val="002D2D1F"/>
    <w:rsid w:val="002D392C"/>
    <w:rsid w:val="002D42D2"/>
    <w:rsid w:val="002D596B"/>
    <w:rsid w:val="002D5A73"/>
    <w:rsid w:val="002D5A94"/>
    <w:rsid w:val="002D5C30"/>
    <w:rsid w:val="002D5C5D"/>
    <w:rsid w:val="002D7019"/>
    <w:rsid w:val="002D7B6D"/>
    <w:rsid w:val="002E05EA"/>
    <w:rsid w:val="002E0F4A"/>
    <w:rsid w:val="002E12D2"/>
    <w:rsid w:val="002E2956"/>
    <w:rsid w:val="002E3B4D"/>
    <w:rsid w:val="002E5239"/>
    <w:rsid w:val="002E602A"/>
    <w:rsid w:val="002E7F80"/>
    <w:rsid w:val="002F01FC"/>
    <w:rsid w:val="002F11CB"/>
    <w:rsid w:val="002F31D8"/>
    <w:rsid w:val="002F4FB8"/>
    <w:rsid w:val="002F62F1"/>
    <w:rsid w:val="002F6875"/>
    <w:rsid w:val="002F7FC9"/>
    <w:rsid w:val="0030078A"/>
    <w:rsid w:val="003011CC"/>
    <w:rsid w:val="00301679"/>
    <w:rsid w:val="00303D24"/>
    <w:rsid w:val="00305577"/>
    <w:rsid w:val="00305BCC"/>
    <w:rsid w:val="00310FC2"/>
    <w:rsid w:val="00311BEF"/>
    <w:rsid w:val="00312328"/>
    <w:rsid w:val="0031328E"/>
    <w:rsid w:val="00314073"/>
    <w:rsid w:val="00314BE7"/>
    <w:rsid w:val="003163AA"/>
    <w:rsid w:val="00317ABE"/>
    <w:rsid w:val="003211B2"/>
    <w:rsid w:val="003215AD"/>
    <w:rsid w:val="00321C77"/>
    <w:rsid w:val="00321EA2"/>
    <w:rsid w:val="00321FC4"/>
    <w:rsid w:val="003227F0"/>
    <w:rsid w:val="0032306B"/>
    <w:rsid w:val="00323930"/>
    <w:rsid w:val="003240DE"/>
    <w:rsid w:val="00325908"/>
    <w:rsid w:val="0032621B"/>
    <w:rsid w:val="00326A8A"/>
    <w:rsid w:val="00326D60"/>
    <w:rsid w:val="00327BFB"/>
    <w:rsid w:val="00327DAE"/>
    <w:rsid w:val="0033192C"/>
    <w:rsid w:val="00332568"/>
    <w:rsid w:val="003325A8"/>
    <w:rsid w:val="00333314"/>
    <w:rsid w:val="00334E07"/>
    <w:rsid w:val="00335213"/>
    <w:rsid w:val="003358D3"/>
    <w:rsid w:val="0033772A"/>
    <w:rsid w:val="00341130"/>
    <w:rsid w:val="00341B22"/>
    <w:rsid w:val="00341F79"/>
    <w:rsid w:val="00342A44"/>
    <w:rsid w:val="00343BE0"/>
    <w:rsid w:val="00345602"/>
    <w:rsid w:val="00345DE7"/>
    <w:rsid w:val="003467C6"/>
    <w:rsid w:val="003479A1"/>
    <w:rsid w:val="00347CB9"/>
    <w:rsid w:val="00347D02"/>
    <w:rsid w:val="00350ED7"/>
    <w:rsid w:val="00352765"/>
    <w:rsid w:val="00353670"/>
    <w:rsid w:val="003553CD"/>
    <w:rsid w:val="00355D31"/>
    <w:rsid w:val="003578D6"/>
    <w:rsid w:val="00357CAC"/>
    <w:rsid w:val="00357F0A"/>
    <w:rsid w:val="003608B9"/>
    <w:rsid w:val="00360FF8"/>
    <w:rsid w:val="00361FC9"/>
    <w:rsid w:val="00365682"/>
    <w:rsid w:val="00365DEC"/>
    <w:rsid w:val="00367DFF"/>
    <w:rsid w:val="003703FF"/>
    <w:rsid w:val="0037096D"/>
    <w:rsid w:val="00370ED7"/>
    <w:rsid w:val="00371477"/>
    <w:rsid w:val="0037232B"/>
    <w:rsid w:val="00373104"/>
    <w:rsid w:val="0037369B"/>
    <w:rsid w:val="00377080"/>
    <w:rsid w:val="00380D0D"/>
    <w:rsid w:val="00380EA2"/>
    <w:rsid w:val="00382223"/>
    <w:rsid w:val="0038343B"/>
    <w:rsid w:val="00383FB4"/>
    <w:rsid w:val="003847D9"/>
    <w:rsid w:val="00384825"/>
    <w:rsid w:val="00385334"/>
    <w:rsid w:val="003856B1"/>
    <w:rsid w:val="00385983"/>
    <w:rsid w:val="00386032"/>
    <w:rsid w:val="0038763D"/>
    <w:rsid w:val="003876B1"/>
    <w:rsid w:val="00390526"/>
    <w:rsid w:val="00392136"/>
    <w:rsid w:val="00392F24"/>
    <w:rsid w:val="003930EF"/>
    <w:rsid w:val="00394A99"/>
    <w:rsid w:val="00395875"/>
    <w:rsid w:val="00395CA5"/>
    <w:rsid w:val="00396890"/>
    <w:rsid w:val="00396B62"/>
    <w:rsid w:val="00396CE5"/>
    <w:rsid w:val="0039743C"/>
    <w:rsid w:val="003A016C"/>
    <w:rsid w:val="003A2D88"/>
    <w:rsid w:val="003A2DCD"/>
    <w:rsid w:val="003A33A3"/>
    <w:rsid w:val="003A4475"/>
    <w:rsid w:val="003A5CE7"/>
    <w:rsid w:val="003B0EFC"/>
    <w:rsid w:val="003B2022"/>
    <w:rsid w:val="003B3399"/>
    <w:rsid w:val="003B37F7"/>
    <w:rsid w:val="003B3CAA"/>
    <w:rsid w:val="003B4ED9"/>
    <w:rsid w:val="003B5943"/>
    <w:rsid w:val="003C1D8D"/>
    <w:rsid w:val="003C2C6D"/>
    <w:rsid w:val="003C42F4"/>
    <w:rsid w:val="003C4B93"/>
    <w:rsid w:val="003C4DE7"/>
    <w:rsid w:val="003C6CE7"/>
    <w:rsid w:val="003C7685"/>
    <w:rsid w:val="003C7AD6"/>
    <w:rsid w:val="003D0AA4"/>
    <w:rsid w:val="003D18E4"/>
    <w:rsid w:val="003D1B0E"/>
    <w:rsid w:val="003D246C"/>
    <w:rsid w:val="003D36FE"/>
    <w:rsid w:val="003D3D1F"/>
    <w:rsid w:val="003D4976"/>
    <w:rsid w:val="003D52FB"/>
    <w:rsid w:val="003D6805"/>
    <w:rsid w:val="003E0BB0"/>
    <w:rsid w:val="003E14F8"/>
    <w:rsid w:val="003E171F"/>
    <w:rsid w:val="003E21DC"/>
    <w:rsid w:val="003E2456"/>
    <w:rsid w:val="003E4A87"/>
    <w:rsid w:val="003F05E9"/>
    <w:rsid w:val="003F170F"/>
    <w:rsid w:val="003F1BBE"/>
    <w:rsid w:val="003F4946"/>
    <w:rsid w:val="003F4A80"/>
    <w:rsid w:val="003F4D2F"/>
    <w:rsid w:val="003F6A7F"/>
    <w:rsid w:val="00401D7A"/>
    <w:rsid w:val="00401EF6"/>
    <w:rsid w:val="004032E5"/>
    <w:rsid w:val="0040355D"/>
    <w:rsid w:val="00405073"/>
    <w:rsid w:val="004051A9"/>
    <w:rsid w:val="004055D2"/>
    <w:rsid w:val="00406102"/>
    <w:rsid w:val="004066A3"/>
    <w:rsid w:val="00407B4E"/>
    <w:rsid w:val="00407EB0"/>
    <w:rsid w:val="00410582"/>
    <w:rsid w:val="004115AD"/>
    <w:rsid w:val="00411EC6"/>
    <w:rsid w:val="0041275E"/>
    <w:rsid w:val="00412D99"/>
    <w:rsid w:val="0041308D"/>
    <w:rsid w:val="004143BD"/>
    <w:rsid w:val="004154B0"/>
    <w:rsid w:val="004159F0"/>
    <w:rsid w:val="00415AC4"/>
    <w:rsid w:val="00415BA7"/>
    <w:rsid w:val="004170EA"/>
    <w:rsid w:val="004206F4"/>
    <w:rsid w:val="00421089"/>
    <w:rsid w:val="00421E53"/>
    <w:rsid w:val="0042276F"/>
    <w:rsid w:val="00423AA1"/>
    <w:rsid w:val="00424DC8"/>
    <w:rsid w:val="00426742"/>
    <w:rsid w:val="00427462"/>
    <w:rsid w:val="004279F3"/>
    <w:rsid w:val="0043137D"/>
    <w:rsid w:val="004331E6"/>
    <w:rsid w:val="00433616"/>
    <w:rsid w:val="004341C5"/>
    <w:rsid w:val="00435A16"/>
    <w:rsid w:val="00436DC5"/>
    <w:rsid w:val="00437169"/>
    <w:rsid w:val="00440878"/>
    <w:rsid w:val="00441837"/>
    <w:rsid w:val="0044369D"/>
    <w:rsid w:val="0044482A"/>
    <w:rsid w:val="004448C3"/>
    <w:rsid w:val="00444C13"/>
    <w:rsid w:val="00445186"/>
    <w:rsid w:val="0044712D"/>
    <w:rsid w:val="00447C46"/>
    <w:rsid w:val="004514A3"/>
    <w:rsid w:val="00453569"/>
    <w:rsid w:val="00454598"/>
    <w:rsid w:val="00454CB5"/>
    <w:rsid w:val="00455138"/>
    <w:rsid w:val="0045525C"/>
    <w:rsid w:val="004576E9"/>
    <w:rsid w:val="00457925"/>
    <w:rsid w:val="00461C1B"/>
    <w:rsid w:val="004635B1"/>
    <w:rsid w:val="0046377C"/>
    <w:rsid w:val="004641C7"/>
    <w:rsid w:val="004650D4"/>
    <w:rsid w:val="00465381"/>
    <w:rsid w:val="00465C9C"/>
    <w:rsid w:val="0046603C"/>
    <w:rsid w:val="00466C9F"/>
    <w:rsid w:val="00467EC5"/>
    <w:rsid w:val="00470BDA"/>
    <w:rsid w:val="00472747"/>
    <w:rsid w:val="00473C5E"/>
    <w:rsid w:val="00473D4B"/>
    <w:rsid w:val="004755BF"/>
    <w:rsid w:val="004761AC"/>
    <w:rsid w:val="0047657A"/>
    <w:rsid w:val="0047693F"/>
    <w:rsid w:val="004769C2"/>
    <w:rsid w:val="00480905"/>
    <w:rsid w:val="00480D44"/>
    <w:rsid w:val="0048131A"/>
    <w:rsid w:val="004836E0"/>
    <w:rsid w:val="00484C60"/>
    <w:rsid w:val="00485BE9"/>
    <w:rsid w:val="004860F3"/>
    <w:rsid w:val="004864D3"/>
    <w:rsid w:val="004876AB"/>
    <w:rsid w:val="00487C64"/>
    <w:rsid w:val="004910B8"/>
    <w:rsid w:val="00492136"/>
    <w:rsid w:val="00492468"/>
    <w:rsid w:val="00493AA5"/>
    <w:rsid w:val="00495C2B"/>
    <w:rsid w:val="00495F6E"/>
    <w:rsid w:val="00496409"/>
    <w:rsid w:val="00496AF1"/>
    <w:rsid w:val="004A037F"/>
    <w:rsid w:val="004A0C13"/>
    <w:rsid w:val="004A17CA"/>
    <w:rsid w:val="004A1966"/>
    <w:rsid w:val="004A1E17"/>
    <w:rsid w:val="004A1ED9"/>
    <w:rsid w:val="004A2262"/>
    <w:rsid w:val="004A2583"/>
    <w:rsid w:val="004A2703"/>
    <w:rsid w:val="004A3E5A"/>
    <w:rsid w:val="004A443A"/>
    <w:rsid w:val="004A5441"/>
    <w:rsid w:val="004A786A"/>
    <w:rsid w:val="004B099D"/>
    <w:rsid w:val="004B0BE8"/>
    <w:rsid w:val="004B0C5F"/>
    <w:rsid w:val="004B200A"/>
    <w:rsid w:val="004B4AE3"/>
    <w:rsid w:val="004B529A"/>
    <w:rsid w:val="004B534F"/>
    <w:rsid w:val="004B60B3"/>
    <w:rsid w:val="004B7641"/>
    <w:rsid w:val="004C1B9E"/>
    <w:rsid w:val="004C1EF0"/>
    <w:rsid w:val="004C2B47"/>
    <w:rsid w:val="004C2C3F"/>
    <w:rsid w:val="004C38F0"/>
    <w:rsid w:val="004C391D"/>
    <w:rsid w:val="004C3A58"/>
    <w:rsid w:val="004C3F64"/>
    <w:rsid w:val="004C4F58"/>
    <w:rsid w:val="004C6166"/>
    <w:rsid w:val="004C6DCD"/>
    <w:rsid w:val="004D28DC"/>
    <w:rsid w:val="004E0129"/>
    <w:rsid w:val="004E0F60"/>
    <w:rsid w:val="004E31A3"/>
    <w:rsid w:val="004E44DD"/>
    <w:rsid w:val="004E4CBB"/>
    <w:rsid w:val="004E541E"/>
    <w:rsid w:val="004E59B9"/>
    <w:rsid w:val="004E6403"/>
    <w:rsid w:val="004E6E48"/>
    <w:rsid w:val="004E703A"/>
    <w:rsid w:val="004F085C"/>
    <w:rsid w:val="004F1780"/>
    <w:rsid w:val="004F273A"/>
    <w:rsid w:val="004F2BA1"/>
    <w:rsid w:val="004F37A7"/>
    <w:rsid w:val="004F3A88"/>
    <w:rsid w:val="004F3E95"/>
    <w:rsid w:val="004F6513"/>
    <w:rsid w:val="004F72BC"/>
    <w:rsid w:val="004F7537"/>
    <w:rsid w:val="004F7868"/>
    <w:rsid w:val="005017FC"/>
    <w:rsid w:val="005018BB"/>
    <w:rsid w:val="00503351"/>
    <w:rsid w:val="005038D1"/>
    <w:rsid w:val="00504F4E"/>
    <w:rsid w:val="00505311"/>
    <w:rsid w:val="00506C64"/>
    <w:rsid w:val="00506E10"/>
    <w:rsid w:val="00507E7F"/>
    <w:rsid w:val="005105E5"/>
    <w:rsid w:val="00511AF7"/>
    <w:rsid w:val="005127F4"/>
    <w:rsid w:val="00512BC1"/>
    <w:rsid w:val="00512E2A"/>
    <w:rsid w:val="005133B2"/>
    <w:rsid w:val="005144D6"/>
    <w:rsid w:val="005147F0"/>
    <w:rsid w:val="00515C95"/>
    <w:rsid w:val="00517DEE"/>
    <w:rsid w:val="00521079"/>
    <w:rsid w:val="00523E21"/>
    <w:rsid w:val="00524108"/>
    <w:rsid w:val="005251BF"/>
    <w:rsid w:val="00525942"/>
    <w:rsid w:val="00525C87"/>
    <w:rsid w:val="00526116"/>
    <w:rsid w:val="00526334"/>
    <w:rsid w:val="00527E55"/>
    <w:rsid w:val="00530564"/>
    <w:rsid w:val="00531309"/>
    <w:rsid w:val="00532669"/>
    <w:rsid w:val="005327CA"/>
    <w:rsid w:val="00532BD8"/>
    <w:rsid w:val="00533D80"/>
    <w:rsid w:val="0053625A"/>
    <w:rsid w:val="00536EAB"/>
    <w:rsid w:val="00537BF0"/>
    <w:rsid w:val="0054002C"/>
    <w:rsid w:val="005415D9"/>
    <w:rsid w:val="005442CE"/>
    <w:rsid w:val="005452A9"/>
    <w:rsid w:val="005463A1"/>
    <w:rsid w:val="00546EDD"/>
    <w:rsid w:val="00550FFD"/>
    <w:rsid w:val="00552306"/>
    <w:rsid w:val="00552C2D"/>
    <w:rsid w:val="00553662"/>
    <w:rsid w:val="00553A2A"/>
    <w:rsid w:val="005543CD"/>
    <w:rsid w:val="00555C92"/>
    <w:rsid w:val="005560E0"/>
    <w:rsid w:val="00556594"/>
    <w:rsid w:val="00556697"/>
    <w:rsid w:val="00556C70"/>
    <w:rsid w:val="00556EEB"/>
    <w:rsid w:val="00561ED3"/>
    <w:rsid w:val="00562D5F"/>
    <w:rsid w:val="00563AF3"/>
    <w:rsid w:val="00563B0A"/>
    <w:rsid w:val="00566195"/>
    <w:rsid w:val="00566ADB"/>
    <w:rsid w:val="00566D9A"/>
    <w:rsid w:val="00570DD3"/>
    <w:rsid w:val="0057218C"/>
    <w:rsid w:val="0057409D"/>
    <w:rsid w:val="0057445B"/>
    <w:rsid w:val="00575C41"/>
    <w:rsid w:val="00575CDC"/>
    <w:rsid w:val="0057610C"/>
    <w:rsid w:val="0058027A"/>
    <w:rsid w:val="00580C45"/>
    <w:rsid w:val="00580D6B"/>
    <w:rsid w:val="00583A9F"/>
    <w:rsid w:val="00585DE5"/>
    <w:rsid w:val="00585F5E"/>
    <w:rsid w:val="005861E8"/>
    <w:rsid w:val="00586398"/>
    <w:rsid w:val="00587766"/>
    <w:rsid w:val="005906CA"/>
    <w:rsid w:val="0059113C"/>
    <w:rsid w:val="00591658"/>
    <w:rsid w:val="0059290E"/>
    <w:rsid w:val="00593D94"/>
    <w:rsid w:val="00594E85"/>
    <w:rsid w:val="0059626D"/>
    <w:rsid w:val="00596468"/>
    <w:rsid w:val="005964FD"/>
    <w:rsid w:val="00596F8B"/>
    <w:rsid w:val="00597377"/>
    <w:rsid w:val="00597F99"/>
    <w:rsid w:val="005A07B0"/>
    <w:rsid w:val="005A0E3C"/>
    <w:rsid w:val="005A125D"/>
    <w:rsid w:val="005A1F7C"/>
    <w:rsid w:val="005A4B77"/>
    <w:rsid w:val="005A4E4B"/>
    <w:rsid w:val="005A54A5"/>
    <w:rsid w:val="005A6606"/>
    <w:rsid w:val="005A6D62"/>
    <w:rsid w:val="005A7426"/>
    <w:rsid w:val="005A7F74"/>
    <w:rsid w:val="005B26ED"/>
    <w:rsid w:val="005B2B45"/>
    <w:rsid w:val="005B6D92"/>
    <w:rsid w:val="005C07A0"/>
    <w:rsid w:val="005C0BBE"/>
    <w:rsid w:val="005C0F8A"/>
    <w:rsid w:val="005C1337"/>
    <w:rsid w:val="005C1856"/>
    <w:rsid w:val="005C2171"/>
    <w:rsid w:val="005C2763"/>
    <w:rsid w:val="005C2E05"/>
    <w:rsid w:val="005C30EC"/>
    <w:rsid w:val="005C41E7"/>
    <w:rsid w:val="005C6142"/>
    <w:rsid w:val="005C7433"/>
    <w:rsid w:val="005D019D"/>
    <w:rsid w:val="005D05C3"/>
    <w:rsid w:val="005D1AF5"/>
    <w:rsid w:val="005D2EEA"/>
    <w:rsid w:val="005D49DF"/>
    <w:rsid w:val="005D5016"/>
    <w:rsid w:val="005D5578"/>
    <w:rsid w:val="005D5E8D"/>
    <w:rsid w:val="005D5F68"/>
    <w:rsid w:val="005D6283"/>
    <w:rsid w:val="005D668E"/>
    <w:rsid w:val="005D6CBE"/>
    <w:rsid w:val="005D6D93"/>
    <w:rsid w:val="005D7428"/>
    <w:rsid w:val="005D751C"/>
    <w:rsid w:val="005D766D"/>
    <w:rsid w:val="005E33C8"/>
    <w:rsid w:val="005E373F"/>
    <w:rsid w:val="005E4030"/>
    <w:rsid w:val="005E4512"/>
    <w:rsid w:val="005E61CD"/>
    <w:rsid w:val="005E7122"/>
    <w:rsid w:val="005E7BBF"/>
    <w:rsid w:val="005E7C59"/>
    <w:rsid w:val="005F098F"/>
    <w:rsid w:val="005F10AB"/>
    <w:rsid w:val="005F375E"/>
    <w:rsid w:val="005F4EBF"/>
    <w:rsid w:val="005F5903"/>
    <w:rsid w:val="005F5DA7"/>
    <w:rsid w:val="005F5DFF"/>
    <w:rsid w:val="005F64E1"/>
    <w:rsid w:val="005F6EBD"/>
    <w:rsid w:val="005F6ED0"/>
    <w:rsid w:val="005F6FC2"/>
    <w:rsid w:val="005F7DA5"/>
    <w:rsid w:val="006008AD"/>
    <w:rsid w:val="00601DD4"/>
    <w:rsid w:val="00602BC3"/>
    <w:rsid w:val="00603149"/>
    <w:rsid w:val="00603E6F"/>
    <w:rsid w:val="006040B4"/>
    <w:rsid w:val="00605224"/>
    <w:rsid w:val="00605A8E"/>
    <w:rsid w:val="00606B16"/>
    <w:rsid w:val="00607155"/>
    <w:rsid w:val="00610382"/>
    <w:rsid w:val="0061288D"/>
    <w:rsid w:val="00612F35"/>
    <w:rsid w:val="00613929"/>
    <w:rsid w:val="006170E8"/>
    <w:rsid w:val="006170FC"/>
    <w:rsid w:val="006173F0"/>
    <w:rsid w:val="00620095"/>
    <w:rsid w:val="00620891"/>
    <w:rsid w:val="006210C1"/>
    <w:rsid w:val="00622174"/>
    <w:rsid w:val="006221F8"/>
    <w:rsid w:val="00623A03"/>
    <w:rsid w:val="00625C81"/>
    <w:rsid w:val="00626DEC"/>
    <w:rsid w:val="006272B2"/>
    <w:rsid w:val="006277C4"/>
    <w:rsid w:val="00630708"/>
    <w:rsid w:val="00631E2C"/>
    <w:rsid w:val="00631F8B"/>
    <w:rsid w:val="00632712"/>
    <w:rsid w:val="00632F51"/>
    <w:rsid w:val="00635316"/>
    <w:rsid w:val="00635646"/>
    <w:rsid w:val="006357FD"/>
    <w:rsid w:val="00635A59"/>
    <w:rsid w:val="0064172D"/>
    <w:rsid w:val="00641D4E"/>
    <w:rsid w:val="006420ED"/>
    <w:rsid w:val="006422BA"/>
    <w:rsid w:val="006442A0"/>
    <w:rsid w:val="00645604"/>
    <w:rsid w:val="00645720"/>
    <w:rsid w:val="006463AB"/>
    <w:rsid w:val="00646F26"/>
    <w:rsid w:val="006472EB"/>
    <w:rsid w:val="0065018B"/>
    <w:rsid w:val="0065124D"/>
    <w:rsid w:val="006536BA"/>
    <w:rsid w:val="00654BD4"/>
    <w:rsid w:val="006552CA"/>
    <w:rsid w:val="00660FDC"/>
    <w:rsid w:val="00661E10"/>
    <w:rsid w:val="00661F17"/>
    <w:rsid w:val="006625EE"/>
    <w:rsid w:val="0066543A"/>
    <w:rsid w:val="00665ED5"/>
    <w:rsid w:val="006660C3"/>
    <w:rsid w:val="006674A8"/>
    <w:rsid w:val="00667560"/>
    <w:rsid w:val="00667A7A"/>
    <w:rsid w:val="00670998"/>
    <w:rsid w:val="006719F5"/>
    <w:rsid w:val="00671EF2"/>
    <w:rsid w:val="006735E1"/>
    <w:rsid w:val="00674A8A"/>
    <w:rsid w:val="00674EEC"/>
    <w:rsid w:val="00676166"/>
    <w:rsid w:val="006769C0"/>
    <w:rsid w:val="006776F4"/>
    <w:rsid w:val="00677ADD"/>
    <w:rsid w:val="00677EAA"/>
    <w:rsid w:val="0068100B"/>
    <w:rsid w:val="00681752"/>
    <w:rsid w:val="00681A98"/>
    <w:rsid w:val="00682812"/>
    <w:rsid w:val="0068405B"/>
    <w:rsid w:val="00684AF2"/>
    <w:rsid w:val="00684F67"/>
    <w:rsid w:val="00685690"/>
    <w:rsid w:val="00687EF8"/>
    <w:rsid w:val="00690CA4"/>
    <w:rsid w:val="006928C8"/>
    <w:rsid w:val="00692DF3"/>
    <w:rsid w:val="00694B77"/>
    <w:rsid w:val="00694F9D"/>
    <w:rsid w:val="006950A5"/>
    <w:rsid w:val="00695787"/>
    <w:rsid w:val="00696482"/>
    <w:rsid w:val="00697F97"/>
    <w:rsid w:val="006A0566"/>
    <w:rsid w:val="006A0E5F"/>
    <w:rsid w:val="006A23A3"/>
    <w:rsid w:val="006A4650"/>
    <w:rsid w:val="006A47D5"/>
    <w:rsid w:val="006A5601"/>
    <w:rsid w:val="006A5ACB"/>
    <w:rsid w:val="006B01A3"/>
    <w:rsid w:val="006B0798"/>
    <w:rsid w:val="006B10DC"/>
    <w:rsid w:val="006B26AD"/>
    <w:rsid w:val="006B3657"/>
    <w:rsid w:val="006B39A5"/>
    <w:rsid w:val="006B39D3"/>
    <w:rsid w:val="006B3C61"/>
    <w:rsid w:val="006B4814"/>
    <w:rsid w:val="006B687D"/>
    <w:rsid w:val="006B6EB0"/>
    <w:rsid w:val="006B72D1"/>
    <w:rsid w:val="006B7645"/>
    <w:rsid w:val="006B7D0B"/>
    <w:rsid w:val="006C0788"/>
    <w:rsid w:val="006C4AF3"/>
    <w:rsid w:val="006C4F53"/>
    <w:rsid w:val="006C55D5"/>
    <w:rsid w:val="006C61C1"/>
    <w:rsid w:val="006C64CF"/>
    <w:rsid w:val="006D029A"/>
    <w:rsid w:val="006D03D9"/>
    <w:rsid w:val="006D3ABD"/>
    <w:rsid w:val="006D40E9"/>
    <w:rsid w:val="006D46C9"/>
    <w:rsid w:val="006D544B"/>
    <w:rsid w:val="006D632B"/>
    <w:rsid w:val="006D67A8"/>
    <w:rsid w:val="006D764D"/>
    <w:rsid w:val="006E1340"/>
    <w:rsid w:val="006E177E"/>
    <w:rsid w:val="006E3195"/>
    <w:rsid w:val="006E3483"/>
    <w:rsid w:val="006E3FF5"/>
    <w:rsid w:val="006E5709"/>
    <w:rsid w:val="006E6535"/>
    <w:rsid w:val="006F01AA"/>
    <w:rsid w:val="006F1262"/>
    <w:rsid w:val="006F24DA"/>
    <w:rsid w:val="006F2B87"/>
    <w:rsid w:val="006F2CDB"/>
    <w:rsid w:val="006F3FAE"/>
    <w:rsid w:val="006F5607"/>
    <w:rsid w:val="006F5C08"/>
    <w:rsid w:val="006F5CF2"/>
    <w:rsid w:val="006F5FA8"/>
    <w:rsid w:val="006F7446"/>
    <w:rsid w:val="006F7797"/>
    <w:rsid w:val="006F7CB4"/>
    <w:rsid w:val="00702188"/>
    <w:rsid w:val="007031B4"/>
    <w:rsid w:val="0070398E"/>
    <w:rsid w:val="007044C3"/>
    <w:rsid w:val="00704DCF"/>
    <w:rsid w:val="00705821"/>
    <w:rsid w:val="00705EDF"/>
    <w:rsid w:val="00706168"/>
    <w:rsid w:val="0070629C"/>
    <w:rsid w:val="0070686E"/>
    <w:rsid w:val="007071FE"/>
    <w:rsid w:val="00707412"/>
    <w:rsid w:val="007074E2"/>
    <w:rsid w:val="007100DD"/>
    <w:rsid w:val="00711265"/>
    <w:rsid w:val="00712A2D"/>
    <w:rsid w:val="0071328F"/>
    <w:rsid w:val="0071343A"/>
    <w:rsid w:val="0071347A"/>
    <w:rsid w:val="00714004"/>
    <w:rsid w:val="007143BD"/>
    <w:rsid w:val="007157E9"/>
    <w:rsid w:val="00715A5E"/>
    <w:rsid w:val="00716877"/>
    <w:rsid w:val="00720491"/>
    <w:rsid w:val="00721131"/>
    <w:rsid w:val="00721228"/>
    <w:rsid w:val="0072296A"/>
    <w:rsid w:val="0072304B"/>
    <w:rsid w:val="007237D9"/>
    <w:rsid w:val="00723A66"/>
    <w:rsid w:val="00723E6A"/>
    <w:rsid w:val="00724829"/>
    <w:rsid w:val="00725417"/>
    <w:rsid w:val="00725D9B"/>
    <w:rsid w:val="00726F6E"/>
    <w:rsid w:val="00726FD9"/>
    <w:rsid w:val="00727566"/>
    <w:rsid w:val="0073041A"/>
    <w:rsid w:val="00730A1D"/>
    <w:rsid w:val="00734B1A"/>
    <w:rsid w:val="00734D1A"/>
    <w:rsid w:val="00736286"/>
    <w:rsid w:val="00736932"/>
    <w:rsid w:val="00737AA5"/>
    <w:rsid w:val="00741B0B"/>
    <w:rsid w:val="007420B5"/>
    <w:rsid w:val="0074431A"/>
    <w:rsid w:val="0074512A"/>
    <w:rsid w:val="007458CF"/>
    <w:rsid w:val="0075002B"/>
    <w:rsid w:val="00752480"/>
    <w:rsid w:val="007531E3"/>
    <w:rsid w:val="007533F8"/>
    <w:rsid w:val="0075363D"/>
    <w:rsid w:val="0075370C"/>
    <w:rsid w:val="00753739"/>
    <w:rsid w:val="00754B96"/>
    <w:rsid w:val="00754E76"/>
    <w:rsid w:val="00755748"/>
    <w:rsid w:val="00756CDB"/>
    <w:rsid w:val="00757B2F"/>
    <w:rsid w:val="00760BCE"/>
    <w:rsid w:val="007623F0"/>
    <w:rsid w:val="007640E4"/>
    <w:rsid w:val="007644C3"/>
    <w:rsid w:val="00764C4F"/>
    <w:rsid w:val="007655D3"/>
    <w:rsid w:val="00765A5D"/>
    <w:rsid w:val="00765D48"/>
    <w:rsid w:val="00765FCA"/>
    <w:rsid w:val="0076635B"/>
    <w:rsid w:val="0076660D"/>
    <w:rsid w:val="007675C3"/>
    <w:rsid w:val="0077085C"/>
    <w:rsid w:val="007716F4"/>
    <w:rsid w:val="00771CF4"/>
    <w:rsid w:val="00772902"/>
    <w:rsid w:val="00774001"/>
    <w:rsid w:val="00775309"/>
    <w:rsid w:val="00775391"/>
    <w:rsid w:val="00776082"/>
    <w:rsid w:val="00776527"/>
    <w:rsid w:val="00776B7D"/>
    <w:rsid w:val="00777DFF"/>
    <w:rsid w:val="00777F1A"/>
    <w:rsid w:val="00777F9E"/>
    <w:rsid w:val="00781BE6"/>
    <w:rsid w:val="00782142"/>
    <w:rsid w:val="007839A1"/>
    <w:rsid w:val="0078560C"/>
    <w:rsid w:val="00787185"/>
    <w:rsid w:val="00787EC6"/>
    <w:rsid w:val="0079039D"/>
    <w:rsid w:val="00791D35"/>
    <w:rsid w:val="00793594"/>
    <w:rsid w:val="00793D9F"/>
    <w:rsid w:val="00794E2E"/>
    <w:rsid w:val="00796527"/>
    <w:rsid w:val="00796EF4"/>
    <w:rsid w:val="007970AF"/>
    <w:rsid w:val="007973BA"/>
    <w:rsid w:val="007A0C54"/>
    <w:rsid w:val="007A2645"/>
    <w:rsid w:val="007A2866"/>
    <w:rsid w:val="007A2AD6"/>
    <w:rsid w:val="007A3DB6"/>
    <w:rsid w:val="007A3DE6"/>
    <w:rsid w:val="007A4B11"/>
    <w:rsid w:val="007A72C3"/>
    <w:rsid w:val="007A7AF5"/>
    <w:rsid w:val="007A7CB8"/>
    <w:rsid w:val="007B069B"/>
    <w:rsid w:val="007B0BC6"/>
    <w:rsid w:val="007B0BE5"/>
    <w:rsid w:val="007B121C"/>
    <w:rsid w:val="007B170E"/>
    <w:rsid w:val="007B280B"/>
    <w:rsid w:val="007B5924"/>
    <w:rsid w:val="007C049B"/>
    <w:rsid w:val="007C094D"/>
    <w:rsid w:val="007C15CE"/>
    <w:rsid w:val="007C37D0"/>
    <w:rsid w:val="007C66B9"/>
    <w:rsid w:val="007D294E"/>
    <w:rsid w:val="007D2DCD"/>
    <w:rsid w:val="007D3A9B"/>
    <w:rsid w:val="007D4953"/>
    <w:rsid w:val="007D4CEF"/>
    <w:rsid w:val="007D5566"/>
    <w:rsid w:val="007D5603"/>
    <w:rsid w:val="007D5933"/>
    <w:rsid w:val="007D647D"/>
    <w:rsid w:val="007D6F52"/>
    <w:rsid w:val="007E0228"/>
    <w:rsid w:val="007E022E"/>
    <w:rsid w:val="007E1CA9"/>
    <w:rsid w:val="007E1FF4"/>
    <w:rsid w:val="007E3BA8"/>
    <w:rsid w:val="007E427F"/>
    <w:rsid w:val="007E459D"/>
    <w:rsid w:val="007E505A"/>
    <w:rsid w:val="007E5833"/>
    <w:rsid w:val="007F1139"/>
    <w:rsid w:val="007F221C"/>
    <w:rsid w:val="007F2505"/>
    <w:rsid w:val="007F2707"/>
    <w:rsid w:val="007F296F"/>
    <w:rsid w:val="007F58BF"/>
    <w:rsid w:val="007F65A9"/>
    <w:rsid w:val="007F6760"/>
    <w:rsid w:val="007F6AEB"/>
    <w:rsid w:val="007F706E"/>
    <w:rsid w:val="007F711E"/>
    <w:rsid w:val="007F7120"/>
    <w:rsid w:val="007F75E0"/>
    <w:rsid w:val="007F7DB6"/>
    <w:rsid w:val="00801613"/>
    <w:rsid w:val="00803254"/>
    <w:rsid w:val="00803DD0"/>
    <w:rsid w:val="00804F51"/>
    <w:rsid w:val="00806A1F"/>
    <w:rsid w:val="00807C30"/>
    <w:rsid w:val="0081058E"/>
    <w:rsid w:val="0081174D"/>
    <w:rsid w:val="008134E4"/>
    <w:rsid w:val="00813643"/>
    <w:rsid w:val="008139B3"/>
    <w:rsid w:val="00814F0C"/>
    <w:rsid w:val="008151CF"/>
    <w:rsid w:val="008151D6"/>
    <w:rsid w:val="00815577"/>
    <w:rsid w:val="00816AFC"/>
    <w:rsid w:val="00816D34"/>
    <w:rsid w:val="00817D8F"/>
    <w:rsid w:val="00821539"/>
    <w:rsid w:val="0082293A"/>
    <w:rsid w:val="00824661"/>
    <w:rsid w:val="00824B21"/>
    <w:rsid w:val="00824EA8"/>
    <w:rsid w:val="0082513D"/>
    <w:rsid w:val="0082540E"/>
    <w:rsid w:val="008256CE"/>
    <w:rsid w:val="00826815"/>
    <w:rsid w:val="00826CA6"/>
    <w:rsid w:val="00830E33"/>
    <w:rsid w:val="008314FD"/>
    <w:rsid w:val="00831D0C"/>
    <w:rsid w:val="008325BF"/>
    <w:rsid w:val="00832A4E"/>
    <w:rsid w:val="00833371"/>
    <w:rsid w:val="008335D2"/>
    <w:rsid w:val="00834ADC"/>
    <w:rsid w:val="008352C1"/>
    <w:rsid w:val="008362FC"/>
    <w:rsid w:val="00840178"/>
    <w:rsid w:val="008406F9"/>
    <w:rsid w:val="0084077C"/>
    <w:rsid w:val="008412E6"/>
    <w:rsid w:val="00842DFB"/>
    <w:rsid w:val="00843C92"/>
    <w:rsid w:val="00844DDB"/>
    <w:rsid w:val="00845097"/>
    <w:rsid w:val="008464A1"/>
    <w:rsid w:val="0085182F"/>
    <w:rsid w:val="00851C99"/>
    <w:rsid w:val="00851DDF"/>
    <w:rsid w:val="00851DE9"/>
    <w:rsid w:val="0085308E"/>
    <w:rsid w:val="00853B89"/>
    <w:rsid w:val="00854714"/>
    <w:rsid w:val="00854F56"/>
    <w:rsid w:val="00855681"/>
    <w:rsid w:val="0085574A"/>
    <w:rsid w:val="008561A9"/>
    <w:rsid w:val="00857B4C"/>
    <w:rsid w:val="00857E03"/>
    <w:rsid w:val="00861B33"/>
    <w:rsid w:val="00862C70"/>
    <w:rsid w:val="0086371E"/>
    <w:rsid w:val="00863E0A"/>
    <w:rsid w:val="00864AD7"/>
    <w:rsid w:val="0086561C"/>
    <w:rsid w:val="008660DA"/>
    <w:rsid w:val="0086617F"/>
    <w:rsid w:val="008668C6"/>
    <w:rsid w:val="00867168"/>
    <w:rsid w:val="008677BF"/>
    <w:rsid w:val="00867952"/>
    <w:rsid w:val="008700B5"/>
    <w:rsid w:val="008704F4"/>
    <w:rsid w:val="0087062C"/>
    <w:rsid w:val="008731F4"/>
    <w:rsid w:val="0087345D"/>
    <w:rsid w:val="00874BE5"/>
    <w:rsid w:val="00876845"/>
    <w:rsid w:val="00882C15"/>
    <w:rsid w:val="008835A5"/>
    <w:rsid w:val="00884A80"/>
    <w:rsid w:val="00884FFD"/>
    <w:rsid w:val="008854AA"/>
    <w:rsid w:val="0088580F"/>
    <w:rsid w:val="00885D1B"/>
    <w:rsid w:val="00886C98"/>
    <w:rsid w:val="00887148"/>
    <w:rsid w:val="00887FCA"/>
    <w:rsid w:val="0089056D"/>
    <w:rsid w:val="00891093"/>
    <w:rsid w:val="008923A0"/>
    <w:rsid w:val="008924CA"/>
    <w:rsid w:val="008925CB"/>
    <w:rsid w:val="008938A2"/>
    <w:rsid w:val="00894488"/>
    <w:rsid w:val="00895B07"/>
    <w:rsid w:val="008961E8"/>
    <w:rsid w:val="00896343"/>
    <w:rsid w:val="00897595"/>
    <w:rsid w:val="00897A67"/>
    <w:rsid w:val="008A0CE7"/>
    <w:rsid w:val="008A384D"/>
    <w:rsid w:val="008A5962"/>
    <w:rsid w:val="008A5C8E"/>
    <w:rsid w:val="008A6116"/>
    <w:rsid w:val="008A68F9"/>
    <w:rsid w:val="008B0269"/>
    <w:rsid w:val="008B20B8"/>
    <w:rsid w:val="008B27E0"/>
    <w:rsid w:val="008B6432"/>
    <w:rsid w:val="008C0061"/>
    <w:rsid w:val="008C0FA8"/>
    <w:rsid w:val="008C337A"/>
    <w:rsid w:val="008C3957"/>
    <w:rsid w:val="008C49C2"/>
    <w:rsid w:val="008C4B66"/>
    <w:rsid w:val="008C66CB"/>
    <w:rsid w:val="008C711E"/>
    <w:rsid w:val="008D03B5"/>
    <w:rsid w:val="008D07F0"/>
    <w:rsid w:val="008D232C"/>
    <w:rsid w:val="008D23F5"/>
    <w:rsid w:val="008D38A6"/>
    <w:rsid w:val="008D4085"/>
    <w:rsid w:val="008D42AD"/>
    <w:rsid w:val="008D4D76"/>
    <w:rsid w:val="008D4E4D"/>
    <w:rsid w:val="008D5A78"/>
    <w:rsid w:val="008D5D3F"/>
    <w:rsid w:val="008D5FD4"/>
    <w:rsid w:val="008D64DA"/>
    <w:rsid w:val="008D73A3"/>
    <w:rsid w:val="008D74B8"/>
    <w:rsid w:val="008E07E2"/>
    <w:rsid w:val="008E1A51"/>
    <w:rsid w:val="008E2FE0"/>
    <w:rsid w:val="008E3AB3"/>
    <w:rsid w:val="008E45DF"/>
    <w:rsid w:val="008E525F"/>
    <w:rsid w:val="008F0243"/>
    <w:rsid w:val="008F289D"/>
    <w:rsid w:val="008F2ADC"/>
    <w:rsid w:val="008F38EC"/>
    <w:rsid w:val="008F3D9F"/>
    <w:rsid w:val="008F4324"/>
    <w:rsid w:val="008F5BC3"/>
    <w:rsid w:val="008F719D"/>
    <w:rsid w:val="008F7D8A"/>
    <w:rsid w:val="00901275"/>
    <w:rsid w:val="00901786"/>
    <w:rsid w:val="00902787"/>
    <w:rsid w:val="0090334E"/>
    <w:rsid w:val="00905113"/>
    <w:rsid w:val="0091092E"/>
    <w:rsid w:val="00911B5E"/>
    <w:rsid w:val="00912496"/>
    <w:rsid w:val="00912D38"/>
    <w:rsid w:val="00912F57"/>
    <w:rsid w:val="00913237"/>
    <w:rsid w:val="00913269"/>
    <w:rsid w:val="00914E37"/>
    <w:rsid w:val="0091500F"/>
    <w:rsid w:val="009153C1"/>
    <w:rsid w:val="00916AC0"/>
    <w:rsid w:val="00917732"/>
    <w:rsid w:val="00917E79"/>
    <w:rsid w:val="0092085C"/>
    <w:rsid w:val="00922344"/>
    <w:rsid w:val="00923CBB"/>
    <w:rsid w:val="00923CEC"/>
    <w:rsid w:val="009266A1"/>
    <w:rsid w:val="00931A01"/>
    <w:rsid w:val="00932786"/>
    <w:rsid w:val="009331F6"/>
    <w:rsid w:val="009334C6"/>
    <w:rsid w:val="009347E1"/>
    <w:rsid w:val="00934DE3"/>
    <w:rsid w:val="00935AD1"/>
    <w:rsid w:val="009374E7"/>
    <w:rsid w:val="00940186"/>
    <w:rsid w:val="00940642"/>
    <w:rsid w:val="00940A9A"/>
    <w:rsid w:val="00940BB6"/>
    <w:rsid w:val="00941BAF"/>
    <w:rsid w:val="00941FBA"/>
    <w:rsid w:val="00942160"/>
    <w:rsid w:val="00943B24"/>
    <w:rsid w:val="0094422B"/>
    <w:rsid w:val="0094464B"/>
    <w:rsid w:val="00945650"/>
    <w:rsid w:val="00945DCE"/>
    <w:rsid w:val="0094694A"/>
    <w:rsid w:val="009476D4"/>
    <w:rsid w:val="00951061"/>
    <w:rsid w:val="00951180"/>
    <w:rsid w:val="00952BE6"/>
    <w:rsid w:val="009532E0"/>
    <w:rsid w:val="00954900"/>
    <w:rsid w:val="009558FD"/>
    <w:rsid w:val="00955B3A"/>
    <w:rsid w:val="00957336"/>
    <w:rsid w:val="009576B0"/>
    <w:rsid w:val="009578EE"/>
    <w:rsid w:val="00960BB7"/>
    <w:rsid w:val="00963492"/>
    <w:rsid w:val="00963C95"/>
    <w:rsid w:val="00964764"/>
    <w:rsid w:val="00964DF9"/>
    <w:rsid w:val="00965D1D"/>
    <w:rsid w:val="00966661"/>
    <w:rsid w:val="009672EF"/>
    <w:rsid w:val="009673BB"/>
    <w:rsid w:val="00971313"/>
    <w:rsid w:val="00971994"/>
    <w:rsid w:val="00972A52"/>
    <w:rsid w:val="009750A8"/>
    <w:rsid w:val="0097531D"/>
    <w:rsid w:val="0097695C"/>
    <w:rsid w:val="0097734F"/>
    <w:rsid w:val="00977B1B"/>
    <w:rsid w:val="009816F8"/>
    <w:rsid w:val="009830DB"/>
    <w:rsid w:val="009831C0"/>
    <w:rsid w:val="00983522"/>
    <w:rsid w:val="00984AAE"/>
    <w:rsid w:val="0098542A"/>
    <w:rsid w:val="00987D7C"/>
    <w:rsid w:val="009900C9"/>
    <w:rsid w:val="009905B9"/>
    <w:rsid w:val="00990852"/>
    <w:rsid w:val="00990B0E"/>
    <w:rsid w:val="00991FD8"/>
    <w:rsid w:val="0099226D"/>
    <w:rsid w:val="00992455"/>
    <w:rsid w:val="00992A18"/>
    <w:rsid w:val="009935FD"/>
    <w:rsid w:val="00993C6E"/>
    <w:rsid w:val="00994911"/>
    <w:rsid w:val="00995306"/>
    <w:rsid w:val="00997446"/>
    <w:rsid w:val="009979FA"/>
    <w:rsid w:val="009A040E"/>
    <w:rsid w:val="009A3688"/>
    <w:rsid w:val="009A4F27"/>
    <w:rsid w:val="009A516A"/>
    <w:rsid w:val="009A63C6"/>
    <w:rsid w:val="009A6E6A"/>
    <w:rsid w:val="009B024D"/>
    <w:rsid w:val="009B0439"/>
    <w:rsid w:val="009B2EEF"/>
    <w:rsid w:val="009B341E"/>
    <w:rsid w:val="009B3DDE"/>
    <w:rsid w:val="009B455E"/>
    <w:rsid w:val="009B4B92"/>
    <w:rsid w:val="009B523A"/>
    <w:rsid w:val="009B5486"/>
    <w:rsid w:val="009B6879"/>
    <w:rsid w:val="009B74D7"/>
    <w:rsid w:val="009C03F3"/>
    <w:rsid w:val="009C1D81"/>
    <w:rsid w:val="009C4E5C"/>
    <w:rsid w:val="009C6056"/>
    <w:rsid w:val="009C6326"/>
    <w:rsid w:val="009D0DB7"/>
    <w:rsid w:val="009D0FB2"/>
    <w:rsid w:val="009D2775"/>
    <w:rsid w:val="009D2D54"/>
    <w:rsid w:val="009D3115"/>
    <w:rsid w:val="009D3294"/>
    <w:rsid w:val="009D3C58"/>
    <w:rsid w:val="009D42F1"/>
    <w:rsid w:val="009D4435"/>
    <w:rsid w:val="009D4867"/>
    <w:rsid w:val="009D58A4"/>
    <w:rsid w:val="009D62B1"/>
    <w:rsid w:val="009D6C48"/>
    <w:rsid w:val="009D70F8"/>
    <w:rsid w:val="009D7EA9"/>
    <w:rsid w:val="009E1B58"/>
    <w:rsid w:val="009E295C"/>
    <w:rsid w:val="009E29F5"/>
    <w:rsid w:val="009E5453"/>
    <w:rsid w:val="009E5C86"/>
    <w:rsid w:val="009E64AA"/>
    <w:rsid w:val="009E7028"/>
    <w:rsid w:val="009E7297"/>
    <w:rsid w:val="009E7F4C"/>
    <w:rsid w:val="009F03E5"/>
    <w:rsid w:val="009F1125"/>
    <w:rsid w:val="009F1A36"/>
    <w:rsid w:val="009F218B"/>
    <w:rsid w:val="009F5304"/>
    <w:rsid w:val="009F55D0"/>
    <w:rsid w:val="009F5DE3"/>
    <w:rsid w:val="009F69D9"/>
    <w:rsid w:val="009F715B"/>
    <w:rsid w:val="00A00A4C"/>
    <w:rsid w:val="00A00CFB"/>
    <w:rsid w:val="00A00F47"/>
    <w:rsid w:val="00A020E5"/>
    <w:rsid w:val="00A02C9A"/>
    <w:rsid w:val="00A0413B"/>
    <w:rsid w:val="00A04E0C"/>
    <w:rsid w:val="00A10624"/>
    <w:rsid w:val="00A115EB"/>
    <w:rsid w:val="00A12433"/>
    <w:rsid w:val="00A1413E"/>
    <w:rsid w:val="00A15FD3"/>
    <w:rsid w:val="00A16965"/>
    <w:rsid w:val="00A17FCB"/>
    <w:rsid w:val="00A17FF3"/>
    <w:rsid w:val="00A22D11"/>
    <w:rsid w:val="00A22D4F"/>
    <w:rsid w:val="00A26ADE"/>
    <w:rsid w:val="00A26CC0"/>
    <w:rsid w:val="00A274EF"/>
    <w:rsid w:val="00A30ABB"/>
    <w:rsid w:val="00A3139A"/>
    <w:rsid w:val="00A31444"/>
    <w:rsid w:val="00A31ADC"/>
    <w:rsid w:val="00A31FD0"/>
    <w:rsid w:val="00A331E8"/>
    <w:rsid w:val="00A33C31"/>
    <w:rsid w:val="00A33DE4"/>
    <w:rsid w:val="00A356E8"/>
    <w:rsid w:val="00A36F01"/>
    <w:rsid w:val="00A42050"/>
    <w:rsid w:val="00A425F3"/>
    <w:rsid w:val="00A431CF"/>
    <w:rsid w:val="00A4323B"/>
    <w:rsid w:val="00A43EBD"/>
    <w:rsid w:val="00A4471A"/>
    <w:rsid w:val="00A461FC"/>
    <w:rsid w:val="00A46D08"/>
    <w:rsid w:val="00A4732F"/>
    <w:rsid w:val="00A47486"/>
    <w:rsid w:val="00A47E10"/>
    <w:rsid w:val="00A51C7A"/>
    <w:rsid w:val="00A521BF"/>
    <w:rsid w:val="00A531B1"/>
    <w:rsid w:val="00A537E1"/>
    <w:rsid w:val="00A55D39"/>
    <w:rsid w:val="00A56AB3"/>
    <w:rsid w:val="00A57706"/>
    <w:rsid w:val="00A57C82"/>
    <w:rsid w:val="00A60181"/>
    <w:rsid w:val="00A60793"/>
    <w:rsid w:val="00A60F4F"/>
    <w:rsid w:val="00A6148C"/>
    <w:rsid w:val="00A614D1"/>
    <w:rsid w:val="00A615D4"/>
    <w:rsid w:val="00A61701"/>
    <w:rsid w:val="00A638EF"/>
    <w:rsid w:val="00A6418B"/>
    <w:rsid w:val="00A66824"/>
    <w:rsid w:val="00A67522"/>
    <w:rsid w:val="00A701FA"/>
    <w:rsid w:val="00A713EB"/>
    <w:rsid w:val="00A724C7"/>
    <w:rsid w:val="00A72F9C"/>
    <w:rsid w:val="00A73FF4"/>
    <w:rsid w:val="00A804D8"/>
    <w:rsid w:val="00A8080E"/>
    <w:rsid w:val="00A8299D"/>
    <w:rsid w:val="00A8384E"/>
    <w:rsid w:val="00A84E17"/>
    <w:rsid w:val="00A85440"/>
    <w:rsid w:val="00A86506"/>
    <w:rsid w:val="00A87200"/>
    <w:rsid w:val="00A87E2A"/>
    <w:rsid w:val="00A90453"/>
    <w:rsid w:val="00A9091F"/>
    <w:rsid w:val="00A91203"/>
    <w:rsid w:val="00A91B05"/>
    <w:rsid w:val="00A91E1F"/>
    <w:rsid w:val="00A9204A"/>
    <w:rsid w:val="00A93557"/>
    <w:rsid w:val="00A96BB2"/>
    <w:rsid w:val="00A974AA"/>
    <w:rsid w:val="00AA0349"/>
    <w:rsid w:val="00AA1857"/>
    <w:rsid w:val="00AA314C"/>
    <w:rsid w:val="00AA351E"/>
    <w:rsid w:val="00AA455D"/>
    <w:rsid w:val="00AA4BD6"/>
    <w:rsid w:val="00AA6548"/>
    <w:rsid w:val="00AA6DF7"/>
    <w:rsid w:val="00AA780D"/>
    <w:rsid w:val="00AA7A33"/>
    <w:rsid w:val="00AB0F16"/>
    <w:rsid w:val="00AB220A"/>
    <w:rsid w:val="00AB2A97"/>
    <w:rsid w:val="00AB36B7"/>
    <w:rsid w:val="00AB42BD"/>
    <w:rsid w:val="00AB5609"/>
    <w:rsid w:val="00AB5ED6"/>
    <w:rsid w:val="00AB634B"/>
    <w:rsid w:val="00AB6A0C"/>
    <w:rsid w:val="00AB7F9A"/>
    <w:rsid w:val="00AC082A"/>
    <w:rsid w:val="00AC0F75"/>
    <w:rsid w:val="00AC10FE"/>
    <w:rsid w:val="00AC1126"/>
    <w:rsid w:val="00AC1502"/>
    <w:rsid w:val="00AC392B"/>
    <w:rsid w:val="00AC5168"/>
    <w:rsid w:val="00AC62F4"/>
    <w:rsid w:val="00AD0D07"/>
    <w:rsid w:val="00AD0E36"/>
    <w:rsid w:val="00AD29A5"/>
    <w:rsid w:val="00AD375A"/>
    <w:rsid w:val="00AD47C1"/>
    <w:rsid w:val="00AD47C2"/>
    <w:rsid w:val="00AD586F"/>
    <w:rsid w:val="00AD6671"/>
    <w:rsid w:val="00AE2691"/>
    <w:rsid w:val="00AE2781"/>
    <w:rsid w:val="00AE2C6A"/>
    <w:rsid w:val="00AE33D9"/>
    <w:rsid w:val="00AE35F3"/>
    <w:rsid w:val="00AE4ABA"/>
    <w:rsid w:val="00AE4CE7"/>
    <w:rsid w:val="00AE72C1"/>
    <w:rsid w:val="00AE7C0C"/>
    <w:rsid w:val="00AE7C96"/>
    <w:rsid w:val="00AE7E7C"/>
    <w:rsid w:val="00AF0057"/>
    <w:rsid w:val="00AF0259"/>
    <w:rsid w:val="00AF19A2"/>
    <w:rsid w:val="00AF1C86"/>
    <w:rsid w:val="00AF431F"/>
    <w:rsid w:val="00AF433E"/>
    <w:rsid w:val="00AF48FC"/>
    <w:rsid w:val="00AF4AF7"/>
    <w:rsid w:val="00AF4F1F"/>
    <w:rsid w:val="00AF5B82"/>
    <w:rsid w:val="00AF66C5"/>
    <w:rsid w:val="00AF744B"/>
    <w:rsid w:val="00AF76D0"/>
    <w:rsid w:val="00B01581"/>
    <w:rsid w:val="00B0184B"/>
    <w:rsid w:val="00B025E5"/>
    <w:rsid w:val="00B02782"/>
    <w:rsid w:val="00B02CCB"/>
    <w:rsid w:val="00B046E3"/>
    <w:rsid w:val="00B10238"/>
    <w:rsid w:val="00B10C6E"/>
    <w:rsid w:val="00B11147"/>
    <w:rsid w:val="00B11E44"/>
    <w:rsid w:val="00B1334F"/>
    <w:rsid w:val="00B1364D"/>
    <w:rsid w:val="00B14000"/>
    <w:rsid w:val="00B14861"/>
    <w:rsid w:val="00B1487D"/>
    <w:rsid w:val="00B1571B"/>
    <w:rsid w:val="00B1622C"/>
    <w:rsid w:val="00B200A9"/>
    <w:rsid w:val="00B204D6"/>
    <w:rsid w:val="00B20A85"/>
    <w:rsid w:val="00B211F5"/>
    <w:rsid w:val="00B21D08"/>
    <w:rsid w:val="00B2269A"/>
    <w:rsid w:val="00B22879"/>
    <w:rsid w:val="00B2334D"/>
    <w:rsid w:val="00B2485C"/>
    <w:rsid w:val="00B25E27"/>
    <w:rsid w:val="00B27334"/>
    <w:rsid w:val="00B273B0"/>
    <w:rsid w:val="00B276A9"/>
    <w:rsid w:val="00B27A6E"/>
    <w:rsid w:val="00B305CA"/>
    <w:rsid w:val="00B3113D"/>
    <w:rsid w:val="00B321DE"/>
    <w:rsid w:val="00B33165"/>
    <w:rsid w:val="00B34C7A"/>
    <w:rsid w:val="00B34FAF"/>
    <w:rsid w:val="00B35681"/>
    <w:rsid w:val="00B36551"/>
    <w:rsid w:val="00B36563"/>
    <w:rsid w:val="00B3725B"/>
    <w:rsid w:val="00B37812"/>
    <w:rsid w:val="00B403B7"/>
    <w:rsid w:val="00B40D19"/>
    <w:rsid w:val="00B4107E"/>
    <w:rsid w:val="00B41B3B"/>
    <w:rsid w:val="00B42702"/>
    <w:rsid w:val="00B438C7"/>
    <w:rsid w:val="00B4460E"/>
    <w:rsid w:val="00B45259"/>
    <w:rsid w:val="00B4754C"/>
    <w:rsid w:val="00B50BA7"/>
    <w:rsid w:val="00B50DCE"/>
    <w:rsid w:val="00B510A2"/>
    <w:rsid w:val="00B52D6B"/>
    <w:rsid w:val="00B54654"/>
    <w:rsid w:val="00B55847"/>
    <w:rsid w:val="00B60A03"/>
    <w:rsid w:val="00B61A7E"/>
    <w:rsid w:val="00B64329"/>
    <w:rsid w:val="00B65353"/>
    <w:rsid w:val="00B66A59"/>
    <w:rsid w:val="00B66C38"/>
    <w:rsid w:val="00B70648"/>
    <w:rsid w:val="00B707E2"/>
    <w:rsid w:val="00B70D58"/>
    <w:rsid w:val="00B71D6F"/>
    <w:rsid w:val="00B72405"/>
    <w:rsid w:val="00B7277B"/>
    <w:rsid w:val="00B730D9"/>
    <w:rsid w:val="00B733EA"/>
    <w:rsid w:val="00B741EB"/>
    <w:rsid w:val="00B756CA"/>
    <w:rsid w:val="00B757AE"/>
    <w:rsid w:val="00B7597B"/>
    <w:rsid w:val="00B76A0D"/>
    <w:rsid w:val="00B76CA7"/>
    <w:rsid w:val="00B7794E"/>
    <w:rsid w:val="00B80167"/>
    <w:rsid w:val="00B80AD0"/>
    <w:rsid w:val="00B81B98"/>
    <w:rsid w:val="00B83081"/>
    <w:rsid w:val="00B83185"/>
    <w:rsid w:val="00B834AD"/>
    <w:rsid w:val="00B843A3"/>
    <w:rsid w:val="00B8517B"/>
    <w:rsid w:val="00B865E2"/>
    <w:rsid w:val="00B933B2"/>
    <w:rsid w:val="00B936A9"/>
    <w:rsid w:val="00B940CD"/>
    <w:rsid w:val="00B94773"/>
    <w:rsid w:val="00B94C1D"/>
    <w:rsid w:val="00B95514"/>
    <w:rsid w:val="00B958C5"/>
    <w:rsid w:val="00B97BCC"/>
    <w:rsid w:val="00BA0E10"/>
    <w:rsid w:val="00BA1E6A"/>
    <w:rsid w:val="00BA2526"/>
    <w:rsid w:val="00BA31C8"/>
    <w:rsid w:val="00BA347A"/>
    <w:rsid w:val="00BA39FC"/>
    <w:rsid w:val="00BA3B04"/>
    <w:rsid w:val="00BA3EE7"/>
    <w:rsid w:val="00BA4C71"/>
    <w:rsid w:val="00BA578E"/>
    <w:rsid w:val="00BA584B"/>
    <w:rsid w:val="00BA5ADE"/>
    <w:rsid w:val="00BB1823"/>
    <w:rsid w:val="00BB1EF9"/>
    <w:rsid w:val="00BB283D"/>
    <w:rsid w:val="00BB2C7E"/>
    <w:rsid w:val="00BB5FE0"/>
    <w:rsid w:val="00BB7175"/>
    <w:rsid w:val="00BB7E98"/>
    <w:rsid w:val="00BC2269"/>
    <w:rsid w:val="00BC237E"/>
    <w:rsid w:val="00BC36D3"/>
    <w:rsid w:val="00BC3F87"/>
    <w:rsid w:val="00BC54FD"/>
    <w:rsid w:val="00BC6AD7"/>
    <w:rsid w:val="00BC709E"/>
    <w:rsid w:val="00BC76E7"/>
    <w:rsid w:val="00BD05FE"/>
    <w:rsid w:val="00BD1E01"/>
    <w:rsid w:val="00BD25B4"/>
    <w:rsid w:val="00BD2C71"/>
    <w:rsid w:val="00BD363F"/>
    <w:rsid w:val="00BD3DD3"/>
    <w:rsid w:val="00BD3F22"/>
    <w:rsid w:val="00BD6CCA"/>
    <w:rsid w:val="00BD7C00"/>
    <w:rsid w:val="00BE029F"/>
    <w:rsid w:val="00BE092E"/>
    <w:rsid w:val="00BE1C0D"/>
    <w:rsid w:val="00BE1E14"/>
    <w:rsid w:val="00BE1F25"/>
    <w:rsid w:val="00BE5132"/>
    <w:rsid w:val="00BE6003"/>
    <w:rsid w:val="00BF0420"/>
    <w:rsid w:val="00BF044C"/>
    <w:rsid w:val="00BF1DB6"/>
    <w:rsid w:val="00BF2B79"/>
    <w:rsid w:val="00BF34B4"/>
    <w:rsid w:val="00BF451D"/>
    <w:rsid w:val="00BF4C68"/>
    <w:rsid w:val="00BF5B4F"/>
    <w:rsid w:val="00BF6211"/>
    <w:rsid w:val="00BF6866"/>
    <w:rsid w:val="00BF69D7"/>
    <w:rsid w:val="00BF7340"/>
    <w:rsid w:val="00BF7869"/>
    <w:rsid w:val="00BF79D3"/>
    <w:rsid w:val="00BF7FC2"/>
    <w:rsid w:val="00C0103E"/>
    <w:rsid w:val="00C01813"/>
    <w:rsid w:val="00C01C4F"/>
    <w:rsid w:val="00C022B1"/>
    <w:rsid w:val="00C0373E"/>
    <w:rsid w:val="00C040CB"/>
    <w:rsid w:val="00C04646"/>
    <w:rsid w:val="00C06D0C"/>
    <w:rsid w:val="00C07294"/>
    <w:rsid w:val="00C1216D"/>
    <w:rsid w:val="00C13284"/>
    <w:rsid w:val="00C14298"/>
    <w:rsid w:val="00C15EF3"/>
    <w:rsid w:val="00C200D7"/>
    <w:rsid w:val="00C20AAF"/>
    <w:rsid w:val="00C21359"/>
    <w:rsid w:val="00C21F67"/>
    <w:rsid w:val="00C229F5"/>
    <w:rsid w:val="00C26B0C"/>
    <w:rsid w:val="00C30665"/>
    <w:rsid w:val="00C30AEC"/>
    <w:rsid w:val="00C326B6"/>
    <w:rsid w:val="00C3375E"/>
    <w:rsid w:val="00C33DEB"/>
    <w:rsid w:val="00C34BAD"/>
    <w:rsid w:val="00C35837"/>
    <w:rsid w:val="00C36445"/>
    <w:rsid w:val="00C379C6"/>
    <w:rsid w:val="00C407EE"/>
    <w:rsid w:val="00C414D7"/>
    <w:rsid w:val="00C4182F"/>
    <w:rsid w:val="00C41BDA"/>
    <w:rsid w:val="00C43AC8"/>
    <w:rsid w:val="00C43ACD"/>
    <w:rsid w:val="00C46E7D"/>
    <w:rsid w:val="00C50F15"/>
    <w:rsid w:val="00C51DAA"/>
    <w:rsid w:val="00C52211"/>
    <w:rsid w:val="00C52DDB"/>
    <w:rsid w:val="00C52FD3"/>
    <w:rsid w:val="00C52FD6"/>
    <w:rsid w:val="00C54365"/>
    <w:rsid w:val="00C54E4C"/>
    <w:rsid w:val="00C56C4F"/>
    <w:rsid w:val="00C57BFE"/>
    <w:rsid w:val="00C57EEE"/>
    <w:rsid w:val="00C60788"/>
    <w:rsid w:val="00C614D2"/>
    <w:rsid w:val="00C62E49"/>
    <w:rsid w:val="00C62F7D"/>
    <w:rsid w:val="00C63F52"/>
    <w:rsid w:val="00C6410F"/>
    <w:rsid w:val="00C64EF4"/>
    <w:rsid w:val="00C650CF"/>
    <w:rsid w:val="00C65581"/>
    <w:rsid w:val="00C65E67"/>
    <w:rsid w:val="00C708F2"/>
    <w:rsid w:val="00C71F22"/>
    <w:rsid w:val="00C73736"/>
    <w:rsid w:val="00C73E6F"/>
    <w:rsid w:val="00C745B5"/>
    <w:rsid w:val="00C74FE9"/>
    <w:rsid w:val="00C76206"/>
    <w:rsid w:val="00C76C09"/>
    <w:rsid w:val="00C77029"/>
    <w:rsid w:val="00C77402"/>
    <w:rsid w:val="00C816B9"/>
    <w:rsid w:val="00C81A04"/>
    <w:rsid w:val="00C8226D"/>
    <w:rsid w:val="00C828CB"/>
    <w:rsid w:val="00C8326E"/>
    <w:rsid w:val="00C8433F"/>
    <w:rsid w:val="00C853FB"/>
    <w:rsid w:val="00C85466"/>
    <w:rsid w:val="00C8651D"/>
    <w:rsid w:val="00C9084F"/>
    <w:rsid w:val="00C908D9"/>
    <w:rsid w:val="00C916ED"/>
    <w:rsid w:val="00C92EFC"/>
    <w:rsid w:val="00C93891"/>
    <w:rsid w:val="00C93CD0"/>
    <w:rsid w:val="00C93EB4"/>
    <w:rsid w:val="00C94591"/>
    <w:rsid w:val="00C94E82"/>
    <w:rsid w:val="00C950A3"/>
    <w:rsid w:val="00C95ED9"/>
    <w:rsid w:val="00C96EC6"/>
    <w:rsid w:val="00CA0966"/>
    <w:rsid w:val="00CA0C01"/>
    <w:rsid w:val="00CA1610"/>
    <w:rsid w:val="00CA1CB1"/>
    <w:rsid w:val="00CA21C8"/>
    <w:rsid w:val="00CA402F"/>
    <w:rsid w:val="00CA4117"/>
    <w:rsid w:val="00CA4150"/>
    <w:rsid w:val="00CA4362"/>
    <w:rsid w:val="00CA472E"/>
    <w:rsid w:val="00CA6562"/>
    <w:rsid w:val="00CA74A4"/>
    <w:rsid w:val="00CA7ADF"/>
    <w:rsid w:val="00CB14CC"/>
    <w:rsid w:val="00CB25DF"/>
    <w:rsid w:val="00CB29CA"/>
    <w:rsid w:val="00CB3BA5"/>
    <w:rsid w:val="00CB44F4"/>
    <w:rsid w:val="00CB4968"/>
    <w:rsid w:val="00CB4B5D"/>
    <w:rsid w:val="00CB50DC"/>
    <w:rsid w:val="00CB5833"/>
    <w:rsid w:val="00CB5D7B"/>
    <w:rsid w:val="00CB682E"/>
    <w:rsid w:val="00CB6D64"/>
    <w:rsid w:val="00CB7F66"/>
    <w:rsid w:val="00CC0A4F"/>
    <w:rsid w:val="00CC1DBC"/>
    <w:rsid w:val="00CC3BC2"/>
    <w:rsid w:val="00CC3F8D"/>
    <w:rsid w:val="00CC5762"/>
    <w:rsid w:val="00CC7856"/>
    <w:rsid w:val="00CC786C"/>
    <w:rsid w:val="00CC7B42"/>
    <w:rsid w:val="00CD055F"/>
    <w:rsid w:val="00CD1DE2"/>
    <w:rsid w:val="00CD3E8C"/>
    <w:rsid w:val="00CD55DD"/>
    <w:rsid w:val="00CD6502"/>
    <w:rsid w:val="00CD6792"/>
    <w:rsid w:val="00CD7072"/>
    <w:rsid w:val="00CD78C0"/>
    <w:rsid w:val="00CE12B4"/>
    <w:rsid w:val="00CE15FB"/>
    <w:rsid w:val="00CE2F1D"/>
    <w:rsid w:val="00CE450F"/>
    <w:rsid w:val="00CE47F4"/>
    <w:rsid w:val="00CE4E4E"/>
    <w:rsid w:val="00CE4FA8"/>
    <w:rsid w:val="00CE50A4"/>
    <w:rsid w:val="00CE5296"/>
    <w:rsid w:val="00CE66D1"/>
    <w:rsid w:val="00CE748E"/>
    <w:rsid w:val="00CF09E6"/>
    <w:rsid w:val="00CF1644"/>
    <w:rsid w:val="00CF1B00"/>
    <w:rsid w:val="00CF27C9"/>
    <w:rsid w:val="00CF40CA"/>
    <w:rsid w:val="00CF40DB"/>
    <w:rsid w:val="00CF50F6"/>
    <w:rsid w:val="00CF554E"/>
    <w:rsid w:val="00CF58C4"/>
    <w:rsid w:val="00CF5C5C"/>
    <w:rsid w:val="00CF6485"/>
    <w:rsid w:val="00CF6F8F"/>
    <w:rsid w:val="00CF7D0C"/>
    <w:rsid w:val="00D02FD3"/>
    <w:rsid w:val="00D034A9"/>
    <w:rsid w:val="00D04896"/>
    <w:rsid w:val="00D057E8"/>
    <w:rsid w:val="00D05960"/>
    <w:rsid w:val="00D05B60"/>
    <w:rsid w:val="00D07C27"/>
    <w:rsid w:val="00D07C9B"/>
    <w:rsid w:val="00D10215"/>
    <w:rsid w:val="00D10380"/>
    <w:rsid w:val="00D10F1A"/>
    <w:rsid w:val="00D11162"/>
    <w:rsid w:val="00D1222C"/>
    <w:rsid w:val="00D1465B"/>
    <w:rsid w:val="00D153C3"/>
    <w:rsid w:val="00D15A43"/>
    <w:rsid w:val="00D1695A"/>
    <w:rsid w:val="00D16A29"/>
    <w:rsid w:val="00D17E55"/>
    <w:rsid w:val="00D20235"/>
    <w:rsid w:val="00D209FA"/>
    <w:rsid w:val="00D20D60"/>
    <w:rsid w:val="00D22B43"/>
    <w:rsid w:val="00D22D60"/>
    <w:rsid w:val="00D232A9"/>
    <w:rsid w:val="00D2348F"/>
    <w:rsid w:val="00D239B5"/>
    <w:rsid w:val="00D26187"/>
    <w:rsid w:val="00D26D79"/>
    <w:rsid w:val="00D3109B"/>
    <w:rsid w:val="00D311BD"/>
    <w:rsid w:val="00D312C3"/>
    <w:rsid w:val="00D31A5D"/>
    <w:rsid w:val="00D32A44"/>
    <w:rsid w:val="00D334A9"/>
    <w:rsid w:val="00D33577"/>
    <w:rsid w:val="00D3422D"/>
    <w:rsid w:val="00D343DD"/>
    <w:rsid w:val="00D34F66"/>
    <w:rsid w:val="00D35A53"/>
    <w:rsid w:val="00D4070C"/>
    <w:rsid w:val="00D407B3"/>
    <w:rsid w:val="00D41804"/>
    <w:rsid w:val="00D41BDB"/>
    <w:rsid w:val="00D4459E"/>
    <w:rsid w:val="00D451BD"/>
    <w:rsid w:val="00D46518"/>
    <w:rsid w:val="00D46B99"/>
    <w:rsid w:val="00D47171"/>
    <w:rsid w:val="00D47A21"/>
    <w:rsid w:val="00D50412"/>
    <w:rsid w:val="00D50731"/>
    <w:rsid w:val="00D542FF"/>
    <w:rsid w:val="00D54AFD"/>
    <w:rsid w:val="00D561B4"/>
    <w:rsid w:val="00D56DB3"/>
    <w:rsid w:val="00D5780C"/>
    <w:rsid w:val="00D60BDF"/>
    <w:rsid w:val="00D614B3"/>
    <w:rsid w:val="00D61E5F"/>
    <w:rsid w:val="00D62975"/>
    <w:rsid w:val="00D62C26"/>
    <w:rsid w:val="00D6389A"/>
    <w:rsid w:val="00D63FFA"/>
    <w:rsid w:val="00D646D6"/>
    <w:rsid w:val="00D64751"/>
    <w:rsid w:val="00D650E3"/>
    <w:rsid w:val="00D6599D"/>
    <w:rsid w:val="00D65B45"/>
    <w:rsid w:val="00D672D6"/>
    <w:rsid w:val="00D6760D"/>
    <w:rsid w:val="00D67CAF"/>
    <w:rsid w:val="00D70C05"/>
    <w:rsid w:val="00D716EB"/>
    <w:rsid w:val="00D71AAE"/>
    <w:rsid w:val="00D71D78"/>
    <w:rsid w:val="00D7229F"/>
    <w:rsid w:val="00D730FE"/>
    <w:rsid w:val="00D734B4"/>
    <w:rsid w:val="00D73793"/>
    <w:rsid w:val="00D74418"/>
    <w:rsid w:val="00D74A47"/>
    <w:rsid w:val="00D74FF6"/>
    <w:rsid w:val="00D75D75"/>
    <w:rsid w:val="00D766FE"/>
    <w:rsid w:val="00D77D48"/>
    <w:rsid w:val="00D77F07"/>
    <w:rsid w:val="00D80912"/>
    <w:rsid w:val="00D80DA7"/>
    <w:rsid w:val="00D80F32"/>
    <w:rsid w:val="00D81DB6"/>
    <w:rsid w:val="00D82D4F"/>
    <w:rsid w:val="00D85ECA"/>
    <w:rsid w:val="00D860D5"/>
    <w:rsid w:val="00D868CD"/>
    <w:rsid w:val="00D86F2C"/>
    <w:rsid w:val="00D86FA9"/>
    <w:rsid w:val="00D87956"/>
    <w:rsid w:val="00D87D2A"/>
    <w:rsid w:val="00D904F5"/>
    <w:rsid w:val="00D95048"/>
    <w:rsid w:val="00D95704"/>
    <w:rsid w:val="00D96FB7"/>
    <w:rsid w:val="00D9719D"/>
    <w:rsid w:val="00DA20CE"/>
    <w:rsid w:val="00DA420D"/>
    <w:rsid w:val="00DA51D6"/>
    <w:rsid w:val="00DA53E7"/>
    <w:rsid w:val="00DA5A7D"/>
    <w:rsid w:val="00DA7E3D"/>
    <w:rsid w:val="00DA7EEA"/>
    <w:rsid w:val="00DB0371"/>
    <w:rsid w:val="00DB08FE"/>
    <w:rsid w:val="00DB2429"/>
    <w:rsid w:val="00DB481C"/>
    <w:rsid w:val="00DB494D"/>
    <w:rsid w:val="00DB4E05"/>
    <w:rsid w:val="00DB5E57"/>
    <w:rsid w:val="00DB6027"/>
    <w:rsid w:val="00DB62B9"/>
    <w:rsid w:val="00DC0D8C"/>
    <w:rsid w:val="00DC167B"/>
    <w:rsid w:val="00DC1720"/>
    <w:rsid w:val="00DC184D"/>
    <w:rsid w:val="00DC1D17"/>
    <w:rsid w:val="00DC3F91"/>
    <w:rsid w:val="00DC3FF9"/>
    <w:rsid w:val="00DC4EFB"/>
    <w:rsid w:val="00DC534E"/>
    <w:rsid w:val="00DC5AE7"/>
    <w:rsid w:val="00DC6EC4"/>
    <w:rsid w:val="00DD26D4"/>
    <w:rsid w:val="00DD2B60"/>
    <w:rsid w:val="00DD3341"/>
    <w:rsid w:val="00DD4186"/>
    <w:rsid w:val="00DD50BB"/>
    <w:rsid w:val="00DD5BAE"/>
    <w:rsid w:val="00DD6D08"/>
    <w:rsid w:val="00DD7DBE"/>
    <w:rsid w:val="00DD7F18"/>
    <w:rsid w:val="00DE06B9"/>
    <w:rsid w:val="00DE0DD5"/>
    <w:rsid w:val="00DE1714"/>
    <w:rsid w:val="00DE1A9D"/>
    <w:rsid w:val="00DE2D21"/>
    <w:rsid w:val="00DE328C"/>
    <w:rsid w:val="00DE3904"/>
    <w:rsid w:val="00DE4873"/>
    <w:rsid w:val="00DE4F51"/>
    <w:rsid w:val="00DE5272"/>
    <w:rsid w:val="00DE6AF3"/>
    <w:rsid w:val="00DE77AD"/>
    <w:rsid w:val="00DF0FDA"/>
    <w:rsid w:val="00DF1574"/>
    <w:rsid w:val="00DF3CCF"/>
    <w:rsid w:val="00DF5D1B"/>
    <w:rsid w:val="00DF683C"/>
    <w:rsid w:val="00DF6E90"/>
    <w:rsid w:val="00DF7943"/>
    <w:rsid w:val="00DF7C18"/>
    <w:rsid w:val="00E001DA"/>
    <w:rsid w:val="00E0064D"/>
    <w:rsid w:val="00E00B4A"/>
    <w:rsid w:val="00E010AF"/>
    <w:rsid w:val="00E01BFD"/>
    <w:rsid w:val="00E02981"/>
    <w:rsid w:val="00E03272"/>
    <w:rsid w:val="00E04017"/>
    <w:rsid w:val="00E040C6"/>
    <w:rsid w:val="00E04903"/>
    <w:rsid w:val="00E051DC"/>
    <w:rsid w:val="00E05DCB"/>
    <w:rsid w:val="00E072D9"/>
    <w:rsid w:val="00E11804"/>
    <w:rsid w:val="00E148CD"/>
    <w:rsid w:val="00E151F4"/>
    <w:rsid w:val="00E16728"/>
    <w:rsid w:val="00E1683D"/>
    <w:rsid w:val="00E16AEB"/>
    <w:rsid w:val="00E20522"/>
    <w:rsid w:val="00E20A00"/>
    <w:rsid w:val="00E20B1C"/>
    <w:rsid w:val="00E20C65"/>
    <w:rsid w:val="00E22C50"/>
    <w:rsid w:val="00E235C5"/>
    <w:rsid w:val="00E23F85"/>
    <w:rsid w:val="00E24847"/>
    <w:rsid w:val="00E25422"/>
    <w:rsid w:val="00E26A49"/>
    <w:rsid w:val="00E30097"/>
    <w:rsid w:val="00E300D1"/>
    <w:rsid w:val="00E3070F"/>
    <w:rsid w:val="00E30740"/>
    <w:rsid w:val="00E3074F"/>
    <w:rsid w:val="00E314A0"/>
    <w:rsid w:val="00E32269"/>
    <w:rsid w:val="00E3527D"/>
    <w:rsid w:val="00E36487"/>
    <w:rsid w:val="00E408C9"/>
    <w:rsid w:val="00E425DA"/>
    <w:rsid w:val="00E432EE"/>
    <w:rsid w:val="00E44AD4"/>
    <w:rsid w:val="00E46349"/>
    <w:rsid w:val="00E4649D"/>
    <w:rsid w:val="00E46B56"/>
    <w:rsid w:val="00E47CC5"/>
    <w:rsid w:val="00E502FA"/>
    <w:rsid w:val="00E504B2"/>
    <w:rsid w:val="00E50775"/>
    <w:rsid w:val="00E510E3"/>
    <w:rsid w:val="00E5329E"/>
    <w:rsid w:val="00E53D3D"/>
    <w:rsid w:val="00E54E78"/>
    <w:rsid w:val="00E56701"/>
    <w:rsid w:val="00E57956"/>
    <w:rsid w:val="00E60893"/>
    <w:rsid w:val="00E62DB2"/>
    <w:rsid w:val="00E63835"/>
    <w:rsid w:val="00E63AC0"/>
    <w:rsid w:val="00E63CA3"/>
    <w:rsid w:val="00E64C6C"/>
    <w:rsid w:val="00E64D28"/>
    <w:rsid w:val="00E651C8"/>
    <w:rsid w:val="00E6548B"/>
    <w:rsid w:val="00E65787"/>
    <w:rsid w:val="00E66BB6"/>
    <w:rsid w:val="00E6739F"/>
    <w:rsid w:val="00E67FB6"/>
    <w:rsid w:val="00E7061C"/>
    <w:rsid w:val="00E719DC"/>
    <w:rsid w:val="00E71E0E"/>
    <w:rsid w:val="00E72031"/>
    <w:rsid w:val="00E725AF"/>
    <w:rsid w:val="00E72F63"/>
    <w:rsid w:val="00E7367A"/>
    <w:rsid w:val="00E7379B"/>
    <w:rsid w:val="00E73C7A"/>
    <w:rsid w:val="00E75155"/>
    <w:rsid w:val="00E752AA"/>
    <w:rsid w:val="00E76AE5"/>
    <w:rsid w:val="00E77291"/>
    <w:rsid w:val="00E819C9"/>
    <w:rsid w:val="00E83B38"/>
    <w:rsid w:val="00E83ED6"/>
    <w:rsid w:val="00E8483A"/>
    <w:rsid w:val="00E84987"/>
    <w:rsid w:val="00E84A89"/>
    <w:rsid w:val="00E84CDC"/>
    <w:rsid w:val="00E85A3B"/>
    <w:rsid w:val="00E873A9"/>
    <w:rsid w:val="00E91A2D"/>
    <w:rsid w:val="00E91C5F"/>
    <w:rsid w:val="00E91D8A"/>
    <w:rsid w:val="00E91FCA"/>
    <w:rsid w:val="00E93355"/>
    <w:rsid w:val="00E944F8"/>
    <w:rsid w:val="00E9507A"/>
    <w:rsid w:val="00E9610A"/>
    <w:rsid w:val="00E964CF"/>
    <w:rsid w:val="00E966B6"/>
    <w:rsid w:val="00E96CFD"/>
    <w:rsid w:val="00E97944"/>
    <w:rsid w:val="00E97AC3"/>
    <w:rsid w:val="00E97BDF"/>
    <w:rsid w:val="00EA0758"/>
    <w:rsid w:val="00EA0813"/>
    <w:rsid w:val="00EA258D"/>
    <w:rsid w:val="00EA25B5"/>
    <w:rsid w:val="00EA2629"/>
    <w:rsid w:val="00EA2B4E"/>
    <w:rsid w:val="00EA555F"/>
    <w:rsid w:val="00EA69C0"/>
    <w:rsid w:val="00EA7AEF"/>
    <w:rsid w:val="00EA7BFD"/>
    <w:rsid w:val="00EA7C14"/>
    <w:rsid w:val="00EB0490"/>
    <w:rsid w:val="00EB18DF"/>
    <w:rsid w:val="00EB1C62"/>
    <w:rsid w:val="00EB1D17"/>
    <w:rsid w:val="00EB226A"/>
    <w:rsid w:val="00EB349D"/>
    <w:rsid w:val="00EB42D6"/>
    <w:rsid w:val="00EB44B6"/>
    <w:rsid w:val="00EB5401"/>
    <w:rsid w:val="00EB7AA7"/>
    <w:rsid w:val="00EC0205"/>
    <w:rsid w:val="00EC0B88"/>
    <w:rsid w:val="00EC226D"/>
    <w:rsid w:val="00EC2E7C"/>
    <w:rsid w:val="00EC5001"/>
    <w:rsid w:val="00EC54CE"/>
    <w:rsid w:val="00EC6554"/>
    <w:rsid w:val="00EC70B7"/>
    <w:rsid w:val="00EC7AFD"/>
    <w:rsid w:val="00ED0803"/>
    <w:rsid w:val="00ED0BEC"/>
    <w:rsid w:val="00ED1880"/>
    <w:rsid w:val="00ED2599"/>
    <w:rsid w:val="00ED463C"/>
    <w:rsid w:val="00ED4C01"/>
    <w:rsid w:val="00ED51CB"/>
    <w:rsid w:val="00ED694E"/>
    <w:rsid w:val="00ED7A92"/>
    <w:rsid w:val="00EE0630"/>
    <w:rsid w:val="00EE15BD"/>
    <w:rsid w:val="00EE1DBA"/>
    <w:rsid w:val="00EE21F7"/>
    <w:rsid w:val="00EE256F"/>
    <w:rsid w:val="00EE267A"/>
    <w:rsid w:val="00EE26FA"/>
    <w:rsid w:val="00EE4F51"/>
    <w:rsid w:val="00EE58BF"/>
    <w:rsid w:val="00EE59DC"/>
    <w:rsid w:val="00EE6827"/>
    <w:rsid w:val="00EE79A9"/>
    <w:rsid w:val="00EF0249"/>
    <w:rsid w:val="00EF048F"/>
    <w:rsid w:val="00EF079F"/>
    <w:rsid w:val="00EF5BE8"/>
    <w:rsid w:val="00EF5FB5"/>
    <w:rsid w:val="00EF6A9B"/>
    <w:rsid w:val="00EF6C17"/>
    <w:rsid w:val="00EF6E6C"/>
    <w:rsid w:val="00F02DE1"/>
    <w:rsid w:val="00F038EB"/>
    <w:rsid w:val="00F03A6F"/>
    <w:rsid w:val="00F04AD5"/>
    <w:rsid w:val="00F04EE9"/>
    <w:rsid w:val="00F053AB"/>
    <w:rsid w:val="00F058AE"/>
    <w:rsid w:val="00F05F22"/>
    <w:rsid w:val="00F06780"/>
    <w:rsid w:val="00F0705D"/>
    <w:rsid w:val="00F10950"/>
    <w:rsid w:val="00F111AD"/>
    <w:rsid w:val="00F112FA"/>
    <w:rsid w:val="00F13187"/>
    <w:rsid w:val="00F176A6"/>
    <w:rsid w:val="00F17D11"/>
    <w:rsid w:val="00F20274"/>
    <w:rsid w:val="00F20FDB"/>
    <w:rsid w:val="00F211C8"/>
    <w:rsid w:val="00F21AE6"/>
    <w:rsid w:val="00F25BDB"/>
    <w:rsid w:val="00F25E70"/>
    <w:rsid w:val="00F270B3"/>
    <w:rsid w:val="00F277CE"/>
    <w:rsid w:val="00F27EE6"/>
    <w:rsid w:val="00F30738"/>
    <w:rsid w:val="00F3480C"/>
    <w:rsid w:val="00F34C07"/>
    <w:rsid w:val="00F35AD4"/>
    <w:rsid w:val="00F361CB"/>
    <w:rsid w:val="00F3690D"/>
    <w:rsid w:val="00F36AF3"/>
    <w:rsid w:val="00F37768"/>
    <w:rsid w:val="00F3780B"/>
    <w:rsid w:val="00F37E20"/>
    <w:rsid w:val="00F40D1D"/>
    <w:rsid w:val="00F410A2"/>
    <w:rsid w:val="00F4122A"/>
    <w:rsid w:val="00F41910"/>
    <w:rsid w:val="00F42163"/>
    <w:rsid w:val="00F42B60"/>
    <w:rsid w:val="00F433F4"/>
    <w:rsid w:val="00F443D5"/>
    <w:rsid w:val="00F44404"/>
    <w:rsid w:val="00F44C12"/>
    <w:rsid w:val="00F456DE"/>
    <w:rsid w:val="00F4573F"/>
    <w:rsid w:val="00F45919"/>
    <w:rsid w:val="00F45E14"/>
    <w:rsid w:val="00F47E01"/>
    <w:rsid w:val="00F51D56"/>
    <w:rsid w:val="00F528DD"/>
    <w:rsid w:val="00F53846"/>
    <w:rsid w:val="00F53B8F"/>
    <w:rsid w:val="00F550C8"/>
    <w:rsid w:val="00F554B1"/>
    <w:rsid w:val="00F56F2A"/>
    <w:rsid w:val="00F6021A"/>
    <w:rsid w:val="00F61EB1"/>
    <w:rsid w:val="00F627E8"/>
    <w:rsid w:val="00F63F13"/>
    <w:rsid w:val="00F6655E"/>
    <w:rsid w:val="00F728F1"/>
    <w:rsid w:val="00F72A46"/>
    <w:rsid w:val="00F72FA8"/>
    <w:rsid w:val="00F734D7"/>
    <w:rsid w:val="00F73796"/>
    <w:rsid w:val="00F73982"/>
    <w:rsid w:val="00F739EC"/>
    <w:rsid w:val="00F73CE4"/>
    <w:rsid w:val="00F74655"/>
    <w:rsid w:val="00F74792"/>
    <w:rsid w:val="00F74E8B"/>
    <w:rsid w:val="00F75B30"/>
    <w:rsid w:val="00F7646E"/>
    <w:rsid w:val="00F7647E"/>
    <w:rsid w:val="00F76DCF"/>
    <w:rsid w:val="00F805EC"/>
    <w:rsid w:val="00F80D6F"/>
    <w:rsid w:val="00F8128F"/>
    <w:rsid w:val="00F81311"/>
    <w:rsid w:val="00F837CC"/>
    <w:rsid w:val="00F83E6C"/>
    <w:rsid w:val="00F84081"/>
    <w:rsid w:val="00F8489C"/>
    <w:rsid w:val="00F84B6D"/>
    <w:rsid w:val="00F86417"/>
    <w:rsid w:val="00F87056"/>
    <w:rsid w:val="00F87400"/>
    <w:rsid w:val="00F904EC"/>
    <w:rsid w:val="00F9214E"/>
    <w:rsid w:val="00F92AFC"/>
    <w:rsid w:val="00F93FA5"/>
    <w:rsid w:val="00F94522"/>
    <w:rsid w:val="00F948B7"/>
    <w:rsid w:val="00F95171"/>
    <w:rsid w:val="00F95BFF"/>
    <w:rsid w:val="00F96646"/>
    <w:rsid w:val="00F96E45"/>
    <w:rsid w:val="00F97442"/>
    <w:rsid w:val="00F97D1D"/>
    <w:rsid w:val="00FA0C9F"/>
    <w:rsid w:val="00FA115D"/>
    <w:rsid w:val="00FA1278"/>
    <w:rsid w:val="00FA295C"/>
    <w:rsid w:val="00FA2F45"/>
    <w:rsid w:val="00FA3DCD"/>
    <w:rsid w:val="00FB027E"/>
    <w:rsid w:val="00FB1360"/>
    <w:rsid w:val="00FB34D4"/>
    <w:rsid w:val="00FB35E3"/>
    <w:rsid w:val="00FB3FBA"/>
    <w:rsid w:val="00FB4058"/>
    <w:rsid w:val="00FB532C"/>
    <w:rsid w:val="00FB5AF5"/>
    <w:rsid w:val="00FB67A7"/>
    <w:rsid w:val="00FC0A32"/>
    <w:rsid w:val="00FC1709"/>
    <w:rsid w:val="00FC179A"/>
    <w:rsid w:val="00FC192E"/>
    <w:rsid w:val="00FC20B0"/>
    <w:rsid w:val="00FC307D"/>
    <w:rsid w:val="00FC3767"/>
    <w:rsid w:val="00FC48FC"/>
    <w:rsid w:val="00FC4C8B"/>
    <w:rsid w:val="00FC6F90"/>
    <w:rsid w:val="00FC7614"/>
    <w:rsid w:val="00FD12C7"/>
    <w:rsid w:val="00FD30C6"/>
    <w:rsid w:val="00FD4320"/>
    <w:rsid w:val="00FD4503"/>
    <w:rsid w:val="00FD49DC"/>
    <w:rsid w:val="00FD59F7"/>
    <w:rsid w:val="00FD6CB1"/>
    <w:rsid w:val="00FD7976"/>
    <w:rsid w:val="00FE0AD0"/>
    <w:rsid w:val="00FE245E"/>
    <w:rsid w:val="00FE2B73"/>
    <w:rsid w:val="00FE2B99"/>
    <w:rsid w:val="00FE2C5F"/>
    <w:rsid w:val="00FE3F97"/>
    <w:rsid w:val="00FE55F6"/>
    <w:rsid w:val="00FE6768"/>
    <w:rsid w:val="00FE6CE1"/>
    <w:rsid w:val="00FF1345"/>
    <w:rsid w:val="00FF3986"/>
    <w:rsid w:val="00FF50AD"/>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D5BCBD0-AEB0-432B-A55E-AB9FAE2B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ColorfulList-Accent1">
    <w:name w:val="Colorful List Accent 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unhideWhenUsed/>
    <w:rsid w:val="00226994"/>
    <w:pPr>
      <w:spacing w:after="0" w:line="240" w:lineRule="auto"/>
    </w:pPr>
    <w:rPr>
      <w:sz w:val="20"/>
      <w:szCs w:val="20"/>
      <w:lang w:val="en-ZA"/>
    </w:rPr>
  </w:style>
  <w:style w:type="character" w:customStyle="1" w:styleId="FootnoteTextChar">
    <w:name w:val="Footnote Text Char"/>
    <w:link w:val="FootnoteText"/>
    <w:uiPriority w:val="99"/>
    <w:rsid w:val="00226994"/>
    <w:rPr>
      <w:lang w:eastAsia="en-US"/>
    </w:rPr>
  </w:style>
  <w:style w:type="character" w:styleId="FootnoteReference">
    <w:name w:val="footnote reference"/>
    <w:uiPriority w:val="99"/>
    <w:unhideWhenUsed/>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CommentReference">
    <w:name w:val="annotation reference"/>
    <w:uiPriority w:val="99"/>
    <w:semiHidden/>
    <w:unhideWhenUsed/>
    <w:rsid w:val="000177D3"/>
    <w:rPr>
      <w:sz w:val="16"/>
      <w:szCs w:val="16"/>
    </w:rPr>
  </w:style>
  <w:style w:type="paragraph" w:styleId="CommentText">
    <w:name w:val="annotation text"/>
    <w:basedOn w:val="Normal"/>
    <w:link w:val="CommentTextChar"/>
    <w:uiPriority w:val="99"/>
    <w:semiHidden/>
    <w:unhideWhenUsed/>
    <w:rsid w:val="000177D3"/>
    <w:rPr>
      <w:sz w:val="20"/>
      <w:szCs w:val="20"/>
    </w:rPr>
  </w:style>
  <w:style w:type="character" w:customStyle="1" w:styleId="CommentTextChar">
    <w:name w:val="Comment Text Char"/>
    <w:basedOn w:val="DefaultParagraphFont"/>
    <w:link w:val="CommentText"/>
    <w:uiPriority w:val="99"/>
    <w:semiHidden/>
    <w:rsid w:val="000177D3"/>
  </w:style>
  <w:style w:type="paragraph" w:styleId="CommentSubject">
    <w:name w:val="annotation subject"/>
    <w:basedOn w:val="CommentText"/>
    <w:next w:val="CommentText"/>
    <w:link w:val="CommentSubjectChar"/>
    <w:uiPriority w:val="99"/>
    <w:semiHidden/>
    <w:unhideWhenUsed/>
    <w:rsid w:val="000177D3"/>
    <w:rPr>
      <w:b/>
      <w:bCs/>
    </w:rPr>
  </w:style>
  <w:style w:type="character" w:customStyle="1" w:styleId="CommentSubjectChar">
    <w:name w:val="Comment Subject Char"/>
    <w:link w:val="CommentSubject"/>
    <w:uiPriority w:val="99"/>
    <w:semiHidden/>
    <w:rsid w:val="000177D3"/>
    <w:rPr>
      <w:b/>
      <w:bCs/>
    </w:rPr>
  </w:style>
  <w:style w:type="character" w:customStyle="1" w:styleId="fontstyle01">
    <w:name w:val="fontstyle01"/>
    <w:rsid w:val="004B0BE8"/>
    <w:rPr>
      <w:rFonts w:ascii="ArialMT" w:hAnsi="ArialMT" w:hint="default"/>
      <w:b w:val="0"/>
      <w:bCs w:val="0"/>
      <w:i w:val="0"/>
      <w:iCs w:val="0"/>
      <w:color w:val="000000"/>
      <w:sz w:val="24"/>
      <w:szCs w:val="24"/>
    </w:rPr>
  </w:style>
  <w:style w:type="paragraph" w:styleId="NormalWeb">
    <w:name w:val="Normal (Web)"/>
    <w:basedOn w:val="Normal"/>
    <w:uiPriority w:val="99"/>
    <w:semiHidden/>
    <w:unhideWhenUsed/>
    <w:rsid w:val="00734B1A"/>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734B1A"/>
  </w:style>
  <w:style w:type="paragraph" w:styleId="ListParagraph">
    <w:name w:val="List Paragraph"/>
    <w:basedOn w:val="Normal"/>
    <w:uiPriority w:val="34"/>
    <w:qFormat/>
    <w:rsid w:val="00FB34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5075">
      <w:bodyDiv w:val="1"/>
      <w:marLeft w:val="0"/>
      <w:marRight w:val="0"/>
      <w:marTop w:val="0"/>
      <w:marBottom w:val="0"/>
      <w:divBdr>
        <w:top w:val="none" w:sz="0" w:space="0" w:color="auto"/>
        <w:left w:val="none" w:sz="0" w:space="0" w:color="auto"/>
        <w:bottom w:val="none" w:sz="0" w:space="0" w:color="auto"/>
        <w:right w:val="none" w:sz="0" w:space="0" w:color="auto"/>
      </w:divBdr>
      <w:divsChild>
        <w:div w:id="13606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223071">
      <w:bodyDiv w:val="1"/>
      <w:marLeft w:val="0"/>
      <w:marRight w:val="0"/>
      <w:marTop w:val="0"/>
      <w:marBottom w:val="0"/>
      <w:divBdr>
        <w:top w:val="none" w:sz="0" w:space="0" w:color="auto"/>
        <w:left w:val="none" w:sz="0" w:space="0" w:color="auto"/>
        <w:bottom w:val="none" w:sz="0" w:space="0" w:color="auto"/>
        <w:right w:val="none" w:sz="0" w:space="0" w:color="auto"/>
      </w:divBdr>
      <w:divsChild>
        <w:div w:id="199918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2017-09-22T00:00:00Z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3458-DF7D-4043-A297-4ED9169FDD50}">
  <ds:schemaRefs>
    <ds:schemaRef ds:uri="http://schemas.microsoft.com/office/2006/metadata/longProperties"/>
  </ds:schemaRefs>
</ds:datastoreItem>
</file>

<file path=customXml/itemProps2.xml><?xml version="1.0" encoding="utf-8"?>
<ds:datastoreItem xmlns:ds="http://schemas.openxmlformats.org/officeDocument/2006/customXml" ds:itemID="{6F1F769C-C2EA-4F6D-9797-40F3BE4D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466D8-54E9-4CC0-82C5-DB81D18D083C}">
  <ds:schemaRefs>
    <ds:schemaRef ds:uri="http://schemas.microsoft.com/sharepoint/v3/contenttype/forms"/>
  </ds:schemaRefs>
</ds:datastoreItem>
</file>

<file path=customXml/itemProps4.xml><?xml version="1.0" encoding="utf-8"?>
<ds:datastoreItem xmlns:ds="http://schemas.openxmlformats.org/officeDocument/2006/customXml" ds:itemID="{3285034D-8EC4-499D-89D4-C9B1D98C58A8}">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17a0f4bd-1162-49ac-b85f-dfe96a90bc01"/>
    <ds:schemaRef ds:uri="http://purl.org/dc/elements/1.1/"/>
    <ds:schemaRef ds:uri="http://schemas.openxmlformats.org/package/2006/metadata/core-properties"/>
    <ds:schemaRef ds:uri="c1afb1bd-f2fb-40fd-9abb-aea55b4d7662"/>
    <ds:schemaRef ds:uri="http://purl.org/dc/dcmitype/"/>
  </ds:schemaRefs>
</ds:datastoreItem>
</file>

<file path=customXml/itemProps5.xml><?xml version="1.0" encoding="utf-8"?>
<ds:datastoreItem xmlns:ds="http://schemas.openxmlformats.org/officeDocument/2006/customXml" ds:itemID="{1F8CF109-35EF-4D8C-95C5-6A8D6B70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24</Pages>
  <Words>6043</Words>
  <Characters>34450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NamibLII</cp:lastModifiedBy>
  <cp:revision>2</cp:revision>
  <cp:lastPrinted>2017-10-06T06:29:00Z</cp:lastPrinted>
  <dcterms:created xsi:type="dcterms:W3CDTF">2017-10-10T09:24:00Z</dcterms:created>
  <dcterms:modified xsi:type="dcterms:W3CDTF">2017-10-10T09:24:00Z</dcterms:modified>
</cp:coreProperties>
</file>