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899D7E4" w14:textId="77777777" w:rsidR="006A7E17" w:rsidRPr="002A7FCE" w:rsidRDefault="006A7E17" w:rsidP="00772B20">
      <w:pPr>
        <w:spacing w:after="0" w:line="360" w:lineRule="auto"/>
        <w:jc w:val="center"/>
        <w:rPr>
          <w:b/>
          <w:lang w:val="en-ZA"/>
        </w:rPr>
      </w:pPr>
      <w:r w:rsidRPr="002A7FCE">
        <w:rPr>
          <w:b/>
          <w:noProof/>
          <w:lang w:val="en-ZA" w:eastAsia="en-ZA"/>
        </w:rPr>
        <mc:AlternateContent>
          <mc:Choice Requires="wps">
            <w:drawing>
              <wp:anchor distT="0" distB="0" distL="114300" distR="114300" simplePos="0" relativeHeight="251659264" behindDoc="0" locked="0" layoutInCell="1" allowOverlap="1" wp14:anchorId="3E62D453" wp14:editId="29D191E0">
                <wp:simplePos x="0" y="0"/>
                <wp:positionH relativeFrom="margin">
                  <wp:posOffset>4498847</wp:posOffset>
                </wp:positionH>
                <wp:positionV relativeFrom="paragraph">
                  <wp:posOffset>-51206</wp:posOffset>
                </wp:positionV>
                <wp:extent cx="1212647" cy="247650"/>
                <wp:effectExtent l="0" t="0" r="260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647" cy="247650"/>
                        </a:xfrm>
                        <a:prstGeom prst="rect">
                          <a:avLst/>
                        </a:prstGeom>
                        <a:solidFill>
                          <a:srgbClr val="FFFFFF"/>
                        </a:solidFill>
                        <a:ln w="9525">
                          <a:solidFill>
                            <a:srgbClr val="FFFFFF"/>
                          </a:solidFill>
                          <a:miter lim="800000"/>
                          <a:headEnd/>
                          <a:tailEnd/>
                        </a:ln>
                      </wps:spPr>
                      <wps:txbx>
                        <w:txbxContent>
                          <w:p w14:paraId="25DDFFF2" w14:textId="77777777" w:rsidR="00CC0060" w:rsidRPr="00C2371F" w:rsidRDefault="00CC0060" w:rsidP="00C2371F">
                            <w:pPr>
                              <w:pStyle w:val="Header"/>
                              <w:jc w:val="right"/>
                              <w:rPr>
                                <w:sz w:val="22"/>
                              </w:rPr>
                            </w:pPr>
                            <w:r w:rsidRPr="00C2371F">
                              <w:rPr>
                                <w:sz w:val="22"/>
                              </w:rPr>
                              <w:t>REPORTABLE</w:t>
                            </w:r>
                          </w:p>
                          <w:p w14:paraId="1DB5DFEA" w14:textId="77777777" w:rsidR="00CC0060" w:rsidRPr="000A0FD8" w:rsidRDefault="00CC0060" w:rsidP="006A7E17">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2D453" id="_x0000_t202" coordsize="21600,21600" o:spt="202" path="m,l,21600r21600,l21600,xe">
                <v:stroke joinstyle="miter"/>
                <v:path gradientshapeok="t" o:connecttype="rect"/>
              </v:shapetype>
              <v:shape id="Text Box 2" o:spid="_x0000_s1026" type="#_x0000_t202" style="position:absolute;left:0;text-align:left;margin-left:354.25pt;margin-top:-4.05pt;width:95.5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" strokecolor="white">
                <v:textbox>
                  <w:txbxContent>
                    <w:p w14:paraId="25DDFFF2" w14:textId="77777777" w:rsidR="00CC0060" w:rsidRPr="00C2371F" w:rsidRDefault="00CC0060" w:rsidP="00C2371F">
                      <w:pPr>
                        <w:pStyle w:val="Header"/>
                        <w:jc w:val="right"/>
                        <w:rPr>
                          <w:sz w:val="22"/>
                        </w:rPr>
                      </w:pPr>
                      <w:r w:rsidRPr="00C2371F">
                        <w:rPr>
                          <w:sz w:val="22"/>
                        </w:rPr>
                        <w:t>REPORTABLE</w:t>
                      </w:r>
                    </w:p>
                    <w:p w14:paraId="1DB5DFEA" w14:textId="77777777" w:rsidR="00CC0060" w:rsidRPr="000A0FD8" w:rsidRDefault="00CC0060" w:rsidP="006A7E17">
                      <w:pPr>
                        <w:jc w:val="right"/>
                        <w:rPr>
                          <w:b/>
                        </w:rPr>
                      </w:pPr>
                    </w:p>
                  </w:txbxContent>
                </v:textbox>
                <w10:wrap anchorx="margin"/>
              </v:shape>
            </w:pict>
          </mc:Fallback>
        </mc:AlternateContent>
      </w:r>
      <w:r w:rsidRPr="002A7FCE">
        <w:rPr>
          <w:b/>
          <w:lang w:val="en-ZA"/>
        </w:rPr>
        <w:t>REPUBLIC OF NAMIBIA</w:t>
      </w:r>
    </w:p>
    <w:p w14:paraId="50FC1D1E" w14:textId="77777777" w:rsidR="006A7E17" w:rsidRPr="002A7FCE" w:rsidRDefault="006A7E17" w:rsidP="00772B20">
      <w:pPr>
        <w:spacing w:after="0" w:line="360" w:lineRule="auto"/>
        <w:jc w:val="both"/>
        <w:rPr>
          <w:b/>
          <w:lang w:val="en-ZA"/>
        </w:rPr>
      </w:pPr>
      <w:r w:rsidRPr="002A7FCE">
        <w:rPr>
          <w:b/>
          <w:noProof/>
          <w:lang w:val="en-ZA" w:eastAsia="en-ZA"/>
        </w:rPr>
        <w:drawing>
          <wp:anchor distT="0" distB="0" distL="114300" distR="114300" simplePos="0" relativeHeight="251660288" behindDoc="0" locked="0" layoutInCell="1" allowOverlap="1" wp14:anchorId="538B4CFA" wp14:editId="4E3BB64F">
            <wp:simplePos x="0" y="0"/>
            <wp:positionH relativeFrom="margin">
              <wp:align>center</wp:align>
            </wp:positionH>
            <wp:positionV relativeFrom="paragraph">
              <wp:posOffset>15723</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14:paraId="72F5F930" w14:textId="77777777" w:rsidR="006A7E17" w:rsidRPr="002A7FCE" w:rsidRDefault="006A7E17" w:rsidP="00772B20">
      <w:pPr>
        <w:spacing w:after="0" w:line="360" w:lineRule="auto"/>
        <w:jc w:val="both"/>
        <w:rPr>
          <w:b/>
          <w:lang w:val="en-ZA"/>
        </w:rPr>
      </w:pPr>
    </w:p>
    <w:p w14:paraId="616598DA" w14:textId="77777777" w:rsidR="006A7E17" w:rsidRPr="002A7FCE" w:rsidRDefault="006A7E17" w:rsidP="00772B20">
      <w:pPr>
        <w:spacing w:after="0" w:line="360" w:lineRule="auto"/>
        <w:jc w:val="both"/>
        <w:rPr>
          <w:b/>
          <w:lang w:val="en-ZA"/>
        </w:rPr>
      </w:pPr>
    </w:p>
    <w:p w14:paraId="11A5CB20" w14:textId="77777777" w:rsidR="006A7E17" w:rsidRPr="002A7FCE" w:rsidRDefault="006A7E17" w:rsidP="00772B20">
      <w:pPr>
        <w:spacing w:after="0" w:line="360" w:lineRule="auto"/>
        <w:jc w:val="both"/>
        <w:rPr>
          <w:b/>
          <w:lang w:val="en-ZA"/>
        </w:rPr>
      </w:pPr>
    </w:p>
    <w:p w14:paraId="206E3BA1" w14:textId="77777777" w:rsidR="006A7E17" w:rsidRPr="002A7FCE" w:rsidRDefault="006A7E17" w:rsidP="00772B20">
      <w:pPr>
        <w:spacing w:after="0" w:line="360" w:lineRule="auto"/>
        <w:jc w:val="both"/>
        <w:rPr>
          <w:b/>
          <w:lang w:val="en-ZA"/>
        </w:rPr>
      </w:pPr>
    </w:p>
    <w:p w14:paraId="3FF26163" w14:textId="77777777" w:rsidR="006A7E17" w:rsidRPr="002A7FCE" w:rsidRDefault="006A7E17" w:rsidP="00772B20">
      <w:pPr>
        <w:spacing w:after="0" w:line="360" w:lineRule="auto"/>
        <w:jc w:val="both"/>
        <w:rPr>
          <w:b/>
          <w:lang w:val="en-ZA"/>
        </w:rPr>
      </w:pPr>
    </w:p>
    <w:p w14:paraId="5AD5B4BF" w14:textId="09EE8D9F" w:rsidR="006A7E17" w:rsidRDefault="006A7E17" w:rsidP="00E86D2E">
      <w:pPr>
        <w:spacing w:after="0" w:line="360" w:lineRule="auto"/>
        <w:jc w:val="center"/>
        <w:rPr>
          <w:b/>
          <w:lang w:val="en-ZA"/>
        </w:rPr>
      </w:pPr>
      <w:r w:rsidRPr="002A7FCE">
        <w:rPr>
          <w:b/>
          <w:lang w:val="en-ZA"/>
        </w:rPr>
        <w:t>HIGH COURT OF NAMIBIA, MAIN DIVISION, WINDHOEK</w:t>
      </w:r>
    </w:p>
    <w:p w14:paraId="1FBBC2F0" w14:textId="77777777" w:rsidR="00E86D2E" w:rsidRPr="002A7FCE" w:rsidRDefault="00E86D2E" w:rsidP="00E86D2E">
      <w:pPr>
        <w:spacing w:after="0" w:line="360" w:lineRule="auto"/>
        <w:jc w:val="center"/>
        <w:rPr>
          <w:b/>
          <w:lang w:val="en-ZA"/>
        </w:rPr>
      </w:pPr>
    </w:p>
    <w:p w14:paraId="06E173B1" w14:textId="37C97073" w:rsidR="006A7E17" w:rsidRDefault="006A7E17" w:rsidP="00CA7C09">
      <w:pPr>
        <w:spacing w:after="0" w:line="360" w:lineRule="auto"/>
        <w:jc w:val="center"/>
        <w:rPr>
          <w:b/>
          <w:lang w:val="en-ZA"/>
        </w:rPr>
      </w:pPr>
      <w:r w:rsidRPr="002A7FCE">
        <w:rPr>
          <w:b/>
          <w:lang w:val="en-ZA"/>
        </w:rPr>
        <w:t>JUDGMENT</w:t>
      </w:r>
    </w:p>
    <w:p w14:paraId="45EBC458" w14:textId="77777777" w:rsidR="00CA7C09" w:rsidRPr="00CA7C09" w:rsidRDefault="00CA7C09" w:rsidP="00CA7C09">
      <w:pPr>
        <w:spacing w:after="0" w:line="360" w:lineRule="auto"/>
        <w:jc w:val="center"/>
        <w:rPr>
          <w:b/>
          <w:lang w:val="en-ZA"/>
        </w:rPr>
      </w:pPr>
    </w:p>
    <w:p w14:paraId="3D0BE227" w14:textId="77777777" w:rsidR="00CA7C09" w:rsidRPr="00644C0F" w:rsidRDefault="00CA7C09" w:rsidP="00CA7C09">
      <w:pPr>
        <w:jc w:val="right"/>
        <w:rPr>
          <w:bCs/>
        </w:rPr>
      </w:pPr>
      <w:r w:rsidRPr="00644C0F">
        <w:rPr>
          <w:bCs/>
        </w:rPr>
        <w:t xml:space="preserve">CASE NO: </w:t>
      </w:r>
      <w:r w:rsidRPr="007F544F">
        <w:rPr>
          <w:bCs/>
        </w:rPr>
        <w:t>HC-MD-CIV-ACT-CON-2017/00954</w:t>
      </w:r>
    </w:p>
    <w:p w14:paraId="0BEFD048" w14:textId="77777777" w:rsidR="00CA7C09" w:rsidRPr="00644C0F" w:rsidRDefault="00CA7C09" w:rsidP="00CA7C09"/>
    <w:p w14:paraId="0BE4C837" w14:textId="0132312E" w:rsidR="00CA7C09" w:rsidRDefault="00CA7C09" w:rsidP="00CA7C09">
      <w:r w:rsidRPr="00644C0F">
        <w:t>In the matter between:</w:t>
      </w:r>
    </w:p>
    <w:p w14:paraId="7D9569D4" w14:textId="77777777" w:rsidR="00E86D2E" w:rsidRPr="00644C0F" w:rsidRDefault="00E86D2E" w:rsidP="00CA7C09"/>
    <w:p w14:paraId="62E1A332" w14:textId="056FE9A7" w:rsidR="00CA7C09" w:rsidRPr="00E21D76" w:rsidRDefault="00CA7C09" w:rsidP="00E93836">
      <w:pPr>
        <w:ind w:right="-330"/>
        <w:rPr>
          <w:b/>
        </w:rPr>
      </w:pPr>
      <w:r w:rsidRPr="00E21D76">
        <w:rPr>
          <w:b/>
        </w:rPr>
        <w:lastRenderedPageBreak/>
        <w:t>KAUNAPAUA NDILULA N.O.</w:t>
      </w:r>
      <w:r w:rsidRPr="00E21D76">
        <w:rPr>
          <w:b/>
        </w:rPr>
        <w:tab/>
      </w:r>
      <w:r w:rsidRPr="00E21D76">
        <w:rPr>
          <w:b/>
        </w:rPr>
        <w:tab/>
      </w:r>
      <w:r w:rsidR="00E93836" w:rsidRPr="00E21D76">
        <w:rPr>
          <w:b/>
        </w:rPr>
        <w:t xml:space="preserve">                               FIRST</w:t>
      </w:r>
      <w:r w:rsidRPr="00E21D76">
        <w:rPr>
          <w:b/>
        </w:rPr>
        <w:t xml:space="preserve"> </w:t>
      </w:r>
      <w:r w:rsidR="00E93836" w:rsidRPr="00E21D76">
        <w:rPr>
          <w:b/>
        </w:rPr>
        <w:tab/>
      </w:r>
      <w:r w:rsidR="00E93836" w:rsidRPr="00E21D76">
        <w:rPr>
          <w:b/>
        </w:rPr>
        <w:tab/>
      </w:r>
      <w:r w:rsidRPr="00E21D76">
        <w:rPr>
          <w:b/>
        </w:rPr>
        <w:t>PLAINTIFF</w:t>
      </w:r>
    </w:p>
    <w:p w14:paraId="053E9E5E" w14:textId="251D58CB" w:rsidR="00CA7C09" w:rsidRPr="00E21D76" w:rsidRDefault="00CA7C09" w:rsidP="00E93836">
      <w:pPr>
        <w:ind w:right="-330"/>
        <w:rPr>
          <w:b/>
        </w:rPr>
      </w:pPr>
      <w:r w:rsidRPr="00E21D76">
        <w:rPr>
          <w:b/>
        </w:rPr>
        <w:t>DEREK WRIGHT N.O.</w:t>
      </w:r>
      <w:r w:rsidRPr="00E21D76">
        <w:rPr>
          <w:b/>
        </w:rPr>
        <w:tab/>
      </w:r>
      <w:r w:rsidRPr="00E21D76">
        <w:rPr>
          <w:b/>
        </w:rPr>
        <w:tab/>
      </w:r>
      <w:r w:rsidRPr="00E21D76">
        <w:rPr>
          <w:b/>
        </w:rPr>
        <w:tab/>
      </w:r>
      <w:r w:rsidRPr="00E21D76">
        <w:rPr>
          <w:b/>
        </w:rPr>
        <w:tab/>
      </w:r>
      <w:r w:rsidRPr="00E21D76">
        <w:rPr>
          <w:b/>
        </w:rPr>
        <w:tab/>
        <w:t xml:space="preserve">         </w:t>
      </w:r>
      <w:r w:rsidR="00E93836" w:rsidRPr="00E21D76">
        <w:rPr>
          <w:b/>
        </w:rPr>
        <w:t>SECOND</w:t>
      </w:r>
      <w:r w:rsidRPr="00E21D76">
        <w:rPr>
          <w:b/>
        </w:rPr>
        <w:t xml:space="preserve"> </w:t>
      </w:r>
      <w:r w:rsidR="00E93836" w:rsidRPr="00E21D76">
        <w:rPr>
          <w:b/>
        </w:rPr>
        <w:tab/>
      </w:r>
      <w:r w:rsidRPr="00E21D76">
        <w:rPr>
          <w:b/>
        </w:rPr>
        <w:t>PLAINTIFF</w:t>
      </w:r>
    </w:p>
    <w:p w14:paraId="4E4E3086" w14:textId="2714D2FB" w:rsidR="00CA7C09" w:rsidRPr="00E21D76" w:rsidRDefault="00CA7C09" w:rsidP="00E93836">
      <w:pPr>
        <w:ind w:right="-330"/>
        <w:rPr>
          <w:b/>
        </w:rPr>
      </w:pPr>
      <w:r w:rsidRPr="00E21D76">
        <w:rPr>
          <w:b/>
        </w:rPr>
        <w:t xml:space="preserve">REAGON RUPERT GRAIG N.O. </w:t>
      </w:r>
      <w:r w:rsidRPr="00E21D76">
        <w:rPr>
          <w:b/>
        </w:rPr>
        <w:tab/>
      </w:r>
      <w:r w:rsidRPr="00E21D76">
        <w:rPr>
          <w:b/>
        </w:rPr>
        <w:tab/>
      </w:r>
      <w:r w:rsidRPr="00E21D76">
        <w:rPr>
          <w:b/>
        </w:rPr>
        <w:tab/>
        <w:t xml:space="preserve">    </w:t>
      </w:r>
      <w:r w:rsidRPr="00E21D76">
        <w:rPr>
          <w:b/>
        </w:rPr>
        <w:tab/>
        <w:t xml:space="preserve">         </w:t>
      </w:r>
      <w:r w:rsidR="00E93836" w:rsidRPr="00E21D76">
        <w:rPr>
          <w:b/>
        </w:rPr>
        <w:t>THIRD</w:t>
      </w:r>
      <w:r w:rsidRPr="00E21D76">
        <w:rPr>
          <w:b/>
        </w:rPr>
        <w:t xml:space="preserve"> </w:t>
      </w:r>
      <w:r w:rsidR="00E93836" w:rsidRPr="00E21D76">
        <w:rPr>
          <w:b/>
        </w:rPr>
        <w:tab/>
      </w:r>
      <w:r w:rsidR="00E93836" w:rsidRPr="00E21D76">
        <w:rPr>
          <w:b/>
        </w:rPr>
        <w:tab/>
      </w:r>
      <w:r w:rsidRPr="00E21D76">
        <w:rPr>
          <w:b/>
        </w:rPr>
        <w:t>PLAINTIFF</w:t>
      </w:r>
    </w:p>
    <w:p w14:paraId="28A85D3F" w14:textId="52037412" w:rsidR="00CA7C09" w:rsidRPr="00E21D76" w:rsidRDefault="00CA7C09" w:rsidP="00E93836">
      <w:pPr>
        <w:ind w:right="-330"/>
        <w:rPr>
          <w:b/>
        </w:rPr>
      </w:pPr>
      <w:r w:rsidRPr="00E21D76">
        <w:rPr>
          <w:b/>
        </w:rPr>
        <w:t>EVANGELINA NANGULA HAMUNYELA N.O.</w:t>
      </w:r>
      <w:r w:rsidRPr="00E21D76">
        <w:rPr>
          <w:b/>
        </w:rPr>
        <w:tab/>
      </w:r>
      <w:r w:rsidRPr="00E21D76">
        <w:rPr>
          <w:b/>
        </w:rPr>
        <w:tab/>
        <w:t xml:space="preserve">         </w:t>
      </w:r>
      <w:r w:rsidR="00E93836" w:rsidRPr="00E21D76">
        <w:rPr>
          <w:b/>
        </w:rPr>
        <w:t>FOURTH</w:t>
      </w:r>
      <w:r w:rsidRPr="00E21D76">
        <w:rPr>
          <w:b/>
        </w:rPr>
        <w:t xml:space="preserve"> </w:t>
      </w:r>
      <w:r w:rsidR="00E93836" w:rsidRPr="00E21D76">
        <w:rPr>
          <w:b/>
        </w:rPr>
        <w:tab/>
      </w:r>
      <w:r w:rsidRPr="00E21D76">
        <w:rPr>
          <w:b/>
        </w:rPr>
        <w:t>PLAINTIFF</w:t>
      </w:r>
    </w:p>
    <w:p w14:paraId="5E0E082F" w14:textId="64DBDCE6" w:rsidR="00CA7C09" w:rsidRPr="00E21D76" w:rsidRDefault="00CA7C09" w:rsidP="00E93836">
      <w:pPr>
        <w:ind w:right="-188"/>
        <w:rPr>
          <w:b/>
        </w:rPr>
      </w:pPr>
      <w:r w:rsidRPr="00E21D76">
        <w:rPr>
          <w:b/>
        </w:rPr>
        <w:t>STUART HILTON MOIR N.O.</w:t>
      </w:r>
      <w:r w:rsidRPr="00E21D76">
        <w:rPr>
          <w:b/>
        </w:rPr>
        <w:tab/>
      </w:r>
      <w:r w:rsidRPr="00E21D76">
        <w:rPr>
          <w:b/>
        </w:rPr>
        <w:tab/>
      </w:r>
      <w:r w:rsidRPr="00E21D76">
        <w:rPr>
          <w:b/>
        </w:rPr>
        <w:tab/>
      </w:r>
      <w:r w:rsidRPr="00E21D76">
        <w:rPr>
          <w:b/>
        </w:rPr>
        <w:tab/>
        <w:t xml:space="preserve">         </w:t>
      </w:r>
      <w:r w:rsidR="00E93836" w:rsidRPr="00E21D76">
        <w:rPr>
          <w:b/>
        </w:rPr>
        <w:t>FIFTH</w:t>
      </w:r>
      <w:r w:rsidRPr="00E21D76">
        <w:rPr>
          <w:b/>
        </w:rPr>
        <w:t xml:space="preserve"> </w:t>
      </w:r>
      <w:r w:rsidR="00E93836" w:rsidRPr="00E21D76">
        <w:rPr>
          <w:b/>
        </w:rPr>
        <w:tab/>
      </w:r>
      <w:r w:rsidR="00E93836" w:rsidRPr="00E21D76">
        <w:rPr>
          <w:b/>
        </w:rPr>
        <w:tab/>
      </w:r>
      <w:r w:rsidRPr="00E21D76">
        <w:rPr>
          <w:b/>
        </w:rPr>
        <w:t>PLAINTIFF</w:t>
      </w:r>
    </w:p>
    <w:p w14:paraId="5B5CEC28" w14:textId="79B4D4F8" w:rsidR="00CA7C09" w:rsidRPr="00E21D76" w:rsidRDefault="00CA7C09" w:rsidP="00E93836">
      <w:pPr>
        <w:ind w:right="-472"/>
        <w:rPr>
          <w:b/>
        </w:rPr>
      </w:pPr>
      <w:r w:rsidRPr="00E21D76">
        <w:rPr>
          <w:b/>
        </w:rPr>
        <w:t>JACOBUS DE LE RAY DU TOIT N.O.</w:t>
      </w:r>
      <w:r w:rsidRPr="00E21D76">
        <w:rPr>
          <w:b/>
        </w:rPr>
        <w:tab/>
      </w:r>
      <w:r w:rsidRPr="00E21D76">
        <w:rPr>
          <w:b/>
        </w:rPr>
        <w:tab/>
      </w:r>
      <w:r w:rsidRPr="00E21D76">
        <w:rPr>
          <w:b/>
        </w:rPr>
        <w:tab/>
        <w:t xml:space="preserve">         </w:t>
      </w:r>
      <w:r w:rsidR="00E93836" w:rsidRPr="00E21D76">
        <w:rPr>
          <w:b/>
        </w:rPr>
        <w:t>SIXTH</w:t>
      </w:r>
      <w:r w:rsidRPr="00E21D76">
        <w:rPr>
          <w:b/>
        </w:rPr>
        <w:t xml:space="preserve"> </w:t>
      </w:r>
      <w:r w:rsidR="00E93836" w:rsidRPr="00E21D76">
        <w:rPr>
          <w:b/>
        </w:rPr>
        <w:tab/>
      </w:r>
      <w:r w:rsidR="00E93836" w:rsidRPr="00E21D76">
        <w:rPr>
          <w:b/>
        </w:rPr>
        <w:tab/>
      </w:r>
      <w:r w:rsidRPr="00E21D76">
        <w:rPr>
          <w:b/>
        </w:rPr>
        <w:t>PLAINTIFF</w:t>
      </w:r>
    </w:p>
    <w:p w14:paraId="16DCA8C1" w14:textId="3D85765C" w:rsidR="00CA7C09" w:rsidRPr="00E21D76" w:rsidRDefault="00CA7C09" w:rsidP="00E93836">
      <w:pPr>
        <w:ind w:right="-472"/>
        <w:rPr>
          <w:b/>
        </w:rPr>
      </w:pPr>
      <w:r w:rsidRPr="00E21D76">
        <w:rPr>
          <w:b/>
        </w:rPr>
        <w:t>EFAISHE NDAMONONGHENDA NGHIIDIPAA N.O.</w:t>
      </w:r>
      <w:r w:rsidRPr="00E21D76">
        <w:rPr>
          <w:b/>
        </w:rPr>
        <w:tab/>
        <w:t xml:space="preserve">         </w:t>
      </w:r>
      <w:r w:rsidR="00E93836" w:rsidRPr="00E21D76">
        <w:rPr>
          <w:b/>
        </w:rPr>
        <w:t>SEVENTH</w:t>
      </w:r>
      <w:r w:rsidRPr="00E21D76">
        <w:rPr>
          <w:b/>
        </w:rPr>
        <w:t xml:space="preserve"> </w:t>
      </w:r>
      <w:r w:rsidR="00E93836" w:rsidRPr="00E21D76">
        <w:rPr>
          <w:b/>
        </w:rPr>
        <w:tab/>
      </w:r>
      <w:r w:rsidRPr="00E21D76">
        <w:rPr>
          <w:b/>
        </w:rPr>
        <w:t>PLAINTIFF</w:t>
      </w:r>
    </w:p>
    <w:p w14:paraId="2A42AF02" w14:textId="1F9F3DE4" w:rsidR="00CA7C09" w:rsidRPr="00E21D76" w:rsidRDefault="00CA7C09" w:rsidP="00E93836">
      <w:pPr>
        <w:ind w:right="-613"/>
        <w:rPr>
          <w:b/>
        </w:rPr>
      </w:pPr>
      <w:r w:rsidRPr="00E21D76">
        <w:rPr>
          <w:b/>
        </w:rPr>
        <w:t>ANDREW CAMPBELL N.O.</w:t>
      </w:r>
      <w:r w:rsidRPr="00E21D76">
        <w:rPr>
          <w:b/>
        </w:rPr>
        <w:tab/>
      </w:r>
      <w:r w:rsidRPr="00E21D76">
        <w:rPr>
          <w:b/>
        </w:rPr>
        <w:tab/>
      </w:r>
      <w:r w:rsidRPr="00E21D76">
        <w:rPr>
          <w:b/>
        </w:rPr>
        <w:tab/>
      </w:r>
      <w:r w:rsidRPr="00E21D76">
        <w:rPr>
          <w:b/>
        </w:rPr>
        <w:tab/>
        <w:t xml:space="preserve">  </w:t>
      </w:r>
      <w:r w:rsidR="00E93836" w:rsidRPr="00E21D76">
        <w:rPr>
          <w:b/>
        </w:rPr>
        <w:t xml:space="preserve">       EIGHTH</w:t>
      </w:r>
      <w:r w:rsidRPr="00E21D76">
        <w:rPr>
          <w:b/>
        </w:rPr>
        <w:t xml:space="preserve"> </w:t>
      </w:r>
      <w:r w:rsidR="00E93836" w:rsidRPr="00E21D76">
        <w:rPr>
          <w:b/>
        </w:rPr>
        <w:tab/>
      </w:r>
      <w:r w:rsidRPr="00E21D76">
        <w:rPr>
          <w:b/>
        </w:rPr>
        <w:t>PLAINTIFF</w:t>
      </w:r>
    </w:p>
    <w:p w14:paraId="5B40B0B9" w14:textId="7476824E" w:rsidR="00CA7C09" w:rsidRPr="00E21D76" w:rsidRDefault="00CA7C09" w:rsidP="00E93836">
      <w:pPr>
        <w:ind w:right="-330"/>
        <w:rPr>
          <w:b/>
        </w:rPr>
      </w:pPr>
      <w:r w:rsidRPr="00E21D76">
        <w:rPr>
          <w:b/>
        </w:rPr>
        <w:t>GEORGE FABIANUS MARTIN N.O.</w:t>
      </w:r>
      <w:r w:rsidRPr="00E21D76">
        <w:rPr>
          <w:b/>
        </w:rPr>
        <w:tab/>
      </w:r>
      <w:r w:rsidRPr="00E21D76">
        <w:rPr>
          <w:b/>
        </w:rPr>
        <w:tab/>
      </w:r>
      <w:r w:rsidRPr="00E21D76">
        <w:rPr>
          <w:b/>
        </w:rPr>
        <w:tab/>
        <w:t xml:space="preserve"> </w:t>
      </w:r>
      <w:r w:rsidR="00E93836" w:rsidRPr="00E21D76">
        <w:rPr>
          <w:b/>
        </w:rPr>
        <w:t xml:space="preserve">        NINETH</w:t>
      </w:r>
      <w:r w:rsidRPr="00E21D76">
        <w:rPr>
          <w:b/>
        </w:rPr>
        <w:t xml:space="preserve"> </w:t>
      </w:r>
      <w:r w:rsidR="00E93836" w:rsidRPr="00E21D76">
        <w:rPr>
          <w:b/>
        </w:rPr>
        <w:tab/>
      </w:r>
      <w:r w:rsidRPr="00E21D76">
        <w:rPr>
          <w:b/>
        </w:rPr>
        <w:t>PLAINTIFF</w:t>
      </w:r>
    </w:p>
    <w:p w14:paraId="5BC8909B" w14:textId="77777777" w:rsidR="00CA7C09" w:rsidRPr="00B26A30" w:rsidRDefault="00CA7C09" w:rsidP="00CA7C09">
      <w:pPr>
        <w:ind w:left="720" w:right="296"/>
      </w:pPr>
    </w:p>
    <w:p w14:paraId="38607DA0" w14:textId="77777777" w:rsidR="00CA7C09" w:rsidRPr="00B26A30" w:rsidRDefault="00CA7C09" w:rsidP="00CA7C09">
      <w:pPr>
        <w:ind w:right="296"/>
      </w:pPr>
      <w:r w:rsidRPr="00B26A30">
        <w:t>and</w:t>
      </w:r>
    </w:p>
    <w:p w14:paraId="68C02B81" w14:textId="77777777" w:rsidR="00CA7C09" w:rsidRPr="00B26A30" w:rsidRDefault="00CA7C09" w:rsidP="00CA7C09">
      <w:pPr>
        <w:ind w:left="720" w:right="296"/>
      </w:pPr>
    </w:p>
    <w:p w14:paraId="2F51DF89" w14:textId="2C6C6EA5" w:rsidR="00CA7C09" w:rsidRPr="00E21D76" w:rsidRDefault="00CA7C09" w:rsidP="00E93836">
      <w:pPr>
        <w:ind w:right="-897"/>
        <w:rPr>
          <w:b/>
        </w:rPr>
      </w:pPr>
      <w:r w:rsidRPr="00E21D76">
        <w:rPr>
          <w:b/>
        </w:rPr>
        <w:t>CAPRIVI BUILDING CONSTRUCTORS CC</w:t>
      </w:r>
      <w:r w:rsidRPr="00E21D76">
        <w:rPr>
          <w:b/>
        </w:rPr>
        <w:tab/>
      </w:r>
      <w:r w:rsidRPr="00E21D76">
        <w:rPr>
          <w:b/>
        </w:rPr>
        <w:tab/>
        <w:t xml:space="preserve"> </w:t>
      </w:r>
      <w:r w:rsidR="00E93836" w:rsidRPr="00E21D76">
        <w:rPr>
          <w:b/>
        </w:rPr>
        <w:t xml:space="preserve">    FIRST</w:t>
      </w:r>
      <w:r w:rsidRPr="00E21D76">
        <w:rPr>
          <w:b/>
        </w:rPr>
        <w:t xml:space="preserve"> </w:t>
      </w:r>
      <w:r w:rsidR="00E93836" w:rsidRPr="00E21D76">
        <w:rPr>
          <w:b/>
        </w:rPr>
        <w:tab/>
      </w:r>
      <w:r w:rsidR="00E93836" w:rsidRPr="00E21D76">
        <w:rPr>
          <w:b/>
        </w:rPr>
        <w:tab/>
      </w:r>
      <w:r w:rsidRPr="00E21D76">
        <w:rPr>
          <w:b/>
        </w:rPr>
        <w:t>DEFENDANT</w:t>
      </w:r>
    </w:p>
    <w:p w14:paraId="72F96548" w14:textId="2801EF75" w:rsidR="00CA7C09" w:rsidRPr="00E21D76" w:rsidRDefault="00E93836" w:rsidP="00E93836">
      <w:pPr>
        <w:ind w:right="-1039"/>
        <w:rPr>
          <w:b/>
        </w:rPr>
      </w:pPr>
      <w:r w:rsidRPr="00E21D76">
        <w:rPr>
          <w:b/>
        </w:rPr>
        <w:t>FRANCIS SIKUMBA SIKUMBA</w:t>
      </w:r>
      <w:r w:rsidRPr="00E21D76">
        <w:rPr>
          <w:b/>
        </w:rPr>
        <w:tab/>
      </w:r>
      <w:r w:rsidRPr="00E21D76">
        <w:rPr>
          <w:b/>
        </w:rPr>
        <w:tab/>
      </w:r>
      <w:r w:rsidRPr="00E21D76">
        <w:rPr>
          <w:b/>
        </w:rPr>
        <w:tab/>
      </w:r>
      <w:r w:rsidRPr="00E21D76">
        <w:rPr>
          <w:b/>
        </w:rPr>
        <w:tab/>
        <w:t xml:space="preserve">    SECOND</w:t>
      </w:r>
      <w:r w:rsidR="00CA7C09" w:rsidRPr="00E21D76">
        <w:rPr>
          <w:b/>
        </w:rPr>
        <w:t xml:space="preserve"> </w:t>
      </w:r>
      <w:r w:rsidRPr="00E21D76">
        <w:rPr>
          <w:b/>
        </w:rPr>
        <w:tab/>
      </w:r>
      <w:r w:rsidRPr="00E21D76">
        <w:rPr>
          <w:b/>
        </w:rPr>
        <w:tab/>
      </w:r>
      <w:r w:rsidR="00CA7C09" w:rsidRPr="00E21D76">
        <w:rPr>
          <w:b/>
        </w:rPr>
        <w:t>DEFENDANT</w:t>
      </w:r>
    </w:p>
    <w:p w14:paraId="64AF652E" w14:textId="474112FC" w:rsidR="00CA7C09" w:rsidRPr="00E21D76" w:rsidRDefault="00CA7C09" w:rsidP="00E93836">
      <w:pPr>
        <w:ind w:right="-897"/>
        <w:rPr>
          <w:b/>
        </w:rPr>
      </w:pPr>
      <w:r w:rsidRPr="00E21D76">
        <w:rPr>
          <w:b/>
        </w:rPr>
        <w:t xml:space="preserve">THE </w:t>
      </w:r>
      <w:r w:rsidR="00E93836" w:rsidRPr="00E21D76">
        <w:rPr>
          <w:b/>
        </w:rPr>
        <w:t>ZAMBEZI REGIONAL COUNCIL</w:t>
      </w:r>
      <w:r w:rsidR="00E93836" w:rsidRPr="00E21D76">
        <w:rPr>
          <w:b/>
        </w:rPr>
        <w:tab/>
      </w:r>
      <w:r w:rsidR="00E93836" w:rsidRPr="00E21D76">
        <w:rPr>
          <w:b/>
        </w:rPr>
        <w:tab/>
      </w:r>
      <w:r w:rsidR="00E93836" w:rsidRPr="00E21D76">
        <w:rPr>
          <w:b/>
        </w:rPr>
        <w:tab/>
        <w:t xml:space="preserve">    THIRD</w:t>
      </w:r>
      <w:r w:rsidRPr="00E21D76">
        <w:rPr>
          <w:b/>
        </w:rPr>
        <w:t xml:space="preserve"> </w:t>
      </w:r>
      <w:r w:rsidR="00E93836" w:rsidRPr="00E21D76">
        <w:rPr>
          <w:b/>
        </w:rPr>
        <w:tab/>
      </w:r>
      <w:r w:rsidR="00E93836" w:rsidRPr="00E21D76">
        <w:rPr>
          <w:b/>
        </w:rPr>
        <w:tab/>
      </w:r>
      <w:r w:rsidRPr="00E21D76">
        <w:rPr>
          <w:b/>
        </w:rPr>
        <w:t>DEFENDANT</w:t>
      </w:r>
    </w:p>
    <w:p w14:paraId="5CDC03AC" w14:textId="77777777" w:rsidR="006A7E17" w:rsidRPr="002A7FCE" w:rsidRDefault="006A7E17" w:rsidP="00772B20">
      <w:pPr>
        <w:spacing w:after="0" w:line="360" w:lineRule="auto"/>
        <w:jc w:val="both"/>
        <w:rPr>
          <w:b/>
          <w:lang w:val="en-ZA"/>
        </w:rPr>
      </w:pPr>
    </w:p>
    <w:p w14:paraId="4B859268" w14:textId="7DDD0F3E" w:rsidR="006A7E17" w:rsidRPr="002A7FCE" w:rsidRDefault="006A7E17" w:rsidP="00772B20">
      <w:pPr>
        <w:spacing w:after="0" w:line="360" w:lineRule="auto"/>
        <w:jc w:val="both"/>
        <w:rPr>
          <w:shd w:val="clear" w:color="auto" w:fill="FFFFFF"/>
        </w:rPr>
      </w:pPr>
      <w:r w:rsidRPr="002A7FCE">
        <w:rPr>
          <w:b/>
          <w:lang w:val="en-ZA"/>
        </w:rPr>
        <w:t xml:space="preserve">Neutral </w:t>
      </w:r>
      <w:r w:rsidR="00C2371F" w:rsidRPr="002A7FCE">
        <w:rPr>
          <w:b/>
          <w:lang w:val="en-ZA"/>
        </w:rPr>
        <w:t>citation:</w:t>
      </w:r>
      <w:r w:rsidR="00C2371F" w:rsidRPr="002A7FCE">
        <w:rPr>
          <w:b/>
          <w:lang w:val="en-ZA"/>
        </w:rPr>
        <w:tab/>
      </w:r>
      <w:r w:rsidR="00E93836" w:rsidRPr="00E21D76">
        <w:rPr>
          <w:i/>
        </w:rPr>
        <w:t>Kaunapaua Ndilula N.O.</w:t>
      </w:r>
      <w:r w:rsidR="00E93836" w:rsidRPr="00E21D76">
        <w:t xml:space="preserve"> v</w:t>
      </w:r>
      <w:r w:rsidR="00E93836" w:rsidRPr="002A7FCE">
        <w:rPr>
          <w:i/>
        </w:rPr>
        <w:t xml:space="preserve"> </w:t>
      </w:r>
      <w:r w:rsidR="00E93836" w:rsidRPr="00E21D76">
        <w:rPr>
          <w:i/>
        </w:rPr>
        <w:t>Caprivi Building Constructors CC and Others</w:t>
      </w:r>
      <w:r w:rsidR="00E93836" w:rsidRPr="002A7FCE">
        <w:rPr>
          <w:i/>
        </w:rPr>
        <w:t xml:space="preserve"> </w:t>
      </w:r>
      <w:r w:rsidR="00E93836" w:rsidRPr="002A7FCE">
        <w:t>(</w:t>
      </w:r>
      <w:r w:rsidR="00E93836" w:rsidRPr="007F544F">
        <w:rPr>
          <w:bCs/>
        </w:rPr>
        <w:t>HC-MD-CIV-ACT-CON-2017/00954</w:t>
      </w:r>
      <w:r w:rsidR="00E93836">
        <w:rPr>
          <w:bCs/>
        </w:rPr>
        <w:t>)</w:t>
      </w:r>
      <w:r w:rsidR="00E93836" w:rsidRPr="002A7FCE">
        <w:t xml:space="preserve"> [2019] NAHCMD</w:t>
      </w:r>
      <w:r w:rsidR="00471ED2">
        <w:t xml:space="preserve"> 456</w:t>
      </w:r>
      <w:r w:rsidR="00E93836" w:rsidRPr="002A7FCE">
        <w:t xml:space="preserve"> (</w:t>
      </w:r>
      <w:r w:rsidR="00E93836">
        <w:t>05</w:t>
      </w:r>
      <w:r w:rsidR="00E93836" w:rsidRPr="002A7FCE">
        <w:t xml:space="preserve"> November 2019)</w:t>
      </w:r>
    </w:p>
    <w:p w14:paraId="1D0ED53A" w14:textId="77777777" w:rsidR="00C2371F" w:rsidRPr="002A7FCE" w:rsidRDefault="00C2371F" w:rsidP="00772B20">
      <w:pPr>
        <w:spacing w:after="0" w:line="360" w:lineRule="auto"/>
        <w:jc w:val="both"/>
        <w:rPr>
          <w:lang w:val="en-ZA"/>
        </w:rPr>
      </w:pPr>
    </w:p>
    <w:p w14:paraId="5E4E7054" w14:textId="77777777" w:rsidR="006A7E17" w:rsidRPr="002A7FCE" w:rsidRDefault="006A7E17" w:rsidP="00772B20">
      <w:pPr>
        <w:spacing w:after="0" w:line="360" w:lineRule="auto"/>
        <w:jc w:val="both"/>
        <w:rPr>
          <w:lang w:val="en-ZA"/>
        </w:rPr>
      </w:pPr>
      <w:r w:rsidRPr="002A7FCE">
        <w:rPr>
          <w:b/>
          <w:lang w:val="en-ZA"/>
        </w:rPr>
        <w:t>Coram:</w:t>
      </w:r>
      <w:r w:rsidRPr="002A7FCE">
        <w:rPr>
          <w:b/>
          <w:lang w:val="en-ZA"/>
        </w:rPr>
        <w:tab/>
      </w:r>
      <w:r w:rsidRPr="002A7FCE">
        <w:rPr>
          <w:lang w:val="en-ZA"/>
        </w:rPr>
        <w:t>KANGUEEHI AJ</w:t>
      </w:r>
    </w:p>
    <w:p w14:paraId="02382A79" w14:textId="11774547" w:rsidR="006A7E17" w:rsidRPr="00772B20" w:rsidRDefault="006A7E17" w:rsidP="00772B20">
      <w:pPr>
        <w:spacing w:after="0" w:line="360" w:lineRule="auto"/>
        <w:jc w:val="both"/>
        <w:rPr>
          <w:b/>
          <w:lang w:val="en-ZA"/>
        </w:rPr>
      </w:pPr>
      <w:r w:rsidRPr="00772B20">
        <w:rPr>
          <w:b/>
          <w:lang w:val="en-ZA"/>
        </w:rPr>
        <w:t>Heard:</w:t>
      </w:r>
      <w:r w:rsidRPr="00772B20">
        <w:rPr>
          <w:b/>
          <w:lang w:val="en-ZA"/>
        </w:rPr>
        <w:tab/>
      </w:r>
      <w:r w:rsidR="007A469C">
        <w:rPr>
          <w:b/>
          <w:lang w:val="en-ZA"/>
        </w:rPr>
        <w:t>8</w:t>
      </w:r>
      <w:r w:rsidRPr="00772B20">
        <w:rPr>
          <w:b/>
          <w:lang w:val="en-ZA"/>
        </w:rPr>
        <w:t xml:space="preserve"> </w:t>
      </w:r>
      <w:r w:rsidR="007A469C">
        <w:rPr>
          <w:b/>
          <w:lang w:val="en-ZA"/>
        </w:rPr>
        <w:t>O</w:t>
      </w:r>
      <w:r w:rsidR="00E93836">
        <w:rPr>
          <w:b/>
          <w:lang w:val="en-ZA"/>
        </w:rPr>
        <w:t>ctober</w:t>
      </w:r>
      <w:r w:rsidR="007A469C">
        <w:rPr>
          <w:b/>
          <w:lang w:val="en-ZA"/>
        </w:rPr>
        <w:t xml:space="preserve"> </w:t>
      </w:r>
      <w:r w:rsidRPr="00772B20">
        <w:rPr>
          <w:b/>
          <w:lang w:val="en-ZA"/>
        </w:rPr>
        <w:t xml:space="preserve">2019 </w:t>
      </w:r>
    </w:p>
    <w:p w14:paraId="3FC22346" w14:textId="094FFB5E" w:rsidR="006A7E17" w:rsidRPr="002A7FCE" w:rsidRDefault="006A7E17" w:rsidP="00772B20">
      <w:pPr>
        <w:spacing w:after="0" w:line="360" w:lineRule="auto"/>
        <w:jc w:val="both"/>
        <w:rPr>
          <w:b/>
          <w:lang w:val="en-ZA"/>
        </w:rPr>
      </w:pPr>
      <w:r w:rsidRPr="002A7FCE">
        <w:rPr>
          <w:b/>
          <w:lang w:val="en-ZA"/>
        </w:rPr>
        <w:t>Delivered:</w:t>
      </w:r>
      <w:r w:rsidR="00246941" w:rsidRPr="002A7FCE">
        <w:rPr>
          <w:b/>
          <w:lang w:val="en-ZA"/>
        </w:rPr>
        <w:tab/>
      </w:r>
      <w:r w:rsidR="00E93836">
        <w:rPr>
          <w:b/>
          <w:lang w:val="en-ZA"/>
        </w:rPr>
        <w:t>5</w:t>
      </w:r>
      <w:r w:rsidR="00E93836" w:rsidRPr="002A7FCE">
        <w:rPr>
          <w:b/>
          <w:lang w:val="en-ZA"/>
        </w:rPr>
        <w:t xml:space="preserve"> November 2019</w:t>
      </w:r>
    </w:p>
    <w:p w14:paraId="15CFFA91" w14:textId="77777777" w:rsidR="006A7E17" w:rsidRPr="002A7FCE" w:rsidRDefault="006A7E17" w:rsidP="00772B20">
      <w:pPr>
        <w:spacing w:after="0" w:line="360" w:lineRule="auto"/>
        <w:jc w:val="both"/>
        <w:rPr>
          <w:lang w:val="en-ZA"/>
        </w:rPr>
      </w:pPr>
    </w:p>
    <w:p w14:paraId="66CC57C0" w14:textId="051A6B65" w:rsidR="006A7E17" w:rsidRPr="00772B20" w:rsidRDefault="006A7E17" w:rsidP="00772B20">
      <w:pPr>
        <w:spacing w:after="0" w:line="360" w:lineRule="auto"/>
        <w:jc w:val="both"/>
        <w:rPr>
          <w:lang w:val="en-ZA"/>
        </w:rPr>
      </w:pPr>
      <w:r w:rsidRPr="00772B20">
        <w:rPr>
          <w:b/>
          <w:lang w:val="en-ZA"/>
        </w:rPr>
        <w:t>Flynote:</w:t>
      </w:r>
      <w:r w:rsidRPr="00772B20">
        <w:rPr>
          <w:b/>
          <w:lang w:val="en-ZA"/>
        </w:rPr>
        <w:tab/>
      </w:r>
      <w:r w:rsidR="001A6F7F" w:rsidRPr="00EE2B54">
        <w:rPr>
          <w:lang w:val="en-ZA"/>
        </w:rPr>
        <w:t>Law of Contract</w:t>
      </w:r>
      <w:r w:rsidR="001A6F7F">
        <w:rPr>
          <w:lang w:val="en-ZA"/>
        </w:rPr>
        <w:t xml:space="preserve"> </w:t>
      </w:r>
      <w:r w:rsidR="001A6F7F" w:rsidRPr="00EE2B54">
        <w:rPr>
          <w:lang w:val="en-ZA"/>
        </w:rPr>
        <w:t>– Tacit agreement –</w:t>
      </w:r>
      <w:r w:rsidR="001A6F7F" w:rsidRPr="00EE2B54">
        <w:t xml:space="preserve"> Doctrine of quasi-mutual assent</w:t>
      </w:r>
      <w:r w:rsidR="001A6F7F" w:rsidRPr="00EE2B54">
        <w:rPr>
          <w:lang w:val="en-ZA"/>
        </w:rPr>
        <w:t xml:space="preserve"> – </w:t>
      </w:r>
      <w:r w:rsidR="001A6F7F">
        <w:rPr>
          <w:lang w:val="en-ZA"/>
        </w:rPr>
        <w:t xml:space="preserve">Principles discussed and </w:t>
      </w:r>
      <w:r w:rsidR="001A6F7F" w:rsidRPr="00EE2B54">
        <w:rPr>
          <w:lang w:val="en-ZA"/>
        </w:rPr>
        <w:t>Applied</w:t>
      </w:r>
      <w:r w:rsidR="00F61E2C">
        <w:rPr>
          <w:lang w:val="en-ZA"/>
        </w:rPr>
        <w:t xml:space="preserve"> – Non-variation clause – Deviation therefrom where </w:t>
      </w:r>
      <w:r w:rsidR="00567826">
        <w:rPr>
          <w:lang w:val="en-ZA"/>
        </w:rPr>
        <w:t>reliance thereon</w:t>
      </w:r>
      <w:r w:rsidR="00F61E2C">
        <w:rPr>
          <w:lang w:val="en-ZA"/>
        </w:rPr>
        <w:t xml:space="preserve"> would amount to</w:t>
      </w:r>
      <w:r w:rsidR="00567826">
        <w:rPr>
          <w:lang w:val="en-ZA"/>
        </w:rPr>
        <w:t xml:space="preserve"> </w:t>
      </w:r>
      <w:r w:rsidR="00F61E2C">
        <w:rPr>
          <w:lang w:val="en-ZA"/>
        </w:rPr>
        <w:t>conduct in bad faith or against public policy</w:t>
      </w:r>
      <w:r w:rsidR="00567826">
        <w:rPr>
          <w:lang w:val="en-ZA"/>
        </w:rPr>
        <w:t xml:space="preserve"> by the party wishing to rely thereon</w:t>
      </w:r>
      <w:r w:rsidR="00F61E2C">
        <w:rPr>
          <w:lang w:val="en-ZA"/>
        </w:rPr>
        <w:t xml:space="preserve">.  </w:t>
      </w:r>
    </w:p>
    <w:p w14:paraId="484F611A" w14:textId="77777777" w:rsidR="006A7E17" w:rsidRPr="00772B20" w:rsidRDefault="006A7E17" w:rsidP="00772B20">
      <w:pPr>
        <w:spacing w:after="0" w:line="360" w:lineRule="auto"/>
        <w:jc w:val="both"/>
        <w:rPr>
          <w:lang w:val="en-ZA"/>
        </w:rPr>
      </w:pPr>
    </w:p>
    <w:p w14:paraId="6B3E7294" w14:textId="77777777" w:rsidR="0027484D" w:rsidRPr="00772B20" w:rsidRDefault="0027484D" w:rsidP="00772B20">
      <w:pPr>
        <w:spacing w:after="0" w:line="360" w:lineRule="auto"/>
        <w:jc w:val="both"/>
        <w:rPr>
          <w:lang w:val="en-ZA"/>
        </w:rPr>
      </w:pPr>
    </w:p>
    <w:p w14:paraId="2D54A43C" w14:textId="65029EDD" w:rsidR="0025784B" w:rsidRPr="00F35CB8" w:rsidRDefault="0025784B" w:rsidP="00772B20">
      <w:pPr>
        <w:spacing w:after="0" w:line="360" w:lineRule="auto"/>
        <w:jc w:val="both"/>
      </w:pPr>
      <w:r w:rsidRPr="00F35CB8">
        <w:rPr>
          <w:rFonts w:eastAsia="Times New Roman"/>
          <w:b/>
          <w:lang w:val="en-GB"/>
        </w:rPr>
        <w:t>Summary:</w:t>
      </w:r>
      <w:r w:rsidRPr="00F35CB8">
        <w:rPr>
          <w:rFonts w:eastAsia="Times New Roman"/>
          <w:lang w:val="en-GB"/>
        </w:rPr>
        <w:tab/>
      </w:r>
      <w:r w:rsidR="00C9119A" w:rsidRPr="00F35CB8">
        <w:rPr>
          <w:rFonts w:eastAsia="Times New Roman"/>
          <w:lang w:val="en-GB"/>
        </w:rPr>
        <w:t xml:space="preserve"> </w:t>
      </w:r>
      <w:r w:rsidR="007E54CF" w:rsidRPr="00F35CB8">
        <w:t xml:space="preserve">The </w:t>
      </w:r>
      <w:r w:rsidR="00B10401" w:rsidRPr="00F35CB8">
        <w:t>plaintiff</w:t>
      </w:r>
      <w:r w:rsidR="003F65BE" w:rsidRPr="00F35CB8">
        <w:t xml:space="preserve"> is a trust which operated a</w:t>
      </w:r>
      <w:r w:rsidR="00EE5670" w:rsidRPr="00F35CB8">
        <w:t>s a</w:t>
      </w:r>
      <w:r w:rsidR="003F65BE" w:rsidRPr="00F35CB8">
        <w:t xml:space="preserve"> money lender</w:t>
      </w:r>
      <w:r w:rsidR="00772B20" w:rsidRPr="00F35CB8">
        <w:t>.</w:t>
      </w:r>
      <w:r w:rsidR="003F65BE" w:rsidRPr="00F35CB8">
        <w:t xml:space="preserve"> The trust lent and advanced a loan facility to the </w:t>
      </w:r>
      <w:r w:rsidR="00E93836">
        <w:t>first</w:t>
      </w:r>
      <w:r w:rsidR="00E93836" w:rsidRPr="00F35CB8">
        <w:t xml:space="preserve"> defendant</w:t>
      </w:r>
      <w:r w:rsidR="00A660D5" w:rsidRPr="00F35CB8">
        <w:t>.</w:t>
      </w:r>
      <w:r w:rsidR="003F65BE" w:rsidRPr="00F35CB8">
        <w:t xml:space="preserve"> </w:t>
      </w:r>
      <w:r w:rsidR="00A660D5" w:rsidRPr="00F35CB8">
        <w:t>T</w:t>
      </w:r>
      <w:r w:rsidR="003F65BE" w:rsidRPr="00F35CB8">
        <w:t xml:space="preserve">his agreement encompassed a non-variation clause. The facility </w:t>
      </w:r>
      <w:r w:rsidR="003F65BE" w:rsidRPr="00F35CB8">
        <w:lastRenderedPageBreak/>
        <w:t xml:space="preserve">agreement underwent amendments and these amendments were reduced to writing. </w:t>
      </w:r>
      <w:r w:rsidR="00A660D5" w:rsidRPr="00F35CB8">
        <w:t>A</w:t>
      </w:r>
      <w:r w:rsidR="003F65BE" w:rsidRPr="00F35CB8">
        <w:t xml:space="preserve"> further </w:t>
      </w:r>
      <w:r w:rsidR="00F35CB8" w:rsidRPr="00F35CB8">
        <w:t>disbursement</w:t>
      </w:r>
      <w:r w:rsidR="003F65BE" w:rsidRPr="00F35CB8">
        <w:t xml:space="preserve"> </w:t>
      </w:r>
      <w:r w:rsidR="00EE5670" w:rsidRPr="00F35CB8">
        <w:t xml:space="preserve">in the amount of </w:t>
      </w:r>
      <w:r w:rsidR="00EE5670" w:rsidRPr="00F35CB8">
        <w:rPr>
          <w:lang w:val="en-CA"/>
        </w:rPr>
        <w:t xml:space="preserve">1,936,439.75 </w:t>
      </w:r>
      <w:r w:rsidR="003F65BE" w:rsidRPr="00F35CB8">
        <w:t>was</w:t>
      </w:r>
      <w:r w:rsidR="00A660D5" w:rsidRPr="00F35CB8">
        <w:t xml:space="preserve">, </w:t>
      </w:r>
      <w:r w:rsidR="002C06F7" w:rsidRPr="00F35CB8">
        <w:t>however, made</w:t>
      </w:r>
      <w:r w:rsidR="003F65BE" w:rsidRPr="00F35CB8">
        <w:t xml:space="preserve"> which was not reduced to writing. </w:t>
      </w:r>
      <w:r w:rsidR="002C06F7" w:rsidRPr="00F35CB8">
        <w:t>This payment</w:t>
      </w:r>
      <w:r w:rsidR="003F65BE" w:rsidRPr="00F35CB8">
        <w:t xml:space="preserve"> forms the subject matter of th</w:t>
      </w:r>
      <w:r w:rsidR="00A660D5" w:rsidRPr="00F35CB8">
        <w:t>ese</w:t>
      </w:r>
      <w:r w:rsidR="003F65BE" w:rsidRPr="00F35CB8">
        <w:t xml:space="preserve"> proceeding</w:t>
      </w:r>
      <w:r w:rsidR="00A660D5" w:rsidRPr="00F35CB8">
        <w:t>s. T</w:t>
      </w:r>
      <w:r w:rsidR="003F65BE" w:rsidRPr="00F35CB8">
        <w:t xml:space="preserve">he </w:t>
      </w:r>
      <w:r w:rsidR="00E93836">
        <w:t>second</w:t>
      </w:r>
      <w:r w:rsidR="00E93836" w:rsidRPr="00F35CB8">
        <w:t xml:space="preserve"> defendant</w:t>
      </w:r>
      <w:r w:rsidR="003F65BE" w:rsidRPr="00F35CB8">
        <w:t xml:space="preserve"> alleged that this payment was made </w:t>
      </w:r>
      <w:r w:rsidR="00A660D5" w:rsidRPr="00F35CB8">
        <w:t xml:space="preserve">owing to </w:t>
      </w:r>
      <w:r w:rsidR="003F65BE" w:rsidRPr="00F35CB8">
        <w:t xml:space="preserve">the negligence and or mistake of the plaintiff and since it was not reduced to writing, </w:t>
      </w:r>
      <w:r w:rsidR="00F35CB8">
        <w:t xml:space="preserve">the </w:t>
      </w:r>
      <w:r w:rsidR="00E93836">
        <w:t>first and</w:t>
      </w:r>
      <w:r w:rsidR="00F35CB8">
        <w:t xml:space="preserve"> </w:t>
      </w:r>
      <w:r w:rsidR="00E93836">
        <w:t>second</w:t>
      </w:r>
      <w:r w:rsidR="00E93836" w:rsidRPr="00F35CB8">
        <w:t xml:space="preserve"> defendan</w:t>
      </w:r>
      <w:r w:rsidR="00E93836">
        <w:t>ts</w:t>
      </w:r>
      <w:r w:rsidR="003F65BE" w:rsidRPr="00F35CB8">
        <w:t xml:space="preserve"> den</w:t>
      </w:r>
      <w:r w:rsidR="00F35CB8">
        <w:t xml:space="preserve">y </w:t>
      </w:r>
      <w:r w:rsidR="003F65BE" w:rsidRPr="00F35CB8">
        <w:t xml:space="preserve">liability therefor. </w:t>
      </w:r>
      <w:r w:rsidR="00F35CB8">
        <w:t>This despite the fact that the disbursements were made at their specific instance and request.</w:t>
      </w:r>
    </w:p>
    <w:p w14:paraId="516078BD" w14:textId="77777777" w:rsidR="00433149" w:rsidRDefault="00433149" w:rsidP="00772B20">
      <w:pPr>
        <w:spacing w:after="0" w:line="360" w:lineRule="auto"/>
        <w:jc w:val="both"/>
      </w:pPr>
    </w:p>
    <w:p w14:paraId="7D04D607" w14:textId="766B932B" w:rsidR="00433149" w:rsidRDefault="00433149" w:rsidP="00772B20">
      <w:pPr>
        <w:spacing w:after="0" w:line="360" w:lineRule="auto"/>
        <w:jc w:val="both"/>
        <w:rPr>
          <w:shd w:val="clear" w:color="auto" w:fill="FFFFFF"/>
        </w:rPr>
      </w:pPr>
      <w:r>
        <w:t xml:space="preserve">Held: </w:t>
      </w:r>
      <w:r w:rsidRPr="003B45EB">
        <w:rPr>
          <w:shd w:val="clear" w:color="auto" w:fill="FFFFFF"/>
        </w:rPr>
        <w:t>The court is satisfied that the evidence shows that there was a valid contract</w:t>
      </w:r>
      <w:r w:rsidR="00D95E54">
        <w:rPr>
          <w:shd w:val="clear" w:color="auto" w:fill="FFFFFF"/>
        </w:rPr>
        <w:t>,</w:t>
      </w:r>
      <w:r w:rsidRPr="003B45EB">
        <w:rPr>
          <w:shd w:val="clear" w:color="auto" w:fill="FFFFFF"/>
        </w:rPr>
        <w:t xml:space="preserve"> not only based on the written agreements but also </w:t>
      </w:r>
      <w:r w:rsidR="00F35CB8">
        <w:rPr>
          <w:shd w:val="clear" w:color="auto" w:fill="FFFFFF"/>
        </w:rPr>
        <w:t xml:space="preserve">as evinced </w:t>
      </w:r>
      <w:r w:rsidRPr="003B45EB">
        <w:rPr>
          <w:shd w:val="clear" w:color="auto" w:fill="FFFFFF"/>
        </w:rPr>
        <w:t>by the conduct and or external manifestations of the parties.</w:t>
      </w:r>
    </w:p>
    <w:p w14:paraId="5792C76D" w14:textId="77777777" w:rsidR="00433149" w:rsidRPr="00A660D5" w:rsidRDefault="00433149" w:rsidP="00772B20">
      <w:pPr>
        <w:spacing w:after="0" w:line="360" w:lineRule="auto"/>
        <w:jc w:val="both"/>
        <w:rPr>
          <w:color w:val="FF0000"/>
          <w:shd w:val="clear" w:color="auto" w:fill="FFFFFF"/>
        </w:rPr>
      </w:pPr>
    </w:p>
    <w:p w14:paraId="34F9909E" w14:textId="2814CE73" w:rsidR="00433149" w:rsidRPr="00F35CB8" w:rsidRDefault="00433149" w:rsidP="00772B20">
      <w:pPr>
        <w:spacing w:after="0" w:line="360" w:lineRule="auto"/>
        <w:jc w:val="both"/>
        <w:rPr>
          <w:shd w:val="clear" w:color="auto" w:fill="FFFFFF"/>
        </w:rPr>
      </w:pPr>
      <w:r w:rsidRPr="00F35CB8">
        <w:rPr>
          <w:shd w:val="clear" w:color="auto" w:fill="FFFFFF"/>
        </w:rPr>
        <w:t>Held: The facility agreement being amended three times shows clearly in the mind of the parties that the agreement was subject to change, albeit subject to the non-variation clause.</w:t>
      </w:r>
    </w:p>
    <w:p w14:paraId="12279090" w14:textId="77777777" w:rsidR="001842AC" w:rsidRDefault="001842AC" w:rsidP="00772B20">
      <w:pPr>
        <w:spacing w:after="0" w:line="360" w:lineRule="auto"/>
        <w:jc w:val="both"/>
        <w:rPr>
          <w:shd w:val="clear" w:color="auto" w:fill="FFFFFF"/>
        </w:rPr>
      </w:pPr>
    </w:p>
    <w:p w14:paraId="017C0AB3" w14:textId="1017F8D4" w:rsidR="001842AC" w:rsidRDefault="001842AC" w:rsidP="001842AC">
      <w:pPr>
        <w:spacing w:after="0" w:line="360" w:lineRule="auto"/>
        <w:jc w:val="both"/>
        <w:rPr>
          <w:lang w:val="en-ZA"/>
        </w:rPr>
      </w:pPr>
      <w:r>
        <w:rPr>
          <w:lang w:val="en-ZA"/>
        </w:rPr>
        <w:lastRenderedPageBreak/>
        <w:t xml:space="preserve">Held: The agreement entered into between the </w:t>
      </w:r>
      <w:r w:rsidR="00E93836">
        <w:rPr>
          <w:lang w:val="en-ZA"/>
        </w:rPr>
        <w:t>first and</w:t>
      </w:r>
      <w:r>
        <w:rPr>
          <w:lang w:val="en-ZA"/>
        </w:rPr>
        <w:t xml:space="preserve"> </w:t>
      </w:r>
      <w:r w:rsidR="00E93836">
        <w:rPr>
          <w:lang w:val="en-ZA"/>
        </w:rPr>
        <w:t>second defendant</w:t>
      </w:r>
      <w:r>
        <w:rPr>
          <w:lang w:val="en-ZA"/>
        </w:rPr>
        <w:t xml:space="preserve"> and the </w:t>
      </w:r>
      <w:r w:rsidR="00E93836">
        <w:rPr>
          <w:lang w:val="en-ZA"/>
        </w:rPr>
        <w:t>third defendant</w:t>
      </w:r>
      <w:r>
        <w:rPr>
          <w:lang w:val="en-ZA"/>
        </w:rPr>
        <w:t xml:space="preserve"> is a completely separate agreement from the one adjudicated on in this matter. </w:t>
      </w:r>
      <w:r w:rsidR="00F35CB8">
        <w:rPr>
          <w:lang w:val="en-ZA"/>
        </w:rPr>
        <w:t>In any event, the court already pronounced itself on same in a judgment on absolution from the instance.</w:t>
      </w:r>
    </w:p>
    <w:p w14:paraId="6C5ED527" w14:textId="77777777" w:rsidR="00F35CB8" w:rsidRDefault="00F35CB8" w:rsidP="001842AC">
      <w:pPr>
        <w:spacing w:after="0" w:line="360" w:lineRule="auto"/>
        <w:jc w:val="both"/>
        <w:rPr>
          <w:lang w:val="en-ZA"/>
        </w:rPr>
      </w:pPr>
    </w:p>
    <w:p w14:paraId="569A4C77" w14:textId="54146C38" w:rsidR="001842AC" w:rsidRPr="00F35CB8" w:rsidRDefault="001842AC" w:rsidP="001842AC">
      <w:pPr>
        <w:spacing w:after="0" w:line="360" w:lineRule="auto"/>
        <w:jc w:val="both"/>
        <w:rPr>
          <w:lang w:val="en-ZA"/>
        </w:rPr>
      </w:pPr>
      <w:r w:rsidRPr="00F35CB8">
        <w:t xml:space="preserve">Held: </w:t>
      </w:r>
      <w:r w:rsidR="00F7694F">
        <w:t>I</w:t>
      </w:r>
      <w:r w:rsidRPr="00F35CB8">
        <w:t xml:space="preserve">t would be against public policy to have a party to a contract </w:t>
      </w:r>
      <w:r w:rsidR="00F35CB8">
        <w:t>that</w:t>
      </w:r>
      <w:r w:rsidRPr="00F35CB8">
        <w:t xml:space="preserve"> conducted </w:t>
      </w:r>
      <w:r w:rsidR="00F35CB8">
        <w:t xml:space="preserve">itself </w:t>
      </w:r>
      <w:r w:rsidRPr="00F35CB8">
        <w:t xml:space="preserve">as the </w:t>
      </w:r>
      <w:r w:rsidR="00E93836">
        <w:t>first</w:t>
      </w:r>
      <w:r w:rsidR="00E93836" w:rsidRPr="00F35CB8">
        <w:t xml:space="preserve"> and</w:t>
      </w:r>
      <w:r w:rsidR="00F35CB8" w:rsidRPr="00F35CB8">
        <w:t xml:space="preserve"> </w:t>
      </w:r>
      <w:r w:rsidR="00E93836">
        <w:t>second</w:t>
      </w:r>
      <w:r w:rsidR="00E93836" w:rsidRPr="00F35CB8">
        <w:t xml:space="preserve"> defendants</w:t>
      </w:r>
      <w:r w:rsidR="00F35CB8">
        <w:t xml:space="preserve"> did</w:t>
      </w:r>
      <w:r w:rsidR="00F7694F">
        <w:t xml:space="preserve"> to escape liability at the back of a non-variation clause.</w:t>
      </w:r>
      <w:r w:rsidRPr="00F35CB8">
        <w:t xml:space="preserve"> </w:t>
      </w:r>
    </w:p>
    <w:p w14:paraId="787448AB" w14:textId="77777777" w:rsidR="001842AC" w:rsidRDefault="001842AC" w:rsidP="001842AC">
      <w:pPr>
        <w:spacing w:after="0" w:line="360" w:lineRule="auto"/>
        <w:jc w:val="both"/>
        <w:rPr>
          <w:lang w:val="en-ZA"/>
        </w:rPr>
      </w:pPr>
    </w:p>
    <w:p w14:paraId="2014C75A" w14:textId="66B2B193" w:rsidR="001842AC" w:rsidRDefault="001842AC" w:rsidP="001842AC">
      <w:pPr>
        <w:spacing w:after="0" w:line="360" w:lineRule="auto"/>
        <w:jc w:val="both"/>
        <w:rPr>
          <w:lang w:val="en-ZA"/>
        </w:rPr>
      </w:pPr>
      <w:r>
        <w:rPr>
          <w:lang w:val="en-ZA"/>
        </w:rPr>
        <w:t xml:space="preserve">Held: In any event, even if the court were to indulge the argument by the </w:t>
      </w:r>
      <w:r w:rsidR="00E93836">
        <w:rPr>
          <w:lang w:val="en-ZA"/>
        </w:rPr>
        <w:t>second defendant</w:t>
      </w:r>
      <w:r>
        <w:rPr>
          <w:lang w:val="en-ZA"/>
        </w:rPr>
        <w:t xml:space="preserve"> that the money was paid </w:t>
      </w:r>
      <w:r w:rsidR="00F7694F">
        <w:rPr>
          <w:lang w:val="en-ZA"/>
        </w:rPr>
        <w:t xml:space="preserve">owing to </w:t>
      </w:r>
      <w:r>
        <w:rPr>
          <w:lang w:val="en-ZA"/>
        </w:rPr>
        <w:t>a mistake by the plaintiff</w:t>
      </w:r>
      <w:r w:rsidR="00F7694F">
        <w:rPr>
          <w:lang w:val="en-ZA"/>
        </w:rPr>
        <w:t>,</w:t>
      </w:r>
      <w:r>
        <w:rPr>
          <w:lang w:val="en-ZA"/>
        </w:rPr>
        <w:t xml:space="preserve"> </w:t>
      </w:r>
      <w:r w:rsidR="00F7694F">
        <w:rPr>
          <w:lang w:val="en-ZA"/>
        </w:rPr>
        <w:t>t</w:t>
      </w:r>
      <w:r>
        <w:rPr>
          <w:lang w:val="en-ZA"/>
        </w:rPr>
        <w:t xml:space="preserve">he </w:t>
      </w:r>
      <w:r w:rsidR="00E93836">
        <w:rPr>
          <w:lang w:val="en-ZA"/>
        </w:rPr>
        <w:t>first defendant</w:t>
      </w:r>
      <w:r>
        <w:rPr>
          <w:lang w:val="en-ZA"/>
        </w:rPr>
        <w:t xml:space="preserve"> would in the circumstances have been </w:t>
      </w:r>
      <w:r w:rsidR="00F7694F">
        <w:rPr>
          <w:lang w:val="en-ZA"/>
        </w:rPr>
        <w:t xml:space="preserve">unjustly </w:t>
      </w:r>
      <w:r>
        <w:rPr>
          <w:lang w:val="en-ZA"/>
        </w:rPr>
        <w:t xml:space="preserve">enriched </w:t>
      </w:r>
      <w:r w:rsidRPr="000C58D3">
        <w:rPr>
          <w:lang w:val="en-CA"/>
        </w:rPr>
        <w:t>in the amount of N$</w:t>
      </w:r>
      <w:r>
        <w:rPr>
          <w:lang w:val="en-CA"/>
        </w:rPr>
        <w:t xml:space="preserve"> 1,936,439.75</w:t>
      </w:r>
      <w:r w:rsidR="00F7694F">
        <w:rPr>
          <w:rStyle w:val="FootnoteReference"/>
          <w:lang w:val="en-CA"/>
        </w:rPr>
        <w:footnoteReference w:id="1"/>
      </w:r>
      <w:r w:rsidR="00F7694F">
        <w:rPr>
          <w:lang w:val="en-ZA"/>
        </w:rPr>
        <w:t xml:space="preserve"> since it was relieved of </w:t>
      </w:r>
      <w:r w:rsidR="00D95E54">
        <w:rPr>
          <w:lang w:val="en-ZA"/>
        </w:rPr>
        <w:t>the burden to pay its creditors</w:t>
      </w:r>
      <w:r w:rsidR="00D95E54">
        <w:rPr>
          <w:rStyle w:val="FootnoteReference"/>
          <w:lang w:val="en-ZA"/>
        </w:rPr>
        <w:footnoteReference w:id="2"/>
      </w:r>
      <w:r w:rsidR="00D95E54">
        <w:rPr>
          <w:lang w:val="en-ZA"/>
        </w:rPr>
        <w:t>.</w:t>
      </w:r>
      <w:r w:rsidR="00D95E54">
        <w:rPr>
          <w:lang w:val="en-CA"/>
        </w:rPr>
        <w:t xml:space="preserve"> </w:t>
      </w:r>
      <w:r w:rsidR="00F7694F">
        <w:rPr>
          <w:lang w:val="en-ZA"/>
        </w:rPr>
        <w:t xml:space="preserve"> This burden was carried by the plaintiff throughout.</w:t>
      </w:r>
      <w:r>
        <w:rPr>
          <w:lang w:val="en-ZA"/>
        </w:rPr>
        <w:t xml:space="preserve"> </w:t>
      </w:r>
    </w:p>
    <w:p w14:paraId="6B145A1E" w14:textId="77777777" w:rsidR="00C2371F" w:rsidRPr="00772B20" w:rsidRDefault="00C2371F" w:rsidP="00772B20">
      <w:pPr>
        <w:spacing w:after="0" w:line="360" w:lineRule="auto"/>
        <w:jc w:val="both"/>
        <w:rPr>
          <w:bCs/>
          <w:noProof/>
        </w:rPr>
      </w:pPr>
    </w:p>
    <w:p w14:paraId="06D21D8C" w14:textId="77777777" w:rsidR="00C2371F" w:rsidRPr="00772B20" w:rsidRDefault="00217B80" w:rsidP="00772B20">
      <w:pPr>
        <w:spacing w:after="0" w:line="360" w:lineRule="auto"/>
        <w:jc w:val="both"/>
        <w:rPr>
          <w:bCs/>
          <w:noProof/>
        </w:rPr>
      </w:pPr>
      <w:r>
        <w:rPr>
          <w:bCs/>
          <w:noProof/>
        </w:rPr>
        <w:pict w14:anchorId="716192E2">
          <v:rect id="_x0000_i1025" style="width:0;height:1.5pt" o:hralign="center" o:hrstd="t" o:hr="t" fillcolor="#a0a0a0" stroked="f"/>
        </w:pict>
      </w:r>
    </w:p>
    <w:p w14:paraId="45C44605" w14:textId="77777777" w:rsidR="00C2371F" w:rsidRPr="00772B20" w:rsidRDefault="00C2371F" w:rsidP="0029168F">
      <w:pPr>
        <w:spacing w:after="0" w:line="360" w:lineRule="auto"/>
        <w:jc w:val="center"/>
        <w:rPr>
          <w:b/>
          <w:bCs/>
          <w:noProof/>
        </w:rPr>
      </w:pPr>
      <w:r w:rsidRPr="00772B20">
        <w:rPr>
          <w:b/>
          <w:bCs/>
          <w:noProof/>
        </w:rPr>
        <w:t>ORDER</w:t>
      </w:r>
    </w:p>
    <w:p w14:paraId="15BF1692" w14:textId="77777777" w:rsidR="00C2371F" w:rsidRPr="00772B20" w:rsidRDefault="00217B80" w:rsidP="0029168F">
      <w:pPr>
        <w:spacing w:after="0" w:line="360" w:lineRule="auto"/>
        <w:jc w:val="center"/>
        <w:rPr>
          <w:bCs/>
          <w:noProof/>
        </w:rPr>
      </w:pPr>
      <w:r>
        <w:rPr>
          <w:bCs/>
          <w:noProof/>
        </w:rPr>
        <w:pict w14:anchorId="474CDF03">
          <v:rect id="_x0000_i1026" style="width:0;height:1.5pt" o:hralign="center" o:hrstd="t" o:hr="t" fillcolor="#a0a0a0" stroked="f"/>
        </w:pict>
      </w:r>
    </w:p>
    <w:p w14:paraId="21EDD365" w14:textId="77777777" w:rsidR="003E1227" w:rsidRPr="003E1227" w:rsidRDefault="003E1227" w:rsidP="003E1227">
      <w:pPr>
        <w:pStyle w:val="ListParagraph"/>
        <w:widowControl w:val="0"/>
        <w:spacing w:after="0" w:line="360" w:lineRule="auto"/>
        <w:ind w:left="1276"/>
        <w:jc w:val="both"/>
      </w:pPr>
    </w:p>
    <w:p w14:paraId="108AF755" w14:textId="0E575E33" w:rsidR="001842AC" w:rsidRPr="00571C2C" w:rsidRDefault="001842AC" w:rsidP="001842AC">
      <w:pPr>
        <w:pStyle w:val="ListParagraph"/>
        <w:widowControl w:val="0"/>
        <w:numPr>
          <w:ilvl w:val="0"/>
          <w:numId w:val="30"/>
        </w:numPr>
        <w:spacing w:after="0" w:line="360" w:lineRule="auto"/>
        <w:ind w:left="1276" w:hanging="850"/>
        <w:jc w:val="both"/>
      </w:pPr>
      <w:r w:rsidRPr="00DD0E6F">
        <w:rPr>
          <w:lang w:val="en-CA"/>
        </w:rPr>
        <w:t xml:space="preserve">The </w:t>
      </w:r>
      <w:r w:rsidR="00E93836">
        <w:rPr>
          <w:lang w:val="en-CA"/>
        </w:rPr>
        <w:t>first</w:t>
      </w:r>
      <w:r w:rsidR="00E93836" w:rsidRPr="00DD0E6F">
        <w:rPr>
          <w:lang w:val="en-CA"/>
        </w:rPr>
        <w:t xml:space="preserve"> and</w:t>
      </w:r>
      <w:r w:rsidRPr="00DD0E6F">
        <w:rPr>
          <w:lang w:val="en-CA"/>
        </w:rPr>
        <w:t xml:space="preserve"> </w:t>
      </w:r>
      <w:r w:rsidR="00E93836">
        <w:rPr>
          <w:lang w:val="en-CA"/>
        </w:rPr>
        <w:t>second</w:t>
      </w:r>
      <w:r w:rsidR="00E93836" w:rsidRPr="00DD0E6F">
        <w:rPr>
          <w:lang w:val="en-CA"/>
        </w:rPr>
        <w:t xml:space="preserve"> defendants</w:t>
      </w:r>
      <w:r w:rsidRPr="00DD0E6F">
        <w:rPr>
          <w:lang w:val="en-CA"/>
        </w:rPr>
        <w:t xml:space="preserve"> are jointly and severally liable </w:t>
      </w:r>
      <w:r w:rsidR="00DD0E6F" w:rsidRPr="00DD0E6F">
        <w:rPr>
          <w:lang w:val="en-CA"/>
        </w:rPr>
        <w:t xml:space="preserve">to the Plaintiffs </w:t>
      </w:r>
      <w:r w:rsidRPr="00DD0E6F">
        <w:rPr>
          <w:lang w:val="en-CA"/>
        </w:rPr>
        <w:t xml:space="preserve">in the amount of </w:t>
      </w:r>
      <w:r w:rsidR="00DD0E6F" w:rsidRPr="00DD0E6F">
        <w:rPr>
          <w:lang w:val="en-CA"/>
        </w:rPr>
        <w:t>N$3</w:t>
      </w:r>
      <w:r w:rsidR="00DD0E6F">
        <w:rPr>
          <w:lang w:val="en-CA"/>
        </w:rPr>
        <w:t>,</w:t>
      </w:r>
      <w:r w:rsidR="00DD0E6F" w:rsidRPr="00DD0E6F">
        <w:rPr>
          <w:lang w:val="en-CA"/>
        </w:rPr>
        <w:t>885,060.50.</w:t>
      </w:r>
    </w:p>
    <w:p w14:paraId="0EDB1C87" w14:textId="77777777" w:rsidR="00571C2C" w:rsidRPr="00571C2C" w:rsidRDefault="00571C2C" w:rsidP="00571C2C">
      <w:pPr>
        <w:pStyle w:val="ListParagraph"/>
        <w:widowControl w:val="0"/>
        <w:spacing w:after="0" w:line="360" w:lineRule="auto"/>
        <w:ind w:left="1276"/>
        <w:jc w:val="both"/>
      </w:pPr>
    </w:p>
    <w:p w14:paraId="24CBCA02" w14:textId="6192701C" w:rsidR="00D95E54" w:rsidRPr="00DD0E6F" w:rsidRDefault="00571C2C" w:rsidP="00471ED2">
      <w:pPr>
        <w:pStyle w:val="ListParagraph"/>
        <w:widowControl w:val="0"/>
        <w:numPr>
          <w:ilvl w:val="0"/>
          <w:numId w:val="30"/>
        </w:numPr>
        <w:spacing w:after="0" w:line="360" w:lineRule="auto"/>
        <w:ind w:left="1276" w:hanging="850"/>
        <w:jc w:val="both"/>
      </w:pPr>
      <w:r>
        <w:rPr>
          <w:lang w:val="en-CA"/>
        </w:rPr>
        <w:t xml:space="preserve">The </w:t>
      </w:r>
      <w:r w:rsidR="00E93836">
        <w:rPr>
          <w:lang w:val="en-CA"/>
        </w:rPr>
        <w:t>first and</w:t>
      </w:r>
      <w:r>
        <w:rPr>
          <w:lang w:val="en-CA"/>
        </w:rPr>
        <w:t xml:space="preserve"> </w:t>
      </w:r>
      <w:r w:rsidR="00E93836">
        <w:rPr>
          <w:lang w:val="en-CA"/>
        </w:rPr>
        <w:t>second defendants</w:t>
      </w:r>
      <w:r>
        <w:rPr>
          <w:lang w:val="en-CA"/>
        </w:rPr>
        <w:t xml:space="preserve"> shall pay interest on the said amount at the rate of 2% per month and compounded monthly from 11 October 2016 to the date of final payment.</w:t>
      </w:r>
    </w:p>
    <w:p w14:paraId="4BBB44B7" w14:textId="77777777" w:rsidR="00DD0E6F" w:rsidRPr="00DD0E6F" w:rsidRDefault="00DD0E6F" w:rsidP="00DD0E6F">
      <w:pPr>
        <w:pStyle w:val="ListParagraph"/>
        <w:widowControl w:val="0"/>
        <w:spacing w:after="0" w:line="360" w:lineRule="auto"/>
        <w:ind w:left="1276"/>
        <w:jc w:val="both"/>
      </w:pPr>
    </w:p>
    <w:p w14:paraId="18F28580" w14:textId="1AA7BE36" w:rsidR="00A660D5" w:rsidRPr="001842AC" w:rsidRDefault="00A660D5" w:rsidP="001842AC">
      <w:pPr>
        <w:pStyle w:val="ListParagraph"/>
        <w:widowControl w:val="0"/>
        <w:numPr>
          <w:ilvl w:val="0"/>
          <w:numId w:val="30"/>
        </w:numPr>
        <w:spacing w:after="0" w:line="360" w:lineRule="auto"/>
        <w:ind w:left="1276" w:hanging="850"/>
        <w:jc w:val="both"/>
      </w:pPr>
      <w:r>
        <w:rPr>
          <w:lang w:val="en-CA"/>
        </w:rPr>
        <w:t xml:space="preserve">The </w:t>
      </w:r>
      <w:r w:rsidR="00E93836">
        <w:rPr>
          <w:lang w:val="en-CA"/>
        </w:rPr>
        <w:t>first and</w:t>
      </w:r>
      <w:r>
        <w:rPr>
          <w:lang w:val="en-CA"/>
        </w:rPr>
        <w:t xml:space="preserve"> </w:t>
      </w:r>
      <w:r w:rsidR="00E93836">
        <w:rPr>
          <w:lang w:val="en-CA"/>
        </w:rPr>
        <w:t>second Defendants</w:t>
      </w:r>
      <w:r>
        <w:rPr>
          <w:lang w:val="en-CA"/>
        </w:rPr>
        <w:t xml:space="preserve"> shall pay the costs of the </w:t>
      </w:r>
      <w:r w:rsidR="002C06F7">
        <w:rPr>
          <w:lang w:val="en-CA"/>
        </w:rPr>
        <w:t>Plaintiffs;</w:t>
      </w:r>
      <w:r>
        <w:rPr>
          <w:lang w:val="en-CA"/>
        </w:rPr>
        <w:t xml:space="preserve"> which costs shall include the costs of one instructing and one instructed counsel.</w:t>
      </w:r>
    </w:p>
    <w:p w14:paraId="3E3F36E5" w14:textId="77777777" w:rsidR="001842AC" w:rsidRPr="001842AC" w:rsidRDefault="001842AC" w:rsidP="001842AC">
      <w:pPr>
        <w:pStyle w:val="ListParagraph"/>
        <w:widowControl w:val="0"/>
        <w:spacing w:after="0" w:line="360" w:lineRule="auto"/>
        <w:ind w:left="1276"/>
        <w:jc w:val="both"/>
      </w:pPr>
    </w:p>
    <w:p w14:paraId="30461F40" w14:textId="728BF719" w:rsidR="0039443F" w:rsidRPr="00471ED2" w:rsidRDefault="001842AC" w:rsidP="00471ED2">
      <w:pPr>
        <w:pStyle w:val="ListParagraph"/>
        <w:widowControl w:val="0"/>
        <w:numPr>
          <w:ilvl w:val="0"/>
          <w:numId w:val="30"/>
        </w:numPr>
        <w:spacing w:after="0" w:line="360" w:lineRule="auto"/>
        <w:ind w:left="1276" w:hanging="850"/>
        <w:jc w:val="both"/>
      </w:pPr>
      <w:r>
        <w:lastRenderedPageBreak/>
        <w:t xml:space="preserve">The matter is finalized and removed from the roll. </w:t>
      </w:r>
    </w:p>
    <w:p w14:paraId="0817064D" w14:textId="77777777" w:rsidR="00C2371F" w:rsidRPr="002A7FCE" w:rsidRDefault="00C2371F" w:rsidP="00772B20">
      <w:pPr>
        <w:pStyle w:val="ListParagraph"/>
        <w:spacing w:after="0" w:line="360" w:lineRule="auto"/>
        <w:ind w:left="0"/>
        <w:jc w:val="both"/>
        <w:rPr>
          <w:bCs/>
        </w:rPr>
      </w:pPr>
    </w:p>
    <w:p w14:paraId="7659776F" w14:textId="77777777" w:rsidR="00C2371F" w:rsidRPr="002A7FCE" w:rsidRDefault="00217B80" w:rsidP="00772B20">
      <w:pPr>
        <w:spacing w:after="0" w:line="360" w:lineRule="auto"/>
        <w:jc w:val="both"/>
        <w:rPr>
          <w:bCs/>
          <w:noProof/>
        </w:rPr>
      </w:pPr>
      <w:r>
        <w:rPr>
          <w:bCs/>
          <w:noProof/>
        </w:rPr>
        <w:pict w14:anchorId="3C6E7712">
          <v:rect id="_x0000_i1027" style="width:0;height:1.5pt" o:hralign="center" o:hrstd="t" o:hr="t" fillcolor="#a0a0a0" stroked="f"/>
        </w:pict>
      </w:r>
    </w:p>
    <w:p w14:paraId="6147D7C1" w14:textId="1AB953E8" w:rsidR="00C2371F" w:rsidRPr="002A7FCE" w:rsidRDefault="00C2371F" w:rsidP="00772B20">
      <w:pPr>
        <w:tabs>
          <w:tab w:val="center" w:pos="4513"/>
          <w:tab w:val="left" w:pos="6660"/>
        </w:tabs>
        <w:spacing w:after="0" w:line="360" w:lineRule="auto"/>
        <w:jc w:val="both"/>
        <w:rPr>
          <w:b/>
          <w:bCs/>
          <w:noProof/>
        </w:rPr>
      </w:pPr>
      <w:r w:rsidRPr="002A7FCE">
        <w:rPr>
          <w:bCs/>
          <w:noProof/>
        </w:rPr>
        <w:tab/>
      </w:r>
      <w:r w:rsidRPr="002A7FCE">
        <w:rPr>
          <w:b/>
          <w:bCs/>
          <w:noProof/>
        </w:rPr>
        <w:t>JUDGMENT</w:t>
      </w:r>
    </w:p>
    <w:p w14:paraId="1C2CFFD3" w14:textId="77777777" w:rsidR="00C2371F" w:rsidRPr="002A7FCE" w:rsidRDefault="00217B80" w:rsidP="00772B20">
      <w:pPr>
        <w:tabs>
          <w:tab w:val="center" w:pos="4513"/>
          <w:tab w:val="left" w:pos="6660"/>
        </w:tabs>
        <w:spacing w:after="0" w:line="360" w:lineRule="auto"/>
        <w:jc w:val="both"/>
        <w:rPr>
          <w:bCs/>
          <w:lang w:val="en-GB"/>
        </w:rPr>
      </w:pPr>
      <w:r>
        <w:rPr>
          <w:bCs/>
          <w:noProof/>
        </w:rPr>
        <w:pict w14:anchorId="74DAC727">
          <v:rect id="_x0000_i1028" style="width:0;height:1.5pt" o:hralign="center" o:hrstd="t" o:hr="t" fillcolor="#a0a0a0" stroked="f"/>
        </w:pict>
      </w:r>
    </w:p>
    <w:p w14:paraId="7CF6CA81" w14:textId="77777777" w:rsidR="00C2371F" w:rsidRPr="002A7FCE" w:rsidRDefault="00C2371F" w:rsidP="00772B20">
      <w:pPr>
        <w:spacing w:after="0" w:line="360" w:lineRule="auto"/>
        <w:jc w:val="both"/>
      </w:pPr>
    </w:p>
    <w:p w14:paraId="05C04BF9" w14:textId="77777777" w:rsidR="006A7E17" w:rsidRPr="002A7FCE" w:rsidRDefault="00B93836" w:rsidP="00772B20">
      <w:pPr>
        <w:spacing w:after="0" w:line="360" w:lineRule="auto"/>
        <w:jc w:val="both"/>
      </w:pPr>
      <w:r w:rsidRPr="002A7FCE">
        <w:t>KANGUEEHI</w:t>
      </w:r>
      <w:r w:rsidR="006A7E17" w:rsidRPr="002A7FCE">
        <w:t xml:space="preserve"> </w:t>
      </w:r>
      <w:r w:rsidRPr="002A7FCE">
        <w:t>A</w:t>
      </w:r>
      <w:r w:rsidR="006A7E17" w:rsidRPr="002A7FCE">
        <w:t>J</w:t>
      </w:r>
      <w:r w:rsidR="008C6E4C" w:rsidRPr="002A7FCE">
        <w:t>:</w:t>
      </w:r>
    </w:p>
    <w:p w14:paraId="3D2F4B7A" w14:textId="77777777" w:rsidR="006A7E17" w:rsidRPr="002A7FCE" w:rsidRDefault="006A7E17" w:rsidP="00772B20">
      <w:pPr>
        <w:spacing w:after="0" w:line="360" w:lineRule="auto"/>
        <w:jc w:val="both"/>
        <w:rPr>
          <w:u w:val="single"/>
        </w:rPr>
      </w:pPr>
    </w:p>
    <w:p w14:paraId="5A6F4DC0" w14:textId="1E1E2EC5" w:rsidR="00DE1D56" w:rsidRPr="002A7FCE" w:rsidRDefault="00B10401" w:rsidP="00772B20">
      <w:pPr>
        <w:spacing w:after="0" w:line="360" w:lineRule="auto"/>
        <w:jc w:val="both"/>
        <w:rPr>
          <w:u w:val="single"/>
        </w:rPr>
      </w:pPr>
      <w:r>
        <w:rPr>
          <w:u w:val="single"/>
        </w:rPr>
        <w:t xml:space="preserve">Background. </w:t>
      </w:r>
    </w:p>
    <w:p w14:paraId="7B06B50F" w14:textId="77777777" w:rsidR="00DE1D56" w:rsidRPr="002A7FCE" w:rsidRDefault="00DE1D56" w:rsidP="00772B20">
      <w:pPr>
        <w:spacing w:after="0" w:line="360" w:lineRule="auto"/>
        <w:jc w:val="both"/>
        <w:rPr>
          <w:u w:val="single"/>
        </w:rPr>
      </w:pPr>
    </w:p>
    <w:p w14:paraId="4663AD50" w14:textId="67FDE93D" w:rsidR="001A6F7F" w:rsidRPr="00B10401" w:rsidRDefault="00DE1D56" w:rsidP="003B45EB">
      <w:pPr>
        <w:spacing w:after="0" w:line="360" w:lineRule="auto"/>
        <w:jc w:val="both"/>
      </w:pPr>
      <w:r w:rsidRPr="00B10401">
        <w:t>[1]</w:t>
      </w:r>
      <w:r w:rsidRPr="00B10401">
        <w:tab/>
      </w:r>
      <w:r w:rsidR="001A6F7F" w:rsidRPr="00B10401">
        <w:t>This matter con</w:t>
      </w:r>
      <w:r w:rsidR="00EE5670">
        <w:t>cerns a dispute arising out of a contract in the form of a facility loan agreement</w:t>
      </w:r>
      <w:r w:rsidR="00DD0E6F">
        <w:rPr>
          <w:rStyle w:val="FootnoteReference"/>
        </w:rPr>
        <w:footnoteReference w:id="3"/>
      </w:r>
      <w:r w:rsidR="001A6F7F" w:rsidRPr="00B10401">
        <w:t>. Th</w:t>
      </w:r>
      <w:r w:rsidR="00EE5670">
        <w:t>e parties are the plaintiff</w:t>
      </w:r>
      <w:r w:rsidR="00DD0E6F">
        <w:t xml:space="preserve"> </w:t>
      </w:r>
      <w:r w:rsidR="002C06F7">
        <w:t>(</w:t>
      </w:r>
      <w:r w:rsidR="002C06F7" w:rsidRPr="00B10401">
        <w:t>Namibia</w:t>
      </w:r>
      <w:r w:rsidR="00C91DBB" w:rsidRPr="00B10401">
        <w:t xml:space="preserve"> Procurement Fund Trust</w:t>
      </w:r>
      <w:r w:rsidR="00DD0E6F">
        <w:t>)</w:t>
      </w:r>
      <w:r w:rsidR="00C91DBB">
        <w:t xml:space="preserve"> </w:t>
      </w:r>
      <w:r w:rsidR="001A6F7F" w:rsidRPr="00B10401">
        <w:t xml:space="preserve">the </w:t>
      </w:r>
      <w:r w:rsidR="00E93836">
        <w:t>third</w:t>
      </w:r>
      <w:r w:rsidR="00E93836" w:rsidRPr="00B10401">
        <w:t xml:space="preserve"> defendant</w:t>
      </w:r>
      <w:r w:rsidR="001A6F7F" w:rsidRPr="00B10401">
        <w:t xml:space="preserve"> </w:t>
      </w:r>
      <w:r w:rsidR="00DD0E6F">
        <w:t>(</w:t>
      </w:r>
      <w:r w:rsidR="001A6F7F" w:rsidRPr="00B10401">
        <w:t xml:space="preserve">the Zambezi </w:t>
      </w:r>
      <w:r w:rsidR="001A6F7F" w:rsidRPr="00B10401">
        <w:lastRenderedPageBreak/>
        <w:t>Regional Council</w:t>
      </w:r>
      <w:r w:rsidR="00DD0E6F">
        <w:t>)</w:t>
      </w:r>
      <w:r w:rsidR="00F7694F">
        <w:rPr>
          <w:rStyle w:val="FootnoteReference"/>
        </w:rPr>
        <w:footnoteReference w:id="4"/>
      </w:r>
      <w:r w:rsidR="001A6F7F" w:rsidRPr="00B10401">
        <w:t xml:space="preserve"> and the </w:t>
      </w:r>
      <w:r w:rsidR="00E93836">
        <w:t>first defendant</w:t>
      </w:r>
      <w:r w:rsidR="00DD0E6F">
        <w:t xml:space="preserve"> </w:t>
      </w:r>
      <w:r w:rsidR="002C06F7">
        <w:t>(</w:t>
      </w:r>
      <w:r w:rsidR="002C06F7" w:rsidRPr="00B10401">
        <w:t>a</w:t>
      </w:r>
      <w:r w:rsidR="001A6F7F" w:rsidRPr="00B10401">
        <w:t xml:space="preserve"> Close Corporation trading as Caprivi Building Contractors</w:t>
      </w:r>
      <w:r w:rsidR="00DD0E6F">
        <w:t xml:space="preserve">). The latter was </w:t>
      </w:r>
      <w:r w:rsidR="001A6F7F" w:rsidRPr="00B10401">
        <w:t xml:space="preserve">at all material times represented by the </w:t>
      </w:r>
      <w:r w:rsidR="00E93836">
        <w:t>second</w:t>
      </w:r>
      <w:r w:rsidR="00E93836" w:rsidRPr="00B10401">
        <w:t xml:space="preserve"> defendant</w:t>
      </w:r>
      <w:r w:rsidR="001A6F7F" w:rsidRPr="00B10401">
        <w:t xml:space="preserve">, a </w:t>
      </w:r>
      <w:r w:rsidR="006930FE" w:rsidRPr="00B10401">
        <w:t>Mr.</w:t>
      </w:r>
      <w:r w:rsidR="001A6F7F" w:rsidRPr="00B10401">
        <w:t xml:space="preserve"> </w:t>
      </w:r>
      <w:r w:rsidR="002C06F7" w:rsidRPr="00B10401">
        <w:t>Francis Sikumba</w:t>
      </w:r>
      <w:r w:rsidR="001A6F7F" w:rsidRPr="00B10401">
        <w:t xml:space="preserve"> Sikumba. </w:t>
      </w:r>
      <w:r w:rsidR="00DD0E6F">
        <w:t xml:space="preserve">The claim against the </w:t>
      </w:r>
      <w:r w:rsidR="00E93836">
        <w:t>second defendant</w:t>
      </w:r>
      <w:r w:rsidR="00DD0E6F">
        <w:t xml:space="preserve"> is grounded on a deed of suretyship entered into during March 2014.</w:t>
      </w:r>
    </w:p>
    <w:p w14:paraId="2E7B5EAA" w14:textId="78FCB30C" w:rsidR="001A6F7F" w:rsidRPr="00B10401" w:rsidRDefault="001A6F7F" w:rsidP="003B45EB">
      <w:pPr>
        <w:spacing w:after="0" w:line="360" w:lineRule="auto"/>
        <w:jc w:val="both"/>
      </w:pPr>
      <w:r w:rsidRPr="00B10401">
        <w:tab/>
      </w:r>
    </w:p>
    <w:p w14:paraId="26015C46" w14:textId="6D3C9E3E" w:rsidR="009165CC" w:rsidRDefault="003B45EB" w:rsidP="003B45EB">
      <w:pPr>
        <w:spacing w:after="0" w:line="360" w:lineRule="auto"/>
        <w:jc w:val="both"/>
        <w:rPr>
          <w:lang w:val="en-CA"/>
        </w:rPr>
      </w:pPr>
      <w:r>
        <w:t>[2</w:t>
      </w:r>
      <w:r w:rsidR="00B10401" w:rsidRPr="00B10401">
        <w:t>]</w:t>
      </w:r>
      <w:r w:rsidR="00B10401" w:rsidRPr="00B10401">
        <w:tab/>
      </w:r>
      <w:r w:rsidR="00AA1B75" w:rsidRPr="00B10401">
        <w:t>The</w:t>
      </w:r>
      <w:r w:rsidR="00A25FDD" w:rsidRPr="00B10401">
        <w:t xml:space="preserve"> </w:t>
      </w:r>
      <w:r w:rsidR="00E93836">
        <w:rPr>
          <w:color w:val="000000" w:themeColor="text1"/>
        </w:rPr>
        <w:t>first</w:t>
      </w:r>
      <w:r w:rsidR="00E93836" w:rsidRPr="00A660D5">
        <w:rPr>
          <w:color w:val="000000" w:themeColor="text1"/>
        </w:rPr>
        <w:t xml:space="preserve"> defendant</w:t>
      </w:r>
      <w:r w:rsidR="001A6F7F" w:rsidRPr="00A660D5">
        <w:rPr>
          <w:color w:val="000000" w:themeColor="text1"/>
        </w:rPr>
        <w:t xml:space="preserve"> </w:t>
      </w:r>
      <w:r w:rsidR="001A6F7F" w:rsidRPr="00B10401">
        <w:t xml:space="preserve">was awarded a </w:t>
      </w:r>
      <w:r w:rsidR="0002620F" w:rsidRPr="00B10401">
        <w:t xml:space="preserve">construction </w:t>
      </w:r>
      <w:r w:rsidR="001A6F7F" w:rsidRPr="00B10401">
        <w:t>contract</w:t>
      </w:r>
      <w:r w:rsidR="00EE5670">
        <w:t xml:space="preserve"> or tender</w:t>
      </w:r>
      <w:r w:rsidR="001A6F7F" w:rsidRPr="00B10401">
        <w:t xml:space="preserve"> by the </w:t>
      </w:r>
      <w:r w:rsidR="00E93836">
        <w:t>third</w:t>
      </w:r>
      <w:r w:rsidR="00E93836" w:rsidRPr="00B10401">
        <w:t xml:space="preserve"> defendant</w:t>
      </w:r>
      <w:r w:rsidR="00A660D5">
        <w:t>.</w:t>
      </w:r>
      <w:r w:rsidR="001A6F7F" w:rsidRPr="00B10401">
        <w:t xml:space="preserve"> </w:t>
      </w:r>
      <w:r w:rsidR="00A660D5">
        <w:t>T</w:t>
      </w:r>
      <w:r w:rsidR="001A6F7F" w:rsidRPr="00B10401">
        <w:t xml:space="preserve">his contract </w:t>
      </w:r>
      <w:r w:rsidR="00DD0E6F">
        <w:t>entailed</w:t>
      </w:r>
      <w:r w:rsidR="001A6F7F" w:rsidRPr="00B10401">
        <w:t xml:space="preserve"> the c</w:t>
      </w:r>
      <w:r w:rsidR="009F5E9B" w:rsidRPr="00B10401">
        <w:t xml:space="preserve">onstruction of certain building projects. </w:t>
      </w:r>
      <w:r w:rsidR="00C91DBB">
        <w:t xml:space="preserve">The </w:t>
      </w:r>
      <w:r w:rsidR="00EE5670">
        <w:t>second</w:t>
      </w:r>
      <w:r w:rsidR="00C91DBB">
        <w:t xml:space="preserve"> contract at play</w:t>
      </w:r>
      <w:r w:rsidR="00EE5670">
        <w:t xml:space="preserve"> here and the one which forms the subject matter of the proceedings</w:t>
      </w:r>
      <w:r w:rsidR="00C91DBB">
        <w:t xml:space="preserve">, </w:t>
      </w:r>
      <w:r w:rsidR="0002620F" w:rsidRPr="00B10401">
        <w:t xml:space="preserve">is </w:t>
      </w:r>
      <w:r w:rsidR="00DD0E6F">
        <w:t>the</w:t>
      </w:r>
      <w:r w:rsidR="001A6F7F" w:rsidRPr="00B10401">
        <w:t xml:space="preserve"> loan </w:t>
      </w:r>
      <w:r w:rsidR="00176D41" w:rsidRPr="00B10401">
        <w:t xml:space="preserve">(hereafter referred to as </w:t>
      </w:r>
      <w:r w:rsidR="00176D41" w:rsidRPr="00B10401">
        <w:rPr>
          <w:i/>
        </w:rPr>
        <w:t>the agreement</w:t>
      </w:r>
      <w:r w:rsidR="00176D41" w:rsidRPr="00B10401">
        <w:t>)</w:t>
      </w:r>
      <w:r w:rsidR="00DD0E6F">
        <w:t xml:space="preserve"> made</w:t>
      </w:r>
      <w:r w:rsidR="0002620F" w:rsidRPr="00B10401">
        <w:t xml:space="preserve"> to </w:t>
      </w:r>
      <w:r w:rsidR="00176D41" w:rsidRPr="00B10401">
        <w:t>the</w:t>
      </w:r>
      <w:r w:rsidR="001A6F7F" w:rsidRPr="00B10401">
        <w:t xml:space="preserve"> </w:t>
      </w:r>
      <w:r w:rsidR="00E93836">
        <w:t>first</w:t>
      </w:r>
      <w:r w:rsidR="00E93836" w:rsidRPr="00B10401">
        <w:t xml:space="preserve"> defendant</w:t>
      </w:r>
      <w:r w:rsidR="0002620F" w:rsidRPr="00B10401">
        <w:t xml:space="preserve"> by the plaintiff</w:t>
      </w:r>
      <w:r w:rsidR="00EA121F" w:rsidRPr="00B10401">
        <w:rPr>
          <w:rStyle w:val="FootnoteReference"/>
        </w:rPr>
        <w:footnoteReference w:id="5"/>
      </w:r>
      <w:r w:rsidR="00C91DBB">
        <w:t xml:space="preserve">. </w:t>
      </w:r>
      <w:r w:rsidR="009F5E9B" w:rsidRPr="00B10401">
        <w:t xml:space="preserve">The purpose was to finance the </w:t>
      </w:r>
      <w:r w:rsidR="00E93836">
        <w:t>first</w:t>
      </w:r>
      <w:r w:rsidR="00E93836" w:rsidRPr="00B10401">
        <w:t xml:space="preserve"> defendant’s</w:t>
      </w:r>
      <w:r w:rsidR="009F5E9B" w:rsidRPr="00B10401">
        <w:t xml:space="preserve"> building projects, granted to it by the </w:t>
      </w:r>
      <w:r w:rsidR="00E93836">
        <w:t>third</w:t>
      </w:r>
      <w:r w:rsidR="00E93836" w:rsidRPr="00B10401">
        <w:t xml:space="preserve"> defendant</w:t>
      </w:r>
      <w:r w:rsidR="009F5E9B" w:rsidRPr="00B10401">
        <w:t xml:space="preserve">. </w:t>
      </w:r>
      <w:r w:rsidR="003010DF" w:rsidRPr="00B10401">
        <w:t xml:space="preserve">The dispute herein lies where an </w:t>
      </w:r>
      <w:r w:rsidR="00C91DBB">
        <w:t>‘</w:t>
      </w:r>
      <w:r w:rsidR="003010DF" w:rsidRPr="00B10401">
        <w:t>overpayment</w:t>
      </w:r>
      <w:r w:rsidR="00C91DBB">
        <w:t>’</w:t>
      </w:r>
      <w:r w:rsidR="003010DF" w:rsidRPr="00B10401">
        <w:t xml:space="preserve"> of </w:t>
      </w:r>
      <w:r w:rsidR="003010DF" w:rsidRPr="00B10401">
        <w:rPr>
          <w:lang w:val="en-CA"/>
        </w:rPr>
        <w:t xml:space="preserve">N$ 1, 987, 703, 86 was made to </w:t>
      </w:r>
      <w:r w:rsidR="00A660D5">
        <w:rPr>
          <w:lang w:val="en-CA"/>
        </w:rPr>
        <w:t xml:space="preserve">or on behalf of </w:t>
      </w:r>
      <w:r w:rsidR="003010DF" w:rsidRPr="00B10401">
        <w:rPr>
          <w:lang w:val="en-CA"/>
        </w:rPr>
        <w:t xml:space="preserve">the </w:t>
      </w:r>
      <w:r w:rsidR="00E93836">
        <w:rPr>
          <w:lang w:val="en-CA"/>
        </w:rPr>
        <w:t>first</w:t>
      </w:r>
      <w:r w:rsidR="00E93836" w:rsidRPr="00B10401">
        <w:rPr>
          <w:lang w:val="en-CA"/>
        </w:rPr>
        <w:t xml:space="preserve"> defendant</w:t>
      </w:r>
      <w:r w:rsidR="003010DF" w:rsidRPr="00B10401">
        <w:rPr>
          <w:lang w:val="en-CA"/>
        </w:rPr>
        <w:t xml:space="preserve">. </w:t>
      </w:r>
      <w:r w:rsidR="00A660D5">
        <w:rPr>
          <w:lang w:val="en-CA"/>
        </w:rPr>
        <w:t>The defendants deny liability for the said amount.</w:t>
      </w:r>
      <w:r w:rsidR="00C633DD">
        <w:rPr>
          <w:lang w:val="en-CA"/>
        </w:rPr>
        <w:t xml:space="preserve"> In its defense, </w:t>
      </w:r>
      <w:r w:rsidR="00E93836">
        <w:rPr>
          <w:lang w:val="en-CA"/>
        </w:rPr>
        <w:t>first defendant</w:t>
      </w:r>
      <w:r w:rsidR="00C633DD">
        <w:rPr>
          <w:lang w:val="en-CA"/>
        </w:rPr>
        <w:t xml:space="preserve"> pleaded </w:t>
      </w:r>
      <w:r w:rsidR="00C633DD" w:rsidRPr="00C633DD">
        <w:rPr>
          <w:i/>
          <w:iCs/>
          <w:lang w:val="en-CA"/>
        </w:rPr>
        <w:t>inter alia</w:t>
      </w:r>
      <w:r w:rsidR="00C633DD">
        <w:rPr>
          <w:lang w:val="en-CA"/>
        </w:rPr>
        <w:t xml:space="preserve"> that it was agreed that the Fund was to manage the loan facility. I hasten to add that this proposition was vehemently </w:t>
      </w:r>
      <w:r w:rsidR="00C633DD">
        <w:rPr>
          <w:lang w:val="en-CA"/>
        </w:rPr>
        <w:lastRenderedPageBreak/>
        <w:t xml:space="preserve">denied by the plaintiff’s witnesses. In fact, the first witness for the plaintiff, Ms. </w:t>
      </w:r>
      <w:r w:rsidR="00E17653">
        <w:rPr>
          <w:lang w:val="en-CA"/>
        </w:rPr>
        <w:t>Ndilula, was</w:t>
      </w:r>
      <w:r w:rsidR="00C633DD">
        <w:rPr>
          <w:lang w:val="en-CA"/>
        </w:rPr>
        <w:t xml:space="preserve"> unequivocal in submitting that the fund did/ does not manage the loan facilities of its clients.</w:t>
      </w:r>
    </w:p>
    <w:p w14:paraId="1DC68003" w14:textId="77777777" w:rsidR="00A660D5" w:rsidRPr="00B10401" w:rsidRDefault="00A660D5" w:rsidP="003B45EB">
      <w:pPr>
        <w:spacing w:after="0" w:line="360" w:lineRule="auto"/>
        <w:jc w:val="both"/>
        <w:rPr>
          <w:lang w:val="en-CA"/>
        </w:rPr>
      </w:pPr>
    </w:p>
    <w:p w14:paraId="1D3DBBC7" w14:textId="7FF47D3B" w:rsidR="009165CC" w:rsidRPr="00B10401" w:rsidRDefault="00B10401" w:rsidP="003B45EB">
      <w:pPr>
        <w:spacing w:after="0" w:line="360" w:lineRule="auto"/>
        <w:jc w:val="both"/>
        <w:rPr>
          <w:lang w:val="en-CA"/>
        </w:rPr>
      </w:pPr>
      <w:r w:rsidRPr="00B10401">
        <w:rPr>
          <w:lang w:val="en-CA"/>
        </w:rPr>
        <w:t>[</w:t>
      </w:r>
      <w:r w:rsidR="003B45EB">
        <w:rPr>
          <w:lang w:val="en-CA"/>
        </w:rPr>
        <w:t>3</w:t>
      </w:r>
      <w:r w:rsidRPr="00B10401">
        <w:rPr>
          <w:lang w:val="en-CA"/>
        </w:rPr>
        <w:t>]</w:t>
      </w:r>
      <w:r w:rsidRPr="00B10401">
        <w:rPr>
          <w:lang w:val="en-CA"/>
        </w:rPr>
        <w:tab/>
      </w:r>
      <w:r w:rsidR="009165CC" w:rsidRPr="00B10401">
        <w:rPr>
          <w:lang w:val="en-CA"/>
        </w:rPr>
        <w:t xml:space="preserve">The </w:t>
      </w:r>
      <w:r w:rsidR="00E93836">
        <w:rPr>
          <w:lang w:val="en-CA"/>
        </w:rPr>
        <w:t>second defendant</w:t>
      </w:r>
      <w:r w:rsidR="00C91DBB">
        <w:rPr>
          <w:lang w:val="en-CA"/>
        </w:rPr>
        <w:t xml:space="preserve"> </w:t>
      </w:r>
      <w:r w:rsidR="009165CC" w:rsidRPr="00B10401">
        <w:rPr>
          <w:lang w:val="en-CA"/>
        </w:rPr>
        <w:t>filed</w:t>
      </w:r>
      <w:r w:rsidR="00FF11EC">
        <w:rPr>
          <w:lang w:val="en-CA"/>
        </w:rPr>
        <w:t>,</w:t>
      </w:r>
      <w:r w:rsidR="009165CC" w:rsidRPr="00B10401">
        <w:rPr>
          <w:lang w:val="en-CA"/>
        </w:rPr>
        <w:t xml:space="preserve"> on behalf of the </w:t>
      </w:r>
      <w:r w:rsidR="00E93836">
        <w:rPr>
          <w:lang w:val="en-CA"/>
        </w:rPr>
        <w:t>first</w:t>
      </w:r>
      <w:r w:rsidR="00E93836" w:rsidRPr="00B10401">
        <w:rPr>
          <w:lang w:val="en-CA"/>
        </w:rPr>
        <w:t xml:space="preserve"> defendant</w:t>
      </w:r>
      <w:r w:rsidR="009165CC" w:rsidRPr="00B10401">
        <w:rPr>
          <w:lang w:val="en-CA"/>
        </w:rPr>
        <w:t xml:space="preserve">, a counter claim against the </w:t>
      </w:r>
      <w:r w:rsidR="00E93836">
        <w:rPr>
          <w:lang w:val="en-CA"/>
        </w:rPr>
        <w:t>third</w:t>
      </w:r>
      <w:r w:rsidR="00E93836" w:rsidRPr="00B10401">
        <w:rPr>
          <w:lang w:val="en-CA"/>
        </w:rPr>
        <w:t xml:space="preserve"> defendant</w:t>
      </w:r>
      <w:r w:rsidR="009165CC" w:rsidRPr="00B10401">
        <w:rPr>
          <w:lang w:val="en-CA"/>
        </w:rPr>
        <w:t xml:space="preserve">. This </w:t>
      </w:r>
      <w:r w:rsidR="002C06F7" w:rsidRPr="00B10401">
        <w:rPr>
          <w:lang w:val="en-CA"/>
        </w:rPr>
        <w:t>counter</w:t>
      </w:r>
      <w:r w:rsidR="002C06F7">
        <w:rPr>
          <w:lang w:val="en-CA"/>
        </w:rPr>
        <w:t>claim</w:t>
      </w:r>
      <w:r w:rsidR="009165CC" w:rsidRPr="00B10401">
        <w:rPr>
          <w:lang w:val="en-CA"/>
        </w:rPr>
        <w:t xml:space="preserve"> was dismissed </w:t>
      </w:r>
      <w:r w:rsidR="00973DAE">
        <w:rPr>
          <w:lang w:val="en-CA"/>
        </w:rPr>
        <w:t xml:space="preserve">on 23 August 2019 </w:t>
      </w:r>
      <w:r w:rsidR="009165CC" w:rsidRPr="00B10401">
        <w:rPr>
          <w:lang w:val="en-CA"/>
        </w:rPr>
        <w:t xml:space="preserve">after the </w:t>
      </w:r>
      <w:r w:rsidR="00E93836">
        <w:rPr>
          <w:lang w:val="en-CA"/>
        </w:rPr>
        <w:t>third</w:t>
      </w:r>
      <w:r w:rsidR="00E93836" w:rsidRPr="00B10401">
        <w:rPr>
          <w:lang w:val="en-CA"/>
        </w:rPr>
        <w:t xml:space="preserve"> defendant</w:t>
      </w:r>
      <w:r w:rsidR="009165CC" w:rsidRPr="00B10401">
        <w:rPr>
          <w:lang w:val="en-CA"/>
        </w:rPr>
        <w:t xml:space="preserve"> successfully applied for absolution from the instance at the clos</w:t>
      </w:r>
      <w:r w:rsidR="00471FEA">
        <w:rPr>
          <w:lang w:val="en-CA"/>
        </w:rPr>
        <w:t>ure</w:t>
      </w:r>
      <w:r w:rsidR="009165CC" w:rsidRPr="00B10401">
        <w:rPr>
          <w:lang w:val="en-CA"/>
        </w:rPr>
        <w:t xml:space="preserve"> of the case for the </w:t>
      </w:r>
      <w:r w:rsidR="00E93836">
        <w:rPr>
          <w:lang w:val="en-CA"/>
        </w:rPr>
        <w:t>first</w:t>
      </w:r>
      <w:r w:rsidR="00E93836" w:rsidRPr="00B10401">
        <w:rPr>
          <w:lang w:val="en-CA"/>
        </w:rPr>
        <w:t xml:space="preserve"> and</w:t>
      </w:r>
      <w:r w:rsidR="009165CC" w:rsidRPr="00B10401">
        <w:rPr>
          <w:lang w:val="en-CA"/>
        </w:rPr>
        <w:t xml:space="preserve"> </w:t>
      </w:r>
      <w:r w:rsidR="00E93836">
        <w:rPr>
          <w:lang w:val="en-CA"/>
        </w:rPr>
        <w:t>second</w:t>
      </w:r>
      <w:r w:rsidR="00E93836" w:rsidRPr="00B10401">
        <w:rPr>
          <w:lang w:val="en-CA"/>
        </w:rPr>
        <w:t xml:space="preserve"> defendants</w:t>
      </w:r>
      <w:r w:rsidR="009165CC" w:rsidRPr="00B10401">
        <w:rPr>
          <w:lang w:val="en-CA"/>
        </w:rPr>
        <w:t xml:space="preserve">.  </w:t>
      </w:r>
      <w:r w:rsidR="00EE5670">
        <w:rPr>
          <w:lang w:val="en-CA"/>
        </w:rPr>
        <w:t>The main reason</w:t>
      </w:r>
      <w:r w:rsidR="00C859A7">
        <w:rPr>
          <w:lang w:val="en-CA"/>
        </w:rPr>
        <w:t xml:space="preserve"> </w:t>
      </w:r>
      <w:r w:rsidR="00EE5670">
        <w:rPr>
          <w:lang w:val="en-CA"/>
        </w:rPr>
        <w:t xml:space="preserve">therefor was that the </w:t>
      </w:r>
      <w:r w:rsidR="00E93836">
        <w:rPr>
          <w:lang w:val="en-CA"/>
        </w:rPr>
        <w:t>first and</w:t>
      </w:r>
      <w:r w:rsidR="00EE5670">
        <w:rPr>
          <w:lang w:val="en-CA"/>
        </w:rPr>
        <w:t xml:space="preserve"> </w:t>
      </w:r>
      <w:r w:rsidR="00E93836">
        <w:rPr>
          <w:lang w:val="en-CA"/>
        </w:rPr>
        <w:t>second defendants</w:t>
      </w:r>
      <w:r w:rsidR="00EE5670">
        <w:rPr>
          <w:lang w:val="en-CA"/>
        </w:rPr>
        <w:t xml:space="preserve"> failed to estab</w:t>
      </w:r>
      <w:r w:rsidR="00182FCF">
        <w:rPr>
          <w:lang w:val="en-CA"/>
        </w:rPr>
        <w:t xml:space="preserve">lish that </w:t>
      </w:r>
      <w:r w:rsidR="00FF11EC">
        <w:rPr>
          <w:lang w:val="en-CA"/>
        </w:rPr>
        <w:t>they</w:t>
      </w:r>
      <w:r w:rsidR="00182FCF">
        <w:rPr>
          <w:lang w:val="en-CA"/>
        </w:rPr>
        <w:t xml:space="preserve"> completed all the building works in terms of the tender awarded by the </w:t>
      </w:r>
      <w:r w:rsidR="00E93836">
        <w:rPr>
          <w:lang w:val="en-CA"/>
        </w:rPr>
        <w:t>third defendant</w:t>
      </w:r>
      <w:r w:rsidR="00182FCF">
        <w:rPr>
          <w:lang w:val="en-CA"/>
        </w:rPr>
        <w:t xml:space="preserve"> and thus failed to show that the </w:t>
      </w:r>
      <w:r w:rsidR="00E93836">
        <w:rPr>
          <w:lang w:val="en-CA"/>
        </w:rPr>
        <w:t>third defendant</w:t>
      </w:r>
      <w:r w:rsidR="00182FCF">
        <w:rPr>
          <w:lang w:val="en-CA"/>
        </w:rPr>
        <w:t xml:space="preserve"> held back funds as alleged in </w:t>
      </w:r>
      <w:r w:rsidR="00C859A7">
        <w:rPr>
          <w:lang w:val="en-CA"/>
        </w:rPr>
        <w:t>the</w:t>
      </w:r>
      <w:r w:rsidR="00182FCF">
        <w:rPr>
          <w:lang w:val="en-CA"/>
        </w:rPr>
        <w:t xml:space="preserve"> counter-claim. In addition</w:t>
      </w:r>
      <w:r w:rsidR="00E5586C">
        <w:rPr>
          <w:lang w:val="en-CA"/>
        </w:rPr>
        <w:t>,</w:t>
      </w:r>
      <w:r w:rsidR="00182FCF">
        <w:rPr>
          <w:lang w:val="en-CA"/>
        </w:rPr>
        <w:t xml:space="preserve"> the </w:t>
      </w:r>
      <w:r w:rsidR="00E93836">
        <w:rPr>
          <w:lang w:val="en-CA"/>
        </w:rPr>
        <w:t>second defendant</w:t>
      </w:r>
      <w:r w:rsidR="00182FCF">
        <w:rPr>
          <w:lang w:val="en-CA"/>
        </w:rPr>
        <w:t xml:space="preserve"> failed to prove that the </w:t>
      </w:r>
      <w:r w:rsidR="00E93836">
        <w:rPr>
          <w:lang w:val="en-CA"/>
        </w:rPr>
        <w:t>third defendant</w:t>
      </w:r>
      <w:r w:rsidR="00182FCF">
        <w:rPr>
          <w:lang w:val="en-CA"/>
        </w:rPr>
        <w:t xml:space="preserve"> bound </w:t>
      </w:r>
      <w:r w:rsidR="00E5586C">
        <w:rPr>
          <w:lang w:val="en-CA"/>
        </w:rPr>
        <w:t xml:space="preserve">itself </w:t>
      </w:r>
      <w:r w:rsidR="00182FCF">
        <w:rPr>
          <w:lang w:val="en-CA"/>
        </w:rPr>
        <w:t xml:space="preserve">and was liable towards the facility loan agreement entered into by the plaintiff and </w:t>
      </w:r>
      <w:r w:rsidR="00E93836">
        <w:rPr>
          <w:lang w:val="en-CA"/>
        </w:rPr>
        <w:t>first and</w:t>
      </w:r>
      <w:r w:rsidR="00182FCF">
        <w:rPr>
          <w:lang w:val="en-CA"/>
        </w:rPr>
        <w:t xml:space="preserve"> </w:t>
      </w:r>
      <w:r w:rsidR="00E93836">
        <w:rPr>
          <w:lang w:val="en-CA"/>
        </w:rPr>
        <w:t>second defendant</w:t>
      </w:r>
      <w:r w:rsidR="00182FCF">
        <w:rPr>
          <w:lang w:val="en-CA"/>
        </w:rPr>
        <w:t xml:space="preserve">. </w:t>
      </w:r>
    </w:p>
    <w:p w14:paraId="02F0ACAC" w14:textId="77777777" w:rsidR="003010DF" w:rsidRPr="00B10401" w:rsidRDefault="003010DF" w:rsidP="003B45EB">
      <w:pPr>
        <w:spacing w:after="0" w:line="360" w:lineRule="auto"/>
        <w:jc w:val="both"/>
        <w:rPr>
          <w:lang w:val="en-CA"/>
        </w:rPr>
      </w:pPr>
    </w:p>
    <w:p w14:paraId="7D8B0D44" w14:textId="0CD3EF6B" w:rsidR="003010DF" w:rsidRPr="00B10401" w:rsidRDefault="00182FCF" w:rsidP="003B45EB">
      <w:pPr>
        <w:spacing w:after="0" w:line="360" w:lineRule="auto"/>
        <w:jc w:val="both"/>
        <w:rPr>
          <w:u w:val="single"/>
          <w:lang w:val="en-CA"/>
        </w:rPr>
      </w:pPr>
      <w:r>
        <w:rPr>
          <w:u w:val="single"/>
          <w:lang w:val="en-CA"/>
        </w:rPr>
        <w:t>The Evidence</w:t>
      </w:r>
    </w:p>
    <w:p w14:paraId="10E469C5" w14:textId="77777777" w:rsidR="00AC6A44" w:rsidRPr="00B10401" w:rsidRDefault="00AC6A44" w:rsidP="003B45EB">
      <w:pPr>
        <w:spacing w:after="0" w:line="360" w:lineRule="auto"/>
        <w:jc w:val="both"/>
        <w:rPr>
          <w:u w:val="single"/>
          <w:lang w:val="en-CA"/>
        </w:rPr>
      </w:pPr>
    </w:p>
    <w:p w14:paraId="25BA57E6" w14:textId="19546459" w:rsidR="00AC6A44" w:rsidRPr="00B10401" w:rsidRDefault="00B10401" w:rsidP="003B45EB">
      <w:pPr>
        <w:spacing w:after="0" w:line="360" w:lineRule="auto"/>
        <w:jc w:val="both"/>
      </w:pPr>
      <w:r w:rsidRPr="00B10401">
        <w:t>[</w:t>
      </w:r>
      <w:r w:rsidR="00C91DBB">
        <w:t>4</w:t>
      </w:r>
      <w:r w:rsidRPr="00B10401">
        <w:t>]</w:t>
      </w:r>
      <w:r w:rsidRPr="00B10401">
        <w:tab/>
      </w:r>
      <w:r w:rsidR="00AC6A44" w:rsidRPr="00B10401">
        <w:t xml:space="preserve">In order to prove </w:t>
      </w:r>
      <w:r w:rsidR="00FF11EC">
        <w:t>their</w:t>
      </w:r>
      <w:r w:rsidR="00AC6A44" w:rsidRPr="00B10401">
        <w:t xml:space="preserve"> case</w:t>
      </w:r>
      <w:r w:rsidR="00FF11EC">
        <w:t>s</w:t>
      </w:r>
      <w:r w:rsidR="00AC6A44" w:rsidRPr="00B10401">
        <w:t xml:space="preserve">, the plaintiff called a total of 4 witnesses and the </w:t>
      </w:r>
      <w:r w:rsidR="00E93836">
        <w:t>first</w:t>
      </w:r>
      <w:r w:rsidR="00E93836" w:rsidRPr="00B10401">
        <w:t xml:space="preserve"> and</w:t>
      </w:r>
      <w:r w:rsidR="00AC6A44" w:rsidRPr="00B10401">
        <w:t xml:space="preserve"> </w:t>
      </w:r>
      <w:r w:rsidR="00E93836">
        <w:t>second</w:t>
      </w:r>
      <w:r w:rsidR="00E93836" w:rsidRPr="00B10401">
        <w:t xml:space="preserve"> defendants</w:t>
      </w:r>
      <w:r w:rsidR="00AC6A44" w:rsidRPr="00B10401">
        <w:t xml:space="preserve"> called one witness. This court needs not repeat the evidence verbatim and it is clear </w:t>
      </w:r>
      <w:r w:rsidR="00AC6A44" w:rsidRPr="00B10401">
        <w:lastRenderedPageBreak/>
        <w:t xml:space="preserve">from the facts of this matter, the pre-trial order and counter claim filed by the </w:t>
      </w:r>
      <w:r w:rsidR="00E93836">
        <w:t>second</w:t>
      </w:r>
      <w:r w:rsidR="00E93836" w:rsidRPr="00B10401">
        <w:t xml:space="preserve"> defendant</w:t>
      </w:r>
      <w:r w:rsidR="00AC6A44" w:rsidRPr="00B10401">
        <w:t xml:space="preserve"> against the </w:t>
      </w:r>
      <w:r w:rsidR="00E93836">
        <w:t>third</w:t>
      </w:r>
      <w:r w:rsidR="00E93836" w:rsidRPr="00B10401">
        <w:t xml:space="preserve"> defendant</w:t>
      </w:r>
      <w:r w:rsidR="00AC6A44" w:rsidRPr="00B10401">
        <w:t xml:space="preserve"> that </w:t>
      </w:r>
      <w:r w:rsidR="00A502B4" w:rsidRPr="00B10401">
        <w:t xml:space="preserve">the quantum of the </w:t>
      </w:r>
      <w:r w:rsidR="00AC6A44" w:rsidRPr="00B10401">
        <w:t>amoun</w:t>
      </w:r>
      <w:r w:rsidR="00A502B4" w:rsidRPr="00B10401">
        <w:t xml:space="preserve">ts claimed by the </w:t>
      </w:r>
      <w:r w:rsidR="00E93836">
        <w:t>first</w:t>
      </w:r>
      <w:r w:rsidR="00E93836" w:rsidRPr="00B10401">
        <w:t xml:space="preserve"> defendant</w:t>
      </w:r>
      <w:r w:rsidR="00A502B4" w:rsidRPr="00B10401">
        <w:t xml:space="preserve"> </w:t>
      </w:r>
      <w:r w:rsidR="00C859A7">
        <w:t>is</w:t>
      </w:r>
      <w:r w:rsidR="00A502B4" w:rsidRPr="00B10401">
        <w:t xml:space="preserve"> not dispute</w:t>
      </w:r>
      <w:r w:rsidR="00C91DBB">
        <w:t>d</w:t>
      </w:r>
      <w:r w:rsidR="00A502B4" w:rsidRPr="00B10401">
        <w:t xml:space="preserve">. The dispute herein lies on who </w:t>
      </w:r>
      <w:r w:rsidR="00FF11EC">
        <w:t xml:space="preserve">carries </w:t>
      </w:r>
      <w:r w:rsidR="00A502B4" w:rsidRPr="00B10401">
        <w:t>the responsibility to pay the amounts claimed</w:t>
      </w:r>
      <w:r w:rsidR="00C91DBB">
        <w:t xml:space="preserve"> by plaintiff</w:t>
      </w:r>
      <w:r w:rsidR="00A502B4" w:rsidRPr="00B10401">
        <w:t xml:space="preserve">. </w:t>
      </w:r>
    </w:p>
    <w:p w14:paraId="59F7993E" w14:textId="77777777" w:rsidR="00A502B4" w:rsidRPr="00B10401" w:rsidRDefault="00A502B4" w:rsidP="003B45EB">
      <w:pPr>
        <w:spacing w:after="0" w:line="360" w:lineRule="auto"/>
        <w:jc w:val="both"/>
      </w:pPr>
    </w:p>
    <w:p w14:paraId="0ABECBB9" w14:textId="22A9F5D9" w:rsidR="00A502B4" w:rsidRPr="00B10401" w:rsidRDefault="00B10401" w:rsidP="003B45EB">
      <w:pPr>
        <w:spacing w:after="0" w:line="360" w:lineRule="auto"/>
        <w:jc w:val="both"/>
      </w:pPr>
      <w:r w:rsidRPr="00B10401">
        <w:t>[</w:t>
      </w:r>
      <w:r w:rsidR="00C91DBB">
        <w:t>5</w:t>
      </w:r>
      <w:r w:rsidRPr="00B10401">
        <w:t>]</w:t>
      </w:r>
      <w:r w:rsidRPr="00B10401">
        <w:tab/>
      </w:r>
      <w:r w:rsidR="00A502B4" w:rsidRPr="00B10401">
        <w:t>The evidence by the plaintiff</w:t>
      </w:r>
      <w:r w:rsidR="001D559C" w:rsidRPr="00B10401">
        <w:t xml:space="preserve">, testified to by its executive trustee, </w:t>
      </w:r>
      <w:r w:rsidR="006930FE" w:rsidRPr="00B10401">
        <w:t>Ms.</w:t>
      </w:r>
      <w:r w:rsidR="001D559C" w:rsidRPr="00B10401">
        <w:t xml:space="preserve"> </w:t>
      </w:r>
      <w:r w:rsidR="00A502B4" w:rsidRPr="00B10401">
        <w:t xml:space="preserve"> </w:t>
      </w:r>
      <w:r w:rsidR="001D559C" w:rsidRPr="00B10401">
        <w:t xml:space="preserve">Kaunapaua Ndilula </w:t>
      </w:r>
      <w:r w:rsidR="00A502B4" w:rsidRPr="00B10401">
        <w:t>was that</w:t>
      </w:r>
      <w:r w:rsidR="001D559C" w:rsidRPr="00B10401">
        <w:t xml:space="preserve">, </w:t>
      </w:r>
      <w:r w:rsidR="00C91DBB">
        <w:t xml:space="preserve">the </w:t>
      </w:r>
      <w:r w:rsidR="001D559C" w:rsidRPr="00B10401">
        <w:t xml:space="preserve">Namibia Procurement Fund Trust, (hereafter referred to as </w:t>
      </w:r>
      <w:r w:rsidR="00471FEA">
        <w:t>t</w:t>
      </w:r>
      <w:r w:rsidR="001D559C" w:rsidRPr="00B10401">
        <w:t xml:space="preserve">he </w:t>
      </w:r>
      <w:r w:rsidR="00D2555E" w:rsidRPr="00B10401">
        <w:t>Trust) during</w:t>
      </w:r>
      <w:r w:rsidR="001D559C" w:rsidRPr="00B10401">
        <w:t xml:space="preserve"> March 2014 at or near Windhoek, duly represented by herself and the </w:t>
      </w:r>
      <w:r w:rsidR="00E93836">
        <w:t>first</w:t>
      </w:r>
      <w:r w:rsidR="00E93836" w:rsidRPr="00B10401">
        <w:t xml:space="preserve"> defendant</w:t>
      </w:r>
      <w:r w:rsidR="001D559C" w:rsidRPr="00B10401">
        <w:t xml:space="preserve">, duly represented by the </w:t>
      </w:r>
      <w:r w:rsidR="00E93836">
        <w:t>second</w:t>
      </w:r>
      <w:r w:rsidR="00E93836" w:rsidRPr="00B10401">
        <w:t xml:space="preserve"> defendant</w:t>
      </w:r>
      <w:r w:rsidR="00FF11EC">
        <w:t>,</w:t>
      </w:r>
      <w:r w:rsidR="001D559C" w:rsidRPr="00B10401">
        <w:t xml:space="preserve"> concluded a written facility agreement. The </w:t>
      </w:r>
      <w:r w:rsidR="00C859A7">
        <w:t>gist</w:t>
      </w:r>
      <w:r w:rsidR="001D559C" w:rsidRPr="00B10401">
        <w:t xml:space="preserve"> thereof was to fund a building project that the </w:t>
      </w:r>
      <w:r w:rsidR="00E93836">
        <w:t>first</w:t>
      </w:r>
      <w:r w:rsidR="00E93836" w:rsidRPr="00B10401">
        <w:t xml:space="preserve"> defendant</w:t>
      </w:r>
      <w:r w:rsidR="001D559C" w:rsidRPr="00B10401">
        <w:t xml:space="preserve"> had to execute in term</w:t>
      </w:r>
      <w:r w:rsidR="00C859A7">
        <w:t>s</w:t>
      </w:r>
      <w:r w:rsidR="001D559C" w:rsidRPr="00B10401">
        <w:t xml:space="preserve"> of a tender received </w:t>
      </w:r>
      <w:r w:rsidR="00C859A7">
        <w:t>from</w:t>
      </w:r>
      <w:r w:rsidR="001D559C" w:rsidRPr="00B10401">
        <w:t xml:space="preserve"> the </w:t>
      </w:r>
      <w:r w:rsidR="00E93836">
        <w:t>third</w:t>
      </w:r>
      <w:r w:rsidR="00E93836" w:rsidRPr="00B10401">
        <w:t xml:space="preserve"> defendant</w:t>
      </w:r>
      <w:r w:rsidR="001D559C" w:rsidRPr="00B10401">
        <w:t xml:space="preserve">. </w:t>
      </w:r>
    </w:p>
    <w:p w14:paraId="5B25D1BF" w14:textId="77777777" w:rsidR="00176D41" w:rsidRPr="00B10401" w:rsidRDefault="00176D41" w:rsidP="003B45EB">
      <w:pPr>
        <w:widowControl w:val="0"/>
        <w:spacing w:after="0" w:line="360" w:lineRule="auto"/>
        <w:jc w:val="both"/>
      </w:pPr>
    </w:p>
    <w:p w14:paraId="23F299D2" w14:textId="688E7CFD" w:rsidR="0002620F" w:rsidRPr="00B10401" w:rsidRDefault="00B10401" w:rsidP="003B45EB">
      <w:pPr>
        <w:widowControl w:val="0"/>
        <w:spacing w:after="0" w:line="360" w:lineRule="auto"/>
        <w:jc w:val="both"/>
      </w:pPr>
      <w:r w:rsidRPr="00B10401">
        <w:t>[</w:t>
      </w:r>
      <w:r w:rsidR="00C91DBB">
        <w:t>6</w:t>
      </w:r>
      <w:r w:rsidRPr="00B10401">
        <w:t>]</w:t>
      </w:r>
      <w:r w:rsidRPr="00B10401">
        <w:tab/>
      </w:r>
      <w:r w:rsidR="0002620F" w:rsidRPr="00B10401">
        <w:t xml:space="preserve">The plaintiff did not ask this court for any prayer against the </w:t>
      </w:r>
      <w:r w:rsidR="00E93836">
        <w:t>third</w:t>
      </w:r>
      <w:r w:rsidR="00E93836" w:rsidRPr="00B10401">
        <w:t xml:space="preserve"> defendant</w:t>
      </w:r>
      <w:r w:rsidR="0002620F" w:rsidRPr="00B10401">
        <w:t xml:space="preserve">. </w:t>
      </w:r>
      <w:r w:rsidR="000B5F20" w:rsidRPr="00B10401">
        <w:t>The</w:t>
      </w:r>
      <w:r w:rsidR="0002620F" w:rsidRPr="00B10401">
        <w:t xml:space="preserve"> dispute before the court concerning the main claim involves the loan agreement between the plaintiff and the </w:t>
      </w:r>
      <w:r w:rsidR="00E93836">
        <w:t>first defendant</w:t>
      </w:r>
      <w:r w:rsidR="00471FEA">
        <w:t xml:space="preserve"> </w:t>
      </w:r>
      <w:r w:rsidR="00D2555E" w:rsidRPr="00B10401">
        <w:t>and</w:t>
      </w:r>
      <w:r w:rsidR="002C06F7">
        <w:t xml:space="preserve"> </w:t>
      </w:r>
      <w:r w:rsidR="002C06F7" w:rsidRPr="00B10401">
        <w:t>the</w:t>
      </w:r>
      <w:r w:rsidR="00E5586C">
        <w:t xml:space="preserve"> deed of </w:t>
      </w:r>
      <w:r w:rsidR="00471FEA">
        <w:t>suretiship</w:t>
      </w:r>
      <w:r w:rsidR="00E5586C">
        <w:t xml:space="preserve"> concluded by </w:t>
      </w:r>
      <w:r w:rsidR="00471FEA">
        <w:t xml:space="preserve">the </w:t>
      </w:r>
      <w:r w:rsidR="00E93836">
        <w:t>second</w:t>
      </w:r>
      <w:r w:rsidR="00E93836" w:rsidRPr="00B10401">
        <w:t xml:space="preserve"> defendant</w:t>
      </w:r>
      <w:r w:rsidR="0002620F" w:rsidRPr="00B10401">
        <w:t>.</w:t>
      </w:r>
      <w:r w:rsidR="001D559C" w:rsidRPr="00B10401">
        <w:t xml:space="preserve"> </w:t>
      </w:r>
    </w:p>
    <w:p w14:paraId="4FDFB690" w14:textId="77777777" w:rsidR="001D559C" w:rsidRPr="00B10401" w:rsidRDefault="001D559C" w:rsidP="003B45EB">
      <w:pPr>
        <w:widowControl w:val="0"/>
        <w:spacing w:after="0" w:line="360" w:lineRule="auto"/>
        <w:jc w:val="both"/>
      </w:pPr>
    </w:p>
    <w:p w14:paraId="3FC984DD" w14:textId="2FD497CC" w:rsidR="001D559C" w:rsidRPr="00B10401" w:rsidRDefault="00B10401" w:rsidP="003B45EB">
      <w:pPr>
        <w:widowControl w:val="0"/>
        <w:spacing w:after="0" w:line="360" w:lineRule="auto"/>
        <w:jc w:val="both"/>
      </w:pPr>
      <w:r w:rsidRPr="00B10401">
        <w:t>[</w:t>
      </w:r>
      <w:r w:rsidR="00C91DBB">
        <w:t>7</w:t>
      </w:r>
      <w:r w:rsidRPr="00B10401">
        <w:t>]</w:t>
      </w:r>
      <w:r w:rsidRPr="00B10401">
        <w:tab/>
      </w:r>
      <w:r w:rsidR="00C91DBB">
        <w:t xml:space="preserve">The role of the </w:t>
      </w:r>
      <w:r w:rsidR="00E93836">
        <w:t>third defendant</w:t>
      </w:r>
      <w:r w:rsidR="00C91DBB">
        <w:t xml:space="preserve"> was only to make</w:t>
      </w:r>
      <w:r w:rsidR="001D559C" w:rsidRPr="00B10401">
        <w:t xml:space="preserve"> pay</w:t>
      </w:r>
      <w:r w:rsidR="00C91DBB">
        <w:t>ments</w:t>
      </w:r>
      <w:r w:rsidR="001D559C" w:rsidRPr="00B10401">
        <w:t xml:space="preserve"> on beha</w:t>
      </w:r>
      <w:r w:rsidR="00C91DBB">
        <w:t xml:space="preserve">lf of the </w:t>
      </w:r>
      <w:r w:rsidR="00E93836">
        <w:t>first defendant</w:t>
      </w:r>
      <w:r w:rsidR="00C91DBB">
        <w:t xml:space="preserve">, </w:t>
      </w:r>
      <w:r w:rsidR="001D559C" w:rsidRPr="00B10401">
        <w:lastRenderedPageBreak/>
        <w:t>when all documentation regarding progress payments and inspections</w:t>
      </w:r>
      <w:r w:rsidR="00C91DBB">
        <w:t xml:space="preserve"> w</w:t>
      </w:r>
      <w:r w:rsidR="00C859A7">
        <w:t>ere</w:t>
      </w:r>
      <w:r w:rsidR="001D559C" w:rsidRPr="00B10401">
        <w:t xml:space="preserve"> </w:t>
      </w:r>
      <w:r w:rsidR="00FF11EC">
        <w:t>in place</w:t>
      </w:r>
      <w:r w:rsidR="001D559C" w:rsidRPr="00B10401">
        <w:t xml:space="preserve">. </w:t>
      </w:r>
      <w:r w:rsidR="00C91DBB">
        <w:t xml:space="preserve">According to the </w:t>
      </w:r>
      <w:r w:rsidR="00E93836">
        <w:t>second defendant</w:t>
      </w:r>
      <w:r w:rsidR="00FF11EC">
        <w:t>,</w:t>
      </w:r>
      <w:r w:rsidR="00C91DBB">
        <w:t xml:space="preserve"> a</w:t>
      </w:r>
      <w:r w:rsidR="001D559C" w:rsidRPr="00B10401">
        <w:t>ll payment</w:t>
      </w:r>
      <w:r w:rsidR="00FB1C10" w:rsidRPr="00B10401">
        <w:t>s</w:t>
      </w:r>
      <w:r w:rsidR="001D559C" w:rsidRPr="00B10401">
        <w:t xml:space="preserve"> in line with </w:t>
      </w:r>
      <w:r w:rsidR="00471FEA" w:rsidRPr="00B10401">
        <w:t xml:space="preserve">each </w:t>
      </w:r>
      <w:r w:rsidR="00471FEA">
        <w:t xml:space="preserve">and all </w:t>
      </w:r>
      <w:r w:rsidR="001D559C" w:rsidRPr="00B10401">
        <w:t xml:space="preserve">progress payment submitted to the </w:t>
      </w:r>
      <w:r w:rsidR="00E93836">
        <w:t>third</w:t>
      </w:r>
      <w:r w:rsidR="00E93836" w:rsidRPr="00B10401">
        <w:t xml:space="preserve"> defendant</w:t>
      </w:r>
      <w:r w:rsidR="001D559C" w:rsidRPr="00B10401">
        <w:t xml:space="preserve"> </w:t>
      </w:r>
      <w:r w:rsidR="002C06F7" w:rsidRPr="00B10401">
        <w:t>w</w:t>
      </w:r>
      <w:r w:rsidR="002C06F7">
        <w:t>as</w:t>
      </w:r>
      <w:r w:rsidR="001D559C" w:rsidRPr="00B10401">
        <w:t xml:space="preserve"> fully paid</w:t>
      </w:r>
      <w:r w:rsidR="00471FEA">
        <w:t xml:space="preserve"> and submitted</w:t>
      </w:r>
      <w:r w:rsidR="00C859A7">
        <w:t>.</w:t>
      </w:r>
      <w:r w:rsidR="00C91DBB">
        <w:t xml:space="preserve"> </w:t>
      </w:r>
      <w:r w:rsidR="00C859A7">
        <w:t>T</w:t>
      </w:r>
      <w:r w:rsidR="00431306">
        <w:t>he evidence</w:t>
      </w:r>
      <w:r w:rsidR="00C859A7">
        <w:t xml:space="preserve">, </w:t>
      </w:r>
      <w:r w:rsidR="002C06F7">
        <w:t>nonetheless, revealed</w:t>
      </w:r>
      <w:r w:rsidR="00431306">
        <w:t xml:space="preserve"> that this averment was </w:t>
      </w:r>
      <w:r w:rsidR="00C859A7">
        <w:t>false.</w:t>
      </w:r>
      <w:r w:rsidR="001D559C" w:rsidRPr="00B10401">
        <w:t xml:space="preserve"> </w:t>
      </w:r>
    </w:p>
    <w:p w14:paraId="4776C847" w14:textId="77777777" w:rsidR="0002620F" w:rsidRPr="00B10401" w:rsidRDefault="0002620F" w:rsidP="003B45EB">
      <w:pPr>
        <w:widowControl w:val="0"/>
        <w:spacing w:after="0" w:line="360" w:lineRule="auto"/>
        <w:jc w:val="both"/>
      </w:pPr>
    </w:p>
    <w:p w14:paraId="77AC6E4E" w14:textId="0B5DE338" w:rsidR="000B5F20" w:rsidRDefault="00B10401" w:rsidP="003B45EB">
      <w:pPr>
        <w:widowControl w:val="0"/>
        <w:spacing w:after="0" w:line="360" w:lineRule="auto"/>
        <w:jc w:val="both"/>
        <w:rPr>
          <w:lang w:val="en-CA"/>
        </w:rPr>
      </w:pPr>
      <w:r w:rsidRPr="00B10401">
        <w:t>[</w:t>
      </w:r>
      <w:r w:rsidR="00182FCF">
        <w:t>8</w:t>
      </w:r>
      <w:r w:rsidRPr="00B10401">
        <w:t>]</w:t>
      </w:r>
      <w:r w:rsidRPr="00B10401">
        <w:tab/>
      </w:r>
      <w:r w:rsidR="00431306">
        <w:t xml:space="preserve">The </w:t>
      </w:r>
      <w:r w:rsidR="0002620F" w:rsidRPr="00B10401">
        <w:t>defendant</w:t>
      </w:r>
      <w:r w:rsidR="00431306">
        <w:t>s</w:t>
      </w:r>
      <w:r w:rsidR="0002620F" w:rsidRPr="00B10401">
        <w:t xml:space="preserve"> </w:t>
      </w:r>
      <w:r w:rsidR="000B5F20" w:rsidRPr="00B10401">
        <w:t xml:space="preserve">counter claim </w:t>
      </w:r>
      <w:r w:rsidR="003010DF" w:rsidRPr="00B10401">
        <w:t>against</w:t>
      </w:r>
      <w:r w:rsidR="000B5F20" w:rsidRPr="00B10401">
        <w:t xml:space="preserve"> the </w:t>
      </w:r>
      <w:r w:rsidR="00E93836">
        <w:t>third defendant</w:t>
      </w:r>
      <w:r w:rsidR="00C859A7">
        <w:t xml:space="preserve">. </w:t>
      </w:r>
      <w:r w:rsidR="00431306">
        <w:t xml:space="preserve"> </w:t>
      </w:r>
      <w:r w:rsidR="00C859A7">
        <w:t>F</w:t>
      </w:r>
      <w:r w:rsidR="000B5F20" w:rsidRPr="00B10401">
        <w:t>rom the read</w:t>
      </w:r>
      <w:r w:rsidR="00A502B4" w:rsidRPr="00B10401">
        <w:t>ing</w:t>
      </w:r>
      <w:r w:rsidR="000B5F20" w:rsidRPr="00B10401">
        <w:t xml:space="preserve"> of</w:t>
      </w:r>
      <w:r w:rsidR="00431306">
        <w:t xml:space="preserve"> the counter claim, there is no</w:t>
      </w:r>
      <w:r w:rsidR="000B5F20" w:rsidRPr="00B10401">
        <w:t xml:space="preserve"> dispute </w:t>
      </w:r>
      <w:r w:rsidR="003010DF" w:rsidRPr="00B10401">
        <w:t>concerning</w:t>
      </w:r>
      <w:r w:rsidR="000B5F20" w:rsidRPr="00B10401">
        <w:t xml:space="preserve"> the amounts claimed by the plaintiff. The </w:t>
      </w:r>
      <w:r w:rsidR="00E93836">
        <w:t>second</w:t>
      </w:r>
      <w:r w:rsidR="00E93836" w:rsidRPr="00B10401">
        <w:t xml:space="preserve"> defendant</w:t>
      </w:r>
      <w:r w:rsidR="000B5F20" w:rsidRPr="00B10401">
        <w:t xml:space="preserve"> </w:t>
      </w:r>
      <w:r w:rsidR="003010DF" w:rsidRPr="00B10401">
        <w:t>alleged that, the outstanding</w:t>
      </w:r>
      <w:r w:rsidR="000B5F20" w:rsidRPr="00B10401">
        <w:t xml:space="preserve"> amount of </w:t>
      </w:r>
      <w:r w:rsidR="000B5F20" w:rsidRPr="00B10401">
        <w:rPr>
          <w:lang w:val="en-CA"/>
        </w:rPr>
        <w:t xml:space="preserve">N$ 1, 987, 703, 86 was due and payable by the </w:t>
      </w:r>
      <w:r w:rsidR="00E93836">
        <w:rPr>
          <w:lang w:val="en-CA"/>
        </w:rPr>
        <w:t>third defendant</w:t>
      </w:r>
      <w:r w:rsidR="00431306">
        <w:rPr>
          <w:lang w:val="en-CA"/>
        </w:rPr>
        <w:t xml:space="preserve">. </w:t>
      </w:r>
      <w:r w:rsidR="00E5586C">
        <w:rPr>
          <w:lang w:val="en-CA"/>
        </w:rPr>
        <w:t>This aspect was fully canvassed in the ruling on absolution from the instance.</w:t>
      </w:r>
    </w:p>
    <w:p w14:paraId="494C04F2" w14:textId="77777777" w:rsidR="00431306" w:rsidRPr="00C859A7" w:rsidRDefault="00431306" w:rsidP="003B45EB">
      <w:pPr>
        <w:widowControl w:val="0"/>
        <w:spacing w:after="0" w:line="360" w:lineRule="auto"/>
        <w:jc w:val="both"/>
        <w:rPr>
          <w:color w:val="FF0000"/>
          <w:lang w:val="en-CA"/>
        </w:rPr>
      </w:pPr>
    </w:p>
    <w:p w14:paraId="7449337B" w14:textId="6301A3E3" w:rsidR="0002620F" w:rsidRPr="00E5586C" w:rsidRDefault="00B10401" w:rsidP="003B45EB">
      <w:pPr>
        <w:widowControl w:val="0"/>
        <w:spacing w:after="0" w:line="360" w:lineRule="auto"/>
        <w:jc w:val="both"/>
      </w:pPr>
      <w:r w:rsidRPr="00E5586C">
        <w:t>[</w:t>
      </w:r>
      <w:r w:rsidR="00182FCF" w:rsidRPr="00E5586C">
        <w:t>9</w:t>
      </w:r>
      <w:r w:rsidRPr="00E5586C">
        <w:t>]</w:t>
      </w:r>
      <w:r w:rsidRPr="00E5586C">
        <w:tab/>
      </w:r>
      <w:r w:rsidR="003010DF" w:rsidRPr="00E5586C">
        <w:t xml:space="preserve">The </w:t>
      </w:r>
      <w:r w:rsidR="00E93836">
        <w:t>second</w:t>
      </w:r>
      <w:r w:rsidR="00E93836" w:rsidRPr="00E5586C">
        <w:t xml:space="preserve"> defendant</w:t>
      </w:r>
      <w:r w:rsidR="003010DF" w:rsidRPr="00E5586C">
        <w:t xml:space="preserve">, </w:t>
      </w:r>
      <w:r w:rsidR="00E5586C" w:rsidRPr="00E5586C">
        <w:t>agreed</w:t>
      </w:r>
      <w:r w:rsidR="003010DF" w:rsidRPr="00E5586C">
        <w:t xml:space="preserve"> that t</w:t>
      </w:r>
      <w:r w:rsidR="000B5F20" w:rsidRPr="00E5586C">
        <w:t>he plainti</w:t>
      </w:r>
      <w:r w:rsidR="00431306" w:rsidRPr="00E5586C">
        <w:t xml:space="preserve">ff paid in terms of the </w:t>
      </w:r>
      <w:r w:rsidR="000B5F20" w:rsidRPr="00E5586C">
        <w:t>facility agreement</w:t>
      </w:r>
      <w:r w:rsidR="003010DF" w:rsidRPr="00E5586C">
        <w:t>,</w:t>
      </w:r>
      <w:r w:rsidR="000B5F20" w:rsidRPr="00E5586C">
        <w:t xml:space="preserve"> a total amount of N$ 8,153,164.51 </w:t>
      </w:r>
      <w:r w:rsidR="00E17653" w:rsidRPr="00E5586C">
        <w:t xml:space="preserve">to </w:t>
      </w:r>
      <w:r w:rsidR="00E17653">
        <w:t>or</w:t>
      </w:r>
      <w:r w:rsidR="00C633DD">
        <w:t xml:space="preserve"> on behalf of </w:t>
      </w:r>
      <w:r w:rsidR="000B5F20" w:rsidRPr="00E5586C">
        <w:t xml:space="preserve">the </w:t>
      </w:r>
      <w:r w:rsidR="00E93836">
        <w:t>first</w:t>
      </w:r>
      <w:r w:rsidR="00E93836" w:rsidRPr="00E5586C">
        <w:t xml:space="preserve"> defendant</w:t>
      </w:r>
      <w:r w:rsidR="00E5586C" w:rsidRPr="00E5586C">
        <w:rPr>
          <w:rStyle w:val="FootnoteReference"/>
        </w:rPr>
        <w:footnoteReference w:id="6"/>
      </w:r>
      <w:r w:rsidR="000B5F20" w:rsidRPr="00E5586C">
        <w:t xml:space="preserve">. </w:t>
      </w:r>
      <w:r w:rsidR="00083D59">
        <w:t>All the proofs and i</w:t>
      </w:r>
      <w:r w:rsidR="00471FEA">
        <w:t>nvoices are contained in files V</w:t>
      </w:r>
      <w:r w:rsidR="00083D59">
        <w:t xml:space="preserve">olume “C” page </w:t>
      </w:r>
      <w:r w:rsidR="00471FEA">
        <w:t>745 up to V</w:t>
      </w:r>
      <w:r w:rsidR="00E17653">
        <w:t>olume “D” page 1436.</w:t>
      </w:r>
      <w:r w:rsidR="00FF11EC">
        <w:t xml:space="preserve"> </w:t>
      </w:r>
      <w:r w:rsidR="000B5F20" w:rsidRPr="00E5586C">
        <w:t>The amount</w:t>
      </w:r>
      <w:r w:rsidR="008066EE" w:rsidRPr="00E5586C">
        <w:t xml:space="preserve"> paid by the </w:t>
      </w:r>
      <w:r w:rsidR="00E93836">
        <w:t>third</w:t>
      </w:r>
      <w:r w:rsidR="00E93836" w:rsidRPr="00E5586C">
        <w:t xml:space="preserve"> defendant</w:t>
      </w:r>
      <w:r w:rsidR="008066EE" w:rsidRPr="00E5586C">
        <w:t xml:space="preserve"> </w:t>
      </w:r>
      <w:r w:rsidR="00471FEA">
        <w:t>to the p</w:t>
      </w:r>
      <w:r w:rsidR="00E5586C" w:rsidRPr="00E5586C">
        <w:t xml:space="preserve">laintiff </w:t>
      </w:r>
      <w:r w:rsidR="008066EE" w:rsidRPr="00E5586C">
        <w:t>in respect of the loan agreement was</w:t>
      </w:r>
      <w:r w:rsidR="000B5F20" w:rsidRPr="00E5586C">
        <w:t xml:space="preserve"> </w:t>
      </w:r>
      <w:r w:rsidR="008066EE" w:rsidRPr="00E5586C">
        <w:t>N$ 6,165,</w:t>
      </w:r>
      <w:r w:rsidR="003010DF" w:rsidRPr="00E5586C">
        <w:t xml:space="preserve"> 460.66</w:t>
      </w:r>
      <w:r w:rsidR="00E5586C" w:rsidRPr="00E5586C">
        <w:t>. This leaves</w:t>
      </w:r>
      <w:r w:rsidR="003010DF" w:rsidRPr="00E5586C">
        <w:t xml:space="preserve"> the </w:t>
      </w:r>
      <w:r w:rsidR="00FF11EC">
        <w:lastRenderedPageBreak/>
        <w:t xml:space="preserve">outstanding </w:t>
      </w:r>
      <w:r w:rsidR="003010DF" w:rsidRPr="00E5586C">
        <w:t xml:space="preserve">amount of </w:t>
      </w:r>
      <w:r w:rsidR="008066EE" w:rsidRPr="00E5586C">
        <w:rPr>
          <w:lang w:val="en-CA"/>
        </w:rPr>
        <w:t>N$ 1, 987, 703,</w:t>
      </w:r>
      <w:r w:rsidR="00E5586C" w:rsidRPr="00E5586C">
        <w:rPr>
          <w:lang w:val="en-CA"/>
        </w:rPr>
        <w:t>86.</w:t>
      </w:r>
      <w:r w:rsidR="008066EE" w:rsidRPr="00E5586C">
        <w:rPr>
          <w:lang w:val="en-CA"/>
        </w:rPr>
        <w:t xml:space="preserve"> </w:t>
      </w:r>
      <w:r w:rsidR="00E5586C" w:rsidRPr="00E5586C">
        <w:rPr>
          <w:lang w:val="en-CA"/>
        </w:rPr>
        <w:t xml:space="preserve">The </w:t>
      </w:r>
      <w:r w:rsidR="00E93836" w:rsidRPr="00E5586C">
        <w:rPr>
          <w:lang w:val="en-CA"/>
        </w:rPr>
        <w:t>argument of</w:t>
      </w:r>
      <w:r w:rsidR="00E5586C" w:rsidRPr="00E5586C">
        <w:rPr>
          <w:lang w:val="en-CA"/>
        </w:rPr>
        <w:t xml:space="preserve"> the </w:t>
      </w:r>
      <w:r w:rsidR="00E93836">
        <w:rPr>
          <w:lang w:val="en-CA"/>
        </w:rPr>
        <w:t>first</w:t>
      </w:r>
      <w:r w:rsidR="00E93836" w:rsidRPr="00E5586C">
        <w:rPr>
          <w:lang w:val="en-CA"/>
        </w:rPr>
        <w:t xml:space="preserve"> and</w:t>
      </w:r>
      <w:r w:rsidR="00E5586C" w:rsidRPr="00E5586C">
        <w:rPr>
          <w:lang w:val="en-CA"/>
        </w:rPr>
        <w:t xml:space="preserve"> </w:t>
      </w:r>
      <w:r w:rsidR="00E93836">
        <w:rPr>
          <w:lang w:val="en-CA"/>
        </w:rPr>
        <w:t>second</w:t>
      </w:r>
      <w:r w:rsidR="00E93836" w:rsidRPr="00E5586C">
        <w:rPr>
          <w:lang w:val="en-CA"/>
        </w:rPr>
        <w:t xml:space="preserve"> defendants</w:t>
      </w:r>
      <w:r w:rsidR="00E5586C" w:rsidRPr="00E5586C">
        <w:rPr>
          <w:lang w:val="en-CA"/>
        </w:rPr>
        <w:t xml:space="preserve"> was that the </w:t>
      </w:r>
      <w:r w:rsidR="003010DF" w:rsidRPr="00E5586C">
        <w:rPr>
          <w:lang w:val="en-CA"/>
        </w:rPr>
        <w:t xml:space="preserve">building that was constructed is the property of the </w:t>
      </w:r>
      <w:r w:rsidR="00E93836">
        <w:rPr>
          <w:lang w:val="en-CA"/>
        </w:rPr>
        <w:t>third</w:t>
      </w:r>
      <w:r w:rsidR="003010DF" w:rsidRPr="00E5586C">
        <w:rPr>
          <w:lang w:val="en-CA"/>
        </w:rPr>
        <w:t xml:space="preserve"> defendant and the excess amount of N$ 1, 987, 703, 86 benefitted the </w:t>
      </w:r>
      <w:r w:rsidR="00E93836">
        <w:rPr>
          <w:lang w:val="en-CA"/>
        </w:rPr>
        <w:t>third</w:t>
      </w:r>
      <w:r w:rsidR="003010DF" w:rsidRPr="00E5586C">
        <w:rPr>
          <w:lang w:val="en-CA"/>
        </w:rPr>
        <w:t xml:space="preserve"> defendant, who was not entitled thereto and was therefore enriched</w:t>
      </w:r>
      <w:r w:rsidR="003010DF" w:rsidRPr="00E5586C">
        <w:rPr>
          <w:rStyle w:val="FootnoteReference"/>
          <w:lang w:val="en-CA"/>
        </w:rPr>
        <w:footnoteReference w:id="7"/>
      </w:r>
      <w:r w:rsidR="003010DF" w:rsidRPr="00E5586C">
        <w:rPr>
          <w:lang w:val="en-CA"/>
        </w:rPr>
        <w:t>.</w:t>
      </w:r>
      <w:r w:rsidR="00E5586C" w:rsidRPr="00E5586C">
        <w:rPr>
          <w:lang w:val="en-CA"/>
        </w:rPr>
        <w:t xml:space="preserve"> </w:t>
      </w:r>
      <w:r w:rsidR="00FF11EC">
        <w:rPr>
          <w:lang w:val="en-CA"/>
        </w:rPr>
        <w:t>I pause to add that t</w:t>
      </w:r>
      <w:r w:rsidR="00E5586C" w:rsidRPr="00E5586C">
        <w:rPr>
          <w:lang w:val="en-CA"/>
        </w:rPr>
        <w:t xml:space="preserve">hat would have been the case if the </w:t>
      </w:r>
      <w:r w:rsidR="00E93836">
        <w:rPr>
          <w:lang w:val="en-CA"/>
        </w:rPr>
        <w:t>first</w:t>
      </w:r>
      <w:r w:rsidR="00E93836" w:rsidRPr="00E5586C">
        <w:rPr>
          <w:lang w:val="en-CA"/>
        </w:rPr>
        <w:t xml:space="preserve"> and</w:t>
      </w:r>
      <w:r w:rsidR="00E5586C" w:rsidRPr="00E5586C">
        <w:rPr>
          <w:lang w:val="en-CA"/>
        </w:rPr>
        <w:t xml:space="preserve"> </w:t>
      </w:r>
      <w:r w:rsidR="00E93836">
        <w:rPr>
          <w:lang w:val="en-CA"/>
        </w:rPr>
        <w:t>second</w:t>
      </w:r>
      <w:r w:rsidR="00E93836" w:rsidRPr="00E5586C">
        <w:rPr>
          <w:lang w:val="en-CA"/>
        </w:rPr>
        <w:t xml:space="preserve"> defendants</w:t>
      </w:r>
      <w:r w:rsidR="00E5586C" w:rsidRPr="00E5586C">
        <w:rPr>
          <w:lang w:val="en-CA"/>
        </w:rPr>
        <w:t xml:space="preserve"> had completed the building and all the completion certificates were on hand. That was not the case.</w:t>
      </w:r>
    </w:p>
    <w:p w14:paraId="2D03CC75" w14:textId="77777777" w:rsidR="0002620F" w:rsidRPr="00B10401" w:rsidRDefault="0002620F" w:rsidP="003B45EB">
      <w:pPr>
        <w:widowControl w:val="0"/>
        <w:spacing w:after="0" w:line="360" w:lineRule="auto"/>
        <w:jc w:val="both"/>
      </w:pPr>
    </w:p>
    <w:p w14:paraId="67D61140" w14:textId="6D878051" w:rsidR="00176D41" w:rsidRPr="00B10401" w:rsidRDefault="00B10401" w:rsidP="003B45EB">
      <w:pPr>
        <w:widowControl w:val="0"/>
        <w:spacing w:after="0" w:line="360" w:lineRule="auto"/>
        <w:jc w:val="both"/>
      </w:pPr>
      <w:r w:rsidRPr="00B10401">
        <w:t>[</w:t>
      </w:r>
      <w:r w:rsidR="00182FCF">
        <w:t>10</w:t>
      </w:r>
      <w:r w:rsidRPr="00B10401">
        <w:t>]</w:t>
      </w:r>
      <w:r w:rsidRPr="00B10401">
        <w:tab/>
      </w:r>
      <w:r w:rsidR="009F5E9B" w:rsidRPr="00B10401">
        <w:t xml:space="preserve">It was common cause between the parties that the </w:t>
      </w:r>
      <w:r w:rsidR="00176D41" w:rsidRPr="00B10401">
        <w:t xml:space="preserve">agreement underwent three changes </w:t>
      </w:r>
      <w:r w:rsidR="00C859A7">
        <w:t>and</w:t>
      </w:r>
      <w:r w:rsidR="00176D41" w:rsidRPr="00B10401">
        <w:t xml:space="preserve"> those variation</w:t>
      </w:r>
      <w:r w:rsidR="00C859A7">
        <w:t>s</w:t>
      </w:r>
      <w:r w:rsidR="00176D41" w:rsidRPr="00B10401">
        <w:t xml:space="preserve"> were reduced to writing. The evidence led by the plaintiff was to the effect that there w</w:t>
      </w:r>
      <w:r w:rsidR="00C859A7">
        <w:t>ere</w:t>
      </w:r>
      <w:r w:rsidR="00176D41" w:rsidRPr="00B10401">
        <w:t xml:space="preserve">, </w:t>
      </w:r>
      <w:r w:rsidR="002C06F7" w:rsidRPr="00B10401">
        <w:t>however,</w:t>
      </w:r>
      <w:r w:rsidR="00176D41" w:rsidRPr="00B10401">
        <w:t xml:space="preserve"> further variations which were not reduced to writing. These further varia</w:t>
      </w:r>
      <w:r w:rsidR="00471FEA">
        <w:t>tions involved payments by the T</w:t>
      </w:r>
      <w:r w:rsidR="00176D41" w:rsidRPr="00B10401">
        <w:t xml:space="preserve">rust to </w:t>
      </w:r>
      <w:r w:rsidR="00E5586C">
        <w:t xml:space="preserve">or for the benefit of </w:t>
      </w:r>
      <w:r w:rsidR="00176D41" w:rsidRPr="00B10401">
        <w:t xml:space="preserve">the </w:t>
      </w:r>
      <w:r w:rsidR="00E93836">
        <w:t>first</w:t>
      </w:r>
      <w:r w:rsidR="00E93836" w:rsidRPr="00B10401">
        <w:t xml:space="preserve"> defendant</w:t>
      </w:r>
      <w:r w:rsidR="00176D41" w:rsidRPr="00B10401">
        <w:t xml:space="preserve">.  </w:t>
      </w:r>
    </w:p>
    <w:p w14:paraId="3721C518" w14:textId="77777777" w:rsidR="00076573" w:rsidRPr="00B10401" w:rsidRDefault="00076573" w:rsidP="003B45EB">
      <w:pPr>
        <w:widowControl w:val="0"/>
        <w:spacing w:after="0" w:line="360" w:lineRule="auto"/>
        <w:jc w:val="both"/>
        <w:rPr>
          <w:lang w:val="en-CA"/>
        </w:rPr>
      </w:pPr>
    </w:p>
    <w:p w14:paraId="43D13C3D" w14:textId="3265A74B" w:rsidR="00176D41" w:rsidRPr="00B10401" w:rsidRDefault="00B10401" w:rsidP="003B45EB">
      <w:pPr>
        <w:widowControl w:val="0"/>
        <w:spacing w:after="0" w:line="360" w:lineRule="auto"/>
        <w:jc w:val="both"/>
        <w:rPr>
          <w:lang w:val="en-CA"/>
        </w:rPr>
      </w:pPr>
      <w:r w:rsidRPr="00B10401">
        <w:rPr>
          <w:lang w:val="en-CA"/>
        </w:rPr>
        <w:t>[</w:t>
      </w:r>
      <w:r w:rsidR="00182FCF">
        <w:rPr>
          <w:lang w:val="en-CA"/>
        </w:rPr>
        <w:t>11</w:t>
      </w:r>
      <w:r w:rsidRPr="00B10401">
        <w:rPr>
          <w:lang w:val="en-CA"/>
        </w:rPr>
        <w:t>]</w:t>
      </w:r>
      <w:r w:rsidRPr="00B10401">
        <w:rPr>
          <w:lang w:val="en-CA"/>
        </w:rPr>
        <w:tab/>
      </w:r>
      <w:r w:rsidR="00FB1C10" w:rsidRPr="00B10401">
        <w:rPr>
          <w:lang w:val="en-CA"/>
        </w:rPr>
        <w:t>The evidence showed that t</w:t>
      </w:r>
      <w:r w:rsidR="00176D41" w:rsidRPr="00B10401">
        <w:rPr>
          <w:lang w:val="en-CA"/>
        </w:rPr>
        <w:t xml:space="preserve">he </w:t>
      </w:r>
      <w:r w:rsidR="00076573" w:rsidRPr="00B10401">
        <w:rPr>
          <w:lang w:val="en-CA"/>
        </w:rPr>
        <w:t xml:space="preserve">capital </w:t>
      </w:r>
      <w:r w:rsidR="00176D41" w:rsidRPr="00B10401">
        <w:rPr>
          <w:lang w:val="en-CA"/>
        </w:rPr>
        <w:t>amount due</w:t>
      </w:r>
      <w:r w:rsidR="00076573" w:rsidRPr="00B10401">
        <w:rPr>
          <w:lang w:val="en-CA"/>
        </w:rPr>
        <w:t xml:space="preserve"> as a result </w:t>
      </w:r>
      <w:r w:rsidR="00FF11EC">
        <w:rPr>
          <w:lang w:val="en-CA"/>
        </w:rPr>
        <w:t>of the overpayment</w:t>
      </w:r>
      <w:r w:rsidR="00076573" w:rsidRPr="00B10401">
        <w:rPr>
          <w:lang w:val="en-CA"/>
        </w:rPr>
        <w:t xml:space="preserve"> was in the</w:t>
      </w:r>
      <w:r w:rsidR="00176D41" w:rsidRPr="00B10401">
        <w:rPr>
          <w:lang w:val="en-CA"/>
        </w:rPr>
        <w:t xml:space="preserve"> </w:t>
      </w:r>
      <w:r w:rsidR="00076573" w:rsidRPr="00B10401">
        <w:rPr>
          <w:lang w:val="en-CA"/>
        </w:rPr>
        <w:t>of N$ 1, 987, 703, 86. This amount</w:t>
      </w:r>
      <w:r w:rsidR="00FF11EC">
        <w:rPr>
          <w:lang w:val="en-CA"/>
        </w:rPr>
        <w:t>,</w:t>
      </w:r>
      <w:r w:rsidR="00076573" w:rsidRPr="00B10401">
        <w:rPr>
          <w:lang w:val="en-CA"/>
        </w:rPr>
        <w:t xml:space="preserve"> t</w:t>
      </w:r>
      <w:r w:rsidR="00176D41" w:rsidRPr="00B10401">
        <w:rPr>
          <w:lang w:val="en-CA"/>
        </w:rPr>
        <w:t xml:space="preserve">ogether with further interest, the further finance margin, tracing </w:t>
      </w:r>
      <w:r w:rsidR="00176D41" w:rsidRPr="00B10401">
        <w:rPr>
          <w:lang w:val="en-CA"/>
        </w:rPr>
        <w:lastRenderedPageBreak/>
        <w:t>costs and the fee for the performance guarantee</w:t>
      </w:r>
      <w:r w:rsidR="00076573" w:rsidRPr="00B10401">
        <w:rPr>
          <w:lang w:val="en-CA"/>
        </w:rPr>
        <w:t xml:space="preserve"> amount</w:t>
      </w:r>
      <w:r w:rsidR="00E5586C">
        <w:rPr>
          <w:lang w:val="en-CA"/>
        </w:rPr>
        <w:t xml:space="preserve"> </w:t>
      </w:r>
      <w:r w:rsidR="00076573" w:rsidRPr="00B10401">
        <w:rPr>
          <w:lang w:val="en-CA"/>
        </w:rPr>
        <w:t>to</w:t>
      </w:r>
      <w:r w:rsidR="00176D41" w:rsidRPr="00B10401">
        <w:rPr>
          <w:lang w:val="en-CA"/>
        </w:rPr>
        <w:t xml:space="preserve"> N$ </w:t>
      </w:r>
      <w:r w:rsidR="00176D41" w:rsidRPr="00B10401">
        <w:t>3,885,060.50</w:t>
      </w:r>
      <w:r w:rsidR="00E5586C">
        <w:rPr>
          <w:rStyle w:val="FootnoteReference"/>
          <w:lang w:val="en-CA"/>
        </w:rPr>
        <w:footnoteReference w:id="8"/>
      </w:r>
      <w:r w:rsidR="00176D41" w:rsidRPr="00B10401">
        <w:rPr>
          <w:lang w:val="en-CA"/>
        </w:rPr>
        <w:t>.</w:t>
      </w:r>
    </w:p>
    <w:p w14:paraId="2425FBFD" w14:textId="77777777" w:rsidR="00076573" w:rsidRPr="00B10401" w:rsidRDefault="00076573" w:rsidP="003B45EB">
      <w:pPr>
        <w:widowControl w:val="0"/>
        <w:spacing w:after="0" w:line="360" w:lineRule="auto"/>
        <w:jc w:val="both"/>
        <w:rPr>
          <w:lang w:val="en-CA"/>
        </w:rPr>
      </w:pPr>
    </w:p>
    <w:p w14:paraId="47607858" w14:textId="5B524DAA" w:rsidR="009F5E9B" w:rsidRPr="00B10401" w:rsidRDefault="00B10401" w:rsidP="003B45EB">
      <w:pPr>
        <w:widowControl w:val="0"/>
        <w:spacing w:after="0" w:line="360" w:lineRule="auto"/>
        <w:jc w:val="both"/>
        <w:rPr>
          <w:lang w:val="en-CA"/>
        </w:rPr>
      </w:pPr>
      <w:r w:rsidRPr="00B10401">
        <w:rPr>
          <w:lang w:val="en-CA"/>
        </w:rPr>
        <w:t>[</w:t>
      </w:r>
      <w:r w:rsidR="00182FCF">
        <w:rPr>
          <w:lang w:val="en-CA"/>
        </w:rPr>
        <w:t>12</w:t>
      </w:r>
      <w:r w:rsidRPr="00B10401">
        <w:rPr>
          <w:lang w:val="en-CA"/>
        </w:rPr>
        <w:t>]</w:t>
      </w:r>
      <w:r w:rsidRPr="00B10401">
        <w:rPr>
          <w:lang w:val="en-CA"/>
        </w:rPr>
        <w:tab/>
      </w:r>
      <w:r w:rsidR="00076573" w:rsidRPr="00B10401">
        <w:rPr>
          <w:lang w:val="en-CA"/>
        </w:rPr>
        <w:t xml:space="preserve">It is these variations which form the subject matter of the dispute before the court. The </w:t>
      </w:r>
      <w:r w:rsidR="00E93836">
        <w:rPr>
          <w:lang w:val="en-CA"/>
        </w:rPr>
        <w:t>second</w:t>
      </w:r>
      <w:r w:rsidR="00E93836" w:rsidRPr="00B10401">
        <w:rPr>
          <w:lang w:val="en-CA"/>
        </w:rPr>
        <w:t xml:space="preserve"> defendant’s</w:t>
      </w:r>
      <w:r w:rsidR="00076573" w:rsidRPr="00B10401">
        <w:rPr>
          <w:lang w:val="en-CA"/>
        </w:rPr>
        <w:t xml:space="preserve"> defence, as he puts it, is that he studied journalism and not finance. Any overpayment</w:t>
      </w:r>
      <w:r w:rsidR="00FF11EC">
        <w:rPr>
          <w:lang w:val="en-CA"/>
        </w:rPr>
        <w:t xml:space="preserve"> </w:t>
      </w:r>
      <w:r w:rsidR="00076573" w:rsidRPr="00B10401">
        <w:rPr>
          <w:lang w:val="en-CA"/>
        </w:rPr>
        <w:t xml:space="preserve">made </w:t>
      </w:r>
      <w:r w:rsidR="00FF11EC">
        <w:rPr>
          <w:lang w:val="en-CA"/>
        </w:rPr>
        <w:t>(</w:t>
      </w:r>
      <w:r w:rsidR="00076573" w:rsidRPr="00B10401">
        <w:rPr>
          <w:lang w:val="en-CA"/>
        </w:rPr>
        <w:t xml:space="preserve">referring to the N$ </w:t>
      </w:r>
      <w:r w:rsidR="00076573" w:rsidRPr="00B10401">
        <w:t>3,885,060.50</w:t>
      </w:r>
      <w:r w:rsidR="00FF11EC">
        <w:t>)</w:t>
      </w:r>
      <w:r w:rsidR="00076573" w:rsidRPr="00B10401">
        <w:rPr>
          <w:lang w:val="en-CA"/>
        </w:rPr>
        <w:t xml:space="preserve"> was not his responsibility as it was a mistake made by the trust to have paid this amount to </w:t>
      </w:r>
      <w:r w:rsidR="00272C98">
        <w:rPr>
          <w:lang w:val="en-CA"/>
        </w:rPr>
        <w:t xml:space="preserve">or on behalf of </w:t>
      </w:r>
      <w:r w:rsidR="00076573" w:rsidRPr="00B10401">
        <w:rPr>
          <w:lang w:val="en-CA"/>
        </w:rPr>
        <w:t xml:space="preserve">the </w:t>
      </w:r>
      <w:r w:rsidR="00E93836">
        <w:rPr>
          <w:lang w:val="en-CA"/>
        </w:rPr>
        <w:t>first</w:t>
      </w:r>
      <w:r w:rsidR="00E93836" w:rsidRPr="00B10401">
        <w:rPr>
          <w:lang w:val="en-CA"/>
        </w:rPr>
        <w:t xml:space="preserve"> defendant</w:t>
      </w:r>
      <w:r w:rsidR="008D5EA4">
        <w:rPr>
          <w:lang w:val="en-CA"/>
        </w:rPr>
        <w:t xml:space="preserve">. He argued </w:t>
      </w:r>
      <w:r w:rsidR="00083D59">
        <w:rPr>
          <w:lang w:val="en-CA"/>
        </w:rPr>
        <w:t>in the alternative</w:t>
      </w:r>
      <w:r w:rsidR="00FB1C10" w:rsidRPr="00B10401">
        <w:rPr>
          <w:lang w:val="en-CA"/>
        </w:rPr>
        <w:t xml:space="preserve"> </w:t>
      </w:r>
      <w:r w:rsidR="008D5EA4">
        <w:rPr>
          <w:lang w:val="en-CA"/>
        </w:rPr>
        <w:t xml:space="preserve">that it was </w:t>
      </w:r>
      <w:r w:rsidR="00FB1C10" w:rsidRPr="00B10401">
        <w:rPr>
          <w:lang w:val="en-CA"/>
        </w:rPr>
        <w:t xml:space="preserve">the responsibility of the </w:t>
      </w:r>
      <w:r w:rsidR="00E93836">
        <w:rPr>
          <w:lang w:val="en-CA"/>
        </w:rPr>
        <w:t>third</w:t>
      </w:r>
      <w:r w:rsidR="00E93836" w:rsidRPr="00B10401">
        <w:rPr>
          <w:lang w:val="en-CA"/>
        </w:rPr>
        <w:t xml:space="preserve"> defendant</w:t>
      </w:r>
      <w:r w:rsidR="00FB1C10" w:rsidRPr="00B10401">
        <w:rPr>
          <w:lang w:val="en-CA"/>
        </w:rPr>
        <w:t xml:space="preserve"> to pay this outstanding amount</w:t>
      </w:r>
      <w:r w:rsidR="00076573" w:rsidRPr="00B10401">
        <w:rPr>
          <w:lang w:val="en-CA"/>
        </w:rPr>
        <w:t xml:space="preserve">. </w:t>
      </w:r>
      <w:r w:rsidR="008D5EA4">
        <w:rPr>
          <w:lang w:val="en-CA"/>
        </w:rPr>
        <w:t xml:space="preserve">This point can be disposed off quickly by the fact that the plaintiff did not go out on a frolic of its own to solicit and pay these expenses. These expenses were given by the </w:t>
      </w:r>
      <w:r w:rsidR="00E93836">
        <w:rPr>
          <w:lang w:val="en-CA"/>
        </w:rPr>
        <w:t>first and</w:t>
      </w:r>
      <w:r w:rsidR="008D5EA4">
        <w:rPr>
          <w:lang w:val="en-CA"/>
        </w:rPr>
        <w:t xml:space="preserve"> </w:t>
      </w:r>
      <w:r w:rsidR="00E93836">
        <w:rPr>
          <w:lang w:val="en-CA"/>
        </w:rPr>
        <w:t>second defendants</w:t>
      </w:r>
      <w:r w:rsidR="00083D59">
        <w:rPr>
          <w:rStyle w:val="FootnoteReference"/>
          <w:lang w:val="en-CA"/>
        </w:rPr>
        <w:footnoteReference w:id="9"/>
      </w:r>
      <w:r w:rsidR="008D5EA4">
        <w:rPr>
          <w:lang w:val="en-CA"/>
        </w:rPr>
        <w:t>. Plaintiff then obliged as per the agreement and paid them</w:t>
      </w:r>
      <w:r w:rsidR="00272C98">
        <w:rPr>
          <w:rStyle w:val="FootnoteReference"/>
          <w:lang w:val="en-CA"/>
        </w:rPr>
        <w:footnoteReference w:id="10"/>
      </w:r>
      <w:r w:rsidR="008D5EA4">
        <w:rPr>
          <w:lang w:val="en-CA"/>
        </w:rPr>
        <w:t>.</w:t>
      </w:r>
    </w:p>
    <w:p w14:paraId="6578E96D" w14:textId="77777777" w:rsidR="001A6F7F" w:rsidRPr="00B10401" w:rsidRDefault="001A6F7F" w:rsidP="003B45EB">
      <w:pPr>
        <w:spacing w:after="0" w:line="360" w:lineRule="auto"/>
        <w:jc w:val="both"/>
      </w:pPr>
    </w:p>
    <w:p w14:paraId="2639B397" w14:textId="33C571AB" w:rsidR="00EA121F" w:rsidRPr="00B10401" w:rsidRDefault="00B10401" w:rsidP="003B45EB">
      <w:pPr>
        <w:spacing w:after="0" w:line="360" w:lineRule="auto"/>
        <w:jc w:val="both"/>
        <w:rPr>
          <w:lang w:val="en-CA"/>
        </w:rPr>
      </w:pPr>
      <w:r w:rsidRPr="00B10401">
        <w:lastRenderedPageBreak/>
        <w:t>[</w:t>
      </w:r>
      <w:r w:rsidR="00182FCF">
        <w:t>13</w:t>
      </w:r>
      <w:r w:rsidRPr="00B10401">
        <w:t>]</w:t>
      </w:r>
      <w:r w:rsidRPr="00B10401">
        <w:tab/>
      </w:r>
      <w:r w:rsidR="001A6F7F" w:rsidRPr="00B10401">
        <w:t>Th</w:t>
      </w:r>
      <w:r w:rsidR="00272C98">
        <w:t>e</w:t>
      </w:r>
      <w:r w:rsidR="001A6F7F" w:rsidRPr="00B10401">
        <w:t xml:space="preserve"> agreement </w:t>
      </w:r>
      <w:r w:rsidR="00272C98" w:rsidRPr="00272C98">
        <w:rPr>
          <w:i/>
          <w:iCs/>
        </w:rPr>
        <w:t>in casu</w:t>
      </w:r>
      <w:r w:rsidR="00272C98">
        <w:t xml:space="preserve"> </w:t>
      </w:r>
      <w:r w:rsidR="001A6F7F" w:rsidRPr="00B10401">
        <w:t>underwent three changes</w:t>
      </w:r>
      <w:r w:rsidR="00272C98">
        <w:t xml:space="preserve"> which were</w:t>
      </w:r>
      <w:r w:rsidR="001A6F7F" w:rsidRPr="00B10401">
        <w:t xml:space="preserve"> reduced to </w:t>
      </w:r>
      <w:r w:rsidR="009F5E9B" w:rsidRPr="00B10401">
        <w:t>writing</w:t>
      </w:r>
      <w:r w:rsidR="001A6F7F" w:rsidRPr="00B10401">
        <w:t xml:space="preserve">. </w:t>
      </w:r>
      <w:r w:rsidR="00272C98">
        <w:t>The</w:t>
      </w:r>
      <w:r w:rsidR="001A6F7F" w:rsidRPr="00B10401">
        <w:t xml:space="preserve"> plaintiff</w:t>
      </w:r>
      <w:r w:rsidR="00272C98">
        <w:t xml:space="preserve">, </w:t>
      </w:r>
      <w:r w:rsidR="00D2555E">
        <w:t xml:space="preserve">however, </w:t>
      </w:r>
      <w:r w:rsidR="00D2555E" w:rsidRPr="00B10401">
        <w:t>alleges</w:t>
      </w:r>
      <w:r w:rsidR="001A6F7F" w:rsidRPr="00B10401">
        <w:t xml:space="preserve"> that there w</w:t>
      </w:r>
      <w:r w:rsidR="008D5EA4">
        <w:t>ere</w:t>
      </w:r>
      <w:r w:rsidR="001A6F7F" w:rsidRPr="00B10401">
        <w:t xml:space="preserve"> further variations </w:t>
      </w:r>
      <w:r w:rsidR="00EA121F" w:rsidRPr="00B10401">
        <w:t xml:space="preserve">which were not reduced to writing. These variations occurred, upon the request of the </w:t>
      </w:r>
      <w:r w:rsidR="00E93836">
        <w:t>first</w:t>
      </w:r>
      <w:r w:rsidR="00E93836" w:rsidRPr="00B10401">
        <w:t xml:space="preserve"> defendant</w:t>
      </w:r>
      <w:r w:rsidR="00EA121F" w:rsidRPr="00B10401">
        <w:t xml:space="preserve"> for additional funds. The variations were recorded in writing and took place during June 2014 </w:t>
      </w:r>
      <w:r w:rsidR="00EA121F" w:rsidRPr="00B10401">
        <w:rPr>
          <w:lang w:val="en-CA"/>
        </w:rPr>
        <w:t>at Katima Mulilo</w:t>
      </w:r>
      <w:r w:rsidR="00EA121F" w:rsidRPr="00B10401">
        <w:rPr>
          <w:rStyle w:val="FootnoteReference"/>
          <w:lang w:val="en-CA"/>
        </w:rPr>
        <w:footnoteReference w:id="11"/>
      </w:r>
      <w:r w:rsidR="00EA121F" w:rsidRPr="00B10401">
        <w:rPr>
          <w:lang w:val="en-CA"/>
        </w:rPr>
        <w:t xml:space="preserve">. A further variation </w:t>
      </w:r>
      <w:r w:rsidR="009F5E9B" w:rsidRPr="00B10401">
        <w:rPr>
          <w:lang w:val="en-CA"/>
        </w:rPr>
        <w:t>occurred</w:t>
      </w:r>
      <w:r w:rsidR="00EA121F" w:rsidRPr="00B10401">
        <w:rPr>
          <w:lang w:val="en-CA"/>
        </w:rPr>
        <w:t xml:space="preserve"> during November 2014</w:t>
      </w:r>
      <w:r w:rsidR="00EA121F" w:rsidRPr="00B10401">
        <w:rPr>
          <w:rStyle w:val="FootnoteReference"/>
          <w:lang w:val="en-CA"/>
        </w:rPr>
        <w:footnoteReference w:id="12"/>
      </w:r>
      <w:r w:rsidR="00EA121F" w:rsidRPr="00B10401">
        <w:rPr>
          <w:lang w:val="en-CA"/>
        </w:rPr>
        <w:t xml:space="preserve">. The </w:t>
      </w:r>
      <w:r w:rsidR="001C3BFC">
        <w:rPr>
          <w:lang w:val="en-CA"/>
        </w:rPr>
        <w:t xml:space="preserve">third </w:t>
      </w:r>
      <w:r w:rsidR="00D2555E" w:rsidRPr="00B10401">
        <w:rPr>
          <w:lang w:val="en-CA"/>
        </w:rPr>
        <w:t>variation</w:t>
      </w:r>
      <w:r w:rsidR="00EA121F" w:rsidRPr="00B10401">
        <w:rPr>
          <w:lang w:val="en-CA"/>
        </w:rPr>
        <w:t xml:space="preserve"> reduced to writing took place March 2015 and at Windhoek</w:t>
      </w:r>
      <w:r w:rsidR="00EA121F" w:rsidRPr="00B10401">
        <w:rPr>
          <w:rStyle w:val="FootnoteReference"/>
          <w:lang w:val="en-CA"/>
        </w:rPr>
        <w:footnoteReference w:id="13"/>
      </w:r>
      <w:r w:rsidR="00EA121F" w:rsidRPr="00B10401">
        <w:rPr>
          <w:lang w:val="en-CA"/>
        </w:rPr>
        <w:t xml:space="preserve">. </w:t>
      </w:r>
    </w:p>
    <w:p w14:paraId="161E1B49" w14:textId="77777777" w:rsidR="0057448F" w:rsidRPr="00B10401" w:rsidRDefault="0057448F" w:rsidP="003B45EB">
      <w:pPr>
        <w:spacing w:after="0" w:line="360" w:lineRule="auto"/>
        <w:jc w:val="both"/>
      </w:pPr>
    </w:p>
    <w:p w14:paraId="21436092" w14:textId="76BE1330" w:rsidR="00EA121F" w:rsidRPr="00B10401" w:rsidRDefault="00B10401" w:rsidP="003B45EB">
      <w:pPr>
        <w:spacing w:after="0" w:line="360" w:lineRule="auto"/>
        <w:jc w:val="both"/>
      </w:pPr>
      <w:r w:rsidRPr="00B10401">
        <w:t>[</w:t>
      </w:r>
      <w:r w:rsidR="00182FCF">
        <w:t>14</w:t>
      </w:r>
      <w:r w:rsidRPr="00B10401">
        <w:t>]</w:t>
      </w:r>
      <w:r w:rsidRPr="00B10401">
        <w:tab/>
      </w:r>
      <w:r w:rsidR="0057448F" w:rsidRPr="00B10401">
        <w:t xml:space="preserve">In </w:t>
      </w:r>
      <w:r w:rsidR="00A502B4" w:rsidRPr="00B10401">
        <w:rPr>
          <w:lang w:val="en-CA"/>
        </w:rPr>
        <w:t>March 2015</w:t>
      </w:r>
      <w:r w:rsidR="0057448F" w:rsidRPr="00B10401">
        <w:rPr>
          <w:lang w:val="en-CA"/>
        </w:rPr>
        <w:t xml:space="preserve"> and at Windhoek, the </w:t>
      </w:r>
      <w:r w:rsidR="00E93836">
        <w:rPr>
          <w:lang w:val="en-CA"/>
        </w:rPr>
        <w:t>second</w:t>
      </w:r>
      <w:r w:rsidR="0057448F" w:rsidRPr="00B10401">
        <w:rPr>
          <w:lang w:val="en-CA"/>
        </w:rPr>
        <w:t xml:space="preserve"> defendant bound himself in writing as surety and co-principal debtor jointly and severally with the </w:t>
      </w:r>
      <w:r w:rsidR="00E93836">
        <w:rPr>
          <w:lang w:val="en-CA"/>
        </w:rPr>
        <w:t>first</w:t>
      </w:r>
      <w:r w:rsidR="0057448F" w:rsidRPr="00B10401">
        <w:rPr>
          <w:lang w:val="en-CA"/>
        </w:rPr>
        <w:t xml:space="preserve"> defendant for the due and punctual performance </w:t>
      </w:r>
      <w:r w:rsidR="0057448F" w:rsidRPr="00B10401">
        <w:rPr>
          <w:lang w:val="en-CA"/>
        </w:rPr>
        <w:lastRenderedPageBreak/>
        <w:t xml:space="preserve">on demand of all obligations of the </w:t>
      </w:r>
      <w:r w:rsidR="00E93836">
        <w:rPr>
          <w:lang w:val="en-CA"/>
        </w:rPr>
        <w:t>first</w:t>
      </w:r>
      <w:r w:rsidR="0057448F" w:rsidRPr="00B10401">
        <w:rPr>
          <w:lang w:val="en-CA"/>
        </w:rPr>
        <w:t xml:space="preserve"> defendant </w:t>
      </w:r>
      <w:r w:rsidR="009F5E9B" w:rsidRPr="00B10401">
        <w:rPr>
          <w:lang w:val="en-CA"/>
        </w:rPr>
        <w:t>owing to the T</w:t>
      </w:r>
      <w:r w:rsidR="0057448F" w:rsidRPr="00B10401">
        <w:rPr>
          <w:lang w:val="en-CA"/>
        </w:rPr>
        <w:t>rust, under and in t</w:t>
      </w:r>
      <w:r w:rsidR="009F5E9B" w:rsidRPr="00B10401">
        <w:rPr>
          <w:lang w:val="en-CA"/>
        </w:rPr>
        <w:t>erms of the facility agreement as amended</w:t>
      </w:r>
      <w:r w:rsidR="0057448F" w:rsidRPr="00B10401">
        <w:rPr>
          <w:lang w:val="en-CA"/>
        </w:rPr>
        <w:t>.</w:t>
      </w:r>
      <w:r w:rsidR="009F5E9B" w:rsidRPr="00B10401">
        <w:rPr>
          <w:rStyle w:val="FootnoteReference"/>
          <w:lang w:val="en-CA"/>
        </w:rPr>
        <w:footnoteReference w:id="14"/>
      </w:r>
      <w:r w:rsidR="0057448F" w:rsidRPr="00B10401">
        <w:rPr>
          <w:lang w:val="en-CA"/>
        </w:rPr>
        <w:t xml:space="preserve">  </w:t>
      </w:r>
    </w:p>
    <w:p w14:paraId="2E304E1D" w14:textId="0E3183A8" w:rsidR="0067192A" w:rsidRPr="00B10401" w:rsidRDefault="0067192A" w:rsidP="003B45EB">
      <w:pPr>
        <w:spacing w:after="0" w:line="360" w:lineRule="auto"/>
        <w:jc w:val="both"/>
      </w:pPr>
    </w:p>
    <w:p w14:paraId="413A8322" w14:textId="79471C31" w:rsidR="00F91886" w:rsidRPr="00B10401" w:rsidRDefault="00182FCF" w:rsidP="003B45EB">
      <w:pPr>
        <w:widowControl w:val="0"/>
        <w:spacing w:after="0" w:line="360" w:lineRule="auto"/>
        <w:jc w:val="both"/>
      </w:pPr>
      <w:r>
        <w:t>[15</w:t>
      </w:r>
      <w:r w:rsidR="0067192A" w:rsidRPr="00B10401">
        <w:t xml:space="preserve">] </w:t>
      </w:r>
      <w:r w:rsidR="00B10401" w:rsidRPr="00B10401">
        <w:tab/>
      </w:r>
      <w:r w:rsidR="00F91886" w:rsidRPr="00B10401">
        <w:t>D</w:t>
      </w:r>
      <w:r w:rsidR="00A502B4" w:rsidRPr="00B10401">
        <w:t>uring the period of March 2015</w:t>
      </w:r>
      <w:r w:rsidR="00F91886" w:rsidRPr="00B10401">
        <w:t xml:space="preserve"> to August 2015 the </w:t>
      </w:r>
      <w:r w:rsidR="00E93836">
        <w:t>second</w:t>
      </w:r>
      <w:r w:rsidR="00F91886" w:rsidRPr="00B10401">
        <w:t xml:space="preserve"> defendant, for and on behalf of the </w:t>
      </w:r>
      <w:r w:rsidR="00E93836">
        <w:t>first</w:t>
      </w:r>
      <w:r w:rsidR="00F91886" w:rsidRPr="00B10401">
        <w:t xml:space="preserve"> defendant, provided the Trust</w:t>
      </w:r>
      <w:r w:rsidR="0027315D">
        <w:t>,</w:t>
      </w:r>
      <w:r w:rsidR="00F91886" w:rsidRPr="00B10401">
        <w:t xml:space="preserve"> pro-forma invoices and quotations for suppliers of building materials and requisition applications for expenses in respect of the project in terms of the amended facility agreement. The Trust, in terms of the amended facility agreement paid a total amount of N$ 8,153,164.51 to and on behalf of the </w:t>
      </w:r>
      <w:r w:rsidR="00E93836">
        <w:t>first</w:t>
      </w:r>
      <w:r w:rsidR="00E93836" w:rsidRPr="00B10401">
        <w:t xml:space="preserve"> defendant</w:t>
      </w:r>
      <w:r w:rsidR="00F91886" w:rsidRPr="00B10401">
        <w:t>. Copies of all the relevant document in regard to the payments made by the Trust w</w:t>
      </w:r>
      <w:r w:rsidR="008D5EA4">
        <w:t>ere</w:t>
      </w:r>
      <w:r w:rsidR="00F91886" w:rsidRPr="00B10401">
        <w:t xml:space="preserve"> </w:t>
      </w:r>
      <w:r w:rsidR="008D5EA4">
        <w:t>received</w:t>
      </w:r>
      <w:r w:rsidR="00F91886" w:rsidRPr="00B10401">
        <w:t xml:space="preserve"> as exhibits. </w:t>
      </w:r>
    </w:p>
    <w:p w14:paraId="7043DEF3" w14:textId="75D32B8C" w:rsidR="0067192A" w:rsidRPr="00B10401" w:rsidRDefault="0067192A" w:rsidP="003B45EB">
      <w:pPr>
        <w:spacing w:after="0" w:line="360" w:lineRule="auto"/>
        <w:jc w:val="both"/>
      </w:pPr>
    </w:p>
    <w:p w14:paraId="23A1CE68" w14:textId="7EB1F727" w:rsidR="00F91886" w:rsidRPr="00B10401" w:rsidRDefault="00B10401" w:rsidP="003B45EB">
      <w:pPr>
        <w:widowControl w:val="0"/>
        <w:spacing w:after="0" w:line="360" w:lineRule="auto"/>
        <w:jc w:val="both"/>
        <w:rPr>
          <w:lang w:val="en-CA"/>
        </w:rPr>
      </w:pPr>
      <w:r w:rsidRPr="00B10401">
        <w:t>[</w:t>
      </w:r>
      <w:r w:rsidR="00182FCF">
        <w:t>16</w:t>
      </w:r>
      <w:r w:rsidRPr="00B10401">
        <w:t>]</w:t>
      </w:r>
      <w:r w:rsidRPr="00B10401">
        <w:tab/>
      </w:r>
      <w:r w:rsidR="00F91886" w:rsidRPr="00B10401">
        <w:t xml:space="preserve">The </w:t>
      </w:r>
      <w:r w:rsidR="00E93836">
        <w:t>third defendant</w:t>
      </w:r>
      <w:r w:rsidR="00272C98">
        <w:t>,</w:t>
      </w:r>
      <w:r w:rsidR="00F91886" w:rsidRPr="00B10401">
        <w:t xml:space="preserve"> in </w:t>
      </w:r>
      <w:r w:rsidR="00272C98">
        <w:t>turn,</w:t>
      </w:r>
      <w:r w:rsidR="00F91886" w:rsidRPr="00B10401">
        <w:t xml:space="preserve"> paid </w:t>
      </w:r>
      <w:r w:rsidR="008D5EA4">
        <w:t xml:space="preserve">plaintiff </w:t>
      </w:r>
      <w:r w:rsidR="00F91886" w:rsidRPr="00B10401">
        <w:t xml:space="preserve">the amount of </w:t>
      </w:r>
      <w:r w:rsidR="00F91886" w:rsidRPr="00B10401">
        <w:rPr>
          <w:lang w:val="en-CA"/>
        </w:rPr>
        <w:t xml:space="preserve">N$ 6,165,460.66 by or on behalf of the </w:t>
      </w:r>
      <w:r w:rsidR="00E93836">
        <w:rPr>
          <w:lang w:val="en-CA"/>
        </w:rPr>
        <w:t>first</w:t>
      </w:r>
      <w:r w:rsidR="00F91886" w:rsidRPr="00B10401">
        <w:rPr>
          <w:lang w:val="en-CA"/>
        </w:rPr>
        <w:t xml:space="preserve"> defendant, leaving the balance of N$ 1</w:t>
      </w:r>
      <w:r w:rsidR="00E93836" w:rsidRPr="00B10401">
        <w:rPr>
          <w:lang w:val="en-CA"/>
        </w:rPr>
        <w:t>, 987, 703, 86</w:t>
      </w:r>
      <w:r w:rsidR="008D5EA4">
        <w:rPr>
          <w:lang w:val="en-CA"/>
        </w:rPr>
        <w:t>. This</w:t>
      </w:r>
      <w:r w:rsidR="00F91886" w:rsidRPr="00B10401">
        <w:rPr>
          <w:lang w:val="en-CA"/>
        </w:rPr>
        <w:t xml:space="preserve"> </w:t>
      </w:r>
      <w:r w:rsidR="008D5EA4">
        <w:rPr>
          <w:lang w:val="en-CA"/>
        </w:rPr>
        <w:t>capital amount</w:t>
      </w:r>
      <w:r w:rsidR="00F91886" w:rsidRPr="00B10401">
        <w:rPr>
          <w:lang w:val="en-CA"/>
        </w:rPr>
        <w:t xml:space="preserve">, together with further interest, the further finance margin, tracing costs and the fee for the performance guarantee, as </w:t>
      </w:r>
      <w:r w:rsidR="00F91886" w:rsidRPr="00B10401">
        <w:rPr>
          <w:lang w:val="en-CA"/>
        </w:rPr>
        <w:lastRenderedPageBreak/>
        <w:t xml:space="preserve">agreed, </w:t>
      </w:r>
      <w:r w:rsidR="008D5EA4">
        <w:rPr>
          <w:lang w:val="en-CA"/>
        </w:rPr>
        <w:t xml:space="preserve">translate to the </w:t>
      </w:r>
      <w:r w:rsidR="00F91886" w:rsidRPr="00B10401">
        <w:rPr>
          <w:lang w:val="en-CA"/>
        </w:rPr>
        <w:t xml:space="preserve">total sum of N$ </w:t>
      </w:r>
      <w:r w:rsidR="00F91886" w:rsidRPr="00B10401">
        <w:t>3,885,060.50</w:t>
      </w:r>
      <w:r w:rsidR="00F91886" w:rsidRPr="00B10401">
        <w:rPr>
          <w:lang w:val="en-CA"/>
        </w:rPr>
        <w:t>, due, owing and payable.</w:t>
      </w:r>
    </w:p>
    <w:p w14:paraId="01BCF717" w14:textId="77777777" w:rsidR="00FB1C10" w:rsidRPr="00B10401" w:rsidRDefault="00FB1C10" w:rsidP="003B45EB">
      <w:pPr>
        <w:widowControl w:val="0"/>
        <w:spacing w:after="0" w:line="360" w:lineRule="auto"/>
        <w:jc w:val="both"/>
        <w:rPr>
          <w:lang w:val="en-CA"/>
        </w:rPr>
      </w:pPr>
    </w:p>
    <w:p w14:paraId="118E8EEC" w14:textId="0946A98A" w:rsidR="00DB2CFD" w:rsidRPr="001E6722" w:rsidRDefault="00B10401" w:rsidP="003B45EB">
      <w:pPr>
        <w:widowControl w:val="0"/>
        <w:spacing w:after="0" w:line="360" w:lineRule="auto"/>
        <w:jc w:val="both"/>
        <w:rPr>
          <w:lang w:val="en-CA"/>
        </w:rPr>
      </w:pPr>
      <w:r w:rsidRPr="001E6722">
        <w:rPr>
          <w:lang w:val="en-CA"/>
        </w:rPr>
        <w:t>[</w:t>
      </w:r>
      <w:r w:rsidR="00182FCF" w:rsidRPr="001E6722">
        <w:rPr>
          <w:lang w:val="en-CA"/>
        </w:rPr>
        <w:t>17</w:t>
      </w:r>
      <w:r w:rsidRPr="001E6722">
        <w:rPr>
          <w:lang w:val="en-CA"/>
        </w:rPr>
        <w:t>]</w:t>
      </w:r>
      <w:r w:rsidRPr="001E6722">
        <w:rPr>
          <w:lang w:val="en-CA"/>
        </w:rPr>
        <w:tab/>
      </w:r>
      <w:r w:rsidR="00DB2CFD" w:rsidRPr="001E6722">
        <w:rPr>
          <w:lang w:val="en-CA"/>
        </w:rPr>
        <w:t xml:space="preserve">The defence by the </w:t>
      </w:r>
      <w:r w:rsidR="00E93836">
        <w:rPr>
          <w:lang w:val="en-CA"/>
        </w:rPr>
        <w:t>first</w:t>
      </w:r>
      <w:r w:rsidR="00E93836" w:rsidRPr="001E6722">
        <w:rPr>
          <w:lang w:val="en-CA"/>
        </w:rPr>
        <w:t xml:space="preserve"> and</w:t>
      </w:r>
      <w:r w:rsidR="00DB2CFD" w:rsidRPr="001E6722">
        <w:rPr>
          <w:lang w:val="en-CA"/>
        </w:rPr>
        <w:t xml:space="preserve"> </w:t>
      </w:r>
      <w:r w:rsidR="00E93836">
        <w:rPr>
          <w:lang w:val="en-CA"/>
        </w:rPr>
        <w:t>second</w:t>
      </w:r>
      <w:r w:rsidR="00E93836" w:rsidRPr="001E6722">
        <w:rPr>
          <w:lang w:val="en-CA"/>
        </w:rPr>
        <w:t xml:space="preserve"> defendants</w:t>
      </w:r>
      <w:r w:rsidR="001E6722" w:rsidRPr="001E6722">
        <w:rPr>
          <w:lang w:val="en-CA"/>
        </w:rPr>
        <w:t xml:space="preserve"> </w:t>
      </w:r>
      <w:r w:rsidR="0027315D">
        <w:rPr>
          <w:lang w:val="en-CA"/>
        </w:rPr>
        <w:t>are,</w:t>
      </w:r>
      <w:r w:rsidR="00D2555E">
        <w:rPr>
          <w:lang w:val="en-CA"/>
        </w:rPr>
        <w:t xml:space="preserve"> </w:t>
      </w:r>
      <w:r w:rsidR="00DB2CFD" w:rsidRPr="001E6722">
        <w:rPr>
          <w:lang w:val="en-CA"/>
        </w:rPr>
        <w:t xml:space="preserve">not only </w:t>
      </w:r>
      <w:r w:rsidR="008D5EA4" w:rsidRPr="001E6722">
        <w:rPr>
          <w:lang w:val="en-CA"/>
        </w:rPr>
        <w:t xml:space="preserve">that </w:t>
      </w:r>
      <w:r w:rsidR="00DB2CFD" w:rsidRPr="001E6722">
        <w:rPr>
          <w:lang w:val="en-CA"/>
        </w:rPr>
        <w:t xml:space="preserve">it </w:t>
      </w:r>
      <w:r w:rsidR="008D5EA4" w:rsidRPr="001E6722">
        <w:rPr>
          <w:lang w:val="en-CA"/>
        </w:rPr>
        <w:t xml:space="preserve">was </w:t>
      </w:r>
      <w:r w:rsidR="0027315D">
        <w:rPr>
          <w:lang w:val="en-CA"/>
        </w:rPr>
        <w:t>the mistake of the T</w:t>
      </w:r>
      <w:r w:rsidR="00DB2CFD" w:rsidRPr="001E6722">
        <w:rPr>
          <w:lang w:val="en-CA"/>
        </w:rPr>
        <w:t xml:space="preserve">rust to have paid out such </w:t>
      </w:r>
      <w:r w:rsidR="001E6722">
        <w:rPr>
          <w:lang w:val="en-CA"/>
        </w:rPr>
        <w:t xml:space="preserve">extra </w:t>
      </w:r>
      <w:r w:rsidR="00DB2CFD" w:rsidRPr="001E6722">
        <w:rPr>
          <w:lang w:val="en-CA"/>
        </w:rPr>
        <w:t>amount</w:t>
      </w:r>
      <w:r w:rsidR="001E6722">
        <w:rPr>
          <w:lang w:val="en-CA"/>
        </w:rPr>
        <w:t>s</w:t>
      </w:r>
      <w:r w:rsidR="008D5EA4" w:rsidRPr="001E6722">
        <w:rPr>
          <w:lang w:val="en-CA"/>
        </w:rPr>
        <w:t xml:space="preserve">. </w:t>
      </w:r>
      <w:r w:rsidR="00DB2CFD" w:rsidRPr="001E6722">
        <w:rPr>
          <w:lang w:val="en-CA"/>
        </w:rPr>
        <w:t xml:space="preserve"> </w:t>
      </w:r>
      <w:r w:rsidR="008D5EA4" w:rsidRPr="001E6722">
        <w:rPr>
          <w:lang w:val="en-CA"/>
        </w:rPr>
        <w:t>T</w:t>
      </w:r>
      <w:r w:rsidR="00DB2CFD" w:rsidRPr="001E6722">
        <w:rPr>
          <w:lang w:val="en-CA"/>
        </w:rPr>
        <w:t>he agreement itself</w:t>
      </w:r>
      <w:r w:rsidR="001E6722">
        <w:rPr>
          <w:lang w:val="en-CA"/>
        </w:rPr>
        <w:t>, the argument goes,</w:t>
      </w:r>
      <w:r w:rsidR="00DB2CFD" w:rsidRPr="001E6722">
        <w:rPr>
          <w:lang w:val="en-CA"/>
        </w:rPr>
        <w:t xml:space="preserve"> embodies a non-variation clause </w:t>
      </w:r>
      <w:r w:rsidR="008D5EA4" w:rsidRPr="001E6722">
        <w:rPr>
          <w:lang w:val="en-CA"/>
        </w:rPr>
        <w:t>which required</w:t>
      </w:r>
      <w:r w:rsidR="00DB2CFD" w:rsidRPr="001E6722">
        <w:rPr>
          <w:lang w:val="en-CA"/>
        </w:rPr>
        <w:t xml:space="preserve"> that all variation must be in writing.</w:t>
      </w:r>
      <w:r w:rsidR="001E6722">
        <w:rPr>
          <w:lang w:val="en-CA"/>
        </w:rPr>
        <w:t xml:space="preserve"> If a variation is not in writing and yet the plaintiff performed, then the plaintiff only has itself to blame, goes the argument.</w:t>
      </w:r>
    </w:p>
    <w:p w14:paraId="250DBF0A" w14:textId="77777777" w:rsidR="00DB2CFD" w:rsidRPr="00B10401" w:rsidRDefault="00DB2CFD" w:rsidP="003B45EB">
      <w:pPr>
        <w:widowControl w:val="0"/>
        <w:spacing w:after="0" w:line="360" w:lineRule="auto"/>
        <w:jc w:val="both"/>
        <w:rPr>
          <w:lang w:val="en-CA"/>
        </w:rPr>
      </w:pPr>
    </w:p>
    <w:p w14:paraId="495FD66A" w14:textId="7CB18F07" w:rsidR="00FB1C10" w:rsidRPr="00B10401" w:rsidRDefault="00FB1C10" w:rsidP="003B45EB">
      <w:pPr>
        <w:widowControl w:val="0"/>
        <w:spacing w:after="0" w:line="360" w:lineRule="auto"/>
        <w:jc w:val="both"/>
        <w:rPr>
          <w:u w:val="single"/>
        </w:rPr>
      </w:pPr>
      <w:r w:rsidRPr="00B10401">
        <w:rPr>
          <w:u w:val="single"/>
          <w:lang w:val="en-CA"/>
        </w:rPr>
        <w:t>ISSUES</w:t>
      </w:r>
    </w:p>
    <w:p w14:paraId="091497E0" w14:textId="77777777" w:rsidR="00FB1C10" w:rsidRPr="00B10401" w:rsidRDefault="00FB1C10" w:rsidP="003B45EB">
      <w:pPr>
        <w:spacing w:after="0" w:line="360" w:lineRule="auto"/>
        <w:jc w:val="both"/>
      </w:pPr>
    </w:p>
    <w:p w14:paraId="5FC5E9B4" w14:textId="31A17A8B" w:rsidR="00FB1C10" w:rsidRPr="00B10401" w:rsidRDefault="00B10401" w:rsidP="003B45EB">
      <w:pPr>
        <w:spacing w:after="0" w:line="360" w:lineRule="auto"/>
        <w:jc w:val="both"/>
      </w:pPr>
      <w:r w:rsidRPr="00B10401">
        <w:t>[</w:t>
      </w:r>
      <w:r w:rsidR="00182FCF">
        <w:t>1</w:t>
      </w:r>
      <w:r w:rsidR="001E6722">
        <w:t>8</w:t>
      </w:r>
      <w:r w:rsidRPr="00B10401">
        <w:t>]</w:t>
      </w:r>
      <w:r w:rsidRPr="00B10401">
        <w:tab/>
      </w:r>
      <w:r w:rsidR="00FB1C10" w:rsidRPr="00B10401">
        <w:t xml:space="preserve">The </w:t>
      </w:r>
      <w:r w:rsidR="008D5EA4">
        <w:t>legal issues for decision are the following:</w:t>
      </w:r>
    </w:p>
    <w:p w14:paraId="0232BC8C" w14:textId="77777777" w:rsidR="00FB1C10" w:rsidRPr="00B10401" w:rsidRDefault="00FB1C10" w:rsidP="003B45EB">
      <w:pPr>
        <w:spacing w:after="0" w:line="360" w:lineRule="auto"/>
        <w:jc w:val="both"/>
      </w:pPr>
    </w:p>
    <w:p w14:paraId="76133294" w14:textId="357F12A2" w:rsidR="00FB1C10" w:rsidRPr="00B10401" w:rsidRDefault="00FB1C10" w:rsidP="003B45EB">
      <w:pPr>
        <w:pStyle w:val="ListParagraph"/>
        <w:numPr>
          <w:ilvl w:val="0"/>
          <w:numId w:val="27"/>
        </w:numPr>
        <w:spacing w:after="0" w:line="360" w:lineRule="auto"/>
        <w:jc w:val="both"/>
      </w:pPr>
      <w:r w:rsidRPr="00B10401">
        <w:t>Was there a binding agreement and who the parties are thereto</w:t>
      </w:r>
      <w:r w:rsidR="001E6722">
        <w:t>? The duty to perform will ultimately lie with the parties.</w:t>
      </w:r>
    </w:p>
    <w:p w14:paraId="683D1180" w14:textId="7CA245F1" w:rsidR="00FB1C10" w:rsidRDefault="00FB1C10" w:rsidP="003B45EB">
      <w:pPr>
        <w:pStyle w:val="ListParagraph"/>
        <w:numPr>
          <w:ilvl w:val="0"/>
          <w:numId w:val="27"/>
        </w:numPr>
        <w:spacing w:after="0" w:line="360" w:lineRule="auto"/>
        <w:jc w:val="both"/>
      </w:pPr>
      <w:r w:rsidRPr="00B10401">
        <w:t>In the alternative, did the parties conduct themselves in a manner giving r</w:t>
      </w:r>
      <w:r w:rsidR="009165CC" w:rsidRPr="00B10401">
        <w:t xml:space="preserve">ise to a binding contract or a variation </w:t>
      </w:r>
      <w:r w:rsidR="001E6722">
        <w:t>thereof</w:t>
      </w:r>
      <w:r w:rsidR="009165CC" w:rsidRPr="00B10401">
        <w:t>?</w:t>
      </w:r>
      <w:r w:rsidRPr="00B10401">
        <w:t xml:space="preserve"> </w:t>
      </w:r>
    </w:p>
    <w:p w14:paraId="3AA6AC23" w14:textId="037C2B19" w:rsidR="001E6722" w:rsidRDefault="001E6722" w:rsidP="003B45EB">
      <w:pPr>
        <w:pStyle w:val="ListParagraph"/>
        <w:numPr>
          <w:ilvl w:val="0"/>
          <w:numId w:val="27"/>
        </w:numPr>
        <w:spacing w:after="0" w:line="360" w:lineRule="auto"/>
        <w:jc w:val="both"/>
      </w:pPr>
      <w:r>
        <w:lastRenderedPageBreak/>
        <w:t xml:space="preserve">Did the plaintiff perform as per the agreement such that it is entitled to counter-performance by the </w:t>
      </w:r>
      <w:r w:rsidR="00E93836">
        <w:t>first and</w:t>
      </w:r>
      <w:r>
        <w:t xml:space="preserve"> </w:t>
      </w:r>
      <w:r w:rsidR="00E93836">
        <w:t>second defendants</w:t>
      </w:r>
      <w:r>
        <w:t>?</w:t>
      </w:r>
    </w:p>
    <w:p w14:paraId="09FCCFAC" w14:textId="6663F0A0" w:rsidR="00FB1C10" w:rsidRPr="00B10401" w:rsidRDefault="001E6722" w:rsidP="003B45EB">
      <w:pPr>
        <w:pStyle w:val="ListParagraph"/>
        <w:numPr>
          <w:ilvl w:val="0"/>
          <w:numId w:val="27"/>
        </w:numPr>
        <w:spacing w:after="0" w:line="360" w:lineRule="auto"/>
        <w:jc w:val="both"/>
      </w:pPr>
      <w:r>
        <w:t>Does</w:t>
      </w:r>
      <w:r w:rsidR="00182FCF">
        <w:t xml:space="preserve"> a non-variation clause</w:t>
      </w:r>
      <w:r>
        <w:t xml:space="preserve"> apply strictly so as to deprive a party who has performed of counter-performance by the other party</w:t>
      </w:r>
      <w:r w:rsidR="00182FCF">
        <w:t xml:space="preserve">? </w:t>
      </w:r>
    </w:p>
    <w:p w14:paraId="726E9E33" w14:textId="77777777" w:rsidR="00FB1C10" w:rsidRPr="00B10401" w:rsidRDefault="00FB1C10" w:rsidP="003B45EB">
      <w:pPr>
        <w:spacing w:after="0" w:line="360" w:lineRule="auto"/>
        <w:jc w:val="both"/>
      </w:pPr>
    </w:p>
    <w:p w14:paraId="163BD0EF" w14:textId="77777777" w:rsidR="00E21D76" w:rsidRDefault="00E21D76" w:rsidP="003B45EB">
      <w:pPr>
        <w:tabs>
          <w:tab w:val="left" w:pos="709"/>
        </w:tabs>
        <w:spacing w:after="0" w:line="360" w:lineRule="auto"/>
        <w:jc w:val="both"/>
        <w:rPr>
          <w:u w:val="single"/>
          <w:lang w:val="af-ZA"/>
        </w:rPr>
      </w:pPr>
    </w:p>
    <w:p w14:paraId="1BBCB641" w14:textId="379730B0" w:rsidR="001B1A20" w:rsidRPr="00B10401" w:rsidRDefault="001B1A20" w:rsidP="003B45EB">
      <w:pPr>
        <w:tabs>
          <w:tab w:val="left" w:pos="709"/>
        </w:tabs>
        <w:spacing w:after="0" w:line="360" w:lineRule="auto"/>
        <w:jc w:val="both"/>
        <w:rPr>
          <w:u w:val="single"/>
          <w:lang w:val="af-ZA"/>
        </w:rPr>
      </w:pPr>
      <w:r w:rsidRPr="00B10401">
        <w:rPr>
          <w:u w:val="single"/>
          <w:lang w:val="af-ZA"/>
        </w:rPr>
        <w:t>The Law</w:t>
      </w:r>
    </w:p>
    <w:p w14:paraId="08BD8449" w14:textId="77777777" w:rsidR="00AA6818" w:rsidRPr="00B10401" w:rsidRDefault="00AA6818" w:rsidP="003B45EB">
      <w:pPr>
        <w:tabs>
          <w:tab w:val="left" w:pos="709"/>
        </w:tabs>
        <w:spacing w:after="0" w:line="360" w:lineRule="auto"/>
        <w:jc w:val="both"/>
      </w:pPr>
    </w:p>
    <w:p w14:paraId="25C4EBC3" w14:textId="2C60A2D5" w:rsidR="00AA6818" w:rsidRDefault="00182FCF" w:rsidP="003B45EB">
      <w:pPr>
        <w:spacing w:after="0" w:line="360" w:lineRule="auto"/>
        <w:jc w:val="both"/>
      </w:pPr>
      <w:r>
        <w:t>[</w:t>
      </w:r>
      <w:r w:rsidR="001E6722">
        <w:t>19</w:t>
      </w:r>
      <w:r>
        <w:t>]</w:t>
      </w:r>
      <w:r>
        <w:tab/>
      </w:r>
      <w:r w:rsidR="00AA6818" w:rsidRPr="00B10401">
        <w:t xml:space="preserve">Christie’s </w:t>
      </w:r>
      <w:r w:rsidR="00AA6818" w:rsidRPr="00B10401">
        <w:rPr>
          <w:i/>
        </w:rPr>
        <w:t>The law of contract in South Africa</w:t>
      </w:r>
      <w:r w:rsidR="00AA6818" w:rsidRPr="00B10401">
        <w:t xml:space="preserve"> (6</w:t>
      </w:r>
      <w:r w:rsidR="00AA6818" w:rsidRPr="00B10401">
        <w:rPr>
          <w:vertAlign w:val="superscript"/>
        </w:rPr>
        <w:t>th</w:t>
      </w:r>
      <w:r w:rsidR="00AA6818" w:rsidRPr="00B10401">
        <w:t xml:space="preserve"> ed)</w:t>
      </w:r>
      <w:r w:rsidR="001E6722">
        <w:t xml:space="preserve"> </w:t>
      </w:r>
      <w:r w:rsidR="00D2555E">
        <w:t xml:space="preserve">at </w:t>
      </w:r>
      <w:r w:rsidR="00D2555E" w:rsidRPr="00B10401">
        <w:t>p.</w:t>
      </w:r>
      <w:r w:rsidR="00AA6818" w:rsidRPr="00B10401">
        <w:t xml:space="preserve"> 464 </w:t>
      </w:r>
      <w:r w:rsidR="001E6722">
        <w:t>opines that</w:t>
      </w:r>
      <w:r w:rsidR="00AA6818" w:rsidRPr="00B10401">
        <w:t>:</w:t>
      </w:r>
    </w:p>
    <w:p w14:paraId="1253A0B8" w14:textId="77777777" w:rsidR="00374B14" w:rsidRPr="00B10401" w:rsidRDefault="00374B14" w:rsidP="003B45EB">
      <w:pPr>
        <w:spacing w:after="0" w:line="360" w:lineRule="auto"/>
        <w:jc w:val="both"/>
      </w:pPr>
    </w:p>
    <w:p w14:paraId="0E954F37" w14:textId="1CD02204" w:rsidR="00AA6818" w:rsidRPr="00182FCF" w:rsidRDefault="00AA6818" w:rsidP="003B45EB">
      <w:pPr>
        <w:spacing w:after="0" w:line="360" w:lineRule="auto"/>
        <w:ind w:firstLine="720"/>
        <w:jc w:val="both"/>
        <w:rPr>
          <w:sz w:val="22"/>
          <w:szCs w:val="22"/>
        </w:rPr>
      </w:pPr>
      <w:r w:rsidRPr="00182FCF">
        <w:rPr>
          <w:sz w:val="22"/>
          <w:szCs w:val="22"/>
        </w:rPr>
        <w:t xml:space="preserve">‘When a non-variation clause appears in a contract it creates a situation in which the same argument of freedom of contract or </w:t>
      </w:r>
      <w:r w:rsidRPr="00182FCF">
        <w:rPr>
          <w:i/>
          <w:sz w:val="22"/>
          <w:szCs w:val="22"/>
        </w:rPr>
        <w:t>pacta sunt servanda</w:t>
      </w:r>
      <w:r w:rsidRPr="00182FCF">
        <w:rPr>
          <w:sz w:val="22"/>
          <w:szCs w:val="22"/>
        </w:rPr>
        <w:t xml:space="preserve"> can lead to two opposite conclusions.  It can be argued that the original contract must be respected and a subsequent agreement that is not in writing must be ignored.  Or it can be argued that the subsequent agreement, made </w:t>
      </w:r>
      <w:r w:rsidRPr="00182FCF">
        <w:rPr>
          <w:i/>
          <w:sz w:val="22"/>
          <w:szCs w:val="22"/>
        </w:rPr>
        <w:t>animo contrahendi</w:t>
      </w:r>
      <w:r w:rsidRPr="00182FCF">
        <w:rPr>
          <w:sz w:val="22"/>
          <w:szCs w:val="22"/>
        </w:rPr>
        <w:t xml:space="preserve">, must be respected and the non-variation clause ignored.  After some controversy the Appellate Division chose the former of these two irreconcilable views in </w:t>
      </w:r>
      <w:r w:rsidRPr="00182FCF">
        <w:rPr>
          <w:i/>
          <w:sz w:val="22"/>
          <w:szCs w:val="22"/>
        </w:rPr>
        <w:t>SA Sentrale Ko-op Graanmpy Bpk v Shifren</w:t>
      </w:r>
      <w:r w:rsidRPr="00182FCF">
        <w:rPr>
          <w:sz w:val="22"/>
          <w:szCs w:val="22"/>
        </w:rPr>
        <w:t xml:space="preserve"> 1964 4 SA 760 (A), and </w:t>
      </w:r>
      <w:r w:rsidRPr="00182FCF">
        <w:rPr>
          <w:i/>
          <w:sz w:val="22"/>
          <w:szCs w:val="22"/>
        </w:rPr>
        <w:t>Shifren</w:t>
      </w:r>
      <w:r w:rsidRPr="00182FCF">
        <w:rPr>
          <w:sz w:val="22"/>
          <w:szCs w:val="22"/>
        </w:rPr>
        <w:t xml:space="preserve"> was </w:t>
      </w:r>
      <w:r w:rsidRPr="00182FCF">
        <w:rPr>
          <w:sz w:val="22"/>
          <w:szCs w:val="22"/>
        </w:rPr>
        <w:lastRenderedPageBreak/>
        <w:t xml:space="preserve">confirmed after full argument in </w:t>
      </w:r>
      <w:r w:rsidRPr="00182FCF">
        <w:rPr>
          <w:i/>
          <w:sz w:val="22"/>
          <w:szCs w:val="22"/>
        </w:rPr>
        <w:t>Brisley v Drotsky</w:t>
      </w:r>
      <w:r w:rsidRPr="00182FCF">
        <w:rPr>
          <w:sz w:val="22"/>
          <w:szCs w:val="22"/>
        </w:rPr>
        <w:t xml:space="preserve"> 2002 4 SA 1 (SCA). Any attempt to agree informally on a topic covered by a non-variation clause (including cancellation, and an extension of time for payment, if covered by such a clause) or to vary informally a contract containing a non-variation clause must therefore fail.’</w:t>
      </w:r>
      <w:r w:rsidRPr="00182FCF">
        <w:rPr>
          <w:rStyle w:val="FootnoteReference"/>
          <w:sz w:val="22"/>
          <w:szCs w:val="22"/>
        </w:rPr>
        <w:footnoteReference w:id="15"/>
      </w:r>
    </w:p>
    <w:p w14:paraId="110CAD60" w14:textId="77777777" w:rsidR="00AA6818" w:rsidRPr="00B10401" w:rsidRDefault="00AA6818" w:rsidP="003B45EB">
      <w:pPr>
        <w:spacing w:after="0" w:line="360" w:lineRule="auto"/>
        <w:jc w:val="both"/>
      </w:pPr>
    </w:p>
    <w:p w14:paraId="43474F4C" w14:textId="06518577" w:rsidR="0002528F" w:rsidRDefault="00182FCF" w:rsidP="003B45EB">
      <w:pPr>
        <w:spacing w:after="0" w:line="360" w:lineRule="auto"/>
        <w:jc w:val="both"/>
      </w:pPr>
      <w:r>
        <w:t>[2</w:t>
      </w:r>
      <w:r w:rsidR="001E6722">
        <w:t>0</w:t>
      </w:r>
      <w:r>
        <w:t>]</w:t>
      </w:r>
      <w:r>
        <w:tab/>
      </w:r>
      <w:r w:rsidR="006F270D">
        <w:t>This test is, however,</w:t>
      </w:r>
      <w:r w:rsidR="0002528F" w:rsidRPr="00B10401">
        <w:t xml:space="preserve"> subject to exceptions. Principles such as public policy, fraud come into play and the circumstances surrounding whether conduct is indeed a variation or not.  </w:t>
      </w:r>
    </w:p>
    <w:p w14:paraId="07D3AB95" w14:textId="77777777" w:rsidR="00F61E2C" w:rsidRDefault="00F61E2C" w:rsidP="003B45EB">
      <w:pPr>
        <w:spacing w:after="0" w:line="360" w:lineRule="auto"/>
        <w:jc w:val="both"/>
      </w:pPr>
    </w:p>
    <w:p w14:paraId="034F9172" w14:textId="23130983" w:rsidR="00F61E2C" w:rsidRDefault="00182FCF" w:rsidP="00F61E2C">
      <w:pPr>
        <w:jc w:val="both"/>
      </w:pPr>
      <w:r w:rsidRPr="00182FCF">
        <w:t>[2</w:t>
      </w:r>
      <w:r w:rsidR="001E6722">
        <w:t>1</w:t>
      </w:r>
      <w:r w:rsidRPr="00182FCF">
        <w:t>]</w:t>
      </w:r>
      <w:r>
        <w:rPr>
          <w:i/>
        </w:rPr>
        <w:tab/>
      </w:r>
      <w:r w:rsidR="00F61E2C">
        <w:rPr>
          <w:i/>
        </w:rPr>
        <w:t xml:space="preserve">In the </w:t>
      </w:r>
      <w:r w:rsidR="00F61E2C" w:rsidRPr="00D13B52">
        <w:rPr>
          <w:i/>
        </w:rPr>
        <w:t>Brisley v Drotsky,</w:t>
      </w:r>
      <w:r w:rsidR="00F61E2C">
        <w:rPr>
          <w:rStyle w:val="FootnoteReference"/>
          <w:i/>
        </w:rPr>
        <w:footnoteReference w:id="16"/>
      </w:r>
      <w:r w:rsidR="00F61E2C" w:rsidRPr="00D13B52">
        <w:rPr>
          <w:i/>
        </w:rPr>
        <w:t xml:space="preserve"> supra</w:t>
      </w:r>
      <w:r w:rsidR="00F61E2C">
        <w:t xml:space="preserve"> </w:t>
      </w:r>
    </w:p>
    <w:p w14:paraId="1E8B6C14" w14:textId="77BDEFC7" w:rsidR="00F61E2C" w:rsidRPr="007266E1" w:rsidRDefault="00F61E2C" w:rsidP="00043F71">
      <w:pPr>
        <w:spacing w:after="0" w:line="360" w:lineRule="auto"/>
        <w:ind w:firstLine="720"/>
        <w:jc w:val="both"/>
        <w:rPr>
          <w:sz w:val="22"/>
          <w:szCs w:val="22"/>
        </w:rPr>
      </w:pPr>
      <w:r w:rsidRPr="007266E1">
        <w:rPr>
          <w:sz w:val="22"/>
          <w:szCs w:val="22"/>
        </w:rPr>
        <w:t>‘The jurisprudence of this Court has already established that, in addition to the fraud exception, there may be circumstances in which an agreement, unobjectionable in itself, will not be enforced because the object it seeks to achieve is contrary to public policy.’</w:t>
      </w:r>
      <w:r>
        <w:rPr>
          <w:sz w:val="22"/>
          <w:szCs w:val="22"/>
        </w:rPr>
        <w:t xml:space="preserve"> </w:t>
      </w:r>
    </w:p>
    <w:p w14:paraId="43CFB790" w14:textId="77777777" w:rsidR="00F61E2C" w:rsidRPr="00B10401" w:rsidRDefault="00F61E2C" w:rsidP="003B45EB">
      <w:pPr>
        <w:spacing w:after="0" w:line="360" w:lineRule="auto"/>
        <w:jc w:val="both"/>
      </w:pPr>
    </w:p>
    <w:p w14:paraId="1832E5A1" w14:textId="219D7287" w:rsidR="0002528F" w:rsidRPr="00B10401" w:rsidRDefault="00043F71" w:rsidP="003B45EB">
      <w:pPr>
        <w:spacing w:after="0" w:line="360" w:lineRule="auto"/>
        <w:contextualSpacing/>
        <w:jc w:val="both"/>
        <w:rPr>
          <w:lang w:val="en-ZA"/>
        </w:rPr>
      </w:pPr>
      <w:r>
        <w:rPr>
          <w:lang w:val="en-ZA"/>
        </w:rPr>
        <w:lastRenderedPageBreak/>
        <w:t>[2</w:t>
      </w:r>
      <w:r w:rsidR="00EC1BD9">
        <w:rPr>
          <w:lang w:val="en-ZA"/>
        </w:rPr>
        <w:t>2</w:t>
      </w:r>
      <w:r>
        <w:rPr>
          <w:lang w:val="en-ZA"/>
        </w:rPr>
        <w:t>]</w:t>
      </w:r>
      <w:r>
        <w:rPr>
          <w:lang w:val="en-ZA"/>
        </w:rPr>
        <w:tab/>
      </w:r>
      <w:r w:rsidR="0002528F" w:rsidRPr="00B10401">
        <w:rPr>
          <w:lang w:val="en-ZA"/>
        </w:rPr>
        <w:t>In the</w:t>
      </w:r>
      <w:r w:rsidR="00374B14">
        <w:rPr>
          <w:lang w:val="en-ZA"/>
        </w:rPr>
        <w:t xml:space="preserve"> matter of</w:t>
      </w:r>
      <w:r w:rsidR="0002528F" w:rsidRPr="00B10401">
        <w:rPr>
          <w:lang w:val="en-ZA"/>
        </w:rPr>
        <w:t xml:space="preserve"> </w:t>
      </w:r>
      <w:r w:rsidR="00374B14" w:rsidRPr="00374B14">
        <w:rPr>
          <w:i/>
        </w:rPr>
        <w:t>Kovacs Investments (Pty) Ltd v Marais</w:t>
      </w:r>
      <w:r w:rsidR="00374B14" w:rsidRPr="00043F71">
        <w:t xml:space="preserve"> </w:t>
      </w:r>
      <w:r>
        <w:rPr>
          <w:rStyle w:val="FootnoteReference"/>
          <w:lang w:val="en-ZA"/>
        </w:rPr>
        <w:footnoteReference w:id="17"/>
      </w:r>
      <w:r w:rsidR="00374B14">
        <w:t xml:space="preserve"> </w:t>
      </w:r>
      <w:r w:rsidR="0002528F" w:rsidRPr="00B10401">
        <w:rPr>
          <w:vertAlign w:val="superscript"/>
          <w:lang w:val="en-ZA"/>
        </w:rPr>
        <w:footnoteReference w:id="18"/>
      </w:r>
      <w:r w:rsidR="0002528F" w:rsidRPr="00B10401">
        <w:rPr>
          <w:lang w:val="en-ZA"/>
        </w:rPr>
        <w:t xml:space="preserve">, at paragraph 17, </w:t>
      </w:r>
      <w:r w:rsidR="00374B14">
        <w:rPr>
          <w:lang w:val="en-ZA"/>
        </w:rPr>
        <w:t xml:space="preserve">the court </w:t>
      </w:r>
      <w:r w:rsidR="0002528F" w:rsidRPr="00B10401">
        <w:rPr>
          <w:lang w:val="en-ZA"/>
        </w:rPr>
        <w:t xml:space="preserve">stated the following is said – </w:t>
      </w:r>
    </w:p>
    <w:p w14:paraId="739FFDB1" w14:textId="77777777" w:rsidR="0002528F" w:rsidRPr="00B10401" w:rsidRDefault="0002528F" w:rsidP="003B45EB">
      <w:pPr>
        <w:spacing w:after="0" w:line="360" w:lineRule="auto"/>
        <w:ind w:left="1080"/>
        <w:contextualSpacing/>
        <w:jc w:val="both"/>
        <w:rPr>
          <w:lang w:val="en-ZA"/>
        </w:rPr>
      </w:pPr>
    </w:p>
    <w:p w14:paraId="5BD475F2" w14:textId="0E5ADE0E" w:rsidR="0002528F" w:rsidRDefault="0002528F" w:rsidP="003B45EB">
      <w:pPr>
        <w:spacing w:after="0" w:line="360" w:lineRule="auto"/>
        <w:ind w:firstLine="720"/>
        <w:jc w:val="both"/>
        <w:rPr>
          <w:sz w:val="22"/>
          <w:szCs w:val="22"/>
        </w:rPr>
      </w:pPr>
      <w:r w:rsidRPr="00043F71">
        <w:rPr>
          <w:sz w:val="22"/>
          <w:szCs w:val="22"/>
        </w:rPr>
        <w:t xml:space="preserve">‘A question that could be asked, legitimately so, I think, is whether a deviation from the performance of an obligation as required by a written agreement does not amount to a variation of the contract. In </w:t>
      </w:r>
      <w:r w:rsidRPr="00374B14">
        <w:rPr>
          <w:i/>
          <w:iCs/>
          <w:sz w:val="22"/>
          <w:szCs w:val="22"/>
        </w:rPr>
        <w:t>Neethling v Klopper</w:t>
      </w:r>
      <w:r w:rsidR="00130ED9" w:rsidRPr="00043F71">
        <w:rPr>
          <w:rStyle w:val="FootnoteReference"/>
          <w:iCs/>
          <w:sz w:val="22"/>
          <w:szCs w:val="22"/>
        </w:rPr>
        <w:footnoteReference w:id="19"/>
      </w:r>
      <w:r w:rsidRPr="00043F71">
        <w:rPr>
          <w:sz w:val="22"/>
          <w:szCs w:val="22"/>
        </w:rPr>
        <w:t xml:space="preserve">  Steyn CJ reasoned that:</w:t>
      </w:r>
    </w:p>
    <w:p w14:paraId="2B5A68FD" w14:textId="77777777" w:rsidR="00043F71" w:rsidRPr="00043F71" w:rsidRDefault="00043F71" w:rsidP="003B45EB">
      <w:pPr>
        <w:spacing w:after="0" w:line="360" w:lineRule="auto"/>
        <w:ind w:firstLine="720"/>
        <w:jc w:val="both"/>
        <w:rPr>
          <w:sz w:val="22"/>
          <w:szCs w:val="22"/>
        </w:rPr>
      </w:pPr>
    </w:p>
    <w:p w14:paraId="00BDAE7E" w14:textId="6DCCC526" w:rsidR="0002528F" w:rsidRPr="00043F71" w:rsidRDefault="0002528F" w:rsidP="00043F71">
      <w:pPr>
        <w:spacing w:after="0" w:line="360" w:lineRule="auto"/>
        <w:ind w:firstLine="720"/>
        <w:jc w:val="both"/>
        <w:rPr>
          <w:sz w:val="22"/>
          <w:szCs w:val="22"/>
        </w:rPr>
      </w:pPr>
      <w:r w:rsidRPr="00043F71">
        <w:rPr>
          <w:sz w:val="22"/>
          <w:szCs w:val="22"/>
        </w:rPr>
        <w:t>“clauses (in written agreements) relating to the manner and time within which payment of the purchase price is to be made, generally fall under the category of material (wesenlike) provisions. As such, they cannot be varied or amended by oral (or tacit) agreement. But that does not mean, said the learned Chief Justice, that on a restrictive interpretation of the provision (that requires an agreement of sale of land to be in writing) no variation or amendment by consensus or oral agreement of the provisions of such clauses may be permissible.</w:t>
      </w:r>
      <w:r w:rsidRPr="00043F71">
        <w:rPr>
          <w:i/>
          <w:sz w:val="22"/>
          <w:szCs w:val="22"/>
        </w:rPr>
        <w:t xml:space="preserve"> ”</w:t>
      </w:r>
      <w:r w:rsidR="00374B14">
        <w:rPr>
          <w:i/>
          <w:sz w:val="22"/>
          <w:szCs w:val="22"/>
        </w:rPr>
        <w:t xml:space="preserve"> ’</w:t>
      </w:r>
    </w:p>
    <w:p w14:paraId="07DBC8A1" w14:textId="77777777" w:rsidR="0002528F" w:rsidRPr="00B10401" w:rsidRDefault="0002528F" w:rsidP="003B45EB">
      <w:pPr>
        <w:tabs>
          <w:tab w:val="left" w:pos="709"/>
        </w:tabs>
        <w:spacing w:after="0" w:line="360" w:lineRule="auto"/>
        <w:jc w:val="both"/>
        <w:rPr>
          <w:u w:val="single"/>
          <w:lang w:val="af-ZA"/>
        </w:rPr>
      </w:pPr>
    </w:p>
    <w:p w14:paraId="15AC8C74" w14:textId="1442108E" w:rsidR="0002528F" w:rsidRPr="00374B14" w:rsidRDefault="00043F71" w:rsidP="003B45EB">
      <w:pPr>
        <w:tabs>
          <w:tab w:val="left" w:pos="709"/>
        </w:tabs>
        <w:spacing w:after="0" w:line="360" w:lineRule="auto"/>
        <w:jc w:val="both"/>
      </w:pPr>
      <w:r w:rsidRPr="00043F71">
        <w:t>[2</w:t>
      </w:r>
      <w:r w:rsidR="00EC1BD9">
        <w:t>3</w:t>
      </w:r>
      <w:r w:rsidRPr="00043F71">
        <w:t>]</w:t>
      </w:r>
      <w:r w:rsidR="00374B14">
        <w:tab/>
        <w:t xml:space="preserve">In </w:t>
      </w:r>
      <w:r w:rsidR="0002528F" w:rsidRPr="00B10401">
        <w:rPr>
          <w:i/>
        </w:rPr>
        <w:t>Rani Traders cc &amp; 5 others v Woerman Brock &amp; Co (Pty) Ltd</w:t>
      </w:r>
      <w:r w:rsidR="0002528F" w:rsidRPr="00B10401">
        <w:rPr>
          <w:rStyle w:val="FootnoteReference"/>
          <w:i/>
        </w:rPr>
        <w:footnoteReference w:id="20"/>
      </w:r>
      <w:r w:rsidR="00374B14">
        <w:rPr>
          <w:i/>
        </w:rPr>
        <w:t xml:space="preserve"> </w:t>
      </w:r>
      <w:r w:rsidR="0002528F" w:rsidRPr="00B10401">
        <w:rPr>
          <w:i/>
        </w:rPr>
        <w:t xml:space="preserve">at para 19 </w:t>
      </w:r>
      <w:r w:rsidR="00374B14">
        <w:rPr>
          <w:i/>
        </w:rPr>
        <w:t xml:space="preserve">, </w:t>
      </w:r>
      <w:r w:rsidR="00374B14" w:rsidRPr="00374B14">
        <w:t>the court stated that</w:t>
      </w:r>
      <w:r w:rsidR="00374B14">
        <w:rPr>
          <w:i/>
        </w:rPr>
        <w:t>:</w:t>
      </w:r>
    </w:p>
    <w:p w14:paraId="1794F374" w14:textId="77777777" w:rsidR="0002528F" w:rsidRPr="00B10401" w:rsidRDefault="0002528F" w:rsidP="003B45EB">
      <w:pPr>
        <w:tabs>
          <w:tab w:val="left" w:pos="709"/>
        </w:tabs>
        <w:spacing w:after="0" w:line="360" w:lineRule="auto"/>
        <w:jc w:val="both"/>
        <w:rPr>
          <w:i/>
        </w:rPr>
      </w:pPr>
    </w:p>
    <w:p w14:paraId="484C78E7" w14:textId="30D4F719" w:rsidR="0002528F" w:rsidRPr="00B10401" w:rsidRDefault="00043F71" w:rsidP="003B45EB">
      <w:pPr>
        <w:tabs>
          <w:tab w:val="left" w:pos="709"/>
        </w:tabs>
        <w:spacing w:after="0" w:line="360" w:lineRule="auto"/>
        <w:jc w:val="both"/>
      </w:pPr>
      <w:r>
        <w:tab/>
      </w:r>
      <w:r w:rsidR="0002528F" w:rsidRPr="00B10401">
        <w:t>‘As far as the reliance on the non-variation clause is concerned, it is apparent that it does not in all cases prevent conclusions of further agreements.’</w:t>
      </w:r>
    </w:p>
    <w:p w14:paraId="2AF6E82E" w14:textId="77777777" w:rsidR="00ED1598" w:rsidRPr="00B10401" w:rsidRDefault="00ED1598" w:rsidP="003B45EB">
      <w:pPr>
        <w:tabs>
          <w:tab w:val="left" w:pos="709"/>
        </w:tabs>
        <w:spacing w:after="0" w:line="360" w:lineRule="auto"/>
        <w:jc w:val="both"/>
        <w:rPr>
          <w:u w:val="single"/>
          <w:lang w:val="af-ZA"/>
        </w:rPr>
      </w:pPr>
    </w:p>
    <w:p w14:paraId="6BCB5C2F" w14:textId="2CACB016" w:rsidR="0002528F" w:rsidRPr="00B10401" w:rsidRDefault="00043F71" w:rsidP="003B45EB">
      <w:pPr>
        <w:tabs>
          <w:tab w:val="left" w:pos="709"/>
        </w:tabs>
        <w:spacing w:after="0" w:line="360" w:lineRule="auto"/>
        <w:jc w:val="both"/>
        <w:rPr>
          <w:u w:val="single"/>
          <w:lang w:val="af-ZA"/>
        </w:rPr>
      </w:pPr>
      <w:r>
        <w:rPr>
          <w:lang w:val="af-ZA"/>
        </w:rPr>
        <w:t>[2</w:t>
      </w:r>
      <w:r w:rsidR="00EC1BD9">
        <w:rPr>
          <w:lang w:val="af-ZA"/>
        </w:rPr>
        <w:t>4</w:t>
      </w:r>
      <w:r>
        <w:rPr>
          <w:lang w:val="af-ZA"/>
        </w:rPr>
        <w:t>]</w:t>
      </w:r>
      <w:r>
        <w:rPr>
          <w:lang w:val="af-ZA"/>
        </w:rPr>
        <w:tab/>
      </w:r>
      <w:r w:rsidR="0002528F" w:rsidRPr="00B10401">
        <w:rPr>
          <w:lang w:val="af-ZA"/>
        </w:rPr>
        <w:t xml:space="preserve">Further in </w:t>
      </w:r>
      <w:r w:rsidR="0002528F" w:rsidRPr="00B10401">
        <w:rPr>
          <w:i/>
        </w:rPr>
        <w:t>Gray v Waterfront Auctioneers (Pty) Ltd and Another</w:t>
      </w:r>
      <w:r w:rsidR="00374B14">
        <w:rPr>
          <w:rStyle w:val="FootnoteReference"/>
          <w:i/>
        </w:rPr>
        <w:footnoteReference w:id="21"/>
      </w:r>
      <w:r w:rsidR="0002528F" w:rsidRPr="00B10401">
        <w:t xml:space="preserve"> the</w:t>
      </w:r>
      <w:r w:rsidR="006147A8">
        <w:t xml:space="preserve"> court stated the following</w:t>
      </w:r>
      <w:r w:rsidR="0002528F" w:rsidRPr="00B10401">
        <w:t>:</w:t>
      </w:r>
    </w:p>
    <w:p w14:paraId="739C5961" w14:textId="77777777" w:rsidR="0002528F" w:rsidRPr="007A4F23" w:rsidRDefault="0002528F" w:rsidP="003B45EB">
      <w:pPr>
        <w:spacing w:after="0" w:line="360" w:lineRule="auto"/>
        <w:jc w:val="both"/>
        <w:rPr>
          <w:sz w:val="22"/>
          <w:szCs w:val="22"/>
        </w:rPr>
      </w:pPr>
    </w:p>
    <w:p w14:paraId="3D421950" w14:textId="36D4E0A3" w:rsidR="00ED1598" w:rsidRPr="007A4F23" w:rsidRDefault="0002528F" w:rsidP="003B45EB">
      <w:pPr>
        <w:spacing w:after="0" w:line="360" w:lineRule="auto"/>
        <w:ind w:firstLine="720"/>
        <w:jc w:val="both"/>
        <w:rPr>
          <w:sz w:val="22"/>
          <w:szCs w:val="22"/>
        </w:rPr>
      </w:pPr>
      <w:r w:rsidRPr="007A4F23">
        <w:rPr>
          <w:sz w:val="22"/>
          <w:szCs w:val="22"/>
        </w:rPr>
        <w:t xml:space="preserve">‘Even if the non-variation clause had been relevant because the parties' conduct amounted to a variation of the lease, the applicant may well have been precluded from praying it in aid because, as it is put by Christie in </w:t>
      </w:r>
      <w:r w:rsidRPr="007A4F23">
        <w:rPr>
          <w:i/>
          <w:sz w:val="22"/>
          <w:szCs w:val="22"/>
        </w:rPr>
        <w:t>The Law of Contract in South Africa</w:t>
      </w:r>
      <w:r w:rsidRPr="007A4F23">
        <w:rPr>
          <w:sz w:val="22"/>
          <w:szCs w:val="22"/>
        </w:rPr>
        <w:t xml:space="preserve"> </w:t>
      </w:r>
      <w:r w:rsidR="00E93836">
        <w:rPr>
          <w:sz w:val="22"/>
          <w:szCs w:val="22"/>
        </w:rPr>
        <w:t>second</w:t>
      </w:r>
      <w:r w:rsidRPr="007A4F23">
        <w:rPr>
          <w:sz w:val="22"/>
          <w:szCs w:val="22"/>
        </w:rPr>
        <w:t xml:space="preserve">ed at 535, </w:t>
      </w:r>
      <w:r w:rsidR="002C06F7" w:rsidRPr="007A4F23">
        <w:rPr>
          <w:sz w:val="22"/>
          <w:szCs w:val="22"/>
        </w:rPr>
        <w:t>a</w:t>
      </w:r>
      <w:r w:rsidRPr="007A4F23">
        <w:rPr>
          <w:sz w:val="22"/>
          <w:szCs w:val="22"/>
        </w:rPr>
        <w:t xml:space="preserve"> party whose conduct is "fraudulent, or unconscionable, o</w:t>
      </w:r>
      <w:r w:rsidR="006147A8">
        <w:rPr>
          <w:sz w:val="22"/>
          <w:szCs w:val="22"/>
        </w:rPr>
        <w:t>r a manifestation of bad faith"</w:t>
      </w:r>
      <w:r w:rsidRPr="007A4F23">
        <w:rPr>
          <w:sz w:val="22"/>
          <w:szCs w:val="22"/>
        </w:rPr>
        <w:t xml:space="preserve"> (referring to </w:t>
      </w:r>
      <w:r w:rsidRPr="007A4F23">
        <w:rPr>
          <w:i/>
          <w:sz w:val="22"/>
          <w:szCs w:val="22"/>
        </w:rPr>
        <w:t xml:space="preserve">Resisto Dairy (Pty) Ltd v Auto Protection </w:t>
      </w:r>
      <w:r w:rsidRPr="007A4F23">
        <w:rPr>
          <w:i/>
          <w:sz w:val="22"/>
          <w:szCs w:val="22"/>
        </w:rPr>
        <w:lastRenderedPageBreak/>
        <w:t>Insurance Co Ltd</w:t>
      </w:r>
      <w:r w:rsidRPr="007A4F23">
        <w:rPr>
          <w:sz w:val="22"/>
          <w:szCs w:val="22"/>
        </w:rPr>
        <w:t xml:space="preserve"> 1962 (3) SA 565 (C) at 571F, </w:t>
      </w:r>
      <w:r w:rsidRPr="007A4F23">
        <w:rPr>
          <w:i/>
          <w:sz w:val="22"/>
          <w:szCs w:val="22"/>
        </w:rPr>
        <w:t xml:space="preserve">per </w:t>
      </w:r>
      <w:r w:rsidRPr="007A4F23">
        <w:rPr>
          <w:sz w:val="22"/>
          <w:szCs w:val="22"/>
        </w:rPr>
        <w:t xml:space="preserve">Rosenow J) 'will not be permitted to rely on a non-variation clause' (referring to </w:t>
      </w:r>
      <w:r w:rsidRPr="007A4F23">
        <w:rPr>
          <w:i/>
          <w:sz w:val="22"/>
          <w:szCs w:val="22"/>
        </w:rPr>
        <w:t>Leyland (SA) (Pty) Ltd v Rex Evans Motors (Pty) Ltd</w:t>
      </w:r>
      <w:r w:rsidRPr="007A4F23">
        <w:rPr>
          <w:sz w:val="22"/>
          <w:szCs w:val="22"/>
        </w:rPr>
        <w:t xml:space="preserve"> 1980 (4) SA 271 (W) at 272H-273A).’</w:t>
      </w:r>
    </w:p>
    <w:p w14:paraId="31A8A26C" w14:textId="77777777" w:rsidR="001B1A20" w:rsidRPr="00B10401" w:rsidRDefault="001B1A20" w:rsidP="003B45EB">
      <w:pPr>
        <w:spacing w:after="0" w:line="360" w:lineRule="auto"/>
        <w:jc w:val="both"/>
        <w:rPr>
          <w:lang w:val="af-ZA"/>
        </w:rPr>
      </w:pPr>
    </w:p>
    <w:p w14:paraId="6794EE06" w14:textId="57768C72" w:rsidR="009165CC" w:rsidRPr="00B10401" w:rsidRDefault="00043F71" w:rsidP="003B45EB">
      <w:pPr>
        <w:spacing w:after="0" w:line="360" w:lineRule="auto"/>
        <w:jc w:val="both"/>
        <w:rPr>
          <w:rStyle w:val="FontStyle35"/>
          <w:sz w:val="24"/>
          <w:szCs w:val="24"/>
        </w:rPr>
      </w:pPr>
      <w:r>
        <w:rPr>
          <w:rStyle w:val="FontStyle35"/>
          <w:sz w:val="24"/>
          <w:szCs w:val="24"/>
        </w:rPr>
        <w:t>[2</w:t>
      </w:r>
      <w:r w:rsidR="00EC1BD9">
        <w:rPr>
          <w:rStyle w:val="FontStyle35"/>
          <w:sz w:val="24"/>
          <w:szCs w:val="24"/>
        </w:rPr>
        <w:t>5</w:t>
      </w:r>
      <w:r w:rsidR="001B1A20" w:rsidRPr="00B10401">
        <w:rPr>
          <w:rStyle w:val="FontStyle35"/>
          <w:sz w:val="24"/>
          <w:szCs w:val="24"/>
        </w:rPr>
        <w:t>]</w:t>
      </w:r>
      <w:r w:rsidR="001B1A20" w:rsidRPr="00B10401">
        <w:rPr>
          <w:rStyle w:val="FontStyle35"/>
          <w:sz w:val="24"/>
          <w:szCs w:val="24"/>
        </w:rPr>
        <w:tab/>
      </w:r>
      <w:r w:rsidR="007A4F23">
        <w:rPr>
          <w:rStyle w:val="FontStyle35"/>
          <w:sz w:val="24"/>
          <w:szCs w:val="24"/>
        </w:rPr>
        <w:t xml:space="preserve">The </w:t>
      </w:r>
      <w:r w:rsidR="001B1A20" w:rsidRPr="00B10401">
        <w:rPr>
          <w:rStyle w:val="FontStyle35"/>
          <w:sz w:val="24"/>
          <w:szCs w:val="24"/>
        </w:rPr>
        <w:t xml:space="preserve">most common </w:t>
      </w:r>
      <w:r w:rsidR="007A4F23">
        <w:rPr>
          <w:rStyle w:val="FontStyle35"/>
          <w:sz w:val="24"/>
          <w:szCs w:val="24"/>
        </w:rPr>
        <w:t>and</w:t>
      </w:r>
      <w:r w:rsidR="009165CC" w:rsidRPr="00B10401">
        <w:rPr>
          <w:rStyle w:val="FontStyle35"/>
          <w:sz w:val="24"/>
          <w:szCs w:val="24"/>
        </w:rPr>
        <w:t xml:space="preserve"> most helpful technique</w:t>
      </w:r>
      <w:r w:rsidR="001B1A20" w:rsidRPr="00B10401">
        <w:rPr>
          <w:rStyle w:val="FontStyle35"/>
          <w:sz w:val="24"/>
          <w:szCs w:val="24"/>
        </w:rPr>
        <w:t xml:space="preserve">, for ascertaining whether there was </w:t>
      </w:r>
      <w:r w:rsidR="006147A8">
        <w:rPr>
          <w:rStyle w:val="FontStyle35"/>
          <w:sz w:val="24"/>
          <w:szCs w:val="24"/>
        </w:rPr>
        <w:t xml:space="preserve">an </w:t>
      </w:r>
      <w:r w:rsidR="001B1A20" w:rsidRPr="00B10401">
        <w:rPr>
          <w:rStyle w:val="FontStyle35"/>
          <w:sz w:val="24"/>
          <w:szCs w:val="24"/>
        </w:rPr>
        <w:t>agreement, true or based on quasi mutual assent, is to look for an offer and acceptance</w:t>
      </w:r>
      <w:r w:rsidR="009165CC" w:rsidRPr="00B10401">
        <w:rPr>
          <w:rStyle w:val="FootnoteReference"/>
          <w:lang w:val="af-ZA"/>
        </w:rPr>
        <w:footnoteReference w:id="22"/>
      </w:r>
      <w:r w:rsidR="001B1A20" w:rsidRPr="00B10401">
        <w:rPr>
          <w:rStyle w:val="FontStyle35"/>
          <w:sz w:val="24"/>
          <w:szCs w:val="24"/>
        </w:rPr>
        <w:t>.</w:t>
      </w:r>
    </w:p>
    <w:p w14:paraId="54CC3CFE" w14:textId="77777777" w:rsidR="009165CC" w:rsidRPr="00B10401" w:rsidRDefault="009165CC" w:rsidP="003B45EB">
      <w:pPr>
        <w:spacing w:after="0" w:line="360" w:lineRule="auto"/>
        <w:jc w:val="both"/>
        <w:rPr>
          <w:rStyle w:val="FontStyle35"/>
          <w:sz w:val="24"/>
          <w:szCs w:val="24"/>
        </w:rPr>
      </w:pPr>
    </w:p>
    <w:p w14:paraId="2D6BD5AA" w14:textId="4EB26531" w:rsidR="001B1A20" w:rsidRPr="00B10401" w:rsidRDefault="007A4F23" w:rsidP="003B45EB">
      <w:pPr>
        <w:spacing w:after="0" w:line="360" w:lineRule="auto"/>
        <w:jc w:val="both"/>
        <w:rPr>
          <w:lang w:eastAsia="zh-CN" w:bidi="hi-IN"/>
        </w:rPr>
      </w:pPr>
      <w:r>
        <w:rPr>
          <w:lang w:eastAsia="zh-CN" w:bidi="hi-IN"/>
        </w:rPr>
        <w:t>[2</w:t>
      </w:r>
      <w:r w:rsidR="00EC1BD9">
        <w:rPr>
          <w:lang w:eastAsia="zh-CN" w:bidi="hi-IN"/>
        </w:rPr>
        <w:t>6</w:t>
      </w:r>
      <w:r>
        <w:rPr>
          <w:lang w:eastAsia="zh-CN" w:bidi="hi-IN"/>
        </w:rPr>
        <w:t>]</w:t>
      </w:r>
      <w:r>
        <w:rPr>
          <w:lang w:eastAsia="zh-CN" w:bidi="hi-IN"/>
        </w:rPr>
        <w:tab/>
      </w:r>
      <w:r w:rsidR="001B1A20" w:rsidRPr="00B10401">
        <w:rPr>
          <w:lang w:eastAsia="zh-CN" w:bidi="hi-IN"/>
        </w:rPr>
        <w:t xml:space="preserve">In the matter of </w:t>
      </w:r>
      <w:r w:rsidR="001B1A20" w:rsidRPr="00B10401">
        <w:rPr>
          <w:i/>
          <w:lang w:eastAsia="zh-CN" w:bidi="hi-IN"/>
        </w:rPr>
        <w:t>Wasmuth v Jacobs</w:t>
      </w:r>
      <w:r w:rsidR="001B1A20" w:rsidRPr="00B10401">
        <w:rPr>
          <w:rStyle w:val="FootnoteReference"/>
          <w:i/>
          <w:lang w:eastAsia="zh-CN" w:bidi="hi-IN"/>
        </w:rPr>
        <w:footnoteReference w:id="23"/>
      </w:r>
      <w:r w:rsidR="001B1A20" w:rsidRPr="00B10401">
        <w:rPr>
          <w:lang w:eastAsia="zh-CN" w:bidi="hi-IN"/>
        </w:rPr>
        <w:t xml:space="preserve"> Levy, J said:</w:t>
      </w:r>
    </w:p>
    <w:p w14:paraId="1CF098BA" w14:textId="77777777" w:rsidR="001B1A20" w:rsidRPr="00B10401" w:rsidRDefault="001B1A20" w:rsidP="003B45EB">
      <w:pPr>
        <w:tabs>
          <w:tab w:val="left" w:pos="1192"/>
        </w:tabs>
        <w:spacing w:after="0" w:line="360" w:lineRule="auto"/>
        <w:jc w:val="both"/>
        <w:rPr>
          <w:lang w:eastAsia="zh-CN" w:bidi="hi-IN"/>
        </w:rPr>
      </w:pPr>
    </w:p>
    <w:p w14:paraId="551FD35D" w14:textId="77777777" w:rsidR="001B1A20" w:rsidRPr="00B10401" w:rsidRDefault="001B1A20" w:rsidP="003B45EB">
      <w:pPr>
        <w:spacing w:after="0" w:line="360" w:lineRule="auto"/>
        <w:ind w:firstLine="720"/>
        <w:jc w:val="both"/>
        <w:rPr>
          <w:lang w:eastAsia="zh-CN" w:bidi="hi-IN"/>
        </w:rPr>
      </w:pPr>
      <w:r w:rsidRPr="00B10401">
        <w:rPr>
          <w:lang w:eastAsia="zh-CN" w:bidi="hi-IN"/>
        </w:rPr>
        <w:t xml:space="preserve">‘It is fundamental to the nature of any offer that it should be certain and definite in its terms. It must be firm, that is, made with the intention that when it is accepted it will bind the offeror.’ </w:t>
      </w:r>
    </w:p>
    <w:p w14:paraId="40FC6EAD" w14:textId="77777777" w:rsidR="001B1A20" w:rsidRPr="00B10401" w:rsidRDefault="001B1A20" w:rsidP="003B45EB">
      <w:pPr>
        <w:spacing w:after="0" w:line="360" w:lineRule="auto"/>
        <w:jc w:val="both"/>
        <w:rPr>
          <w:lang w:eastAsia="zh-CN" w:bidi="hi-IN"/>
        </w:rPr>
      </w:pPr>
    </w:p>
    <w:p w14:paraId="2F2EBF29" w14:textId="4866B624" w:rsidR="001B1A20" w:rsidRPr="00B10401" w:rsidRDefault="007A4F23" w:rsidP="003B45EB">
      <w:pPr>
        <w:spacing w:after="0" w:line="360" w:lineRule="auto"/>
        <w:jc w:val="both"/>
        <w:rPr>
          <w:lang w:eastAsia="zh-CN" w:bidi="hi-IN"/>
        </w:rPr>
      </w:pPr>
      <w:r>
        <w:rPr>
          <w:lang w:val="en-ZA"/>
        </w:rPr>
        <w:lastRenderedPageBreak/>
        <w:t>[2</w:t>
      </w:r>
      <w:r w:rsidR="00EC1BD9">
        <w:rPr>
          <w:lang w:val="en-ZA"/>
        </w:rPr>
        <w:t>7</w:t>
      </w:r>
      <w:r w:rsidR="001B1A20" w:rsidRPr="00B10401">
        <w:rPr>
          <w:lang w:val="en-ZA"/>
        </w:rPr>
        <w:t>]</w:t>
      </w:r>
      <w:r w:rsidR="001B1A20" w:rsidRPr="00B10401">
        <w:rPr>
          <w:lang w:val="en-ZA"/>
        </w:rPr>
        <w:tab/>
        <w:t xml:space="preserve">In the matter of </w:t>
      </w:r>
      <w:r w:rsidR="001B1A20" w:rsidRPr="00B10401">
        <w:rPr>
          <w:i/>
          <w:lang w:val="en-ZA"/>
        </w:rPr>
        <w:t>Namibia Broadcasting Corporation v Kruger and others</w:t>
      </w:r>
      <w:r w:rsidR="001B1A20" w:rsidRPr="00B10401">
        <w:rPr>
          <w:i/>
          <w:vertAlign w:val="superscript"/>
          <w:lang w:val="en-ZA"/>
        </w:rPr>
        <w:footnoteReference w:id="24"/>
      </w:r>
      <w:r w:rsidR="001B1A20" w:rsidRPr="00B10401">
        <w:rPr>
          <w:lang w:val="en-ZA"/>
        </w:rPr>
        <w:t xml:space="preserve">, where Chomba, AJA in </w:t>
      </w:r>
      <w:r w:rsidR="001B1A20" w:rsidRPr="00B10401">
        <w:t xml:space="preserve">paragraph 36 </w:t>
      </w:r>
      <w:r w:rsidR="001B1A20" w:rsidRPr="00B10401">
        <w:rPr>
          <w:lang w:val="en-ZA"/>
        </w:rPr>
        <w:t>referred to the matter</w:t>
      </w:r>
      <w:r w:rsidR="001B1A20" w:rsidRPr="00B10401">
        <w:rPr>
          <w:lang w:eastAsia="zh-CN" w:bidi="hi-IN"/>
        </w:rPr>
        <w:t xml:space="preserve"> of </w:t>
      </w:r>
      <w:r w:rsidR="001B1A20" w:rsidRPr="00B10401">
        <w:rPr>
          <w:i/>
          <w:lang w:eastAsia="zh-CN" w:bidi="hi-IN"/>
        </w:rPr>
        <w:t>JRM Furniture Holdings v Cowlin</w:t>
      </w:r>
      <w:r w:rsidR="001B1A20" w:rsidRPr="002914A4">
        <w:rPr>
          <w:rStyle w:val="FootnoteReference"/>
          <w:i/>
          <w:lang w:eastAsia="zh-CN" w:bidi="hi-IN"/>
        </w:rPr>
        <w:footnoteReference w:id="25"/>
      </w:r>
      <w:r w:rsidR="001B1A20" w:rsidRPr="002914A4">
        <w:rPr>
          <w:lang w:eastAsia="zh-CN" w:bidi="hi-IN"/>
        </w:rPr>
        <w:t>.</w:t>
      </w:r>
      <w:r w:rsidR="001B1A20" w:rsidRPr="00B10401">
        <w:rPr>
          <w:lang w:eastAsia="zh-CN" w:bidi="hi-IN"/>
        </w:rPr>
        <w:t xml:space="preserve"> Where Nestadt J stated:</w:t>
      </w:r>
    </w:p>
    <w:p w14:paraId="2F685958" w14:textId="77777777" w:rsidR="001B1A20" w:rsidRPr="00B10401" w:rsidRDefault="001B1A20" w:rsidP="003B45EB">
      <w:pPr>
        <w:spacing w:after="0" w:line="360" w:lineRule="auto"/>
        <w:jc w:val="both"/>
        <w:rPr>
          <w:lang w:eastAsia="zh-CN" w:bidi="hi-IN"/>
        </w:rPr>
      </w:pPr>
    </w:p>
    <w:p w14:paraId="51384974" w14:textId="78281D82" w:rsidR="001B1A20" w:rsidRPr="007A4F23" w:rsidRDefault="001B1A20" w:rsidP="003B45EB">
      <w:pPr>
        <w:spacing w:after="0" w:line="360" w:lineRule="auto"/>
        <w:ind w:firstLine="720"/>
        <w:jc w:val="both"/>
        <w:rPr>
          <w:sz w:val="22"/>
          <w:szCs w:val="22"/>
          <w:lang w:eastAsia="zh-CN" w:bidi="hi-IN"/>
        </w:rPr>
      </w:pPr>
      <w:r w:rsidRPr="007A4F23">
        <w:rPr>
          <w:sz w:val="22"/>
          <w:szCs w:val="22"/>
          <w:lang w:eastAsia="zh-CN" w:bidi="hi-IN"/>
        </w:rPr>
        <w:t>‘… acceptance must be absolute, unconditional and identical with the offer. Failing this, there is no consensus and therefore no contract. (</w:t>
      </w:r>
      <w:r w:rsidRPr="007A4F23">
        <w:rPr>
          <w:i/>
          <w:sz w:val="22"/>
          <w:szCs w:val="22"/>
          <w:lang w:eastAsia="zh-CN" w:bidi="hi-IN"/>
        </w:rPr>
        <w:t>Wessels Law of Contract in South Africa</w:t>
      </w:r>
      <w:r w:rsidRPr="007A4F23">
        <w:rPr>
          <w:sz w:val="22"/>
          <w:szCs w:val="22"/>
          <w:lang w:eastAsia="zh-CN" w:bidi="hi-IN"/>
        </w:rPr>
        <w:t xml:space="preserve"> </w:t>
      </w:r>
      <w:r w:rsidR="00E93836">
        <w:rPr>
          <w:sz w:val="22"/>
          <w:szCs w:val="22"/>
          <w:lang w:eastAsia="zh-CN" w:bidi="hi-IN"/>
        </w:rPr>
        <w:t>second</w:t>
      </w:r>
      <w:r w:rsidRPr="007A4F23">
        <w:rPr>
          <w:sz w:val="22"/>
          <w:szCs w:val="22"/>
          <w:lang w:eastAsia="zh-CN" w:bidi="hi-IN"/>
        </w:rPr>
        <w:t xml:space="preserve">ed </w:t>
      </w:r>
      <w:r w:rsidR="00E93836" w:rsidRPr="007A4F23">
        <w:rPr>
          <w:sz w:val="22"/>
          <w:szCs w:val="22"/>
          <w:lang w:eastAsia="zh-CN" w:bidi="hi-IN"/>
        </w:rPr>
        <w:t>vole</w:t>
      </w:r>
      <w:r w:rsidRPr="007A4F23">
        <w:rPr>
          <w:sz w:val="22"/>
          <w:szCs w:val="22"/>
          <w:lang w:eastAsia="zh-CN" w:bidi="hi-IN"/>
        </w:rPr>
        <w:t xml:space="preserve"> I para 165 et seq.) </w:t>
      </w:r>
      <w:r w:rsidRPr="007A4F23">
        <w:rPr>
          <w:i/>
          <w:sz w:val="22"/>
          <w:szCs w:val="22"/>
          <w:lang w:eastAsia="zh-CN" w:bidi="hi-IN"/>
        </w:rPr>
        <w:t>Wille Principles of South African Law</w:t>
      </w:r>
      <w:r w:rsidRPr="007A4F23">
        <w:rPr>
          <w:sz w:val="22"/>
          <w:szCs w:val="22"/>
          <w:lang w:eastAsia="zh-CN" w:bidi="hi-IN"/>
        </w:rPr>
        <w:t xml:space="preserve"> 7th ed at 310 states the principle thus:</w:t>
      </w:r>
    </w:p>
    <w:p w14:paraId="7766C1BA" w14:textId="77777777" w:rsidR="001B1A20" w:rsidRPr="007A4F23" w:rsidRDefault="001B1A20" w:rsidP="003B45EB">
      <w:pPr>
        <w:spacing w:after="0" w:line="360" w:lineRule="auto"/>
        <w:jc w:val="both"/>
        <w:rPr>
          <w:sz w:val="22"/>
          <w:szCs w:val="22"/>
          <w:lang w:eastAsia="zh-CN" w:bidi="hi-IN"/>
        </w:rPr>
      </w:pPr>
    </w:p>
    <w:p w14:paraId="3C22ED90" w14:textId="18E2268E" w:rsidR="001B1A20" w:rsidRPr="007A4F23" w:rsidRDefault="001B1A20" w:rsidP="003B45EB">
      <w:pPr>
        <w:spacing w:after="0" w:line="360" w:lineRule="auto"/>
        <w:ind w:left="720" w:firstLine="720"/>
        <w:jc w:val="both"/>
        <w:rPr>
          <w:sz w:val="22"/>
          <w:szCs w:val="22"/>
          <w:lang w:eastAsia="zh-CN" w:bidi="hi-IN"/>
        </w:rPr>
      </w:pPr>
      <w:r w:rsidRPr="007A4F23">
        <w:rPr>
          <w:sz w:val="22"/>
          <w:szCs w:val="22"/>
          <w:lang w:eastAsia="zh-CN" w:bidi="hi-IN"/>
        </w:rPr>
        <w:t>"The person to whom the offer is made can only convert it into a contract by accepting, as they stand, the terms offered; he cannot vary them by omitting or altering any of the terms or by adding proposals of his own. It follows that if the acceptance is not unconditional but is coupled with some variation or modification of the terms offered no contract is constituted...</w:t>
      </w:r>
      <w:r w:rsidR="002C06F7" w:rsidRPr="007A4F23">
        <w:rPr>
          <w:sz w:val="22"/>
          <w:szCs w:val="22"/>
          <w:lang w:eastAsia="zh-CN" w:bidi="hi-IN"/>
        </w:rPr>
        <w:t>”</w:t>
      </w:r>
      <w:r w:rsidR="002914A4">
        <w:rPr>
          <w:sz w:val="22"/>
          <w:szCs w:val="22"/>
          <w:lang w:eastAsia="zh-CN" w:bidi="hi-IN"/>
        </w:rPr>
        <w:t xml:space="preserve"> </w:t>
      </w:r>
      <w:r w:rsidR="002C06F7" w:rsidRPr="007A4F23">
        <w:rPr>
          <w:sz w:val="22"/>
          <w:szCs w:val="22"/>
          <w:lang w:eastAsia="zh-CN" w:bidi="hi-IN"/>
        </w:rPr>
        <w:t>’</w:t>
      </w:r>
    </w:p>
    <w:p w14:paraId="230083DB" w14:textId="77777777" w:rsidR="001B1A20" w:rsidRPr="00B10401" w:rsidRDefault="001B1A20" w:rsidP="003B45EB">
      <w:pPr>
        <w:spacing w:after="0" w:line="360" w:lineRule="auto"/>
        <w:jc w:val="both"/>
        <w:rPr>
          <w:lang w:eastAsia="zh-CN" w:bidi="hi-IN"/>
        </w:rPr>
      </w:pPr>
    </w:p>
    <w:p w14:paraId="65CF3A87" w14:textId="1D0A54EB" w:rsidR="001B1A20" w:rsidRPr="00B10401" w:rsidRDefault="007A4F23" w:rsidP="003B45EB">
      <w:pPr>
        <w:pStyle w:val="NoSpacing"/>
        <w:spacing w:line="360" w:lineRule="auto"/>
        <w:jc w:val="both"/>
        <w:rPr>
          <w:rFonts w:ascii="Arial" w:hAnsi="Arial" w:cs="Arial"/>
          <w:sz w:val="24"/>
          <w:szCs w:val="24"/>
        </w:rPr>
      </w:pPr>
      <w:r w:rsidRPr="007A4F23">
        <w:rPr>
          <w:rFonts w:ascii="Arial" w:hAnsi="Arial" w:cs="Arial"/>
          <w:sz w:val="24"/>
          <w:szCs w:val="24"/>
        </w:rPr>
        <w:t>[</w:t>
      </w:r>
      <w:r>
        <w:rPr>
          <w:rFonts w:ascii="Arial" w:hAnsi="Arial" w:cs="Arial"/>
          <w:sz w:val="24"/>
          <w:szCs w:val="24"/>
        </w:rPr>
        <w:t>2</w:t>
      </w:r>
      <w:r w:rsidR="00EC1BD9">
        <w:rPr>
          <w:rFonts w:ascii="Arial" w:hAnsi="Arial" w:cs="Arial"/>
          <w:sz w:val="24"/>
          <w:szCs w:val="24"/>
        </w:rPr>
        <w:t>8</w:t>
      </w:r>
      <w:r w:rsidRPr="007A4F23">
        <w:rPr>
          <w:rFonts w:ascii="Arial" w:hAnsi="Arial" w:cs="Arial"/>
          <w:sz w:val="24"/>
          <w:szCs w:val="24"/>
        </w:rPr>
        <w:t>]</w:t>
      </w:r>
      <w:r>
        <w:rPr>
          <w:rFonts w:ascii="Arial" w:hAnsi="Arial" w:cs="Arial"/>
          <w:i/>
          <w:sz w:val="24"/>
          <w:szCs w:val="24"/>
        </w:rPr>
        <w:tab/>
      </w:r>
      <w:r w:rsidR="001B1A20" w:rsidRPr="00B10401">
        <w:rPr>
          <w:rFonts w:ascii="Arial" w:hAnsi="Arial" w:cs="Arial"/>
          <w:i/>
          <w:sz w:val="24"/>
          <w:szCs w:val="24"/>
        </w:rPr>
        <w:t>Plum v Mazista Ltd</w:t>
      </w:r>
      <w:r w:rsidR="001B1A20" w:rsidRPr="00B10401">
        <w:rPr>
          <w:rStyle w:val="FootnoteReference"/>
          <w:rFonts w:ascii="Arial" w:hAnsi="Arial" w:cs="Arial"/>
          <w:i/>
          <w:sz w:val="24"/>
          <w:szCs w:val="24"/>
        </w:rPr>
        <w:footnoteReference w:id="26"/>
      </w:r>
      <w:r w:rsidR="001B1A20" w:rsidRPr="00B10401">
        <w:rPr>
          <w:rFonts w:ascii="Arial" w:hAnsi="Arial" w:cs="Arial"/>
          <w:sz w:val="24"/>
          <w:szCs w:val="24"/>
        </w:rPr>
        <w:t xml:space="preserve"> Wessels, JA held that:</w:t>
      </w:r>
    </w:p>
    <w:p w14:paraId="5A05424E" w14:textId="77777777" w:rsidR="001B1A20" w:rsidRPr="00B10401" w:rsidRDefault="001B1A20" w:rsidP="003B45EB">
      <w:pPr>
        <w:pStyle w:val="NoSpacing"/>
        <w:spacing w:line="360" w:lineRule="auto"/>
        <w:jc w:val="both"/>
        <w:rPr>
          <w:rFonts w:ascii="Arial" w:hAnsi="Arial" w:cs="Arial"/>
          <w:sz w:val="24"/>
          <w:szCs w:val="24"/>
        </w:rPr>
      </w:pPr>
    </w:p>
    <w:p w14:paraId="16CD8E71" w14:textId="68751156" w:rsidR="001B1A20" w:rsidRPr="002914A4" w:rsidRDefault="001B1A20" w:rsidP="003B45EB">
      <w:pPr>
        <w:pStyle w:val="NoSpacing"/>
        <w:spacing w:line="360" w:lineRule="auto"/>
        <w:ind w:firstLine="720"/>
        <w:jc w:val="both"/>
        <w:rPr>
          <w:rFonts w:ascii="Arial" w:hAnsi="Arial" w:cs="Arial"/>
        </w:rPr>
      </w:pPr>
      <w:r w:rsidRPr="002914A4">
        <w:rPr>
          <w:rFonts w:ascii="Arial" w:hAnsi="Arial" w:cs="Arial"/>
        </w:rPr>
        <w:t xml:space="preserve">‘…court may hold that a tacit contract has been established where, by a process of inference, it concludes that the </w:t>
      </w:r>
      <w:r w:rsidRPr="002914A4">
        <w:rPr>
          <w:rFonts w:ascii="Arial" w:hAnsi="Arial" w:cs="Arial"/>
          <w:i/>
        </w:rPr>
        <w:t xml:space="preserve">most </w:t>
      </w:r>
      <w:r w:rsidRPr="002914A4">
        <w:rPr>
          <w:rFonts w:ascii="Arial" w:hAnsi="Arial" w:cs="Arial"/>
          <w:i/>
          <w:u w:val="single"/>
        </w:rPr>
        <w:t>plausible probable conclusion</w:t>
      </w:r>
      <w:r w:rsidRPr="002914A4">
        <w:rPr>
          <w:rFonts w:ascii="Arial" w:hAnsi="Arial" w:cs="Arial"/>
        </w:rPr>
        <w:t xml:space="preserve"> from all the relevant proved facts and circumstances is that a contract (being offer, acceptance and cons</w:t>
      </w:r>
      <w:r w:rsidR="002914A4">
        <w:rPr>
          <w:rFonts w:ascii="Arial" w:hAnsi="Arial" w:cs="Arial"/>
        </w:rPr>
        <w:t>ensus) came into existence</w:t>
      </w:r>
      <w:r w:rsidRPr="002914A4">
        <w:rPr>
          <w:rStyle w:val="FootnoteReference"/>
          <w:rFonts w:ascii="Arial" w:hAnsi="Arial" w:cs="Arial"/>
        </w:rPr>
        <w:footnoteReference w:id="27"/>
      </w:r>
      <w:r w:rsidR="002914A4">
        <w:rPr>
          <w:rFonts w:ascii="Arial" w:hAnsi="Arial" w:cs="Arial"/>
        </w:rPr>
        <w:t>.</w:t>
      </w:r>
      <w:r w:rsidRPr="002914A4">
        <w:rPr>
          <w:rFonts w:ascii="Arial" w:hAnsi="Arial" w:cs="Arial"/>
        </w:rPr>
        <w:t>’</w:t>
      </w:r>
    </w:p>
    <w:p w14:paraId="66DE524D" w14:textId="77777777" w:rsidR="001B1A20" w:rsidRPr="00B10401" w:rsidRDefault="001B1A20" w:rsidP="003B45EB">
      <w:pPr>
        <w:pStyle w:val="NoSpacing"/>
        <w:spacing w:line="360" w:lineRule="auto"/>
        <w:jc w:val="both"/>
        <w:rPr>
          <w:rFonts w:ascii="Arial" w:hAnsi="Arial" w:cs="Arial"/>
          <w:sz w:val="24"/>
          <w:szCs w:val="24"/>
        </w:rPr>
      </w:pPr>
    </w:p>
    <w:p w14:paraId="7A083839" w14:textId="6EE16203" w:rsidR="001B1A20" w:rsidRPr="00B10401" w:rsidRDefault="007A4F23" w:rsidP="003B45EB">
      <w:pPr>
        <w:pStyle w:val="NoSpacing"/>
        <w:spacing w:line="360" w:lineRule="auto"/>
        <w:jc w:val="both"/>
        <w:rPr>
          <w:rFonts w:ascii="Arial" w:hAnsi="Arial" w:cs="Arial"/>
          <w:sz w:val="24"/>
          <w:szCs w:val="24"/>
        </w:rPr>
      </w:pPr>
      <w:r>
        <w:rPr>
          <w:rFonts w:ascii="Arial" w:hAnsi="Arial" w:cs="Arial"/>
          <w:sz w:val="24"/>
          <w:szCs w:val="24"/>
        </w:rPr>
        <w:t>[</w:t>
      </w:r>
      <w:r w:rsidR="00EC1BD9">
        <w:rPr>
          <w:rFonts w:ascii="Arial" w:hAnsi="Arial" w:cs="Arial"/>
          <w:sz w:val="24"/>
          <w:szCs w:val="24"/>
        </w:rPr>
        <w:t>29</w:t>
      </w:r>
      <w:r w:rsidR="001B1A20" w:rsidRPr="00B10401">
        <w:rPr>
          <w:rFonts w:ascii="Arial" w:hAnsi="Arial" w:cs="Arial"/>
          <w:sz w:val="24"/>
          <w:szCs w:val="24"/>
        </w:rPr>
        <w:t>]</w:t>
      </w:r>
      <w:r w:rsidR="001B1A20" w:rsidRPr="00B10401">
        <w:rPr>
          <w:rFonts w:ascii="Arial" w:hAnsi="Arial" w:cs="Arial"/>
          <w:sz w:val="24"/>
          <w:szCs w:val="24"/>
        </w:rPr>
        <w:tab/>
        <w:t>From the authorities it is well accepted that offer and acceptance form the cornerstone of a bind</w:t>
      </w:r>
      <w:r w:rsidR="00EC1BD9">
        <w:rPr>
          <w:rFonts w:ascii="Arial" w:hAnsi="Arial" w:cs="Arial"/>
          <w:sz w:val="24"/>
          <w:szCs w:val="24"/>
        </w:rPr>
        <w:t>ing</w:t>
      </w:r>
      <w:r w:rsidR="001B1A20" w:rsidRPr="00B10401">
        <w:rPr>
          <w:rFonts w:ascii="Arial" w:hAnsi="Arial" w:cs="Arial"/>
          <w:sz w:val="24"/>
          <w:szCs w:val="24"/>
        </w:rPr>
        <w:t xml:space="preserve"> contract. However, there are principles which will similarly assist a court in establishing whether there exists a tacit contract between the parties. Christie</w:t>
      </w:r>
      <w:r w:rsidR="001B1A20" w:rsidRPr="00B10401">
        <w:rPr>
          <w:rStyle w:val="FootnoteReference"/>
          <w:rFonts w:ascii="Arial" w:hAnsi="Arial" w:cs="Arial"/>
          <w:sz w:val="24"/>
          <w:szCs w:val="24"/>
        </w:rPr>
        <w:footnoteReference w:id="28"/>
      </w:r>
      <w:r w:rsidR="001B1A20" w:rsidRPr="00B10401">
        <w:rPr>
          <w:rFonts w:ascii="Arial" w:hAnsi="Arial" w:cs="Arial"/>
          <w:sz w:val="24"/>
          <w:szCs w:val="24"/>
        </w:rPr>
        <w:t xml:space="preserve"> proposes the following test:</w:t>
      </w:r>
    </w:p>
    <w:p w14:paraId="2861E443" w14:textId="77777777" w:rsidR="001B1A20" w:rsidRPr="007A4F23" w:rsidRDefault="001B1A20" w:rsidP="003B45EB">
      <w:pPr>
        <w:pStyle w:val="NoSpacing"/>
        <w:spacing w:line="360" w:lineRule="auto"/>
        <w:jc w:val="both"/>
        <w:rPr>
          <w:rFonts w:ascii="Arial" w:hAnsi="Arial" w:cs="Arial"/>
          <w:sz w:val="20"/>
          <w:szCs w:val="20"/>
        </w:rPr>
      </w:pPr>
    </w:p>
    <w:p w14:paraId="4E7E9410" w14:textId="564B269F" w:rsidR="001B1A20" w:rsidRPr="006B640A" w:rsidRDefault="001B1A20" w:rsidP="003B45EB">
      <w:pPr>
        <w:pStyle w:val="NoSpacing"/>
        <w:spacing w:line="360" w:lineRule="auto"/>
        <w:ind w:firstLine="720"/>
        <w:jc w:val="both"/>
        <w:rPr>
          <w:rFonts w:ascii="Arial" w:hAnsi="Arial" w:cs="Arial"/>
        </w:rPr>
      </w:pPr>
      <w:r w:rsidRPr="006B640A">
        <w:rPr>
          <w:rFonts w:ascii="Arial" w:hAnsi="Arial" w:cs="Arial"/>
        </w:rPr>
        <w:t xml:space="preserve">‘In order to establish a tacit contract, it is necessary to prove, by a preponderance of probabilities, conduct and circumstances which are so unequivocal that the parties must have been satisfied </w:t>
      </w:r>
      <w:r w:rsidR="002C06F7" w:rsidRPr="006B640A">
        <w:rPr>
          <w:rFonts w:ascii="Arial" w:hAnsi="Arial" w:cs="Arial"/>
        </w:rPr>
        <w:t>that they</w:t>
      </w:r>
      <w:r w:rsidRPr="006B640A">
        <w:rPr>
          <w:rFonts w:ascii="Arial" w:hAnsi="Arial" w:cs="Arial"/>
        </w:rPr>
        <w:t xml:space="preserve"> were in agreement.’</w:t>
      </w:r>
    </w:p>
    <w:p w14:paraId="69030CB7" w14:textId="77777777" w:rsidR="001B1A20" w:rsidRPr="00B10401" w:rsidRDefault="001B1A20" w:rsidP="003B45EB">
      <w:pPr>
        <w:pStyle w:val="NoSpacing"/>
        <w:spacing w:line="360" w:lineRule="auto"/>
        <w:jc w:val="both"/>
        <w:rPr>
          <w:rFonts w:ascii="Arial" w:hAnsi="Arial" w:cs="Arial"/>
          <w:sz w:val="24"/>
          <w:szCs w:val="24"/>
        </w:rPr>
      </w:pPr>
    </w:p>
    <w:p w14:paraId="350BBFB1" w14:textId="7F8DD14D" w:rsidR="001B1A20" w:rsidRPr="00B10401" w:rsidRDefault="007A4F23" w:rsidP="003B45EB">
      <w:pPr>
        <w:spacing w:after="0" w:line="360" w:lineRule="auto"/>
        <w:jc w:val="both"/>
        <w:rPr>
          <w:lang w:val="en-ZA"/>
        </w:rPr>
      </w:pPr>
      <w:r>
        <w:rPr>
          <w:lang w:val="en-ZA"/>
        </w:rPr>
        <w:lastRenderedPageBreak/>
        <w:t>[3</w:t>
      </w:r>
      <w:r w:rsidR="00EC1BD9">
        <w:rPr>
          <w:lang w:val="en-ZA"/>
        </w:rPr>
        <w:t>0</w:t>
      </w:r>
      <w:r w:rsidR="001B1A20" w:rsidRPr="00B10401">
        <w:rPr>
          <w:lang w:val="en-ZA"/>
        </w:rPr>
        <w:t>]</w:t>
      </w:r>
      <w:r w:rsidR="001B1A20" w:rsidRPr="00B10401">
        <w:rPr>
          <w:lang w:val="en-ZA"/>
        </w:rPr>
        <w:tab/>
        <w:t>A court is therefore entitled to look at the external manifestations of the defendant when it comes to contract between the parties, be it written or oral.</w:t>
      </w:r>
    </w:p>
    <w:p w14:paraId="1EC5C2C4" w14:textId="77777777" w:rsidR="001B1A20" w:rsidRPr="00B10401" w:rsidRDefault="001B1A20" w:rsidP="003B45EB">
      <w:pPr>
        <w:spacing w:after="0" w:line="360" w:lineRule="auto"/>
        <w:jc w:val="both"/>
        <w:rPr>
          <w:lang w:val="en-ZA"/>
        </w:rPr>
      </w:pPr>
    </w:p>
    <w:p w14:paraId="23CDAE66" w14:textId="5F92F181" w:rsidR="001B1A20" w:rsidRPr="00B10401" w:rsidRDefault="007A4F23" w:rsidP="003B45EB">
      <w:pPr>
        <w:spacing w:after="0" w:line="360" w:lineRule="auto"/>
        <w:jc w:val="both"/>
        <w:rPr>
          <w:lang w:val="en-ZA"/>
        </w:rPr>
      </w:pPr>
      <w:r>
        <w:rPr>
          <w:lang w:val="en-ZA"/>
        </w:rPr>
        <w:t>[3</w:t>
      </w:r>
      <w:r w:rsidR="00EC1BD9">
        <w:rPr>
          <w:lang w:val="en-ZA"/>
        </w:rPr>
        <w:t>1</w:t>
      </w:r>
      <w:r w:rsidR="001B1A20" w:rsidRPr="00B10401">
        <w:rPr>
          <w:lang w:val="en-ZA"/>
        </w:rPr>
        <w:t>]</w:t>
      </w:r>
      <w:r w:rsidR="001B1A20" w:rsidRPr="00B10401">
        <w:rPr>
          <w:lang w:val="en-ZA"/>
        </w:rPr>
        <w:tab/>
        <w:t>The author R H Christie</w:t>
      </w:r>
      <w:r w:rsidR="001B1A20" w:rsidRPr="00B10401">
        <w:rPr>
          <w:vertAlign w:val="superscript"/>
          <w:lang w:val="en-ZA"/>
        </w:rPr>
        <w:footnoteReference w:id="29"/>
      </w:r>
      <w:r w:rsidR="001B1A20" w:rsidRPr="00B10401">
        <w:rPr>
          <w:lang w:val="en-ZA"/>
        </w:rPr>
        <w:t xml:space="preserve"> states the following:</w:t>
      </w:r>
    </w:p>
    <w:p w14:paraId="24A846B0" w14:textId="77777777" w:rsidR="001B1A20" w:rsidRPr="00B10401" w:rsidRDefault="001B1A20" w:rsidP="003B45EB">
      <w:pPr>
        <w:spacing w:after="0" w:line="360" w:lineRule="auto"/>
        <w:jc w:val="both"/>
        <w:rPr>
          <w:lang w:val="en-ZA"/>
        </w:rPr>
      </w:pPr>
    </w:p>
    <w:p w14:paraId="66AC9A4A" w14:textId="2701CA93" w:rsidR="001B1A20" w:rsidRPr="006B640A" w:rsidRDefault="001B1A20" w:rsidP="003B45EB">
      <w:pPr>
        <w:spacing w:after="0" w:line="360" w:lineRule="auto"/>
        <w:jc w:val="both"/>
        <w:rPr>
          <w:sz w:val="22"/>
          <w:szCs w:val="22"/>
          <w:u w:val="single"/>
          <w:lang w:val="en-ZA"/>
        </w:rPr>
      </w:pPr>
      <w:r w:rsidRPr="00B10401">
        <w:rPr>
          <w:lang w:val="en-ZA"/>
        </w:rPr>
        <w:tab/>
      </w:r>
      <w:r w:rsidRPr="006B640A">
        <w:rPr>
          <w:sz w:val="22"/>
          <w:szCs w:val="22"/>
          <w:lang w:val="en-ZA"/>
        </w:rPr>
        <w:t xml:space="preserve">‘In the result it is correct to say that in order to decide whether a contract exists one looks </w:t>
      </w:r>
      <w:r w:rsidR="00E93836" w:rsidRPr="006B640A">
        <w:rPr>
          <w:sz w:val="22"/>
          <w:szCs w:val="22"/>
          <w:lang w:val="en-ZA"/>
        </w:rPr>
        <w:t>first for</w:t>
      </w:r>
      <w:r w:rsidRPr="006B640A">
        <w:rPr>
          <w:sz w:val="22"/>
          <w:szCs w:val="22"/>
          <w:lang w:val="en-ZA"/>
        </w:rPr>
        <w:t xml:space="preserve"> the true agreement of two or more parties, </w:t>
      </w:r>
      <w:r w:rsidRPr="006B640A">
        <w:rPr>
          <w:i/>
          <w:sz w:val="22"/>
          <w:szCs w:val="22"/>
          <w:lang w:val="en-ZA"/>
        </w:rPr>
        <w:t xml:space="preserve">and because such agreement can </w:t>
      </w:r>
      <w:r w:rsidRPr="006B640A">
        <w:rPr>
          <w:sz w:val="22"/>
          <w:szCs w:val="22"/>
          <w:u w:val="single"/>
          <w:lang w:val="en-ZA"/>
        </w:rPr>
        <w:t>only be revealed by external manifestation one must of necessity be generally objective</w:t>
      </w:r>
      <w:r w:rsidRPr="006B640A">
        <w:rPr>
          <w:i/>
          <w:sz w:val="22"/>
          <w:szCs w:val="22"/>
          <w:lang w:val="en-ZA"/>
        </w:rPr>
        <w:t>.</w:t>
      </w:r>
      <w:r w:rsidRPr="006B640A">
        <w:rPr>
          <w:sz w:val="22"/>
          <w:szCs w:val="22"/>
          <w:lang w:val="en-ZA"/>
        </w:rPr>
        <w:t xml:space="preserve"> This generally objective approach is now known as the doctrine of quasi-mutual assent. </w:t>
      </w:r>
      <w:r w:rsidR="002914A4">
        <w:rPr>
          <w:sz w:val="22"/>
          <w:szCs w:val="22"/>
          <w:lang w:val="en-ZA"/>
        </w:rPr>
        <w:t xml:space="preserve">‘ </w:t>
      </w:r>
      <w:r w:rsidRPr="006B640A">
        <w:rPr>
          <w:sz w:val="22"/>
          <w:szCs w:val="22"/>
          <w:lang w:val="en-ZA"/>
        </w:rPr>
        <w:t>(Emphasis added).</w:t>
      </w:r>
    </w:p>
    <w:p w14:paraId="06A7E63F" w14:textId="77777777" w:rsidR="001B1A20" w:rsidRPr="00B10401" w:rsidRDefault="001B1A20" w:rsidP="003B45EB">
      <w:pPr>
        <w:spacing w:after="0" w:line="360" w:lineRule="auto"/>
        <w:jc w:val="both"/>
        <w:rPr>
          <w:lang w:val="en-ZA"/>
        </w:rPr>
      </w:pPr>
    </w:p>
    <w:p w14:paraId="7238BECC" w14:textId="15851133" w:rsidR="001B1A20" w:rsidRPr="00B10401" w:rsidRDefault="00C218E2" w:rsidP="003B45EB">
      <w:pPr>
        <w:spacing w:after="0" w:line="360" w:lineRule="auto"/>
        <w:jc w:val="both"/>
        <w:rPr>
          <w:lang w:val="en-ZA"/>
        </w:rPr>
      </w:pPr>
      <w:r>
        <w:rPr>
          <w:lang w:val="en-ZA"/>
        </w:rPr>
        <w:t>[3</w:t>
      </w:r>
      <w:r w:rsidR="00EC1BD9">
        <w:rPr>
          <w:lang w:val="en-ZA"/>
        </w:rPr>
        <w:t>2</w:t>
      </w:r>
      <w:r w:rsidR="001B1A20" w:rsidRPr="00B10401">
        <w:rPr>
          <w:lang w:val="en-ZA"/>
        </w:rPr>
        <w:t>]</w:t>
      </w:r>
      <w:r w:rsidR="001B1A20" w:rsidRPr="00B10401">
        <w:rPr>
          <w:lang w:val="en-ZA"/>
        </w:rPr>
        <w:tab/>
        <w:t>Professor Christie goes further and states</w:t>
      </w:r>
      <w:r w:rsidR="001B1A20" w:rsidRPr="00B10401">
        <w:rPr>
          <w:vertAlign w:val="superscript"/>
          <w:lang w:val="en-ZA"/>
        </w:rPr>
        <w:footnoteReference w:id="30"/>
      </w:r>
      <w:r w:rsidR="001B1A20" w:rsidRPr="00B10401">
        <w:rPr>
          <w:lang w:val="en-ZA"/>
        </w:rPr>
        <w:t>:</w:t>
      </w:r>
    </w:p>
    <w:p w14:paraId="05FC95FE" w14:textId="77777777" w:rsidR="001B1A20" w:rsidRPr="00B10401" w:rsidRDefault="001B1A20" w:rsidP="003B45EB">
      <w:pPr>
        <w:spacing w:after="0" w:line="360" w:lineRule="auto"/>
        <w:jc w:val="both"/>
        <w:rPr>
          <w:highlight w:val="green"/>
          <w:lang w:val="en-ZA"/>
        </w:rPr>
      </w:pPr>
    </w:p>
    <w:p w14:paraId="42724DB6" w14:textId="361C0A92" w:rsidR="003B45EB" w:rsidRDefault="001B1A20" w:rsidP="003B45EB">
      <w:pPr>
        <w:spacing w:after="0" w:line="360" w:lineRule="auto"/>
        <w:jc w:val="both"/>
        <w:rPr>
          <w:sz w:val="22"/>
          <w:szCs w:val="22"/>
          <w:lang w:val="en-ZA"/>
        </w:rPr>
      </w:pPr>
      <w:r w:rsidRPr="00B10401">
        <w:rPr>
          <w:lang w:val="en-ZA"/>
        </w:rPr>
        <w:tab/>
      </w:r>
      <w:r w:rsidRPr="003B45EB">
        <w:rPr>
          <w:sz w:val="22"/>
          <w:szCs w:val="22"/>
          <w:lang w:val="en-ZA"/>
        </w:rPr>
        <w:t xml:space="preserve">‘This doctrine embodied in </w:t>
      </w:r>
      <w:r w:rsidRPr="003B45EB">
        <w:rPr>
          <w:i/>
          <w:sz w:val="22"/>
          <w:szCs w:val="22"/>
          <w:lang w:val="en-ZA"/>
        </w:rPr>
        <w:t>Smith v Hughes</w:t>
      </w:r>
      <w:r w:rsidRPr="003B45EB">
        <w:rPr>
          <w:sz w:val="22"/>
          <w:szCs w:val="22"/>
          <w:lang w:val="en-ZA"/>
        </w:rPr>
        <w:t xml:space="preserve"> (1871) LR 60 page 597 607 and </w:t>
      </w:r>
      <w:r w:rsidRPr="003B45EB">
        <w:rPr>
          <w:i/>
          <w:sz w:val="22"/>
          <w:szCs w:val="22"/>
          <w:lang w:val="en-ZA"/>
        </w:rPr>
        <w:t>Pieters &amp; Co v Salomon</w:t>
      </w:r>
      <w:r w:rsidRPr="003B45EB">
        <w:rPr>
          <w:sz w:val="22"/>
          <w:szCs w:val="22"/>
          <w:lang w:val="en-ZA"/>
        </w:rPr>
        <w:t xml:space="preserve"> 1911 AD 121 137 has been explained at pages 10-12 above where the comment was made that without it </w:t>
      </w:r>
      <w:r w:rsidRPr="003B45EB">
        <w:rPr>
          <w:sz w:val="22"/>
          <w:szCs w:val="22"/>
          <w:lang w:val="en-ZA"/>
        </w:rPr>
        <w:lastRenderedPageBreak/>
        <w:t xml:space="preserve">our law would be in a sorry state. The reason for this was well expressed by Davis, J in </w:t>
      </w:r>
      <w:r w:rsidRPr="003B45EB">
        <w:rPr>
          <w:i/>
          <w:sz w:val="22"/>
          <w:szCs w:val="22"/>
          <w:lang w:val="en-ZA"/>
        </w:rPr>
        <w:t xml:space="preserve">Irvin &amp; Johnson (SA) Ltd v Kaplan </w:t>
      </w:r>
      <w:r w:rsidRPr="003B45EB">
        <w:rPr>
          <w:sz w:val="22"/>
          <w:szCs w:val="22"/>
          <w:lang w:val="en-ZA"/>
        </w:rPr>
        <w:t xml:space="preserve">1940 CPD 647 651. After quoting from </w:t>
      </w:r>
      <w:r w:rsidRPr="003B45EB">
        <w:rPr>
          <w:i/>
          <w:sz w:val="22"/>
          <w:szCs w:val="22"/>
          <w:lang w:val="en-ZA"/>
        </w:rPr>
        <w:t>Smith v Hughes and SAR &amp; H v National Bank of SA Ltd</w:t>
      </w:r>
      <w:r w:rsidRPr="003B45EB">
        <w:rPr>
          <w:sz w:val="22"/>
          <w:szCs w:val="22"/>
          <w:lang w:val="en-ZA"/>
        </w:rPr>
        <w:t xml:space="preserve"> he said: ‘If this were not so, it is difficult to see how commerce could proceed at all. All kinds of mental reservations, of careless unilateral mistakes, of unexpressed conditions and the like, would become relevant and no party to any contract would be safe, the door would be opened wide to uncertainty and even to fraud. Because of its reliance in resolving disputes, Christie stresses that the importance of the doctrine is such that no dispute on the existence of the agreement can properly be resolved without calling in aid.’</w:t>
      </w:r>
    </w:p>
    <w:p w14:paraId="6ADC086B" w14:textId="77777777" w:rsidR="00E21D76" w:rsidRPr="003B45EB" w:rsidRDefault="00E21D76" w:rsidP="003B45EB">
      <w:pPr>
        <w:spacing w:after="0" w:line="360" w:lineRule="auto"/>
        <w:jc w:val="both"/>
        <w:rPr>
          <w:sz w:val="22"/>
          <w:szCs w:val="22"/>
          <w:lang w:val="en-ZA"/>
        </w:rPr>
      </w:pPr>
    </w:p>
    <w:p w14:paraId="0D2538E7" w14:textId="65683613" w:rsidR="006B2691" w:rsidRDefault="006B2691" w:rsidP="003B45EB">
      <w:pPr>
        <w:pStyle w:val="western"/>
        <w:spacing w:before="144" w:beforeAutospacing="0" w:after="0" w:afterAutospacing="0" w:line="360" w:lineRule="auto"/>
        <w:jc w:val="both"/>
        <w:rPr>
          <w:rFonts w:ascii="Arial" w:hAnsi="Arial" w:cs="Arial"/>
          <w:bCs/>
          <w:color w:val="0D0D0D"/>
          <w:u w:val="single"/>
          <w:lang w:val="en-GB"/>
        </w:rPr>
      </w:pPr>
      <w:r w:rsidRPr="00B10401">
        <w:rPr>
          <w:rFonts w:ascii="Arial" w:hAnsi="Arial" w:cs="Arial"/>
          <w:bCs/>
          <w:color w:val="0D0D0D"/>
          <w:u w:val="single"/>
          <w:lang w:val="en-GB"/>
        </w:rPr>
        <w:t>Law to Facts</w:t>
      </w:r>
    </w:p>
    <w:p w14:paraId="4140DBCF" w14:textId="77777777" w:rsidR="00433149" w:rsidRPr="00B10401" w:rsidRDefault="00433149" w:rsidP="003B45EB">
      <w:pPr>
        <w:pStyle w:val="western"/>
        <w:spacing w:before="144" w:beforeAutospacing="0" w:after="0" w:afterAutospacing="0" w:line="360" w:lineRule="auto"/>
        <w:jc w:val="both"/>
        <w:rPr>
          <w:rFonts w:ascii="Arial" w:hAnsi="Arial" w:cs="Arial"/>
          <w:bCs/>
          <w:color w:val="242121"/>
          <w:u w:val="single"/>
          <w:lang w:val="en-GB"/>
        </w:rPr>
      </w:pPr>
    </w:p>
    <w:p w14:paraId="2A29F9AC" w14:textId="7C7866C8" w:rsidR="007034F8" w:rsidRPr="00B10401" w:rsidRDefault="00C218E2" w:rsidP="003B45EB">
      <w:pPr>
        <w:spacing w:after="0" w:line="360" w:lineRule="auto"/>
        <w:jc w:val="both"/>
        <w:rPr>
          <w:rFonts w:eastAsia="Calibri"/>
        </w:rPr>
      </w:pPr>
      <w:r>
        <w:rPr>
          <w:rFonts w:eastAsia="Calibri"/>
        </w:rPr>
        <w:t>[3</w:t>
      </w:r>
      <w:r w:rsidR="00EC1BD9">
        <w:rPr>
          <w:rFonts w:eastAsia="Calibri"/>
        </w:rPr>
        <w:t>3</w:t>
      </w:r>
      <w:r w:rsidR="00E44380" w:rsidRPr="00B10401">
        <w:rPr>
          <w:rFonts w:eastAsia="Calibri"/>
        </w:rPr>
        <w:t xml:space="preserve">] </w:t>
      </w:r>
      <w:r w:rsidR="00B10401">
        <w:rPr>
          <w:rFonts w:eastAsia="Calibri"/>
        </w:rPr>
        <w:tab/>
      </w:r>
      <w:r w:rsidR="00EC1BD9">
        <w:rPr>
          <w:rFonts w:eastAsia="Calibri"/>
        </w:rPr>
        <w:t>E</w:t>
      </w:r>
      <w:r w:rsidR="00E44380" w:rsidRPr="00B10401">
        <w:rPr>
          <w:rFonts w:eastAsia="Calibri"/>
        </w:rPr>
        <w:t xml:space="preserve">ach of the plaintiff’s witnesses </w:t>
      </w:r>
      <w:r w:rsidR="00EC1BD9">
        <w:rPr>
          <w:rFonts w:eastAsia="Calibri"/>
        </w:rPr>
        <w:t xml:space="preserve">were </w:t>
      </w:r>
      <w:r w:rsidR="00EC1BD9" w:rsidRPr="00EC1BD9">
        <w:rPr>
          <w:rFonts w:eastAsia="Calibri"/>
          <w:i/>
          <w:iCs/>
        </w:rPr>
        <w:t>ad idem</w:t>
      </w:r>
      <w:r w:rsidR="00EC1BD9">
        <w:rPr>
          <w:rFonts w:eastAsia="Calibri"/>
        </w:rPr>
        <w:t xml:space="preserve"> that</w:t>
      </w:r>
      <w:r w:rsidR="00E44380" w:rsidRPr="00B10401">
        <w:rPr>
          <w:rFonts w:eastAsia="Calibri"/>
        </w:rPr>
        <w:t xml:space="preserve"> there was no dispute regarding the terms and addendums of the facility agreement</w:t>
      </w:r>
      <w:r w:rsidR="0029168F" w:rsidRPr="00B10401">
        <w:rPr>
          <w:rFonts w:eastAsia="Calibri"/>
        </w:rPr>
        <w:t>.</w:t>
      </w:r>
      <w:r w:rsidR="00E44380" w:rsidRPr="00B10401">
        <w:rPr>
          <w:rFonts w:eastAsia="Calibri"/>
        </w:rPr>
        <w:t xml:space="preserve"> The evidence by the </w:t>
      </w:r>
      <w:r w:rsidR="00AA6818" w:rsidRPr="00B10401">
        <w:rPr>
          <w:rFonts w:eastAsia="Calibri"/>
        </w:rPr>
        <w:t>witnesses</w:t>
      </w:r>
      <w:r w:rsidR="00E44380" w:rsidRPr="00B10401">
        <w:rPr>
          <w:rFonts w:eastAsia="Calibri"/>
        </w:rPr>
        <w:t xml:space="preserve"> for both parties w</w:t>
      </w:r>
      <w:r w:rsidR="00EC1BD9">
        <w:rPr>
          <w:rFonts w:eastAsia="Calibri"/>
        </w:rPr>
        <w:t>as</w:t>
      </w:r>
      <w:r w:rsidR="00E44380" w:rsidRPr="00B10401">
        <w:rPr>
          <w:rFonts w:eastAsia="Calibri"/>
        </w:rPr>
        <w:t xml:space="preserve"> that the capital amounts were not </w:t>
      </w:r>
      <w:r w:rsidR="002C06F7" w:rsidRPr="00B10401">
        <w:rPr>
          <w:rFonts w:eastAsia="Calibri"/>
        </w:rPr>
        <w:t>fixed,</w:t>
      </w:r>
      <w:r w:rsidR="00E44380" w:rsidRPr="00B10401">
        <w:rPr>
          <w:rFonts w:eastAsia="Calibri"/>
        </w:rPr>
        <w:t xml:space="preserve"> and this is ev</w:t>
      </w:r>
      <w:r w:rsidR="006F270D">
        <w:rPr>
          <w:rFonts w:eastAsia="Calibri"/>
        </w:rPr>
        <w:t>inced</w:t>
      </w:r>
      <w:r w:rsidR="00E44380" w:rsidRPr="00B10401">
        <w:rPr>
          <w:rFonts w:eastAsia="Calibri"/>
        </w:rPr>
        <w:t xml:space="preserve"> by the three addendums annexed to the </w:t>
      </w:r>
      <w:r w:rsidR="00E44380" w:rsidRPr="00B10401">
        <w:rPr>
          <w:rFonts w:eastAsia="Calibri"/>
        </w:rPr>
        <w:lastRenderedPageBreak/>
        <w:t>original agreement.</w:t>
      </w:r>
      <w:r w:rsidR="006F270D">
        <w:rPr>
          <w:rFonts w:eastAsia="Calibri"/>
        </w:rPr>
        <w:t xml:space="preserve"> In fact, the evidence of all witnesses, including the defendant, was that this facility was treated</w:t>
      </w:r>
      <w:r w:rsidR="00EC1BD9">
        <w:rPr>
          <w:rStyle w:val="FootnoteReference"/>
          <w:rFonts w:eastAsia="Calibri"/>
        </w:rPr>
        <w:footnoteReference w:id="31"/>
      </w:r>
      <w:r w:rsidR="006F270D">
        <w:rPr>
          <w:rFonts w:eastAsia="Calibri"/>
        </w:rPr>
        <w:t xml:space="preserve"> as a revolving credit facility.</w:t>
      </w:r>
    </w:p>
    <w:p w14:paraId="017219B1" w14:textId="77777777" w:rsidR="00E44380" w:rsidRPr="00B10401" w:rsidRDefault="00E44380" w:rsidP="003B45EB">
      <w:pPr>
        <w:spacing w:after="0" w:line="360" w:lineRule="auto"/>
        <w:jc w:val="both"/>
        <w:rPr>
          <w:rFonts w:eastAsia="Calibri"/>
        </w:rPr>
      </w:pPr>
    </w:p>
    <w:p w14:paraId="517213E3" w14:textId="6E0AEC3F" w:rsidR="00E44380" w:rsidRPr="003B45EB" w:rsidRDefault="00B10401" w:rsidP="003B45EB">
      <w:pPr>
        <w:spacing w:after="0" w:line="360" w:lineRule="auto"/>
        <w:jc w:val="both"/>
        <w:rPr>
          <w:shd w:val="clear" w:color="auto" w:fill="FFFFFF"/>
        </w:rPr>
      </w:pPr>
      <w:r w:rsidRPr="003B45EB">
        <w:rPr>
          <w:rFonts w:eastAsia="Calibri"/>
        </w:rPr>
        <w:t>[</w:t>
      </w:r>
      <w:r w:rsidR="00C218E2">
        <w:rPr>
          <w:rFonts w:eastAsia="Calibri"/>
        </w:rPr>
        <w:t>3</w:t>
      </w:r>
      <w:r w:rsidR="00EC1BD9">
        <w:rPr>
          <w:rFonts w:eastAsia="Calibri"/>
        </w:rPr>
        <w:t>4</w:t>
      </w:r>
      <w:r w:rsidRPr="003B45EB">
        <w:rPr>
          <w:rFonts w:eastAsia="Calibri"/>
        </w:rPr>
        <w:t>]</w:t>
      </w:r>
      <w:r w:rsidRPr="003B45EB">
        <w:rPr>
          <w:rFonts w:eastAsia="Calibri"/>
        </w:rPr>
        <w:tab/>
      </w:r>
      <w:r w:rsidR="00E44380" w:rsidRPr="003B45EB">
        <w:rPr>
          <w:rFonts w:eastAsia="Calibri"/>
        </w:rPr>
        <w:t>The court thus deduces</w:t>
      </w:r>
      <w:r w:rsidRPr="003B45EB">
        <w:rPr>
          <w:rFonts w:eastAsia="Calibri"/>
        </w:rPr>
        <w:t>, whe</w:t>
      </w:r>
      <w:r w:rsidR="00130ED9" w:rsidRPr="003B45EB">
        <w:rPr>
          <w:rFonts w:eastAsia="Calibri"/>
        </w:rPr>
        <w:t xml:space="preserve">n viewing the facts objectively, </w:t>
      </w:r>
      <w:r w:rsidR="00EC1BD9">
        <w:rPr>
          <w:rFonts w:eastAsia="Calibri"/>
        </w:rPr>
        <w:t xml:space="preserve">that </w:t>
      </w:r>
      <w:r w:rsidR="00E44380" w:rsidRPr="003B45EB">
        <w:rPr>
          <w:rFonts w:eastAsia="Calibri"/>
        </w:rPr>
        <w:t>the</w:t>
      </w:r>
      <w:r w:rsidR="00130ED9" w:rsidRPr="003B45EB">
        <w:rPr>
          <w:rFonts w:eastAsia="Calibri"/>
        </w:rPr>
        <w:t xml:space="preserve"> facility agreement </w:t>
      </w:r>
      <w:r w:rsidR="00E44380" w:rsidRPr="003B45EB">
        <w:rPr>
          <w:rFonts w:eastAsia="Calibri"/>
        </w:rPr>
        <w:t>operated as a ‘revolving loan’ agreement</w:t>
      </w:r>
      <w:r w:rsidR="00AA6818" w:rsidRPr="003B45EB">
        <w:rPr>
          <w:rFonts w:eastAsia="Calibri"/>
        </w:rPr>
        <w:t xml:space="preserve">, and as such one, which could be </w:t>
      </w:r>
      <w:r w:rsidR="00E44380" w:rsidRPr="003B45EB">
        <w:rPr>
          <w:shd w:val="clear" w:color="auto" w:fill="FFFFFF"/>
        </w:rPr>
        <w:t xml:space="preserve">withdrawn, repaid, and redrawn again in any manner and any number of times, until the </w:t>
      </w:r>
      <w:r w:rsidR="00EC1BD9">
        <w:rPr>
          <w:shd w:val="clear" w:color="auto" w:fill="FFFFFF"/>
        </w:rPr>
        <w:t xml:space="preserve">facility </w:t>
      </w:r>
      <w:r w:rsidR="00E44380" w:rsidRPr="003B45EB">
        <w:rPr>
          <w:shd w:val="clear" w:color="auto" w:fill="FFFFFF"/>
        </w:rPr>
        <w:t>expires.</w:t>
      </w:r>
      <w:r w:rsidR="00AA6818" w:rsidRPr="003B45EB">
        <w:rPr>
          <w:shd w:val="clear" w:color="auto" w:fill="FFFFFF"/>
        </w:rPr>
        <w:t xml:space="preserve"> </w:t>
      </w:r>
    </w:p>
    <w:p w14:paraId="246F3BCB" w14:textId="77777777" w:rsidR="00AA6818" w:rsidRPr="003B45EB" w:rsidRDefault="00AA6818" w:rsidP="003B45EB">
      <w:pPr>
        <w:spacing w:after="0" w:line="360" w:lineRule="auto"/>
        <w:jc w:val="both"/>
        <w:rPr>
          <w:shd w:val="clear" w:color="auto" w:fill="FFFFFF"/>
        </w:rPr>
      </w:pPr>
    </w:p>
    <w:p w14:paraId="64542375" w14:textId="1764D72C" w:rsidR="006B2691" w:rsidRPr="003B45EB" w:rsidRDefault="003B45EB" w:rsidP="003B45EB">
      <w:pPr>
        <w:spacing w:after="0" w:line="360" w:lineRule="auto"/>
        <w:jc w:val="both"/>
        <w:rPr>
          <w:shd w:val="clear" w:color="auto" w:fill="FFFFFF"/>
        </w:rPr>
      </w:pPr>
      <w:r w:rsidRPr="003B45EB">
        <w:rPr>
          <w:shd w:val="clear" w:color="auto" w:fill="FFFFFF"/>
        </w:rPr>
        <w:t>[</w:t>
      </w:r>
      <w:r w:rsidR="00C218E2">
        <w:rPr>
          <w:shd w:val="clear" w:color="auto" w:fill="FFFFFF"/>
        </w:rPr>
        <w:t>3</w:t>
      </w:r>
      <w:r w:rsidR="00EC1BD9">
        <w:rPr>
          <w:shd w:val="clear" w:color="auto" w:fill="FFFFFF"/>
        </w:rPr>
        <w:t>5</w:t>
      </w:r>
      <w:r w:rsidRPr="003B45EB">
        <w:rPr>
          <w:shd w:val="clear" w:color="auto" w:fill="FFFFFF"/>
        </w:rPr>
        <w:t>]</w:t>
      </w:r>
      <w:r w:rsidRPr="003B45EB">
        <w:rPr>
          <w:shd w:val="clear" w:color="auto" w:fill="FFFFFF"/>
        </w:rPr>
        <w:tab/>
      </w:r>
      <w:r w:rsidR="0002528F" w:rsidRPr="003B45EB">
        <w:rPr>
          <w:shd w:val="clear" w:color="auto" w:fill="FFFFFF"/>
        </w:rPr>
        <w:t>The court is satisfied that the evidence shows</w:t>
      </w:r>
      <w:r w:rsidR="00130ED9" w:rsidRPr="003B45EB">
        <w:rPr>
          <w:shd w:val="clear" w:color="auto" w:fill="FFFFFF"/>
        </w:rPr>
        <w:t>,</w:t>
      </w:r>
      <w:r w:rsidR="0002528F" w:rsidRPr="003B45EB">
        <w:rPr>
          <w:shd w:val="clear" w:color="auto" w:fill="FFFFFF"/>
        </w:rPr>
        <w:t xml:space="preserve"> that there was a valid contract not only based on the written agreements but also </w:t>
      </w:r>
      <w:r w:rsidR="006F270D">
        <w:rPr>
          <w:shd w:val="clear" w:color="auto" w:fill="FFFFFF"/>
        </w:rPr>
        <w:t xml:space="preserve">as evinced </w:t>
      </w:r>
      <w:r w:rsidR="0002528F" w:rsidRPr="003B45EB">
        <w:rPr>
          <w:shd w:val="clear" w:color="auto" w:fill="FFFFFF"/>
        </w:rPr>
        <w:t>by the conduct</w:t>
      </w:r>
      <w:r w:rsidR="00130ED9" w:rsidRPr="003B45EB">
        <w:rPr>
          <w:shd w:val="clear" w:color="auto" w:fill="FFFFFF"/>
        </w:rPr>
        <w:t xml:space="preserve"> and or external manifestations</w:t>
      </w:r>
      <w:r w:rsidR="0002528F" w:rsidRPr="003B45EB">
        <w:rPr>
          <w:shd w:val="clear" w:color="auto" w:fill="FFFFFF"/>
        </w:rPr>
        <w:t xml:space="preserve"> of the parties. </w:t>
      </w:r>
    </w:p>
    <w:p w14:paraId="684FC384" w14:textId="77777777" w:rsidR="00130ED9" w:rsidRPr="003B45EB" w:rsidRDefault="00130ED9" w:rsidP="003B45EB">
      <w:pPr>
        <w:spacing w:after="0" w:line="360" w:lineRule="auto"/>
        <w:jc w:val="both"/>
        <w:rPr>
          <w:shd w:val="clear" w:color="auto" w:fill="FFFFFF"/>
        </w:rPr>
      </w:pPr>
    </w:p>
    <w:p w14:paraId="570C7F29" w14:textId="3D691F46" w:rsidR="00130ED9" w:rsidRPr="003B45EB" w:rsidRDefault="003B45EB" w:rsidP="003B45EB">
      <w:pPr>
        <w:spacing w:after="0" w:line="360" w:lineRule="auto"/>
        <w:jc w:val="both"/>
        <w:rPr>
          <w:shd w:val="clear" w:color="auto" w:fill="FFFFFF"/>
        </w:rPr>
      </w:pPr>
      <w:r w:rsidRPr="003B45EB">
        <w:rPr>
          <w:shd w:val="clear" w:color="auto" w:fill="FFFFFF"/>
        </w:rPr>
        <w:t>[</w:t>
      </w:r>
      <w:r w:rsidR="00C218E2">
        <w:rPr>
          <w:shd w:val="clear" w:color="auto" w:fill="FFFFFF"/>
        </w:rPr>
        <w:t>3</w:t>
      </w:r>
      <w:r w:rsidR="00EC1BD9">
        <w:rPr>
          <w:shd w:val="clear" w:color="auto" w:fill="FFFFFF"/>
        </w:rPr>
        <w:t>6</w:t>
      </w:r>
      <w:r w:rsidRPr="003B45EB">
        <w:rPr>
          <w:shd w:val="clear" w:color="auto" w:fill="FFFFFF"/>
        </w:rPr>
        <w:t>]</w:t>
      </w:r>
      <w:r w:rsidRPr="003B45EB">
        <w:rPr>
          <w:shd w:val="clear" w:color="auto" w:fill="FFFFFF"/>
        </w:rPr>
        <w:tab/>
      </w:r>
      <w:r w:rsidR="00130ED9" w:rsidRPr="003B45EB">
        <w:rPr>
          <w:shd w:val="clear" w:color="auto" w:fill="FFFFFF"/>
        </w:rPr>
        <w:t>The facility agreement being amended three times shows clearly in the mind of the parties that the agreement was subject to change</w:t>
      </w:r>
      <w:r w:rsidR="00EC1BD9">
        <w:rPr>
          <w:shd w:val="clear" w:color="auto" w:fill="FFFFFF"/>
        </w:rPr>
        <w:t xml:space="preserve"> </w:t>
      </w:r>
      <w:r w:rsidR="002914A4">
        <w:rPr>
          <w:shd w:val="clear" w:color="auto" w:fill="FFFFFF"/>
        </w:rPr>
        <w:t>albeit</w:t>
      </w:r>
      <w:r w:rsidR="00EC1BD9">
        <w:rPr>
          <w:shd w:val="clear" w:color="auto" w:fill="FFFFFF"/>
        </w:rPr>
        <w:t xml:space="preserve"> the presence of </w:t>
      </w:r>
      <w:r w:rsidR="00D2555E">
        <w:rPr>
          <w:shd w:val="clear" w:color="auto" w:fill="FFFFFF"/>
        </w:rPr>
        <w:t>the</w:t>
      </w:r>
      <w:r w:rsidR="00130ED9" w:rsidRPr="003B45EB">
        <w:rPr>
          <w:shd w:val="clear" w:color="auto" w:fill="FFFFFF"/>
        </w:rPr>
        <w:t xml:space="preserve"> non-variation clause. </w:t>
      </w:r>
    </w:p>
    <w:p w14:paraId="4B8B13FC" w14:textId="77777777" w:rsidR="00130ED9" w:rsidRPr="003B45EB" w:rsidRDefault="00130ED9" w:rsidP="003B45EB">
      <w:pPr>
        <w:spacing w:after="0" w:line="360" w:lineRule="auto"/>
        <w:jc w:val="both"/>
        <w:rPr>
          <w:shd w:val="clear" w:color="auto" w:fill="FFFFFF"/>
        </w:rPr>
      </w:pPr>
    </w:p>
    <w:p w14:paraId="515D4472" w14:textId="08060AE1" w:rsidR="00DD49D6" w:rsidRPr="00E21D76" w:rsidRDefault="003B45EB" w:rsidP="003B45EB">
      <w:pPr>
        <w:spacing w:after="0" w:line="360" w:lineRule="auto"/>
        <w:jc w:val="both"/>
        <w:rPr>
          <w:shd w:val="clear" w:color="auto" w:fill="FFFFFF"/>
        </w:rPr>
      </w:pPr>
      <w:r>
        <w:rPr>
          <w:shd w:val="clear" w:color="auto" w:fill="FFFFFF"/>
        </w:rPr>
        <w:lastRenderedPageBreak/>
        <w:t>[</w:t>
      </w:r>
      <w:r w:rsidR="00C218E2">
        <w:rPr>
          <w:shd w:val="clear" w:color="auto" w:fill="FFFFFF"/>
        </w:rPr>
        <w:t>3</w:t>
      </w:r>
      <w:r w:rsidR="00EC1BD9">
        <w:rPr>
          <w:shd w:val="clear" w:color="auto" w:fill="FFFFFF"/>
        </w:rPr>
        <w:t>7</w:t>
      </w:r>
      <w:r>
        <w:rPr>
          <w:shd w:val="clear" w:color="auto" w:fill="FFFFFF"/>
        </w:rPr>
        <w:t>]</w:t>
      </w:r>
      <w:r>
        <w:rPr>
          <w:shd w:val="clear" w:color="auto" w:fill="FFFFFF"/>
        </w:rPr>
        <w:tab/>
      </w:r>
      <w:r w:rsidR="00130ED9" w:rsidRPr="003B45EB">
        <w:rPr>
          <w:shd w:val="clear" w:color="auto" w:fill="FFFFFF"/>
        </w:rPr>
        <w:t>If the court were to ignore th</w:t>
      </w:r>
      <w:r w:rsidR="00433149">
        <w:rPr>
          <w:shd w:val="clear" w:color="auto" w:fill="FFFFFF"/>
        </w:rPr>
        <w:t>e conduct of the parties</w:t>
      </w:r>
      <w:r w:rsidR="00130ED9" w:rsidRPr="003B45EB">
        <w:rPr>
          <w:shd w:val="clear" w:color="auto" w:fill="FFFFFF"/>
        </w:rPr>
        <w:t xml:space="preserve"> it would create </w:t>
      </w:r>
      <w:r w:rsidR="00433149">
        <w:rPr>
          <w:shd w:val="clear" w:color="auto" w:fill="FFFFFF"/>
        </w:rPr>
        <w:t>the very</w:t>
      </w:r>
      <w:r w:rsidR="00130ED9" w:rsidRPr="003B45EB">
        <w:rPr>
          <w:shd w:val="clear" w:color="auto" w:fill="FFFFFF"/>
        </w:rPr>
        <w:t xml:space="preserve"> situation that the court in </w:t>
      </w:r>
      <w:r w:rsidR="00130ED9" w:rsidRPr="003B45EB">
        <w:rPr>
          <w:i/>
          <w:lang w:val="en-ZA"/>
        </w:rPr>
        <w:t xml:space="preserve">Smith v Hughes </w:t>
      </w:r>
      <w:r w:rsidR="00EC1BD9">
        <w:rPr>
          <w:lang w:val="en-ZA"/>
        </w:rPr>
        <w:t>said</w:t>
      </w:r>
      <w:r w:rsidR="00130ED9" w:rsidRPr="003B45EB">
        <w:rPr>
          <w:lang w:val="en-ZA"/>
        </w:rPr>
        <w:t xml:space="preserve"> should be averted. </w:t>
      </w:r>
      <w:r w:rsidR="00CC0060">
        <w:rPr>
          <w:lang w:val="en-ZA"/>
        </w:rPr>
        <w:t>This is w</w:t>
      </w:r>
      <w:r w:rsidR="00130ED9" w:rsidRPr="003B45EB">
        <w:rPr>
          <w:lang w:val="en-ZA"/>
        </w:rPr>
        <w:t>here all kinds of mental reservations</w:t>
      </w:r>
      <w:r w:rsidR="00CC0060">
        <w:rPr>
          <w:lang w:val="en-ZA"/>
        </w:rPr>
        <w:t xml:space="preserve">, </w:t>
      </w:r>
      <w:r w:rsidR="00130ED9" w:rsidRPr="003B45EB">
        <w:rPr>
          <w:lang w:val="en-ZA"/>
        </w:rPr>
        <w:t>careless unilateral mistakes</w:t>
      </w:r>
      <w:r w:rsidR="00CC0060">
        <w:rPr>
          <w:lang w:val="en-ZA"/>
        </w:rPr>
        <w:t>,</w:t>
      </w:r>
      <w:r w:rsidR="00130ED9" w:rsidRPr="003B45EB">
        <w:rPr>
          <w:lang w:val="en-ZA"/>
        </w:rPr>
        <w:t xml:space="preserve"> unexpressed conditions and the like, would become relevant and no party to any contract would be safe</w:t>
      </w:r>
      <w:r w:rsidR="006F270D">
        <w:rPr>
          <w:lang w:val="en-ZA"/>
        </w:rPr>
        <w:t>. T</w:t>
      </w:r>
      <w:r w:rsidR="00130ED9" w:rsidRPr="003B45EB">
        <w:rPr>
          <w:lang w:val="en-ZA"/>
        </w:rPr>
        <w:t xml:space="preserve">he door would be opened </w:t>
      </w:r>
      <w:r w:rsidR="00CC0060">
        <w:rPr>
          <w:lang w:val="en-ZA"/>
        </w:rPr>
        <w:t>an array of</w:t>
      </w:r>
      <w:r w:rsidR="00130ED9" w:rsidRPr="003B45EB">
        <w:rPr>
          <w:lang w:val="en-ZA"/>
        </w:rPr>
        <w:t xml:space="preserve"> uncertainty. </w:t>
      </w:r>
    </w:p>
    <w:p w14:paraId="38D7D7FF" w14:textId="77777777" w:rsidR="0002528F" w:rsidRPr="00B10401" w:rsidRDefault="0002528F" w:rsidP="003B45EB">
      <w:pPr>
        <w:spacing w:after="0" w:line="360" w:lineRule="auto"/>
        <w:jc w:val="both"/>
        <w:rPr>
          <w:rFonts w:eastAsia="Calibri"/>
        </w:rPr>
      </w:pPr>
    </w:p>
    <w:p w14:paraId="78B89516" w14:textId="2C81D59F" w:rsidR="006B2691" w:rsidRPr="002914A4" w:rsidRDefault="00C218E2" w:rsidP="003B45EB">
      <w:pPr>
        <w:spacing w:after="0" w:line="360" w:lineRule="auto"/>
        <w:jc w:val="both"/>
        <w:rPr>
          <w:iCs/>
        </w:rPr>
      </w:pPr>
      <w:r>
        <w:rPr>
          <w:rFonts w:eastAsia="Calibri"/>
        </w:rPr>
        <w:t>[3</w:t>
      </w:r>
      <w:r w:rsidR="00CC0060">
        <w:rPr>
          <w:rFonts w:eastAsia="Calibri"/>
        </w:rPr>
        <w:t>8</w:t>
      </w:r>
      <w:r w:rsidR="006B2691" w:rsidRPr="00B10401">
        <w:rPr>
          <w:rFonts w:eastAsia="Calibri"/>
        </w:rPr>
        <w:t xml:space="preserve">] </w:t>
      </w:r>
      <w:r w:rsidR="00C17156">
        <w:rPr>
          <w:rFonts w:eastAsia="Calibri"/>
        </w:rPr>
        <w:tab/>
        <w:t xml:space="preserve">With much respect to the </w:t>
      </w:r>
      <w:r w:rsidR="00E93836">
        <w:rPr>
          <w:rFonts w:eastAsia="Calibri"/>
        </w:rPr>
        <w:t>second defendant</w:t>
      </w:r>
      <w:r w:rsidR="00C17156">
        <w:rPr>
          <w:rFonts w:eastAsia="Calibri"/>
        </w:rPr>
        <w:t xml:space="preserve">, his </w:t>
      </w:r>
      <w:r w:rsidR="00A314D0">
        <w:rPr>
          <w:rFonts w:eastAsia="Calibri"/>
        </w:rPr>
        <w:t>contention that he simply washes</w:t>
      </w:r>
      <w:r w:rsidR="00C17156">
        <w:rPr>
          <w:rFonts w:eastAsia="Calibri"/>
        </w:rPr>
        <w:t xml:space="preserve"> his hands when faced with repayment of monies paid to </w:t>
      </w:r>
      <w:r w:rsidR="006F270D">
        <w:rPr>
          <w:rFonts w:eastAsia="Calibri"/>
        </w:rPr>
        <w:t xml:space="preserve">the </w:t>
      </w:r>
      <w:r w:rsidR="00E93836">
        <w:rPr>
          <w:rFonts w:eastAsia="Calibri"/>
        </w:rPr>
        <w:t>first defendant</w:t>
      </w:r>
      <w:r w:rsidR="00C17156">
        <w:rPr>
          <w:rFonts w:eastAsia="Calibri"/>
        </w:rPr>
        <w:t xml:space="preserve"> for </w:t>
      </w:r>
      <w:r w:rsidR="00C17156" w:rsidRPr="002914A4">
        <w:rPr>
          <w:rFonts w:eastAsia="Calibri"/>
        </w:rPr>
        <w:t xml:space="preserve">purposes of finalizing a building project simply because it was not </w:t>
      </w:r>
      <w:r w:rsidR="00433149" w:rsidRPr="002914A4">
        <w:rPr>
          <w:rFonts w:eastAsia="Calibri"/>
        </w:rPr>
        <w:t>reduced to</w:t>
      </w:r>
      <w:r w:rsidR="00C17156" w:rsidRPr="002914A4">
        <w:rPr>
          <w:rFonts w:eastAsia="Calibri"/>
        </w:rPr>
        <w:t xml:space="preserve"> writing </w:t>
      </w:r>
      <w:r w:rsidR="00A314D0" w:rsidRPr="002914A4">
        <w:rPr>
          <w:rFonts w:eastAsia="Calibri"/>
        </w:rPr>
        <w:t>and done as a result of a ‘mistake’</w:t>
      </w:r>
      <w:r w:rsidR="00C17156" w:rsidRPr="002914A4">
        <w:rPr>
          <w:rFonts w:eastAsia="Calibri"/>
        </w:rPr>
        <w:t xml:space="preserve"> </w:t>
      </w:r>
      <w:r w:rsidR="00A314D0" w:rsidRPr="002914A4">
        <w:rPr>
          <w:rFonts w:eastAsia="Calibri"/>
        </w:rPr>
        <w:t xml:space="preserve">by the plaintiff is </w:t>
      </w:r>
      <w:r w:rsidR="00433149" w:rsidRPr="002914A4">
        <w:rPr>
          <w:rFonts w:eastAsia="Calibri"/>
        </w:rPr>
        <w:t xml:space="preserve">against </w:t>
      </w:r>
      <w:r w:rsidR="00C17156" w:rsidRPr="002914A4">
        <w:rPr>
          <w:rFonts w:eastAsia="Calibri"/>
        </w:rPr>
        <w:t xml:space="preserve">public policy. </w:t>
      </w:r>
      <w:r w:rsidR="00A314D0" w:rsidRPr="002914A4">
        <w:rPr>
          <w:rFonts w:eastAsia="Calibri"/>
        </w:rPr>
        <w:t>As a result</w:t>
      </w:r>
      <w:r w:rsidR="006F270D" w:rsidRPr="002914A4">
        <w:rPr>
          <w:rFonts w:eastAsia="Calibri"/>
        </w:rPr>
        <w:t>,</w:t>
      </w:r>
      <w:r w:rsidR="00A314D0" w:rsidRPr="002914A4">
        <w:rPr>
          <w:rFonts w:eastAsia="Calibri"/>
        </w:rPr>
        <w:t xml:space="preserve"> it</w:t>
      </w:r>
      <w:r w:rsidR="006F270D" w:rsidRPr="002914A4">
        <w:rPr>
          <w:rFonts w:eastAsia="Calibri"/>
        </w:rPr>
        <w:t xml:space="preserve"> </w:t>
      </w:r>
      <w:r w:rsidR="00A314D0" w:rsidRPr="002914A4">
        <w:rPr>
          <w:rFonts w:eastAsia="Calibri"/>
        </w:rPr>
        <w:t>to the court</w:t>
      </w:r>
      <w:r w:rsidR="006F270D" w:rsidRPr="002914A4">
        <w:rPr>
          <w:rFonts w:eastAsia="Calibri"/>
        </w:rPr>
        <w:t>’</w:t>
      </w:r>
      <w:r w:rsidR="00A314D0" w:rsidRPr="002914A4">
        <w:rPr>
          <w:rFonts w:eastAsia="Calibri"/>
        </w:rPr>
        <w:t xml:space="preserve">s mind constitutes </w:t>
      </w:r>
      <w:r w:rsidR="00A314D0" w:rsidRPr="002914A4">
        <w:t>unconscionable conduct and thus in terms of the</w:t>
      </w:r>
      <w:r w:rsidR="006F270D" w:rsidRPr="002914A4">
        <w:t xml:space="preserve"> matter </w:t>
      </w:r>
      <w:r w:rsidR="002C06F7" w:rsidRPr="002914A4">
        <w:t>of Gray</w:t>
      </w:r>
      <w:r w:rsidR="00A314D0" w:rsidRPr="002914A4">
        <w:rPr>
          <w:i/>
          <w:iCs/>
        </w:rPr>
        <w:t xml:space="preserve"> v Waterfront Auctioneers</w:t>
      </w:r>
      <w:r w:rsidR="002914A4">
        <w:rPr>
          <w:i/>
          <w:iCs/>
        </w:rPr>
        <w:t>,</w:t>
      </w:r>
      <w:r w:rsidR="00A314D0" w:rsidRPr="002914A4">
        <w:rPr>
          <w:i/>
          <w:iCs/>
        </w:rPr>
        <w:t xml:space="preserve"> </w:t>
      </w:r>
      <w:r w:rsidR="00A314D0" w:rsidRPr="002914A4">
        <w:t>constitutes an exception to strictly applying a non-variation clause.</w:t>
      </w:r>
      <w:r w:rsidR="00A314D0" w:rsidRPr="002914A4">
        <w:rPr>
          <w:i/>
        </w:rPr>
        <w:t xml:space="preserve"> </w:t>
      </w:r>
      <w:r w:rsidR="00CC0060" w:rsidRPr="002914A4">
        <w:rPr>
          <w:iCs/>
        </w:rPr>
        <w:t xml:space="preserve">That is more so given the fact that the </w:t>
      </w:r>
      <w:r w:rsidR="00E93836" w:rsidRPr="002914A4">
        <w:rPr>
          <w:iCs/>
        </w:rPr>
        <w:t>first and</w:t>
      </w:r>
      <w:r w:rsidR="00CC0060" w:rsidRPr="002914A4">
        <w:rPr>
          <w:iCs/>
        </w:rPr>
        <w:t xml:space="preserve"> </w:t>
      </w:r>
      <w:r w:rsidR="00E93836" w:rsidRPr="002914A4">
        <w:rPr>
          <w:iCs/>
        </w:rPr>
        <w:t>second defendants</w:t>
      </w:r>
      <w:r w:rsidR="00CC0060" w:rsidRPr="002914A4">
        <w:rPr>
          <w:iCs/>
        </w:rPr>
        <w:t xml:space="preserve"> were the protagonists of the disbursement requests and the applications for advances.</w:t>
      </w:r>
    </w:p>
    <w:p w14:paraId="23567FCE" w14:textId="77777777" w:rsidR="00DD49D6" w:rsidRDefault="00DD49D6" w:rsidP="003B45EB">
      <w:pPr>
        <w:spacing w:after="0" w:line="360" w:lineRule="auto"/>
        <w:jc w:val="both"/>
        <w:rPr>
          <w:i/>
        </w:rPr>
      </w:pPr>
    </w:p>
    <w:p w14:paraId="4E9020DC" w14:textId="5F1733F9" w:rsidR="00DD49D6" w:rsidRDefault="00DD49D6" w:rsidP="00DD49D6">
      <w:pPr>
        <w:spacing w:after="0" w:line="360" w:lineRule="auto"/>
        <w:jc w:val="both"/>
        <w:rPr>
          <w:rFonts w:eastAsia="Calibri"/>
        </w:rPr>
      </w:pPr>
      <w:r>
        <w:rPr>
          <w:rFonts w:eastAsia="Calibri"/>
        </w:rPr>
        <w:t>[</w:t>
      </w:r>
      <w:r w:rsidR="00CC0060">
        <w:rPr>
          <w:rFonts w:eastAsia="Calibri"/>
        </w:rPr>
        <w:t>39</w:t>
      </w:r>
      <w:r>
        <w:rPr>
          <w:rFonts w:eastAsia="Calibri"/>
        </w:rPr>
        <w:t>]</w:t>
      </w:r>
      <w:r>
        <w:rPr>
          <w:rFonts w:eastAsia="Calibri"/>
        </w:rPr>
        <w:tab/>
        <w:t xml:space="preserve">The </w:t>
      </w:r>
      <w:r w:rsidR="00E93836">
        <w:rPr>
          <w:rFonts w:eastAsia="Calibri"/>
        </w:rPr>
        <w:t>first and</w:t>
      </w:r>
      <w:r>
        <w:rPr>
          <w:rFonts w:eastAsia="Calibri"/>
        </w:rPr>
        <w:t xml:space="preserve"> </w:t>
      </w:r>
      <w:r w:rsidR="00E93836">
        <w:rPr>
          <w:rFonts w:eastAsia="Calibri"/>
        </w:rPr>
        <w:t>second defendants</w:t>
      </w:r>
      <w:r>
        <w:rPr>
          <w:rFonts w:eastAsia="Calibri"/>
        </w:rPr>
        <w:t xml:space="preserve">, are the parties </w:t>
      </w:r>
      <w:r w:rsidR="00CC0060">
        <w:rPr>
          <w:rFonts w:eastAsia="Calibri"/>
        </w:rPr>
        <w:t>that</w:t>
      </w:r>
      <w:r>
        <w:rPr>
          <w:rFonts w:eastAsia="Calibri"/>
        </w:rPr>
        <w:t xml:space="preserve"> bound themselves to the contract with the plaintiff. The plaintiff performed and repayments to the plaintiff w</w:t>
      </w:r>
      <w:r w:rsidR="006F270D">
        <w:rPr>
          <w:rFonts w:eastAsia="Calibri"/>
        </w:rPr>
        <w:t>ere</w:t>
      </w:r>
      <w:r>
        <w:rPr>
          <w:rFonts w:eastAsia="Calibri"/>
        </w:rPr>
        <w:t xml:space="preserve"> made by the </w:t>
      </w:r>
      <w:r w:rsidR="00E93836">
        <w:rPr>
          <w:rFonts w:eastAsia="Calibri"/>
        </w:rPr>
        <w:t>first and</w:t>
      </w:r>
      <w:r>
        <w:rPr>
          <w:rFonts w:eastAsia="Calibri"/>
        </w:rPr>
        <w:t xml:space="preserve"> </w:t>
      </w:r>
      <w:r w:rsidR="00E93836">
        <w:rPr>
          <w:rFonts w:eastAsia="Calibri"/>
        </w:rPr>
        <w:t xml:space="preserve">second </w:t>
      </w:r>
      <w:r w:rsidR="00E93836">
        <w:rPr>
          <w:rFonts w:eastAsia="Calibri"/>
        </w:rPr>
        <w:lastRenderedPageBreak/>
        <w:t>defendants</w:t>
      </w:r>
      <w:r>
        <w:rPr>
          <w:rFonts w:eastAsia="Calibri"/>
        </w:rPr>
        <w:t xml:space="preserve">, through the </w:t>
      </w:r>
      <w:r w:rsidR="00E93836">
        <w:rPr>
          <w:rFonts w:eastAsia="Calibri"/>
        </w:rPr>
        <w:t>third defendant</w:t>
      </w:r>
      <w:r>
        <w:rPr>
          <w:rFonts w:eastAsia="Calibri"/>
        </w:rPr>
        <w:t xml:space="preserve">, </w:t>
      </w:r>
      <w:r w:rsidR="00CC0060">
        <w:rPr>
          <w:rFonts w:eastAsia="Calibri"/>
        </w:rPr>
        <w:t>in relation to those completed phases of the work.</w:t>
      </w:r>
      <w:r w:rsidR="00083D59">
        <w:rPr>
          <w:rFonts w:eastAsia="Calibri"/>
        </w:rPr>
        <w:t xml:space="preserve"> T</w:t>
      </w:r>
      <w:r>
        <w:rPr>
          <w:rFonts w:eastAsia="Calibri"/>
        </w:rPr>
        <w:t xml:space="preserve">he </w:t>
      </w:r>
      <w:r w:rsidR="00E93836">
        <w:rPr>
          <w:rFonts w:eastAsia="Calibri"/>
        </w:rPr>
        <w:t>first and</w:t>
      </w:r>
      <w:r>
        <w:rPr>
          <w:rFonts w:eastAsia="Calibri"/>
        </w:rPr>
        <w:t xml:space="preserve"> </w:t>
      </w:r>
      <w:r w:rsidR="00E93836">
        <w:rPr>
          <w:rFonts w:eastAsia="Calibri"/>
        </w:rPr>
        <w:t>second defendants</w:t>
      </w:r>
      <w:r>
        <w:rPr>
          <w:rFonts w:eastAsia="Calibri"/>
        </w:rPr>
        <w:t xml:space="preserve"> failed to finalize the project and therefore </w:t>
      </w:r>
      <w:r w:rsidR="00CC0060">
        <w:rPr>
          <w:rFonts w:eastAsia="Calibri"/>
        </w:rPr>
        <w:t>could not get</w:t>
      </w:r>
      <w:r>
        <w:rPr>
          <w:rFonts w:eastAsia="Calibri"/>
        </w:rPr>
        <w:t xml:space="preserve"> further progress payment </w:t>
      </w:r>
      <w:r w:rsidR="00CC0060">
        <w:rPr>
          <w:rFonts w:eastAsia="Calibri"/>
        </w:rPr>
        <w:t>from</w:t>
      </w:r>
      <w:r>
        <w:rPr>
          <w:rFonts w:eastAsia="Calibri"/>
        </w:rPr>
        <w:t xml:space="preserve"> the </w:t>
      </w:r>
      <w:r w:rsidR="00E93836">
        <w:rPr>
          <w:rFonts w:eastAsia="Calibri"/>
        </w:rPr>
        <w:t>third defendant</w:t>
      </w:r>
      <w:r>
        <w:rPr>
          <w:rFonts w:eastAsia="Calibri"/>
        </w:rPr>
        <w:t xml:space="preserve">. </w:t>
      </w:r>
    </w:p>
    <w:p w14:paraId="0A498A1E" w14:textId="77777777" w:rsidR="00DD49D6" w:rsidRDefault="00DD49D6" w:rsidP="00DD49D6">
      <w:pPr>
        <w:spacing w:after="0" w:line="360" w:lineRule="auto"/>
        <w:jc w:val="both"/>
        <w:rPr>
          <w:rFonts w:eastAsia="Calibri"/>
        </w:rPr>
      </w:pPr>
    </w:p>
    <w:p w14:paraId="42444D7B" w14:textId="4E61A83E" w:rsidR="00DD49D6" w:rsidRDefault="00DD49D6" w:rsidP="00DD49D6">
      <w:pPr>
        <w:spacing w:after="0" w:line="360" w:lineRule="auto"/>
        <w:jc w:val="both"/>
        <w:rPr>
          <w:rFonts w:eastAsia="Calibri"/>
        </w:rPr>
      </w:pPr>
      <w:r>
        <w:rPr>
          <w:rFonts w:eastAsia="Calibri"/>
        </w:rPr>
        <w:t>[</w:t>
      </w:r>
      <w:r w:rsidR="00C218E2">
        <w:rPr>
          <w:rFonts w:eastAsia="Calibri"/>
        </w:rPr>
        <w:t>4</w:t>
      </w:r>
      <w:r w:rsidR="00CC0060">
        <w:rPr>
          <w:rFonts w:eastAsia="Calibri"/>
        </w:rPr>
        <w:t>0</w:t>
      </w:r>
      <w:r>
        <w:rPr>
          <w:rFonts w:eastAsia="Calibri"/>
        </w:rPr>
        <w:t>]</w:t>
      </w:r>
      <w:r>
        <w:rPr>
          <w:rFonts w:eastAsia="Calibri"/>
        </w:rPr>
        <w:tab/>
        <w:t xml:space="preserve">The </w:t>
      </w:r>
      <w:r w:rsidR="00E93836">
        <w:rPr>
          <w:rFonts w:eastAsia="Calibri"/>
        </w:rPr>
        <w:t>second defendant</w:t>
      </w:r>
      <w:r>
        <w:rPr>
          <w:rFonts w:eastAsia="Calibri"/>
        </w:rPr>
        <w:t xml:space="preserve"> further conceded during cross examination that </w:t>
      </w:r>
      <w:r w:rsidR="00CC0060">
        <w:rPr>
          <w:rFonts w:eastAsia="Calibri"/>
        </w:rPr>
        <w:t xml:space="preserve">he </w:t>
      </w:r>
      <w:r>
        <w:rPr>
          <w:rFonts w:eastAsia="Calibri"/>
        </w:rPr>
        <w:t xml:space="preserve">did not </w:t>
      </w:r>
      <w:r w:rsidR="00CC0060">
        <w:rPr>
          <w:rFonts w:eastAsia="Calibri"/>
        </w:rPr>
        <w:t xml:space="preserve">seek </w:t>
      </w:r>
      <w:r>
        <w:rPr>
          <w:rFonts w:eastAsia="Calibri"/>
        </w:rPr>
        <w:t xml:space="preserve">all the progress payments which should have been submitted to the </w:t>
      </w:r>
      <w:r w:rsidR="00E93836">
        <w:rPr>
          <w:rFonts w:eastAsia="Calibri"/>
        </w:rPr>
        <w:t>third defendant</w:t>
      </w:r>
      <w:r>
        <w:rPr>
          <w:rFonts w:eastAsia="Calibri"/>
        </w:rPr>
        <w:t xml:space="preserve">. </w:t>
      </w:r>
      <w:r w:rsidR="00CC0060">
        <w:rPr>
          <w:rFonts w:eastAsia="Calibri"/>
        </w:rPr>
        <w:t xml:space="preserve">Evidently, he could not do so because the </w:t>
      </w:r>
      <w:r w:rsidR="00E93836">
        <w:rPr>
          <w:rFonts w:eastAsia="Calibri"/>
        </w:rPr>
        <w:t>first defendant</w:t>
      </w:r>
      <w:r w:rsidR="00CC0060">
        <w:rPr>
          <w:rFonts w:eastAsia="Calibri"/>
        </w:rPr>
        <w:t xml:space="preserve"> did not complete the project. It is in evidence that </w:t>
      </w:r>
      <w:r w:rsidR="00E93836">
        <w:rPr>
          <w:rFonts w:eastAsia="Calibri"/>
        </w:rPr>
        <w:t>first and</w:t>
      </w:r>
      <w:r w:rsidR="00CC0060">
        <w:rPr>
          <w:rFonts w:eastAsia="Calibri"/>
        </w:rPr>
        <w:t xml:space="preserve"> </w:t>
      </w:r>
      <w:r w:rsidR="00E93836">
        <w:rPr>
          <w:rFonts w:eastAsia="Calibri"/>
        </w:rPr>
        <w:t>second defendants</w:t>
      </w:r>
      <w:r w:rsidR="00CC0060">
        <w:rPr>
          <w:rFonts w:eastAsia="Calibri"/>
        </w:rPr>
        <w:t xml:space="preserve"> abandoned the project midway. </w:t>
      </w:r>
    </w:p>
    <w:p w14:paraId="599CA658" w14:textId="77777777" w:rsidR="00433149" w:rsidRDefault="00433149" w:rsidP="003B45EB">
      <w:pPr>
        <w:spacing w:after="0" w:line="360" w:lineRule="auto"/>
        <w:jc w:val="both"/>
        <w:rPr>
          <w:i/>
        </w:rPr>
      </w:pPr>
    </w:p>
    <w:p w14:paraId="52976472" w14:textId="538ECA52" w:rsidR="00A314D0" w:rsidRDefault="00C218E2" w:rsidP="003B45EB">
      <w:pPr>
        <w:spacing w:after="0" w:line="360" w:lineRule="auto"/>
        <w:jc w:val="both"/>
        <w:rPr>
          <w:lang w:val="en-ZA"/>
        </w:rPr>
      </w:pPr>
      <w:r>
        <w:t>[4</w:t>
      </w:r>
      <w:r w:rsidR="00CC0060">
        <w:t>1</w:t>
      </w:r>
      <w:r>
        <w:t>]</w:t>
      </w:r>
      <w:r>
        <w:tab/>
      </w:r>
      <w:r w:rsidR="00CC0060">
        <w:t xml:space="preserve">I opine that </w:t>
      </w:r>
      <w:r w:rsidR="00433149">
        <w:t xml:space="preserve"> it would be </w:t>
      </w:r>
      <w:r w:rsidR="00D2555E">
        <w:t>unconscionable</w:t>
      </w:r>
      <w:r w:rsidR="00433149">
        <w:t>, to have a party to a contract who conducted</w:t>
      </w:r>
      <w:r w:rsidR="00D2555E">
        <w:t xml:space="preserve"> itself </w:t>
      </w:r>
      <w:r w:rsidR="00433149">
        <w:t xml:space="preserve"> as the </w:t>
      </w:r>
      <w:r w:rsidR="00E93836">
        <w:t>first and</w:t>
      </w:r>
      <w:r w:rsidR="00D2555E">
        <w:t xml:space="preserve"> </w:t>
      </w:r>
      <w:r w:rsidR="00E93836">
        <w:t>second</w:t>
      </w:r>
      <w:r w:rsidR="00433149">
        <w:t xml:space="preserve"> defendant</w:t>
      </w:r>
      <w:r w:rsidR="00D2555E">
        <w:t>s did, and parti</w:t>
      </w:r>
      <w:r w:rsidR="00567826">
        <w:t>cularly</w:t>
      </w:r>
      <w:r w:rsidR="00D2555E">
        <w:t xml:space="preserve"> where </w:t>
      </w:r>
      <w:r w:rsidR="00567826">
        <w:t xml:space="preserve"> the capital amounts were increased on three occasions, to simply refuse to recognize the last increase because same was not </w:t>
      </w:r>
      <w:r w:rsidR="00D2555E">
        <w:t>reduced to</w:t>
      </w:r>
      <w:r w:rsidR="00567826">
        <w:t xml:space="preserve"> writing. </w:t>
      </w:r>
      <w:r w:rsidR="00D2555E">
        <w:rPr>
          <w:lang w:val="en-ZA"/>
        </w:rPr>
        <w:t>I can</w:t>
      </w:r>
      <w:r w:rsidR="00567826">
        <w:rPr>
          <w:lang w:val="en-ZA"/>
        </w:rPr>
        <w:t xml:space="preserve"> safely conclude that </w:t>
      </w:r>
      <w:r w:rsidR="00D2555E">
        <w:rPr>
          <w:lang w:val="en-ZA"/>
        </w:rPr>
        <w:t xml:space="preserve">strict </w:t>
      </w:r>
      <w:r w:rsidR="00567826">
        <w:rPr>
          <w:lang w:val="en-ZA"/>
        </w:rPr>
        <w:t xml:space="preserve">reliance on the non-variation clause would amount to conduct in bad faith or against public </w:t>
      </w:r>
      <w:r w:rsidR="002C06F7">
        <w:rPr>
          <w:lang w:val="en-ZA"/>
        </w:rPr>
        <w:t>policy.</w:t>
      </w:r>
      <w:r w:rsidR="00567826">
        <w:rPr>
          <w:lang w:val="en-ZA"/>
        </w:rPr>
        <w:t xml:space="preserve">  </w:t>
      </w:r>
    </w:p>
    <w:p w14:paraId="0DDF09F3" w14:textId="77777777" w:rsidR="00DD49D6" w:rsidRDefault="00DD49D6" w:rsidP="003B45EB">
      <w:pPr>
        <w:spacing w:after="0" w:line="360" w:lineRule="auto"/>
        <w:jc w:val="both"/>
        <w:rPr>
          <w:lang w:val="en-ZA"/>
        </w:rPr>
      </w:pPr>
    </w:p>
    <w:p w14:paraId="408D74E3" w14:textId="05E575B1" w:rsidR="00DD49D6" w:rsidRDefault="00C218E2" w:rsidP="003B45EB">
      <w:pPr>
        <w:spacing w:after="0" w:line="360" w:lineRule="auto"/>
        <w:jc w:val="both"/>
        <w:rPr>
          <w:lang w:val="en-ZA"/>
        </w:rPr>
      </w:pPr>
      <w:r>
        <w:rPr>
          <w:lang w:val="en-ZA"/>
        </w:rPr>
        <w:lastRenderedPageBreak/>
        <w:t>[4</w:t>
      </w:r>
      <w:r w:rsidR="00D2555E">
        <w:rPr>
          <w:lang w:val="en-ZA"/>
        </w:rPr>
        <w:t>2</w:t>
      </w:r>
      <w:r>
        <w:rPr>
          <w:lang w:val="en-ZA"/>
        </w:rPr>
        <w:t>]</w:t>
      </w:r>
      <w:r>
        <w:rPr>
          <w:lang w:val="en-ZA"/>
        </w:rPr>
        <w:tab/>
      </w:r>
      <w:r w:rsidR="00DD49D6">
        <w:rPr>
          <w:lang w:val="en-ZA"/>
        </w:rPr>
        <w:t xml:space="preserve">In any event, even if the court were to indulge the argument by the </w:t>
      </w:r>
      <w:r w:rsidR="00E93836">
        <w:rPr>
          <w:lang w:val="en-ZA"/>
        </w:rPr>
        <w:t>second</w:t>
      </w:r>
      <w:r w:rsidR="00DD49D6">
        <w:rPr>
          <w:lang w:val="en-ZA"/>
        </w:rPr>
        <w:t xml:space="preserve"> defendant that the money was paid </w:t>
      </w:r>
      <w:r w:rsidR="006F270D">
        <w:rPr>
          <w:lang w:val="en-ZA"/>
        </w:rPr>
        <w:t>as a result of</w:t>
      </w:r>
      <w:r w:rsidR="00DD49D6">
        <w:rPr>
          <w:lang w:val="en-ZA"/>
        </w:rPr>
        <w:t xml:space="preserve"> mistake by the plaintiff</w:t>
      </w:r>
      <w:r w:rsidR="000A3E61">
        <w:rPr>
          <w:lang w:val="en-ZA"/>
        </w:rPr>
        <w:t>, t</w:t>
      </w:r>
      <w:r w:rsidR="00DD49D6">
        <w:rPr>
          <w:lang w:val="en-ZA"/>
        </w:rPr>
        <w:t xml:space="preserve">he </w:t>
      </w:r>
      <w:r w:rsidR="00E93836">
        <w:rPr>
          <w:lang w:val="en-ZA"/>
        </w:rPr>
        <w:t>first</w:t>
      </w:r>
      <w:r w:rsidR="00DD49D6">
        <w:rPr>
          <w:lang w:val="en-ZA"/>
        </w:rPr>
        <w:t xml:space="preserve"> defendant would in the circumstances </w:t>
      </w:r>
      <w:r w:rsidR="000A3E61">
        <w:rPr>
          <w:lang w:val="en-ZA"/>
        </w:rPr>
        <w:t xml:space="preserve">still </w:t>
      </w:r>
      <w:r w:rsidR="00DD49D6">
        <w:rPr>
          <w:lang w:val="en-ZA"/>
        </w:rPr>
        <w:t xml:space="preserve">have been </w:t>
      </w:r>
      <w:r w:rsidR="0047145B">
        <w:rPr>
          <w:lang w:val="en-ZA"/>
        </w:rPr>
        <w:t xml:space="preserve">enriched </w:t>
      </w:r>
      <w:r w:rsidR="0047145B" w:rsidRPr="000C58D3">
        <w:rPr>
          <w:lang w:val="en-CA"/>
        </w:rPr>
        <w:t>in the amount of N$</w:t>
      </w:r>
      <w:r w:rsidR="0047145B">
        <w:rPr>
          <w:lang w:val="en-CA"/>
        </w:rPr>
        <w:t xml:space="preserve"> 1,936,439.75</w:t>
      </w:r>
      <w:r w:rsidR="00DD49D6">
        <w:rPr>
          <w:rStyle w:val="FootnoteReference"/>
          <w:lang w:val="en-ZA"/>
        </w:rPr>
        <w:footnoteReference w:id="32"/>
      </w:r>
      <w:r w:rsidR="00DD49D6">
        <w:rPr>
          <w:lang w:val="en-ZA"/>
        </w:rPr>
        <w:t xml:space="preserve">. </w:t>
      </w:r>
      <w:r w:rsidR="000A3E61">
        <w:rPr>
          <w:lang w:val="en-ZA"/>
        </w:rPr>
        <w:t xml:space="preserve"> This enrichment claim was pleaded in the alternative.  One does not need Solomonic wisdom to realize that if the plaintiff had not paid the expenses of and on behalf of the </w:t>
      </w:r>
      <w:r w:rsidR="00E93836">
        <w:rPr>
          <w:lang w:val="en-ZA"/>
        </w:rPr>
        <w:t>first defendant</w:t>
      </w:r>
      <w:r w:rsidR="000A3E61">
        <w:rPr>
          <w:lang w:val="en-ZA"/>
        </w:rPr>
        <w:t>, the latter would have been burdened with same. In turn, that burden was carried by the plaintiff</w:t>
      </w:r>
      <w:r w:rsidR="00571C2C">
        <w:rPr>
          <w:lang w:val="en-ZA"/>
        </w:rPr>
        <w:t xml:space="preserve"> and the debts of the </w:t>
      </w:r>
      <w:r w:rsidR="00E93836">
        <w:rPr>
          <w:lang w:val="en-ZA"/>
        </w:rPr>
        <w:t>first defendant</w:t>
      </w:r>
      <w:r w:rsidR="00571C2C">
        <w:rPr>
          <w:lang w:val="en-ZA"/>
        </w:rPr>
        <w:t xml:space="preserve"> to its various suppliers were discharged</w:t>
      </w:r>
      <w:r w:rsidR="000A3E61">
        <w:rPr>
          <w:lang w:val="en-ZA"/>
        </w:rPr>
        <w:t xml:space="preserve">. </w:t>
      </w:r>
      <w:r w:rsidR="00DD49D6">
        <w:rPr>
          <w:lang w:val="en-ZA"/>
        </w:rPr>
        <w:t xml:space="preserve">This enrichment is </w:t>
      </w:r>
      <w:r w:rsidR="0047145B">
        <w:rPr>
          <w:lang w:val="en-ZA"/>
        </w:rPr>
        <w:t xml:space="preserve">in the circumstances unjustified and the plaintiff is indeed impoverished thereby. </w:t>
      </w:r>
    </w:p>
    <w:p w14:paraId="1C509C54" w14:textId="5B8A0B45" w:rsidR="006B2691" w:rsidRDefault="006B2691" w:rsidP="00B10401">
      <w:pPr>
        <w:spacing w:after="0" w:line="360" w:lineRule="auto"/>
        <w:jc w:val="both"/>
        <w:rPr>
          <w:lang w:val="en-ZA"/>
        </w:rPr>
      </w:pPr>
    </w:p>
    <w:p w14:paraId="7816A644" w14:textId="4A1C6B7D" w:rsidR="0047145B" w:rsidRDefault="00C218E2" w:rsidP="00B10401">
      <w:pPr>
        <w:spacing w:after="0" w:line="360" w:lineRule="auto"/>
        <w:jc w:val="both"/>
        <w:rPr>
          <w:lang w:val="en-ZA"/>
        </w:rPr>
      </w:pPr>
      <w:r>
        <w:rPr>
          <w:lang w:val="en-ZA"/>
        </w:rPr>
        <w:lastRenderedPageBreak/>
        <w:t>[4</w:t>
      </w:r>
      <w:r w:rsidR="00D2555E">
        <w:rPr>
          <w:lang w:val="en-ZA"/>
        </w:rPr>
        <w:t>3</w:t>
      </w:r>
      <w:r>
        <w:rPr>
          <w:lang w:val="en-ZA"/>
        </w:rPr>
        <w:t>]</w:t>
      </w:r>
      <w:r>
        <w:rPr>
          <w:lang w:val="en-ZA"/>
        </w:rPr>
        <w:tab/>
        <w:t>T</w:t>
      </w:r>
      <w:r w:rsidR="0047145B">
        <w:rPr>
          <w:lang w:val="en-ZA"/>
        </w:rPr>
        <w:t xml:space="preserve">he argument advanced by the </w:t>
      </w:r>
      <w:r w:rsidR="00E93836">
        <w:rPr>
          <w:lang w:val="en-ZA"/>
        </w:rPr>
        <w:t>second defendant</w:t>
      </w:r>
      <w:r w:rsidR="0047145B">
        <w:rPr>
          <w:lang w:val="en-ZA"/>
        </w:rPr>
        <w:t xml:space="preserve"> that it is the </w:t>
      </w:r>
      <w:r w:rsidR="00E93836">
        <w:rPr>
          <w:lang w:val="en-ZA"/>
        </w:rPr>
        <w:t>third defendant</w:t>
      </w:r>
      <w:r w:rsidR="0047145B">
        <w:rPr>
          <w:lang w:val="en-ZA"/>
        </w:rPr>
        <w:t xml:space="preserve"> which was enriched as the building so constructed belong</w:t>
      </w:r>
      <w:r w:rsidR="00D2555E">
        <w:rPr>
          <w:lang w:val="en-ZA"/>
        </w:rPr>
        <w:t>s</w:t>
      </w:r>
      <w:r w:rsidR="0047145B">
        <w:rPr>
          <w:lang w:val="en-ZA"/>
        </w:rPr>
        <w:t xml:space="preserve"> to the </w:t>
      </w:r>
      <w:r w:rsidR="00E93836">
        <w:rPr>
          <w:lang w:val="en-ZA"/>
        </w:rPr>
        <w:t>third defendant</w:t>
      </w:r>
      <w:r w:rsidR="0047145B">
        <w:rPr>
          <w:lang w:val="en-ZA"/>
        </w:rPr>
        <w:t xml:space="preserve"> is with much respect no</w:t>
      </w:r>
      <w:r w:rsidR="000A3E61">
        <w:rPr>
          <w:lang w:val="en-ZA"/>
        </w:rPr>
        <w:t>t</w:t>
      </w:r>
      <w:r w:rsidR="0047145B">
        <w:rPr>
          <w:lang w:val="en-ZA"/>
        </w:rPr>
        <w:t xml:space="preserve"> competent. </w:t>
      </w:r>
      <w:r w:rsidR="000A3E61">
        <w:rPr>
          <w:lang w:val="en-ZA"/>
        </w:rPr>
        <w:t>T</w:t>
      </w:r>
      <w:r w:rsidR="0047145B">
        <w:rPr>
          <w:lang w:val="en-ZA"/>
        </w:rPr>
        <w:t>he facility agreement was entered into b</w:t>
      </w:r>
      <w:r w:rsidR="000A3E61">
        <w:rPr>
          <w:lang w:val="en-ZA"/>
        </w:rPr>
        <w:t>etween</w:t>
      </w:r>
      <w:r w:rsidR="0047145B">
        <w:rPr>
          <w:lang w:val="en-ZA"/>
        </w:rPr>
        <w:t xml:space="preserve"> the plaintiff and </w:t>
      </w:r>
      <w:r w:rsidR="00E93836">
        <w:rPr>
          <w:lang w:val="en-ZA"/>
        </w:rPr>
        <w:t>first defendant</w:t>
      </w:r>
      <w:r w:rsidR="0047145B">
        <w:rPr>
          <w:lang w:val="en-ZA"/>
        </w:rPr>
        <w:t xml:space="preserve"> only</w:t>
      </w:r>
      <w:r w:rsidR="000A3E61">
        <w:rPr>
          <w:lang w:val="en-ZA"/>
        </w:rPr>
        <w:t xml:space="preserve">. </w:t>
      </w:r>
      <w:r w:rsidR="0047145B">
        <w:rPr>
          <w:lang w:val="en-ZA"/>
        </w:rPr>
        <w:t xml:space="preserve"> </w:t>
      </w:r>
      <w:r w:rsidR="000A3E61">
        <w:rPr>
          <w:lang w:val="en-ZA"/>
        </w:rPr>
        <w:t xml:space="preserve">The </w:t>
      </w:r>
      <w:r w:rsidR="00E93836">
        <w:rPr>
          <w:lang w:val="en-ZA"/>
        </w:rPr>
        <w:t>first and</w:t>
      </w:r>
      <w:r w:rsidR="000A3E61">
        <w:rPr>
          <w:lang w:val="en-ZA"/>
        </w:rPr>
        <w:t xml:space="preserve"> </w:t>
      </w:r>
      <w:r w:rsidR="00E93836">
        <w:rPr>
          <w:lang w:val="en-ZA"/>
        </w:rPr>
        <w:t>second defendants</w:t>
      </w:r>
      <w:r w:rsidR="0047145B">
        <w:rPr>
          <w:lang w:val="en-ZA"/>
        </w:rPr>
        <w:t xml:space="preserve"> benefitted directly there</w:t>
      </w:r>
      <w:r w:rsidR="000A3E61">
        <w:rPr>
          <w:lang w:val="en-ZA"/>
        </w:rPr>
        <w:t>from</w:t>
      </w:r>
      <w:r w:rsidR="0047145B">
        <w:rPr>
          <w:lang w:val="en-ZA"/>
        </w:rPr>
        <w:t xml:space="preserve"> as th</w:t>
      </w:r>
      <w:r w:rsidR="000A3E61">
        <w:rPr>
          <w:lang w:val="en-ZA"/>
        </w:rPr>
        <w:t xml:space="preserve">ey </w:t>
      </w:r>
      <w:r w:rsidR="0047145B">
        <w:rPr>
          <w:lang w:val="en-ZA"/>
        </w:rPr>
        <w:t xml:space="preserve">would </w:t>
      </w:r>
      <w:r w:rsidR="000A3E61">
        <w:rPr>
          <w:lang w:val="en-ZA"/>
        </w:rPr>
        <w:t xml:space="preserve">otherwise </w:t>
      </w:r>
      <w:r w:rsidR="0047145B">
        <w:rPr>
          <w:lang w:val="en-ZA"/>
        </w:rPr>
        <w:t xml:space="preserve">not have been able to </w:t>
      </w:r>
      <w:r w:rsidR="000A3E61">
        <w:rPr>
          <w:lang w:val="en-ZA"/>
        </w:rPr>
        <w:t xml:space="preserve">meet their contractual obligations to the </w:t>
      </w:r>
      <w:r w:rsidR="00E93836">
        <w:rPr>
          <w:lang w:val="en-ZA"/>
        </w:rPr>
        <w:t>third defendant</w:t>
      </w:r>
      <w:r w:rsidR="000A3E61">
        <w:rPr>
          <w:lang w:val="en-ZA"/>
        </w:rPr>
        <w:t>.</w:t>
      </w:r>
    </w:p>
    <w:p w14:paraId="6A313F07" w14:textId="77777777" w:rsidR="001842AC" w:rsidRDefault="001842AC" w:rsidP="001842AC">
      <w:pPr>
        <w:pStyle w:val="ListParagraph"/>
        <w:widowControl w:val="0"/>
        <w:spacing w:after="0" w:line="360" w:lineRule="auto"/>
        <w:ind w:left="0"/>
        <w:contextualSpacing w:val="0"/>
        <w:jc w:val="both"/>
        <w:rPr>
          <w:rFonts w:eastAsia="Calibri"/>
        </w:rPr>
      </w:pPr>
    </w:p>
    <w:p w14:paraId="5F210ED2" w14:textId="0154BAF7" w:rsidR="00DD49D6" w:rsidRDefault="00C218E2" w:rsidP="001842AC">
      <w:pPr>
        <w:pStyle w:val="ListParagraph"/>
        <w:widowControl w:val="0"/>
        <w:spacing w:after="0" w:line="360" w:lineRule="auto"/>
        <w:ind w:left="0"/>
        <w:contextualSpacing w:val="0"/>
        <w:jc w:val="both"/>
        <w:rPr>
          <w:lang w:val="en-CA"/>
        </w:rPr>
      </w:pPr>
      <w:r>
        <w:rPr>
          <w:lang w:val="en-CA"/>
        </w:rPr>
        <w:t>[4</w:t>
      </w:r>
      <w:r w:rsidR="00D2555E">
        <w:rPr>
          <w:lang w:val="en-CA"/>
        </w:rPr>
        <w:t>4]</w:t>
      </w:r>
      <w:r>
        <w:rPr>
          <w:lang w:val="en-CA"/>
        </w:rPr>
        <w:tab/>
      </w:r>
      <w:r w:rsidR="00DD49D6">
        <w:rPr>
          <w:lang w:val="en-CA"/>
        </w:rPr>
        <w:t xml:space="preserve">In the circumstances the </w:t>
      </w:r>
      <w:r w:rsidR="00E93836">
        <w:rPr>
          <w:lang w:val="en-CA"/>
        </w:rPr>
        <w:t>first and</w:t>
      </w:r>
      <w:r w:rsidR="00D2555E">
        <w:rPr>
          <w:lang w:val="en-CA"/>
        </w:rPr>
        <w:t xml:space="preserve"> </w:t>
      </w:r>
      <w:r w:rsidR="00E93836">
        <w:rPr>
          <w:lang w:val="en-CA"/>
        </w:rPr>
        <w:t>second defendants</w:t>
      </w:r>
      <w:r w:rsidR="001842AC">
        <w:rPr>
          <w:lang w:val="en-CA"/>
        </w:rPr>
        <w:t xml:space="preserve"> are jointly and severally liable</w:t>
      </w:r>
      <w:r w:rsidR="00D2555E">
        <w:rPr>
          <w:lang w:val="en-CA"/>
        </w:rPr>
        <w:t xml:space="preserve"> to the plaintiff</w:t>
      </w:r>
      <w:r w:rsidR="001842AC">
        <w:rPr>
          <w:lang w:val="en-CA"/>
        </w:rPr>
        <w:t>,</w:t>
      </w:r>
      <w:r w:rsidR="00DD49D6">
        <w:rPr>
          <w:lang w:val="en-CA"/>
        </w:rPr>
        <w:t xml:space="preserve"> the one paying the other to be absolved, in the amounts </w:t>
      </w:r>
      <w:r w:rsidR="0047145B">
        <w:rPr>
          <w:lang w:val="en-CA"/>
        </w:rPr>
        <w:t xml:space="preserve">so </w:t>
      </w:r>
      <w:r w:rsidR="00DD49D6">
        <w:rPr>
          <w:lang w:val="en-CA"/>
        </w:rPr>
        <w:t>claimed, with interest and costs as prayed for.</w:t>
      </w:r>
    </w:p>
    <w:p w14:paraId="0DF00854" w14:textId="4C7C4180" w:rsidR="006B2691" w:rsidRDefault="006B2691" w:rsidP="00772B20">
      <w:pPr>
        <w:spacing w:after="0" w:line="360" w:lineRule="auto"/>
        <w:jc w:val="both"/>
        <w:rPr>
          <w:rFonts w:eastAsia="Calibri"/>
        </w:rPr>
      </w:pPr>
    </w:p>
    <w:p w14:paraId="24D46F18" w14:textId="4815E443" w:rsidR="00DE1D56" w:rsidRPr="002A7FCE" w:rsidRDefault="002D1C61" w:rsidP="00772B20">
      <w:pPr>
        <w:spacing w:after="0" w:line="360" w:lineRule="auto"/>
        <w:contextualSpacing/>
        <w:jc w:val="both"/>
        <w:rPr>
          <w:lang w:val="en-ZA"/>
        </w:rPr>
      </w:pPr>
      <w:r w:rsidRPr="002A7FCE">
        <w:rPr>
          <w:lang w:val="en-ZA"/>
        </w:rPr>
        <w:t>[</w:t>
      </w:r>
      <w:r w:rsidR="00C218E2">
        <w:rPr>
          <w:lang w:val="en-ZA"/>
        </w:rPr>
        <w:t>4</w:t>
      </w:r>
      <w:r w:rsidR="00D2555E">
        <w:rPr>
          <w:lang w:val="en-ZA"/>
        </w:rPr>
        <w:t>5</w:t>
      </w:r>
      <w:r w:rsidR="006B6357" w:rsidRPr="002A7FCE">
        <w:rPr>
          <w:lang w:val="en-ZA"/>
        </w:rPr>
        <w:t>]</w:t>
      </w:r>
      <w:r w:rsidR="006B6357" w:rsidRPr="002A7FCE">
        <w:rPr>
          <w:lang w:val="en-ZA"/>
        </w:rPr>
        <w:tab/>
      </w:r>
      <w:r w:rsidR="00DE1D56" w:rsidRPr="002A7FCE">
        <w:rPr>
          <w:lang w:val="en-ZA"/>
        </w:rPr>
        <w:t>In consequence whereof</w:t>
      </w:r>
      <w:r w:rsidR="006B6357" w:rsidRPr="002A7FCE">
        <w:rPr>
          <w:lang w:val="en-ZA"/>
        </w:rPr>
        <w:t>,</w:t>
      </w:r>
      <w:r w:rsidR="00DE1D56" w:rsidRPr="002A7FCE">
        <w:rPr>
          <w:lang w:val="en-ZA"/>
        </w:rPr>
        <w:t xml:space="preserve"> I make the following order:</w:t>
      </w:r>
    </w:p>
    <w:p w14:paraId="4568C63C" w14:textId="5F89D778" w:rsidR="00A87859" w:rsidRDefault="00A87859" w:rsidP="00772B20">
      <w:pPr>
        <w:spacing w:after="0" w:line="360" w:lineRule="auto"/>
        <w:jc w:val="both"/>
        <w:rPr>
          <w:lang w:val="en-ZA"/>
        </w:rPr>
      </w:pPr>
    </w:p>
    <w:p w14:paraId="04B10D13" w14:textId="6ADCEE68" w:rsidR="000A3E61" w:rsidRPr="00571C2C" w:rsidRDefault="000A3E61" w:rsidP="006930FE">
      <w:pPr>
        <w:pStyle w:val="ListParagraph"/>
        <w:widowControl w:val="0"/>
        <w:numPr>
          <w:ilvl w:val="0"/>
          <w:numId w:val="33"/>
        </w:numPr>
        <w:spacing w:after="0" w:line="360" w:lineRule="auto"/>
        <w:jc w:val="both"/>
      </w:pPr>
      <w:r w:rsidRPr="006930FE">
        <w:rPr>
          <w:lang w:val="en-CA"/>
        </w:rPr>
        <w:t xml:space="preserve">The </w:t>
      </w:r>
      <w:r w:rsidR="00E93836">
        <w:rPr>
          <w:lang w:val="en-CA"/>
        </w:rPr>
        <w:t>first</w:t>
      </w:r>
      <w:r w:rsidR="00E93836" w:rsidRPr="006930FE">
        <w:rPr>
          <w:lang w:val="en-CA"/>
        </w:rPr>
        <w:t xml:space="preserve"> and</w:t>
      </w:r>
      <w:r w:rsidRPr="006930FE">
        <w:rPr>
          <w:lang w:val="en-CA"/>
        </w:rPr>
        <w:t xml:space="preserve"> </w:t>
      </w:r>
      <w:r w:rsidR="00E93836">
        <w:rPr>
          <w:lang w:val="en-CA"/>
        </w:rPr>
        <w:t>second</w:t>
      </w:r>
      <w:r w:rsidR="00E93836" w:rsidRPr="006930FE">
        <w:rPr>
          <w:lang w:val="en-CA"/>
        </w:rPr>
        <w:t xml:space="preserve"> defendants</w:t>
      </w:r>
      <w:r w:rsidRPr="006930FE">
        <w:rPr>
          <w:lang w:val="en-CA"/>
        </w:rPr>
        <w:t xml:space="preserve"> are joint</w:t>
      </w:r>
      <w:r w:rsidR="00E86D2E">
        <w:rPr>
          <w:lang w:val="en-CA"/>
        </w:rPr>
        <w:t>ly and severally liable to the p</w:t>
      </w:r>
      <w:r w:rsidRPr="006930FE">
        <w:rPr>
          <w:lang w:val="en-CA"/>
        </w:rPr>
        <w:t xml:space="preserve">laintiffs  </w:t>
      </w:r>
      <w:r w:rsidR="006930FE" w:rsidRPr="006930FE">
        <w:rPr>
          <w:lang w:val="en-CA"/>
        </w:rPr>
        <w:t xml:space="preserve">   </w:t>
      </w:r>
      <w:r w:rsidRPr="006930FE">
        <w:rPr>
          <w:lang w:val="en-CA"/>
        </w:rPr>
        <w:t>in the amount of N$3,885,060.50.</w:t>
      </w:r>
    </w:p>
    <w:p w14:paraId="2874F43B" w14:textId="77777777" w:rsidR="00571C2C" w:rsidRPr="00571C2C" w:rsidRDefault="00571C2C" w:rsidP="00571C2C">
      <w:pPr>
        <w:pStyle w:val="ListParagraph"/>
        <w:widowControl w:val="0"/>
        <w:spacing w:after="0" w:line="360" w:lineRule="auto"/>
        <w:jc w:val="both"/>
      </w:pPr>
    </w:p>
    <w:p w14:paraId="41651613" w14:textId="5A9762F0" w:rsidR="00571C2C" w:rsidRPr="00DD0E6F" w:rsidRDefault="00571C2C" w:rsidP="00571C2C">
      <w:pPr>
        <w:pStyle w:val="ListParagraph"/>
        <w:widowControl w:val="0"/>
        <w:numPr>
          <w:ilvl w:val="0"/>
          <w:numId w:val="33"/>
        </w:numPr>
        <w:spacing w:after="0" w:line="360" w:lineRule="auto"/>
        <w:jc w:val="both"/>
      </w:pPr>
      <w:r>
        <w:rPr>
          <w:lang w:val="en-CA"/>
        </w:rPr>
        <w:t xml:space="preserve">The </w:t>
      </w:r>
      <w:r w:rsidR="00E93836">
        <w:rPr>
          <w:lang w:val="en-CA"/>
        </w:rPr>
        <w:t>first and</w:t>
      </w:r>
      <w:r>
        <w:rPr>
          <w:lang w:val="en-CA"/>
        </w:rPr>
        <w:t xml:space="preserve"> </w:t>
      </w:r>
      <w:r w:rsidR="00E93836">
        <w:rPr>
          <w:lang w:val="en-CA"/>
        </w:rPr>
        <w:t>second defendants</w:t>
      </w:r>
      <w:r>
        <w:rPr>
          <w:lang w:val="en-CA"/>
        </w:rPr>
        <w:t xml:space="preserve"> shall pay interest on the said amount at the rate of 2% per </w:t>
      </w:r>
      <w:r>
        <w:rPr>
          <w:lang w:val="en-CA"/>
        </w:rPr>
        <w:lastRenderedPageBreak/>
        <w:t>month and compounded monthly from 11 October 2016 to the date of final payment.</w:t>
      </w:r>
    </w:p>
    <w:p w14:paraId="174F3413" w14:textId="77777777" w:rsidR="000A3E61" w:rsidRPr="00DD0E6F" w:rsidRDefault="000A3E61" w:rsidP="000A3E61">
      <w:pPr>
        <w:pStyle w:val="ListParagraph"/>
        <w:widowControl w:val="0"/>
        <w:spacing w:after="0" w:line="360" w:lineRule="auto"/>
        <w:ind w:left="1276"/>
        <w:jc w:val="both"/>
      </w:pPr>
    </w:p>
    <w:p w14:paraId="548D69C9" w14:textId="04E80EDD" w:rsidR="000A3E61" w:rsidRPr="001842AC" w:rsidRDefault="000A3E61" w:rsidP="006930FE">
      <w:pPr>
        <w:pStyle w:val="ListParagraph"/>
        <w:widowControl w:val="0"/>
        <w:numPr>
          <w:ilvl w:val="0"/>
          <w:numId w:val="33"/>
        </w:numPr>
        <w:spacing w:after="0" w:line="360" w:lineRule="auto"/>
        <w:jc w:val="both"/>
      </w:pPr>
      <w:r w:rsidRPr="006930FE">
        <w:rPr>
          <w:lang w:val="en-CA"/>
        </w:rPr>
        <w:t xml:space="preserve">The </w:t>
      </w:r>
      <w:r w:rsidR="00E93836">
        <w:rPr>
          <w:lang w:val="en-CA"/>
        </w:rPr>
        <w:t>first</w:t>
      </w:r>
      <w:r w:rsidR="00E93836" w:rsidRPr="006930FE">
        <w:rPr>
          <w:lang w:val="en-CA"/>
        </w:rPr>
        <w:t xml:space="preserve"> and</w:t>
      </w:r>
      <w:r w:rsidRPr="006930FE">
        <w:rPr>
          <w:lang w:val="en-CA"/>
        </w:rPr>
        <w:t xml:space="preserve"> </w:t>
      </w:r>
      <w:r w:rsidR="00E93836">
        <w:rPr>
          <w:lang w:val="en-CA"/>
        </w:rPr>
        <w:t>second</w:t>
      </w:r>
      <w:r w:rsidR="00E86D2E">
        <w:rPr>
          <w:lang w:val="en-CA"/>
        </w:rPr>
        <w:t xml:space="preserve"> d</w:t>
      </w:r>
      <w:r w:rsidR="00E93836" w:rsidRPr="006930FE">
        <w:rPr>
          <w:lang w:val="en-CA"/>
        </w:rPr>
        <w:t>efendants</w:t>
      </w:r>
      <w:r w:rsidRPr="006930FE">
        <w:rPr>
          <w:lang w:val="en-CA"/>
        </w:rPr>
        <w:t xml:space="preserve"> shall pay the costs of the </w:t>
      </w:r>
      <w:r w:rsidR="00E86D2E">
        <w:rPr>
          <w:lang w:val="en-CA"/>
        </w:rPr>
        <w:t>p</w:t>
      </w:r>
      <w:r w:rsidR="002C06F7" w:rsidRPr="006930FE">
        <w:rPr>
          <w:lang w:val="en-CA"/>
        </w:rPr>
        <w:t>laintiffs;</w:t>
      </w:r>
      <w:r w:rsidRPr="006930FE">
        <w:rPr>
          <w:lang w:val="en-CA"/>
        </w:rPr>
        <w:t xml:space="preserve"> which costs shall include the costs of one instructing and one instructed counsel.</w:t>
      </w:r>
    </w:p>
    <w:p w14:paraId="5020164A" w14:textId="77777777" w:rsidR="000A3E61" w:rsidRPr="001842AC" w:rsidRDefault="000A3E61" w:rsidP="000A3E61">
      <w:pPr>
        <w:pStyle w:val="ListParagraph"/>
        <w:widowControl w:val="0"/>
        <w:spacing w:after="0" w:line="360" w:lineRule="auto"/>
        <w:ind w:left="1276"/>
        <w:jc w:val="both"/>
      </w:pPr>
    </w:p>
    <w:p w14:paraId="7A03FFA7" w14:textId="77777777" w:rsidR="000A3E61" w:rsidRPr="001842AC" w:rsidRDefault="000A3E61" w:rsidP="006930FE">
      <w:pPr>
        <w:pStyle w:val="ListParagraph"/>
        <w:widowControl w:val="0"/>
        <w:numPr>
          <w:ilvl w:val="0"/>
          <w:numId w:val="33"/>
        </w:numPr>
        <w:spacing w:after="0" w:line="360" w:lineRule="auto"/>
        <w:jc w:val="both"/>
      </w:pPr>
      <w:r>
        <w:t xml:space="preserve">The matter is finalized and removed from the roll. </w:t>
      </w:r>
    </w:p>
    <w:p w14:paraId="01F96DA8" w14:textId="7385F033" w:rsidR="00A87859" w:rsidRPr="001842AC" w:rsidRDefault="00A87859" w:rsidP="001842AC">
      <w:pPr>
        <w:pStyle w:val="ListParagraph"/>
        <w:tabs>
          <w:tab w:val="left" w:pos="0"/>
        </w:tabs>
        <w:spacing w:after="0" w:line="360" w:lineRule="auto"/>
        <w:jc w:val="both"/>
        <w:rPr>
          <w:rFonts w:eastAsia="Times New Roman"/>
          <w:color w:val="FF0000"/>
          <w:lang w:val="en-GB"/>
        </w:rPr>
      </w:pPr>
    </w:p>
    <w:p w14:paraId="461BF11B" w14:textId="77777777" w:rsidR="00A87859" w:rsidRPr="002A7FCE" w:rsidRDefault="00A87859" w:rsidP="00772B20">
      <w:pPr>
        <w:spacing w:after="0" w:line="360" w:lineRule="auto"/>
        <w:jc w:val="both"/>
        <w:rPr>
          <w:lang w:val="en-ZA"/>
        </w:rPr>
      </w:pPr>
    </w:p>
    <w:p w14:paraId="4C7FC0C7" w14:textId="77777777" w:rsidR="00DE1D56" w:rsidRDefault="00DE1D56" w:rsidP="00772B20">
      <w:pPr>
        <w:spacing w:after="0" w:line="360" w:lineRule="auto"/>
        <w:jc w:val="both"/>
        <w:rPr>
          <w:lang w:val="en-ZA"/>
        </w:rPr>
      </w:pPr>
    </w:p>
    <w:p w14:paraId="388C4991" w14:textId="77777777" w:rsidR="00E21D76" w:rsidRDefault="00E21D76" w:rsidP="00772B20">
      <w:pPr>
        <w:spacing w:after="0" w:line="360" w:lineRule="auto"/>
        <w:jc w:val="both"/>
        <w:rPr>
          <w:lang w:val="en-ZA"/>
        </w:rPr>
      </w:pPr>
    </w:p>
    <w:p w14:paraId="78EF1BAF" w14:textId="77777777" w:rsidR="00E21D76" w:rsidRPr="002A7FCE" w:rsidRDefault="00E21D76" w:rsidP="00772B20">
      <w:pPr>
        <w:spacing w:after="0" w:line="360" w:lineRule="auto"/>
        <w:jc w:val="both"/>
        <w:rPr>
          <w:lang w:val="en-ZA"/>
        </w:rPr>
      </w:pPr>
    </w:p>
    <w:p w14:paraId="450CE371" w14:textId="77777777" w:rsidR="00F375D2" w:rsidRPr="002A7FCE" w:rsidRDefault="00F375D2" w:rsidP="00772B20">
      <w:pPr>
        <w:pStyle w:val="BodyText"/>
        <w:tabs>
          <w:tab w:val="left" w:pos="540"/>
        </w:tabs>
        <w:spacing w:line="360" w:lineRule="auto"/>
        <w:jc w:val="both"/>
        <w:rPr>
          <w:rFonts w:ascii="Arial" w:hAnsi="Arial" w:cs="Arial"/>
          <w:lang w:val="en-US"/>
        </w:rPr>
      </w:pPr>
      <w:r w:rsidRPr="002A7FCE">
        <w:rPr>
          <w:rFonts w:ascii="Arial" w:hAnsi="Arial" w:cs="Arial"/>
          <w:lang w:val="en-US"/>
        </w:rPr>
        <w:t>___________________</w:t>
      </w:r>
    </w:p>
    <w:p w14:paraId="1A7E4031" w14:textId="2723D669" w:rsidR="00F375D2" w:rsidRPr="002A7FCE" w:rsidRDefault="00F375D2" w:rsidP="00772B20">
      <w:pPr>
        <w:pStyle w:val="BodyText"/>
        <w:tabs>
          <w:tab w:val="left" w:pos="540"/>
        </w:tabs>
        <w:spacing w:line="360" w:lineRule="auto"/>
        <w:ind w:left="540" w:hanging="540"/>
        <w:jc w:val="both"/>
        <w:rPr>
          <w:rFonts w:ascii="Arial" w:hAnsi="Arial" w:cs="Arial"/>
          <w:lang w:val="en-US"/>
        </w:rPr>
      </w:pPr>
      <w:r w:rsidRPr="002A7FCE">
        <w:rPr>
          <w:rFonts w:ascii="Arial" w:hAnsi="Arial" w:cs="Arial"/>
          <w:lang w:val="en-US"/>
        </w:rPr>
        <w:t>K N G Kangueehi</w:t>
      </w:r>
    </w:p>
    <w:p w14:paraId="78715EFB" w14:textId="62ABDBF0" w:rsidR="00F375D2" w:rsidRPr="002A7FCE" w:rsidRDefault="00F375D2" w:rsidP="00772B20">
      <w:pPr>
        <w:pStyle w:val="BodyText"/>
        <w:tabs>
          <w:tab w:val="left" w:pos="540"/>
        </w:tabs>
        <w:spacing w:line="360" w:lineRule="auto"/>
        <w:ind w:left="540" w:hanging="540"/>
        <w:jc w:val="both"/>
        <w:rPr>
          <w:rFonts w:ascii="Arial" w:hAnsi="Arial" w:cs="Arial"/>
        </w:rPr>
      </w:pPr>
      <w:r w:rsidRPr="002A7FCE">
        <w:rPr>
          <w:rFonts w:ascii="Arial" w:hAnsi="Arial" w:cs="Arial"/>
          <w:lang w:val="en-US"/>
        </w:rPr>
        <w:t>Acting Judge</w:t>
      </w:r>
    </w:p>
    <w:p w14:paraId="55599115" w14:textId="77777777" w:rsidR="00DE1D56" w:rsidRPr="002A7FCE" w:rsidRDefault="00DE1D56" w:rsidP="00772B20">
      <w:pPr>
        <w:spacing w:after="0" w:line="360" w:lineRule="auto"/>
        <w:jc w:val="both"/>
        <w:rPr>
          <w:lang w:val="en-ZA"/>
        </w:rPr>
      </w:pPr>
    </w:p>
    <w:p w14:paraId="681FA6C5" w14:textId="77777777" w:rsidR="00DE1D56" w:rsidRPr="002A7FCE" w:rsidRDefault="00DE1D56" w:rsidP="00772B20">
      <w:pPr>
        <w:spacing w:after="0" w:line="360" w:lineRule="auto"/>
        <w:jc w:val="both"/>
        <w:rPr>
          <w:lang w:val="en-ZA"/>
        </w:rPr>
      </w:pPr>
    </w:p>
    <w:p w14:paraId="34EF89AF" w14:textId="77777777" w:rsidR="00DE1D56" w:rsidRPr="002A7FCE" w:rsidRDefault="00DE1D56" w:rsidP="00772B20">
      <w:pPr>
        <w:spacing w:after="0" w:line="360" w:lineRule="auto"/>
        <w:jc w:val="both"/>
        <w:rPr>
          <w:lang w:val="en-ZA"/>
        </w:rPr>
      </w:pPr>
    </w:p>
    <w:p w14:paraId="6481C0CF" w14:textId="1C0E38AA" w:rsidR="00DE1D56" w:rsidRPr="002A7FCE" w:rsidRDefault="00DE1D56" w:rsidP="00772B20">
      <w:pPr>
        <w:spacing w:after="0" w:line="360" w:lineRule="auto"/>
        <w:jc w:val="both"/>
        <w:rPr>
          <w:u w:val="single"/>
          <w:lang w:val="en-ZA"/>
        </w:rPr>
      </w:pPr>
      <w:r w:rsidRPr="002A7FCE">
        <w:rPr>
          <w:u w:val="single"/>
          <w:lang w:val="en-ZA"/>
        </w:rPr>
        <w:t>APPEARANCES</w:t>
      </w:r>
      <w:r w:rsidR="00F375D2" w:rsidRPr="002A7FCE">
        <w:rPr>
          <w:u w:val="single"/>
          <w:lang w:val="en-ZA"/>
        </w:rPr>
        <w:t>:</w:t>
      </w:r>
    </w:p>
    <w:p w14:paraId="064095CE" w14:textId="77777777" w:rsidR="00896314" w:rsidRPr="002A7FCE" w:rsidRDefault="00896314" w:rsidP="00772B20">
      <w:pPr>
        <w:spacing w:after="0" w:line="360" w:lineRule="auto"/>
        <w:jc w:val="both"/>
        <w:rPr>
          <w:lang w:val="en-ZA"/>
        </w:rPr>
      </w:pPr>
    </w:p>
    <w:p w14:paraId="76BFA213" w14:textId="77777777" w:rsidR="00DE1D56" w:rsidRPr="002A7FCE" w:rsidRDefault="00DE1D56" w:rsidP="00772B20">
      <w:pPr>
        <w:spacing w:after="0" w:line="360" w:lineRule="auto"/>
        <w:jc w:val="both"/>
        <w:rPr>
          <w:lang w:val="en-ZA"/>
        </w:rPr>
      </w:pPr>
    </w:p>
    <w:p w14:paraId="12E22DBF" w14:textId="453F27AD" w:rsidR="00FE7BBC" w:rsidRDefault="003B45EB" w:rsidP="00772B20">
      <w:pPr>
        <w:spacing w:after="0" w:line="360" w:lineRule="auto"/>
        <w:jc w:val="both"/>
        <w:rPr>
          <w:lang w:val="en-ZA"/>
        </w:rPr>
      </w:pPr>
      <w:r>
        <w:rPr>
          <w:lang w:val="en-ZA"/>
        </w:rPr>
        <w:t>PLAINTIFF</w:t>
      </w:r>
      <w:r w:rsidR="00DE1D56" w:rsidRPr="002A7FCE">
        <w:rPr>
          <w:lang w:val="en-ZA"/>
        </w:rPr>
        <w:t xml:space="preserve">: </w:t>
      </w:r>
      <w:r w:rsidR="00DE1D56" w:rsidRPr="002A7FCE">
        <w:rPr>
          <w:lang w:val="en-ZA"/>
        </w:rPr>
        <w:tab/>
      </w:r>
      <w:r>
        <w:rPr>
          <w:lang w:val="en-ZA"/>
        </w:rPr>
        <w:tab/>
      </w:r>
      <w:r>
        <w:rPr>
          <w:lang w:val="en-ZA"/>
        </w:rPr>
        <w:tab/>
      </w:r>
      <w:r>
        <w:rPr>
          <w:lang w:val="en-ZA"/>
        </w:rPr>
        <w:tab/>
        <w:t>Mr Van Vuuren</w:t>
      </w:r>
      <w:r w:rsidR="006A7E17" w:rsidRPr="002A7FCE">
        <w:rPr>
          <w:lang w:val="en-ZA"/>
        </w:rPr>
        <w:t xml:space="preserve"> </w:t>
      </w:r>
      <w:r>
        <w:rPr>
          <w:lang w:val="en-ZA"/>
        </w:rPr>
        <w:t xml:space="preserve">of </w:t>
      </w:r>
    </w:p>
    <w:p w14:paraId="6E7CCFDC" w14:textId="22E20253" w:rsidR="003B45EB" w:rsidRPr="002A7FCE" w:rsidRDefault="003B45EB" w:rsidP="003B45EB">
      <w:pPr>
        <w:spacing w:after="0" w:line="360" w:lineRule="auto"/>
        <w:ind w:left="2880" w:firstLine="720"/>
        <w:jc w:val="both"/>
        <w:rPr>
          <w:lang w:val="en-ZA"/>
        </w:rPr>
      </w:pPr>
      <w:r>
        <w:rPr>
          <w:lang w:val="en-ZA"/>
        </w:rPr>
        <w:t>Namlex Chambers</w:t>
      </w:r>
    </w:p>
    <w:p w14:paraId="5F2743D5" w14:textId="6C246B34" w:rsidR="00DE1D56" w:rsidRDefault="003B45EB" w:rsidP="00772B20">
      <w:pPr>
        <w:spacing w:after="0" w:line="360" w:lineRule="auto"/>
        <w:ind w:left="3600"/>
        <w:jc w:val="both"/>
        <w:rPr>
          <w:shd w:val="clear" w:color="auto" w:fill="FFFFFF"/>
        </w:rPr>
      </w:pPr>
      <w:r>
        <w:rPr>
          <w:shd w:val="clear" w:color="auto" w:fill="FFFFFF"/>
        </w:rPr>
        <w:t xml:space="preserve">Instructed by </w:t>
      </w:r>
      <w:r w:rsidR="002C06F7">
        <w:rPr>
          <w:shd w:val="clear" w:color="auto" w:fill="FFFFFF"/>
        </w:rPr>
        <w:t>Fisher Quarmby &amp; Pfeifer</w:t>
      </w:r>
    </w:p>
    <w:p w14:paraId="558EF1BA" w14:textId="67DC4FCE" w:rsidR="00E86D2E" w:rsidRPr="002A7FCE" w:rsidRDefault="00E86D2E" w:rsidP="00772B20">
      <w:pPr>
        <w:spacing w:after="0" w:line="360" w:lineRule="auto"/>
        <w:ind w:left="3600"/>
        <w:jc w:val="both"/>
        <w:rPr>
          <w:lang w:val="en-ZA"/>
        </w:rPr>
      </w:pPr>
      <w:r>
        <w:rPr>
          <w:shd w:val="clear" w:color="auto" w:fill="FFFFFF"/>
        </w:rPr>
        <w:t>Windhoek</w:t>
      </w:r>
    </w:p>
    <w:p w14:paraId="00622D88" w14:textId="77777777" w:rsidR="00DE1D56" w:rsidRPr="002A7FCE" w:rsidRDefault="00DE1D56" w:rsidP="00772B20">
      <w:pPr>
        <w:spacing w:after="0" w:line="360" w:lineRule="auto"/>
        <w:jc w:val="both"/>
        <w:rPr>
          <w:lang w:val="en-ZA"/>
        </w:rPr>
      </w:pPr>
    </w:p>
    <w:p w14:paraId="5A106D51" w14:textId="77777777" w:rsidR="00F375D2" w:rsidRPr="002A7FCE" w:rsidRDefault="00F375D2" w:rsidP="00772B20">
      <w:pPr>
        <w:spacing w:after="0" w:line="360" w:lineRule="auto"/>
        <w:jc w:val="both"/>
        <w:rPr>
          <w:lang w:val="en-ZA"/>
        </w:rPr>
      </w:pPr>
    </w:p>
    <w:p w14:paraId="51796424" w14:textId="77777777" w:rsidR="00896314" w:rsidRPr="002A7FCE" w:rsidRDefault="00896314" w:rsidP="00772B20">
      <w:pPr>
        <w:spacing w:after="0" w:line="360" w:lineRule="auto"/>
        <w:jc w:val="both"/>
        <w:rPr>
          <w:lang w:val="en-ZA"/>
        </w:rPr>
      </w:pPr>
    </w:p>
    <w:p w14:paraId="5A27F5EB" w14:textId="673620AC" w:rsidR="00DE1D56" w:rsidRPr="003B45EB" w:rsidRDefault="003B45EB" w:rsidP="003B45EB">
      <w:pPr>
        <w:spacing w:after="0" w:line="360" w:lineRule="auto"/>
        <w:jc w:val="both"/>
        <w:rPr>
          <w:lang w:val="en-ZA"/>
        </w:rPr>
      </w:pPr>
      <w:r>
        <w:rPr>
          <w:lang w:val="en-ZA"/>
        </w:rPr>
        <w:t>DEFENDANT</w:t>
      </w:r>
      <w:r w:rsidR="00D2555E">
        <w:rPr>
          <w:lang w:val="en-ZA"/>
        </w:rPr>
        <w:t>S</w:t>
      </w:r>
      <w:r w:rsidR="00DE1D56" w:rsidRPr="002A7FCE">
        <w:rPr>
          <w:lang w:val="en-ZA"/>
        </w:rPr>
        <w:t>:</w:t>
      </w:r>
      <w:r w:rsidR="00DE1D56" w:rsidRPr="002A7FCE">
        <w:rPr>
          <w:lang w:val="en-ZA"/>
        </w:rPr>
        <w:tab/>
      </w:r>
      <w:r>
        <w:rPr>
          <w:lang w:val="en-ZA"/>
        </w:rPr>
        <w:tab/>
      </w:r>
      <w:r>
        <w:rPr>
          <w:lang w:val="en-ZA"/>
        </w:rPr>
        <w:tab/>
      </w:r>
      <w:r>
        <w:rPr>
          <w:lang w:val="af-ZA"/>
        </w:rPr>
        <w:t>In Person.</w:t>
      </w:r>
    </w:p>
    <w:p w14:paraId="4A121DD3" w14:textId="77777777" w:rsidR="00DE1D56" w:rsidRPr="002A7FCE" w:rsidRDefault="00DE1D56" w:rsidP="00772B20">
      <w:pPr>
        <w:spacing w:after="0" w:line="360" w:lineRule="auto"/>
        <w:jc w:val="both"/>
        <w:rPr>
          <w:rFonts w:eastAsia="Calibri"/>
          <w:u w:val="single"/>
        </w:rPr>
      </w:pPr>
    </w:p>
    <w:p w14:paraId="340EFF3F" w14:textId="77777777" w:rsidR="00DE1D56" w:rsidRPr="002A7FCE" w:rsidRDefault="00DE1D56" w:rsidP="00772B20">
      <w:pPr>
        <w:spacing w:after="0" w:line="360" w:lineRule="auto"/>
        <w:contextualSpacing/>
        <w:jc w:val="both"/>
        <w:rPr>
          <w:rFonts w:eastAsia="Calibri"/>
        </w:rPr>
      </w:pPr>
    </w:p>
    <w:sectPr w:rsidR="00DE1D56" w:rsidRPr="002A7FCE" w:rsidSect="00C2371F">
      <w:headerReference w:type="default" r:id="rId9"/>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D7E6F" w14:textId="77777777" w:rsidR="002E6045" w:rsidRDefault="002E6045" w:rsidP="00DE1D56">
      <w:pPr>
        <w:spacing w:after="0" w:line="240" w:lineRule="auto"/>
      </w:pPr>
      <w:r>
        <w:separator/>
      </w:r>
    </w:p>
  </w:endnote>
  <w:endnote w:type="continuationSeparator" w:id="0">
    <w:p w14:paraId="0667190F" w14:textId="77777777" w:rsidR="002E6045" w:rsidRDefault="002E6045" w:rsidP="00DE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350F4" w14:textId="77777777" w:rsidR="002E6045" w:rsidRDefault="002E6045" w:rsidP="00DE1D56">
      <w:pPr>
        <w:spacing w:after="0" w:line="240" w:lineRule="auto"/>
      </w:pPr>
      <w:r>
        <w:separator/>
      </w:r>
    </w:p>
  </w:footnote>
  <w:footnote w:type="continuationSeparator" w:id="0">
    <w:p w14:paraId="573B4CDE" w14:textId="77777777" w:rsidR="002E6045" w:rsidRDefault="002E6045" w:rsidP="00DE1D56">
      <w:pPr>
        <w:spacing w:after="0" w:line="240" w:lineRule="auto"/>
      </w:pPr>
      <w:r>
        <w:continuationSeparator/>
      </w:r>
    </w:p>
  </w:footnote>
  <w:footnote w:id="1">
    <w:p w14:paraId="5129201E" w14:textId="1157A66A" w:rsidR="00D95E54" w:rsidRPr="00D95E54" w:rsidRDefault="00CC0060" w:rsidP="002914A4">
      <w:pPr>
        <w:pStyle w:val="FootnoteText"/>
        <w:ind w:left="142" w:hanging="142"/>
        <w:rPr>
          <w:rFonts w:ascii="Arial" w:hAnsi="Arial"/>
          <w:lang w:val="en-GB"/>
        </w:rPr>
      </w:pPr>
      <w:r w:rsidRPr="00D95E54">
        <w:rPr>
          <w:rStyle w:val="FootnoteReference"/>
          <w:rFonts w:ascii="Arial" w:hAnsi="Arial"/>
        </w:rPr>
        <w:footnoteRef/>
      </w:r>
      <w:r w:rsidRPr="00D95E54">
        <w:rPr>
          <w:rFonts w:ascii="Arial" w:hAnsi="Arial"/>
        </w:rPr>
        <w:t xml:space="preserve"> </w:t>
      </w:r>
      <w:r w:rsidR="00D95E54">
        <w:rPr>
          <w:rFonts w:ascii="Arial" w:hAnsi="Arial"/>
          <w:lang w:val="en-GB"/>
        </w:rPr>
        <w:t>T</w:t>
      </w:r>
      <w:r w:rsidRPr="00D95E54">
        <w:rPr>
          <w:rFonts w:ascii="Arial" w:hAnsi="Arial"/>
          <w:lang w:val="en-GB"/>
        </w:rPr>
        <w:t xml:space="preserve">his amount must be added those other amounts contractually agreed between the </w:t>
      </w:r>
      <w:r w:rsidR="00D95E54" w:rsidRPr="00D95E54">
        <w:rPr>
          <w:rFonts w:ascii="Arial" w:hAnsi="Arial"/>
          <w:lang w:val="en-GB"/>
        </w:rPr>
        <w:t>parties</w:t>
      </w:r>
      <w:r w:rsidRPr="00D95E54">
        <w:rPr>
          <w:rFonts w:ascii="Arial" w:hAnsi="Arial"/>
          <w:lang w:val="en-GB"/>
        </w:rPr>
        <w:t xml:space="preserve"> and as contained in the certificate of indebtedness.</w:t>
      </w:r>
    </w:p>
  </w:footnote>
  <w:footnote w:id="2">
    <w:p w14:paraId="7A5F504F" w14:textId="77777777" w:rsidR="00D95E54" w:rsidRPr="00D95E54" w:rsidRDefault="00D95E54" w:rsidP="002914A4">
      <w:pPr>
        <w:pStyle w:val="ListParagraph"/>
        <w:spacing w:after="0" w:line="240" w:lineRule="auto"/>
        <w:ind w:left="2160" w:hanging="2160"/>
        <w:jc w:val="both"/>
        <w:rPr>
          <w:sz w:val="20"/>
          <w:szCs w:val="20"/>
        </w:rPr>
      </w:pPr>
      <w:r w:rsidRPr="00D95E54">
        <w:rPr>
          <w:rStyle w:val="FootnoteReference"/>
          <w:sz w:val="20"/>
          <w:szCs w:val="20"/>
        </w:rPr>
        <w:footnoteRef/>
      </w:r>
      <w:r w:rsidRPr="00D95E54">
        <w:rPr>
          <w:sz w:val="20"/>
          <w:szCs w:val="20"/>
        </w:rPr>
        <w:t xml:space="preserve"> Christie’s Law of Contract in South Africa, 7</w:t>
      </w:r>
      <w:r w:rsidRPr="00D95E54">
        <w:rPr>
          <w:sz w:val="20"/>
          <w:szCs w:val="20"/>
          <w:vertAlign w:val="superscript"/>
        </w:rPr>
        <w:t>th</w:t>
      </w:r>
      <w:r w:rsidRPr="00D95E54">
        <w:rPr>
          <w:sz w:val="20"/>
          <w:szCs w:val="20"/>
        </w:rPr>
        <w:t xml:space="preserve"> Edition, LexisNexis, p 98 to 106</w:t>
      </w:r>
      <w:r w:rsidRPr="00D95E54">
        <w:rPr>
          <w:sz w:val="20"/>
          <w:szCs w:val="20"/>
        </w:rPr>
        <w:tab/>
        <w:t xml:space="preserve"> </w:t>
      </w:r>
    </w:p>
    <w:p w14:paraId="3598DD16" w14:textId="77777777" w:rsidR="00D95E54" w:rsidRPr="00D95E54" w:rsidRDefault="00D95E54" w:rsidP="002914A4">
      <w:pPr>
        <w:pStyle w:val="ListParagraph"/>
        <w:widowControl w:val="0"/>
        <w:spacing w:after="0" w:line="240" w:lineRule="auto"/>
        <w:ind w:left="426" w:firstLine="294"/>
        <w:contextualSpacing w:val="0"/>
        <w:jc w:val="both"/>
        <w:rPr>
          <w:sz w:val="20"/>
          <w:szCs w:val="20"/>
        </w:rPr>
      </w:pPr>
      <w:r w:rsidRPr="00D95E54">
        <w:rPr>
          <w:sz w:val="20"/>
          <w:szCs w:val="20"/>
        </w:rPr>
        <w:t>‘A party who, owing to an excusable error, made a payment (or delivered a thing) to another in the mistaken belief that the payment or delivery was owing may claim repayment from the recipient to the extent that the latter was enriched at the claimant’s expense. The person entitled to bring the action is the one who is in law considered to have made the payment or the transfer…’</w:t>
      </w:r>
    </w:p>
    <w:p w14:paraId="44666E88" w14:textId="77777777" w:rsidR="00D95E54" w:rsidRPr="00DD49D6" w:rsidRDefault="00D95E54" w:rsidP="00D95E54">
      <w:pPr>
        <w:pStyle w:val="FootnoteText"/>
        <w:rPr>
          <w:lang w:val="en-ZA"/>
        </w:rPr>
      </w:pPr>
    </w:p>
  </w:footnote>
  <w:footnote w:id="3">
    <w:p w14:paraId="3265FBC6" w14:textId="18E95034" w:rsidR="00CC0060" w:rsidRPr="006B640A" w:rsidRDefault="00CC0060" w:rsidP="0027315D">
      <w:pPr>
        <w:pStyle w:val="FootnoteText"/>
        <w:ind w:left="142" w:hanging="142"/>
        <w:rPr>
          <w:rFonts w:ascii="Arial" w:hAnsi="Arial"/>
          <w:lang w:val="en-GB"/>
        </w:rPr>
      </w:pPr>
      <w:r w:rsidRPr="006B640A">
        <w:rPr>
          <w:rStyle w:val="FootnoteReference"/>
          <w:rFonts w:ascii="Arial" w:hAnsi="Arial"/>
        </w:rPr>
        <w:footnoteRef/>
      </w:r>
      <w:r w:rsidRPr="006B640A">
        <w:rPr>
          <w:rFonts w:ascii="Arial" w:hAnsi="Arial"/>
        </w:rPr>
        <w:t xml:space="preserve"> </w:t>
      </w:r>
      <w:r w:rsidRPr="006B640A">
        <w:rPr>
          <w:rFonts w:ascii="Arial" w:hAnsi="Arial"/>
          <w:lang w:val="en-GB"/>
        </w:rPr>
        <w:t>It is common cause that this agreement was amended by various addendums. The contents of same are also not in dispute.</w:t>
      </w:r>
    </w:p>
  </w:footnote>
  <w:footnote w:id="4">
    <w:p w14:paraId="7AC257BF" w14:textId="039561DB" w:rsidR="00CC0060" w:rsidRPr="006B640A" w:rsidRDefault="00CC0060">
      <w:pPr>
        <w:pStyle w:val="FootnoteText"/>
        <w:rPr>
          <w:rFonts w:ascii="Arial" w:hAnsi="Arial"/>
          <w:lang w:val="en-GB"/>
        </w:rPr>
      </w:pPr>
      <w:r w:rsidRPr="006B640A">
        <w:rPr>
          <w:rStyle w:val="FootnoteReference"/>
          <w:rFonts w:ascii="Arial" w:hAnsi="Arial"/>
        </w:rPr>
        <w:footnoteRef/>
      </w:r>
      <w:r w:rsidRPr="006B640A">
        <w:rPr>
          <w:rFonts w:ascii="Arial" w:hAnsi="Arial"/>
        </w:rPr>
        <w:t xml:space="preserve"> Its link is only i</w:t>
      </w:r>
      <w:r w:rsidRPr="006B640A">
        <w:rPr>
          <w:rFonts w:ascii="Arial" w:hAnsi="Arial"/>
          <w:lang w:val="en-GB"/>
        </w:rPr>
        <w:t xml:space="preserve">n terms of the tender agreement that it concluded with the </w:t>
      </w:r>
      <w:r w:rsidR="00E93836" w:rsidRPr="006B640A">
        <w:rPr>
          <w:rFonts w:ascii="Arial" w:hAnsi="Arial"/>
          <w:lang w:val="en-GB"/>
        </w:rPr>
        <w:t>first defendant</w:t>
      </w:r>
      <w:r w:rsidRPr="006B640A">
        <w:rPr>
          <w:rFonts w:ascii="Arial" w:hAnsi="Arial"/>
          <w:lang w:val="en-GB"/>
        </w:rPr>
        <w:t>.</w:t>
      </w:r>
    </w:p>
  </w:footnote>
  <w:footnote w:id="5">
    <w:p w14:paraId="01E31DC2" w14:textId="5B0A11F0" w:rsidR="00CC0060" w:rsidRPr="00EA121F" w:rsidRDefault="00CC0060" w:rsidP="00EA121F">
      <w:pPr>
        <w:pStyle w:val="FootnoteText"/>
        <w:jc w:val="both"/>
        <w:rPr>
          <w:rFonts w:ascii="Arial" w:hAnsi="Arial"/>
          <w:lang w:val="en-ZA"/>
        </w:rPr>
      </w:pPr>
      <w:r w:rsidRPr="006B640A">
        <w:rPr>
          <w:rStyle w:val="FootnoteReference"/>
          <w:rFonts w:ascii="Arial" w:hAnsi="Arial"/>
        </w:rPr>
        <w:footnoteRef/>
      </w:r>
      <w:r w:rsidRPr="006B640A">
        <w:rPr>
          <w:rFonts w:ascii="Arial" w:hAnsi="Arial"/>
        </w:rPr>
        <w:t xml:space="preserve"> </w:t>
      </w:r>
      <w:r w:rsidRPr="006B640A">
        <w:rPr>
          <w:rFonts w:ascii="Arial" w:hAnsi="Arial"/>
          <w:lang w:val="en-CA"/>
        </w:rPr>
        <w:t>A copy of same is annexed to the Plaintiffs’ particulars of claim as annexure A1.</w:t>
      </w:r>
    </w:p>
  </w:footnote>
  <w:footnote w:id="6">
    <w:p w14:paraId="5218E3ED" w14:textId="03EA0C1F" w:rsidR="00CC0060" w:rsidRPr="0027315D" w:rsidRDefault="00CC0060" w:rsidP="0027315D">
      <w:pPr>
        <w:pStyle w:val="FootnoteText"/>
        <w:ind w:left="142" w:hanging="142"/>
        <w:rPr>
          <w:rFonts w:ascii="Arial" w:hAnsi="Arial"/>
          <w:lang w:val="en-GB"/>
        </w:rPr>
      </w:pPr>
      <w:r w:rsidRPr="0027315D">
        <w:rPr>
          <w:rStyle w:val="FootnoteReference"/>
          <w:rFonts w:ascii="Arial" w:hAnsi="Arial"/>
        </w:rPr>
        <w:footnoteRef/>
      </w:r>
      <w:r w:rsidRPr="0027315D">
        <w:rPr>
          <w:rFonts w:ascii="Arial" w:hAnsi="Arial"/>
        </w:rPr>
        <w:t xml:space="preserve"> </w:t>
      </w:r>
      <w:r w:rsidRPr="0027315D">
        <w:rPr>
          <w:rFonts w:ascii="Arial" w:hAnsi="Arial"/>
          <w:lang w:val="en-GB"/>
        </w:rPr>
        <w:t xml:space="preserve">This is not in dispute. In fact, this is admitted in the </w:t>
      </w:r>
      <w:r w:rsidR="00E93836" w:rsidRPr="0027315D">
        <w:rPr>
          <w:rFonts w:ascii="Arial" w:hAnsi="Arial"/>
          <w:lang w:val="en-GB"/>
        </w:rPr>
        <w:t>first and</w:t>
      </w:r>
      <w:r w:rsidRPr="0027315D">
        <w:rPr>
          <w:rFonts w:ascii="Arial" w:hAnsi="Arial"/>
          <w:lang w:val="en-GB"/>
        </w:rPr>
        <w:t xml:space="preserve"> 2</w:t>
      </w:r>
      <w:r w:rsidRPr="0027315D">
        <w:rPr>
          <w:rFonts w:ascii="Arial" w:hAnsi="Arial"/>
          <w:vertAlign w:val="superscript"/>
          <w:lang w:val="en-GB"/>
        </w:rPr>
        <w:t>nd</w:t>
      </w:r>
      <w:r w:rsidRPr="0027315D">
        <w:rPr>
          <w:rFonts w:ascii="Arial" w:hAnsi="Arial"/>
          <w:lang w:val="en-GB"/>
        </w:rPr>
        <w:t xml:space="preserve"> defendants’ Plea filed on 19 January 2018.</w:t>
      </w:r>
    </w:p>
  </w:footnote>
  <w:footnote w:id="7">
    <w:p w14:paraId="53A395D4" w14:textId="20F2BE35" w:rsidR="00CC0060" w:rsidRPr="003010DF" w:rsidRDefault="00CC0060">
      <w:pPr>
        <w:pStyle w:val="FootnoteText"/>
        <w:rPr>
          <w:lang w:val="en-ZA"/>
        </w:rPr>
      </w:pPr>
      <w:r w:rsidRPr="0027315D">
        <w:rPr>
          <w:rStyle w:val="FootnoteReference"/>
          <w:rFonts w:ascii="Arial" w:hAnsi="Arial"/>
        </w:rPr>
        <w:footnoteRef/>
      </w:r>
      <w:r w:rsidRPr="0027315D">
        <w:rPr>
          <w:rFonts w:ascii="Arial" w:hAnsi="Arial"/>
        </w:rPr>
        <w:t xml:space="preserve"> </w:t>
      </w:r>
      <w:r w:rsidRPr="0027315D">
        <w:rPr>
          <w:rFonts w:ascii="Arial" w:hAnsi="Arial"/>
          <w:lang w:val="en-ZA"/>
        </w:rPr>
        <w:t>Para 11 of the counter claim.</w:t>
      </w:r>
      <w:r>
        <w:rPr>
          <w:lang w:val="en-ZA"/>
        </w:rPr>
        <w:t xml:space="preserve"> </w:t>
      </w:r>
    </w:p>
  </w:footnote>
  <w:footnote w:id="8">
    <w:p w14:paraId="20FF6D33" w14:textId="4932797F" w:rsidR="00CC0060" w:rsidRPr="001C3BFC" w:rsidRDefault="00CC0060">
      <w:pPr>
        <w:pStyle w:val="FootnoteText"/>
        <w:rPr>
          <w:rFonts w:ascii="Arial" w:hAnsi="Arial"/>
          <w:lang w:val="en-GB"/>
        </w:rPr>
      </w:pPr>
      <w:r w:rsidRPr="001C3BFC">
        <w:rPr>
          <w:rStyle w:val="FootnoteReference"/>
          <w:rFonts w:ascii="Arial" w:hAnsi="Arial"/>
        </w:rPr>
        <w:footnoteRef/>
      </w:r>
      <w:r w:rsidRPr="001C3BFC">
        <w:rPr>
          <w:rFonts w:ascii="Arial" w:hAnsi="Arial"/>
        </w:rPr>
        <w:t xml:space="preserve"> </w:t>
      </w:r>
      <w:r w:rsidRPr="001C3BFC">
        <w:rPr>
          <w:rFonts w:ascii="Arial" w:hAnsi="Arial"/>
          <w:lang w:val="en-GB"/>
        </w:rPr>
        <w:t>Exhibit “H”.</w:t>
      </w:r>
    </w:p>
  </w:footnote>
  <w:footnote w:id="9">
    <w:p w14:paraId="0FF57B5A" w14:textId="17579E16" w:rsidR="00CC0060" w:rsidRPr="001C3BFC" w:rsidRDefault="00CC0060">
      <w:pPr>
        <w:pStyle w:val="FootnoteText"/>
        <w:rPr>
          <w:rFonts w:ascii="Arial" w:hAnsi="Arial"/>
          <w:lang w:val="en-GB"/>
        </w:rPr>
      </w:pPr>
      <w:r w:rsidRPr="001C3BFC">
        <w:rPr>
          <w:rStyle w:val="FootnoteReference"/>
          <w:rFonts w:ascii="Arial" w:hAnsi="Arial"/>
        </w:rPr>
        <w:footnoteRef/>
      </w:r>
      <w:r w:rsidRPr="001C3BFC">
        <w:rPr>
          <w:rFonts w:ascii="Arial" w:hAnsi="Arial"/>
        </w:rPr>
        <w:t xml:space="preserve"> </w:t>
      </w:r>
      <w:r w:rsidRPr="001C3BFC">
        <w:rPr>
          <w:rFonts w:ascii="Arial" w:hAnsi="Arial"/>
          <w:lang w:val="en-GB"/>
        </w:rPr>
        <w:t xml:space="preserve">The </w:t>
      </w:r>
      <w:r w:rsidR="00E93836">
        <w:rPr>
          <w:rFonts w:ascii="Arial" w:hAnsi="Arial"/>
          <w:lang w:val="en-GB"/>
        </w:rPr>
        <w:t>first</w:t>
      </w:r>
      <w:r w:rsidR="00E93836" w:rsidRPr="001C3BFC">
        <w:rPr>
          <w:rFonts w:ascii="Arial" w:hAnsi="Arial"/>
          <w:lang w:val="en-GB"/>
        </w:rPr>
        <w:t xml:space="preserve"> and</w:t>
      </w:r>
      <w:r w:rsidRPr="001C3BFC">
        <w:rPr>
          <w:rFonts w:ascii="Arial" w:hAnsi="Arial"/>
          <w:lang w:val="en-GB"/>
        </w:rPr>
        <w:t xml:space="preserve"> 2</w:t>
      </w:r>
      <w:r w:rsidRPr="001C3BFC">
        <w:rPr>
          <w:rFonts w:ascii="Arial" w:hAnsi="Arial"/>
          <w:vertAlign w:val="superscript"/>
          <w:lang w:val="en-GB"/>
        </w:rPr>
        <w:t>nd</w:t>
      </w:r>
      <w:r w:rsidRPr="001C3BFC">
        <w:rPr>
          <w:rFonts w:ascii="Arial" w:hAnsi="Arial"/>
          <w:lang w:val="en-GB"/>
        </w:rPr>
        <w:t xml:space="preserve"> def</w:t>
      </w:r>
      <w:r w:rsidR="0027315D">
        <w:rPr>
          <w:rFonts w:ascii="Arial" w:hAnsi="Arial"/>
          <w:lang w:val="en-GB"/>
        </w:rPr>
        <w:t>endants admit this much in the plea and c</w:t>
      </w:r>
      <w:r w:rsidRPr="001C3BFC">
        <w:rPr>
          <w:rFonts w:ascii="Arial" w:hAnsi="Arial"/>
          <w:lang w:val="en-GB"/>
        </w:rPr>
        <w:t>ounterclaim.</w:t>
      </w:r>
    </w:p>
  </w:footnote>
  <w:footnote w:id="10">
    <w:p w14:paraId="0AF492FE" w14:textId="56EB82B9" w:rsidR="00CC0060" w:rsidRPr="001C3BFC" w:rsidRDefault="00CC0060" w:rsidP="001C3BFC">
      <w:pPr>
        <w:pStyle w:val="FootnoteText"/>
        <w:ind w:left="142" w:hanging="142"/>
        <w:rPr>
          <w:rFonts w:ascii="Arial" w:hAnsi="Arial"/>
          <w:lang w:val="en-GB"/>
        </w:rPr>
      </w:pPr>
      <w:r w:rsidRPr="001C3BFC">
        <w:rPr>
          <w:rStyle w:val="FootnoteReference"/>
          <w:rFonts w:ascii="Arial" w:hAnsi="Arial"/>
        </w:rPr>
        <w:footnoteRef/>
      </w:r>
      <w:r w:rsidRPr="001C3BFC">
        <w:rPr>
          <w:rFonts w:ascii="Arial" w:hAnsi="Arial"/>
        </w:rPr>
        <w:t xml:space="preserve"> </w:t>
      </w:r>
      <w:r w:rsidRPr="001C3BFC">
        <w:rPr>
          <w:rFonts w:ascii="Arial" w:hAnsi="Arial"/>
          <w:lang w:val="en-GB"/>
        </w:rPr>
        <w:t>The evidence documents various requests for disbursements and applications for advances; all signed for by the 2</w:t>
      </w:r>
      <w:r w:rsidRPr="001C3BFC">
        <w:rPr>
          <w:rFonts w:ascii="Arial" w:hAnsi="Arial"/>
          <w:vertAlign w:val="superscript"/>
          <w:lang w:val="en-GB"/>
        </w:rPr>
        <w:t>nd</w:t>
      </w:r>
      <w:r w:rsidRPr="001C3BFC">
        <w:rPr>
          <w:rFonts w:ascii="Arial" w:hAnsi="Arial"/>
          <w:lang w:val="en-GB"/>
        </w:rPr>
        <w:t xml:space="preserve"> defendant on behalf of </w:t>
      </w:r>
      <w:r w:rsidR="00E93836">
        <w:rPr>
          <w:rFonts w:ascii="Arial" w:hAnsi="Arial"/>
          <w:lang w:val="en-GB"/>
        </w:rPr>
        <w:t>first</w:t>
      </w:r>
      <w:r w:rsidR="00E93836" w:rsidRPr="001C3BFC">
        <w:rPr>
          <w:rFonts w:ascii="Arial" w:hAnsi="Arial"/>
          <w:lang w:val="en-GB"/>
        </w:rPr>
        <w:t xml:space="preserve"> defendant</w:t>
      </w:r>
      <w:r w:rsidRPr="001C3BFC">
        <w:rPr>
          <w:rFonts w:ascii="Arial" w:hAnsi="Arial"/>
          <w:lang w:val="en-GB"/>
        </w:rPr>
        <w:t>. These are then followed by various electronic fund transfers to the suppliers and/ or to the first defendant.</w:t>
      </w:r>
    </w:p>
  </w:footnote>
  <w:footnote w:id="11">
    <w:p w14:paraId="111FC8D5" w14:textId="397AED40" w:rsidR="00CC0060" w:rsidRPr="001C3BFC" w:rsidRDefault="00CC0060" w:rsidP="001C3BFC">
      <w:pPr>
        <w:spacing w:after="0" w:line="240" w:lineRule="auto"/>
        <w:ind w:left="142" w:hanging="142"/>
        <w:jc w:val="both"/>
        <w:rPr>
          <w:sz w:val="20"/>
          <w:szCs w:val="20"/>
        </w:rPr>
      </w:pPr>
      <w:r w:rsidRPr="001C3BFC">
        <w:rPr>
          <w:rStyle w:val="FootnoteReference"/>
          <w:sz w:val="20"/>
          <w:szCs w:val="20"/>
        </w:rPr>
        <w:footnoteRef/>
      </w:r>
      <w:r w:rsidRPr="001C3BFC">
        <w:rPr>
          <w:sz w:val="20"/>
          <w:szCs w:val="20"/>
        </w:rPr>
        <w:t xml:space="preserve"> </w:t>
      </w:r>
      <w:r w:rsidRPr="001C3BFC">
        <w:rPr>
          <w:sz w:val="20"/>
          <w:szCs w:val="20"/>
          <w:lang w:val="en-CA"/>
        </w:rPr>
        <w:t xml:space="preserve">A </w:t>
      </w:r>
      <w:r w:rsidR="0027315D">
        <w:rPr>
          <w:sz w:val="20"/>
          <w:szCs w:val="20"/>
          <w:lang w:val="en-CA"/>
        </w:rPr>
        <w:t>copy whereof is annexed to the p</w:t>
      </w:r>
      <w:r w:rsidRPr="001C3BFC">
        <w:rPr>
          <w:sz w:val="20"/>
          <w:szCs w:val="20"/>
          <w:lang w:val="en-CA"/>
        </w:rPr>
        <w:t xml:space="preserve">laintiffs’ particulars of claim as annexure A2. </w:t>
      </w:r>
      <w:bookmarkStart w:id="1" w:name="_Hlk536457862"/>
      <w:r w:rsidRPr="001C3BFC">
        <w:rPr>
          <w:sz w:val="20"/>
          <w:szCs w:val="20"/>
          <w:lang w:val="en-CA"/>
        </w:rPr>
        <w:t xml:space="preserve">The terms and content of the </w:t>
      </w:r>
      <w:r w:rsidR="00E93836">
        <w:rPr>
          <w:sz w:val="20"/>
          <w:szCs w:val="20"/>
          <w:lang w:val="en-CA"/>
        </w:rPr>
        <w:t>first</w:t>
      </w:r>
      <w:r w:rsidR="00E93836" w:rsidRPr="001C3BFC">
        <w:rPr>
          <w:sz w:val="20"/>
          <w:szCs w:val="20"/>
          <w:lang w:val="en-CA"/>
        </w:rPr>
        <w:t xml:space="preserve"> amendment</w:t>
      </w:r>
      <w:r w:rsidRPr="001C3BFC">
        <w:rPr>
          <w:sz w:val="20"/>
          <w:szCs w:val="20"/>
          <w:lang w:val="en-CA"/>
        </w:rPr>
        <w:t xml:space="preserve"> agreement are not in dispute.</w:t>
      </w:r>
      <w:bookmarkEnd w:id="1"/>
    </w:p>
  </w:footnote>
  <w:footnote w:id="12">
    <w:p w14:paraId="25AC7BB0" w14:textId="7C425DE2" w:rsidR="00CC0060" w:rsidRPr="001C3BFC" w:rsidRDefault="00CC0060" w:rsidP="001C3BFC">
      <w:pPr>
        <w:pStyle w:val="FootnoteText"/>
        <w:ind w:left="142" w:hanging="142"/>
        <w:jc w:val="both"/>
        <w:rPr>
          <w:rFonts w:ascii="Arial" w:hAnsi="Arial"/>
          <w:lang w:val="en-ZA"/>
        </w:rPr>
      </w:pPr>
      <w:r w:rsidRPr="001C3BFC">
        <w:rPr>
          <w:rStyle w:val="FootnoteReference"/>
          <w:rFonts w:ascii="Arial" w:hAnsi="Arial"/>
        </w:rPr>
        <w:footnoteRef/>
      </w:r>
      <w:r w:rsidRPr="001C3BFC">
        <w:rPr>
          <w:rFonts w:ascii="Arial" w:hAnsi="Arial"/>
        </w:rPr>
        <w:t xml:space="preserve"> </w:t>
      </w:r>
      <w:r w:rsidRPr="001C3BFC">
        <w:rPr>
          <w:rFonts w:ascii="Arial" w:hAnsi="Arial"/>
          <w:lang w:val="en-CA"/>
        </w:rPr>
        <w:t xml:space="preserve">A </w:t>
      </w:r>
      <w:r w:rsidR="0027315D">
        <w:rPr>
          <w:rFonts w:ascii="Arial" w:hAnsi="Arial"/>
          <w:lang w:val="en-CA"/>
        </w:rPr>
        <w:t>copy whereof is annexed to the p</w:t>
      </w:r>
      <w:r w:rsidRPr="001C3BFC">
        <w:rPr>
          <w:rFonts w:ascii="Arial" w:hAnsi="Arial"/>
          <w:lang w:val="en-CA"/>
        </w:rPr>
        <w:t xml:space="preserve">laintiff’s particulars of claim as annexure A3. </w:t>
      </w:r>
      <w:bookmarkStart w:id="2" w:name="_Hlk536457960"/>
      <w:r w:rsidRPr="001C3BFC">
        <w:rPr>
          <w:rFonts w:ascii="Arial" w:hAnsi="Arial"/>
          <w:lang w:val="en-CA"/>
        </w:rPr>
        <w:t xml:space="preserve">The terms and content of the </w:t>
      </w:r>
      <w:r w:rsidR="0027315D">
        <w:rPr>
          <w:rFonts w:ascii="Arial" w:hAnsi="Arial"/>
          <w:lang w:val="en-CA"/>
        </w:rPr>
        <w:t>second</w:t>
      </w:r>
      <w:r w:rsidRPr="001C3BFC">
        <w:rPr>
          <w:rFonts w:ascii="Arial" w:hAnsi="Arial"/>
          <w:lang w:val="en-CA"/>
        </w:rPr>
        <w:t xml:space="preserve"> amendment agreement are not in dispute</w:t>
      </w:r>
      <w:bookmarkEnd w:id="2"/>
    </w:p>
  </w:footnote>
  <w:footnote w:id="13">
    <w:p w14:paraId="7701AEA0" w14:textId="62588730" w:rsidR="00CC0060" w:rsidRPr="009F5E9B" w:rsidRDefault="00CC0060" w:rsidP="001C3BFC">
      <w:pPr>
        <w:spacing w:after="0" w:line="240" w:lineRule="auto"/>
        <w:ind w:left="142" w:hanging="142"/>
        <w:jc w:val="both"/>
        <w:rPr>
          <w:sz w:val="20"/>
          <w:szCs w:val="20"/>
        </w:rPr>
      </w:pPr>
      <w:r w:rsidRPr="001C3BFC">
        <w:rPr>
          <w:rStyle w:val="FootnoteReference"/>
          <w:sz w:val="20"/>
          <w:szCs w:val="20"/>
        </w:rPr>
        <w:footnoteRef/>
      </w:r>
      <w:r w:rsidRPr="001C3BFC">
        <w:rPr>
          <w:sz w:val="20"/>
          <w:szCs w:val="20"/>
        </w:rPr>
        <w:t xml:space="preserve"> </w:t>
      </w:r>
      <w:r w:rsidRPr="001C3BFC">
        <w:rPr>
          <w:sz w:val="20"/>
          <w:szCs w:val="20"/>
          <w:lang w:val="en-CA"/>
        </w:rPr>
        <w:t xml:space="preserve">A </w:t>
      </w:r>
      <w:r w:rsidR="0027315D">
        <w:rPr>
          <w:sz w:val="20"/>
          <w:szCs w:val="20"/>
          <w:lang w:val="en-CA"/>
        </w:rPr>
        <w:t>copy whereof is annexed to the p</w:t>
      </w:r>
      <w:r w:rsidRPr="001C3BFC">
        <w:rPr>
          <w:sz w:val="20"/>
          <w:szCs w:val="20"/>
          <w:lang w:val="en-CA"/>
        </w:rPr>
        <w:t xml:space="preserve">laintiffs’ particulars of claim as annexure A4. The terms and content of the </w:t>
      </w:r>
      <w:r w:rsidR="0027315D">
        <w:rPr>
          <w:sz w:val="20"/>
          <w:szCs w:val="20"/>
          <w:lang w:val="en-CA"/>
        </w:rPr>
        <w:t>third</w:t>
      </w:r>
      <w:r w:rsidRPr="001C3BFC">
        <w:rPr>
          <w:sz w:val="20"/>
          <w:szCs w:val="20"/>
          <w:lang w:val="en-CA"/>
        </w:rPr>
        <w:t xml:space="preserve"> amendment agreement are not in dispute</w:t>
      </w:r>
    </w:p>
  </w:footnote>
  <w:footnote w:id="14">
    <w:p w14:paraId="05EC0AD1" w14:textId="57FD91A6" w:rsidR="00CC0060" w:rsidRPr="0027315D" w:rsidRDefault="00CC0060" w:rsidP="00E93836">
      <w:pPr>
        <w:spacing w:after="0" w:line="240" w:lineRule="auto"/>
        <w:ind w:left="142" w:hanging="142"/>
        <w:jc w:val="both"/>
        <w:rPr>
          <w:sz w:val="20"/>
          <w:szCs w:val="20"/>
        </w:rPr>
      </w:pPr>
      <w:r w:rsidRPr="0027315D">
        <w:rPr>
          <w:rStyle w:val="FootnoteReference"/>
          <w:sz w:val="20"/>
          <w:szCs w:val="20"/>
        </w:rPr>
        <w:footnoteRef/>
      </w:r>
      <w:r w:rsidRPr="0027315D">
        <w:rPr>
          <w:sz w:val="20"/>
          <w:szCs w:val="20"/>
        </w:rPr>
        <w:t xml:space="preserve"> </w:t>
      </w:r>
      <w:r w:rsidRPr="0027315D">
        <w:rPr>
          <w:sz w:val="20"/>
          <w:szCs w:val="20"/>
          <w:lang w:val="en-CA"/>
        </w:rPr>
        <w:t>A copy of the written surety agreement executed by the 2nd defendant is annexed to the Plaintiff’s particulars of claim as annexure A5.</w:t>
      </w:r>
    </w:p>
    <w:p w14:paraId="7A08EE11" w14:textId="395ED3B1" w:rsidR="00CC0060" w:rsidRDefault="00CC0060">
      <w:pPr>
        <w:pStyle w:val="FootnoteText"/>
      </w:pPr>
    </w:p>
  </w:footnote>
  <w:footnote w:id="15">
    <w:p w14:paraId="77B5C220" w14:textId="1CFB573C" w:rsidR="00CC0060" w:rsidRPr="00043F71" w:rsidRDefault="00CC0060" w:rsidP="00043F71">
      <w:pPr>
        <w:spacing w:after="0" w:line="240" w:lineRule="auto"/>
        <w:ind w:left="142" w:hanging="142"/>
        <w:jc w:val="both"/>
        <w:rPr>
          <w:sz w:val="20"/>
          <w:szCs w:val="20"/>
        </w:rPr>
      </w:pPr>
      <w:r w:rsidRPr="00043F71">
        <w:rPr>
          <w:rStyle w:val="FootnoteReference"/>
          <w:sz w:val="20"/>
          <w:szCs w:val="20"/>
        </w:rPr>
        <w:footnoteRef/>
      </w:r>
      <w:r w:rsidRPr="00043F71">
        <w:rPr>
          <w:sz w:val="20"/>
          <w:szCs w:val="20"/>
        </w:rPr>
        <w:t xml:space="preserve"> (The </w:t>
      </w:r>
      <w:r w:rsidRPr="00043F71">
        <w:rPr>
          <w:i/>
          <w:sz w:val="20"/>
          <w:szCs w:val="20"/>
        </w:rPr>
        <w:t>Shifren</w:t>
      </w:r>
      <w:r w:rsidRPr="00043F71">
        <w:rPr>
          <w:sz w:val="20"/>
          <w:szCs w:val="20"/>
        </w:rPr>
        <w:t xml:space="preserve"> matter was followed in </w:t>
      </w:r>
      <w:r w:rsidRPr="00043F71">
        <w:rPr>
          <w:i/>
          <w:sz w:val="20"/>
          <w:szCs w:val="20"/>
        </w:rPr>
        <w:t>Namibia Beverages v Amupolo</w:t>
      </w:r>
      <w:r w:rsidRPr="00043F71">
        <w:rPr>
          <w:sz w:val="20"/>
          <w:szCs w:val="20"/>
        </w:rPr>
        <w:t xml:space="preserve"> 1999 NR 303 (HC) at 305E-F and </w:t>
      </w:r>
      <w:r w:rsidRPr="00043F71">
        <w:rPr>
          <w:i/>
          <w:sz w:val="20"/>
          <w:szCs w:val="20"/>
        </w:rPr>
        <w:t>Brisley v Drotsky</w:t>
      </w:r>
      <w:r w:rsidRPr="00043F71">
        <w:rPr>
          <w:sz w:val="20"/>
          <w:szCs w:val="20"/>
        </w:rPr>
        <w:t xml:space="preserve"> was applied in </w:t>
      </w:r>
      <w:r w:rsidRPr="00043F71">
        <w:rPr>
          <w:i/>
          <w:sz w:val="20"/>
          <w:szCs w:val="20"/>
        </w:rPr>
        <w:t>Mushimba v Autogas Namibia (Pty) Ltd</w:t>
      </w:r>
      <w:r w:rsidRPr="00043F71">
        <w:rPr>
          <w:sz w:val="20"/>
          <w:szCs w:val="20"/>
        </w:rPr>
        <w:t xml:space="preserve"> 2008 (1) NR 253 (HC) at 260G-H).</w:t>
      </w:r>
    </w:p>
  </w:footnote>
  <w:footnote w:id="16">
    <w:p w14:paraId="65BDEE71" w14:textId="7068FBD9" w:rsidR="00CC0060" w:rsidRPr="00043F71" w:rsidRDefault="00CC0060" w:rsidP="00043F71">
      <w:pPr>
        <w:pStyle w:val="FootnoteText"/>
        <w:jc w:val="both"/>
        <w:rPr>
          <w:rFonts w:ascii="Arial" w:hAnsi="Arial"/>
          <w:lang w:val="en-ZA"/>
        </w:rPr>
      </w:pPr>
      <w:r w:rsidRPr="00043F71">
        <w:rPr>
          <w:rStyle w:val="FootnoteReference"/>
          <w:rFonts w:ascii="Arial" w:hAnsi="Arial"/>
        </w:rPr>
        <w:footnoteRef/>
      </w:r>
      <w:r w:rsidRPr="00043F71">
        <w:rPr>
          <w:rFonts w:ascii="Arial" w:hAnsi="Arial"/>
        </w:rPr>
        <w:t xml:space="preserve"> </w:t>
      </w:r>
      <w:r w:rsidRPr="00043F71">
        <w:rPr>
          <w:rFonts w:ascii="Arial" w:hAnsi="Arial"/>
          <w:i/>
        </w:rPr>
        <w:t>Brisley v Drotsky</w:t>
      </w:r>
      <w:r w:rsidRPr="00043F71">
        <w:rPr>
          <w:rFonts w:ascii="Arial" w:hAnsi="Arial"/>
        </w:rPr>
        <w:t xml:space="preserve"> 2002 4 SA 1 (SCA) (at p34G):</w:t>
      </w:r>
    </w:p>
  </w:footnote>
  <w:footnote w:id="17">
    <w:p w14:paraId="0C76590C" w14:textId="59901F12" w:rsidR="00CC0060" w:rsidRPr="00374B14" w:rsidRDefault="00CC0060" w:rsidP="00043F71">
      <w:pPr>
        <w:spacing w:after="0" w:line="240" w:lineRule="auto"/>
        <w:ind w:left="284" w:hanging="284"/>
        <w:jc w:val="both"/>
        <w:rPr>
          <w:sz w:val="20"/>
          <w:szCs w:val="20"/>
        </w:rPr>
      </w:pPr>
      <w:r w:rsidRPr="00374B14">
        <w:rPr>
          <w:rStyle w:val="FootnoteReference"/>
          <w:sz w:val="20"/>
          <w:szCs w:val="20"/>
        </w:rPr>
        <w:footnoteRef/>
      </w:r>
      <w:r w:rsidRPr="00374B14">
        <w:rPr>
          <w:sz w:val="20"/>
          <w:szCs w:val="20"/>
        </w:rPr>
        <w:t xml:space="preserve"> </w:t>
      </w:r>
      <w:r w:rsidR="00374B14" w:rsidRPr="00374B14">
        <w:rPr>
          <w:sz w:val="20"/>
          <w:szCs w:val="20"/>
        </w:rPr>
        <w:t xml:space="preserve">See also </w:t>
      </w:r>
      <w:r w:rsidRPr="00374B14">
        <w:rPr>
          <w:sz w:val="20"/>
          <w:szCs w:val="20"/>
        </w:rPr>
        <w:t>[</w:t>
      </w:r>
      <w:r w:rsidRPr="00374B14">
        <w:rPr>
          <w:i/>
          <w:sz w:val="20"/>
          <w:szCs w:val="20"/>
        </w:rPr>
        <w:t>Sasfin (Pty) Ltd v Beukes</w:t>
      </w:r>
      <w:r w:rsidRPr="00374B14">
        <w:rPr>
          <w:sz w:val="20"/>
          <w:szCs w:val="20"/>
        </w:rPr>
        <w:t xml:space="preserve"> 1989 (1) SA 1 (A); </w:t>
      </w:r>
      <w:r w:rsidRPr="00374B14">
        <w:rPr>
          <w:i/>
          <w:sz w:val="20"/>
          <w:szCs w:val="20"/>
        </w:rPr>
        <w:t>De Beer v Keyser and Others</w:t>
      </w:r>
      <w:r w:rsidRPr="00374B14">
        <w:rPr>
          <w:sz w:val="20"/>
          <w:szCs w:val="20"/>
        </w:rPr>
        <w:t xml:space="preserve"> 2002 (1) SA 827 (SCA) para [22].]</w:t>
      </w:r>
    </w:p>
  </w:footnote>
  <w:footnote w:id="18">
    <w:p w14:paraId="38C70A40" w14:textId="56D8E32D" w:rsidR="00CC0060" w:rsidRPr="00374B14" w:rsidRDefault="00CC0060" w:rsidP="00043F71">
      <w:pPr>
        <w:pStyle w:val="FootnoteText"/>
        <w:jc w:val="both"/>
        <w:rPr>
          <w:rFonts w:ascii="Arial" w:hAnsi="Arial"/>
        </w:rPr>
      </w:pPr>
      <w:r w:rsidRPr="00374B14">
        <w:rPr>
          <w:rStyle w:val="FootnoteReference"/>
          <w:rFonts w:ascii="Arial" w:hAnsi="Arial"/>
        </w:rPr>
        <w:footnoteRef/>
      </w:r>
      <w:r w:rsidR="00374B14" w:rsidRPr="00374B14">
        <w:rPr>
          <w:rFonts w:ascii="Arial" w:hAnsi="Arial"/>
        </w:rPr>
        <w:t xml:space="preserve">  </w:t>
      </w:r>
      <w:r w:rsidR="00374B14" w:rsidRPr="00374B14">
        <w:rPr>
          <w:rFonts w:ascii="Arial" w:hAnsi="Arial"/>
          <w:i/>
        </w:rPr>
        <w:t xml:space="preserve">Kovacs Investments </w:t>
      </w:r>
      <w:r w:rsidRPr="00374B14">
        <w:rPr>
          <w:rFonts w:ascii="Arial" w:hAnsi="Arial"/>
          <w:i/>
        </w:rPr>
        <w:t>(Pty) Ltd v Marais</w:t>
      </w:r>
      <w:r w:rsidRPr="00374B14">
        <w:rPr>
          <w:rFonts w:ascii="Arial" w:hAnsi="Arial"/>
        </w:rPr>
        <w:t xml:space="preserve"> (323/2008) [2009] ZASCA 84 (20 August 2009.)</w:t>
      </w:r>
    </w:p>
  </w:footnote>
  <w:footnote w:id="19">
    <w:p w14:paraId="4F057F13" w14:textId="1B2676CE" w:rsidR="00CC0060" w:rsidRPr="00374B14" w:rsidRDefault="00CC0060" w:rsidP="00043F71">
      <w:pPr>
        <w:pStyle w:val="FootnoteText"/>
        <w:jc w:val="both"/>
        <w:rPr>
          <w:rFonts w:ascii="Arial" w:hAnsi="Arial"/>
          <w:lang w:val="en-ZA"/>
        </w:rPr>
      </w:pPr>
      <w:r w:rsidRPr="00374B14">
        <w:rPr>
          <w:rStyle w:val="FootnoteReference"/>
          <w:rFonts w:ascii="Arial" w:hAnsi="Arial"/>
        </w:rPr>
        <w:footnoteRef/>
      </w:r>
      <w:r w:rsidRPr="00374B14">
        <w:rPr>
          <w:rFonts w:ascii="Arial" w:hAnsi="Arial"/>
        </w:rPr>
        <w:t xml:space="preserve">  </w:t>
      </w:r>
      <w:r w:rsidRPr="00374B14">
        <w:rPr>
          <w:rStyle w:val="Emphasis"/>
          <w:rFonts w:ascii="Arial" w:hAnsi="Arial"/>
          <w:bCs/>
          <w:iCs w:val="0"/>
          <w:shd w:val="clear" w:color="auto" w:fill="FFFFFF"/>
        </w:rPr>
        <w:t>Neethling v Klopper</w:t>
      </w:r>
      <w:r w:rsidRPr="00374B14">
        <w:rPr>
          <w:rFonts w:ascii="Arial" w:hAnsi="Arial"/>
          <w:shd w:val="clear" w:color="auto" w:fill="FFFFFF"/>
        </w:rPr>
        <w:t> en Andere 1967 (4) SA 459 (A) </w:t>
      </w:r>
    </w:p>
  </w:footnote>
  <w:footnote w:id="20">
    <w:p w14:paraId="46E1109E" w14:textId="77777777" w:rsidR="00CC0060" w:rsidRPr="00374B14" w:rsidRDefault="00CC0060" w:rsidP="00374B14">
      <w:pPr>
        <w:tabs>
          <w:tab w:val="left" w:pos="709"/>
        </w:tabs>
        <w:spacing w:after="0" w:line="240" w:lineRule="auto"/>
        <w:ind w:left="284" w:hanging="284"/>
        <w:jc w:val="both"/>
        <w:rPr>
          <w:i/>
          <w:sz w:val="20"/>
          <w:szCs w:val="20"/>
        </w:rPr>
      </w:pPr>
      <w:r w:rsidRPr="00374B14">
        <w:rPr>
          <w:rStyle w:val="FootnoteReference"/>
          <w:sz w:val="20"/>
          <w:szCs w:val="20"/>
        </w:rPr>
        <w:footnoteRef/>
      </w:r>
      <w:r w:rsidRPr="00374B14">
        <w:rPr>
          <w:sz w:val="20"/>
          <w:szCs w:val="20"/>
        </w:rPr>
        <w:t xml:space="preserve"> </w:t>
      </w:r>
      <w:r w:rsidRPr="00374B14">
        <w:rPr>
          <w:i/>
          <w:sz w:val="20"/>
          <w:szCs w:val="20"/>
        </w:rPr>
        <w:t xml:space="preserve">Rani Traders cc &amp; 5 others v Woerman Brock &amp; Co (Pty) Ltd (I 3889/2014) [2016] NAHCMD 223 (27 July 2016) at para 19 </w:t>
      </w:r>
    </w:p>
  </w:footnote>
  <w:footnote w:id="21">
    <w:p w14:paraId="1C6825E6" w14:textId="634DBC9B" w:rsidR="00374B14" w:rsidRPr="00374B14" w:rsidRDefault="00374B14">
      <w:pPr>
        <w:pStyle w:val="FootnoteText"/>
        <w:rPr>
          <w:lang w:val="en-ZA"/>
        </w:rPr>
      </w:pPr>
      <w:r w:rsidRPr="00374B14">
        <w:rPr>
          <w:rStyle w:val="FootnoteReference"/>
          <w:rFonts w:ascii="Arial" w:hAnsi="Arial"/>
        </w:rPr>
        <w:footnoteRef/>
      </w:r>
      <w:r w:rsidRPr="00374B14">
        <w:rPr>
          <w:rFonts w:ascii="Arial" w:hAnsi="Arial"/>
        </w:rPr>
        <w:t xml:space="preserve"> </w:t>
      </w:r>
      <w:r w:rsidRPr="00374B14">
        <w:rPr>
          <w:rFonts w:ascii="Arial" w:hAnsi="Arial"/>
          <w:i/>
        </w:rPr>
        <w:t>Gray v Waterfront Auctioneers (Pty) Ltd and Another</w:t>
      </w:r>
      <w:r w:rsidRPr="00374B14">
        <w:rPr>
          <w:rFonts w:ascii="Arial" w:hAnsi="Arial"/>
        </w:rPr>
        <w:t xml:space="preserve"> 1996 (2) SA 662 (WLD) at 668H-J</w:t>
      </w:r>
    </w:p>
  </w:footnote>
  <w:footnote w:id="22">
    <w:p w14:paraId="5E8C4E65" w14:textId="2D771020" w:rsidR="00CC0060" w:rsidRPr="002914A4" w:rsidRDefault="00CC0060" w:rsidP="002914A4">
      <w:pPr>
        <w:pStyle w:val="FootnoteText"/>
        <w:ind w:left="142" w:hanging="142"/>
        <w:rPr>
          <w:rFonts w:ascii="Arial" w:hAnsi="Arial"/>
          <w:lang w:val="en-ZA"/>
        </w:rPr>
      </w:pPr>
      <w:r w:rsidRPr="002914A4">
        <w:rPr>
          <w:rStyle w:val="FootnoteReference"/>
          <w:rFonts w:ascii="Arial" w:hAnsi="Arial"/>
        </w:rPr>
        <w:footnoteRef/>
      </w:r>
      <w:r w:rsidRPr="002914A4">
        <w:rPr>
          <w:rFonts w:ascii="Arial" w:hAnsi="Arial"/>
        </w:rPr>
        <w:t xml:space="preserve"> </w:t>
      </w:r>
      <w:r w:rsidRPr="002914A4">
        <w:rPr>
          <w:rFonts w:ascii="Arial" w:hAnsi="Arial"/>
          <w:i/>
        </w:rPr>
        <w:t xml:space="preserve">Henred Fruehauf Trailers (Pty) Ltd v Enkali </w:t>
      </w:r>
      <w:r w:rsidRPr="002914A4">
        <w:rPr>
          <w:rFonts w:ascii="Arial" w:hAnsi="Arial"/>
        </w:rPr>
        <w:t>(</w:t>
      </w:r>
      <w:r w:rsidRPr="002914A4">
        <w:rPr>
          <w:rFonts w:ascii="Arial" w:hAnsi="Arial"/>
          <w:shd w:val="clear" w:color="auto" w:fill="FFFFFF"/>
        </w:rPr>
        <w:t>HC-MD-CIV-ACT-CON-2016/03741</w:t>
      </w:r>
      <w:r w:rsidRPr="002914A4">
        <w:rPr>
          <w:rFonts w:ascii="Arial" w:hAnsi="Arial"/>
        </w:rPr>
        <w:t xml:space="preserve">) [2019] NAHCMD 392 (30 September 2019) and Christie R H: </w:t>
      </w:r>
      <w:r w:rsidRPr="002914A4">
        <w:rPr>
          <w:rFonts w:ascii="Arial" w:hAnsi="Arial"/>
          <w:i/>
        </w:rPr>
        <w:t>The Law of Contract in South Africa</w:t>
      </w:r>
      <w:r w:rsidRPr="002914A4">
        <w:rPr>
          <w:rFonts w:ascii="Arial" w:hAnsi="Arial"/>
        </w:rPr>
        <w:t>: 5</w:t>
      </w:r>
      <w:r w:rsidRPr="002914A4">
        <w:rPr>
          <w:rFonts w:ascii="Arial" w:hAnsi="Arial"/>
          <w:vertAlign w:val="superscript"/>
        </w:rPr>
        <w:t>th</w:t>
      </w:r>
      <w:r w:rsidRPr="002914A4">
        <w:rPr>
          <w:rFonts w:ascii="Arial" w:hAnsi="Arial"/>
        </w:rPr>
        <w:t xml:space="preserve"> Edition LexisNexis Butterworths p 28.</w:t>
      </w:r>
    </w:p>
  </w:footnote>
  <w:footnote w:id="23">
    <w:p w14:paraId="2ECCFEE1" w14:textId="3A2C79D3" w:rsidR="00CC0060" w:rsidRPr="002914A4" w:rsidRDefault="00CC0060" w:rsidP="002914A4">
      <w:pPr>
        <w:pStyle w:val="FootnoteText"/>
        <w:tabs>
          <w:tab w:val="left" w:pos="360"/>
        </w:tabs>
        <w:rPr>
          <w:rFonts w:ascii="Arial" w:hAnsi="Arial"/>
        </w:rPr>
      </w:pPr>
      <w:r w:rsidRPr="002914A4">
        <w:rPr>
          <w:rStyle w:val="FootnoteReference"/>
          <w:rFonts w:ascii="Arial" w:hAnsi="Arial"/>
        </w:rPr>
        <w:footnoteRef/>
      </w:r>
      <w:r w:rsidRPr="002914A4">
        <w:rPr>
          <w:rFonts w:ascii="Arial" w:hAnsi="Arial"/>
        </w:rPr>
        <w:t xml:space="preserve"> </w:t>
      </w:r>
      <w:r w:rsidR="006147A8" w:rsidRPr="002914A4">
        <w:rPr>
          <w:rFonts w:ascii="Arial" w:hAnsi="Arial"/>
          <w:i/>
          <w:lang w:eastAsia="zh-CN" w:bidi="hi-IN"/>
        </w:rPr>
        <w:t>Wasmuth v Jacobs</w:t>
      </w:r>
      <w:r w:rsidR="006147A8" w:rsidRPr="002914A4">
        <w:rPr>
          <w:rFonts w:ascii="Arial" w:hAnsi="Arial"/>
          <w:lang w:eastAsia="zh-CN" w:bidi="hi-IN"/>
        </w:rPr>
        <w:t xml:space="preserve"> </w:t>
      </w:r>
      <w:r w:rsidRPr="002914A4">
        <w:rPr>
          <w:rFonts w:ascii="Arial" w:hAnsi="Arial"/>
          <w:lang w:eastAsia="zh-CN" w:bidi="hi-IN"/>
        </w:rPr>
        <w:t>1987 (3) SA 629 (SWA) at 633.</w:t>
      </w:r>
    </w:p>
  </w:footnote>
  <w:footnote w:id="24">
    <w:p w14:paraId="095AC393" w14:textId="3CCE861A" w:rsidR="00CC0060" w:rsidRPr="002914A4" w:rsidRDefault="00CC0060" w:rsidP="002914A4">
      <w:pPr>
        <w:pStyle w:val="FootnoteText"/>
        <w:ind w:left="720" w:hanging="720"/>
        <w:rPr>
          <w:rFonts w:ascii="Arial" w:hAnsi="Arial"/>
        </w:rPr>
      </w:pPr>
      <w:r w:rsidRPr="002914A4">
        <w:rPr>
          <w:rStyle w:val="FootnoteReference"/>
          <w:rFonts w:ascii="Arial" w:hAnsi="Arial"/>
        </w:rPr>
        <w:footnoteRef/>
      </w:r>
      <w:r w:rsidRPr="002914A4">
        <w:rPr>
          <w:rFonts w:ascii="Arial" w:hAnsi="Arial"/>
        </w:rPr>
        <w:t xml:space="preserve"> </w:t>
      </w:r>
      <w:r w:rsidR="006147A8" w:rsidRPr="002914A4">
        <w:rPr>
          <w:rFonts w:ascii="Arial" w:hAnsi="Arial"/>
          <w:i/>
          <w:lang w:val="en-ZA"/>
        </w:rPr>
        <w:t>Namibia Broadcasting Corporation v Kruger and others</w:t>
      </w:r>
      <w:r w:rsidR="006147A8" w:rsidRPr="002914A4">
        <w:rPr>
          <w:rFonts w:ascii="Arial" w:hAnsi="Arial"/>
        </w:rPr>
        <w:t xml:space="preserve"> </w:t>
      </w:r>
      <w:r w:rsidRPr="002914A4">
        <w:rPr>
          <w:rFonts w:ascii="Arial" w:hAnsi="Arial"/>
        </w:rPr>
        <w:t>2009 (1) Nr 196 (SC) at pg. 35 and 36.</w:t>
      </w:r>
    </w:p>
  </w:footnote>
  <w:footnote w:id="25">
    <w:p w14:paraId="7A0D9CF7" w14:textId="0CF4971C" w:rsidR="00CC0060" w:rsidRPr="002914A4" w:rsidRDefault="00CC0060" w:rsidP="002914A4">
      <w:pPr>
        <w:tabs>
          <w:tab w:val="left" w:pos="360"/>
        </w:tabs>
        <w:spacing w:after="0" w:line="240" w:lineRule="auto"/>
        <w:rPr>
          <w:sz w:val="20"/>
          <w:szCs w:val="20"/>
          <w:lang w:eastAsia="zh-CN" w:bidi="hi-IN"/>
        </w:rPr>
      </w:pPr>
      <w:r w:rsidRPr="002914A4">
        <w:rPr>
          <w:rStyle w:val="FootnoteReference"/>
          <w:sz w:val="20"/>
          <w:szCs w:val="20"/>
        </w:rPr>
        <w:footnoteRef/>
      </w:r>
      <w:r w:rsidRPr="002914A4">
        <w:rPr>
          <w:sz w:val="20"/>
          <w:szCs w:val="20"/>
        </w:rPr>
        <w:t xml:space="preserve"> </w:t>
      </w:r>
      <w:r w:rsidR="002914A4" w:rsidRPr="002914A4">
        <w:rPr>
          <w:i/>
          <w:sz w:val="20"/>
          <w:szCs w:val="20"/>
          <w:lang w:eastAsia="zh-CN" w:bidi="hi-IN"/>
        </w:rPr>
        <w:t>JRM Furniture Holdings v Cowlin</w:t>
      </w:r>
      <w:r w:rsidR="002914A4" w:rsidRPr="002914A4">
        <w:rPr>
          <w:sz w:val="20"/>
          <w:szCs w:val="20"/>
          <w:lang w:eastAsia="zh-CN" w:bidi="hi-IN"/>
        </w:rPr>
        <w:t xml:space="preserve"> </w:t>
      </w:r>
      <w:r w:rsidRPr="002914A4">
        <w:rPr>
          <w:sz w:val="20"/>
          <w:szCs w:val="20"/>
          <w:lang w:eastAsia="zh-CN" w:bidi="hi-IN"/>
        </w:rPr>
        <w:t>1983 (4) SA 541 (W) at 544.</w:t>
      </w:r>
    </w:p>
  </w:footnote>
  <w:footnote w:id="26">
    <w:p w14:paraId="774BA344" w14:textId="615F84BD" w:rsidR="00CC0060" w:rsidRPr="00D24A5E" w:rsidRDefault="00CC0060" w:rsidP="002914A4">
      <w:pPr>
        <w:pStyle w:val="FootnoteText"/>
        <w:tabs>
          <w:tab w:val="left" w:pos="360"/>
        </w:tabs>
        <w:jc w:val="both"/>
        <w:rPr>
          <w:rFonts w:ascii="Arial" w:hAnsi="Arial"/>
          <w:sz w:val="18"/>
          <w:szCs w:val="18"/>
        </w:rPr>
      </w:pPr>
      <w:r w:rsidRPr="002914A4">
        <w:rPr>
          <w:rStyle w:val="FootnoteReference"/>
          <w:rFonts w:ascii="Arial" w:hAnsi="Arial"/>
        </w:rPr>
        <w:footnoteRef/>
      </w:r>
      <w:r w:rsidRPr="002914A4">
        <w:rPr>
          <w:rFonts w:ascii="Arial" w:hAnsi="Arial"/>
        </w:rPr>
        <w:t xml:space="preserve"> </w:t>
      </w:r>
      <w:r w:rsidR="002914A4" w:rsidRPr="002914A4">
        <w:rPr>
          <w:rFonts w:ascii="Arial" w:hAnsi="Arial"/>
          <w:i/>
        </w:rPr>
        <w:t>Plum v Mazista Ltd</w:t>
      </w:r>
      <w:r w:rsidR="002914A4" w:rsidRPr="002914A4">
        <w:rPr>
          <w:rFonts w:ascii="Arial" w:hAnsi="Arial"/>
        </w:rPr>
        <w:t xml:space="preserve"> </w:t>
      </w:r>
      <w:r w:rsidRPr="002914A4">
        <w:rPr>
          <w:rFonts w:ascii="Arial" w:hAnsi="Arial"/>
        </w:rPr>
        <w:t>1981 (3) SA 152 (A) at 163 – 4.</w:t>
      </w:r>
    </w:p>
  </w:footnote>
  <w:footnote w:id="27">
    <w:p w14:paraId="2BC36B81" w14:textId="77777777" w:rsidR="00CC0060" w:rsidRPr="00D24A5E" w:rsidRDefault="00CC0060" w:rsidP="002914A4">
      <w:pPr>
        <w:pStyle w:val="FootnoteText"/>
        <w:tabs>
          <w:tab w:val="left" w:pos="142"/>
        </w:tabs>
        <w:jc w:val="both"/>
        <w:rPr>
          <w:rFonts w:ascii="Arial" w:hAnsi="Arial"/>
          <w:sz w:val="18"/>
          <w:szCs w:val="18"/>
        </w:rPr>
      </w:pPr>
      <w:r w:rsidRPr="00D24A5E">
        <w:rPr>
          <w:rStyle w:val="FootnoteReference"/>
          <w:rFonts w:ascii="Arial" w:hAnsi="Arial"/>
          <w:sz w:val="18"/>
          <w:szCs w:val="18"/>
        </w:rPr>
        <w:footnoteRef/>
      </w:r>
      <w:r w:rsidRPr="00D24A5E">
        <w:rPr>
          <w:rFonts w:ascii="Arial" w:hAnsi="Arial"/>
          <w:sz w:val="18"/>
          <w:szCs w:val="18"/>
        </w:rPr>
        <w:t xml:space="preserve"> Also see; </w:t>
      </w:r>
      <w:r w:rsidRPr="00D24A5E">
        <w:rPr>
          <w:rFonts w:ascii="Arial" w:hAnsi="Arial"/>
          <w:i/>
          <w:sz w:val="18"/>
          <w:szCs w:val="18"/>
        </w:rPr>
        <w:t>Joel Melamed and Hurwitz v Cleveland Estates (Pty) Ltd</w:t>
      </w:r>
      <w:r w:rsidRPr="00D24A5E">
        <w:rPr>
          <w:rFonts w:ascii="Arial" w:hAnsi="Arial"/>
          <w:sz w:val="18"/>
          <w:szCs w:val="18"/>
        </w:rPr>
        <w:t xml:space="preserve"> 1984 (3) SA 155 (A); </w:t>
      </w:r>
      <w:r w:rsidRPr="00D24A5E">
        <w:rPr>
          <w:rFonts w:ascii="Arial" w:hAnsi="Arial"/>
          <w:i/>
          <w:sz w:val="18"/>
          <w:szCs w:val="18"/>
        </w:rPr>
        <w:t xml:space="preserve">Joel Melamed </w:t>
      </w:r>
      <w:r>
        <w:rPr>
          <w:rFonts w:ascii="Arial" w:hAnsi="Arial"/>
          <w:i/>
          <w:sz w:val="18"/>
          <w:szCs w:val="18"/>
        </w:rPr>
        <w:t xml:space="preserve">and </w:t>
      </w:r>
      <w:r w:rsidRPr="00D24A5E">
        <w:rPr>
          <w:rFonts w:ascii="Arial" w:hAnsi="Arial"/>
          <w:i/>
          <w:sz w:val="18"/>
          <w:szCs w:val="18"/>
        </w:rPr>
        <w:t>Hurwitz v Vorner Investments (Pty) Ltd</w:t>
      </w:r>
      <w:r w:rsidRPr="00D24A5E">
        <w:rPr>
          <w:rFonts w:ascii="Arial" w:hAnsi="Arial"/>
          <w:sz w:val="18"/>
          <w:szCs w:val="18"/>
        </w:rPr>
        <w:t xml:space="preserve"> 1984 (3) SA 155 (A); </w:t>
      </w:r>
      <w:r w:rsidRPr="00D24A5E">
        <w:rPr>
          <w:rFonts w:ascii="Arial" w:hAnsi="Arial"/>
          <w:i/>
          <w:sz w:val="18"/>
          <w:szCs w:val="18"/>
        </w:rPr>
        <w:t xml:space="preserve">Spes Bona Bank Ltd v Portals Water Treatment South Africa (Pty) Ltd </w:t>
      </w:r>
      <w:r w:rsidRPr="00D24A5E">
        <w:rPr>
          <w:rFonts w:ascii="Arial" w:hAnsi="Arial"/>
          <w:sz w:val="18"/>
          <w:szCs w:val="18"/>
        </w:rPr>
        <w:t>1983 (1) SA 978 (A) at 981A D).</w:t>
      </w:r>
    </w:p>
  </w:footnote>
  <w:footnote w:id="28">
    <w:p w14:paraId="02FFFAD3" w14:textId="77777777" w:rsidR="00CC0060" w:rsidRPr="00D24A5E" w:rsidRDefault="00CC0060" w:rsidP="002914A4">
      <w:pPr>
        <w:pStyle w:val="FootnoteText"/>
        <w:tabs>
          <w:tab w:val="left" w:pos="360"/>
        </w:tabs>
        <w:ind w:left="180" w:hanging="180"/>
        <w:rPr>
          <w:rFonts w:ascii="Arial" w:hAnsi="Arial"/>
          <w:sz w:val="18"/>
          <w:szCs w:val="18"/>
        </w:rPr>
      </w:pPr>
      <w:r w:rsidRPr="00D24A5E">
        <w:rPr>
          <w:rStyle w:val="FootnoteReference"/>
          <w:rFonts w:ascii="Arial" w:hAnsi="Arial"/>
          <w:sz w:val="18"/>
          <w:szCs w:val="18"/>
        </w:rPr>
        <w:footnoteRef/>
      </w:r>
      <w:r w:rsidRPr="00D24A5E">
        <w:rPr>
          <w:rFonts w:ascii="Arial" w:hAnsi="Arial"/>
          <w:sz w:val="18"/>
          <w:szCs w:val="18"/>
        </w:rPr>
        <w:t xml:space="preserve"> Christie R H: </w:t>
      </w:r>
      <w:r w:rsidRPr="00D24A5E">
        <w:rPr>
          <w:rFonts w:ascii="Arial" w:hAnsi="Arial"/>
          <w:i/>
          <w:sz w:val="18"/>
          <w:szCs w:val="18"/>
        </w:rPr>
        <w:t>The Law of Contract in South Africa</w:t>
      </w:r>
      <w:r w:rsidRPr="00D24A5E">
        <w:rPr>
          <w:rFonts w:ascii="Arial" w:hAnsi="Arial"/>
          <w:sz w:val="18"/>
          <w:szCs w:val="18"/>
        </w:rPr>
        <w:t>: 5</w:t>
      </w:r>
      <w:r w:rsidRPr="00D24A5E">
        <w:rPr>
          <w:rFonts w:ascii="Arial" w:hAnsi="Arial"/>
          <w:sz w:val="18"/>
          <w:szCs w:val="18"/>
          <w:vertAlign w:val="superscript"/>
        </w:rPr>
        <w:t>th</w:t>
      </w:r>
      <w:r w:rsidRPr="00D24A5E">
        <w:rPr>
          <w:rFonts w:ascii="Arial" w:hAnsi="Arial"/>
          <w:sz w:val="18"/>
          <w:szCs w:val="18"/>
        </w:rPr>
        <w:t xml:space="preserve"> Edition LexisNexis Butterworths. Footnote 4 at 85.</w:t>
      </w:r>
    </w:p>
  </w:footnote>
  <w:footnote w:id="29">
    <w:p w14:paraId="314624A7" w14:textId="77777777" w:rsidR="00CC0060" w:rsidRPr="008E7A3A" w:rsidRDefault="00CC0060" w:rsidP="002914A4">
      <w:pPr>
        <w:pStyle w:val="FootnoteText"/>
        <w:rPr>
          <w:rFonts w:ascii="Arial" w:hAnsi="Arial"/>
          <w:sz w:val="18"/>
          <w:szCs w:val="18"/>
        </w:rPr>
      </w:pPr>
      <w:r w:rsidRPr="008E7A3A">
        <w:rPr>
          <w:rStyle w:val="FootnoteReference"/>
          <w:rFonts w:ascii="Arial" w:hAnsi="Arial"/>
          <w:sz w:val="18"/>
          <w:szCs w:val="18"/>
        </w:rPr>
        <w:footnoteRef/>
      </w:r>
      <w:r w:rsidRPr="008E7A3A">
        <w:rPr>
          <w:rFonts w:ascii="Arial" w:hAnsi="Arial"/>
          <w:sz w:val="18"/>
          <w:szCs w:val="18"/>
        </w:rPr>
        <w:t xml:space="preserve"> Law of Contract in South Africa 5</w:t>
      </w:r>
      <w:r w:rsidRPr="008E7A3A">
        <w:rPr>
          <w:rFonts w:ascii="Arial" w:hAnsi="Arial"/>
          <w:sz w:val="18"/>
          <w:szCs w:val="18"/>
          <w:vertAlign w:val="superscript"/>
        </w:rPr>
        <w:t>th</w:t>
      </w:r>
      <w:r w:rsidRPr="008E7A3A">
        <w:rPr>
          <w:rFonts w:ascii="Arial" w:hAnsi="Arial"/>
          <w:sz w:val="18"/>
          <w:szCs w:val="18"/>
        </w:rPr>
        <w:t xml:space="preserve"> Edition page 24.</w:t>
      </w:r>
    </w:p>
  </w:footnote>
  <w:footnote w:id="30">
    <w:p w14:paraId="6AF8F6C1" w14:textId="77777777" w:rsidR="00CC0060" w:rsidRPr="008E7A3A" w:rsidRDefault="00CC0060" w:rsidP="002914A4">
      <w:pPr>
        <w:pStyle w:val="FootnoteText"/>
        <w:rPr>
          <w:rFonts w:ascii="Arial" w:hAnsi="Arial"/>
          <w:sz w:val="18"/>
          <w:szCs w:val="18"/>
        </w:rPr>
      </w:pPr>
      <w:r w:rsidRPr="008E7A3A">
        <w:rPr>
          <w:rStyle w:val="FootnoteReference"/>
          <w:rFonts w:ascii="Arial" w:hAnsi="Arial"/>
          <w:sz w:val="18"/>
          <w:szCs w:val="18"/>
        </w:rPr>
        <w:footnoteRef/>
      </w:r>
      <w:r w:rsidRPr="008E7A3A">
        <w:rPr>
          <w:rFonts w:ascii="Arial" w:hAnsi="Arial"/>
          <w:sz w:val="18"/>
          <w:szCs w:val="18"/>
        </w:rPr>
        <w:t xml:space="preserve"> Christie R H: </w:t>
      </w:r>
      <w:r w:rsidRPr="008E7A3A">
        <w:rPr>
          <w:rFonts w:ascii="Arial" w:hAnsi="Arial"/>
          <w:i/>
          <w:sz w:val="18"/>
          <w:szCs w:val="18"/>
        </w:rPr>
        <w:t>The Law of Contract in South Africa</w:t>
      </w:r>
      <w:r w:rsidRPr="008E7A3A">
        <w:rPr>
          <w:rFonts w:ascii="Arial" w:hAnsi="Arial"/>
          <w:sz w:val="18"/>
          <w:szCs w:val="18"/>
        </w:rPr>
        <w:t>: 5</w:t>
      </w:r>
      <w:r w:rsidRPr="008E7A3A">
        <w:rPr>
          <w:rFonts w:ascii="Arial" w:hAnsi="Arial"/>
          <w:sz w:val="18"/>
          <w:szCs w:val="18"/>
          <w:vertAlign w:val="superscript"/>
        </w:rPr>
        <w:t>th</w:t>
      </w:r>
      <w:r w:rsidRPr="008E7A3A">
        <w:rPr>
          <w:rFonts w:ascii="Arial" w:hAnsi="Arial"/>
          <w:sz w:val="18"/>
          <w:szCs w:val="18"/>
        </w:rPr>
        <w:t xml:space="preserve"> Edition LexisNexis Butterworths at 24.</w:t>
      </w:r>
    </w:p>
  </w:footnote>
  <w:footnote w:id="31">
    <w:p w14:paraId="320C0F07" w14:textId="3138C555" w:rsidR="00CC0060" w:rsidRPr="002914A4" w:rsidRDefault="00CC0060">
      <w:pPr>
        <w:pStyle w:val="FootnoteText"/>
        <w:rPr>
          <w:rFonts w:ascii="Arial" w:hAnsi="Arial"/>
          <w:lang w:val="en-GB"/>
        </w:rPr>
      </w:pPr>
      <w:r w:rsidRPr="002914A4">
        <w:rPr>
          <w:rStyle w:val="FootnoteReference"/>
          <w:rFonts w:ascii="Arial" w:hAnsi="Arial"/>
        </w:rPr>
        <w:footnoteRef/>
      </w:r>
      <w:r w:rsidRPr="002914A4">
        <w:rPr>
          <w:rFonts w:ascii="Arial" w:hAnsi="Arial"/>
        </w:rPr>
        <w:t xml:space="preserve"> </w:t>
      </w:r>
      <w:r w:rsidRPr="002914A4">
        <w:rPr>
          <w:rFonts w:ascii="Arial" w:hAnsi="Arial"/>
          <w:lang w:val="en-GB"/>
        </w:rPr>
        <w:t xml:space="preserve">Albeit erroneously. </w:t>
      </w:r>
    </w:p>
  </w:footnote>
  <w:footnote w:id="32">
    <w:p w14:paraId="6C29E280" w14:textId="1851E07E" w:rsidR="00CC0060" w:rsidRPr="00DD49D6" w:rsidRDefault="00CC0060" w:rsidP="00E86D2E">
      <w:pPr>
        <w:pStyle w:val="ListParagraph"/>
        <w:spacing w:after="0" w:line="240" w:lineRule="auto"/>
        <w:ind w:left="2160" w:hanging="2160"/>
        <w:jc w:val="both"/>
        <w:rPr>
          <w:sz w:val="20"/>
          <w:szCs w:val="20"/>
        </w:rPr>
      </w:pPr>
      <w:r w:rsidRPr="00DD49D6">
        <w:rPr>
          <w:rStyle w:val="FootnoteReference"/>
          <w:sz w:val="20"/>
          <w:szCs w:val="20"/>
        </w:rPr>
        <w:footnoteRef/>
      </w:r>
      <w:r w:rsidRPr="00DD49D6">
        <w:rPr>
          <w:sz w:val="20"/>
          <w:szCs w:val="20"/>
        </w:rPr>
        <w:t xml:space="preserve"> Christie’s Law of Contract in South Africa, 7</w:t>
      </w:r>
      <w:r w:rsidRPr="00DD49D6">
        <w:rPr>
          <w:sz w:val="20"/>
          <w:szCs w:val="20"/>
          <w:vertAlign w:val="superscript"/>
        </w:rPr>
        <w:t>th</w:t>
      </w:r>
      <w:r w:rsidRPr="00DD49D6">
        <w:rPr>
          <w:sz w:val="20"/>
          <w:szCs w:val="20"/>
        </w:rPr>
        <w:t xml:space="preserve"> Edition, LexisNexis, p 98 to 106</w:t>
      </w:r>
      <w:r w:rsidRPr="00DD49D6">
        <w:rPr>
          <w:sz w:val="20"/>
          <w:szCs w:val="20"/>
        </w:rPr>
        <w:tab/>
        <w:t xml:space="preserve"> </w:t>
      </w:r>
    </w:p>
    <w:p w14:paraId="1DE32903" w14:textId="39D7DCEF" w:rsidR="00CC0060" w:rsidRPr="00DD49D6" w:rsidRDefault="00CC0060" w:rsidP="00E86D2E">
      <w:pPr>
        <w:pStyle w:val="ListParagraph"/>
        <w:widowControl w:val="0"/>
        <w:spacing w:after="0" w:line="240" w:lineRule="auto"/>
        <w:ind w:left="0" w:firstLine="720"/>
        <w:contextualSpacing w:val="0"/>
        <w:jc w:val="both"/>
        <w:rPr>
          <w:sz w:val="20"/>
          <w:szCs w:val="20"/>
        </w:rPr>
      </w:pPr>
      <w:r w:rsidRPr="00DD49D6">
        <w:rPr>
          <w:sz w:val="20"/>
          <w:szCs w:val="20"/>
        </w:rPr>
        <w:t>‘</w:t>
      </w:r>
      <w:r w:rsidRPr="00DD49D6">
        <w:rPr>
          <w:i/>
          <w:sz w:val="20"/>
          <w:szCs w:val="20"/>
        </w:rPr>
        <w:t>A party who, owing to an excusable error, made a payment (or delivered a thing) to another in the mistaken belief that the payment or delivery was owing may claim repayment from the recipient to the extent that the latter was enriched at the claimant’s expense</w:t>
      </w:r>
      <w:r w:rsidRPr="00DD49D6">
        <w:rPr>
          <w:sz w:val="20"/>
          <w:szCs w:val="20"/>
        </w:rPr>
        <w:t xml:space="preserve">. </w:t>
      </w:r>
      <w:r w:rsidRPr="00DD49D6">
        <w:rPr>
          <w:i/>
          <w:sz w:val="20"/>
          <w:szCs w:val="20"/>
        </w:rPr>
        <w:t>The person entitled to bring the action is the one who is in law considered to have made the payment or the transfer…’</w:t>
      </w:r>
    </w:p>
    <w:p w14:paraId="7B430BD1" w14:textId="0A67CD52" w:rsidR="00CC0060" w:rsidRPr="00DD49D6" w:rsidRDefault="00CC0060">
      <w:pPr>
        <w:pStyle w:val="FootnoteText"/>
        <w:rPr>
          <w:lang w:val="en-Z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113093"/>
      <w:docPartObj>
        <w:docPartGallery w:val="Page Numbers (Top of Page)"/>
        <w:docPartUnique/>
      </w:docPartObj>
    </w:sdtPr>
    <w:sdtEndPr>
      <w:rPr>
        <w:noProof/>
      </w:rPr>
    </w:sdtEndPr>
    <w:sdtContent>
      <w:p w14:paraId="1BE28A3C" w14:textId="77777777" w:rsidR="00CC0060" w:rsidRDefault="00CC0060">
        <w:pPr>
          <w:pStyle w:val="Header"/>
          <w:jc w:val="right"/>
        </w:pPr>
        <w:r>
          <w:fldChar w:fldCharType="begin"/>
        </w:r>
        <w:r>
          <w:instrText xml:space="preserve"> PAGE   \* MERGEFORMAT </w:instrText>
        </w:r>
        <w:r>
          <w:fldChar w:fldCharType="separate"/>
        </w:r>
        <w:r w:rsidR="00217B80">
          <w:rPr>
            <w:noProof/>
          </w:rPr>
          <w:t>16</w:t>
        </w:r>
        <w:r>
          <w:rPr>
            <w:noProof/>
          </w:rPr>
          <w:fldChar w:fldCharType="end"/>
        </w:r>
      </w:p>
    </w:sdtContent>
  </w:sdt>
  <w:p w14:paraId="5CDDCFF9" w14:textId="77777777" w:rsidR="00CC0060" w:rsidRDefault="00CC00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14A8"/>
    <w:multiLevelType w:val="hybridMultilevel"/>
    <w:tmpl w:val="3B9886D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AC2D32"/>
    <w:multiLevelType w:val="hybridMultilevel"/>
    <w:tmpl w:val="6ACEFC84"/>
    <w:lvl w:ilvl="0" w:tplc="293A01C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9890152"/>
    <w:multiLevelType w:val="hybridMultilevel"/>
    <w:tmpl w:val="9C3AD706"/>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03C0F97"/>
    <w:multiLevelType w:val="hybridMultilevel"/>
    <w:tmpl w:val="B8E854DC"/>
    <w:lvl w:ilvl="0" w:tplc="A6C425C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CD21F7"/>
    <w:multiLevelType w:val="multilevel"/>
    <w:tmpl w:val="A9D8742E"/>
    <w:lvl w:ilvl="0">
      <w:start w:val="1"/>
      <w:numFmt w:val="decimal"/>
      <w:lvlText w:val="%1."/>
      <w:lvlJc w:val="left"/>
      <w:pPr>
        <w:tabs>
          <w:tab w:val="num" w:pos="720"/>
        </w:tabs>
        <w:ind w:left="720" w:hanging="720"/>
      </w:pPr>
      <w:rPr>
        <w:rFonts w:hint="default"/>
        <w:i w:val="0"/>
        <w:sz w:val="24"/>
        <w:szCs w:val="24"/>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13944172"/>
    <w:multiLevelType w:val="hybridMultilevel"/>
    <w:tmpl w:val="C526BBB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6991830"/>
    <w:multiLevelType w:val="hybridMultilevel"/>
    <w:tmpl w:val="20E2D6E2"/>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93F33C0"/>
    <w:multiLevelType w:val="hybridMultilevel"/>
    <w:tmpl w:val="C466357C"/>
    <w:lvl w:ilvl="0" w:tplc="3A7E72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A3834"/>
    <w:multiLevelType w:val="hybridMultilevel"/>
    <w:tmpl w:val="31BC80B6"/>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5FA20EC"/>
    <w:multiLevelType w:val="hybridMultilevel"/>
    <w:tmpl w:val="41A83C1C"/>
    <w:lvl w:ilvl="0" w:tplc="7B226164">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60B2DB9"/>
    <w:multiLevelType w:val="hybridMultilevel"/>
    <w:tmpl w:val="A1081F62"/>
    <w:lvl w:ilvl="0" w:tplc="A7BC5EA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55720"/>
    <w:multiLevelType w:val="hybridMultilevel"/>
    <w:tmpl w:val="5CF0EA28"/>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A2E6761"/>
    <w:multiLevelType w:val="hybridMultilevel"/>
    <w:tmpl w:val="FA1497B4"/>
    <w:lvl w:ilvl="0" w:tplc="1C09000F">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2A641F0"/>
    <w:multiLevelType w:val="hybridMultilevel"/>
    <w:tmpl w:val="EB50F4E4"/>
    <w:lvl w:ilvl="0" w:tplc="61A6A010">
      <w:start w:val="2"/>
      <w:numFmt w:val="decimal"/>
      <w:lvlText w:val="%1."/>
      <w:lvlJc w:val="left"/>
      <w:pPr>
        <w:ind w:left="720" w:hanging="360"/>
      </w:pPr>
      <w:rPr>
        <w:rFonts w:hint="default"/>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F5F5F9D"/>
    <w:multiLevelType w:val="multilevel"/>
    <w:tmpl w:val="35FE98AC"/>
    <w:lvl w:ilvl="0">
      <w:start w:val="10"/>
      <w:numFmt w:val="decimal"/>
      <w:lvlText w:val="%1."/>
      <w:lvlJc w:val="left"/>
      <w:pPr>
        <w:tabs>
          <w:tab w:val="num" w:pos="720"/>
        </w:tabs>
        <w:ind w:left="720" w:hanging="720"/>
      </w:pPr>
      <w:rPr>
        <w:rFonts w:hint="default"/>
        <w:i w:val="0"/>
        <w:sz w:val="24"/>
        <w:szCs w:val="24"/>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15:restartNumberingAfterBreak="0">
    <w:nsid w:val="414C3B4A"/>
    <w:multiLevelType w:val="hybridMultilevel"/>
    <w:tmpl w:val="75500CBC"/>
    <w:lvl w:ilvl="0" w:tplc="647435FC">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C614D7"/>
    <w:multiLevelType w:val="hybridMultilevel"/>
    <w:tmpl w:val="6BCE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40508"/>
    <w:multiLevelType w:val="hybridMultilevel"/>
    <w:tmpl w:val="1D303E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41441FA"/>
    <w:multiLevelType w:val="hybridMultilevel"/>
    <w:tmpl w:val="98B2706E"/>
    <w:lvl w:ilvl="0" w:tplc="A6C425C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4631C3F"/>
    <w:multiLevelType w:val="hybridMultilevel"/>
    <w:tmpl w:val="6C6846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468635B"/>
    <w:multiLevelType w:val="hybridMultilevel"/>
    <w:tmpl w:val="7102C0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887697"/>
    <w:multiLevelType w:val="hybridMultilevel"/>
    <w:tmpl w:val="4F0004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6EA1813"/>
    <w:multiLevelType w:val="hybridMultilevel"/>
    <w:tmpl w:val="41A83C1C"/>
    <w:lvl w:ilvl="0" w:tplc="7B226164">
      <w:start w:val="1"/>
      <w:numFmt w:val="decimal"/>
      <w:lvlText w:val="%1."/>
      <w:lvlJc w:val="left"/>
      <w:pPr>
        <w:ind w:left="644" w:hanging="360"/>
      </w:pPr>
      <w:rPr>
        <w:rFonts w:ascii="Arial" w:eastAsia="Times New Roman" w:hAnsi="Arial" w:cs="Arial"/>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3" w15:restartNumberingAfterBreak="0">
    <w:nsid w:val="58EF1D69"/>
    <w:multiLevelType w:val="hybridMultilevel"/>
    <w:tmpl w:val="12886126"/>
    <w:lvl w:ilvl="0" w:tplc="73AA9DDA">
      <w:start w:val="1"/>
      <w:numFmt w:val="decimal"/>
      <w:lvlText w:val="%1."/>
      <w:lvlJc w:val="left"/>
      <w:pPr>
        <w:ind w:left="1080" w:hanging="360"/>
      </w:pPr>
      <w:rPr>
        <w:rFonts w:ascii="Arial" w:eastAsia="Times New Roman" w:hAnsi="Arial" w:cs="Arial"/>
        <w:color w:val="auto"/>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5ABF2709"/>
    <w:multiLevelType w:val="hybridMultilevel"/>
    <w:tmpl w:val="8DAEB424"/>
    <w:lvl w:ilvl="0" w:tplc="B2168E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5E1D46CE"/>
    <w:multiLevelType w:val="hybridMultilevel"/>
    <w:tmpl w:val="9FA400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BC119A"/>
    <w:multiLevelType w:val="multilevel"/>
    <w:tmpl w:val="D7DEFA1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6D5D4FCC"/>
    <w:multiLevelType w:val="hybridMultilevel"/>
    <w:tmpl w:val="31BC80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F9C7030"/>
    <w:multiLevelType w:val="hybridMultilevel"/>
    <w:tmpl w:val="39FCEB1A"/>
    <w:lvl w:ilvl="0" w:tplc="367242AC">
      <w:start w:val="1"/>
      <w:numFmt w:val="lowerLetter"/>
      <w:lvlText w:val="%1."/>
      <w:lvlJc w:val="left"/>
      <w:pPr>
        <w:ind w:left="4068" w:hanging="360"/>
      </w:pPr>
      <w:rPr>
        <w:rFonts w:hint="default"/>
      </w:rPr>
    </w:lvl>
    <w:lvl w:ilvl="1" w:tplc="20000019" w:tentative="1">
      <w:start w:val="1"/>
      <w:numFmt w:val="lowerLetter"/>
      <w:lvlText w:val="%2."/>
      <w:lvlJc w:val="left"/>
      <w:pPr>
        <w:ind w:left="4788" w:hanging="360"/>
      </w:pPr>
    </w:lvl>
    <w:lvl w:ilvl="2" w:tplc="2000001B" w:tentative="1">
      <w:start w:val="1"/>
      <w:numFmt w:val="lowerRoman"/>
      <w:lvlText w:val="%3."/>
      <w:lvlJc w:val="right"/>
      <w:pPr>
        <w:ind w:left="5508" w:hanging="180"/>
      </w:pPr>
    </w:lvl>
    <w:lvl w:ilvl="3" w:tplc="2000000F" w:tentative="1">
      <w:start w:val="1"/>
      <w:numFmt w:val="decimal"/>
      <w:lvlText w:val="%4."/>
      <w:lvlJc w:val="left"/>
      <w:pPr>
        <w:ind w:left="6228" w:hanging="360"/>
      </w:pPr>
    </w:lvl>
    <w:lvl w:ilvl="4" w:tplc="20000019" w:tentative="1">
      <w:start w:val="1"/>
      <w:numFmt w:val="lowerLetter"/>
      <w:lvlText w:val="%5."/>
      <w:lvlJc w:val="left"/>
      <w:pPr>
        <w:ind w:left="6948" w:hanging="360"/>
      </w:pPr>
    </w:lvl>
    <w:lvl w:ilvl="5" w:tplc="2000001B" w:tentative="1">
      <w:start w:val="1"/>
      <w:numFmt w:val="lowerRoman"/>
      <w:lvlText w:val="%6."/>
      <w:lvlJc w:val="right"/>
      <w:pPr>
        <w:ind w:left="7668" w:hanging="180"/>
      </w:pPr>
    </w:lvl>
    <w:lvl w:ilvl="6" w:tplc="2000000F" w:tentative="1">
      <w:start w:val="1"/>
      <w:numFmt w:val="decimal"/>
      <w:lvlText w:val="%7."/>
      <w:lvlJc w:val="left"/>
      <w:pPr>
        <w:ind w:left="8388" w:hanging="360"/>
      </w:pPr>
    </w:lvl>
    <w:lvl w:ilvl="7" w:tplc="20000019" w:tentative="1">
      <w:start w:val="1"/>
      <w:numFmt w:val="lowerLetter"/>
      <w:lvlText w:val="%8."/>
      <w:lvlJc w:val="left"/>
      <w:pPr>
        <w:ind w:left="9108" w:hanging="360"/>
      </w:pPr>
    </w:lvl>
    <w:lvl w:ilvl="8" w:tplc="2000001B" w:tentative="1">
      <w:start w:val="1"/>
      <w:numFmt w:val="lowerRoman"/>
      <w:lvlText w:val="%9."/>
      <w:lvlJc w:val="right"/>
      <w:pPr>
        <w:ind w:left="9828" w:hanging="180"/>
      </w:pPr>
    </w:lvl>
  </w:abstractNum>
  <w:abstractNum w:abstractNumId="29" w15:restartNumberingAfterBreak="0">
    <w:nsid w:val="6FA6153E"/>
    <w:multiLevelType w:val="hybridMultilevel"/>
    <w:tmpl w:val="BE2083F8"/>
    <w:lvl w:ilvl="0" w:tplc="2F6498CE">
      <w:start w:val="1"/>
      <w:numFmt w:val="lowerLetter"/>
      <w:lvlText w:val="(%1)"/>
      <w:lvlJc w:val="left"/>
      <w:pPr>
        <w:ind w:left="2203" w:hanging="360"/>
      </w:pPr>
      <w:rPr>
        <w:rFonts w:hint="default"/>
      </w:rPr>
    </w:lvl>
    <w:lvl w:ilvl="1" w:tplc="1C090019" w:tentative="1">
      <w:start w:val="1"/>
      <w:numFmt w:val="lowerLetter"/>
      <w:lvlText w:val="%2."/>
      <w:lvlJc w:val="left"/>
      <w:pPr>
        <w:ind w:left="2923" w:hanging="360"/>
      </w:pPr>
    </w:lvl>
    <w:lvl w:ilvl="2" w:tplc="1C09001B" w:tentative="1">
      <w:start w:val="1"/>
      <w:numFmt w:val="lowerRoman"/>
      <w:lvlText w:val="%3."/>
      <w:lvlJc w:val="right"/>
      <w:pPr>
        <w:ind w:left="3643" w:hanging="180"/>
      </w:pPr>
    </w:lvl>
    <w:lvl w:ilvl="3" w:tplc="1C09000F" w:tentative="1">
      <w:start w:val="1"/>
      <w:numFmt w:val="decimal"/>
      <w:lvlText w:val="%4."/>
      <w:lvlJc w:val="left"/>
      <w:pPr>
        <w:ind w:left="4363" w:hanging="360"/>
      </w:pPr>
    </w:lvl>
    <w:lvl w:ilvl="4" w:tplc="1C090019" w:tentative="1">
      <w:start w:val="1"/>
      <w:numFmt w:val="lowerLetter"/>
      <w:lvlText w:val="%5."/>
      <w:lvlJc w:val="left"/>
      <w:pPr>
        <w:ind w:left="5083" w:hanging="360"/>
      </w:pPr>
    </w:lvl>
    <w:lvl w:ilvl="5" w:tplc="1C09001B" w:tentative="1">
      <w:start w:val="1"/>
      <w:numFmt w:val="lowerRoman"/>
      <w:lvlText w:val="%6."/>
      <w:lvlJc w:val="right"/>
      <w:pPr>
        <w:ind w:left="5803" w:hanging="180"/>
      </w:pPr>
    </w:lvl>
    <w:lvl w:ilvl="6" w:tplc="1C09000F" w:tentative="1">
      <w:start w:val="1"/>
      <w:numFmt w:val="decimal"/>
      <w:lvlText w:val="%7."/>
      <w:lvlJc w:val="left"/>
      <w:pPr>
        <w:ind w:left="6523" w:hanging="360"/>
      </w:pPr>
    </w:lvl>
    <w:lvl w:ilvl="7" w:tplc="1C090019" w:tentative="1">
      <w:start w:val="1"/>
      <w:numFmt w:val="lowerLetter"/>
      <w:lvlText w:val="%8."/>
      <w:lvlJc w:val="left"/>
      <w:pPr>
        <w:ind w:left="7243" w:hanging="360"/>
      </w:pPr>
    </w:lvl>
    <w:lvl w:ilvl="8" w:tplc="1C09001B" w:tentative="1">
      <w:start w:val="1"/>
      <w:numFmt w:val="lowerRoman"/>
      <w:lvlText w:val="%9."/>
      <w:lvlJc w:val="right"/>
      <w:pPr>
        <w:ind w:left="7963" w:hanging="180"/>
      </w:pPr>
    </w:lvl>
  </w:abstractNum>
  <w:abstractNum w:abstractNumId="30" w15:restartNumberingAfterBreak="0">
    <w:nsid w:val="71F75E48"/>
    <w:multiLevelType w:val="multilevel"/>
    <w:tmpl w:val="2528C466"/>
    <w:lvl w:ilvl="0">
      <w:start w:val="1"/>
      <w:numFmt w:val="decimal"/>
      <w:pStyle w:val="Body"/>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1" w15:restartNumberingAfterBreak="0">
    <w:nsid w:val="7DB67038"/>
    <w:multiLevelType w:val="hybridMultilevel"/>
    <w:tmpl w:val="C93ED604"/>
    <w:lvl w:ilvl="0" w:tplc="1C090013">
      <w:start w:val="1"/>
      <w:numFmt w:val="upp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FD26570"/>
    <w:multiLevelType w:val="multilevel"/>
    <w:tmpl w:val="03D8B59C"/>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num w:numId="1">
    <w:abstractNumId w:val="30"/>
  </w:num>
  <w:num w:numId="2">
    <w:abstractNumId w:val="15"/>
  </w:num>
  <w:num w:numId="3">
    <w:abstractNumId w:val="6"/>
  </w:num>
  <w:num w:numId="4">
    <w:abstractNumId w:val="16"/>
  </w:num>
  <w:num w:numId="5">
    <w:abstractNumId w:val="31"/>
  </w:num>
  <w:num w:numId="6">
    <w:abstractNumId w:val="22"/>
  </w:num>
  <w:num w:numId="7">
    <w:abstractNumId w:val="7"/>
  </w:num>
  <w:num w:numId="8">
    <w:abstractNumId w:val="20"/>
  </w:num>
  <w:num w:numId="9">
    <w:abstractNumId w:val="18"/>
  </w:num>
  <w:num w:numId="10">
    <w:abstractNumId w:val="13"/>
  </w:num>
  <w:num w:numId="11">
    <w:abstractNumId w:val="3"/>
  </w:num>
  <w:num w:numId="12">
    <w:abstractNumId w:val="2"/>
  </w:num>
  <w:num w:numId="13">
    <w:abstractNumId w:val="1"/>
  </w:num>
  <w:num w:numId="14">
    <w:abstractNumId w:val="24"/>
  </w:num>
  <w:num w:numId="15">
    <w:abstractNumId w:val="29"/>
  </w:num>
  <w:num w:numId="16">
    <w:abstractNumId w:val="32"/>
  </w:num>
  <w:num w:numId="17">
    <w:abstractNumId w:val="12"/>
  </w:num>
  <w:num w:numId="18">
    <w:abstractNumId w:val="19"/>
  </w:num>
  <w:num w:numId="19">
    <w:abstractNumId w:val="26"/>
  </w:num>
  <w:num w:numId="20">
    <w:abstractNumId w:val="9"/>
  </w:num>
  <w:num w:numId="21">
    <w:abstractNumId w:val="10"/>
  </w:num>
  <w:num w:numId="22">
    <w:abstractNumId w:val="28"/>
  </w:num>
  <w:num w:numId="23">
    <w:abstractNumId w:val="11"/>
  </w:num>
  <w:num w:numId="24">
    <w:abstractNumId w:val="5"/>
  </w:num>
  <w:num w:numId="25">
    <w:abstractNumId w:val="23"/>
  </w:num>
  <w:num w:numId="26">
    <w:abstractNumId w:val="4"/>
  </w:num>
  <w:num w:numId="27">
    <w:abstractNumId w:val="21"/>
  </w:num>
  <w:num w:numId="28">
    <w:abstractNumId w:val="25"/>
  </w:num>
  <w:num w:numId="29">
    <w:abstractNumId w:val="14"/>
  </w:num>
  <w:num w:numId="30">
    <w:abstractNumId w:val="27"/>
  </w:num>
  <w:num w:numId="31">
    <w:abstractNumId w:val="17"/>
  </w:num>
  <w:num w:numId="32">
    <w:abstractNumId w:val="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56"/>
    <w:rsid w:val="0000421C"/>
    <w:rsid w:val="00011178"/>
    <w:rsid w:val="00022D8F"/>
    <w:rsid w:val="0002528F"/>
    <w:rsid w:val="0002620F"/>
    <w:rsid w:val="00030F96"/>
    <w:rsid w:val="00043F71"/>
    <w:rsid w:val="00060F6C"/>
    <w:rsid w:val="00076573"/>
    <w:rsid w:val="00083D59"/>
    <w:rsid w:val="00092170"/>
    <w:rsid w:val="000A1689"/>
    <w:rsid w:val="000A3E61"/>
    <w:rsid w:val="000B5F20"/>
    <w:rsid w:val="000D2722"/>
    <w:rsid w:val="000D7573"/>
    <w:rsid w:val="000E50B3"/>
    <w:rsid w:val="000F57E3"/>
    <w:rsid w:val="00123D83"/>
    <w:rsid w:val="00130ED9"/>
    <w:rsid w:val="0013137E"/>
    <w:rsid w:val="00146C72"/>
    <w:rsid w:val="00176D41"/>
    <w:rsid w:val="00182FCF"/>
    <w:rsid w:val="001842AC"/>
    <w:rsid w:val="001A6F7F"/>
    <w:rsid w:val="001A72A5"/>
    <w:rsid w:val="001B1A20"/>
    <w:rsid w:val="001B1A7C"/>
    <w:rsid w:val="001B6A30"/>
    <w:rsid w:val="001C3BFC"/>
    <w:rsid w:val="001D559C"/>
    <w:rsid w:val="001E6722"/>
    <w:rsid w:val="00213D99"/>
    <w:rsid w:val="00217B80"/>
    <w:rsid w:val="00246941"/>
    <w:rsid w:val="0025784B"/>
    <w:rsid w:val="00265DC0"/>
    <w:rsid w:val="00271A3C"/>
    <w:rsid w:val="00272C98"/>
    <w:rsid w:val="0027315D"/>
    <w:rsid w:val="00273C19"/>
    <w:rsid w:val="0027484D"/>
    <w:rsid w:val="00281046"/>
    <w:rsid w:val="00287B98"/>
    <w:rsid w:val="002914A4"/>
    <w:rsid w:val="0029168F"/>
    <w:rsid w:val="00294586"/>
    <w:rsid w:val="002968CD"/>
    <w:rsid w:val="002A44E7"/>
    <w:rsid w:val="002A5732"/>
    <w:rsid w:val="002A7FCE"/>
    <w:rsid w:val="002C06F7"/>
    <w:rsid w:val="002C3831"/>
    <w:rsid w:val="002D1C61"/>
    <w:rsid w:val="002D4566"/>
    <w:rsid w:val="002E28FF"/>
    <w:rsid w:val="002E6045"/>
    <w:rsid w:val="003010DF"/>
    <w:rsid w:val="00301757"/>
    <w:rsid w:val="00330673"/>
    <w:rsid w:val="00331FCC"/>
    <w:rsid w:val="00361567"/>
    <w:rsid w:val="00374B14"/>
    <w:rsid w:val="0039443F"/>
    <w:rsid w:val="003B1D74"/>
    <w:rsid w:val="003B45EB"/>
    <w:rsid w:val="003E09EE"/>
    <w:rsid w:val="003E1227"/>
    <w:rsid w:val="003F65BE"/>
    <w:rsid w:val="00403A1E"/>
    <w:rsid w:val="00431306"/>
    <w:rsid w:val="00433149"/>
    <w:rsid w:val="004619F4"/>
    <w:rsid w:val="0047145B"/>
    <w:rsid w:val="00471ED2"/>
    <w:rsid w:val="00471FEA"/>
    <w:rsid w:val="00487E92"/>
    <w:rsid w:val="004B49AB"/>
    <w:rsid w:val="004B5C38"/>
    <w:rsid w:val="004C1E98"/>
    <w:rsid w:val="004C7703"/>
    <w:rsid w:val="004D14EC"/>
    <w:rsid w:val="004D2335"/>
    <w:rsid w:val="004E19A7"/>
    <w:rsid w:val="004E6E0F"/>
    <w:rsid w:val="00507159"/>
    <w:rsid w:val="00513457"/>
    <w:rsid w:val="00536D6E"/>
    <w:rsid w:val="00537ACC"/>
    <w:rsid w:val="005604CB"/>
    <w:rsid w:val="00567826"/>
    <w:rsid w:val="00571C2C"/>
    <w:rsid w:val="0057448F"/>
    <w:rsid w:val="005A4FC1"/>
    <w:rsid w:val="005B438D"/>
    <w:rsid w:val="005C12CF"/>
    <w:rsid w:val="005C5C04"/>
    <w:rsid w:val="005C7753"/>
    <w:rsid w:val="005F0410"/>
    <w:rsid w:val="00602092"/>
    <w:rsid w:val="00613840"/>
    <w:rsid w:val="006147A8"/>
    <w:rsid w:val="00625723"/>
    <w:rsid w:val="00626ADB"/>
    <w:rsid w:val="00630B46"/>
    <w:rsid w:val="00645B82"/>
    <w:rsid w:val="0067192A"/>
    <w:rsid w:val="00673934"/>
    <w:rsid w:val="00683917"/>
    <w:rsid w:val="006930FE"/>
    <w:rsid w:val="006A00C0"/>
    <w:rsid w:val="006A558E"/>
    <w:rsid w:val="006A7E17"/>
    <w:rsid w:val="006B2691"/>
    <w:rsid w:val="006B6357"/>
    <w:rsid w:val="006B640A"/>
    <w:rsid w:val="006F270D"/>
    <w:rsid w:val="006F6EC1"/>
    <w:rsid w:val="006F7484"/>
    <w:rsid w:val="00702893"/>
    <w:rsid w:val="0070305F"/>
    <w:rsid w:val="007034F8"/>
    <w:rsid w:val="007071A0"/>
    <w:rsid w:val="00730C93"/>
    <w:rsid w:val="0075137B"/>
    <w:rsid w:val="00756370"/>
    <w:rsid w:val="00766A7E"/>
    <w:rsid w:val="00772B20"/>
    <w:rsid w:val="00777D5D"/>
    <w:rsid w:val="007A2F40"/>
    <w:rsid w:val="007A428C"/>
    <w:rsid w:val="007A469C"/>
    <w:rsid w:val="007A4F23"/>
    <w:rsid w:val="007B2A9B"/>
    <w:rsid w:val="007D74DA"/>
    <w:rsid w:val="007E54CF"/>
    <w:rsid w:val="008066EE"/>
    <w:rsid w:val="00814B89"/>
    <w:rsid w:val="00815390"/>
    <w:rsid w:val="008172F6"/>
    <w:rsid w:val="008229F3"/>
    <w:rsid w:val="00833EE0"/>
    <w:rsid w:val="0084478F"/>
    <w:rsid w:val="00845EB2"/>
    <w:rsid w:val="0084677E"/>
    <w:rsid w:val="00852B37"/>
    <w:rsid w:val="008642E4"/>
    <w:rsid w:val="008731D6"/>
    <w:rsid w:val="00880415"/>
    <w:rsid w:val="00896314"/>
    <w:rsid w:val="008B5CD2"/>
    <w:rsid w:val="008C32BA"/>
    <w:rsid w:val="008C6E4C"/>
    <w:rsid w:val="008D22F9"/>
    <w:rsid w:val="008D5EA4"/>
    <w:rsid w:val="008E3416"/>
    <w:rsid w:val="008F0C0D"/>
    <w:rsid w:val="009165CC"/>
    <w:rsid w:val="00921E04"/>
    <w:rsid w:val="00947F03"/>
    <w:rsid w:val="00962262"/>
    <w:rsid w:val="00973DAE"/>
    <w:rsid w:val="00976631"/>
    <w:rsid w:val="009B077B"/>
    <w:rsid w:val="009B56F6"/>
    <w:rsid w:val="009B6338"/>
    <w:rsid w:val="009D1F46"/>
    <w:rsid w:val="009E6340"/>
    <w:rsid w:val="009E649D"/>
    <w:rsid w:val="009F5E9B"/>
    <w:rsid w:val="00A07FEB"/>
    <w:rsid w:val="00A15EF3"/>
    <w:rsid w:val="00A23467"/>
    <w:rsid w:val="00A25FDD"/>
    <w:rsid w:val="00A311BC"/>
    <w:rsid w:val="00A314D0"/>
    <w:rsid w:val="00A502B4"/>
    <w:rsid w:val="00A60968"/>
    <w:rsid w:val="00A61F1F"/>
    <w:rsid w:val="00A660D5"/>
    <w:rsid w:val="00A839CF"/>
    <w:rsid w:val="00A873FA"/>
    <w:rsid w:val="00A87859"/>
    <w:rsid w:val="00AA0AA2"/>
    <w:rsid w:val="00AA1B75"/>
    <w:rsid w:val="00AA6818"/>
    <w:rsid w:val="00AB476A"/>
    <w:rsid w:val="00AC6A44"/>
    <w:rsid w:val="00AD42E8"/>
    <w:rsid w:val="00AE5122"/>
    <w:rsid w:val="00B0119B"/>
    <w:rsid w:val="00B01D61"/>
    <w:rsid w:val="00B10401"/>
    <w:rsid w:val="00B143F3"/>
    <w:rsid w:val="00B1713D"/>
    <w:rsid w:val="00B23448"/>
    <w:rsid w:val="00B47AB0"/>
    <w:rsid w:val="00B82720"/>
    <w:rsid w:val="00B93836"/>
    <w:rsid w:val="00BA12AF"/>
    <w:rsid w:val="00BB0025"/>
    <w:rsid w:val="00BC26AB"/>
    <w:rsid w:val="00BC4979"/>
    <w:rsid w:val="00BD1B30"/>
    <w:rsid w:val="00BD63EC"/>
    <w:rsid w:val="00C17156"/>
    <w:rsid w:val="00C218E2"/>
    <w:rsid w:val="00C23014"/>
    <w:rsid w:val="00C2371F"/>
    <w:rsid w:val="00C25260"/>
    <w:rsid w:val="00C36302"/>
    <w:rsid w:val="00C60D4C"/>
    <w:rsid w:val="00C633DD"/>
    <w:rsid w:val="00C66E34"/>
    <w:rsid w:val="00C73393"/>
    <w:rsid w:val="00C74230"/>
    <w:rsid w:val="00C75F6E"/>
    <w:rsid w:val="00C859A7"/>
    <w:rsid w:val="00C9119A"/>
    <w:rsid w:val="00C91DBB"/>
    <w:rsid w:val="00C9287E"/>
    <w:rsid w:val="00CA2AF9"/>
    <w:rsid w:val="00CA7C09"/>
    <w:rsid w:val="00CC0060"/>
    <w:rsid w:val="00CC04FC"/>
    <w:rsid w:val="00CD5887"/>
    <w:rsid w:val="00CE2555"/>
    <w:rsid w:val="00CE6F9C"/>
    <w:rsid w:val="00CE7A47"/>
    <w:rsid w:val="00D11319"/>
    <w:rsid w:val="00D2555E"/>
    <w:rsid w:val="00D95E54"/>
    <w:rsid w:val="00DB0357"/>
    <w:rsid w:val="00DB2CFD"/>
    <w:rsid w:val="00DC247B"/>
    <w:rsid w:val="00DD0E6F"/>
    <w:rsid w:val="00DD49D6"/>
    <w:rsid w:val="00DE1D56"/>
    <w:rsid w:val="00DF0FDA"/>
    <w:rsid w:val="00E17653"/>
    <w:rsid w:val="00E21D76"/>
    <w:rsid w:val="00E243B0"/>
    <w:rsid w:val="00E2457B"/>
    <w:rsid w:val="00E30DB4"/>
    <w:rsid w:val="00E415C7"/>
    <w:rsid w:val="00E41BEB"/>
    <w:rsid w:val="00E44380"/>
    <w:rsid w:val="00E47EB6"/>
    <w:rsid w:val="00E53B3D"/>
    <w:rsid w:val="00E5586C"/>
    <w:rsid w:val="00E55910"/>
    <w:rsid w:val="00E66264"/>
    <w:rsid w:val="00E86D2E"/>
    <w:rsid w:val="00E93836"/>
    <w:rsid w:val="00EA121F"/>
    <w:rsid w:val="00EC05A3"/>
    <w:rsid w:val="00EC1BD9"/>
    <w:rsid w:val="00ED1598"/>
    <w:rsid w:val="00ED7A7D"/>
    <w:rsid w:val="00EE264F"/>
    <w:rsid w:val="00EE2B54"/>
    <w:rsid w:val="00EE5670"/>
    <w:rsid w:val="00EF01A9"/>
    <w:rsid w:val="00EF29C7"/>
    <w:rsid w:val="00F06141"/>
    <w:rsid w:val="00F116DC"/>
    <w:rsid w:val="00F27859"/>
    <w:rsid w:val="00F347B6"/>
    <w:rsid w:val="00F355CB"/>
    <w:rsid w:val="00F35CB8"/>
    <w:rsid w:val="00F375D2"/>
    <w:rsid w:val="00F47042"/>
    <w:rsid w:val="00F61E2C"/>
    <w:rsid w:val="00F7290D"/>
    <w:rsid w:val="00F73C4F"/>
    <w:rsid w:val="00F7694F"/>
    <w:rsid w:val="00F87064"/>
    <w:rsid w:val="00F91886"/>
    <w:rsid w:val="00FB1C10"/>
    <w:rsid w:val="00FC0222"/>
    <w:rsid w:val="00FC2A56"/>
    <w:rsid w:val="00FE5228"/>
    <w:rsid w:val="00FE7BBC"/>
    <w:rsid w:val="00FF11EC"/>
    <w:rsid w:val="00FF1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38102AE"/>
  <w15:chartTrackingRefBased/>
  <w15:docId w15:val="{51CB79E4-B765-4713-BB6D-18E14869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E1D5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DE1D56"/>
    <w:rPr>
      <w:rFonts w:asciiTheme="minorHAnsi" w:hAnsiTheme="minorHAnsi"/>
      <w:sz w:val="20"/>
      <w:szCs w:val="20"/>
    </w:rPr>
  </w:style>
  <w:style w:type="character" w:styleId="FootnoteReference">
    <w:name w:val="footnote reference"/>
    <w:basedOn w:val="DefaultParagraphFont"/>
    <w:uiPriority w:val="99"/>
    <w:unhideWhenUsed/>
    <w:rsid w:val="00DE1D56"/>
    <w:rPr>
      <w:vertAlign w:val="superscript"/>
    </w:rPr>
  </w:style>
  <w:style w:type="paragraph" w:customStyle="1" w:styleId="Body">
    <w:name w:val="Body"/>
    <w:rsid w:val="00DE1D56"/>
    <w:pPr>
      <w:numPr>
        <w:numId w:val="1"/>
      </w:numPr>
      <w:spacing w:after="0" w:line="240" w:lineRule="auto"/>
    </w:pPr>
    <w:rPr>
      <w:rFonts w:ascii="Calibri" w:eastAsia="Calibri" w:hAnsi="Calibri" w:cs="Times New Roman"/>
      <w:sz w:val="20"/>
      <w:szCs w:val="20"/>
      <w:lang w:val="en-GB"/>
    </w:rPr>
  </w:style>
  <w:style w:type="paragraph" w:styleId="ListParagraph">
    <w:name w:val="List Paragraph"/>
    <w:basedOn w:val="Normal"/>
    <w:uiPriority w:val="34"/>
    <w:qFormat/>
    <w:rsid w:val="00DE1D56"/>
    <w:pPr>
      <w:ind w:left="720"/>
      <w:contextualSpacing/>
    </w:pPr>
  </w:style>
  <w:style w:type="paragraph" w:styleId="Header">
    <w:name w:val="header"/>
    <w:basedOn w:val="Normal"/>
    <w:link w:val="HeaderChar"/>
    <w:uiPriority w:val="99"/>
    <w:unhideWhenUsed/>
    <w:rsid w:val="004D1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4EC"/>
  </w:style>
  <w:style w:type="paragraph" w:styleId="Footer">
    <w:name w:val="footer"/>
    <w:basedOn w:val="Normal"/>
    <w:link w:val="FooterChar"/>
    <w:uiPriority w:val="99"/>
    <w:unhideWhenUsed/>
    <w:rsid w:val="004D1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4EC"/>
  </w:style>
  <w:style w:type="paragraph" w:styleId="BalloonText">
    <w:name w:val="Balloon Text"/>
    <w:basedOn w:val="Normal"/>
    <w:link w:val="BalloonTextChar"/>
    <w:uiPriority w:val="99"/>
    <w:semiHidden/>
    <w:unhideWhenUsed/>
    <w:rsid w:val="00060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F6C"/>
    <w:rPr>
      <w:rFonts w:ascii="Segoe UI" w:hAnsi="Segoe UI" w:cs="Segoe UI"/>
      <w:sz w:val="18"/>
      <w:szCs w:val="18"/>
    </w:rPr>
  </w:style>
  <w:style w:type="character" w:styleId="CommentReference">
    <w:name w:val="annotation reference"/>
    <w:basedOn w:val="DefaultParagraphFont"/>
    <w:uiPriority w:val="99"/>
    <w:semiHidden/>
    <w:unhideWhenUsed/>
    <w:rsid w:val="00FE7BBC"/>
    <w:rPr>
      <w:sz w:val="16"/>
      <w:szCs w:val="16"/>
    </w:rPr>
  </w:style>
  <w:style w:type="paragraph" w:styleId="CommentText">
    <w:name w:val="annotation text"/>
    <w:basedOn w:val="Normal"/>
    <w:link w:val="CommentTextChar"/>
    <w:uiPriority w:val="99"/>
    <w:unhideWhenUsed/>
    <w:rsid w:val="00FE7BBC"/>
    <w:pPr>
      <w:spacing w:line="240" w:lineRule="auto"/>
    </w:pPr>
    <w:rPr>
      <w:sz w:val="20"/>
      <w:szCs w:val="20"/>
    </w:rPr>
  </w:style>
  <w:style w:type="character" w:customStyle="1" w:styleId="CommentTextChar">
    <w:name w:val="Comment Text Char"/>
    <w:basedOn w:val="DefaultParagraphFont"/>
    <w:link w:val="CommentText"/>
    <w:uiPriority w:val="99"/>
    <w:rsid w:val="00FE7BBC"/>
    <w:rPr>
      <w:sz w:val="20"/>
      <w:szCs w:val="20"/>
    </w:rPr>
  </w:style>
  <w:style w:type="paragraph" w:styleId="CommentSubject">
    <w:name w:val="annotation subject"/>
    <w:basedOn w:val="CommentText"/>
    <w:next w:val="CommentText"/>
    <w:link w:val="CommentSubjectChar"/>
    <w:uiPriority w:val="99"/>
    <w:semiHidden/>
    <w:unhideWhenUsed/>
    <w:rsid w:val="00FE7BBC"/>
    <w:rPr>
      <w:b/>
      <w:bCs/>
    </w:rPr>
  </w:style>
  <w:style w:type="character" w:customStyle="1" w:styleId="CommentSubjectChar">
    <w:name w:val="Comment Subject Char"/>
    <w:basedOn w:val="CommentTextChar"/>
    <w:link w:val="CommentSubject"/>
    <w:uiPriority w:val="99"/>
    <w:semiHidden/>
    <w:rsid w:val="00FE7BBC"/>
    <w:rPr>
      <w:b/>
      <w:bCs/>
      <w:sz w:val="20"/>
      <w:szCs w:val="20"/>
    </w:rPr>
  </w:style>
  <w:style w:type="paragraph" w:styleId="BodyText">
    <w:name w:val="Body Text"/>
    <w:basedOn w:val="Normal"/>
    <w:link w:val="BodyTextChar"/>
    <w:rsid w:val="00F375D2"/>
    <w:pPr>
      <w:spacing w:after="0" w:line="240" w:lineRule="auto"/>
      <w:jc w:val="center"/>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F375D2"/>
    <w:rPr>
      <w:rFonts w:ascii="Times New Roman" w:eastAsia="Times New Roman" w:hAnsi="Times New Roman" w:cs="Times New Roman"/>
      <w:szCs w:val="24"/>
      <w:lang w:val="en-GB"/>
    </w:rPr>
  </w:style>
  <w:style w:type="character" w:styleId="Emphasis">
    <w:name w:val="Emphasis"/>
    <w:basedOn w:val="DefaultParagraphFont"/>
    <w:uiPriority w:val="20"/>
    <w:qFormat/>
    <w:rsid w:val="002E28FF"/>
    <w:rPr>
      <w:i/>
      <w:iCs/>
    </w:rPr>
  </w:style>
  <w:style w:type="paragraph" w:styleId="NoSpacing">
    <w:name w:val="No Spacing"/>
    <w:uiPriority w:val="1"/>
    <w:qFormat/>
    <w:rsid w:val="00FC0222"/>
    <w:pPr>
      <w:spacing w:after="0" w:line="240" w:lineRule="auto"/>
    </w:pPr>
    <w:rPr>
      <w:rFonts w:asciiTheme="minorHAnsi" w:hAnsiTheme="minorHAnsi" w:cstheme="minorBidi"/>
      <w:sz w:val="22"/>
      <w:szCs w:val="22"/>
    </w:rPr>
  </w:style>
  <w:style w:type="character" w:customStyle="1" w:styleId="FontStyle35">
    <w:name w:val="Font Style35"/>
    <w:basedOn w:val="DefaultParagraphFont"/>
    <w:uiPriority w:val="99"/>
    <w:rsid w:val="0075137B"/>
    <w:rPr>
      <w:sz w:val="22"/>
      <w:szCs w:val="22"/>
      <w:lang w:eastAsia="zh-CN" w:bidi="hi-IN"/>
    </w:rPr>
  </w:style>
  <w:style w:type="paragraph" w:customStyle="1" w:styleId="western">
    <w:name w:val="western"/>
    <w:basedOn w:val="Normal"/>
    <w:rsid w:val="00330673"/>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3306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8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2019-11-04T18:30:00+00:00</Judgment_x0020_Date>
    <Year xmlns="c1afb1bd-f2fb-40fd-9abb-aea55b4d7662">2019</Year>
  </documentManagement>
</p:properties>
</file>

<file path=customXml/itemProps1.xml><?xml version="1.0" encoding="utf-8"?>
<ds:datastoreItem xmlns:ds="http://schemas.openxmlformats.org/officeDocument/2006/customXml" ds:itemID="{74EFB0CE-5FC4-49C1-8307-4E9BDD2B1B2C}"/>
</file>

<file path=customXml/itemProps2.xml><?xml version="1.0" encoding="utf-8"?>
<ds:datastoreItem xmlns:ds="http://schemas.openxmlformats.org/officeDocument/2006/customXml" ds:itemID="{0C994D08-4EBE-4518-86DB-48CBF6F4A069}"/>
</file>

<file path=customXml/itemProps3.xml><?xml version="1.0" encoding="utf-8"?>
<ds:datastoreItem xmlns:ds="http://schemas.openxmlformats.org/officeDocument/2006/customXml" ds:itemID="{7F0BE140-FCF5-40F1-B961-502260D6D1C6}"/>
</file>

<file path=customXml/itemProps4.xml><?xml version="1.0" encoding="utf-8"?>
<ds:datastoreItem xmlns:ds="http://schemas.openxmlformats.org/officeDocument/2006/customXml" ds:itemID="{FEC4BEE3-291A-485A-BE05-158CACDF1E95}"/>
</file>

<file path=docProps/app.xml><?xml version="1.0" encoding="utf-8"?>
<Properties xmlns="http://schemas.openxmlformats.org/officeDocument/2006/extended-properties" xmlns:vt="http://schemas.openxmlformats.org/officeDocument/2006/docPropsVTypes">
  <Template>Normal</Template>
  <TotalTime>1</TotalTime>
  <Pages>16</Pages>
  <Words>3904</Words>
  <Characters>22253</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Lotta N. Ambunda</cp:lastModifiedBy>
  <cp:revision>2</cp:revision>
  <cp:lastPrinted>2019-11-06T12:44:00Z</cp:lastPrinted>
  <dcterms:created xsi:type="dcterms:W3CDTF">2019-11-07T08:41:00Z</dcterms:created>
  <dcterms:modified xsi:type="dcterms:W3CDTF">2019-11-07T08:41:00Z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