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EA" w:rsidRPr="00CE457E" w:rsidRDefault="00A15AEA" w:rsidP="00365F2C">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b/>
          <w:sz w:val="24"/>
          <w:szCs w:val="24"/>
          <w:lang w:eastAsia="en-ZA"/>
        </w:rPr>
        <w:t>REPUBLIC OF NAMIBIA</w:t>
      </w:r>
    </w:p>
    <w:p w:rsidR="00A15AEA" w:rsidRPr="00CE457E" w:rsidRDefault="00A15AEA" w:rsidP="00365F2C">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b/>
          <w:noProof/>
          <w:sz w:val="24"/>
          <w:szCs w:val="24"/>
          <w:lang w:val="en-US"/>
        </w:rPr>
        <w:drawing>
          <wp:inline distT="0" distB="0" distL="0" distR="0" wp14:anchorId="670D1F29" wp14:editId="7D7156EF">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15AEA" w:rsidRPr="00CE457E" w:rsidRDefault="00A15AEA" w:rsidP="00365F2C">
      <w:pPr>
        <w:spacing w:after="0" w:line="360" w:lineRule="auto"/>
        <w:jc w:val="center"/>
        <w:rPr>
          <w:rFonts w:ascii="Arial" w:eastAsiaTheme="minorEastAsia" w:hAnsi="Arial" w:cs="Arial"/>
          <w:bCs/>
          <w:sz w:val="24"/>
          <w:szCs w:val="24"/>
          <w:lang w:eastAsia="en-ZA"/>
        </w:rPr>
      </w:pPr>
      <w:r w:rsidRPr="00CE457E">
        <w:rPr>
          <w:rFonts w:ascii="Arial" w:eastAsiaTheme="minorEastAsia" w:hAnsi="Arial" w:cs="Arial"/>
          <w:b/>
          <w:sz w:val="24"/>
          <w:szCs w:val="24"/>
          <w:lang w:eastAsia="en-ZA"/>
        </w:rPr>
        <w:t>HIGH COURT OF NAMIBIA MAIN DIVISION, WINDHOEK</w:t>
      </w:r>
    </w:p>
    <w:p w:rsidR="00A15AEA" w:rsidRPr="00CE457E" w:rsidRDefault="00A15AEA" w:rsidP="00365F2C">
      <w:pPr>
        <w:spacing w:after="0" w:line="360" w:lineRule="auto"/>
        <w:jc w:val="center"/>
        <w:rPr>
          <w:rFonts w:ascii="Arial" w:eastAsiaTheme="minorEastAsia" w:hAnsi="Arial" w:cs="Arial"/>
          <w:b/>
          <w:sz w:val="24"/>
          <w:szCs w:val="24"/>
          <w:lang w:eastAsia="en-ZA"/>
        </w:rPr>
      </w:pPr>
    </w:p>
    <w:p w:rsidR="00A15AEA" w:rsidRPr="00CE457E" w:rsidRDefault="00A15AEA" w:rsidP="00365F2C">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b/>
          <w:sz w:val="24"/>
          <w:szCs w:val="24"/>
          <w:lang w:eastAsia="en-ZA"/>
        </w:rPr>
        <w:t>JUDGMENT</w:t>
      </w:r>
    </w:p>
    <w:p w:rsidR="00A15AEA" w:rsidRPr="00CE457E" w:rsidRDefault="00A15AEA" w:rsidP="00365F2C">
      <w:pPr>
        <w:spacing w:after="0" w:line="360" w:lineRule="auto"/>
        <w:jc w:val="both"/>
        <w:rPr>
          <w:rFonts w:ascii="Arial" w:eastAsiaTheme="minorEastAsia" w:hAnsi="Arial" w:cs="Arial"/>
          <w:b/>
          <w:sz w:val="24"/>
          <w:szCs w:val="24"/>
          <w:lang w:eastAsia="en-ZA"/>
        </w:rPr>
      </w:pPr>
    </w:p>
    <w:p w:rsidR="00A15AEA" w:rsidRPr="00A15AEA" w:rsidRDefault="00A15AEA" w:rsidP="00365F2C">
      <w:pPr>
        <w:tabs>
          <w:tab w:val="right" w:pos="9360"/>
        </w:tabs>
        <w:spacing w:after="0" w:line="360" w:lineRule="auto"/>
        <w:jc w:val="both"/>
        <w:rPr>
          <w:rFonts w:ascii="Arial" w:eastAsiaTheme="minorEastAsia" w:hAnsi="Arial" w:cs="Arial"/>
          <w:sz w:val="24"/>
          <w:szCs w:val="24"/>
          <w:lang w:eastAsia="en-ZA"/>
        </w:rPr>
      </w:pPr>
      <w:r w:rsidRPr="00CE457E">
        <w:rPr>
          <w:rFonts w:ascii="Arial" w:eastAsiaTheme="minorEastAsia" w:hAnsi="Arial" w:cs="Arial"/>
          <w:b/>
          <w:sz w:val="24"/>
          <w:szCs w:val="24"/>
          <w:lang w:eastAsia="en-ZA"/>
        </w:rPr>
        <w:tab/>
      </w:r>
      <w:r w:rsidRPr="00A15AEA">
        <w:rPr>
          <w:rFonts w:ascii="Arial" w:eastAsiaTheme="minorEastAsia" w:hAnsi="Arial" w:cs="Arial"/>
          <w:sz w:val="24"/>
          <w:szCs w:val="24"/>
          <w:lang w:eastAsia="en-ZA"/>
        </w:rPr>
        <w:t xml:space="preserve">Case No.: </w:t>
      </w:r>
      <w:r w:rsidRPr="00A15AEA">
        <w:rPr>
          <w:rFonts w:ascii="Arial" w:hAnsi="Arial" w:cs="Arial"/>
          <w:color w:val="333333"/>
          <w:sz w:val="24"/>
          <w:szCs w:val="24"/>
          <w:shd w:val="clear" w:color="auto" w:fill="FFFFFF"/>
        </w:rPr>
        <w:t>HC-MD-CIV-ACT-OTH-2020/02266</w:t>
      </w:r>
    </w:p>
    <w:p w:rsidR="00A15AEA" w:rsidRPr="00A15AEA" w:rsidRDefault="00A15AEA" w:rsidP="00365F2C">
      <w:pPr>
        <w:spacing w:after="0" w:line="360" w:lineRule="auto"/>
        <w:jc w:val="both"/>
        <w:rPr>
          <w:rFonts w:ascii="Arial" w:eastAsiaTheme="minorEastAsia" w:hAnsi="Arial" w:cs="Arial"/>
          <w:sz w:val="24"/>
          <w:szCs w:val="24"/>
          <w:lang w:eastAsia="en-ZA"/>
        </w:rPr>
      </w:pPr>
    </w:p>
    <w:p w:rsidR="00A15AEA" w:rsidRPr="00A15AEA" w:rsidRDefault="00A15AEA" w:rsidP="00365F2C">
      <w:pPr>
        <w:spacing w:after="0" w:line="360" w:lineRule="auto"/>
        <w:jc w:val="both"/>
        <w:rPr>
          <w:rFonts w:ascii="Arial" w:eastAsiaTheme="minorEastAsia" w:hAnsi="Arial" w:cs="Arial"/>
          <w:sz w:val="24"/>
          <w:szCs w:val="24"/>
          <w:lang w:eastAsia="en-ZA"/>
        </w:rPr>
      </w:pPr>
      <w:r w:rsidRPr="00A15AEA">
        <w:rPr>
          <w:rFonts w:ascii="Arial" w:eastAsiaTheme="minorEastAsia" w:hAnsi="Arial" w:cs="Arial"/>
          <w:sz w:val="24"/>
          <w:szCs w:val="24"/>
          <w:lang w:eastAsia="en-ZA"/>
        </w:rPr>
        <w:t>In the matter between:</w:t>
      </w:r>
    </w:p>
    <w:p w:rsidR="00A15AEA" w:rsidRPr="00A15AEA" w:rsidRDefault="00A15AEA" w:rsidP="00365F2C">
      <w:pPr>
        <w:keepNext/>
        <w:tabs>
          <w:tab w:val="right" w:pos="9360"/>
        </w:tabs>
        <w:spacing w:after="0" w:line="360" w:lineRule="auto"/>
        <w:jc w:val="both"/>
        <w:outlineLvl w:val="3"/>
        <w:rPr>
          <w:rFonts w:ascii="Arial" w:eastAsiaTheme="minorEastAsia" w:hAnsi="Arial" w:cs="Arial"/>
          <w:sz w:val="24"/>
          <w:szCs w:val="24"/>
          <w:lang w:eastAsia="en-ZA"/>
        </w:rPr>
      </w:pPr>
    </w:p>
    <w:p w:rsidR="00A15AEA" w:rsidRPr="00A15AEA" w:rsidRDefault="00780003" w:rsidP="00365F2C">
      <w:pPr>
        <w:keepNext/>
        <w:tabs>
          <w:tab w:val="right" w:pos="9360"/>
        </w:tabs>
        <w:spacing w:after="0" w:line="360" w:lineRule="auto"/>
        <w:jc w:val="both"/>
        <w:outlineLvl w:val="3"/>
        <w:rPr>
          <w:rFonts w:ascii="Arial" w:eastAsia="Times New Roman" w:hAnsi="Arial" w:cs="Arial"/>
          <w:b/>
          <w:sz w:val="24"/>
          <w:szCs w:val="24"/>
          <w:lang w:val="en-GB"/>
        </w:rPr>
      </w:pPr>
      <w:r w:rsidRPr="00780003">
        <w:rPr>
          <w:rFonts w:ascii="Arial" w:hAnsi="Arial" w:cs="Arial"/>
          <w:b/>
          <w:color w:val="333333"/>
          <w:sz w:val="24"/>
          <w:szCs w:val="24"/>
          <w:shd w:val="clear" w:color="auto" w:fill="FFFFFF"/>
        </w:rPr>
        <w:t>DAVID JOHN BRUNI</w:t>
      </w:r>
      <w:r w:rsidR="00A15AEA" w:rsidRPr="00A15AEA">
        <w:rPr>
          <w:rFonts w:ascii="Arial" w:eastAsia="Times New Roman" w:hAnsi="Arial" w:cs="Arial"/>
          <w:b/>
          <w:sz w:val="24"/>
          <w:szCs w:val="24"/>
          <w:lang w:val="en-GB"/>
        </w:rPr>
        <w:tab/>
        <w:t>PLAINTIFF</w:t>
      </w:r>
    </w:p>
    <w:p w:rsidR="00A15AEA" w:rsidRPr="00A15AEA" w:rsidRDefault="00A15AEA" w:rsidP="00365F2C">
      <w:pPr>
        <w:keepNext/>
        <w:tabs>
          <w:tab w:val="right" w:pos="9000"/>
        </w:tabs>
        <w:spacing w:after="0" w:line="360" w:lineRule="auto"/>
        <w:jc w:val="both"/>
        <w:outlineLvl w:val="3"/>
        <w:rPr>
          <w:rFonts w:ascii="Arial" w:eastAsia="Times New Roman" w:hAnsi="Arial" w:cs="Arial"/>
          <w:b/>
          <w:sz w:val="24"/>
          <w:szCs w:val="24"/>
          <w:lang w:val="en-GB"/>
        </w:rPr>
      </w:pPr>
      <w:r w:rsidRPr="00A15AEA">
        <w:rPr>
          <w:rFonts w:ascii="Arial" w:eastAsia="Times New Roman" w:hAnsi="Arial" w:cs="Arial"/>
          <w:b/>
          <w:sz w:val="24"/>
          <w:szCs w:val="24"/>
          <w:lang w:val="en-GB"/>
        </w:rPr>
        <w:tab/>
      </w:r>
    </w:p>
    <w:p w:rsidR="00A15AEA" w:rsidRPr="00A15AEA" w:rsidRDefault="00A15AEA" w:rsidP="00365F2C">
      <w:pPr>
        <w:spacing w:after="0" w:line="360" w:lineRule="auto"/>
        <w:jc w:val="both"/>
        <w:rPr>
          <w:rFonts w:ascii="Arial" w:eastAsiaTheme="minorEastAsia" w:hAnsi="Arial" w:cs="Arial"/>
          <w:sz w:val="24"/>
          <w:szCs w:val="24"/>
          <w:lang w:eastAsia="en-ZA"/>
        </w:rPr>
      </w:pPr>
      <w:proofErr w:type="gramStart"/>
      <w:r w:rsidRPr="00A15AEA">
        <w:rPr>
          <w:rFonts w:ascii="Arial" w:eastAsiaTheme="minorEastAsia" w:hAnsi="Arial" w:cs="Arial"/>
          <w:sz w:val="24"/>
          <w:szCs w:val="24"/>
          <w:lang w:eastAsia="en-ZA"/>
        </w:rPr>
        <w:t>and</w:t>
      </w:r>
      <w:proofErr w:type="gramEnd"/>
    </w:p>
    <w:p w:rsidR="00780003" w:rsidRDefault="00780003" w:rsidP="00365F2C">
      <w:pPr>
        <w:tabs>
          <w:tab w:val="right" w:pos="9360"/>
        </w:tabs>
        <w:spacing w:after="0" w:line="360" w:lineRule="auto"/>
        <w:jc w:val="both"/>
        <w:rPr>
          <w:rFonts w:ascii="Arial" w:eastAsiaTheme="minorEastAsia" w:hAnsi="Arial" w:cs="Arial"/>
          <w:b/>
          <w:sz w:val="24"/>
          <w:szCs w:val="24"/>
          <w:lang w:eastAsia="en-ZA"/>
        </w:rPr>
      </w:pPr>
    </w:p>
    <w:p w:rsidR="00A15AEA" w:rsidRPr="00780003" w:rsidRDefault="00780003" w:rsidP="00365F2C">
      <w:pPr>
        <w:tabs>
          <w:tab w:val="right" w:pos="9360"/>
        </w:tabs>
        <w:spacing w:after="0" w:line="360" w:lineRule="auto"/>
        <w:jc w:val="both"/>
        <w:rPr>
          <w:rFonts w:ascii="Arial" w:eastAsiaTheme="minorEastAsia" w:hAnsi="Arial" w:cs="Arial"/>
          <w:b/>
          <w:sz w:val="24"/>
          <w:szCs w:val="24"/>
          <w:lang w:eastAsia="en-ZA"/>
        </w:rPr>
      </w:pPr>
      <w:r w:rsidRPr="00780003">
        <w:rPr>
          <w:rFonts w:ascii="Arial" w:hAnsi="Arial" w:cs="Arial"/>
          <w:b/>
          <w:color w:val="333333"/>
          <w:sz w:val="24"/>
          <w:szCs w:val="24"/>
          <w:shd w:val="clear" w:color="auto" w:fill="FFFFFF"/>
        </w:rPr>
        <w:t>TULIVE CAPITAL (PTY) LTD</w:t>
      </w:r>
      <w:r w:rsidRPr="00780003">
        <w:rPr>
          <w:rFonts w:ascii="Arial" w:eastAsiaTheme="minorEastAsia" w:hAnsi="Arial" w:cs="Arial"/>
          <w:b/>
          <w:sz w:val="24"/>
          <w:szCs w:val="24"/>
          <w:lang w:eastAsia="en-ZA"/>
        </w:rPr>
        <w:tab/>
        <w:t>FIRST DEFENDANT</w:t>
      </w:r>
    </w:p>
    <w:p w:rsidR="00780003" w:rsidRPr="00780003" w:rsidRDefault="00365F2C" w:rsidP="00365F2C">
      <w:pPr>
        <w:tabs>
          <w:tab w:val="right" w:pos="9360"/>
        </w:tabs>
        <w:spacing w:after="0" w:line="360" w:lineRule="auto"/>
        <w:jc w:val="both"/>
        <w:rPr>
          <w:rFonts w:ascii="Arial" w:hAnsi="Arial" w:cs="Arial"/>
          <w:b/>
          <w:sz w:val="24"/>
          <w:szCs w:val="24"/>
        </w:rPr>
      </w:pPr>
      <w:r>
        <w:rPr>
          <w:rFonts w:ascii="Arial" w:hAnsi="Arial" w:cs="Arial"/>
          <w:b/>
          <w:sz w:val="24"/>
          <w:szCs w:val="24"/>
        </w:rPr>
        <w:t>IYALOO JEREMIAH NANGOLO</w:t>
      </w:r>
      <w:r w:rsidR="00780003" w:rsidRPr="00780003">
        <w:rPr>
          <w:rFonts w:ascii="Arial" w:hAnsi="Arial" w:cs="Arial"/>
          <w:b/>
          <w:sz w:val="24"/>
          <w:szCs w:val="24"/>
        </w:rPr>
        <w:tab/>
      </w:r>
      <w:r>
        <w:rPr>
          <w:rFonts w:ascii="Arial" w:hAnsi="Arial" w:cs="Arial"/>
          <w:b/>
          <w:sz w:val="24"/>
          <w:szCs w:val="24"/>
        </w:rPr>
        <w:t>SECOND DEFENDANT</w:t>
      </w:r>
    </w:p>
    <w:p w:rsidR="00780003" w:rsidRPr="00780003" w:rsidRDefault="00780003" w:rsidP="00365F2C">
      <w:pPr>
        <w:tabs>
          <w:tab w:val="right" w:pos="9360"/>
        </w:tabs>
        <w:spacing w:after="0" w:line="360" w:lineRule="auto"/>
        <w:jc w:val="both"/>
        <w:rPr>
          <w:rFonts w:ascii="Arial" w:hAnsi="Arial" w:cs="Arial"/>
          <w:b/>
          <w:sz w:val="24"/>
          <w:szCs w:val="24"/>
        </w:rPr>
      </w:pPr>
      <w:r w:rsidRPr="00780003">
        <w:rPr>
          <w:rFonts w:ascii="Arial" w:hAnsi="Arial" w:cs="Arial"/>
          <w:b/>
          <w:sz w:val="24"/>
          <w:szCs w:val="24"/>
        </w:rPr>
        <w:t>STEPHANUS ADRI</w:t>
      </w:r>
      <w:r w:rsidR="00365F2C">
        <w:rPr>
          <w:rFonts w:ascii="Arial" w:hAnsi="Arial" w:cs="Arial"/>
          <w:b/>
          <w:sz w:val="24"/>
          <w:szCs w:val="24"/>
        </w:rPr>
        <w:t>AAN OOSTHUIZEN</w:t>
      </w:r>
      <w:r w:rsidR="00365F2C">
        <w:rPr>
          <w:rFonts w:ascii="Arial" w:hAnsi="Arial" w:cs="Arial"/>
          <w:b/>
          <w:sz w:val="24"/>
          <w:szCs w:val="24"/>
        </w:rPr>
        <w:tab/>
        <w:t>THIRD DEFENDANT</w:t>
      </w:r>
    </w:p>
    <w:p w:rsidR="00F124D8" w:rsidRPr="00A15AEA" w:rsidRDefault="00780003" w:rsidP="00365F2C">
      <w:pPr>
        <w:tabs>
          <w:tab w:val="right" w:pos="9360"/>
        </w:tabs>
        <w:spacing w:after="0" w:line="360" w:lineRule="auto"/>
        <w:jc w:val="both"/>
        <w:rPr>
          <w:rFonts w:ascii="Arial" w:eastAsiaTheme="minorEastAsia" w:hAnsi="Arial" w:cs="Arial"/>
          <w:b/>
          <w:sz w:val="24"/>
          <w:szCs w:val="24"/>
          <w:lang w:eastAsia="en-ZA"/>
        </w:rPr>
      </w:pPr>
      <w:r w:rsidRPr="00780003">
        <w:rPr>
          <w:rFonts w:ascii="Arial" w:hAnsi="Arial" w:cs="Arial"/>
          <w:b/>
          <w:sz w:val="24"/>
          <w:szCs w:val="24"/>
        </w:rPr>
        <w:t>WICLIFF BONNY DAMASEB</w:t>
      </w:r>
      <w:r w:rsidRPr="00780003">
        <w:rPr>
          <w:rFonts w:ascii="Arial" w:hAnsi="Arial" w:cs="Arial"/>
          <w:sz w:val="24"/>
          <w:szCs w:val="24"/>
        </w:rPr>
        <w:tab/>
      </w:r>
      <w:r w:rsidRPr="00780003">
        <w:rPr>
          <w:rFonts w:ascii="Arial" w:hAnsi="Arial" w:cs="Arial"/>
          <w:b/>
          <w:sz w:val="24"/>
          <w:szCs w:val="24"/>
        </w:rPr>
        <w:t>FOURTH</w:t>
      </w:r>
      <w:r w:rsidR="00F124D8" w:rsidRPr="00780003">
        <w:rPr>
          <w:rFonts w:ascii="Arial" w:hAnsi="Arial" w:cs="Arial"/>
          <w:b/>
          <w:sz w:val="24"/>
          <w:szCs w:val="24"/>
        </w:rPr>
        <w:t xml:space="preserve"> DEFENDANT</w:t>
      </w:r>
    </w:p>
    <w:p w:rsidR="00A15AEA" w:rsidRPr="00A15AEA" w:rsidRDefault="00A15AEA" w:rsidP="00365F2C">
      <w:pPr>
        <w:tabs>
          <w:tab w:val="right" w:pos="9360"/>
        </w:tabs>
        <w:spacing w:after="0" w:line="360" w:lineRule="auto"/>
        <w:jc w:val="both"/>
        <w:rPr>
          <w:rFonts w:ascii="Arial" w:eastAsiaTheme="minorEastAsia" w:hAnsi="Arial" w:cs="Arial"/>
          <w:b/>
          <w:sz w:val="24"/>
          <w:szCs w:val="24"/>
          <w:lang w:eastAsia="en-ZA"/>
        </w:rPr>
      </w:pPr>
    </w:p>
    <w:p w:rsidR="00A15AEA" w:rsidRPr="00A15AEA" w:rsidRDefault="00A15AEA" w:rsidP="00365F2C">
      <w:pPr>
        <w:spacing w:after="0" w:line="360" w:lineRule="auto"/>
        <w:jc w:val="both"/>
        <w:rPr>
          <w:rFonts w:ascii="Arial" w:eastAsiaTheme="minorEastAsia" w:hAnsi="Arial" w:cs="Arial"/>
          <w:sz w:val="24"/>
          <w:szCs w:val="24"/>
          <w:lang w:eastAsia="en-ZA"/>
        </w:rPr>
      </w:pPr>
      <w:r w:rsidRPr="00A15AEA">
        <w:rPr>
          <w:rFonts w:ascii="Arial" w:eastAsiaTheme="minorEastAsia" w:hAnsi="Arial" w:cs="Arial"/>
          <w:b/>
          <w:sz w:val="24"/>
          <w:szCs w:val="24"/>
          <w:lang w:eastAsia="en-ZA"/>
        </w:rPr>
        <w:t>Neutral citation</w:t>
      </w:r>
      <w:r w:rsidRPr="00A15AEA">
        <w:rPr>
          <w:rFonts w:ascii="Arial" w:eastAsiaTheme="minorEastAsia" w:hAnsi="Arial" w:cs="Arial"/>
          <w:i/>
          <w:sz w:val="24"/>
          <w:szCs w:val="24"/>
          <w:lang w:eastAsia="en-ZA"/>
        </w:rPr>
        <w:t xml:space="preserve">: </w:t>
      </w:r>
      <w:proofErr w:type="spellStart"/>
      <w:r w:rsidR="0033569C">
        <w:rPr>
          <w:rFonts w:ascii="Arial" w:hAnsi="Arial" w:cs="Arial"/>
          <w:i/>
          <w:color w:val="333333"/>
          <w:sz w:val="24"/>
          <w:szCs w:val="24"/>
          <w:shd w:val="clear" w:color="auto" w:fill="FFFFFF"/>
        </w:rPr>
        <w:t>Bruni</w:t>
      </w:r>
      <w:proofErr w:type="spellEnd"/>
      <w:r w:rsidR="0033569C">
        <w:rPr>
          <w:rFonts w:ascii="Arial" w:hAnsi="Arial" w:cs="Arial"/>
          <w:i/>
          <w:color w:val="333333"/>
          <w:sz w:val="24"/>
          <w:szCs w:val="24"/>
          <w:shd w:val="clear" w:color="auto" w:fill="FFFFFF"/>
        </w:rPr>
        <w:t xml:space="preserve"> v</w:t>
      </w:r>
      <w:r w:rsidRPr="00A15AEA">
        <w:rPr>
          <w:rFonts w:ascii="Arial" w:hAnsi="Arial" w:cs="Arial"/>
          <w:i/>
          <w:color w:val="333333"/>
          <w:sz w:val="24"/>
          <w:szCs w:val="24"/>
          <w:shd w:val="clear" w:color="auto" w:fill="FFFFFF"/>
        </w:rPr>
        <w:t xml:space="preserve"> </w:t>
      </w:r>
      <w:proofErr w:type="spellStart"/>
      <w:r w:rsidRPr="00A15AEA">
        <w:rPr>
          <w:rFonts w:ascii="Arial" w:hAnsi="Arial" w:cs="Arial"/>
          <w:i/>
          <w:color w:val="333333"/>
          <w:sz w:val="24"/>
          <w:szCs w:val="24"/>
          <w:shd w:val="clear" w:color="auto" w:fill="FFFFFF"/>
        </w:rPr>
        <w:t>Tulive</w:t>
      </w:r>
      <w:proofErr w:type="spellEnd"/>
      <w:r w:rsidRPr="00A15AEA">
        <w:rPr>
          <w:rFonts w:ascii="Arial" w:hAnsi="Arial" w:cs="Arial"/>
          <w:i/>
          <w:color w:val="333333"/>
          <w:sz w:val="24"/>
          <w:szCs w:val="24"/>
          <w:shd w:val="clear" w:color="auto" w:fill="FFFFFF"/>
        </w:rPr>
        <w:t xml:space="preserve"> Capital (Pty) Ltd</w:t>
      </w:r>
      <w:r w:rsidRPr="00A15AEA">
        <w:rPr>
          <w:rFonts w:ascii="Arial" w:eastAsiaTheme="minorEastAsia" w:hAnsi="Arial" w:cs="Arial"/>
          <w:sz w:val="24"/>
          <w:szCs w:val="24"/>
          <w:lang w:eastAsia="en-ZA"/>
        </w:rPr>
        <w:t xml:space="preserve"> (</w:t>
      </w:r>
      <w:r w:rsidRPr="00A15AEA">
        <w:rPr>
          <w:rFonts w:ascii="Arial" w:hAnsi="Arial" w:cs="Arial"/>
          <w:color w:val="333333"/>
          <w:sz w:val="24"/>
          <w:szCs w:val="24"/>
          <w:shd w:val="clear" w:color="auto" w:fill="FFFFFF"/>
        </w:rPr>
        <w:t>HC-MD-CIV-ACT-OTH-2020/02266</w:t>
      </w:r>
      <w:r w:rsidR="002F4DCB">
        <w:rPr>
          <w:rFonts w:ascii="Arial" w:eastAsiaTheme="minorEastAsia" w:hAnsi="Arial" w:cs="Arial"/>
          <w:sz w:val="24"/>
          <w:szCs w:val="24"/>
          <w:lang w:eastAsia="en-ZA"/>
        </w:rPr>
        <w:t xml:space="preserve">) [2020] NAHCMD 536 </w:t>
      </w:r>
      <w:r w:rsidRPr="00A15AEA">
        <w:rPr>
          <w:rFonts w:ascii="Arial" w:eastAsiaTheme="minorEastAsia" w:hAnsi="Arial" w:cs="Arial"/>
          <w:sz w:val="24"/>
          <w:szCs w:val="24"/>
          <w:lang w:eastAsia="en-ZA"/>
        </w:rPr>
        <w:t>(16 November 2020</w:t>
      </w:r>
      <w:r w:rsidRPr="00A15AEA">
        <w:rPr>
          <w:rFonts w:ascii="Arial" w:eastAsiaTheme="minorEastAsia" w:hAnsi="Arial" w:cs="Arial"/>
          <w:i/>
          <w:sz w:val="24"/>
          <w:szCs w:val="24"/>
          <w:lang w:eastAsia="en-ZA"/>
        </w:rPr>
        <w:t>)</w:t>
      </w:r>
    </w:p>
    <w:p w:rsidR="00A15AEA" w:rsidRPr="00A15AEA" w:rsidRDefault="00A15AEA" w:rsidP="00365F2C">
      <w:pPr>
        <w:spacing w:after="0" w:line="360" w:lineRule="auto"/>
        <w:ind w:left="2160" w:hanging="2160"/>
        <w:jc w:val="both"/>
        <w:rPr>
          <w:rFonts w:ascii="Arial" w:eastAsiaTheme="minorEastAsia" w:hAnsi="Arial" w:cs="Arial"/>
          <w:sz w:val="24"/>
          <w:szCs w:val="24"/>
          <w:lang w:eastAsia="en-ZA"/>
        </w:rPr>
      </w:pPr>
    </w:p>
    <w:p w:rsidR="00A15AEA" w:rsidRPr="00A15AEA" w:rsidRDefault="00A15AEA" w:rsidP="00365F2C">
      <w:pPr>
        <w:spacing w:after="0" w:line="360" w:lineRule="auto"/>
        <w:ind w:left="1440" w:hanging="1440"/>
        <w:jc w:val="both"/>
        <w:rPr>
          <w:rFonts w:ascii="Arial" w:eastAsiaTheme="minorEastAsia" w:hAnsi="Arial" w:cs="Arial"/>
          <w:sz w:val="24"/>
          <w:szCs w:val="24"/>
          <w:lang w:eastAsia="en-ZA"/>
        </w:rPr>
      </w:pPr>
      <w:r w:rsidRPr="00A15AEA">
        <w:rPr>
          <w:rFonts w:ascii="Arial" w:eastAsiaTheme="minorEastAsia" w:hAnsi="Arial" w:cs="Arial"/>
          <w:sz w:val="24"/>
          <w:szCs w:val="24"/>
          <w:lang w:eastAsia="en-ZA"/>
        </w:rPr>
        <w:t>Coram:</w:t>
      </w:r>
      <w:r w:rsidRPr="00A15AEA">
        <w:rPr>
          <w:rFonts w:ascii="Arial" w:eastAsiaTheme="minorEastAsia" w:hAnsi="Arial" w:cs="Arial"/>
          <w:sz w:val="24"/>
          <w:szCs w:val="24"/>
          <w:lang w:eastAsia="en-ZA"/>
        </w:rPr>
        <w:tab/>
      </w:r>
      <w:r w:rsidRPr="00A15AEA">
        <w:rPr>
          <w:rFonts w:ascii="Arial" w:eastAsiaTheme="minorEastAsia" w:hAnsi="Arial" w:cs="Arial"/>
          <w:b/>
          <w:sz w:val="24"/>
          <w:szCs w:val="24"/>
          <w:lang w:eastAsia="en-ZA"/>
        </w:rPr>
        <w:t>PRINSLOO J</w:t>
      </w:r>
    </w:p>
    <w:p w:rsidR="00A15AEA" w:rsidRPr="00365F2C" w:rsidRDefault="00A15AEA" w:rsidP="00365F2C">
      <w:pPr>
        <w:spacing w:after="0" w:line="360" w:lineRule="auto"/>
        <w:jc w:val="both"/>
        <w:rPr>
          <w:rFonts w:ascii="Arial" w:eastAsiaTheme="minorEastAsia" w:hAnsi="Arial" w:cs="Arial"/>
          <w:sz w:val="24"/>
          <w:szCs w:val="24"/>
          <w:lang w:eastAsia="en-ZA"/>
        </w:rPr>
      </w:pPr>
      <w:r w:rsidRPr="00A15AEA">
        <w:rPr>
          <w:rFonts w:ascii="Arial" w:eastAsiaTheme="minorEastAsia" w:hAnsi="Arial" w:cs="Arial"/>
          <w:bCs/>
          <w:sz w:val="24"/>
          <w:szCs w:val="24"/>
          <w:lang w:eastAsia="en-ZA"/>
        </w:rPr>
        <w:t>Heard</w:t>
      </w:r>
      <w:r w:rsidRPr="00A15AEA">
        <w:rPr>
          <w:rFonts w:ascii="Arial" w:eastAsiaTheme="minorEastAsia" w:hAnsi="Arial" w:cs="Arial"/>
          <w:sz w:val="24"/>
          <w:szCs w:val="24"/>
          <w:lang w:eastAsia="en-ZA"/>
        </w:rPr>
        <w:t>:</w:t>
      </w:r>
      <w:r w:rsidRPr="00A15AEA">
        <w:rPr>
          <w:rFonts w:ascii="Arial" w:eastAsiaTheme="minorEastAsia" w:hAnsi="Arial" w:cs="Arial"/>
          <w:sz w:val="24"/>
          <w:szCs w:val="24"/>
          <w:lang w:eastAsia="en-ZA"/>
        </w:rPr>
        <w:tab/>
      </w:r>
      <w:r w:rsidRPr="00780003">
        <w:rPr>
          <w:rFonts w:ascii="Arial" w:eastAsiaTheme="minorEastAsia" w:hAnsi="Arial" w:cs="Arial"/>
          <w:sz w:val="24"/>
          <w:szCs w:val="24"/>
          <w:lang w:eastAsia="en-ZA"/>
        </w:rPr>
        <w:t>23 October 2020</w:t>
      </w:r>
    </w:p>
    <w:p w:rsidR="00A15AEA" w:rsidRPr="0033569C" w:rsidRDefault="00A15AEA" w:rsidP="00365F2C">
      <w:pPr>
        <w:spacing w:after="0" w:line="360" w:lineRule="auto"/>
        <w:jc w:val="both"/>
        <w:rPr>
          <w:rFonts w:ascii="Arial" w:eastAsiaTheme="minorEastAsia" w:hAnsi="Arial" w:cs="Arial"/>
          <w:b/>
          <w:sz w:val="24"/>
          <w:szCs w:val="24"/>
          <w:lang w:eastAsia="en-ZA"/>
        </w:rPr>
      </w:pPr>
      <w:r w:rsidRPr="0033569C">
        <w:rPr>
          <w:rFonts w:ascii="Arial" w:eastAsiaTheme="minorEastAsia" w:hAnsi="Arial" w:cs="Arial"/>
          <w:b/>
          <w:bCs/>
          <w:sz w:val="24"/>
          <w:szCs w:val="24"/>
          <w:lang w:eastAsia="en-ZA"/>
        </w:rPr>
        <w:t>Delivered</w:t>
      </w:r>
      <w:r w:rsidRPr="0033569C">
        <w:rPr>
          <w:rFonts w:ascii="Arial" w:eastAsiaTheme="minorEastAsia" w:hAnsi="Arial" w:cs="Arial"/>
          <w:b/>
          <w:sz w:val="24"/>
          <w:szCs w:val="24"/>
          <w:lang w:eastAsia="en-ZA"/>
        </w:rPr>
        <w:t>:</w:t>
      </w:r>
      <w:r w:rsidRPr="0033569C">
        <w:rPr>
          <w:rFonts w:ascii="Arial" w:eastAsiaTheme="minorEastAsia" w:hAnsi="Arial" w:cs="Arial"/>
          <w:b/>
          <w:sz w:val="24"/>
          <w:szCs w:val="24"/>
          <w:lang w:eastAsia="en-ZA"/>
        </w:rPr>
        <w:tab/>
        <w:t>16 November 2020</w:t>
      </w:r>
    </w:p>
    <w:p w:rsidR="00A15AEA" w:rsidRPr="0033569C" w:rsidRDefault="00365F2C" w:rsidP="00365F2C">
      <w:pPr>
        <w:spacing w:after="0" w:line="360" w:lineRule="auto"/>
        <w:jc w:val="both"/>
        <w:rPr>
          <w:rFonts w:ascii="Arial" w:eastAsiaTheme="minorEastAsia" w:hAnsi="Arial" w:cs="Arial"/>
          <w:b/>
          <w:sz w:val="24"/>
          <w:szCs w:val="24"/>
          <w:lang w:eastAsia="en-ZA"/>
        </w:rPr>
      </w:pPr>
      <w:r w:rsidRPr="0033569C">
        <w:rPr>
          <w:rFonts w:ascii="Arial" w:eastAsiaTheme="minorEastAsia" w:hAnsi="Arial" w:cs="Arial"/>
          <w:b/>
          <w:sz w:val="24"/>
          <w:szCs w:val="24"/>
          <w:lang w:eastAsia="en-ZA"/>
        </w:rPr>
        <w:t>Reasons:</w:t>
      </w:r>
      <w:r w:rsidRPr="0033569C">
        <w:rPr>
          <w:rFonts w:ascii="Arial" w:eastAsiaTheme="minorEastAsia" w:hAnsi="Arial" w:cs="Arial"/>
          <w:b/>
          <w:sz w:val="24"/>
          <w:szCs w:val="24"/>
          <w:lang w:eastAsia="en-ZA"/>
        </w:rPr>
        <w:tab/>
        <w:t>20</w:t>
      </w:r>
      <w:r w:rsidR="00A15AEA" w:rsidRPr="0033569C">
        <w:rPr>
          <w:rFonts w:ascii="Arial" w:eastAsiaTheme="minorEastAsia" w:hAnsi="Arial" w:cs="Arial"/>
          <w:b/>
          <w:sz w:val="24"/>
          <w:szCs w:val="24"/>
          <w:lang w:eastAsia="en-ZA"/>
        </w:rPr>
        <w:t xml:space="preserve"> November 2020</w:t>
      </w:r>
    </w:p>
    <w:p w:rsidR="00A15AEA" w:rsidRPr="00CE457E" w:rsidRDefault="00A15AEA" w:rsidP="00365F2C">
      <w:pPr>
        <w:spacing w:after="0" w:line="360" w:lineRule="auto"/>
        <w:jc w:val="both"/>
        <w:rPr>
          <w:rFonts w:ascii="Arial" w:eastAsiaTheme="minorEastAsia" w:hAnsi="Arial" w:cs="Arial"/>
          <w:b/>
          <w:sz w:val="24"/>
          <w:szCs w:val="24"/>
          <w:lang w:eastAsia="en-ZA"/>
        </w:rPr>
      </w:pPr>
    </w:p>
    <w:p w:rsidR="00A15AEA" w:rsidRPr="00CE457E" w:rsidRDefault="00A15AEA" w:rsidP="00365F2C">
      <w:pPr>
        <w:spacing w:after="0" w:line="360" w:lineRule="auto"/>
        <w:jc w:val="both"/>
        <w:rPr>
          <w:rFonts w:ascii="Arial" w:eastAsia="Calibri" w:hAnsi="Arial" w:cs="Arial"/>
          <w:sz w:val="24"/>
          <w:szCs w:val="24"/>
        </w:rPr>
      </w:pPr>
      <w:proofErr w:type="spellStart"/>
      <w:r w:rsidRPr="00CE457E">
        <w:rPr>
          <w:rFonts w:ascii="Arial" w:eastAsiaTheme="minorEastAsia" w:hAnsi="Arial" w:cs="Arial"/>
          <w:b/>
          <w:sz w:val="24"/>
          <w:szCs w:val="24"/>
          <w:lang w:eastAsia="en-ZA"/>
        </w:rPr>
        <w:t>Flynote</w:t>
      </w:r>
      <w:proofErr w:type="spellEnd"/>
      <w:r w:rsidRPr="00CE457E">
        <w:rPr>
          <w:rFonts w:ascii="Arial" w:eastAsiaTheme="minorEastAsia" w:hAnsi="Arial" w:cs="Arial"/>
          <w:b/>
          <w:sz w:val="24"/>
          <w:szCs w:val="24"/>
          <w:lang w:eastAsia="en-ZA"/>
        </w:rPr>
        <w:t>:</w:t>
      </w:r>
      <w:r w:rsidRPr="00CE457E">
        <w:rPr>
          <w:rFonts w:ascii="Arial" w:eastAsiaTheme="minorEastAsia" w:hAnsi="Arial" w:cs="Arial"/>
          <w:b/>
          <w:sz w:val="24"/>
          <w:szCs w:val="24"/>
          <w:lang w:eastAsia="en-ZA"/>
        </w:rPr>
        <w:tab/>
      </w:r>
      <w:r w:rsidR="0042199A" w:rsidRPr="00863187">
        <w:rPr>
          <w:rFonts w:ascii="Arial" w:eastAsiaTheme="minorEastAsia" w:hAnsi="Arial" w:cs="Arial"/>
          <w:sz w:val="24"/>
          <w:szCs w:val="24"/>
          <w:lang w:eastAsia="en-ZA"/>
        </w:rPr>
        <w:t xml:space="preserve">Application for Summary Judgment – Defence raised of: (a) affidavit verifying facts and cause of action contradictory and mutually exclusive and (b) agreement reached between the parties transgresses s 39 of the Banking Institutions </w:t>
      </w:r>
      <w:r w:rsidR="0042199A" w:rsidRPr="00863187">
        <w:rPr>
          <w:rFonts w:ascii="Arial" w:eastAsiaTheme="minorEastAsia" w:hAnsi="Arial" w:cs="Arial"/>
          <w:sz w:val="24"/>
          <w:szCs w:val="24"/>
          <w:lang w:eastAsia="en-ZA"/>
        </w:rPr>
        <w:lastRenderedPageBreak/>
        <w:t xml:space="preserve">Act, </w:t>
      </w:r>
      <w:r w:rsidR="0042199A">
        <w:rPr>
          <w:rFonts w:ascii="Arial" w:eastAsiaTheme="minorEastAsia" w:hAnsi="Arial" w:cs="Arial"/>
          <w:sz w:val="24"/>
          <w:szCs w:val="24"/>
          <w:lang w:eastAsia="en-ZA"/>
        </w:rPr>
        <w:t xml:space="preserve">therefore </w:t>
      </w:r>
      <w:r w:rsidR="0042199A" w:rsidRPr="00863187">
        <w:rPr>
          <w:rFonts w:ascii="Arial" w:eastAsiaTheme="minorEastAsia" w:hAnsi="Arial" w:cs="Arial"/>
          <w:sz w:val="24"/>
          <w:szCs w:val="24"/>
          <w:lang w:eastAsia="en-ZA"/>
        </w:rPr>
        <w:t>SME Bank cannot enforce it</w:t>
      </w:r>
      <w:r w:rsidR="0042199A">
        <w:rPr>
          <w:rFonts w:ascii="Arial" w:eastAsiaTheme="minorEastAsia" w:hAnsi="Arial" w:cs="Arial"/>
          <w:sz w:val="24"/>
          <w:szCs w:val="24"/>
          <w:lang w:eastAsia="en-ZA"/>
        </w:rPr>
        <w:t xml:space="preserve"> – As</w:t>
      </w:r>
      <w:r w:rsidR="0042199A" w:rsidRPr="002C6A9A">
        <w:rPr>
          <w:rFonts w:ascii="Arial" w:eastAsiaTheme="minorEastAsia" w:hAnsi="Arial" w:cs="Arial"/>
          <w:sz w:val="24"/>
          <w:szCs w:val="24"/>
          <w:lang w:eastAsia="en-ZA"/>
        </w:rPr>
        <w:t xml:space="preserve"> amount due and payable is undisputed the matter of </w:t>
      </w:r>
      <w:proofErr w:type="spellStart"/>
      <w:r w:rsidR="0042199A" w:rsidRPr="002C6A9A">
        <w:rPr>
          <w:rFonts w:ascii="Arial" w:eastAsiaTheme="minorEastAsia" w:hAnsi="Arial" w:cs="Arial"/>
          <w:i/>
          <w:sz w:val="24"/>
          <w:szCs w:val="24"/>
          <w:lang w:eastAsia="en-ZA"/>
        </w:rPr>
        <w:t>Kelnic</w:t>
      </w:r>
      <w:proofErr w:type="spellEnd"/>
      <w:r w:rsidR="0042199A" w:rsidRPr="002C6A9A">
        <w:rPr>
          <w:rFonts w:ascii="Arial" w:eastAsiaTheme="minorEastAsia" w:hAnsi="Arial" w:cs="Arial"/>
          <w:i/>
          <w:sz w:val="24"/>
          <w:szCs w:val="24"/>
          <w:lang w:eastAsia="en-ZA"/>
        </w:rPr>
        <w:t xml:space="preserve"> Construction (Pty) Ltd v </w:t>
      </w:r>
      <w:proofErr w:type="spellStart"/>
      <w:r w:rsidR="0042199A" w:rsidRPr="002C6A9A">
        <w:rPr>
          <w:rFonts w:ascii="Arial" w:eastAsiaTheme="minorEastAsia" w:hAnsi="Arial" w:cs="Arial"/>
          <w:i/>
          <w:sz w:val="24"/>
          <w:szCs w:val="24"/>
          <w:lang w:eastAsia="en-ZA"/>
        </w:rPr>
        <w:t>Cadilu</w:t>
      </w:r>
      <w:proofErr w:type="spellEnd"/>
      <w:r w:rsidR="0042199A" w:rsidRPr="002C6A9A">
        <w:rPr>
          <w:rFonts w:ascii="Arial" w:eastAsiaTheme="minorEastAsia" w:hAnsi="Arial" w:cs="Arial"/>
          <w:i/>
          <w:sz w:val="24"/>
          <w:szCs w:val="24"/>
          <w:lang w:eastAsia="en-ZA"/>
        </w:rPr>
        <w:t xml:space="preserve"> Fishing (Pty) Ltd,</w:t>
      </w:r>
      <w:r w:rsidR="0042199A">
        <w:rPr>
          <w:rFonts w:ascii="Arial" w:eastAsiaTheme="minorEastAsia" w:hAnsi="Arial" w:cs="Arial"/>
          <w:sz w:val="24"/>
          <w:szCs w:val="24"/>
          <w:lang w:eastAsia="en-ZA"/>
        </w:rPr>
        <w:t xml:space="preserve"> wherein </w:t>
      </w:r>
      <w:r w:rsidR="0042199A" w:rsidRPr="002C6A9A">
        <w:rPr>
          <w:rFonts w:ascii="Arial" w:eastAsiaTheme="minorEastAsia" w:hAnsi="Arial" w:cs="Arial"/>
          <w:sz w:val="24"/>
          <w:szCs w:val="24"/>
          <w:lang w:eastAsia="en-ZA"/>
        </w:rPr>
        <w:t>Supreme Court held that in light of the admission of liability in respect of the amount the uncertainty created by verifying mutually destructive causes of action falls away, is appli</w:t>
      </w:r>
      <w:r w:rsidR="0042199A">
        <w:rPr>
          <w:rFonts w:ascii="Arial" w:eastAsiaTheme="minorEastAsia" w:hAnsi="Arial" w:cs="Arial"/>
          <w:sz w:val="24"/>
          <w:szCs w:val="24"/>
          <w:lang w:eastAsia="en-ZA"/>
        </w:rPr>
        <w:t>cable to the facts before this court – Section</w:t>
      </w:r>
      <w:r w:rsidR="0042199A" w:rsidRPr="002C6A9A">
        <w:rPr>
          <w:rFonts w:ascii="Arial" w:eastAsiaTheme="minorEastAsia" w:hAnsi="Arial" w:cs="Arial"/>
          <w:sz w:val="24"/>
          <w:szCs w:val="24"/>
          <w:lang w:eastAsia="en-ZA"/>
        </w:rPr>
        <w:t xml:space="preserve"> 39(1) of the Act does not in itself expressly provide that a transaction in breach thereof will be null and void</w:t>
      </w:r>
      <w:r w:rsidR="0042199A">
        <w:rPr>
          <w:rFonts w:ascii="Arial" w:eastAsiaTheme="minorEastAsia" w:hAnsi="Arial" w:cs="Arial"/>
          <w:sz w:val="24"/>
          <w:szCs w:val="24"/>
          <w:lang w:eastAsia="en-ZA"/>
        </w:rPr>
        <w:t xml:space="preserve"> – Further, </w:t>
      </w:r>
      <w:r w:rsidR="0042199A">
        <w:rPr>
          <w:rFonts w:ascii="Arial" w:eastAsiaTheme="minorEastAsia" w:hAnsi="Arial" w:cs="Arial"/>
          <w:i/>
          <w:sz w:val="24"/>
          <w:szCs w:val="24"/>
          <w:lang w:eastAsia="en-ZA"/>
        </w:rPr>
        <w:t>P</w:t>
      </w:r>
      <w:r w:rsidR="0042199A" w:rsidRPr="002C6A9A">
        <w:rPr>
          <w:rFonts w:ascii="Arial" w:eastAsiaTheme="minorEastAsia" w:hAnsi="Arial" w:cs="Arial"/>
          <w:i/>
          <w:sz w:val="24"/>
          <w:szCs w:val="24"/>
          <w:lang w:eastAsia="en-ZA"/>
        </w:rPr>
        <w:t xml:space="preserve">ar </w:t>
      </w:r>
      <w:proofErr w:type="spellStart"/>
      <w:r w:rsidR="0042199A" w:rsidRPr="002C6A9A">
        <w:rPr>
          <w:rFonts w:ascii="Arial" w:eastAsiaTheme="minorEastAsia" w:hAnsi="Arial" w:cs="Arial"/>
          <w:i/>
          <w:sz w:val="24"/>
          <w:szCs w:val="24"/>
          <w:lang w:eastAsia="en-ZA"/>
        </w:rPr>
        <w:t>delictum</w:t>
      </w:r>
      <w:proofErr w:type="spellEnd"/>
      <w:r w:rsidR="0042199A" w:rsidRPr="002C6A9A">
        <w:rPr>
          <w:rFonts w:ascii="Arial" w:eastAsiaTheme="minorEastAsia" w:hAnsi="Arial" w:cs="Arial"/>
          <w:sz w:val="24"/>
          <w:szCs w:val="24"/>
          <w:lang w:eastAsia="en-ZA"/>
        </w:rPr>
        <w:t xml:space="preserve"> rule under the circumstances must be subordinate to the overriding consideration of public policy. To serve the public interest the defendant should repay the amount advanced to it in spite of contravention of s 39 of the Act.</w:t>
      </w:r>
    </w:p>
    <w:p w:rsidR="00A15AEA" w:rsidRPr="00CE457E" w:rsidRDefault="00A15AEA" w:rsidP="00365F2C">
      <w:pPr>
        <w:spacing w:after="0" w:line="360" w:lineRule="auto"/>
        <w:jc w:val="both"/>
        <w:rPr>
          <w:rFonts w:ascii="Arial" w:eastAsiaTheme="minorEastAsia" w:hAnsi="Arial" w:cs="Arial"/>
          <w:sz w:val="24"/>
          <w:szCs w:val="24"/>
          <w:lang w:eastAsia="en-ZA"/>
        </w:rPr>
      </w:pPr>
    </w:p>
    <w:p w:rsidR="0042199A" w:rsidRDefault="00A15AEA" w:rsidP="0042199A">
      <w:pPr>
        <w:spacing w:after="0" w:line="360" w:lineRule="auto"/>
        <w:jc w:val="both"/>
        <w:rPr>
          <w:rFonts w:ascii="Arial" w:hAnsi="Arial" w:cs="Arial"/>
          <w:sz w:val="24"/>
          <w:szCs w:val="24"/>
        </w:rPr>
      </w:pPr>
      <w:r w:rsidRPr="00CE457E">
        <w:rPr>
          <w:rFonts w:ascii="Arial" w:eastAsiaTheme="minorEastAsia" w:hAnsi="Arial" w:cs="Arial"/>
          <w:b/>
          <w:sz w:val="24"/>
          <w:szCs w:val="24"/>
          <w:lang w:eastAsia="en-ZA"/>
        </w:rPr>
        <w:t>Summary:</w:t>
      </w:r>
      <w:r w:rsidRPr="00CE457E">
        <w:rPr>
          <w:rFonts w:ascii="Arial" w:eastAsiaTheme="minorEastAsia" w:hAnsi="Arial" w:cs="Arial"/>
          <w:b/>
          <w:sz w:val="24"/>
          <w:szCs w:val="24"/>
          <w:lang w:eastAsia="en-ZA"/>
        </w:rPr>
        <w:tab/>
      </w:r>
      <w:r w:rsidR="0042199A">
        <w:rPr>
          <w:rFonts w:ascii="Arial" w:hAnsi="Arial" w:cs="Arial"/>
          <w:sz w:val="24"/>
          <w:szCs w:val="24"/>
        </w:rPr>
        <w:t>In the particulars of claim the plaintiff sketches a situation where certain individuals referred to as the ‘</w:t>
      </w:r>
      <w:r w:rsidR="0042199A" w:rsidRPr="004A5B56">
        <w:rPr>
          <w:rFonts w:ascii="Arial" w:hAnsi="Arial" w:cs="Arial"/>
          <w:i/>
          <w:sz w:val="24"/>
          <w:szCs w:val="24"/>
        </w:rPr>
        <w:t>dramatis personae</w:t>
      </w:r>
      <w:r w:rsidR="0042199A">
        <w:rPr>
          <w:rFonts w:ascii="Arial" w:hAnsi="Arial" w:cs="Arial"/>
          <w:sz w:val="24"/>
          <w:szCs w:val="24"/>
        </w:rPr>
        <w:t>’ in conjunction with third party entities perpetrated fraud on a grand scale. The investigations into the said fraudulent schemes led to the uncovering of approximately N$ 247 545 004 which was misappropriated from the SME Bank. As a result of the theft the SME Bank was forced into liquidation.</w:t>
      </w:r>
    </w:p>
    <w:p w:rsidR="0042199A" w:rsidRDefault="0042199A" w:rsidP="0042199A">
      <w:pPr>
        <w:spacing w:after="0" w:line="360" w:lineRule="auto"/>
        <w:jc w:val="both"/>
        <w:rPr>
          <w:rFonts w:ascii="Arial" w:hAnsi="Arial" w:cs="Arial"/>
          <w:sz w:val="24"/>
          <w:szCs w:val="24"/>
        </w:rPr>
      </w:pPr>
    </w:p>
    <w:p w:rsidR="0042199A" w:rsidRPr="00C331CB" w:rsidRDefault="0042199A" w:rsidP="0042199A">
      <w:pPr>
        <w:spacing w:after="0" w:line="360" w:lineRule="auto"/>
        <w:jc w:val="both"/>
        <w:rPr>
          <w:rFonts w:ascii="Arial" w:hAnsi="Arial" w:cs="Arial"/>
          <w:sz w:val="24"/>
          <w:szCs w:val="24"/>
        </w:rPr>
      </w:pPr>
      <w:r w:rsidRPr="00C331CB">
        <w:rPr>
          <w:rFonts w:ascii="Arial" w:hAnsi="Arial" w:cs="Arial"/>
          <w:sz w:val="24"/>
          <w:szCs w:val="24"/>
        </w:rPr>
        <w:t xml:space="preserve">On 2 February 2015 </w:t>
      </w:r>
      <w:r>
        <w:rPr>
          <w:rFonts w:ascii="Arial" w:hAnsi="Arial" w:cs="Arial"/>
          <w:sz w:val="24"/>
          <w:szCs w:val="24"/>
        </w:rPr>
        <w:t>the</w:t>
      </w:r>
      <w:r w:rsidRPr="00C331CB">
        <w:rPr>
          <w:rFonts w:ascii="Arial" w:hAnsi="Arial" w:cs="Arial"/>
          <w:sz w:val="24"/>
          <w:szCs w:val="24"/>
        </w:rPr>
        <w:t xml:space="preserve"> SME Bank and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entered into a </w:t>
      </w:r>
      <w:r w:rsidRPr="00C04129">
        <w:rPr>
          <w:rFonts w:ascii="Arial" w:hAnsi="Arial" w:cs="Arial"/>
          <w:sz w:val="24"/>
          <w:szCs w:val="24"/>
        </w:rPr>
        <w:t>discretionary a</w:t>
      </w:r>
      <w:r>
        <w:rPr>
          <w:rFonts w:ascii="Arial" w:hAnsi="Arial" w:cs="Arial"/>
          <w:sz w:val="24"/>
          <w:szCs w:val="24"/>
        </w:rPr>
        <w:t xml:space="preserve">greement </w:t>
      </w:r>
      <w:r w:rsidRPr="00C331CB">
        <w:rPr>
          <w:rFonts w:ascii="Arial" w:hAnsi="Arial" w:cs="Arial"/>
          <w:sz w:val="24"/>
          <w:szCs w:val="24"/>
        </w:rPr>
        <w:t xml:space="preserve">wherein SME Bank appointed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to manage investments on its behalf and to receive fund</w:t>
      </w:r>
      <w:r>
        <w:rPr>
          <w:rFonts w:ascii="Arial" w:hAnsi="Arial" w:cs="Arial"/>
          <w:sz w:val="24"/>
          <w:szCs w:val="24"/>
        </w:rPr>
        <w:t>s</w:t>
      </w:r>
      <w:r w:rsidRPr="00C331CB">
        <w:rPr>
          <w:rFonts w:ascii="Arial" w:hAnsi="Arial" w:cs="Arial"/>
          <w:sz w:val="24"/>
          <w:szCs w:val="24"/>
        </w:rPr>
        <w:t xml:space="preserve"> </w:t>
      </w:r>
      <w:r>
        <w:rPr>
          <w:rFonts w:ascii="Arial" w:hAnsi="Arial" w:cs="Arial"/>
          <w:sz w:val="24"/>
          <w:szCs w:val="24"/>
        </w:rPr>
        <w:t>for purposes of the investment.</w:t>
      </w:r>
    </w:p>
    <w:p w:rsidR="0042199A"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sidRPr="00C331CB">
        <w:rPr>
          <w:rFonts w:ascii="Arial" w:hAnsi="Arial" w:cs="Arial"/>
          <w:sz w:val="24"/>
          <w:szCs w:val="24"/>
        </w:rPr>
        <w:t>In terms of the</w:t>
      </w:r>
      <w:r>
        <w:rPr>
          <w:rFonts w:ascii="Arial" w:hAnsi="Arial" w:cs="Arial"/>
          <w:sz w:val="24"/>
          <w:szCs w:val="24"/>
        </w:rPr>
        <w:t xml:space="preserve"> discretionary agreement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acknowledged that </w:t>
      </w:r>
      <w:r>
        <w:rPr>
          <w:rFonts w:ascii="Arial" w:hAnsi="Arial" w:cs="Arial"/>
          <w:sz w:val="24"/>
          <w:szCs w:val="24"/>
        </w:rPr>
        <w:t xml:space="preserve">the </w:t>
      </w:r>
      <w:r w:rsidRPr="00C331CB">
        <w:rPr>
          <w:rFonts w:ascii="Arial" w:hAnsi="Arial" w:cs="Arial"/>
          <w:sz w:val="24"/>
          <w:szCs w:val="24"/>
        </w:rPr>
        <w:t>SME Bank invested the sum of N</w:t>
      </w:r>
      <w:r>
        <w:rPr>
          <w:rFonts w:ascii="Arial" w:hAnsi="Arial" w:cs="Arial"/>
          <w:sz w:val="24"/>
          <w:szCs w:val="24"/>
        </w:rPr>
        <w:t xml:space="preserve">$ 10 000 </w:t>
      </w:r>
      <w:r w:rsidRPr="00C331CB">
        <w:rPr>
          <w:rFonts w:ascii="Arial" w:hAnsi="Arial" w:cs="Arial"/>
          <w:sz w:val="24"/>
          <w:szCs w:val="24"/>
        </w:rPr>
        <w:t>000 on 24 March 2015</w:t>
      </w:r>
      <w:r>
        <w:rPr>
          <w:rFonts w:ascii="Arial" w:hAnsi="Arial" w:cs="Arial"/>
          <w:sz w:val="24"/>
          <w:szCs w:val="24"/>
        </w:rPr>
        <w:t xml:space="preserve"> in respect of which the funds had</w:t>
      </w:r>
      <w:r w:rsidRPr="00C331CB">
        <w:rPr>
          <w:rFonts w:ascii="Arial" w:hAnsi="Arial" w:cs="Arial"/>
          <w:sz w:val="24"/>
          <w:szCs w:val="24"/>
        </w:rPr>
        <w:t xml:space="preserve"> to be invested by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with a guaranteed return on </w:t>
      </w:r>
      <w:r>
        <w:rPr>
          <w:rFonts w:ascii="Arial" w:hAnsi="Arial" w:cs="Arial"/>
          <w:sz w:val="24"/>
          <w:szCs w:val="24"/>
        </w:rPr>
        <w:t xml:space="preserve">the said </w:t>
      </w:r>
      <w:r w:rsidRPr="00C331CB">
        <w:rPr>
          <w:rFonts w:ascii="Arial" w:hAnsi="Arial" w:cs="Arial"/>
          <w:sz w:val="24"/>
          <w:szCs w:val="24"/>
        </w:rPr>
        <w:t xml:space="preserve">investment to </w:t>
      </w:r>
      <w:r>
        <w:rPr>
          <w:rFonts w:ascii="Arial" w:hAnsi="Arial" w:cs="Arial"/>
          <w:sz w:val="24"/>
          <w:szCs w:val="24"/>
        </w:rPr>
        <w:t xml:space="preserve">the </w:t>
      </w:r>
      <w:r w:rsidRPr="00C331CB">
        <w:rPr>
          <w:rFonts w:ascii="Arial" w:hAnsi="Arial" w:cs="Arial"/>
          <w:sz w:val="24"/>
          <w:szCs w:val="24"/>
        </w:rPr>
        <w:t>SME Bank at the rate of 13% per annum.</w:t>
      </w:r>
      <w:r>
        <w:rPr>
          <w:rFonts w:ascii="Arial" w:hAnsi="Arial" w:cs="Arial"/>
          <w:sz w:val="24"/>
          <w:szCs w:val="24"/>
        </w:rPr>
        <w:t xml:space="preserve"> </w:t>
      </w:r>
      <w:r w:rsidRPr="00C331CB">
        <w:rPr>
          <w:rFonts w:ascii="Arial" w:hAnsi="Arial" w:cs="Arial"/>
          <w:sz w:val="24"/>
          <w:szCs w:val="24"/>
        </w:rPr>
        <w:t xml:space="preserve">SME Bank’s Manager: Treasury Back Office </w:t>
      </w:r>
      <w:r>
        <w:rPr>
          <w:rFonts w:ascii="Arial" w:hAnsi="Arial" w:cs="Arial"/>
          <w:sz w:val="24"/>
          <w:szCs w:val="24"/>
        </w:rPr>
        <w:t xml:space="preserve">was instructed to transfer the amount of N$ 10 000 </w:t>
      </w:r>
      <w:r w:rsidRPr="00C331CB">
        <w:rPr>
          <w:rFonts w:ascii="Arial" w:hAnsi="Arial" w:cs="Arial"/>
          <w:sz w:val="24"/>
          <w:szCs w:val="24"/>
        </w:rPr>
        <w:t xml:space="preserve">000 from </w:t>
      </w:r>
      <w:r>
        <w:rPr>
          <w:rFonts w:ascii="Arial" w:hAnsi="Arial" w:cs="Arial"/>
          <w:sz w:val="24"/>
          <w:szCs w:val="24"/>
        </w:rPr>
        <w:t xml:space="preserve">the </w:t>
      </w:r>
      <w:r w:rsidRPr="00C331CB">
        <w:rPr>
          <w:rFonts w:ascii="Arial" w:hAnsi="Arial" w:cs="Arial"/>
          <w:sz w:val="24"/>
          <w:szCs w:val="24"/>
        </w:rPr>
        <w:t xml:space="preserve">SME Bank account at the Bank of Namibia to </w:t>
      </w:r>
      <w:proofErr w:type="spellStart"/>
      <w:r w:rsidRPr="00C331CB">
        <w:rPr>
          <w:rFonts w:ascii="Arial" w:hAnsi="Arial" w:cs="Arial"/>
          <w:sz w:val="24"/>
          <w:szCs w:val="24"/>
        </w:rPr>
        <w:t>Tulive’s</w:t>
      </w:r>
      <w:proofErr w:type="spellEnd"/>
      <w:r w:rsidRPr="00C331CB">
        <w:rPr>
          <w:rFonts w:ascii="Arial" w:hAnsi="Arial" w:cs="Arial"/>
          <w:sz w:val="24"/>
          <w:szCs w:val="24"/>
        </w:rPr>
        <w:t xml:space="preserve"> bank account held at Nedbank Namibia Limited.</w:t>
      </w:r>
      <w:r>
        <w:rPr>
          <w:rFonts w:ascii="Arial" w:hAnsi="Arial" w:cs="Arial"/>
          <w:sz w:val="24"/>
          <w:szCs w:val="24"/>
        </w:rPr>
        <w:t xml:space="preserve"> </w:t>
      </w:r>
      <w:r w:rsidRPr="00C331CB">
        <w:rPr>
          <w:rFonts w:ascii="Arial" w:hAnsi="Arial" w:cs="Arial"/>
          <w:sz w:val="24"/>
          <w:szCs w:val="24"/>
        </w:rPr>
        <w:t xml:space="preserve">Once the funds were received in the bank account of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the defendants dealt with the money as if</w:t>
      </w:r>
      <w:r>
        <w:rPr>
          <w:rFonts w:ascii="Arial" w:hAnsi="Arial" w:cs="Arial"/>
          <w:sz w:val="24"/>
          <w:szCs w:val="24"/>
        </w:rPr>
        <w:t xml:space="preserve"> </w:t>
      </w:r>
      <w:r w:rsidRPr="00C04129">
        <w:rPr>
          <w:rFonts w:ascii="Arial" w:hAnsi="Arial" w:cs="Arial"/>
          <w:sz w:val="24"/>
          <w:szCs w:val="24"/>
        </w:rPr>
        <w:t xml:space="preserve">it were </w:t>
      </w:r>
      <w:r w:rsidRPr="00C331CB">
        <w:rPr>
          <w:rFonts w:ascii="Arial" w:hAnsi="Arial" w:cs="Arial"/>
          <w:sz w:val="24"/>
          <w:szCs w:val="24"/>
        </w:rPr>
        <w:t>their own</w:t>
      </w:r>
      <w:r>
        <w:rPr>
          <w:rFonts w:ascii="Arial" w:hAnsi="Arial" w:cs="Arial"/>
          <w:sz w:val="24"/>
          <w:szCs w:val="24"/>
        </w:rPr>
        <w:t xml:space="preserve">. The first defendant first defendant transferred money </w:t>
      </w:r>
      <w:r w:rsidRPr="00C04129">
        <w:rPr>
          <w:rFonts w:ascii="Arial" w:hAnsi="Arial" w:cs="Arial"/>
          <w:sz w:val="24"/>
          <w:szCs w:val="24"/>
        </w:rPr>
        <w:t>back to the SME Bank during the period 2015 to 2017 consisting of three different payments.</w:t>
      </w:r>
      <w:r>
        <w:rPr>
          <w:rFonts w:ascii="Arial" w:hAnsi="Arial" w:cs="Arial"/>
          <w:sz w:val="24"/>
          <w:szCs w:val="24"/>
        </w:rPr>
        <w:t xml:space="preserve"> </w:t>
      </w:r>
      <w:r w:rsidRPr="00C04129">
        <w:rPr>
          <w:rFonts w:ascii="Arial" w:hAnsi="Arial" w:cs="Arial"/>
          <w:sz w:val="24"/>
          <w:szCs w:val="24"/>
        </w:rPr>
        <w:t xml:space="preserve">The last </w:t>
      </w:r>
      <w:r>
        <w:rPr>
          <w:rFonts w:ascii="Arial" w:hAnsi="Arial" w:cs="Arial"/>
          <w:sz w:val="24"/>
          <w:szCs w:val="24"/>
        </w:rPr>
        <w:t xml:space="preserve">payment </w:t>
      </w:r>
      <w:r w:rsidRPr="00C04129">
        <w:rPr>
          <w:rFonts w:ascii="Arial" w:hAnsi="Arial" w:cs="Arial"/>
          <w:sz w:val="24"/>
          <w:szCs w:val="24"/>
        </w:rPr>
        <w:t>was made in June 2017</w:t>
      </w:r>
      <w:r>
        <w:rPr>
          <w:rFonts w:ascii="Arial" w:hAnsi="Arial" w:cs="Arial"/>
          <w:sz w:val="24"/>
          <w:szCs w:val="24"/>
        </w:rPr>
        <w:t xml:space="preserve"> and since then the first defendant’s account became dormant.</w:t>
      </w:r>
    </w:p>
    <w:p w:rsidR="0042199A" w:rsidRDefault="0042199A" w:rsidP="0042199A">
      <w:pPr>
        <w:spacing w:after="0" w:line="360" w:lineRule="auto"/>
        <w:jc w:val="both"/>
      </w:pPr>
    </w:p>
    <w:p w:rsidR="0042199A" w:rsidRDefault="0042199A" w:rsidP="0042199A">
      <w:pPr>
        <w:spacing w:after="0" w:line="360" w:lineRule="auto"/>
        <w:jc w:val="both"/>
        <w:rPr>
          <w:rFonts w:ascii="Arial" w:hAnsi="Arial" w:cs="Arial"/>
          <w:sz w:val="24"/>
          <w:szCs w:val="24"/>
        </w:rPr>
      </w:pPr>
      <w:r w:rsidRPr="00C331CB">
        <w:rPr>
          <w:rFonts w:ascii="Arial" w:hAnsi="Arial" w:cs="Arial"/>
          <w:sz w:val="24"/>
          <w:szCs w:val="24"/>
        </w:rPr>
        <w:lastRenderedPageBreak/>
        <w:t xml:space="preserve">The plaintiffs issued summons against the </w:t>
      </w:r>
      <w:r>
        <w:rPr>
          <w:rFonts w:ascii="Arial" w:hAnsi="Arial" w:cs="Arial"/>
          <w:sz w:val="24"/>
          <w:szCs w:val="24"/>
        </w:rPr>
        <w:t xml:space="preserve">defendants for payment of N$ 13 138 </w:t>
      </w:r>
      <w:r w:rsidRPr="00C331CB">
        <w:rPr>
          <w:rFonts w:ascii="Arial" w:hAnsi="Arial" w:cs="Arial"/>
          <w:sz w:val="24"/>
          <w:szCs w:val="24"/>
        </w:rPr>
        <w:t>906.80 plus interest and costs</w:t>
      </w:r>
      <w:r>
        <w:rPr>
          <w:rFonts w:ascii="Arial" w:hAnsi="Arial" w:cs="Arial"/>
          <w:sz w:val="24"/>
          <w:szCs w:val="24"/>
        </w:rPr>
        <w:t xml:space="preserve">. </w:t>
      </w:r>
      <w:r w:rsidRPr="00C331CB">
        <w:rPr>
          <w:rFonts w:ascii="Arial" w:hAnsi="Arial" w:cs="Arial"/>
          <w:sz w:val="24"/>
          <w:szCs w:val="24"/>
        </w:rPr>
        <w:t>The claims as set out in the particulars of claim consist of the following:</w:t>
      </w:r>
      <w:r>
        <w:rPr>
          <w:rFonts w:ascii="Arial" w:hAnsi="Arial" w:cs="Arial"/>
          <w:sz w:val="24"/>
          <w:szCs w:val="24"/>
        </w:rPr>
        <w:t xml:space="preserve"> (a) m</w:t>
      </w:r>
      <w:r w:rsidRPr="00F57993">
        <w:rPr>
          <w:rFonts w:ascii="Arial" w:hAnsi="Arial" w:cs="Arial"/>
          <w:sz w:val="24"/>
          <w:szCs w:val="24"/>
        </w:rPr>
        <w:t>ain claim is based on s 31 the Insolvency Act</w:t>
      </w:r>
      <w:r>
        <w:rPr>
          <w:rFonts w:ascii="Arial" w:hAnsi="Arial" w:cs="Arial"/>
          <w:sz w:val="24"/>
          <w:szCs w:val="24"/>
        </w:rPr>
        <w:t>; (b) t</w:t>
      </w:r>
      <w:r w:rsidRPr="00F57993">
        <w:rPr>
          <w:rFonts w:ascii="Arial" w:hAnsi="Arial" w:cs="Arial"/>
          <w:sz w:val="24"/>
          <w:szCs w:val="24"/>
        </w:rPr>
        <w:t>he first alternative claim is for specific performance of the discretionary agreement, including the claim based on a guaranteed return on i</w:t>
      </w:r>
      <w:r>
        <w:rPr>
          <w:rFonts w:ascii="Arial" w:hAnsi="Arial" w:cs="Arial"/>
          <w:sz w:val="24"/>
          <w:szCs w:val="24"/>
        </w:rPr>
        <w:t>nvestment of the N$ 10 000 000; (c) t</w:t>
      </w:r>
      <w:r w:rsidRPr="00F57993">
        <w:rPr>
          <w:rFonts w:ascii="Arial" w:hAnsi="Arial" w:cs="Arial"/>
          <w:sz w:val="24"/>
          <w:szCs w:val="24"/>
        </w:rPr>
        <w:t>he second alternative claim is based on the provisions of s 39 of the Banking Institutions Act</w:t>
      </w:r>
      <w:r>
        <w:rPr>
          <w:rFonts w:ascii="Arial" w:hAnsi="Arial" w:cs="Arial"/>
          <w:sz w:val="24"/>
          <w:szCs w:val="24"/>
        </w:rPr>
        <w:t>; and (d) t</w:t>
      </w:r>
      <w:r w:rsidRPr="00F57993">
        <w:rPr>
          <w:rFonts w:ascii="Arial" w:hAnsi="Arial" w:cs="Arial"/>
          <w:sz w:val="24"/>
          <w:szCs w:val="24"/>
        </w:rPr>
        <w:t>he second main claim is against the second defendant only for travel and accommodation expenses unlawfully incurred between the first defendant and the SME Bank.</w:t>
      </w:r>
    </w:p>
    <w:p w:rsidR="0042199A" w:rsidRPr="00F57993"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Pr>
          <w:rFonts w:ascii="Arial" w:hAnsi="Arial" w:cs="Arial"/>
          <w:sz w:val="24"/>
          <w:szCs w:val="24"/>
        </w:rPr>
        <w:t xml:space="preserve">In the present matter the plaintiff applies for a </w:t>
      </w:r>
      <w:r w:rsidRPr="00C04129">
        <w:rPr>
          <w:rFonts w:ascii="Arial" w:hAnsi="Arial" w:cs="Arial"/>
          <w:sz w:val="24"/>
          <w:szCs w:val="24"/>
        </w:rPr>
        <w:t xml:space="preserve">summary judgment application </w:t>
      </w:r>
      <w:r>
        <w:rPr>
          <w:rFonts w:ascii="Arial" w:hAnsi="Arial" w:cs="Arial"/>
          <w:sz w:val="24"/>
          <w:szCs w:val="24"/>
        </w:rPr>
        <w:t xml:space="preserve">and relies </w:t>
      </w:r>
      <w:r w:rsidRPr="00C04129">
        <w:rPr>
          <w:rFonts w:ascii="Arial" w:hAnsi="Arial" w:cs="Arial"/>
          <w:sz w:val="24"/>
          <w:szCs w:val="24"/>
        </w:rPr>
        <w:t>on the first alternative claim for specific performance</w:t>
      </w:r>
      <w:r>
        <w:rPr>
          <w:rFonts w:ascii="Arial" w:hAnsi="Arial" w:cs="Arial"/>
          <w:sz w:val="24"/>
          <w:szCs w:val="24"/>
        </w:rPr>
        <w:t xml:space="preserve"> and does not proceed on the second main claim against the second defendant. The first defendant opposed the application for summary judgement and raised two defence in opposition to the summary judgment, </w:t>
      </w:r>
      <w:proofErr w:type="spellStart"/>
      <w:r>
        <w:rPr>
          <w:rFonts w:ascii="Arial" w:hAnsi="Arial" w:cs="Arial"/>
          <w:sz w:val="24"/>
          <w:szCs w:val="24"/>
        </w:rPr>
        <w:t>ie</w:t>
      </w:r>
      <w:proofErr w:type="spellEnd"/>
      <w:r>
        <w:rPr>
          <w:rFonts w:ascii="Arial" w:hAnsi="Arial" w:cs="Arial"/>
          <w:sz w:val="24"/>
          <w:szCs w:val="24"/>
        </w:rPr>
        <w:t xml:space="preserve"> firstly that the affidavit by Ms Pearson verifying the facts and the cause of action is contradictory and mutually exclusive and secondly, the agreement reached between the parties transgresses s 39 of the Banking Institutions Act, therefore the SME Bank cannot enforce it.</w:t>
      </w:r>
    </w:p>
    <w:p w:rsidR="0042199A" w:rsidRPr="00653A3A"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sidRPr="00653A3A">
        <w:rPr>
          <w:rFonts w:ascii="Arial" w:hAnsi="Arial" w:cs="Arial"/>
          <w:sz w:val="24"/>
          <w:szCs w:val="24"/>
        </w:rPr>
        <w:t>The first defendant did not file a defence on the merits of the matter but relies on an exception to resist the</w:t>
      </w:r>
      <w:r>
        <w:rPr>
          <w:rFonts w:ascii="Arial" w:hAnsi="Arial" w:cs="Arial"/>
          <w:sz w:val="24"/>
          <w:szCs w:val="24"/>
        </w:rPr>
        <w:t xml:space="preserve"> summary judgment application.</w:t>
      </w:r>
    </w:p>
    <w:p w:rsidR="0042199A"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sidRPr="009318D7">
        <w:rPr>
          <w:rFonts w:ascii="Arial" w:hAnsi="Arial" w:cs="Arial"/>
          <w:i/>
          <w:sz w:val="24"/>
          <w:szCs w:val="24"/>
        </w:rPr>
        <w:t>Held</w:t>
      </w:r>
      <w:r>
        <w:rPr>
          <w:rFonts w:ascii="Arial" w:hAnsi="Arial" w:cs="Arial"/>
          <w:sz w:val="24"/>
          <w:szCs w:val="24"/>
        </w:rPr>
        <w:t xml:space="preserve"> that as the amount due and payable is undisputed the matter of </w:t>
      </w:r>
      <w:proofErr w:type="spellStart"/>
      <w:r w:rsidRPr="00EB29A8">
        <w:rPr>
          <w:rFonts w:ascii="Arial" w:hAnsi="Arial" w:cs="Arial"/>
          <w:i/>
          <w:sz w:val="24"/>
          <w:szCs w:val="24"/>
        </w:rPr>
        <w:t>Kelnic</w:t>
      </w:r>
      <w:proofErr w:type="spellEnd"/>
      <w:r w:rsidRPr="00EB29A8">
        <w:rPr>
          <w:rFonts w:ascii="Arial" w:hAnsi="Arial" w:cs="Arial"/>
          <w:i/>
          <w:sz w:val="24"/>
          <w:szCs w:val="24"/>
        </w:rPr>
        <w:t xml:space="preserve"> Construction (Pty) Ltd v </w:t>
      </w:r>
      <w:proofErr w:type="spellStart"/>
      <w:r w:rsidRPr="00EB29A8">
        <w:rPr>
          <w:rFonts w:ascii="Arial" w:hAnsi="Arial" w:cs="Arial"/>
          <w:i/>
          <w:sz w:val="24"/>
          <w:szCs w:val="24"/>
        </w:rPr>
        <w:t>Cadilu</w:t>
      </w:r>
      <w:proofErr w:type="spellEnd"/>
      <w:r w:rsidRPr="00EB29A8">
        <w:rPr>
          <w:rFonts w:ascii="Arial" w:hAnsi="Arial" w:cs="Arial"/>
          <w:i/>
          <w:sz w:val="24"/>
          <w:szCs w:val="24"/>
        </w:rPr>
        <w:t xml:space="preserve"> Fishing (Pty) Ltd</w:t>
      </w:r>
      <w:r>
        <w:rPr>
          <w:rFonts w:ascii="Arial" w:hAnsi="Arial" w:cs="Arial"/>
          <w:i/>
          <w:sz w:val="24"/>
          <w:szCs w:val="24"/>
        </w:rPr>
        <w:t>,</w:t>
      </w:r>
      <w:r>
        <w:rPr>
          <w:rFonts w:ascii="Arial" w:hAnsi="Arial" w:cs="Arial"/>
          <w:sz w:val="24"/>
          <w:szCs w:val="24"/>
        </w:rPr>
        <w:t xml:space="preserve"> wherein the Supreme Court held that in light of the admission of liability in respect of the amount the uncertainty created by verifying mutually destructive causes of action falls away, is applicable to the facts before court.</w:t>
      </w:r>
    </w:p>
    <w:p w:rsidR="0042199A"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sidRPr="009318D7">
        <w:rPr>
          <w:rFonts w:ascii="Arial" w:hAnsi="Arial" w:cs="Arial"/>
          <w:i/>
          <w:sz w:val="24"/>
          <w:szCs w:val="24"/>
        </w:rPr>
        <w:t>Held</w:t>
      </w:r>
      <w:r>
        <w:rPr>
          <w:rFonts w:ascii="Arial" w:hAnsi="Arial" w:cs="Arial"/>
          <w:sz w:val="24"/>
          <w:szCs w:val="24"/>
        </w:rPr>
        <w:t xml:space="preserve"> that s 39(1) of the Act does not in itself expressly provide that a transaction in breach thereof will be null and void. A contravention of s 39(1) and (2) constitutes an offence in terms of s 73(1) of the Act but upon proper construction of the Act in respect of s 39 the legislature did not intend that a failure to comply therewith would render a particular transaction null and void but rather that the legislature was content with the criminal penalties and sanctions imposed on whomever contravened s 39(1) and (2).</w:t>
      </w:r>
    </w:p>
    <w:p w:rsidR="0042199A" w:rsidRDefault="0042199A" w:rsidP="0042199A">
      <w:pPr>
        <w:spacing w:after="0" w:line="360" w:lineRule="auto"/>
        <w:jc w:val="both"/>
        <w:rPr>
          <w:rFonts w:ascii="Arial" w:hAnsi="Arial" w:cs="Arial"/>
          <w:sz w:val="24"/>
          <w:szCs w:val="24"/>
        </w:rPr>
      </w:pPr>
    </w:p>
    <w:p w:rsidR="0042199A" w:rsidRDefault="0042199A" w:rsidP="0042199A">
      <w:pPr>
        <w:spacing w:after="0" w:line="360" w:lineRule="auto"/>
        <w:jc w:val="both"/>
        <w:rPr>
          <w:rFonts w:ascii="Arial" w:hAnsi="Arial" w:cs="Arial"/>
          <w:sz w:val="24"/>
          <w:szCs w:val="24"/>
        </w:rPr>
      </w:pPr>
      <w:r w:rsidRPr="009318D7">
        <w:rPr>
          <w:rFonts w:ascii="Arial" w:hAnsi="Arial" w:cs="Arial"/>
          <w:i/>
          <w:sz w:val="24"/>
          <w:szCs w:val="24"/>
        </w:rPr>
        <w:t>Held</w:t>
      </w:r>
      <w:r>
        <w:rPr>
          <w:rFonts w:ascii="Arial" w:hAnsi="Arial" w:cs="Arial"/>
          <w:sz w:val="24"/>
          <w:szCs w:val="24"/>
        </w:rPr>
        <w:t xml:space="preserve"> that as the agreement is valid, the claim for unjustified enrichment falls away and so does the exception that the first defendant raised as a defence to resist the application for summary judgment.</w:t>
      </w:r>
    </w:p>
    <w:p w:rsidR="0042199A" w:rsidRDefault="0042199A" w:rsidP="0042199A">
      <w:pPr>
        <w:spacing w:after="0" w:line="360" w:lineRule="auto"/>
        <w:jc w:val="both"/>
        <w:rPr>
          <w:rFonts w:ascii="Arial" w:hAnsi="Arial" w:cs="Arial"/>
          <w:sz w:val="24"/>
          <w:szCs w:val="24"/>
        </w:rPr>
      </w:pPr>
    </w:p>
    <w:p w:rsidR="00A15AEA" w:rsidRPr="00EC6A3D" w:rsidRDefault="0042199A" w:rsidP="00365F2C">
      <w:pPr>
        <w:spacing w:after="0" w:line="360" w:lineRule="auto"/>
        <w:jc w:val="both"/>
        <w:rPr>
          <w:rFonts w:ascii="Arial" w:hAnsi="Arial" w:cs="Arial"/>
          <w:sz w:val="24"/>
          <w:szCs w:val="24"/>
          <w:shd w:val="clear" w:color="auto" w:fill="FFFFFF"/>
        </w:rPr>
      </w:pPr>
      <w:r w:rsidRPr="009318D7">
        <w:rPr>
          <w:rFonts w:ascii="Arial" w:hAnsi="Arial" w:cs="Arial"/>
          <w:i/>
          <w:sz w:val="24"/>
          <w:szCs w:val="24"/>
        </w:rPr>
        <w:t>Held</w:t>
      </w:r>
      <w:r>
        <w:rPr>
          <w:rFonts w:ascii="Arial" w:hAnsi="Arial" w:cs="Arial"/>
          <w:sz w:val="24"/>
          <w:szCs w:val="24"/>
        </w:rPr>
        <w:t xml:space="preserve"> that </w:t>
      </w:r>
      <w:r w:rsidRPr="000C5AB8">
        <w:rPr>
          <w:rFonts w:ascii="Arial" w:hAnsi="Arial" w:cs="Arial"/>
          <w:sz w:val="24"/>
          <w:szCs w:val="24"/>
          <w:shd w:val="clear" w:color="auto" w:fill="FFFFFF"/>
        </w:rPr>
        <w:t xml:space="preserve">the </w:t>
      </w:r>
      <w:r w:rsidRPr="000C5AB8">
        <w:rPr>
          <w:rFonts w:ascii="Arial" w:hAnsi="Arial" w:cs="Arial"/>
          <w:i/>
          <w:sz w:val="24"/>
          <w:szCs w:val="24"/>
          <w:shd w:val="clear" w:color="auto" w:fill="FFFFFF"/>
        </w:rPr>
        <w:t xml:space="preserve">par </w:t>
      </w:r>
      <w:proofErr w:type="spellStart"/>
      <w:r w:rsidRPr="000C5AB8">
        <w:rPr>
          <w:rFonts w:ascii="Arial" w:hAnsi="Arial" w:cs="Arial"/>
          <w:i/>
          <w:sz w:val="24"/>
          <w:szCs w:val="24"/>
          <w:shd w:val="clear" w:color="auto" w:fill="FFFFFF"/>
        </w:rPr>
        <w:t>delictum</w:t>
      </w:r>
      <w:proofErr w:type="spellEnd"/>
      <w:r w:rsidRPr="000C5AB8">
        <w:rPr>
          <w:rFonts w:ascii="Arial" w:hAnsi="Arial" w:cs="Arial"/>
          <w:sz w:val="24"/>
          <w:szCs w:val="24"/>
          <w:shd w:val="clear" w:color="auto" w:fill="FFFFFF"/>
        </w:rPr>
        <w:t xml:space="preserve"> will only be applicable as far as it r</w:t>
      </w:r>
      <w:r>
        <w:rPr>
          <w:rFonts w:ascii="Arial" w:hAnsi="Arial" w:cs="Arial"/>
          <w:sz w:val="24"/>
          <w:szCs w:val="24"/>
          <w:shd w:val="clear" w:color="auto" w:fill="FFFFFF"/>
        </w:rPr>
        <w:t xml:space="preserve">elates to the public interest. </w:t>
      </w:r>
      <w:r w:rsidRPr="000C5AB8">
        <w:rPr>
          <w:rFonts w:ascii="Arial" w:hAnsi="Arial" w:cs="Arial"/>
          <w:sz w:val="24"/>
          <w:szCs w:val="24"/>
          <w:shd w:val="clear" w:color="auto" w:fill="FFFFFF"/>
        </w:rPr>
        <w:t xml:space="preserve">The </w:t>
      </w:r>
      <w:r w:rsidRPr="000C5AB8">
        <w:rPr>
          <w:rFonts w:ascii="Arial" w:hAnsi="Arial" w:cs="Arial"/>
          <w:i/>
          <w:sz w:val="24"/>
          <w:szCs w:val="24"/>
          <w:shd w:val="clear" w:color="auto" w:fill="FFFFFF"/>
        </w:rPr>
        <w:t xml:space="preserve">par </w:t>
      </w:r>
      <w:proofErr w:type="spellStart"/>
      <w:r w:rsidRPr="000C5AB8">
        <w:rPr>
          <w:rFonts w:ascii="Arial" w:hAnsi="Arial" w:cs="Arial"/>
          <w:i/>
          <w:sz w:val="24"/>
          <w:szCs w:val="24"/>
          <w:shd w:val="clear" w:color="auto" w:fill="FFFFFF"/>
        </w:rPr>
        <w:t>delictum</w:t>
      </w:r>
      <w:proofErr w:type="spellEnd"/>
      <w:r w:rsidRPr="000C5AB8">
        <w:rPr>
          <w:rFonts w:ascii="Arial" w:hAnsi="Arial" w:cs="Arial"/>
          <w:sz w:val="24"/>
          <w:szCs w:val="24"/>
          <w:shd w:val="clear" w:color="auto" w:fill="FFFFFF"/>
        </w:rPr>
        <w:t xml:space="preserve"> rule under the circumstance</w:t>
      </w:r>
      <w:r>
        <w:rPr>
          <w:rFonts w:ascii="Arial" w:hAnsi="Arial" w:cs="Arial"/>
          <w:sz w:val="24"/>
          <w:szCs w:val="24"/>
          <w:shd w:val="clear" w:color="auto" w:fill="FFFFFF"/>
        </w:rPr>
        <w:t>s</w:t>
      </w:r>
      <w:r w:rsidRPr="000C5AB8">
        <w:rPr>
          <w:rFonts w:ascii="Arial" w:hAnsi="Arial" w:cs="Arial"/>
          <w:sz w:val="24"/>
          <w:szCs w:val="24"/>
          <w:shd w:val="clear" w:color="auto" w:fill="FFFFFF"/>
        </w:rPr>
        <w:t xml:space="preserve"> must be </w:t>
      </w:r>
      <w:r>
        <w:rPr>
          <w:rFonts w:ascii="Arial" w:hAnsi="Arial" w:cs="Arial"/>
          <w:sz w:val="24"/>
          <w:szCs w:val="24"/>
          <w:shd w:val="clear" w:color="auto" w:fill="FFFFFF"/>
        </w:rPr>
        <w:t>subordinate</w:t>
      </w:r>
      <w:r w:rsidRPr="000C5AB8">
        <w:rPr>
          <w:rFonts w:ascii="Arial" w:hAnsi="Arial" w:cs="Arial"/>
          <w:sz w:val="24"/>
          <w:szCs w:val="24"/>
          <w:shd w:val="clear" w:color="auto" w:fill="FFFFFF"/>
        </w:rPr>
        <w:t xml:space="preserve"> to the overriding consideration of public policy. To serve the public interest the defendant should repay the amount advance</w:t>
      </w:r>
      <w:r>
        <w:rPr>
          <w:rFonts w:ascii="Arial" w:hAnsi="Arial" w:cs="Arial"/>
          <w:sz w:val="24"/>
          <w:szCs w:val="24"/>
          <w:shd w:val="clear" w:color="auto" w:fill="FFFFFF"/>
        </w:rPr>
        <w:t>d</w:t>
      </w:r>
      <w:r w:rsidRPr="000C5AB8">
        <w:rPr>
          <w:rFonts w:ascii="Arial" w:hAnsi="Arial" w:cs="Arial"/>
          <w:sz w:val="24"/>
          <w:szCs w:val="24"/>
          <w:shd w:val="clear" w:color="auto" w:fill="FFFFFF"/>
        </w:rPr>
        <w:t xml:space="preserve"> to it in spite of contravention of s 39 of the Act.</w:t>
      </w:r>
    </w:p>
    <w:p w:rsidR="00A15AEA" w:rsidRPr="00CE457E" w:rsidRDefault="00A15AEA" w:rsidP="00365F2C">
      <w:pPr>
        <w:spacing w:after="0" w:line="360" w:lineRule="auto"/>
        <w:jc w:val="both"/>
        <w:rPr>
          <w:rFonts w:ascii="Arial" w:hAnsi="Arial" w:cs="Arial"/>
          <w:sz w:val="24"/>
          <w:szCs w:val="24"/>
        </w:rPr>
      </w:pPr>
    </w:p>
    <w:p w:rsidR="00A15AEA" w:rsidRPr="00CE457E" w:rsidRDefault="00A15AEA" w:rsidP="000C5AB8">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A15AEA" w:rsidRPr="00CE457E" w:rsidRDefault="00A15AEA" w:rsidP="000C5AB8">
      <w:pPr>
        <w:tabs>
          <w:tab w:val="left" w:pos="510"/>
          <w:tab w:val="center" w:pos="4680"/>
        </w:tabs>
        <w:spacing w:after="0" w:line="240" w:lineRule="auto"/>
        <w:jc w:val="both"/>
        <w:rPr>
          <w:rFonts w:ascii="Arial" w:eastAsiaTheme="minorEastAsia" w:hAnsi="Arial" w:cs="Arial"/>
          <w:b/>
          <w:bCs/>
          <w:sz w:val="24"/>
          <w:szCs w:val="24"/>
          <w:lang w:eastAsia="en-ZA"/>
        </w:rPr>
      </w:pPr>
    </w:p>
    <w:p w:rsidR="00A15AEA" w:rsidRPr="00B94F98" w:rsidRDefault="00A15AEA" w:rsidP="000C5AB8">
      <w:pPr>
        <w:tabs>
          <w:tab w:val="left" w:pos="510"/>
          <w:tab w:val="center" w:pos="4680"/>
        </w:tabs>
        <w:spacing w:after="0" w:line="240" w:lineRule="auto"/>
        <w:jc w:val="center"/>
        <w:rPr>
          <w:rFonts w:ascii="Arial" w:eastAsiaTheme="minorEastAsia" w:hAnsi="Arial" w:cs="Arial"/>
          <w:b/>
          <w:bCs/>
          <w:sz w:val="24"/>
          <w:szCs w:val="24"/>
          <w:lang w:eastAsia="en-ZA"/>
        </w:rPr>
      </w:pPr>
      <w:r w:rsidRPr="00B94F98">
        <w:rPr>
          <w:rFonts w:ascii="Arial" w:eastAsiaTheme="minorEastAsia" w:hAnsi="Arial" w:cs="Arial"/>
          <w:b/>
          <w:bCs/>
          <w:sz w:val="24"/>
          <w:szCs w:val="24"/>
          <w:lang w:eastAsia="en-ZA"/>
        </w:rPr>
        <w:t>ORDER</w:t>
      </w:r>
    </w:p>
    <w:p w:rsidR="00A15AEA" w:rsidRPr="00CE457E" w:rsidRDefault="00A15AEA" w:rsidP="000C5AB8">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A15AEA" w:rsidRPr="00CE457E" w:rsidRDefault="00A15AEA" w:rsidP="00365F2C">
      <w:pPr>
        <w:spacing w:after="0" w:line="360" w:lineRule="auto"/>
        <w:jc w:val="both"/>
        <w:rPr>
          <w:rFonts w:ascii="Arial" w:hAnsi="Arial" w:cs="Arial"/>
          <w:sz w:val="24"/>
          <w:szCs w:val="24"/>
        </w:rPr>
      </w:pPr>
    </w:p>
    <w:p w:rsidR="00A15AEA" w:rsidRDefault="00A15AEA" w:rsidP="00365F2C">
      <w:pPr>
        <w:spacing w:after="0" w:line="360" w:lineRule="auto"/>
        <w:jc w:val="both"/>
        <w:rPr>
          <w:rFonts w:ascii="Arial" w:hAnsi="Arial" w:cs="Arial"/>
          <w:sz w:val="24"/>
          <w:szCs w:val="24"/>
        </w:rPr>
      </w:pPr>
      <w:r>
        <w:rPr>
          <w:rFonts w:ascii="Arial" w:hAnsi="Arial" w:cs="Arial"/>
          <w:sz w:val="24"/>
          <w:szCs w:val="24"/>
        </w:rPr>
        <w:t>Summary judgment is granted in favour of the Plaintiff in respect of the First De</w:t>
      </w:r>
      <w:r w:rsidR="00B94F98">
        <w:rPr>
          <w:rFonts w:ascii="Arial" w:hAnsi="Arial" w:cs="Arial"/>
          <w:sz w:val="24"/>
          <w:szCs w:val="24"/>
        </w:rPr>
        <w:t>fendant in the following terms:</w:t>
      </w:r>
    </w:p>
    <w:p w:rsidR="00B94F98" w:rsidRDefault="00B94F98" w:rsidP="00365F2C">
      <w:pPr>
        <w:spacing w:after="0" w:line="360" w:lineRule="auto"/>
        <w:jc w:val="both"/>
        <w:rPr>
          <w:rFonts w:ascii="Arial" w:hAnsi="Arial" w:cs="Arial"/>
          <w:sz w:val="24"/>
          <w:szCs w:val="24"/>
        </w:rPr>
      </w:pPr>
    </w:p>
    <w:p w:rsidR="00651626" w:rsidRDefault="00651626" w:rsidP="00365F2C">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Payment in the amount of N$ </w:t>
      </w:r>
      <w:r w:rsidR="00B94F98">
        <w:rPr>
          <w:rFonts w:ascii="Arial" w:hAnsi="Arial" w:cs="Arial"/>
          <w:sz w:val="24"/>
          <w:szCs w:val="24"/>
        </w:rPr>
        <w:t>13</w:t>
      </w:r>
      <w:r w:rsidR="0025471B">
        <w:rPr>
          <w:rFonts w:ascii="Arial" w:hAnsi="Arial" w:cs="Arial"/>
          <w:sz w:val="24"/>
          <w:szCs w:val="24"/>
        </w:rPr>
        <w:t xml:space="preserve"> </w:t>
      </w:r>
      <w:r w:rsidR="00B94F98">
        <w:rPr>
          <w:rFonts w:ascii="Arial" w:hAnsi="Arial" w:cs="Arial"/>
          <w:sz w:val="24"/>
          <w:szCs w:val="24"/>
        </w:rPr>
        <w:t xml:space="preserve">138 </w:t>
      </w:r>
      <w:r w:rsidRPr="00C331CB">
        <w:rPr>
          <w:rFonts w:ascii="Arial" w:hAnsi="Arial" w:cs="Arial"/>
          <w:sz w:val="24"/>
          <w:szCs w:val="24"/>
        </w:rPr>
        <w:t>906.80</w:t>
      </w:r>
      <w:r w:rsidR="00B94F98">
        <w:rPr>
          <w:rFonts w:ascii="Arial" w:hAnsi="Arial" w:cs="Arial"/>
          <w:sz w:val="24"/>
          <w:szCs w:val="24"/>
        </w:rPr>
        <w:t>.</w:t>
      </w:r>
    </w:p>
    <w:p w:rsidR="00651626" w:rsidRPr="00651626" w:rsidRDefault="00B94F98" w:rsidP="00365F2C">
      <w:pPr>
        <w:pStyle w:val="ListParagraph"/>
        <w:numPr>
          <w:ilvl w:val="0"/>
          <w:numId w:val="5"/>
        </w:numPr>
        <w:spacing w:after="0" w:line="360" w:lineRule="auto"/>
        <w:jc w:val="both"/>
        <w:rPr>
          <w:rFonts w:ascii="Arial" w:hAnsi="Arial" w:cs="Arial"/>
          <w:sz w:val="24"/>
          <w:szCs w:val="24"/>
        </w:rPr>
      </w:pPr>
      <w:r>
        <w:rPr>
          <w:rFonts w:ascii="Arial" w:hAnsi="Arial" w:cs="Arial"/>
          <w:color w:val="000000"/>
          <w:sz w:val="24"/>
          <w:szCs w:val="24"/>
          <w:shd w:val="clear" w:color="auto" w:fill="FFFFFF"/>
        </w:rPr>
        <w:t xml:space="preserve">Interest on the amount of </w:t>
      </w:r>
      <w:r w:rsidR="00651626" w:rsidRPr="00651626">
        <w:rPr>
          <w:rFonts w:ascii="Arial" w:hAnsi="Arial" w:cs="Arial"/>
          <w:color w:val="000000"/>
          <w:sz w:val="24"/>
          <w:szCs w:val="24"/>
          <w:shd w:val="clear" w:color="auto" w:fill="FFFFFF"/>
        </w:rPr>
        <w:t>N$</w:t>
      </w:r>
      <w:r>
        <w:rPr>
          <w:rFonts w:ascii="Arial" w:hAnsi="Arial" w:cs="Arial"/>
          <w:color w:val="000000"/>
          <w:sz w:val="24"/>
          <w:szCs w:val="24"/>
          <w:shd w:val="clear" w:color="auto" w:fill="FFFFFF"/>
        </w:rPr>
        <w:t xml:space="preserve"> </w:t>
      </w:r>
      <w:r w:rsidR="00651626" w:rsidRPr="00651626">
        <w:rPr>
          <w:rFonts w:ascii="Arial" w:hAnsi="Arial" w:cs="Arial"/>
          <w:color w:val="000000"/>
          <w:sz w:val="24"/>
          <w:szCs w:val="24"/>
          <w:shd w:val="clear" w:color="auto" w:fill="FFFFFF"/>
        </w:rPr>
        <w:t>13 138 906.80 at</w:t>
      </w:r>
      <w:r>
        <w:rPr>
          <w:rFonts w:ascii="Arial" w:hAnsi="Arial" w:cs="Arial"/>
          <w:color w:val="000000"/>
          <w:sz w:val="24"/>
          <w:szCs w:val="24"/>
          <w:shd w:val="clear" w:color="auto" w:fill="FFFFFF"/>
        </w:rPr>
        <w:t xml:space="preserve"> the rate of 13% per annum from </w:t>
      </w:r>
      <w:r w:rsidR="00651626" w:rsidRPr="00651626">
        <w:rPr>
          <w:rFonts w:ascii="Arial" w:hAnsi="Arial" w:cs="Arial"/>
          <w:color w:val="000000"/>
          <w:sz w:val="24"/>
          <w:szCs w:val="24"/>
          <w:shd w:val="clear" w:color="auto" w:fill="FFFFFF"/>
        </w:rPr>
        <w:t>16 June 2020 until date of final payment in res</w:t>
      </w:r>
      <w:r w:rsidR="00651626">
        <w:rPr>
          <w:rFonts w:ascii="Arial" w:hAnsi="Arial" w:cs="Arial"/>
          <w:color w:val="000000"/>
          <w:sz w:val="24"/>
          <w:szCs w:val="24"/>
          <w:shd w:val="clear" w:color="auto" w:fill="FFFFFF"/>
        </w:rPr>
        <w:t>p</w:t>
      </w:r>
      <w:r w:rsidR="00651626" w:rsidRPr="00651626">
        <w:rPr>
          <w:rFonts w:ascii="Arial" w:hAnsi="Arial" w:cs="Arial"/>
          <w:color w:val="000000"/>
          <w:sz w:val="24"/>
          <w:szCs w:val="24"/>
          <w:shd w:val="clear" w:color="auto" w:fill="FFFFFF"/>
        </w:rPr>
        <w:t>ect of the Plaintiff's claim for specific performance.</w:t>
      </w:r>
    </w:p>
    <w:p w:rsidR="00651626" w:rsidRDefault="00651626" w:rsidP="00B94F98">
      <w:pPr>
        <w:pStyle w:val="ListParagraph"/>
        <w:numPr>
          <w:ilvl w:val="0"/>
          <w:numId w:val="5"/>
        </w:numPr>
        <w:spacing w:after="0" w:line="276" w:lineRule="auto"/>
        <w:jc w:val="both"/>
        <w:rPr>
          <w:rFonts w:ascii="Arial" w:hAnsi="Arial" w:cs="Arial"/>
          <w:sz w:val="24"/>
          <w:szCs w:val="24"/>
        </w:rPr>
      </w:pPr>
      <w:r w:rsidRPr="00246381">
        <w:rPr>
          <w:rFonts w:ascii="Arial" w:hAnsi="Arial" w:cs="Arial"/>
          <w:sz w:val="24"/>
          <w:szCs w:val="24"/>
        </w:rPr>
        <w:t>Cost of one instructing and two instru</w:t>
      </w:r>
      <w:r w:rsidR="00B94F98">
        <w:rPr>
          <w:rFonts w:ascii="Arial" w:hAnsi="Arial" w:cs="Arial"/>
          <w:sz w:val="24"/>
          <w:szCs w:val="24"/>
        </w:rPr>
        <w:t>cted counsel where so employed.</w:t>
      </w:r>
    </w:p>
    <w:p w:rsidR="00B94F98" w:rsidRPr="00246381" w:rsidRDefault="00B94F98" w:rsidP="00B94F98">
      <w:pPr>
        <w:pStyle w:val="ListParagraph"/>
        <w:spacing w:after="0" w:line="276" w:lineRule="auto"/>
        <w:ind w:left="0"/>
        <w:jc w:val="both"/>
        <w:rPr>
          <w:rFonts w:ascii="Arial" w:hAnsi="Arial" w:cs="Arial"/>
          <w:sz w:val="24"/>
          <w:szCs w:val="24"/>
        </w:rPr>
      </w:pPr>
    </w:p>
    <w:p w:rsidR="00A15AEA" w:rsidRPr="00CE457E" w:rsidRDefault="00A15AEA" w:rsidP="000C5AB8">
      <w:pPr>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A15AEA" w:rsidRPr="00CE457E" w:rsidRDefault="00A15AEA" w:rsidP="000C5AB8">
      <w:pPr>
        <w:tabs>
          <w:tab w:val="left" w:pos="510"/>
          <w:tab w:val="center" w:pos="4680"/>
        </w:tabs>
        <w:spacing w:after="0" w:line="240" w:lineRule="auto"/>
        <w:jc w:val="both"/>
        <w:rPr>
          <w:rFonts w:ascii="Arial" w:eastAsiaTheme="minorEastAsia" w:hAnsi="Arial" w:cs="Arial"/>
          <w:b/>
          <w:bCs/>
          <w:sz w:val="24"/>
          <w:szCs w:val="24"/>
          <w:lang w:eastAsia="en-ZA"/>
        </w:rPr>
      </w:pPr>
    </w:p>
    <w:p w:rsidR="00A15AEA" w:rsidRPr="00CE457E" w:rsidRDefault="00A15AEA" w:rsidP="000C5AB8">
      <w:pPr>
        <w:tabs>
          <w:tab w:val="left" w:pos="510"/>
          <w:tab w:val="center" w:pos="4680"/>
        </w:tabs>
        <w:spacing w:after="0" w:line="240" w:lineRule="auto"/>
        <w:jc w:val="center"/>
        <w:rPr>
          <w:rFonts w:ascii="Arial" w:eastAsiaTheme="minorEastAsia" w:hAnsi="Arial" w:cs="Arial"/>
          <w:b/>
          <w:bCs/>
          <w:sz w:val="24"/>
          <w:szCs w:val="24"/>
          <w:lang w:eastAsia="en-ZA"/>
        </w:rPr>
      </w:pPr>
      <w:r w:rsidRPr="00CE457E">
        <w:rPr>
          <w:rFonts w:ascii="Arial" w:eastAsiaTheme="minorEastAsia" w:hAnsi="Arial" w:cs="Arial"/>
          <w:b/>
          <w:bCs/>
          <w:sz w:val="24"/>
          <w:szCs w:val="24"/>
          <w:lang w:eastAsia="en-ZA"/>
        </w:rPr>
        <w:t>JUDGMENT</w:t>
      </w:r>
    </w:p>
    <w:p w:rsidR="00A15AEA" w:rsidRPr="00CE457E" w:rsidRDefault="00A15AEA" w:rsidP="000C5AB8">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A15AEA" w:rsidRDefault="00A15AEA" w:rsidP="00365F2C">
      <w:pPr>
        <w:spacing w:after="0" w:line="360" w:lineRule="auto"/>
        <w:jc w:val="both"/>
        <w:rPr>
          <w:rFonts w:ascii="Arial" w:hAnsi="Arial" w:cs="Arial"/>
          <w:sz w:val="24"/>
          <w:szCs w:val="24"/>
        </w:rPr>
      </w:pPr>
    </w:p>
    <w:p w:rsidR="00A15AEA" w:rsidRDefault="00B94F98" w:rsidP="00365F2C">
      <w:pPr>
        <w:spacing w:after="0" w:line="360" w:lineRule="auto"/>
        <w:jc w:val="both"/>
        <w:rPr>
          <w:rFonts w:ascii="Arial" w:hAnsi="Arial" w:cs="Arial"/>
          <w:sz w:val="24"/>
          <w:szCs w:val="24"/>
        </w:rPr>
      </w:pPr>
      <w:r>
        <w:rPr>
          <w:rFonts w:ascii="Arial" w:hAnsi="Arial" w:cs="Arial"/>
          <w:sz w:val="24"/>
          <w:szCs w:val="24"/>
        </w:rPr>
        <w:t>PRINSLOO J</w:t>
      </w:r>
    </w:p>
    <w:p w:rsidR="00B94F98" w:rsidRDefault="00B94F98" w:rsidP="00365F2C">
      <w:pPr>
        <w:spacing w:after="0" w:line="360" w:lineRule="auto"/>
        <w:jc w:val="both"/>
        <w:rPr>
          <w:rFonts w:ascii="Arial" w:hAnsi="Arial" w:cs="Arial"/>
          <w:sz w:val="24"/>
          <w:szCs w:val="24"/>
        </w:rPr>
      </w:pPr>
    </w:p>
    <w:p w:rsidR="00A15AEA" w:rsidRDefault="00355038" w:rsidP="00365F2C">
      <w:pPr>
        <w:spacing w:after="0" w:line="360" w:lineRule="auto"/>
        <w:jc w:val="both"/>
        <w:rPr>
          <w:rFonts w:ascii="Arial" w:hAnsi="Arial" w:cs="Arial"/>
          <w:sz w:val="24"/>
          <w:szCs w:val="24"/>
          <w:u w:val="single"/>
        </w:rPr>
      </w:pPr>
      <w:r w:rsidRPr="00355038">
        <w:rPr>
          <w:rFonts w:ascii="Arial" w:hAnsi="Arial" w:cs="Arial"/>
          <w:sz w:val="24"/>
          <w:szCs w:val="24"/>
          <w:u w:val="single"/>
        </w:rPr>
        <w:t>The parties</w:t>
      </w:r>
    </w:p>
    <w:p w:rsidR="00B94F98" w:rsidRPr="00355038" w:rsidRDefault="00B94F98" w:rsidP="00365F2C">
      <w:pPr>
        <w:spacing w:after="0" w:line="360" w:lineRule="auto"/>
        <w:jc w:val="both"/>
        <w:rPr>
          <w:rFonts w:ascii="Arial" w:hAnsi="Arial" w:cs="Arial"/>
          <w:sz w:val="24"/>
          <w:szCs w:val="24"/>
          <w:u w:val="single"/>
        </w:rPr>
      </w:pPr>
    </w:p>
    <w:p w:rsidR="00C04372" w:rsidRDefault="008F676D" w:rsidP="00365F2C">
      <w:pPr>
        <w:spacing w:after="0" w:line="360" w:lineRule="auto"/>
        <w:jc w:val="both"/>
        <w:rPr>
          <w:rFonts w:ascii="Arial" w:hAnsi="Arial" w:cs="Arial"/>
          <w:sz w:val="24"/>
          <w:szCs w:val="24"/>
        </w:rPr>
      </w:pPr>
      <w:r w:rsidRPr="00C331CB">
        <w:rPr>
          <w:rFonts w:ascii="Arial" w:hAnsi="Arial" w:cs="Arial"/>
          <w:sz w:val="24"/>
          <w:szCs w:val="24"/>
        </w:rPr>
        <w:t>[</w:t>
      </w:r>
      <w:r w:rsidR="00325430">
        <w:rPr>
          <w:rFonts w:ascii="Arial" w:hAnsi="Arial" w:cs="Arial"/>
          <w:sz w:val="24"/>
          <w:szCs w:val="24"/>
        </w:rPr>
        <w:t>1</w:t>
      </w:r>
      <w:r w:rsidRPr="00C331CB">
        <w:rPr>
          <w:rFonts w:ascii="Arial" w:hAnsi="Arial" w:cs="Arial"/>
          <w:sz w:val="24"/>
          <w:szCs w:val="24"/>
        </w:rPr>
        <w:t>]</w:t>
      </w:r>
      <w:r w:rsidRPr="00C331CB">
        <w:rPr>
          <w:rFonts w:ascii="Arial" w:hAnsi="Arial" w:cs="Arial"/>
          <w:sz w:val="24"/>
          <w:szCs w:val="24"/>
        </w:rPr>
        <w:tab/>
        <w:t>The plaintiffs are the duly appointed final liquidators of the Small and Medium Enterprise Ba</w:t>
      </w:r>
      <w:r w:rsidR="00B94F98">
        <w:rPr>
          <w:rFonts w:ascii="Arial" w:hAnsi="Arial" w:cs="Arial"/>
          <w:sz w:val="24"/>
          <w:szCs w:val="24"/>
        </w:rPr>
        <w:t>nk (‘SME Bank’) in liquidation.</w:t>
      </w:r>
    </w:p>
    <w:p w:rsidR="00B94F98" w:rsidRPr="00C331CB" w:rsidRDefault="00B94F98" w:rsidP="00365F2C">
      <w:pPr>
        <w:spacing w:after="0" w:line="360" w:lineRule="auto"/>
        <w:jc w:val="both"/>
        <w:rPr>
          <w:rFonts w:ascii="Arial" w:hAnsi="Arial" w:cs="Arial"/>
          <w:sz w:val="24"/>
          <w:szCs w:val="24"/>
        </w:rPr>
      </w:pPr>
    </w:p>
    <w:p w:rsidR="00E726EC" w:rsidRDefault="008F676D" w:rsidP="00365F2C">
      <w:pPr>
        <w:spacing w:after="0" w:line="360" w:lineRule="auto"/>
        <w:jc w:val="both"/>
        <w:rPr>
          <w:rFonts w:ascii="Arial" w:hAnsi="Arial" w:cs="Arial"/>
          <w:sz w:val="24"/>
          <w:szCs w:val="24"/>
        </w:rPr>
      </w:pPr>
      <w:r w:rsidRPr="00C331CB">
        <w:rPr>
          <w:rFonts w:ascii="Arial" w:hAnsi="Arial" w:cs="Arial"/>
          <w:sz w:val="24"/>
          <w:szCs w:val="24"/>
        </w:rPr>
        <w:lastRenderedPageBreak/>
        <w:t>[</w:t>
      </w:r>
      <w:r w:rsidR="00325430">
        <w:rPr>
          <w:rFonts w:ascii="Arial" w:hAnsi="Arial" w:cs="Arial"/>
          <w:sz w:val="24"/>
          <w:szCs w:val="24"/>
        </w:rPr>
        <w:t>2</w:t>
      </w:r>
      <w:r w:rsidRPr="00C331CB">
        <w:rPr>
          <w:rFonts w:ascii="Arial" w:hAnsi="Arial" w:cs="Arial"/>
          <w:sz w:val="24"/>
          <w:szCs w:val="24"/>
        </w:rPr>
        <w:t>]</w:t>
      </w:r>
      <w:r w:rsidRPr="00C331CB">
        <w:rPr>
          <w:rFonts w:ascii="Arial" w:hAnsi="Arial" w:cs="Arial"/>
          <w:sz w:val="24"/>
          <w:szCs w:val="24"/>
        </w:rPr>
        <w:tab/>
        <w:t xml:space="preserve">The plaintiffs are moving for an application for summary judgment against the first defendant,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Capital (Pty) Ltd (‘</w:t>
      </w:r>
      <w:proofErr w:type="spellStart"/>
      <w:r w:rsidRPr="00C331CB">
        <w:rPr>
          <w:rFonts w:ascii="Arial" w:hAnsi="Arial" w:cs="Arial"/>
          <w:sz w:val="24"/>
          <w:szCs w:val="24"/>
        </w:rPr>
        <w:t>Tulive</w:t>
      </w:r>
      <w:proofErr w:type="spellEnd"/>
      <w:r w:rsidRPr="00C331CB">
        <w:rPr>
          <w:rFonts w:ascii="Arial" w:hAnsi="Arial" w:cs="Arial"/>
          <w:sz w:val="24"/>
          <w:szCs w:val="24"/>
        </w:rPr>
        <w:t>’)</w:t>
      </w:r>
      <w:r w:rsidR="00B94F98">
        <w:rPr>
          <w:rFonts w:ascii="Arial" w:hAnsi="Arial" w:cs="Arial"/>
          <w:sz w:val="24"/>
          <w:szCs w:val="24"/>
        </w:rPr>
        <w:t>.</w:t>
      </w:r>
    </w:p>
    <w:p w:rsidR="00B94F98" w:rsidRDefault="00B94F98" w:rsidP="00365F2C">
      <w:pPr>
        <w:spacing w:after="0" w:line="360" w:lineRule="auto"/>
        <w:jc w:val="both"/>
        <w:rPr>
          <w:rFonts w:ascii="Arial" w:hAnsi="Arial" w:cs="Arial"/>
          <w:sz w:val="24"/>
          <w:szCs w:val="24"/>
        </w:rPr>
      </w:pPr>
    </w:p>
    <w:p w:rsidR="00D14AFA" w:rsidRDefault="00D14AFA" w:rsidP="00365F2C">
      <w:pPr>
        <w:spacing w:after="0" w:line="360" w:lineRule="auto"/>
        <w:jc w:val="both"/>
        <w:rPr>
          <w:rFonts w:ascii="Arial" w:hAnsi="Arial" w:cs="Arial"/>
          <w:sz w:val="24"/>
          <w:szCs w:val="24"/>
        </w:rPr>
      </w:pPr>
      <w:r>
        <w:rPr>
          <w:rFonts w:ascii="Arial" w:hAnsi="Arial" w:cs="Arial"/>
          <w:sz w:val="24"/>
          <w:szCs w:val="24"/>
        </w:rPr>
        <w:t>[</w:t>
      </w:r>
      <w:r w:rsidR="00325430">
        <w:rPr>
          <w:rFonts w:ascii="Arial" w:hAnsi="Arial" w:cs="Arial"/>
          <w:sz w:val="24"/>
          <w:szCs w:val="24"/>
        </w:rPr>
        <w:t>3</w:t>
      </w:r>
      <w:r w:rsidR="00B94F98">
        <w:rPr>
          <w:rFonts w:ascii="Arial" w:hAnsi="Arial" w:cs="Arial"/>
          <w:sz w:val="24"/>
          <w:szCs w:val="24"/>
        </w:rPr>
        <w:t>]</w:t>
      </w:r>
      <w:r>
        <w:rPr>
          <w:rFonts w:ascii="Arial" w:hAnsi="Arial" w:cs="Arial"/>
          <w:sz w:val="24"/>
          <w:szCs w:val="24"/>
        </w:rPr>
        <w:tab/>
        <w:t xml:space="preserve">I will refer to the parties </w:t>
      </w:r>
      <w:r w:rsidR="00B94F98">
        <w:rPr>
          <w:rFonts w:ascii="Arial" w:hAnsi="Arial" w:cs="Arial"/>
          <w:sz w:val="24"/>
          <w:szCs w:val="24"/>
        </w:rPr>
        <w:t>as they are in the main action.</w:t>
      </w:r>
    </w:p>
    <w:p w:rsidR="00B94F98" w:rsidRPr="00C331CB" w:rsidRDefault="00B94F98" w:rsidP="00365F2C">
      <w:pPr>
        <w:spacing w:after="0" w:line="360" w:lineRule="auto"/>
        <w:jc w:val="both"/>
        <w:rPr>
          <w:rFonts w:ascii="Arial" w:hAnsi="Arial" w:cs="Arial"/>
          <w:sz w:val="24"/>
          <w:szCs w:val="24"/>
        </w:rPr>
      </w:pPr>
    </w:p>
    <w:p w:rsidR="008F676D" w:rsidRDefault="00B94F98" w:rsidP="00365F2C">
      <w:pPr>
        <w:spacing w:after="0" w:line="360" w:lineRule="auto"/>
        <w:jc w:val="both"/>
        <w:rPr>
          <w:rFonts w:ascii="Arial" w:hAnsi="Arial" w:cs="Arial"/>
          <w:sz w:val="24"/>
          <w:szCs w:val="24"/>
          <w:u w:val="single"/>
        </w:rPr>
      </w:pPr>
      <w:r>
        <w:rPr>
          <w:rFonts w:ascii="Arial" w:hAnsi="Arial" w:cs="Arial"/>
          <w:sz w:val="24"/>
          <w:szCs w:val="24"/>
          <w:u w:val="single"/>
        </w:rPr>
        <w:t>Background</w:t>
      </w:r>
    </w:p>
    <w:p w:rsidR="00B94F98" w:rsidRPr="00A15593" w:rsidRDefault="00B94F98" w:rsidP="00365F2C">
      <w:pPr>
        <w:spacing w:after="0" w:line="360" w:lineRule="auto"/>
        <w:jc w:val="both"/>
        <w:rPr>
          <w:rFonts w:ascii="Arial" w:hAnsi="Arial" w:cs="Arial"/>
          <w:sz w:val="24"/>
          <w:szCs w:val="24"/>
          <w:u w:val="single"/>
        </w:rPr>
      </w:pPr>
    </w:p>
    <w:p w:rsidR="006F2D7E" w:rsidRDefault="008F676D" w:rsidP="00365F2C">
      <w:pPr>
        <w:spacing w:after="0" w:line="360" w:lineRule="auto"/>
        <w:jc w:val="both"/>
        <w:rPr>
          <w:rFonts w:ascii="Arial" w:hAnsi="Arial" w:cs="Arial"/>
          <w:sz w:val="24"/>
          <w:szCs w:val="24"/>
        </w:rPr>
      </w:pPr>
      <w:r w:rsidRPr="00C331CB">
        <w:rPr>
          <w:rFonts w:ascii="Arial" w:hAnsi="Arial" w:cs="Arial"/>
          <w:sz w:val="24"/>
          <w:szCs w:val="24"/>
        </w:rPr>
        <w:t>[</w:t>
      </w:r>
      <w:r w:rsidR="00325430">
        <w:rPr>
          <w:rFonts w:ascii="Arial" w:hAnsi="Arial" w:cs="Arial"/>
          <w:sz w:val="24"/>
          <w:szCs w:val="24"/>
        </w:rPr>
        <w:t>4</w:t>
      </w:r>
      <w:r w:rsidR="00B94F98">
        <w:rPr>
          <w:rFonts w:ascii="Arial" w:hAnsi="Arial" w:cs="Arial"/>
          <w:sz w:val="24"/>
          <w:szCs w:val="24"/>
        </w:rPr>
        <w:t>]</w:t>
      </w:r>
      <w:r w:rsidRPr="00C331CB">
        <w:rPr>
          <w:rFonts w:ascii="Arial" w:hAnsi="Arial" w:cs="Arial"/>
          <w:sz w:val="24"/>
          <w:szCs w:val="24"/>
        </w:rPr>
        <w:tab/>
      </w:r>
      <w:r w:rsidR="006F2D7E">
        <w:rPr>
          <w:rFonts w:ascii="Arial" w:hAnsi="Arial" w:cs="Arial"/>
          <w:sz w:val="24"/>
          <w:szCs w:val="24"/>
        </w:rPr>
        <w:t>In the particulars of claim the plaintiff e</w:t>
      </w:r>
      <w:r w:rsidR="00F124D8">
        <w:rPr>
          <w:rFonts w:ascii="Arial" w:hAnsi="Arial" w:cs="Arial"/>
          <w:sz w:val="24"/>
          <w:szCs w:val="24"/>
        </w:rPr>
        <w:t xml:space="preserve">ndeavour to set out the background </w:t>
      </w:r>
      <w:r w:rsidR="006F2D7E">
        <w:rPr>
          <w:rFonts w:ascii="Arial" w:hAnsi="Arial" w:cs="Arial"/>
          <w:sz w:val="24"/>
          <w:szCs w:val="24"/>
        </w:rPr>
        <w:t>in this matter in as much detail as possible. The plaintiff sketches a situation where certain individuals referred to as the ‘</w:t>
      </w:r>
      <w:r w:rsidR="006F2D7E" w:rsidRPr="004A5B56">
        <w:rPr>
          <w:rFonts w:ascii="Arial" w:hAnsi="Arial" w:cs="Arial"/>
          <w:i/>
          <w:sz w:val="24"/>
          <w:szCs w:val="24"/>
        </w:rPr>
        <w:t>dramatis personae</w:t>
      </w:r>
      <w:r w:rsidR="006F2D7E">
        <w:rPr>
          <w:rFonts w:ascii="Arial" w:hAnsi="Arial" w:cs="Arial"/>
          <w:sz w:val="24"/>
          <w:szCs w:val="24"/>
        </w:rPr>
        <w:t>’ in conju</w:t>
      </w:r>
      <w:r w:rsidR="007827DB">
        <w:rPr>
          <w:rFonts w:ascii="Arial" w:hAnsi="Arial" w:cs="Arial"/>
          <w:sz w:val="24"/>
          <w:szCs w:val="24"/>
        </w:rPr>
        <w:t>n</w:t>
      </w:r>
      <w:r w:rsidR="006F2D7E">
        <w:rPr>
          <w:rFonts w:ascii="Arial" w:hAnsi="Arial" w:cs="Arial"/>
          <w:sz w:val="24"/>
          <w:szCs w:val="24"/>
        </w:rPr>
        <w:t>ction with third party entities perpetrated fraud on a grand scale</w:t>
      </w:r>
      <w:r w:rsidR="005D14C5">
        <w:rPr>
          <w:rFonts w:ascii="Arial" w:hAnsi="Arial" w:cs="Arial"/>
          <w:sz w:val="24"/>
          <w:szCs w:val="24"/>
        </w:rPr>
        <w:t>. The investigations into the said fraudulent scheme</w:t>
      </w:r>
      <w:r w:rsidR="00F124D8">
        <w:rPr>
          <w:rFonts w:ascii="Arial" w:hAnsi="Arial" w:cs="Arial"/>
          <w:sz w:val="24"/>
          <w:szCs w:val="24"/>
        </w:rPr>
        <w:t>s</w:t>
      </w:r>
      <w:r w:rsidR="005D14C5">
        <w:rPr>
          <w:rFonts w:ascii="Arial" w:hAnsi="Arial" w:cs="Arial"/>
          <w:sz w:val="24"/>
          <w:szCs w:val="24"/>
        </w:rPr>
        <w:t xml:space="preserve"> led to the unc</w:t>
      </w:r>
      <w:r w:rsidR="00503C17">
        <w:rPr>
          <w:rFonts w:ascii="Arial" w:hAnsi="Arial" w:cs="Arial"/>
          <w:sz w:val="24"/>
          <w:szCs w:val="24"/>
        </w:rPr>
        <w:t>overing of approximately N$ 247</w:t>
      </w:r>
      <w:r w:rsidR="008A487F">
        <w:rPr>
          <w:rFonts w:ascii="Arial" w:hAnsi="Arial" w:cs="Arial"/>
          <w:sz w:val="24"/>
          <w:szCs w:val="24"/>
        </w:rPr>
        <w:t xml:space="preserve"> </w:t>
      </w:r>
      <w:r w:rsidR="00503C17">
        <w:rPr>
          <w:rFonts w:ascii="Arial" w:hAnsi="Arial" w:cs="Arial"/>
          <w:sz w:val="24"/>
          <w:szCs w:val="24"/>
        </w:rPr>
        <w:t xml:space="preserve">545 </w:t>
      </w:r>
      <w:r w:rsidR="005D14C5">
        <w:rPr>
          <w:rFonts w:ascii="Arial" w:hAnsi="Arial" w:cs="Arial"/>
          <w:sz w:val="24"/>
          <w:szCs w:val="24"/>
        </w:rPr>
        <w:t>004 which was misappropriated from the SME Bank. As a result of the theft the SME Ba</w:t>
      </w:r>
      <w:r w:rsidR="00B94F98">
        <w:rPr>
          <w:rFonts w:ascii="Arial" w:hAnsi="Arial" w:cs="Arial"/>
          <w:sz w:val="24"/>
          <w:szCs w:val="24"/>
        </w:rPr>
        <w:t>nk was forced into liquidation.</w:t>
      </w:r>
    </w:p>
    <w:p w:rsidR="00B94F98" w:rsidRDefault="00B94F98" w:rsidP="00365F2C">
      <w:pPr>
        <w:spacing w:after="0" w:line="360" w:lineRule="auto"/>
        <w:jc w:val="both"/>
        <w:rPr>
          <w:rFonts w:ascii="Arial" w:hAnsi="Arial" w:cs="Arial"/>
          <w:sz w:val="24"/>
          <w:szCs w:val="24"/>
        </w:rPr>
      </w:pPr>
    </w:p>
    <w:p w:rsidR="008D4905" w:rsidRDefault="004A5B56" w:rsidP="00365F2C">
      <w:pPr>
        <w:spacing w:after="0" w:line="360" w:lineRule="auto"/>
        <w:jc w:val="both"/>
        <w:rPr>
          <w:rFonts w:ascii="Arial" w:hAnsi="Arial" w:cs="Arial"/>
          <w:sz w:val="24"/>
          <w:szCs w:val="24"/>
        </w:rPr>
      </w:pPr>
      <w:r>
        <w:rPr>
          <w:rFonts w:ascii="Arial" w:hAnsi="Arial" w:cs="Arial"/>
          <w:sz w:val="24"/>
          <w:szCs w:val="24"/>
        </w:rPr>
        <w:t>[</w:t>
      </w:r>
      <w:r w:rsidR="00325430">
        <w:rPr>
          <w:rFonts w:ascii="Arial" w:hAnsi="Arial" w:cs="Arial"/>
          <w:sz w:val="24"/>
          <w:szCs w:val="24"/>
        </w:rPr>
        <w:t>5</w:t>
      </w:r>
      <w:r>
        <w:rPr>
          <w:rFonts w:ascii="Arial" w:hAnsi="Arial" w:cs="Arial"/>
          <w:sz w:val="24"/>
          <w:szCs w:val="24"/>
        </w:rPr>
        <w:t>]</w:t>
      </w:r>
      <w:r>
        <w:rPr>
          <w:rFonts w:ascii="Arial" w:hAnsi="Arial" w:cs="Arial"/>
          <w:sz w:val="24"/>
          <w:szCs w:val="24"/>
        </w:rPr>
        <w:tab/>
      </w:r>
      <w:r w:rsidR="008D4905" w:rsidRPr="00C331CB">
        <w:rPr>
          <w:rFonts w:ascii="Arial" w:hAnsi="Arial" w:cs="Arial"/>
          <w:sz w:val="24"/>
          <w:szCs w:val="24"/>
        </w:rPr>
        <w:t xml:space="preserve">On 2 February 2015 </w:t>
      </w:r>
      <w:r>
        <w:rPr>
          <w:rFonts w:ascii="Arial" w:hAnsi="Arial" w:cs="Arial"/>
          <w:sz w:val="24"/>
          <w:szCs w:val="24"/>
        </w:rPr>
        <w:t>the</w:t>
      </w:r>
      <w:r w:rsidR="008D4905" w:rsidRPr="00C331CB">
        <w:rPr>
          <w:rFonts w:ascii="Arial" w:hAnsi="Arial" w:cs="Arial"/>
          <w:sz w:val="24"/>
          <w:szCs w:val="24"/>
        </w:rPr>
        <w:t xml:space="preserve"> SME Bank and </w:t>
      </w:r>
      <w:proofErr w:type="spellStart"/>
      <w:r w:rsidR="008D4905" w:rsidRPr="00C331CB">
        <w:rPr>
          <w:rFonts w:ascii="Arial" w:hAnsi="Arial" w:cs="Arial"/>
          <w:sz w:val="24"/>
          <w:szCs w:val="24"/>
        </w:rPr>
        <w:t>Tulive</w:t>
      </w:r>
      <w:proofErr w:type="spellEnd"/>
      <w:r w:rsidR="008D4905" w:rsidRPr="00C331CB">
        <w:rPr>
          <w:rFonts w:ascii="Arial" w:hAnsi="Arial" w:cs="Arial"/>
          <w:sz w:val="24"/>
          <w:szCs w:val="24"/>
        </w:rPr>
        <w:t xml:space="preserve"> entered into a </w:t>
      </w:r>
      <w:r w:rsidR="00337E9C" w:rsidRPr="00C04129">
        <w:rPr>
          <w:rFonts w:ascii="Arial" w:hAnsi="Arial" w:cs="Arial"/>
          <w:sz w:val="24"/>
          <w:szCs w:val="24"/>
        </w:rPr>
        <w:t>d</w:t>
      </w:r>
      <w:r w:rsidR="008D4905" w:rsidRPr="00C04129">
        <w:rPr>
          <w:rFonts w:ascii="Arial" w:hAnsi="Arial" w:cs="Arial"/>
          <w:sz w:val="24"/>
          <w:szCs w:val="24"/>
        </w:rPr>
        <w:t xml:space="preserve">iscretionary </w:t>
      </w:r>
      <w:r w:rsidR="00337E9C" w:rsidRPr="00C04129">
        <w:rPr>
          <w:rFonts w:ascii="Arial" w:hAnsi="Arial" w:cs="Arial"/>
          <w:sz w:val="24"/>
          <w:szCs w:val="24"/>
        </w:rPr>
        <w:t>a</w:t>
      </w:r>
      <w:r w:rsidR="007827DB">
        <w:rPr>
          <w:rFonts w:ascii="Arial" w:hAnsi="Arial" w:cs="Arial"/>
          <w:sz w:val="24"/>
          <w:szCs w:val="24"/>
        </w:rPr>
        <w:t xml:space="preserve">greement </w:t>
      </w:r>
      <w:r w:rsidR="00E86348" w:rsidRPr="00C331CB">
        <w:rPr>
          <w:rFonts w:ascii="Arial" w:hAnsi="Arial" w:cs="Arial"/>
          <w:sz w:val="24"/>
          <w:szCs w:val="24"/>
        </w:rPr>
        <w:t xml:space="preserve">wherein SME Bank appointed </w:t>
      </w:r>
      <w:proofErr w:type="spellStart"/>
      <w:r w:rsidR="00E86348" w:rsidRPr="00C331CB">
        <w:rPr>
          <w:rFonts w:ascii="Arial" w:hAnsi="Arial" w:cs="Arial"/>
          <w:sz w:val="24"/>
          <w:szCs w:val="24"/>
        </w:rPr>
        <w:t>Tulive</w:t>
      </w:r>
      <w:proofErr w:type="spellEnd"/>
      <w:r w:rsidR="00E86348" w:rsidRPr="00C331CB">
        <w:rPr>
          <w:rFonts w:ascii="Arial" w:hAnsi="Arial" w:cs="Arial"/>
          <w:sz w:val="24"/>
          <w:szCs w:val="24"/>
        </w:rPr>
        <w:t xml:space="preserve"> to manage investments on its behalf and to receive fund</w:t>
      </w:r>
      <w:r w:rsidR="00F124D8">
        <w:rPr>
          <w:rFonts w:ascii="Arial" w:hAnsi="Arial" w:cs="Arial"/>
          <w:sz w:val="24"/>
          <w:szCs w:val="24"/>
        </w:rPr>
        <w:t>s</w:t>
      </w:r>
      <w:r w:rsidR="00E86348" w:rsidRPr="00C331CB">
        <w:rPr>
          <w:rFonts w:ascii="Arial" w:hAnsi="Arial" w:cs="Arial"/>
          <w:sz w:val="24"/>
          <w:szCs w:val="24"/>
        </w:rPr>
        <w:t xml:space="preserve"> for purposes of the investment. </w:t>
      </w:r>
      <w:r w:rsidR="008D4905" w:rsidRPr="00C331CB">
        <w:rPr>
          <w:rFonts w:ascii="Arial" w:hAnsi="Arial" w:cs="Arial"/>
          <w:sz w:val="24"/>
          <w:szCs w:val="24"/>
        </w:rPr>
        <w:t xml:space="preserve">At the time </w:t>
      </w:r>
      <w:r w:rsidR="00AC4174">
        <w:rPr>
          <w:rFonts w:ascii="Arial" w:hAnsi="Arial" w:cs="Arial"/>
          <w:sz w:val="24"/>
          <w:szCs w:val="24"/>
        </w:rPr>
        <w:t xml:space="preserve">of the agreement </w:t>
      </w:r>
      <w:r w:rsidR="00F124D8">
        <w:rPr>
          <w:rFonts w:ascii="Arial" w:hAnsi="Arial" w:cs="Arial"/>
          <w:sz w:val="24"/>
          <w:szCs w:val="24"/>
        </w:rPr>
        <w:t xml:space="preserve">the </w:t>
      </w:r>
      <w:r w:rsidR="008D4905" w:rsidRPr="00C331CB">
        <w:rPr>
          <w:rFonts w:ascii="Arial" w:hAnsi="Arial" w:cs="Arial"/>
          <w:sz w:val="24"/>
          <w:szCs w:val="24"/>
        </w:rPr>
        <w:t xml:space="preserve">SME Bank was represented by Mr </w:t>
      </w:r>
      <w:proofErr w:type="spellStart"/>
      <w:r w:rsidR="008D4905" w:rsidRPr="00C331CB">
        <w:rPr>
          <w:rFonts w:ascii="Arial" w:hAnsi="Arial" w:cs="Arial"/>
          <w:sz w:val="24"/>
          <w:szCs w:val="24"/>
        </w:rPr>
        <w:t>Tawanda</w:t>
      </w:r>
      <w:proofErr w:type="spellEnd"/>
      <w:r w:rsidR="008D4905" w:rsidRPr="00C331CB">
        <w:rPr>
          <w:rFonts w:ascii="Arial" w:hAnsi="Arial" w:cs="Arial"/>
          <w:sz w:val="24"/>
          <w:szCs w:val="24"/>
        </w:rPr>
        <w:t xml:space="preserve"> </w:t>
      </w:r>
      <w:proofErr w:type="spellStart"/>
      <w:r w:rsidR="008D4905" w:rsidRPr="00C331CB">
        <w:rPr>
          <w:rFonts w:ascii="Arial" w:hAnsi="Arial" w:cs="Arial"/>
          <w:sz w:val="24"/>
          <w:szCs w:val="24"/>
        </w:rPr>
        <w:t>Mumvuma</w:t>
      </w:r>
      <w:proofErr w:type="spellEnd"/>
      <w:r w:rsidR="0033569C">
        <w:rPr>
          <w:rFonts w:ascii="Arial" w:hAnsi="Arial" w:cs="Arial"/>
          <w:sz w:val="24"/>
          <w:szCs w:val="24"/>
        </w:rPr>
        <w:t>,</w:t>
      </w:r>
      <w:r w:rsidR="008D4905" w:rsidRPr="00C331CB">
        <w:rPr>
          <w:rStyle w:val="FootnoteReference"/>
          <w:rFonts w:ascii="Arial" w:hAnsi="Arial" w:cs="Arial"/>
          <w:sz w:val="24"/>
          <w:szCs w:val="24"/>
        </w:rPr>
        <w:footnoteReference w:id="1"/>
      </w:r>
      <w:r w:rsidR="008D4905" w:rsidRPr="00C331CB">
        <w:rPr>
          <w:rFonts w:ascii="Arial" w:hAnsi="Arial" w:cs="Arial"/>
          <w:sz w:val="24"/>
          <w:szCs w:val="24"/>
        </w:rPr>
        <w:t xml:space="preserve"> </w:t>
      </w:r>
      <w:r w:rsidR="00AC4174">
        <w:rPr>
          <w:rFonts w:ascii="Arial" w:hAnsi="Arial" w:cs="Arial"/>
          <w:sz w:val="24"/>
          <w:szCs w:val="24"/>
        </w:rPr>
        <w:t>to who</w:t>
      </w:r>
      <w:r w:rsidR="00F124D8">
        <w:rPr>
          <w:rFonts w:ascii="Arial" w:hAnsi="Arial" w:cs="Arial"/>
          <w:sz w:val="24"/>
          <w:szCs w:val="24"/>
        </w:rPr>
        <w:t>m</w:t>
      </w:r>
      <w:r w:rsidR="00AC4174">
        <w:rPr>
          <w:rFonts w:ascii="Arial" w:hAnsi="Arial" w:cs="Arial"/>
          <w:sz w:val="24"/>
          <w:szCs w:val="24"/>
        </w:rPr>
        <w:t xml:space="preserve"> the plaintiff</w:t>
      </w:r>
      <w:r w:rsidR="00F124D8">
        <w:rPr>
          <w:rFonts w:ascii="Arial" w:hAnsi="Arial" w:cs="Arial"/>
          <w:sz w:val="24"/>
          <w:szCs w:val="24"/>
        </w:rPr>
        <w:t>s</w:t>
      </w:r>
      <w:r w:rsidR="00AC4174">
        <w:rPr>
          <w:rFonts w:ascii="Arial" w:hAnsi="Arial" w:cs="Arial"/>
          <w:sz w:val="24"/>
          <w:szCs w:val="24"/>
        </w:rPr>
        <w:t xml:space="preserve"> </w:t>
      </w:r>
      <w:r>
        <w:rPr>
          <w:rFonts w:ascii="Arial" w:hAnsi="Arial" w:cs="Arial"/>
          <w:sz w:val="24"/>
          <w:szCs w:val="24"/>
        </w:rPr>
        <w:t xml:space="preserve">refer to as a </w:t>
      </w:r>
      <w:r w:rsidRPr="004A5B56">
        <w:rPr>
          <w:rFonts w:ascii="Arial" w:hAnsi="Arial" w:cs="Arial"/>
          <w:i/>
          <w:sz w:val="24"/>
          <w:szCs w:val="24"/>
        </w:rPr>
        <w:t>personae dramatis</w:t>
      </w:r>
      <w:r>
        <w:rPr>
          <w:rFonts w:ascii="Arial" w:hAnsi="Arial" w:cs="Arial"/>
          <w:sz w:val="24"/>
          <w:szCs w:val="24"/>
        </w:rPr>
        <w:t xml:space="preserve"> as set out above</w:t>
      </w:r>
      <w:r w:rsidR="00B94F98">
        <w:rPr>
          <w:rFonts w:ascii="Arial" w:hAnsi="Arial" w:cs="Arial"/>
          <w:sz w:val="24"/>
          <w:szCs w:val="24"/>
        </w:rPr>
        <w:t xml:space="preserve"> in para 4.</w:t>
      </w:r>
    </w:p>
    <w:p w:rsidR="00B94F98" w:rsidRPr="00C331CB" w:rsidRDefault="00B94F98" w:rsidP="00365F2C">
      <w:pPr>
        <w:spacing w:after="0" w:line="360" w:lineRule="auto"/>
        <w:jc w:val="both"/>
        <w:rPr>
          <w:rFonts w:ascii="Arial" w:hAnsi="Arial" w:cs="Arial"/>
          <w:sz w:val="24"/>
          <w:szCs w:val="24"/>
        </w:rPr>
      </w:pPr>
    </w:p>
    <w:p w:rsidR="008D4905" w:rsidRDefault="004A5B56" w:rsidP="00365F2C">
      <w:pPr>
        <w:spacing w:after="0" w:line="360" w:lineRule="auto"/>
        <w:jc w:val="both"/>
        <w:rPr>
          <w:rFonts w:ascii="Arial" w:hAnsi="Arial" w:cs="Arial"/>
          <w:sz w:val="24"/>
          <w:szCs w:val="24"/>
        </w:rPr>
      </w:pPr>
      <w:r>
        <w:rPr>
          <w:rFonts w:ascii="Arial" w:hAnsi="Arial" w:cs="Arial"/>
          <w:sz w:val="24"/>
          <w:szCs w:val="24"/>
        </w:rPr>
        <w:t>[</w:t>
      </w:r>
      <w:r w:rsidR="00F124D8">
        <w:rPr>
          <w:rFonts w:ascii="Arial" w:hAnsi="Arial" w:cs="Arial"/>
          <w:sz w:val="24"/>
          <w:szCs w:val="24"/>
        </w:rPr>
        <w:t>6</w:t>
      </w:r>
      <w:r>
        <w:rPr>
          <w:rFonts w:ascii="Arial" w:hAnsi="Arial" w:cs="Arial"/>
          <w:sz w:val="24"/>
          <w:szCs w:val="24"/>
        </w:rPr>
        <w:t>]</w:t>
      </w:r>
      <w:r>
        <w:rPr>
          <w:rFonts w:ascii="Arial" w:hAnsi="Arial" w:cs="Arial"/>
          <w:sz w:val="24"/>
          <w:szCs w:val="24"/>
        </w:rPr>
        <w:tab/>
      </w:r>
      <w:r w:rsidR="00E86348" w:rsidRPr="00C331CB">
        <w:rPr>
          <w:rFonts w:ascii="Arial" w:hAnsi="Arial" w:cs="Arial"/>
          <w:sz w:val="24"/>
          <w:szCs w:val="24"/>
        </w:rPr>
        <w:t>In terms of the</w:t>
      </w:r>
      <w:r w:rsidR="00F124D8">
        <w:rPr>
          <w:rFonts w:ascii="Arial" w:hAnsi="Arial" w:cs="Arial"/>
          <w:sz w:val="24"/>
          <w:szCs w:val="24"/>
        </w:rPr>
        <w:t xml:space="preserve"> discretionary</w:t>
      </w:r>
      <w:r w:rsidR="006175CD">
        <w:rPr>
          <w:rFonts w:ascii="Arial" w:hAnsi="Arial" w:cs="Arial"/>
          <w:sz w:val="24"/>
          <w:szCs w:val="24"/>
        </w:rPr>
        <w:t xml:space="preserve"> agreement</w:t>
      </w:r>
      <w:r w:rsidR="00F124D8">
        <w:rPr>
          <w:rFonts w:ascii="Arial" w:hAnsi="Arial" w:cs="Arial"/>
          <w:sz w:val="24"/>
          <w:szCs w:val="24"/>
        </w:rPr>
        <w:t xml:space="preserve"> (POC 4) </w:t>
      </w:r>
      <w:proofErr w:type="spellStart"/>
      <w:r w:rsidR="00E86348" w:rsidRPr="00C331CB">
        <w:rPr>
          <w:rFonts w:ascii="Arial" w:hAnsi="Arial" w:cs="Arial"/>
          <w:sz w:val="24"/>
          <w:szCs w:val="24"/>
        </w:rPr>
        <w:t>Tulive</w:t>
      </w:r>
      <w:proofErr w:type="spellEnd"/>
      <w:r w:rsidR="00E86348" w:rsidRPr="00C331CB">
        <w:rPr>
          <w:rFonts w:ascii="Arial" w:hAnsi="Arial" w:cs="Arial"/>
          <w:sz w:val="24"/>
          <w:szCs w:val="24"/>
        </w:rPr>
        <w:t xml:space="preserve"> acknowledged that </w:t>
      </w:r>
      <w:r w:rsidR="00F124D8">
        <w:rPr>
          <w:rFonts w:ascii="Arial" w:hAnsi="Arial" w:cs="Arial"/>
          <w:sz w:val="24"/>
          <w:szCs w:val="24"/>
        </w:rPr>
        <w:t xml:space="preserve">the </w:t>
      </w:r>
      <w:r w:rsidR="00E86348" w:rsidRPr="00C331CB">
        <w:rPr>
          <w:rFonts w:ascii="Arial" w:hAnsi="Arial" w:cs="Arial"/>
          <w:sz w:val="24"/>
          <w:szCs w:val="24"/>
        </w:rPr>
        <w:t>SME Bank invested the sum of N</w:t>
      </w:r>
      <w:r w:rsidR="0080127D">
        <w:rPr>
          <w:rFonts w:ascii="Arial" w:hAnsi="Arial" w:cs="Arial"/>
          <w:sz w:val="24"/>
          <w:szCs w:val="24"/>
        </w:rPr>
        <w:t>$</w:t>
      </w:r>
      <w:r w:rsidR="00EF2D31">
        <w:rPr>
          <w:rFonts w:ascii="Arial" w:hAnsi="Arial" w:cs="Arial"/>
          <w:sz w:val="24"/>
          <w:szCs w:val="24"/>
        </w:rPr>
        <w:t xml:space="preserve"> 10</w:t>
      </w:r>
      <w:r w:rsidR="00B73363">
        <w:rPr>
          <w:rFonts w:ascii="Arial" w:hAnsi="Arial" w:cs="Arial"/>
          <w:sz w:val="24"/>
          <w:szCs w:val="24"/>
        </w:rPr>
        <w:t xml:space="preserve"> </w:t>
      </w:r>
      <w:r w:rsidR="00EF2D31">
        <w:rPr>
          <w:rFonts w:ascii="Arial" w:hAnsi="Arial" w:cs="Arial"/>
          <w:sz w:val="24"/>
          <w:szCs w:val="24"/>
        </w:rPr>
        <w:t xml:space="preserve">000 </w:t>
      </w:r>
      <w:r w:rsidR="00E86348" w:rsidRPr="00C331CB">
        <w:rPr>
          <w:rFonts w:ascii="Arial" w:hAnsi="Arial" w:cs="Arial"/>
          <w:sz w:val="24"/>
          <w:szCs w:val="24"/>
        </w:rPr>
        <w:t>000 on 24 March 2015</w:t>
      </w:r>
      <w:r w:rsidR="00F124D8">
        <w:rPr>
          <w:rFonts w:ascii="Arial" w:hAnsi="Arial" w:cs="Arial"/>
          <w:sz w:val="24"/>
          <w:szCs w:val="24"/>
        </w:rPr>
        <w:t xml:space="preserve"> in respect of which the funds had</w:t>
      </w:r>
      <w:r w:rsidR="00E86348" w:rsidRPr="00C331CB">
        <w:rPr>
          <w:rFonts w:ascii="Arial" w:hAnsi="Arial" w:cs="Arial"/>
          <w:sz w:val="24"/>
          <w:szCs w:val="24"/>
        </w:rPr>
        <w:t xml:space="preserve"> to be invested by </w:t>
      </w:r>
      <w:proofErr w:type="spellStart"/>
      <w:r w:rsidR="00E86348" w:rsidRPr="00C331CB">
        <w:rPr>
          <w:rFonts w:ascii="Arial" w:hAnsi="Arial" w:cs="Arial"/>
          <w:sz w:val="24"/>
          <w:szCs w:val="24"/>
        </w:rPr>
        <w:t>Tulive</w:t>
      </w:r>
      <w:proofErr w:type="spellEnd"/>
      <w:r w:rsidR="00E86348" w:rsidRPr="00C331CB">
        <w:rPr>
          <w:rFonts w:ascii="Arial" w:hAnsi="Arial" w:cs="Arial"/>
          <w:sz w:val="24"/>
          <w:szCs w:val="24"/>
        </w:rPr>
        <w:t xml:space="preserve"> </w:t>
      </w:r>
      <w:r w:rsidR="007053B2" w:rsidRPr="00C331CB">
        <w:rPr>
          <w:rFonts w:ascii="Arial" w:hAnsi="Arial" w:cs="Arial"/>
          <w:sz w:val="24"/>
          <w:szCs w:val="24"/>
        </w:rPr>
        <w:t>with a</w:t>
      </w:r>
      <w:r w:rsidR="00E86348" w:rsidRPr="00C331CB">
        <w:rPr>
          <w:rFonts w:ascii="Arial" w:hAnsi="Arial" w:cs="Arial"/>
          <w:sz w:val="24"/>
          <w:szCs w:val="24"/>
        </w:rPr>
        <w:t xml:space="preserve"> </w:t>
      </w:r>
      <w:r w:rsidR="007053B2" w:rsidRPr="00C331CB">
        <w:rPr>
          <w:rFonts w:ascii="Arial" w:hAnsi="Arial" w:cs="Arial"/>
          <w:sz w:val="24"/>
          <w:szCs w:val="24"/>
        </w:rPr>
        <w:t xml:space="preserve">guaranteed return on </w:t>
      </w:r>
      <w:r w:rsidR="00F124D8">
        <w:rPr>
          <w:rFonts w:ascii="Arial" w:hAnsi="Arial" w:cs="Arial"/>
          <w:sz w:val="24"/>
          <w:szCs w:val="24"/>
        </w:rPr>
        <w:t xml:space="preserve">the said </w:t>
      </w:r>
      <w:r w:rsidR="007053B2" w:rsidRPr="00C331CB">
        <w:rPr>
          <w:rFonts w:ascii="Arial" w:hAnsi="Arial" w:cs="Arial"/>
          <w:sz w:val="24"/>
          <w:szCs w:val="24"/>
        </w:rPr>
        <w:t xml:space="preserve">investment to </w:t>
      </w:r>
      <w:r w:rsidR="00F124D8">
        <w:rPr>
          <w:rFonts w:ascii="Arial" w:hAnsi="Arial" w:cs="Arial"/>
          <w:sz w:val="24"/>
          <w:szCs w:val="24"/>
        </w:rPr>
        <w:t xml:space="preserve">the </w:t>
      </w:r>
      <w:r w:rsidR="007053B2" w:rsidRPr="00C331CB">
        <w:rPr>
          <w:rFonts w:ascii="Arial" w:hAnsi="Arial" w:cs="Arial"/>
          <w:sz w:val="24"/>
          <w:szCs w:val="24"/>
        </w:rPr>
        <w:t>SME Bank at the rate of 13% per annum</w:t>
      </w:r>
      <w:r w:rsidR="00E86348" w:rsidRPr="00C331CB">
        <w:rPr>
          <w:rFonts w:ascii="Arial" w:hAnsi="Arial" w:cs="Arial"/>
          <w:sz w:val="24"/>
          <w:szCs w:val="24"/>
        </w:rPr>
        <w:t>.</w:t>
      </w:r>
    </w:p>
    <w:p w:rsidR="00B94F98" w:rsidRPr="00C331CB" w:rsidRDefault="00B94F98" w:rsidP="00365F2C">
      <w:pPr>
        <w:spacing w:after="0" w:line="360" w:lineRule="auto"/>
        <w:jc w:val="both"/>
        <w:rPr>
          <w:rFonts w:ascii="Arial" w:hAnsi="Arial" w:cs="Arial"/>
          <w:sz w:val="24"/>
          <w:szCs w:val="24"/>
        </w:rPr>
      </w:pPr>
    </w:p>
    <w:p w:rsidR="007053B2" w:rsidRDefault="007053B2" w:rsidP="00365F2C">
      <w:pPr>
        <w:spacing w:after="0" w:line="360" w:lineRule="auto"/>
        <w:jc w:val="both"/>
        <w:rPr>
          <w:rFonts w:ascii="Arial" w:hAnsi="Arial" w:cs="Arial"/>
          <w:sz w:val="24"/>
          <w:szCs w:val="24"/>
        </w:rPr>
      </w:pPr>
      <w:r w:rsidRPr="00C331CB">
        <w:rPr>
          <w:rFonts w:ascii="Arial" w:hAnsi="Arial" w:cs="Arial"/>
          <w:sz w:val="24"/>
          <w:szCs w:val="24"/>
        </w:rPr>
        <w:t>[</w:t>
      </w:r>
      <w:r w:rsidR="00F124D8">
        <w:rPr>
          <w:rFonts w:ascii="Arial" w:hAnsi="Arial" w:cs="Arial"/>
          <w:sz w:val="24"/>
          <w:szCs w:val="24"/>
        </w:rPr>
        <w:t>7</w:t>
      </w:r>
      <w:r w:rsidR="00B94F98">
        <w:rPr>
          <w:rFonts w:ascii="Arial" w:hAnsi="Arial" w:cs="Arial"/>
          <w:sz w:val="24"/>
          <w:szCs w:val="24"/>
        </w:rPr>
        <w:t>]</w:t>
      </w:r>
      <w:r w:rsidR="00B94F98">
        <w:rPr>
          <w:rFonts w:ascii="Arial" w:hAnsi="Arial" w:cs="Arial"/>
          <w:sz w:val="24"/>
          <w:szCs w:val="24"/>
        </w:rPr>
        <w:tab/>
      </w:r>
      <w:r w:rsidRPr="00C331CB">
        <w:rPr>
          <w:rFonts w:ascii="Arial" w:hAnsi="Arial" w:cs="Arial"/>
          <w:sz w:val="24"/>
          <w:szCs w:val="24"/>
        </w:rPr>
        <w:t xml:space="preserve">On 23 March 2015 the SME Bank’s Chief Executive Officer, Mr </w:t>
      </w:r>
      <w:proofErr w:type="spellStart"/>
      <w:r w:rsidRPr="00C331CB">
        <w:rPr>
          <w:rFonts w:ascii="Arial" w:hAnsi="Arial" w:cs="Arial"/>
          <w:sz w:val="24"/>
          <w:szCs w:val="24"/>
        </w:rPr>
        <w:t>Mumvuma</w:t>
      </w:r>
      <w:proofErr w:type="spellEnd"/>
      <w:r w:rsidRPr="00C331CB">
        <w:rPr>
          <w:rFonts w:ascii="Arial" w:hAnsi="Arial" w:cs="Arial"/>
          <w:sz w:val="24"/>
          <w:szCs w:val="24"/>
        </w:rPr>
        <w:t xml:space="preserve"> and General Manager: Treasury, Alec Gore instructed the SME Bank’s Treasury Back Office, in writing</w:t>
      </w:r>
      <w:r w:rsidR="009C200B">
        <w:rPr>
          <w:rFonts w:ascii="Arial" w:hAnsi="Arial" w:cs="Arial"/>
          <w:sz w:val="24"/>
          <w:szCs w:val="24"/>
        </w:rPr>
        <w:t>,</w:t>
      </w:r>
      <w:r w:rsidRPr="00C331CB">
        <w:rPr>
          <w:rFonts w:ascii="Arial" w:hAnsi="Arial" w:cs="Arial"/>
          <w:sz w:val="24"/>
          <w:szCs w:val="24"/>
        </w:rPr>
        <w:t xml:space="preserve"> to open an investment account in the Bank’</w:t>
      </w:r>
      <w:r w:rsidR="00B73363">
        <w:rPr>
          <w:rFonts w:ascii="Arial" w:hAnsi="Arial" w:cs="Arial"/>
          <w:sz w:val="24"/>
          <w:szCs w:val="24"/>
        </w:rPr>
        <w:t xml:space="preserve">s books in the name of </w:t>
      </w:r>
      <w:proofErr w:type="spellStart"/>
      <w:r w:rsidR="00B73363">
        <w:rPr>
          <w:rFonts w:ascii="Arial" w:hAnsi="Arial" w:cs="Arial"/>
          <w:sz w:val="24"/>
          <w:szCs w:val="24"/>
        </w:rPr>
        <w:t>Tulive</w:t>
      </w:r>
      <w:proofErr w:type="spellEnd"/>
      <w:r w:rsidR="00B73363">
        <w:rPr>
          <w:rFonts w:ascii="Arial" w:hAnsi="Arial" w:cs="Arial"/>
          <w:sz w:val="24"/>
          <w:szCs w:val="24"/>
        </w:rPr>
        <w:t xml:space="preserve">. </w:t>
      </w:r>
      <w:r w:rsidRPr="00C331CB">
        <w:rPr>
          <w:rFonts w:ascii="Arial" w:hAnsi="Arial" w:cs="Arial"/>
          <w:sz w:val="24"/>
          <w:szCs w:val="24"/>
        </w:rPr>
        <w:t>On the next day, 24 March 2015 the said gentlemen</w:t>
      </w:r>
      <w:r w:rsidR="00F124D8">
        <w:rPr>
          <w:rFonts w:ascii="Arial" w:hAnsi="Arial" w:cs="Arial"/>
          <w:sz w:val="24"/>
          <w:szCs w:val="24"/>
        </w:rPr>
        <w:t>,</w:t>
      </w:r>
      <w:r w:rsidRPr="00C331CB">
        <w:rPr>
          <w:rFonts w:ascii="Arial" w:hAnsi="Arial" w:cs="Arial"/>
          <w:sz w:val="24"/>
          <w:szCs w:val="24"/>
        </w:rPr>
        <w:t xml:space="preserve"> in writing</w:t>
      </w:r>
      <w:r w:rsidR="00F124D8">
        <w:rPr>
          <w:rFonts w:ascii="Arial" w:hAnsi="Arial" w:cs="Arial"/>
          <w:sz w:val="24"/>
          <w:szCs w:val="24"/>
        </w:rPr>
        <w:t>,</w:t>
      </w:r>
      <w:r w:rsidRPr="00C331CB">
        <w:rPr>
          <w:rFonts w:ascii="Arial" w:hAnsi="Arial" w:cs="Arial"/>
          <w:sz w:val="24"/>
          <w:szCs w:val="24"/>
        </w:rPr>
        <w:t xml:space="preserve"> instructed SME Bank’s Manager: Treasury Back Office </w:t>
      </w:r>
      <w:r w:rsidR="00055DEE">
        <w:rPr>
          <w:rFonts w:ascii="Arial" w:hAnsi="Arial" w:cs="Arial"/>
          <w:sz w:val="24"/>
          <w:szCs w:val="24"/>
        </w:rPr>
        <w:t>to transfer the amount of N$ 10</w:t>
      </w:r>
      <w:r w:rsidR="0065533A">
        <w:rPr>
          <w:rFonts w:ascii="Arial" w:hAnsi="Arial" w:cs="Arial"/>
          <w:sz w:val="24"/>
          <w:szCs w:val="24"/>
        </w:rPr>
        <w:t xml:space="preserve"> </w:t>
      </w:r>
      <w:r w:rsidR="00055DEE">
        <w:rPr>
          <w:rFonts w:ascii="Arial" w:hAnsi="Arial" w:cs="Arial"/>
          <w:sz w:val="24"/>
          <w:szCs w:val="24"/>
        </w:rPr>
        <w:t xml:space="preserve">000 </w:t>
      </w:r>
      <w:r w:rsidRPr="00C331CB">
        <w:rPr>
          <w:rFonts w:ascii="Arial" w:hAnsi="Arial" w:cs="Arial"/>
          <w:sz w:val="24"/>
          <w:szCs w:val="24"/>
        </w:rPr>
        <w:t xml:space="preserve">000 from </w:t>
      </w:r>
      <w:r w:rsidR="00F124D8">
        <w:rPr>
          <w:rFonts w:ascii="Arial" w:hAnsi="Arial" w:cs="Arial"/>
          <w:sz w:val="24"/>
          <w:szCs w:val="24"/>
        </w:rPr>
        <w:lastRenderedPageBreak/>
        <w:t xml:space="preserve">the </w:t>
      </w:r>
      <w:r w:rsidRPr="00C331CB">
        <w:rPr>
          <w:rFonts w:ascii="Arial" w:hAnsi="Arial" w:cs="Arial"/>
          <w:sz w:val="24"/>
          <w:szCs w:val="24"/>
        </w:rPr>
        <w:t xml:space="preserve">SME Bank account at the Bank of Namibia to </w:t>
      </w:r>
      <w:proofErr w:type="spellStart"/>
      <w:r w:rsidRPr="00C331CB">
        <w:rPr>
          <w:rFonts w:ascii="Arial" w:hAnsi="Arial" w:cs="Arial"/>
          <w:sz w:val="24"/>
          <w:szCs w:val="24"/>
        </w:rPr>
        <w:t>Tulive’s</w:t>
      </w:r>
      <w:proofErr w:type="spellEnd"/>
      <w:r w:rsidRPr="00C331CB">
        <w:rPr>
          <w:rFonts w:ascii="Arial" w:hAnsi="Arial" w:cs="Arial"/>
          <w:sz w:val="24"/>
          <w:szCs w:val="24"/>
        </w:rPr>
        <w:t xml:space="preserve"> bank account held at Nedbank Namibia Limited. In pursuance </w:t>
      </w:r>
      <w:r w:rsidR="009C200B" w:rsidRPr="00C04129">
        <w:rPr>
          <w:rFonts w:ascii="Arial" w:hAnsi="Arial" w:cs="Arial"/>
          <w:sz w:val="24"/>
          <w:szCs w:val="24"/>
        </w:rPr>
        <w:t>of</w:t>
      </w:r>
      <w:r w:rsidR="009C200B">
        <w:rPr>
          <w:rFonts w:ascii="Arial" w:hAnsi="Arial" w:cs="Arial"/>
          <w:color w:val="FF0000"/>
          <w:sz w:val="24"/>
          <w:szCs w:val="24"/>
        </w:rPr>
        <w:t xml:space="preserve"> </w:t>
      </w:r>
      <w:r w:rsidRPr="00C331CB">
        <w:rPr>
          <w:rFonts w:ascii="Arial" w:hAnsi="Arial" w:cs="Arial"/>
          <w:sz w:val="24"/>
          <w:szCs w:val="24"/>
        </w:rPr>
        <w:t>the aforementioned written instructions the said amount wa</w:t>
      </w:r>
      <w:r w:rsidR="00F124D8">
        <w:rPr>
          <w:rFonts w:ascii="Arial" w:hAnsi="Arial" w:cs="Arial"/>
          <w:sz w:val="24"/>
          <w:szCs w:val="24"/>
        </w:rPr>
        <w:t>s duly</w:t>
      </w:r>
      <w:r w:rsidRPr="00C331CB">
        <w:rPr>
          <w:rFonts w:ascii="Arial" w:hAnsi="Arial" w:cs="Arial"/>
          <w:sz w:val="24"/>
          <w:szCs w:val="24"/>
        </w:rPr>
        <w:t xml:space="preserve"> transferred</w:t>
      </w:r>
      <w:r w:rsidR="00B94F98">
        <w:rPr>
          <w:rFonts w:ascii="Arial" w:hAnsi="Arial" w:cs="Arial"/>
          <w:sz w:val="24"/>
          <w:szCs w:val="24"/>
        </w:rPr>
        <w:t xml:space="preserve"> into the </w:t>
      </w:r>
      <w:proofErr w:type="spellStart"/>
      <w:r w:rsidR="00B94F98">
        <w:rPr>
          <w:rFonts w:ascii="Arial" w:hAnsi="Arial" w:cs="Arial"/>
          <w:sz w:val="24"/>
          <w:szCs w:val="24"/>
        </w:rPr>
        <w:t>Tulive’s</w:t>
      </w:r>
      <w:proofErr w:type="spellEnd"/>
      <w:r w:rsidR="00B94F98">
        <w:rPr>
          <w:rFonts w:ascii="Arial" w:hAnsi="Arial" w:cs="Arial"/>
          <w:sz w:val="24"/>
          <w:szCs w:val="24"/>
        </w:rPr>
        <w:t xml:space="preserve"> bank account</w:t>
      </w:r>
      <w:r w:rsidR="00ED5EF1">
        <w:rPr>
          <w:rFonts w:ascii="Arial" w:hAnsi="Arial" w:cs="Arial"/>
          <w:sz w:val="24"/>
          <w:szCs w:val="24"/>
        </w:rPr>
        <w:t>.</w:t>
      </w:r>
    </w:p>
    <w:p w:rsidR="00B94F98" w:rsidRPr="00C331CB" w:rsidRDefault="00B94F98" w:rsidP="00365F2C">
      <w:pPr>
        <w:spacing w:after="0" w:line="360" w:lineRule="auto"/>
        <w:jc w:val="both"/>
        <w:rPr>
          <w:rFonts w:ascii="Arial" w:hAnsi="Arial" w:cs="Arial"/>
          <w:sz w:val="24"/>
          <w:szCs w:val="24"/>
        </w:rPr>
      </w:pPr>
    </w:p>
    <w:p w:rsidR="00B83A7E" w:rsidRDefault="007053B2" w:rsidP="00365F2C">
      <w:pPr>
        <w:spacing w:after="0" w:line="360" w:lineRule="auto"/>
        <w:jc w:val="both"/>
        <w:rPr>
          <w:rFonts w:ascii="Arial" w:hAnsi="Arial" w:cs="Arial"/>
          <w:sz w:val="24"/>
          <w:szCs w:val="24"/>
        </w:rPr>
      </w:pPr>
      <w:r w:rsidRPr="00C331CB">
        <w:rPr>
          <w:rFonts w:ascii="Arial" w:hAnsi="Arial" w:cs="Arial"/>
          <w:sz w:val="24"/>
          <w:szCs w:val="24"/>
        </w:rPr>
        <w:t>[</w:t>
      </w:r>
      <w:r w:rsidR="00F124D8">
        <w:rPr>
          <w:rFonts w:ascii="Arial" w:hAnsi="Arial" w:cs="Arial"/>
          <w:sz w:val="24"/>
          <w:szCs w:val="24"/>
        </w:rPr>
        <w:t>8</w:t>
      </w:r>
      <w:r w:rsidRPr="00C331CB">
        <w:rPr>
          <w:rFonts w:ascii="Arial" w:hAnsi="Arial" w:cs="Arial"/>
          <w:sz w:val="24"/>
          <w:szCs w:val="24"/>
        </w:rPr>
        <w:t>]</w:t>
      </w:r>
      <w:r w:rsidRPr="00C331CB">
        <w:rPr>
          <w:rFonts w:ascii="Arial" w:hAnsi="Arial" w:cs="Arial"/>
          <w:sz w:val="24"/>
          <w:szCs w:val="24"/>
        </w:rPr>
        <w:tab/>
        <w:t xml:space="preserve">Once the funds were received in the bank account of </w:t>
      </w:r>
      <w:proofErr w:type="spellStart"/>
      <w:r w:rsidRPr="00C331CB">
        <w:rPr>
          <w:rFonts w:ascii="Arial" w:hAnsi="Arial" w:cs="Arial"/>
          <w:sz w:val="24"/>
          <w:szCs w:val="24"/>
        </w:rPr>
        <w:t>Tulive</w:t>
      </w:r>
      <w:proofErr w:type="spellEnd"/>
      <w:r w:rsidRPr="00C331CB">
        <w:rPr>
          <w:rFonts w:ascii="Arial" w:hAnsi="Arial" w:cs="Arial"/>
          <w:sz w:val="24"/>
          <w:szCs w:val="24"/>
        </w:rPr>
        <w:t xml:space="preserve"> the </w:t>
      </w:r>
      <w:r w:rsidR="00B83A7E" w:rsidRPr="00C331CB">
        <w:rPr>
          <w:rFonts w:ascii="Arial" w:hAnsi="Arial" w:cs="Arial"/>
          <w:sz w:val="24"/>
          <w:szCs w:val="24"/>
        </w:rPr>
        <w:t>defendants dealt with the money as if</w:t>
      </w:r>
      <w:r w:rsidR="00193B9D">
        <w:rPr>
          <w:rFonts w:ascii="Arial" w:hAnsi="Arial" w:cs="Arial"/>
          <w:sz w:val="24"/>
          <w:szCs w:val="24"/>
        </w:rPr>
        <w:t xml:space="preserve"> </w:t>
      </w:r>
      <w:r w:rsidR="00193B9D" w:rsidRPr="00C04129">
        <w:rPr>
          <w:rFonts w:ascii="Arial" w:hAnsi="Arial" w:cs="Arial"/>
          <w:sz w:val="24"/>
          <w:szCs w:val="24"/>
        </w:rPr>
        <w:t>it were</w:t>
      </w:r>
      <w:r w:rsidR="00B83A7E" w:rsidRPr="00C04129">
        <w:rPr>
          <w:rFonts w:ascii="Arial" w:hAnsi="Arial" w:cs="Arial"/>
          <w:sz w:val="24"/>
          <w:szCs w:val="24"/>
        </w:rPr>
        <w:t xml:space="preserve"> </w:t>
      </w:r>
      <w:r w:rsidR="00B83A7E" w:rsidRPr="00C331CB">
        <w:rPr>
          <w:rFonts w:ascii="Arial" w:hAnsi="Arial" w:cs="Arial"/>
          <w:sz w:val="24"/>
          <w:szCs w:val="24"/>
        </w:rPr>
        <w:t>their own</w:t>
      </w:r>
      <w:r w:rsidR="00D14AFA">
        <w:rPr>
          <w:rFonts w:ascii="Arial" w:hAnsi="Arial" w:cs="Arial"/>
          <w:sz w:val="24"/>
          <w:szCs w:val="24"/>
        </w:rPr>
        <w:t>. The flow of the money from the account of the first defendant is set out in detail in the particulars of claim and I do not intend to replicate it for purposes of this ruling</w:t>
      </w:r>
      <w:r w:rsidR="00B83A7E" w:rsidRPr="00C331CB">
        <w:rPr>
          <w:rFonts w:ascii="Arial" w:hAnsi="Arial" w:cs="Arial"/>
          <w:sz w:val="24"/>
          <w:szCs w:val="24"/>
        </w:rPr>
        <w:t xml:space="preserve">. </w:t>
      </w:r>
      <w:r w:rsidR="00D14AFA">
        <w:rPr>
          <w:rFonts w:ascii="Arial" w:hAnsi="Arial" w:cs="Arial"/>
          <w:sz w:val="24"/>
          <w:szCs w:val="24"/>
        </w:rPr>
        <w:t>If one consider</w:t>
      </w:r>
      <w:r w:rsidR="00193B9D" w:rsidRPr="0036058A">
        <w:rPr>
          <w:rFonts w:ascii="Arial" w:hAnsi="Arial" w:cs="Arial"/>
          <w:sz w:val="24"/>
          <w:szCs w:val="24"/>
        </w:rPr>
        <w:t>s</w:t>
      </w:r>
      <w:r w:rsidR="00D14AFA">
        <w:rPr>
          <w:rFonts w:ascii="Arial" w:hAnsi="Arial" w:cs="Arial"/>
          <w:sz w:val="24"/>
          <w:szCs w:val="24"/>
        </w:rPr>
        <w:t xml:space="preserve"> the flow of the money from the account of the first defendant it would appear that certain monies were transferred </w:t>
      </w:r>
      <w:r w:rsidR="00C502EA">
        <w:rPr>
          <w:rFonts w:ascii="Arial" w:hAnsi="Arial" w:cs="Arial"/>
          <w:sz w:val="24"/>
          <w:szCs w:val="24"/>
        </w:rPr>
        <w:t>b</w:t>
      </w:r>
      <w:r w:rsidR="00D14AFA" w:rsidRPr="00C04129">
        <w:rPr>
          <w:rFonts w:ascii="Arial" w:hAnsi="Arial" w:cs="Arial"/>
          <w:sz w:val="24"/>
          <w:szCs w:val="24"/>
        </w:rPr>
        <w:t>ack to the SME Ban</w:t>
      </w:r>
      <w:r w:rsidR="007D18AA" w:rsidRPr="00C04129">
        <w:rPr>
          <w:rFonts w:ascii="Arial" w:hAnsi="Arial" w:cs="Arial"/>
          <w:sz w:val="24"/>
          <w:szCs w:val="24"/>
        </w:rPr>
        <w:t>k</w:t>
      </w:r>
      <w:r w:rsidR="00D14AFA" w:rsidRPr="00C04129">
        <w:rPr>
          <w:rFonts w:ascii="Arial" w:hAnsi="Arial" w:cs="Arial"/>
          <w:sz w:val="24"/>
          <w:szCs w:val="24"/>
        </w:rPr>
        <w:t xml:space="preserve"> d</w:t>
      </w:r>
      <w:r w:rsidR="00B83A7E" w:rsidRPr="00C04129">
        <w:rPr>
          <w:rFonts w:ascii="Arial" w:hAnsi="Arial" w:cs="Arial"/>
          <w:sz w:val="24"/>
          <w:szCs w:val="24"/>
        </w:rPr>
        <w:t xml:space="preserve">uring the period 2015 to 2017 </w:t>
      </w:r>
      <w:r w:rsidR="00D14AFA" w:rsidRPr="00C04129">
        <w:rPr>
          <w:rFonts w:ascii="Arial" w:hAnsi="Arial" w:cs="Arial"/>
          <w:sz w:val="24"/>
          <w:szCs w:val="24"/>
        </w:rPr>
        <w:t xml:space="preserve">consisting of three different payments. The last one was made in June 2017. This is one of the last transactions </w:t>
      </w:r>
      <w:r w:rsidR="007D18AA" w:rsidRPr="00C04129">
        <w:rPr>
          <w:rFonts w:ascii="Arial" w:hAnsi="Arial" w:cs="Arial"/>
          <w:sz w:val="24"/>
          <w:szCs w:val="24"/>
        </w:rPr>
        <w:t xml:space="preserve">made </w:t>
      </w:r>
      <w:r w:rsidR="00D14AFA">
        <w:rPr>
          <w:rFonts w:ascii="Arial" w:hAnsi="Arial" w:cs="Arial"/>
          <w:sz w:val="24"/>
          <w:szCs w:val="24"/>
        </w:rPr>
        <w:t>in the first defendants account and save for small credits for interest and debits for bank charges this account of the first defendant became dormant</w:t>
      </w:r>
      <w:r w:rsidR="00F124D8">
        <w:rPr>
          <w:rFonts w:ascii="Arial" w:hAnsi="Arial" w:cs="Arial"/>
          <w:sz w:val="24"/>
          <w:szCs w:val="24"/>
        </w:rPr>
        <w:t>, according to the plaintiff</w:t>
      </w:r>
      <w:r w:rsidR="00D14AFA">
        <w:rPr>
          <w:rFonts w:ascii="Arial" w:hAnsi="Arial" w:cs="Arial"/>
          <w:sz w:val="24"/>
          <w:szCs w:val="24"/>
        </w:rPr>
        <w:t>.</w:t>
      </w:r>
    </w:p>
    <w:p w:rsidR="00B94F98" w:rsidRPr="00C331CB" w:rsidRDefault="00B94F98" w:rsidP="00365F2C">
      <w:pPr>
        <w:spacing w:after="0" w:line="360" w:lineRule="auto"/>
        <w:jc w:val="both"/>
        <w:rPr>
          <w:rFonts w:ascii="Arial" w:hAnsi="Arial" w:cs="Arial"/>
          <w:sz w:val="24"/>
          <w:szCs w:val="24"/>
        </w:rPr>
      </w:pPr>
    </w:p>
    <w:p w:rsidR="00B83A7E" w:rsidRDefault="00B83A7E" w:rsidP="00365F2C">
      <w:pPr>
        <w:spacing w:after="0" w:line="360" w:lineRule="auto"/>
        <w:jc w:val="both"/>
        <w:rPr>
          <w:rFonts w:ascii="Arial" w:hAnsi="Arial" w:cs="Arial"/>
          <w:sz w:val="24"/>
          <w:szCs w:val="24"/>
        </w:rPr>
      </w:pPr>
      <w:r w:rsidRPr="00C331CB">
        <w:rPr>
          <w:rFonts w:ascii="Arial" w:hAnsi="Arial" w:cs="Arial"/>
          <w:sz w:val="24"/>
          <w:szCs w:val="24"/>
        </w:rPr>
        <w:t>[</w:t>
      </w:r>
      <w:r w:rsidR="00F124D8">
        <w:rPr>
          <w:rFonts w:ascii="Arial" w:hAnsi="Arial" w:cs="Arial"/>
          <w:sz w:val="24"/>
          <w:szCs w:val="24"/>
        </w:rPr>
        <w:t>9</w:t>
      </w:r>
      <w:r w:rsidR="00B94F98">
        <w:rPr>
          <w:rFonts w:ascii="Arial" w:hAnsi="Arial" w:cs="Arial"/>
          <w:sz w:val="24"/>
          <w:szCs w:val="24"/>
        </w:rPr>
        <w:t>]</w:t>
      </w:r>
      <w:r w:rsidRPr="00C331CB">
        <w:rPr>
          <w:rFonts w:ascii="Arial" w:hAnsi="Arial" w:cs="Arial"/>
          <w:sz w:val="24"/>
          <w:szCs w:val="24"/>
        </w:rPr>
        <w:tab/>
        <w:t>After the liquidation of the SME Bank</w:t>
      </w:r>
      <w:r w:rsidR="00A368A9">
        <w:rPr>
          <w:rFonts w:ascii="Arial" w:hAnsi="Arial" w:cs="Arial"/>
          <w:sz w:val="24"/>
          <w:szCs w:val="24"/>
        </w:rPr>
        <w:t>,</w:t>
      </w:r>
      <w:r w:rsidRPr="00C331CB">
        <w:rPr>
          <w:rFonts w:ascii="Arial" w:hAnsi="Arial" w:cs="Arial"/>
          <w:sz w:val="24"/>
          <w:szCs w:val="24"/>
        </w:rPr>
        <w:t xml:space="preserve"> this </w:t>
      </w:r>
      <w:r w:rsidR="00B07023" w:rsidRPr="00C04129">
        <w:rPr>
          <w:rFonts w:ascii="Arial" w:hAnsi="Arial" w:cs="Arial"/>
          <w:sz w:val="24"/>
          <w:szCs w:val="24"/>
        </w:rPr>
        <w:t>c</w:t>
      </w:r>
      <w:r w:rsidRPr="00C04129">
        <w:rPr>
          <w:rFonts w:ascii="Arial" w:hAnsi="Arial" w:cs="Arial"/>
          <w:sz w:val="24"/>
          <w:szCs w:val="24"/>
        </w:rPr>
        <w:t>o</w:t>
      </w:r>
      <w:r w:rsidRPr="00C331CB">
        <w:rPr>
          <w:rFonts w:ascii="Arial" w:hAnsi="Arial" w:cs="Arial"/>
          <w:sz w:val="24"/>
          <w:szCs w:val="24"/>
        </w:rPr>
        <w:t>urt authorized a Commission of Enquiry into the affairs of SME Bank in terms of s 423 and 424 of the Companies Act</w:t>
      </w:r>
      <w:r w:rsidR="0033569C">
        <w:rPr>
          <w:rFonts w:ascii="Arial" w:hAnsi="Arial" w:cs="Arial"/>
          <w:sz w:val="24"/>
          <w:szCs w:val="24"/>
        </w:rPr>
        <w:t>.</w:t>
      </w:r>
      <w:r w:rsidRPr="00C331CB">
        <w:rPr>
          <w:rStyle w:val="FootnoteReference"/>
          <w:rFonts w:ascii="Arial" w:hAnsi="Arial" w:cs="Arial"/>
          <w:sz w:val="24"/>
          <w:szCs w:val="24"/>
        </w:rPr>
        <w:footnoteReference w:id="2"/>
      </w:r>
      <w:r w:rsidRPr="00C331CB">
        <w:rPr>
          <w:rFonts w:ascii="Arial" w:hAnsi="Arial" w:cs="Arial"/>
          <w:sz w:val="24"/>
          <w:szCs w:val="24"/>
        </w:rPr>
        <w:t xml:space="preserve"> The plaintiffs subpoena</w:t>
      </w:r>
      <w:r w:rsidR="00263D65" w:rsidRPr="00C331CB">
        <w:rPr>
          <w:rFonts w:ascii="Arial" w:hAnsi="Arial" w:cs="Arial"/>
          <w:sz w:val="24"/>
          <w:szCs w:val="24"/>
        </w:rPr>
        <w:t>e</w:t>
      </w:r>
      <w:r w:rsidRPr="00C331CB">
        <w:rPr>
          <w:rFonts w:ascii="Arial" w:hAnsi="Arial" w:cs="Arial"/>
          <w:sz w:val="24"/>
          <w:szCs w:val="24"/>
        </w:rPr>
        <w:t>d the second and third defendants to give evidence at the Commission of Enquiry a</w:t>
      </w:r>
      <w:r w:rsidR="00263D65" w:rsidRPr="00C331CB">
        <w:rPr>
          <w:rFonts w:ascii="Arial" w:hAnsi="Arial" w:cs="Arial"/>
          <w:sz w:val="24"/>
          <w:szCs w:val="24"/>
        </w:rPr>
        <w:t xml:space="preserve">nd during these proceedings the second and third defendants testified (also on behalf of the first defendant, </w:t>
      </w:r>
      <w:proofErr w:type="spellStart"/>
      <w:r w:rsidR="00263D65" w:rsidRPr="00C331CB">
        <w:rPr>
          <w:rFonts w:ascii="Arial" w:hAnsi="Arial" w:cs="Arial"/>
          <w:sz w:val="24"/>
          <w:szCs w:val="24"/>
        </w:rPr>
        <w:t>Tulive</w:t>
      </w:r>
      <w:proofErr w:type="spellEnd"/>
      <w:r w:rsidR="007827DB">
        <w:rPr>
          <w:rFonts w:ascii="Arial" w:hAnsi="Arial" w:cs="Arial"/>
          <w:sz w:val="24"/>
          <w:szCs w:val="24"/>
        </w:rPr>
        <w:t>)</w:t>
      </w:r>
      <w:r w:rsidR="00F124D8">
        <w:rPr>
          <w:rFonts w:ascii="Arial" w:hAnsi="Arial" w:cs="Arial"/>
          <w:sz w:val="24"/>
          <w:szCs w:val="24"/>
        </w:rPr>
        <w:t>, confirming that</w:t>
      </w:r>
      <w:r w:rsidR="007827DB">
        <w:rPr>
          <w:rFonts w:ascii="Arial" w:hAnsi="Arial" w:cs="Arial"/>
          <w:sz w:val="24"/>
          <w:szCs w:val="24"/>
        </w:rPr>
        <w:t>:</w:t>
      </w:r>
    </w:p>
    <w:p w:rsidR="00B94F98" w:rsidRPr="00C331CB" w:rsidRDefault="00B94F98" w:rsidP="00365F2C">
      <w:pPr>
        <w:spacing w:after="0" w:line="360" w:lineRule="auto"/>
        <w:jc w:val="both"/>
        <w:rPr>
          <w:rFonts w:ascii="Arial" w:hAnsi="Arial" w:cs="Arial"/>
          <w:sz w:val="24"/>
          <w:szCs w:val="24"/>
        </w:rPr>
      </w:pPr>
    </w:p>
    <w:p w:rsidR="00263D65" w:rsidRPr="00C331CB" w:rsidRDefault="00F124D8" w:rsidP="00365F2C">
      <w:pPr>
        <w:pStyle w:val="ListParagraph"/>
        <w:numPr>
          <w:ilvl w:val="0"/>
          <w:numId w:val="2"/>
        </w:numPr>
        <w:spacing w:after="0" w:line="360" w:lineRule="auto"/>
        <w:jc w:val="both"/>
        <w:rPr>
          <w:rFonts w:ascii="Arial" w:hAnsi="Arial" w:cs="Arial"/>
          <w:sz w:val="24"/>
          <w:szCs w:val="24"/>
        </w:rPr>
      </w:pPr>
      <w:proofErr w:type="gramStart"/>
      <w:r>
        <w:rPr>
          <w:rFonts w:ascii="Arial" w:hAnsi="Arial" w:cs="Arial"/>
          <w:sz w:val="24"/>
          <w:szCs w:val="24"/>
        </w:rPr>
        <w:t>t</w:t>
      </w:r>
      <w:r w:rsidR="00263D65" w:rsidRPr="00C331CB">
        <w:rPr>
          <w:rFonts w:ascii="Arial" w:hAnsi="Arial" w:cs="Arial"/>
          <w:sz w:val="24"/>
          <w:szCs w:val="24"/>
        </w:rPr>
        <w:t>he</w:t>
      </w:r>
      <w:proofErr w:type="gramEnd"/>
      <w:r w:rsidR="00263D65" w:rsidRPr="00C331CB">
        <w:rPr>
          <w:rFonts w:ascii="Arial" w:hAnsi="Arial" w:cs="Arial"/>
          <w:sz w:val="24"/>
          <w:szCs w:val="24"/>
        </w:rPr>
        <w:t xml:space="preserve"> first defendant, </w:t>
      </w:r>
      <w:proofErr w:type="spellStart"/>
      <w:r w:rsidR="00263D65" w:rsidRPr="00C331CB">
        <w:rPr>
          <w:rFonts w:ascii="Arial" w:hAnsi="Arial" w:cs="Arial"/>
          <w:sz w:val="24"/>
          <w:szCs w:val="24"/>
        </w:rPr>
        <w:t>Tulive</w:t>
      </w:r>
      <w:proofErr w:type="spellEnd"/>
      <w:r w:rsidR="00263D65" w:rsidRPr="00C331CB">
        <w:rPr>
          <w:rFonts w:ascii="Arial" w:hAnsi="Arial" w:cs="Arial"/>
          <w:sz w:val="24"/>
          <w:szCs w:val="24"/>
        </w:rPr>
        <w:t>, entered into an agreement with the SME Bank called a Discretionary Agreement. This agreement guaranteed a 13% per annum</w:t>
      </w:r>
      <w:r w:rsidR="00A368A9">
        <w:rPr>
          <w:rFonts w:ascii="Arial" w:hAnsi="Arial" w:cs="Arial"/>
          <w:sz w:val="24"/>
          <w:szCs w:val="24"/>
        </w:rPr>
        <w:t xml:space="preserve"> return on the said investment;</w:t>
      </w:r>
    </w:p>
    <w:p w:rsidR="00263D65" w:rsidRPr="00C331CB" w:rsidRDefault="00F124D8" w:rsidP="00365F2C">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w:t>
      </w:r>
      <w:r w:rsidR="00263D65" w:rsidRPr="00C331CB">
        <w:rPr>
          <w:rFonts w:ascii="Arial" w:hAnsi="Arial" w:cs="Arial"/>
          <w:sz w:val="24"/>
          <w:szCs w:val="24"/>
        </w:rPr>
        <w:t>he first defenda</w:t>
      </w:r>
      <w:r w:rsidR="00A368A9">
        <w:rPr>
          <w:rFonts w:ascii="Arial" w:hAnsi="Arial" w:cs="Arial"/>
          <w:sz w:val="24"/>
          <w:szCs w:val="24"/>
        </w:rPr>
        <w:t>nt received the amount of N$ 10</w:t>
      </w:r>
      <w:r w:rsidR="00B414D4">
        <w:rPr>
          <w:rFonts w:ascii="Arial" w:hAnsi="Arial" w:cs="Arial"/>
          <w:sz w:val="24"/>
          <w:szCs w:val="24"/>
        </w:rPr>
        <w:t xml:space="preserve"> </w:t>
      </w:r>
      <w:r w:rsidR="00A368A9">
        <w:rPr>
          <w:rFonts w:ascii="Arial" w:hAnsi="Arial" w:cs="Arial"/>
          <w:sz w:val="24"/>
          <w:szCs w:val="24"/>
        </w:rPr>
        <w:t xml:space="preserve">000 </w:t>
      </w:r>
      <w:r w:rsidR="00263D65" w:rsidRPr="00C331CB">
        <w:rPr>
          <w:rFonts w:ascii="Arial" w:hAnsi="Arial" w:cs="Arial"/>
          <w:sz w:val="24"/>
          <w:szCs w:val="24"/>
        </w:rPr>
        <w:t>000 from the SME Bank;</w:t>
      </w:r>
    </w:p>
    <w:p w:rsidR="00263D65" w:rsidRPr="00C331CB" w:rsidRDefault="00F124D8" w:rsidP="00365F2C">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w:t>
      </w:r>
      <w:r w:rsidR="00263D65" w:rsidRPr="00C331CB">
        <w:rPr>
          <w:rFonts w:ascii="Arial" w:hAnsi="Arial" w:cs="Arial"/>
          <w:sz w:val="24"/>
          <w:szCs w:val="24"/>
        </w:rPr>
        <w:t>he first de</w:t>
      </w:r>
      <w:r w:rsidR="00A368A9">
        <w:rPr>
          <w:rFonts w:ascii="Arial" w:hAnsi="Arial" w:cs="Arial"/>
          <w:sz w:val="24"/>
          <w:szCs w:val="24"/>
        </w:rPr>
        <w:t xml:space="preserve">fendant had to invest the N$ 10 000 </w:t>
      </w:r>
      <w:r w:rsidR="00263D65" w:rsidRPr="00C331CB">
        <w:rPr>
          <w:rFonts w:ascii="Arial" w:hAnsi="Arial" w:cs="Arial"/>
          <w:sz w:val="24"/>
          <w:szCs w:val="24"/>
        </w:rPr>
        <w:t xml:space="preserve">000 for and on behalf of SME Bank; </w:t>
      </w:r>
    </w:p>
    <w:p w:rsidR="00263D65" w:rsidRDefault="00F124D8" w:rsidP="00365F2C">
      <w:pPr>
        <w:pStyle w:val="ListParagraph"/>
        <w:numPr>
          <w:ilvl w:val="0"/>
          <w:numId w:val="2"/>
        </w:numPr>
        <w:spacing w:after="0" w:line="360" w:lineRule="auto"/>
        <w:jc w:val="both"/>
        <w:rPr>
          <w:rFonts w:ascii="Arial" w:hAnsi="Arial" w:cs="Arial"/>
          <w:sz w:val="24"/>
          <w:szCs w:val="24"/>
        </w:rPr>
      </w:pPr>
      <w:proofErr w:type="gramStart"/>
      <w:r>
        <w:rPr>
          <w:rFonts w:ascii="Arial" w:hAnsi="Arial" w:cs="Arial"/>
          <w:sz w:val="24"/>
          <w:szCs w:val="24"/>
        </w:rPr>
        <w:t>t</w:t>
      </w:r>
      <w:r w:rsidR="00503C17">
        <w:rPr>
          <w:rFonts w:ascii="Arial" w:hAnsi="Arial" w:cs="Arial"/>
          <w:sz w:val="24"/>
          <w:szCs w:val="24"/>
        </w:rPr>
        <w:t>he</w:t>
      </w:r>
      <w:proofErr w:type="gramEnd"/>
      <w:r w:rsidR="00503C17">
        <w:rPr>
          <w:rFonts w:ascii="Arial" w:hAnsi="Arial" w:cs="Arial"/>
          <w:sz w:val="24"/>
          <w:szCs w:val="24"/>
        </w:rPr>
        <w:t xml:space="preserve"> N$ 10</w:t>
      </w:r>
      <w:r w:rsidR="00B414D4">
        <w:rPr>
          <w:rFonts w:ascii="Arial" w:hAnsi="Arial" w:cs="Arial"/>
          <w:sz w:val="24"/>
          <w:szCs w:val="24"/>
        </w:rPr>
        <w:t xml:space="preserve"> </w:t>
      </w:r>
      <w:r w:rsidR="00503C17">
        <w:rPr>
          <w:rFonts w:ascii="Arial" w:hAnsi="Arial" w:cs="Arial"/>
          <w:sz w:val="24"/>
          <w:szCs w:val="24"/>
        </w:rPr>
        <w:t xml:space="preserve">000 </w:t>
      </w:r>
      <w:r w:rsidR="00263D65" w:rsidRPr="00C331CB">
        <w:rPr>
          <w:rFonts w:ascii="Arial" w:hAnsi="Arial" w:cs="Arial"/>
          <w:sz w:val="24"/>
          <w:szCs w:val="24"/>
        </w:rPr>
        <w:t>000, other than the amounts re</w:t>
      </w:r>
      <w:r w:rsidR="00B94F98">
        <w:rPr>
          <w:rFonts w:ascii="Arial" w:hAnsi="Arial" w:cs="Arial"/>
          <w:sz w:val="24"/>
          <w:szCs w:val="24"/>
        </w:rPr>
        <w:t>paid to the SME Bank, was lost.</w:t>
      </w:r>
    </w:p>
    <w:p w:rsidR="00B94F98" w:rsidRPr="00C331CB" w:rsidRDefault="00B94F98" w:rsidP="00B94F98">
      <w:pPr>
        <w:pStyle w:val="ListParagraph"/>
        <w:spacing w:after="0" w:line="360" w:lineRule="auto"/>
        <w:ind w:left="0"/>
        <w:jc w:val="both"/>
        <w:rPr>
          <w:rFonts w:ascii="Arial" w:hAnsi="Arial" w:cs="Arial"/>
          <w:sz w:val="24"/>
          <w:szCs w:val="24"/>
        </w:rPr>
      </w:pPr>
    </w:p>
    <w:p w:rsidR="00E726EC" w:rsidRDefault="00B83A7E" w:rsidP="00365F2C">
      <w:pPr>
        <w:spacing w:after="0" w:line="360" w:lineRule="auto"/>
        <w:jc w:val="both"/>
        <w:rPr>
          <w:rFonts w:ascii="Arial" w:hAnsi="Arial" w:cs="Arial"/>
          <w:sz w:val="24"/>
          <w:szCs w:val="24"/>
        </w:rPr>
      </w:pPr>
      <w:r w:rsidRPr="00C331CB">
        <w:rPr>
          <w:rFonts w:ascii="Arial" w:hAnsi="Arial" w:cs="Arial"/>
          <w:sz w:val="24"/>
          <w:szCs w:val="24"/>
        </w:rPr>
        <w:lastRenderedPageBreak/>
        <w:t>[</w:t>
      </w:r>
      <w:r w:rsidR="00F124D8">
        <w:rPr>
          <w:rFonts w:ascii="Arial" w:hAnsi="Arial" w:cs="Arial"/>
          <w:sz w:val="24"/>
          <w:szCs w:val="24"/>
        </w:rPr>
        <w:t>10</w:t>
      </w:r>
      <w:r w:rsidR="00B94F98">
        <w:rPr>
          <w:rFonts w:ascii="Arial" w:hAnsi="Arial" w:cs="Arial"/>
          <w:sz w:val="24"/>
          <w:szCs w:val="24"/>
        </w:rPr>
        <w:t>]</w:t>
      </w:r>
      <w:r w:rsidR="00B94F98">
        <w:rPr>
          <w:rFonts w:ascii="Arial" w:hAnsi="Arial" w:cs="Arial"/>
          <w:sz w:val="24"/>
          <w:szCs w:val="24"/>
        </w:rPr>
        <w:tab/>
      </w:r>
      <w:r w:rsidRPr="00C331CB">
        <w:rPr>
          <w:rFonts w:ascii="Arial" w:hAnsi="Arial" w:cs="Arial"/>
          <w:sz w:val="24"/>
          <w:szCs w:val="24"/>
        </w:rPr>
        <w:t xml:space="preserve">The plaintiffs issued summons against the </w:t>
      </w:r>
      <w:r w:rsidR="00B94F98">
        <w:rPr>
          <w:rFonts w:ascii="Arial" w:hAnsi="Arial" w:cs="Arial"/>
          <w:sz w:val="24"/>
          <w:szCs w:val="24"/>
        </w:rPr>
        <w:t>defendants for payment of N$ 13</w:t>
      </w:r>
      <w:r w:rsidR="00B414D4">
        <w:rPr>
          <w:rFonts w:ascii="Arial" w:hAnsi="Arial" w:cs="Arial"/>
          <w:sz w:val="24"/>
          <w:szCs w:val="24"/>
        </w:rPr>
        <w:t xml:space="preserve"> </w:t>
      </w:r>
      <w:r w:rsidR="00B94F98">
        <w:rPr>
          <w:rFonts w:ascii="Arial" w:hAnsi="Arial" w:cs="Arial"/>
          <w:sz w:val="24"/>
          <w:szCs w:val="24"/>
        </w:rPr>
        <w:t xml:space="preserve">138 </w:t>
      </w:r>
      <w:r w:rsidRPr="00C331CB">
        <w:rPr>
          <w:rFonts w:ascii="Arial" w:hAnsi="Arial" w:cs="Arial"/>
          <w:sz w:val="24"/>
          <w:szCs w:val="24"/>
        </w:rPr>
        <w:t>906.80 plus interest and costs</w:t>
      </w:r>
      <w:r w:rsidR="0033569C">
        <w:rPr>
          <w:rFonts w:ascii="Arial" w:hAnsi="Arial" w:cs="Arial"/>
          <w:sz w:val="24"/>
          <w:szCs w:val="24"/>
        </w:rPr>
        <w:t>.</w:t>
      </w:r>
      <w:r w:rsidR="00651626" w:rsidRPr="00C331CB">
        <w:rPr>
          <w:rStyle w:val="FootnoteReference"/>
          <w:rFonts w:ascii="Arial" w:hAnsi="Arial" w:cs="Arial"/>
          <w:sz w:val="24"/>
          <w:szCs w:val="24"/>
        </w:rPr>
        <w:footnoteReference w:id="3"/>
      </w:r>
      <w:r w:rsidR="00B94F98">
        <w:rPr>
          <w:rFonts w:ascii="Arial" w:hAnsi="Arial" w:cs="Arial"/>
          <w:sz w:val="24"/>
          <w:szCs w:val="24"/>
        </w:rPr>
        <w:t xml:space="preserve"> </w:t>
      </w:r>
      <w:r w:rsidRPr="00C331CB">
        <w:rPr>
          <w:rFonts w:ascii="Arial" w:hAnsi="Arial" w:cs="Arial"/>
          <w:sz w:val="24"/>
          <w:szCs w:val="24"/>
        </w:rPr>
        <w:t>The</w:t>
      </w:r>
      <w:r w:rsidR="00E726EC" w:rsidRPr="00C331CB">
        <w:rPr>
          <w:rFonts w:ascii="Arial" w:hAnsi="Arial" w:cs="Arial"/>
          <w:sz w:val="24"/>
          <w:szCs w:val="24"/>
        </w:rPr>
        <w:t xml:space="preserve"> claims as set out in the particulars of claim consist of the following:</w:t>
      </w:r>
    </w:p>
    <w:p w:rsidR="00B414D4" w:rsidRPr="00C331CB" w:rsidRDefault="00B414D4" w:rsidP="00365F2C">
      <w:pPr>
        <w:spacing w:after="0" w:line="360" w:lineRule="auto"/>
        <w:jc w:val="both"/>
        <w:rPr>
          <w:rFonts w:ascii="Arial" w:hAnsi="Arial" w:cs="Arial"/>
          <w:sz w:val="24"/>
          <w:szCs w:val="24"/>
        </w:rPr>
      </w:pPr>
    </w:p>
    <w:p w:rsidR="00263D65" w:rsidRPr="00C331CB" w:rsidRDefault="00130338" w:rsidP="00365F2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Main claim is based </w:t>
      </w:r>
      <w:r w:rsidRPr="00F46384">
        <w:rPr>
          <w:rFonts w:ascii="Arial" w:hAnsi="Arial" w:cs="Arial"/>
          <w:sz w:val="24"/>
          <w:szCs w:val="24"/>
        </w:rPr>
        <w:t xml:space="preserve">on </w:t>
      </w:r>
      <w:r w:rsidR="00C04129" w:rsidRPr="00F46384">
        <w:rPr>
          <w:rFonts w:ascii="Arial" w:hAnsi="Arial" w:cs="Arial"/>
          <w:sz w:val="24"/>
          <w:szCs w:val="24"/>
        </w:rPr>
        <w:t xml:space="preserve">s 31 </w:t>
      </w:r>
      <w:r>
        <w:rPr>
          <w:rFonts w:ascii="Arial" w:hAnsi="Arial" w:cs="Arial"/>
          <w:sz w:val="24"/>
          <w:szCs w:val="24"/>
        </w:rPr>
        <w:t xml:space="preserve">the </w:t>
      </w:r>
      <w:r w:rsidR="00E726EC" w:rsidRPr="00C331CB">
        <w:rPr>
          <w:rFonts w:ascii="Arial" w:hAnsi="Arial" w:cs="Arial"/>
          <w:sz w:val="24"/>
          <w:szCs w:val="24"/>
        </w:rPr>
        <w:t>Insolvency Act</w:t>
      </w:r>
      <w:r w:rsidR="00B94F98">
        <w:rPr>
          <w:rFonts w:ascii="Arial" w:hAnsi="Arial" w:cs="Arial"/>
          <w:sz w:val="24"/>
          <w:szCs w:val="24"/>
        </w:rPr>
        <w:t>.</w:t>
      </w:r>
    </w:p>
    <w:p w:rsidR="00130338" w:rsidRDefault="00130338" w:rsidP="00365F2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The first alternative claim is </w:t>
      </w:r>
      <w:r w:rsidRPr="00C04129">
        <w:rPr>
          <w:rFonts w:ascii="Arial" w:hAnsi="Arial" w:cs="Arial"/>
          <w:sz w:val="24"/>
          <w:szCs w:val="24"/>
        </w:rPr>
        <w:t>advanced</w:t>
      </w:r>
      <w:r w:rsidR="00436ADE" w:rsidRPr="00C04129">
        <w:rPr>
          <w:rFonts w:ascii="Arial" w:hAnsi="Arial" w:cs="Arial"/>
          <w:sz w:val="24"/>
          <w:szCs w:val="24"/>
        </w:rPr>
        <w:t xml:space="preserve"> and based on the fact that</w:t>
      </w:r>
      <w:r w:rsidRPr="00C04129">
        <w:rPr>
          <w:rFonts w:ascii="Arial" w:hAnsi="Arial" w:cs="Arial"/>
          <w:sz w:val="24"/>
          <w:szCs w:val="24"/>
        </w:rPr>
        <w:t xml:space="preserve"> </w:t>
      </w:r>
      <w:r>
        <w:rPr>
          <w:rFonts w:ascii="Arial" w:hAnsi="Arial" w:cs="Arial"/>
          <w:sz w:val="24"/>
          <w:szCs w:val="24"/>
        </w:rPr>
        <w:t xml:space="preserve">in the event the court finds that the plaintiff’s main claim in terms of the Insolvency Act cannot succeed and on the supposition </w:t>
      </w:r>
      <w:r w:rsidRPr="00C04129">
        <w:rPr>
          <w:rFonts w:ascii="Arial" w:hAnsi="Arial" w:cs="Arial"/>
          <w:sz w:val="24"/>
          <w:szCs w:val="24"/>
        </w:rPr>
        <w:t xml:space="preserve">that the </w:t>
      </w:r>
      <w:r w:rsidR="00A55592" w:rsidRPr="00C04129">
        <w:rPr>
          <w:rFonts w:ascii="Arial" w:hAnsi="Arial" w:cs="Arial"/>
          <w:sz w:val="24"/>
          <w:szCs w:val="24"/>
        </w:rPr>
        <w:t>d</w:t>
      </w:r>
      <w:r w:rsidRPr="00C04129">
        <w:rPr>
          <w:rFonts w:ascii="Arial" w:hAnsi="Arial" w:cs="Arial"/>
          <w:sz w:val="24"/>
          <w:szCs w:val="24"/>
        </w:rPr>
        <w:t xml:space="preserve">iscretionary </w:t>
      </w:r>
      <w:r w:rsidR="00A55592" w:rsidRPr="00C04129">
        <w:rPr>
          <w:rFonts w:ascii="Arial" w:hAnsi="Arial" w:cs="Arial"/>
          <w:sz w:val="24"/>
          <w:szCs w:val="24"/>
        </w:rPr>
        <w:t>a</w:t>
      </w:r>
      <w:r w:rsidRPr="00C04129">
        <w:rPr>
          <w:rFonts w:ascii="Arial" w:hAnsi="Arial" w:cs="Arial"/>
          <w:sz w:val="24"/>
          <w:szCs w:val="24"/>
        </w:rPr>
        <w:t>greement is indeed a valid agreement</w:t>
      </w:r>
      <w:r w:rsidR="002335A6" w:rsidRPr="00C04129">
        <w:rPr>
          <w:rFonts w:ascii="Arial" w:hAnsi="Arial" w:cs="Arial"/>
          <w:sz w:val="24"/>
          <w:szCs w:val="24"/>
        </w:rPr>
        <w:t>,</w:t>
      </w:r>
      <w:r w:rsidR="00C04129" w:rsidRPr="00C04129">
        <w:rPr>
          <w:rFonts w:ascii="Arial" w:hAnsi="Arial" w:cs="Arial"/>
          <w:sz w:val="24"/>
          <w:szCs w:val="24"/>
        </w:rPr>
        <w:t xml:space="preserve"> </w:t>
      </w:r>
      <w:r w:rsidR="002335A6" w:rsidRPr="00C04129">
        <w:rPr>
          <w:rFonts w:ascii="Arial" w:hAnsi="Arial" w:cs="Arial"/>
          <w:sz w:val="24"/>
          <w:szCs w:val="24"/>
        </w:rPr>
        <w:t>i</w:t>
      </w:r>
      <w:r w:rsidRPr="00C04129">
        <w:rPr>
          <w:rFonts w:ascii="Arial" w:hAnsi="Arial" w:cs="Arial"/>
          <w:sz w:val="24"/>
          <w:szCs w:val="24"/>
        </w:rPr>
        <w:t>n that even</w:t>
      </w:r>
      <w:r w:rsidR="00A62E22" w:rsidRPr="00C04129">
        <w:rPr>
          <w:rFonts w:ascii="Arial" w:hAnsi="Arial" w:cs="Arial"/>
          <w:sz w:val="24"/>
          <w:szCs w:val="24"/>
        </w:rPr>
        <w:t>t</w:t>
      </w:r>
      <w:r w:rsidRPr="00C04129">
        <w:rPr>
          <w:rFonts w:ascii="Arial" w:hAnsi="Arial" w:cs="Arial"/>
          <w:sz w:val="24"/>
          <w:szCs w:val="24"/>
        </w:rPr>
        <w:t xml:space="preserve"> the plaintiff’s claim is for specific performance of the </w:t>
      </w:r>
      <w:r w:rsidR="0064363A" w:rsidRPr="00C04129">
        <w:rPr>
          <w:rFonts w:ascii="Arial" w:hAnsi="Arial" w:cs="Arial"/>
          <w:sz w:val="24"/>
          <w:szCs w:val="24"/>
        </w:rPr>
        <w:t>d</w:t>
      </w:r>
      <w:r w:rsidRPr="00C04129">
        <w:rPr>
          <w:rFonts w:ascii="Arial" w:hAnsi="Arial" w:cs="Arial"/>
          <w:sz w:val="24"/>
          <w:szCs w:val="24"/>
        </w:rPr>
        <w:t xml:space="preserve">iscretionary </w:t>
      </w:r>
      <w:r w:rsidR="0064363A" w:rsidRPr="00C04129">
        <w:rPr>
          <w:rFonts w:ascii="Arial" w:hAnsi="Arial" w:cs="Arial"/>
          <w:sz w:val="24"/>
          <w:szCs w:val="24"/>
        </w:rPr>
        <w:t>a</w:t>
      </w:r>
      <w:r w:rsidRPr="00C04129">
        <w:rPr>
          <w:rFonts w:ascii="Arial" w:hAnsi="Arial" w:cs="Arial"/>
          <w:sz w:val="24"/>
          <w:szCs w:val="24"/>
        </w:rPr>
        <w:t>greement</w:t>
      </w:r>
      <w:r w:rsidR="0064363A" w:rsidRPr="00C04129">
        <w:rPr>
          <w:rFonts w:ascii="Arial" w:hAnsi="Arial" w:cs="Arial"/>
          <w:sz w:val="24"/>
          <w:szCs w:val="24"/>
        </w:rPr>
        <w:t xml:space="preserve">, including the claim based on </w:t>
      </w:r>
      <w:r w:rsidRPr="00C04129">
        <w:rPr>
          <w:rFonts w:ascii="Arial" w:hAnsi="Arial" w:cs="Arial"/>
          <w:sz w:val="24"/>
          <w:szCs w:val="24"/>
        </w:rPr>
        <w:t>a guaranteed re</w:t>
      </w:r>
      <w:r w:rsidR="00B94F98" w:rsidRPr="00C04129">
        <w:rPr>
          <w:rFonts w:ascii="Arial" w:hAnsi="Arial" w:cs="Arial"/>
          <w:sz w:val="24"/>
          <w:szCs w:val="24"/>
        </w:rPr>
        <w:t>turn on investment of the N$ 10</w:t>
      </w:r>
      <w:r w:rsidR="0068467D" w:rsidRPr="00C04129">
        <w:rPr>
          <w:rFonts w:ascii="Arial" w:hAnsi="Arial" w:cs="Arial"/>
          <w:sz w:val="24"/>
          <w:szCs w:val="24"/>
        </w:rPr>
        <w:t xml:space="preserve"> </w:t>
      </w:r>
      <w:r w:rsidR="00B94F98" w:rsidRPr="00C04129">
        <w:rPr>
          <w:rFonts w:ascii="Arial" w:hAnsi="Arial" w:cs="Arial"/>
          <w:sz w:val="24"/>
          <w:szCs w:val="24"/>
        </w:rPr>
        <w:t xml:space="preserve">000 </w:t>
      </w:r>
      <w:r w:rsidRPr="00C04129">
        <w:rPr>
          <w:rFonts w:ascii="Arial" w:hAnsi="Arial" w:cs="Arial"/>
          <w:sz w:val="24"/>
          <w:szCs w:val="24"/>
        </w:rPr>
        <w:t xml:space="preserve">000. The </w:t>
      </w:r>
      <w:r>
        <w:rPr>
          <w:rFonts w:ascii="Arial" w:hAnsi="Arial" w:cs="Arial"/>
          <w:sz w:val="24"/>
          <w:szCs w:val="24"/>
        </w:rPr>
        <w:t>plaintiff</w:t>
      </w:r>
      <w:r w:rsidR="00091AD0" w:rsidRPr="00C502EA">
        <w:rPr>
          <w:rFonts w:ascii="Arial" w:hAnsi="Arial" w:cs="Arial"/>
          <w:sz w:val="24"/>
          <w:szCs w:val="24"/>
        </w:rPr>
        <w:t>s</w:t>
      </w:r>
      <w:r>
        <w:rPr>
          <w:rFonts w:ascii="Arial" w:hAnsi="Arial" w:cs="Arial"/>
          <w:sz w:val="24"/>
          <w:szCs w:val="24"/>
        </w:rPr>
        <w:t xml:space="preserve"> pleaded that only in the event that the court finds that the plaintiffs are not entitled to specific performance and given the first defendant’s lack of repentance, the plaintif</w:t>
      </w:r>
      <w:r w:rsidRPr="00091AD0">
        <w:rPr>
          <w:rFonts w:ascii="Arial" w:hAnsi="Arial" w:cs="Arial"/>
          <w:sz w:val="24"/>
          <w:szCs w:val="24"/>
        </w:rPr>
        <w:t>fs</w:t>
      </w:r>
      <w:r>
        <w:rPr>
          <w:rFonts w:ascii="Arial" w:hAnsi="Arial" w:cs="Arial"/>
          <w:sz w:val="24"/>
          <w:szCs w:val="24"/>
        </w:rPr>
        <w:t xml:space="preserve"> accepts the first defendant’s repudiation a</w:t>
      </w:r>
      <w:r w:rsidR="00B94F98">
        <w:rPr>
          <w:rFonts w:ascii="Arial" w:hAnsi="Arial" w:cs="Arial"/>
          <w:sz w:val="24"/>
          <w:szCs w:val="24"/>
        </w:rPr>
        <w:t>nd reclaims the amount of N$ 10</w:t>
      </w:r>
      <w:r w:rsidR="0068467D">
        <w:rPr>
          <w:rFonts w:ascii="Arial" w:hAnsi="Arial" w:cs="Arial"/>
          <w:sz w:val="24"/>
          <w:szCs w:val="24"/>
        </w:rPr>
        <w:t xml:space="preserve"> </w:t>
      </w:r>
      <w:r w:rsidR="00B94F98">
        <w:rPr>
          <w:rFonts w:ascii="Arial" w:hAnsi="Arial" w:cs="Arial"/>
          <w:sz w:val="24"/>
          <w:szCs w:val="24"/>
        </w:rPr>
        <w:t xml:space="preserve">000 </w:t>
      </w:r>
      <w:r>
        <w:rPr>
          <w:rFonts w:ascii="Arial" w:hAnsi="Arial" w:cs="Arial"/>
          <w:sz w:val="24"/>
          <w:szCs w:val="24"/>
        </w:rPr>
        <w:t>000.</w:t>
      </w:r>
    </w:p>
    <w:p w:rsidR="00130338" w:rsidRPr="00C04129" w:rsidRDefault="00130338" w:rsidP="00365F2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second alternative claim is based on the provisions of s 39 of the Banking Institutions Act</w:t>
      </w:r>
      <w:r w:rsidRPr="00C331CB">
        <w:rPr>
          <w:rStyle w:val="FootnoteReference"/>
          <w:rFonts w:ascii="Arial" w:hAnsi="Arial" w:cs="Arial"/>
          <w:sz w:val="24"/>
          <w:szCs w:val="24"/>
        </w:rPr>
        <w:footnoteReference w:id="4"/>
      </w:r>
      <w:r w:rsidR="00A62E22">
        <w:rPr>
          <w:rFonts w:ascii="Arial" w:hAnsi="Arial" w:cs="Arial"/>
          <w:sz w:val="24"/>
          <w:szCs w:val="24"/>
        </w:rPr>
        <w:t>,</w:t>
      </w:r>
      <w:r w:rsidR="004A5B56">
        <w:rPr>
          <w:rFonts w:ascii="Arial" w:hAnsi="Arial" w:cs="Arial"/>
          <w:sz w:val="24"/>
          <w:szCs w:val="24"/>
        </w:rPr>
        <w:t xml:space="preserve"> which prohibits any banking institution from conducting any financial business or transaction which is not usually or ordinarily conducted by a banking institution, such as the transactions entered into by and between the first defendant and the SME Bank when they entered in</w:t>
      </w:r>
      <w:r w:rsidR="00B94F98">
        <w:rPr>
          <w:rFonts w:ascii="Arial" w:hAnsi="Arial" w:cs="Arial"/>
          <w:sz w:val="24"/>
          <w:szCs w:val="24"/>
        </w:rPr>
        <w:t xml:space="preserve">to </w:t>
      </w:r>
      <w:r w:rsidR="00B94F98" w:rsidRPr="00C04129">
        <w:rPr>
          <w:rFonts w:ascii="Arial" w:hAnsi="Arial" w:cs="Arial"/>
          <w:sz w:val="24"/>
          <w:szCs w:val="24"/>
        </w:rPr>
        <w:t xml:space="preserve">the </w:t>
      </w:r>
      <w:r w:rsidR="00C523B7" w:rsidRPr="00C04129">
        <w:rPr>
          <w:rFonts w:ascii="Arial" w:hAnsi="Arial" w:cs="Arial"/>
          <w:sz w:val="24"/>
          <w:szCs w:val="24"/>
        </w:rPr>
        <w:t>d</w:t>
      </w:r>
      <w:r w:rsidR="00B94F98" w:rsidRPr="00C04129">
        <w:rPr>
          <w:rFonts w:ascii="Arial" w:hAnsi="Arial" w:cs="Arial"/>
          <w:sz w:val="24"/>
          <w:szCs w:val="24"/>
        </w:rPr>
        <w:t xml:space="preserve">iscretionary </w:t>
      </w:r>
      <w:r w:rsidR="00C523B7" w:rsidRPr="00C04129">
        <w:rPr>
          <w:rFonts w:ascii="Arial" w:hAnsi="Arial" w:cs="Arial"/>
          <w:sz w:val="24"/>
          <w:szCs w:val="24"/>
        </w:rPr>
        <w:t>a</w:t>
      </w:r>
      <w:r w:rsidR="00B94F98" w:rsidRPr="00C04129">
        <w:rPr>
          <w:rFonts w:ascii="Arial" w:hAnsi="Arial" w:cs="Arial"/>
          <w:sz w:val="24"/>
          <w:szCs w:val="24"/>
        </w:rPr>
        <w:t>greement.</w:t>
      </w:r>
    </w:p>
    <w:p w:rsidR="004A5B56" w:rsidRPr="00C04129" w:rsidRDefault="004A5B56" w:rsidP="00365F2C">
      <w:pPr>
        <w:pStyle w:val="ListParagraph"/>
        <w:numPr>
          <w:ilvl w:val="0"/>
          <w:numId w:val="1"/>
        </w:numPr>
        <w:spacing w:after="0" w:line="360" w:lineRule="auto"/>
        <w:jc w:val="both"/>
        <w:rPr>
          <w:rFonts w:ascii="Arial" w:hAnsi="Arial" w:cs="Arial"/>
          <w:sz w:val="24"/>
          <w:szCs w:val="24"/>
        </w:rPr>
      </w:pPr>
      <w:r w:rsidRPr="00C04129">
        <w:rPr>
          <w:rFonts w:ascii="Arial" w:hAnsi="Arial" w:cs="Arial"/>
          <w:sz w:val="24"/>
          <w:szCs w:val="24"/>
        </w:rPr>
        <w:t>The second main claim is against the second defendant only for travel and accommodation expenses unlawfully incurred between the fi</w:t>
      </w:r>
      <w:r w:rsidR="00B94F98" w:rsidRPr="00C04129">
        <w:rPr>
          <w:rFonts w:ascii="Arial" w:hAnsi="Arial" w:cs="Arial"/>
          <w:sz w:val="24"/>
          <w:szCs w:val="24"/>
        </w:rPr>
        <w:t>rst defendant and the SME Bank.</w:t>
      </w:r>
    </w:p>
    <w:p w:rsidR="00B94F98" w:rsidRPr="00C04129" w:rsidRDefault="00B94F98" w:rsidP="00B94F98">
      <w:pPr>
        <w:pStyle w:val="ListParagraph"/>
        <w:spacing w:after="0" w:line="360" w:lineRule="auto"/>
        <w:ind w:left="0"/>
        <w:jc w:val="both"/>
        <w:rPr>
          <w:rFonts w:ascii="Arial" w:hAnsi="Arial" w:cs="Arial"/>
          <w:sz w:val="24"/>
          <w:szCs w:val="24"/>
        </w:rPr>
      </w:pPr>
    </w:p>
    <w:p w:rsidR="00CA0F88" w:rsidRPr="00C04129" w:rsidRDefault="00CA0F88" w:rsidP="00365F2C">
      <w:pPr>
        <w:spacing w:after="0" w:line="360" w:lineRule="auto"/>
        <w:jc w:val="both"/>
        <w:rPr>
          <w:rFonts w:ascii="Arial" w:hAnsi="Arial" w:cs="Arial"/>
          <w:sz w:val="24"/>
          <w:szCs w:val="24"/>
        </w:rPr>
      </w:pPr>
      <w:r w:rsidRPr="00C04129">
        <w:rPr>
          <w:rFonts w:ascii="Arial" w:hAnsi="Arial" w:cs="Arial"/>
          <w:sz w:val="24"/>
          <w:szCs w:val="24"/>
        </w:rPr>
        <w:t>[</w:t>
      </w:r>
      <w:r w:rsidR="00A62E22" w:rsidRPr="00C04129">
        <w:rPr>
          <w:rFonts w:ascii="Arial" w:hAnsi="Arial" w:cs="Arial"/>
          <w:sz w:val="24"/>
          <w:szCs w:val="24"/>
        </w:rPr>
        <w:t>11</w:t>
      </w:r>
      <w:r w:rsidR="00EC0B51" w:rsidRPr="00C04129">
        <w:rPr>
          <w:rFonts w:ascii="Arial" w:hAnsi="Arial" w:cs="Arial"/>
          <w:sz w:val="24"/>
          <w:szCs w:val="24"/>
        </w:rPr>
        <w:t>]</w:t>
      </w:r>
      <w:r w:rsidR="00EC0B51" w:rsidRPr="00C04129">
        <w:rPr>
          <w:rFonts w:ascii="Arial" w:hAnsi="Arial" w:cs="Arial"/>
          <w:sz w:val="24"/>
          <w:szCs w:val="24"/>
        </w:rPr>
        <w:tab/>
      </w:r>
      <w:r w:rsidRPr="00C04129">
        <w:rPr>
          <w:rFonts w:ascii="Arial" w:hAnsi="Arial" w:cs="Arial"/>
          <w:sz w:val="24"/>
          <w:szCs w:val="24"/>
        </w:rPr>
        <w:t>For purposes of the summary judgment application the plaintiffs are relying on the f</w:t>
      </w:r>
      <w:r w:rsidR="004A5B56" w:rsidRPr="00C04129">
        <w:rPr>
          <w:rFonts w:ascii="Arial" w:hAnsi="Arial" w:cs="Arial"/>
          <w:sz w:val="24"/>
          <w:szCs w:val="24"/>
        </w:rPr>
        <w:t>irst</w:t>
      </w:r>
      <w:r w:rsidRPr="00C04129">
        <w:rPr>
          <w:rFonts w:ascii="Arial" w:hAnsi="Arial" w:cs="Arial"/>
          <w:sz w:val="24"/>
          <w:szCs w:val="24"/>
        </w:rPr>
        <w:t xml:space="preserve"> alternative claim for specific performance. In light thereof it is not necessary to </w:t>
      </w:r>
      <w:r w:rsidR="007827DB" w:rsidRPr="00C04129">
        <w:rPr>
          <w:rFonts w:ascii="Arial" w:hAnsi="Arial" w:cs="Arial"/>
          <w:sz w:val="24"/>
          <w:szCs w:val="24"/>
        </w:rPr>
        <w:t>consider or discuss</w:t>
      </w:r>
      <w:r w:rsidRPr="00C04129">
        <w:rPr>
          <w:rFonts w:ascii="Arial" w:hAnsi="Arial" w:cs="Arial"/>
          <w:sz w:val="24"/>
          <w:szCs w:val="24"/>
        </w:rPr>
        <w:t xml:space="preserve"> the remainder of the claims </w:t>
      </w:r>
      <w:r w:rsidR="007827DB" w:rsidRPr="00C04129">
        <w:rPr>
          <w:rFonts w:ascii="Arial" w:hAnsi="Arial" w:cs="Arial"/>
          <w:sz w:val="24"/>
          <w:szCs w:val="24"/>
        </w:rPr>
        <w:t xml:space="preserve">for </w:t>
      </w:r>
      <w:r w:rsidRPr="00C04129">
        <w:rPr>
          <w:rFonts w:ascii="Arial" w:hAnsi="Arial" w:cs="Arial"/>
          <w:sz w:val="24"/>
          <w:szCs w:val="24"/>
        </w:rPr>
        <w:t xml:space="preserve">purposes of the current ruling. </w:t>
      </w:r>
      <w:r w:rsidR="00F949E0" w:rsidRPr="00C04129">
        <w:rPr>
          <w:rFonts w:ascii="Arial" w:hAnsi="Arial" w:cs="Arial"/>
          <w:sz w:val="24"/>
          <w:szCs w:val="24"/>
        </w:rPr>
        <w:lastRenderedPageBreak/>
        <w:t xml:space="preserve">The plaintiffs indicated that they are not pursuing </w:t>
      </w:r>
      <w:r w:rsidR="004A5B56" w:rsidRPr="00C04129">
        <w:rPr>
          <w:rFonts w:ascii="Arial" w:hAnsi="Arial" w:cs="Arial"/>
          <w:sz w:val="24"/>
          <w:szCs w:val="24"/>
        </w:rPr>
        <w:t xml:space="preserve">the second main </w:t>
      </w:r>
      <w:r w:rsidR="00A62E22" w:rsidRPr="00C04129">
        <w:rPr>
          <w:rFonts w:ascii="Arial" w:hAnsi="Arial" w:cs="Arial"/>
          <w:sz w:val="24"/>
          <w:szCs w:val="24"/>
        </w:rPr>
        <w:t xml:space="preserve">claim </w:t>
      </w:r>
      <w:r w:rsidR="00F949E0" w:rsidRPr="00C04129">
        <w:rPr>
          <w:rFonts w:ascii="Arial" w:hAnsi="Arial" w:cs="Arial"/>
          <w:sz w:val="24"/>
          <w:szCs w:val="24"/>
        </w:rPr>
        <w:t>against the second defendant for purposes of th</w:t>
      </w:r>
      <w:r w:rsidR="00B94F98" w:rsidRPr="00C04129">
        <w:rPr>
          <w:rFonts w:ascii="Arial" w:hAnsi="Arial" w:cs="Arial"/>
          <w:sz w:val="24"/>
          <w:szCs w:val="24"/>
        </w:rPr>
        <w:t>e summary judgment application.</w:t>
      </w:r>
    </w:p>
    <w:p w:rsidR="00B94F98" w:rsidRPr="00C04129" w:rsidRDefault="00B94F98" w:rsidP="00365F2C">
      <w:pPr>
        <w:spacing w:after="0" w:line="360" w:lineRule="auto"/>
        <w:jc w:val="both"/>
        <w:rPr>
          <w:rFonts w:ascii="Arial" w:hAnsi="Arial" w:cs="Arial"/>
          <w:sz w:val="24"/>
          <w:szCs w:val="24"/>
        </w:rPr>
      </w:pPr>
    </w:p>
    <w:p w:rsidR="00D244F5" w:rsidRDefault="00CA0F88" w:rsidP="00365F2C">
      <w:pPr>
        <w:spacing w:after="0" w:line="360" w:lineRule="auto"/>
        <w:jc w:val="both"/>
        <w:rPr>
          <w:rFonts w:ascii="Arial" w:hAnsi="Arial" w:cs="Arial"/>
          <w:sz w:val="24"/>
          <w:szCs w:val="24"/>
        </w:rPr>
      </w:pPr>
      <w:r w:rsidRPr="00C04129">
        <w:rPr>
          <w:rFonts w:ascii="Arial" w:hAnsi="Arial" w:cs="Arial"/>
          <w:sz w:val="24"/>
          <w:szCs w:val="24"/>
        </w:rPr>
        <w:t>[</w:t>
      </w:r>
      <w:r w:rsidR="00A62E22" w:rsidRPr="00C04129">
        <w:rPr>
          <w:rFonts w:ascii="Arial" w:hAnsi="Arial" w:cs="Arial"/>
          <w:sz w:val="24"/>
          <w:szCs w:val="24"/>
        </w:rPr>
        <w:t>12</w:t>
      </w:r>
      <w:r w:rsidRPr="00C04129">
        <w:rPr>
          <w:rFonts w:ascii="Arial" w:hAnsi="Arial" w:cs="Arial"/>
          <w:sz w:val="24"/>
          <w:szCs w:val="24"/>
        </w:rPr>
        <w:t>]</w:t>
      </w:r>
      <w:r w:rsidRPr="00C04129">
        <w:rPr>
          <w:rFonts w:ascii="Arial" w:hAnsi="Arial" w:cs="Arial"/>
          <w:sz w:val="24"/>
          <w:szCs w:val="24"/>
        </w:rPr>
        <w:tab/>
        <w:t>In respect of the claim for specific performance the plaintiff</w:t>
      </w:r>
      <w:r w:rsidR="00A62E22" w:rsidRPr="00C04129">
        <w:rPr>
          <w:rFonts w:ascii="Arial" w:hAnsi="Arial" w:cs="Arial"/>
          <w:sz w:val="24"/>
          <w:szCs w:val="24"/>
        </w:rPr>
        <w:t>s</w:t>
      </w:r>
      <w:r w:rsidRPr="00C04129">
        <w:rPr>
          <w:rFonts w:ascii="Arial" w:hAnsi="Arial" w:cs="Arial"/>
          <w:sz w:val="24"/>
          <w:szCs w:val="24"/>
        </w:rPr>
        <w:t xml:space="preserve"> pleaded that in the event that the court finds that the </w:t>
      </w:r>
      <w:r w:rsidR="00DE20CB" w:rsidRPr="00C04129">
        <w:rPr>
          <w:rFonts w:ascii="Arial" w:hAnsi="Arial" w:cs="Arial"/>
          <w:sz w:val="24"/>
          <w:szCs w:val="24"/>
        </w:rPr>
        <w:t>d</w:t>
      </w:r>
      <w:r w:rsidRPr="00C04129">
        <w:rPr>
          <w:rFonts w:ascii="Arial" w:hAnsi="Arial" w:cs="Arial"/>
          <w:sz w:val="24"/>
          <w:szCs w:val="24"/>
        </w:rPr>
        <w:t xml:space="preserve">iscretionary </w:t>
      </w:r>
      <w:r w:rsidR="00DE20CB" w:rsidRPr="00C04129">
        <w:rPr>
          <w:rFonts w:ascii="Arial" w:hAnsi="Arial" w:cs="Arial"/>
          <w:sz w:val="24"/>
          <w:szCs w:val="24"/>
        </w:rPr>
        <w:t>a</w:t>
      </w:r>
      <w:r w:rsidRPr="00C04129">
        <w:rPr>
          <w:rFonts w:ascii="Arial" w:hAnsi="Arial" w:cs="Arial"/>
          <w:sz w:val="24"/>
          <w:szCs w:val="24"/>
        </w:rPr>
        <w:t>greement is a valid agreement then the plaintiff</w:t>
      </w:r>
      <w:r w:rsidR="00A62E22" w:rsidRPr="00C04129">
        <w:rPr>
          <w:rFonts w:ascii="Arial" w:hAnsi="Arial" w:cs="Arial"/>
          <w:sz w:val="24"/>
          <w:szCs w:val="24"/>
        </w:rPr>
        <w:t>s</w:t>
      </w:r>
      <w:r w:rsidRPr="00C04129">
        <w:rPr>
          <w:rFonts w:ascii="Arial" w:hAnsi="Arial" w:cs="Arial"/>
          <w:sz w:val="24"/>
          <w:szCs w:val="24"/>
        </w:rPr>
        <w:t xml:space="preserve"> allege that the first defendant breached the guarantee stipulated </w:t>
      </w:r>
      <w:r w:rsidRPr="00C331CB">
        <w:rPr>
          <w:rFonts w:ascii="Arial" w:hAnsi="Arial" w:cs="Arial"/>
          <w:sz w:val="24"/>
          <w:szCs w:val="24"/>
        </w:rPr>
        <w:t>in the agreement</w:t>
      </w:r>
      <w:r w:rsidR="00A62E22">
        <w:rPr>
          <w:rFonts w:ascii="Arial" w:hAnsi="Arial" w:cs="Arial"/>
          <w:sz w:val="24"/>
          <w:szCs w:val="24"/>
        </w:rPr>
        <w:t xml:space="preserve"> (POC 4)</w:t>
      </w:r>
      <w:r w:rsidRPr="00C331CB">
        <w:rPr>
          <w:rFonts w:ascii="Arial" w:hAnsi="Arial" w:cs="Arial"/>
          <w:sz w:val="24"/>
          <w:szCs w:val="24"/>
        </w:rPr>
        <w:t xml:space="preserve"> as attached to the particulars of claim, by failing to pay the SME Bank the guaranteed 13% per </w:t>
      </w:r>
      <w:r w:rsidR="00B94F98">
        <w:rPr>
          <w:rFonts w:ascii="Arial" w:hAnsi="Arial" w:cs="Arial"/>
          <w:sz w:val="24"/>
          <w:szCs w:val="24"/>
        </w:rPr>
        <w:t>annum return on the investment.</w:t>
      </w:r>
    </w:p>
    <w:p w:rsidR="00B94F98" w:rsidRDefault="00B94F98" w:rsidP="00365F2C">
      <w:pPr>
        <w:spacing w:after="0" w:line="360" w:lineRule="auto"/>
        <w:jc w:val="both"/>
        <w:rPr>
          <w:rFonts w:ascii="Arial" w:hAnsi="Arial" w:cs="Arial"/>
          <w:sz w:val="24"/>
          <w:szCs w:val="24"/>
          <w:u w:val="single"/>
        </w:rPr>
      </w:pPr>
    </w:p>
    <w:p w:rsidR="00D244F5" w:rsidRDefault="00D244F5" w:rsidP="00365F2C">
      <w:pPr>
        <w:spacing w:after="0" w:line="360" w:lineRule="auto"/>
        <w:jc w:val="both"/>
        <w:rPr>
          <w:rFonts w:ascii="Arial" w:hAnsi="Arial" w:cs="Arial"/>
          <w:sz w:val="24"/>
          <w:szCs w:val="24"/>
          <w:u w:val="single"/>
        </w:rPr>
      </w:pPr>
      <w:r>
        <w:rPr>
          <w:rFonts w:ascii="Arial" w:hAnsi="Arial" w:cs="Arial"/>
          <w:sz w:val="24"/>
          <w:szCs w:val="24"/>
          <w:u w:val="single"/>
        </w:rPr>
        <w:t>Applicable legal p</w:t>
      </w:r>
      <w:r w:rsidRPr="00D244F5">
        <w:rPr>
          <w:rFonts w:ascii="Arial" w:hAnsi="Arial" w:cs="Arial"/>
          <w:sz w:val="24"/>
          <w:szCs w:val="24"/>
          <w:u w:val="single"/>
        </w:rPr>
        <w:t xml:space="preserve">rinciples </w:t>
      </w:r>
      <w:r>
        <w:rPr>
          <w:rFonts w:ascii="Arial" w:hAnsi="Arial" w:cs="Arial"/>
          <w:sz w:val="24"/>
          <w:szCs w:val="24"/>
          <w:u w:val="single"/>
        </w:rPr>
        <w:t xml:space="preserve">in regards to </w:t>
      </w:r>
      <w:r w:rsidRPr="00D244F5">
        <w:rPr>
          <w:rFonts w:ascii="Arial" w:hAnsi="Arial" w:cs="Arial"/>
          <w:sz w:val="24"/>
          <w:szCs w:val="24"/>
          <w:u w:val="single"/>
        </w:rPr>
        <w:t>summary judgment</w:t>
      </w:r>
    </w:p>
    <w:p w:rsidR="00B94F98" w:rsidRDefault="00B94F98" w:rsidP="00365F2C">
      <w:pPr>
        <w:spacing w:after="0" w:line="360" w:lineRule="auto"/>
        <w:jc w:val="both"/>
        <w:rPr>
          <w:rFonts w:ascii="Arial" w:hAnsi="Arial" w:cs="Arial"/>
          <w:sz w:val="24"/>
          <w:szCs w:val="24"/>
          <w:u w:val="single"/>
        </w:rPr>
      </w:pPr>
    </w:p>
    <w:p w:rsidR="00D244F5" w:rsidRPr="00C04129" w:rsidRDefault="00D244F5" w:rsidP="00365F2C">
      <w:pPr>
        <w:spacing w:after="0" w:line="360" w:lineRule="auto"/>
        <w:jc w:val="both"/>
        <w:rPr>
          <w:rFonts w:ascii="Arial" w:hAnsi="Arial" w:cs="Arial"/>
          <w:sz w:val="24"/>
          <w:szCs w:val="24"/>
        </w:rPr>
      </w:pPr>
      <w:r w:rsidRPr="00D244F5">
        <w:rPr>
          <w:rFonts w:ascii="Arial" w:hAnsi="Arial" w:cs="Arial"/>
          <w:sz w:val="24"/>
          <w:szCs w:val="24"/>
        </w:rPr>
        <w:t>[</w:t>
      </w:r>
      <w:r w:rsidR="00A62E22">
        <w:rPr>
          <w:rFonts w:ascii="Arial" w:hAnsi="Arial" w:cs="Arial"/>
          <w:sz w:val="24"/>
          <w:szCs w:val="24"/>
        </w:rPr>
        <w:t>13</w:t>
      </w:r>
      <w:r w:rsidR="00B94F98">
        <w:rPr>
          <w:rFonts w:ascii="Arial" w:hAnsi="Arial" w:cs="Arial"/>
          <w:sz w:val="24"/>
          <w:szCs w:val="24"/>
        </w:rPr>
        <w:t>]</w:t>
      </w:r>
      <w:r w:rsidR="00B94F98">
        <w:rPr>
          <w:rFonts w:ascii="Arial" w:hAnsi="Arial" w:cs="Arial"/>
          <w:sz w:val="24"/>
          <w:szCs w:val="24"/>
        </w:rPr>
        <w:tab/>
      </w:r>
      <w:r w:rsidRPr="00D244F5">
        <w:rPr>
          <w:rFonts w:ascii="Arial" w:hAnsi="Arial" w:cs="Arial"/>
          <w:sz w:val="24"/>
          <w:szCs w:val="24"/>
        </w:rPr>
        <w:t>The applicable principles</w:t>
      </w:r>
      <w:r w:rsidR="00A62E22">
        <w:rPr>
          <w:rFonts w:ascii="Arial" w:hAnsi="Arial" w:cs="Arial"/>
          <w:sz w:val="24"/>
          <w:szCs w:val="24"/>
        </w:rPr>
        <w:t xml:space="preserve"> in regards to summary judgments applications</w:t>
      </w:r>
      <w:r w:rsidRPr="00D244F5">
        <w:rPr>
          <w:rFonts w:ascii="Arial" w:hAnsi="Arial" w:cs="Arial"/>
          <w:sz w:val="24"/>
          <w:szCs w:val="24"/>
        </w:rPr>
        <w:t xml:space="preserve"> are trite</w:t>
      </w:r>
      <w:r>
        <w:rPr>
          <w:rFonts w:ascii="Arial" w:hAnsi="Arial" w:cs="Arial"/>
          <w:sz w:val="24"/>
          <w:szCs w:val="24"/>
        </w:rPr>
        <w:t xml:space="preserve"> and I see no need to restate it. I will however keep in my mental spectacle a reminder that during the current enquiry the court must determine firstly</w:t>
      </w:r>
      <w:r w:rsidR="00ED2A21">
        <w:rPr>
          <w:rFonts w:ascii="Arial" w:hAnsi="Arial" w:cs="Arial"/>
          <w:sz w:val="24"/>
          <w:szCs w:val="24"/>
        </w:rPr>
        <w:t>,</w:t>
      </w:r>
      <w:r>
        <w:rPr>
          <w:rFonts w:ascii="Arial" w:hAnsi="Arial" w:cs="Arial"/>
          <w:sz w:val="24"/>
          <w:szCs w:val="24"/>
        </w:rPr>
        <w:t xml:space="preserve"> </w:t>
      </w:r>
      <w:r w:rsidR="00BD3022">
        <w:rPr>
          <w:rFonts w:ascii="Arial" w:hAnsi="Arial" w:cs="Arial"/>
          <w:sz w:val="24"/>
          <w:szCs w:val="24"/>
        </w:rPr>
        <w:t>that the plaintiffs have established its claim clearly on the papers and secondly</w:t>
      </w:r>
      <w:r w:rsidR="00ED2A21">
        <w:rPr>
          <w:rFonts w:ascii="Arial" w:hAnsi="Arial" w:cs="Arial"/>
          <w:sz w:val="24"/>
          <w:szCs w:val="24"/>
        </w:rPr>
        <w:t>,</w:t>
      </w:r>
      <w:r w:rsidR="00BD3022">
        <w:rPr>
          <w:rFonts w:ascii="Arial" w:hAnsi="Arial" w:cs="Arial"/>
          <w:sz w:val="24"/>
          <w:szCs w:val="24"/>
        </w:rPr>
        <w:t xml:space="preserve"> </w:t>
      </w:r>
      <w:r>
        <w:rPr>
          <w:rFonts w:ascii="Arial" w:hAnsi="Arial" w:cs="Arial"/>
          <w:sz w:val="24"/>
          <w:szCs w:val="24"/>
        </w:rPr>
        <w:t xml:space="preserve">whether the defendant has fully disclosed the nature and grounds of the defence </w:t>
      </w:r>
      <w:r w:rsidRPr="00C04129">
        <w:rPr>
          <w:rFonts w:ascii="Arial" w:hAnsi="Arial" w:cs="Arial"/>
          <w:sz w:val="24"/>
          <w:szCs w:val="24"/>
        </w:rPr>
        <w:t>raised in the action and the material</w:t>
      </w:r>
      <w:r w:rsidR="003A6AFE" w:rsidRPr="00C04129">
        <w:rPr>
          <w:rFonts w:ascii="Arial" w:hAnsi="Arial" w:cs="Arial"/>
          <w:sz w:val="24"/>
          <w:szCs w:val="24"/>
        </w:rPr>
        <w:t xml:space="preserve"> facts upon which it is founded</w:t>
      </w:r>
      <w:r w:rsidRPr="00C04129">
        <w:rPr>
          <w:rFonts w:ascii="Arial" w:hAnsi="Arial" w:cs="Arial"/>
          <w:sz w:val="24"/>
          <w:szCs w:val="24"/>
        </w:rPr>
        <w:t xml:space="preserve"> on the facts disclosed in </w:t>
      </w:r>
      <w:r w:rsidR="00ED2A21" w:rsidRPr="00C04129">
        <w:rPr>
          <w:rFonts w:ascii="Arial" w:hAnsi="Arial" w:cs="Arial"/>
          <w:sz w:val="24"/>
          <w:szCs w:val="24"/>
        </w:rPr>
        <w:t xml:space="preserve">the </w:t>
      </w:r>
      <w:r w:rsidRPr="00C04129">
        <w:rPr>
          <w:rFonts w:ascii="Arial" w:hAnsi="Arial" w:cs="Arial"/>
          <w:sz w:val="24"/>
          <w:szCs w:val="24"/>
        </w:rPr>
        <w:t>affidavit,</w:t>
      </w:r>
      <w:r w:rsidR="003A6AFE" w:rsidRPr="00C04129">
        <w:rPr>
          <w:rFonts w:ascii="Arial" w:hAnsi="Arial" w:cs="Arial"/>
          <w:sz w:val="24"/>
          <w:szCs w:val="24"/>
        </w:rPr>
        <w:t xml:space="preserve"> and whether</w:t>
      </w:r>
      <w:r w:rsidRPr="00C04129">
        <w:rPr>
          <w:rFonts w:ascii="Arial" w:hAnsi="Arial" w:cs="Arial"/>
          <w:sz w:val="24"/>
          <w:szCs w:val="24"/>
        </w:rPr>
        <w:t xml:space="preserve"> the defendant appear to have, as to either the whole or part of the claim, a defence which is bona fide and good in law. If satisfied</w:t>
      </w:r>
      <w:r w:rsidR="003A6AFE" w:rsidRPr="00C04129">
        <w:rPr>
          <w:rFonts w:ascii="Arial" w:hAnsi="Arial" w:cs="Arial"/>
          <w:sz w:val="24"/>
          <w:szCs w:val="24"/>
        </w:rPr>
        <w:t>,</w:t>
      </w:r>
      <w:r w:rsidRPr="00C04129">
        <w:rPr>
          <w:rFonts w:ascii="Arial" w:hAnsi="Arial" w:cs="Arial"/>
          <w:sz w:val="24"/>
          <w:szCs w:val="24"/>
        </w:rPr>
        <w:t xml:space="preserve"> the court must refuse summary judgment, either wholly </w:t>
      </w:r>
      <w:r w:rsidR="00B94F98" w:rsidRPr="00C04129">
        <w:rPr>
          <w:rFonts w:ascii="Arial" w:hAnsi="Arial" w:cs="Arial"/>
          <w:sz w:val="24"/>
          <w:szCs w:val="24"/>
        </w:rPr>
        <w:t xml:space="preserve">or in part, </w:t>
      </w:r>
      <w:r w:rsidR="003A6AFE" w:rsidRPr="00C04129">
        <w:rPr>
          <w:rFonts w:ascii="Arial" w:hAnsi="Arial" w:cs="Arial"/>
          <w:sz w:val="24"/>
          <w:szCs w:val="24"/>
        </w:rPr>
        <w:t xml:space="preserve">as </w:t>
      </w:r>
      <w:r w:rsidR="00B94F98" w:rsidRPr="00C04129">
        <w:rPr>
          <w:rFonts w:ascii="Arial" w:hAnsi="Arial" w:cs="Arial"/>
          <w:sz w:val="24"/>
          <w:szCs w:val="24"/>
        </w:rPr>
        <w:t>the case may be.</w:t>
      </w:r>
    </w:p>
    <w:p w:rsidR="00B94F98" w:rsidRDefault="00B94F98" w:rsidP="00365F2C">
      <w:pPr>
        <w:spacing w:after="0" w:line="360" w:lineRule="auto"/>
        <w:jc w:val="both"/>
        <w:rPr>
          <w:rFonts w:ascii="Arial" w:hAnsi="Arial" w:cs="Arial"/>
          <w:sz w:val="24"/>
          <w:szCs w:val="24"/>
          <w:u w:val="single"/>
        </w:rPr>
      </w:pPr>
    </w:p>
    <w:p w:rsidR="00D0155E" w:rsidRDefault="00D0155E" w:rsidP="00365F2C">
      <w:pPr>
        <w:spacing w:after="0" w:line="360" w:lineRule="auto"/>
        <w:jc w:val="both"/>
        <w:rPr>
          <w:rFonts w:ascii="Arial" w:hAnsi="Arial" w:cs="Arial"/>
          <w:sz w:val="24"/>
          <w:szCs w:val="24"/>
          <w:u w:val="single"/>
        </w:rPr>
      </w:pPr>
      <w:r w:rsidRPr="00B14E87">
        <w:rPr>
          <w:rFonts w:ascii="Arial" w:hAnsi="Arial" w:cs="Arial"/>
          <w:sz w:val="24"/>
          <w:szCs w:val="24"/>
          <w:u w:val="single"/>
        </w:rPr>
        <w:t>Opposing affidavit</w:t>
      </w:r>
    </w:p>
    <w:p w:rsidR="00B94F98" w:rsidRPr="00B14E87" w:rsidRDefault="00B94F98" w:rsidP="00365F2C">
      <w:pPr>
        <w:spacing w:after="0" w:line="360" w:lineRule="auto"/>
        <w:jc w:val="both"/>
        <w:rPr>
          <w:rFonts w:ascii="Arial" w:hAnsi="Arial" w:cs="Arial"/>
          <w:sz w:val="24"/>
          <w:szCs w:val="24"/>
          <w:u w:val="single"/>
        </w:rPr>
      </w:pPr>
    </w:p>
    <w:p w:rsidR="00F949E0" w:rsidRDefault="00D0155E" w:rsidP="00365F2C">
      <w:pPr>
        <w:spacing w:after="0" w:line="360" w:lineRule="auto"/>
        <w:jc w:val="both"/>
        <w:rPr>
          <w:rFonts w:ascii="Arial" w:hAnsi="Arial" w:cs="Arial"/>
          <w:sz w:val="24"/>
          <w:szCs w:val="24"/>
        </w:rPr>
      </w:pPr>
      <w:r w:rsidRPr="00C331CB">
        <w:rPr>
          <w:rFonts w:ascii="Arial" w:hAnsi="Arial" w:cs="Arial"/>
          <w:sz w:val="24"/>
          <w:szCs w:val="24"/>
        </w:rPr>
        <w:t>[</w:t>
      </w:r>
      <w:r w:rsidR="00BD3022">
        <w:rPr>
          <w:rFonts w:ascii="Arial" w:hAnsi="Arial" w:cs="Arial"/>
          <w:sz w:val="24"/>
          <w:szCs w:val="24"/>
        </w:rPr>
        <w:t>14</w:t>
      </w:r>
      <w:r w:rsidRPr="00C331CB">
        <w:rPr>
          <w:rFonts w:ascii="Arial" w:hAnsi="Arial" w:cs="Arial"/>
          <w:sz w:val="24"/>
          <w:szCs w:val="24"/>
        </w:rPr>
        <w:t>]</w:t>
      </w:r>
      <w:r w:rsidRPr="00C331CB">
        <w:rPr>
          <w:rFonts w:ascii="Arial" w:hAnsi="Arial" w:cs="Arial"/>
          <w:sz w:val="24"/>
          <w:szCs w:val="24"/>
        </w:rPr>
        <w:tab/>
        <w:t xml:space="preserve">Mr </w:t>
      </w:r>
      <w:proofErr w:type="spellStart"/>
      <w:r w:rsidRPr="00C331CB">
        <w:rPr>
          <w:rFonts w:ascii="Arial" w:hAnsi="Arial" w:cs="Arial"/>
          <w:sz w:val="24"/>
          <w:szCs w:val="24"/>
        </w:rPr>
        <w:t>Iyaloo</w:t>
      </w:r>
      <w:proofErr w:type="spellEnd"/>
      <w:r w:rsidRPr="00C331CB">
        <w:rPr>
          <w:rFonts w:ascii="Arial" w:hAnsi="Arial" w:cs="Arial"/>
          <w:sz w:val="24"/>
          <w:szCs w:val="24"/>
        </w:rPr>
        <w:t xml:space="preserve"> </w:t>
      </w:r>
      <w:proofErr w:type="spellStart"/>
      <w:r w:rsidRPr="00C331CB">
        <w:rPr>
          <w:rFonts w:ascii="Arial" w:hAnsi="Arial" w:cs="Arial"/>
          <w:sz w:val="24"/>
          <w:szCs w:val="24"/>
        </w:rPr>
        <w:t>Nangolo</w:t>
      </w:r>
      <w:proofErr w:type="spellEnd"/>
      <w:r w:rsidR="00BD3022">
        <w:rPr>
          <w:rFonts w:ascii="Arial" w:hAnsi="Arial" w:cs="Arial"/>
          <w:sz w:val="24"/>
          <w:szCs w:val="24"/>
        </w:rPr>
        <w:t xml:space="preserve">, the </w:t>
      </w:r>
      <w:r w:rsidR="00A86211">
        <w:rPr>
          <w:rFonts w:ascii="Arial" w:hAnsi="Arial" w:cs="Arial"/>
          <w:sz w:val="24"/>
          <w:szCs w:val="24"/>
        </w:rPr>
        <w:t>M</w:t>
      </w:r>
      <w:r w:rsidR="00BD3022">
        <w:rPr>
          <w:rFonts w:ascii="Arial" w:hAnsi="Arial" w:cs="Arial"/>
          <w:sz w:val="24"/>
          <w:szCs w:val="24"/>
        </w:rPr>
        <w:t xml:space="preserve">anaging </w:t>
      </w:r>
      <w:r w:rsidR="00A86211">
        <w:rPr>
          <w:rFonts w:ascii="Arial" w:hAnsi="Arial" w:cs="Arial"/>
          <w:sz w:val="24"/>
          <w:szCs w:val="24"/>
        </w:rPr>
        <w:t>D</w:t>
      </w:r>
      <w:r w:rsidR="00BD3022">
        <w:rPr>
          <w:rFonts w:ascii="Arial" w:hAnsi="Arial" w:cs="Arial"/>
          <w:sz w:val="24"/>
          <w:szCs w:val="24"/>
        </w:rPr>
        <w:t>irect</w:t>
      </w:r>
      <w:r w:rsidR="00A86211">
        <w:rPr>
          <w:rFonts w:ascii="Arial" w:hAnsi="Arial" w:cs="Arial"/>
          <w:sz w:val="24"/>
          <w:szCs w:val="24"/>
        </w:rPr>
        <w:t>or</w:t>
      </w:r>
      <w:r w:rsidR="00BD3022">
        <w:rPr>
          <w:rFonts w:ascii="Arial" w:hAnsi="Arial" w:cs="Arial"/>
          <w:sz w:val="24"/>
          <w:szCs w:val="24"/>
        </w:rPr>
        <w:t xml:space="preserve"> of </w:t>
      </w:r>
      <w:proofErr w:type="spellStart"/>
      <w:r w:rsidR="00BD3022">
        <w:rPr>
          <w:rFonts w:ascii="Arial" w:hAnsi="Arial" w:cs="Arial"/>
          <w:sz w:val="24"/>
          <w:szCs w:val="24"/>
        </w:rPr>
        <w:t>Tulive</w:t>
      </w:r>
      <w:proofErr w:type="spellEnd"/>
      <w:r w:rsidR="00BD3022">
        <w:rPr>
          <w:rFonts w:ascii="Arial" w:hAnsi="Arial" w:cs="Arial"/>
          <w:sz w:val="24"/>
          <w:szCs w:val="24"/>
        </w:rPr>
        <w:t xml:space="preserve">, </w:t>
      </w:r>
      <w:r w:rsidRPr="00C331CB">
        <w:rPr>
          <w:rFonts w:ascii="Arial" w:hAnsi="Arial" w:cs="Arial"/>
          <w:sz w:val="24"/>
          <w:szCs w:val="24"/>
        </w:rPr>
        <w:t xml:space="preserve">deposed to the opposing affidavit </w:t>
      </w:r>
      <w:r w:rsidR="00A86211">
        <w:rPr>
          <w:rFonts w:ascii="Arial" w:hAnsi="Arial" w:cs="Arial"/>
          <w:sz w:val="24"/>
          <w:szCs w:val="24"/>
        </w:rPr>
        <w:t>in opposition to the summary judgment application</w:t>
      </w:r>
      <w:r w:rsidR="007E4510">
        <w:rPr>
          <w:rFonts w:ascii="Arial" w:hAnsi="Arial" w:cs="Arial"/>
          <w:sz w:val="24"/>
          <w:szCs w:val="24"/>
        </w:rPr>
        <w:t xml:space="preserve">. </w:t>
      </w:r>
      <w:r w:rsidRPr="00C331CB">
        <w:rPr>
          <w:rFonts w:ascii="Arial" w:hAnsi="Arial" w:cs="Arial"/>
          <w:sz w:val="24"/>
          <w:szCs w:val="24"/>
        </w:rPr>
        <w:t>The first issue raised in the opposing affidavit is the fact that Ms Pearson verified the causes of action underpinning each claim in the circumstances where such claims, albeit in the alternative, are based upon factual and legal circumstances which are mutually destructive.</w:t>
      </w:r>
    </w:p>
    <w:p w:rsidR="00B94F98" w:rsidRDefault="00B94F98" w:rsidP="00365F2C">
      <w:pPr>
        <w:spacing w:after="0" w:line="360" w:lineRule="auto"/>
        <w:jc w:val="both"/>
        <w:rPr>
          <w:rFonts w:ascii="Arial" w:hAnsi="Arial" w:cs="Arial"/>
          <w:sz w:val="24"/>
          <w:szCs w:val="24"/>
        </w:rPr>
      </w:pPr>
    </w:p>
    <w:p w:rsidR="00B14E87" w:rsidRDefault="00B14E87" w:rsidP="00365F2C">
      <w:pPr>
        <w:spacing w:after="0" w:line="360" w:lineRule="auto"/>
        <w:jc w:val="both"/>
        <w:rPr>
          <w:rFonts w:ascii="Arial" w:hAnsi="Arial" w:cs="Arial"/>
          <w:sz w:val="24"/>
          <w:szCs w:val="24"/>
        </w:rPr>
      </w:pPr>
      <w:r>
        <w:rPr>
          <w:rFonts w:ascii="Arial" w:hAnsi="Arial" w:cs="Arial"/>
          <w:sz w:val="24"/>
          <w:szCs w:val="24"/>
        </w:rPr>
        <w:t>[</w:t>
      </w:r>
      <w:r w:rsidR="00A86211">
        <w:rPr>
          <w:rFonts w:ascii="Arial" w:hAnsi="Arial" w:cs="Arial"/>
          <w:sz w:val="24"/>
          <w:szCs w:val="24"/>
        </w:rPr>
        <w:t>15</w:t>
      </w:r>
      <w:r>
        <w:rPr>
          <w:rFonts w:ascii="Arial" w:hAnsi="Arial" w:cs="Arial"/>
          <w:sz w:val="24"/>
          <w:szCs w:val="24"/>
        </w:rPr>
        <w:t>]</w:t>
      </w:r>
      <w:r>
        <w:rPr>
          <w:rFonts w:ascii="Arial" w:hAnsi="Arial" w:cs="Arial"/>
          <w:sz w:val="24"/>
          <w:szCs w:val="24"/>
        </w:rPr>
        <w:tab/>
      </w:r>
      <w:r w:rsidR="00A86211">
        <w:rPr>
          <w:rFonts w:ascii="Arial" w:hAnsi="Arial" w:cs="Arial"/>
          <w:sz w:val="24"/>
          <w:szCs w:val="24"/>
        </w:rPr>
        <w:t>I</w:t>
      </w:r>
      <w:r>
        <w:rPr>
          <w:rFonts w:ascii="Arial" w:hAnsi="Arial" w:cs="Arial"/>
          <w:sz w:val="24"/>
          <w:szCs w:val="24"/>
        </w:rPr>
        <w:t>t was maintained that Ms Pearson cannot verify two alternative causes of action which are mutually destructive alternative factual versions</w:t>
      </w:r>
      <w:r w:rsidR="00A86211">
        <w:rPr>
          <w:rFonts w:ascii="Arial" w:hAnsi="Arial" w:cs="Arial"/>
          <w:sz w:val="24"/>
          <w:szCs w:val="24"/>
        </w:rPr>
        <w:t xml:space="preserve">. Mr </w:t>
      </w:r>
      <w:proofErr w:type="spellStart"/>
      <w:r w:rsidR="00A86211">
        <w:rPr>
          <w:rFonts w:ascii="Arial" w:hAnsi="Arial" w:cs="Arial"/>
          <w:sz w:val="24"/>
          <w:szCs w:val="24"/>
        </w:rPr>
        <w:t>Nangolo</w:t>
      </w:r>
      <w:proofErr w:type="spellEnd"/>
      <w:r w:rsidR="00A86211">
        <w:rPr>
          <w:rFonts w:ascii="Arial" w:hAnsi="Arial" w:cs="Arial"/>
          <w:sz w:val="24"/>
          <w:szCs w:val="24"/>
        </w:rPr>
        <w:t xml:space="preserve"> maintained that i</w:t>
      </w:r>
      <w:r>
        <w:rPr>
          <w:rFonts w:ascii="Arial" w:hAnsi="Arial" w:cs="Arial"/>
          <w:sz w:val="24"/>
          <w:szCs w:val="24"/>
        </w:rPr>
        <w:t xml:space="preserve">n </w:t>
      </w:r>
      <w:r w:rsidR="004160E3">
        <w:rPr>
          <w:rFonts w:ascii="Arial" w:hAnsi="Arial" w:cs="Arial"/>
          <w:sz w:val="24"/>
          <w:szCs w:val="24"/>
        </w:rPr>
        <w:t>the</w:t>
      </w:r>
      <w:r>
        <w:rPr>
          <w:rFonts w:ascii="Arial" w:hAnsi="Arial" w:cs="Arial"/>
          <w:sz w:val="24"/>
          <w:szCs w:val="24"/>
        </w:rPr>
        <w:t xml:space="preserve"> premise</w:t>
      </w:r>
      <w:r w:rsidR="000B05FD">
        <w:rPr>
          <w:rFonts w:ascii="Arial" w:hAnsi="Arial" w:cs="Arial"/>
          <w:sz w:val="24"/>
          <w:szCs w:val="24"/>
        </w:rPr>
        <w:t>,</w:t>
      </w:r>
      <w:r>
        <w:rPr>
          <w:rFonts w:ascii="Arial" w:hAnsi="Arial" w:cs="Arial"/>
          <w:sz w:val="24"/>
          <w:szCs w:val="24"/>
        </w:rPr>
        <w:t xml:space="preserve"> it cannot be said that the plaintiff </w:t>
      </w:r>
      <w:r w:rsidR="00A86211">
        <w:rPr>
          <w:rFonts w:ascii="Arial" w:hAnsi="Arial" w:cs="Arial"/>
          <w:sz w:val="24"/>
          <w:szCs w:val="24"/>
        </w:rPr>
        <w:t>h</w:t>
      </w:r>
      <w:r>
        <w:rPr>
          <w:rFonts w:ascii="Arial" w:hAnsi="Arial" w:cs="Arial"/>
          <w:sz w:val="24"/>
          <w:szCs w:val="24"/>
        </w:rPr>
        <w:t xml:space="preserve">as an unanswerable </w:t>
      </w:r>
      <w:r>
        <w:rPr>
          <w:rFonts w:ascii="Arial" w:hAnsi="Arial" w:cs="Arial"/>
          <w:sz w:val="24"/>
          <w:szCs w:val="24"/>
        </w:rPr>
        <w:lastRenderedPageBreak/>
        <w:t xml:space="preserve">case </w:t>
      </w:r>
      <w:r w:rsidR="004160E3">
        <w:rPr>
          <w:rFonts w:ascii="Arial" w:hAnsi="Arial" w:cs="Arial"/>
          <w:sz w:val="24"/>
          <w:szCs w:val="24"/>
        </w:rPr>
        <w:t>as</w:t>
      </w:r>
      <w:r>
        <w:rPr>
          <w:rFonts w:ascii="Arial" w:hAnsi="Arial" w:cs="Arial"/>
          <w:sz w:val="24"/>
          <w:szCs w:val="24"/>
        </w:rPr>
        <w:t xml:space="preserve"> it is clear that the allegations fundamental to the alternative claims asserted have in effect been verified and co</w:t>
      </w:r>
      <w:r w:rsidR="00047945">
        <w:rPr>
          <w:rFonts w:ascii="Arial" w:hAnsi="Arial" w:cs="Arial"/>
          <w:sz w:val="24"/>
          <w:szCs w:val="24"/>
        </w:rPr>
        <w:t>ntradicted in the same breath.</w:t>
      </w:r>
    </w:p>
    <w:p w:rsidR="00B94F98" w:rsidRDefault="00B94F98" w:rsidP="00365F2C">
      <w:pPr>
        <w:spacing w:after="0" w:line="360" w:lineRule="auto"/>
        <w:jc w:val="both"/>
        <w:rPr>
          <w:rFonts w:ascii="Arial" w:hAnsi="Arial" w:cs="Arial"/>
          <w:sz w:val="24"/>
          <w:szCs w:val="24"/>
        </w:rPr>
      </w:pPr>
    </w:p>
    <w:p w:rsidR="00047945" w:rsidRDefault="00047945" w:rsidP="00365F2C">
      <w:pPr>
        <w:spacing w:after="0" w:line="360" w:lineRule="auto"/>
        <w:jc w:val="both"/>
        <w:rPr>
          <w:rFonts w:ascii="Arial" w:hAnsi="Arial" w:cs="Arial"/>
          <w:sz w:val="24"/>
          <w:szCs w:val="24"/>
        </w:rPr>
      </w:pPr>
      <w:r>
        <w:rPr>
          <w:rFonts w:ascii="Arial" w:hAnsi="Arial" w:cs="Arial"/>
          <w:sz w:val="24"/>
          <w:szCs w:val="24"/>
        </w:rPr>
        <w:t>[</w:t>
      </w:r>
      <w:r w:rsidR="004160E3">
        <w:rPr>
          <w:rFonts w:ascii="Arial" w:hAnsi="Arial" w:cs="Arial"/>
          <w:sz w:val="24"/>
          <w:szCs w:val="24"/>
        </w:rPr>
        <w:t>16</w:t>
      </w:r>
      <w:r w:rsidR="004723C8">
        <w:rPr>
          <w:rFonts w:ascii="Arial" w:hAnsi="Arial" w:cs="Arial"/>
          <w:sz w:val="24"/>
          <w:szCs w:val="24"/>
        </w:rPr>
        <w:t>]</w:t>
      </w:r>
      <w:r w:rsidR="004723C8">
        <w:rPr>
          <w:rFonts w:ascii="Arial" w:hAnsi="Arial" w:cs="Arial"/>
          <w:sz w:val="24"/>
          <w:szCs w:val="24"/>
        </w:rPr>
        <w:tab/>
      </w:r>
      <w:r>
        <w:rPr>
          <w:rFonts w:ascii="Arial" w:hAnsi="Arial" w:cs="Arial"/>
          <w:sz w:val="24"/>
          <w:szCs w:val="24"/>
        </w:rPr>
        <w:t>By way of example the deponent stated that Annexure POC 4 is said to be valid for purposes of the claim based on specific performance, yet also to be null and void for purposes of the alternative claim based on the legal contention that the agreement is not in compliance with s 39 o</w:t>
      </w:r>
      <w:r w:rsidR="00AE6CA6">
        <w:rPr>
          <w:rFonts w:ascii="Arial" w:hAnsi="Arial" w:cs="Arial"/>
          <w:sz w:val="24"/>
          <w:szCs w:val="24"/>
        </w:rPr>
        <w:t>f the Banking Institutions Act.</w:t>
      </w:r>
      <w:r>
        <w:rPr>
          <w:rFonts w:ascii="Arial" w:hAnsi="Arial" w:cs="Arial"/>
          <w:sz w:val="24"/>
          <w:szCs w:val="24"/>
        </w:rPr>
        <w:t xml:space="preserve"> Mr </w:t>
      </w:r>
      <w:proofErr w:type="spellStart"/>
      <w:r>
        <w:rPr>
          <w:rFonts w:ascii="Arial" w:hAnsi="Arial" w:cs="Arial"/>
          <w:sz w:val="24"/>
          <w:szCs w:val="24"/>
        </w:rPr>
        <w:t>Nangolo</w:t>
      </w:r>
      <w:proofErr w:type="spellEnd"/>
      <w:r>
        <w:rPr>
          <w:rFonts w:ascii="Arial" w:hAnsi="Arial" w:cs="Arial"/>
          <w:sz w:val="24"/>
          <w:szCs w:val="24"/>
        </w:rPr>
        <w:t xml:space="preserve"> stated that while it is well established that pleadings of inconsistent versions in the alternative is proper a witness like Ms Pearson is in a different position because she does not testify about conc</w:t>
      </w:r>
      <w:r w:rsidR="00B94F98">
        <w:rPr>
          <w:rFonts w:ascii="Arial" w:hAnsi="Arial" w:cs="Arial"/>
          <w:sz w:val="24"/>
          <w:szCs w:val="24"/>
        </w:rPr>
        <w:t>lusions of law but about facts.</w:t>
      </w:r>
    </w:p>
    <w:p w:rsidR="00B94F98" w:rsidRDefault="00B94F98" w:rsidP="00365F2C">
      <w:pPr>
        <w:spacing w:after="0" w:line="360" w:lineRule="auto"/>
        <w:jc w:val="both"/>
        <w:rPr>
          <w:rFonts w:ascii="Arial" w:hAnsi="Arial" w:cs="Arial"/>
          <w:sz w:val="24"/>
          <w:szCs w:val="24"/>
        </w:rPr>
      </w:pPr>
    </w:p>
    <w:p w:rsidR="0033569C" w:rsidRDefault="00047945" w:rsidP="00365F2C">
      <w:pPr>
        <w:spacing w:after="0" w:line="360" w:lineRule="auto"/>
        <w:jc w:val="both"/>
        <w:rPr>
          <w:rFonts w:ascii="Arial" w:hAnsi="Arial" w:cs="Arial"/>
          <w:sz w:val="24"/>
          <w:szCs w:val="24"/>
        </w:rPr>
      </w:pPr>
      <w:r>
        <w:rPr>
          <w:rFonts w:ascii="Arial" w:hAnsi="Arial" w:cs="Arial"/>
          <w:sz w:val="24"/>
          <w:szCs w:val="24"/>
        </w:rPr>
        <w:t>[</w:t>
      </w:r>
      <w:r w:rsidR="004160E3">
        <w:rPr>
          <w:rFonts w:ascii="Arial" w:hAnsi="Arial" w:cs="Arial"/>
          <w:sz w:val="24"/>
          <w:szCs w:val="24"/>
        </w:rPr>
        <w:t>17</w:t>
      </w:r>
      <w:r w:rsidR="004D34FB">
        <w:rPr>
          <w:rFonts w:ascii="Arial" w:hAnsi="Arial" w:cs="Arial"/>
          <w:sz w:val="24"/>
          <w:szCs w:val="24"/>
        </w:rPr>
        <w:t>]</w:t>
      </w:r>
      <w:r w:rsidR="004D34FB">
        <w:rPr>
          <w:rFonts w:ascii="Arial" w:hAnsi="Arial" w:cs="Arial"/>
          <w:sz w:val="24"/>
          <w:szCs w:val="24"/>
        </w:rPr>
        <w:tab/>
        <w:t xml:space="preserve">Mr </w:t>
      </w:r>
      <w:proofErr w:type="spellStart"/>
      <w:r w:rsidR="004D34FB">
        <w:rPr>
          <w:rFonts w:ascii="Arial" w:hAnsi="Arial" w:cs="Arial"/>
          <w:sz w:val="24"/>
          <w:szCs w:val="24"/>
        </w:rPr>
        <w:t>Nangolo</w:t>
      </w:r>
      <w:proofErr w:type="spellEnd"/>
      <w:r>
        <w:rPr>
          <w:rFonts w:ascii="Arial" w:hAnsi="Arial" w:cs="Arial"/>
          <w:sz w:val="24"/>
          <w:szCs w:val="24"/>
        </w:rPr>
        <w:t xml:space="preserve"> </w:t>
      </w:r>
      <w:r w:rsidR="004160E3">
        <w:rPr>
          <w:rFonts w:ascii="Arial" w:hAnsi="Arial" w:cs="Arial"/>
          <w:sz w:val="24"/>
          <w:szCs w:val="24"/>
        </w:rPr>
        <w:t xml:space="preserve">further </w:t>
      </w:r>
      <w:r w:rsidR="002053C8">
        <w:rPr>
          <w:rFonts w:ascii="Arial" w:hAnsi="Arial" w:cs="Arial"/>
          <w:sz w:val="24"/>
          <w:szCs w:val="24"/>
        </w:rPr>
        <w:t>submitted</w:t>
      </w:r>
      <w:r>
        <w:rPr>
          <w:rFonts w:ascii="Arial" w:hAnsi="Arial" w:cs="Arial"/>
          <w:sz w:val="24"/>
          <w:szCs w:val="24"/>
        </w:rPr>
        <w:t xml:space="preserve"> in respect of the claim for </w:t>
      </w:r>
      <w:r w:rsidRPr="00F46384">
        <w:rPr>
          <w:rFonts w:ascii="Arial" w:hAnsi="Arial" w:cs="Arial"/>
          <w:sz w:val="24"/>
          <w:szCs w:val="24"/>
        </w:rPr>
        <w:t xml:space="preserve">specific performance that the claim is dependent on the court finding that the agreement </w:t>
      </w:r>
      <w:r w:rsidR="002F6258" w:rsidRPr="00F46384">
        <w:rPr>
          <w:rFonts w:ascii="Arial" w:hAnsi="Arial" w:cs="Arial"/>
          <w:sz w:val="24"/>
          <w:szCs w:val="24"/>
        </w:rPr>
        <w:t>(</w:t>
      </w:r>
      <w:r w:rsidRPr="00F46384">
        <w:rPr>
          <w:rFonts w:ascii="Arial" w:hAnsi="Arial" w:cs="Arial"/>
          <w:sz w:val="24"/>
          <w:szCs w:val="24"/>
        </w:rPr>
        <w:t>POC 4</w:t>
      </w:r>
      <w:r w:rsidR="002F6258" w:rsidRPr="00F46384">
        <w:rPr>
          <w:rFonts w:ascii="Arial" w:hAnsi="Arial" w:cs="Arial"/>
          <w:sz w:val="24"/>
          <w:szCs w:val="24"/>
        </w:rPr>
        <w:t>)</w:t>
      </w:r>
      <w:r w:rsidRPr="00F46384">
        <w:rPr>
          <w:rFonts w:ascii="Arial" w:hAnsi="Arial" w:cs="Arial"/>
          <w:sz w:val="24"/>
          <w:szCs w:val="24"/>
        </w:rPr>
        <w:t xml:space="preserve"> is valid. Mr </w:t>
      </w:r>
      <w:proofErr w:type="spellStart"/>
      <w:r w:rsidRPr="00F46384">
        <w:rPr>
          <w:rFonts w:ascii="Arial" w:hAnsi="Arial" w:cs="Arial"/>
          <w:sz w:val="24"/>
          <w:szCs w:val="24"/>
        </w:rPr>
        <w:t>Nangolo</w:t>
      </w:r>
      <w:proofErr w:type="spellEnd"/>
      <w:r w:rsidRPr="00F46384">
        <w:rPr>
          <w:rFonts w:ascii="Arial" w:hAnsi="Arial" w:cs="Arial"/>
          <w:sz w:val="24"/>
          <w:szCs w:val="24"/>
        </w:rPr>
        <w:t xml:space="preserve"> avers that the first defendant was unaware that the agreement </w:t>
      </w:r>
      <w:r>
        <w:rPr>
          <w:rFonts w:ascii="Arial" w:hAnsi="Arial" w:cs="Arial"/>
          <w:sz w:val="24"/>
          <w:szCs w:val="24"/>
        </w:rPr>
        <w:t xml:space="preserve">between the </w:t>
      </w:r>
      <w:r w:rsidRPr="00C04129">
        <w:rPr>
          <w:rFonts w:ascii="Arial" w:hAnsi="Arial" w:cs="Arial"/>
          <w:sz w:val="24"/>
          <w:szCs w:val="24"/>
        </w:rPr>
        <w:t xml:space="preserve">parties </w:t>
      </w:r>
      <w:r w:rsidR="002F6258" w:rsidRPr="00C04129">
        <w:rPr>
          <w:rFonts w:ascii="Arial" w:hAnsi="Arial" w:cs="Arial"/>
          <w:sz w:val="24"/>
          <w:szCs w:val="24"/>
        </w:rPr>
        <w:t xml:space="preserve">was </w:t>
      </w:r>
      <w:r>
        <w:rPr>
          <w:rFonts w:ascii="Arial" w:hAnsi="Arial" w:cs="Arial"/>
          <w:sz w:val="24"/>
          <w:szCs w:val="24"/>
        </w:rPr>
        <w:t>concluded without the authority of the Board of the SME Bank. He further states that in light of this fact the conclusion of the agreement does not constitute financial business or a transaction which is ‘usually or ordinarily</w:t>
      </w:r>
      <w:r w:rsidR="002053C8">
        <w:rPr>
          <w:rFonts w:ascii="Arial" w:hAnsi="Arial" w:cs="Arial"/>
          <w:sz w:val="24"/>
          <w:szCs w:val="24"/>
        </w:rPr>
        <w:t>’</w:t>
      </w:r>
      <w:r>
        <w:rPr>
          <w:rFonts w:ascii="Arial" w:hAnsi="Arial" w:cs="Arial"/>
          <w:sz w:val="24"/>
          <w:szCs w:val="24"/>
        </w:rPr>
        <w:t xml:space="preserve"> conducted by the banking institutions in t</w:t>
      </w:r>
      <w:r w:rsidRPr="00C502EA">
        <w:rPr>
          <w:rFonts w:ascii="Arial" w:hAnsi="Arial" w:cs="Arial"/>
          <w:sz w:val="24"/>
          <w:szCs w:val="24"/>
        </w:rPr>
        <w:t>erm</w:t>
      </w:r>
      <w:r w:rsidR="00437227" w:rsidRPr="00C502EA">
        <w:rPr>
          <w:rFonts w:ascii="Arial" w:hAnsi="Arial" w:cs="Arial"/>
          <w:sz w:val="24"/>
          <w:szCs w:val="24"/>
        </w:rPr>
        <w:t>s</w:t>
      </w:r>
      <w:r>
        <w:rPr>
          <w:rFonts w:ascii="Arial" w:hAnsi="Arial" w:cs="Arial"/>
          <w:sz w:val="24"/>
          <w:szCs w:val="24"/>
        </w:rPr>
        <w:t xml:space="preserve"> of the </w:t>
      </w:r>
      <w:r w:rsidR="002053C8">
        <w:rPr>
          <w:rFonts w:ascii="Arial" w:hAnsi="Arial" w:cs="Arial"/>
          <w:sz w:val="24"/>
          <w:szCs w:val="24"/>
        </w:rPr>
        <w:t>Banking Institutions A</w:t>
      </w:r>
      <w:r>
        <w:rPr>
          <w:rFonts w:ascii="Arial" w:hAnsi="Arial" w:cs="Arial"/>
          <w:sz w:val="24"/>
          <w:szCs w:val="24"/>
        </w:rPr>
        <w:t xml:space="preserve">ct or any other law and </w:t>
      </w:r>
      <w:r w:rsidR="00B80F7C">
        <w:rPr>
          <w:rFonts w:ascii="Arial" w:hAnsi="Arial" w:cs="Arial"/>
          <w:sz w:val="24"/>
          <w:szCs w:val="24"/>
        </w:rPr>
        <w:t>as a result</w:t>
      </w:r>
      <w:r w:rsidR="00437227">
        <w:rPr>
          <w:rFonts w:ascii="Arial" w:hAnsi="Arial" w:cs="Arial"/>
          <w:sz w:val="24"/>
          <w:szCs w:val="24"/>
        </w:rPr>
        <w:t>,</w:t>
      </w:r>
      <w:r w:rsidR="00B80F7C">
        <w:rPr>
          <w:rFonts w:ascii="Arial" w:hAnsi="Arial" w:cs="Arial"/>
          <w:sz w:val="24"/>
          <w:szCs w:val="24"/>
        </w:rPr>
        <w:t xml:space="preserve"> </w:t>
      </w:r>
      <w:r w:rsidR="00E84216" w:rsidRPr="002053C8">
        <w:rPr>
          <w:rFonts w:ascii="Arial" w:hAnsi="Arial" w:cs="Arial"/>
          <w:i/>
          <w:sz w:val="24"/>
          <w:szCs w:val="24"/>
        </w:rPr>
        <w:t>ex facie</w:t>
      </w:r>
      <w:r w:rsidR="00E84216">
        <w:rPr>
          <w:rFonts w:ascii="Arial" w:hAnsi="Arial" w:cs="Arial"/>
          <w:sz w:val="24"/>
          <w:szCs w:val="24"/>
        </w:rPr>
        <w:t xml:space="preserve"> the POC4 it contravenes the provisions of s 39 of the Act</w:t>
      </w:r>
      <w:r w:rsidR="002053C8">
        <w:rPr>
          <w:rFonts w:ascii="Arial" w:hAnsi="Arial" w:cs="Arial"/>
          <w:sz w:val="24"/>
          <w:szCs w:val="24"/>
        </w:rPr>
        <w:t>. He further submitted that</w:t>
      </w:r>
      <w:r w:rsidR="00E84216">
        <w:rPr>
          <w:rFonts w:ascii="Arial" w:hAnsi="Arial" w:cs="Arial"/>
          <w:sz w:val="24"/>
          <w:szCs w:val="24"/>
        </w:rPr>
        <w:t xml:space="preserve"> to that extent any performance in respect of this agreement will constitute a criminal offence. He </w:t>
      </w:r>
      <w:r w:rsidR="002053C8">
        <w:rPr>
          <w:rFonts w:ascii="Arial" w:hAnsi="Arial" w:cs="Arial"/>
          <w:sz w:val="24"/>
          <w:szCs w:val="24"/>
        </w:rPr>
        <w:t xml:space="preserve">thus concluded </w:t>
      </w:r>
      <w:r w:rsidR="00E84216">
        <w:rPr>
          <w:rFonts w:ascii="Arial" w:hAnsi="Arial" w:cs="Arial"/>
          <w:sz w:val="24"/>
          <w:szCs w:val="24"/>
        </w:rPr>
        <w:t xml:space="preserve">that there is no factual or legal basis to justify a claim for specific performance </w:t>
      </w:r>
      <w:r w:rsidR="002053C8">
        <w:rPr>
          <w:rFonts w:ascii="Arial" w:hAnsi="Arial" w:cs="Arial"/>
          <w:sz w:val="24"/>
          <w:szCs w:val="24"/>
        </w:rPr>
        <w:t xml:space="preserve">and </w:t>
      </w:r>
      <w:r w:rsidR="00E84216">
        <w:rPr>
          <w:rFonts w:ascii="Arial" w:hAnsi="Arial" w:cs="Arial"/>
          <w:sz w:val="24"/>
          <w:szCs w:val="24"/>
        </w:rPr>
        <w:t xml:space="preserve">that the court will not order the </w:t>
      </w:r>
      <w:r w:rsidR="00437227" w:rsidRPr="00C04129">
        <w:rPr>
          <w:rFonts w:ascii="Arial" w:hAnsi="Arial" w:cs="Arial"/>
          <w:sz w:val="24"/>
          <w:szCs w:val="24"/>
        </w:rPr>
        <w:t xml:space="preserve">first </w:t>
      </w:r>
      <w:r w:rsidR="00E84216">
        <w:rPr>
          <w:rFonts w:ascii="Arial" w:hAnsi="Arial" w:cs="Arial"/>
          <w:sz w:val="24"/>
          <w:szCs w:val="24"/>
        </w:rPr>
        <w:t>defendant to perform in respect of an agreement in circumstances where such a performance would constitute a criminal offen</w:t>
      </w:r>
      <w:r w:rsidR="00B94F98">
        <w:rPr>
          <w:rFonts w:ascii="Arial" w:hAnsi="Arial" w:cs="Arial"/>
          <w:sz w:val="24"/>
          <w:szCs w:val="24"/>
        </w:rPr>
        <w:t>ce.</w:t>
      </w:r>
    </w:p>
    <w:p w:rsidR="00506E1F" w:rsidRDefault="00506E1F" w:rsidP="00365F2C">
      <w:pPr>
        <w:spacing w:after="0" w:line="360" w:lineRule="auto"/>
        <w:jc w:val="both"/>
        <w:rPr>
          <w:rFonts w:ascii="Arial" w:hAnsi="Arial" w:cs="Arial"/>
          <w:sz w:val="24"/>
          <w:szCs w:val="24"/>
        </w:rPr>
      </w:pPr>
      <w:r>
        <w:rPr>
          <w:rFonts w:ascii="Arial" w:hAnsi="Arial" w:cs="Arial"/>
          <w:sz w:val="24"/>
          <w:szCs w:val="24"/>
        </w:rPr>
        <w:lastRenderedPageBreak/>
        <w:t>[</w:t>
      </w:r>
      <w:r w:rsidR="002053C8">
        <w:rPr>
          <w:rFonts w:ascii="Arial" w:hAnsi="Arial" w:cs="Arial"/>
          <w:sz w:val="24"/>
          <w:szCs w:val="24"/>
        </w:rPr>
        <w:t>18</w:t>
      </w:r>
      <w:r w:rsidR="009D56AD">
        <w:rPr>
          <w:rFonts w:ascii="Arial" w:hAnsi="Arial" w:cs="Arial"/>
          <w:sz w:val="24"/>
          <w:szCs w:val="24"/>
        </w:rPr>
        <w:t>]</w:t>
      </w:r>
      <w:r>
        <w:rPr>
          <w:rFonts w:ascii="Arial" w:hAnsi="Arial" w:cs="Arial"/>
          <w:sz w:val="24"/>
          <w:szCs w:val="24"/>
        </w:rPr>
        <w:tab/>
      </w:r>
      <w:r w:rsidR="002053C8">
        <w:rPr>
          <w:rFonts w:ascii="Arial" w:hAnsi="Arial" w:cs="Arial"/>
          <w:sz w:val="24"/>
          <w:szCs w:val="24"/>
        </w:rPr>
        <w:t xml:space="preserve">In support of his contentions Mr </w:t>
      </w:r>
      <w:proofErr w:type="spellStart"/>
      <w:r w:rsidR="002053C8">
        <w:rPr>
          <w:rFonts w:ascii="Arial" w:hAnsi="Arial" w:cs="Arial"/>
          <w:sz w:val="24"/>
          <w:szCs w:val="24"/>
        </w:rPr>
        <w:t>Nangolo</w:t>
      </w:r>
      <w:proofErr w:type="spellEnd"/>
      <w:r>
        <w:rPr>
          <w:rFonts w:ascii="Arial" w:hAnsi="Arial" w:cs="Arial"/>
          <w:sz w:val="24"/>
          <w:szCs w:val="24"/>
        </w:rPr>
        <w:t xml:space="preserve"> refe</w:t>
      </w:r>
      <w:r w:rsidR="002053C8">
        <w:rPr>
          <w:rFonts w:ascii="Arial" w:hAnsi="Arial" w:cs="Arial"/>
          <w:sz w:val="24"/>
          <w:szCs w:val="24"/>
        </w:rPr>
        <w:t>r</w:t>
      </w:r>
      <w:r>
        <w:rPr>
          <w:rFonts w:ascii="Arial" w:hAnsi="Arial" w:cs="Arial"/>
          <w:sz w:val="24"/>
          <w:szCs w:val="24"/>
        </w:rPr>
        <w:t>r</w:t>
      </w:r>
      <w:r w:rsidR="002053C8">
        <w:rPr>
          <w:rFonts w:ascii="Arial" w:hAnsi="Arial" w:cs="Arial"/>
          <w:sz w:val="24"/>
          <w:szCs w:val="24"/>
        </w:rPr>
        <w:t>ed</w:t>
      </w:r>
      <w:r>
        <w:rPr>
          <w:rFonts w:ascii="Arial" w:hAnsi="Arial" w:cs="Arial"/>
          <w:sz w:val="24"/>
          <w:szCs w:val="24"/>
        </w:rPr>
        <w:t xml:space="preserve"> to s 39(1)</w:t>
      </w:r>
      <w:r>
        <w:rPr>
          <w:rStyle w:val="FootnoteReference"/>
          <w:rFonts w:ascii="Arial" w:hAnsi="Arial" w:cs="Arial"/>
          <w:sz w:val="24"/>
          <w:szCs w:val="24"/>
        </w:rPr>
        <w:footnoteReference w:id="5"/>
      </w:r>
      <w:r>
        <w:rPr>
          <w:rFonts w:ascii="Arial" w:hAnsi="Arial" w:cs="Arial"/>
          <w:sz w:val="24"/>
          <w:szCs w:val="24"/>
        </w:rPr>
        <w:t xml:space="preserve"> and (2)</w:t>
      </w:r>
      <w:r>
        <w:rPr>
          <w:rStyle w:val="FootnoteReference"/>
          <w:rFonts w:ascii="Arial" w:hAnsi="Arial" w:cs="Arial"/>
          <w:sz w:val="24"/>
          <w:szCs w:val="24"/>
        </w:rPr>
        <w:footnoteReference w:id="6"/>
      </w:r>
      <w:r>
        <w:rPr>
          <w:rFonts w:ascii="Arial" w:hAnsi="Arial" w:cs="Arial"/>
          <w:sz w:val="24"/>
          <w:szCs w:val="24"/>
        </w:rPr>
        <w:t xml:space="preserve"> read with s 73(1)</w:t>
      </w:r>
      <w:r>
        <w:rPr>
          <w:rStyle w:val="FootnoteReference"/>
          <w:rFonts w:ascii="Arial" w:hAnsi="Arial" w:cs="Arial"/>
          <w:sz w:val="24"/>
          <w:szCs w:val="24"/>
        </w:rPr>
        <w:footnoteReference w:id="7"/>
      </w:r>
      <w:r>
        <w:rPr>
          <w:rFonts w:ascii="Arial" w:hAnsi="Arial" w:cs="Arial"/>
          <w:sz w:val="24"/>
          <w:szCs w:val="24"/>
        </w:rPr>
        <w:t xml:space="preserve"> of the Banking Institutions Act</w:t>
      </w:r>
      <w:r w:rsidR="00FA72EA">
        <w:rPr>
          <w:rFonts w:ascii="Arial" w:hAnsi="Arial" w:cs="Arial"/>
          <w:sz w:val="24"/>
          <w:szCs w:val="24"/>
        </w:rPr>
        <w:t xml:space="preserve">. </w:t>
      </w:r>
      <w:r w:rsidR="002053C8">
        <w:rPr>
          <w:rFonts w:ascii="Arial" w:hAnsi="Arial" w:cs="Arial"/>
          <w:sz w:val="24"/>
          <w:szCs w:val="24"/>
        </w:rPr>
        <w:t>He further</w:t>
      </w:r>
      <w:r w:rsidR="00FA72EA">
        <w:rPr>
          <w:rFonts w:ascii="Arial" w:hAnsi="Arial" w:cs="Arial"/>
          <w:sz w:val="24"/>
          <w:szCs w:val="24"/>
        </w:rPr>
        <w:t xml:space="preserve"> stated that the provisions of s 39 of the </w:t>
      </w:r>
      <w:r w:rsidR="002053C8">
        <w:rPr>
          <w:rFonts w:ascii="Arial" w:hAnsi="Arial" w:cs="Arial"/>
          <w:sz w:val="24"/>
          <w:szCs w:val="24"/>
        </w:rPr>
        <w:t>A</w:t>
      </w:r>
      <w:r w:rsidR="00FA72EA">
        <w:rPr>
          <w:rFonts w:ascii="Arial" w:hAnsi="Arial" w:cs="Arial"/>
          <w:sz w:val="24"/>
          <w:szCs w:val="24"/>
        </w:rPr>
        <w:t>ct gives rise to the sanctions provided, inter alia, in sections 39(5), 72 and 73 of the Act</w:t>
      </w:r>
      <w:r w:rsidR="002053C8">
        <w:rPr>
          <w:rFonts w:ascii="Arial" w:hAnsi="Arial" w:cs="Arial"/>
          <w:sz w:val="24"/>
          <w:szCs w:val="24"/>
        </w:rPr>
        <w:t>,</w:t>
      </w:r>
      <w:r w:rsidR="00FA72EA">
        <w:rPr>
          <w:rFonts w:ascii="Arial" w:hAnsi="Arial" w:cs="Arial"/>
          <w:sz w:val="24"/>
          <w:szCs w:val="24"/>
        </w:rPr>
        <w:t xml:space="preserve"> </w:t>
      </w:r>
      <w:r w:rsidR="00CB1F4F">
        <w:rPr>
          <w:rFonts w:ascii="Arial" w:hAnsi="Arial" w:cs="Arial"/>
          <w:sz w:val="24"/>
          <w:szCs w:val="24"/>
        </w:rPr>
        <w:t xml:space="preserve">which does not afford a remedy to the banking institution or its duly appointed liquidators to recover the amounts paid by it in breach of s </w:t>
      </w:r>
      <w:r w:rsidR="00CB1F4F" w:rsidRPr="00C04129">
        <w:rPr>
          <w:rFonts w:ascii="Arial" w:hAnsi="Arial" w:cs="Arial"/>
          <w:sz w:val="24"/>
          <w:szCs w:val="24"/>
        </w:rPr>
        <w:t>39</w:t>
      </w:r>
      <w:r w:rsidR="00DD0F51" w:rsidRPr="00C04129">
        <w:rPr>
          <w:rFonts w:ascii="Arial" w:hAnsi="Arial" w:cs="Arial"/>
          <w:sz w:val="24"/>
          <w:szCs w:val="24"/>
        </w:rPr>
        <w:t>,</w:t>
      </w:r>
      <w:r w:rsidR="00CB1F4F" w:rsidRPr="00C04129">
        <w:rPr>
          <w:rFonts w:ascii="Arial" w:hAnsi="Arial" w:cs="Arial"/>
          <w:sz w:val="24"/>
          <w:szCs w:val="24"/>
        </w:rPr>
        <w:t xml:space="preserve"> therefore </w:t>
      </w:r>
      <w:r w:rsidR="00CB1F4F">
        <w:rPr>
          <w:rFonts w:ascii="Arial" w:hAnsi="Arial" w:cs="Arial"/>
          <w:sz w:val="24"/>
          <w:szCs w:val="24"/>
        </w:rPr>
        <w:t>the plainti</w:t>
      </w:r>
      <w:r w:rsidR="00B94F98">
        <w:rPr>
          <w:rFonts w:ascii="Arial" w:hAnsi="Arial" w:cs="Arial"/>
          <w:sz w:val="24"/>
          <w:szCs w:val="24"/>
        </w:rPr>
        <w:t>ffs’ remedy must lie elsewhere.</w:t>
      </w:r>
    </w:p>
    <w:p w:rsidR="00B94F98" w:rsidRDefault="00B94F98" w:rsidP="00365F2C">
      <w:pPr>
        <w:spacing w:after="0" w:line="360" w:lineRule="auto"/>
        <w:jc w:val="both"/>
        <w:rPr>
          <w:rFonts w:ascii="Arial" w:hAnsi="Arial" w:cs="Arial"/>
          <w:sz w:val="24"/>
          <w:szCs w:val="24"/>
        </w:rPr>
      </w:pPr>
    </w:p>
    <w:p w:rsidR="000E71E0" w:rsidRDefault="000E71E0" w:rsidP="00365F2C">
      <w:pPr>
        <w:spacing w:after="0" w:line="360" w:lineRule="auto"/>
        <w:jc w:val="both"/>
        <w:rPr>
          <w:rFonts w:ascii="Arial" w:hAnsi="Arial" w:cs="Arial"/>
          <w:sz w:val="24"/>
          <w:szCs w:val="24"/>
        </w:rPr>
      </w:pPr>
      <w:r>
        <w:rPr>
          <w:rFonts w:ascii="Arial" w:hAnsi="Arial" w:cs="Arial"/>
          <w:sz w:val="24"/>
          <w:szCs w:val="24"/>
        </w:rPr>
        <w:t>[</w:t>
      </w:r>
      <w:r w:rsidR="002053C8">
        <w:rPr>
          <w:rFonts w:ascii="Arial" w:hAnsi="Arial" w:cs="Arial"/>
          <w:sz w:val="24"/>
          <w:szCs w:val="24"/>
        </w:rPr>
        <w:t>19</w:t>
      </w:r>
      <w:r>
        <w:rPr>
          <w:rFonts w:ascii="Arial" w:hAnsi="Arial" w:cs="Arial"/>
          <w:sz w:val="24"/>
          <w:szCs w:val="24"/>
        </w:rPr>
        <w:t>]</w:t>
      </w:r>
      <w:r>
        <w:rPr>
          <w:rFonts w:ascii="Arial" w:hAnsi="Arial" w:cs="Arial"/>
          <w:sz w:val="24"/>
          <w:szCs w:val="24"/>
        </w:rPr>
        <w:tab/>
        <w:t xml:space="preserve">Mr </w:t>
      </w:r>
      <w:proofErr w:type="spellStart"/>
      <w:r>
        <w:rPr>
          <w:rFonts w:ascii="Arial" w:hAnsi="Arial" w:cs="Arial"/>
          <w:sz w:val="24"/>
          <w:szCs w:val="24"/>
        </w:rPr>
        <w:t>Nangolo</w:t>
      </w:r>
      <w:proofErr w:type="spellEnd"/>
      <w:r>
        <w:rPr>
          <w:rFonts w:ascii="Arial" w:hAnsi="Arial" w:cs="Arial"/>
          <w:sz w:val="24"/>
          <w:szCs w:val="24"/>
        </w:rPr>
        <w:t xml:space="preserve"> also raised the issue of a prior affidavit of Mr </w:t>
      </w:r>
      <w:proofErr w:type="spellStart"/>
      <w:r>
        <w:rPr>
          <w:rFonts w:ascii="Arial" w:hAnsi="Arial" w:cs="Arial"/>
          <w:sz w:val="24"/>
          <w:szCs w:val="24"/>
        </w:rPr>
        <w:t>Bruni</w:t>
      </w:r>
      <w:proofErr w:type="spellEnd"/>
      <w:r>
        <w:rPr>
          <w:rFonts w:ascii="Arial" w:hAnsi="Arial" w:cs="Arial"/>
          <w:sz w:val="24"/>
          <w:szCs w:val="24"/>
        </w:rPr>
        <w:t>, the first plaintiff</w:t>
      </w:r>
      <w:r w:rsidR="002053C8">
        <w:rPr>
          <w:rFonts w:ascii="Arial" w:hAnsi="Arial" w:cs="Arial"/>
          <w:sz w:val="24"/>
          <w:szCs w:val="24"/>
        </w:rPr>
        <w:t xml:space="preserve">, </w:t>
      </w:r>
      <w:r>
        <w:rPr>
          <w:rFonts w:ascii="Arial" w:hAnsi="Arial" w:cs="Arial"/>
          <w:sz w:val="24"/>
          <w:szCs w:val="24"/>
        </w:rPr>
        <w:t xml:space="preserve">deposed to in the application </w:t>
      </w:r>
      <w:r w:rsidR="002053C8">
        <w:rPr>
          <w:rFonts w:ascii="Arial" w:hAnsi="Arial" w:cs="Arial"/>
          <w:sz w:val="24"/>
          <w:szCs w:val="24"/>
        </w:rPr>
        <w:t>which served before t</w:t>
      </w:r>
      <w:r>
        <w:rPr>
          <w:rFonts w:ascii="Arial" w:hAnsi="Arial" w:cs="Arial"/>
          <w:sz w:val="24"/>
          <w:szCs w:val="24"/>
        </w:rPr>
        <w:t>his court</w:t>
      </w:r>
      <w:r>
        <w:rPr>
          <w:rStyle w:val="FootnoteReference"/>
          <w:rFonts w:ascii="Arial" w:hAnsi="Arial" w:cs="Arial"/>
          <w:sz w:val="24"/>
          <w:szCs w:val="24"/>
        </w:rPr>
        <w:footnoteReference w:id="8"/>
      </w:r>
      <w:r>
        <w:rPr>
          <w:rFonts w:ascii="Arial" w:hAnsi="Arial" w:cs="Arial"/>
          <w:sz w:val="24"/>
          <w:szCs w:val="24"/>
        </w:rPr>
        <w:t xml:space="preserve"> to establish a commission of enquiry into the affairs of the SME Bank</w:t>
      </w:r>
      <w:r w:rsidR="002053C8">
        <w:rPr>
          <w:rFonts w:ascii="Arial" w:hAnsi="Arial" w:cs="Arial"/>
          <w:sz w:val="24"/>
          <w:szCs w:val="24"/>
        </w:rPr>
        <w:t>. It is contended that</w:t>
      </w:r>
      <w:r>
        <w:rPr>
          <w:rFonts w:ascii="Arial" w:hAnsi="Arial" w:cs="Arial"/>
          <w:sz w:val="24"/>
          <w:szCs w:val="24"/>
        </w:rPr>
        <w:t xml:space="preserve"> Mr </w:t>
      </w:r>
      <w:proofErr w:type="spellStart"/>
      <w:r>
        <w:rPr>
          <w:rFonts w:ascii="Arial" w:hAnsi="Arial" w:cs="Arial"/>
          <w:sz w:val="24"/>
          <w:szCs w:val="24"/>
        </w:rPr>
        <w:t>Bruni</w:t>
      </w:r>
      <w:proofErr w:type="spellEnd"/>
      <w:r>
        <w:rPr>
          <w:rFonts w:ascii="Arial" w:hAnsi="Arial" w:cs="Arial"/>
          <w:sz w:val="24"/>
          <w:szCs w:val="24"/>
        </w:rPr>
        <w:t xml:space="preserve"> stated </w:t>
      </w:r>
      <w:r w:rsidR="002053C8">
        <w:rPr>
          <w:rFonts w:ascii="Arial" w:hAnsi="Arial" w:cs="Arial"/>
          <w:sz w:val="24"/>
          <w:szCs w:val="24"/>
        </w:rPr>
        <w:t>i</w:t>
      </w:r>
      <w:r>
        <w:rPr>
          <w:rFonts w:ascii="Arial" w:hAnsi="Arial" w:cs="Arial"/>
          <w:sz w:val="24"/>
          <w:szCs w:val="24"/>
        </w:rPr>
        <w:t xml:space="preserve">n </w:t>
      </w:r>
      <w:r w:rsidR="002053C8">
        <w:rPr>
          <w:rFonts w:ascii="Arial" w:hAnsi="Arial" w:cs="Arial"/>
          <w:sz w:val="24"/>
          <w:szCs w:val="24"/>
        </w:rPr>
        <w:t>t</w:t>
      </w:r>
      <w:r>
        <w:rPr>
          <w:rFonts w:ascii="Arial" w:hAnsi="Arial" w:cs="Arial"/>
          <w:sz w:val="24"/>
          <w:szCs w:val="24"/>
        </w:rPr>
        <w:t>his aff</w:t>
      </w:r>
      <w:r w:rsidR="00431210">
        <w:rPr>
          <w:rFonts w:ascii="Arial" w:hAnsi="Arial" w:cs="Arial"/>
          <w:sz w:val="24"/>
          <w:szCs w:val="24"/>
        </w:rPr>
        <w:t xml:space="preserve">idavit that the amount of N$ 10 000 </w:t>
      </w:r>
      <w:r>
        <w:rPr>
          <w:rFonts w:ascii="Arial" w:hAnsi="Arial" w:cs="Arial"/>
          <w:sz w:val="24"/>
          <w:szCs w:val="24"/>
        </w:rPr>
        <w:t xml:space="preserve">000 invested by the SME Bank in </w:t>
      </w:r>
      <w:proofErr w:type="spellStart"/>
      <w:r>
        <w:rPr>
          <w:rFonts w:ascii="Arial" w:hAnsi="Arial" w:cs="Arial"/>
          <w:sz w:val="24"/>
          <w:szCs w:val="24"/>
        </w:rPr>
        <w:t>Tulive</w:t>
      </w:r>
      <w:proofErr w:type="spellEnd"/>
      <w:r>
        <w:rPr>
          <w:rFonts w:ascii="Arial" w:hAnsi="Arial" w:cs="Arial"/>
          <w:sz w:val="24"/>
          <w:szCs w:val="24"/>
        </w:rPr>
        <w:t xml:space="preserve"> ‘also transgresses s 39(1) and 39(2) of the Banking Institutions Act,</w:t>
      </w:r>
      <w:r w:rsidR="00AC4174">
        <w:rPr>
          <w:rFonts w:ascii="Arial" w:hAnsi="Arial" w:cs="Arial"/>
          <w:sz w:val="24"/>
          <w:szCs w:val="24"/>
        </w:rPr>
        <w:t xml:space="preserve"> </w:t>
      </w:r>
      <w:r>
        <w:rPr>
          <w:rFonts w:ascii="Arial" w:hAnsi="Arial" w:cs="Arial"/>
          <w:sz w:val="24"/>
          <w:szCs w:val="24"/>
        </w:rPr>
        <w:t>1998</w:t>
      </w:r>
      <w:r w:rsidR="002053C8">
        <w:rPr>
          <w:rFonts w:ascii="Arial" w:hAnsi="Arial" w:cs="Arial"/>
          <w:sz w:val="24"/>
          <w:szCs w:val="24"/>
        </w:rPr>
        <w:t>’</w:t>
      </w:r>
      <w:r>
        <w:rPr>
          <w:rFonts w:ascii="Arial" w:hAnsi="Arial" w:cs="Arial"/>
          <w:sz w:val="24"/>
          <w:szCs w:val="24"/>
        </w:rPr>
        <w:t xml:space="preserve">. Mr </w:t>
      </w:r>
      <w:proofErr w:type="spellStart"/>
      <w:r>
        <w:rPr>
          <w:rFonts w:ascii="Arial" w:hAnsi="Arial" w:cs="Arial"/>
          <w:sz w:val="24"/>
          <w:szCs w:val="24"/>
        </w:rPr>
        <w:t>Nangolo</w:t>
      </w:r>
      <w:proofErr w:type="spellEnd"/>
      <w:r>
        <w:rPr>
          <w:rFonts w:ascii="Arial" w:hAnsi="Arial" w:cs="Arial"/>
          <w:sz w:val="24"/>
          <w:szCs w:val="24"/>
        </w:rPr>
        <w:t xml:space="preserve"> maintains that in light of the earlier affidavit of Mr </w:t>
      </w:r>
      <w:proofErr w:type="spellStart"/>
      <w:r>
        <w:rPr>
          <w:rFonts w:ascii="Arial" w:hAnsi="Arial" w:cs="Arial"/>
          <w:sz w:val="24"/>
          <w:szCs w:val="24"/>
        </w:rPr>
        <w:t>Bruni</w:t>
      </w:r>
      <w:proofErr w:type="spellEnd"/>
      <w:r>
        <w:rPr>
          <w:rFonts w:ascii="Arial" w:hAnsi="Arial" w:cs="Arial"/>
          <w:sz w:val="24"/>
          <w:szCs w:val="24"/>
        </w:rPr>
        <w:t xml:space="preserve"> he cannot confirm under oath that the affidavit of Ms Pearson</w:t>
      </w:r>
      <w:r w:rsidR="0020354D">
        <w:rPr>
          <w:rFonts w:ascii="Arial" w:hAnsi="Arial" w:cs="Arial"/>
          <w:sz w:val="24"/>
          <w:szCs w:val="24"/>
        </w:rPr>
        <w:t>,</w:t>
      </w:r>
      <w:r>
        <w:rPr>
          <w:rFonts w:ascii="Arial" w:hAnsi="Arial" w:cs="Arial"/>
          <w:sz w:val="24"/>
          <w:szCs w:val="24"/>
        </w:rPr>
        <w:t xml:space="preserve"> verifying the cause of action</w:t>
      </w:r>
      <w:r w:rsidR="0020354D">
        <w:rPr>
          <w:rFonts w:ascii="Arial" w:hAnsi="Arial" w:cs="Arial"/>
          <w:sz w:val="24"/>
          <w:szCs w:val="24"/>
        </w:rPr>
        <w:t>, is true and correct.</w:t>
      </w:r>
      <w:r>
        <w:rPr>
          <w:rFonts w:ascii="Arial" w:hAnsi="Arial" w:cs="Arial"/>
          <w:sz w:val="24"/>
          <w:szCs w:val="24"/>
        </w:rPr>
        <w:t xml:space="preserve"> The reason being that Ms Pearson purports to verify the plaintiff’s cause of action in respect of the claim for specific performance, which is premised upon the agreement </w:t>
      </w:r>
      <w:r w:rsidR="005527BD" w:rsidRPr="00F46384">
        <w:rPr>
          <w:rFonts w:ascii="Arial" w:hAnsi="Arial" w:cs="Arial"/>
          <w:sz w:val="24"/>
          <w:szCs w:val="24"/>
        </w:rPr>
        <w:t>(</w:t>
      </w:r>
      <w:r w:rsidRPr="00F46384">
        <w:rPr>
          <w:rFonts w:ascii="Arial" w:hAnsi="Arial" w:cs="Arial"/>
          <w:sz w:val="24"/>
          <w:szCs w:val="24"/>
        </w:rPr>
        <w:t>POC 4</w:t>
      </w:r>
      <w:r w:rsidR="005527BD" w:rsidRPr="00F46384">
        <w:rPr>
          <w:rFonts w:ascii="Arial" w:hAnsi="Arial" w:cs="Arial"/>
          <w:sz w:val="24"/>
          <w:szCs w:val="24"/>
        </w:rPr>
        <w:t>)</w:t>
      </w:r>
      <w:r w:rsidRPr="00F46384">
        <w:rPr>
          <w:rFonts w:ascii="Arial" w:hAnsi="Arial" w:cs="Arial"/>
          <w:sz w:val="24"/>
          <w:szCs w:val="24"/>
        </w:rPr>
        <w:t xml:space="preserve"> </w:t>
      </w:r>
      <w:r>
        <w:rPr>
          <w:rFonts w:ascii="Arial" w:hAnsi="Arial" w:cs="Arial"/>
          <w:sz w:val="24"/>
          <w:szCs w:val="24"/>
        </w:rPr>
        <w:t xml:space="preserve">attached to the particulars of claim as being valid, whereas Mr </w:t>
      </w:r>
      <w:proofErr w:type="spellStart"/>
      <w:r>
        <w:rPr>
          <w:rFonts w:ascii="Arial" w:hAnsi="Arial" w:cs="Arial"/>
          <w:sz w:val="24"/>
          <w:szCs w:val="24"/>
        </w:rPr>
        <w:t>Bruni</w:t>
      </w:r>
      <w:proofErr w:type="spellEnd"/>
      <w:r>
        <w:rPr>
          <w:rFonts w:ascii="Arial" w:hAnsi="Arial" w:cs="Arial"/>
          <w:sz w:val="24"/>
          <w:szCs w:val="24"/>
        </w:rPr>
        <w:t xml:space="preserve"> in his affidavit of 15 February 2018 stated the opposite, thereby creating a conflict between the respective statements which is destructive of the claim asserted by the plain</w:t>
      </w:r>
      <w:r w:rsidR="00B94F98">
        <w:rPr>
          <w:rFonts w:ascii="Arial" w:hAnsi="Arial" w:cs="Arial"/>
          <w:sz w:val="24"/>
          <w:szCs w:val="24"/>
        </w:rPr>
        <w:t>tiffs for specific performance.</w:t>
      </w:r>
    </w:p>
    <w:p w:rsidR="00B94F98" w:rsidRPr="000E71E0" w:rsidRDefault="00B94F98" w:rsidP="00365F2C">
      <w:pPr>
        <w:spacing w:after="0" w:line="360" w:lineRule="auto"/>
        <w:jc w:val="both"/>
        <w:rPr>
          <w:rFonts w:ascii="Arial" w:hAnsi="Arial" w:cs="Arial"/>
          <w:b/>
          <w:sz w:val="24"/>
          <w:szCs w:val="24"/>
        </w:rPr>
      </w:pPr>
    </w:p>
    <w:p w:rsidR="00E84216" w:rsidRDefault="00D14AFA" w:rsidP="00365F2C">
      <w:pPr>
        <w:spacing w:after="0" w:line="360" w:lineRule="auto"/>
        <w:jc w:val="both"/>
        <w:rPr>
          <w:rFonts w:ascii="Arial" w:hAnsi="Arial" w:cs="Arial"/>
          <w:sz w:val="24"/>
          <w:szCs w:val="24"/>
          <w:u w:val="single"/>
        </w:rPr>
      </w:pPr>
      <w:r>
        <w:rPr>
          <w:rFonts w:ascii="Arial" w:hAnsi="Arial" w:cs="Arial"/>
          <w:sz w:val="24"/>
          <w:szCs w:val="24"/>
          <w:u w:val="single"/>
        </w:rPr>
        <w:t xml:space="preserve">Arguments on behalf of the </w:t>
      </w:r>
      <w:r w:rsidR="0011099B">
        <w:rPr>
          <w:rFonts w:ascii="Arial" w:hAnsi="Arial" w:cs="Arial"/>
          <w:sz w:val="24"/>
          <w:szCs w:val="24"/>
          <w:u w:val="single"/>
        </w:rPr>
        <w:t>parties</w:t>
      </w:r>
    </w:p>
    <w:p w:rsidR="00B94F98" w:rsidRDefault="00B94F98" w:rsidP="00365F2C">
      <w:pPr>
        <w:spacing w:after="0" w:line="360" w:lineRule="auto"/>
        <w:jc w:val="both"/>
        <w:rPr>
          <w:rFonts w:ascii="Arial" w:hAnsi="Arial" w:cs="Arial"/>
          <w:sz w:val="24"/>
          <w:szCs w:val="24"/>
          <w:u w:val="single"/>
        </w:rPr>
      </w:pPr>
    </w:p>
    <w:p w:rsidR="0011099B" w:rsidRDefault="0011099B" w:rsidP="00365F2C">
      <w:pPr>
        <w:spacing w:after="0" w:line="360" w:lineRule="auto"/>
        <w:jc w:val="both"/>
        <w:rPr>
          <w:rFonts w:ascii="Arial" w:hAnsi="Arial" w:cs="Arial"/>
          <w:sz w:val="24"/>
          <w:szCs w:val="24"/>
        </w:rPr>
      </w:pPr>
      <w:r w:rsidRPr="0011099B">
        <w:rPr>
          <w:rFonts w:ascii="Arial" w:hAnsi="Arial" w:cs="Arial"/>
          <w:sz w:val="24"/>
          <w:szCs w:val="24"/>
        </w:rPr>
        <w:t>[</w:t>
      </w:r>
      <w:r w:rsidR="002053C8">
        <w:rPr>
          <w:rFonts w:ascii="Arial" w:hAnsi="Arial" w:cs="Arial"/>
          <w:sz w:val="24"/>
          <w:szCs w:val="24"/>
        </w:rPr>
        <w:t>20</w:t>
      </w:r>
      <w:r w:rsidRPr="0011099B">
        <w:rPr>
          <w:rFonts w:ascii="Arial" w:hAnsi="Arial" w:cs="Arial"/>
          <w:sz w:val="24"/>
          <w:szCs w:val="24"/>
        </w:rPr>
        <w:t>]</w:t>
      </w:r>
      <w:r w:rsidRPr="0011099B">
        <w:rPr>
          <w:rFonts w:ascii="Arial" w:hAnsi="Arial" w:cs="Arial"/>
          <w:sz w:val="24"/>
          <w:szCs w:val="24"/>
        </w:rPr>
        <w:tab/>
      </w:r>
      <w:r>
        <w:rPr>
          <w:rFonts w:ascii="Arial" w:hAnsi="Arial" w:cs="Arial"/>
          <w:sz w:val="24"/>
          <w:szCs w:val="24"/>
        </w:rPr>
        <w:t xml:space="preserve">Both counsel in this matter advanced complex and detailed arguments on behalf of their clients and it is not possible to replicate their arguments for purposes of this ruling </w:t>
      </w:r>
      <w:r w:rsidR="009B7E6B" w:rsidRPr="00F46384">
        <w:rPr>
          <w:rFonts w:ascii="Arial" w:hAnsi="Arial" w:cs="Arial"/>
          <w:sz w:val="24"/>
          <w:szCs w:val="24"/>
        </w:rPr>
        <w:t>but</w:t>
      </w:r>
      <w:r w:rsidR="00F46384">
        <w:rPr>
          <w:rFonts w:ascii="Arial" w:hAnsi="Arial" w:cs="Arial"/>
          <w:sz w:val="24"/>
          <w:szCs w:val="24"/>
        </w:rPr>
        <w:t xml:space="preserve"> </w:t>
      </w:r>
      <w:r w:rsidRPr="00F46384">
        <w:rPr>
          <w:rFonts w:ascii="Arial" w:hAnsi="Arial" w:cs="Arial"/>
          <w:sz w:val="24"/>
          <w:szCs w:val="24"/>
        </w:rPr>
        <w:t>I</w:t>
      </w:r>
      <w:r>
        <w:rPr>
          <w:rFonts w:ascii="Arial" w:hAnsi="Arial" w:cs="Arial"/>
          <w:sz w:val="24"/>
          <w:szCs w:val="24"/>
        </w:rPr>
        <w:t xml:space="preserve"> will as far as possible attempt to extract the major points ra</w:t>
      </w:r>
      <w:r w:rsidR="00B94F98">
        <w:rPr>
          <w:rFonts w:ascii="Arial" w:hAnsi="Arial" w:cs="Arial"/>
          <w:sz w:val="24"/>
          <w:szCs w:val="24"/>
        </w:rPr>
        <w:t>ised by the respective counsel.</w:t>
      </w:r>
    </w:p>
    <w:p w:rsidR="00B94F98" w:rsidRDefault="00B94F98" w:rsidP="00365F2C">
      <w:pPr>
        <w:spacing w:after="0" w:line="360" w:lineRule="auto"/>
        <w:jc w:val="both"/>
        <w:rPr>
          <w:rFonts w:ascii="Arial" w:hAnsi="Arial" w:cs="Arial"/>
          <w:sz w:val="24"/>
          <w:szCs w:val="24"/>
        </w:rPr>
      </w:pPr>
    </w:p>
    <w:p w:rsidR="0011099B" w:rsidRDefault="0011099B" w:rsidP="00365F2C">
      <w:pPr>
        <w:spacing w:after="0" w:line="360" w:lineRule="auto"/>
        <w:jc w:val="both"/>
        <w:rPr>
          <w:rFonts w:ascii="Arial" w:hAnsi="Arial" w:cs="Arial"/>
          <w:i/>
          <w:sz w:val="24"/>
          <w:szCs w:val="24"/>
        </w:rPr>
      </w:pPr>
      <w:r w:rsidRPr="0011099B">
        <w:rPr>
          <w:rFonts w:ascii="Arial" w:hAnsi="Arial" w:cs="Arial"/>
          <w:i/>
          <w:sz w:val="24"/>
          <w:szCs w:val="24"/>
        </w:rPr>
        <w:t>On behalf of the plaintiff</w:t>
      </w:r>
    </w:p>
    <w:p w:rsidR="00B94F98" w:rsidRPr="00B94F98" w:rsidRDefault="00B94F98" w:rsidP="00365F2C">
      <w:pPr>
        <w:spacing w:after="0" w:line="360" w:lineRule="auto"/>
        <w:jc w:val="both"/>
        <w:rPr>
          <w:rFonts w:ascii="Arial" w:hAnsi="Arial" w:cs="Arial"/>
          <w:sz w:val="24"/>
          <w:szCs w:val="24"/>
        </w:rPr>
      </w:pPr>
    </w:p>
    <w:p w:rsidR="006774A6" w:rsidRDefault="006774A6" w:rsidP="00365F2C">
      <w:pPr>
        <w:spacing w:after="0" w:line="360" w:lineRule="auto"/>
        <w:jc w:val="both"/>
        <w:rPr>
          <w:rFonts w:ascii="Arial" w:hAnsi="Arial" w:cs="Arial"/>
          <w:sz w:val="24"/>
          <w:szCs w:val="24"/>
        </w:rPr>
      </w:pPr>
      <w:r w:rsidRPr="006774A6">
        <w:rPr>
          <w:rFonts w:ascii="Arial" w:hAnsi="Arial" w:cs="Arial"/>
          <w:sz w:val="24"/>
          <w:szCs w:val="24"/>
        </w:rPr>
        <w:t>[</w:t>
      </w:r>
      <w:r w:rsidR="002053C8">
        <w:rPr>
          <w:rFonts w:ascii="Arial" w:hAnsi="Arial" w:cs="Arial"/>
          <w:sz w:val="24"/>
          <w:szCs w:val="24"/>
        </w:rPr>
        <w:t>21</w:t>
      </w:r>
      <w:r w:rsidRPr="006774A6">
        <w:rPr>
          <w:rFonts w:ascii="Arial" w:hAnsi="Arial" w:cs="Arial"/>
          <w:sz w:val="24"/>
          <w:szCs w:val="24"/>
        </w:rPr>
        <w:t>]</w:t>
      </w:r>
      <w:r w:rsidRPr="006774A6">
        <w:rPr>
          <w:rFonts w:ascii="Arial" w:hAnsi="Arial" w:cs="Arial"/>
          <w:sz w:val="24"/>
          <w:szCs w:val="24"/>
        </w:rPr>
        <w:tab/>
      </w:r>
      <w:r w:rsidR="0011099B">
        <w:rPr>
          <w:rFonts w:ascii="Arial" w:hAnsi="Arial" w:cs="Arial"/>
          <w:sz w:val="24"/>
          <w:szCs w:val="24"/>
        </w:rPr>
        <w:t xml:space="preserve">Mr Heathcote submitted first and foremost that the first defendant does not have a </w:t>
      </w:r>
      <w:r w:rsidR="0011099B" w:rsidRPr="002053C8">
        <w:rPr>
          <w:rFonts w:ascii="Arial" w:hAnsi="Arial" w:cs="Arial"/>
          <w:i/>
          <w:sz w:val="24"/>
          <w:szCs w:val="24"/>
        </w:rPr>
        <w:t>bona fide</w:t>
      </w:r>
      <w:r w:rsidR="0011099B">
        <w:rPr>
          <w:rFonts w:ascii="Arial" w:hAnsi="Arial" w:cs="Arial"/>
          <w:sz w:val="24"/>
          <w:szCs w:val="24"/>
        </w:rPr>
        <w:t xml:space="preserve"> defence to any of the claims raised by the plaintiff. He argues that nowhere in the opposing papers does the first defendant dispute its liability in respect of </w:t>
      </w:r>
      <w:r w:rsidR="00B94F98">
        <w:rPr>
          <w:rFonts w:ascii="Arial" w:hAnsi="Arial" w:cs="Arial"/>
          <w:sz w:val="24"/>
          <w:szCs w:val="24"/>
        </w:rPr>
        <w:t>the amount</w:t>
      </w:r>
      <w:r w:rsidR="0011099B">
        <w:rPr>
          <w:rFonts w:ascii="Arial" w:hAnsi="Arial" w:cs="Arial"/>
          <w:sz w:val="24"/>
          <w:szCs w:val="24"/>
        </w:rPr>
        <w:t xml:space="preserve"> due.</w:t>
      </w:r>
      <w:r w:rsidR="006C78D2">
        <w:rPr>
          <w:rFonts w:ascii="Arial" w:hAnsi="Arial" w:cs="Arial"/>
          <w:sz w:val="24"/>
          <w:szCs w:val="24"/>
        </w:rPr>
        <w:t xml:space="preserve"> Mr Heathcote argued that the defence that </w:t>
      </w:r>
      <w:proofErr w:type="spellStart"/>
      <w:r w:rsidR="006C78D2">
        <w:rPr>
          <w:rFonts w:ascii="Arial" w:hAnsi="Arial" w:cs="Arial"/>
          <w:sz w:val="24"/>
          <w:szCs w:val="24"/>
        </w:rPr>
        <w:t>Tulive</w:t>
      </w:r>
      <w:proofErr w:type="spellEnd"/>
      <w:r w:rsidR="006C78D2">
        <w:rPr>
          <w:rFonts w:ascii="Arial" w:hAnsi="Arial" w:cs="Arial"/>
          <w:sz w:val="24"/>
          <w:szCs w:val="24"/>
        </w:rPr>
        <w:t xml:space="preserve"> raises regarding the verifying affidavit by Ms Pearson and the allegation that she verified mutually destructive causes of actions has no merits if it is considered that the amount claimed by the plaintiffs is not in dispute. In this regard the court was referred to </w:t>
      </w:r>
      <w:proofErr w:type="spellStart"/>
      <w:r w:rsidR="006C78D2" w:rsidRPr="00EB29A8">
        <w:rPr>
          <w:rFonts w:ascii="Arial" w:hAnsi="Arial" w:cs="Arial"/>
          <w:i/>
          <w:sz w:val="24"/>
          <w:szCs w:val="24"/>
        </w:rPr>
        <w:t>Kelnic</w:t>
      </w:r>
      <w:proofErr w:type="spellEnd"/>
      <w:r w:rsidR="006C78D2" w:rsidRPr="00EB29A8">
        <w:rPr>
          <w:rFonts w:ascii="Arial" w:hAnsi="Arial" w:cs="Arial"/>
          <w:i/>
          <w:sz w:val="24"/>
          <w:szCs w:val="24"/>
        </w:rPr>
        <w:t xml:space="preserve"> Construction (Pty) Ltd v </w:t>
      </w:r>
      <w:proofErr w:type="spellStart"/>
      <w:r w:rsidR="006C78D2" w:rsidRPr="00EB29A8">
        <w:rPr>
          <w:rFonts w:ascii="Arial" w:hAnsi="Arial" w:cs="Arial"/>
          <w:i/>
          <w:sz w:val="24"/>
          <w:szCs w:val="24"/>
        </w:rPr>
        <w:t>Cadilu</w:t>
      </w:r>
      <w:proofErr w:type="spellEnd"/>
      <w:r w:rsidR="006C78D2" w:rsidRPr="00EB29A8">
        <w:rPr>
          <w:rFonts w:ascii="Arial" w:hAnsi="Arial" w:cs="Arial"/>
          <w:i/>
          <w:sz w:val="24"/>
          <w:szCs w:val="24"/>
        </w:rPr>
        <w:t xml:space="preserve"> Fishing (Pty) Ltd</w:t>
      </w:r>
      <w:r w:rsidR="0033569C">
        <w:rPr>
          <w:rFonts w:ascii="Arial" w:hAnsi="Arial" w:cs="Arial"/>
          <w:i/>
          <w:sz w:val="24"/>
          <w:szCs w:val="24"/>
        </w:rPr>
        <w:t>,</w:t>
      </w:r>
      <w:r w:rsidR="002053C8">
        <w:rPr>
          <w:rStyle w:val="FootnoteReference"/>
          <w:rFonts w:ascii="Arial" w:hAnsi="Arial" w:cs="Arial"/>
          <w:i/>
          <w:sz w:val="24"/>
          <w:szCs w:val="24"/>
        </w:rPr>
        <w:footnoteReference w:id="9"/>
      </w:r>
      <w:r w:rsidR="006C78D2">
        <w:rPr>
          <w:rFonts w:ascii="Arial" w:hAnsi="Arial" w:cs="Arial"/>
          <w:sz w:val="24"/>
          <w:szCs w:val="24"/>
        </w:rPr>
        <w:t xml:space="preserve"> wherein the Supreme Court held that in light of the admission of liability in respect of the amount the uncertainty created by verifying mutually destructive causes of action falls away.</w:t>
      </w:r>
    </w:p>
    <w:p w:rsidR="00B94F98" w:rsidRDefault="00B94F98" w:rsidP="00365F2C">
      <w:pPr>
        <w:spacing w:after="0" w:line="360" w:lineRule="auto"/>
        <w:jc w:val="both"/>
        <w:rPr>
          <w:rFonts w:ascii="Arial" w:hAnsi="Arial" w:cs="Arial"/>
          <w:sz w:val="24"/>
          <w:szCs w:val="24"/>
        </w:rPr>
      </w:pPr>
    </w:p>
    <w:p w:rsidR="006C78D2" w:rsidRDefault="006C78D2" w:rsidP="00365F2C">
      <w:pPr>
        <w:spacing w:after="0" w:line="360" w:lineRule="auto"/>
        <w:jc w:val="both"/>
        <w:rPr>
          <w:rFonts w:ascii="Arial" w:hAnsi="Arial" w:cs="Arial"/>
          <w:sz w:val="24"/>
          <w:szCs w:val="24"/>
        </w:rPr>
      </w:pPr>
      <w:r>
        <w:rPr>
          <w:rFonts w:ascii="Arial" w:hAnsi="Arial" w:cs="Arial"/>
          <w:sz w:val="24"/>
          <w:szCs w:val="24"/>
        </w:rPr>
        <w:t>[</w:t>
      </w:r>
      <w:r w:rsidR="002053C8">
        <w:rPr>
          <w:rFonts w:ascii="Arial" w:hAnsi="Arial" w:cs="Arial"/>
          <w:sz w:val="24"/>
          <w:szCs w:val="24"/>
        </w:rPr>
        <w:t>22</w:t>
      </w:r>
      <w:r>
        <w:rPr>
          <w:rFonts w:ascii="Arial" w:hAnsi="Arial" w:cs="Arial"/>
          <w:sz w:val="24"/>
          <w:szCs w:val="24"/>
        </w:rPr>
        <w:t>]</w:t>
      </w:r>
      <w:r>
        <w:rPr>
          <w:rFonts w:ascii="Arial" w:hAnsi="Arial" w:cs="Arial"/>
          <w:sz w:val="24"/>
          <w:szCs w:val="24"/>
        </w:rPr>
        <w:tab/>
        <w:t xml:space="preserve">Mr Heathcote further submitted that </w:t>
      </w:r>
      <w:proofErr w:type="spellStart"/>
      <w:r>
        <w:rPr>
          <w:rFonts w:ascii="Arial" w:hAnsi="Arial" w:cs="Arial"/>
          <w:sz w:val="24"/>
          <w:szCs w:val="24"/>
        </w:rPr>
        <w:t>Tulive’s</w:t>
      </w:r>
      <w:proofErr w:type="spellEnd"/>
      <w:r>
        <w:rPr>
          <w:rFonts w:ascii="Arial" w:hAnsi="Arial" w:cs="Arial"/>
          <w:sz w:val="24"/>
          <w:szCs w:val="24"/>
        </w:rPr>
        <w:t xml:space="preserve"> position that the agreement transgressed s 39 of the Act would result in the fact that the plaintiffs can neither enforce the agreement nor have a claim based on enrichment</w:t>
      </w:r>
      <w:r w:rsidRPr="008C6BDC">
        <w:rPr>
          <w:rFonts w:ascii="Arial" w:hAnsi="Arial" w:cs="Arial"/>
          <w:sz w:val="24"/>
          <w:szCs w:val="24"/>
        </w:rPr>
        <w:t xml:space="preserve"> </w:t>
      </w:r>
      <w:r w:rsidR="00E535C9" w:rsidRPr="008C6BDC">
        <w:rPr>
          <w:rFonts w:ascii="Arial" w:hAnsi="Arial" w:cs="Arial"/>
          <w:sz w:val="24"/>
          <w:szCs w:val="24"/>
        </w:rPr>
        <w:t xml:space="preserve">which </w:t>
      </w:r>
      <w:r>
        <w:rPr>
          <w:rFonts w:ascii="Arial" w:hAnsi="Arial" w:cs="Arial"/>
          <w:sz w:val="24"/>
          <w:szCs w:val="24"/>
        </w:rPr>
        <w:t xml:space="preserve">is </w:t>
      </w:r>
      <w:r w:rsidR="002053C8">
        <w:rPr>
          <w:rFonts w:ascii="Arial" w:hAnsi="Arial" w:cs="Arial"/>
          <w:sz w:val="24"/>
          <w:szCs w:val="24"/>
        </w:rPr>
        <w:t>bizarre</w:t>
      </w:r>
      <w:r>
        <w:rPr>
          <w:rFonts w:ascii="Arial" w:hAnsi="Arial" w:cs="Arial"/>
          <w:sz w:val="24"/>
          <w:szCs w:val="24"/>
        </w:rPr>
        <w:t xml:space="preserve"> becaus</w:t>
      </w:r>
      <w:r w:rsidR="00B94F98">
        <w:rPr>
          <w:rFonts w:ascii="Arial" w:hAnsi="Arial" w:cs="Arial"/>
          <w:sz w:val="24"/>
          <w:szCs w:val="24"/>
        </w:rPr>
        <w:t>e on that supposition the N$ 10</w:t>
      </w:r>
      <w:r w:rsidR="00E535C9">
        <w:rPr>
          <w:rFonts w:ascii="Arial" w:hAnsi="Arial" w:cs="Arial"/>
          <w:sz w:val="24"/>
          <w:szCs w:val="24"/>
        </w:rPr>
        <w:t xml:space="preserve"> </w:t>
      </w:r>
      <w:r w:rsidR="00B94F98">
        <w:rPr>
          <w:rFonts w:ascii="Arial" w:hAnsi="Arial" w:cs="Arial"/>
          <w:sz w:val="24"/>
          <w:szCs w:val="24"/>
        </w:rPr>
        <w:t xml:space="preserve">000 </w:t>
      </w:r>
      <w:r>
        <w:rPr>
          <w:rFonts w:ascii="Arial" w:hAnsi="Arial" w:cs="Arial"/>
          <w:sz w:val="24"/>
          <w:szCs w:val="24"/>
        </w:rPr>
        <w:t xml:space="preserve">000 advanced to </w:t>
      </w:r>
      <w:proofErr w:type="spellStart"/>
      <w:r>
        <w:rPr>
          <w:rFonts w:ascii="Arial" w:hAnsi="Arial" w:cs="Arial"/>
          <w:sz w:val="24"/>
          <w:szCs w:val="24"/>
        </w:rPr>
        <w:t>Tulive</w:t>
      </w:r>
      <w:proofErr w:type="spellEnd"/>
      <w:r>
        <w:rPr>
          <w:rFonts w:ascii="Arial" w:hAnsi="Arial" w:cs="Arial"/>
          <w:sz w:val="24"/>
          <w:szCs w:val="24"/>
        </w:rPr>
        <w:t xml:space="preserve"> w</w:t>
      </w:r>
      <w:r w:rsidR="002053C8">
        <w:rPr>
          <w:rFonts w:ascii="Arial" w:hAnsi="Arial" w:cs="Arial"/>
          <w:sz w:val="24"/>
          <w:szCs w:val="24"/>
        </w:rPr>
        <w:t>ould</w:t>
      </w:r>
      <w:r>
        <w:rPr>
          <w:rFonts w:ascii="Arial" w:hAnsi="Arial" w:cs="Arial"/>
          <w:sz w:val="24"/>
          <w:szCs w:val="24"/>
        </w:rPr>
        <w:t xml:space="preserve"> amount to some sort of</w:t>
      </w:r>
      <w:r w:rsidR="00B94F98">
        <w:rPr>
          <w:rFonts w:ascii="Arial" w:hAnsi="Arial" w:cs="Arial"/>
          <w:sz w:val="24"/>
          <w:szCs w:val="24"/>
        </w:rPr>
        <w:t xml:space="preserve"> a gift, which is not the case.</w:t>
      </w:r>
    </w:p>
    <w:p w:rsidR="00B94F98" w:rsidRDefault="00B94F98" w:rsidP="00365F2C">
      <w:pPr>
        <w:spacing w:after="0" w:line="360" w:lineRule="auto"/>
        <w:jc w:val="both"/>
        <w:rPr>
          <w:rFonts w:ascii="Arial" w:hAnsi="Arial" w:cs="Arial"/>
          <w:sz w:val="24"/>
          <w:szCs w:val="24"/>
        </w:rPr>
      </w:pPr>
    </w:p>
    <w:p w:rsidR="00416510" w:rsidRDefault="006C78D2" w:rsidP="00365F2C">
      <w:pPr>
        <w:spacing w:after="0" w:line="360" w:lineRule="auto"/>
        <w:jc w:val="both"/>
        <w:rPr>
          <w:rFonts w:ascii="Arial" w:eastAsia="Times New Roman" w:hAnsi="Arial" w:cs="Arial"/>
          <w:kern w:val="36"/>
          <w:sz w:val="24"/>
          <w:szCs w:val="24"/>
          <w:lang w:eastAsia="en-ZA"/>
        </w:rPr>
      </w:pPr>
      <w:r>
        <w:rPr>
          <w:rFonts w:ascii="Arial" w:hAnsi="Arial" w:cs="Arial"/>
          <w:sz w:val="24"/>
          <w:szCs w:val="24"/>
        </w:rPr>
        <w:t>[</w:t>
      </w:r>
      <w:r w:rsidR="002053C8">
        <w:rPr>
          <w:rFonts w:ascii="Arial" w:hAnsi="Arial" w:cs="Arial"/>
          <w:sz w:val="24"/>
          <w:szCs w:val="24"/>
        </w:rPr>
        <w:t>23</w:t>
      </w:r>
      <w:r w:rsidR="00B94F98">
        <w:rPr>
          <w:rFonts w:ascii="Arial" w:hAnsi="Arial" w:cs="Arial"/>
          <w:sz w:val="24"/>
          <w:szCs w:val="24"/>
        </w:rPr>
        <w:t>]</w:t>
      </w:r>
      <w:r w:rsidR="00B94F98">
        <w:rPr>
          <w:rFonts w:ascii="Arial" w:hAnsi="Arial" w:cs="Arial"/>
          <w:sz w:val="24"/>
          <w:szCs w:val="24"/>
        </w:rPr>
        <w:tab/>
      </w:r>
      <w:r>
        <w:rPr>
          <w:rFonts w:ascii="Arial" w:hAnsi="Arial" w:cs="Arial"/>
          <w:sz w:val="24"/>
          <w:szCs w:val="24"/>
        </w:rPr>
        <w:t>Mr Heathcote referred this court to</w:t>
      </w:r>
      <w:r w:rsidR="00A62761">
        <w:rPr>
          <w:rFonts w:ascii="Arial" w:hAnsi="Arial" w:cs="Arial"/>
          <w:sz w:val="24"/>
          <w:szCs w:val="24"/>
        </w:rPr>
        <w:t xml:space="preserve"> two different maxims to be considered during this court’s judgment, </w:t>
      </w:r>
      <w:proofErr w:type="spellStart"/>
      <w:r w:rsidR="00A62761">
        <w:rPr>
          <w:rFonts w:ascii="Arial" w:hAnsi="Arial" w:cs="Arial"/>
          <w:sz w:val="24"/>
          <w:szCs w:val="24"/>
        </w:rPr>
        <w:t>ie</w:t>
      </w:r>
      <w:proofErr w:type="spellEnd"/>
      <w:r>
        <w:rPr>
          <w:rFonts w:ascii="Arial" w:hAnsi="Arial" w:cs="Arial"/>
          <w:sz w:val="24"/>
          <w:szCs w:val="24"/>
        </w:rPr>
        <w:t xml:space="preserve"> the </w:t>
      </w:r>
      <w:r w:rsidRPr="00416510">
        <w:rPr>
          <w:rFonts w:ascii="Arial" w:hAnsi="Arial" w:cs="Arial"/>
          <w:i/>
          <w:sz w:val="24"/>
          <w:szCs w:val="24"/>
        </w:rPr>
        <w:t xml:space="preserve">par </w:t>
      </w:r>
      <w:proofErr w:type="spellStart"/>
      <w:r w:rsidRPr="00416510">
        <w:rPr>
          <w:rFonts w:ascii="Arial" w:hAnsi="Arial" w:cs="Arial"/>
          <w:i/>
          <w:sz w:val="24"/>
          <w:szCs w:val="24"/>
        </w:rPr>
        <w:t>delictum</w:t>
      </w:r>
      <w:proofErr w:type="spellEnd"/>
      <w:r>
        <w:rPr>
          <w:rFonts w:ascii="Arial" w:hAnsi="Arial" w:cs="Arial"/>
          <w:sz w:val="24"/>
          <w:szCs w:val="24"/>
        </w:rPr>
        <w:t xml:space="preserve"> rule</w:t>
      </w:r>
      <w:r>
        <w:rPr>
          <w:rStyle w:val="FootnoteReference"/>
          <w:rFonts w:ascii="Arial" w:hAnsi="Arial" w:cs="Arial"/>
          <w:sz w:val="24"/>
          <w:szCs w:val="24"/>
        </w:rPr>
        <w:footnoteReference w:id="10"/>
      </w:r>
      <w:r>
        <w:rPr>
          <w:rFonts w:ascii="Arial" w:hAnsi="Arial" w:cs="Arial"/>
          <w:sz w:val="24"/>
          <w:szCs w:val="24"/>
        </w:rPr>
        <w:t xml:space="preserve"> as well as the </w:t>
      </w:r>
      <w:r w:rsidRPr="00416510">
        <w:rPr>
          <w:rFonts w:ascii="Arial" w:hAnsi="Arial" w:cs="Arial"/>
          <w:i/>
          <w:sz w:val="24"/>
          <w:szCs w:val="24"/>
        </w:rPr>
        <w:t xml:space="preserve">ex </w:t>
      </w:r>
      <w:proofErr w:type="spellStart"/>
      <w:r w:rsidRPr="00416510">
        <w:rPr>
          <w:rFonts w:ascii="Arial" w:hAnsi="Arial" w:cs="Arial"/>
          <w:i/>
          <w:sz w:val="24"/>
          <w:szCs w:val="24"/>
        </w:rPr>
        <w:t>turpi</w:t>
      </w:r>
      <w:proofErr w:type="spellEnd"/>
      <w:r w:rsidRPr="00416510">
        <w:rPr>
          <w:rFonts w:ascii="Arial" w:hAnsi="Arial" w:cs="Arial"/>
          <w:i/>
          <w:sz w:val="24"/>
          <w:szCs w:val="24"/>
        </w:rPr>
        <w:t xml:space="preserve"> caus</w:t>
      </w:r>
      <w:r w:rsidR="00416510">
        <w:rPr>
          <w:rFonts w:ascii="Arial" w:hAnsi="Arial" w:cs="Arial"/>
          <w:i/>
          <w:sz w:val="24"/>
          <w:szCs w:val="24"/>
        </w:rPr>
        <w:t>a</w:t>
      </w:r>
      <w:r>
        <w:rPr>
          <w:rFonts w:ascii="Arial" w:hAnsi="Arial" w:cs="Arial"/>
          <w:sz w:val="24"/>
          <w:szCs w:val="24"/>
        </w:rPr>
        <w:t xml:space="preserve"> rule</w:t>
      </w:r>
      <w:r>
        <w:rPr>
          <w:rStyle w:val="FootnoteReference"/>
          <w:rFonts w:ascii="Arial" w:hAnsi="Arial" w:cs="Arial"/>
          <w:sz w:val="24"/>
          <w:szCs w:val="24"/>
        </w:rPr>
        <w:footnoteReference w:id="11"/>
      </w:r>
      <w:r w:rsidR="00416510">
        <w:rPr>
          <w:rFonts w:ascii="Arial" w:hAnsi="Arial" w:cs="Arial"/>
          <w:sz w:val="24"/>
          <w:szCs w:val="24"/>
        </w:rPr>
        <w:t xml:space="preserve"> </w:t>
      </w:r>
      <w:r w:rsidR="00E55DA5">
        <w:rPr>
          <w:rFonts w:ascii="Arial" w:hAnsi="Arial" w:cs="Arial"/>
          <w:sz w:val="24"/>
          <w:szCs w:val="24"/>
        </w:rPr>
        <w:t>(</w:t>
      </w:r>
      <w:r w:rsidR="00A62761">
        <w:rPr>
          <w:rFonts w:ascii="Arial" w:hAnsi="Arial" w:cs="Arial"/>
          <w:sz w:val="24"/>
          <w:szCs w:val="24"/>
        </w:rPr>
        <w:t xml:space="preserve">to </w:t>
      </w:r>
      <w:r w:rsidR="00A62761">
        <w:rPr>
          <w:rFonts w:ascii="Arial" w:hAnsi="Arial" w:cs="Arial"/>
          <w:sz w:val="24"/>
          <w:szCs w:val="24"/>
        </w:rPr>
        <w:lastRenderedPageBreak/>
        <w:t xml:space="preserve">be considered only </w:t>
      </w:r>
      <w:r w:rsidR="00E55DA5">
        <w:rPr>
          <w:rFonts w:ascii="Arial" w:hAnsi="Arial" w:cs="Arial"/>
          <w:sz w:val="24"/>
          <w:szCs w:val="24"/>
        </w:rPr>
        <w:t>in the event that the agreement is found to be null and void</w:t>
      </w:r>
      <w:r w:rsidR="00A62761">
        <w:rPr>
          <w:rFonts w:ascii="Arial" w:hAnsi="Arial" w:cs="Arial"/>
          <w:sz w:val="24"/>
          <w:szCs w:val="24"/>
        </w:rPr>
        <w:t xml:space="preserve"> and no causa exists between the parties</w:t>
      </w:r>
      <w:r w:rsidR="00E55DA5">
        <w:rPr>
          <w:rFonts w:ascii="Arial" w:hAnsi="Arial" w:cs="Arial"/>
          <w:sz w:val="24"/>
          <w:szCs w:val="24"/>
        </w:rPr>
        <w:t xml:space="preserve">) </w:t>
      </w:r>
      <w:r w:rsidR="00416510">
        <w:rPr>
          <w:rFonts w:ascii="Arial" w:hAnsi="Arial" w:cs="Arial"/>
          <w:sz w:val="24"/>
          <w:szCs w:val="24"/>
        </w:rPr>
        <w:t xml:space="preserve">and argued that the </w:t>
      </w:r>
      <w:r w:rsidR="00416510" w:rsidRPr="00416510">
        <w:rPr>
          <w:rFonts w:ascii="Arial" w:hAnsi="Arial" w:cs="Arial"/>
          <w:i/>
          <w:sz w:val="24"/>
          <w:szCs w:val="24"/>
        </w:rPr>
        <w:t xml:space="preserve">par </w:t>
      </w:r>
      <w:proofErr w:type="spellStart"/>
      <w:r w:rsidR="00416510" w:rsidRPr="00416510">
        <w:rPr>
          <w:rFonts w:ascii="Arial" w:hAnsi="Arial" w:cs="Arial"/>
          <w:i/>
          <w:sz w:val="24"/>
          <w:szCs w:val="24"/>
        </w:rPr>
        <w:t>delictum</w:t>
      </w:r>
      <w:proofErr w:type="spellEnd"/>
      <w:r w:rsidR="00416510">
        <w:rPr>
          <w:rFonts w:ascii="Arial" w:hAnsi="Arial" w:cs="Arial"/>
          <w:sz w:val="24"/>
          <w:szCs w:val="24"/>
        </w:rPr>
        <w:t xml:space="preserve"> rule </w:t>
      </w:r>
      <w:r w:rsidR="00A62761">
        <w:rPr>
          <w:rFonts w:ascii="Arial" w:hAnsi="Arial" w:cs="Arial"/>
          <w:sz w:val="24"/>
          <w:szCs w:val="24"/>
        </w:rPr>
        <w:t xml:space="preserve">has a very wide range of application and </w:t>
      </w:r>
      <w:r w:rsidR="00416510">
        <w:rPr>
          <w:rFonts w:ascii="Arial" w:hAnsi="Arial" w:cs="Arial"/>
          <w:sz w:val="24"/>
          <w:szCs w:val="24"/>
        </w:rPr>
        <w:t xml:space="preserve">will find application in the current matter as it </w:t>
      </w:r>
      <w:r w:rsidR="00A62761">
        <w:rPr>
          <w:rFonts w:ascii="Arial" w:hAnsi="Arial" w:cs="Arial"/>
          <w:sz w:val="24"/>
          <w:szCs w:val="24"/>
        </w:rPr>
        <w:t xml:space="preserve">did </w:t>
      </w:r>
      <w:r w:rsidR="00416510">
        <w:rPr>
          <w:rFonts w:ascii="Arial" w:hAnsi="Arial" w:cs="Arial"/>
          <w:sz w:val="24"/>
          <w:szCs w:val="24"/>
        </w:rPr>
        <w:t xml:space="preserve">in </w:t>
      </w:r>
      <w:r w:rsidR="00416510" w:rsidRPr="00F21055">
        <w:rPr>
          <w:rFonts w:ascii="Arial" w:eastAsia="Times New Roman" w:hAnsi="Arial" w:cs="Arial"/>
          <w:i/>
          <w:kern w:val="36"/>
          <w:sz w:val="24"/>
          <w:szCs w:val="24"/>
          <w:lang w:eastAsia="en-ZA"/>
        </w:rPr>
        <w:t xml:space="preserve">Claud Bosch Architects cc v </w:t>
      </w:r>
      <w:proofErr w:type="spellStart"/>
      <w:r w:rsidR="00416510" w:rsidRPr="00F21055">
        <w:rPr>
          <w:rFonts w:ascii="Arial" w:eastAsia="Times New Roman" w:hAnsi="Arial" w:cs="Arial"/>
          <w:i/>
          <w:kern w:val="36"/>
          <w:sz w:val="24"/>
          <w:szCs w:val="24"/>
          <w:lang w:eastAsia="en-ZA"/>
        </w:rPr>
        <w:t>Auas</w:t>
      </w:r>
      <w:proofErr w:type="spellEnd"/>
      <w:r w:rsidR="00416510" w:rsidRPr="00F21055">
        <w:rPr>
          <w:rFonts w:ascii="Arial" w:eastAsia="Times New Roman" w:hAnsi="Arial" w:cs="Arial"/>
          <w:i/>
          <w:kern w:val="36"/>
          <w:sz w:val="24"/>
          <w:szCs w:val="24"/>
          <w:lang w:eastAsia="en-ZA"/>
        </w:rPr>
        <w:t xml:space="preserve"> Business Enterprise 123 (Pty) Ltd</w:t>
      </w:r>
      <w:r w:rsidR="00416510">
        <w:rPr>
          <w:rStyle w:val="FootnoteReference"/>
          <w:rFonts w:ascii="Arial" w:eastAsia="Times New Roman" w:hAnsi="Arial" w:cs="Arial"/>
          <w:kern w:val="36"/>
          <w:sz w:val="24"/>
          <w:szCs w:val="24"/>
          <w:lang w:eastAsia="en-ZA"/>
        </w:rPr>
        <w:footnoteReference w:id="12"/>
      </w:r>
      <w:r w:rsidR="00416510">
        <w:rPr>
          <w:rFonts w:ascii="Arial" w:eastAsia="Times New Roman" w:hAnsi="Arial" w:cs="Arial"/>
          <w:kern w:val="36"/>
          <w:sz w:val="24"/>
          <w:szCs w:val="24"/>
          <w:lang w:eastAsia="en-ZA"/>
        </w:rPr>
        <w:t xml:space="preserve"> where the court held that even if there was legal non-compliances </w:t>
      </w:r>
      <w:r w:rsidR="00FF40CC">
        <w:rPr>
          <w:rFonts w:ascii="Arial" w:eastAsia="Times New Roman" w:hAnsi="Arial" w:cs="Arial"/>
          <w:kern w:val="36"/>
          <w:sz w:val="24"/>
          <w:szCs w:val="24"/>
          <w:lang w:eastAsia="en-ZA"/>
        </w:rPr>
        <w:t xml:space="preserve">that </w:t>
      </w:r>
      <w:r w:rsidR="00416510">
        <w:rPr>
          <w:rFonts w:ascii="Arial" w:eastAsia="Times New Roman" w:hAnsi="Arial" w:cs="Arial"/>
          <w:kern w:val="36"/>
          <w:sz w:val="24"/>
          <w:szCs w:val="24"/>
          <w:lang w:eastAsia="en-ZA"/>
        </w:rPr>
        <w:t>specific performance</w:t>
      </w:r>
      <w:r w:rsidR="00FF40CC">
        <w:rPr>
          <w:rFonts w:ascii="Arial" w:eastAsia="Times New Roman" w:hAnsi="Arial" w:cs="Arial"/>
          <w:kern w:val="36"/>
          <w:sz w:val="24"/>
          <w:szCs w:val="24"/>
          <w:lang w:eastAsia="en-ZA"/>
        </w:rPr>
        <w:t xml:space="preserve"> should be</w:t>
      </w:r>
      <w:r w:rsidR="00416510">
        <w:rPr>
          <w:rFonts w:ascii="Arial" w:eastAsia="Times New Roman" w:hAnsi="Arial" w:cs="Arial"/>
          <w:kern w:val="36"/>
          <w:sz w:val="24"/>
          <w:szCs w:val="24"/>
          <w:lang w:eastAsia="en-ZA"/>
        </w:rPr>
        <w:t xml:space="preserve"> </w:t>
      </w:r>
      <w:r w:rsidR="00FF40CC">
        <w:rPr>
          <w:rFonts w:ascii="Arial" w:eastAsia="Times New Roman" w:hAnsi="Arial" w:cs="Arial"/>
          <w:kern w:val="36"/>
          <w:sz w:val="24"/>
          <w:szCs w:val="24"/>
          <w:lang w:eastAsia="en-ZA"/>
        </w:rPr>
        <w:t>ordered</w:t>
      </w:r>
      <w:r w:rsidR="00B94F98">
        <w:rPr>
          <w:rFonts w:ascii="Arial" w:eastAsia="Times New Roman" w:hAnsi="Arial" w:cs="Arial"/>
          <w:kern w:val="36"/>
          <w:sz w:val="24"/>
          <w:szCs w:val="24"/>
          <w:lang w:eastAsia="en-ZA"/>
        </w:rPr>
        <w:t>.</w:t>
      </w:r>
    </w:p>
    <w:p w:rsidR="00B94F98" w:rsidRDefault="00B94F98" w:rsidP="00365F2C">
      <w:pPr>
        <w:spacing w:after="0" w:line="360" w:lineRule="auto"/>
        <w:jc w:val="both"/>
        <w:rPr>
          <w:rFonts w:ascii="Arial" w:eastAsia="Times New Roman" w:hAnsi="Arial" w:cs="Arial"/>
          <w:kern w:val="36"/>
          <w:sz w:val="24"/>
          <w:szCs w:val="24"/>
          <w:lang w:eastAsia="en-ZA"/>
        </w:rPr>
      </w:pPr>
    </w:p>
    <w:p w:rsidR="00416510" w:rsidRDefault="00416510" w:rsidP="00365F2C">
      <w:pPr>
        <w:spacing w:after="0" w:line="360" w:lineRule="auto"/>
        <w:jc w:val="both"/>
        <w:rPr>
          <w:rFonts w:ascii="Arial" w:eastAsia="Times New Roman" w:hAnsi="Arial" w:cs="Arial"/>
          <w:kern w:val="36"/>
          <w:sz w:val="24"/>
          <w:szCs w:val="24"/>
          <w:lang w:eastAsia="en-ZA"/>
        </w:rPr>
      </w:pPr>
      <w:r>
        <w:rPr>
          <w:rFonts w:ascii="Arial" w:eastAsia="Times New Roman" w:hAnsi="Arial" w:cs="Arial"/>
          <w:kern w:val="36"/>
          <w:sz w:val="24"/>
          <w:szCs w:val="24"/>
          <w:lang w:eastAsia="en-ZA"/>
        </w:rPr>
        <w:t>[</w:t>
      </w:r>
      <w:r w:rsidR="00FF40CC">
        <w:rPr>
          <w:rFonts w:ascii="Arial" w:eastAsia="Times New Roman" w:hAnsi="Arial" w:cs="Arial"/>
          <w:kern w:val="36"/>
          <w:sz w:val="24"/>
          <w:szCs w:val="24"/>
          <w:lang w:eastAsia="en-ZA"/>
        </w:rPr>
        <w:t>24</w:t>
      </w:r>
      <w:r w:rsidR="00B94F98">
        <w:rPr>
          <w:rFonts w:ascii="Arial" w:eastAsia="Times New Roman" w:hAnsi="Arial" w:cs="Arial"/>
          <w:kern w:val="36"/>
          <w:sz w:val="24"/>
          <w:szCs w:val="24"/>
          <w:lang w:eastAsia="en-ZA"/>
        </w:rPr>
        <w:t>]</w:t>
      </w:r>
      <w:r w:rsidR="00B94F98">
        <w:rPr>
          <w:rFonts w:ascii="Arial" w:eastAsia="Times New Roman" w:hAnsi="Arial" w:cs="Arial"/>
          <w:kern w:val="36"/>
          <w:sz w:val="24"/>
          <w:szCs w:val="24"/>
          <w:lang w:eastAsia="en-ZA"/>
        </w:rPr>
        <w:tab/>
      </w:r>
      <w:r>
        <w:rPr>
          <w:rFonts w:ascii="Arial" w:eastAsia="Times New Roman" w:hAnsi="Arial" w:cs="Arial"/>
          <w:kern w:val="36"/>
          <w:sz w:val="24"/>
          <w:szCs w:val="24"/>
          <w:lang w:eastAsia="en-ZA"/>
        </w:rPr>
        <w:t xml:space="preserve">Mr Heathcote further referred the court to </w:t>
      </w:r>
      <w:r w:rsidRPr="00FF40CC">
        <w:rPr>
          <w:rFonts w:ascii="Arial" w:eastAsia="Times New Roman" w:hAnsi="Arial" w:cs="Arial"/>
          <w:i/>
          <w:kern w:val="36"/>
          <w:sz w:val="24"/>
          <w:szCs w:val="24"/>
          <w:lang w:eastAsia="en-ZA"/>
        </w:rPr>
        <w:t>Patel v Mirza</w:t>
      </w:r>
      <w:r w:rsidR="0033569C">
        <w:rPr>
          <w:rFonts w:ascii="Arial" w:eastAsia="Times New Roman" w:hAnsi="Arial" w:cs="Arial"/>
          <w:i/>
          <w:kern w:val="36"/>
          <w:sz w:val="24"/>
          <w:szCs w:val="24"/>
          <w:lang w:eastAsia="en-ZA"/>
        </w:rPr>
        <w:t>,</w:t>
      </w:r>
      <w:r w:rsidR="00FF40CC">
        <w:rPr>
          <w:rStyle w:val="FootnoteReference"/>
          <w:rFonts w:ascii="Arial" w:eastAsia="Times New Roman" w:hAnsi="Arial" w:cs="Arial"/>
          <w:i/>
          <w:kern w:val="36"/>
          <w:sz w:val="24"/>
          <w:szCs w:val="24"/>
          <w:lang w:eastAsia="en-ZA"/>
        </w:rPr>
        <w:footnoteReference w:id="13"/>
      </w:r>
      <w:r w:rsidR="00E55DA5">
        <w:rPr>
          <w:rFonts w:ascii="Arial" w:eastAsia="Times New Roman" w:hAnsi="Arial" w:cs="Arial"/>
          <w:kern w:val="36"/>
          <w:sz w:val="24"/>
          <w:szCs w:val="24"/>
          <w:lang w:eastAsia="en-ZA"/>
        </w:rPr>
        <w:t xml:space="preserve"> a judgment by the House of Lords, </w:t>
      </w:r>
      <w:r w:rsidR="00FF40CC">
        <w:rPr>
          <w:rFonts w:ascii="Arial" w:eastAsia="Times New Roman" w:hAnsi="Arial" w:cs="Arial"/>
          <w:kern w:val="36"/>
          <w:sz w:val="24"/>
          <w:szCs w:val="24"/>
          <w:lang w:eastAsia="en-ZA"/>
        </w:rPr>
        <w:t xml:space="preserve">which may be helpful to assist the court to </w:t>
      </w:r>
      <w:r>
        <w:rPr>
          <w:rFonts w:ascii="Arial" w:eastAsia="Times New Roman" w:hAnsi="Arial" w:cs="Arial"/>
          <w:kern w:val="36"/>
          <w:sz w:val="24"/>
          <w:szCs w:val="24"/>
          <w:lang w:eastAsia="en-ZA"/>
        </w:rPr>
        <w:t>distinguish</w:t>
      </w:r>
      <w:r w:rsidR="001C6554">
        <w:rPr>
          <w:rFonts w:ascii="Arial" w:eastAsia="Times New Roman" w:hAnsi="Arial" w:cs="Arial"/>
          <w:kern w:val="36"/>
          <w:sz w:val="24"/>
          <w:szCs w:val="24"/>
          <w:lang w:eastAsia="en-ZA"/>
        </w:rPr>
        <w:t xml:space="preserve"> </w:t>
      </w:r>
      <w:r>
        <w:rPr>
          <w:rFonts w:ascii="Arial" w:eastAsia="Times New Roman" w:hAnsi="Arial" w:cs="Arial"/>
          <w:kern w:val="36"/>
          <w:sz w:val="24"/>
          <w:szCs w:val="24"/>
          <w:lang w:eastAsia="en-ZA"/>
        </w:rPr>
        <w:t>between the formation of a contract and the execution thereof and submitted that the Banking Institutions Act is only applicable in so far as the formation of the agreement</w:t>
      </w:r>
      <w:r w:rsidR="00FF40CC">
        <w:rPr>
          <w:rFonts w:ascii="Arial" w:eastAsia="Times New Roman" w:hAnsi="Arial" w:cs="Arial"/>
          <w:kern w:val="36"/>
          <w:sz w:val="24"/>
          <w:szCs w:val="24"/>
          <w:lang w:eastAsia="en-ZA"/>
        </w:rPr>
        <w:t>,</w:t>
      </w:r>
      <w:r>
        <w:rPr>
          <w:rFonts w:ascii="Arial" w:eastAsia="Times New Roman" w:hAnsi="Arial" w:cs="Arial"/>
          <w:kern w:val="36"/>
          <w:sz w:val="24"/>
          <w:szCs w:val="24"/>
          <w:lang w:eastAsia="en-ZA"/>
        </w:rPr>
        <w:t xml:space="preserve"> and if it is accepted that the agreement was </w:t>
      </w:r>
      <w:r w:rsidRPr="008C6BDC">
        <w:rPr>
          <w:rFonts w:ascii="Arial" w:eastAsia="Times New Roman" w:hAnsi="Arial" w:cs="Arial"/>
          <w:kern w:val="36"/>
          <w:sz w:val="24"/>
          <w:szCs w:val="24"/>
          <w:lang w:eastAsia="en-ZA"/>
        </w:rPr>
        <w:t xml:space="preserve">not </w:t>
      </w:r>
      <w:r w:rsidR="00E54D78" w:rsidRPr="008C6BDC">
        <w:rPr>
          <w:rFonts w:ascii="Arial" w:eastAsia="Times New Roman" w:hAnsi="Arial" w:cs="Arial"/>
          <w:kern w:val="36"/>
          <w:sz w:val="24"/>
          <w:szCs w:val="24"/>
          <w:lang w:eastAsia="en-ZA"/>
        </w:rPr>
        <w:t xml:space="preserve">concluded as part of an </w:t>
      </w:r>
      <w:r>
        <w:rPr>
          <w:rFonts w:ascii="Arial" w:eastAsia="Times New Roman" w:hAnsi="Arial" w:cs="Arial"/>
          <w:kern w:val="36"/>
          <w:sz w:val="24"/>
          <w:szCs w:val="24"/>
          <w:lang w:eastAsia="en-ZA"/>
        </w:rPr>
        <w:t>ordinary banking practice then the formation of the contract might have been a criminal offence. However, Mr Heathcote submitted that in the current proceedings the court is not dealing with the formation of the agree</w:t>
      </w:r>
      <w:r w:rsidR="00B94F98">
        <w:rPr>
          <w:rFonts w:ascii="Arial" w:eastAsia="Times New Roman" w:hAnsi="Arial" w:cs="Arial"/>
          <w:kern w:val="36"/>
          <w:sz w:val="24"/>
          <w:szCs w:val="24"/>
          <w:lang w:eastAsia="en-ZA"/>
        </w:rPr>
        <w:t>ment but the execution thereof.</w:t>
      </w:r>
    </w:p>
    <w:p w:rsidR="00B94F98" w:rsidRDefault="00B94F98" w:rsidP="00365F2C">
      <w:pPr>
        <w:spacing w:after="0" w:line="360" w:lineRule="auto"/>
        <w:jc w:val="both"/>
        <w:rPr>
          <w:rFonts w:ascii="Arial" w:eastAsia="Times New Roman" w:hAnsi="Arial" w:cs="Arial"/>
          <w:kern w:val="36"/>
          <w:sz w:val="24"/>
          <w:szCs w:val="24"/>
          <w:lang w:eastAsia="en-ZA"/>
        </w:rPr>
      </w:pPr>
    </w:p>
    <w:p w:rsidR="00416510" w:rsidRDefault="00416510" w:rsidP="00365F2C">
      <w:pPr>
        <w:spacing w:after="0" w:line="360" w:lineRule="auto"/>
        <w:jc w:val="both"/>
        <w:rPr>
          <w:rFonts w:ascii="Arial" w:eastAsia="Times New Roman" w:hAnsi="Arial" w:cs="Arial"/>
          <w:kern w:val="36"/>
          <w:sz w:val="24"/>
          <w:szCs w:val="24"/>
          <w:lang w:eastAsia="en-ZA"/>
        </w:rPr>
      </w:pPr>
      <w:r>
        <w:rPr>
          <w:rFonts w:ascii="Arial" w:eastAsia="Times New Roman" w:hAnsi="Arial" w:cs="Arial"/>
          <w:kern w:val="36"/>
          <w:sz w:val="24"/>
          <w:szCs w:val="24"/>
          <w:lang w:eastAsia="en-ZA"/>
        </w:rPr>
        <w:t>[</w:t>
      </w:r>
      <w:r w:rsidR="00FF40CC">
        <w:rPr>
          <w:rFonts w:ascii="Arial" w:eastAsia="Times New Roman" w:hAnsi="Arial" w:cs="Arial"/>
          <w:kern w:val="36"/>
          <w:sz w:val="24"/>
          <w:szCs w:val="24"/>
          <w:lang w:eastAsia="en-ZA"/>
        </w:rPr>
        <w:t>25</w:t>
      </w:r>
      <w:r>
        <w:rPr>
          <w:rFonts w:ascii="Arial" w:eastAsia="Times New Roman" w:hAnsi="Arial" w:cs="Arial"/>
          <w:kern w:val="36"/>
          <w:sz w:val="24"/>
          <w:szCs w:val="24"/>
          <w:lang w:eastAsia="en-ZA"/>
        </w:rPr>
        <w:t>]</w:t>
      </w:r>
      <w:r>
        <w:rPr>
          <w:rFonts w:ascii="Arial" w:eastAsia="Times New Roman" w:hAnsi="Arial" w:cs="Arial"/>
          <w:kern w:val="36"/>
          <w:sz w:val="24"/>
          <w:szCs w:val="24"/>
          <w:lang w:eastAsia="en-ZA"/>
        </w:rPr>
        <w:tab/>
        <w:t xml:space="preserve">Counsel submitted that the question in the matter before court is not if the </w:t>
      </w:r>
      <w:r w:rsidRPr="00FF40CC">
        <w:rPr>
          <w:rFonts w:ascii="Arial" w:eastAsia="Times New Roman" w:hAnsi="Arial" w:cs="Arial"/>
          <w:i/>
          <w:kern w:val="36"/>
          <w:sz w:val="24"/>
          <w:szCs w:val="24"/>
          <w:lang w:eastAsia="en-ZA"/>
        </w:rPr>
        <w:t xml:space="preserve">par </w:t>
      </w:r>
      <w:proofErr w:type="spellStart"/>
      <w:r w:rsidRPr="00FF40CC">
        <w:rPr>
          <w:rFonts w:ascii="Arial" w:eastAsia="Times New Roman" w:hAnsi="Arial" w:cs="Arial"/>
          <w:i/>
          <w:kern w:val="36"/>
          <w:sz w:val="24"/>
          <w:szCs w:val="24"/>
          <w:lang w:eastAsia="en-ZA"/>
        </w:rPr>
        <w:t>delictum</w:t>
      </w:r>
      <w:proofErr w:type="spellEnd"/>
      <w:r>
        <w:rPr>
          <w:rFonts w:ascii="Arial" w:eastAsia="Times New Roman" w:hAnsi="Arial" w:cs="Arial"/>
          <w:kern w:val="36"/>
          <w:sz w:val="24"/>
          <w:szCs w:val="24"/>
          <w:lang w:eastAsia="en-ZA"/>
        </w:rPr>
        <w:t xml:space="preserve"> rule is applicable to the facts</w:t>
      </w:r>
      <w:r w:rsidR="00FF40CC">
        <w:rPr>
          <w:rFonts w:ascii="Arial" w:eastAsia="Times New Roman" w:hAnsi="Arial" w:cs="Arial"/>
          <w:kern w:val="36"/>
          <w:sz w:val="24"/>
          <w:szCs w:val="24"/>
          <w:lang w:eastAsia="en-ZA"/>
        </w:rPr>
        <w:t>,</w:t>
      </w:r>
      <w:r>
        <w:rPr>
          <w:rFonts w:ascii="Arial" w:eastAsia="Times New Roman" w:hAnsi="Arial" w:cs="Arial"/>
          <w:kern w:val="36"/>
          <w:sz w:val="24"/>
          <w:szCs w:val="24"/>
          <w:lang w:eastAsia="en-ZA"/>
        </w:rPr>
        <w:t xml:space="preserve"> because it will always be, but whether the agreement was valid or not</w:t>
      </w:r>
      <w:r w:rsidR="002F0F35">
        <w:rPr>
          <w:rFonts w:ascii="Arial" w:eastAsia="Times New Roman" w:hAnsi="Arial" w:cs="Arial"/>
          <w:kern w:val="36"/>
          <w:sz w:val="24"/>
          <w:szCs w:val="24"/>
          <w:lang w:eastAsia="en-ZA"/>
        </w:rPr>
        <w:t>.</w:t>
      </w:r>
      <w:r w:rsidR="00E55DA5">
        <w:rPr>
          <w:rFonts w:ascii="Arial" w:eastAsia="Times New Roman" w:hAnsi="Arial" w:cs="Arial"/>
          <w:kern w:val="36"/>
          <w:sz w:val="24"/>
          <w:szCs w:val="24"/>
          <w:lang w:eastAsia="en-ZA"/>
        </w:rPr>
        <w:t xml:space="preserve"> In this regard the court must consider the policy of the legislature</w:t>
      </w:r>
      <w:r w:rsidR="00801565">
        <w:rPr>
          <w:rFonts w:ascii="Arial" w:eastAsia="Times New Roman" w:hAnsi="Arial" w:cs="Arial"/>
          <w:kern w:val="36"/>
          <w:sz w:val="24"/>
          <w:szCs w:val="24"/>
          <w:lang w:eastAsia="en-ZA"/>
        </w:rPr>
        <w:t xml:space="preserve"> </w:t>
      </w:r>
      <w:proofErr w:type="spellStart"/>
      <w:r w:rsidR="00801565">
        <w:rPr>
          <w:rFonts w:ascii="Arial" w:eastAsia="Times New Roman" w:hAnsi="Arial" w:cs="Arial"/>
          <w:kern w:val="36"/>
          <w:sz w:val="24"/>
          <w:szCs w:val="24"/>
          <w:lang w:eastAsia="en-ZA"/>
        </w:rPr>
        <w:t>ie</w:t>
      </w:r>
      <w:proofErr w:type="spellEnd"/>
      <w:r w:rsidR="00801565">
        <w:rPr>
          <w:rFonts w:ascii="Arial" w:eastAsia="Times New Roman" w:hAnsi="Arial" w:cs="Arial"/>
          <w:kern w:val="36"/>
          <w:sz w:val="24"/>
          <w:szCs w:val="24"/>
          <w:lang w:eastAsia="en-ZA"/>
        </w:rPr>
        <w:t xml:space="preserve"> what does the </w:t>
      </w:r>
      <w:r w:rsidR="00801565" w:rsidRPr="00F46384">
        <w:rPr>
          <w:rFonts w:ascii="Arial" w:eastAsia="Times New Roman" w:hAnsi="Arial" w:cs="Arial"/>
          <w:kern w:val="36"/>
          <w:sz w:val="24"/>
          <w:szCs w:val="24"/>
          <w:lang w:eastAsia="en-ZA"/>
        </w:rPr>
        <w:t xml:space="preserve">legislature protect and if one applies the </w:t>
      </w:r>
      <w:r w:rsidR="00801565" w:rsidRPr="00F46384">
        <w:rPr>
          <w:rFonts w:ascii="Arial" w:eastAsia="Times New Roman" w:hAnsi="Arial" w:cs="Arial"/>
          <w:i/>
          <w:kern w:val="36"/>
          <w:sz w:val="24"/>
          <w:szCs w:val="24"/>
          <w:lang w:eastAsia="en-ZA"/>
        </w:rPr>
        <w:t xml:space="preserve">par </w:t>
      </w:r>
      <w:proofErr w:type="spellStart"/>
      <w:r w:rsidR="00801565" w:rsidRPr="00F46384">
        <w:rPr>
          <w:rFonts w:ascii="Arial" w:eastAsia="Times New Roman" w:hAnsi="Arial" w:cs="Arial"/>
          <w:i/>
          <w:kern w:val="36"/>
          <w:sz w:val="24"/>
          <w:szCs w:val="24"/>
          <w:lang w:eastAsia="en-ZA"/>
        </w:rPr>
        <w:t>delictum</w:t>
      </w:r>
      <w:proofErr w:type="spellEnd"/>
      <w:r w:rsidR="00801565" w:rsidRPr="00F46384">
        <w:rPr>
          <w:rFonts w:ascii="Arial" w:eastAsia="Times New Roman" w:hAnsi="Arial" w:cs="Arial"/>
          <w:kern w:val="36"/>
          <w:sz w:val="24"/>
          <w:szCs w:val="24"/>
          <w:lang w:eastAsia="en-ZA"/>
        </w:rPr>
        <w:t xml:space="preserve"> rule the court must decide if the rule follow</w:t>
      </w:r>
      <w:r w:rsidR="00032EF9" w:rsidRPr="00F46384">
        <w:rPr>
          <w:rFonts w:ascii="Arial" w:eastAsia="Times New Roman" w:hAnsi="Arial" w:cs="Arial"/>
          <w:kern w:val="36"/>
          <w:sz w:val="24"/>
          <w:szCs w:val="24"/>
          <w:lang w:eastAsia="en-ZA"/>
        </w:rPr>
        <w:t>s</w:t>
      </w:r>
      <w:r w:rsidR="00801565" w:rsidRPr="00F46384">
        <w:rPr>
          <w:rFonts w:ascii="Arial" w:eastAsia="Times New Roman" w:hAnsi="Arial" w:cs="Arial"/>
          <w:kern w:val="36"/>
          <w:sz w:val="24"/>
          <w:szCs w:val="24"/>
          <w:lang w:eastAsia="en-ZA"/>
        </w:rPr>
        <w:t xml:space="preserve"> the </w:t>
      </w:r>
      <w:r w:rsidR="00801565">
        <w:rPr>
          <w:rFonts w:ascii="Arial" w:eastAsia="Times New Roman" w:hAnsi="Arial" w:cs="Arial"/>
          <w:kern w:val="36"/>
          <w:sz w:val="24"/>
          <w:szCs w:val="24"/>
          <w:lang w:eastAsia="en-ZA"/>
        </w:rPr>
        <w:t>policy of the legis</w:t>
      </w:r>
      <w:r w:rsidR="00B94F98">
        <w:rPr>
          <w:rFonts w:ascii="Arial" w:eastAsia="Times New Roman" w:hAnsi="Arial" w:cs="Arial"/>
          <w:kern w:val="36"/>
          <w:sz w:val="24"/>
          <w:szCs w:val="24"/>
          <w:lang w:eastAsia="en-ZA"/>
        </w:rPr>
        <w:t>lature or caus</w:t>
      </w:r>
      <w:r w:rsidR="00032EF9" w:rsidRPr="008C6BDC">
        <w:rPr>
          <w:rFonts w:ascii="Arial" w:eastAsia="Times New Roman" w:hAnsi="Arial" w:cs="Arial"/>
          <w:kern w:val="36"/>
          <w:sz w:val="24"/>
          <w:szCs w:val="24"/>
          <w:lang w:eastAsia="en-ZA"/>
        </w:rPr>
        <w:t>e</w:t>
      </w:r>
      <w:r w:rsidR="00B94F98">
        <w:rPr>
          <w:rFonts w:ascii="Arial" w:eastAsia="Times New Roman" w:hAnsi="Arial" w:cs="Arial"/>
          <w:kern w:val="36"/>
          <w:sz w:val="24"/>
          <w:szCs w:val="24"/>
          <w:lang w:eastAsia="en-ZA"/>
        </w:rPr>
        <w:t xml:space="preserve"> harm thereto.</w:t>
      </w:r>
    </w:p>
    <w:p w:rsidR="00B94F98" w:rsidRDefault="00B94F98" w:rsidP="00365F2C">
      <w:pPr>
        <w:spacing w:after="0" w:line="360" w:lineRule="auto"/>
        <w:jc w:val="both"/>
        <w:rPr>
          <w:rFonts w:ascii="Arial" w:eastAsia="Times New Roman" w:hAnsi="Arial" w:cs="Arial"/>
          <w:kern w:val="36"/>
          <w:sz w:val="24"/>
          <w:szCs w:val="24"/>
          <w:lang w:eastAsia="en-ZA"/>
        </w:rPr>
      </w:pPr>
    </w:p>
    <w:p w:rsidR="000E6418" w:rsidRDefault="002F0F35" w:rsidP="00365F2C">
      <w:pPr>
        <w:spacing w:after="0" w:line="360" w:lineRule="auto"/>
        <w:jc w:val="both"/>
        <w:rPr>
          <w:rFonts w:ascii="Arial" w:eastAsia="Times New Roman" w:hAnsi="Arial" w:cs="Arial"/>
          <w:kern w:val="36"/>
          <w:sz w:val="24"/>
          <w:szCs w:val="24"/>
          <w:lang w:eastAsia="en-ZA"/>
        </w:rPr>
      </w:pPr>
      <w:r>
        <w:rPr>
          <w:rFonts w:ascii="Arial" w:eastAsia="Times New Roman" w:hAnsi="Arial" w:cs="Arial"/>
          <w:kern w:val="36"/>
          <w:sz w:val="24"/>
          <w:szCs w:val="24"/>
          <w:lang w:eastAsia="en-ZA"/>
        </w:rPr>
        <w:t>[</w:t>
      </w:r>
      <w:r w:rsidR="00FF40CC">
        <w:rPr>
          <w:rFonts w:ascii="Arial" w:eastAsia="Times New Roman" w:hAnsi="Arial" w:cs="Arial"/>
          <w:kern w:val="36"/>
          <w:sz w:val="24"/>
          <w:szCs w:val="24"/>
          <w:lang w:eastAsia="en-ZA"/>
        </w:rPr>
        <w:t>26</w:t>
      </w:r>
      <w:r>
        <w:rPr>
          <w:rFonts w:ascii="Arial" w:eastAsia="Times New Roman" w:hAnsi="Arial" w:cs="Arial"/>
          <w:kern w:val="36"/>
          <w:sz w:val="24"/>
          <w:szCs w:val="24"/>
          <w:lang w:eastAsia="en-ZA"/>
        </w:rPr>
        <w:t>]</w:t>
      </w:r>
      <w:r>
        <w:rPr>
          <w:rFonts w:ascii="Arial" w:eastAsia="Times New Roman" w:hAnsi="Arial" w:cs="Arial"/>
          <w:kern w:val="36"/>
          <w:sz w:val="24"/>
          <w:szCs w:val="24"/>
          <w:lang w:eastAsia="en-ZA"/>
        </w:rPr>
        <w:tab/>
        <w:t xml:space="preserve">Mr Heathcote </w:t>
      </w:r>
      <w:r w:rsidR="00FF40CC">
        <w:rPr>
          <w:rFonts w:ascii="Arial" w:eastAsia="Times New Roman" w:hAnsi="Arial" w:cs="Arial"/>
          <w:kern w:val="36"/>
          <w:sz w:val="24"/>
          <w:szCs w:val="24"/>
          <w:lang w:eastAsia="en-ZA"/>
        </w:rPr>
        <w:t xml:space="preserve">argued that in the current matter the </w:t>
      </w:r>
      <w:r w:rsidR="00FF40CC" w:rsidRPr="00FF40CC">
        <w:rPr>
          <w:rFonts w:ascii="Arial" w:eastAsia="Times New Roman" w:hAnsi="Arial" w:cs="Arial"/>
          <w:i/>
          <w:kern w:val="36"/>
          <w:sz w:val="24"/>
          <w:szCs w:val="24"/>
          <w:lang w:eastAsia="en-ZA"/>
        </w:rPr>
        <w:t xml:space="preserve">par </w:t>
      </w:r>
      <w:proofErr w:type="spellStart"/>
      <w:r w:rsidR="00FF40CC" w:rsidRPr="00FF40CC">
        <w:rPr>
          <w:rFonts w:ascii="Arial" w:eastAsia="Times New Roman" w:hAnsi="Arial" w:cs="Arial"/>
          <w:i/>
          <w:kern w:val="36"/>
          <w:sz w:val="24"/>
          <w:szCs w:val="24"/>
          <w:lang w:eastAsia="en-ZA"/>
        </w:rPr>
        <w:t>delictum</w:t>
      </w:r>
      <w:proofErr w:type="spellEnd"/>
      <w:r w:rsidR="00FF40CC">
        <w:rPr>
          <w:rFonts w:ascii="Arial" w:eastAsia="Times New Roman" w:hAnsi="Arial" w:cs="Arial"/>
          <w:kern w:val="36"/>
          <w:sz w:val="24"/>
          <w:szCs w:val="24"/>
          <w:lang w:eastAsia="en-ZA"/>
        </w:rPr>
        <w:t xml:space="preserve"> rule should be relaxed </w:t>
      </w:r>
      <w:r w:rsidR="001449A6">
        <w:rPr>
          <w:rFonts w:ascii="Arial" w:eastAsia="Times New Roman" w:hAnsi="Arial" w:cs="Arial"/>
          <w:kern w:val="36"/>
          <w:sz w:val="24"/>
          <w:szCs w:val="24"/>
          <w:lang w:eastAsia="en-ZA"/>
        </w:rPr>
        <w:t xml:space="preserve">in the interest of public and </w:t>
      </w:r>
      <w:r w:rsidR="00FF40CC">
        <w:rPr>
          <w:rFonts w:ascii="Arial" w:eastAsia="Times New Roman" w:hAnsi="Arial" w:cs="Arial"/>
          <w:kern w:val="36"/>
          <w:sz w:val="24"/>
          <w:szCs w:val="24"/>
          <w:lang w:eastAsia="en-ZA"/>
        </w:rPr>
        <w:t>in order to do justice between man and man</w:t>
      </w:r>
      <w:r w:rsidR="001449A6">
        <w:rPr>
          <w:rFonts w:ascii="Arial" w:eastAsia="Times New Roman" w:hAnsi="Arial" w:cs="Arial"/>
          <w:kern w:val="36"/>
          <w:sz w:val="24"/>
          <w:szCs w:val="24"/>
          <w:lang w:eastAsia="en-ZA"/>
        </w:rPr>
        <w:t xml:space="preserve">. In this regard the court was referred to </w:t>
      </w:r>
      <w:proofErr w:type="spellStart"/>
      <w:r w:rsidR="001449A6" w:rsidRPr="001449A6">
        <w:rPr>
          <w:rFonts w:ascii="Arial" w:eastAsia="Times New Roman" w:hAnsi="Arial" w:cs="Arial"/>
          <w:i/>
          <w:kern w:val="36"/>
          <w:sz w:val="24"/>
          <w:szCs w:val="24"/>
          <w:lang w:eastAsia="en-ZA"/>
        </w:rPr>
        <w:t>Afrisure</w:t>
      </w:r>
      <w:proofErr w:type="spellEnd"/>
      <w:r w:rsidR="001449A6" w:rsidRPr="001449A6">
        <w:rPr>
          <w:rFonts w:ascii="Arial" w:eastAsia="Times New Roman" w:hAnsi="Arial" w:cs="Arial"/>
          <w:i/>
          <w:kern w:val="36"/>
          <w:sz w:val="24"/>
          <w:szCs w:val="24"/>
          <w:lang w:eastAsia="en-ZA"/>
        </w:rPr>
        <w:t xml:space="preserve"> CC and Another v Watson NO and Another</w:t>
      </w:r>
      <w:r w:rsidR="001449A6">
        <w:rPr>
          <w:rStyle w:val="FootnoteReference"/>
          <w:rFonts w:ascii="Arial" w:eastAsia="Times New Roman" w:hAnsi="Arial" w:cs="Arial"/>
          <w:kern w:val="36"/>
          <w:sz w:val="24"/>
          <w:szCs w:val="24"/>
          <w:lang w:eastAsia="en-ZA"/>
        </w:rPr>
        <w:footnoteReference w:id="14"/>
      </w:r>
      <w:r w:rsidR="0033569C">
        <w:rPr>
          <w:rFonts w:ascii="Arial" w:eastAsia="Times New Roman" w:hAnsi="Arial" w:cs="Arial"/>
          <w:i/>
          <w:kern w:val="36"/>
          <w:sz w:val="24"/>
          <w:szCs w:val="24"/>
          <w:lang w:eastAsia="en-ZA"/>
        </w:rPr>
        <w:t xml:space="preserve"> </w:t>
      </w:r>
      <w:r w:rsidR="001449A6">
        <w:rPr>
          <w:rFonts w:ascii="Arial" w:eastAsia="Times New Roman" w:hAnsi="Arial" w:cs="Arial"/>
          <w:kern w:val="36"/>
          <w:sz w:val="24"/>
          <w:szCs w:val="24"/>
          <w:lang w:eastAsia="en-ZA"/>
        </w:rPr>
        <w:t xml:space="preserve">wherein the court found that public policy </w:t>
      </w:r>
      <w:r w:rsidR="001449A6" w:rsidRPr="001449A6">
        <w:rPr>
          <w:rFonts w:ascii="Arial" w:eastAsia="Times New Roman" w:hAnsi="Arial" w:cs="Arial"/>
          <w:kern w:val="36"/>
          <w:sz w:val="24"/>
          <w:szCs w:val="24"/>
          <w:u w:val="single"/>
          <w:lang w:eastAsia="en-ZA"/>
        </w:rPr>
        <w:t>dictates</w:t>
      </w:r>
      <w:r w:rsidR="001449A6">
        <w:rPr>
          <w:rFonts w:ascii="Arial" w:eastAsia="Times New Roman" w:hAnsi="Arial" w:cs="Arial"/>
          <w:kern w:val="36"/>
          <w:sz w:val="24"/>
          <w:szCs w:val="24"/>
          <w:lang w:eastAsia="en-ZA"/>
        </w:rPr>
        <w:t xml:space="preserve"> that the exception to the general </w:t>
      </w:r>
      <w:r w:rsidR="001449A6" w:rsidRPr="001449A6">
        <w:rPr>
          <w:rFonts w:ascii="Arial" w:eastAsia="Times New Roman" w:hAnsi="Arial" w:cs="Arial"/>
          <w:i/>
          <w:kern w:val="36"/>
          <w:sz w:val="24"/>
          <w:szCs w:val="24"/>
          <w:lang w:eastAsia="en-ZA"/>
        </w:rPr>
        <w:t xml:space="preserve">par </w:t>
      </w:r>
      <w:proofErr w:type="spellStart"/>
      <w:r w:rsidR="001449A6" w:rsidRPr="001449A6">
        <w:rPr>
          <w:rFonts w:ascii="Arial" w:eastAsia="Times New Roman" w:hAnsi="Arial" w:cs="Arial"/>
          <w:i/>
          <w:kern w:val="36"/>
          <w:sz w:val="24"/>
          <w:szCs w:val="24"/>
          <w:lang w:eastAsia="en-ZA"/>
        </w:rPr>
        <w:t>delictum</w:t>
      </w:r>
      <w:proofErr w:type="spellEnd"/>
      <w:r w:rsidR="001449A6">
        <w:rPr>
          <w:rFonts w:ascii="Arial" w:eastAsia="Times New Roman" w:hAnsi="Arial" w:cs="Arial"/>
          <w:kern w:val="36"/>
          <w:sz w:val="24"/>
          <w:szCs w:val="24"/>
          <w:lang w:eastAsia="en-ZA"/>
        </w:rPr>
        <w:t xml:space="preserve"> rule must be subordinate to the overriding consideration of public policy and in t</w:t>
      </w:r>
      <w:r w:rsidR="00A57E67">
        <w:rPr>
          <w:rFonts w:ascii="Arial" w:eastAsia="Times New Roman" w:hAnsi="Arial" w:cs="Arial"/>
          <w:kern w:val="36"/>
          <w:sz w:val="24"/>
          <w:szCs w:val="24"/>
          <w:lang w:eastAsia="en-ZA"/>
        </w:rPr>
        <w:t xml:space="preserve">hat the strict application of the </w:t>
      </w:r>
      <w:r w:rsidR="00A57E67" w:rsidRPr="00A57E67">
        <w:rPr>
          <w:rFonts w:ascii="Arial" w:eastAsia="Times New Roman" w:hAnsi="Arial" w:cs="Arial"/>
          <w:i/>
          <w:kern w:val="36"/>
          <w:sz w:val="24"/>
          <w:szCs w:val="24"/>
          <w:lang w:eastAsia="en-ZA"/>
        </w:rPr>
        <w:t xml:space="preserve">par </w:t>
      </w:r>
      <w:proofErr w:type="spellStart"/>
      <w:r w:rsidR="00A57E67" w:rsidRPr="00A57E67">
        <w:rPr>
          <w:rFonts w:ascii="Arial" w:eastAsia="Times New Roman" w:hAnsi="Arial" w:cs="Arial"/>
          <w:i/>
          <w:kern w:val="36"/>
          <w:sz w:val="24"/>
          <w:szCs w:val="24"/>
          <w:lang w:eastAsia="en-ZA"/>
        </w:rPr>
        <w:t>delictum</w:t>
      </w:r>
      <w:proofErr w:type="spellEnd"/>
      <w:r w:rsidR="00A57E67">
        <w:rPr>
          <w:rFonts w:ascii="Arial" w:eastAsia="Times New Roman" w:hAnsi="Arial" w:cs="Arial"/>
          <w:kern w:val="36"/>
          <w:sz w:val="24"/>
          <w:szCs w:val="24"/>
          <w:lang w:eastAsia="en-ZA"/>
        </w:rPr>
        <w:t xml:space="preserve"> rule in those circumstances must be relaxed as dictated by public policy. Mr Heathcote submitted that in the current </w:t>
      </w:r>
      <w:r w:rsidR="00A57E67" w:rsidRPr="003E66DE">
        <w:rPr>
          <w:rFonts w:ascii="Arial" w:eastAsia="Times New Roman" w:hAnsi="Arial" w:cs="Arial"/>
          <w:kern w:val="36"/>
          <w:sz w:val="24"/>
          <w:szCs w:val="24"/>
          <w:lang w:eastAsia="en-ZA"/>
        </w:rPr>
        <w:t xml:space="preserve">case it </w:t>
      </w:r>
      <w:r w:rsidR="00E21AFD" w:rsidRPr="003E66DE">
        <w:rPr>
          <w:rFonts w:ascii="Arial" w:eastAsia="Times New Roman" w:hAnsi="Arial" w:cs="Arial"/>
          <w:kern w:val="36"/>
          <w:sz w:val="24"/>
          <w:szCs w:val="24"/>
          <w:lang w:eastAsia="en-ZA"/>
        </w:rPr>
        <w:t xml:space="preserve">is </w:t>
      </w:r>
      <w:r w:rsidR="00A57E67">
        <w:rPr>
          <w:rFonts w:ascii="Arial" w:eastAsia="Times New Roman" w:hAnsi="Arial" w:cs="Arial"/>
          <w:kern w:val="36"/>
          <w:sz w:val="24"/>
          <w:szCs w:val="24"/>
          <w:lang w:eastAsia="en-ZA"/>
        </w:rPr>
        <w:t xml:space="preserve">imperative for the protection of the public interest that the court relax the </w:t>
      </w:r>
      <w:r w:rsidR="00A57E67" w:rsidRPr="00A57E67">
        <w:rPr>
          <w:rFonts w:ascii="Arial" w:eastAsia="Times New Roman" w:hAnsi="Arial" w:cs="Arial"/>
          <w:i/>
          <w:kern w:val="36"/>
          <w:sz w:val="24"/>
          <w:szCs w:val="24"/>
          <w:lang w:eastAsia="en-ZA"/>
        </w:rPr>
        <w:t xml:space="preserve">par </w:t>
      </w:r>
      <w:proofErr w:type="spellStart"/>
      <w:r w:rsidR="00A57E67" w:rsidRPr="00A57E67">
        <w:rPr>
          <w:rFonts w:ascii="Arial" w:eastAsia="Times New Roman" w:hAnsi="Arial" w:cs="Arial"/>
          <w:i/>
          <w:kern w:val="36"/>
          <w:sz w:val="24"/>
          <w:szCs w:val="24"/>
          <w:lang w:eastAsia="en-ZA"/>
        </w:rPr>
        <w:lastRenderedPageBreak/>
        <w:t>delictum</w:t>
      </w:r>
      <w:proofErr w:type="spellEnd"/>
      <w:r w:rsidR="00A57E67">
        <w:rPr>
          <w:rFonts w:ascii="Arial" w:eastAsia="Times New Roman" w:hAnsi="Arial" w:cs="Arial"/>
          <w:kern w:val="36"/>
          <w:sz w:val="24"/>
          <w:szCs w:val="24"/>
          <w:lang w:eastAsia="en-ZA"/>
        </w:rPr>
        <w:t xml:space="preserve"> rule and enforce the claim for specific performance as </w:t>
      </w:r>
      <w:r>
        <w:rPr>
          <w:rFonts w:ascii="Arial" w:eastAsia="Times New Roman" w:hAnsi="Arial" w:cs="Arial"/>
          <w:kern w:val="36"/>
          <w:sz w:val="24"/>
          <w:szCs w:val="24"/>
          <w:lang w:eastAsia="en-ZA"/>
        </w:rPr>
        <w:t>the public interest will be harmed should the court refuse to enforce the plaintiffs’ claim</w:t>
      </w:r>
      <w:r w:rsidR="00E55DA5">
        <w:rPr>
          <w:rFonts w:ascii="Arial" w:eastAsia="Times New Roman" w:hAnsi="Arial" w:cs="Arial"/>
          <w:kern w:val="36"/>
          <w:sz w:val="24"/>
          <w:szCs w:val="24"/>
          <w:lang w:eastAsia="en-ZA"/>
        </w:rPr>
        <w:t xml:space="preserve">. </w:t>
      </w:r>
      <w:r w:rsidR="00801565">
        <w:rPr>
          <w:rFonts w:ascii="Arial" w:eastAsia="Times New Roman" w:hAnsi="Arial" w:cs="Arial"/>
          <w:kern w:val="36"/>
          <w:sz w:val="24"/>
          <w:szCs w:val="24"/>
          <w:lang w:eastAsia="en-ZA"/>
        </w:rPr>
        <w:t xml:space="preserve">In this regard the court was referred to para 120 </w:t>
      </w:r>
      <w:r w:rsidR="00E21AFD" w:rsidRPr="008C6BDC">
        <w:rPr>
          <w:rFonts w:ascii="Arial" w:eastAsia="Times New Roman" w:hAnsi="Arial" w:cs="Arial"/>
          <w:kern w:val="36"/>
          <w:sz w:val="24"/>
          <w:szCs w:val="24"/>
          <w:lang w:eastAsia="en-ZA"/>
        </w:rPr>
        <w:t>o</w:t>
      </w:r>
      <w:r w:rsidR="00801565">
        <w:rPr>
          <w:rFonts w:ascii="Arial" w:eastAsia="Times New Roman" w:hAnsi="Arial" w:cs="Arial"/>
          <w:kern w:val="36"/>
          <w:sz w:val="24"/>
          <w:szCs w:val="24"/>
          <w:lang w:eastAsia="en-ZA"/>
        </w:rPr>
        <w:t xml:space="preserve">f the </w:t>
      </w:r>
      <w:r w:rsidR="00801565" w:rsidRPr="000E6418">
        <w:rPr>
          <w:rFonts w:ascii="Arial" w:eastAsia="Times New Roman" w:hAnsi="Arial" w:cs="Arial"/>
          <w:i/>
          <w:kern w:val="36"/>
          <w:sz w:val="24"/>
          <w:szCs w:val="24"/>
          <w:lang w:eastAsia="en-ZA"/>
        </w:rPr>
        <w:t xml:space="preserve">Patel </w:t>
      </w:r>
      <w:r w:rsidR="00801565">
        <w:rPr>
          <w:rFonts w:ascii="Arial" w:eastAsia="Times New Roman" w:hAnsi="Arial" w:cs="Arial"/>
          <w:kern w:val="36"/>
          <w:sz w:val="24"/>
          <w:szCs w:val="24"/>
          <w:lang w:eastAsia="en-ZA"/>
        </w:rPr>
        <w:t>matter.</w:t>
      </w:r>
    </w:p>
    <w:p w:rsidR="002F0F35" w:rsidRDefault="002F0F35" w:rsidP="00365F2C">
      <w:pPr>
        <w:spacing w:after="0" w:line="360" w:lineRule="auto"/>
        <w:jc w:val="both"/>
        <w:rPr>
          <w:rFonts w:ascii="Arial" w:eastAsia="Times New Roman" w:hAnsi="Arial" w:cs="Arial"/>
          <w:kern w:val="36"/>
          <w:sz w:val="24"/>
          <w:szCs w:val="24"/>
          <w:lang w:eastAsia="en-ZA"/>
        </w:rPr>
      </w:pPr>
    </w:p>
    <w:p w:rsidR="00D14AFA" w:rsidRDefault="00D14AFA" w:rsidP="00365F2C">
      <w:pPr>
        <w:spacing w:after="0" w:line="360" w:lineRule="auto"/>
        <w:jc w:val="both"/>
        <w:rPr>
          <w:rFonts w:ascii="Arial" w:hAnsi="Arial" w:cs="Arial"/>
          <w:sz w:val="24"/>
          <w:szCs w:val="24"/>
          <w:u w:val="single"/>
        </w:rPr>
      </w:pPr>
      <w:r>
        <w:rPr>
          <w:rFonts w:ascii="Arial" w:hAnsi="Arial" w:cs="Arial"/>
          <w:sz w:val="24"/>
          <w:szCs w:val="24"/>
          <w:u w:val="single"/>
        </w:rPr>
        <w:t>Arguments on behalf of the first defendant</w:t>
      </w:r>
    </w:p>
    <w:p w:rsidR="00B94F98" w:rsidRDefault="00B94F98" w:rsidP="00365F2C">
      <w:pPr>
        <w:spacing w:after="0" w:line="360" w:lineRule="auto"/>
        <w:jc w:val="both"/>
        <w:rPr>
          <w:rFonts w:ascii="Arial" w:hAnsi="Arial" w:cs="Arial"/>
          <w:sz w:val="24"/>
          <w:szCs w:val="24"/>
          <w:u w:val="single"/>
        </w:rPr>
      </w:pPr>
    </w:p>
    <w:p w:rsidR="00D2499F" w:rsidRDefault="00592B27" w:rsidP="00365F2C">
      <w:pPr>
        <w:spacing w:after="0" w:line="360" w:lineRule="auto"/>
        <w:jc w:val="both"/>
        <w:rPr>
          <w:rFonts w:ascii="Arial" w:hAnsi="Arial" w:cs="Arial"/>
          <w:sz w:val="24"/>
          <w:szCs w:val="24"/>
        </w:rPr>
      </w:pPr>
      <w:r w:rsidRPr="00592B27">
        <w:rPr>
          <w:rFonts w:ascii="Arial" w:hAnsi="Arial" w:cs="Arial"/>
          <w:sz w:val="24"/>
          <w:szCs w:val="24"/>
        </w:rPr>
        <w:t>[</w:t>
      </w:r>
      <w:r w:rsidR="0096452D">
        <w:rPr>
          <w:rFonts w:ascii="Arial" w:hAnsi="Arial" w:cs="Arial"/>
          <w:sz w:val="24"/>
          <w:szCs w:val="24"/>
        </w:rPr>
        <w:t>27</w:t>
      </w:r>
      <w:r w:rsidR="00DD1B1A">
        <w:rPr>
          <w:rFonts w:ascii="Arial" w:hAnsi="Arial" w:cs="Arial"/>
          <w:sz w:val="24"/>
          <w:szCs w:val="24"/>
        </w:rPr>
        <w:t>]</w:t>
      </w:r>
      <w:r w:rsidRPr="00592B27">
        <w:rPr>
          <w:rFonts w:ascii="Arial" w:hAnsi="Arial" w:cs="Arial"/>
          <w:sz w:val="24"/>
          <w:szCs w:val="24"/>
        </w:rPr>
        <w:tab/>
      </w:r>
      <w:r>
        <w:rPr>
          <w:rFonts w:ascii="Arial" w:hAnsi="Arial" w:cs="Arial"/>
          <w:sz w:val="24"/>
          <w:szCs w:val="24"/>
        </w:rPr>
        <w:t xml:space="preserve">Mr Fitzgerald disagrees with the position of the plaintiff that the merits of this matter is not disputed and argues that the current matter must be distinguished from the </w:t>
      </w:r>
      <w:proofErr w:type="spellStart"/>
      <w:r w:rsidRPr="00EB29A8">
        <w:rPr>
          <w:rFonts w:ascii="Arial" w:hAnsi="Arial" w:cs="Arial"/>
          <w:i/>
          <w:sz w:val="24"/>
          <w:szCs w:val="24"/>
        </w:rPr>
        <w:t>Kelnic</w:t>
      </w:r>
      <w:proofErr w:type="spellEnd"/>
      <w:r w:rsidRPr="00EB29A8">
        <w:rPr>
          <w:rFonts w:ascii="Arial" w:hAnsi="Arial" w:cs="Arial"/>
          <w:i/>
          <w:sz w:val="24"/>
          <w:szCs w:val="24"/>
        </w:rPr>
        <w:t xml:space="preserve"> Construction</w:t>
      </w:r>
      <w:r w:rsidRPr="00592B27">
        <w:rPr>
          <w:rFonts w:ascii="Arial" w:hAnsi="Arial" w:cs="Arial"/>
          <w:sz w:val="24"/>
          <w:szCs w:val="24"/>
        </w:rPr>
        <w:t xml:space="preserve"> matter</w:t>
      </w:r>
      <w:r>
        <w:rPr>
          <w:rFonts w:ascii="Arial" w:hAnsi="Arial" w:cs="Arial"/>
          <w:sz w:val="24"/>
          <w:szCs w:val="24"/>
        </w:rPr>
        <w:t xml:space="preserve"> wherein the liability of the respondent was admitted. </w:t>
      </w:r>
      <w:r w:rsidR="00B24BF9">
        <w:rPr>
          <w:rFonts w:ascii="Arial" w:hAnsi="Arial" w:cs="Arial"/>
          <w:sz w:val="24"/>
          <w:szCs w:val="24"/>
        </w:rPr>
        <w:t xml:space="preserve">He argued </w:t>
      </w:r>
      <w:r w:rsidR="003750F4" w:rsidRPr="008C6BDC">
        <w:rPr>
          <w:rFonts w:ascii="Arial" w:hAnsi="Arial" w:cs="Arial"/>
          <w:sz w:val="24"/>
          <w:szCs w:val="24"/>
        </w:rPr>
        <w:t xml:space="preserve">that </w:t>
      </w:r>
      <w:r w:rsidR="00A0466B">
        <w:rPr>
          <w:rFonts w:ascii="Arial" w:hAnsi="Arial" w:cs="Arial"/>
          <w:sz w:val="24"/>
          <w:szCs w:val="24"/>
        </w:rPr>
        <w:t>in the matter before court the first defendant raised its exception to technically incorrect papers and</w:t>
      </w:r>
      <w:r w:rsidR="00404F56">
        <w:rPr>
          <w:rFonts w:ascii="Arial" w:hAnsi="Arial" w:cs="Arial"/>
          <w:sz w:val="24"/>
          <w:szCs w:val="24"/>
        </w:rPr>
        <w:t xml:space="preserve"> </w:t>
      </w:r>
      <w:r w:rsidR="00404F56" w:rsidRPr="008C6BDC">
        <w:rPr>
          <w:rFonts w:ascii="Arial" w:hAnsi="Arial" w:cs="Arial"/>
          <w:sz w:val="24"/>
          <w:szCs w:val="24"/>
        </w:rPr>
        <w:t xml:space="preserve">referred the court </w:t>
      </w:r>
      <w:r w:rsidR="00E05536" w:rsidRPr="008C6BDC">
        <w:rPr>
          <w:rFonts w:ascii="Arial" w:hAnsi="Arial" w:cs="Arial"/>
          <w:sz w:val="24"/>
          <w:szCs w:val="24"/>
        </w:rPr>
        <w:t xml:space="preserve">to </w:t>
      </w:r>
      <w:r w:rsidR="00404F56" w:rsidRPr="008C6BDC">
        <w:rPr>
          <w:rFonts w:ascii="Arial" w:hAnsi="Arial" w:cs="Arial"/>
          <w:sz w:val="24"/>
          <w:szCs w:val="24"/>
        </w:rPr>
        <w:t>the case of</w:t>
      </w:r>
      <w:r w:rsidR="00A0466B" w:rsidRPr="008C6BDC">
        <w:rPr>
          <w:rFonts w:ascii="Arial" w:hAnsi="Arial" w:cs="Arial"/>
          <w:sz w:val="24"/>
          <w:szCs w:val="24"/>
        </w:rPr>
        <w:t xml:space="preserve"> </w:t>
      </w:r>
      <w:r w:rsidR="00D50108" w:rsidRPr="00D50108">
        <w:rPr>
          <w:rFonts w:ascii="Arial" w:hAnsi="Arial" w:cs="Arial"/>
          <w:i/>
          <w:sz w:val="24"/>
          <w:szCs w:val="24"/>
        </w:rPr>
        <w:t xml:space="preserve">Namibian Airports Company Limited v </w:t>
      </w:r>
      <w:proofErr w:type="spellStart"/>
      <w:r w:rsidR="00D50108" w:rsidRPr="00D50108">
        <w:rPr>
          <w:rFonts w:ascii="Arial" w:hAnsi="Arial" w:cs="Arial"/>
          <w:i/>
          <w:sz w:val="24"/>
          <w:szCs w:val="24"/>
        </w:rPr>
        <w:t>Conradie</w:t>
      </w:r>
      <w:proofErr w:type="spellEnd"/>
      <w:r w:rsidR="00D50108" w:rsidRPr="008C6BDC">
        <w:rPr>
          <w:rStyle w:val="FootnoteReference"/>
          <w:rFonts w:ascii="Arial" w:hAnsi="Arial" w:cs="Arial"/>
          <w:sz w:val="24"/>
          <w:szCs w:val="24"/>
        </w:rPr>
        <w:footnoteReference w:id="15"/>
      </w:r>
      <w:r w:rsidR="00D50108" w:rsidRPr="008C6BDC">
        <w:rPr>
          <w:rFonts w:ascii="Arial" w:hAnsi="Arial" w:cs="Arial"/>
          <w:sz w:val="24"/>
          <w:szCs w:val="24"/>
        </w:rPr>
        <w:t xml:space="preserve"> </w:t>
      </w:r>
      <w:r w:rsidR="00404F56" w:rsidRPr="008C6BDC">
        <w:rPr>
          <w:rFonts w:ascii="Arial" w:hAnsi="Arial" w:cs="Arial"/>
          <w:sz w:val="24"/>
          <w:szCs w:val="24"/>
        </w:rPr>
        <w:t xml:space="preserve">as well as </w:t>
      </w:r>
      <w:r w:rsidR="00D2499F" w:rsidRPr="008C6BDC">
        <w:rPr>
          <w:rFonts w:ascii="Arial" w:hAnsi="Arial" w:cs="Arial"/>
          <w:sz w:val="24"/>
          <w:szCs w:val="24"/>
        </w:rPr>
        <w:t xml:space="preserve">to </w:t>
      </w:r>
      <w:r w:rsidR="00A0466B" w:rsidRPr="00C13EFC">
        <w:rPr>
          <w:rFonts w:ascii="Arial" w:hAnsi="Arial" w:cs="Arial"/>
          <w:i/>
          <w:sz w:val="24"/>
          <w:szCs w:val="24"/>
        </w:rPr>
        <w:t>Jagger &amp; Co Ltd v Mohammed</w:t>
      </w:r>
      <w:r w:rsidR="00A0466B">
        <w:rPr>
          <w:rStyle w:val="FootnoteReference"/>
          <w:rFonts w:ascii="Arial" w:hAnsi="Arial" w:cs="Arial"/>
          <w:sz w:val="24"/>
          <w:szCs w:val="24"/>
        </w:rPr>
        <w:footnoteReference w:id="16"/>
      </w:r>
      <w:r w:rsidR="00A0466B">
        <w:rPr>
          <w:rFonts w:ascii="Arial" w:hAnsi="Arial" w:cs="Arial"/>
          <w:sz w:val="24"/>
          <w:szCs w:val="24"/>
        </w:rPr>
        <w:t xml:space="preserve"> </w:t>
      </w:r>
      <w:r w:rsidR="00B94F98">
        <w:rPr>
          <w:rFonts w:ascii="Arial" w:hAnsi="Arial" w:cs="Arial"/>
          <w:sz w:val="24"/>
          <w:szCs w:val="24"/>
        </w:rPr>
        <w:t>in this regard.</w:t>
      </w:r>
    </w:p>
    <w:p w:rsidR="00B94F98" w:rsidRDefault="00B94F98" w:rsidP="00365F2C">
      <w:pPr>
        <w:spacing w:after="0" w:line="360" w:lineRule="auto"/>
        <w:jc w:val="both"/>
        <w:rPr>
          <w:rFonts w:ascii="Arial" w:hAnsi="Arial" w:cs="Arial"/>
          <w:sz w:val="24"/>
          <w:szCs w:val="24"/>
        </w:rPr>
      </w:pPr>
    </w:p>
    <w:p w:rsidR="0096452D" w:rsidRDefault="00592B27" w:rsidP="00365F2C">
      <w:pPr>
        <w:spacing w:after="0" w:line="360" w:lineRule="auto"/>
        <w:jc w:val="both"/>
        <w:rPr>
          <w:rFonts w:ascii="Arial" w:hAnsi="Arial" w:cs="Arial"/>
          <w:sz w:val="24"/>
          <w:szCs w:val="24"/>
        </w:rPr>
      </w:pPr>
      <w:r>
        <w:rPr>
          <w:rFonts w:ascii="Arial" w:hAnsi="Arial" w:cs="Arial"/>
          <w:sz w:val="24"/>
          <w:szCs w:val="24"/>
        </w:rPr>
        <w:t>[</w:t>
      </w:r>
      <w:r w:rsidR="0096452D">
        <w:rPr>
          <w:rFonts w:ascii="Arial" w:hAnsi="Arial" w:cs="Arial"/>
          <w:sz w:val="24"/>
          <w:szCs w:val="24"/>
        </w:rPr>
        <w:t>28</w:t>
      </w:r>
      <w:r>
        <w:rPr>
          <w:rFonts w:ascii="Arial" w:hAnsi="Arial" w:cs="Arial"/>
          <w:sz w:val="24"/>
          <w:szCs w:val="24"/>
        </w:rPr>
        <w:t>]</w:t>
      </w:r>
      <w:r>
        <w:rPr>
          <w:rFonts w:ascii="Arial" w:hAnsi="Arial" w:cs="Arial"/>
          <w:sz w:val="24"/>
          <w:szCs w:val="24"/>
        </w:rPr>
        <w:tab/>
        <w:t>Mr Fitzgerald further a</w:t>
      </w:r>
      <w:r w:rsidR="00F10789">
        <w:rPr>
          <w:rFonts w:ascii="Arial" w:hAnsi="Arial" w:cs="Arial"/>
          <w:sz w:val="24"/>
          <w:szCs w:val="24"/>
        </w:rPr>
        <w:t xml:space="preserve">rgued that </w:t>
      </w:r>
      <w:r w:rsidR="004B0D30" w:rsidRPr="008C6BDC">
        <w:rPr>
          <w:rFonts w:ascii="Arial" w:hAnsi="Arial" w:cs="Arial"/>
          <w:sz w:val="24"/>
          <w:szCs w:val="24"/>
        </w:rPr>
        <w:t>the</w:t>
      </w:r>
      <w:r w:rsidR="004B0D30">
        <w:rPr>
          <w:rFonts w:ascii="Arial" w:hAnsi="Arial" w:cs="Arial"/>
          <w:color w:val="FF0000"/>
          <w:sz w:val="24"/>
          <w:szCs w:val="24"/>
        </w:rPr>
        <w:t xml:space="preserve"> </w:t>
      </w:r>
      <w:r w:rsidR="00F10789">
        <w:rPr>
          <w:rFonts w:ascii="Arial" w:hAnsi="Arial" w:cs="Arial"/>
          <w:sz w:val="24"/>
          <w:szCs w:val="24"/>
        </w:rPr>
        <w:t xml:space="preserve">affidavit verifying the causes of action has mutually destructive </w:t>
      </w:r>
      <w:r w:rsidR="00B962D1" w:rsidRPr="008C6BDC">
        <w:rPr>
          <w:rFonts w:ascii="Arial" w:hAnsi="Arial" w:cs="Arial"/>
          <w:sz w:val="24"/>
          <w:szCs w:val="24"/>
        </w:rPr>
        <w:t xml:space="preserve">alternative factual versions </w:t>
      </w:r>
      <w:r w:rsidR="00D50108" w:rsidRPr="008C6BDC">
        <w:rPr>
          <w:rFonts w:ascii="Arial" w:hAnsi="Arial" w:cs="Arial"/>
          <w:sz w:val="24"/>
          <w:szCs w:val="24"/>
        </w:rPr>
        <w:t xml:space="preserve">and </w:t>
      </w:r>
      <w:r w:rsidR="00B962D1" w:rsidRPr="008C6BDC">
        <w:rPr>
          <w:rFonts w:ascii="Arial" w:hAnsi="Arial" w:cs="Arial"/>
          <w:sz w:val="24"/>
          <w:szCs w:val="24"/>
        </w:rPr>
        <w:t xml:space="preserve">a </w:t>
      </w:r>
      <w:r w:rsidR="00D50108">
        <w:rPr>
          <w:rFonts w:ascii="Arial" w:hAnsi="Arial" w:cs="Arial"/>
          <w:sz w:val="24"/>
          <w:szCs w:val="24"/>
        </w:rPr>
        <w:t xml:space="preserve">different </w:t>
      </w:r>
      <w:proofErr w:type="spellStart"/>
      <w:r w:rsidR="00F10789" w:rsidRPr="00D50108">
        <w:rPr>
          <w:rFonts w:ascii="Arial" w:hAnsi="Arial" w:cs="Arial"/>
          <w:i/>
          <w:sz w:val="24"/>
          <w:szCs w:val="24"/>
        </w:rPr>
        <w:t>facta</w:t>
      </w:r>
      <w:proofErr w:type="spellEnd"/>
      <w:r w:rsidR="00F10789" w:rsidRPr="00D50108">
        <w:rPr>
          <w:rFonts w:ascii="Arial" w:hAnsi="Arial" w:cs="Arial"/>
          <w:i/>
          <w:sz w:val="24"/>
          <w:szCs w:val="24"/>
        </w:rPr>
        <w:t xml:space="preserve"> </w:t>
      </w:r>
      <w:proofErr w:type="spellStart"/>
      <w:r w:rsidR="00F10789" w:rsidRPr="00D50108">
        <w:rPr>
          <w:rFonts w:ascii="Arial" w:hAnsi="Arial" w:cs="Arial"/>
          <w:i/>
          <w:sz w:val="24"/>
          <w:szCs w:val="24"/>
        </w:rPr>
        <w:t>probanda</w:t>
      </w:r>
      <w:proofErr w:type="spellEnd"/>
      <w:r w:rsidR="00D50108">
        <w:rPr>
          <w:rFonts w:ascii="Arial" w:hAnsi="Arial" w:cs="Arial"/>
          <w:sz w:val="24"/>
          <w:szCs w:val="24"/>
        </w:rPr>
        <w:t xml:space="preserve"> has been verified in the alternative. Counsel argued that </w:t>
      </w:r>
      <w:r w:rsidR="00F10789">
        <w:rPr>
          <w:rFonts w:ascii="Arial" w:hAnsi="Arial" w:cs="Arial"/>
          <w:sz w:val="24"/>
          <w:szCs w:val="24"/>
        </w:rPr>
        <w:t xml:space="preserve">the claim for specific performance is premised </w:t>
      </w:r>
      <w:r w:rsidR="00D50108">
        <w:rPr>
          <w:rFonts w:ascii="Arial" w:hAnsi="Arial" w:cs="Arial"/>
          <w:sz w:val="24"/>
          <w:szCs w:val="24"/>
        </w:rPr>
        <w:t xml:space="preserve">on the supposition that the discretionary agreement is </w:t>
      </w:r>
      <w:r w:rsidR="00B962D1" w:rsidRPr="003E66DE">
        <w:rPr>
          <w:rFonts w:ascii="Arial" w:hAnsi="Arial" w:cs="Arial"/>
          <w:sz w:val="24"/>
          <w:szCs w:val="24"/>
        </w:rPr>
        <w:t xml:space="preserve">a </w:t>
      </w:r>
      <w:r w:rsidR="00D50108" w:rsidRPr="003E66DE">
        <w:rPr>
          <w:rFonts w:ascii="Arial" w:hAnsi="Arial" w:cs="Arial"/>
          <w:sz w:val="24"/>
          <w:szCs w:val="24"/>
        </w:rPr>
        <w:t>valid</w:t>
      </w:r>
      <w:r w:rsidR="0096452D" w:rsidRPr="003E66DE">
        <w:rPr>
          <w:rFonts w:ascii="Arial" w:hAnsi="Arial" w:cs="Arial"/>
          <w:sz w:val="24"/>
          <w:szCs w:val="24"/>
        </w:rPr>
        <w:t xml:space="preserve"> </w:t>
      </w:r>
      <w:r w:rsidR="00F10789">
        <w:rPr>
          <w:rFonts w:ascii="Arial" w:hAnsi="Arial" w:cs="Arial"/>
          <w:sz w:val="24"/>
          <w:szCs w:val="24"/>
        </w:rPr>
        <w:t>agreement</w:t>
      </w:r>
      <w:r w:rsidR="00D50108">
        <w:rPr>
          <w:rFonts w:ascii="Arial" w:hAnsi="Arial" w:cs="Arial"/>
          <w:sz w:val="24"/>
          <w:szCs w:val="24"/>
        </w:rPr>
        <w:t xml:space="preserve"> whereas </w:t>
      </w:r>
      <w:r w:rsidR="0096452D">
        <w:rPr>
          <w:rFonts w:ascii="Arial" w:hAnsi="Arial" w:cs="Arial"/>
          <w:sz w:val="24"/>
          <w:szCs w:val="24"/>
        </w:rPr>
        <w:t xml:space="preserve">on the other hand the claim for </w:t>
      </w:r>
      <w:r w:rsidR="00D50108">
        <w:rPr>
          <w:rFonts w:ascii="Arial" w:hAnsi="Arial" w:cs="Arial"/>
          <w:sz w:val="24"/>
          <w:szCs w:val="24"/>
        </w:rPr>
        <w:t>unjustified enrichment</w:t>
      </w:r>
      <w:r w:rsidR="0096452D">
        <w:rPr>
          <w:rFonts w:ascii="Arial" w:hAnsi="Arial" w:cs="Arial"/>
          <w:sz w:val="24"/>
          <w:szCs w:val="24"/>
        </w:rPr>
        <w:t xml:space="preserve"> postulates the position that there is no </w:t>
      </w:r>
      <w:r w:rsidR="00D50108">
        <w:rPr>
          <w:rFonts w:ascii="Arial" w:hAnsi="Arial" w:cs="Arial"/>
          <w:sz w:val="24"/>
          <w:szCs w:val="24"/>
        </w:rPr>
        <w:t xml:space="preserve">valid </w:t>
      </w:r>
      <w:r w:rsidR="0096452D">
        <w:rPr>
          <w:rFonts w:ascii="Arial" w:hAnsi="Arial" w:cs="Arial"/>
          <w:sz w:val="24"/>
          <w:szCs w:val="24"/>
        </w:rPr>
        <w:t>agreement</w:t>
      </w:r>
      <w:r w:rsidR="00F10789">
        <w:rPr>
          <w:rFonts w:ascii="Arial" w:hAnsi="Arial" w:cs="Arial"/>
          <w:sz w:val="24"/>
          <w:szCs w:val="24"/>
        </w:rPr>
        <w:t xml:space="preserve">. Counsel </w:t>
      </w:r>
      <w:r w:rsidR="0096452D">
        <w:rPr>
          <w:rFonts w:ascii="Arial" w:hAnsi="Arial" w:cs="Arial"/>
          <w:sz w:val="24"/>
          <w:szCs w:val="24"/>
        </w:rPr>
        <w:t xml:space="preserve">referred to </w:t>
      </w:r>
      <w:r w:rsidR="0096452D" w:rsidRPr="0096452D">
        <w:rPr>
          <w:rFonts w:ascii="Arial" w:hAnsi="Arial" w:cs="Arial"/>
          <w:i/>
          <w:sz w:val="24"/>
          <w:szCs w:val="24"/>
        </w:rPr>
        <w:t>Diesel Power Plant Hire CC v Master Diggers (Pty) Ltd</w:t>
      </w:r>
      <w:r w:rsidR="0096452D">
        <w:rPr>
          <w:rStyle w:val="FootnoteReference"/>
          <w:rFonts w:ascii="Arial" w:hAnsi="Arial" w:cs="Arial"/>
          <w:sz w:val="24"/>
          <w:szCs w:val="24"/>
        </w:rPr>
        <w:footnoteReference w:id="17"/>
      </w:r>
      <w:r w:rsidR="0096452D">
        <w:rPr>
          <w:rFonts w:ascii="Arial" w:hAnsi="Arial" w:cs="Arial"/>
          <w:sz w:val="24"/>
          <w:szCs w:val="24"/>
        </w:rPr>
        <w:t xml:space="preserve"> in this regard. Counsel further referred the court to the affidavit of Mr </w:t>
      </w:r>
      <w:proofErr w:type="spellStart"/>
      <w:r w:rsidR="0096452D">
        <w:rPr>
          <w:rFonts w:ascii="Arial" w:hAnsi="Arial" w:cs="Arial"/>
          <w:sz w:val="24"/>
          <w:szCs w:val="24"/>
        </w:rPr>
        <w:t>Bruni</w:t>
      </w:r>
      <w:proofErr w:type="spellEnd"/>
      <w:r w:rsidR="0096452D">
        <w:rPr>
          <w:rFonts w:ascii="Arial" w:hAnsi="Arial" w:cs="Arial"/>
          <w:sz w:val="24"/>
          <w:szCs w:val="24"/>
        </w:rPr>
        <w:t xml:space="preserve"> who stated in an earlier affidavit that there was a transgression to s 39 of the Act </w:t>
      </w:r>
      <w:r w:rsidR="00B962D1" w:rsidRPr="008C6BDC">
        <w:rPr>
          <w:rFonts w:ascii="Arial" w:hAnsi="Arial" w:cs="Arial"/>
          <w:sz w:val="24"/>
          <w:szCs w:val="24"/>
        </w:rPr>
        <w:t xml:space="preserve">which </w:t>
      </w:r>
      <w:r w:rsidR="0096452D" w:rsidRPr="008C6BDC">
        <w:rPr>
          <w:rFonts w:ascii="Arial" w:hAnsi="Arial" w:cs="Arial"/>
          <w:sz w:val="24"/>
          <w:szCs w:val="24"/>
        </w:rPr>
        <w:t xml:space="preserve">is </w:t>
      </w:r>
      <w:r w:rsidR="0096452D">
        <w:rPr>
          <w:rFonts w:ascii="Arial" w:hAnsi="Arial" w:cs="Arial"/>
          <w:sz w:val="24"/>
          <w:szCs w:val="24"/>
        </w:rPr>
        <w:t>contr</w:t>
      </w:r>
      <w:r w:rsidR="00B94F98">
        <w:rPr>
          <w:rFonts w:ascii="Arial" w:hAnsi="Arial" w:cs="Arial"/>
          <w:sz w:val="24"/>
          <w:szCs w:val="24"/>
        </w:rPr>
        <w:t>a the submission of Ms Pearson.</w:t>
      </w:r>
    </w:p>
    <w:p w:rsidR="00B94F98" w:rsidRDefault="00B94F98" w:rsidP="00365F2C">
      <w:pPr>
        <w:spacing w:after="0" w:line="360" w:lineRule="auto"/>
        <w:jc w:val="both"/>
        <w:rPr>
          <w:rFonts w:ascii="Arial" w:hAnsi="Arial" w:cs="Arial"/>
          <w:sz w:val="24"/>
          <w:szCs w:val="24"/>
        </w:rPr>
      </w:pPr>
    </w:p>
    <w:p w:rsidR="00F300B0" w:rsidRDefault="0096452D" w:rsidP="00365F2C">
      <w:pPr>
        <w:spacing w:after="0" w:line="360" w:lineRule="auto"/>
        <w:jc w:val="both"/>
        <w:rPr>
          <w:rFonts w:ascii="Arial" w:hAnsi="Arial" w:cs="Arial"/>
          <w:sz w:val="24"/>
          <w:szCs w:val="24"/>
        </w:rPr>
      </w:pPr>
      <w:r>
        <w:rPr>
          <w:rFonts w:ascii="Arial" w:hAnsi="Arial" w:cs="Arial"/>
          <w:sz w:val="24"/>
          <w:szCs w:val="24"/>
        </w:rPr>
        <w:t>[</w:t>
      </w:r>
      <w:r w:rsidR="00CC0249">
        <w:rPr>
          <w:rFonts w:ascii="Arial" w:hAnsi="Arial" w:cs="Arial"/>
          <w:sz w:val="24"/>
          <w:szCs w:val="24"/>
        </w:rPr>
        <w:t>29</w:t>
      </w:r>
      <w:r w:rsidR="00B94F98">
        <w:rPr>
          <w:rFonts w:ascii="Arial" w:hAnsi="Arial" w:cs="Arial"/>
          <w:sz w:val="24"/>
          <w:szCs w:val="24"/>
        </w:rPr>
        <w:t>]</w:t>
      </w:r>
      <w:r>
        <w:rPr>
          <w:rFonts w:ascii="Arial" w:hAnsi="Arial" w:cs="Arial"/>
          <w:sz w:val="24"/>
          <w:szCs w:val="24"/>
        </w:rPr>
        <w:tab/>
        <w:t>On the specific performance claim</w:t>
      </w:r>
      <w:r w:rsidR="00D1732F">
        <w:rPr>
          <w:rFonts w:ascii="Arial" w:hAnsi="Arial" w:cs="Arial"/>
          <w:sz w:val="24"/>
          <w:szCs w:val="24"/>
        </w:rPr>
        <w:t>,</w:t>
      </w:r>
      <w:r>
        <w:rPr>
          <w:rFonts w:ascii="Arial" w:hAnsi="Arial" w:cs="Arial"/>
          <w:sz w:val="24"/>
          <w:szCs w:val="24"/>
        </w:rPr>
        <w:t xml:space="preserve"> which is the </w:t>
      </w:r>
      <w:r w:rsidR="00CC0249">
        <w:rPr>
          <w:rFonts w:ascii="Arial" w:hAnsi="Arial" w:cs="Arial"/>
          <w:sz w:val="24"/>
          <w:szCs w:val="24"/>
        </w:rPr>
        <w:t>principle</w:t>
      </w:r>
      <w:r>
        <w:rPr>
          <w:rFonts w:ascii="Arial" w:hAnsi="Arial" w:cs="Arial"/>
          <w:sz w:val="24"/>
          <w:szCs w:val="24"/>
        </w:rPr>
        <w:t xml:space="preserve"> claim for the plaintiffs in this application</w:t>
      </w:r>
      <w:r w:rsidR="00D1732F">
        <w:rPr>
          <w:rFonts w:ascii="Arial" w:hAnsi="Arial" w:cs="Arial"/>
          <w:sz w:val="24"/>
          <w:szCs w:val="24"/>
        </w:rPr>
        <w:t>,</w:t>
      </w:r>
      <w:r>
        <w:rPr>
          <w:rFonts w:ascii="Arial" w:hAnsi="Arial" w:cs="Arial"/>
          <w:sz w:val="24"/>
          <w:szCs w:val="24"/>
        </w:rPr>
        <w:t xml:space="preserve"> </w:t>
      </w:r>
      <w:r w:rsidR="00F300B0">
        <w:rPr>
          <w:rFonts w:ascii="Arial" w:hAnsi="Arial" w:cs="Arial"/>
          <w:sz w:val="24"/>
          <w:szCs w:val="24"/>
        </w:rPr>
        <w:t>Counsel su</w:t>
      </w:r>
      <w:r w:rsidR="00F10789">
        <w:rPr>
          <w:rFonts w:ascii="Arial" w:hAnsi="Arial" w:cs="Arial"/>
          <w:sz w:val="24"/>
          <w:szCs w:val="24"/>
        </w:rPr>
        <w:t xml:space="preserve">bmitted that </w:t>
      </w:r>
      <w:r w:rsidR="00F300B0">
        <w:rPr>
          <w:rFonts w:ascii="Arial" w:hAnsi="Arial" w:cs="Arial"/>
          <w:sz w:val="24"/>
          <w:szCs w:val="24"/>
        </w:rPr>
        <w:t>specific performance is an equitable discretionary remedy, which the court should not enforce. The reason why the claim for specific performance is not enforceable is: a) the court will not enforce an agreement that constitutes a crime, and b) the court will have regard to the admitted turpitude of the dramatis personae and will not enforce the agr</w:t>
      </w:r>
      <w:r w:rsidR="00B94F98">
        <w:rPr>
          <w:rFonts w:ascii="Arial" w:hAnsi="Arial" w:cs="Arial"/>
          <w:sz w:val="24"/>
          <w:szCs w:val="24"/>
        </w:rPr>
        <w:t>eement under the circumstances.</w:t>
      </w:r>
    </w:p>
    <w:p w:rsidR="00B94F98" w:rsidRDefault="00B94F98" w:rsidP="00365F2C">
      <w:pPr>
        <w:spacing w:after="0" w:line="360" w:lineRule="auto"/>
        <w:jc w:val="both"/>
        <w:rPr>
          <w:rFonts w:ascii="Arial" w:hAnsi="Arial" w:cs="Arial"/>
          <w:sz w:val="24"/>
          <w:szCs w:val="24"/>
        </w:rPr>
      </w:pPr>
    </w:p>
    <w:p w:rsidR="006E78AD" w:rsidRDefault="00F10789" w:rsidP="00365F2C">
      <w:pPr>
        <w:spacing w:after="0" w:line="360" w:lineRule="auto"/>
        <w:jc w:val="both"/>
        <w:rPr>
          <w:rFonts w:ascii="Arial" w:hAnsi="Arial" w:cs="Arial"/>
          <w:sz w:val="24"/>
          <w:szCs w:val="24"/>
        </w:rPr>
      </w:pPr>
      <w:r>
        <w:rPr>
          <w:rFonts w:ascii="Arial" w:hAnsi="Arial" w:cs="Arial"/>
          <w:sz w:val="24"/>
          <w:szCs w:val="24"/>
        </w:rPr>
        <w:t>[</w:t>
      </w:r>
      <w:r w:rsidR="000E6418">
        <w:rPr>
          <w:rFonts w:ascii="Arial" w:hAnsi="Arial" w:cs="Arial"/>
          <w:sz w:val="24"/>
          <w:szCs w:val="24"/>
        </w:rPr>
        <w:t>30</w:t>
      </w:r>
      <w:r>
        <w:rPr>
          <w:rFonts w:ascii="Arial" w:hAnsi="Arial" w:cs="Arial"/>
          <w:sz w:val="24"/>
          <w:szCs w:val="24"/>
        </w:rPr>
        <w:t>]</w:t>
      </w:r>
      <w:r>
        <w:rPr>
          <w:rFonts w:ascii="Arial" w:hAnsi="Arial" w:cs="Arial"/>
          <w:sz w:val="24"/>
          <w:szCs w:val="24"/>
        </w:rPr>
        <w:tab/>
        <w:t>Mr Fitzgerald further submitted t</w:t>
      </w:r>
      <w:r w:rsidR="005F0E16">
        <w:rPr>
          <w:rFonts w:ascii="Arial" w:hAnsi="Arial" w:cs="Arial"/>
          <w:sz w:val="24"/>
          <w:szCs w:val="24"/>
        </w:rPr>
        <w:t>hat the court can</w:t>
      </w:r>
      <w:r>
        <w:rPr>
          <w:rFonts w:ascii="Arial" w:hAnsi="Arial" w:cs="Arial"/>
          <w:sz w:val="24"/>
          <w:szCs w:val="24"/>
        </w:rPr>
        <w:t xml:space="preserve">not rely on the </w:t>
      </w:r>
      <w:r w:rsidRPr="00F300B0">
        <w:rPr>
          <w:rFonts w:ascii="Arial" w:hAnsi="Arial" w:cs="Arial"/>
          <w:i/>
          <w:sz w:val="24"/>
          <w:szCs w:val="24"/>
        </w:rPr>
        <w:t>Claude Bosch</w:t>
      </w:r>
      <w:r>
        <w:rPr>
          <w:rFonts w:ascii="Arial" w:hAnsi="Arial" w:cs="Arial"/>
          <w:sz w:val="24"/>
          <w:szCs w:val="24"/>
        </w:rPr>
        <w:t xml:space="preserve"> matter as the facts before this court is materially distinguishable from t</w:t>
      </w:r>
      <w:r w:rsidR="00F300B0">
        <w:rPr>
          <w:rFonts w:ascii="Arial" w:hAnsi="Arial" w:cs="Arial"/>
          <w:sz w:val="24"/>
          <w:szCs w:val="24"/>
        </w:rPr>
        <w:t xml:space="preserve">hat of </w:t>
      </w:r>
      <w:r w:rsidRPr="000E6418">
        <w:rPr>
          <w:rFonts w:ascii="Arial" w:hAnsi="Arial" w:cs="Arial"/>
          <w:i/>
          <w:sz w:val="24"/>
          <w:szCs w:val="24"/>
        </w:rPr>
        <w:t>Claude Bosch</w:t>
      </w:r>
      <w:r>
        <w:rPr>
          <w:rFonts w:ascii="Arial" w:hAnsi="Arial" w:cs="Arial"/>
          <w:sz w:val="24"/>
          <w:szCs w:val="24"/>
        </w:rPr>
        <w:t xml:space="preserve">. </w:t>
      </w:r>
      <w:r w:rsidR="00F300B0">
        <w:rPr>
          <w:rFonts w:ascii="Arial" w:hAnsi="Arial" w:cs="Arial"/>
          <w:sz w:val="24"/>
          <w:szCs w:val="24"/>
        </w:rPr>
        <w:t xml:space="preserve">Counsel argued that in the </w:t>
      </w:r>
      <w:r w:rsidR="00F300B0" w:rsidRPr="000E6418">
        <w:rPr>
          <w:rFonts w:ascii="Arial" w:hAnsi="Arial" w:cs="Arial"/>
          <w:i/>
          <w:sz w:val="24"/>
          <w:szCs w:val="24"/>
        </w:rPr>
        <w:t>Claude Bosch</w:t>
      </w:r>
      <w:r w:rsidR="00F300B0">
        <w:rPr>
          <w:rFonts w:ascii="Arial" w:hAnsi="Arial" w:cs="Arial"/>
          <w:sz w:val="24"/>
          <w:szCs w:val="24"/>
        </w:rPr>
        <w:t xml:space="preserve"> matter the</w:t>
      </w:r>
      <w:r w:rsidR="000E77CB">
        <w:rPr>
          <w:rFonts w:ascii="Arial" w:hAnsi="Arial" w:cs="Arial"/>
          <w:sz w:val="24"/>
          <w:szCs w:val="24"/>
        </w:rPr>
        <w:t xml:space="preserve"> court was doubtful that the mischief addressed by s 13(1</w:t>
      </w:r>
      <w:r w:rsidR="00936695">
        <w:rPr>
          <w:rFonts w:ascii="Arial" w:hAnsi="Arial" w:cs="Arial"/>
          <w:sz w:val="24"/>
          <w:szCs w:val="24"/>
        </w:rPr>
        <w:t>) (</w:t>
      </w:r>
      <w:r w:rsidR="000E77CB">
        <w:rPr>
          <w:rFonts w:ascii="Arial" w:hAnsi="Arial" w:cs="Arial"/>
          <w:sz w:val="24"/>
          <w:szCs w:val="24"/>
        </w:rPr>
        <w:t>b) of the Architects and Quantity Surveyors Act</w:t>
      </w:r>
      <w:r w:rsidR="000E77CB">
        <w:rPr>
          <w:rStyle w:val="FootnoteReference"/>
          <w:rFonts w:ascii="Arial" w:hAnsi="Arial" w:cs="Arial"/>
          <w:sz w:val="24"/>
          <w:szCs w:val="24"/>
        </w:rPr>
        <w:footnoteReference w:id="18"/>
      </w:r>
      <w:r w:rsidR="000E77CB">
        <w:rPr>
          <w:rFonts w:ascii="Arial" w:hAnsi="Arial" w:cs="Arial"/>
          <w:sz w:val="24"/>
          <w:szCs w:val="24"/>
        </w:rPr>
        <w:t xml:space="preserve"> would constitute a criminal offence in the overall context of that Act</w:t>
      </w:r>
      <w:r w:rsidR="000E6418">
        <w:rPr>
          <w:rFonts w:ascii="Arial" w:hAnsi="Arial" w:cs="Arial"/>
          <w:sz w:val="24"/>
          <w:szCs w:val="24"/>
        </w:rPr>
        <w:t>.</w:t>
      </w:r>
      <w:r w:rsidR="000E77CB">
        <w:rPr>
          <w:rFonts w:ascii="Arial" w:hAnsi="Arial" w:cs="Arial"/>
          <w:sz w:val="24"/>
          <w:szCs w:val="24"/>
        </w:rPr>
        <w:t xml:space="preserve"> </w:t>
      </w:r>
      <w:r w:rsidR="000E6418">
        <w:rPr>
          <w:rFonts w:ascii="Arial" w:hAnsi="Arial" w:cs="Arial"/>
          <w:sz w:val="24"/>
          <w:szCs w:val="24"/>
        </w:rPr>
        <w:t xml:space="preserve">Counsel submitted that </w:t>
      </w:r>
      <w:r w:rsidR="000E77CB">
        <w:rPr>
          <w:rFonts w:ascii="Arial" w:hAnsi="Arial" w:cs="Arial"/>
          <w:sz w:val="24"/>
          <w:szCs w:val="24"/>
        </w:rPr>
        <w:t>the work was done by a registered architect</w:t>
      </w:r>
      <w:r w:rsidR="000E6418">
        <w:rPr>
          <w:rFonts w:ascii="Arial" w:hAnsi="Arial" w:cs="Arial"/>
          <w:sz w:val="24"/>
          <w:szCs w:val="24"/>
        </w:rPr>
        <w:t xml:space="preserve"> and there was</w:t>
      </w:r>
      <w:r w:rsidR="000E77CB">
        <w:rPr>
          <w:rFonts w:ascii="Arial" w:hAnsi="Arial" w:cs="Arial"/>
          <w:sz w:val="24"/>
          <w:szCs w:val="24"/>
        </w:rPr>
        <w:t xml:space="preserve"> no prejudice</w:t>
      </w:r>
      <w:r w:rsidR="000E6418">
        <w:rPr>
          <w:rFonts w:ascii="Arial" w:hAnsi="Arial" w:cs="Arial"/>
          <w:sz w:val="24"/>
          <w:szCs w:val="24"/>
        </w:rPr>
        <w:t>. Therefore</w:t>
      </w:r>
      <w:r w:rsidR="000E77CB">
        <w:rPr>
          <w:rFonts w:ascii="Arial" w:hAnsi="Arial" w:cs="Arial"/>
          <w:sz w:val="24"/>
          <w:szCs w:val="24"/>
        </w:rPr>
        <w:t xml:space="preserve"> in the context of that case there was also no ‘obvious or engrained disgrace’ or ‘unremitting impropriety’ at play. Mr Fitzgerald argues that the contrary is present in the current matter as the functionaries of the SME Bank set out on committing deliberate fraudulent actions when they entered into the agreement, </w:t>
      </w:r>
      <w:proofErr w:type="spellStart"/>
      <w:r w:rsidR="000E77CB">
        <w:rPr>
          <w:rFonts w:ascii="Arial" w:hAnsi="Arial" w:cs="Arial"/>
          <w:sz w:val="24"/>
          <w:szCs w:val="24"/>
        </w:rPr>
        <w:t>ie</w:t>
      </w:r>
      <w:proofErr w:type="spellEnd"/>
      <w:r w:rsidR="000E77CB">
        <w:rPr>
          <w:rFonts w:ascii="Arial" w:hAnsi="Arial" w:cs="Arial"/>
          <w:sz w:val="24"/>
          <w:szCs w:val="24"/>
        </w:rPr>
        <w:t xml:space="preserve"> their actions were </w:t>
      </w:r>
      <w:r w:rsidR="003B3688">
        <w:rPr>
          <w:rFonts w:ascii="Arial" w:hAnsi="Arial" w:cs="Arial"/>
          <w:sz w:val="24"/>
          <w:szCs w:val="24"/>
        </w:rPr>
        <w:t xml:space="preserve">a </w:t>
      </w:r>
      <w:r w:rsidR="000E77CB">
        <w:rPr>
          <w:rFonts w:ascii="Arial" w:hAnsi="Arial" w:cs="Arial"/>
          <w:sz w:val="24"/>
          <w:szCs w:val="24"/>
        </w:rPr>
        <w:t>deliberate and wilful transgression of the Act.</w:t>
      </w:r>
    </w:p>
    <w:p w:rsidR="00B94F98" w:rsidRDefault="00B94F98" w:rsidP="00365F2C">
      <w:pPr>
        <w:spacing w:after="0" w:line="360" w:lineRule="auto"/>
        <w:jc w:val="both"/>
        <w:rPr>
          <w:rFonts w:ascii="Arial" w:hAnsi="Arial" w:cs="Arial"/>
          <w:sz w:val="24"/>
          <w:szCs w:val="24"/>
        </w:rPr>
      </w:pPr>
    </w:p>
    <w:p w:rsidR="009C7EF4" w:rsidRPr="009E09DD" w:rsidRDefault="009C7EF4" w:rsidP="00365F2C">
      <w:pPr>
        <w:spacing w:after="0" w:line="360" w:lineRule="auto"/>
        <w:jc w:val="both"/>
        <w:rPr>
          <w:rFonts w:ascii="Arial" w:hAnsi="Arial" w:cs="Arial"/>
          <w:sz w:val="24"/>
          <w:szCs w:val="24"/>
        </w:rPr>
      </w:pPr>
      <w:r>
        <w:rPr>
          <w:rFonts w:ascii="Arial" w:hAnsi="Arial" w:cs="Arial"/>
          <w:sz w:val="24"/>
          <w:szCs w:val="24"/>
        </w:rPr>
        <w:t>[</w:t>
      </w:r>
      <w:r w:rsidR="000E6418">
        <w:rPr>
          <w:rFonts w:ascii="Arial" w:hAnsi="Arial" w:cs="Arial"/>
          <w:sz w:val="24"/>
          <w:szCs w:val="24"/>
        </w:rPr>
        <w:t>31</w:t>
      </w:r>
      <w:r>
        <w:rPr>
          <w:rFonts w:ascii="Arial" w:hAnsi="Arial" w:cs="Arial"/>
          <w:sz w:val="24"/>
          <w:szCs w:val="24"/>
        </w:rPr>
        <w:t>]</w:t>
      </w:r>
      <w:r>
        <w:rPr>
          <w:rFonts w:ascii="Arial" w:hAnsi="Arial" w:cs="Arial"/>
          <w:sz w:val="24"/>
          <w:szCs w:val="24"/>
        </w:rPr>
        <w:tab/>
        <w:t xml:space="preserve">Mr Fitzgerald urged the court not to follow the </w:t>
      </w:r>
      <w:r w:rsidRPr="00F94D00">
        <w:rPr>
          <w:rFonts w:ascii="Arial" w:hAnsi="Arial" w:cs="Arial"/>
          <w:i/>
          <w:sz w:val="24"/>
          <w:szCs w:val="24"/>
        </w:rPr>
        <w:t>Claude Bosch</w:t>
      </w:r>
      <w:r>
        <w:rPr>
          <w:rFonts w:ascii="Arial" w:hAnsi="Arial" w:cs="Arial"/>
          <w:sz w:val="24"/>
          <w:szCs w:val="24"/>
        </w:rPr>
        <w:t xml:space="preserve"> matter as same is confined to the </w:t>
      </w:r>
      <w:r w:rsidR="006E78AD">
        <w:rPr>
          <w:rFonts w:ascii="Arial" w:hAnsi="Arial" w:cs="Arial"/>
          <w:sz w:val="24"/>
          <w:szCs w:val="24"/>
        </w:rPr>
        <w:t xml:space="preserve">peculiar </w:t>
      </w:r>
      <w:r>
        <w:rPr>
          <w:rFonts w:ascii="Arial" w:hAnsi="Arial" w:cs="Arial"/>
          <w:sz w:val="24"/>
          <w:szCs w:val="24"/>
        </w:rPr>
        <w:t>fact</w:t>
      </w:r>
      <w:r w:rsidR="000E6418">
        <w:rPr>
          <w:rFonts w:ascii="Arial" w:hAnsi="Arial" w:cs="Arial"/>
          <w:sz w:val="24"/>
          <w:szCs w:val="24"/>
        </w:rPr>
        <w:t>s</w:t>
      </w:r>
      <w:r>
        <w:rPr>
          <w:rFonts w:ascii="Arial" w:hAnsi="Arial" w:cs="Arial"/>
          <w:sz w:val="24"/>
          <w:szCs w:val="24"/>
        </w:rPr>
        <w:t xml:space="preserve"> of that case but that the court </w:t>
      </w:r>
      <w:r w:rsidR="000E6418">
        <w:rPr>
          <w:rFonts w:ascii="Arial" w:hAnsi="Arial" w:cs="Arial"/>
          <w:sz w:val="24"/>
          <w:szCs w:val="24"/>
        </w:rPr>
        <w:t xml:space="preserve">should </w:t>
      </w:r>
      <w:r w:rsidR="006E78AD">
        <w:rPr>
          <w:rFonts w:ascii="Arial" w:hAnsi="Arial" w:cs="Arial"/>
          <w:sz w:val="24"/>
          <w:szCs w:val="24"/>
        </w:rPr>
        <w:t xml:space="preserve">rather consider </w:t>
      </w:r>
      <w:r w:rsidR="000E6418">
        <w:rPr>
          <w:rFonts w:ascii="Arial" w:hAnsi="Arial" w:cs="Arial"/>
          <w:sz w:val="24"/>
          <w:szCs w:val="24"/>
        </w:rPr>
        <w:t xml:space="preserve">and follow </w:t>
      </w:r>
      <w:r>
        <w:rPr>
          <w:rFonts w:ascii="Arial" w:hAnsi="Arial" w:cs="Arial"/>
          <w:sz w:val="24"/>
          <w:szCs w:val="24"/>
        </w:rPr>
        <w:t xml:space="preserve">the </w:t>
      </w:r>
      <w:r w:rsidRPr="006E78AD">
        <w:rPr>
          <w:rFonts w:ascii="Arial" w:hAnsi="Arial" w:cs="Arial"/>
          <w:i/>
          <w:sz w:val="24"/>
          <w:szCs w:val="24"/>
        </w:rPr>
        <w:t xml:space="preserve">Patel v </w:t>
      </w:r>
      <w:proofErr w:type="spellStart"/>
      <w:r w:rsidRPr="006E78AD">
        <w:rPr>
          <w:rFonts w:ascii="Arial" w:hAnsi="Arial" w:cs="Arial"/>
          <w:i/>
          <w:sz w:val="24"/>
          <w:szCs w:val="24"/>
        </w:rPr>
        <w:t>Mizra</w:t>
      </w:r>
      <w:proofErr w:type="spellEnd"/>
      <w:r w:rsidR="006E78AD">
        <w:rPr>
          <w:rStyle w:val="FootnoteReference"/>
          <w:rFonts w:ascii="Arial" w:hAnsi="Arial" w:cs="Arial"/>
          <w:i/>
          <w:sz w:val="24"/>
          <w:szCs w:val="24"/>
        </w:rPr>
        <w:footnoteReference w:id="19"/>
      </w:r>
      <w:r>
        <w:rPr>
          <w:rFonts w:ascii="Arial" w:hAnsi="Arial" w:cs="Arial"/>
          <w:sz w:val="24"/>
          <w:szCs w:val="24"/>
        </w:rPr>
        <w:t xml:space="preserve"> matter </w:t>
      </w:r>
      <w:r w:rsidR="000E6418">
        <w:rPr>
          <w:rFonts w:ascii="Arial" w:hAnsi="Arial" w:cs="Arial"/>
          <w:sz w:val="24"/>
          <w:szCs w:val="24"/>
        </w:rPr>
        <w:t>to which Mr Heathcote also referred. Mr Fitzgerald</w:t>
      </w:r>
      <w:r>
        <w:rPr>
          <w:rFonts w:ascii="Arial" w:hAnsi="Arial" w:cs="Arial"/>
          <w:sz w:val="24"/>
          <w:szCs w:val="24"/>
        </w:rPr>
        <w:t xml:space="preserve"> referred the court to a number of paragraphs in t</w:t>
      </w:r>
      <w:r w:rsidR="000E6418">
        <w:rPr>
          <w:rFonts w:ascii="Arial" w:hAnsi="Arial" w:cs="Arial"/>
          <w:sz w:val="24"/>
          <w:szCs w:val="24"/>
        </w:rPr>
        <w:t xml:space="preserve">he </w:t>
      </w:r>
      <w:r w:rsidR="000E6418" w:rsidRPr="000E6418">
        <w:rPr>
          <w:rFonts w:ascii="Arial" w:hAnsi="Arial" w:cs="Arial"/>
          <w:i/>
          <w:sz w:val="24"/>
          <w:szCs w:val="24"/>
        </w:rPr>
        <w:t>Patel</w:t>
      </w:r>
      <w:r>
        <w:rPr>
          <w:rFonts w:ascii="Arial" w:hAnsi="Arial" w:cs="Arial"/>
          <w:sz w:val="24"/>
          <w:szCs w:val="24"/>
        </w:rPr>
        <w:t xml:space="preserve"> judgment that </w:t>
      </w:r>
      <w:r w:rsidR="000E6418">
        <w:rPr>
          <w:rFonts w:ascii="Arial" w:hAnsi="Arial" w:cs="Arial"/>
          <w:sz w:val="24"/>
          <w:szCs w:val="24"/>
        </w:rPr>
        <w:t>are</w:t>
      </w:r>
      <w:r>
        <w:rPr>
          <w:rFonts w:ascii="Arial" w:hAnsi="Arial" w:cs="Arial"/>
          <w:sz w:val="24"/>
          <w:szCs w:val="24"/>
        </w:rPr>
        <w:t xml:space="preserve"> of relevance</w:t>
      </w:r>
      <w:r w:rsidR="000E6418">
        <w:rPr>
          <w:rFonts w:ascii="Arial" w:hAnsi="Arial" w:cs="Arial"/>
          <w:sz w:val="24"/>
          <w:szCs w:val="24"/>
        </w:rPr>
        <w:t xml:space="preserve">. </w:t>
      </w:r>
      <w:r w:rsidR="008C6BDC" w:rsidRPr="009E09DD">
        <w:rPr>
          <w:rFonts w:ascii="Arial" w:hAnsi="Arial" w:cs="Arial"/>
          <w:sz w:val="24"/>
          <w:szCs w:val="24"/>
        </w:rPr>
        <w:t xml:space="preserve">The paragraphs referred to is paras 10, 15, 115, 121, 145, 146, 161, 163 and 203. </w:t>
      </w:r>
      <w:r w:rsidR="000E6418" w:rsidRPr="009E09DD">
        <w:rPr>
          <w:rFonts w:ascii="Arial" w:hAnsi="Arial" w:cs="Arial"/>
          <w:sz w:val="24"/>
          <w:szCs w:val="24"/>
        </w:rPr>
        <w:t xml:space="preserve">(As </w:t>
      </w:r>
      <w:r w:rsidR="008C6BDC" w:rsidRPr="009E09DD">
        <w:rPr>
          <w:rFonts w:ascii="Arial" w:hAnsi="Arial" w:cs="Arial"/>
          <w:sz w:val="24"/>
          <w:szCs w:val="24"/>
        </w:rPr>
        <w:t>these are</w:t>
      </w:r>
      <w:r w:rsidR="000E6418" w:rsidRPr="009E09DD">
        <w:rPr>
          <w:rFonts w:ascii="Arial" w:hAnsi="Arial" w:cs="Arial"/>
          <w:sz w:val="24"/>
          <w:szCs w:val="24"/>
        </w:rPr>
        <w:t xml:space="preserve"> extensive paragraphs referred to </w:t>
      </w:r>
      <w:r w:rsidR="006E78AD" w:rsidRPr="009E09DD">
        <w:rPr>
          <w:rFonts w:ascii="Arial" w:hAnsi="Arial" w:cs="Arial"/>
          <w:sz w:val="24"/>
          <w:szCs w:val="24"/>
        </w:rPr>
        <w:t xml:space="preserve">I will not </w:t>
      </w:r>
      <w:r w:rsidR="000E6418" w:rsidRPr="009E09DD">
        <w:rPr>
          <w:rFonts w:ascii="Arial" w:hAnsi="Arial" w:cs="Arial"/>
          <w:sz w:val="24"/>
          <w:szCs w:val="24"/>
        </w:rPr>
        <w:t>duplicate</w:t>
      </w:r>
      <w:r w:rsidR="006E78AD" w:rsidRPr="009E09DD">
        <w:rPr>
          <w:rFonts w:ascii="Arial" w:hAnsi="Arial" w:cs="Arial"/>
          <w:sz w:val="24"/>
          <w:szCs w:val="24"/>
        </w:rPr>
        <w:t xml:space="preserve"> </w:t>
      </w:r>
      <w:r w:rsidR="000E6418" w:rsidRPr="009E09DD">
        <w:rPr>
          <w:rFonts w:ascii="Arial" w:hAnsi="Arial" w:cs="Arial"/>
          <w:sz w:val="24"/>
          <w:szCs w:val="24"/>
        </w:rPr>
        <w:t>for purposes of this ruling.)</w:t>
      </w:r>
      <w:r w:rsidR="00F94D00" w:rsidRPr="009E09DD">
        <w:rPr>
          <w:rFonts w:ascii="Arial" w:hAnsi="Arial" w:cs="Arial"/>
          <w:sz w:val="24"/>
          <w:szCs w:val="24"/>
        </w:rPr>
        <w:t xml:space="preserve"> </w:t>
      </w:r>
    </w:p>
    <w:p w:rsidR="00B94F98" w:rsidRDefault="00B94F98" w:rsidP="00365F2C">
      <w:pPr>
        <w:spacing w:after="0" w:line="360" w:lineRule="auto"/>
        <w:jc w:val="both"/>
        <w:rPr>
          <w:rFonts w:ascii="Arial" w:hAnsi="Arial" w:cs="Arial"/>
        </w:rPr>
      </w:pPr>
    </w:p>
    <w:p w:rsidR="00E44DAE" w:rsidRDefault="00255160" w:rsidP="00365F2C">
      <w:pPr>
        <w:spacing w:after="0" w:line="360" w:lineRule="auto"/>
        <w:jc w:val="both"/>
        <w:rPr>
          <w:rFonts w:ascii="Arial" w:hAnsi="Arial" w:cs="Arial"/>
          <w:sz w:val="24"/>
          <w:szCs w:val="24"/>
        </w:rPr>
      </w:pPr>
      <w:r w:rsidRPr="00255160">
        <w:rPr>
          <w:rFonts w:ascii="Arial" w:hAnsi="Arial" w:cs="Arial"/>
          <w:sz w:val="24"/>
          <w:szCs w:val="24"/>
        </w:rPr>
        <w:t>[</w:t>
      </w:r>
      <w:r w:rsidR="000E6418">
        <w:rPr>
          <w:rFonts w:ascii="Arial" w:hAnsi="Arial" w:cs="Arial"/>
          <w:sz w:val="24"/>
          <w:szCs w:val="24"/>
        </w:rPr>
        <w:t>32</w:t>
      </w:r>
      <w:r w:rsidRPr="00255160">
        <w:rPr>
          <w:rFonts w:ascii="Arial" w:hAnsi="Arial" w:cs="Arial"/>
          <w:sz w:val="24"/>
          <w:szCs w:val="24"/>
        </w:rPr>
        <w:t>]</w:t>
      </w:r>
      <w:r w:rsidRPr="00255160">
        <w:rPr>
          <w:rFonts w:ascii="Arial" w:hAnsi="Arial" w:cs="Arial"/>
          <w:sz w:val="24"/>
          <w:szCs w:val="24"/>
        </w:rPr>
        <w:tab/>
      </w:r>
      <w:r w:rsidR="006E78AD">
        <w:rPr>
          <w:rFonts w:ascii="Arial" w:hAnsi="Arial" w:cs="Arial"/>
          <w:sz w:val="24"/>
          <w:szCs w:val="24"/>
        </w:rPr>
        <w:t xml:space="preserve">Mr Fitzgerald submitted that the alternative claim of unjustified enrichment </w:t>
      </w:r>
      <w:r w:rsidR="00E44DAE">
        <w:rPr>
          <w:rFonts w:ascii="Arial" w:hAnsi="Arial" w:cs="Arial"/>
          <w:sz w:val="24"/>
          <w:szCs w:val="24"/>
        </w:rPr>
        <w:t xml:space="preserve">does not get out of the starting blocks in this matter as the legislature never intended for an agreement in contravention with of s 39 of the Act to be a nullity. Therefore the </w:t>
      </w:r>
      <w:r w:rsidR="00E44DAE" w:rsidRPr="00416510">
        <w:rPr>
          <w:rFonts w:ascii="Arial" w:hAnsi="Arial" w:cs="Arial"/>
          <w:i/>
          <w:sz w:val="24"/>
          <w:szCs w:val="24"/>
        </w:rPr>
        <w:t xml:space="preserve">ex </w:t>
      </w:r>
      <w:proofErr w:type="spellStart"/>
      <w:r w:rsidR="00E44DAE" w:rsidRPr="00416510">
        <w:rPr>
          <w:rFonts w:ascii="Arial" w:hAnsi="Arial" w:cs="Arial"/>
          <w:i/>
          <w:sz w:val="24"/>
          <w:szCs w:val="24"/>
        </w:rPr>
        <w:t>turpi</w:t>
      </w:r>
      <w:proofErr w:type="spellEnd"/>
      <w:r w:rsidR="00E44DAE" w:rsidRPr="00416510">
        <w:rPr>
          <w:rFonts w:ascii="Arial" w:hAnsi="Arial" w:cs="Arial"/>
          <w:i/>
          <w:sz w:val="24"/>
          <w:szCs w:val="24"/>
        </w:rPr>
        <w:t xml:space="preserve"> caus</w:t>
      </w:r>
      <w:r w:rsidR="00E44DAE">
        <w:rPr>
          <w:rFonts w:ascii="Arial" w:hAnsi="Arial" w:cs="Arial"/>
          <w:i/>
          <w:sz w:val="24"/>
          <w:szCs w:val="24"/>
        </w:rPr>
        <w:t>a</w:t>
      </w:r>
      <w:r w:rsidR="00B94F98">
        <w:rPr>
          <w:rFonts w:ascii="Arial" w:hAnsi="Arial" w:cs="Arial"/>
          <w:sz w:val="24"/>
          <w:szCs w:val="24"/>
        </w:rPr>
        <w:t xml:space="preserve"> rule finds no application.</w:t>
      </w:r>
    </w:p>
    <w:p w:rsidR="00B94F98" w:rsidRDefault="00B94F98" w:rsidP="00365F2C">
      <w:pPr>
        <w:spacing w:after="0" w:line="360" w:lineRule="auto"/>
        <w:jc w:val="both"/>
        <w:rPr>
          <w:rFonts w:ascii="Arial" w:hAnsi="Arial" w:cs="Arial"/>
          <w:sz w:val="24"/>
          <w:szCs w:val="24"/>
        </w:rPr>
      </w:pPr>
    </w:p>
    <w:p w:rsidR="000E6418" w:rsidRDefault="000E6418" w:rsidP="00365F2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Mr Fitzgerald confirms that t</w:t>
      </w:r>
      <w:r w:rsidR="006E78AD">
        <w:rPr>
          <w:rFonts w:ascii="Arial" w:hAnsi="Arial" w:cs="Arial"/>
          <w:sz w:val="24"/>
          <w:szCs w:val="24"/>
        </w:rPr>
        <w:t xml:space="preserve">he parties are in agreement that the discretionary agreement is valid and although valid </w:t>
      </w:r>
      <w:r>
        <w:rPr>
          <w:rFonts w:ascii="Arial" w:hAnsi="Arial" w:cs="Arial"/>
          <w:sz w:val="24"/>
          <w:szCs w:val="24"/>
        </w:rPr>
        <w:t xml:space="preserve">the first defendant maintains that it is </w:t>
      </w:r>
      <w:r w:rsidR="006E78AD">
        <w:rPr>
          <w:rFonts w:ascii="Arial" w:hAnsi="Arial" w:cs="Arial"/>
          <w:sz w:val="24"/>
          <w:szCs w:val="24"/>
        </w:rPr>
        <w:t xml:space="preserve">unenforceable at this stage by means of summary judgment due to the measure of turpitude by the functionaries of the bank. Counsel further argued that if the court </w:t>
      </w:r>
      <w:r w:rsidR="006E78AD" w:rsidRPr="00F46384">
        <w:rPr>
          <w:rFonts w:ascii="Arial" w:hAnsi="Arial" w:cs="Arial"/>
          <w:sz w:val="24"/>
          <w:szCs w:val="24"/>
        </w:rPr>
        <w:t>consider</w:t>
      </w:r>
      <w:r w:rsidR="00AF58B3" w:rsidRPr="00F46384">
        <w:rPr>
          <w:rFonts w:ascii="Arial" w:hAnsi="Arial" w:cs="Arial"/>
          <w:sz w:val="24"/>
          <w:szCs w:val="24"/>
        </w:rPr>
        <w:t>s</w:t>
      </w:r>
      <w:r w:rsidR="006E78AD" w:rsidRPr="00F46384">
        <w:rPr>
          <w:rFonts w:ascii="Arial" w:hAnsi="Arial" w:cs="Arial"/>
          <w:sz w:val="24"/>
          <w:szCs w:val="24"/>
        </w:rPr>
        <w:t xml:space="preserve"> t</w:t>
      </w:r>
      <w:r w:rsidR="006E78AD">
        <w:rPr>
          <w:rFonts w:ascii="Arial" w:hAnsi="Arial" w:cs="Arial"/>
          <w:sz w:val="24"/>
          <w:szCs w:val="24"/>
        </w:rPr>
        <w:t xml:space="preserve">he degree of turpitude between that of the </w:t>
      </w:r>
      <w:r w:rsidR="006E78AD" w:rsidRPr="00656131">
        <w:rPr>
          <w:rFonts w:ascii="Arial" w:hAnsi="Arial" w:cs="Arial"/>
          <w:i/>
          <w:sz w:val="24"/>
          <w:szCs w:val="24"/>
        </w:rPr>
        <w:t>dramatis personae</w:t>
      </w:r>
      <w:r w:rsidR="006E78AD">
        <w:rPr>
          <w:rFonts w:ascii="Arial" w:hAnsi="Arial" w:cs="Arial"/>
          <w:sz w:val="24"/>
          <w:szCs w:val="24"/>
        </w:rPr>
        <w:t xml:space="preserve"> and that of the defendants then on that comparison the court should not relax the </w:t>
      </w:r>
      <w:r w:rsidR="006E78AD" w:rsidRPr="000E6418">
        <w:rPr>
          <w:rFonts w:ascii="Arial" w:hAnsi="Arial" w:cs="Arial"/>
          <w:i/>
          <w:sz w:val="24"/>
          <w:szCs w:val="24"/>
        </w:rPr>
        <w:t xml:space="preserve">par </w:t>
      </w:r>
      <w:proofErr w:type="spellStart"/>
      <w:r w:rsidR="006E78AD" w:rsidRPr="000E6418">
        <w:rPr>
          <w:rFonts w:ascii="Arial" w:hAnsi="Arial" w:cs="Arial"/>
          <w:i/>
          <w:sz w:val="24"/>
          <w:szCs w:val="24"/>
        </w:rPr>
        <w:t>delictum</w:t>
      </w:r>
      <w:proofErr w:type="spellEnd"/>
      <w:r w:rsidR="006E78AD">
        <w:rPr>
          <w:rFonts w:ascii="Arial" w:hAnsi="Arial" w:cs="Arial"/>
          <w:sz w:val="24"/>
          <w:szCs w:val="24"/>
        </w:rPr>
        <w:t xml:space="preserve"> </w:t>
      </w:r>
      <w:proofErr w:type="gramStart"/>
      <w:r w:rsidR="006E78AD">
        <w:rPr>
          <w:rFonts w:ascii="Arial" w:hAnsi="Arial" w:cs="Arial"/>
          <w:sz w:val="24"/>
          <w:szCs w:val="24"/>
        </w:rPr>
        <w:lastRenderedPageBreak/>
        <w:t>rule</w:t>
      </w:r>
      <w:proofErr w:type="gramEnd"/>
      <w:r w:rsidR="006E78AD">
        <w:rPr>
          <w:rFonts w:ascii="Arial" w:hAnsi="Arial" w:cs="Arial"/>
          <w:sz w:val="24"/>
          <w:szCs w:val="24"/>
        </w:rPr>
        <w:t xml:space="preserve">. </w:t>
      </w:r>
      <w:r>
        <w:rPr>
          <w:rFonts w:ascii="Arial" w:hAnsi="Arial" w:cs="Arial"/>
          <w:sz w:val="24"/>
          <w:szCs w:val="24"/>
        </w:rPr>
        <w:t xml:space="preserve">Counsel contended that the </w:t>
      </w:r>
      <w:r w:rsidR="00656131" w:rsidRPr="008C6BDC">
        <w:rPr>
          <w:rFonts w:ascii="Arial" w:hAnsi="Arial" w:cs="Arial"/>
          <w:sz w:val="24"/>
          <w:szCs w:val="24"/>
        </w:rPr>
        <w:t xml:space="preserve">SME Bank </w:t>
      </w:r>
      <w:r>
        <w:rPr>
          <w:rFonts w:ascii="Arial" w:hAnsi="Arial" w:cs="Arial"/>
          <w:sz w:val="24"/>
          <w:szCs w:val="24"/>
        </w:rPr>
        <w:t>went in to the agreement with open eyes and that the money w</w:t>
      </w:r>
      <w:r w:rsidR="00B94F98">
        <w:rPr>
          <w:rFonts w:ascii="Arial" w:hAnsi="Arial" w:cs="Arial"/>
          <w:sz w:val="24"/>
          <w:szCs w:val="24"/>
        </w:rPr>
        <w:t>as lost due to bad investments.</w:t>
      </w:r>
    </w:p>
    <w:p w:rsidR="00B94F98" w:rsidRDefault="00B94F98" w:rsidP="00365F2C">
      <w:pPr>
        <w:spacing w:after="0" w:line="360" w:lineRule="auto"/>
        <w:jc w:val="both"/>
        <w:rPr>
          <w:rFonts w:ascii="Arial" w:hAnsi="Arial" w:cs="Arial"/>
          <w:sz w:val="24"/>
          <w:szCs w:val="24"/>
        </w:rPr>
      </w:pPr>
    </w:p>
    <w:p w:rsidR="000E6418" w:rsidRDefault="000E6418" w:rsidP="00365F2C">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 conclusion Mr Fitzgerald submitted that the application for summary judgment </w:t>
      </w:r>
      <w:r w:rsidR="00656131" w:rsidRPr="008C6BDC">
        <w:rPr>
          <w:rFonts w:ascii="Arial" w:hAnsi="Arial" w:cs="Arial"/>
          <w:sz w:val="24"/>
          <w:szCs w:val="24"/>
        </w:rPr>
        <w:t xml:space="preserve">should be dismissed </w:t>
      </w:r>
      <w:r w:rsidR="001449A6" w:rsidRPr="008C6BDC">
        <w:rPr>
          <w:rFonts w:ascii="Arial" w:hAnsi="Arial" w:cs="Arial"/>
          <w:sz w:val="24"/>
          <w:szCs w:val="24"/>
        </w:rPr>
        <w:t xml:space="preserve">as the </w:t>
      </w:r>
      <w:r w:rsidR="001449A6">
        <w:rPr>
          <w:rFonts w:ascii="Arial" w:hAnsi="Arial" w:cs="Arial"/>
          <w:sz w:val="24"/>
          <w:szCs w:val="24"/>
        </w:rPr>
        <w:t>first defendant has made out an arguable defence</w:t>
      </w:r>
      <w:r>
        <w:rPr>
          <w:rFonts w:ascii="Arial" w:hAnsi="Arial" w:cs="Arial"/>
          <w:sz w:val="24"/>
          <w:szCs w:val="24"/>
        </w:rPr>
        <w:t>.</w:t>
      </w:r>
    </w:p>
    <w:p w:rsidR="000E6418" w:rsidRDefault="000E6418" w:rsidP="00365F2C">
      <w:pPr>
        <w:spacing w:after="0" w:line="360" w:lineRule="auto"/>
        <w:jc w:val="both"/>
        <w:rPr>
          <w:rFonts w:ascii="Arial" w:hAnsi="Arial" w:cs="Arial"/>
          <w:sz w:val="24"/>
          <w:szCs w:val="24"/>
        </w:rPr>
      </w:pPr>
    </w:p>
    <w:p w:rsidR="00E84216" w:rsidRDefault="00B94F98" w:rsidP="00365F2C">
      <w:pPr>
        <w:spacing w:after="0" w:line="360" w:lineRule="auto"/>
        <w:jc w:val="both"/>
        <w:rPr>
          <w:rFonts w:ascii="Arial" w:hAnsi="Arial" w:cs="Arial"/>
          <w:sz w:val="24"/>
          <w:szCs w:val="24"/>
          <w:u w:val="single"/>
        </w:rPr>
      </w:pPr>
      <w:r>
        <w:rPr>
          <w:rFonts w:ascii="Arial" w:hAnsi="Arial" w:cs="Arial"/>
          <w:sz w:val="24"/>
          <w:szCs w:val="24"/>
          <w:u w:val="single"/>
        </w:rPr>
        <w:t>Common cause facts</w:t>
      </w:r>
    </w:p>
    <w:p w:rsidR="00B94F98" w:rsidRPr="00EB29A8" w:rsidRDefault="00B94F98" w:rsidP="00365F2C">
      <w:pPr>
        <w:spacing w:after="0" w:line="360" w:lineRule="auto"/>
        <w:jc w:val="both"/>
        <w:rPr>
          <w:rFonts w:ascii="Arial" w:hAnsi="Arial" w:cs="Arial"/>
          <w:sz w:val="24"/>
          <w:szCs w:val="24"/>
          <w:u w:val="single"/>
        </w:rPr>
      </w:pPr>
    </w:p>
    <w:p w:rsidR="00E84216" w:rsidRDefault="00E84216" w:rsidP="00365F2C">
      <w:pPr>
        <w:spacing w:after="0" w:line="360" w:lineRule="auto"/>
        <w:jc w:val="both"/>
        <w:rPr>
          <w:rFonts w:ascii="Arial" w:hAnsi="Arial" w:cs="Arial"/>
          <w:sz w:val="24"/>
          <w:szCs w:val="24"/>
        </w:rPr>
      </w:pPr>
      <w:r>
        <w:rPr>
          <w:rFonts w:ascii="Arial" w:hAnsi="Arial" w:cs="Arial"/>
          <w:sz w:val="24"/>
          <w:szCs w:val="24"/>
        </w:rPr>
        <w:t>[</w:t>
      </w:r>
      <w:r w:rsidR="00A57E67">
        <w:rPr>
          <w:rFonts w:ascii="Arial" w:hAnsi="Arial" w:cs="Arial"/>
          <w:sz w:val="24"/>
          <w:szCs w:val="24"/>
        </w:rPr>
        <w:t>35</w:t>
      </w:r>
      <w:r w:rsidR="00B94F98">
        <w:rPr>
          <w:rFonts w:ascii="Arial" w:hAnsi="Arial" w:cs="Arial"/>
          <w:sz w:val="24"/>
          <w:szCs w:val="24"/>
        </w:rPr>
        <w:t>]</w:t>
      </w:r>
      <w:r w:rsidR="00B94F98">
        <w:rPr>
          <w:rFonts w:ascii="Arial" w:hAnsi="Arial" w:cs="Arial"/>
          <w:sz w:val="24"/>
          <w:szCs w:val="24"/>
        </w:rPr>
        <w:tab/>
      </w:r>
      <w:r>
        <w:rPr>
          <w:rFonts w:ascii="Arial" w:hAnsi="Arial" w:cs="Arial"/>
          <w:sz w:val="24"/>
          <w:szCs w:val="24"/>
        </w:rPr>
        <w:t>It is common</w:t>
      </w:r>
      <w:r w:rsidR="00F250FA">
        <w:rPr>
          <w:rFonts w:ascii="Arial" w:hAnsi="Arial" w:cs="Arial"/>
          <w:sz w:val="24"/>
          <w:szCs w:val="24"/>
        </w:rPr>
        <w:t xml:space="preserve"> cause that the amount of N$ 10</w:t>
      </w:r>
      <w:r w:rsidR="00C07C45">
        <w:rPr>
          <w:rFonts w:ascii="Arial" w:hAnsi="Arial" w:cs="Arial"/>
          <w:sz w:val="24"/>
          <w:szCs w:val="24"/>
        </w:rPr>
        <w:t xml:space="preserve"> </w:t>
      </w:r>
      <w:r w:rsidR="00F250FA">
        <w:rPr>
          <w:rFonts w:ascii="Arial" w:hAnsi="Arial" w:cs="Arial"/>
          <w:sz w:val="24"/>
          <w:szCs w:val="24"/>
        </w:rPr>
        <w:t xml:space="preserve">000 </w:t>
      </w:r>
      <w:r>
        <w:rPr>
          <w:rFonts w:ascii="Arial" w:hAnsi="Arial" w:cs="Arial"/>
          <w:sz w:val="24"/>
          <w:szCs w:val="24"/>
        </w:rPr>
        <w:t xml:space="preserve">000 was paid over to </w:t>
      </w:r>
      <w:proofErr w:type="spellStart"/>
      <w:r>
        <w:rPr>
          <w:rFonts w:ascii="Arial" w:hAnsi="Arial" w:cs="Arial"/>
          <w:sz w:val="24"/>
          <w:szCs w:val="24"/>
        </w:rPr>
        <w:t>Tulive</w:t>
      </w:r>
      <w:proofErr w:type="spellEnd"/>
      <w:r>
        <w:rPr>
          <w:rFonts w:ascii="Arial" w:hAnsi="Arial" w:cs="Arial"/>
          <w:sz w:val="24"/>
          <w:szCs w:val="24"/>
        </w:rPr>
        <w:t xml:space="preserve"> in term</w:t>
      </w:r>
      <w:r w:rsidR="00B94F98">
        <w:rPr>
          <w:rFonts w:ascii="Arial" w:hAnsi="Arial" w:cs="Arial"/>
          <w:sz w:val="24"/>
          <w:szCs w:val="24"/>
        </w:rPr>
        <w:t xml:space="preserve">s of </w:t>
      </w:r>
      <w:r w:rsidR="00B94F98" w:rsidRPr="008C6BDC">
        <w:rPr>
          <w:rFonts w:ascii="Arial" w:hAnsi="Arial" w:cs="Arial"/>
          <w:sz w:val="24"/>
          <w:szCs w:val="24"/>
        </w:rPr>
        <w:t xml:space="preserve">a </w:t>
      </w:r>
      <w:r w:rsidR="00C07C45" w:rsidRPr="008C6BDC">
        <w:rPr>
          <w:rFonts w:ascii="Arial" w:hAnsi="Arial" w:cs="Arial"/>
          <w:sz w:val="24"/>
          <w:szCs w:val="24"/>
        </w:rPr>
        <w:t>d</w:t>
      </w:r>
      <w:r w:rsidR="00B94F98" w:rsidRPr="008C6BDC">
        <w:rPr>
          <w:rFonts w:ascii="Arial" w:hAnsi="Arial" w:cs="Arial"/>
          <w:sz w:val="24"/>
          <w:szCs w:val="24"/>
        </w:rPr>
        <w:t xml:space="preserve">iscretionary </w:t>
      </w:r>
      <w:r w:rsidR="00C07C45" w:rsidRPr="008C6BDC">
        <w:rPr>
          <w:rFonts w:ascii="Arial" w:hAnsi="Arial" w:cs="Arial"/>
          <w:sz w:val="24"/>
          <w:szCs w:val="24"/>
        </w:rPr>
        <w:t>a</w:t>
      </w:r>
      <w:r w:rsidR="00B94F98" w:rsidRPr="008C6BDC">
        <w:rPr>
          <w:rFonts w:ascii="Arial" w:hAnsi="Arial" w:cs="Arial"/>
          <w:sz w:val="24"/>
          <w:szCs w:val="24"/>
        </w:rPr>
        <w:t>greement.</w:t>
      </w:r>
    </w:p>
    <w:p w:rsidR="00B94F98" w:rsidRDefault="00B94F98" w:rsidP="00365F2C">
      <w:pPr>
        <w:spacing w:after="0" w:line="360" w:lineRule="auto"/>
        <w:jc w:val="both"/>
        <w:rPr>
          <w:rFonts w:ascii="Arial" w:hAnsi="Arial" w:cs="Arial"/>
          <w:sz w:val="24"/>
          <w:szCs w:val="24"/>
        </w:rPr>
      </w:pPr>
    </w:p>
    <w:p w:rsidR="00E84216" w:rsidRDefault="00E84216" w:rsidP="00365F2C">
      <w:pPr>
        <w:spacing w:after="0" w:line="360" w:lineRule="auto"/>
        <w:jc w:val="both"/>
        <w:rPr>
          <w:rFonts w:ascii="Arial" w:hAnsi="Arial" w:cs="Arial"/>
          <w:sz w:val="24"/>
          <w:szCs w:val="24"/>
        </w:rPr>
      </w:pPr>
      <w:r>
        <w:rPr>
          <w:rFonts w:ascii="Arial" w:hAnsi="Arial" w:cs="Arial"/>
          <w:sz w:val="24"/>
          <w:szCs w:val="24"/>
        </w:rPr>
        <w:t>[</w:t>
      </w:r>
      <w:r w:rsidR="00A57E67">
        <w:rPr>
          <w:rFonts w:ascii="Arial" w:hAnsi="Arial" w:cs="Arial"/>
          <w:sz w:val="24"/>
          <w:szCs w:val="24"/>
        </w:rPr>
        <w:t>36</w:t>
      </w:r>
      <w:r>
        <w:rPr>
          <w:rFonts w:ascii="Arial" w:hAnsi="Arial" w:cs="Arial"/>
          <w:sz w:val="24"/>
          <w:szCs w:val="24"/>
        </w:rPr>
        <w:t>]</w:t>
      </w:r>
      <w:r>
        <w:rPr>
          <w:rFonts w:ascii="Arial" w:hAnsi="Arial" w:cs="Arial"/>
          <w:sz w:val="24"/>
          <w:szCs w:val="24"/>
        </w:rPr>
        <w:tab/>
        <w:t xml:space="preserve">It is common cause that </w:t>
      </w:r>
      <w:proofErr w:type="spellStart"/>
      <w:r>
        <w:rPr>
          <w:rFonts w:ascii="Arial" w:hAnsi="Arial" w:cs="Arial"/>
          <w:sz w:val="24"/>
          <w:szCs w:val="24"/>
        </w:rPr>
        <w:t>Tuli</w:t>
      </w:r>
      <w:r w:rsidR="00F250FA">
        <w:rPr>
          <w:rFonts w:ascii="Arial" w:hAnsi="Arial" w:cs="Arial"/>
          <w:sz w:val="24"/>
          <w:szCs w:val="24"/>
        </w:rPr>
        <w:t>ve</w:t>
      </w:r>
      <w:proofErr w:type="spellEnd"/>
      <w:r w:rsidR="00F250FA">
        <w:rPr>
          <w:rFonts w:ascii="Arial" w:hAnsi="Arial" w:cs="Arial"/>
          <w:sz w:val="24"/>
          <w:szCs w:val="24"/>
        </w:rPr>
        <w:t xml:space="preserve"> received the amount of N$ 10</w:t>
      </w:r>
      <w:r w:rsidR="00C07C45">
        <w:rPr>
          <w:rFonts w:ascii="Arial" w:hAnsi="Arial" w:cs="Arial"/>
          <w:sz w:val="24"/>
          <w:szCs w:val="24"/>
        </w:rPr>
        <w:t xml:space="preserve"> </w:t>
      </w:r>
      <w:r w:rsidR="00F250FA">
        <w:rPr>
          <w:rFonts w:ascii="Arial" w:hAnsi="Arial" w:cs="Arial"/>
          <w:sz w:val="24"/>
          <w:szCs w:val="24"/>
        </w:rPr>
        <w:t xml:space="preserve">000 </w:t>
      </w:r>
      <w:r>
        <w:rPr>
          <w:rFonts w:ascii="Arial" w:hAnsi="Arial" w:cs="Arial"/>
          <w:sz w:val="24"/>
          <w:szCs w:val="24"/>
        </w:rPr>
        <w:t>000 and expended this amount as set out in para 12 to 19 of the particulars of claim.</w:t>
      </w:r>
    </w:p>
    <w:p w:rsidR="00B94F98" w:rsidRDefault="00B94F98" w:rsidP="00365F2C">
      <w:pPr>
        <w:spacing w:after="0" w:line="360" w:lineRule="auto"/>
        <w:jc w:val="both"/>
        <w:rPr>
          <w:rFonts w:ascii="Arial" w:hAnsi="Arial" w:cs="Arial"/>
          <w:sz w:val="24"/>
          <w:szCs w:val="24"/>
        </w:rPr>
      </w:pPr>
    </w:p>
    <w:p w:rsidR="00E84216" w:rsidRDefault="00E84216" w:rsidP="00365F2C">
      <w:pPr>
        <w:spacing w:after="0" w:line="360" w:lineRule="auto"/>
        <w:jc w:val="both"/>
        <w:rPr>
          <w:rFonts w:ascii="Arial" w:hAnsi="Arial" w:cs="Arial"/>
          <w:sz w:val="24"/>
          <w:szCs w:val="24"/>
        </w:rPr>
      </w:pPr>
      <w:r>
        <w:rPr>
          <w:rFonts w:ascii="Arial" w:hAnsi="Arial" w:cs="Arial"/>
          <w:sz w:val="24"/>
          <w:szCs w:val="24"/>
        </w:rPr>
        <w:t>[</w:t>
      </w:r>
      <w:r w:rsidR="00A57E67">
        <w:rPr>
          <w:rFonts w:ascii="Arial" w:hAnsi="Arial" w:cs="Arial"/>
          <w:sz w:val="24"/>
          <w:szCs w:val="24"/>
        </w:rPr>
        <w:t>37</w:t>
      </w:r>
      <w:r>
        <w:rPr>
          <w:rFonts w:ascii="Arial" w:hAnsi="Arial" w:cs="Arial"/>
          <w:sz w:val="24"/>
          <w:szCs w:val="24"/>
        </w:rPr>
        <w:t>]</w:t>
      </w:r>
      <w:r>
        <w:rPr>
          <w:rFonts w:ascii="Arial" w:hAnsi="Arial" w:cs="Arial"/>
          <w:sz w:val="24"/>
          <w:szCs w:val="24"/>
        </w:rPr>
        <w:tab/>
        <w:t>Pursuant to having heard the arguments advanced by the parties, it is common cause that the agreement between the parties is valid.</w:t>
      </w:r>
    </w:p>
    <w:p w:rsidR="00B94F98" w:rsidRDefault="00B94F98" w:rsidP="00365F2C">
      <w:pPr>
        <w:spacing w:after="0" w:line="360" w:lineRule="auto"/>
        <w:jc w:val="both"/>
        <w:rPr>
          <w:rFonts w:ascii="Arial" w:hAnsi="Arial" w:cs="Arial"/>
          <w:sz w:val="24"/>
          <w:szCs w:val="24"/>
        </w:rPr>
      </w:pPr>
    </w:p>
    <w:p w:rsidR="00E84216" w:rsidRDefault="00E84216" w:rsidP="00365F2C">
      <w:pPr>
        <w:spacing w:after="0" w:line="360" w:lineRule="auto"/>
        <w:jc w:val="both"/>
        <w:rPr>
          <w:rFonts w:ascii="Arial" w:hAnsi="Arial" w:cs="Arial"/>
          <w:sz w:val="24"/>
          <w:szCs w:val="24"/>
        </w:rPr>
      </w:pPr>
      <w:r>
        <w:rPr>
          <w:rFonts w:ascii="Arial" w:hAnsi="Arial" w:cs="Arial"/>
          <w:sz w:val="24"/>
          <w:szCs w:val="24"/>
        </w:rPr>
        <w:t>[</w:t>
      </w:r>
      <w:r w:rsidR="00A57E67">
        <w:rPr>
          <w:rFonts w:ascii="Arial" w:hAnsi="Arial" w:cs="Arial"/>
          <w:sz w:val="24"/>
          <w:szCs w:val="24"/>
        </w:rPr>
        <w:t>38</w:t>
      </w:r>
      <w:r>
        <w:rPr>
          <w:rFonts w:ascii="Arial" w:hAnsi="Arial" w:cs="Arial"/>
          <w:sz w:val="24"/>
          <w:szCs w:val="24"/>
        </w:rPr>
        <w:t>]</w:t>
      </w:r>
      <w:r>
        <w:rPr>
          <w:rFonts w:ascii="Arial" w:hAnsi="Arial" w:cs="Arial"/>
          <w:sz w:val="24"/>
          <w:szCs w:val="24"/>
        </w:rPr>
        <w:tab/>
        <w:t>It is common cause that the SME Bank was guaranteed a return of 13 % per annum and that such payment was not made to the SME Bank.</w:t>
      </w:r>
    </w:p>
    <w:p w:rsidR="00B94F98" w:rsidRDefault="00B94F98" w:rsidP="00365F2C">
      <w:pPr>
        <w:spacing w:after="0" w:line="360" w:lineRule="auto"/>
        <w:jc w:val="both"/>
        <w:rPr>
          <w:rFonts w:ascii="Arial" w:hAnsi="Arial" w:cs="Arial"/>
          <w:sz w:val="24"/>
          <w:szCs w:val="24"/>
        </w:rPr>
      </w:pPr>
    </w:p>
    <w:p w:rsidR="00E84216" w:rsidRDefault="00E84216" w:rsidP="00365F2C">
      <w:pPr>
        <w:spacing w:after="0" w:line="360" w:lineRule="auto"/>
        <w:jc w:val="both"/>
        <w:rPr>
          <w:rFonts w:ascii="Arial" w:hAnsi="Arial" w:cs="Arial"/>
          <w:sz w:val="24"/>
          <w:szCs w:val="24"/>
        </w:rPr>
      </w:pPr>
      <w:r>
        <w:rPr>
          <w:rFonts w:ascii="Arial" w:hAnsi="Arial" w:cs="Arial"/>
          <w:sz w:val="24"/>
          <w:szCs w:val="24"/>
        </w:rPr>
        <w:t>[</w:t>
      </w:r>
      <w:r w:rsidR="00A57E67">
        <w:rPr>
          <w:rFonts w:ascii="Arial" w:hAnsi="Arial" w:cs="Arial"/>
          <w:sz w:val="24"/>
          <w:szCs w:val="24"/>
        </w:rPr>
        <w:t>39</w:t>
      </w:r>
      <w:r w:rsidR="00D50BE3">
        <w:rPr>
          <w:rFonts w:ascii="Arial" w:hAnsi="Arial" w:cs="Arial"/>
          <w:sz w:val="24"/>
          <w:szCs w:val="24"/>
        </w:rPr>
        <w:t>]</w:t>
      </w:r>
      <w:r w:rsidR="00D50BE3">
        <w:rPr>
          <w:rFonts w:ascii="Arial" w:hAnsi="Arial" w:cs="Arial"/>
          <w:sz w:val="24"/>
          <w:szCs w:val="24"/>
        </w:rPr>
        <w:tab/>
      </w:r>
      <w:r>
        <w:rPr>
          <w:rFonts w:ascii="Arial" w:hAnsi="Arial" w:cs="Arial"/>
          <w:sz w:val="24"/>
          <w:szCs w:val="24"/>
        </w:rPr>
        <w:t xml:space="preserve">It is common cause that </w:t>
      </w:r>
      <w:r w:rsidR="0080127D">
        <w:rPr>
          <w:rFonts w:ascii="Arial" w:hAnsi="Arial" w:cs="Arial"/>
          <w:sz w:val="24"/>
          <w:szCs w:val="24"/>
        </w:rPr>
        <w:t xml:space="preserve">the amount of N$ </w:t>
      </w:r>
      <w:r w:rsidR="00F250FA">
        <w:rPr>
          <w:rFonts w:ascii="Arial" w:hAnsi="Arial" w:cs="Arial"/>
          <w:sz w:val="24"/>
          <w:szCs w:val="24"/>
        </w:rPr>
        <w:t>13</w:t>
      </w:r>
      <w:r w:rsidR="00C07C45">
        <w:rPr>
          <w:rFonts w:ascii="Arial" w:hAnsi="Arial" w:cs="Arial"/>
          <w:sz w:val="24"/>
          <w:szCs w:val="24"/>
        </w:rPr>
        <w:t xml:space="preserve"> </w:t>
      </w:r>
      <w:r w:rsidR="00F250FA">
        <w:rPr>
          <w:rFonts w:ascii="Arial" w:hAnsi="Arial" w:cs="Arial"/>
          <w:sz w:val="24"/>
          <w:szCs w:val="24"/>
        </w:rPr>
        <w:t xml:space="preserve">138 </w:t>
      </w:r>
      <w:r w:rsidR="0080127D" w:rsidRPr="00C331CB">
        <w:rPr>
          <w:rFonts w:ascii="Arial" w:hAnsi="Arial" w:cs="Arial"/>
          <w:sz w:val="24"/>
          <w:szCs w:val="24"/>
        </w:rPr>
        <w:t>906.80 plus interest</w:t>
      </w:r>
      <w:r w:rsidR="0080127D">
        <w:rPr>
          <w:rFonts w:ascii="Arial" w:hAnsi="Arial" w:cs="Arial"/>
          <w:sz w:val="24"/>
          <w:szCs w:val="24"/>
        </w:rPr>
        <w:t xml:space="preserve"> is due to the SME Bank.</w:t>
      </w:r>
    </w:p>
    <w:p w:rsidR="00B94F98" w:rsidRDefault="00B94F98" w:rsidP="00365F2C">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u w:val="single"/>
        </w:rPr>
      </w:pPr>
      <w:r w:rsidRPr="0071734E">
        <w:rPr>
          <w:rFonts w:ascii="Arial" w:hAnsi="Arial" w:cs="Arial"/>
          <w:sz w:val="24"/>
          <w:szCs w:val="24"/>
          <w:u w:val="single"/>
        </w:rPr>
        <w:t>Discussion</w:t>
      </w:r>
    </w:p>
    <w:p w:rsidR="009E09DD" w:rsidRPr="0071734E" w:rsidRDefault="009E09DD" w:rsidP="009E09DD">
      <w:pPr>
        <w:spacing w:after="0" w:line="360" w:lineRule="auto"/>
        <w:jc w:val="both"/>
        <w:rPr>
          <w:rFonts w:ascii="Arial" w:hAnsi="Arial" w:cs="Arial"/>
          <w:sz w:val="24"/>
          <w:szCs w:val="24"/>
          <w:u w:val="single"/>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The defence raised by the first defendant in opposing the summary judgment application is basically two-fold, firstly that the affidavit by Ms Pearson verifying the facts and the cause of action is contradictory and mutually exclusive and secondly, the agreement reached between the parties transgresses the provisions of the Banking Institutions Act </w:t>
      </w:r>
      <w:r w:rsidRPr="009E09DD">
        <w:rPr>
          <w:rFonts w:ascii="Arial" w:hAnsi="Arial" w:cs="Arial"/>
          <w:sz w:val="24"/>
          <w:szCs w:val="24"/>
        </w:rPr>
        <w:t>and based on that fact the SME Bank cannot enforce it.</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What is evident from the defence raised is that </w:t>
      </w:r>
      <w:proofErr w:type="spellStart"/>
      <w:r>
        <w:rPr>
          <w:rFonts w:ascii="Arial" w:hAnsi="Arial" w:cs="Arial"/>
          <w:sz w:val="24"/>
          <w:szCs w:val="24"/>
        </w:rPr>
        <w:t>Tulive</w:t>
      </w:r>
      <w:proofErr w:type="spellEnd"/>
      <w:r>
        <w:rPr>
          <w:rFonts w:ascii="Arial" w:hAnsi="Arial" w:cs="Arial"/>
          <w:sz w:val="24"/>
          <w:szCs w:val="24"/>
        </w:rPr>
        <w:t xml:space="preserve"> does not allege that the money is not due to the SME Bank or that the calculations were incorrect or that the </w:t>
      </w:r>
      <w:r>
        <w:rPr>
          <w:rFonts w:ascii="Arial" w:hAnsi="Arial" w:cs="Arial"/>
          <w:sz w:val="24"/>
          <w:szCs w:val="24"/>
        </w:rPr>
        <w:lastRenderedPageBreak/>
        <w:t xml:space="preserve">money was not received by </w:t>
      </w:r>
      <w:proofErr w:type="spellStart"/>
      <w:r>
        <w:rPr>
          <w:rFonts w:ascii="Arial" w:hAnsi="Arial" w:cs="Arial"/>
          <w:sz w:val="24"/>
          <w:szCs w:val="24"/>
        </w:rPr>
        <w:t>Tulive</w:t>
      </w:r>
      <w:proofErr w:type="spellEnd"/>
      <w:r>
        <w:rPr>
          <w:rFonts w:ascii="Arial" w:hAnsi="Arial" w:cs="Arial"/>
          <w:sz w:val="24"/>
          <w:szCs w:val="24"/>
        </w:rPr>
        <w:t>, instead the first defendant alleges that there is no factual or legal basis to justify a claim for specific performance as it would constitute a criminal offence. This court can therefore safely accept that the amount in question is not in dispute.</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i/>
          <w:sz w:val="24"/>
          <w:szCs w:val="24"/>
        </w:rPr>
      </w:pPr>
      <w:r>
        <w:rPr>
          <w:rFonts w:ascii="Arial" w:hAnsi="Arial" w:cs="Arial"/>
          <w:sz w:val="24"/>
          <w:szCs w:val="24"/>
        </w:rPr>
        <w:t>[42]</w:t>
      </w:r>
      <w:r>
        <w:rPr>
          <w:rFonts w:ascii="Arial" w:hAnsi="Arial" w:cs="Arial"/>
          <w:sz w:val="24"/>
          <w:szCs w:val="24"/>
        </w:rPr>
        <w:tab/>
        <w:t xml:space="preserve">There can be no argument that the defences raised by the first defendant </w:t>
      </w:r>
      <w:r w:rsidRPr="009E09DD">
        <w:rPr>
          <w:rFonts w:ascii="Arial" w:hAnsi="Arial" w:cs="Arial"/>
          <w:sz w:val="24"/>
          <w:szCs w:val="24"/>
        </w:rPr>
        <w:t>are</w:t>
      </w:r>
      <w:r>
        <w:rPr>
          <w:rFonts w:ascii="Arial" w:hAnsi="Arial" w:cs="Arial"/>
          <w:color w:val="FF0000"/>
          <w:sz w:val="24"/>
          <w:szCs w:val="24"/>
        </w:rPr>
        <w:t xml:space="preserve"> </w:t>
      </w:r>
      <w:r>
        <w:rPr>
          <w:rFonts w:ascii="Arial" w:hAnsi="Arial" w:cs="Arial"/>
          <w:sz w:val="24"/>
          <w:szCs w:val="24"/>
        </w:rPr>
        <w:t xml:space="preserve">technical in nature but it is the contention </w:t>
      </w:r>
      <w:r w:rsidRPr="009E09DD">
        <w:rPr>
          <w:rFonts w:ascii="Arial" w:hAnsi="Arial" w:cs="Arial"/>
          <w:sz w:val="24"/>
          <w:szCs w:val="24"/>
        </w:rPr>
        <w:t xml:space="preserve">by counsel </w:t>
      </w:r>
      <w:r>
        <w:rPr>
          <w:rFonts w:ascii="Arial" w:hAnsi="Arial" w:cs="Arial"/>
          <w:sz w:val="24"/>
          <w:szCs w:val="24"/>
        </w:rPr>
        <w:t xml:space="preserve">that the </w:t>
      </w:r>
      <w:r w:rsidRPr="009E09DD">
        <w:rPr>
          <w:rFonts w:ascii="Arial" w:hAnsi="Arial" w:cs="Arial"/>
          <w:sz w:val="24"/>
          <w:szCs w:val="24"/>
        </w:rPr>
        <w:t xml:space="preserve">first defendant need </w:t>
      </w:r>
      <w:r>
        <w:rPr>
          <w:rFonts w:ascii="Arial" w:hAnsi="Arial" w:cs="Arial"/>
          <w:sz w:val="24"/>
          <w:szCs w:val="24"/>
        </w:rPr>
        <w:t>not go into the merits of their defence and can resist an application for summary judgment by raising an exception</w:t>
      </w:r>
      <w:r w:rsidRPr="00F46384">
        <w:rPr>
          <w:rFonts w:ascii="Arial" w:hAnsi="Arial" w:cs="Arial"/>
          <w:sz w:val="24"/>
          <w:szCs w:val="24"/>
        </w:rPr>
        <w:t xml:space="preserve">. I therefore </w:t>
      </w:r>
      <w:r w:rsidRPr="009E09DD">
        <w:rPr>
          <w:rFonts w:ascii="Arial" w:hAnsi="Arial" w:cs="Arial"/>
          <w:sz w:val="24"/>
          <w:szCs w:val="24"/>
        </w:rPr>
        <w:t xml:space="preserve">take note that the exception is raised on the verifying affidavit and not on the particulars of claim. </w:t>
      </w:r>
    </w:p>
    <w:p w:rsidR="009E09DD" w:rsidRDefault="009E09DD" w:rsidP="009E09DD">
      <w:pPr>
        <w:spacing w:after="0" w:line="360" w:lineRule="auto"/>
        <w:jc w:val="both"/>
        <w:rPr>
          <w:rFonts w:ascii="Arial" w:hAnsi="Arial" w:cs="Arial"/>
          <w:i/>
          <w:sz w:val="24"/>
          <w:szCs w:val="24"/>
        </w:rPr>
      </w:pPr>
    </w:p>
    <w:p w:rsidR="009E09DD" w:rsidRDefault="009E09DD" w:rsidP="009E09DD">
      <w:pPr>
        <w:spacing w:after="0" w:line="360" w:lineRule="auto"/>
        <w:jc w:val="both"/>
        <w:rPr>
          <w:rFonts w:ascii="Arial" w:hAnsi="Arial" w:cs="Arial"/>
          <w:i/>
          <w:sz w:val="24"/>
          <w:szCs w:val="24"/>
        </w:rPr>
      </w:pPr>
      <w:r w:rsidRPr="00355038">
        <w:rPr>
          <w:rFonts w:ascii="Arial" w:hAnsi="Arial" w:cs="Arial"/>
          <w:i/>
          <w:sz w:val="24"/>
          <w:szCs w:val="24"/>
        </w:rPr>
        <w:t xml:space="preserve">Mutually exclusive or </w:t>
      </w:r>
      <w:r>
        <w:rPr>
          <w:rFonts w:ascii="Arial" w:hAnsi="Arial" w:cs="Arial"/>
          <w:i/>
          <w:sz w:val="24"/>
          <w:szCs w:val="24"/>
        </w:rPr>
        <w:t>alternative</w:t>
      </w:r>
      <w:r w:rsidRPr="00355038">
        <w:rPr>
          <w:rFonts w:ascii="Arial" w:hAnsi="Arial" w:cs="Arial"/>
          <w:i/>
          <w:sz w:val="24"/>
          <w:szCs w:val="24"/>
        </w:rPr>
        <w:t xml:space="preserve"> causes of action verified</w:t>
      </w:r>
    </w:p>
    <w:p w:rsidR="009E09DD" w:rsidRPr="00B94F98" w:rsidRDefault="009E09DD" w:rsidP="009E09DD">
      <w:pPr>
        <w:spacing w:after="0" w:line="360" w:lineRule="auto"/>
        <w:jc w:val="both"/>
        <w:rPr>
          <w:rFonts w:ascii="Arial" w:hAnsi="Arial" w:cs="Arial"/>
          <w:sz w:val="24"/>
          <w:szCs w:val="24"/>
        </w:rPr>
      </w:pPr>
    </w:p>
    <w:p w:rsidR="009E09DD" w:rsidRDefault="009E09DD" w:rsidP="009E09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0617F6">
        <w:rPr>
          <w:rFonts w:ascii="Arial" w:hAnsi="Arial" w:cs="Arial"/>
          <w:sz w:val="24"/>
          <w:szCs w:val="24"/>
        </w:rPr>
        <w:t>Rule 60(2) provides that:</w:t>
      </w:r>
    </w:p>
    <w:p w:rsidR="009E09DD" w:rsidRPr="000617F6" w:rsidRDefault="009E09DD" w:rsidP="009E09DD">
      <w:pPr>
        <w:autoSpaceDE w:val="0"/>
        <w:autoSpaceDN w:val="0"/>
        <w:adjustRightInd w:val="0"/>
        <w:spacing w:after="0" w:line="360" w:lineRule="auto"/>
        <w:jc w:val="both"/>
        <w:rPr>
          <w:rFonts w:ascii="Arial" w:hAnsi="Arial" w:cs="Arial"/>
          <w:sz w:val="24"/>
          <w:szCs w:val="24"/>
        </w:rPr>
      </w:pPr>
    </w:p>
    <w:p w:rsidR="009E09DD" w:rsidRDefault="009E09DD" w:rsidP="009E09DD">
      <w:pPr>
        <w:autoSpaceDE w:val="0"/>
        <w:autoSpaceDN w:val="0"/>
        <w:adjustRightInd w:val="0"/>
        <w:spacing w:after="0" w:line="360" w:lineRule="auto"/>
        <w:ind w:firstLine="720"/>
        <w:jc w:val="both"/>
        <w:rPr>
          <w:rFonts w:ascii="Arial" w:hAnsi="Arial" w:cs="Arial"/>
        </w:rPr>
      </w:pPr>
      <w:r w:rsidRPr="00DB6D01">
        <w:rPr>
          <w:rFonts w:ascii="Arial" w:hAnsi="Arial" w:cs="Arial"/>
        </w:rPr>
        <w:t xml:space="preserve">‘The plaintiff must deliver notice of the application which must be accompanied by an affidavit made by him or her or by any other person who can swear positively to the facts </w:t>
      </w:r>
      <w:r>
        <w:rPr>
          <w:rFonts w:ascii="Arial" w:hAnsi="Arial" w:cs="Arial"/>
        </w:rPr>
        <w:t>–</w:t>
      </w:r>
    </w:p>
    <w:p w:rsidR="009E09DD" w:rsidRPr="00DB6D01" w:rsidRDefault="009E09DD" w:rsidP="009E09DD">
      <w:pPr>
        <w:autoSpaceDE w:val="0"/>
        <w:autoSpaceDN w:val="0"/>
        <w:adjustRightInd w:val="0"/>
        <w:spacing w:after="0" w:line="360" w:lineRule="auto"/>
        <w:jc w:val="both"/>
        <w:rPr>
          <w:rFonts w:ascii="Arial" w:hAnsi="Arial" w:cs="Arial"/>
        </w:rPr>
      </w:pPr>
    </w:p>
    <w:p w:rsidR="009E09DD" w:rsidRPr="00DB6D01" w:rsidRDefault="009E09DD" w:rsidP="009E09DD">
      <w:pPr>
        <w:autoSpaceDE w:val="0"/>
        <w:autoSpaceDN w:val="0"/>
        <w:adjustRightInd w:val="0"/>
        <w:spacing w:after="0" w:line="360" w:lineRule="auto"/>
        <w:ind w:firstLine="720"/>
        <w:jc w:val="both"/>
        <w:rPr>
          <w:rFonts w:ascii="Arial" w:hAnsi="Arial" w:cs="Arial"/>
        </w:rPr>
      </w:pPr>
      <w:r w:rsidRPr="00DB6D01">
        <w:rPr>
          <w:rFonts w:ascii="Arial" w:hAnsi="Arial" w:cs="Arial"/>
        </w:rPr>
        <w:t xml:space="preserve">(a) </w:t>
      </w:r>
      <w:proofErr w:type="gramStart"/>
      <w:r w:rsidRPr="00DB6D01">
        <w:rPr>
          <w:rFonts w:ascii="Arial" w:hAnsi="Arial" w:cs="Arial"/>
        </w:rPr>
        <w:t>verifying</w:t>
      </w:r>
      <w:proofErr w:type="gramEnd"/>
      <w:r w:rsidRPr="00DB6D01">
        <w:rPr>
          <w:rFonts w:ascii="Arial" w:hAnsi="Arial" w:cs="Arial"/>
        </w:rPr>
        <w:t xml:space="preserve"> the cause of action and the amount, if any, claimed; and</w:t>
      </w:r>
    </w:p>
    <w:p w:rsidR="009E09DD" w:rsidRPr="002A11D7" w:rsidRDefault="009E09DD" w:rsidP="009E09DD">
      <w:pPr>
        <w:autoSpaceDE w:val="0"/>
        <w:autoSpaceDN w:val="0"/>
        <w:adjustRightInd w:val="0"/>
        <w:spacing w:after="0" w:line="360" w:lineRule="auto"/>
        <w:ind w:left="720"/>
        <w:jc w:val="both"/>
        <w:rPr>
          <w:rFonts w:ascii="Arial" w:hAnsi="Arial" w:cs="Arial"/>
        </w:rPr>
      </w:pPr>
      <w:r w:rsidRPr="002A11D7">
        <w:rPr>
          <w:rFonts w:ascii="Arial" w:hAnsi="Arial" w:cs="Arial"/>
        </w:rPr>
        <w:t xml:space="preserve">(b) </w:t>
      </w:r>
      <w:proofErr w:type="gramStart"/>
      <w:r w:rsidRPr="002A11D7">
        <w:rPr>
          <w:rFonts w:ascii="Arial" w:hAnsi="Arial" w:cs="Arial"/>
        </w:rPr>
        <w:t>stating</w:t>
      </w:r>
      <w:proofErr w:type="gramEnd"/>
      <w:r w:rsidRPr="002A11D7">
        <w:rPr>
          <w:rFonts w:ascii="Arial" w:hAnsi="Arial" w:cs="Arial"/>
        </w:rPr>
        <w:t xml:space="preserve"> that in his or her opinion there is no </w:t>
      </w:r>
      <w:r w:rsidRPr="002A11D7">
        <w:rPr>
          <w:rFonts w:ascii="Arial" w:hAnsi="Arial" w:cs="Arial"/>
          <w:i/>
          <w:iCs/>
        </w:rPr>
        <w:t xml:space="preserve">bona fide </w:t>
      </w:r>
      <w:r w:rsidRPr="002A11D7">
        <w:rPr>
          <w:rFonts w:ascii="Arial" w:hAnsi="Arial" w:cs="Arial"/>
        </w:rPr>
        <w:t>defence to the action and that notice of intention to defend has been delivered solely for the purpose of delay.’</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A verifying affidavit is often underestimated as to the degree of importance it has in an application for summary judgment, especially in a case where the summons contains mutually exclusive or alternative causes of action. Pleading of inconsistent versions in the alternative is entirely proper but what is of importance is that where two mutually destructive version</w:t>
      </w:r>
      <w:r w:rsidRPr="009E09DD">
        <w:rPr>
          <w:rFonts w:ascii="Arial" w:hAnsi="Arial" w:cs="Arial"/>
          <w:sz w:val="24"/>
          <w:szCs w:val="24"/>
        </w:rPr>
        <w:t>s</w:t>
      </w:r>
      <w:r>
        <w:rPr>
          <w:rFonts w:ascii="Arial" w:hAnsi="Arial" w:cs="Arial"/>
          <w:sz w:val="24"/>
          <w:szCs w:val="24"/>
        </w:rPr>
        <w:t xml:space="preserve"> of </w:t>
      </w:r>
      <w:proofErr w:type="spellStart"/>
      <w:r w:rsidRPr="00874232">
        <w:rPr>
          <w:rFonts w:ascii="Arial" w:hAnsi="Arial" w:cs="Arial"/>
          <w:i/>
          <w:sz w:val="24"/>
          <w:szCs w:val="24"/>
        </w:rPr>
        <w:t>facta</w:t>
      </w:r>
      <w:proofErr w:type="spellEnd"/>
      <w:r w:rsidRPr="00874232">
        <w:rPr>
          <w:rFonts w:ascii="Arial" w:hAnsi="Arial" w:cs="Arial"/>
          <w:i/>
          <w:sz w:val="24"/>
          <w:szCs w:val="24"/>
        </w:rPr>
        <w:t xml:space="preserve"> </w:t>
      </w:r>
      <w:proofErr w:type="spellStart"/>
      <w:r w:rsidRPr="00874232">
        <w:rPr>
          <w:rFonts w:ascii="Arial" w:hAnsi="Arial" w:cs="Arial"/>
          <w:i/>
          <w:sz w:val="24"/>
          <w:szCs w:val="24"/>
        </w:rPr>
        <w:t>probanda</w:t>
      </w:r>
      <w:proofErr w:type="spellEnd"/>
      <w:r>
        <w:rPr>
          <w:rFonts w:ascii="Arial" w:hAnsi="Arial" w:cs="Arial"/>
          <w:sz w:val="24"/>
          <w:szCs w:val="24"/>
        </w:rPr>
        <w:t xml:space="preserve"> are relied on in support of alternative causes of action set out in a summons, the verifying affidavit of the applicant in a summary judgment application must choose between the alternative versions of the facts, for otherwise it will</w:t>
      </w:r>
      <w:r w:rsidRPr="009E09DD">
        <w:rPr>
          <w:rFonts w:ascii="Arial" w:hAnsi="Arial" w:cs="Arial"/>
          <w:sz w:val="24"/>
          <w:szCs w:val="24"/>
        </w:rPr>
        <w:t xml:space="preserve"> be </w:t>
      </w:r>
      <w:r>
        <w:rPr>
          <w:rFonts w:ascii="Arial" w:hAnsi="Arial" w:cs="Arial"/>
          <w:sz w:val="24"/>
          <w:szCs w:val="24"/>
        </w:rPr>
        <w:t>self-contradictory</w:t>
      </w:r>
      <w:r w:rsidR="0033569C">
        <w:rPr>
          <w:rFonts w:ascii="Arial" w:hAnsi="Arial" w:cs="Arial"/>
          <w:sz w:val="24"/>
          <w:szCs w:val="24"/>
        </w:rPr>
        <w:t>.</w:t>
      </w:r>
      <w:r>
        <w:rPr>
          <w:rStyle w:val="FootnoteReference"/>
          <w:rFonts w:ascii="Arial" w:hAnsi="Arial" w:cs="Arial"/>
          <w:sz w:val="24"/>
          <w:szCs w:val="24"/>
        </w:rPr>
        <w:footnoteReference w:id="20"/>
      </w:r>
      <w:r>
        <w:rPr>
          <w:rFonts w:ascii="Arial" w:hAnsi="Arial" w:cs="Arial"/>
          <w:sz w:val="24"/>
          <w:szCs w:val="24"/>
        </w:rPr>
        <w:t xml:space="preserve"> If the deponent purports to verify each of </w:t>
      </w:r>
      <w:r w:rsidRPr="009E09DD">
        <w:rPr>
          <w:rFonts w:ascii="Arial" w:hAnsi="Arial" w:cs="Arial"/>
          <w:sz w:val="24"/>
          <w:szCs w:val="24"/>
        </w:rPr>
        <w:t xml:space="preserve">the </w:t>
      </w:r>
      <w:r>
        <w:rPr>
          <w:rFonts w:ascii="Arial" w:hAnsi="Arial" w:cs="Arial"/>
          <w:sz w:val="24"/>
          <w:szCs w:val="24"/>
        </w:rPr>
        <w:t>two mutually destructive or alternative versions he/she could not be said to have verified either of them</w:t>
      </w:r>
      <w:r w:rsidR="0033569C">
        <w:rPr>
          <w:rFonts w:ascii="Arial" w:hAnsi="Arial" w:cs="Arial"/>
          <w:sz w:val="24"/>
          <w:szCs w:val="24"/>
        </w:rPr>
        <w:t>.</w:t>
      </w:r>
      <w:r>
        <w:rPr>
          <w:rStyle w:val="FootnoteReference"/>
          <w:rFonts w:ascii="Arial" w:hAnsi="Arial" w:cs="Arial"/>
          <w:sz w:val="24"/>
          <w:szCs w:val="24"/>
        </w:rPr>
        <w:footnoteReference w:id="21"/>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Pr="0018360B">
        <w:rPr>
          <w:rFonts w:ascii="Arial" w:hAnsi="Arial" w:cs="Arial"/>
          <w:color w:val="242121"/>
          <w:sz w:val="24"/>
          <w:szCs w:val="24"/>
          <w:shd w:val="clear" w:color="auto" w:fill="FFFFFF"/>
        </w:rPr>
        <w:t xml:space="preserve">It is also open to a deponent in support of </w:t>
      </w:r>
      <w:r w:rsidRPr="009E09DD">
        <w:rPr>
          <w:rFonts w:ascii="Arial" w:hAnsi="Arial" w:cs="Arial"/>
          <w:sz w:val="24"/>
          <w:szCs w:val="24"/>
          <w:shd w:val="clear" w:color="auto" w:fill="FFFFFF"/>
        </w:rPr>
        <w:t>a</w:t>
      </w:r>
      <w:r>
        <w:rPr>
          <w:rFonts w:ascii="Arial" w:hAnsi="Arial" w:cs="Arial"/>
          <w:color w:val="FF0000"/>
          <w:sz w:val="24"/>
          <w:szCs w:val="24"/>
          <w:shd w:val="clear" w:color="auto" w:fill="FFFFFF"/>
        </w:rPr>
        <w:t xml:space="preserve"> </w:t>
      </w:r>
      <w:r w:rsidRPr="0018360B">
        <w:rPr>
          <w:rFonts w:ascii="Arial" w:hAnsi="Arial" w:cs="Arial"/>
          <w:color w:val="242121"/>
          <w:sz w:val="24"/>
          <w:szCs w:val="24"/>
          <w:shd w:val="clear" w:color="auto" w:fill="FFFFFF"/>
        </w:rPr>
        <w:t>summary judgment to verify a particular cause of action where a number of causes of action appear in the summons, even if they are mutually destructive of one another</w:t>
      </w:r>
      <w:r w:rsidR="0033569C">
        <w:rPr>
          <w:rFonts w:ascii="Arial" w:hAnsi="Arial" w:cs="Arial"/>
          <w:color w:val="242121"/>
          <w:sz w:val="24"/>
          <w:szCs w:val="24"/>
          <w:shd w:val="clear" w:color="auto" w:fill="FFFFFF"/>
        </w:rPr>
        <w:t>.</w:t>
      </w:r>
      <w:r>
        <w:rPr>
          <w:rStyle w:val="FootnoteReference"/>
          <w:rFonts w:ascii="Arial" w:hAnsi="Arial" w:cs="Arial"/>
          <w:color w:val="242121"/>
          <w:sz w:val="24"/>
          <w:szCs w:val="24"/>
          <w:shd w:val="clear" w:color="auto" w:fill="FFFFFF"/>
        </w:rPr>
        <w:footnoteReference w:id="22"/>
      </w:r>
      <w:r>
        <w:rPr>
          <w:rFonts w:ascii="Arial" w:hAnsi="Arial" w:cs="Arial"/>
          <w:sz w:val="24"/>
          <w:szCs w:val="24"/>
        </w:rPr>
        <w:t xml:space="preserve"> There is no argument between the parties in this regard.</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sidRPr="00C331CB">
        <w:rPr>
          <w:rFonts w:ascii="Arial" w:hAnsi="Arial" w:cs="Arial"/>
          <w:sz w:val="24"/>
          <w:szCs w:val="24"/>
        </w:rPr>
        <w:t>[</w:t>
      </w:r>
      <w:r>
        <w:rPr>
          <w:rFonts w:ascii="Arial" w:hAnsi="Arial" w:cs="Arial"/>
          <w:sz w:val="24"/>
          <w:szCs w:val="24"/>
        </w:rPr>
        <w:t>46</w:t>
      </w:r>
      <w:r w:rsidRPr="00C331CB">
        <w:rPr>
          <w:rFonts w:ascii="Arial" w:hAnsi="Arial" w:cs="Arial"/>
          <w:sz w:val="24"/>
          <w:szCs w:val="24"/>
        </w:rPr>
        <w:t>]</w:t>
      </w:r>
      <w:r w:rsidRPr="00C331CB">
        <w:rPr>
          <w:rFonts w:ascii="Arial" w:hAnsi="Arial" w:cs="Arial"/>
          <w:sz w:val="24"/>
          <w:szCs w:val="24"/>
        </w:rPr>
        <w:tab/>
      </w:r>
      <w:r>
        <w:rPr>
          <w:rFonts w:ascii="Arial" w:hAnsi="Arial" w:cs="Arial"/>
          <w:sz w:val="24"/>
          <w:szCs w:val="24"/>
        </w:rPr>
        <w:t xml:space="preserve">Ms </w:t>
      </w:r>
      <w:r w:rsidRPr="00C331CB">
        <w:rPr>
          <w:rFonts w:ascii="Arial" w:hAnsi="Arial" w:cs="Arial"/>
          <w:sz w:val="24"/>
          <w:szCs w:val="24"/>
        </w:rPr>
        <w:t xml:space="preserve">Tania Pearson, the Legal Advisor or the SME Bank Limited (in liquidation) </w:t>
      </w:r>
      <w:r w:rsidRPr="00911B7E">
        <w:rPr>
          <w:rFonts w:ascii="Arial" w:hAnsi="Arial" w:cs="Arial"/>
          <w:sz w:val="24"/>
          <w:szCs w:val="24"/>
        </w:rPr>
        <w:t xml:space="preserve">deposed </w:t>
      </w:r>
      <w:r w:rsidRPr="00911B7E">
        <w:rPr>
          <w:rFonts w:ascii="Arial" w:hAnsi="Arial" w:cs="Arial"/>
          <w:color w:val="000000"/>
          <w:sz w:val="24"/>
          <w:szCs w:val="24"/>
          <w:shd w:val="clear" w:color="auto" w:fill="FFFFFF"/>
        </w:rPr>
        <w:t>an affidavit substantially in the form prescribed by Rule 60 (2) verifying the cause of action</w:t>
      </w:r>
      <w:r>
        <w:rPr>
          <w:rFonts w:ascii="Arial" w:hAnsi="Arial" w:cs="Arial"/>
          <w:color w:val="000000"/>
          <w:shd w:val="clear" w:color="auto" w:fill="FFFFFF"/>
        </w:rPr>
        <w:t>.</w:t>
      </w:r>
      <w:r w:rsidRPr="00C331CB">
        <w:rPr>
          <w:rFonts w:ascii="Arial" w:hAnsi="Arial" w:cs="Arial"/>
          <w:sz w:val="24"/>
          <w:szCs w:val="24"/>
        </w:rPr>
        <w:t xml:space="preserve"> In her affidavi</w:t>
      </w:r>
      <w:r>
        <w:rPr>
          <w:rFonts w:ascii="Arial" w:hAnsi="Arial" w:cs="Arial"/>
          <w:sz w:val="24"/>
          <w:szCs w:val="24"/>
        </w:rPr>
        <w:t>t Ms Pearson stated as follows:</w:t>
      </w:r>
    </w:p>
    <w:p w:rsidR="009E09DD" w:rsidRPr="00C331CB"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ind w:firstLine="720"/>
        <w:jc w:val="both"/>
        <w:rPr>
          <w:rFonts w:ascii="Arial" w:hAnsi="Arial" w:cs="Arial"/>
        </w:rPr>
      </w:pPr>
      <w:r w:rsidRPr="000617F6">
        <w:rPr>
          <w:rFonts w:ascii="Arial" w:hAnsi="Arial" w:cs="Arial"/>
        </w:rPr>
        <w:t>‘I verify the amount and the Plaintiffs’ cause of action in respect of the claim for specific performance, alternatively the claim based on the same facts, but on the legal contention that the agreement is null and void for want of compliance with s 39 of the Banking Institutions Act, 1998, for the respective amounts claimed and the allegations made in the plaintiffs’ summons in respect of the claim for specific performance, alternatively the claimed (sic) based on section 39 of the Banking Institutions Act, 1998, against the First Defendant.’</w:t>
      </w:r>
    </w:p>
    <w:p w:rsidR="009E09DD" w:rsidRPr="000617F6" w:rsidRDefault="009E09DD" w:rsidP="009E09DD">
      <w:pPr>
        <w:spacing w:after="0" w:line="360" w:lineRule="auto"/>
        <w:ind w:firstLine="720"/>
        <w:jc w:val="both"/>
        <w:rPr>
          <w:rFonts w:ascii="Arial" w:hAnsi="Arial" w:cs="Arial"/>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The first defendant pleads that there is a contradiction between what Ms Pearson said in her affidavit and what Mr </w:t>
      </w:r>
      <w:proofErr w:type="spellStart"/>
      <w:r>
        <w:rPr>
          <w:rFonts w:ascii="Arial" w:hAnsi="Arial" w:cs="Arial"/>
          <w:sz w:val="24"/>
          <w:szCs w:val="24"/>
        </w:rPr>
        <w:t>Bruni</w:t>
      </w:r>
      <w:proofErr w:type="spellEnd"/>
      <w:r>
        <w:rPr>
          <w:rFonts w:ascii="Arial" w:hAnsi="Arial" w:cs="Arial"/>
          <w:sz w:val="24"/>
          <w:szCs w:val="24"/>
        </w:rPr>
        <w:t xml:space="preserve"> said in his affidavit dated 15 February 2018 under case number HC-MD-CIV-MOT-EXP-2018/00041, in support of the application to establish a commission of inquiry into the affairs of the SME Bank. In his affidavit Mr </w:t>
      </w:r>
      <w:proofErr w:type="spellStart"/>
      <w:r>
        <w:rPr>
          <w:rFonts w:ascii="Arial" w:hAnsi="Arial" w:cs="Arial"/>
          <w:sz w:val="24"/>
          <w:szCs w:val="24"/>
        </w:rPr>
        <w:t>Bruni</w:t>
      </w:r>
      <w:proofErr w:type="spellEnd"/>
      <w:r>
        <w:rPr>
          <w:rFonts w:ascii="Arial" w:hAnsi="Arial" w:cs="Arial"/>
          <w:sz w:val="24"/>
          <w:szCs w:val="24"/>
        </w:rPr>
        <w:t xml:space="preserve"> stated that the amount of N$ 10 000 000 invested by the SME Bank in </w:t>
      </w:r>
      <w:proofErr w:type="spellStart"/>
      <w:r>
        <w:rPr>
          <w:rFonts w:ascii="Arial" w:hAnsi="Arial" w:cs="Arial"/>
          <w:sz w:val="24"/>
          <w:szCs w:val="24"/>
        </w:rPr>
        <w:t>Tulive</w:t>
      </w:r>
      <w:proofErr w:type="spellEnd"/>
      <w:r>
        <w:rPr>
          <w:rFonts w:ascii="Arial" w:hAnsi="Arial" w:cs="Arial"/>
          <w:sz w:val="24"/>
          <w:szCs w:val="24"/>
        </w:rPr>
        <w:t xml:space="preserve"> ‘also transgresses s 39(1) and 39(2) of the Banking Institutions Act, 1998.’</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 xml:space="preserve">Having considered the two affidavits I must say I </w:t>
      </w:r>
      <w:r w:rsidRPr="009E09DD">
        <w:rPr>
          <w:rFonts w:ascii="Arial" w:hAnsi="Arial" w:cs="Arial"/>
          <w:sz w:val="24"/>
          <w:szCs w:val="24"/>
        </w:rPr>
        <w:t xml:space="preserve">fail to </w:t>
      </w:r>
      <w:r>
        <w:rPr>
          <w:rFonts w:ascii="Arial" w:hAnsi="Arial" w:cs="Arial"/>
          <w:sz w:val="24"/>
          <w:szCs w:val="24"/>
        </w:rPr>
        <w:t xml:space="preserve">see the contradictions between the affidavit of Mr </w:t>
      </w:r>
      <w:proofErr w:type="spellStart"/>
      <w:r>
        <w:rPr>
          <w:rFonts w:ascii="Arial" w:hAnsi="Arial" w:cs="Arial"/>
          <w:sz w:val="24"/>
          <w:szCs w:val="24"/>
        </w:rPr>
        <w:t>Bruni</w:t>
      </w:r>
      <w:proofErr w:type="spellEnd"/>
      <w:r>
        <w:rPr>
          <w:rFonts w:ascii="Arial" w:hAnsi="Arial" w:cs="Arial"/>
          <w:sz w:val="24"/>
          <w:szCs w:val="24"/>
        </w:rPr>
        <w:t xml:space="preserve"> and that of Ms Pearson.</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Pr="00461A24">
        <w:rPr>
          <w:rFonts w:ascii="Arial" w:hAnsi="Arial" w:cs="Arial"/>
          <w:sz w:val="24"/>
          <w:szCs w:val="24"/>
        </w:rPr>
        <w:t xml:space="preserve">The first defendant </w:t>
      </w:r>
      <w:r>
        <w:rPr>
          <w:rFonts w:ascii="Arial" w:hAnsi="Arial" w:cs="Arial"/>
          <w:sz w:val="24"/>
          <w:szCs w:val="24"/>
        </w:rPr>
        <w:t>attacks the verifying affidavit without raising his defence on the merits, which leaves a host of issues as common cause. Ordinarily the court would find that the papers of a plaintiff is technically incorrect in the event where a deponent verifies opposing or mutually destructive causes of actions.</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t xml:space="preserve">This is not the case in the matter in </w:t>
      </w:r>
      <w:proofErr w:type="spellStart"/>
      <w:r>
        <w:rPr>
          <w:rFonts w:ascii="Arial" w:hAnsi="Arial" w:cs="Arial"/>
          <w:sz w:val="24"/>
          <w:szCs w:val="24"/>
        </w:rPr>
        <w:t>casu</w:t>
      </w:r>
      <w:proofErr w:type="spellEnd"/>
      <w:r>
        <w:rPr>
          <w:rFonts w:ascii="Arial" w:hAnsi="Arial" w:cs="Arial"/>
          <w:sz w:val="24"/>
          <w:szCs w:val="24"/>
        </w:rPr>
        <w:t xml:space="preserve">. In para 39 of this judgment I noted that the amount of N$ 13 138 </w:t>
      </w:r>
      <w:r w:rsidRPr="00C331CB">
        <w:rPr>
          <w:rFonts w:ascii="Arial" w:hAnsi="Arial" w:cs="Arial"/>
          <w:sz w:val="24"/>
          <w:szCs w:val="24"/>
        </w:rPr>
        <w:t>906.80 plus interest</w:t>
      </w:r>
      <w:r>
        <w:rPr>
          <w:rFonts w:ascii="Arial" w:hAnsi="Arial" w:cs="Arial"/>
          <w:sz w:val="24"/>
          <w:szCs w:val="24"/>
        </w:rPr>
        <w:t xml:space="preserve"> which is due to the SME Bank is common cause. The defendant elected not to raise a defence in this matter and as such the issue of the amount due to the SME Bank is regarded as admitted. Therefore, as the amount is regarded as admitted I am of the view that the technical defence regarding the verifying affidavit falls within the ambit of the </w:t>
      </w:r>
      <w:proofErr w:type="spellStart"/>
      <w:r w:rsidRPr="00970E66">
        <w:rPr>
          <w:rFonts w:ascii="Arial" w:hAnsi="Arial" w:cs="Arial"/>
          <w:i/>
          <w:sz w:val="24"/>
          <w:szCs w:val="24"/>
        </w:rPr>
        <w:t>Kelnic</w:t>
      </w:r>
      <w:proofErr w:type="spellEnd"/>
      <w:r w:rsidRPr="00970E66">
        <w:rPr>
          <w:rFonts w:ascii="Arial" w:hAnsi="Arial" w:cs="Arial"/>
          <w:i/>
          <w:sz w:val="24"/>
          <w:szCs w:val="24"/>
        </w:rPr>
        <w:t xml:space="preserve"> Construction</w:t>
      </w:r>
      <w:r>
        <w:rPr>
          <w:rFonts w:ascii="Arial" w:hAnsi="Arial" w:cs="Arial"/>
          <w:sz w:val="24"/>
          <w:szCs w:val="24"/>
        </w:rPr>
        <w:t xml:space="preserve"> matter</w:t>
      </w:r>
      <w:r w:rsidR="00900405">
        <w:rPr>
          <w:rFonts w:ascii="Arial" w:hAnsi="Arial" w:cs="Arial"/>
          <w:sz w:val="24"/>
          <w:szCs w:val="24"/>
        </w:rPr>
        <w:t>,</w:t>
      </w:r>
      <w:r>
        <w:rPr>
          <w:rStyle w:val="FootnoteReference"/>
          <w:rFonts w:ascii="Arial" w:hAnsi="Arial" w:cs="Arial"/>
          <w:sz w:val="24"/>
          <w:szCs w:val="24"/>
        </w:rPr>
        <w:footnoteReference w:id="23"/>
      </w:r>
      <w:r>
        <w:rPr>
          <w:rFonts w:ascii="Arial" w:hAnsi="Arial" w:cs="Arial"/>
          <w:sz w:val="24"/>
          <w:szCs w:val="24"/>
        </w:rPr>
        <w:t xml:space="preserve"> as argued by Mr Heathcote.</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The issue of the verification of mutually contradictory or mutually exclusive causes of action was considered in </w:t>
      </w:r>
      <w:proofErr w:type="spellStart"/>
      <w:r w:rsidRPr="00EB29A8">
        <w:rPr>
          <w:rFonts w:ascii="Arial" w:hAnsi="Arial" w:cs="Arial"/>
          <w:i/>
          <w:sz w:val="24"/>
          <w:szCs w:val="24"/>
        </w:rPr>
        <w:t>Kelnic</w:t>
      </w:r>
      <w:proofErr w:type="spellEnd"/>
      <w:r w:rsidRPr="00EB29A8">
        <w:rPr>
          <w:rFonts w:ascii="Arial" w:hAnsi="Arial" w:cs="Arial"/>
          <w:i/>
          <w:sz w:val="24"/>
          <w:szCs w:val="24"/>
        </w:rPr>
        <w:t xml:space="preserve"> Construction</w:t>
      </w:r>
      <w:r>
        <w:rPr>
          <w:rFonts w:ascii="Arial" w:hAnsi="Arial" w:cs="Arial"/>
          <w:sz w:val="24"/>
          <w:szCs w:val="24"/>
        </w:rPr>
        <w:t xml:space="preserve">. In this matter the applicant sued the respondent for payment of services rendered. After the respondent filed a notice to </w:t>
      </w:r>
      <w:r w:rsidRPr="009E09DD">
        <w:rPr>
          <w:rFonts w:ascii="Arial" w:hAnsi="Arial" w:cs="Arial"/>
          <w:sz w:val="24"/>
          <w:szCs w:val="24"/>
        </w:rPr>
        <w:t xml:space="preserve">defend the </w:t>
      </w:r>
      <w:r>
        <w:rPr>
          <w:rFonts w:ascii="Arial" w:hAnsi="Arial" w:cs="Arial"/>
          <w:sz w:val="24"/>
          <w:szCs w:val="24"/>
        </w:rPr>
        <w:t xml:space="preserve">applicant applied for summary judgment. The respondent admitted its indebtedness but raised a number of points </w:t>
      </w:r>
      <w:r w:rsidRPr="003A5A15">
        <w:rPr>
          <w:rFonts w:ascii="Arial" w:hAnsi="Arial" w:cs="Arial"/>
          <w:i/>
          <w:sz w:val="24"/>
          <w:szCs w:val="24"/>
        </w:rPr>
        <w:t xml:space="preserve">in </w:t>
      </w:r>
      <w:proofErr w:type="spellStart"/>
      <w:r w:rsidRPr="003A5A15">
        <w:rPr>
          <w:rFonts w:ascii="Arial" w:hAnsi="Arial" w:cs="Arial"/>
          <w:i/>
          <w:sz w:val="24"/>
          <w:szCs w:val="24"/>
        </w:rPr>
        <w:t>limine</w:t>
      </w:r>
      <w:proofErr w:type="spellEnd"/>
      <w:r>
        <w:rPr>
          <w:rFonts w:ascii="Arial" w:hAnsi="Arial" w:cs="Arial"/>
          <w:sz w:val="24"/>
          <w:szCs w:val="24"/>
        </w:rPr>
        <w:t xml:space="preserve"> and one of these points </w:t>
      </w:r>
      <w:r w:rsidRPr="00040CEF">
        <w:rPr>
          <w:rFonts w:ascii="Arial" w:hAnsi="Arial" w:cs="Arial"/>
          <w:i/>
          <w:sz w:val="24"/>
          <w:szCs w:val="24"/>
        </w:rPr>
        <w:t xml:space="preserve">in </w:t>
      </w:r>
      <w:proofErr w:type="spellStart"/>
      <w:r w:rsidRPr="00040CEF">
        <w:rPr>
          <w:rFonts w:ascii="Arial" w:hAnsi="Arial" w:cs="Arial"/>
          <w:i/>
          <w:sz w:val="24"/>
          <w:szCs w:val="24"/>
        </w:rPr>
        <w:t>limine</w:t>
      </w:r>
      <w:proofErr w:type="spellEnd"/>
      <w:r>
        <w:rPr>
          <w:rFonts w:ascii="Arial" w:hAnsi="Arial" w:cs="Arial"/>
          <w:sz w:val="24"/>
          <w:szCs w:val="24"/>
        </w:rPr>
        <w:t xml:space="preserve"> was that the applicant had verified two mutually destructive causes of action.</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court in its judgment discussed summary judgment as an extraordinary remedy which requires strict compliance with the rules. The court stated that summary judgment should only be granted if the applicant’s claim is unanswerable, however </w:t>
      </w:r>
      <w:proofErr w:type="spellStart"/>
      <w:r>
        <w:rPr>
          <w:rFonts w:ascii="Arial" w:hAnsi="Arial" w:cs="Arial"/>
          <w:sz w:val="24"/>
          <w:szCs w:val="24"/>
        </w:rPr>
        <w:t>Strydom</w:t>
      </w:r>
      <w:proofErr w:type="spellEnd"/>
      <w:r>
        <w:rPr>
          <w:rFonts w:ascii="Arial" w:hAnsi="Arial" w:cs="Arial"/>
          <w:sz w:val="24"/>
          <w:szCs w:val="24"/>
        </w:rPr>
        <w:t xml:space="preserve"> JP (as he then was) proceeded to state as follows:</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rPr>
      </w:pPr>
      <w:r>
        <w:rPr>
          <w:rFonts w:ascii="Arial" w:hAnsi="Arial" w:cs="Arial"/>
          <w:sz w:val="24"/>
          <w:szCs w:val="24"/>
        </w:rPr>
        <w:tab/>
      </w:r>
      <w:r w:rsidRPr="00786553">
        <w:rPr>
          <w:rFonts w:ascii="Arial" w:hAnsi="Arial" w:cs="Arial"/>
        </w:rPr>
        <w:t xml:space="preserve">‘However, as was pointed out by Mr </w:t>
      </w:r>
      <w:proofErr w:type="spellStart"/>
      <w:r w:rsidRPr="00786553">
        <w:rPr>
          <w:rFonts w:ascii="Arial" w:hAnsi="Arial" w:cs="Arial"/>
        </w:rPr>
        <w:t>Tötemeyer</w:t>
      </w:r>
      <w:proofErr w:type="spellEnd"/>
      <w:r w:rsidRPr="00786553">
        <w:rPr>
          <w:rFonts w:ascii="Arial" w:hAnsi="Arial" w:cs="Arial"/>
        </w:rPr>
        <w:t>, the Court should not only look at the documents of the applicant, but at all the documents also those filed by the respondent. Where a respondent, as is the case here, admits his indebtedness in a fixed amount it seems to me that the reason why Courts require strict compliance with the procedural aspects of the Rule, has fallen away. This is so because the Court can be satisfied on the assurance of the respondent himself that he is in fact indebted to the applicant in the amount admitted by him and furthermore that he has no defence in regard to such amount. If any uncertainty was created by the plaintiff’s verification of the cause of action that in my opinion was removed by the admission whi</w:t>
      </w:r>
      <w:r>
        <w:rPr>
          <w:rFonts w:ascii="Arial" w:hAnsi="Arial" w:cs="Arial"/>
        </w:rPr>
        <w:t>ch was made by the respondent.’</w:t>
      </w:r>
    </w:p>
    <w:p w:rsidR="009E09DD" w:rsidRPr="00786553" w:rsidRDefault="009E09DD" w:rsidP="009E09DD">
      <w:pPr>
        <w:spacing w:after="0" w:line="360" w:lineRule="auto"/>
        <w:jc w:val="both"/>
        <w:rPr>
          <w:rFonts w:ascii="Arial" w:hAnsi="Arial" w:cs="Arial"/>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t xml:space="preserve">The current matter is on all fours with the </w:t>
      </w:r>
      <w:proofErr w:type="spellStart"/>
      <w:r w:rsidRPr="00626739">
        <w:rPr>
          <w:rFonts w:ascii="Arial" w:hAnsi="Arial" w:cs="Arial"/>
          <w:i/>
          <w:sz w:val="24"/>
          <w:szCs w:val="24"/>
        </w:rPr>
        <w:t>Kelnic</w:t>
      </w:r>
      <w:proofErr w:type="spellEnd"/>
      <w:r w:rsidRPr="00626739">
        <w:rPr>
          <w:rFonts w:ascii="Arial" w:hAnsi="Arial" w:cs="Arial"/>
          <w:i/>
          <w:sz w:val="24"/>
          <w:szCs w:val="24"/>
        </w:rPr>
        <w:t xml:space="preserve"> </w:t>
      </w:r>
      <w:r>
        <w:rPr>
          <w:rFonts w:ascii="Arial" w:hAnsi="Arial" w:cs="Arial"/>
          <w:sz w:val="24"/>
          <w:szCs w:val="24"/>
        </w:rPr>
        <w:t xml:space="preserve">matter and the defendant is clearly indebted to the SME Bank in the fixed amount N$ 13 138 </w:t>
      </w:r>
      <w:r w:rsidRPr="00C331CB">
        <w:rPr>
          <w:rFonts w:ascii="Arial" w:hAnsi="Arial" w:cs="Arial"/>
          <w:sz w:val="24"/>
          <w:szCs w:val="24"/>
        </w:rPr>
        <w:t>906.80</w:t>
      </w:r>
      <w:r>
        <w:rPr>
          <w:rFonts w:ascii="Arial" w:hAnsi="Arial" w:cs="Arial"/>
          <w:sz w:val="24"/>
          <w:szCs w:val="24"/>
        </w:rPr>
        <w:t xml:space="preserve"> and thus the strict compliance with the procedural aspects of the rule falls away.</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Further to this it is clear that both the alternative causes of action </w:t>
      </w:r>
      <w:r w:rsidRPr="009E09DD">
        <w:rPr>
          <w:rFonts w:ascii="Arial" w:hAnsi="Arial" w:cs="Arial"/>
          <w:sz w:val="24"/>
          <w:szCs w:val="24"/>
        </w:rPr>
        <w:t xml:space="preserve">are </w:t>
      </w:r>
      <w:r>
        <w:rPr>
          <w:rFonts w:ascii="Arial" w:hAnsi="Arial" w:cs="Arial"/>
          <w:sz w:val="24"/>
          <w:szCs w:val="24"/>
        </w:rPr>
        <w:t>ultimately based on the discretionary agreement and I agree with plaintiff’s counsel that the alternative causes of action complement each other.</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I am therefore of the view that this defence cannot be sustained.</w:t>
      </w:r>
    </w:p>
    <w:p w:rsidR="009E09DD" w:rsidRDefault="009E09DD" w:rsidP="009E09DD">
      <w:pPr>
        <w:spacing w:after="0" w:line="360" w:lineRule="auto"/>
        <w:jc w:val="both"/>
        <w:rPr>
          <w:rFonts w:ascii="Arial" w:hAnsi="Arial" w:cs="Arial"/>
          <w:i/>
          <w:sz w:val="24"/>
          <w:szCs w:val="24"/>
        </w:rPr>
      </w:pPr>
    </w:p>
    <w:p w:rsidR="009E09DD" w:rsidRDefault="009E09DD" w:rsidP="009E09DD">
      <w:pPr>
        <w:spacing w:after="0" w:line="360" w:lineRule="auto"/>
        <w:jc w:val="both"/>
        <w:rPr>
          <w:rFonts w:ascii="Arial" w:hAnsi="Arial" w:cs="Arial"/>
          <w:i/>
          <w:sz w:val="24"/>
          <w:szCs w:val="24"/>
        </w:rPr>
      </w:pPr>
      <w:r>
        <w:rPr>
          <w:rFonts w:ascii="Arial" w:hAnsi="Arial" w:cs="Arial"/>
          <w:i/>
          <w:sz w:val="24"/>
          <w:szCs w:val="24"/>
        </w:rPr>
        <w:t>Exception</w:t>
      </w:r>
    </w:p>
    <w:p w:rsidR="009E09DD" w:rsidRPr="000C5AB8"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The first defendant alleges that the alternative claims upon which the plaintiffs rely is excipiable on the basis that it either </w:t>
      </w:r>
      <w:r w:rsidRPr="009E09DD">
        <w:rPr>
          <w:rFonts w:ascii="Arial" w:hAnsi="Arial" w:cs="Arial"/>
          <w:sz w:val="24"/>
          <w:szCs w:val="24"/>
        </w:rPr>
        <w:t xml:space="preserve">discloses no cause of action or is alternatively vague and embarrassing. The alternative claims that the first defendant refers to is: a) the claim of specific performance (the plaintiff’s principle claim for these proceedings) b) claim for repudiation of the agreement </w:t>
      </w:r>
      <w:r>
        <w:rPr>
          <w:rFonts w:ascii="Arial" w:hAnsi="Arial" w:cs="Arial"/>
          <w:sz w:val="24"/>
          <w:szCs w:val="24"/>
        </w:rPr>
        <w:t>and lastly the claim that is reliant on s 39 of the Banking Institutions Act.</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 xml:space="preserve">The alternative claim for repudiation of the agreement is not under consideration for purposes of this proceedings and this cause of action was also not verified and no further discussion in this regard is warranted. The alternative claim in terms of s 39 of the Banking Institutions Act is dependent on the court finding that the </w:t>
      </w:r>
      <w:r w:rsidRPr="00F46384">
        <w:rPr>
          <w:rFonts w:ascii="Arial" w:hAnsi="Arial" w:cs="Arial"/>
          <w:sz w:val="24"/>
          <w:szCs w:val="24"/>
        </w:rPr>
        <w:t xml:space="preserve">agreement (POC 4) is null </w:t>
      </w:r>
      <w:r>
        <w:rPr>
          <w:rFonts w:ascii="Arial" w:hAnsi="Arial" w:cs="Arial"/>
          <w:sz w:val="24"/>
          <w:szCs w:val="24"/>
        </w:rPr>
        <w:t xml:space="preserve">and void </w:t>
      </w:r>
      <w:r w:rsidRPr="009E09DD">
        <w:rPr>
          <w:rFonts w:ascii="Arial" w:hAnsi="Arial" w:cs="Arial"/>
          <w:sz w:val="24"/>
          <w:szCs w:val="24"/>
        </w:rPr>
        <w:t xml:space="preserve">and as a result the </w:t>
      </w:r>
      <w:r>
        <w:rPr>
          <w:rFonts w:ascii="Arial" w:hAnsi="Arial" w:cs="Arial"/>
          <w:sz w:val="24"/>
          <w:szCs w:val="24"/>
        </w:rPr>
        <w:t xml:space="preserve">plaintiff claims for unjustified enrichment in this regard. It is my understanding of the </w:t>
      </w:r>
      <w:r w:rsidRPr="009E09DD">
        <w:rPr>
          <w:rFonts w:ascii="Arial" w:hAnsi="Arial" w:cs="Arial"/>
          <w:sz w:val="24"/>
          <w:szCs w:val="24"/>
        </w:rPr>
        <w:t>papers o</w:t>
      </w:r>
      <w:r>
        <w:rPr>
          <w:rFonts w:ascii="Arial" w:hAnsi="Arial" w:cs="Arial"/>
          <w:sz w:val="24"/>
          <w:szCs w:val="24"/>
        </w:rPr>
        <w:t>f the first defendant that its exception lies against this specific alternative claim.</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 xml:space="preserve">As indicated earlier </w:t>
      </w:r>
      <w:r w:rsidRPr="009E09DD">
        <w:rPr>
          <w:rFonts w:ascii="Arial" w:hAnsi="Arial" w:cs="Arial"/>
          <w:sz w:val="24"/>
          <w:szCs w:val="24"/>
        </w:rPr>
        <w:t xml:space="preserve">in the judgment </w:t>
      </w:r>
      <w:r>
        <w:rPr>
          <w:rFonts w:ascii="Arial" w:hAnsi="Arial" w:cs="Arial"/>
          <w:sz w:val="24"/>
          <w:szCs w:val="24"/>
        </w:rPr>
        <w:t>the first defendant took the position of not disclosing it</w:t>
      </w:r>
      <w:r w:rsidRPr="009E09DD">
        <w:rPr>
          <w:rFonts w:ascii="Arial" w:hAnsi="Arial" w:cs="Arial"/>
          <w:sz w:val="24"/>
          <w:szCs w:val="24"/>
        </w:rPr>
        <w:t>s</w:t>
      </w:r>
      <w:r>
        <w:rPr>
          <w:rFonts w:ascii="Arial" w:hAnsi="Arial" w:cs="Arial"/>
          <w:sz w:val="24"/>
          <w:szCs w:val="24"/>
        </w:rPr>
        <w:t xml:space="preserve"> defence on the merits but to rather raise an</w:t>
      </w:r>
      <w:r w:rsidR="0033569C">
        <w:rPr>
          <w:rFonts w:ascii="Arial" w:hAnsi="Arial" w:cs="Arial"/>
          <w:sz w:val="24"/>
          <w:szCs w:val="24"/>
        </w:rPr>
        <w:t xml:space="preserve"> </w:t>
      </w:r>
      <w:r>
        <w:rPr>
          <w:rFonts w:ascii="Arial" w:hAnsi="Arial" w:cs="Arial"/>
          <w:sz w:val="24"/>
          <w:szCs w:val="24"/>
        </w:rPr>
        <w:t>exception in respect of the plaintiff’s alternative claims.</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t xml:space="preserve">The first defendant find support </w:t>
      </w:r>
      <w:r w:rsidRPr="009E09DD">
        <w:rPr>
          <w:rFonts w:ascii="Arial" w:hAnsi="Arial" w:cs="Arial"/>
          <w:sz w:val="24"/>
          <w:szCs w:val="24"/>
        </w:rPr>
        <w:t xml:space="preserve">for its </w:t>
      </w:r>
      <w:r>
        <w:rPr>
          <w:rFonts w:ascii="Arial" w:hAnsi="Arial" w:cs="Arial"/>
          <w:sz w:val="24"/>
          <w:szCs w:val="24"/>
        </w:rPr>
        <w:t>contention in this regard in the</w:t>
      </w:r>
      <w:r w:rsidRPr="00C13EFC">
        <w:rPr>
          <w:rFonts w:ascii="Arial" w:hAnsi="Arial" w:cs="Arial"/>
          <w:i/>
          <w:sz w:val="24"/>
          <w:szCs w:val="24"/>
        </w:rPr>
        <w:t xml:space="preserve"> Jagger</w:t>
      </w:r>
      <w:r>
        <w:rPr>
          <w:rFonts w:ascii="Arial" w:hAnsi="Arial" w:cs="Arial"/>
          <w:sz w:val="24"/>
          <w:szCs w:val="24"/>
        </w:rPr>
        <w:t xml:space="preserve"> matter referred to above</w:t>
      </w:r>
      <w:r w:rsidR="0033569C">
        <w:rPr>
          <w:rFonts w:ascii="Arial" w:hAnsi="Arial" w:cs="Arial"/>
          <w:sz w:val="24"/>
          <w:szCs w:val="24"/>
        </w:rPr>
        <w:t>.</w:t>
      </w:r>
      <w:r>
        <w:rPr>
          <w:rStyle w:val="FootnoteReference"/>
          <w:rFonts w:ascii="Arial" w:hAnsi="Arial" w:cs="Arial"/>
          <w:sz w:val="24"/>
          <w:szCs w:val="24"/>
        </w:rPr>
        <w:footnoteReference w:id="24"/>
      </w:r>
      <w:r>
        <w:rPr>
          <w:rFonts w:ascii="Arial" w:hAnsi="Arial" w:cs="Arial"/>
          <w:sz w:val="24"/>
          <w:szCs w:val="24"/>
        </w:rPr>
        <w:t xml:space="preserve"> In the </w:t>
      </w:r>
      <w:r w:rsidRPr="00C13EFC">
        <w:rPr>
          <w:rFonts w:ascii="Arial" w:hAnsi="Arial" w:cs="Arial"/>
          <w:i/>
          <w:sz w:val="24"/>
          <w:szCs w:val="24"/>
        </w:rPr>
        <w:t>Jagger</w:t>
      </w:r>
      <w:r>
        <w:rPr>
          <w:rFonts w:ascii="Arial" w:hAnsi="Arial" w:cs="Arial"/>
          <w:sz w:val="24"/>
          <w:szCs w:val="24"/>
        </w:rPr>
        <w:t xml:space="preserve"> matter summons was issued claiming payment of a sum of money for goods sold and delivered. In the subsequent affidavit made by the applicant in the summary judgment application the applicant failed to make certain averments </w:t>
      </w:r>
      <w:proofErr w:type="spellStart"/>
      <w:r>
        <w:rPr>
          <w:rFonts w:ascii="Arial" w:hAnsi="Arial" w:cs="Arial"/>
          <w:sz w:val="24"/>
          <w:szCs w:val="24"/>
        </w:rPr>
        <w:t>ie</w:t>
      </w:r>
      <w:proofErr w:type="spellEnd"/>
      <w:r>
        <w:rPr>
          <w:rFonts w:ascii="Arial" w:hAnsi="Arial" w:cs="Arial"/>
          <w:sz w:val="24"/>
          <w:szCs w:val="24"/>
        </w:rPr>
        <w:t xml:space="preserve"> the applicant failed to allege delivery of the goods or tender of delivery. The respondent opposed the summary judgment application on the grounds that the respondent has a </w:t>
      </w:r>
      <w:r w:rsidRPr="00C13EFC">
        <w:rPr>
          <w:rFonts w:ascii="Arial" w:hAnsi="Arial" w:cs="Arial"/>
          <w:i/>
          <w:sz w:val="24"/>
          <w:szCs w:val="24"/>
        </w:rPr>
        <w:t>bona fide</w:t>
      </w:r>
      <w:r>
        <w:rPr>
          <w:rFonts w:ascii="Arial" w:hAnsi="Arial" w:cs="Arial"/>
          <w:sz w:val="24"/>
          <w:szCs w:val="24"/>
        </w:rPr>
        <w:t xml:space="preserve"> defence, the alleged defence being that the declaration filed by the applicant does not disclose a cause of action. The court found that there can be no doubt that there was substance in the exception but stated further that it is not for the court to decide the exception because the exception is not before it but accepted that there was substance in the exception.</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It is in this context the court said the following:</w:t>
      </w:r>
      <w:r>
        <w:rPr>
          <w:rStyle w:val="FootnoteReference"/>
          <w:rFonts w:ascii="Arial" w:hAnsi="Arial" w:cs="Arial"/>
          <w:sz w:val="24"/>
          <w:szCs w:val="24"/>
        </w:rPr>
        <w:footnoteReference w:id="25"/>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ind w:firstLine="720"/>
        <w:jc w:val="both"/>
      </w:pPr>
      <w:r>
        <w:rPr>
          <w:rFonts w:ascii="Arial" w:hAnsi="Arial" w:cs="Arial"/>
        </w:rPr>
        <w:t>‘</w:t>
      </w:r>
      <w:r w:rsidRPr="000242D9">
        <w:rPr>
          <w:rFonts w:ascii="Arial" w:hAnsi="Arial" w:cs="Arial"/>
        </w:rPr>
        <w:t xml:space="preserve">The exception which has been taken goes to the </w:t>
      </w:r>
      <w:r w:rsidRPr="005E3F28">
        <w:rPr>
          <w:rFonts w:ascii="Arial" w:hAnsi="Arial" w:cs="Arial"/>
        </w:rPr>
        <w:t>root of the action and</w:t>
      </w:r>
      <w:r w:rsidRPr="000242D9">
        <w:rPr>
          <w:rFonts w:ascii="Arial" w:hAnsi="Arial" w:cs="Arial"/>
        </w:rPr>
        <w:t xml:space="preserve"> amounts to this, that even if the applicant should prove all the facts alleged by him in his declaration he would still not succeed. That, in my opinion, amounts to a defence to the action. There are cases, which occur to me in which a defendant could resist summary judgment without going into the merits of the dispute at all. For example, a defendant who is sued for the recovery of a debt, which is admittedly due, but in a Court which has no jurisdiction. In such a case an allegation of absence of jurisdiction would, in my opinion, constitute a defence to the action. In the same way a defendant who has a good legal defence on the version of the facts alleged by the plaintiff, has a good defence to the action if he raises that legal defence, even though he may also have a defence on the facts which he does not wish to raise at that stage of the proceedings. In the present case the respondent, by taking the exception which he has taken has, in my view, shown that he has a bona fide defence to the actio</w:t>
      </w:r>
      <w:r>
        <w:rPr>
          <w:rFonts w:ascii="Arial" w:hAnsi="Arial" w:cs="Arial"/>
        </w:rPr>
        <w:t>n.’</w:t>
      </w:r>
    </w:p>
    <w:p w:rsidR="009E09DD" w:rsidRPr="000C5AB8"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sidRPr="00970E66">
        <w:rPr>
          <w:rFonts w:ascii="Arial" w:hAnsi="Arial" w:cs="Arial"/>
          <w:sz w:val="24"/>
          <w:szCs w:val="24"/>
        </w:rPr>
        <w:t>[</w:t>
      </w:r>
      <w:r>
        <w:rPr>
          <w:rFonts w:ascii="Arial" w:hAnsi="Arial" w:cs="Arial"/>
          <w:sz w:val="24"/>
          <w:szCs w:val="24"/>
        </w:rPr>
        <w:t>61]</w:t>
      </w:r>
      <w:r w:rsidRPr="00970E66">
        <w:rPr>
          <w:rFonts w:ascii="Arial" w:hAnsi="Arial" w:cs="Arial"/>
          <w:sz w:val="24"/>
          <w:szCs w:val="24"/>
        </w:rPr>
        <w:tab/>
        <w:t xml:space="preserve">The court however also </w:t>
      </w:r>
      <w:r>
        <w:rPr>
          <w:rFonts w:ascii="Arial" w:hAnsi="Arial" w:cs="Arial"/>
          <w:sz w:val="24"/>
          <w:szCs w:val="24"/>
        </w:rPr>
        <w:t xml:space="preserve">pointed out the dangers in the event of a party who </w:t>
      </w:r>
      <w:r w:rsidRPr="009E09DD">
        <w:rPr>
          <w:rFonts w:ascii="Arial" w:hAnsi="Arial" w:cs="Arial"/>
          <w:sz w:val="24"/>
          <w:szCs w:val="24"/>
        </w:rPr>
        <w:t xml:space="preserve">solely relies on an </w:t>
      </w:r>
      <w:r>
        <w:rPr>
          <w:rFonts w:ascii="Arial" w:hAnsi="Arial" w:cs="Arial"/>
          <w:sz w:val="24"/>
          <w:szCs w:val="24"/>
        </w:rPr>
        <w:t>exception in order to resist summary judgment and stated as follows:</w:t>
      </w:r>
      <w:r w:rsidRPr="00970E66">
        <w:rPr>
          <w:rStyle w:val="FootnoteReference"/>
          <w:rFonts w:ascii="Arial" w:hAnsi="Arial" w:cs="Arial"/>
          <w:sz w:val="24"/>
          <w:szCs w:val="24"/>
        </w:rPr>
        <w:footnoteReference w:id="26"/>
      </w:r>
    </w:p>
    <w:p w:rsidR="009E09DD" w:rsidRPr="00970E66"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rPr>
      </w:pPr>
      <w:r w:rsidRPr="005E0C7C">
        <w:rPr>
          <w:rFonts w:ascii="Arial" w:hAnsi="Arial" w:cs="Arial"/>
        </w:rPr>
        <w:lastRenderedPageBreak/>
        <w:tab/>
        <w:t>‘The contentions, although appealing at first sight, cannot I think succeed. Whilst there may be cases – and I express no view on the point- in which a defendant who has a valid complaint as to the form of the declaration, which complaint entitles him successfully to except to the declaration or to have portions of it struck out, may, in the absence of any allegation by him a</w:t>
      </w:r>
      <w:r>
        <w:rPr>
          <w:rFonts w:ascii="Arial" w:hAnsi="Arial" w:cs="Arial"/>
        </w:rPr>
        <w:t>s</w:t>
      </w:r>
      <w:r w:rsidRPr="005E0C7C">
        <w:rPr>
          <w:rFonts w:ascii="Arial" w:hAnsi="Arial" w:cs="Arial"/>
        </w:rPr>
        <w:t xml:space="preserve"> to the merits of the dispute, fail to satisfy a Court that he has a bona fide defence to the action.’</w:t>
      </w:r>
    </w:p>
    <w:p w:rsidR="009E09DD" w:rsidRPr="000C5AB8"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S 39 of the Act is headed ‘Restrictions on commercial activities’ and permits a banking institution, like the SME Bank, to conduct only financial business or transactions ‘which are usually or ordinarily conducted’ by banking institutions in terms of the Act or any other law. The first defendant avers that the contravention of s 39 constitutes a criminal offence and as a result performance in terms of the discretionary agreement would constitute a criminal offence.</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After having heard both counsel </w:t>
      </w:r>
      <w:r w:rsidRPr="009E09DD">
        <w:rPr>
          <w:rFonts w:ascii="Arial" w:hAnsi="Arial" w:cs="Arial"/>
          <w:sz w:val="24"/>
          <w:szCs w:val="24"/>
        </w:rPr>
        <w:t xml:space="preserve">argue it is clear that both counsel </w:t>
      </w:r>
      <w:r>
        <w:rPr>
          <w:rFonts w:ascii="Arial" w:hAnsi="Arial" w:cs="Arial"/>
          <w:sz w:val="24"/>
          <w:szCs w:val="24"/>
        </w:rPr>
        <w:t xml:space="preserve">are in agreement that s 39(1) of the Act does not in itself expressly provide that a transaction in breach thereof will be null and void. A contravention of s 39(1) and (2) constitutes an offence in terms of s 73(1) of the Act but </w:t>
      </w:r>
      <w:r w:rsidRPr="009E09DD">
        <w:rPr>
          <w:rFonts w:ascii="Arial" w:hAnsi="Arial" w:cs="Arial"/>
          <w:sz w:val="24"/>
          <w:szCs w:val="24"/>
        </w:rPr>
        <w:t xml:space="preserve">both counsel </w:t>
      </w:r>
      <w:r>
        <w:rPr>
          <w:rFonts w:ascii="Arial" w:hAnsi="Arial" w:cs="Arial"/>
          <w:sz w:val="24"/>
          <w:szCs w:val="24"/>
        </w:rPr>
        <w:t>are further in agreement that upon proper construction of the Act in respect of s 39 the legislature did not intend that a failure to comply therewith would render a particular transaction null and void but rather that the legislature was content with the criminal penalties and sanctions imposed on whomever contravened s 39(1) and (2).</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outlineLvl w:val="0"/>
        <w:rPr>
          <w:rFonts w:ascii="Arial" w:hAnsi="Arial" w:cs="Arial"/>
          <w:sz w:val="24"/>
          <w:szCs w:val="24"/>
        </w:rPr>
      </w:pPr>
      <w:r w:rsidRPr="000F2621">
        <w:rPr>
          <w:rFonts w:ascii="Arial" w:eastAsia="Times New Roman" w:hAnsi="Arial" w:cs="Arial"/>
          <w:kern w:val="36"/>
          <w:sz w:val="24"/>
          <w:szCs w:val="24"/>
          <w:lang w:eastAsia="en-ZA"/>
        </w:rPr>
        <w:t>[</w:t>
      </w:r>
      <w:r>
        <w:rPr>
          <w:rFonts w:ascii="Arial" w:eastAsia="Times New Roman" w:hAnsi="Arial" w:cs="Arial"/>
          <w:kern w:val="36"/>
          <w:sz w:val="24"/>
          <w:szCs w:val="24"/>
          <w:lang w:eastAsia="en-ZA"/>
        </w:rPr>
        <w:t>64</w:t>
      </w:r>
      <w:r w:rsidRPr="000F2621">
        <w:rPr>
          <w:rFonts w:ascii="Arial" w:eastAsia="Times New Roman" w:hAnsi="Arial" w:cs="Arial"/>
          <w:kern w:val="36"/>
          <w:sz w:val="24"/>
          <w:szCs w:val="24"/>
          <w:lang w:eastAsia="en-ZA"/>
        </w:rPr>
        <w:t>]</w:t>
      </w:r>
      <w:r>
        <w:rPr>
          <w:rFonts w:ascii="Arial" w:eastAsia="Times New Roman" w:hAnsi="Arial" w:cs="Arial"/>
          <w:kern w:val="36"/>
          <w:sz w:val="20"/>
          <w:szCs w:val="20"/>
          <w:lang w:eastAsia="en-ZA"/>
        </w:rPr>
        <w:tab/>
      </w:r>
      <w:r>
        <w:rPr>
          <w:rFonts w:ascii="Arial" w:hAnsi="Arial" w:cs="Arial"/>
          <w:sz w:val="24"/>
          <w:szCs w:val="24"/>
        </w:rPr>
        <w:t xml:space="preserve">I am </w:t>
      </w:r>
      <w:r w:rsidRPr="009E09DD">
        <w:rPr>
          <w:rFonts w:ascii="Arial" w:hAnsi="Arial" w:cs="Arial"/>
          <w:sz w:val="24"/>
          <w:szCs w:val="24"/>
        </w:rPr>
        <w:t xml:space="preserve">in </w:t>
      </w:r>
      <w:r>
        <w:rPr>
          <w:rFonts w:ascii="Arial" w:hAnsi="Arial" w:cs="Arial"/>
          <w:sz w:val="24"/>
          <w:szCs w:val="24"/>
        </w:rPr>
        <w:t xml:space="preserve">agreement with the interpretation of the learned </w:t>
      </w:r>
      <w:r w:rsidRPr="00187878">
        <w:rPr>
          <w:rFonts w:ascii="Arial" w:hAnsi="Arial" w:cs="Arial"/>
          <w:color w:val="FF0000"/>
          <w:sz w:val="24"/>
          <w:szCs w:val="24"/>
        </w:rPr>
        <w:t>c</w:t>
      </w:r>
      <w:r>
        <w:rPr>
          <w:rFonts w:ascii="Arial" w:hAnsi="Arial" w:cs="Arial"/>
          <w:sz w:val="24"/>
          <w:szCs w:val="24"/>
        </w:rPr>
        <w:t>ounsel in this regard and agree that</w:t>
      </w:r>
      <w:r w:rsidRPr="009E09DD">
        <w:rPr>
          <w:rFonts w:ascii="Arial" w:hAnsi="Arial" w:cs="Arial"/>
          <w:sz w:val="24"/>
          <w:szCs w:val="24"/>
        </w:rPr>
        <w:t xml:space="preserve"> the </w:t>
      </w:r>
      <w:r>
        <w:rPr>
          <w:rFonts w:ascii="Arial" w:hAnsi="Arial" w:cs="Arial"/>
          <w:sz w:val="24"/>
          <w:szCs w:val="24"/>
        </w:rPr>
        <w:t>agreement filed under POC4 is a valid agreement. The result of this finding is that the alternative claim of unjustified enrichment falls away. This alternative claim would only be relevant in the event that the court found the agreement to be null and void. This also then result</w:t>
      </w:r>
      <w:r w:rsidRPr="009E09DD">
        <w:rPr>
          <w:rFonts w:ascii="Arial" w:hAnsi="Arial" w:cs="Arial"/>
          <w:sz w:val="24"/>
          <w:szCs w:val="24"/>
        </w:rPr>
        <w:t>s</w:t>
      </w:r>
      <w:r>
        <w:rPr>
          <w:rFonts w:ascii="Arial" w:hAnsi="Arial" w:cs="Arial"/>
          <w:sz w:val="24"/>
          <w:szCs w:val="24"/>
        </w:rPr>
        <w:t xml:space="preserve"> in the exception falling away and together with it the first defence to the application for summary judgment. This then leaves the first defendant to cling on for dear life on the reasons advanced as to why specific performance should not be granted.</w:t>
      </w:r>
    </w:p>
    <w:p w:rsidR="009E09DD" w:rsidRDefault="009E09DD" w:rsidP="009E09DD">
      <w:pPr>
        <w:spacing w:after="0" w:line="360" w:lineRule="auto"/>
        <w:jc w:val="both"/>
        <w:outlineLvl w:val="0"/>
        <w:rPr>
          <w:rFonts w:ascii="Arial" w:hAnsi="Arial" w:cs="Arial"/>
          <w:sz w:val="24"/>
          <w:szCs w:val="24"/>
        </w:rPr>
      </w:pPr>
    </w:p>
    <w:p w:rsidR="00F46384" w:rsidRDefault="00F46384" w:rsidP="009E09DD">
      <w:pPr>
        <w:spacing w:after="0" w:line="360" w:lineRule="auto"/>
        <w:jc w:val="both"/>
        <w:outlineLvl w:val="0"/>
        <w:rPr>
          <w:rFonts w:ascii="Arial" w:hAnsi="Arial" w:cs="Arial"/>
          <w:sz w:val="24"/>
          <w:szCs w:val="24"/>
        </w:rPr>
      </w:pPr>
    </w:p>
    <w:p w:rsidR="009E09DD" w:rsidRPr="00B4258A" w:rsidRDefault="009E09DD" w:rsidP="009E09DD">
      <w:pPr>
        <w:spacing w:after="0" w:line="360" w:lineRule="auto"/>
        <w:jc w:val="both"/>
        <w:rPr>
          <w:rFonts w:ascii="Arial" w:hAnsi="Arial" w:cs="Arial"/>
          <w:i/>
          <w:sz w:val="24"/>
          <w:szCs w:val="24"/>
        </w:rPr>
      </w:pPr>
      <w:r w:rsidRPr="00B4258A">
        <w:rPr>
          <w:rFonts w:ascii="Arial" w:hAnsi="Arial" w:cs="Arial"/>
          <w:i/>
          <w:sz w:val="24"/>
          <w:szCs w:val="24"/>
        </w:rPr>
        <w:lastRenderedPageBreak/>
        <w:t>Should the claim for specific performance be enforced</w:t>
      </w:r>
      <w:r>
        <w:rPr>
          <w:rFonts w:ascii="Arial" w:hAnsi="Arial" w:cs="Arial"/>
          <w:i/>
          <w:sz w:val="24"/>
          <w:szCs w:val="24"/>
        </w:rPr>
        <w:t xml:space="preserve"> in spite of the transgression of s 39</w:t>
      </w:r>
      <w:r w:rsidRPr="00B4258A">
        <w:rPr>
          <w:rFonts w:ascii="Arial" w:hAnsi="Arial" w:cs="Arial"/>
          <w:i/>
          <w:sz w:val="24"/>
          <w:szCs w:val="24"/>
        </w:rPr>
        <w:t>?</w:t>
      </w:r>
    </w:p>
    <w:p w:rsidR="009E09DD" w:rsidRDefault="009E09DD" w:rsidP="009E09DD">
      <w:pPr>
        <w:spacing w:after="0" w:line="360" w:lineRule="auto"/>
        <w:jc w:val="both"/>
        <w:outlineLvl w:val="0"/>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Mr Heathcote argued that if the agreement reached between the parties is valid then there is no reason why the agreement should not be enforced. Mr Fitzgerald however holds a different view. He conceded that specific performance is an equitable discretionary remedy but that the court should not enforce this claim due to the turpitude on the part of banking officials who deliberately set out to transgress the Act and the fact that performance in this context would amount to a criminal offence.</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t xml:space="preserve">It is common cause that the functionaries of the bank or also referred to as the </w:t>
      </w:r>
      <w:r w:rsidRPr="00980DFB">
        <w:rPr>
          <w:rFonts w:ascii="Arial" w:hAnsi="Arial" w:cs="Arial"/>
          <w:i/>
          <w:sz w:val="24"/>
          <w:szCs w:val="24"/>
        </w:rPr>
        <w:t>dramatis personae</w:t>
      </w:r>
      <w:r>
        <w:rPr>
          <w:rFonts w:ascii="Arial" w:hAnsi="Arial" w:cs="Arial"/>
          <w:sz w:val="24"/>
          <w:szCs w:val="24"/>
        </w:rPr>
        <w:t xml:space="preserve"> contravened s 39 of </w:t>
      </w:r>
      <w:r w:rsidRPr="009E09DD">
        <w:rPr>
          <w:rFonts w:ascii="Arial" w:hAnsi="Arial" w:cs="Arial"/>
          <w:sz w:val="24"/>
          <w:szCs w:val="24"/>
        </w:rPr>
        <w:t xml:space="preserve">the Act as the discretionary agreement does </w:t>
      </w:r>
      <w:r>
        <w:rPr>
          <w:rFonts w:ascii="Arial" w:hAnsi="Arial" w:cs="Arial"/>
          <w:sz w:val="24"/>
          <w:szCs w:val="24"/>
        </w:rPr>
        <w:t xml:space="preserve">not fall within the normal business of the bank and it is further common cause that they defrauded the SME Bank of millions of dollars, but what is also common </w:t>
      </w:r>
      <w:r w:rsidRPr="009E09DD">
        <w:rPr>
          <w:rFonts w:ascii="Arial" w:hAnsi="Arial" w:cs="Arial"/>
          <w:sz w:val="24"/>
          <w:szCs w:val="24"/>
        </w:rPr>
        <w:t xml:space="preserve">cause is </w:t>
      </w:r>
      <w:r>
        <w:rPr>
          <w:rFonts w:ascii="Arial" w:hAnsi="Arial" w:cs="Arial"/>
          <w:sz w:val="24"/>
          <w:szCs w:val="24"/>
        </w:rPr>
        <w:t>that the relevant official</w:t>
      </w:r>
      <w:r w:rsidRPr="009E09DD">
        <w:rPr>
          <w:rFonts w:ascii="Arial" w:hAnsi="Arial" w:cs="Arial"/>
          <w:sz w:val="24"/>
          <w:szCs w:val="24"/>
        </w:rPr>
        <w:t>s</w:t>
      </w:r>
      <w:r>
        <w:rPr>
          <w:rFonts w:ascii="Arial" w:hAnsi="Arial" w:cs="Arial"/>
          <w:sz w:val="24"/>
          <w:szCs w:val="24"/>
        </w:rPr>
        <w:t xml:space="preserve"> entered into an agreement in terms of which the first defendant had to repay the SME Bank at a rate of 13% per annum. Mr Heathcote argued that it is not an offence in terms of the Banking Institutions Act to repay the monies advanced as per the terms of the agreement.</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shd w:val="clear" w:color="auto" w:fill="FFFFFF"/>
        </w:rPr>
      </w:pPr>
      <w:r w:rsidRPr="00DE22C4">
        <w:rPr>
          <w:rFonts w:ascii="Arial" w:hAnsi="Arial" w:cs="Arial"/>
          <w:sz w:val="24"/>
          <w:szCs w:val="24"/>
        </w:rPr>
        <w:t>[</w:t>
      </w:r>
      <w:r>
        <w:rPr>
          <w:rFonts w:ascii="Arial" w:hAnsi="Arial" w:cs="Arial"/>
          <w:sz w:val="24"/>
          <w:szCs w:val="24"/>
        </w:rPr>
        <w:t>67</w:t>
      </w:r>
      <w:r w:rsidRPr="00DE22C4">
        <w:rPr>
          <w:rFonts w:ascii="Arial" w:hAnsi="Arial" w:cs="Arial"/>
          <w:sz w:val="24"/>
          <w:szCs w:val="24"/>
        </w:rPr>
        <w:t>]</w:t>
      </w:r>
      <w:r w:rsidRPr="00DE22C4">
        <w:rPr>
          <w:rFonts w:ascii="Arial" w:hAnsi="Arial" w:cs="Arial"/>
          <w:sz w:val="24"/>
          <w:szCs w:val="24"/>
        </w:rPr>
        <w:tab/>
      </w:r>
      <w:r w:rsidRPr="00DE22C4">
        <w:rPr>
          <w:rFonts w:ascii="Arial" w:hAnsi="Arial" w:cs="Arial"/>
          <w:sz w:val="24"/>
          <w:szCs w:val="24"/>
          <w:shd w:val="clear" w:color="auto" w:fill="FFFFFF"/>
        </w:rPr>
        <w:t>The S</w:t>
      </w:r>
      <w:r>
        <w:rPr>
          <w:rFonts w:ascii="Arial" w:hAnsi="Arial" w:cs="Arial"/>
          <w:sz w:val="24"/>
          <w:szCs w:val="24"/>
          <w:shd w:val="clear" w:color="auto" w:fill="FFFFFF"/>
        </w:rPr>
        <w:t xml:space="preserve">ME Bank advanced a sum of N$ 10 000 </w:t>
      </w:r>
      <w:r w:rsidRPr="00DE22C4">
        <w:rPr>
          <w:rFonts w:ascii="Arial" w:hAnsi="Arial" w:cs="Arial"/>
          <w:sz w:val="24"/>
          <w:szCs w:val="24"/>
          <w:shd w:val="clear" w:color="auto" w:fill="FFFFFF"/>
        </w:rPr>
        <w:t>000 to the first defendant and the first defendan</w:t>
      </w:r>
      <w:r>
        <w:rPr>
          <w:rFonts w:ascii="Arial" w:hAnsi="Arial" w:cs="Arial"/>
          <w:sz w:val="24"/>
          <w:szCs w:val="24"/>
          <w:shd w:val="clear" w:color="auto" w:fill="FFFFFF"/>
        </w:rPr>
        <w:t xml:space="preserve">t’s position </w:t>
      </w:r>
      <w:r w:rsidRPr="009E09DD">
        <w:rPr>
          <w:rFonts w:ascii="Arial" w:hAnsi="Arial" w:cs="Arial"/>
          <w:sz w:val="24"/>
          <w:szCs w:val="24"/>
          <w:shd w:val="clear" w:color="auto" w:fill="FFFFFF"/>
        </w:rPr>
        <w:t xml:space="preserve">is that the </w:t>
      </w:r>
      <w:r>
        <w:rPr>
          <w:rFonts w:ascii="Arial" w:hAnsi="Arial" w:cs="Arial"/>
          <w:sz w:val="24"/>
          <w:szCs w:val="24"/>
          <w:shd w:val="clear" w:color="auto" w:fill="FFFFFF"/>
        </w:rPr>
        <w:t>plaintiff (</w:t>
      </w:r>
      <w:r w:rsidRPr="00DE22C4">
        <w:rPr>
          <w:rFonts w:ascii="Arial" w:hAnsi="Arial" w:cs="Arial"/>
          <w:sz w:val="24"/>
          <w:szCs w:val="24"/>
          <w:shd w:val="clear" w:color="auto" w:fill="FFFFFF"/>
        </w:rPr>
        <w:t xml:space="preserve">the bank in this instance) went into this agreement with open eyes, well aware of the risks involved. </w:t>
      </w:r>
      <w:proofErr w:type="spellStart"/>
      <w:r w:rsidRPr="00DE22C4">
        <w:rPr>
          <w:rFonts w:ascii="Arial" w:hAnsi="Arial" w:cs="Arial"/>
          <w:sz w:val="24"/>
          <w:szCs w:val="24"/>
          <w:shd w:val="clear" w:color="auto" w:fill="FFFFFF"/>
        </w:rPr>
        <w:t>Tulive</w:t>
      </w:r>
      <w:proofErr w:type="spellEnd"/>
      <w:r w:rsidRPr="00DE22C4">
        <w:rPr>
          <w:rFonts w:ascii="Arial" w:hAnsi="Arial" w:cs="Arial"/>
          <w:sz w:val="24"/>
          <w:szCs w:val="24"/>
          <w:shd w:val="clear" w:color="auto" w:fill="FFFFFF"/>
        </w:rPr>
        <w:t xml:space="preserve"> is before this court shrugging its proverbial shoulders and say </w:t>
      </w:r>
      <w:r>
        <w:rPr>
          <w:rFonts w:ascii="Arial" w:hAnsi="Arial" w:cs="Arial"/>
          <w:sz w:val="24"/>
          <w:szCs w:val="24"/>
          <w:shd w:val="clear" w:color="auto" w:fill="FFFFFF"/>
        </w:rPr>
        <w:t>‘</w:t>
      </w:r>
      <w:r w:rsidRPr="00DE22C4">
        <w:rPr>
          <w:rFonts w:ascii="Arial" w:hAnsi="Arial" w:cs="Arial"/>
          <w:sz w:val="24"/>
          <w:szCs w:val="24"/>
          <w:shd w:val="clear" w:color="auto" w:fill="FFFFFF"/>
        </w:rPr>
        <w:t>sorry</w:t>
      </w:r>
      <w:r>
        <w:rPr>
          <w:rFonts w:ascii="Arial" w:hAnsi="Arial" w:cs="Arial"/>
          <w:sz w:val="24"/>
          <w:szCs w:val="24"/>
          <w:shd w:val="clear" w:color="auto" w:fill="FFFFFF"/>
        </w:rPr>
        <w:t xml:space="preserve"> </w:t>
      </w:r>
      <w:r w:rsidRPr="00DE22C4">
        <w:rPr>
          <w:rFonts w:ascii="Arial" w:hAnsi="Arial" w:cs="Arial"/>
          <w:sz w:val="24"/>
          <w:szCs w:val="24"/>
          <w:shd w:val="clear" w:color="auto" w:fill="FFFFFF"/>
        </w:rPr>
        <w:t>we made a bad in</w:t>
      </w:r>
      <w:r>
        <w:rPr>
          <w:rFonts w:ascii="Arial" w:hAnsi="Arial" w:cs="Arial"/>
          <w:sz w:val="24"/>
          <w:szCs w:val="24"/>
          <w:shd w:val="clear" w:color="auto" w:fill="FFFFFF"/>
        </w:rPr>
        <w:t>vestment and the money was lost</w:t>
      </w:r>
      <w:r w:rsidRPr="009E09DD">
        <w:rPr>
          <w:rFonts w:ascii="Arial" w:hAnsi="Arial" w:cs="Arial"/>
          <w:sz w:val="24"/>
          <w:szCs w:val="24"/>
          <w:shd w:val="clear" w:color="auto" w:fill="FFFFFF"/>
        </w:rPr>
        <w:t xml:space="preserve">. All of the </w:t>
      </w:r>
      <w:r>
        <w:rPr>
          <w:rFonts w:ascii="Arial" w:hAnsi="Arial" w:cs="Arial"/>
          <w:sz w:val="24"/>
          <w:szCs w:val="24"/>
          <w:shd w:val="clear" w:color="auto" w:fill="FFFFFF"/>
        </w:rPr>
        <w:t>N$ 10 000 000 is lost.’</w:t>
      </w:r>
    </w:p>
    <w:p w:rsidR="009E09DD" w:rsidRDefault="009E09DD" w:rsidP="009E09DD">
      <w:pPr>
        <w:spacing w:after="0" w:line="360" w:lineRule="auto"/>
        <w:jc w:val="both"/>
        <w:rPr>
          <w:rFonts w:ascii="Arial" w:hAnsi="Arial" w:cs="Arial"/>
          <w:sz w:val="24"/>
          <w:szCs w:val="24"/>
          <w:shd w:val="clear" w:color="auto" w:fill="FFFFFF"/>
        </w:rPr>
      </w:pPr>
    </w:p>
    <w:p w:rsidR="009E09DD" w:rsidRPr="00DE22C4" w:rsidRDefault="009E09DD" w:rsidP="009E09D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[68]</w:t>
      </w:r>
      <w:r>
        <w:rPr>
          <w:rFonts w:ascii="Arial" w:hAnsi="Arial" w:cs="Arial"/>
          <w:sz w:val="24"/>
          <w:szCs w:val="24"/>
          <w:shd w:val="clear" w:color="auto" w:fill="FFFFFF"/>
        </w:rPr>
        <w:tab/>
        <w:t>T</w:t>
      </w:r>
      <w:r w:rsidRPr="00DE22C4">
        <w:rPr>
          <w:rFonts w:ascii="Arial" w:hAnsi="Arial" w:cs="Arial"/>
          <w:sz w:val="24"/>
          <w:szCs w:val="24"/>
          <w:shd w:val="clear" w:color="auto" w:fill="FFFFFF"/>
        </w:rPr>
        <w:t xml:space="preserve">he first defendant raises a defence to say that it cannot now perform in terms of the agreement as it will constitute a criminal </w:t>
      </w:r>
      <w:r>
        <w:rPr>
          <w:rFonts w:ascii="Arial" w:hAnsi="Arial" w:cs="Arial"/>
          <w:sz w:val="24"/>
          <w:szCs w:val="24"/>
          <w:shd w:val="clear" w:color="auto" w:fill="FFFFFF"/>
        </w:rPr>
        <w:t xml:space="preserve">offence. Surely </w:t>
      </w:r>
      <w:r w:rsidRPr="009E09DD">
        <w:rPr>
          <w:rFonts w:ascii="Arial" w:hAnsi="Arial" w:cs="Arial"/>
          <w:sz w:val="24"/>
          <w:szCs w:val="24"/>
          <w:shd w:val="clear" w:color="auto" w:fill="FFFFFF"/>
        </w:rPr>
        <w:t xml:space="preserve">that argument </w:t>
      </w:r>
      <w:r>
        <w:rPr>
          <w:rFonts w:ascii="Arial" w:hAnsi="Arial" w:cs="Arial"/>
          <w:sz w:val="24"/>
          <w:szCs w:val="24"/>
          <w:shd w:val="clear" w:color="auto" w:fill="FFFFFF"/>
        </w:rPr>
        <w:t xml:space="preserve">cannot </w:t>
      </w:r>
      <w:r w:rsidRPr="009E09DD">
        <w:rPr>
          <w:rFonts w:ascii="Arial" w:hAnsi="Arial" w:cs="Arial"/>
          <w:sz w:val="24"/>
          <w:szCs w:val="24"/>
          <w:shd w:val="clear" w:color="auto" w:fill="FFFFFF"/>
        </w:rPr>
        <w:t>stand.</w:t>
      </w:r>
    </w:p>
    <w:p w:rsidR="009E09DD"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shd w:val="clear" w:color="auto" w:fill="FFFFFF"/>
        </w:rPr>
      </w:pPr>
      <w:r w:rsidRPr="00DE22C4">
        <w:rPr>
          <w:rFonts w:ascii="Arial" w:hAnsi="Arial" w:cs="Arial"/>
          <w:sz w:val="24"/>
          <w:szCs w:val="24"/>
          <w:shd w:val="clear" w:color="auto" w:fill="FFFFFF"/>
        </w:rPr>
        <w:t>[</w:t>
      </w:r>
      <w:r>
        <w:rPr>
          <w:rFonts w:ascii="Arial" w:hAnsi="Arial" w:cs="Arial"/>
          <w:sz w:val="24"/>
          <w:szCs w:val="24"/>
          <w:shd w:val="clear" w:color="auto" w:fill="FFFFFF"/>
        </w:rPr>
        <w:t>69</w:t>
      </w:r>
      <w:r w:rsidRPr="00DE22C4">
        <w:rPr>
          <w:rFonts w:ascii="Arial" w:hAnsi="Arial" w:cs="Arial"/>
          <w:sz w:val="24"/>
          <w:szCs w:val="24"/>
          <w:shd w:val="clear" w:color="auto" w:fill="FFFFFF"/>
        </w:rPr>
        <w:t>]</w:t>
      </w:r>
      <w:r w:rsidRPr="00DE22C4">
        <w:rPr>
          <w:rFonts w:ascii="Arial" w:hAnsi="Arial" w:cs="Arial"/>
          <w:sz w:val="24"/>
          <w:szCs w:val="24"/>
          <w:shd w:val="clear" w:color="auto" w:fill="FFFFFF"/>
        </w:rPr>
        <w:tab/>
        <w:t xml:space="preserve">The claim against the first defendant is just one of many brought by the plaintiffs in an effort to recover the monies of the SME Bank that is misappropriated. I am of the view that this court needs to take a firm stance by not allowing defendants who have no bona fide defence to manipulate the system and delay the enforcement of claims by the plaintiffs. Obviously each case must be dealt with on its merits and if there are </w:t>
      </w:r>
      <w:r w:rsidRPr="00DE22C4">
        <w:rPr>
          <w:rFonts w:ascii="Arial" w:hAnsi="Arial" w:cs="Arial"/>
          <w:sz w:val="24"/>
          <w:szCs w:val="24"/>
          <w:shd w:val="clear" w:color="auto" w:fill="FFFFFF"/>
        </w:rPr>
        <w:lastRenderedPageBreak/>
        <w:t xml:space="preserve">merits then that defendant will be entitled to its day in court but if not then I am of the view it will severely harm public interest to allow a defendant to escape liability and not repay </w:t>
      </w:r>
      <w:r w:rsidRPr="009E09DD">
        <w:rPr>
          <w:rFonts w:ascii="Arial" w:hAnsi="Arial" w:cs="Arial"/>
          <w:sz w:val="24"/>
          <w:szCs w:val="24"/>
          <w:shd w:val="clear" w:color="auto" w:fill="FFFFFF"/>
        </w:rPr>
        <w:t xml:space="preserve">what it received </w:t>
      </w:r>
      <w:r>
        <w:rPr>
          <w:rFonts w:ascii="Arial" w:hAnsi="Arial" w:cs="Arial"/>
          <w:sz w:val="24"/>
          <w:szCs w:val="24"/>
          <w:shd w:val="clear" w:color="auto" w:fill="FFFFFF"/>
        </w:rPr>
        <w:t>in terms of a valid agreement</w:t>
      </w:r>
      <w:r w:rsidRPr="00DE22C4">
        <w:rPr>
          <w:rFonts w:ascii="Arial" w:hAnsi="Arial" w:cs="Arial"/>
          <w:sz w:val="24"/>
          <w:szCs w:val="24"/>
          <w:shd w:val="clear" w:color="auto" w:fill="FFFFFF"/>
        </w:rPr>
        <w:t>.</w:t>
      </w:r>
    </w:p>
    <w:p w:rsidR="009E09DD" w:rsidRPr="000C5AB8" w:rsidRDefault="009E09DD" w:rsidP="009E09DD">
      <w:pPr>
        <w:spacing w:after="0" w:line="360" w:lineRule="auto"/>
        <w:jc w:val="both"/>
        <w:rPr>
          <w:rFonts w:ascii="Arial" w:hAnsi="Arial" w:cs="Arial"/>
          <w:sz w:val="24"/>
          <w:szCs w:val="24"/>
          <w:shd w:val="clear" w:color="auto" w:fill="FFFFFF"/>
        </w:rPr>
      </w:pPr>
    </w:p>
    <w:p w:rsidR="009E09DD" w:rsidRDefault="009E09DD" w:rsidP="009E09D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[70]</w:t>
      </w:r>
      <w:r>
        <w:rPr>
          <w:rFonts w:ascii="Arial" w:hAnsi="Arial" w:cs="Arial"/>
          <w:sz w:val="24"/>
          <w:szCs w:val="24"/>
          <w:shd w:val="clear" w:color="auto" w:fill="FFFFFF"/>
        </w:rPr>
        <w:tab/>
        <w:t>I heard in</w:t>
      </w:r>
      <w:r w:rsidRPr="000C5AB8">
        <w:rPr>
          <w:rFonts w:ascii="Arial" w:hAnsi="Arial" w:cs="Arial"/>
          <w:sz w:val="24"/>
          <w:szCs w:val="24"/>
          <w:shd w:val="clear" w:color="auto" w:fill="FFFFFF"/>
        </w:rPr>
        <w:t xml:space="preserve">-depth arguments on the </w:t>
      </w:r>
      <w:r w:rsidRPr="000C5AB8">
        <w:rPr>
          <w:rFonts w:ascii="Arial" w:hAnsi="Arial" w:cs="Arial"/>
          <w:i/>
          <w:sz w:val="24"/>
          <w:szCs w:val="24"/>
          <w:shd w:val="clear" w:color="auto" w:fill="FFFFFF"/>
        </w:rPr>
        <w:t xml:space="preserve">par </w:t>
      </w:r>
      <w:proofErr w:type="spellStart"/>
      <w:r w:rsidRPr="000C5AB8">
        <w:rPr>
          <w:rFonts w:ascii="Arial" w:hAnsi="Arial" w:cs="Arial"/>
          <w:i/>
          <w:sz w:val="24"/>
          <w:szCs w:val="24"/>
          <w:shd w:val="clear" w:color="auto" w:fill="FFFFFF"/>
        </w:rPr>
        <w:t>delictum</w:t>
      </w:r>
      <w:proofErr w:type="spellEnd"/>
      <w:r w:rsidRPr="000C5AB8">
        <w:rPr>
          <w:rFonts w:ascii="Arial" w:hAnsi="Arial" w:cs="Arial"/>
          <w:sz w:val="24"/>
          <w:szCs w:val="24"/>
          <w:shd w:val="clear" w:color="auto" w:fill="FFFFFF"/>
        </w:rPr>
        <w:t xml:space="preserve"> rule but I am of the view that the </w:t>
      </w:r>
      <w:r w:rsidRPr="000C5AB8">
        <w:rPr>
          <w:rFonts w:ascii="Arial" w:hAnsi="Arial" w:cs="Arial"/>
          <w:i/>
          <w:sz w:val="24"/>
          <w:szCs w:val="24"/>
          <w:shd w:val="clear" w:color="auto" w:fill="FFFFFF"/>
        </w:rPr>
        <w:t xml:space="preserve">par </w:t>
      </w:r>
      <w:proofErr w:type="spellStart"/>
      <w:r w:rsidRPr="000C5AB8">
        <w:rPr>
          <w:rFonts w:ascii="Arial" w:hAnsi="Arial" w:cs="Arial"/>
          <w:i/>
          <w:sz w:val="24"/>
          <w:szCs w:val="24"/>
          <w:shd w:val="clear" w:color="auto" w:fill="FFFFFF"/>
        </w:rPr>
        <w:t>delictum</w:t>
      </w:r>
      <w:proofErr w:type="spellEnd"/>
      <w:r w:rsidRPr="009E09DD">
        <w:rPr>
          <w:rFonts w:ascii="Arial" w:hAnsi="Arial" w:cs="Arial"/>
          <w:sz w:val="24"/>
          <w:szCs w:val="24"/>
          <w:shd w:val="clear" w:color="auto" w:fill="FFFFFF"/>
        </w:rPr>
        <w:t xml:space="preserve"> rule </w:t>
      </w:r>
      <w:r w:rsidRPr="000C5AB8">
        <w:rPr>
          <w:rFonts w:ascii="Arial" w:hAnsi="Arial" w:cs="Arial"/>
          <w:sz w:val="24"/>
          <w:szCs w:val="24"/>
          <w:shd w:val="clear" w:color="auto" w:fill="FFFFFF"/>
        </w:rPr>
        <w:t xml:space="preserve">will only be applicable as far as it relates to the public interest. The </w:t>
      </w:r>
      <w:r w:rsidRPr="000C5AB8">
        <w:rPr>
          <w:rFonts w:ascii="Arial" w:hAnsi="Arial" w:cs="Arial"/>
          <w:i/>
          <w:sz w:val="24"/>
          <w:szCs w:val="24"/>
          <w:shd w:val="clear" w:color="auto" w:fill="FFFFFF"/>
        </w:rPr>
        <w:t xml:space="preserve">par </w:t>
      </w:r>
      <w:proofErr w:type="spellStart"/>
      <w:r w:rsidRPr="000C5AB8">
        <w:rPr>
          <w:rFonts w:ascii="Arial" w:hAnsi="Arial" w:cs="Arial"/>
          <w:i/>
          <w:sz w:val="24"/>
          <w:szCs w:val="24"/>
          <w:shd w:val="clear" w:color="auto" w:fill="FFFFFF"/>
        </w:rPr>
        <w:t>delictum</w:t>
      </w:r>
      <w:proofErr w:type="spellEnd"/>
      <w:r w:rsidRPr="000C5AB8">
        <w:rPr>
          <w:rFonts w:ascii="Arial" w:hAnsi="Arial" w:cs="Arial"/>
          <w:sz w:val="24"/>
          <w:szCs w:val="24"/>
          <w:shd w:val="clear" w:color="auto" w:fill="FFFFFF"/>
        </w:rPr>
        <w:t xml:space="preserve"> rule under the circumstanc</w:t>
      </w:r>
      <w:r w:rsidRPr="009E09DD">
        <w:rPr>
          <w:rFonts w:ascii="Arial" w:hAnsi="Arial" w:cs="Arial"/>
          <w:sz w:val="24"/>
          <w:szCs w:val="24"/>
          <w:shd w:val="clear" w:color="auto" w:fill="FFFFFF"/>
        </w:rPr>
        <w:t xml:space="preserve">es </w:t>
      </w:r>
      <w:r w:rsidRPr="000C5AB8">
        <w:rPr>
          <w:rFonts w:ascii="Arial" w:hAnsi="Arial" w:cs="Arial"/>
          <w:sz w:val="24"/>
          <w:szCs w:val="24"/>
          <w:shd w:val="clear" w:color="auto" w:fill="FFFFFF"/>
        </w:rPr>
        <w:t>must be subordinate to the overriding consideration of public policy</w:t>
      </w:r>
      <w:r w:rsidR="0033569C">
        <w:rPr>
          <w:rFonts w:ascii="Arial" w:hAnsi="Arial" w:cs="Arial"/>
          <w:sz w:val="24"/>
          <w:szCs w:val="24"/>
          <w:shd w:val="clear" w:color="auto" w:fill="FFFFFF"/>
        </w:rPr>
        <w:t>.</w:t>
      </w:r>
      <w:r w:rsidRPr="000C5AB8">
        <w:rPr>
          <w:rStyle w:val="FootnoteReference"/>
          <w:rFonts w:ascii="Arial" w:hAnsi="Arial" w:cs="Arial"/>
          <w:sz w:val="24"/>
          <w:szCs w:val="24"/>
          <w:shd w:val="clear" w:color="auto" w:fill="FFFFFF"/>
        </w:rPr>
        <w:footnoteReference w:id="27"/>
      </w:r>
      <w:r w:rsidRPr="000C5AB8">
        <w:rPr>
          <w:rFonts w:ascii="Arial" w:hAnsi="Arial" w:cs="Arial"/>
          <w:sz w:val="24"/>
          <w:szCs w:val="24"/>
          <w:shd w:val="clear" w:color="auto" w:fill="FFFFFF"/>
        </w:rPr>
        <w:t xml:space="preserve"> To serve the public interest the defendant should repay the amount advance</w:t>
      </w:r>
      <w:r w:rsidRPr="00A27738">
        <w:rPr>
          <w:rFonts w:ascii="Arial" w:hAnsi="Arial" w:cs="Arial"/>
          <w:sz w:val="24"/>
          <w:szCs w:val="24"/>
          <w:shd w:val="clear" w:color="auto" w:fill="FFFFFF"/>
        </w:rPr>
        <w:t xml:space="preserve">d </w:t>
      </w:r>
      <w:r w:rsidRPr="000C5AB8">
        <w:rPr>
          <w:rFonts w:ascii="Arial" w:hAnsi="Arial" w:cs="Arial"/>
          <w:sz w:val="24"/>
          <w:szCs w:val="24"/>
          <w:shd w:val="clear" w:color="auto" w:fill="FFFFFF"/>
        </w:rPr>
        <w:t xml:space="preserve">to it in spite </w:t>
      </w:r>
      <w:r w:rsidRPr="009E09DD">
        <w:rPr>
          <w:rFonts w:ascii="Arial" w:hAnsi="Arial" w:cs="Arial"/>
          <w:sz w:val="24"/>
          <w:szCs w:val="24"/>
          <w:shd w:val="clear" w:color="auto" w:fill="FFFFFF"/>
        </w:rPr>
        <w:t xml:space="preserve">of the </w:t>
      </w:r>
      <w:r w:rsidRPr="000C5AB8">
        <w:rPr>
          <w:rFonts w:ascii="Arial" w:hAnsi="Arial" w:cs="Arial"/>
          <w:sz w:val="24"/>
          <w:szCs w:val="24"/>
          <w:shd w:val="clear" w:color="auto" w:fill="FFFFFF"/>
        </w:rPr>
        <w:t>contravention of s 39 of the Act.</w:t>
      </w:r>
    </w:p>
    <w:p w:rsidR="009E09DD" w:rsidRPr="000C5AB8" w:rsidRDefault="009E09DD" w:rsidP="009E09DD">
      <w:pPr>
        <w:spacing w:after="0" w:line="360" w:lineRule="auto"/>
        <w:jc w:val="both"/>
        <w:rPr>
          <w:rFonts w:ascii="Arial" w:hAnsi="Arial" w:cs="Arial"/>
          <w:sz w:val="24"/>
          <w:szCs w:val="24"/>
          <w:shd w:val="clear" w:color="auto" w:fill="FFFFFF"/>
        </w:rPr>
      </w:pPr>
    </w:p>
    <w:p w:rsidR="009E09DD" w:rsidRDefault="009E09DD" w:rsidP="009E09D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[71]</w:t>
      </w:r>
      <w:r w:rsidRPr="000C5AB8">
        <w:rPr>
          <w:rFonts w:ascii="Arial" w:hAnsi="Arial" w:cs="Arial"/>
          <w:sz w:val="24"/>
          <w:szCs w:val="24"/>
          <w:shd w:val="clear" w:color="auto" w:fill="FFFFFF"/>
        </w:rPr>
        <w:tab/>
        <w:t>Having considered all the facts before me I must conclude that the second defence raised can also not succeed and I must further conclude that first defendant has no bona fide defence against the claim of the plaintiffs and the application for summary judgment must succeed.</w:t>
      </w:r>
    </w:p>
    <w:p w:rsidR="009E09DD" w:rsidRPr="000C5AB8" w:rsidRDefault="009E09DD" w:rsidP="009E09DD">
      <w:pPr>
        <w:spacing w:after="0" w:line="360" w:lineRule="auto"/>
        <w:jc w:val="both"/>
        <w:rPr>
          <w:rFonts w:ascii="Arial" w:hAnsi="Arial" w:cs="Arial"/>
        </w:rPr>
      </w:pPr>
    </w:p>
    <w:p w:rsidR="009E09DD" w:rsidRPr="000C5AB8" w:rsidRDefault="009E09DD" w:rsidP="009E09DD">
      <w:pPr>
        <w:spacing w:after="0" w:line="360" w:lineRule="auto"/>
        <w:jc w:val="both"/>
        <w:rPr>
          <w:rFonts w:ascii="Arial" w:hAnsi="Arial" w:cs="Arial"/>
          <w:sz w:val="24"/>
          <w:szCs w:val="24"/>
          <w:u w:val="single"/>
        </w:rPr>
      </w:pPr>
      <w:r w:rsidRPr="000C5AB8">
        <w:rPr>
          <w:rFonts w:ascii="Arial" w:hAnsi="Arial" w:cs="Arial"/>
          <w:sz w:val="24"/>
          <w:szCs w:val="24"/>
          <w:u w:val="single"/>
        </w:rPr>
        <w:t>Order</w:t>
      </w:r>
    </w:p>
    <w:p w:rsidR="009E09DD" w:rsidRDefault="009E09DD" w:rsidP="009E09DD">
      <w:pPr>
        <w:spacing w:after="0" w:line="360" w:lineRule="auto"/>
        <w:jc w:val="both"/>
        <w:rPr>
          <w:rFonts w:ascii="Arial" w:hAnsi="Arial" w:cs="Arial"/>
          <w:sz w:val="24"/>
          <w:szCs w:val="24"/>
        </w:rPr>
      </w:pPr>
    </w:p>
    <w:p w:rsidR="009E09DD" w:rsidRPr="00F46384" w:rsidRDefault="009E09DD" w:rsidP="009E09DD">
      <w:pPr>
        <w:spacing w:after="0" w:line="360" w:lineRule="auto"/>
        <w:jc w:val="both"/>
        <w:rPr>
          <w:rFonts w:ascii="Arial" w:hAnsi="Arial" w:cs="Arial"/>
          <w:sz w:val="24"/>
          <w:szCs w:val="24"/>
        </w:rPr>
      </w:pPr>
      <w:r>
        <w:rPr>
          <w:rFonts w:ascii="Arial" w:hAnsi="Arial" w:cs="Arial"/>
          <w:sz w:val="24"/>
          <w:szCs w:val="24"/>
        </w:rPr>
        <w:t>[72</w:t>
      </w:r>
      <w:r w:rsidRPr="000C5AB8">
        <w:rPr>
          <w:rFonts w:ascii="Arial" w:hAnsi="Arial" w:cs="Arial"/>
          <w:sz w:val="24"/>
          <w:szCs w:val="24"/>
        </w:rPr>
        <w:t>]</w:t>
      </w:r>
      <w:r w:rsidRPr="000C5AB8">
        <w:rPr>
          <w:rFonts w:ascii="Arial" w:hAnsi="Arial" w:cs="Arial"/>
          <w:sz w:val="24"/>
          <w:szCs w:val="24"/>
        </w:rPr>
        <w:tab/>
      </w:r>
      <w:r w:rsidRPr="009E09DD">
        <w:rPr>
          <w:rFonts w:ascii="Arial" w:hAnsi="Arial" w:cs="Arial"/>
          <w:sz w:val="24"/>
          <w:szCs w:val="24"/>
        </w:rPr>
        <w:t>My order is therefore as set out hereunder</w:t>
      </w:r>
      <w:r w:rsidR="00900405">
        <w:rPr>
          <w:rFonts w:ascii="Arial" w:hAnsi="Arial" w:cs="Arial"/>
          <w:sz w:val="24"/>
          <w:szCs w:val="24"/>
        </w:rPr>
        <w:t>.</w:t>
      </w:r>
      <w:bookmarkStart w:id="0" w:name="_GoBack"/>
      <w:bookmarkEnd w:id="0"/>
    </w:p>
    <w:p w:rsidR="009E09DD" w:rsidRPr="00B46229" w:rsidRDefault="009E09DD" w:rsidP="009E09DD">
      <w:pPr>
        <w:spacing w:after="0" w:line="360" w:lineRule="auto"/>
        <w:jc w:val="both"/>
        <w:rPr>
          <w:rFonts w:ascii="Arial" w:hAnsi="Arial" w:cs="Arial"/>
          <w:sz w:val="24"/>
          <w:szCs w:val="24"/>
        </w:rPr>
      </w:pPr>
    </w:p>
    <w:p w:rsidR="009E09DD" w:rsidRDefault="009E09DD" w:rsidP="009E09DD">
      <w:pPr>
        <w:spacing w:after="0" w:line="360" w:lineRule="auto"/>
        <w:jc w:val="both"/>
        <w:rPr>
          <w:rFonts w:ascii="Arial" w:hAnsi="Arial" w:cs="Arial"/>
          <w:sz w:val="24"/>
          <w:szCs w:val="24"/>
        </w:rPr>
      </w:pPr>
      <w:r w:rsidRPr="000C5AB8">
        <w:rPr>
          <w:rFonts w:ascii="Arial" w:hAnsi="Arial" w:cs="Arial"/>
          <w:sz w:val="24"/>
          <w:szCs w:val="24"/>
        </w:rPr>
        <w:t>Summary judgment is granted in favour of the Plaintiff in respect of the First De</w:t>
      </w:r>
      <w:r>
        <w:rPr>
          <w:rFonts w:ascii="Arial" w:hAnsi="Arial" w:cs="Arial"/>
          <w:sz w:val="24"/>
          <w:szCs w:val="24"/>
        </w:rPr>
        <w:t>fendant in the following terms:</w:t>
      </w:r>
    </w:p>
    <w:p w:rsidR="009E09DD" w:rsidRPr="000C5AB8" w:rsidRDefault="009E09DD" w:rsidP="009E09DD">
      <w:pPr>
        <w:spacing w:after="0" w:line="360" w:lineRule="auto"/>
        <w:jc w:val="both"/>
        <w:rPr>
          <w:rFonts w:ascii="Arial" w:hAnsi="Arial" w:cs="Arial"/>
          <w:sz w:val="24"/>
          <w:szCs w:val="24"/>
        </w:rPr>
      </w:pPr>
    </w:p>
    <w:p w:rsidR="009E09DD" w:rsidRDefault="009E09DD" w:rsidP="009E09DD">
      <w:pPr>
        <w:pStyle w:val="ListParagraph"/>
        <w:numPr>
          <w:ilvl w:val="0"/>
          <w:numId w:val="6"/>
        </w:numPr>
        <w:spacing w:after="0" w:line="360" w:lineRule="auto"/>
        <w:jc w:val="both"/>
        <w:rPr>
          <w:rFonts w:ascii="Arial" w:hAnsi="Arial" w:cs="Arial"/>
          <w:sz w:val="24"/>
          <w:szCs w:val="24"/>
        </w:rPr>
      </w:pPr>
      <w:r w:rsidRPr="000C5AB8">
        <w:rPr>
          <w:rFonts w:ascii="Arial" w:hAnsi="Arial" w:cs="Arial"/>
          <w:sz w:val="24"/>
          <w:szCs w:val="24"/>
        </w:rPr>
        <w:t xml:space="preserve">Payment in </w:t>
      </w:r>
      <w:r>
        <w:rPr>
          <w:rFonts w:ascii="Arial" w:hAnsi="Arial" w:cs="Arial"/>
          <w:sz w:val="24"/>
          <w:szCs w:val="24"/>
        </w:rPr>
        <w:t xml:space="preserve">the amount of N$ 13 138 </w:t>
      </w:r>
      <w:r w:rsidRPr="00C331CB">
        <w:rPr>
          <w:rFonts w:ascii="Arial" w:hAnsi="Arial" w:cs="Arial"/>
          <w:sz w:val="24"/>
          <w:szCs w:val="24"/>
        </w:rPr>
        <w:t>906.80</w:t>
      </w:r>
      <w:r>
        <w:rPr>
          <w:rFonts w:ascii="Arial" w:hAnsi="Arial" w:cs="Arial"/>
          <w:sz w:val="24"/>
          <w:szCs w:val="24"/>
        </w:rPr>
        <w:t>.</w:t>
      </w:r>
    </w:p>
    <w:p w:rsidR="009E09DD" w:rsidRPr="00651626" w:rsidRDefault="009E09DD" w:rsidP="009E09DD">
      <w:pPr>
        <w:pStyle w:val="ListParagraph"/>
        <w:numPr>
          <w:ilvl w:val="0"/>
          <w:numId w:val="6"/>
        </w:numPr>
        <w:spacing w:after="0" w:line="360" w:lineRule="auto"/>
        <w:jc w:val="both"/>
        <w:rPr>
          <w:rFonts w:ascii="Arial" w:hAnsi="Arial" w:cs="Arial"/>
          <w:sz w:val="24"/>
          <w:szCs w:val="24"/>
        </w:rPr>
      </w:pPr>
      <w:r>
        <w:rPr>
          <w:rFonts w:ascii="Arial" w:hAnsi="Arial" w:cs="Arial"/>
          <w:color w:val="000000"/>
          <w:sz w:val="24"/>
          <w:szCs w:val="24"/>
          <w:shd w:val="clear" w:color="auto" w:fill="FFFFFF"/>
        </w:rPr>
        <w:t xml:space="preserve">Interest on the amount of </w:t>
      </w:r>
      <w:r w:rsidRPr="00651626">
        <w:rPr>
          <w:rFonts w:ascii="Arial" w:hAnsi="Arial" w:cs="Arial"/>
          <w:color w:val="000000"/>
          <w:sz w:val="24"/>
          <w:szCs w:val="24"/>
          <w:shd w:val="clear" w:color="auto" w:fill="FFFFFF"/>
        </w:rPr>
        <w:t xml:space="preserve">N$ 13 138 906.80 at </w:t>
      </w:r>
      <w:r>
        <w:rPr>
          <w:rFonts w:ascii="Arial" w:hAnsi="Arial" w:cs="Arial"/>
          <w:color w:val="000000"/>
          <w:sz w:val="24"/>
          <w:szCs w:val="24"/>
          <w:shd w:val="clear" w:color="auto" w:fill="FFFFFF"/>
        </w:rPr>
        <w:t xml:space="preserve">the rate of 13% per annum from </w:t>
      </w:r>
      <w:r w:rsidRPr="00651626">
        <w:rPr>
          <w:rFonts w:ascii="Arial" w:hAnsi="Arial" w:cs="Arial"/>
          <w:color w:val="000000"/>
          <w:sz w:val="24"/>
          <w:szCs w:val="24"/>
          <w:shd w:val="clear" w:color="auto" w:fill="FFFFFF"/>
        </w:rPr>
        <w:t>16 June 2020 until date of final payment in res</w:t>
      </w:r>
      <w:r>
        <w:rPr>
          <w:rFonts w:ascii="Arial" w:hAnsi="Arial" w:cs="Arial"/>
          <w:color w:val="000000"/>
          <w:sz w:val="24"/>
          <w:szCs w:val="24"/>
          <w:shd w:val="clear" w:color="auto" w:fill="FFFFFF"/>
        </w:rPr>
        <w:t>p</w:t>
      </w:r>
      <w:r w:rsidRPr="00651626">
        <w:rPr>
          <w:rFonts w:ascii="Arial" w:hAnsi="Arial" w:cs="Arial"/>
          <w:color w:val="000000"/>
          <w:sz w:val="24"/>
          <w:szCs w:val="24"/>
          <w:shd w:val="clear" w:color="auto" w:fill="FFFFFF"/>
        </w:rPr>
        <w:t>ect of the Plaintiff's claim for specific performance.</w:t>
      </w:r>
    </w:p>
    <w:p w:rsidR="009E09DD" w:rsidRDefault="009E09DD" w:rsidP="009E09DD">
      <w:pPr>
        <w:pStyle w:val="ListParagraph"/>
        <w:numPr>
          <w:ilvl w:val="0"/>
          <w:numId w:val="6"/>
        </w:numPr>
        <w:spacing w:after="0" w:line="360" w:lineRule="auto"/>
        <w:jc w:val="both"/>
        <w:rPr>
          <w:rFonts w:ascii="Arial" w:hAnsi="Arial" w:cs="Arial"/>
          <w:sz w:val="24"/>
          <w:szCs w:val="24"/>
        </w:rPr>
      </w:pPr>
      <w:r w:rsidRPr="00246381">
        <w:rPr>
          <w:rFonts w:ascii="Arial" w:hAnsi="Arial" w:cs="Arial"/>
          <w:sz w:val="24"/>
          <w:szCs w:val="24"/>
        </w:rPr>
        <w:t>Cost of one instructing and two instructed counsel where so employed.</w:t>
      </w:r>
    </w:p>
    <w:p w:rsidR="009E09DD" w:rsidRDefault="009E09DD" w:rsidP="009E09DD">
      <w:pPr>
        <w:pStyle w:val="ListParagraph"/>
        <w:spacing w:after="0" w:line="360" w:lineRule="auto"/>
        <w:ind w:left="0"/>
        <w:jc w:val="both"/>
        <w:rPr>
          <w:rFonts w:ascii="Arial" w:hAnsi="Arial" w:cs="Arial"/>
          <w:sz w:val="24"/>
          <w:szCs w:val="24"/>
        </w:rPr>
      </w:pPr>
    </w:p>
    <w:p w:rsidR="009E09DD" w:rsidRDefault="009E09DD" w:rsidP="009E09DD">
      <w:pPr>
        <w:pStyle w:val="ListParagraph"/>
        <w:spacing w:after="0" w:line="360" w:lineRule="auto"/>
        <w:ind w:left="0"/>
        <w:jc w:val="both"/>
        <w:rPr>
          <w:rFonts w:ascii="Arial" w:hAnsi="Arial" w:cs="Arial"/>
          <w:sz w:val="24"/>
          <w:szCs w:val="24"/>
        </w:rPr>
      </w:pPr>
    </w:p>
    <w:p w:rsidR="009E09DD" w:rsidRPr="00CE457E" w:rsidRDefault="009E09DD" w:rsidP="009E09DD">
      <w:pPr>
        <w:pStyle w:val="ListParagraph"/>
        <w:spacing w:after="0" w:line="360" w:lineRule="auto"/>
        <w:ind w:left="5040"/>
        <w:jc w:val="right"/>
        <w:rPr>
          <w:rFonts w:ascii="Arial" w:hAnsi="Arial" w:cs="Arial"/>
          <w:sz w:val="24"/>
          <w:szCs w:val="24"/>
        </w:rPr>
      </w:pPr>
      <w:r w:rsidRPr="00CE457E">
        <w:rPr>
          <w:rFonts w:ascii="Arial" w:hAnsi="Arial" w:cs="Arial"/>
          <w:sz w:val="24"/>
          <w:szCs w:val="24"/>
        </w:rPr>
        <w:t>_________________________</w:t>
      </w:r>
    </w:p>
    <w:p w:rsidR="009E09DD" w:rsidRPr="00CE457E" w:rsidRDefault="009E09DD" w:rsidP="009E09DD">
      <w:pPr>
        <w:pStyle w:val="ListParagraph"/>
        <w:spacing w:after="0" w:line="360" w:lineRule="auto"/>
        <w:ind w:left="5040"/>
        <w:jc w:val="right"/>
        <w:rPr>
          <w:rFonts w:ascii="Arial" w:hAnsi="Arial" w:cs="Arial"/>
          <w:sz w:val="24"/>
          <w:szCs w:val="24"/>
        </w:rPr>
      </w:pPr>
      <w:r w:rsidRPr="00CE457E">
        <w:rPr>
          <w:rFonts w:ascii="Arial" w:hAnsi="Arial" w:cs="Arial"/>
          <w:sz w:val="24"/>
          <w:szCs w:val="24"/>
        </w:rPr>
        <w:t>JS Prinsloo</w:t>
      </w:r>
    </w:p>
    <w:p w:rsidR="009E09DD" w:rsidRDefault="009E09DD" w:rsidP="009E09DD">
      <w:pPr>
        <w:pStyle w:val="ListParagraph"/>
        <w:spacing w:after="0" w:line="360" w:lineRule="auto"/>
        <w:ind w:left="5040"/>
        <w:jc w:val="right"/>
        <w:rPr>
          <w:rFonts w:ascii="Arial" w:hAnsi="Arial" w:cs="Arial"/>
          <w:sz w:val="24"/>
          <w:szCs w:val="24"/>
        </w:rPr>
      </w:pPr>
      <w:r w:rsidRPr="00CE457E">
        <w:rPr>
          <w:rFonts w:ascii="Arial" w:hAnsi="Arial" w:cs="Arial"/>
          <w:sz w:val="24"/>
          <w:szCs w:val="24"/>
        </w:rPr>
        <w:t>Judge</w:t>
      </w:r>
    </w:p>
    <w:p w:rsidR="009E09DD" w:rsidRDefault="009E09DD" w:rsidP="00F46384">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APPEARANCES:</w:t>
      </w:r>
    </w:p>
    <w:p w:rsidR="009E09DD" w:rsidRDefault="009E09DD" w:rsidP="009E09DD">
      <w:pPr>
        <w:pStyle w:val="ListParagraph"/>
        <w:spacing w:after="0" w:line="360" w:lineRule="auto"/>
        <w:ind w:left="0"/>
        <w:jc w:val="both"/>
        <w:rPr>
          <w:rFonts w:ascii="Arial" w:hAnsi="Arial" w:cs="Arial"/>
          <w:sz w:val="24"/>
          <w:szCs w:val="24"/>
        </w:rPr>
      </w:pPr>
    </w:p>
    <w:p w:rsidR="009E09DD" w:rsidRDefault="009E09DD" w:rsidP="009E09DD">
      <w:pPr>
        <w:pStyle w:val="ListParagraph"/>
        <w:spacing w:after="0" w:line="360" w:lineRule="auto"/>
        <w:ind w:left="0"/>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 Heathcote SC </w:t>
      </w:r>
    </w:p>
    <w:p w:rsidR="009E09DD" w:rsidRDefault="00F46384" w:rsidP="009E09DD">
      <w:pPr>
        <w:pStyle w:val="ListParagraph"/>
        <w:spacing w:after="0" w:line="360" w:lineRule="auto"/>
        <w:ind w:left="2880"/>
        <w:jc w:val="both"/>
        <w:rPr>
          <w:rFonts w:ascii="Arial" w:hAnsi="Arial" w:cs="Arial"/>
          <w:sz w:val="24"/>
          <w:szCs w:val="24"/>
        </w:rPr>
      </w:pPr>
      <w:r>
        <w:rPr>
          <w:rFonts w:ascii="Arial" w:hAnsi="Arial" w:cs="Arial"/>
          <w:sz w:val="24"/>
          <w:szCs w:val="24"/>
        </w:rPr>
        <w:t>On</w:t>
      </w:r>
      <w:r w:rsidR="009E09DD">
        <w:rPr>
          <w:rFonts w:ascii="Arial" w:hAnsi="Arial" w:cs="Arial"/>
          <w:sz w:val="24"/>
          <w:szCs w:val="24"/>
        </w:rPr>
        <w:t xml:space="preserve"> the instructions of Francois Erasmus and Partners,</w:t>
      </w:r>
    </w:p>
    <w:p w:rsidR="009E09DD" w:rsidRDefault="009E09DD" w:rsidP="009E09DD">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569C">
        <w:rPr>
          <w:rFonts w:ascii="Arial" w:hAnsi="Arial" w:cs="Arial"/>
          <w:sz w:val="24"/>
          <w:szCs w:val="24"/>
        </w:rPr>
        <w:t>Windhoek</w:t>
      </w:r>
    </w:p>
    <w:p w:rsidR="009E09DD" w:rsidRDefault="009E09DD" w:rsidP="009E09DD">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09DD" w:rsidRDefault="009E09DD" w:rsidP="009E09DD">
      <w:pPr>
        <w:pStyle w:val="ListParagraph"/>
        <w:spacing w:after="0" w:line="360" w:lineRule="auto"/>
        <w:ind w:left="0"/>
        <w:jc w:val="both"/>
        <w:rPr>
          <w:rFonts w:ascii="Arial" w:hAnsi="Arial" w:cs="Arial"/>
          <w:sz w:val="24"/>
          <w:szCs w:val="24"/>
        </w:rPr>
      </w:pPr>
    </w:p>
    <w:p w:rsidR="009E09DD" w:rsidRDefault="009E09DD" w:rsidP="009E09DD">
      <w:pPr>
        <w:pStyle w:val="ListParagraph"/>
        <w:spacing w:after="0" w:line="360" w:lineRule="auto"/>
        <w:ind w:left="0"/>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t xml:space="preserve">M Fitzgerald SC </w:t>
      </w:r>
    </w:p>
    <w:p w:rsidR="009E09DD" w:rsidRDefault="00F46384" w:rsidP="00F233E8">
      <w:pPr>
        <w:spacing w:after="0" w:line="360" w:lineRule="auto"/>
        <w:ind w:left="2160" w:firstLine="720"/>
        <w:jc w:val="both"/>
        <w:rPr>
          <w:rFonts w:ascii="Arial" w:hAnsi="Arial" w:cs="Arial"/>
          <w:sz w:val="24"/>
          <w:szCs w:val="24"/>
        </w:rPr>
      </w:pPr>
      <w:r>
        <w:rPr>
          <w:rFonts w:ascii="Arial" w:hAnsi="Arial" w:cs="Arial"/>
          <w:sz w:val="24"/>
          <w:szCs w:val="24"/>
        </w:rPr>
        <w:t>On</w:t>
      </w:r>
      <w:r w:rsidR="009E09DD" w:rsidRPr="00F233E8">
        <w:rPr>
          <w:rFonts w:ascii="Arial" w:hAnsi="Arial" w:cs="Arial"/>
          <w:sz w:val="24"/>
          <w:szCs w:val="24"/>
        </w:rPr>
        <w:t xml:space="preserve"> the instructions of </w:t>
      </w:r>
      <w:r w:rsidR="009E09DD">
        <w:rPr>
          <w:rFonts w:ascii="Arial" w:hAnsi="Arial" w:cs="Arial"/>
          <w:sz w:val="24"/>
          <w:szCs w:val="24"/>
        </w:rPr>
        <w:t xml:space="preserve">Ellis </w:t>
      </w:r>
      <w:proofErr w:type="spellStart"/>
      <w:r w:rsidR="009E09DD">
        <w:rPr>
          <w:rFonts w:ascii="Arial" w:hAnsi="Arial" w:cs="Arial"/>
          <w:sz w:val="24"/>
          <w:szCs w:val="24"/>
        </w:rPr>
        <w:t>Shilengudwa</w:t>
      </w:r>
      <w:proofErr w:type="spellEnd"/>
      <w:r w:rsidR="009E09DD">
        <w:rPr>
          <w:rFonts w:ascii="Arial" w:hAnsi="Arial" w:cs="Arial"/>
          <w:sz w:val="24"/>
          <w:szCs w:val="24"/>
        </w:rPr>
        <w:t xml:space="preserve"> </w:t>
      </w:r>
      <w:proofErr w:type="spellStart"/>
      <w:r w:rsidR="009E09DD">
        <w:rPr>
          <w:rFonts w:ascii="Arial" w:hAnsi="Arial" w:cs="Arial"/>
          <w:sz w:val="24"/>
          <w:szCs w:val="24"/>
        </w:rPr>
        <w:t>Inc</w:t>
      </w:r>
      <w:proofErr w:type="spellEnd"/>
    </w:p>
    <w:p w:rsidR="009E09DD" w:rsidRDefault="0033569C" w:rsidP="009E09DD">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3569C">
        <w:rPr>
          <w:rFonts w:ascii="Arial" w:hAnsi="Arial" w:cs="Arial"/>
          <w:sz w:val="24"/>
          <w:szCs w:val="24"/>
        </w:rPr>
        <w:t>Windhoek</w:t>
      </w:r>
    </w:p>
    <w:p w:rsidR="000C5AB8" w:rsidRPr="000C5AB8" w:rsidRDefault="000C5AB8" w:rsidP="009E09DD">
      <w:pPr>
        <w:spacing w:after="0" w:line="360" w:lineRule="auto"/>
        <w:jc w:val="both"/>
        <w:rPr>
          <w:rFonts w:ascii="Arial" w:hAnsi="Arial" w:cs="Arial"/>
          <w:sz w:val="24"/>
          <w:szCs w:val="24"/>
        </w:rPr>
      </w:pPr>
    </w:p>
    <w:sectPr w:rsidR="000C5AB8" w:rsidRPr="000C5AB8" w:rsidSect="00193B9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E5" w:rsidRDefault="00B941E5" w:rsidP="008F676D">
      <w:pPr>
        <w:spacing w:after="0" w:line="240" w:lineRule="auto"/>
      </w:pPr>
      <w:r>
        <w:separator/>
      </w:r>
    </w:p>
  </w:endnote>
  <w:endnote w:type="continuationSeparator" w:id="0">
    <w:p w:rsidR="00B941E5" w:rsidRDefault="00B941E5" w:rsidP="008F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E5" w:rsidRDefault="00B941E5" w:rsidP="008F676D">
      <w:pPr>
        <w:spacing w:after="0" w:line="240" w:lineRule="auto"/>
      </w:pPr>
      <w:r>
        <w:separator/>
      </w:r>
    </w:p>
  </w:footnote>
  <w:footnote w:type="continuationSeparator" w:id="0">
    <w:p w:rsidR="00B941E5" w:rsidRDefault="00B941E5" w:rsidP="008F676D">
      <w:pPr>
        <w:spacing w:after="0" w:line="240" w:lineRule="auto"/>
      </w:pPr>
      <w:r>
        <w:continuationSeparator/>
      </w:r>
    </w:p>
  </w:footnote>
  <w:footnote w:id="1">
    <w:p w:rsidR="008D4905" w:rsidRPr="00B94F98" w:rsidRDefault="008D4905">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The Director and CEO of SME Bank </w:t>
      </w:r>
      <w:r w:rsidR="00C100D2" w:rsidRPr="00C04129">
        <w:rPr>
          <w:rFonts w:ascii="Arial" w:hAnsi="Arial" w:cs="Arial"/>
        </w:rPr>
        <w:t xml:space="preserve">as of </w:t>
      </w:r>
      <w:r w:rsidRPr="00B94F98">
        <w:rPr>
          <w:rFonts w:ascii="Arial" w:hAnsi="Arial" w:cs="Arial"/>
        </w:rPr>
        <w:t>2012 until Bank of Namibia took over management of the SME Bank on 1 March 2017</w:t>
      </w:r>
      <w:r w:rsidR="00B94F98" w:rsidRPr="00B94F98">
        <w:rPr>
          <w:rFonts w:ascii="Arial" w:hAnsi="Arial" w:cs="Arial"/>
        </w:rPr>
        <w:t>.</w:t>
      </w:r>
    </w:p>
  </w:footnote>
  <w:footnote w:id="2">
    <w:p w:rsidR="00B83A7E" w:rsidRPr="00B94F98" w:rsidRDefault="00B83A7E">
      <w:pPr>
        <w:pStyle w:val="FootnoteText"/>
        <w:rPr>
          <w:rFonts w:ascii="Arial" w:hAnsi="Arial" w:cs="Arial"/>
        </w:rPr>
      </w:pPr>
      <w:r w:rsidRPr="00B94F98">
        <w:rPr>
          <w:rStyle w:val="FootnoteReference"/>
          <w:rFonts w:ascii="Arial" w:hAnsi="Arial" w:cs="Arial"/>
        </w:rPr>
        <w:footnoteRef/>
      </w:r>
      <w:r w:rsidR="00A368A9">
        <w:rPr>
          <w:rFonts w:ascii="Arial" w:hAnsi="Arial" w:cs="Arial"/>
        </w:rPr>
        <w:t xml:space="preserve"> Act 28 o</w:t>
      </w:r>
      <w:r w:rsidRPr="00B94F98">
        <w:rPr>
          <w:rFonts w:ascii="Arial" w:hAnsi="Arial" w:cs="Arial"/>
        </w:rPr>
        <w:t>f 2004</w:t>
      </w:r>
      <w:r w:rsidR="0033569C">
        <w:rPr>
          <w:rFonts w:ascii="Arial" w:hAnsi="Arial" w:cs="Arial"/>
        </w:rPr>
        <w:t>.</w:t>
      </w:r>
    </w:p>
  </w:footnote>
  <w:footnote w:id="3">
    <w:p w:rsidR="00651626" w:rsidRPr="00B94F98" w:rsidRDefault="00651626" w:rsidP="00651626">
      <w:pPr>
        <w:pStyle w:val="FootnoteText"/>
        <w:jc w:val="both"/>
        <w:rPr>
          <w:rFonts w:ascii="Arial" w:hAnsi="Arial" w:cs="Arial"/>
        </w:rPr>
      </w:pPr>
      <w:r w:rsidRPr="00B94F98">
        <w:rPr>
          <w:rStyle w:val="FootnoteReference"/>
          <w:rFonts w:ascii="Arial" w:hAnsi="Arial" w:cs="Arial"/>
        </w:rPr>
        <w:footnoteRef/>
      </w:r>
      <w:r w:rsidRPr="00B94F98">
        <w:rPr>
          <w:rFonts w:ascii="Arial" w:hAnsi="Arial" w:cs="Arial"/>
        </w:rPr>
        <w:t xml:space="preserve"> Calculated as follows: Capital advanced on 24 March 2015</w:t>
      </w:r>
      <w:r w:rsidR="00146D27">
        <w:rPr>
          <w:rFonts w:ascii="Arial" w:hAnsi="Arial" w:cs="Arial"/>
        </w:rPr>
        <w:t xml:space="preserve">: N$ 10 000 </w:t>
      </w:r>
      <w:r w:rsidRPr="00B94F98">
        <w:rPr>
          <w:rFonts w:ascii="Arial" w:hAnsi="Arial" w:cs="Arial"/>
        </w:rPr>
        <w:t>000 plu</w:t>
      </w:r>
      <w:r w:rsidR="00146D27">
        <w:rPr>
          <w:rFonts w:ascii="Arial" w:hAnsi="Arial" w:cs="Arial"/>
        </w:rPr>
        <w:t>s 13% per annum from 24/03/2015</w:t>
      </w:r>
      <w:r w:rsidRPr="00B94F98">
        <w:rPr>
          <w:rFonts w:ascii="Arial" w:hAnsi="Arial" w:cs="Arial"/>
        </w:rPr>
        <w:t xml:space="preserve"> to</w:t>
      </w:r>
      <w:r w:rsidR="00146D27">
        <w:rPr>
          <w:rFonts w:ascii="Arial" w:hAnsi="Arial" w:cs="Arial"/>
        </w:rPr>
        <w:t xml:space="preserve"> 06/04/2017 minus N$ 1 300 </w:t>
      </w:r>
      <w:r w:rsidRPr="00B94F98">
        <w:rPr>
          <w:rFonts w:ascii="Arial" w:hAnsi="Arial" w:cs="Arial"/>
        </w:rPr>
        <w:t>000 paid on 7/04/2017, plus interest from 08/04</w:t>
      </w:r>
      <w:r w:rsidR="00146D27">
        <w:rPr>
          <w:rFonts w:ascii="Arial" w:hAnsi="Arial" w:cs="Arial"/>
        </w:rPr>
        <w:t xml:space="preserve">/2017 to 19/06/2017, minus N$ 3 598 </w:t>
      </w:r>
      <w:r w:rsidRPr="00B94F98">
        <w:rPr>
          <w:rFonts w:ascii="Arial" w:hAnsi="Arial" w:cs="Arial"/>
        </w:rPr>
        <w:t xml:space="preserve">741 on 20/06/2017, plus interest at 13% from 21/06/2017 to </w:t>
      </w:r>
      <w:r w:rsidR="00146D27">
        <w:rPr>
          <w:rFonts w:ascii="Arial" w:hAnsi="Arial" w:cs="Arial"/>
        </w:rPr>
        <w:t xml:space="preserve">27/06/2017, less payment of N$ </w:t>
      </w:r>
      <w:r w:rsidRPr="00B94F98">
        <w:rPr>
          <w:rFonts w:ascii="Arial" w:hAnsi="Arial" w:cs="Arial"/>
        </w:rPr>
        <w:t>48 296.45 on 28/06/2017, plus further interest at 13% per annum from 29/06/2017 to 16/06/2017.</w:t>
      </w:r>
    </w:p>
  </w:footnote>
  <w:footnote w:id="4">
    <w:p w:rsidR="00130338" w:rsidRPr="00B94F98" w:rsidRDefault="00130338" w:rsidP="00130338">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Act 2 of 1998</w:t>
      </w:r>
      <w:r w:rsidR="00B94F98" w:rsidRPr="00B94F98">
        <w:rPr>
          <w:rFonts w:ascii="Arial" w:hAnsi="Arial" w:cs="Arial"/>
        </w:rPr>
        <w:t>.</w:t>
      </w:r>
    </w:p>
  </w:footnote>
  <w:footnote w:id="5">
    <w:p w:rsidR="00506E1F" w:rsidRPr="00B94F98" w:rsidRDefault="00506E1F" w:rsidP="00506E1F">
      <w:pPr>
        <w:pStyle w:val="FootnoteText"/>
        <w:jc w:val="both"/>
        <w:rPr>
          <w:rFonts w:ascii="Arial" w:hAnsi="Arial" w:cs="Arial"/>
        </w:rPr>
      </w:pPr>
      <w:r w:rsidRPr="00B94F98">
        <w:rPr>
          <w:rStyle w:val="FootnoteReference"/>
          <w:rFonts w:ascii="Arial" w:hAnsi="Arial" w:cs="Arial"/>
        </w:rPr>
        <w:footnoteRef/>
      </w:r>
      <w:r w:rsidRPr="00B94F98">
        <w:rPr>
          <w:rFonts w:ascii="Arial" w:hAnsi="Arial" w:cs="Arial"/>
        </w:rPr>
        <w:t xml:space="preserve"> 39. (1) A banking institution shall only conduct financial business or transactions which are usually or ordinarily conducted by banking institutions in terms of this Act or of any other law. (2) A banking institution shall not, subject to subsection (6), conduct, or have any direct interest in, any activities relating to merchandise, trade, industry, insurance, mining, agriculture, fisheries or commerce unless such activities - (a) are permitted in terms of subsection (1); or (b) may, in exceptional circumstances, be necessary in the course of - (</w:t>
      </w:r>
      <w:proofErr w:type="spellStart"/>
      <w:r w:rsidRPr="00B94F98">
        <w:rPr>
          <w:rFonts w:ascii="Arial" w:hAnsi="Arial" w:cs="Arial"/>
        </w:rPr>
        <w:t>i</w:t>
      </w:r>
      <w:proofErr w:type="spellEnd"/>
      <w:r w:rsidRPr="00B94F98">
        <w:rPr>
          <w:rFonts w:ascii="Arial" w:hAnsi="Arial" w:cs="Arial"/>
        </w:rPr>
        <w:t>) the banking business of the banking institution, or in the course of the satisfaction of debts which may be incurred as a result of such banking business; or (ii) any trusteeship or the administration of the estate of a deceased person</w:t>
      </w:r>
      <w:r w:rsidR="00665485">
        <w:rPr>
          <w:rFonts w:ascii="Arial" w:hAnsi="Arial" w:cs="Arial"/>
        </w:rPr>
        <w:t>.</w:t>
      </w:r>
    </w:p>
  </w:footnote>
  <w:footnote w:id="6">
    <w:p w:rsidR="00506E1F" w:rsidRPr="00B94F98" w:rsidRDefault="00506E1F" w:rsidP="00506E1F">
      <w:pPr>
        <w:pStyle w:val="FootnoteText"/>
        <w:jc w:val="both"/>
        <w:rPr>
          <w:rFonts w:ascii="Arial" w:hAnsi="Arial" w:cs="Arial"/>
        </w:rPr>
      </w:pPr>
      <w:r w:rsidRPr="00B94F98">
        <w:rPr>
          <w:rStyle w:val="FootnoteReference"/>
          <w:rFonts w:ascii="Arial" w:hAnsi="Arial" w:cs="Arial"/>
        </w:rPr>
        <w:footnoteRef/>
      </w:r>
      <w:r w:rsidRPr="00B94F98">
        <w:rPr>
          <w:rFonts w:ascii="Arial" w:hAnsi="Arial" w:cs="Arial"/>
        </w:rPr>
        <w:t xml:space="preserve"> (2) A banking institution shall not, subject to subsection (6), conduct, or have any direct interest in, any activities relating to merchandise, trade, industry, insurance, mining, agriculture, fisheries or commerce unless such activities - (a) are permitted in terms of subsection (1); or (b) may, in exceptional circumstances, be necessary in the course of - (</w:t>
      </w:r>
      <w:proofErr w:type="spellStart"/>
      <w:r w:rsidRPr="00B94F98">
        <w:rPr>
          <w:rFonts w:ascii="Arial" w:hAnsi="Arial" w:cs="Arial"/>
        </w:rPr>
        <w:t>i</w:t>
      </w:r>
      <w:proofErr w:type="spellEnd"/>
      <w:r w:rsidRPr="00B94F98">
        <w:rPr>
          <w:rFonts w:ascii="Arial" w:hAnsi="Arial" w:cs="Arial"/>
        </w:rPr>
        <w:t>) the banking business of the banking institution, or in the course of the satisfaction of debts which may be incurred as a result of such banking business; or (ii) any trusteeship or the administration of the estate of a deceased person</w:t>
      </w:r>
      <w:r w:rsidR="00665485">
        <w:rPr>
          <w:rFonts w:ascii="Arial" w:hAnsi="Arial" w:cs="Arial"/>
        </w:rPr>
        <w:t>.</w:t>
      </w:r>
    </w:p>
  </w:footnote>
  <w:footnote w:id="7">
    <w:p w:rsidR="00506E1F" w:rsidRPr="00B94F98" w:rsidRDefault="00506E1F" w:rsidP="00506E1F">
      <w:pPr>
        <w:pStyle w:val="FootnoteText"/>
        <w:jc w:val="both"/>
        <w:rPr>
          <w:rFonts w:ascii="Arial" w:hAnsi="Arial" w:cs="Arial"/>
        </w:rPr>
      </w:pPr>
      <w:r w:rsidRPr="00B94F98">
        <w:rPr>
          <w:rStyle w:val="FootnoteReference"/>
          <w:rFonts w:ascii="Arial" w:hAnsi="Arial" w:cs="Arial"/>
        </w:rPr>
        <w:footnoteRef/>
      </w:r>
      <w:r w:rsidRPr="00B94F98">
        <w:rPr>
          <w:rFonts w:ascii="Arial" w:hAnsi="Arial" w:cs="Arial"/>
        </w:rPr>
        <w:t xml:space="preserve"> 73. (1) A banking institution or controlling company which contravenes or fails to comply with - (a) any provision of section 8(2), 12(2), 12D and 12E, 14, 16(1), 19(1) or (4), 20(1)(a), (2)(a) or (5), 21(1), (4), (6) or (7), 27(2), 30(1)(a), (b) or (c), 31(2) or (3), 32, 35, 36(1), 37(</w:t>
      </w:r>
      <w:r w:rsidRPr="00665485">
        <w:rPr>
          <w:rFonts w:ascii="Arial" w:hAnsi="Arial" w:cs="Arial"/>
        </w:rPr>
        <w:t>1), 39(1) or (2), 40(1) or (2), 41(1) or (2), 42(2) or (4), 43(1) or (2), 45(4), 46(1) or (2)(a), 47(2)(b) or (3), 48, 53(1), 54(1), 55(</w:t>
      </w:r>
      <w:r w:rsidRPr="00B94F98">
        <w:rPr>
          <w:rFonts w:ascii="Arial" w:hAnsi="Arial" w:cs="Arial"/>
        </w:rPr>
        <w:t>1), 61(1), 62(1) or 63; or (b) any notice, demand, instruction or request made or issued under any section referred to in paragraph (a); or (c) any order, direction or instruction made or issued under section 6(2)(f), 8(4)(b), 15(5), 39(4) or 52(9); or (d) any condition or requirement laid down under section 8(3), or (4), 36(2), 47(5), 49(5) or 50, shall be guilty of an offence.</w:t>
      </w:r>
    </w:p>
  </w:footnote>
  <w:footnote w:id="8">
    <w:p w:rsidR="000E71E0" w:rsidRPr="00B94F98" w:rsidRDefault="000E71E0">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Under case number HC-MD-CIV-MOT-EXP-2018/00041</w:t>
      </w:r>
      <w:r w:rsidR="00B94F98">
        <w:rPr>
          <w:rFonts w:ascii="Arial" w:hAnsi="Arial" w:cs="Arial"/>
        </w:rPr>
        <w:t>.</w:t>
      </w:r>
    </w:p>
  </w:footnote>
  <w:footnote w:id="9">
    <w:p w:rsidR="002053C8" w:rsidRPr="00B94F98" w:rsidRDefault="002053C8">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1998 NR 198</w:t>
      </w:r>
      <w:r w:rsidR="00930F4D">
        <w:rPr>
          <w:rFonts w:ascii="Arial" w:hAnsi="Arial" w:cs="Arial"/>
        </w:rPr>
        <w:t>.</w:t>
      </w:r>
    </w:p>
  </w:footnote>
  <w:footnote w:id="10">
    <w:p w:rsidR="006C78D2" w:rsidRPr="00B94F98" w:rsidRDefault="006C78D2" w:rsidP="006C78D2">
      <w:pPr>
        <w:pStyle w:val="FootnoteText"/>
        <w:jc w:val="both"/>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Pr="00B94F98">
        <w:rPr>
          <w:rFonts w:ascii="Arial" w:hAnsi="Arial" w:cs="Arial"/>
          <w:color w:val="202124"/>
          <w:shd w:val="clear" w:color="auto" w:fill="FFFFFF"/>
        </w:rPr>
        <w:t xml:space="preserve">It is a descriptive phrase that indicates that parties involved in an action are equally culpable for the wrong committed. In simple terms, when the parties to a legal controversy are </w:t>
      </w:r>
      <w:r w:rsidR="00930F4D">
        <w:rPr>
          <w:rFonts w:ascii="Arial" w:hAnsi="Arial" w:cs="Arial"/>
          <w:color w:val="202124"/>
          <w:shd w:val="clear" w:color="auto" w:fill="FFFFFF"/>
        </w:rPr>
        <w:t xml:space="preserve">in </w:t>
      </w:r>
      <w:r w:rsidRPr="00930F4D">
        <w:rPr>
          <w:rFonts w:ascii="Arial" w:hAnsi="Arial" w:cs="Arial"/>
          <w:bCs/>
          <w:color w:val="202124"/>
          <w:shd w:val="clear" w:color="auto" w:fill="FFFFFF"/>
        </w:rPr>
        <w:t xml:space="preserve">par </w:t>
      </w:r>
      <w:proofErr w:type="spellStart"/>
      <w:r w:rsidRPr="00930F4D">
        <w:rPr>
          <w:rFonts w:ascii="Arial" w:hAnsi="Arial" w:cs="Arial"/>
          <w:bCs/>
          <w:color w:val="202124"/>
          <w:shd w:val="clear" w:color="auto" w:fill="FFFFFF"/>
        </w:rPr>
        <w:t>delictum</w:t>
      </w:r>
      <w:proofErr w:type="spellEnd"/>
      <w:r w:rsidRPr="00930F4D">
        <w:rPr>
          <w:rFonts w:ascii="Arial" w:hAnsi="Arial" w:cs="Arial"/>
          <w:color w:val="202124"/>
          <w:shd w:val="clear" w:color="auto" w:fill="FFFFFF"/>
        </w:rPr>
        <w:t>, neither</w:t>
      </w:r>
      <w:r w:rsidRPr="00B94F98">
        <w:rPr>
          <w:rFonts w:ascii="Arial" w:hAnsi="Arial" w:cs="Arial"/>
          <w:color w:val="202124"/>
          <w:shd w:val="clear" w:color="auto" w:fill="FFFFFF"/>
        </w:rPr>
        <w:t xml:space="preserve"> can they obtain affirmative relief from the court, since both are at equal fault or of equal guilty.</w:t>
      </w:r>
    </w:p>
  </w:footnote>
  <w:footnote w:id="11">
    <w:p w:rsidR="006C78D2" w:rsidRPr="00B94F98" w:rsidRDefault="006C78D2" w:rsidP="00416510">
      <w:pPr>
        <w:pStyle w:val="FootnoteText"/>
        <w:jc w:val="both"/>
        <w:rPr>
          <w:rFonts w:ascii="Arial" w:hAnsi="Arial" w:cs="Arial"/>
        </w:rPr>
      </w:pPr>
      <w:r w:rsidRPr="00930F4D">
        <w:rPr>
          <w:rStyle w:val="FootnoteReference"/>
          <w:rFonts w:ascii="Arial" w:hAnsi="Arial" w:cs="Arial"/>
        </w:rPr>
        <w:footnoteRef/>
      </w:r>
      <w:r w:rsidRPr="00930F4D">
        <w:rPr>
          <w:rFonts w:ascii="Arial" w:hAnsi="Arial" w:cs="Arial"/>
        </w:rPr>
        <w:t xml:space="preserve"> </w:t>
      </w:r>
      <w:r w:rsidRPr="00A07B15">
        <w:rPr>
          <w:rFonts w:ascii="Arial" w:hAnsi="Arial" w:cs="Arial"/>
          <w:bCs/>
          <w:i/>
          <w:color w:val="202124"/>
          <w:shd w:val="clear" w:color="auto" w:fill="FFFFFF"/>
        </w:rPr>
        <w:t xml:space="preserve">Ex </w:t>
      </w:r>
      <w:proofErr w:type="spellStart"/>
      <w:r w:rsidRPr="00A07B15">
        <w:rPr>
          <w:rFonts w:ascii="Arial" w:hAnsi="Arial" w:cs="Arial"/>
          <w:bCs/>
          <w:i/>
          <w:color w:val="202124"/>
          <w:shd w:val="clear" w:color="auto" w:fill="FFFFFF"/>
        </w:rPr>
        <w:t>turpi</w:t>
      </w:r>
      <w:proofErr w:type="spellEnd"/>
      <w:r w:rsidR="00930F4D" w:rsidRPr="00A07B15">
        <w:rPr>
          <w:rFonts w:ascii="Arial" w:hAnsi="Arial" w:cs="Arial"/>
          <w:i/>
          <w:color w:val="202124"/>
          <w:shd w:val="clear" w:color="auto" w:fill="FFFFFF"/>
        </w:rPr>
        <w:t xml:space="preserve"> </w:t>
      </w:r>
      <w:r w:rsidRPr="00A07B15">
        <w:rPr>
          <w:rFonts w:ascii="Arial" w:hAnsi="Arial" w:cs="Arial"/>
          <w:i/>
          <w:color w:val="202124"/>
          <w:shd w:val="clear" w:color="auto" w:fill="FFFFFF"/>
        </w:rPr>
        <w:t xml:space="preserve">causa non </w:t>
      </w:r>
      <w:proofErr w:type="spellStart"/>
      <w:r w:rsidRPr="00A07B15">
        <w:rPr>
          <w:rFonts w:ascii="Arial" w:hAnsi="Arial" w:cs="Arial"/>
          <w:i/>
          <w:color w:val="202124"/>
          <w:shd w:val="clear" w:color="auto" w:fill="FFFFFF"/>
        </w:rPr>
        <w:t>oritur</w:t>
      </w:r>
      <w:proofErr w:type="spellEnd"/>
      <w:r w:rsidRPr="00A07B15">
        <w:rPr>
          <w:rFonts w:ascii="Arial" w:hAnsi="Arial" w:cs="Arial"/>
          <w:i/>
          <w:color w:val="202124"/>
          <w:shd w:val="clear" w:color="auto" w:fill="FFFFFF"/>
        </w:rPr>
        <w:t xml:space="preserve"> </w:t>
      </w:r>
      <w:proofErr w:type="spellStart"/>
      <w:r w:rsidRPr="00A07B15">
        <w:rPr>
          <w:rFonts w:ascii="Arial" w:hAnsi="Arial" w:cs="Arial"/>
          <w:i/>
          <w:color w:val="202124"/>
          <w:shd w:val="clear" w:color="auto" w:fill="FFFFFF"/>
        </w:rPr>
        <w:t>actio</w:t>
      </w:r>
      <w:proofErr w:type="spellEnd"/>
      <w:r w:rsidRPr="00B94F98">
        <w:rPr>
          <w:rFonts w:ascii="Arial" w:hAnsi="Arial" w:cs="Arial"/>
          <w:color w:val="202124"/>
          <w:shd w:val="clear" w:color="auto" w:fill="FFFFFF"/>
        </w:rPr>
        <w:t xml:space="preserve"> (Latin "from a </w:t>
      </w:r>
      <w:proofErr w:type="spellStart"/>
      <w:r w:rsidRPr="00B94F98">
        <w:rPr>
          <w:rFonts w:ascii="Arial" w:hAnsi="Arial" w:cs="Arial"/>
          <w:color w:val="202124"/>
          <w:shd w:val="clear" w:color="auto" w:fill="FFFFFF"/>
        </w:rPr>
        <w:t>dishonorable</w:t>
      </w:r>
      <w:proofErr w:type="spellEnd"/>
      <w:r w:rsidRPr="00B94F98">
        <w:rPr>
          <w:rFonts w:ascii="Arial" w:hAnsi="Arial" w:cs="Arial"/>
          <w:color w:val="202124"/>
          <w:shd w:val="clear" w:color="auto" w:fill="FFFFFF"/>
        </w:rPr>
        <w:t xml:space="preserve"> cause</w:t>
      </w:r>
      <w:r w:rsidR="00A07B15">
        <w:rPr>
          <w:rFonts w:ascii="Arial" w:hAnsi="Arial" w:cs="Arial"/>
          <w:color w:val="202124"/>
          <w:shd w:val="clear" w:color="auto" w:fill="FFFFFF"/>
        </w:rPr>
        <w:t>,</w:t>
      </w:r>
      <w:r w:rsidRPr="00B94F98">
        <w:rPr>
          <w:rFonts w:ascii="Arial" w:hAnsi="Arial" w:cs="Arial"/>
          <w:color w:val="202124"/>
          <w:shd w:val="clear" w:color="auto" w:fill="FFFFFF"/>
        </w:rPr>
        <w:t xml:space="preserve"> an action does not arise") is a legal doctrine which states that a plaintiff will be unable to pursue legal remedy if it arises in connection with his own illegal act.</w:t>
      </w:r>
    </w:p>
  </w:footnote>
  <w:footnote w:id="12">
    <w:p w:rsidR="00416510" w:rsidRPr="00B94F98" w:rsidRDefault="00416510" w:rsidP="00416510">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Pr="00B94F98">
        <w:rPr>
          <w:rFonts w:ascii="Arial" w:eastAsia="Times New Roman" w:hAnsi="Arial" w:cs="Arial"/>
          <w:kern w:val="36"/>
          <w:lang w:eastAsia="en-ZA"/>
        </w:rPr>
        <w:t>(SA 41/2016) [2018] NASC 3 (06 February 2018)</w:t>
      </w:r>
      <w:r w:rsidR="00930F4D">
        <w:rPr>
          <w:rFonts w:ascii="Arial" w:eastAsia="Times New Roman" w:hAnsi="Arial" w:cs="Arial"/>
          <w:kern w:val="36"/>
          <w:lang w:eastAsia="en-ZA"/>
        </w:rPr>
        <w:t>.</w:t>
      </w:r>
    </w:p>
  </w:footnote>
  <w:footnote w:id="13">
    <w:p w:rsidR="00FF40CC" w:rsidRPr="00B94F98" w:rsidRDefault="00FF40CC">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2016 UKSC 42 [2017] AC 468</w:t>
      </w:r>
      <w:r w:rsidR="001449A6" w:rsidRPr="00B94F98">
        <w:rPr>
          <w:rFonts w:ascii="Arial" w:hAnsi="Arial" w:cs="Arial"/>
        </w:rPr>
        <w:t>.</w:t>
      </w:r>
    </w:p>
  </w:footnote>
  <w:footnote w:id="14">
    <w:p w:rsidR="001449A6" w:rsidRPr="00B94F98" w:rsidRDefault="001449A6">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2009 (2) SA 127 (SCA).</w:t>
      </w:r>
    </w:p>
  </w:footnote>
  <w:footnote w:id="15">
    <w:p w:rsidR="00D50108" w:rsidRPr="00B94F98" w:rsidRDefault="00D50108">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00930F4D">
        <w:rPr>
          <w:rFonts w:ascii="Arial" w:hAnsi="Arial" w:cs="Arial"/>
        </w:rPr>
        <w:t xml:space="preserve">2007 (1) NR 375 (HC) </w:t>
      </w:r>
      <w:r w:rsidRPr="00B94F98">
        <w:rPr>
          <w:rFonts w:ascii="Arial" w:hAnsi="Arial" w:cs="Arial"/>
        </w:rPr>
        <w:t>par</w:t>
      </w:r>
      <w:r w:rsidR="00930F4D">
        <w:rPr>
          <w:rFonts w:ascii="Arial" w:hAnsi="Arial" w:cs="Arial"/>
        </w:rPr>
        <w:t>a</w:t>
      </w:r>
      <w:r w:rsidRPr="00B94F98">
        <w:rPr>
          <w:rFonts w:ascii="Arial" w:hAnsi="Arial" w:cs="Arial"/>
        </w:rPr>
        <w:t xml:space="preserve"> 13</w:t>
      </w:r>
      <w:r w:rsidR="00930F4D">
        <w:rPr>
          <w:rFonts w:ascii="Arial" w:hAnsi="Arial" w:cs="Arial"/>
        </w:rPr>
        <w:t>.</w:t>
      </w:r>
    </w:p>
  </w:footnote>
  <w:footnote w:id="16">
    <w:p w:rsidR="00A0466B" w:rsidRPr="00B94F98" w:rsidRDefault="00A0466B">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00D2499F" w:rsidRPr="00B94F98">
        <w:rPr>
          <w:rFonts w:ascii="Arial" w:hAnsi="Arial" w:cs="Arial"/>
        </w:rPr>
        <w:t>1956 (2) SA 736 (C)</w:t>
      </w:r>
      <w:r w:rsidR="00930F4D">
        <w:rPr>
          <w:rFonts w:ascii="Arial" w:hAnsi="Arial" w:cs="Arial"/>
        </w:rPr>
        <w:t>.</w:t>
      </w:r>
    </w:p>
  </w:footnote>
  <w:footnote w:id="17">
    <w:p w:rsidR="0096452D" w:rsidRPr="00B94F98" w:rsidRDefault="0096452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1992 (2) SA 295 (W).</w:t>
      </w:r>
    </w:p>
  </w:footnote>
  <w:footnote w:id="18">
    <w:p w:rsidR="000E77CB" w:rsidRPr="00B94F98" w:rsidRDefault="000E77CB">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Act 13 of 1979</w:t>
      </w:r>
      <w:r w:rsidR="0033569C">
        <w:rPr>
          <w:rFonts w:ascii="Arial" w:hAnsi="Arial" w:cs="Arial"/>
        </w:rPr>
        <w:t>.</w:t>
      </w:r>
    </w:p>
  </w:footnote>
  <w:footnote w:id="19">
    <w:p w:rsidR="006E78AD" w:rsidRPr="00B94F98" w:rsidRDefault="006E78A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Supra at footnote 14.</w:t>
      </w:r>
    </w:p>
  </w:footnote>
  <w:footnote w:id="20">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proofErr w:type="spellStart"/>
      <w:r w:rsidRPr="00B94F98">
        <w:rPr>
          <w:rFonts w:ascii="Arial" w:hAnsi="Arial" w:cs="Arial"/>
        </w:rPr>
        <w:t>Herbstein</w:t>
      </w:r>
      <w:proofErr w:type="spellEnd"/>
      <w:r w:rsidRPr="00B94F98">
        <w:rPr>
          <w:rFonts w:ascii="Arial" w:hAnsi="Arial" w:cs="Arial"/>
        </w:rPr>
        <w:t xml:space="preserve"> and Van </w:t>
      </w:r>
      <w:proofErr w:type="spellStart"/>
      <w:r w:rsidRPr="00B94F98">
        <w:rPr>
          <w:rFonts w:ascii="Arial" w:hAnsi="Arial" w:cs="Arial"/>
        </w:rPr>
        <w:t>Wi</w:t>
      </w:r>
      <w:r>
        <w:rPr>
          <w:rFonts w:ascii="Arial" w:hAnsi="Arial" w:cs="Arial"/>
        </w:rPr>
        <w:t>n</w:t>
      </w:r>
      <w:r w:rsidRPr="00B94F98">
        <w:rPr>
          <w:rFonts w:ascii="Arial" w:hAnsi="Arial" w:cs="Arial"/>
        </w:rPr>
        <w:t>sen</w:t>
      </w:r>
      <w:proofErr w:type="spellEnd"/>
      <w:r w:rsidRPr="00B94F98">
        <w:rPr>
          <w:rFonts w:ascii="Arial" w:hAnsi="Arial" w:cs="Arial"/>
        </w:rPr>
        <w:t xml:space="preserve"> </w:t>
      </w:r>
      <w:proofErr w:type="gramStart"/>
      <w:r w:rsidRPr="00B94F98">
        <w:rPr>
          <w:rFonts w:ascii="Arial" w:hAnsi="Arial" w:cs="Arial"/>
          <w:i/>
        </w:rPr>
        <w:t>The</w:t>
      </w:r>
      <w:proofErr w:type="gramEnd"/>
      <w:r w:rsidRPr="00B94F98">
        <w:rPr>
          <w:rFonts w:ascii="Arial" w:hAnsi="Arial" w:cs="Arial"/>
          <w:i/>
        </w:rPr>
        <w:t xml:space="preserve"> Civil Practice of the High Courts of South Africa</w:t>
      </w:r>
      <w:r w:rsidRPr="00B94F98">
        <w:rPr>
          <w:rFonts w:ascii="Arial" w:hAnsi="Arial" w:cs="Arial"/>
        </w:rPr>
        <w:t xml:space="preserve"> 5</w:t>
      </w:r>
      <w:r w:rsidRPr="00B94F98">
        <w:rPr>
          <w:rFonts w:ascii="Arial" w:hAnsi="Arial" w:cs="Arial"/>
          <w:vertAlign w:val="superscript"/>
        </w:rPr>
        <w:t>th</w:t>
      </w:r>
      <w:r>
        <w:rPr>
          <w:rFonts w:ascii="Arial" w:hAnsi="Arial" w:cs="Arial"/>
        </w:rPr>
        <w:t xml:space="preserve"> </w:t>
      </w:r>
      <w:proofErr w:type="spellStart"/>
      <w:r>
        <w:rPr>
          <w:rFonts w:ascii="Arial" w:hAnsi="Arial" w:cs="Arial"/>
        </w:rPr>
        <w:t>ed</w:t>
      </w:r>
      <w:proofErr w:type="spellEnd"/>
      <w:r>
        <w:rPr>
          <w:rFonts w:ascii="Arial" w:hAnsi="Arial" w:cs="Arial"/>
        </w:rPr>
        <w:t xml:space="preserve"> at </w:t>
      </w:r>
      <w:r w:rsidRPr="00B94F98">
        <w:rPr>
          <w:rFonts w:ascii="Arial" w:hAnsi="Arial" w:cs="Arial"/>
        </w:rPr>
        <w:t>526-527.</w:t>
      </w:r>
    </w:p>
  </w:footnote>
  <w:footnote w:id="21">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Pr="00B94F98">
        <w:rPr>
          <w:rFonts w:ascii="Arial" w:hAnsi="Arial" w:cs="Arial"/>
          <w:i/>
        </w:rPr>
        <w:t>Barclays National Bank Ltd v Smith</w:t>
      </w:r>
      <w:r w:rsidRPr="00B94F98">
        <w:rPr>
          <w:rFonts w:ascii="Arial" w:hAnsi="Arial" w:cs="Arial"/>
        </w:rPr>
        <w:t xml:space="preserve"> 1975 (4) SA 675 (D)</w:t>
      </w:r>
      <w:r w:rsidR="00900405">
        <w:rPr>
          <w:rFonts w:ascii="Arial" w:hAnsi="Arial" w:cs="Arial"/>
        </w:rPr>
        <w:t>.</w:t>
      </w:r>
    </w:p>
  </w:footnote>
  <w:footnote w:id="22">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w:t>
      </w:r>
      <w:r w:rsidRPr="00B94F98">
        <w:rPr>
          <w:rFonts w:ascii="Arial" w:hAnsi="Arial" w:cs="Arial"/>
          <w:iCs/>
          <w:color w:val="242121"/>
          <w:shd w:val="clear" w:color="auto" w:fill="FFFFFF"/>
        </w:rPr>
        <w:t>Supra footnote 22</w:t>
      </w:r>
      <w:r w:rsidRPr="00B94F98">
        <w:rPr>
          <w:rFonts w:ascii="Arial" w:hAnsi="Arial" w:cs="Arial"/>
          <w:color w:val="242121"/>
          <w:shd w:val="clear" w:color="auto" w:fill="FFFFFF"/>
        </w:rPr>
        <w:t xml:space="preserve"> at 682D-E.</w:t>
      </w:r>
    </w:p>
  </w:footnote>
  <w:footnote w:id="23">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Supra footnote 10.</w:t>
      </w:r>
    </w:p>
  </w:footnote>
  <w:footnote w:id="24">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Supra footnote 17</w:t>
      </w:r>
      <w:r>
        <w:rPr>
          <w:rFonts w:ascii="Arial" w:hAnsi="Arial" w:cs="Arial"/>
        </w:rPr>
        <w:t>.</w:t>
      </w:r>
    </w:p>
  </w:footnote>
  <w:footnote w:id="25">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Supra footnote 17 at 738 C-D</w:t>
      </w:r>
      <w:r>
        <w:rPr>
          <w:rFonts w:ascii="Arial" w:hAnsi="Arial" w:cs="Arial"/>
        </w:rPr>
        <w:t>.</w:t>
      </w:r>
    </w:p>
  </w:footnote>
  <w:footnote w:id="26">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sidRPr="00B94F98">
        <w:rPr>
          <w:rFonts w:ascii="Arial" w:hAnsi="Arial" w:cs="Arial"/>
        </w:rPr>
        <w:t xml:space="preserve"> Supra footnote 16 at 738 B- C</w:t>
      </w:r>
      <w:r>
        <w:rPr>
          <w:rFonts w:ascii="Arial" w:hAnsi="Arial" w:cs="Arial"/>
        </w:rPr>
        <w:t>.</w:t>
      </w:r>
    </w:p>
  </w:footnote>
  <w:footnote w:id="27">
    <w:p w:rsidR="009E09DD" w:rsidRPr="00B94F98" w:rsidRDefault="009E09DD" w:rsidP="009E09DD">
      <w:pPr>
        <w:pStyle w:val="FootnoteText"/>
        <w:rPr>
          <w:rFonts w:ascii="Arial" w:hAnsi="Arial" w:cs="Arial"/>
        </w:rPr>
      </w:pPr>
      <w:r w:rsidRPr="00B94F98">
        <w:rPr>
          <w:rStyle w:val="FootnoteReference"/>
          <w:rFonts w:ascii="Arial" w:hAnsi="Arial" w:cs="Arial"/>
        </w:rPr>
        <w:footnoteRef/>
      </w:r>
      <w:r>
        <w:rPr>
          <w:rFonts w:ascii="Arial" w:hAnsi="Arial" w:cs="Arial"/>
        </w:rPr>
        <w:t xml:space="preserve"> Supra footnote 15</w:t>
      </w:r>
      <w:r w:rsidRPr="00B94F98">
        <w:rPr>
          <w:rFonts w:ascii="Arial" w:hAnsi="Arial" w:cs="Arial"/>
        </w:rPr>
        <w:t xml:space="preserve">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2748"/>
      <w:docPartObj>
        <w:docPartGallery w:val="Page Numbers (Top of Page)"/>
        <w:docPartUnique/>
      </w:docPartObj>
    </w:sdtPr>
    <w:sdtEndPr>
      <w:rPr>
        <w:rFonts w:ascii="Arial" w:hAnsi="Arial" w:cs="Arial"/>
        <w:noProof/>
      </w:rPr>
    </w:sdtEndPr>
    <w:sdtContent>
      <w:p w:rsidR="00193B9D" w:rsidRPr="00193B9D" w:rsidRDefault="00193B9D">
        <w:pPr>
          <w:pStyle w:val="Header"/>
          <w:jc w:val="right"/>
          <w:rPr>
            <w:rFonts w:ascii="Arial" w:hAnsi="Arial" w:cs="Arial"/>
          </w:rPr>
        </w:pPr>
        <w:r w:rsidRPr="00193B9D">
          <w:rPr>
            <w:rFonts w:ascii="Arial" w:hAnsi="Arial" w:cs="Arial"/>
          </w:rPr>
          <w:fldChar w:fldCharType="begin"/>
        </w:r>
        <w:r w:rsidRPr="00193B9D">
          <w:rPr>
            <w:rFonts w:ascii="Arial" w:hAnsi="Arial" w:cs="Arial"/>
          </w:rPr>
          <w:instrText xml:space="preserve"> PAGE   \* MERGEFORMAT </w:instrText>
        </w:r>
        <w:r w:rsidRPr="00193B9D">
          <w:rPr>
            <w:rFonts w:ascii="Arial" w:hAnsi="Arial" w:cs="Arial"/>
          </w:rPr>
          <w:fldChar w:fldCharType="separate"/>
        </w:r>
        <w:r w:rsidR="00900405">
          <w:rPr>
            <w:rFonts w:ascii="Arial" w:hAnsi="Arial" w:cs="Arial"/>
            <w:noProof/>
          </w:rPr>
          <w:t>20</w:t>
        </w:r>
        <w:r w:rsidRPr="00193B9D">
          <w:rPr>
            <w:rFonts w:ascii="Arial" w:hAnsi="Arial" w:cs="Arial"/>
            <w:noProof/>
          </w:rPr>
          <w:fldChar w:fldCharType="end"/>
        </w:r>
      </w:p>
    </w:sdtContent>
  </w:sdt>
  <w:p w:rsidR="00193B9D" w:rsidRDefault="0019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6D9"/>
    <w:multiLevelType w:val="hybridMultilevel"/>
    <w:tmpl w:val="D83AB99A"/>
    <w:lvl w:ilvl="0" w:tplc="F66E79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C021ED8"/>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631DB2"/>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9B6360"/>
    <w:multiLevelType w:val="hybridMultilevel"/>
    <w:tmpl w:val="F742380C"/>
    <w:lvl w:ilvl="0" w:tplc="52D2C1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AB502E4"/>
    <w:multiLevelType w:val="hybridMultilevel"/>
    <w:tmpl w:val="B7CC9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FFE37EE"/>
    <w:multiLevelType w:val="hybridMultilevel"/>
    <w:tmpl w:val="69904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970CC3"/>
    <w:multiLevelType w:val="hybridMultilevel"/>
    <w:tmpl w:val="B4BE7B5A"/>
    <w:lvl w:ilvl="0" w:tplc="BD643D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6D"/>
    <w:rsid w:val="00021C0E"/>
    <w:rsid w:val="000242D9"/>
    <w:rsid w:val="00032EF9"/>
    <w:rsid w:val="000363C3"/>
    <w:rsid w:val="000365CE"/>
    <w:rsid w:val="00040CEF"/>
    <w:rsid w:val="00047945"/>
    <w:rsid w:val="0005029A"/>
    <w:rsid w:val="00055DEE"/>
    <w:rsid w:val="000617F6"/>
    <w:rsid w:val="00091AD0"/>
    <w:rsid w:val="000B05FD"/>
    <w:rsid w:val="000C5AB8"/>
    <w:rsid w:val="000E6418"/>
    <w:rsid w:val="000E71E0"/>
    <w:rsid w:val="000E77CB"/>
    <w:rsid w:val="000F2621"/>
    <w:rsid w:val="0011099B"/>
    <w:rsid w:val="00114741"/>
    <w:rsid w:val="00130338"/>
    <w:rsid w:val="001449A6"/>
    <w:rsid w:val="00146D27"/>
    <w:rsid w:val="00172A87"/>
    <w:rsid w:val="00172E0A"/>
    <w:rsid w:val="0018360B"/>
    <w:rsid w:val="00187CEF"/>
    <w:rsid w:val="00193B9D"/>
    <w:rsid w:val="001B4D08"/>
    <w:rsid w:val="001C6554"/>
    <w:rsid w:val="001E77D4"/>
    <w:rsid w:val="00201A60"/>
    <w:rsid w:val="0020354D"/>
    <w:rsid w:val="002053C8"/>
    <w:rsid w:val="00230953"/>
    <w:rsid w:val="002335A6"/>
    <w:rsid w:val="00240516"/>
    <w:rsid w:val="00246381"/>
    <w:rsid w:val="0025471B"/>
    <w:rsid w:val="00255160"/>
    <w:rsid w:val="00263D65"/>
    <w:rsid w:val="0027307D"/>
    <w:rsid w:val="00277111"/>
    <w:rsid w:val="002850C2"/>
    <w:rsid w:val="0028666F"/>
    <w:rsid w:val="002A11D7"/>
    <w:rsid w:val="002E1DED"/>
    <w:rsid w:val="002E3392"/>
    <w:rsid w:val="002F0F35"/>
    <w:rsid w:val="002F4DCB"/>
    <w:rsid w:val="002F6258"/>
    <w:rsid w:val="00325430"/>
    <w:rsid w:val="003355EA"/>
    <w:rsid w:val="0033569C"/>
    <w:rsid w:val="00337E9C"/>
    <w:rsid w:val="00355038"/>
    <w:rsid w:val="0036058A"/>
    <w:rsid w:val="00365F2C"/>
    <w:rsid w:val="003750F4"/>
    <w:rsid w:val="00380F4A"/>
    <w:rsid w:val="003A5A15"/>
    <w:rsid w:val="003A6AFE"/>
    <w:rsid w:val="003B3688"/>
    <w:rsid w:val="003C21FA"/>
    <w:rsid w:val="003E66DE"/>
    <w:rsid w:val="00404F56"/>
    <w:rsid w:val="004160E3"/>
    <w:rsid w:val="00416510"/>
    <w:rsid w:val="0042199A"/>
    <w:rsid w:val="00431210"/>
    <w:rsid w:val="004357D9"/>
    <w:rsid w:val="00436ADE"/>
    <w:rsid w:val="00437227"/>
    <w:rsid w:val="00461A24"/>
    <w:rsid w:val="004723C8"/>
    <w:rsid w:val="004A5B56"/>
    <w:rsid w:val="004B0D30"/>
    <w:rsid w:val="004D34FB"/>
    <w:rsid w:val="004D7AF9"/>
    <w:rsid w:val="00503579"/>
    <w:rsid w:val="00503C17"/>
    <w:rsid w:val="00506E1F"/>
    <w:rsid w:val="00550C32"/>
    <w:rsid w:val="005527BD"/>
    <w:rsid w:val="00587974"/>
    <w:rsid w:val="00592B27"/>
    <w:rsid w:val="005C5935"/>
    <w:rsid w:val="005D14C5"/>
    <w:rsid w:val="005E0C7C"/>
    <w:rsid w:val="005E3F28"/>
    <w:rsid w:val="005F0E16"/>
    <w:rsid w:val="0061004E"/>
    <w:rsid w:val="006175CD"/>
    <w:rsid w:val="00626739"/>
    <w:rsid w:val="0064363A"/>
    <w:rsid w:val="00651626"/>
    <w:rsid w:val="0065533A"/>
    <w:rsid w:val="00656131"/>
    <w:rsid w:val="00660210"/>
    <w:rsid w:val="00665485"/>
    <w:rsid w:val="00665EF0"/>
    <w:rsid w:val="006774A6"/>
    <w:rsid w:val="0068467D"/>
    <w:rsid w:val="006964E3"/>
    <w:rsid w:val="006A34ED"/>
    <w:rsid w:val="006C5BA0"/>
    <w:rsid w:val="006C78D2"/>
    <w:rsid w:val="006E78AD"/>
    <w:rsid w:val="006F2D7E"/>
    <w:rsid w:val="007053B2"/>
    <w:rsid w:val="00706448"/>
    <w:rsid w:val="00710AD9"/>
    <w:rsid w:val="0071734E"/>
    <w:rsid w:val="00742803"/>
    <w:rsid w:val="00761D9F"/>
    <w:rsid w:val="00761F66"/>
    <w:rsid w:val="00780003"/>
    <w:rsid w:val="007827DB"/>
    <w:rsid w:val="00786553"/>
    <w:rsid w:val="007A2535"/>
    <w:rsid w:val="007A4B35"/>
    <w:rsid w:val="007B0FEE"/>
    <w:rsid w:val="007D18AA"/>
    <w:rsid w:val="007E4510"/>
    <w:rsid w:val="007E4EA0"/>
    <w:rsid w:val="0080127D"/>
    <w:rsid w:val="00801565"/>
    <w:rsid w:val="00833013"/>
    <w:rsid w:val="00874232"/>
    <w:rsid w:val="008A487F"/>
    <w:rsid w:val="008C6BDC"/>
    <w:rsid w:val="008D4905"/>
    <w:rsid w:val="008F676D"/>
    <w:rsid w:val="00900405"/>
    <w:rsid w:val="00911B7E"/>
    <w:rsid w:val="0091248E"/>
    <w:rsid w:val="00912BFE"/>
    <w:rsid w:val="00930F4D"/>
    <w:rsid w:val="00936695"/>
    <w:rsid w:val="00936845"/>
    <w:rsid w:val="00961889"/>
    <w:rsid w:val="0096452D"/>
    <w:rsid w:val="00970E66"/>
    <w:rsid w:val="009A0940"/>
    <w:rsid w:val="009B7E6B"/>
    <w:rsid w:val="009C200B"/>
    <w:rsid w:val="009C7EF4"/>
    <w:rsid w:val="009D56AD"/>
    <w:rsid w:val="009E09DD"/>
    <w:rsid w:val="009E15F7"/>
    <w:rsid w:val="00A0466B"/>
    <w:rsid w:val="00A07B15"/>
    <w:rsid w:val="00A15593"/>
    <w:rsid w:val="00A15AEA"/>
    <w:rsid w:val="00A27738"/>
    <w:rsid w:val="00A368A9"/>
    <w:rsid w:val="00A55592"/>
    <w:rsid w:val="00A57E67"/>
    <w:rsid w:val="00A62761"/>
    <w:rsid w:val="00A62E22"/>
    <w:rsid w:val="00A86211"/>
    <w:rsid w:val="00A95168"/>
    <w:rsid w:val="00AA1E24"/>
    <w:rsid w:val="00AC4174"/>
    <w:rsid w:val="00AD04A4"/>
    <w:rsid w:val="00AD3AF6"/>
    <w:rsid w:val="00AE6CA6"/>
    <w:rsid w:val="00AF58B3"/>
    <w:rsid w:val="00AF619D"/>
    <w:rsid w:val="00B07023"/>
    <w:rsid w:val="00B14E87"/>
    <w:rsid w:val="00B24BF9"/>
    <w:rsid w:val="00B414D4"/>
    <w:rsid w:val="00B4258A"/>
    <w:rsid w:val="00B54B2B"/>
    <w:rsid w:val="00B73363"/>
    <w:rsid w:val="00B80F7C"/>
    <w:rsid w:val="00B81822"/>
    <w:rsid w:val="00B83A7E"/>
    <w:rsid w:val="00B90C78"/>
    <w:rsid w:val="00B941E5"/>
    <w:rsid w:val="00B94F98"/>
    <w:rsid w:val="00B962D1"/>
    <w:rsid w:val="00BD3022"/>
    <w:rsid w:val="00BE10CE"/>
    <w:rsid w:val="00BF00C0"/>
    <w:rsid w:val="00C04129"/>
    <w:rsid w:val="00C04372"/>
    <w:rsid w:val="00C07C45"/>
    <w:rsid w:val="00C100D2"/>
    <w:rsid w:val="00C10240"/>
    <w:rsid w:val="00C12E1F"/>
    <w:rsid w:val="00C13EFC"/>
    <w:rsid w:val="00C27F54"/>
    <w:rsid w:val="00C331CB"/>
    <w:rsid w:val="00C502EA"/>
    <w:rsid w:val="00C523B7"/>
    <w:rsid w:val="00CA0F88"/>
    <w:rsid w:val="00CA2BBE"/>
    <w:rsid w:val="00CB0E4A"/>
    <w:rsid w:val="00CB0FA2"/>
    <w:rsid w:val="00CB1F4F"/>
    <w:rsid w:val="00CC0249"/>
    <w:rsid w:val="00CC775D"/>
    <w:rsid w:val="00D0155E"/>
    <w:rsid w:val="00D14AFA"/>
    <w:rsid w:val="00D1732F"/>
    <w:rsid w:val="00D244F5"/>
    <w:rsid w:val="00D2499F"/>
    <w:rsid w:val="00D43722"/>
    <w:rsid w:val="00D50108"/>
    <w:rsid w:val="00D50BE3"/>
    <w:rsid w:val="00D63A56"/>
    <w:rsid w:val="00D802CB"/>
    <w:rsid w:val="00DB0616"/>
    <w:rsid w:val="00DB6D01"/>
    <w:rsid w:val="00DD0F51"/>
    <w:rsid w:val="00DD1B1A"/>
    <w:rsid w:val="00DE12FB"/>
    <w:rsid w:val="00DE20CB"/>
    <w:rsid w:val="00DE22C4"/>
    <w:rsid w:val="00E05536"/>
    <w:rsid w:val="00E21AFD"/>
    <w:rsid w:val="00E262CC"/>
    <w:rsid w:val="00E44DAE"/>
    <w:rsid w:val="00E535C9"/>
    <w:rsid w:val="00E54D78"/>
    <w:rsid w:val="00E55DA5"/>
    <w:rsid w:val="00E726EC"/>
    <w:rsid w:val="00E82BF4"/>
    <w:rsid w:val="00E84216"/>
    <w:rsid w:val="00E86348"/>
    <w:rsid w:val="00EB29A8"/>
    <w:rsid w:val="00EC0B51"/>
    <w:rsid w:val="00EC6A3D"/>
    <w:rsid w:val="00ED2A21"/>
    <w:rsid w:val="00ED5182"/>
    <w:rsid w:val="00ED5EF1"/>
    <w:rsid w:val="00EE27E7"/>
    <w:rsid w:val="00EF2D31"/>
    <w:rsid w:val="00F034C3"/>
    <w:rsid w:val="00F05B9C"/>
    <w:rsid w:val="00F10789"/>
    <w:rsid w:val="00F11763"/>
    <w:rsid w:val="00F124D8"/>
    <w:rsid w:val="00F12B87"/>
    <w:rsid w:val="00F21055"/>
    <w:rsid w:val="00F233E8"/>
    <w:rsid w:val="00F250FA"/>
    <w:rsid w:val="00F300B0"/>
    <w:rsid w:val="00F43C05"/>
    <w:rsid w:val="00F451BD"/>
    <w:rsid w:val="00F46384"/>
    <w:rsid w:val="00F50BFA"/>
    <w:rsid w:val="00F579AC"/>
    <w:rsid w:val="00F949E0"/>
    <w:rsid w:val="00F94D00"/>
    <w:rsid w:val="00FA72EA"/>
    <w:rsid w:val="00FB21E4"/>
    <w:rsid w:val="00FB6390"/>
    <w:rsid w:val="00FE7407"/>
    <w:rsid w:val="00FF40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FBA2C-390A-421F-8E6E-78847046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1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4D7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6D"/>
  </w:style>
  <w:style w:type="paragraph" w:styleId="Footer">
    <w:name w:val="footer"/>
    <w:basedOn w:val="Normal"/>
    <w:link w:val="FooterChar"/>
    <w:uiPriority w:val="99"/>
    <w:unhideWhenUsed/>
    <w:rsid w:val="008F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6D"/>
  </w:style>
  <w:style w:type="paragraph" w:styleId="ListParagraph">
    <w:name w:val="List Paragraph"/>
    <w:basedOn w:val="Normal"/>
    <w:uiPriority w:val="34"/>
    <w:qFormat/>
    <w:rsid w:val="00E726EC"/>
    <w:pPr>
      <w:ind w:left="720"/>
      <w:contextualSpacing/>
    </w:pPr>
  </w:style>
  <w:style w:type="paragraph" w:styleId="FootnoteText">
    <w:name w:val="footnote text"/>
    <w:basedOn w:val="Normal"/>
    <w:link w:val="FootnoteTextChar"/>
    <w:uiPriority w:val="99"/>
    <w:unhideWhenUsed/>
    <w:rsid w:val="00E726EC"/>
    <w:pPr>
      <w:spacing w:after="0" w:line="240" w:lineRule="auto"/>
    </w:pPr>
    <w:rPr>
      <w:sz w:val="20"/>
      <w:szCs w:val="20"/>
    </w:rPr>
  </w:style>
  <w:style w:type="character" w:customStyle="1" w:styleId="FootnoteTextChar">
    <w:name w:val="Footnote Text Char"/>
    <w:basedOn w:val="DefaultParagraphFont"/>
    <w:link w:val="FootnoteText"/>
    <w:uiPriority w:val="99"/>
    <w:rsid w:val="00E726EC"/>
    <w:rPr>
      <w:sz w:val="20"/>
      <w:szCs w:val="20"/>
    </w:rPr>
  </w:style>
  <w:style w:type="character" w:styleId="FootnoteReference">
    <w:name w:val="footnote reference"/>
    <w:basedOn w:val="DefaultParagraphFont"/>
    <w:uiPriority w:val="99"/>
    <w:unhideWhenUsed/>
    <w:rsid w:val="00E726EC"/>
    <w:rPr>
      <w:vertAlign w:val="superscript"/>
    </w:rPr>
  </w:style>
  <w:style w:type="paragraph" w:styleId="BalloonText">
    <w:name w:val="Balloon Text"/>
    <w:basedOn w:val="Normal"/>
    <w:link w:val="BalloonTextChar"/>
    <w:uiPriority w:val="99"/>
    <w:semiHidden/>
    <w:unhideWhenUsed/>
    <w:rsid w:val="0035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38"/>
    <w:rPr>
      <w:rFonts w:ascii="Segoe UI" w:hAnsi="Segoe UI" w:cs="Segoe UI"/>
      <w:sz w:val="18"/>
      <w:szCs w:val="18"/>
    </w:rPr>
  </w:style>
  <w:style w:type="paragraph" w:styleId="NoSpacing">
    <w:name w:val="No Spacing"/>
    <w:uiPriority w:val="1"/>
    <w:qFormat/>
    <w:rsid w:val="00D14AFA"/>
    <w:pPr>
      <w:spacing w:after="0" w:line="240" w:lineRule="auto"/>
    </w:pPr>
  </w:style>
  <w:style w:type="character" w:customStyle="1" w:styleId="Heading1Char">
    <w:name w:val="Heading 1 Char"/>
    <w:basedOn w:val="DefaultParagraphFont"/>
    <w:link w:val="Heading1"/>
    <w:uiPriority w:val="9"/>
    <w:rsid w:val="00F2105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F210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E7407"/>
    <w:rPr>
      <w:i/>
      <w:iCs/>
    </w:rPr>
  </w:style>
  <w:style w:type="character" w:styleId="Hyperlink">
    <w:name w:val="Hyperlink"/>
    <w:basedOn w:val="DefaultParagraphFont"/>
    <w:uiPriority w:val="99"/>
    <w:semiHidden/>
    <w:unhideWhenUsed/>
    <w:rsid w:val="0018360B"/>
    <w:rPr>
      <w:color w:val="0000FF"/>
      <w:u w:val="single"/>
    </w:rPr>
  </w:style>
  <w:style w:type="paragraph" w:customStyle="1" w:styleId="western">
    <w:name w:val="western"/>
    <w:basedOn w:val="Normal"/>
    <w:rsid w:val="002771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6211"/>
    <w:rPr>
      <w:b/>
      <w:bCs/>
    </w:rPr>
  </w:style>
  <w:style w:type="character" w:customStyle="1" w:styleId="Heading3Char">
    <w:name w:val="Heading 3 Char"/>
    <w:basedOn w:val="DefaultParagraphFont"/>
    <w:link w:val="Heading3"/>
    <w:uiPriority w:val="9"/>
    <w:semiHidden/>
    <w:rsid w:val="004D7A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8277">
      <w:bodyDiv w:val="1"/>
      <w:marLeft w:val="0"/>
      <w:marRight w:val="0"/>
      <w:marTop w:val="0"/>
      <w:marBottom w:val="0"/>
      <w:divBdr>
        <w:top w:val="none" w:sz="0" w:space="0" w:color="auto"/>
        <w:left w:val="none" w:sz="0" w:space="0" w:color="auto"/>
        <w:bottom w:val="none" w:sz="0" w:space="0" w:color="auto"/>
        <w:right w:val="none" w:sz="0" w:space="0" w:color="auto"/>
      </w:divBdr>
    </w:div>
    <w:div w:id="1036276004">
      <w:bodyDiv w:val="1"/>
      <w:marLeft w:val="0"/>
      <w:marRight w:val="0"/>
      <w:marTop w:val="0"/>
      <w:marBottom w:val="0"/>
      <w:divBdr>
        <w:top w:val="none" w:sz="0" w:space="0" w:color="auto"/>
        <w:left w:val="none" w:sz="0" w:space="0" w:color="auto"/>
        <w:bottom w:val="none" w:sz="0" w:space="0" w:color="auto"/>
        <w:right w:val="none" w:sz="0" w:space="0" w:color="auto"/>
      </w:divBdr>
    </w:div>
    <w:div w:id="1243875045">
      <w:bodyDiv w:val="1"/>
      <w:marLeft w:val="0"/>
      <w:marRight w:val="0"/>
      <w:marTop w:val="0"/>
      <w:marBottom w:val="0"/>
      <w:divBdr>
        <w:top w:val="none" w:sz="0" w:space="0" w:color="auto"/>
        <w:left w:val="none" w:sz="0" w:space="0" w:color="auto"/>
        <w:bottom w:val="none" w:sz="0" w:space="0" w:color="auto"/>
        <w:right w:val="none" w:sz="0" w:space="0" w:color="auto"/>
      </w:divBdr>
    </w:div>
    <w:div w:id="1727219353">
      <w:bodyDiv w:val="1"/>
      <w:marLeft w:val="0"/>
      <w:marRight w:val="0"/>
      <w:marTop w:val="0"/>
      <w:marBottom w:val="0"/>
      <w:divBdr>
        <w:top w:val="none" w:sz="0" w:space="0" w:color="auto"/>
        <w:left w:val="none" w:sz="0" w:space="0" w:color="auto"/>
        <w:bottom w:val="none" w:sz="0" w:space="0" w:color="auto"/>
        <w:right w:val="none" w:sz="0" w:space="0" w:color="auto"/>
      </w:divBdr>
    </w:div>
    <w:div w:id="1842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2020-11-15T18:30:00+00:00</Judgment_x0020_Date>
    <Year xmlns="c1afb1bd-f2fb-40fd-9abb-aea55b4d7662">2020</Year>
  </documentManagement>
</p:properties>
</file>

<file path=customXml/itemProps1.xml><?xml version="1.0" encoding="utf-8"?>
<ds:datastoreItem xmlns:ds="http://schemas.openxmlformats.org/officeDocument/2006/customXml" ds:itemID="{6DFC5CEA-5CF0-4C39-BC15-F9C3695DF54A}"/>
</file>

<file path=customXml/itemProps2.xml><?xml version="1.0" encoding="utf-8"?>
<ds:datastoreItem xmlns:ds="http://schemas.openxmlformats.org/officeDocument/2006/customXml" ds:itemID="{467C0155-43F3-414A-A796-C779CB30F69F}"/>
</file>

<file path=customXml/itemProps3.xml><?xml version="1.0" encoding="utf-8"?>
<ds:datastoreItem xmlns:ds="http://schemas.openxmlformats.org/officeDocument/2006/customXml" ds:itemID="{5AF67B29-A0E4-44B5-B031-A23E530D544E}"/>
</file>

<file path=customXml/itemProps4.xml><?xml version="1.0" encoding="utf-8"?>
<ds:datastoreItem xmlns:ds="http://schemas.openxmlformats.org/officeDocument/2006/customXml" ds:itemID="{C366C127-6D09-4B43-AC95-3DC70F16F853}"/>
</file>

<file path=docProps/app.xml><?xml version="1.0" encoding="utf-8"?>
<Properties xmlns="http://schemas.openxmlformats.org/officeDocument/2006/extended-properties" xmlns:vt="http://schemas.openxmlformats.org/officeDocument/2006/docPropsVTypes">
  <Template>Normal</Template>
  <TotalTime>0</TotalTime>
  <Pages>24</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Bruni v Tulive Capital (Pty) Ltd (HC-MD-CIV-ACT-OTH-2020-02266) [2020] NAHCMD 536 (16 November 2020)</dc:title>
  <dc:subject/>
  <dc:creator>Marinus Nederlof</dc:creator>
  <cp:keywords/>
  <dc:description/>
  <cp:lastModifiedBy>Administrator</cp:lastModifiedBy>
  <cp:revision>2</cp:revision>
  <cp:lastPrinted>2020-11-20T15:22:00Z</cp:lastPrinted>
  <dcterms:created xsi:type="dcterms:W3CDTF">2020-12-08T12:46:00Z</dcterms:created>
  <dcterms:modified xsi:type="dcterms:W3CDTF">2020-12-08T12:46:00Z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