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E09" w:rsidRDefault="004A7E09" w:rsidP="004A7E09">
      <w:pPr>
        <w:spacing w:after="0" w:line="360" w:lineRule="auto"/>
        <w:ind w:left="1440" w:hanging="1440"/>
        <w:jc w:val="both"/>
        <w:rPr>
          <w:rFonts w:ascii="Arial" w:hAnsi="Arial" w:cs="Arial"/>
          <w:sz w:val="24"/>
          <w:szCs w:val="24"/>
        </w:rPr>
      </w:pPr>
    </w:p>
    <w:p w:rsidR="004A7E09" w:rsidRPr="009222F4" w:rsidRDefault="004A7E09" w:rsidP="004A7E09">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68098F8E" wp14:editId="51D52FD9">
                <wp:simplePos x="0" y="0"/>
                <wp:positionH relativeFrom="column">
                  <wp:posOffset>4552950</wp:posOffset>
                </wp:positionH>
                <wp:positionV relativeFrom="paragraph">
                  <wp:posOffset>-57150</wp:posOffset>
                </wp:positionV>
                <wp:extent cx="1562100" cy="284480"/>
                <wp:effectExtent l="9525" t="952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4480"/>
                        </a:xfrm>
                        <a:prstGeom prst="rect">
                          <a:avLst/>
                        </a:prstGeom>
                        <a:solidFill>
                          <a:srgbClr val="FFFFFF"/>
                        </a:solidFill>
                        <a:ln w="9525">
                          <a:solidFill>
                            <a:srgbClr val="FFFFFF"/>
                          </a:solidFill>
                          <a:miter lim="800000"/>
                          <a:headEnd/>
                          <a:tailEnd/>
                        </a:ln>
                      </wps:spPr>
                      <wps:txbx>
                        <w:txbxContent>
                          <w:p w:rsidR="000829DC" w:rsidRPr="00F926EB" w:rsidRDefault="000829DC" w:rsidP="004A7E09">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98F8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" strokecolor="white">
                <v:textbox>
                  <w:txbxContent>
                    <w:p w:rsidR="000829DC" w:rsidRPr="00F926EB" w:rsidRDefault="000829DC" w:rsidP="004A7E09">
                      <w:pPr>
                        <w:jc w:val="center"/>
                        <w:rPr>
                          <w:rFonts w:ascii="Arial" w:hAnsi="Arial" w:cs="Arial"/>
                        </w:rPr>
                      </w:pPr>
                    </w:p>
                  </w:txbxContent>
                </v:textbox>
              </v:shape>
            </w:pict>
          </mc:Fallback>
        </mc:AlternateContent>
      </w:r>
      <w:r w:rsidRPr="009222F4">
        <w:rPr>
          <w:rFonts w:ascii="Arial" w:hAnsi="Arial" w:cs="Arial"/>
          <w:b/>
          <w:sz w:val="24"/>
          <w:szCs w:val="24"/>
        </w:rPr>
        <w:t>REPUBLIC OF NAMIBIA</w:t>
      </w:r>
    </w:p>
    <w:p w:rsidR="004A7E09" w:rsidRPr="009222F4" w:rsidRDefault="004A7E09" w:rsidP="004A7E09">
      <w:pPr>
        <w:spacing w:after="0" w:line="360" w:lineRule="auto"/>
        <w:jc w:val="center"/>
        <w:rPr>
          <w:b/>
          <w:sz w:val="24"/>
          <w:szCs w:val="24"/>
        </w:rPr>
      </w:pPr>
      <w:r>
        <w:rPr>
          <w:b/>
          <w:noProof/>
          <w:sz w:val="24"/>
          <w:szCs w:val="24"/>
        </w:rPr>
        <w:drawing>
          <wp:inline distT="0" distB="0" distL="0" distR="0" wp14:anchorId="7A997BEF" wp14:editId="6D347370">
            <wp:extent cx="1280160" cy="1331595"/>
            <wp:effectExtent l="0" t="0" r="0" b="190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331595"/>
                    </a:xfrm>
                    <a:prstGeom prst="rect">
                      <a:avLst/>
                    </a:prstGeom>
                    <a:noFill/>
                    <a:ln>
                      <a:noFill/>
                    </a:ln>
                  </pic:spPr>
                </pic:pic>
              </a:graphicData>
            </a:graphic>
          </wp:inline>
        </w:drawing>
      </w:r>
    </w:p>
    <w:p w:rsidR="004A7E09" w:rsidRDefault="004A7E09" w:rsidP="004A7E09">
      <w:pPr>
        <w:spacing w:after="0" w:line="360" w:lineRule="auto"/>
        <w:jc w:val="center"/>
        <w:rPr>
          <w:rFonts w:ascii="Arial" w:hAnsi="Arial" w:cs="Arial"/>
          <w:b/>
          <w:sz w:val="24"/>
          <w:szCs w:val="24"/>
        </w:rPr>
      </w:pPr>
      <w:r w:rsidRPr="00520E04">
        <w:rPr>
          <w:rFonts w:ascii="Arial" w:hAnsi="Arial" w:cs="Arial"/>
          <w:b/>
          <w:sz w:val="24"/>
          <w:szCs w:val="24"/>
        </w:rPr>
        <w:t>HIGH COURT OF NAMIBIA MAIN DIVISION, WINDHOEK</w:t>
      </w:r>
    </w:p>
    <w:p w:rsidR="004A7E09" w:rsidRPr="00520E04" w:rsidRDefault="004A7E09" w:rsidP="004A7E09">
      <w:pPr>
        <w:spacing w:after="0" w:line="360" w:lineRule="auto"/>
        <w:jc w:val="center"/>
        <w:rPr>
          <w:rFonts w:ascii="Arial" w:hAnsi="Arial" w:cs="Arial"/>
          <w:b/>
          <w:sz w:val="16"/>
          <w:szCs w:val="16"/>
        </w:rPr>
      </w:pPr>
    </w:p>
    <w:p w:rsidR="004A7E09" w:rsidRPr="009222F4" w:rsidRDefault="004A7E09" w:rsidP="004A7E09">
      <w:pPr>
        <w:spacing w:after="0" w:line="360" w:lineRule="auto"/>
        <w:jc w:val="center"/>
        <w:rPr>
          <w:rFonts w:ascii="Arial" w:hAnsi="Arial" w:cs="Arial"/>
          <w:b/>
          <w:sz w:val="24"/>
          <w:szCs w:val="24"/>
        </w:rPr>
      </w:pPr>
      <w:r w:rsidRPr="009222F4">
        <w:rPr>
          <w:rFonts w:ascii="Arial" w:hAnsi="Arial" w:cs="Arial"/>
          <w:b/>
          <w:sz w:val="24"/>
          <w:szCs w:val="24"/>
        </w:rPr>
        <w:t>JUDGMENT</w:t>
      </w:r>
    </w:p>
    <w:p w:rsidR="004A7E09" w:rsidRPr="009222F4" w:rsidRDefault="004A7E09" w:rsidP="004A7E09">
      <w:pPr>
        <w:spacing w:after="0" w:line="360" w:lineRule="auto"/>
        <w:jc w:val="both"/>
        <w:rPr>
          <w:rFonts w:ascii="Arial" w:hAnsi="Arial" w:cs="Arial"/>
          <w:sz w:val="24"/>
          <w:szCs w:val="24"/>
        </w:rPr>
      </w:pPr>
    </w:p>
    <w:p w:rsidR="004A7E09" w:rsidRPr="00D05642" w:rsidRDefault="004A7E09" w:rsidP="004A7E09">
      <w:pPr>
        <w:tabs>
          <w:tab w:val="right" w:pos="9000"/>
        </w:tabs>
        <w:spacing w:after="0" w:line="360" w:lineRule="auto"/>
        <w:jc w:val="right"/>
        <w:rPr>
          <w:rFonts w:ascii="Arial" w:hAnsi="Arial" w:cs="Arial"/>
          <w:sz w:val="24"/>
          <w:szCs w:val="24"/>
        </w:rPr>
      </w:pPr>
      <w:r w:rsidRPr="00D05642">
        <w:rPr>
          <w:rFonts w:ascii="Arial" w:hAnsi="Arial" w:cs="Arial"/>
          <w:sz w:val="24"/>
          <w:szCs w:val="24"/>
        </w:rPr>
        <w:t xml:space="preserve">Case no: </w:t>
      </w:r>
      <w:r w:rsidRPr="004A24D1">
        <w:rPr>
          <w:rFonts w:ascii="Arial" w:hAnsi="Arial" w:cs="Arial"/>
          <w:sz w:val="24"/>
          <w:szCs w:val="24"/>
        </w:rPr>
        <w:t>HC-MD-CIV-</w:t>
      </w:r>
      <w:r>
        <w:rPr>
          <w:rFonts w:ascii="Arial" w:hAnsi="Arial" w:cs="Arial"/>
          <w:sz w:val="24"/>
          <w:szCs w:val="24"/>
        </w:rPr>
        <w:t>MOT</w:t>
      </w:r>
      <w:r w:rsidRPr="004A24D1">
        <w:rPr>
          <w:rFonts w:ascii="Arial" w:hAnsi="Arial" w:cs="Arial"/>
          <w:sz w:val="24"/>
          <w:szCs w:val="24"/>
        </w:rPr>
        <w:t>-</w:t>
      </w:r>
      <w:r>
        <w:rPr>
          <w:rFonts w:ascii="Arial" w:hAnsi="Arial" w:cs="Arial"/>
          <w:sz w:val="24"/>
          <w:szCs w:val="24"/>
        </w:rPr>
        <w:t>GEN</w:t>
      </w:r>
      <w:r w:rsidRPr="004A24D1">
        <w:rPr>
          <w:rFonts w:ascii="Arial" w:hAnsi="Arial" w:cs="Arial"/>
          <w:sz w:val="24"/>
          <w:szCs w:val="24"/>
        </w:rPr>
        <w:t>-20</w:t>
      </w:r>
      <w:r>
        <w:rPr>
          <w:rFonts w:ascii="Arial" w:hAnsi="Arial" w:cs="Arial"/>
          <w:sz w:val="24"/>
          <w:szCs w:val="24"/>
        </w:rPr>
        <w:t>20</w:t>
      </w:r>
      <w:r w:rsidRPr="004A24D1">
        <w:rPr>
          <w:rFonts w:ascii="Arial" w:hAnsi="Arial" w:cs="Arial"/>
          <w:sz w:val="24"/>
          <w:szCs w:val="24"/>
        </w:rPr>
        <w:t>/00</w:t>
      </w:r>
      <w:r>
        <w:rPr>
          <w:rFonts w:ascii="Arial" w:hAnsi="Arial" w:cs="Arial"/>
          <w:sz w:val="24"/>
          <w:szCs w:val="24"/>
        </w:rPr>
        <w:t>374</w:t>
      </w:r>
    </w:p>
    <w:p w:rsidR="004A7E09" w:rsidRPr="005E40B0" w:rsidRDefault="004A7E09" w:rsidP="004A7E09">
      <w:pPr>
        <w:spacing w:after="0" w:line="360" w:lineRule="auto"/>
        <w:rPr>
          <w:rFonts w:ascii="Arial" w:hAnsi="Arial" w:cs="Arial"/>
          <w:sz w:val="24"/>
          <w:szCs w:val="24"/>
        </w:rPr>
      </w:pPr>
    </w:p>
    <w:p w:rsidR="004A7E09" w:rsidRPr="005E40B0" w:rsidRDefault="004A7E09" w:rsidP="004A7E09">
      <w:pPr>
        <w:spacing w:after="0" w:line="360" w:lineRule="auto"/>
        <w:jc w:val="both"/>
        <w:rPr>
          <w:rFonts w:ascii="Arial" w:hAnsi="Arial" w:cs="Arial"/>
          <w:sz w:val="24"/>
          <w:szCs w:val="24"/>
        </w:rPr>
      </w:pPr>
      <w:r w:rsidRPr="005E40B0">
        <w:rPr>
          <w:rFonts w:ascii="Arial" w:hAnsi="Arial" w:cs="Arial"/>
          <w:sz w:val="24"/>
          <w:szCs w:val="24"/>
        </w:rPr>
        <w:t>In the matter between:</w:t>
      </w:r>
    </w:p>
    <w:p w:rsidR="004A7E09" w:rsidRPr="005E40B0" w:rsidRDefault="00080ADD" w:rsidP="004A7E09">
      <w:pPr>
        <w:spacing w:after="0" w:line="360" w:lineRule="auto"/>
        <w:jc w:val="both"/>
        <w:rPr>
          <w:rFonts w:ascii="Arial" w:hAnsi="Arial" w:cs="Arial"/>
          <w:sz w:val="24"/>
          <w:szCs w:val="24"/>
        </w:rPr>
      </w:pPr>
      <w:r>
        <w:rPr>
          <w:rFonts w:ascii="Arial" w:hAnsi="Arial" w:cs="Arial"/>
          <w:sz w:val="24"/>
          <w:szCs w:val="24"/>
        </w:rPr>
        <w:t xml:space="preserve"> </w:t>
      </w:r>
    </w:p>
    <w:p w:rsidR="004A7E09" w:rsidRDefault="004A7E09" w:rsidP="004A7E09">
      <w:pPr>
        <w:tabs>
          <w:tab w:val="right" w:pos="9000"/>
        </w:tabs>
        <w:spacing w:after="0" w:line="360" w:lineRule="auto"/>
        <w:jc w:val="both"/>
        <w:rPr>
          <w:rFonts w:ascii="Arial" w:hAnsi="Arial" w:cs="Arial"/>
          <w:b/>
          <w:sz w:val="24"/>
          <w:szCs w:val="24"/>
        </w:rPr>
      </w:pPr>
      <w:r>
        <w:rPr>
          <w:rFonts w:ascii="Arial" w:hAnsi="Arial" w:cs="Arial"/>
          <w:b/>
          <w:sz w:val="24"/>
          <w:szCs w:val="24"/>
        </w:rPr>
        <w:t>MARTIN NANDE SHILENGUDWA</w:t>
      </w:r>
      <w:r w:rsidRPr="00D05642">
        <w:rPr>
          <w:rFonts w:ascii="Arial" w:hAnsi="Arial" w:cs="Arial"/>
          <w:b/>
          <w:sz w:val="24"/>
          <w:szCs w:val="24"/>
        </w:rPr>
        <w:tab/>
      </w:r>
      <w:r w:rsidR="00080ADD">
        <w:rPr>
          <w:rFonts w:ascii="Arial" w:hAnsi="Arial" w:cs="Arial"/>
          <w:b/>
          <w:sz w:val="24"/>
          <w:szCs w:val="24"/>
        </w:rPr>
        <w:t xml:space="preserve">                                                    </w:t>
      </w:r>
      <w:r>
        <w:rPr>
          <w:rFonts w:ascii="Arial" w:hAnsi="Arial" w:cs="Arial"/>
          <w:b/>
          <w:sz w:val="24"/>
          <w:szCs w:val="24"/>
        </w:rPr>
        <w:t>FIRST APPLICANT</w:t>
      </w:r>
      <w:r w:rsidR="00080ADD">
        <w:rPr>
          <w:rFonts w:ascii="Arial" w:hAnsi="Arial" w:cs="Arial"/>
          <w:b/>
          <w:sz w:val="24"/>
          <w:szCs w:val="24"/>
        </w:rPr>
        <w:t xml:space="preserve">      </w:t>
      </w:r>
    </w:p>
    <w:p w:rsidR="004A7E09" w:rsidRPr="00D05642" w:rsidRDefault="004A7E09" w:rsidP="004A7E09">
      <w:pPr>
        <w:tabs>
          <w:tab w:val="right" w:pos="9000"/>
        </w:tabs>
        <w:spacing w:after="0" w:line="360" w:lineRule="auto"/>
        <w:jc w:val="both"/>
        <w:rPr>
          <w:rFonts w:ascii="Arial" w:hAnsi="Arial" w:cs="Arial"/>
          <w:b/>
          <w:sz w:val="24"/>
          <w:szCs w:val="24"/>
          <w:lang w:val="en-GB"/>
        </w:rPr>
      </w:pPr>
      <w:r>
        <w:rPr>
          <w:rFonts w:ascii="Arial" w:hAnsi="Arial" w:cs="Arial"/>
          <w:b/>
          <w:sz w:val="24"/>
          <w:szCs w:val="24"/>
        </w:rPr>
        <w:t>HILMA DALONDOKA SHILENGUDWA</w:t>
      </w:r>
      <w:r>
        <w:rPr>
          <w:rFonts w:ascii="Arial" w:hAnsi="Arial" w:cs="Arial"/>
          <w:b/>
          <w:sz w:val="24"/>
          <w:szCs w:val="24"/>
        </w:rPr>
        <w:tab/>
      </w:r>
      <w:r w:rsidR="00080ADD">
        <w:rPr>
          <w:rFonts w:ascii="Arial" w:hAnsi="Arial" w:cs="Arial"/>
          <w:b/>
          <w:sz w:val="24"/>
          <w:szCs w:val="24"/>
        </w:rPr>
        <w:t xml:space="preserve">                                       </w:t>
      </w:r>
      <w:r>
        <w:rPr>
          <w:rFonts w:ascii="Arial" w:hAnsi="Arial" w:cs="Arial"/>
          <w:b/>
          <w:sz w:val="24"/>
          <w:szCs w:val="24"/>
        </w:rPr>
        <w:t>SECOND APPLICANT</w:t>
      </w:r>
    </w:p>
    <w:p w:rsidR="004A7E09" w:rsidRPr="00896768" w:rsidRDefault="004A7E09" w:rsidP="004A7E09">
      <w:pPr>
        <w:spacing w:after="0" w:line="360" w:lineRule="auto"/>
        <w:jc w:val="both"/>
        <w:rPr>
          <w:rFonts w:ascii="Arial" w:hAnsi="Arial" w:cs="Arial"/>
        </w:rPr>
      </w:pPr>
    </w:p>
    <w:p w:rsidR="004A7E09" w:rsidRPr="009222F4" w:rsidRDefault="004A7E09" w:rsidP="004A7E09">
      <w:pPr>
        <w:spacing w:after="0" w:line="360" w:lineRule="auto"/>
        <w:jc w:val="both"/>
        <w:rPr>
          <w:rFonts w:ascii="Arial" w:hAnsi="Arial" w:cs="Arial"/>
          <w:sz w:val="24"/>
          <w:szCs w:val="24"/>
        </w:rPr>
      </w:pPr>
      <w:r w:rsidRPr="009222F4">
        <w:rPr>
          <w:rFonts w:ascii="Arial" w:hAnsi="Arial" w:cs="Arial"/>
          <w:sz w:val="24"/>
          <w:szCs w:val="24"/>
        </w:rPr>
        <w:t>and</w:t>
      </w:r>
    </w:p>
    <w:p w:rsidR="004A7E09" w:rsidRPr="00896768" w:rsidRDefault="004A7E09" w:rsidP="004A7E09">
      <w:pPr>
        <w:spacing w:after="0" w:line="360" w:lineRule="auto"/>
        <w:jc w:val="both"/>
        <w:rPr>
          <w:rFonts w:ascii="Arial" w:hAnsi="Arial" w:cs="Arial"/>
        </w:rPr>
      </w:pPr>
    </w:p>
    <w:p w:rsidR="004A7E09" w:rsidRDefault="004A7E09" w:rsidP="004A7E09">
      <w:pPr>
        <w:tabs>
          <w:tab w:val="right" w:pos="9000"/>
        </w:tabs>
        <w:spacing w:after="0" w:line="360" w:lineRule="auto"/>
        <w:jc w:val="both"/>
        <w:rPr>
          <w:rFonts w:ascii="Arial" w:hAnsi="Arial" w:cs="Arial"/>
          <w:b/>
          <w:sz w:val="24"/>
          <w:szCs w:val="24"/>
        </w:rPr>
      </w:pPr>
      <w:r>
        <w:rPr>
          <w:rFonts w:ascii="Arial" w:hAnsi="Arial" w:cs="Arial"/>
          <w:b/>
          <w:sz w:val="24"/>
          <w:szCs w:val="24"/>
        </w:rPr>
        <w:t>THE PROSECUTOR-GENERAL</w:t>
      </w:r>
      <w:r w:rsidRPr="005E40B0">
        <w:rPr>
          <w:rFonts w:ascii="Arial" w:hAnsi="Arial" w:cs="Arial"/>
          <w:b/>
          <w:sz w:val="24"/>
          <w:szCs w:val="24"/>
        </w:rPr>
        <w:tab/>
      </w:r>
      <w:r w:rsidR="00080ADD">
        <w:rPr>
          <w:rFonts w:ascii="Arial" w:hAnsi="Arial" w:cs="Arial"/>
          <w:b/>
          <w:sz w:val="24"/>
          <w:szCs w:val="24"/>
        </w:rPr>
        <w:t xml:space="preserve">                                                   </w:t>
      </w:r>
      <w:r>
        <w:rPr>
          <w:rFonts w:ascii="Arial" w:hAnsi="Arial" w:cs="Arial"/>
          <w:b/>
          <w:sz w:val="24"/>
          <w:szCs w:val="24"/>
        </w:rPr>
        <w:t>FIRST RESPONDENT</w:t>
      </w:r>
      <w:r w:rsidR="00080ADD">
        <w:rPr>
          <w:rFonts w:ascii="Arial" w:hAnsi="Arial" w:cs="Arial"/>
          <w:b/>
          <w:sz w:val="24"/>
          <w:szCs w:val="24"/>
        </w:rPr>
        <w:t xml:space="preserve">     </w:t>
      </w:r>
    </w:p>
    <w:p w:rsidR="004A7E09" w:rsidRPr="005E40B0" w:rsidRDefault="004A7E09" w:rsidP="004A7E09">
      <w:pPr>
        <w:tabs>
          <w:tab w:val="right" w:pos="9000"/>
        </w:tabs>
        <w:spacing w:after="0" w:line="360" w:lineRule="auto"/>
        <w:jc w:val="both"/>
        <w:rPr>
          <w:rFonts w:ascii="Arial" w:hAnsi="Arial" w:cs="Arial"/>
          <w:b/>
          <w:sz w:val="24"/>
          <w:szCs w:val="24"/>
        </w:rPr>
      </w:pPr>
      <w:r>
        <w:rPr>
          <w:rFonts w:ascii="Arial" w:hAnsi="Arial" w:cs="Arial"/>
          <w:b/>
          <w:sz w:val="24"/>
          <w:szCs w:val="24"/>
        </w:rPr>
        <w:t>THE PRESIDENT OF THE REPUBLIC OF NAMIBIA</w:t>
      </w:r>
      <w:r>
        <w:rPr>
          <w:rFonts w:ascii="Arial" w:hAnsi="Arial" w:cs="Arial"/>
          <w:b/>
          <w:sz w:val="24"/>
          <w:szCs w:val="24"/>
        </w:rPr>
        <w:tab/>
      </w:r>
      <w:r w:rsidR="00080ADD">
        <w:rPr>
          <w:rFonts w:ascii="Arial" w:hAnsi="Arial" w:cs="Arial"/>
          <w:b/>
          <w:sz w:val="24"/>
          <w:szCs w:val="24"/>
        </w:rPr>
        <w:t xml:space="preserve">             </w:t>
      </w:r>
      <w:r>
        <w:rPr>
          <w:rFonts w:ascii="Arial" w:hAnsi="Arial" w:cs="Arial"/>
          <w:b/>
          <w:sz w:val="24"/>
          <w:szCs w:val="24"/>
        </w:rPr>
        <w:t xml:space="preserve"> SECOND RESPONDENT</w:t>
      </w:r>
    </w:p>
    <w:p w:rsidR="004A7E09" w:rsidRPr="004A24D1"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THE MINISTER OF JUSTICE</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00080ADD">
        <w:rPr>
          <w:rFonts w:ascii="Arial" w:hAnsi="Arial" w:cs="Arial"/>
          <w:b/>
          <w:sz w:val="24"/>
          <w:szCs w:val="24"/>
        </w:rPr>
        <w:t xml:space="preserve">     </w:t>
      </w:r>
      <w:r>
        <w:rPr>
          <w:rFonts w:ascii="Arial" w:hAnsi="Arial" w:cs="Arial"/>
          <w:b/>
          <w:sz w:val="24"/>
          <w:szCs w:val="24"/>
        </w:rPr>
        <w:t xml:space="preserve"> THIRD RESPONDENT </w:t>
      </w:r>
    </w:p>
    <w:p w:rsidR="004A7E09" w:rsidRPr="004A24D1"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 xml:space="preserve">THE ATTORNEY-GENERAL OF NAMIBIA          </w:t>
      </w:r>
      <w:r w:rsidRPr="004A24D1">
        <w:rPr>
          <w:rFonts w:ascii="Arial" w:hAnsi="Arial" w:cs="Arial"/>
          <w:b/>
          <w:sz w:val="24"/>
          <w:szCs w:val="24"/>
        </w:rPr>
        <w:tab/>
      </w:r>
      <w:r>
        <w:rPr>
          <w:rFonts w:ascii="Arial" w:hAnsi="Arial" w:cs="Arial"/>
          <w:b/>
          <w:sz w:val="24"/>
          <w:szCs w:val="24"/>
        </w:rPr>
        <w:t xml:space="preserve">     </w:t>
      </w:r>
      <w:r w:rsidR="00080ADD">
        <w:rPr>
          <w:rFonts w:ascii="Arial" w:hAnsi="Arial" w:cs="Arial"/>
          <w:b/>
          <w:sz w:val="24"/>
          <w:szCs w:val="24"/>
        </w:rPr>
        <w:t xml:space="preserve">     </w:t>
      </w:r>
      <w:r>
        <w:rPr>
          <w:rFonts w:ascii="Arial" w:hAnsi="Arial" w:cs="Arial"/>
          <w:b/>
          <w:sz w:val="24"/>
          <w:szCs w:val="24"/>
        </w:rPr>
        <w:t xml:space="preserve">   FOURTH RESPONDENT</w:t>
      </w:r>
    </w:p>
    <w:p w:rsidR="004A7E09"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 xml:space="preserve">THE DIRECTOR OF THE ANTI-CORRUPTION </w:t>
      </w:r>
    </w:p>
    <w:p w:rsidR="004A7E09" w:rsidRPr="004A24D1"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COMMISSION</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Pr>
          <w:rFonts w:ascii="Arial" w:hAnsi="Arial" w:cs="Arial"/>
          <w:b/>
          <w:sz w:val="24"/>
          <w:szCs w:val="24"/>
        </w:rPr>
        <w:t xml:space="preserve">  </w:t>
      </w:r>
      <w:r w:rsidRPr="004A24D1">
        <w:rPr>
          <w:rFonts w:ascii="Arial" w:hAnsi="Arial" w:cs="Arial"/>
          <w:b/>
          <w:sz w:val="24"/>
          <w:szCs w:val="24"/>
        </w:rPr>
        <w:t xml:space="preserve">          </w:t>
      </w:r>
      <w:r w:rsidR="00080ADD">
        <w:rPr>
          <w:rFonts w:ascii="Arial" w:hAnsi="Arial" w:cs="Arial"/>
          <w:b/>
          <w:sz w:val="24"/>
          <w:szCs w:val="24"/>
        </w:rPr>
        <w:t xml:space="preserve">      </w:t>
      </w:r>
      <w:r>
        <w:rPr>
          <w:rFonts w:ascii="Arial" w:hAnsi="Arial" w:cs="Arial"/>
          <w:b/>
          <w:sz w:val="24"/>
          <w:szCs w:val="24"/>
        </w:rPr>
        <w:t>FIFTH RESPONDENT</w:t>
      </w:r>
    </w:p>
    <w:p w:rsidR="004A7E09"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 xml:space="preserve">BUSINESS AND INTELLECTUAL PROPERTY </w:t>
      </w:r>
    </w:p>
    <w:p w:rsidR="004A7E09" w:rsidRPr="004A24D1"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AUTHORITY</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w:t>
      </w:r>
      <w:r w:rsidR="00080ADD">
        <w:rPr>
          <w:rFonts w:ascii="Arial" w:hAnsi="Arial" w:cs="Arial"/>
          <w:b/>
          <w:sz w:val="24"/>
          <w:szCs w:val="24"/>
        </w:rPr>
        <w:t xml:space="preserve">     </w:t>
      </w:r>
      <w:r>
        <w:rPr>
          <w:rFonts w:ascii="Arial" w:hAnsi="Arial" w:cs="Arial"/>
          <w:b/>
          <w:sz w:val="24"/>
          <w:szCs w:val="24"/>
        </w:rPr>
        <w:t>SIXTH RESPONDENT</w:t>
      </w:r>
    </w:p>
    <w:p w:rsidR="004A7E09" w:rsidRPr="004A24D1" w:rsidRDefault="004A7E09" w:rsidP="004A7E09">
      <w:pPr>
        <w:spacing w:after="0" w:line="360" w:lineRule="auto"/>
        <w:ind w:left="2250" w:hanging="2250"/>
        <w:jc w:val="both"/>
        <w:rPr>
          <w:rFonts w:ascii="Arial" w:hAnsi="Arial" w:cs="Arial"/>
          <w:b/>
          <w:sz w:val="24"/>
          <w:szCs w:val="24"/>
        </w:rPr>
      </w:pPr>
      <w:r>
        <w:rPr>
          <w:rFonts w:ascii="Arial" w:hAnsi="Arial" w:cs="Arial"/>
          <w:b/>
          <w:sz w:val="24"/>
          <w:szCs w:val="24"/>
        </w:rPr>
        <w:t>MINISTER OF FINANCE</w:t>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r>
      <w:r w:rsidRPr="004A24D1">
        <w:rPr>
          <w:rFonts w:ascii="Arial" w:hAnsi="Arial" w:cs="Arial"/>
          <w:b/>
          <w:sz w:val="24"/>
          <w:szCs w:val="24"/>
        </w:rPr>
        <w:tab/>
        <w:t xml:space="preserve">   </w:t>
      </w:r>
      <w:r w:rsidR="00080ADD">
        <w:rPr>
          <w:rFonts w:ascii="Arial" w:hAnsi="Arial" w:cs="Arial"/>
          <w:b/>
          <w:sz w:val="24"/>
          <w:szCs w:val="24"/>
        </w:rPr>
        <w:t xml:space="preserve">      </w:t>
      </w:r>
      <w:r>
        <w:rPr>
          <w:rFonts w:ascii="Arial" w:hAnsi="Arial" w:cs="Arial"/>
          <w:b/>
          <w:sz w:val="24"/>
          <w:szCs w:val="24"/>
        </w:rPr>
        <w:t xml:space="preserve"> </w:t>
      </w:r>
      <w:r w:rsidRPr="004A24D1">
        <w:rPr>
          <w:rFonts w:ascii="Arial" w:hAnsi="Arial" w:cs="Arial"/>
          <w:b/>
          <w:sz w:val="24"/>
          <w:szCs w:val="24"/>
        </w:rPr>
        <w:t xml:space="preserve"> </w:t>
      </w:r>
      <w:r>
        <w:rPr>
          <w:rFonts w:ascii="Arial" w:hAnsi="Arial" w:cs="Arial"/>
          <w:b/>
          <w:sz w:val="24"/>
          <w:szCs w:val="24"/>
        </w:rPr>
        <w:t>SEVENTH RESPONDENT</w:t>
      </w:r>
    </w:p>
    <w:p w:rsidR="004A7E09" w:rsidRPr="004A24D1" w:rsidRDefault="004A7E09" w:rsidP="004A7E09">
      <w:pPr>
        <w:spacing w:after="0" w:line="360" w:lineRule="auto"/>
        <w:ind w:left="2250" w:hanging="2250"/>
        <w:jc w:val="both"/>
        <w:rPr>
          <w:rFonts w:ascii="Arial" w:hAnsi="Arial" w:cs="Arial"/>
          <w:b/>
          <w:sz w:val="24"/>
          <w:szCs w:val="24"/>
        </w:rPr>
      </w:pPr>
    </w:p>
    <w:p w:rsidR="004A7E09" w:rsidRDefault="004A7E09" w:rsidP="004A7E09">
      <w:pPr>
        <w:spacing w:after="0" w:line="360" w:lineRule="auto"/>
        <w:ind w:left="2250" w:hanging="2250"/>
        <w:jc w:val="both"/>
        <w:rPr>
          <w:rFonts w:ascii="Arial" w:hAnsi="Arial" w:cs="Arial"/>
          <w:sz w:val="24"/>
          <w:szCs w:val="24"/>
        </w:rPr>
      </w:pPr>
    </w:p>
    <w:p w:rsidR="004A7E09" w:rsidRPr="00E95A88" w:rsidRDefault="004A7E09" w:rsidP="004A7E09">
      <w:pPr>
        <w:spacing w:after="0" w:line="360" w:lineRule="auto"/>
        <w:ind w:left="2250" w:hanging="2250"/>
        <w:jc w:val="both"/>
        <w:rPr>
          <w:rFonts w:ascii="Arial" w:hAnsi="Arial" w:cs="Arial"/>
          <w:sz w:val="24"/>
          <w:szCs w:val="24"/>
        </w:rPr>
      </w:pPr>
    </w:p>
    <w:p w:rsidR="004A7E09" w:rsidRPr="005E40B0" w:rsidRDefault="004A7E09" w:rsidP="004A7E09">
      <w:pPr>
        <w:tabs>
          <w:tab w:val="left" w:pos="2127"/>
          <w:tab w:val="right" w:pos="9000"/>
        </w:tabs>
        <w:spacing w:after="0" w:line="360" w:lineRule="auto"/>
        <w:ind w:left="2127" w:hanging="2127"/>
        <w:jc w:val="both"/>
        <w:rPr>
          <w:rFonts w:ascii="Arial" w:hAnsi="Arial" w:cs="Arial"/>
          <w:i/>
          <w:sz w:val="24"/>
          <w:szCs w:val="24"/>
        </w:rPr>
      </w:pPr>
      <w:r w:rsidRPr="005E40B0">
        <w:rPr>
          <w:rFonts w:ascii="Arial" w:hAnsi="Arial" w:cs="Arial"/>
          <w:b/>
          <w:sz w:val="24"/>
          <w:szCs w:val="24"/>
        </w:rPr>
        <w:t>Neutral citation:</w:t>
      </w:r>
      <w:r w:rsidRPr="005E40B0">
        <w:rPr>
          <w:rFonts w:ascii="Arial" w:hAnsi="Arial" w:cs="Arial"/>
          <w:b/>
          <w:sz w:val="24"/>
          <w:szCs w:val="24"/>
        </w:rPr>
        <w:tab/>
      </w:r>
      <w:bookmarkStart w:id="0" w:name="_GoBack"/>
      <w:r w:rsidRPr="005E40B0">
        <w:rPr>
          <w:rFonts w:ascii="Arial" w:hAnsi="Arial" w:cs="Arial"/>
          <w:b/>
          <w:sz w:val="24"/>
          <w:szCs w:val="24"/>
        </w:rPr>
        <w:tab/>
      </w:r>
      <w:r>
        <w:rPr>
          <w:rFonts w:ascii="Arial" w:hAnsi="Arial" w:cs="Arial"/>
          <w:i/>
          <w:sz w:val="24"/>
          <w:szCs w:val="24"/>
        </w:rPr>
        <w:t xml:space="preserve">Shilengudwa v </w:t>
      </w:r>
      <w:r w:rsidR="00322C18">
        <w:rPr>
          <w:rFonts w:ascii="Arial" w:hAnsi="Arial" w:cs="Arial"/>
          <w:i/>
          <w:sz w:val="24"/>
          <w:szCs w:val="24"/>
        </w:rPr>
        <w:t>T</w:t>
      </w:r>
      <w:r w:rsidR="00AA4FF4">
        <w:rPr>
          <w:rFonts w:ascii="Arial" w:hAnsi="Arial" w:cs="Arial"/>
          <w:i/>
          <w:sz w:val="24"/>
          <w:szCs w:val="24"/>
        </w:rPr>
        <w:t>he Prosecutor-General</w:t>
      </w:r>
      <w:r w:rsidRPr="005E40B0">
        <w:rPr>
          <w:rFonts w:ascii="Arial" w:hAnsi="Arial" w:cs="Arial"/>
          <w:i/>
          <w:sz w:val="24"/>
          <w:szCs w:val="24"/>
        </w:rPr>
        <w:t xml:space="preserve"> </w:t>
      </w:r>
      <w:r w:rsidRPr="005E40B0">
        <w:rPr>
          <w:rFonts w:ascii="Arial" w:hAnsi="Arial" w:cs="Arial"/>
          <w:sz w:val="24"/>
          <w:szCs w:val="24"/>
        </w:rPr>
        <w:t>(</w:t>
      </w:r>
      <w:r w:rsidR="00322C18" w:rsidRPr="004A24D1">
        <w:rPr>
          <w:rFonts w:ascii="Arial" w:hAnsi="Arial" w:cs="Arial"/>
          <w:sz w:val="24"/>
          <w:szCs w:val="24"/>
        </w:rPr>
        <w:t>HC-MD-CIV-</w:t>
      </w:r>
      <w:r w:rsidR="00322C18">
        <w:rPr>
          <w:rFonts w:ascii="Arial" w:hAnsi="Arial" w:cs="Arial"/>
          <w:sz w:val="24"/>
          <w:szCs w:val="24"/>
        </w:rPr>
        <w:t>MOT</w:t>
      </w:r>
      <w:r w:rsidR="00322C18" w:rsidRPr="004A24D1">
        <w:rPr>
          <w:rFonts w:ascii="Arial" w:hAnsi="Arial" w:cs="Arial"/>
          <w:sz w:val="24"/>
          <w:szCs w:val="24"/>
        </w:rPr>
        <w:t>-</w:t>
      </w:r>
      <w:r w:rsidR="00322C18">
        <w:rPr>
          <w:rFonts w:ascii="Arial" w:hAnsi="Arial" w:cs="Arial"/>
          <w:sz w:val="24"/>
          <w:szCs w:val="24"/>
        </w:rPr>
        <w:t>GEN</w:t>
      </w:r>
      <w:r w:rsidR="00322C18" w:rsidRPr="004A24D1">
        <w:rPr>
          <w:rFonts w:ascii="Arial" w:hAnsi="Arial" w:cs="Arial"/>
          <w:sz w:val="24"/>
          <w:szCs w:val="24"/>
        </w:rPr>
        <w:t>-20</w:t>
      </w:r>
      <w:r w:rsidR="00322C18">
        <w:rPr>
          <w:rFonts w:ascii="Arial" w:hAnsi="Arial" w:cs="Arial"/>
          <w:sz w:val="24"/>
          <w:szCs w:val="24"/>
        </w:rPr>
        <w:t>20</w:t>
      </w:r>
      <w:r w:rsidR="00322C18" w:rsidRPr="004A24D1">
        <w:rPr>
          <w:rFonts w:ascii="Arial" w:hAnsi="Arial" w:cs="Arial"/>
          <w:sz w:val="24"/>
          <w:szCs w:val="24"/>
        </w:rPr>
        <w:t>/00</w:t>
      </w:r>
      <w:r w:rsidR="00322C18">
        <w:rPr>
          <w:rFonts w:ascii="Arial" w:hAnsi="Arial" w:cs="Arial"/>
          <w:sz w:val="24"/>
          <w:szCs w:val="24"/>
        </w:rPr>
        <w:t>374</w:t>
      </w:r>
      <w:r w:rsidRPr="005E40B0">
        <w:rPr>
          <w:rFonts w:ascii="Arial" w:hAnsi="Arial" w:cs="Arial"/>
          <w:sz w:val="24"/>
          <w:szCs w:val="24"/>
        </w:rPr>
        <w:t>) [2023] NAHCMD</w:t>
      </w:r>
      <w:r>
        <w:rPr>
          <w:rFonts w:ascii="Arial" w:hAnsi="Arial" w:cs="Arial"/>
          <w:sz w:val="24"/>
          <w:szCs w:val="24"/>
        </w:rPr>
        <w:t xml:space="preserve"> </w:t>
      </w:r>
      <w:r w:rsidR="003C76F4" w:rsidRPr="00B20D31">
        <w:rPr>
          <w:rFonts w:ascii="Arial" w:hAnsi="Arial" w:cs="Arial"/>
          <w:sz w:val="24"/>
          <w:szCs w:val="24"/>
        </w:rPr>
        <w:t>496</w:t>
      </w:r>
      <w:r>
        <w:rPr>
          <w:rFonts w:ascii="Arial" w:hAnsi="Arial" w:cs="Arial"/>
          <w:sz w:val="24"/>
          <w:szCs w:val="24"/>
        </w:rPr>
        <w:t xml:space="preserve"> </w:t>
      </w:r>
      <w:r w:rsidRPr="005E40B0">
        <w:rPr>
          <w:rFonts w:ascii="Arial" w:hAnsi="Arial" w:cs="Arial"/>
          <w:sz w:val="24"/>
          <w:szCs w:val="24"/>
        </w:rPr>
        <w:t>(</w:t>
      </w:r>
      <w:r w:rsidR="00080ADD">
        <w:rPr>
          <w:rFonts w:ascii="Arial" w:hAnsi="Arial" w:cs="Arial"/>
          <w:sz w:val="24"/>
          <w:szCs w:val="24"/>
        </w:rPr>
        <w:t>11 August</w:t>
      </w:r>
      <w:r w:rsidRPr="00D27DE5">
        <w:rPr>
          <w:rFonts w:ascii="Arial" w:hAnsi="Arial" w:cs="Arial"/>
          <w:sz w:val="24"/>
          <w:szCs w:val="24"/>
        </w:rPr>
        <w:t xml:space="preserve"> 2023</w:t>
      </w:r>
      <w:r w:rsidRPr="005E40B0">
        <w:rPr>
          <w:rFonts w:ascii="Arial" w:hAnsi="Arial" w:cs="Arial"/>
          <w:sz w:val="24"/>
          <w:szCs w:val="24"/>
        </w:rPr>
        <w:t>)</w:t>
      </w:r>
    </w:p>
    <w:bookmarkEnd w:id="0"/>
    <w:p w:rsidR="004A7E09" w:rsidRPr="009222F4" w:rsidRDefault="004A7E09" w:rsidP="004A7E09">
      <w:pPr>
        <w:spacing w:after="0" w:line="360" w:lineRule="auto"/>
        <w:ind w:left="2160" w:hanging="2160"/>
        <w:jc w:val="both"/>
        <w:rPr>
          <w:rFonts w:ascii="Arial" w:hAnsi="Arial" w:cs="Arial"/>
          <w:sz w:val="24"/>
          <w:szCs w:val="24"/>
        </w:rPr>
      </w:pPr>
    </w:p>
    <w:p w:rsidR="004A7E09" w:rsidRPr="00EB47C8" w:rsidRDefault="004A7E09" w:rsidP="004A7E09">
      <w:pPr>
        <w:spacing w:after="0" w:line="360" w:lineRule="auto"/>
        <w:ind w:left="1440" w:hanging="1440"/>
        <w:jc w:val="both"/>
        <w:rPr>
          <w:rFonts w:ascii="Arial" w:hAnsi="Arial" w:cs="Arial"/>
          <w:sz w:val="24"/>
          <w:szCs w:val="24"/>
        </w:rPr>
      </w:pPr>
      <w:r w:rsidRPr="009222F4">
        <w:rPr>
          <w:rFonts w:ascii="Arial" w:hAnsi="Arial" w:cs="Arial"/>
          <w:b/>
          <w:sz w:val="24"/>
          <w:szCs w:val="24"/>
        </w:rPr>
        <w:t>Coram:</w:t>
      </w:r>
      <w:r w:rsidRPr="009222F4">
        <w:rPr>
          <w:rFonts w:ascii="Arial" w:hAnsi="Arial" w:cs="Arial"/>
          <w:sz w:val="24"/>
          <w:szCs w:val="24"/>
        </w:rPr>
        <w:tab/>
      </w:r>
      <w:r w:rsidR="00322C18">
        <w:rPr>
          <w:rFonts w:ascii="Arial" w:hAnsi="Arial" w:cs="Arial"/>
          <w:sz w:val="24"/>
          <w:szCs w:val="24"/>
        </w:rPr>
        <w:t xml:space="preserve">MASUKU J, OOSTHUIZEN J </w:t>
      </w:r>
      <w:r w:rsidR="00322C18" w:rsidRPr="003658BA">
        <w:rPr>
          <w:rFonts w:ascii="Arial" w:hAnsi="Arial" w:cs="Arial"/>
          <w:i/>
          <w:sz w:val="24"/>
          <w:szCs w:val="24"/>
        </w:rPr>
        <w:t xml:space="preserve">et </w:t>
      </w:r>
      <w:r>
        <w:rPr>
          <w:rFonts w:ascii="Arial" w:hAnsi="Arial" w:cs="Arial"/>
          <w:sz w:val="24"/>
          <w:szCs w:val="24"/>
        </w:rPr>
        <w:t>PRINSLOO J</w:t>
      </w:r>
    </w:p>
    <w:p w:rsidR="004A7E09" w:rsidRPr="00D23ACD" w:rsidRDefault="004A7E09" w:rsidP="004A7E09">
      <w:pPr>
        <w:spacing w:after="0" w:line="360" w:lineRule="auto"/>
        <w:ind w:left="1440" w:hanging="1440"/>
        <w:jc w:val="both"/>
        <w:rPr>
          <w:rFonts w:ascii="Arial" w:hAnsi="Arial" w:cs="Arial"/>
          <w:b/>
          <w:sz w:val="24"/>
          <w:szCs w:val="24"/>
        </w:rPr>
      </w:pPr>
      <w:r w:rsidRPr="00D23ACD">
        <w:rPr>
          <w:rFonts w:ascii="Arial" w:hAnsi="Arial" w:cs="Arial"/>
          <w:b/>
          <w:bCs/>
          <w:sz w:val="24"/>
          <w:szCs w:val="24"/>
        </w:rPr>
        <w:t>Heard</w:t>
      </w:r>
      <w:r w:rsidRPr="00D23ACD">
        <w:rPr>
          <w:rFonts w:ascii="Arial" w:hAnsi="Arial" w:cs="Arial"/>
          <w:b/>
          <w:sz w:val="24"/>
          <w:szCs w:val="24"/>
        </w:rPr>
        <w:t>:</w:t>
      </w:r>
      <w:r w:rsidRPr="00D23ACD">
        <w:rPr>
          <w:rFonts w:ascii="Arial" w:hAnsi="Arial" w:cs="Arial"/>
          <w:b/>
          <w:sz w:val="24"/>
          <w:szCs w:val="24"/>
        </w:rPr>
        <w:tab/>
      </w:r>
      <w:r w:rsidR="00322C18">
        <w:rPr>
          <w:rFonts w:ascii="Arial" w:hAnsi="Arial" w:cs="Arial"/>
          <w:b/>
          <w:sz w:val="24"/>
          <w:szCs w:val="24"/>
        </w:rPr>
        <w:t>14 October 2022</w:t>
      </w:r>
    </w:p>
    <w:p w:rsidR="004A7E09" w:rsidRPr="00D23ACD" w:rsidRDefault="004A7E09" w:rsidP="004A7E09">
      <w:pPr>
        <w:spacing w:after="0" w:line="360" w:lineRule="auto"/>
        <w:jc w:val="both"/>
        <w:rPr>
          <w:rFonts w:ascii="Arial" w:hAnsi="Arial" w:cs="Arial"/>
          <w:b/>
          <w:sz w:val="24"/>
          <w:szCs w:val="24"/>
        </w:rPr>
      </w:pPr>
      <w:r w:rsidRPr="00D23ACD">
        <w:rPr>
          <w:rFonts w:ascii="Arial" w:hAnsi="Arial" w:cs="Arial"/>
          <w:b/>
          <w:bCs/>
          <w:sz w:val="24"/>
          <w:szCs w:val="24"/>
        </w:rPr>
        <w:t>Delivered</w:t>
      </w:r>
      <w:r w:rsidRPr="00D23ACD">
        <w:rPr>
          <w:rFonts w:ascii="Arial" w:hAnsi="Arial" w:cs="Arial"/>
          <w:b/>
          <w:sz w:val="24"/>
          <w:szCs w:val="24"/>
        </w:rPr>
        <w:t>:</w:t>
      </w:r>
      <w:r w:rsidRPr="00D23ACD">
        <w:rPr>
          <w:rFonts w:ascii="Arial" w:hAnsi="Arial" w:cs="Arial"/>
          <w:b/>
          <w:sz w:val="24"/>
          <w:szCs w:val="24"/>
        </w:rPr>
        <w:tab/>
      </w:r>
      <w:r w:rsidR="00080ADD">
        <w:rPr>
          <w:rFonts w:ascii="Arial" w:hAnsi="Arial" w:cs="Arial"/>
          <w:b/>
          <w:sz w:val="24"/>
          <w:szCs w:val="24"/>
        </w:rPr>
        <w:t>11</w:t>
      </w:r>
      <w:r w:rsidR="005771E0">
        <w:rPr>
          <w:rFonts w:ascii="Arial" w:hAnsi="Arial" w:cs="Arial"/>
          <w:b/>
          <w:sz w:val="24"/>
          <w:szCs w:val="24"/>
        </w:rPr>
        <w:t xml:space="preserve"> August</w:t>
      </w:r>
      <w:r w:rsidRPr="00D27DE5">
        <w:rPr>
          <w:rFonts w:ascii="Arial" w:hAnsi="Arial" w:cs="Arial"/>
          <w:b/>
          <w:sz w:val="24"/>
          <w:szCs w:val="24"/>
        </w:rPr>
        <w:t xml:space="preserve"> 2023</w:t>
      </w:r>
    </w:p>
    <w:p w:rsidR="004A7E09" w:rsidRPr="00EF2D65" w:rsidRDefault="004A7E09" w:rsidP="004A7E09">
      <w:pPr>
        <w:spacing w:after="0" w:line="360" w:lineRule="auto"/>
        <w:jc w:val="both"/>
        <w:rPr>
          <w:rFonts w:ascii="Arial" w:hAnsi="Arial" w:cs="Arial"/>
          <w:sz w:val="24"/>
          <w:szCs w:val="24"/>
        </w:rPr>
      </w:pPr>
    </w:p>
    <w:p w:rsidR="004A7E09" w:rsidRDefault="004A7E09" w:rsidP="00CF0825">
      <w:pPr>
        <w:spacing w:line="360" w:lineRule="auto"/>
        <w:jc w:val="both"/>
        <w:rPr>
          <w:rFonts w:ascii="Arial" w:hAnsi="Arial" w:cs="Arial"/>
          <w:sz w:val="24"/>
          <w:szCs w:val="24"/>
        </w:rPr>
      </w:pPr>
      <w:r w:rsidRPr="00EF2D65">
        <w:rPr>
          <w:rFonts w:ascii="Arial" w:hAnsi="Arial" w:cs="Arial"/>
          <w:b/>
          <w:sz w:val="24"/>
          <w:szCs w:val="24"/>
        </w:rPr>
        <w:t>Flynote:</w:t>
      </w:r>
      <w:r w:rsidRPr="00EF2D65">
        <w:rPr>
          <w:rFonts w:ascii="Arial" w:hAnsi="Arial" w:cs="Arial"/>
          <w:b/>
          <w:sz w:val="24"/>
          <w:szCs w:val="24"/>
        </w:rPr>
        <w:tab/>
      </w:r>
      <w:r w:rsidR="006E2628" w:rsidRPr="002534F9">
        <w:rPr>
          <w:rFonts w:ascii="Arial" w:hAnsi="Arial" w:cs="Arial"/>
          <w:i/>
          <w:sz w:val="24"/>
          <w:szCs w:val="24"/>
        </w:rPr>
        <w:t>Constitutional law</w:t>
      </w:r>
      <w:r w:rsidR="006E2628" w:rsidRPr="002534F9">
        <w:rPr>
          <w:rFonts w:ascii="Arial" w:hAnsi="Arial" w:cs="Arial"/>
          <w:sz w:val="24"/>
          <w:szCs w:val="24"/>
        </w:rPr>
        <w:t xml:space="preserve"> –</w:t>
      </w:r>
      <w:r w:rsidR="00CF0825" w:rsidRPr="002534F9">
        <w:rPr>
          <w:rFonts w:ascii="Arial" w:hAnsi="Arial" w:cs="Arial"/>
          <w:sz w:val="24"/>
          <w:szCs w:val="24"/>
        </w:rPr>
        <w:t xml:space="preserve"> Articles 8, 16 and 21(1)(</w:t>
      </w:r>
      <w:r w:rsidR="00CF0825" w:rsidRPr="002534F9">
        <w:rPr>
          <w:rFonts w:ascii="Arial" w:hAnsi="Arial" w:cs="Arial"/>
          <w:i/>
          <w:sz w:val="24"/>
          <w:szCs w:val="24"/>
        </w:rPr>
        <w:t>j</w:t>
      </w:r>
      <w:r w:rsidR="00CF0825" w:rsidRPr="002534F9">
        <w:rPr>
          <w:rFonts w:ascii="Arial" w:hAnsi="Arial" w:cs="Arial"/>
          <w:sz w:val="24"/>
          <w:szCs w:val="24"/>
        </w:rPr>
        <w:t xml:space="preserve">) of the Constitution – </w:t>
      </w:r>
      <w:r w:rsidR="0035276E">
        <w:rPr>
          <w:rFonts w:ascii="Arial" w:hAnsi="Arial" w:cs="Arial"/>
          <w:sz w:val="24"/>
          <w:szCs w:val="24"/>
        </w:rPr>
        <w:t>were</w:t>
      </w:r>
      <w:r w:rsidR="00CF0825" w:rsidRPr="002534F9">
        <w:rPr>
          <w:rFonts w:ascii="Arial" w:hAnsi="Arial" w:cs="Arial"/>
          <w:sz w:val="24"/>
          <w:szCs w:val="24"/>
        </w:rPr>
        <w:t xml:space="preserve"> these Articles breached or offended by the definition of ‘proceeds of unlawful activities’ as set out in Prevention of Organised Crime Act 29 of 2004</w:t>
      </w:r>
    </w:p>
    <w:p w:rsidR="006E2628" w:rsidRPr="00816ED1" w:rsidRDefault="006E2628" w:rsidP="00CF0825">
      <w:pPr>
        <w:spacing w:line="360" w:lineRule="auto"/>
        <w:jc w:val="both"/>
        <w:rPr>
          <w:rFonts w:ascii="Arial" w:hAnsi="Arial" w:cs="Arial"/>
          <w:sz w:val="24"/>
          <w:szCs w:val="24"/>
        </w:rPr>
      </w:pPr>
      <w:r w:rsidRPr="00816ED1">
        <w:rPr>
          <w:rFonts w:ascii="Arial" w:hAnsi="Arial" w:cs="Arial"/>
          <w:i/>
          <w:sz w:val="24"/>
          <w:szCs w:val="24"/>
        </w:rPr>
        <w:t>Statute</w:t>
      </w:r>
      <w:r w:rsidR="00C10864" w:rsidRPr="00816ED1">
        <w:rPr>
          <w:sz w:val="24"/>
          <w:szCs w:val="24"/>
        </w:rPr>
        <w:t xml:space="preserve"> </w:t>
      </w:r>
      <w:r w:rsidR="00C10864" w:rsidRPr="00816ED1">
        <w:rPr>
          <w:rFonts w:ascii="Arial" w:hAnsi="Arial" w:cs="Arial"/>
          <w:sz w:val="24"/>
          <w:szCs w:val="24"/>
        </w:rPr>
        <w:t>–</w:t>
      </w:r>
      <w:r w:rsidR="00C10864" w:rsidRPr="00816ED1">
        <w:rPr>
          <w:sz w:val="24"/>
          <w:szCs w:val="24"/>
        </w:rPr>
        <w:t xml:space="preserve"> </w:t>
      </w:r>
      <w:r w:rsidR="00C10864" w:rsidRPr="00816ED1">
        <w:rPr>
          <w:rFonts w:ascii="Arial" w:hAnsi="Arial" w:cs="Arial"/>
          <w:sz w:val="24"/>
          <w:szCs w:val="24"/>
        </w:rPr>
        <w:t xml:space="preserve">Prevention of Organised Crime Act 29 of 2004 – </w:t>
      </w:r>
      <w:r w:rsidR="00CF0825" w:rsidRPr="00816ED1">
        <w:rPr>
          <w:rFonts w:ascii="Arial" w:hAnsi="Arial" w:cs="Arial"/>
          <w:sz w:val="24"/>
          <w:szCs w:val="24"/>
        </w:rPr>
        <w:t>Constitutionality of s 1</w:t>
      </w:r>
      <w:r w:rsidR="00C10864" w:rsidRPr="00816ED1">
        <w:rPr>
          <w:rFonts w:ascii="Arial" w:hAnsi="Arial" w:cs="Arial"/>
          <w:sz w:val="24"/>
          <w:szCs w:val="24"/>
        </w:rPr>
        <w:t xml:space="preserve"> – </w:t>
      </w:r>
      <w:r w:rsidR="00CF0825" w:rsidRPr="00816ED1">
        <w:rPr>
          <w:rFonts w:ascii="Arial" w:hAnsi="Arial" w:cs="Arial"/>
          <w:sz w:val="24"/>
          <w:szCs w:val="24"/>
        </w:rPr>
        <w:t>Definition of the ‘proceeds of unlawful activities’</w:t>
      </w:r>
    </w:p>
    <w:p w:rsidR="00274226" w:rsidRDefault="00C10864" w:rsidP="00685BEA">
      <w:pPr>
        <w:pStyle w:val="ListParagraph"/>
        <w:spacing w:after="0" w:line="360" w:lineRule="auto"/>
        <w:ind w:left="0"/>
        <w:jc w:val="both"/>
        <w:rPr>
          <w:rFonts w:ascii="Arial" w:hAnsi="Arial" w:cs="Arial"/>
          <w:sz w:val="24"/>
          <w:szCs w:val="24"/>
        </w:rPr>
      </w:pPr>
      <w:r w:rsidRPr="00CF0825">
        <w:rPr>
          <w:rFonts w:ascii="Arial" w:hAnsi="Arial" w:cs="Arial"/>
          <w:i/>
          <w:sz w:val="24"/>
          <w:szCs w:val="24"/>
        </w:rPr>
        <w:t>International agreements and Conventions</w:t>
      </w:r>
      <w:r w:rsidRPr="00CF0825">
        <w:rPr>
          <w:rFonts w:ascii="Arial" w:hAnsi="Arial" w:cs="Arial"/>
          <w:sz w:val="24"/>
          <w:szCs w:val="24"/>
        </w:rPr>
        <w:t xml:space="preserve"> –</w:t>
      </w:r>
      <w:r w:rsidRPr="00CF0825">
        <w:rPr>
          <w:rFonts w:ascii="Arial" w:hAnsi="Arial" w:cs="Arial"/>
          <w:i/>
          <w:sz w:val="24"/>
          <w:szCs w:val="24"/>
        </w:rPr>
        <w:t xml:space="preserve"> </w:t>
      </w:r>
      <w:r w:rsidRPr="00CF0825">
        <w:rPr>
          <w:rFonts w:ascii="Arial" w:hAnsi="Arial" w:cs="Arial"/>
          <w:sz w:val="24"/>
          <w:szCs w:val="24"/>
        </w:rPr>
        <w:t>Palermo Convention</w:t>
      </w:r>
      <w:r w:rsidR="00CF0825" w:rsidRPr="00CF0825">
        <w:rPr>
          <w:rFonts w:ascii="Arial" w:hAnsi="Arial" w:cs="Arial"/>
          <w:i/>
          <w:sz w:val="24"/>
          <w:szCs w:val="24"/>
        </w:rPr>
        <w:t>-</w:t>
      </w:r>
      <w:r w:rsidR="00CF0825" w:rsidRPr="00CF0825">
        <w:rPr>
          <w:rFonts w:ascii="Arial" w:hAnsi="Arial" w:cs="Arial"/>
          <w:sz w:val="24"/>
          <w:szCs w:val="24"/>
          <w:lang w:val="en-GB"/>
        </w:rPr>
        <w:t xml:space="preserve"> </w:t>
      </w:r>
      <w:r w:rsidR="00CF0825">
        <w:rPr>
          <w:rFonts w:ascii="Arial" w:hAnsi="Arial" w:cs="Arial"/>
          <w:sz w:val="24"/>
          <w:szCs w:val="24"/>
          <w:lang w:val="en-GB"/>
        </w:rPr>
        <w:t>Namibia</w:t>
      </w:r>
      <w:r w:rsidR="0035276E">
        <w:rPr>
          <w:rFonts w:ascii="Arial" w:hAnsi="Arial" w:cs="Arial"/>
          <w:sz w:val="24"/>
          <w:szCs w:val="24"/>
          <w:lang w:val="en-GB"/>
        </w:rPr>
        <w:t>’s obligations as a</w:t>
      </w:r>
      <w:r w:rsidR="00CF0825" w:rsidRPr="00CF0825">
        <w:rPr>
          <w:rFonts w:ascii="Arial" w:hAnsi="Arial" w:cs="Arial"/>
          <w:sz w:val="24"/>
          <w:szCs w:val="24"/>
          <w:lang w:val="en-GB"/>
        </w:rPr>
        <w:t xml:space="preserve"> member state</w:t>
      </w:r>
      <w:r w:rsidR="00CF0825">
        <w:rPr>
          <w:rFonts w:ascii="Arial" w:hAnsi="Arial" w:cs="Arial"/>
          <w:sz w:val="24"/>
          <w:szCs w:val="24"/>
          <w:lang w:val="en-GB"/>
        </w:rPr>
        <w:t xml:space="preserve"> and</w:t>
      </w:r>
      <w:r w:rsidR="00CF0825" w:rsidRPr="00CF0825">
        <w:rPr>
          <w:rFonts w:ascii="Arial" w:hAnsi="Arial" w:cs="Arial"/>
          <w:sz w:val="24"/>
          <w:szCs w:val="24"/>
          <w:lang w:val="en-GB"/>
        </w:rPr>
        <w:t xml:space="preserve"> a signatory to the Covenant</w:t>
      </w:r>
      <w:r w:rsidR="0035276E">
        <w:rPr>
          <w:rFonts w:ascii="Arial" w:hAnsi="Arial" w:cs="Arial"/>
          <w:sz w:val="24"/>
          <w:szCs w:val="24"/>
          <w:lang w:val="en-GB"/>
        </w:rPr>
        <w:t>,</w:t>
      </w:r>
      <w:r w:rsidR="00CF0825" w:rsidRPr="00CF0825">
        <w:rPr>
          <w:rFonts w:ascii="Arial" w:hAnsi="Arial" w:cs="Arial"/>
          <w:sz w:val="24"/>
          <w:szCs w:val="24"/>
          <w:lang w:val="en-GB"/>
        </w:rPr>
        <w:t xml:space="preserve"> </w:t>
      </w:r>
      <w:r w:rsidR="0035276E">
        <w:rPr>
          <w:rFonts w:ascii="Arial" w:hAnsi="Arial" w:cs="Arial"/>
          <w:sz w:val="24"/>
          <w:szCs w:val="24"/>
          <w:lang w:val="en-GB"/>
        </w:rPr>
        <w:t xml:space="preserve">having </w:t>
      </w:r>
      <w:r w:rsidR="00CF0825" w:rsidRPr="00CF0825">
        <w:rPr>
          <w:rFonts w:ascii="Arial" w:hAnsi="Arial" w:cs="Arial"/>
          <w:sz w:val="24"/>
          <w:szCs w:val="24"/>
          <w:lang w:val="en-GB"/>
        </w:rPr>
        <w:t>ratified the Convention on 16 August 2002</w:t>
      </w:r>
      <w:r w:rsidR="00CF0825">
        <w:rPr>
          <w:rFonts w:ascii="Arial" w:hAnsi="Arial" w:cs="Arial"/>
          <w:sz w:val="24"/>
          <w:szCs w:val="24"/>
          <w:lang w:val="en-GB"/>
        </w:rPr>
        <w:t xml:space="preserve"> -</w:t>
      </w:r>
      <w:r w:rsidR="00CF0825" w:rsidRPr="00CF0825">
        <w:rPr>
          <w:rFonts w:ascii="Arial" w:hAnsi="Arial" w:cs="Arial"/>
          <w:sz w:val="24"/>
          <w:szCs w:val="24"/>
        </w:rPr>
        <w:t xml:space="preserve"> </w:t>
      </w:r>
      <w:r w:rsidR="00CF0825">
        <w:rPr>
          <w:rFonts w:ascii="Arial" w:hAnsi="Arial" w:cs="Arial"/>
          <w:sz w:val="24"/>
          <w:szCs w:val="24"/>
        </w:rPr>
        <w:t>Article 12(4) of the Convention</w:t>
      </w:r>
    </w:p>
    <w:p w:rsidR="00685BEA" w:rsidRPr="00685BEA" w:rsidRDefault="00685BEA" w:rsidP="00685BEA">
      <w:pPr>
        <w:pStyle w:val="ListParagraph"/>
        <w:spacing w:after="0" w:line="360" w:lineRule="auto"/>
        <w:ind w:left="0"/>
        <w:jc w:val="both"/>
      </w:pPr>
    </w:p>
    <w:p w:rsidR="004A7E09" w:rsidRDefault="004A7E09" w:rsidP="006E2628">
      <w:pPr>
        <w:pStyle w:val="Heading1"/>
        <w:rPr>
          <w:u w:val="none"/>
        </w:rPr>
      </w:pPr>
      <w:r w:rsidRPr="00322C18">
        <w:rPr>
          <w:b/>
          <w:u w:val="none"/>
        </w:rPr>
        <w:t>Summary:</w:t>
      </w:r>
      <w:r w:rsidRPr="00322C18">
        <w:rPr>
          <w:b/>
          <w:u w:val="none"/>
        </w:rPr>
        <w:tab/>
      </w:r>
      <w:r w:rsidR="006E2628" w:rsidRPr="006E2628">
        <w:rPr>
          <w:u w:val="none"/>
        </w:rPr>
        <w:t>Appl</w:t>
      </w:r>
      <w:r w:rsidR="006E2628">
        <w:rPr>
          <w:u w:val="none"/>
        </w:rPr>
        <w:t xml:space="preserve">icants sold immovable property to the predecessor of the sixth respondent. </w:t>
      </w:r>
      <w:r w:rsidR="0035276E">
        <w:rPr>
          <w:u w:val="none"/>
        </w:rPr>
        <w:t>The proper pro</w:t>
      </w:r>
      <w:r w:rsidR="006E2628">
        <w:rPr>
          <w:u w:val="none"/>
        </w:rPr>
        <w:t xml:space="preserve">cedure was not followed and proper authorisation was not obtained for the purchase of their immovable property. </w:t>
      </w:r>
    </w:p>
    <w:p w:rsidR="006E2628" w:rsidRDefault="006E2628" w:rsidP="006E2628">
      <w:pPr>
        <w:pStyle w:val="NormalWeb"/>
        <w:spacing w:before="0" w:beforeAutospacing="0" w:after="160" w:afterAutospacing="0" w:line="360" w:lineRule="auto"/>
        <w:jc w:val="both"/>
        <w:rPr>
          <w:rFonts w:ascii="Arial" w:eastAsiaTheme="minorHAnsi" w:hAnsi="Arial" w:cs="Arial"/>
        </w:rPr>
      </w:pPr>
      <w:r w:rsidRPr="006E2628">
        <w:rPr>
          <w:rFonts w:ascii="Arial" w:eastAsiaTheme="minorHAnsi" w:hAnsi="Arial" w:cs="Arial"/>
        </w:rPr>
        <w:t xml:space="preserve">First </w:t>
      </w:r>
      <w:r>
        <w:rPr>
          <w:rFonts w:ascii="Arial" w:eastAsiaTheme="minorHAnsi" w:hAnsi="Arial" w:cs="Arial"/>
        </w:rPr>
        <w:t>respondent obtained a preservation order several months after the property was transferred and the purchase price paid into the first applicant’s bank account. First respondent obtained a preservation order concerning the positive balances in the investment and bank accounts of the first applicant, including any interest accrued thereon. The</w:t>
      </w:r>
      <w:r w:rsidR="00C10864">
        <w:rPr>
          <w:rFonts w:ascii="Arial" w:eastAsiaTheme="minorHAnsi" w:hAnsi="Arial" w:cs="Arial"/>
        </w:rPr>
        <w:t xml:space="preserve">se balances exceeded the purchase price paid for the property of the applicants. </w:t>
      </w:r>
    </w:p>
    <w:p w:rsidR="00C10864" w:rsidRDefault="00C10864" w:rsidP="006E2628">
      <w:pPr>
        <w:pStyle w:val="NormalWeb"/>
        <w:spacing w:before="0" w:beforeAutospacing="0" w:after="160" w:afterAutospacing="0" w:line="360" w:lineRule="auto"/>
        <w:jc w:val="both"/>
        <w:rPr>
          <w:rFonts w:ascii="Arial" w:eastAsiaTheme="minorHAnsi" w:hAnsi="Arial" w:cs="Arial"/>
        </w:rPr>
      </w:pPr>
      <w:r>
        <w:rPr>
          <w:rFonts w:ascii="Arial" w:eastAsiaTheme="minorHAnsi" w:hAnsi="Arial" w:cs="Arial"/>
        </w:rPr>
        <w:t xml:space="preserve">First respondent relies on the definition of ‘proceeds of unlawful activities’ in POCA for the preservation of future forfeiture of the preserved funds of the first applicant. </w:t>
      </w:r>
    </w:p>
    <w:p w:rsidR="00C10864" w:rsidRDefault="00C10864" w:rsidP="006E2628">
      <w:pPr>
        <w:pStyle w:val="NormalWeb"/>
        <w:spacing w:before="0" w:beforeAutospacing="0" w:after="160" w:afterAutospacing="0" w:line="360" w:lineRule="auto"/>
        <w:jc w:val="both"/>
        <w:rPr>
          <w:rFonts w:ascii="Arial" w:eastAsiaTheme="minorHAnsi" w:hAnsi="Arial" w:cs="Arial"/>
        </w:rPr>
      </w:pPr>
      <w:r w:rsidRPr="003C76F4">
        <w:rPr>
          <w:rFonts w:ascii="Arial" w:eastAsiaTheme="minorHAnsi" w:hAnsi="Arial" w:cs="Arial"/>
        </w:rPr>
        <w:lastRenderedPageBreak/>
        <w:t xml:space="preserve">The definition reads </w:t>
      </w:r>
      <w:r w:rsidR="003C76F4" w:rsidRPr="003C76F4">
        <w:rPr>
          <w:rFonts w:ascii="Arial" w:eastAsiaTheme="minorHAnsi" w:hAnsi="Arial" w:cs="Arial"/>
        </w:rPr>
        <w:t>‘any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includes property which is mingled with property that is proceeds of unlawful activity</w:t>
      </w:r>
      <w:r w:rsidR="003C76F4">
        <w:rPr>
          <w:rFonts w:ascii="Arial" w:eastAsiaTheme="minorHAnsi" w:hAnsi="Arial" w:cs="Arial"/>
        </w:rPr>
        <w:t>.’</w:t>
      </w:r>
    </w:p>
    <w:p w:rsidR="00C10864" w:rsidRDefault="00C10864" w:rsidP="006E2628">
      <w:pPr>
        <w:pStyle w:val="NormalWeb"/>
        <w:spacing w:before="0" w:beforeAutospacing="0" w:after="160" w:afterAutospacing="0" w:line="360" w:lineRule="auto"/>
        <w:jc w:val="both"/>
        <w:rPr>
          <w:rFonts w:ascii="Arial" w:eastAsiaTheme="minorHAnsi" w:hAnsi="Arial" w:cs="Arial"/>
        </w:rPr>
      </w:pPr>
      <w:r>
        <w:rPr>
          <w:rFonts w:ascii="Arial" w:eastAsiaTheme="minorHAnsi" w:hAnsi="Arial" w:cs="Arial"/>
        </w:rPr>
        <w:t xml:space="preserve">Applicants challenged the constitutionality of the last part of the definition of the definition which reads ‘…and includes the property which is mingled with property that is proceeds of unlawful activity’. </w:t>
      </w:r>
    </w:p>
    <w:p w:rsidR="00C10864" w:rsidRDefault="00C10864" w:rsidP="006E2628">
      <w:pPr>
        <w:pStyle w:val="NormalWeb"/>
        <w:spacing w:before="0" w:beforeAutospacing="0" w:after="160" w:afterAutospacing="0" w:line="360" w:lineRule="auto"/>
        <w:jc w:val="both"/>
        <w:rPr>
          <w:rFonts w:ascii="Arial" w:eastAsiaTheme="minorHAnsi" w:hAnsi="Arial" w:cs="Arial"/>
        </w:rPr>
      </w:pPr>
      <w:r>
        <w:rPr>
          <w:rFonts w:ascii="Arial" w:eastAsiaTheme="minorHAnsi" w:hAnsi="Arial" w:cs="Arial"/>
        </w:rPr>
        <w:t xml:space="preserve">First respondent is of the view that without the above impugned part in the definition the State and the public would be unprotected against criminals, who mix ‘clean’ money with ‘dirty’ money, and would be prevented to forfeit proceeds of unlawful activities. </w:t>
      </w:r>
    </w:p>
    <w:p w:rsidR="00CF0825" w:rsidRDefault="00C10864" w:rsidP="00CF0825">
      <w:pPr>
        <w:pStyle w:val="ListParagraph"/>
        <w:spacing w:after="0" w:line="360" w:lineRule="auto"/>
        <w:ind w:left="0"/>
        <w:jc w:val="both"/>
        <w:rPr>
          <w:rFonts w:ascii="Arial" w:hAnsi="Arial" w:cs="Arial"/>
          <w:sz w:val="24"/>
          <w:szCs w:val="24"/>
        </w:rPr>
      </w:pPr>
      <w:r w:rsidRPr="00CE757E">
        <w:rPr>
          <w:rFonts w:ascii="Arial" w:hAnsi="Arial" w:cs="Arial"/>
          <w:i/>
          <w:sz w:val="24"/>
          <w:szCs w:val="24"/>
        </w:rPr>
        <w:t>Held</w:t>
      </w:r>
      <w:r w:rsidR="00CF0825" w:rsidRPr="00CE757E">
        <w:rPr>
          <w:rFonts w:ascii="Arial" w:hAnsi="Arial" w:cs="Arial"/>
          <w:i/>
          <w:sz w:val="24"/>
          <w:szCs w:val="24"/>
        </w:rPr>
        <w:t xml:space="preserve"> that </w:t>
      </w:r>
      <w:r w:rsidR="00CE757E">
        <w:rPr>
          <w:rFonts w:ascii="Arial" w:hAnsi="Arial" w:cs="Arial"/>
          <w:sz w:val="24"/>
          <w:szCs w:val="24"/>
        </w:rPr>
        <w:t xml:space="preserve"> d</w:t>
      </w:r>
      <w:r w:rsidR="00CF0825" w:rsidRPr="00CE757E">
        <w:rPr>
          <w:rFonts w:ascii="Arial" w:hAnsi="Arial" w:cs="Arial"/>
          <w:sz w:val="24"/>
          <w:szCs w:val="24"/>
        </w:rPr>
        <w:t>ue</w:t>
      </w:r>
      <w:r w:rsidR="00CF0825" w:rsidRPr="004F3A60">
        <w:rPr>
          <w:rFonts w:ascii="Arial" w:hAnsi="Arial" w:cs="Arial"/>
          <w:sz w:val="24"/>
          <w:szCs w:val="24"/>
        </w:rPr>
        <w:t xml:space="preserve"> </w:t>
      </w:r>
      <w:r w:rsidR="00687BAD">
        <w:rPr>
          <w:rFonts w:ascii="Arial" w:hAnsi="Arial" w:cs="Arial"/>
          <w:sz w:val="24"/>
          <w:szCs w:val="24"/>
        </w:rPr>
        <w:t xml:space="preserve">to </w:t>
      </w:r>
      <w:r w:rsidR="00CF0825">
        <w:rPr>
          <w:rFonts w:ascii="Arial" w:hAnsi="Arial" w:cs="Arial"/>
          <w:sz w:val="24"/>
          <w:szCs w:val="24"/>
        </w:rPr>
        <w:t>the courts’ view</w:t>
      </w:r>
      <w:r w:rsidR="00CF0825" w:rsidRPr="004F3A60">
        <w:rPr>
          <w:rFonts w:ascii="Arial" w:hAnsi="Arial" w:cs="Arial"/>
          <w:sz w:val="24"/>
          <w:szCs w:val="24"/>
        </w:rPr>
        <w:t xml:space="preserve"> concerning the effect of the impugned part of the definition of ‘proceeds of unlawful activity’ on Article 16 property rights, it </w:t>
      </w:r>
      <w:r w:rsidR="00CF0825">
        <w:rPr>
          <w:rFonts w:ascii="Arial" w:hAnsi="Arial" w:cs="Arial"/>
          <w:sz w:val="24"/>
          <w:szCs w:val="24"/>
        </w:rPr>
        <w:t>wa</w:t>
      </w:r>
      <w:r w:rsidR="00CF0825" w:rsidRPr="004F3A60">
        <w:rPr>
          <w:rFonts w:ascii="Arial" w:hAnsi="Arial" w:cs="Arial"/>
          <w:sz w:val="24"/>
          <w:szCs w:val="24"/>
        </w:rPr>
        <w:t>s not necessary to deal in any detail with Articles 8 and 21(1)(</w:t>
      </w:r>
      <w:r w:rsidR="00CF0825" w:rsidRPr="004F3A60">
        <w:rPr>
          <w:rFonts w:ascii="Arial" w:hAnsi="Arial" w:cs="Arial"/>
          <w:i/>
          <w:sz w:val="24"/>
          <w:szCs w:val="24"/>
        </w:rPr>
        <w:t>j</w:t>
      </w:r>
      <w:r w:rsidR="00CF0825" w:rsidRPr="004F3A60">
        <w:rPr>
          <w:rFonts w:ascii="Arial" w:hAnsi="Arial" w:cs="Arial"/>
          <w:sz w:val="24"/>
          <w:szCs w:val="24"/>
        </w:rPr>
        <w:t>) of the Constitution.</w:t>
      </w:r>
    </w:p>
    <w:p w:rsidR="000829DC" w:rsidRDefault="000829DC" w:rsidP="00CF0825">
      <w:pPr>
        <w:pStyle w:val="ListParagraph"/>
        <w:spacing w:after="0" w:line="360" w:lineRule="auto"/>
        <w:ind w:left="0"/>
        <w:jc w:val="both"/>
        <w:rPr>
          <w:rFonts w:ascii="Arial" w:hAnsi="Arial" w:cs="Arial"/>
          <w:sz w:val="24"/>
          <w:szCs w:val="24"/>
        </w:rPr>
      </w:pPr>
    </w:p>
    <w:p w:rsidR="000829DC" w:rsidRDefault="00CF0825" w:rsidP="000829DC">
      <w:pPr>
        <w:pStyle w:val="ListParagraph"/>
        <w:spacing w:after="0" w:line="360" w:lineRule="auto"/>
        <w:ind w:left="0"/>
        <w:jc w:val="both"/>
        <w:rPr>
          <w:rFonts w:ascii="Arial" w:hAnsi="Arial" w:cs="Arial"/>
          <w:sz w:val="24"/>
          <w:szCs w:val="24"/>
        </w:rPr>
      </w:pPr>
      <w:r w:rsidRPr="00CF0825">
        <w:rPr>
          <w:rFonts w:ascii="Arial" w:hAnsi="Arial" w:cs="Arial"/>
          <w:i/>
          <w:sz w:val="24"/>
          <w:szCs w:val="24"/>
        </w:rPr>
        <w:t xml:space="preserve">Held that </w:t>
      </w:r>
      <w:r w:rsidR="000829DC">
        <w:rPr>
          <w:rFonts w:ascii="Arial" w:hAnsi="Arial" w:cs="Arial"/>
          <w:sz w:val="24"/>
          <w:szCs w:val="24"/>
        </w:rPr>
        <w:t>the forfeiture of lawfully acquired property is akin to an expropriation of property without just compensation, which is constitutionally prohibited and is not in the public interest. The impugned part of the definition of proceeds of unlawful activities is arbitrary and deprives owners of lawfully acquired property of their rights to that property without providing sufficient reasons</w:t>
      </w:r>
      <w:r w:rsidR="003C76F4">
        <w:rPr>
          <w:rFonts w:ascii="Arial" w:hAnsi="Arial" w:cs="Arial"/>
          <w:sz w:val="24"/>
          <w:szCs w:val="24"/>
        </w:rPr>
        <w:t>.</w:t>
      </w:r>
    </w:p>
    <w:p w:rsidR="000829DC" w:rsidRDefault="000829DC" w:rsidP="000829DC">
      <w:pPr>
        <w:pStyle w:val="ListParagraph"/>
        <w:spacing w:after="0" w:line="360" w:lineRule="auto"/>
        <w:ind w:left="0"/>
        <w:jc w:val="both"/>
        <w:rPr>
          <w:rFonts w:ascii="Arial" w:hAnsi="Arial" w:cs="Arial"/>
          <w:sz w:val="24"/>
          <w:szCs w:val="24"/>
        </w:rPr>
      </w:pPr>
    </w:p>
    <w:p w:rsidR="000829DC" w:rsidRDefault="000829DC" w:rsidP="000829DC">
      <w:pPr>
        <w:pStyle w:val="ListParagraph"/>
        <w:spacing w:after="0" w:line="360" w:lineRule="auto"/>
        <w:ind w:left="0"/>
        <w:jc w:val="both"/>
        <w:rPr>
          <w:rFonts w:ascii="Arial" w:hAnsi="Arial" w:cs="Arial"/>
          <w:sz w:val="24"/>
          <w:szCs w:val="24"/>
        </w:rPr>
      </w:pPr>
      <w:r w:rsidRPr="000829DC">
        <w:rPr>
          <w:rFonts w:ascii="Arial" w:hAnsi="Arial" w:cs="Arial"/>
          <w:i/>
          <w:sz w:val="24"/>
          <w:szCs w:val="24"/>
        </w:rPr>
        <w:t>Held that</w:t>
      </w:r>
      <w:r>
        <w:rPr>
          <w:rFonts w:ascii="Arial" w:hAnsi="Arial" w:cs="Arial"/>
          <w:sz w:val="24"/>
          <w:szCs w:val="24"/>
        </w:rPr>
        <w:t xml:space="preserve"> civil forfeiture is not meant to be punitive but rather remedial. The characterization of civil forfeiture as not being punishment stands, however the result of the definition of ‘proceeds of unlawful activity’ causes it to stand in stark contrast with the intended remedial purpose that the Act purports to have. It is irrational to preserve or eventually forfeit millions of ‘clean’ money because of tainted, perceived or real, money that was mixed with the untainted millions. This amounts to punishment. </w:t>
      </w:r>
    </w:p>
    <w:p w:rsidR="000829DC" w:rsidRDefault="000829DC" w:rsidP="000829DC">
      <w:pPr>
        <w:pStyle w:val="ListParagraph"/>
        <w:spacing w:after="0" w:line="360" w:lineRule="auto"/>
        <w:ind w:left="0"/>
        <w:jc w:val="both"/>
        <w:rPr>
          <w:rFonts w:ascii="Arial" w:hAnsi="Arial" w:cs="Arial"/>
          <w:sz w:val="24"/>
          <w:szCs w:val="24"/>
        </w:rPr>
      </w:pPr>
    </w:p>
    <w:p w:rsidR="000829DC" w:rsidRDefault="000829DC" w:rsidP="000829DC">
      <w:pPr>
        <w:pStyle w:val="ListParagraph"/>
        <w:spacing w:after="0" w:line="360" w:lineRule="auto"/>
        <w:ind w:left="0"/>
        <w:jc w:val="both"/>
        <w:rPr>
          <w:rFonts w:ascii="Arial" w:hAnsi="Arial" w:cs="Arial"/>
          <w:sz w:val="24"/>
          <w:szCs w:val="24"/>
        </w:rPr>
      </w:pPr>
    </w:p>
    <w:p w:rsidR="000829DC" w:rsidRDefault="000829DC" w:rsidP="000829DC">
      <w:pPr>
        <w:pStyle w:val="ListParagraph"/>
        <w:spacing w:after="0" w:line="360" w:lineRule="auto"/>
        <w:ind w:left="0"/>
        <w:jc w:val="both"/>
        <w:rPr>
          <w:rFonts w:ascii="Arial" w:hAnsi="Arial" w:cs="Arial"/>
          <w:sz w:val="24"/>
          <w:szCs w:val="24"/>
        </w:rPr>
      </w:pPr>
      <w:r w:rsidRPr="000829DC">
        <w:rPr>
          <w:rFonts w:ascii="Arial" w:hAnsi="Arial" w:cs="Arial"/>
          <w:i/>
          <w:sz w:val="24"/>
          <w:szCs w:val="24"/>
        </w:rPr>
        <w:lastRenderedPageBreak/>
        <w:t>Held further that</w:t>
      </w:r>
      <w:r>
        <w:rPr>
          <w:rFonts w:ascii="Arial" w:hAnsi="Arial" w:cs="Arial"/>
          <w:sz w:val="24"/>
          <w:szCs w:val="24"/>
          <w:shd w:val="clear" w:color="auto" w:fill="FFFFFF"/>
        </w:rPr>
        <w:t xml:space="preserve"> i</w:t>
      </w:r>
      <w:r w:rsidRPr="006C22D3">
        <w:rPr>
          <w:rFonts w:ascii="Arial" w:hAnsi="Arial" w:cs="Arial"/>
          <w:sz w:val="24"/>
          <w:szCs w:val="24"/>
          <w:shd w:val="clear" w:color="auto" w:fill="FFFFFF"/>
        </w:rPr>
        <w:t>t is clear that the definition must be interpreted restrictively in order to be consistent with the Constitution</w:t>
      </w:r>
      <w:r w:rsidRPr="006C22D3">
        <w:rPr>
          <w:rFonts w:ascii="Arial" w:hAnsi="Arial" w:cs="Arial"/>
          <w:shd w:val="clear" w:color="auto" w:fill="FFFFFF"/>
        </w:rPr>
        <w:t>.</w:t>
      </w:r>
      <w:r w:rsidRPr="006C22D3">
        <w:rPr>
          <w:rFonts w:ascii="Verdana" w:hAnsi="Verdana"/>
          <w:shd w:val="clear" w:color="auto" w:fill="FFFFFF"/>
        </w:rPr>
        <w:t xml:space="preserve"> </w:t>
      </w:r>
      <w:r w:rsidR="0035276E">
        <w:rPr>
          <w:rFonts w:ascii="Arial" w:hAnsi="Arial" w:cs="Arial"/>
          <w:sz w:val="24"/>
          <w:szCs w:val="24"/>
        </w:rPr>
        <w:t>F</w:t>
      </w:r>
      <w:r>
        <w:rPr>
          <w:rFonts w:ascii="Arial" w:hAnsi="Arial" w:cs="Arial"/>
          <w:sz w:val="24"/>
          <w:szCs w:val="24"/>
        </w:rPr>
        <w:t>or the detailed reasons advanced, POCA does not comply with Article 22 of the Constitution.</w:t>
      </w:r>
    </w:p>
    <w:p w:rsidR="000829DC" w:rsidRDefault="000829DC" w:rsidP="000829DC">
      <w:pPr>
        <w:pStyle w:val="ListParagraph"/>
        <w:spacing w:after="0" w:line="360" w:lineRule="auto"/>
        <w:ind w:left="0"/>
        <w:jc w:val="both"/>
        <w:rPr>
          <w:rFonts w:ascii="Arial" w:hAnsi="Arial" w:cs="Arial"/>
          <w:sz w:val="24"/>
          <w:szCs w:val="24"/>
        </w:rPr>
      </w:pPr>
    </w:p>
    <w:p w:rsidR="000829DC" w:rsidRPr="00A812FC" w:rsidRDefault="000829DC" w:rsidP="000829DC">
      <w:pPr>
        <w:pStyle w:val="ListParagraph"/>
        <w:shd w:val="clear" w:color="auto" w:fill="FFFFFF"/>
        <w:spacing w:after="0" w:line="360" w:lineRule="auto"/>
        <w:ind w:left="0"/>
        <w:jc w:val="both"/>
        <w:rPr>
          <w:rFonts w:ascii="Arial" w:hAnsi="Arial" w:cs="Arial"/>
          <w:sz w:val="24"/>
          <w:szCs w:val="24"/>
        </w:rPr>
      </w:pPr>
      <w:r w:rsidRPr="000829DC">
        <w:rPr>
          <w:rFonts w:ascii="Arial" w:hAnsi="Arial" w:cs="Arial"/>
          <w:i/>
          <w:sz w:val="24"/>
          <w:szCs w:val="24"/>
        </w:rPr>
        <w:t>Held further that</w:t>
      </w:r>
      <w:r>
        <w:rPr>
          <w:rFonts w:ascii="Arial" w:hAnsi="Arial" w:cs="Arial"/>
          <w:sz w:val="24"/>
          <w:szCs w:val="24"/>
        </w:rPr>
        <w:t xml:space="preserve"> </w:t>
      </w:r>
      <w:r w:rsidRPr="00DF2C2C">
        <w:rPr>
          <w:rFonts w:ascii="Arial" w:hAnsi="Arial" w:cs="Arial"/>
          <w:sz w:val="24"/>
          <w:szCs w:val="24"/>
        </w:rPr>
        <w:t xml:space="preserve">Chapter 5 of the Namibian POCA is in compliance with Article 12(4) of the Palermo Convention in respect of criminal prosecutions, however, Chapter 6 of the Namibian POCA deals with preservation and forfeiture regardless of whether criminal prosecution is pursued under </w:t>
      </w:r>
      <w:r w:rsidRPr="00A812FC">
        <w:rPr>
          <w:rFonts w:ascii="Arial" w:hAnsi="Arial" w:cs="Arial"/>
          <w:sz w:val="24"/>
          <w:szCs w:val="24"/>
        </w:rPr>
        <w:t>Chapter 5. Chapter 6 of the Namibian POCA is however not in accord with the Palermo Convention.</w:t>
      </w:r>
    </w:p>
    <w:p w:rsidR="000829DC" w:rsidRPr="00A812FC" w:rsidRDefault="000829DC" w:rsidP="000829DC">
      <w:pPr>
        <w:pStyle w:val="ListParagraph"/>
        <w:shd w:val="clear" w:color="auto" w:fill="FFFFFF"/>
        <w:spacing w:after="0" w:line="360" w:lineRule="auto"/>
        <w:ind w:left="0"/>
        <w:jc w:val="both"/>
        <w:rPr>
          <w:rFonts w:ascii="Arial" w:hAnsi="Arial" w:cs="Arial"/>
          <w:sz w:val="24"/>
          <w:szCs w:val="24"/>
        </w:rPr>
      </w:pPr>
    </w:p>
    <w:p w:rsidR="000829DC" w:rsidRDefault="000829DC" w:rsidP="000829DC">
      <w:pPr>
        <w:pStyle w:val="ListParagraph"/>
        <w:shd w:val="clear" w:color="auto" w:fill="FFFFFF"/>
        <w:spacing w:after="0" w:line="360" w:lineRule="auto"/>
        <w:ind w:left="0"/>
        <w:jc w:val="both"/>
        <w:rPr>
          <w:rFonts w:ascii="Arial" w:hAnsi="Arial" w:cs="Arial"/>
          <w:sz w:val="24"/>
          <w:szCs w:val="24"/>
        </w:rPr>
      </w:pPr>
      <w:r w:rsidRPr="00A812FC">
        <w:rPr>
          <w:rFonts w:ascii="Arial" w:hAnsi="Arial" w:cs="Arial"/>
          <w:i/>
          <w:sz w:val="24"/>
          <w:szCs w:val="24"/>
        </w:rPr>
        <w:t>Held further that</w:t>
      </w:r>
      <w:r w:rsidRPr="00A812FC">
        <w:rPr>
          <w:rFonts w:ascii="Arial" w:hAnsi="Arial" w:cs="Arial"/>
          <w:sz w:val="24"/>
          <w:szCs w:val="24"/>
        </w:rPr>
        <w:t xml:space="preserve"> it is expected of our courts when interpreting a statute like POCA, which derive</w:t>
      </w:r>
      <w:r w:rsidR="0035276E">
        <w:rPr>
          <w:rFonts w:ascii="Arial" w:hAnsi="Arial" w:cs="Arial"/>
          <w:sz w:val="24"/>
          <w:szCs w:val="24"/>
        </w:rPr>
        <w:t>s</w:t>
      </w:r>
      <w:r w:rsidRPr="00A812FC">
        <w:rPr>
          <w:rFonts w:ascii="Arial" w:hAnsi="Arial" w:cs="Arial"/>
          <w:sz w:val="24"/>
          <w:szCs w:val="24"/>
        </w:rPr>
        <w:t xml:space="preserve"> from an international agreement or covenant such is the Palermo Convention, to do so in conformity with international law.</w:t>
      </w:r>
      <w:r w:rsidRPr="00DF2C2C">
        <w:rPr>
          <w:rFonts w:ascii="Arial" w:hAnsi="Arial" w:cs="Arial"/>
          <w:sz w:val="24"/>
          <w:szCs w:val="24"/>
        </w:rPr>
        <w:t xml:space="preserve"> </w:t>
      </w:r>
    </w:p>
    <w:p w:rsidR="000829DC" w:rsidRDefault="000829DC" w:rsidP="000829DC">
      <w:pPr>
        <w:pStyle w:val="ListParagraph"/>
        <w:shd w:val="clear" w:color="auto" w:fill="FFFFFF"/>
        <w:spacing w:after="0" w:line="360" w:lineRule="auto"/>
        <w:ind w:left="0"/>
        <w:jc w:val="both"/>
        <w:rPr>
          <w:rFonts w:ascii="Arial" w:hAnsi="Arial" w:cs="Arial"/>
          <w:sz w:val="24"/>
          <w:szCs w:val="24"/>
        </w:rPr>
      </w:pPr>
    </w:p>
    <w:p w:rsidR="000829DC" w:rsidRDefault="000829DC" w:rsidP="000829DC">
      <w:pPr>
        <w:pStyle w:val="NormalWeb"/>
        <w:shd w:val="clear" w:color="auto" w:fill="FFFFFF"/>
        <w:spacing w:before="0" w:beforeAutospacing="0" w:after="0" w:afterAutospacing="0" w:line="360" w:lineRule="auto"/>
        <w:jc w:val="both"/>
        <w:rPr>
          <w:rFonts w:ascii="Arial" w:hAnsi="Arial" w:cs="Arial"/>
        </w:rPr>
      </w:pPr>
      <w:r w:rsidRPr="000829DC">
        <w:rPr>
          <w:rFonts w:ascii="Arial" w:hAnsi="Arial" w:cs="Arial"/>
          <w:i/>
        </w:rPr>
        <w:t>Held further</w:t>
      </w:r>
      <w:r>
        <w:rPr>
          <w:rFonts w:ascii="Arial" w:hAnsi="Arial" w:cs="Arial"/>
        </w:rPr>
        <w:t xml:space="preserve"> </w:t>
      </w:r>
      <w:r w:rsidRPr="000829DC">
        <w:rPr>
          <w:rFonts w:ascii="Arial" w:hAnsi="Arial" w:cs="Arial"/>
          <w:i/>
        </w:rPr>
        <w:t>that</w:t>
      </w:r>
      <w:r>
        <w:rPr>
          <w:rFonts w:ascii="Arial" w:hAnsi="Arial" w:cs="Arial"/>
        </w:rPr>
        <w:t xml:space="preserve"> the impugned definition does not only fall short of the Palermo Convention but more importantly, it </w:t>
      </w:r>
      <w:r w:rsidR="0023031D">
        <w:rPr>
          <w:rFonts w:ascii="Arial" w:hAnsi="Arial" w:cs="Arial"/>
        </w:rPr>
        <w:t>falls short of the Namibian Constitution, Article 22 in particular.</w:t>
      </w:r>
      <w:r>
        <w:rPr>
          <w:rFonts w:ascii="Arial" w:hAnsi="Arial" w:cs="Arial"/>
        </w:rPr>
        <w:t xml:space="preserve"> </w:t>
      </w:r>
    </w:p>
    <w:p w:rsidR="000829DC" w:rsidRPr="000829DC" w:rsidRDefault="000829DC" w:rsidP="000829DC">
      <w:pPr>
        <w:pStyle w:val="NormalWeb"/>
        <w:shd w:val="clear" w:color="auto" w:fill="FFFFFF"/>
        <w:spacing w:before="0" w:beforeAutospacing="0" w:after="0" w:afterAutospacing="0" w:line="360" w:lineRule="auto"/>
        <w:jc w:val="both"/>
        <w:rPr>
          <w:rFonts w:ascii="Arial" w:hAnsi="Arial" w:cs="Arial"/>
          <w:i/>
        </w:rPr>
      </w:pPr>
    </w:p>
    <w:p w:rsidR="000829DC" w:rsidRDefault="000829DC" w:rsidP="000829DC">
      <w:pPr>
        <w:pStyle w:val="ListParagraph"/>
        <w:spacing w:after="0" w:line="360" w:lineRule="auto"/>
        <w:ind w:left="0"/>
        <w:jc w:val="both"/>
        <w:rPr>
          <w:rFonts w:ascii="Arial" w:hAnsi="Arial" w:cs="Arial"/>
          <w:sz w:val="24"/>
          <w:szCs w:val="24"/>
        </w:rPr>
      </w:pPr>
      <w:r w:rsidRPr="00B645DF">
        <w:rPr>
          <w:rFonts w:ascii="Arial" w:hAnsi="Arial" w:cs="Arial"/>
          <w:i/>
          <w:sz w:val="24"/>
          <w:szCs w:val="24"/>
        </w:rPr>
        <w:t>Held further that</w:t>
      </w:r>
      <w:r>
        <w:rPr>
          <w:rFonts w:ascii="Arial" w:hAnsi="Arial" w:cs="Arial"/>
          <w:sz w:val="24"/>
          <w:szCs w:val="24"/>
        </w:rPr>
        <w:t xml:space="preserve"> </w:t>
      </w:r>
      <w:r w:rsidRPr="006C22D3">
        <w:rPr>
          <w:rFonts w:ascii="Arial" w:hAnsi="Arial" w:cs="Arial"/>
          <w:sz w:val="24"/>
          <w:szCs w:val="24"/>
        </w:rPr>
        <w:t xml:space="preserve">the portion in the definition of ‘proceeds of unlawful activities’, which reads ‘and includes property which is mingled with property that is proceeds of unlawful activity’ is unconstitutional and should be struck from the definition of the proceeds of unlawful activities. </w:t>
      </w:r>
    </w:p>
    <w:p w:rsidR="0035276E" w:rsidRDefault="0035276E" w:rsidP="000829DC">
      <w:pPr>
        <w:pStyle w:val="ListParagraph"/>
        <w:spacing w:after="0" w:line="360" w:lineRule="auto"/>
        <w:ind w:left="0"/>
        <w:jc w:val="both"/>
        <w:rPr>
          <w:rFonts w:ascii="Arial" w:hAnsi="Arial" w:cs="Arial"/>
          <w:sz w:val="24"/>
          <w:szCs w:val="24"/>
        </w:rPr>
      </w:pPr>
    </w:p>
    <w:p w:rsidR="0035276E" w:rsidRDefault="0035276E" w:rsidP="000829DC">
      <w:pPr>
        <w:pStyle w:val="ListParagraph"/>
        <w:spacing w:after="0" w:line="360" w:lineRule="auto"/>
        <w:ind w:left="0"/>
        <w:jc w:val="both"/>
        <w:rPr>
          <w:rFonts w:ascii="Arial" w:hAnsi="Arial" w:cs="Arial"/>
          <w:sz w:val="24"/>
          <w:szCs w:val="24"/>
        </w:rPr>
      </w:pPr>
      <w:r w:rsidRPr="0023031D">
        <w:rPr>
          <w:rFonts w:ascii="Arial" w:hAnsi="Arial" w:cs="Arial"/>
          <w:i/>
          <w:sz w:val="24"/>
          <w:szCs w:val="24"/>
        </w:rPr>
        <w:t>Held further that</w:t>
      </w:r>
      <w:r>
        <w:rPr>
          <w:rFonts w:ascii="Arial" w:hAnsi="Arial" w:cs="Arial"/>
          <w:sz w:val="24"/>
          <w:szCs w:val="24"/>
        </w:rPr>
        <w:t xml:space="preserve"> the </w:t>
      </w:r>
      <w:r w:rsidRPr="0023031D">
        <w:rPr>
          <w:rFonts w:ascii="Arial" w:hAnsi="Arial" w:cs="Arial"/>
          <w:i/>
          <w:sz w:val="24"/>
          <w:szCs w:val="24"/>
        </w:rPr>
        <w:t>Biowatch</w:t>
      </w:r>
      <w:r>
        <w:rPr>
          <w:rFonts w:ascii="Arial" w:hAnsi="Arial" w:cs="Arial"/>
          <w:sz w:val="24"/>
          <w:szCs w:val="24"/>
        </w:rPr>
        <w:t xml:space="preserve"> principle in relation to costs applies, the effect of which is that private parties who seek constitutional redress against </w:t>
      </w:r>
      <w:r w:rsidR="005452B5">
        <w:rPr>
          <w:rFonts w:ascii="Arial" w:hAnsi="Arial" w:cs="Arial"/>
          <w:sz w:val="24"/>
          <w:szCs w:val="24"/>
        </w:rPr>
        <w:t>g</w:t>
      </w:r>
      <w:r>
        <w:rPr>
          <w:rFonts w:ascii="Arial" w:hAnsi="Arial" w:cs="Arial"/>
          <w:sz w:val="24"/>
          <w:szCs w:val="24"/>
        </w:rPr>
        <w:t xml:space="preserve">overnment and are unsuccessful, should ordinarily not pay the costs, unless they have acted vexatiously, </w:t>
      </w:r>
      <w:r w:rsidR="0023031D">
        <w:rPr>
          <w:rFonts w:ascii="Arial" w:hAnsi="Arial" w:cs="Arial"/>
          <w:sz w:val="24"/>
          <w:szCs w:val="24"/>
        </w:rPr>
        <w:t>frivolously</w:t>
      </w:r>
      <w:r>
        <w:rPr>
          <w:rFonts w:ascii="Arial" w:hAnsi="Arial" w:cs="Arial"/>
          <w:sz w:val="24"/>
          <w:szCs w:val="24"/>
        </w:rPr>
        <w:t xml:space="preserve"> or improperly. </w:t>
      </w:r>
    </w:p>
    <w:p w:rsidR="0035276E" w:rsidRDefault="0035276E" w:rsidP="000829DC">
      <w:pPr>
        <w:pStyle w:val="ListParagraph"/>
        <w:spacing w:after="0" w:line="360" w:lineRule="auto"/>
        <w:ind w:left="0"/>
        <w:jc w:val="both"/>
        <w:rPr>
          <w:rFonts w:ascii="Arial" w:hAnsi="Arial" w:cs="Arial"/>
          <w:sz w:val="24"/>
          <w:szCs w:val="24"/>
        </w:rPr>
      </w:pPr>
    </w:p>
    <w:p w:rsidR="0035276E" w:rsidRPr="006C22D3" w:rsidRDefault="0035276E" w:rsidP="000829DC">
      <w:pPr>
        <w:pStyle w:val="ListParagraph"/>
        <w:spacing w:after="0" w:line="360" w:lineRule="auto"/>
        <w:ind w:left="0"/>
        <w:jc w:val="both"/>
        <w:rPr>
          <w:rFonts w:ascii="Arial" w:hAnsi="Arial" w:cs="Arial"/>
          <w:sz w:val="24"/>
          <w:szCs w:val="24"/>
          <w:u w:val="single"/>
        </w:rPr>
      </w:pPr>
      <w:r w:rsidRPr="0023031D">
        <w:rPr>
          <w:rFonts w:ascii="Arial" w:hAnsi="Arial" w:cs="Arial"/>
          <w:i/>
          <w:sz w:val="24"/>
          <w:szCs w:val="24"/>
        </w:rPr>
        <w:t>Held further that</w:t>
      </w:r>
      <w:r>
        <w:rPr>
          <w:rFonts w:ascii="Arial" w:hAnsi="Arial" w:cs="Arial"/>
          <w:sz w:val="24"/>
          <w:szCs w:val="24"/>
        </w:rPr>
        <w:t xml:space="preserve"> where a private party succeeds in a constitutional matter, the </w:t>
      </w:r>
      <w:r w:rsidRPr="0023031D">
        <w:rPr>
          <w:rFonts w:ascii="Arial" w:hAnsi="Arial" w:cs="Arial"/>
          <w:i/>
          <w:sz w:val="24"/>
          <w:szCs w:val="24"/>
        </w:rPr>
        <w:t>Biowatch</w:t>
      </w:r>
      <w:r>
        <w:rPr>
          <w:rFonts w:ascii="Arial" w:hAnsi="Arial" w:cs="Arial"/>
          <w:sz w:val="24"/>
          <w:szCs w:val="24"/>
        </w:rPr>
        <w:t xml:space="preserve"> principle does not apply as costs against </w:t>
      </w:r>
      <w:r w:rsidR="005452B5">
        <w:rPr>
          <w:rFonts w:ascii="Arial" w:hAnsi="Arial" w:cs="Arial"/>
          <w:sz w:val="24"/>
          <w:szCs w:val="24"/>
        </w:rPr>
        <w:t>g</w:t>
      </w:r>
      <w:r>
        <w:rPr>
          <w:rFonts w:ascii="Arial" w:hAnsi="Arial" w:cs="Arial"/>
          <w:sz w:val="24"/>
          <w:szCs w:val="24"/>
        </w:rPr>
        <w:t xml:space="preserve">overnment do not have the chilling effect they may have on private individuals. </w:t>
      </w:r>
    </w:p>
    <w:p w:rsidR="00322C18" w:rsidRPr="009222F4" w:rsidRDefault="00DB0411" w:rsidP="00322C18">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322C18" w:rsidRPr="009222F4" w:rsidRDefault="00322C18" w:rsidP="00322C18">
      <w:pPr>
        <w:spacing w:after="0" w:line="360" w:lineRule="auto"/>
        <w:jc w:val="center"/>
        <w:rPr>
          <w:rFonts w:ascii="Arial" w:hAnsi="Arial" w:cs="Arial"/>
          <w:b/>
          <w:bCs/>
          <w:sz w:val="24"/>
          <w:szCs w:val="24"/>
        </w:rPr>
      </w:pPr>
      <w:r w:rsidRPr="009222F4">
        <w:rPr>
          <w:rFonts w:ascii="Arial" w:hAnsi="Arial" w:cs="Arial"/>
          <w:b/>
          <w:bCs/>
          <w:sz w:val="24"/>
          <w:szCs w:val="24"/>
        </w:rPr>
        <w:t>ORDER</w:t>
      </w:r>
    </w:p>
    <w:p w:rsidR="00322C18" w:rsidRDefault="00DB0411" w:rsidP="00322C18">
      <w:pPr>
        <w:spacing w:after="0" w:line="360" w:lineRule="auto"/>
        <w:jc w:val="center"/>
        <w:rPr>
          <w:rFonts w:ascii="Arial" w:hAnsi="Arial" w:cs="Arial"/>
          <w:bCs/>
          <w:sz w:val="24"/>
          <w:szCs w:val="24"/>
        </w:rPr>
      </w:pPr>
      <w:r>
        <w:rPr>
          <w:rFonts w:ascii="Arial" w:hAnsi="Arial" w:cs="Arial"/>
          <w:bCs/>
          <w:sz w:val="24"/>
          <w:szCs w:val="24"/>
        </w:rPr>
        <w:pict>
          <v:rect id="_x0000_i1026" style="width:0;height:1.5pt" o:hralign="center" o:hrstd="t" o:hr="t" fillcolor="#a0a0a0" stroked="f"/>
        </w:pict>
      </w:r>
    </w:p>
    <w:p w:rsidR="00322C18" w:rsidRDefault="00322C18" w:rsidP="00322C18">
      <w:pPr>
        <w:spacing w:after="0" w:line="360" w:lineRule="auto"/>
        <w:jc w:val="both"/>
        <w:rPr>
          <w:rFonts w:ascii="Arial" w:hAnsi="Arial" w:cs="Arial"/>
          <w:bCs/>
          <w:sz w:val="24"/>
          <w:szCs w:val="24"/>
        </w:rPr>
      </w:pPr>
    </w:p>
    <w:p w:rsidR="00F775D4" w:rsidRDefault="00F775D4" w:rsidP="00F775D4">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 xml:space="preserve">The last portion of the definition of ‘proceeds of unlawful activities’ contained in s 1 of the Prevention of Organised Crime Act 29 of 2004, which reads ‘and includes property which is mingled with property that is proceeds of unlawful activity;’ is declared to be unconstitutional and </w:t>
      </w:r>
      <w:r w:rsidR="0035276E" w:rsidRPr="00FD7483">
        <w:rPr>
          <w:rFonts w:ascii="Arial" w:hAnsi="Arial" w:cs="Arial"/>
          <w:sz w:val="24"/>
          <w:szCs w:val="24"/>
        </w:rPr>
        <w:t>is s</w:t>
      </w:r>
      <w:r w:rsidRPr="00FD7483">
        <w:rPr>
          <w:rFonts w:ascii="Arial" w:hAnsi="Arial" w:cs="Arial"/>
          <w:sz w:val="24"/>
          <w:szCs w:val="24"/>
        </w:rPr>
        <w:t xml:space="preserve">truck </w:t>
      </w:r>
      <w:r w:rsidR="0035276E" w:rsidRPr="00FD7483">
        <w:rPr>
          <w:rFonts w:ascii="Arial" w:hAnsi="Arial" w:cs="Arial"/>
          <w:sz w:val="24"/>
          <w:szCs w:val="24"/>
        </w:rPr>
        <w:t xml:space="preserve">out </w:t>
      </w:r>
      <w:r w:rsidRPr="00FD7483">
        <w:rPr>
          <w:rFonts w:ascii="Arial" w:hAnsi="Arial" w:cs="Arial"/>
          <w:sz w:val="24"/>
          <w:szCs w:val="24"/>
        </w:rPr>
        <w:t>from the definition.</w:t>
      </w:r>
    </w:p>
    <w:p w:rsidR="00F775D4" w:rsidRPr="006C22D3" w:rsidRDefault="00F775D4" w:rsidP="00F775D4">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 xml:space="preserve">The respondents are ordered to pay the costs of the application consequent upon the employment of one instructing and two instructed counsel. </w:t>
      </w:r>
      <w:r w:rsidRPr="006C22D3">
        <w:rPr>
          <w:rFonts w:ascii="Arial" w:hAnsi="Arial" w:cs="Arial"/>
          <w:sz w:val="24"/>
          <w:szCs w:val="24"/>
        </w:rPr>
        <w:t xml:space="preserve"> </w:t>
      </w:r>
    </w:p>
    <w:p w:rsidR="00F775D4" w:rsidRDefault="00F775D4" w:rsidP="00F775D4">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 xml:space="preserve">The matter is regarded as finalised and removed from the roll. </w:t>
      </w:r>
    </w:p>
    <w:p w:rsidR="00322C18" w:rsidRDefault="00322C18" w:rsidP="00322C18">
      <w:pPr>
        <w:spacing w:after="0" w:line="360" w:lineRule="auto"/>
        <w:jc w:val="both"/>
        <w:rPr>
          <w:rFonts w:ascii="Arial" w:hAnsi="Arial" w:cs="Arial"/>
          <w:bCs/>
          <w:sz w:val="24"/>
          <w:szCs w:val="24"/>
        </w:rPr>
      </w:pPr>
    </w:p>
    <w:p w:rsidR="00322C18" w:rsidRPr="009222F4" w:rsidRDefault="00DB0411" w:rsidP="00322C18">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322C18" w:rsidRPr="009222F4" w:rsidRDefault="00322C18" w:rsidP="00322C18">
      <w:pPr>
        <w:spacing w:after="0" w:line="360" w:lineRule="auto"/>
        <w:jc w:val="center"/>
        <w:rPr>
          <w:rFonts w:ascii="Arial" w:hAnsi="Arial" w:cs="Arial"/>
          <w:b/>
          <w:sz w:val="24"/>
          <w:szCs w:val="24"/>
        </w:rPr>
      </w:pPr>
      <w:r w:rsidRPr="009222F4">
        <w:rPr>
          <w:rFonts w:ascii="Arial" w:hAnsi="Arial" w:cs="Arial"/>
          <w:b/>
          <w:sz w:val="24"/>
          <w:szCs w:val="24"/>
        </w:rPr>
        <w:t>JUDGMENT</w:t>
      </w:r>
    </w:p>
    <w:p w:rsidR="00322C18" w:rsidRPr="00942F40" w:rsidRDefault="00DB0411" w:rsidP="00322C18">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322C18" w:rsidRDefault="00322C18" w:rsidP="00322C18">
      <w:pPr>
        <w:spacing w:after="0" w:line="360" w:lineRule="auto"/>
        <w:jc w:val="both"/>
        <w:rPr>
          <w:rFonts w:ascii="Arial" w:hAnsi="Arial" w:cs="Arial"/>
          <w:sz w:val="24"/>
          <w:szCs w:val="24"/>
        </w:rPr>
      </w:pPr>
    </w:p>
    <w:p w:rsidR="00D84552" w:rsidRDefault="0035276E" w:rsidP="00D84552">
      <w:pPr>
        <w:pStyle w:val="Heading1"/>
        <w:spacing w:after="0"/>
        <w:rPr>
          <w:u w:val="none"/>
        </w:rPr>
      </w:pPr>
      <w:r>
        <w:rPr>
          <w:u w:val="none"/>
        </w:rPr>
        <w:t>THE COURT</w:t>
      </w:r>
    </w:p>
    <w:p w:rsidR="00080ADD" w:rsidRPr="00080ADD" w:rsidRDefault="00080ADD" w:rsidP="00080ADD"/>
    <w:p w:rsidR="007C0222" w:rsidRDefault="007C0222" w:rsidP="00080ADD">
      <w:pPr>
        <w:pStyle w:val="Heading1"/>
        <w:spacing w:after="0"/>
      </w:pPr>
      <w:r w:rsidRPr="007C0222">
        <w:t>The parties</w:t>
      </w:r>
    </w:p>
    <w:p w:rsidR="00080ADD" w:rsidRPr="00080ADD" w:rsidRDefault="00080ADD" w:rsidP="00080ADD"/>
    <w:p w:rsidR="007C0222" w:rsidRDefault="007C0222" w:rsidP="00080ADD">
      <w:pPr>
        <w:pStyle w:val="ListParagraph"/>
        <w:numPr>
          <w:ilvl w:val="0"/>
          <w:numId w:val="1"/>
        </w:numPr>
        <w:spacing w:after="0" w:line="360" w:lineRule="auto"/>
        <w:ind w:left="0" w:firstLine="0"/>
        <w:jc w:val="both"/>
        <w:rPr>
          <w:rFonts w:ascii="Arial" w:hAnsi="Arial" w:cs="Arial"/>
          <w:sz w:val="24"/>
          <w:szCs w:val="24"/>
        </w:rPr>
      </w:pPr>
      <w:r w:rsidRPr="007C0222">
        <w:rPr>
          <w:rFonts w:ascii="Arial" w:hAnsi="Arial" w:cs="Arial"/>
          <w:sz w:val="24"/>
          <w:szCs w:val="24"/>
        </w:rPr>
        <w:t xml:space="preserve">The </w:t>
      </w:r>
      <w:r>
        <w:rPr>
          <w:rFonts w:ascii="Arial" w:hAnsi="Arial" w:cs="Arial"/>
          <w:sz w:val="24"/>
          <w:szCs w:val="24"/>
        </w:rPr>
        <w:t xml:space="preserve">applicants are Martin Nande Shilengudwa </w:t>
      </w:r>
      <w:r w:rsidR="000B5069">
        <w:rPr>
          <w:rFonts w:ascii="Arial" w:hAnsi="Arial" w:cs="Arial"/>
          <w:sz w:val="24"/>
          <w:szCs w:val="24"/>
        </w:rPr>
        <w:t>and Hilma Dalondoka Shilengudwa</w:t>
      </w:r>
      <w:r w:rsidR="006B4617">
        <w:rPr>
          <w:rFonts w:ascii="Arial" w:hAnsi="Arial" w:cs="Arial"/>
          <w:sz w:val="24"/>
          <w:szCs w:val="24"/>
        </w:rPr>
        <w:t>,</w:t>
      </w:r>
      <w:r w:rsidR="000B5069">
        <w:rPr>
          <w:rFonts w:ascii="Arial" w:hAnsi="Arial" w:cs="Arial"/>
          <w:sz w:val="24"/>
          <w:szCs w:val="24"/>
        </w:rPr>
        <w:t xml:space="preserve"> residing at Erf no 40, Voltaire Street, Academia, Windhoek. </w:t>
      </w:r>
    </w:p>
    <w:p w:rsidR="001652BF" w:rsidRDefault="001652BF" w:rsidP="001652BF">
      <w:pPr>
        <w:pStyle w:val="ListParagraph"/>
        <w:spacing w:line="360" w:lineRule="auto"/>
        <w:ind w:left="0"/>
        <w:jc w:val="both"/>
        <w:rPr>
          <w:rFonts w:ascii="Arial" w:hAnsi="Arial" w:cs="Arial"/>
          <w:sz w:val="24"/>
          <w:szCs w:val="24"/>
        </w:rPr>
      </w:pPr>
    </w:p>
    <w:p w:rsidR="000B5069" w:rsidRDefault="000B5069" w:rsidP="007C0222">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The respondents are as follows:</w:t>
      </w:r>
    </w:p>
    <w:p w:rsidR="00BE3B61" w:rsidRPr="00BE3B61" w:rsidRDefault="00BE3B61" w:rsidP="00BE3B61">
      <w:pPr>
        <w:pStyle w:val="ListParagraph"/>
        <w:rPr>
          <w:rFonts w:ascii="Arial" w:hAnsi="Arial" w:cs="Arial"/>
          <w:sz w:val="24"/>
          <w:szCs w:val="24"/>
        </w:rPr>
      </w:pP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The first respondent is the Prosecutor-General</w:t>
      </w:r>
      <w:r w:rsidR="00DD5878">
        <w:rPr>
          <w:rFonts w:ascii="Arial" w:hAnsi="Arial" w:cs="Arial"/>
          <w:sz w:val="24"/>
          <w:szCs w:val="24"/>
        </w:rPr>
        <w:t xml:space="preserve"> (‘the PG), appointed in terms of Art</w:t>
      </w:r>
      <w:r w:rsidR="00D84552">
        <w:rPr>
          <w:rFonts w:ascii="Arial" w:hAnsi="Arial" w:cs="Arial"/>
          <w:sz w:val="24"/>
          <w:szCs w:val="24"/>
        </w:rPr>
        <w:t>icle</w:t>
      </w:r>
      <w:r w:rsidR="00DD5878">
        <w:rPr>
          <w:rFonts w:ascii="Arial" w:hAnsi="Arial" w:cs="Arial"/>
          <w:sz w:val="24"/>
          <w:szCs w:val="24"/>
        </w:rPr>
        <w:t xml:space="preserve"> 88 of the Namibian Constitution with her head office at Corporate House, JP Karuaihe Street, Windhoek. </w:t>
      </w: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The second respondent is the President of the Republic of Namibia</w:t>
      </w:r>
      <w:r w:rsidR="00DD5878">
        <w:rPr>
          <w:rFonts w:ascii="Arial" w:hAnsi="Arial" w:cs="Arial"/>
          <w:sz w:val="24"/>
          <w:szCs w:val="24"/>
        </w:rPr>
        <w:t xml:space="preserve">, cited in his official capacity, </w:t>
      </w:r>
      <w:r w:rsidR="00D84552">
        <w:rPr>
          <w:rFonts w:ascii="Arial" w:hAnsi="Arial" w:cs="Arial"/>
          <w:sz w:val="24"/>
          <w:szCs w:val="24"/>
        </w:rPr>
        <w:t xml:space="preserve">in the </w:t>
      </w:r>
      <w:r w:rsidR="00DD5878">
        <w:rPr>
          <w:rFonts w:ascii="Arial" w:hAnsi="Arial" w:cs="Arial"/>
          <w:sz w:val="24"/>
          <w:szCs w:val="24"/>
        </w:rPr>
        <w:t>care of the Government Attorney situated at the 12</w:t>
      </w:r>
      <w:r w:rsidR="00DD5878" w:rsidRPr="00DD5878">
        <w:rPr>
          <w:rFonts w:ascii="Arial" w:hAnsi="Arial" w:cs="Arial"/>
          <w:sz w:val="24"/>
          <w:szCs w:val="24"/>
          <w:vertAlign w:val="superscript"/>
        </w:rPr>
        <w:t>th</w:t>
      </w:r>
      <w:r w:rsidR="00DD5878">
        <w:rPr>
          <w:rFonts w:ascii="Arial" w:hAnsi="Arial" w:cs="Arial"/>
          <w:sz w:val="24"/>
          <w:szCs w:val="24"/>
        </w:rPr>
        <w:t xml:space="preserve"> Floor, Sanlam Building, Independence Avenue, Windhoek.</w:t>
      </w: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lastRenderedPageBreak/>
        <w:t>The third respondent is the Minister of Justice</w:t>
      </w:r>
      <w:r w:rsidR="00DD5878">
        <w:rPr>
          <w:rFonts w:ascii="Arial" w:hAnsi="Arial" w:cs="Arial"/>
          <w:sz w:val="24"/>
          <w:szCs w:val="24"/>
        </w:rPr>
        <w:t>, duly appointed as such in terms of the Constitution</w:t>
      </w:r>
      <w:r w:rsidR="00EF0A26">
        <w:rPr>
          <w:rFonts w:ascii="Arial" w:hAnsi="Arial" w:cs="Arial"/>
          <w:sz w:val="24"/>
          <w:szCs w:val="24"/>
        </w:rPr>
        <w:t>. She</w:t>
      </w:r>
      <w:r w:rsidR="00DD5878">
        <w:rPr>
          <w:rFonts w:ascii="Arial" w:hAnsi="Arial" w:cs="Arial"/>
          <w:sz w:val="24"/>
          <w:szCs w:val="24"/>
        </w:rPr>
        <w:t xml:space="preserve"> </w:t>
      </w:r>
      <w:r w:rsidR="00EF0A26">
        <w:rPr>
          <w:rFonts w:ascii="Arial" w:hAnsi="Arial" w:cs="Arial"/>
          <w:sz w:val="24"/>
          <w:szCs w:val="24"/>
        </w:rPr>
        <w:t xml:space="preserve">is </w:t>
      </w:r>
      <w:r w:rsidR="00DD5878">
        <w:rPr>
          <w:rFonts w:ascii="Arial" w:hAnsi="Arial" w:cs="Arial"/>
          <w:sz w:val="24"/>
          <w:szCs w:val="24"/>
        </w:rPr>
        <w:t xml:space="preserve">cited in her official capacity, </w:t>
      </w:r>
      <w:r w:rsidR="00D84552">
        <w:rPr>
          <w:rFonts w:ascii="Arial" w:hAnsi="Arial" w:cs="Arial"/>
          <w:sz w:val="24"/>
          <w:szCs w:val="24"/>
        </w:rPr>
        <w:t xml:space="preserve">in the </w:t>
      </w:r>
      <w:r w:rsidR="00DD5878">
        <w:rPr>
          <w:rFonts w:ascii="Arial" w:hAnsi="Arial" w:cs="Arial"/>
          <w:sz w:val="24"/>
          <w:szCs w:val="24"/>
        </w:rPr>
        <w:t xml:space="preserve">care of the Government Attorney situated </w:t>
      </w:r>
      <w:r w:rsidR="00EF0A26">
        <w:rPr>
          <w:rFonts w:ascii="Arial" w:hAnsi="Arial" w:cs="Arial"/>
          <w:sz w:val="24"/>
          <w:szCs w:val="24"/>
        </w:rPr>
        <w:t>on</w:t>
      </w:r>
      <w:r w:rsidR="00DD5878">
        <w:rPr>
          <w:rFonts w:ascii="Arial" w:hAnsi="Arial" w:cs="Arial"/>
          <w:sz w:val="24"/>
          <w:szCs w:val="24"/>
        </w:rPr>
        <w:t xml:space="preserve"> the 12</w:t>
      </w:r>
      <w:r w:rsidR="00DD5878" w:rsidRPr="00DD5878">
        <w:rPr>
          <w:rFonts w:ascii="Arial" w:hAnsi="Arial" w:cs="Arial"/>
          <w:sz w:val="24"/>
          <w:szCs w:val="24"/>
          <w:vertAlign w:val="superscript"/>
        </w:rPr>
        <w:t>th</w:t>
      </w:r>
      <w:r w:rsidR="00DD5878">
        <w:rPr>
          <w:rFonts w:ascii="Arial" w:hAnsi="Arial" w:cs="Arial"/>
          <w:sz w:val="24"/>
          <w:szCs w:val="24"/>
        </w:rPr>
        <w:t xml:space="preserve"> Floor, Sanlam Building, Independence Avenue, Windhoek.</w:t>
      </w: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The fourth respondent is the Attorney-General of Namibia</w:t>
      </w:r>
      <w:r w:rsidR="00DD5878">
        <w:rPr>
          <w:rFonts w:ascii="Arial" w:hAnsi="Arial" w:cs="Arial"/>
          <w:sz w:val="24"/>
          <w:szCs w:val="24"/>
        </w:rPr>
        <w:t xml:space="preserve">, cited in his official capacity, </w:t>
      </w:r>
      <w:r w:rsidR="00D84552">
        <w:rPr>
          <w:rFonts w:ascii="Arial" w:hAnsi="Arial" w:cs="Arial"/>
          <w:sz w:val="24"/>
          <w:szCs w:val="24"/>
        </w:rPr>
        <w:t xml:space="preserve">in the </w:t>
      </w:r>
      <w:r w:rsidR="00DD5878">
        <w:rPr>
          <w:rFonts w:ascii="Arial" w:hAnsi="Arial" w:cs="Arial"/>
          <w:sz w:val="24"/>
          <w:szCs w:val="24"/>
        </w:rPr>
        <w:t>care of the Government Attorney situated at the 12</w:t>
      </w:r>
      <w:r w:rsidR="00DD5878" w:rsidRPr="00DD5878">
        <w:rPr>
          <w:rFonts w:ascii="Arial" w:hAnsi="Arial" w:cs="Arial"/>
          <w:sz w:val="24"/>
          <w:szCs w:val="24"/>
          <w:vertAlign w:val="superscript"/>
        </w:rPr>
        <w:t>th</w:t>
      </w:r>
      <w:r w:rsidR="00DD5878">
        <w:rPr>
          <w:rFonts w:ascii="Arial" w:hAnsi="Arial" w:cs="Arial"/>
          <w:sz w:val="24"/>
          <w:szCs w:val="24"/>
        </w:rPr>
        <w:t xml:space="preserve"> Floor, Sanlam Building, Independence Avenue, Windhoek.</w:t>
      </w: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The fifth respondent is the Director of the Anti-Corruption Commission</w:t>
      </w:r>
      <w:r w:rsidR="00DD5878">
        <w:rPr>
          <w:rFonts w:ascii="Arial" w:hAnsi="Arial" w:cs="Arial"/>
          <w:sz w:val="24"/>
          <w:szCs w:val="24"/>
        </w:rPr>
        <w:t>, cit</w:t>
      </w:r>
      <w:r w:rsidR="007141A0">
        <w:rPr>
          <w:rFonts w:ascii="Arial" w:hAnsi="Arial" w:cs="Arial"/>
          <w:sz w:val="24"/>
          <w:szCs w:val="24"/>
        </w:rPr>
        <w:t xml:space="preserve">ed in his official capacity, with his place of business situated at c/o Mont Blanc and Groot Tiras Str. Eros, Windhoek. </w:t>
      </w:r>
    </w:p>
    <w:p w:rsidR="000B5069" w:rsidRDefault="000B5069" w:rsidP="00DD5878">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The sixth respondent is the Business and Intellectual Property Authority</w:t>
      </w:r>
      <w:r w:rsidR="007141A0">
        <w:rPr>
          <w:rFonts w:ascii="Arial" w:hAnsi="Arial" w:cs="Arial"/>
          <w:sz w:val="24"/>
          <w:szCs w:val="24"/>
        </w:rPr>
        <w:t xml:space="preserve"> (‘BIPA’), duly established in terms of s 3 of the Business and Intellectual Property Act 8 of 2016, with its place of business situated at PZN Building, 3 Ruhr Street, Northern Industrial Are</w:t>
      </w:r>
      <w:r w:rsidR="009E2E3F">
        <w:rPr>
          <w:rFonts w:ascii="Arial" w:hAnsi="Arial" w:cs="Arial"/>
          <w:sz w:val="24"/>
          <w:szCs w:val="24"/>
        </w:rPr>
        <w:t>a</w:t>
      </w:r>
      <w:r w:rsidR="007141A0">
        <w:rPr>
          <w:rFonts w:ascii="Arial" w:hAnsi="Arial" w:cs="Arial"/>
          <w:sz w:val="24"/>
          <w:szCs w:val="24"/>
        </w:rPr>
        <w:t xml:space="preserve">, Windhoek. </w:t>
      </w:r>
    </w:p>
    <w:p w:rsidR="007141A0" w:rsidRDefault="000B5069" w:rsidP="007141A0">
      <w:pPr>
        <w:pStyle w:val="ListParagraph"/>
        <w:numPr>
          <w:ilvl w:val="1"/>
          <w:numId w:val="2"/>
        </w:numPr>
        <w:spacing w:line="360" w:lineRule="auto"/>
        <w:ind w:left="0" w:firstLine="0"/>
        <w:jc w:val="both"/>
        <w:rPr>
          <w:rFonts w:ascii="Arial" w:hAnsi="Arial" w:cs="Arial"/>
          <w:sz w:val="24"/>
          <w:szCs w:val="24"/>
        </w:rPr>
      </w:pPr>
      <w:r>
        <w:rPr>
          <w:rFonts w:ascii="Arial" w:hAnsi="Arial" w:cs="Arial"/>
          <w:sz w:val="24"/>
          <w:szCs w:val="24"/>
        </w:rPr>
        <w:t xml:space="preserve">The seventh </w:t>
      </w:r>
      <w:r w:rsidR="00DD5878">
        <w:rPr>
          <w:rFonts w:ascii="Arial" w:hAnsi="Arial" w:cs="Arial"/>
          <w:sz w:val="24"/>
          <w:szCs w:val="24"/>
        </w:rPr>
        <w:t>respondent</w:t>
      </w:r>
      <w:r>
        <w:rPr>
          <w:rFonts w:ascii="Arial" w:hAnsi="Arial" w:cs="Arial"/>
          <w:sz w:val="24"/>
          <w:szCs w:val="24"/>
        </w:rPr>
        <w:t xml:space="preserve"> is the</w:t>
      </w:r>
      <w:r w:rsidR="00DD5878">
        <w:rPr>
          <w:rFonts w:ascii="Arial" w:hAnsi="Arial" w:cs="Arial"/>
          <w:sz w:val="24"/>
          <w:szCs w:val="24"/>
        </w:rPr>
        <w:t xml:space="preserve"> Minister</w:t>
      </w:r>
      <w:r>
        <w:rPr>
          <w:rFonts w:ascii="Arial" w:hAnsi="Arial" w:cs="Arial"/>
          <w:sz w:val="24"/>
          <w:szCs w:val="24"/>
        </w:rPr>
        <w:t xml:space="preserve"> of Finance</w:t>
      </w:r>
      <w:r w:rsidR="007141A0">
        <w:rPr>
          <w:rFonts w:ascii="Arial" w:hAnsi="Arial" w:cs="Arial"/>
          <w:sz w:val="24"/>
          <w:szCs w:val="24"/>
        </w:rPr>
        <w:t>, duly appointed in such terms of the Constitution</w:t>
      </w:r>
      <w:r w:rsidR="00EF0A26">
        <w:rPr>
          <w:rFonts w:ascii="Arial" w:hAnsi="Arial" w:cs="Arial"/>
          <w:sz w:val="24"/>
          <w:szCs w:val="24"/>
        </w:rPr>
        <w:t xml:space="preserve">. </w:t>
      </w:r>
      <w:r w:rsidR="00993396">
        <w:rPr>
          <w:rFonts w:ascii="Arial" w:hAnsi="Arial" w:cs="Arial"/>
          <w:sz w:val="24"/>
          <w:szCs w:val="24"/>
        </w:rPr>
        <w:t>H</w:t>
      </w:r>
      <w:r w:rsidR="00EF0A26">
        <w:rPr>
          <w:rFonts w:ascii="Arial" w:hAnsi="Arial" w:cs="Arial"/>
          <w:sz w:val="24"/>
          <w:szCs w:val="24"/>
        </w:rPr>
        <w:t>e</w:t>
      </w:r>
      <w:r w:rsidR="007141A0">
        <w:rPr>
          <w:rFonts w:ascii="Arial" w:hAnsi="Arial" w:cs="Arial"/>
          <w:sz w:val="24"/>
          <w:szCs w:val="24"/>
        </w:rPr>
        <w:t xml:space="preserve"> </w:t>
      </w:r>
      <w:r w:rsidR="00EF0A26">
        <w:rPr>
          <w:rFonts w:ascii="Arial" w:hAnsi="Arial" w:cs="Arial"/>
          <w:sz w:val="24"/>
          <w:szCs w:val="24"/>
        </w:rPr>
        <w:t xml:space="preserve">is </w:t>
      </w:r>
      <w:r w:rsidR="007141A0">
        <w:rPr>
          <w:rFonts w:ascii="Arial" w:hAnsi="Arial" w:cs="Arial"/>
          <w:sz w:val="24"/>
          <w:szCs w:val="24"/>
        </w:rPr>
        <w:t>cited in h</w:t>
      </w:r>
      <w:r w:rsidR="009D25EE">
        <w:rPr>
          <w:rFonts w:ascii="Arial" w:hAnsi="Arial" w:cs="Arial"/>
          <w:sz w:val="24"/>
          <w:szCs w:val="24"/>
        </w:rPr>
        <w:t xml:space="preserve">is </w:t>
      </w:r>
      <w:r w:rsidR="007141A0">
        <w:rPr>
          <w:rFonts w:ascii="Arial" w:hAnsi="Arial" w:cs="Arial"/>
          <w:sz w:val="24"/>
          <w:szCs w:val="24"/>
        </w:rPr>
        <w:t xml:space="preserve">official capacity, </w:t>
      </w:r>
      <w:r w:rsidR="00D84552">
        <w:rPr>
          <w:rFonts w:ascii="Arial" w:hAnsi="Arial" w:cs="Arial"/>
          <w:sz w:val="24"/>
          <w:szCs w:val="24"/>
        </w:rPr>
        <w:t xml:space="preserve">in the </w:t>
      </w:r>
      <w:r w:rsidR="007141A0">
        <w:rPr>
          <w:rFonts w:ascii="Arial" w:hAnsi="Arial" w:cs="Arial"/>
          <w:sz w:val="24"/>
          <w:szCs w:val="24"/>
        </w:rPr>
        <w:t xml:space="preserve">care of the Government Attorneys situated </w:t>
      </w:r>
      <w:r w:rsidR="00EF0A26">
        <w:rPr>
          <w:rFonts w:ascii="Arial" w:hAnsi="Arial" w:cs="Arial"/>
          <w:sz w:val="24"/>
          <w:szCs w:val="24"/>
        </w:rPr>
        <w:t>on</w:t>
      </w:r>
      <w:r w:rsidR="007141A0">
        <w:rPr>
          <w:rFonts w:ascii="Arial" w:hAnsi="Arial" w:cs="Arial"/>
          <w:sz w:val="24"/>
          <w:szCs w:val="24"/>
        </w:rPr>
        <w:t xml:space="preserve"> the 12</w:t>
      </w:r>
      <w:r w:rsidR="007141A0" w:rsidRPr="00DD5878">
        <w:rPr>
          <w:rFonts w:ascii="Arial" w:hAnsi="Arial" w:cs="Arial"/>
          <w:sz w:val="24"/>
          <w:szCs w:val="24"/>
          <w:vertAlign w:val="superscript"/>
        </w:rPr>
        <w:t>th</w:t>
      </w:r>
      <w:r w:rsidR="007141A0">
        <w:rPr>
          <w:rFonts w:ascii="Arial" w:hAnsi="Arial" w:cs="Arial"/>
          <w:sz w:val="24"/>
          <w:szCs w:val="24"/>
        </w:rPr>
        <w:t xml:space="preserve"> Floor, Sanlam Building, Independence Avenue, Windhoek.</w:t>
      </w:r>
    </w:p>
    <w:p w:rsidR="000B5069" w:rsidRDefault="000B5069" w:rsidP="007141A0">
      <w:pPr>
        <w:pStyle w:val="ListParagraph"/>
        <w:spacing w:line="360" w:lineRule="auto"/>
        <w:ind w:left="0"/>
        <w:jc w:val="both"/>
        <w:rPr>
          <w:rFonts w:ascii="Arial" w:hAnsi="Arial" w:cs="Arial"/>
          <w:sz w:val="24"/>
          <w:szCs w:val="24"/>
        </w:rPr>
      </w:pPr>
    </w:p>
    <w:p w:rsidR="001652BF" w:rsidRDefault="001652BF" w:rsidP="007141A0">
      <w:pPr>
        <w:pStyle w:val="ListParagraph"/>
        <w:spacing w:line="360" w:lineRule="auto"/>
        <w:ind w:left="0"/>
        <w:jc w:val="both"/>
        <w:rPr>
          <w:rFonts w:ascii="Arial" w:hAnsi="Arial" w:cs="Arial"/>
          <w:sz w:val="24"/>
          <w:szCs w:val="24"/>
          <w:u w:val="single"/>
        </w:rPr>
      </w:pPr>
      <w:r w:rsidRPr="001652BF">
        <w:rPr>
          <w:rFonts w:ascii="Arial" w:hAnsi="Arial" w:cs="Arial"/>
          <w:sz w:val="24"/>
          <w:szCs w:val="24"/>
          <w:u w:val="single"/>
        </w:rPr>
        <w:t>The application</w:t>
      </w:r>
    </w:p>
    <w:p w:rsidR="001652BF" w:rsidRDefault="001652BF" w:rsidP="007141A0">
      <w:pPr>
        <w:pStyle w:val="ListParagraph"/>
        <w:spacing w:line="360" w:lineRule="auto"/>
        <w:ind w:left="0"/>
        <w:jc w:val="both"/>
        <w:rPr>
          <w:rFonts w:ascii="Arial" w:hAnsi="Arial" w:cs="Arial"/>
          <w:sz w:val="24"/>
          <w:szCs w:val="24"/>
          <w:u w:val="single"/>
        </w:rPr>
      </w:pPr>
    </w:p>
    <w:p w:rsidR="001652BF" w:rsidRPr="001652BF" w:rsidRDefault="001652BF" w:rsidP="001652BF">
      <w:pPr>
        <w:pStyle w:val="ListParagraph"/>
        <w:numPr>
          <w:ilvl w:val="0"/>
          <w:numId w:val="1"/>
        </w:numPr>
        <w:spacing w:after="0" w:line="360" w:lineRule="auto"/>
        <w:ind w:left="0" w:firstLine="0"/>
        <w:jc w:val="both"/>
        <w:rPr>
          <w:rFonts w:ascii="Arial" w:hAnsi="Arial" w:cs="Arial"/>
          <w:sz w:val="24"/>
          <w:szCs w:val="24"/>
        </w:rPr>
      </w:pPr>
      <w:r w:rsidRPr="001652BF">
        <w:rPr>
          <w:rFonts w:ascii="Arial" w:hAnsi="Arial" w:cs="Arial"/>
          <w:sz w:val="24"/>
          <w:szCs w:val="24"/>
        </w:rPr>
        <w:t xml:space="preserve">The </w:t>
      </w:r>
      <w:r w:rsidR="005553ED">
        <w:rPr>
          <w:rFonts w:ascii="Arial" w:hAnsi="Arial" w:cs="Arial"/>
          <w:sz w:val="24"/>
          <w:szCs w:val="24"/>
        </w:rPr>
        <w:t>applicants brought the</w:t>
      </w:r>
      <w:r w:rsidR="00EF0A26">
        <w:rPr>
          <w:rFonts w:ascii="Arial" w:hAnsi="Arial" w:cs="Arial"/>
          <w:sz w:val="24"/>
          <w:szCs w:val="24"/>
        </w:rPr>
        <w:t xml:space="preserve"> current </w:t>
      </w:r>
      <w:r w:rsidR="005553ED">
        <w:rPr>
          <w:rFonts w:ascii="Arial" w:hAnsi="Arial" w:cs="Arial"/>
          <w:sz w:val="24"/>
          <w:szCs w:val="24"/>
        </w:rPr>
        <w:t xml:space="preserve">application </w:t>
      </w:r>
      <w:r>
        <w:rPr>
          <w:rFonts w:ascii="Arial" w:hAnsi="Arial" w:cs="Arial"/>
          <w:sz w:val="24"/>
          <w:szCs w:val="24"/>
        </w:rPr>
        <w:t>to challenge</w:t>
      </w:r>
      <w:r w:rsidR="005553ED">
        <w:rPr>
          <w:rFonts w:ascii="Arial" w:hAnsi="Arial" w:cs="Arial"/>
          <w:sz w:val="24"/>
          <w:szCs w:val="24"/>
        </w:rPr>
        <w:t xml:space="preserve"> the constitutionality of the</w:t>
      </w:r>
      <w:r>
        <w:rPr>
          <w:rFonts w:ascii="Arial" w:hAnsi="Arial" w:cs="Arial"/>
          <w:sz w:val="24"/>
          <w:szCs w:val="24"/>
        </w:rPr>
        <w:t xml:space="preserve"> definition of ‘the proceeds of unlawful activities’ in s 1 of the Prevention of Organised Crime Act </w:t>
      </w:r>
      <w:r w:rsidR="005553ED">
        <w:rPr>
          <w:rFonts w:ascii="Arial" w:hAnsi="Arial" w:cs="Arial"/>
          <w:sz w:val="24"/>
          <w:szCs w:val="24"/>
        </w:rPr>
        <w:t>29 of 2004</w:t>
      </w:r>
      <w:r w:rsidR="00993396">
        <w:rPr>
          <w:rFonts w:ascii="Arial" w:hAnsi="Arial" w:cs="Arial"/>
          <w:sz w:val="24"/>
          <w:szCs w:val="24"/>
        </w:rPr>
        <w:t xml:space="preserve"> (POCA)</w:t>
      </w:r>
      <w:r w:rsidR="005553ED">
        <w:rPr>
          <w:rFonts w:ascii="Arial" w:hAnsi="Arial" w:cs="Arial"/>
          <w:sz w:val="24"/>
          <w:szCs w:val="24"/>
        </w:rPr>
        <w:t xml:space="preserve">. </w:t>
      </w:r>
      <w:r w:rsidR="00EF0A26">
        <w:rPr>
          <w:rFonts w:ascii="Arial" w:hAnsi="Arial" w:cs="Arial"/>
          <w:sz w:val="24"/>
          <w:szCs w:val="24"/>
        </w:rPr>
        <w:t>If</w:t>
      </w:r>
      <w:r w:rsidR="005553ED">
        <w:rPr>
          <w:rFonts w:ascii="Arial" w:hAnsi="Arial" w:cs="Arial"/>
          <w:sz w:val="24"/>
          <w:szCs w:val="24"/>
        </w:rPr>
        <w:t xml:space="preserve"> the court finds that the definition of ‘proceeds of unlawful activities’ is not unconstitutional, the applicants seek declaratory relief</w:t>
      </w:r>
      <w:r w:rsidR="00EF0A26">
        <w:rPr>
          <w:rFonts w:ascii="Arial" w:hAnsi="Arial" w:cs="Arial"/>
          <w:sz w:val="24"/>
          <w:szCs w:val="24"/>
        </w:rPr>
        <w:t xml:space="preserve"> in the alternative. The relief sought is </w:t>
      </w:r>
      <w:r w:rsidR="005553ED">
        <w:rPr>
          <w:rFonts w:ascii="Arial" w:hAnsi="Arial" w:cs="Arial"/>
          <w:sz w:val="24"/>
          <w:szCs w:val="24"/>
        </w:rPr>
        <w:t>set out as follows:</w:t>
      </w:r>
    </w:p>
    <w:p w:rsidR="007C0222" w:rsidRDefault="007C0222" w:rsidP="007C0222">
      <w:pPr>
        <w:pStyle w:val="BodyText"/>
        <w:ind w:firstLine="720"/>
      </w:pPr>
    </w:p>
    <w:p w:rsidR="007C0222" w:rsidRDefault="007C0222" w:rsidP="007C0222">
      <w:pPr>
        <w:pStyle w:val="BodyText"/>
        <w:ind w:firstLine="720"/>
      </w:pPr>
      <w:r>
        <w:t xml:space="preserve">‘1. </w:t>
      </w:r>
      <w:r w:rsidR="00AA4FF4">
        <w:tab/>
      </w:r>
      <w:r w:rsidRPr="007C0222">
        <w:t xml:space="preserve">Declaring that the portion reading "and includes property which is mingled with property that is proceeds of unlawful activity" in the definition of proceeds of unlawful activities contained in the Prevention of Organized Crime Act, 1998, is unconstitutional, null and void, and be struck from the definition of proceeds of unlawful activities. </w:t>
      </w:r>
    </w:p>
    <w:p w:rsidR="007C0222" w:rsidRDefault="007C0222" w:rsidP="007C0222">
      <w:pPr>
        <w:spacing w:line="360" w:lineRule="auto"/>
        <w:jc w:val="both"/>
        <w:rPr>
          <w:rFonts w:ascii="Arial" w:hAnsi="Arial" w:cs="Arial"/>
        </w:rPr>
      </w:pPr>
      <w:r w:rsidRPr="007C0222">
        <w:rPr>
          <w:rFonts w:ascii="Arial" w:hAnsi="Arial" w:cs="Arial"/>
        </w:rPr>
        <w:t>2</w:t>
      </w:r>
      <w:r w:rsidR="00D52AF1">
        <w:rPr>
          <w:rFonts w:ascii="Arial" w:hAnsi="Arial" w:cs="Arial"/>
        </w:rPr>
        <w:t>.</w:t>
      </w:r>
      <w:r w:rsidR="00AA4FF4">
        <w:rPr>
          <w:rFonts w:ascii="Arial" w:hAnsi="Arial" w:cs="Arial"/>
        </w:rPr>
        <w:tab/>
      </w:r>
      <w:r w:rsidRPr="007C0222">
        <w:rPr>
          <w:rFonts w:ascii="Arial" w:hAnsi="Arial" w:cs="Arial"/>
        </w:rPr>
        <w:t xml:space="preserve">Alternatively, declaring that the definition of proceeds of unlawful activities as contained in the Prevention of Organized Crime Act, 1998, means the following: "proceeds of unlawful </w:t>
      </w:r>
      <w:r w:rsidRPr="007C0222">
        <w:rPr>
          <w:rFonts w:ascii="Arial" w:hAnsi="Arial" w:cs="Arial"/>
        </w:rPr>
        <w:lastRenderedPageBreak/>
        <w:t>activities" means any property or any service, advantage, benefit or reward that was derived, received or retained, directly or indirectly in Namibia or elsewhere, at any time before or after the commencement of this Act, in connection with or as a result of any unlawful activity carried on by any person, and includes any property representing property so derived and includes property which is mingled with property that is proceeds of unlawful activity but not exceeding the assessed value of the proceeds of the unlawful activity before mingling.</w:t>
      </w:r>
    </w:p>
    <w:p w:rsidR="007C0222" w:rsidRDefault="007C0222" w:rsidP="007C0222">
      <w:pPr>
        <w:spacing w:line="360" w:lineRule="auto"/>
        <w:jc w:val="both"/>
        <w:rPr>
          <w:rFonts w:ascii="Arial" w:hAnsi="Arial" w:cs="Arial"/>
        </w:rPr>
      </w:pPr>
      <w:r w:rsidRPr="007C0222">
        <w:rPr>
          <w:rFonts w:ascii="Arial" w:hAnsi="Arial" w:cs="Arial"/>
        </w:rPr>
        <w:t>3</w:t>
      </w:r>
      <w:r w:rsidR="00D52AF1">
        <w:rPr>
          <w:rFonts w:ascii="Arial" w:hAnsi="Arial" w:cs="Arial"/>
        </w:rPr>
        <w:t>.</w:t>
      </w:r>
      <w:r w:rsidR="00AA4FF4">
        <w:rPr>
          <w:rFonts w:ascii="Arial" w:hAnsi="Arial" w:cs="Arial"/>
        </w:rPr>
        <w:tab/>
      </w:r>
      <w:r w:rsidRPr="007C0222">
        <w:rPr>
          <w:rFonts w:ascii="Arial" w:hAnsi="Arial" w:cs="Arial"/>
        </w:rPr>
        <w:t xml:space="preserve">That the First Respondent together with those Respondents who oppose this application, shall pay the Applicants' costs of one instructing and two instructed legal practitioners. </w:t>
      </w:r>
    </w:p>
    <w:p w:rsidR="002D3BC4" w:rsidRDefault="007C0222" w:rsidP="00FD7483">
      <w:pPr>
        <w:spacing w:after="0" w:line="360" w:lineRule="auto"/>
        <w:jc w:val="both"/>
        <w:rPr>
          <w:rFonts w:ascii="Arial" w:hAnsi="Arial" w:cs="Arial"/>
        </w:rPr>
      </w:pPr>
      <w:r w:rsidRPr="007C0222">
        <w:rPr>
          <w:rFonts w:ascii="Arial" w:hAnsi="Arial" w:cs="Arial"/>
        </w:rPr>
        <w:t>4</w:t>
      </w:r>
      <w:r w:rsidR="00D52AF1">
        <w:rPr>
          <w:rFonts w:ascii="Arial" w:hAnsi="Arial" w:cs="Arial"/>
        </w:rPr>
        <w:t>.</w:t>
      </w:r>
      <w:r w:rsidR="00AA4FF4">
        <w:rPr>
          <w:rFonts w:ascii="Arial" w:hAnsi="Arial" w:cs="Arial"/>
        </w:rPr>
        <w:tab/>
      </w:r>
      <w:r w:rsidRPr="007C0222">
        <w:rPr>
          <w:rFonts w:ascii="Arial" w:hAnsi="Arial" w:cs="Arial"/>
        </w:rPr>
        <w:t>Further and / or alternative relief, in particular, and in the event of the respondents conceding that the definition of proceeds of unlawful activities contained in the Prevention of Organized Crime Act, 1998, can only be saved from being unconstitutional by "in-reading", for the court to consider the respondents' proposed (different) phraseology (</w:t>
      </w:r>
      <w:r w:rsidR="003658BA">
        <w:rPr>
          <w:rFonts w:ascii="Arial" w:hAnsi="Arial" w:cs="Arial"/>
        </w:rPr>
        <w:t>i.e.</w:t>
      </w:r>
      <w:r w:rsidRPr="007C0222">
        <w:rPr>
          <w:rFonts w:ascii="Arial" w:hAnsi="Arial" w:cs="Arial"/>
        </w:rPr>
        <w:t xml:space="preserve"> other than suggested in prayer 2 above).</w:t>
      </w:r>
      <w:r>
        <w:rPr>
          <w:rFonts w:ascii="Arial" w:hAnsi="Arial" w:cs="Arial"/>
        </w:rPr>
        <w:t>’</w:t>
      </w:r>
    </w:p>
    <w:p w:rsidR="00FD7483" w:rsidRDefault="00FD7483" w:rsidP="00FD7483">
      <w:pPr>
        <w:spacing w:after="0" w:line="360" w:lineRule="auto"/>
        <w:jc w:val="both"/>
        <w:rPr>
          <w:rFonts w:ascii="Arial" w:hAnsi="Arial" w:cs="Arial"/>
        </w:rPr>
      </w:pPr>
    </w:p>
    <w:p w:rsidR="00EE7059" w:rsidRDefault="00EE7059" w:rsidP="00FD7483">
      <w:pPr>
        <w:pStyle w:val="Heading1"/>
        <w:spacing w:after="0"/>
      </w:pPr>
      <w:r w:rsidRPr="00EE7059">
        <w:t>Background</w:t>
      </w:r>
    </w:p>
    <w:p w:rsidR="00A812FC" w:rsidRPr="00A812FC" w:rsidRDefault="00A812FC" w:rsidP="00A812FC"/>
    <w:p w:rsidR="005553ED" w:rsidRDefault="006B4617" w:rsidP="00A812FC">
      <w:pPr>
        <w:pStyle w:val="ListParagraph"/>
        <w:numPr>
          <w:ilvl w:val="0"/>
          <w:numId w:val="1"/>
        </w:numPr>
        <w:spacing w:after="0" w:line="360" w:lineRule="auto"/>
        <w:ind w:left="0" w:firstLine="0"/>
        <w:jc w:val="both"/>
        <w:rPr>
          <w:rFonts w:ascii="Arial" w:hAnsi="Arial" w:cs="Arial"/>
          <w:sz w:val="24"/>
          <w:szCs w:val="24"/>
        </w:rPr>
      </w:pPr>
      <w:r w:rsidRPr="006B4617">
        <w:rPr>
          <w:rFonts w:ascii="Arial" w:hAnsi="Arial" w:cs="Arial"/>
          <w:sz w:val="24"/>
          <w:szCs w:val="24"/>
        </w:rPr>
        <w:t>The applicants</w:t>
      </w:r>
      <w:r>
        <w:rPr>
          <w:rFonts w:ascii="Arial" w:hAnsi="Arial" w:cs="Arial"/>
          <w:sz w:val="24"/>
          <w:szCs w:val="24"/>
        </w:rPr>
        <w:t xml:space="preserve">, who are married in community of property, were the owners of immovable property situated at </w:t>
      </w:r>
      <w:r w:rsidR="0047001F">
        <w:rPr>
          <w:rFonts w:ascii="Arial" w:hAnsi="Arial" w:cs="Arial"/>
          <w:sz w:val="24"/>
          <w:szCs w:val="24"/>
        </w:rPr>
        <w:t xml:space="preserve">Portion 1 </w:t>
      </w:r>
      <w:r>
        <w:rPr>
          <w:rFonts w:ascii="Arial" w:hAnsi="Arial" w:cs="Arial"/>
          <w:sz w:val="24"/>
          <w:szCs w:val="24"/>
        </w:rPr>
        <w:t>Erf 2780, Wanaheda, Katutura since</w:t>
      </w:r>
      <w:r w:rsidR="00BE3B61">
        <w:rPr>
          <w:rFonts w:ascii="Arial" w:hAnsi="Arial" w:cs="Arial"/>
          <w:sz w:val="24"/>
          <w:szCs w:val="24"/>
        </w:rPr>
        <w:t xml:space="preserve"> </w:t>
      </w:r>
      <w:r>
        <w:rPr>
          <w:rFonts w:ascii="Arial" w:hAnsi="Arial" w:cs="Arial"/>
          <w:sz w:val="24"/>
          <w:szCs w:val="24"/>
        </w:rPr>
        <w:t xml:space="preserve">1992. The couple operated a restaurant, bar and gambling house on the said property, which traded under the name and style of ‘Club Vaganza’. </w:t>
      </w:r>
    </w:p>
    <w:p w:rsidR="00637619" w:rsidRDefault="00637619" w:rsidP="00637619">
      <w:pPr>
        <w:pStyle w:val="ListParagraph"/>
        <w:spacing w:after="0" w:line="360" w:lineRule="auto"/>
        <w:ind w:left="0"/>
        <w:jc w:val="both"/>
        <w:rPr>
          <w:rFonts w:ascii="Arial" w:hAnsi="Arial" w:cs="Arial"/>
          <w:sz w:val="24"/>
          <w:szCs w:val="24"/>
        </w:rPr>
      </w:pPr>
    </w:p>
    <w:p w:rsidR="00FC480E" w:rsidRDefault="009940C7" w:rsidP="009940C7">
      <w:pPr>
        <w:pStyle w:val="ListParagraph"/>
        <w:numPr>
          <w:ilvl w:val="0"/>
          <w:numId w:val="1"/>
        </w:numPr>
        <w:spacing w:after="0" w:line="360" w:lineRule="auto"/>
        <w:ind w:left="0" w:firstLine="0"/>
        <w:jc w:val="both"/>
        <w:rPr>
          <w:rFonts w:ascii="Arial" w:hAnsi="Arial" w:cs="Arial"/>
          <w:sz w:val="24"/>
          <w:szCs w:val="24"/>
        </w:rPr>
      </w:pPr>
      <w:r w:rsidRPr="009940C7">
        <w:rPr>
          <w:rFonts w:ascii="Arial" w:hAnsi="Arial" w:cs="Arial"/>
          <w:sz w:val="24"/>
          <w:szCs w:val="24"/>
        </w:rPr>
        <w:t xml:space="preserve">The applicants sold </w:t>
      </w:r>
      <w:r>
        <w:rPr>
          <w:rFonts w:ascii="Arial" w:hAnsi="Arial" w:cs="Arial"/>
          <w:sz w:val="24"/>
          <w:szCs w:val="24"/>
        </w:rPr>
        <w:t>the said</w:t>
      </w:r>
      <w:r w:rsidRPr="009940C7">
        <w:rPr>
          <w:rFonts w:ascii="Arial" w:hAnsi="Arial" w:cs="Arial"/>
          <w:sz w:val="24"/>
          <w:szCs w:val="24"/>
        </w:rPr>
        <w:t xml:space="preserve"> property to BIPA</w:t>
      </w:r>
      <w:r w:rsidR="0047001F">
        <w:rPr>
          <w:rStyle w:val="FootnoteReference"/>
          <w:rFonts w:ascii="Arial" w:hAnsi="Arial" w:cs="Arial"/>
          <w:sz w:val="24"/>
          <w:szCs w:val="24"/>
        </w:rPr>
        <w:footnoteReference w:id="1"/>
      </w:r>
      <w:r w:rsidRPr="009940C7">
        <w:rPr>
          <w:rFonts w:ascii="Arial" w:hAnsi="Arial" w:cs="Arial"/>
          <w:sz w:val="24"/>
          <w:szCs w:val="24"/>
        </w:rPr>
        <w:t xml:space="preserve"> for N$18,000,000 in 2017. The property was registered under BIPA's name on </w:t>
      </w:r>
      <w:r>
        <w:rPr>
          <w:rFonts w:ascii="Arial" w:hAnsi="Arial" w:cs="Arial"/>
          <w:sz w:val="24"/>
          <w:szCs w:val="24"/>
        </w:rPr>
        <w:t xml:space="preserve">31 </w:t>
      </w:r>
      <w:r w:rsidRPr="009940C7">
        <w:rPr>
          <w:rFonts w:ascii="Arial" w:hAnsi="Arial" w:cs="Arial"/>
          <w:sz w:val="24"/>
          <w:szCs w:val="24"/>
        </w:rPr>
        <w:t xml:space="preserve">August 2017. Following the sale, </w:t>
      </w:r>
      <w:r w:rsidR="002055C3">
        <w:rPr>
          <w:rFonts w:ascii="Arial" w:hAnsi="Arial" w:cs="Arial"/>
          <w:sz w:val="24"/>
          <w:szCs w:val="24"/>
        </w:rPr>
        <w:t>Mr</w:t>
      </w:r>
      <w:r w:rsidRPr="009940C7">
        <w:rPr>
          <w:rFonts w:ascii="Arial" w:hAnsi="Arial" w:cs="Arial"/>
          <w:sz w:val="24"/>
          <w:szCs w:val="24"/>
        </w:rPr>
        <w:t xml:space="preserve"> Shilengudwa, the first applicant, received a </w:t>
      </w:r>
      <w:r>
        <w:rPr>
          <w:rFonts w:ascii="Arial" w:hAnsi="Arial" w:cs="Arial"/>
          <w:sz w:val="24"/>
          <w:szCs w:val="24"/>
        </w:rPr>
        <w:t>sum</w:t>
      </w:r>
      <w:r w:rsidRPr="009940C7">
        <w:rPr>
          <w:rFonts w:ascii="Arial" w:hAnsi="Arial" w:cs="Arial"/>
          <w:sz w:val="24"/>
          <w:szCs w:val="24"/>
        </w:rPr>
        <w:t xml:space="preserve"> of N$16</w:t>
      </w:r>
      <w:r w:rsidR="001E4271">
        <w:rPr>
          <w:rFonts w:ascii="Arial" w:hAnsi="Arial" w:cs="Arial"/>
          <w:sz w:val="24"/>
          <w:szCs w:val="24"/>
        </w:rPr>
        <w:t> </w:t>
      </w:r>
      <w:r w:rsidRPr="009940C7">
        <w:rPr>
          <w:rFonts w:ascii="Arial" w:hAnsi="Arial" w:cs="Arial"/>
          <w:sz w:val="24"/>
          <w:szCs w:val="24"/>
        </w:rPr>
        <w:t>982</w:t>
      </w:r>
      <w:r w:rsidR="001E4271">
        <w:rPr>
          <w:rFonts w:ascii="Arial" w:hAnsi="Arial" w:cs="Arial"/>
          <w:sz w:val="24"/>
          <w:szCs w:val="24"/>
        </w:rPr>
        <w:t xml:space="preserve"> </w:t>
      </w:r>
      <w:r w:rsidRPr="009940C7">
        <w:rPr>
          <w:rFonts w:ascii="Arial" w:hAnsi="Arial" w:cs="Arial"/>
          <w:sz w:val="24"/>
          <w:szCs w:val="24"/>
        </w:rPr>
        <w:t xml:space="preserve">538.01 in his </w:t>
      </w:r>
      <w:r w:rsidR="001E4271">
        <w:rPr>
          <w:rFonts w:ascii="Arial" w:hAnsi="Arial" w:cs="Arial"/>
          <w:sz w:val="24"/>
          <w:szCs w:val="24"/>
        </w:rPr>
        <w:t>Bank Windhoek</w:t>
      </w:r>
      <w:r w:rsidRPr="009940C7">
        <w:rPr>
          <w:rFonts w:ascii="Arial" w:hAnsi="Arial" w:cs="Arial"/>
          <w:sz w:val="24"/>
          <w:szCs w:val="24"/>
        </w:rPr>
        <w:t xml:space="preserve"> account</w:t>
      </w:r>
      <w:r w:rsidR="00637619">
        <w:rPr>
          <w:rFonts w:ascii="Arial" w:hAnsi="Arial" w:cs="Arial"/>
          <w:sz w:val="24"/>
          <w:szCs w:val="24"/>
        </w:rPr>
        <w:t xml:space="preserve">. In contrast, Ms </w:t>
      </w:r>
      <w:r w:rsidRPr="009940C7">
        <w:rPr>
          <w:rFonts w:ascii="Arial" w:hAnsi="Arial" w:cs="Arial"/>
          <w:sz w:val="24"/>
          <w:szCs w:val="24"/>
        </w:rPr>
        <w:t xml:space="preserve">Shilengudwa, the second applicant, received a </w:t>
      </w:r>
      <w:r>
        <w:rPr>
          <w:rFonts w:ascii="Arial" w:hAnsi="Arial" w:cs="Arial"/>
          <w:sz w:val="24"/>
          <w:szCs w:val="24"/>
        </w:rPr>
        <w:t>sum</w:t>
      </w:r>
      <w:r w:rsidRPr="009940C7">
        <w:rPr>
          <w:rFonts w:ascii="Arial" w:hAnsi="Arial" w:cs="Arial"/>
          <w:sz w:val="24"/>
          <w:szCs w:val="24"/>
        </w:rPr>
        <w:t xml:space="preserve"> of N$1</w:t>
      </w:r>
      <w:r w:rsidR="001E4271">
        <w:rPr>
          <w:rFonts w:ascii="Arial" w:hAnsi="Arial" w:cs="Arial"/>
          <w:sz w:val="24"/>
          <w:szCs w:val="24"/>
        </w:rPr>
        <w:t> </w:t>
      </w:r>
      <w:r w:rsidRPr="009940C7">
        <w:rPr>
          <w:rFonts w:ascii="Arial" w:hAnsi="Arial" w:cs="Arial"/>
          <w:sz w:val="24"/>
          <w:szCs w:val="24"/>
        </w:rPr>
        <w:t>031</w:t>
      </w:r>
      <w:r w:rsidR="001E4271">
        <w:rPr>
          <w:rFonts w:ascii="Arial" w:hAnsi="Arial" w:cs="Arial"/>
          <w:sz w:val="24"/>
          <w:szCs w:val="24"/>
        </w:rPr>
        <w:t xml:space="preserve"> </w:t>
      </w:r>
      <w:r w:rsidRPr="009940C7">
        <w:rPr>
          <w:rFonts w:ascii="Arial" w:hAnsi="Arial" w:cs="Arial"/>
          <w:sz w:val="24"/>
          <w:szCs w:val="24"/>
        </w:rPr>
        <w:t xml:space="preserve">956.16 in her </w:t>
      </w:r>
      <w:r w:rsidR="001E4271">
        <w:rPr>
          <w:rFonts w:ascii="Arial" w:hAnsi="Arial" w:cs="Arial"/>
          <w:sz w:val="24"/>
          <w:szCs w:val="24"/>
        </w:rPr>
        <w:t>Bank Windhoek</w:t>
      </w:r>
      <w:r w:rsidRPr="009940C7">
        <w:rPr>
          <w:rFonts w:ascii="Arial" w:hAnsi="Arial" w:cs="Arial"/>
          <w:sz w:val="24"/>
          <w:szCs w:val="24"/>
        </w:rPr>
        <w:t xml:space="preserve"> account.</w:t>
      </w:r>
    </w:p>
    <w:p w:rsidR="009940C7" w:rsidRDefault="009940C7" w:rsidP="009940C7">
      <w:pPr>
        <w:pStyle w:val="ListParagraph"/>
        <w:spacing w:after="0" w:line="360" w:lineRule="auto"/>
        <w:ind w:left="0"/>
        <w:jc w:val="both"/>
        <w:rPr>
          <w:rFonts w:ascii="Arial" w:hAnsi="Arial" w:cs="Arial"/>
          <w:sz w:val="24"/>
          <w:szCs w:val="24"/>
        </w:rPr>
      </w:pPr>
    </w:p>
    <w:p w:rsidR="001E4271" w:rsidRDefault="001E4271" w:rsidP="001E4271">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On 1 September 2017, when the sum of </w:t>
      </w:r>
      <w:r w:rsidRPr="009940C7">
        <w:rPr>
          <w:rFonts w:ascii="Arial" w:hAnsi="Arial" w:cs="Arial"/>
          <w:sz w:val="24"/>
          <w:szCs w:val="24"/>
        </w:rPr>
        <w:t>N$16</w:t>
      </w:r>
      <w:r>
        <w:rPr>
          <w:rFonts w:ascii="Arial" w:hAnsi="Arial" w:cs="Arial"/>
          <w:sz w:val="24"/>
          <w:szCs w:val="24"/>
        </w:rPr>
        <w:t> </w:t>
      </w:r>
      <w:r w:rsidRPr="009940C7">
        <w:rPr>
          <w:rFonts w:ascii="Arial" w:hAnsi="Arial" w:cs="Arial"/>
          <w:sz w:val="24"/>
          <w:szCs w:val="24"/>
        </w:rPr>
        <w:t>982</w:t>
      </w:r>
      <w:r>
        <w:rPr>
          <w:rFonts w:ascii="Arial" w:hAnsi="Arial" w:cs="Arial"/>
          <w:sz w:val="24"/>
          <w:szCs w:val="24"/>
        </w:rPr>
        <w:t xml:space="preserve"> </w:t>
      </w:r>
      <w:r w:rsidRPr="009940C7">
        <w:rPr>
          <w:rFonts w:ascii="Arial" w:hAnsi="Arial" w:cs="Arial"/>
          <w:sz w:val="24"/>
          <w:szCs w:val="24"/>
        </w:rPr>
        <w:t>538.01</w:t>
      </w:r>
      <w:r>
        <w:rPr>
          <w:rFonts w:ascii="Arial" w:hAnsi="Arial" w:cs="Arial"/>
          <w:sz w:val="24"/>
          <w:szCs w:val="24"/>
        </w:rPr>
        <w:t xml:space="preserve"> was deposited into the bank account of the first applicant</w:t>
      </w:r>
      <w:r w:rsidR="009027CF">
        <w:rPr>
          <w:rFonts w:ascii="Arial" w:hAnsi="Arial" w:cs="Arial"/>
          <w:sz w:val="24"/>
          <w:szCs w:val="24"/>
        </w:rPr>
        <w:t>,</w:t>
      </w:r>
      <w:r>
        <w:rPr>
          <w:rFonts w:ascii="Arial" w:hAnsi="Arial" w:cs="Arial"/>
          <w:sz w:val="24"/>
          <w:szCs w:val="24"/>
        </w:rPr>
        <w:t xml:space="preserve"> he had a positive balance </w:t>
      </w:r>
      <w:r w:rsidRPr="001E4271">
        <w:rPr>
          <w:rFonts w:ascii="Arial" w:hAnsi="Arial" w:cs="Arial"/>
          <w:sz w:val="24"/>
          <w:szCs w:val="24"/>
        </w:rPr>
        <w:t>of N$5 478 818.71</w:t>
      </w:r>
      <w:r>
        <w:rPr>
          <w:rFonts w:ascii="Arial" w:hAnsi="Arial" w:cs="Arial"/>
          <w:sz w:val="24"/>
          <w:szCs w:val="24"/>
        </w:rPr>
        <w:t xml:space="preserve"> in the said account</w:t>
      </w:r>
      <w:r w:rsidRPr="001E4271">
        <w:rPr>
          <w:rFonts w:ascii="Arial" w:hAnsi="Arial" w:cs="Arial"/>
          <w:sz w:val="24"/>
          <w:szCs w:val="24"/>
        </w:rPr>
        <w:t>.</w:t>
      </w:r>
    </w:p>
    <w:p w:rsidR="001E4271" w:rsidRPr="001E4271" w:rsidRDefault="001E4271" w:rsidP="001E4271">
      <w:pPr>
        <w:pStyle w:val="ListParagraph"/>
        <w:rPr>
          <w:rFonts w:ascii="Arial" w:hAnsi="Arial" w:cs="Arial"/>
          <w:sz w:val="24"/>
          <w:szCs w:val="24"/>
        </w:rPr>
      </w:pPr>
    </w:p>
    <w:p w:rsidR="00FC480E" w:rsidRDefault="00FC480E" w:rsidP="005553E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w:t>
      </w:r>
      <w:r w:rsidR="00D3328D">
        <w:rPr>
          <w:rFonts w:ascii="Arial" w:hAnsi="Arial" w:cs="Arial"/>
          <w:sz w:val="24"/>
          <w:szCs w:val="24"/>
        </w:rPr>
        <w:t>t</w:t>
      </w:r>
      <w:r>
        <w:rPr>
          <w:rFonts w:ascii="Arial" w:hAnsi="Arial" w:cs="Arial"/>
          <w:sz w:val="24"/>
          <w:szCs w:val="24"/>
        </w:rPr>
        <w:t xml:space="preserve">hereafter proceeded to transfer N$13 000 000 into his </w:t>
      </w:r>
      <w:r w:rsidRPr="00FC480E">
        <w:rPr>
          <w:rFonts w:ascii="Arial" w:hAnsi="Arial" w:cs="Arial"/>
          <w:sz w:val="24"/>
          <w:szCs w:val="24"/>
        </w:rPr>
        <w:t>Capricorn Asset Management Investment Fund</w:t>
      </w:r>
      <w:r>
        <w:rPr>
          <w:rFonts w:ascii="Arial" w:hAnsi="Arial" w:cs="Arial"/>
          <w:sz w:val="24"/>
          <w:szCs w:val="24"/>
        </w:rPr>
        <w:t xml:space="preserve"> account.</w:t>
      </w:r>
    </w:p>
    <w:p w:rsidR="001E4271" w:rsidRPr="001E4271" w:rsidRDefault="001E4271" w:rsidP="001E4271">
      <w:pPr>
        <w:pStyle w:val="ListParagraph"/>
        <w:rPr>
          <w:rFonts w:ascii="Arial" w:hAnsi="Arial" w:cs="Arial"/>
          <w:sz w:val="24"/>
          <w:szCs w:val="24"/>
        </w:rPr>
      </w:pPr>
    </w:p>
    <w:p w:rsidR="00FC480E" w:rsidRPr="00FC480E" w:rsidRDefault="00FC480E" w:rsidP="00FC480E">
      <w:pPr>
        <w:pStyle w:val="ListParagraph"/>
        <w:rPr>
          <w:rFonts w:ascii="Arial" w:hAnsi="Arial" w:cs="Arial"/>
          <w:sz w:val="24"/>
          <w:szCs w:val="24"/>
        </w:rPr>
      </w:pPr>
    </w:p>
    <w:p w:rsidR="00FC480E" w:rsidRDefault="00FC480E" w:rsidP="005553ED">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On 3 May 2018, the PG obtained a preservation order in terms of s 51 of POCA in respect of the accounts of the applicants in the following terms</w:t>
      </w:r>
      <w:r w:rsidR="008B24D5">
        <w:rPr>
          <w:rStyle w:val="FootnoteReference"/>
          <w:rFonts w:ascii="Arial" w:hAnsi="Arial" w:cs="Arial"/>
          <w:sz w:val="24"/>
          <w:szCs w:val="24"/>
        </w:rPr>
        <w:footnoteReference w:id="2"/>
      </w:r>
      <w:r>
        <w:rPr>
          <w:rFonts w:ascii="Arial" w:hAnsi="Arial" w:cs="Arial"/>
          <w:sz w:val="24"/>
          <w:szCs w:val="24"/>
        </w:rPr>
        <w:t xml:space="preserve">: </w:t>
      </w:r>
    </w:p>
    <w:p w:rsidR="00FC480E" w:rsidRPr="00FC480E" w:rsidRDefault="00FC480E" w:rsidP="00FC480E">
      <w:pPr>
        <w:pStyle w:val="ListParagraph"/>
        <w:rPr>
          <w:rFonts w:ascii="Arial" w:hAnsi="Arial" w:cs="Arial"/>
          <w:sz w:val="24"/>
          <w:szCs w:val="24"/>
        </w:rPr>
      </w:pPr>
    </w:p>
    <w:p w:rsidR="00FC480E" w:rsidRPr="00FC480E" w:rsidRDefault="00FC480E" w:rsidP="00FC480E">
      <w:pPr>
        <w:pStyle w:val="ListParagraph"/>
        <w:spacing w:after="0" w:line="360" w:lineRule="auto"/>
        <w:ind w:left="0" w:firstLine="720"/>
        <w:jc w:val="both"/>
        <w:rPr>
          <w:rFonts w:ascii="Arial" w:hAnsi="Arial" w:cs="Arial"/>
        </w:rPr>
      </w:pPr>
      <w:r w:rsidRPr="00FC480E">
        <w:rPr>
          <w:rFonts w:ascii="Arial" w:hAnsi="Arial" w:cs="Arial"/>
        </w:rPr>
        <w:t xml:space="preserve">‘2. A preservation of property order as contemplated by section 51 of POCA is granted in respect of: </w:t>
      </w:r>
    </w:p>
    <w:p w:rsidR="001E4271" w:rsidRDefault="00FC480E" w:rsidP="00BE3B61">
      <w:pPr>
        <w:pStyle w:val="ListParagraph"/>
        <w:spacing w:after="0" w:line="360" w:lineRule="auto"/>
        <w:ind w:left="0"/>
        <w:jc w:val="both"/>
        <w:rPr>
          <w:rFonts w:ascii="Arial" w:hAnsi="Arial" w:cs="Arial"/>
        </w:rPr>
      </w:pPr>
      <w:r w:rsidRPr="00FC480E">
        <w:rPr>
          <w:rFonts w:ascii="Arial" w:hAnsi="Arial" w:cs="Arial"/>
        </w:rPr>
        <w:t>2.1</w:t>
      </w:r>
      <w:r w:rsidR="00AA4FF4">
        <w:rPr>
          <w:rFonts w:ascii="Arial" w:hAnsi="Arial" w:cs="Arial"/>
        </w:rPr>
        <w:tab/>
      </w:r>
      <w:r w:rsidRPr="00FC480E">
        <w:rPr>
          <w:rFonts w:ascii="Arial" w:hAnsi="Arial" w:cs="Arial"/>
        </w:rPr>
        <w:t xml:space="preserve"> The positive balance or value of the Capricorn Asset Management Investment Fund, entity No 13849639, account number 26382 held in the name of </w:t>
      </w:r>
      <w:r w:rsidR="00637619">
        <w:rPr>
          <w:rFonts w:ascii="Arial" w:hAnsi="Arial" w:cs="Arial"/>
        </w:rPr>
        <w:t>Mr</w:t>
      </w:r>
      <w:r w:rsidRPr="00FC480E">
        <w:rPr>
          <w:rFonts w:ascii="Arial" w:hAnsi="Arial" w:cs="Arial"/>
        </w:rPr>
        <w:t xml:space="preserve"> Martin Shilengudwa ("the Capricorn Investment </w:t>
      </w:r>
      <w:r w:rsidR="00D84552">
        <w:rPr>
          <w:rFonts w:ascii="Arial" w:hAnsi="Arial" w:cs="Arial"/>
        </w:rPr>
        <w:t xml:space="preserve">Account </w:t>
      </w:r>
      <w:r w:rsidRPr="00FC480E">
        <w:rPr>
          <w:rFonts w:ascii="Arial" w:hAnsi="Arial" w:cs="Arial"/>
        </w:rPr>
        <w:t xml:space="preserve">of Mr Shilengudwa"), including any interest accrued thereon; </w:t>
      </w:r>
    </w:p>
    <w:p w:rsidR="00FC480E" w:rsidRDefault="00FC480E" w:rsidP="00BE3B61">
      <w:pPr>
        <w:pStyle w:val="ListParagraph"/>
        <w:spacing w:after="0" w:line="360" w:lineRule="auto"/>
        <w:ind w:left="0"/>
        <w:jc w:val="both"/>
        <w:rPr>
          <w:rFonts w:ascii="Arial" w:hAnsi="Arial" w:cs="Arial"/>
        </w:rPr>
      </w:pPr>
      <w:r w:rsidRPr="00FC480E">
        <w:rPr>
          <w:rFonts w:ascii="Arial" w:hAnsi="Arial" w:cs="Arial"/>
        </w:rPr>
        <w:t>2.2</w:t>
      </w:r>
      <w:r w:rsidR="00AA4FF4">
        <w:rPr>
          <w:rFonts w:ascii="Arial" w:hAnsi="Arial" w:cs="Arial"/>
        </w:rPr>
        <w:tab/>
      </w:r>
      <w:r w:rsidRPr="00FC480E">
        <w:rPr>
          <w:rFonts w:ascii="Arial" w:hAnsi="Arial" w:cs="Arial"/>
        </w:rPr>
        <w:t xml:space="preserve"> The positive balance in the Bank Windhoek account number 10142917 held in the name of Martin Shilengudwa ("the Bank Windhoek account of </w:t>
      </w:r>
      <w:r w:rsidR="00637619">
        <w:rPr>
          <w:rFonts w:ascii="Arial" w:hAnsi="Arial" w:cs="Arial"/>
        </w:rPr>
        <w:t>Mr</w:t>
      </w:r>
      <w:r w:rsidRPr="00FC480E">
        <w:rPr>
          <w:rFonts w:ascii="Arial" w:hAnsi="Arial" w:cs="Arial"/>
        </w:rPr>
        <w:t xml:space="preserve"> Shilengudwa")</w:t>
      </w:r>
      <w:r w:rsidR="00637619">
        <w:rPr>
          <w:rFonts w:ascii="Arial" w:hAnsi="Arial" w:cs="Arial"/>
        </w:rPr>
        <w:t>,</w:t>
      </w:r>
      <w:r w:rsidRPr="00FC480E">
        <w:rPr>
          <w:rFonts w:ascii="Arial" w:hAnsi="Arial" w:cs="Arial"/>
        </w:rPr>
        <w:t xml:space="preserve"> including any interest accrued thereon, herein referred to as "the properties"</w:t>
      </w:r>
      <w:r>
        <w:rPr>
          <w:rFonts w:ascii="Arial" w:hAnsi="Arial" w:cs="Arial"/>
        </w:rPr>
        <w:t>’</w:t>
      </w:r>
      <w:r w:rsidRPr="00FC480E">
        <w:rPr>
          <w:rFonts w:ascii="Arial" w:hAnsi="Arial" w:cs="Arial"/>
        </w:rPr>
        <w:t>.</w:t>
      </w:r>
    </w:p>
    <w:p w:rsidR="00FC480E" w:rsidRDefault="00FC480E" w:rsidP="00FC480E">
      <w:pPr>
        <w:pStyle w:val="ListParagraph"/>
        <w:spacing w:after="0" w:line="360" w:lineRule="auto"/>
        <w:ind w:left="0" w:firstLine="720"/>
        <w:jc w:val="both"/>
        <w:rPr>
          <w:rFonts w:ascii="Arial" w:hAnsi="Arial" w:cs="Arial"/>
        </w:rPr>
      </w:pPr>
    </w:p>
    <w:p w:rsidR="006328A2" w:rsidRPr="006328A2" w:rsidRDefault="001E4271" w:rsidP="002D3BC4">
      <w:pPr>
        <w:pStyle w:val="ListParagraph"/>
        <w:numPr>
          <w:ilvl w:val="0"/>
          <w:numId w:val="1"/>
        </w:numPr>
        <w:spacing w:after="0" w:line="360" w:lineRule="auto"/>
        <w:ind w:left="0" w:firstLine="0"/>
        <w:jc w:val="both"/>
        <w:rPr>
          <w:rFonts w:ascii="Arial" w:hAnsi="Arial" w:cs="Arial"/>
          <w:sz w:val="24"/>
          <w:szCs w:val="24"/>
        </w:rPr>
      </w:pPr>
      <w:r w:rsidRPr="006328A2">
        <w:rPr>
          <w:rFonts w:ascii="Arial" w:hAnsi="Arial" w:cs="Arial"/>
          <w:sz w:val="24"/>
          <w:szCs w:val="24"/>
        </w:rPr>
        <w:t>The application brought by the PG averred that the N$13 000 000 transferred to Mr Shilengudwa’s Capricorn Investment account constituted the proceeds of unlawful activities</w:t>
      </w:r>
      <w:r w:rsidR="008B24D5" w:rsidRPr="006328A2">
        <w:rPr>
          <w:rFonts w:ascii="Arial" w:hAnsi="Arial" w:cs="Arial"/>
          <w:sz w:val="24"/>
          <w:szCs w:val="24"/>
        </w:rPr>
        <w:t>. The PG further averred that t</w:t>
      </w:r>
      <w:r w:rsidRPr="006328A2">
        <w:rPr>
          <w:rFonts w:ascii="Arial" w:hAnsi="Arial" w:cs="Arial"/>
          <w:sz w:val="24"/>
          <w:szCs w:val="24"/>
        </w:rPr>
        <w:t xml:space="preserve">he remainder of the balance in the Bank Windhoek account also </w:t>
      </w:r>
      <w:r w:rsidR="00637619">
        <w:rPr>
          <w:rFonts w:ascii="Arial" w:hAnsi="Arial" w:cs="Arial"/>
          <w:sz w:val="24"/>
          <w:szCs w:val="24"/>
        </w:rPr>
        <w:t>constituted</w:t>
      </w:r>
      <w:r w:rsidRPr="006328A2">
        <w:rPr>
          <w:rFonts w:ascii="Arial" w:hAnsi="Arial" w:cs="Arial"/>
          <w:sz w:val="24"/>
          <w:szCs w:val="24"/>
        </w:rPr>
        <w:t xml:space="preserve"> the proceeds of unlawful payment of the purchase price of the Erf as the definition of proceeds of unlawful activities includes money that mingled with proceeds of unlawful activities.</w:t>
      </w:r>
      <w:r>
        <w:t xml:space="preserve"> </w:t>
      </w:r>
    </w:p>
    <w:p w:rsidR="006328A2" w:rsidRPr="006328A2" w:rsidRDefault="006328A2" w:rsidP="006328A2">
      <w:pPr>
        <w:pStyle w:val="ListParagraph"/>
        <w:spacing w:after="0" w:line="360" w:lineRule="auto"/>
        <w:ind w:left="0"/>
        <w:jc w:val="both"/>
        <w:rPr>
          <w:rFonts w:ascii="Arial" w:hAnsi="Arial" w:cs="Arial"/>
          <w:sz w:val="24"/>
          <w:szCs w:val="24"/>
        </w:rPr>
      </w:pPr>
    </w:p>
    <w:p w:rsidR="00F02D3A" w:rsidRDefault="00637619" w:rsidP="00637619">
      <w:pPr>
        <w:pStyle w:val="ListParagraph"/>
        <w:numPr>
          <w:ilvl w:val="0"/>
          <w:numId w:val="1"/>
        </w:numPr>
        <w:spacing w:after="0" w:line="360" w:lineRule="auto"/>
        <w:ind w:left="0" w:firstLine="0"/>
        <w:jc w:val="both"/>
        <w:rPr>
          <w:rFonts w:ascii="Arial" w:hAnsi="Arial" w:cs="Arial"/>
          <w:sz w:val="24"/>
          <w:szCs w:val="24"/>
        </w:rPr>
      </w:pPr>
      <w:r w:rsidRPr="00637619">
        <w:rPr>
          <w:rFonts w:ascii="Arial" w:hAnsi="Arial" w:cs="Arial"/>
          <w:sz w:val="24"/>
          <w:szCs w:val="24"/>
        </w:rPr>
        <w:t>Th</w:t>
      </w:r>
      <w:r w:rsidR="003658BA">
        <w:rPr>
          <w:rFonts w:ascii="Arial" w:hAnsi="Arial" w:cs="Arial"/>
          <w:sz w:val="24"/>
          <w:szCs w:val="24"/>
        </w:rPr>
        <w:t>e</w:t>
      </w:r>
      <w:r w:rsidRPr="00637619">
        <w:rPr>
          <w:rFonts w:ascii="Arial" w:hAnsi="Arial" w:cs="Arial"/>
          <w:sz w:val="24"/>
          <w:szCs w:val="24"/>
        </w:rPr>
        <w:t xml:space="preserve"> </w:t>
      </w:r>
      <w:r w:rsidR="00DD7105">
        <w:rPr>
          <w:rFonts w:ascii="Arial" w:hAnsi="Arial" w:cs="Arial"/>
          <w:sz w:val="24"/>
          <w:szCs w:val="24"/>
        </w:rPr>
        <w:t>finalisation of</w:t>
      </w:r>
      <w:r w:rsidRPr="00637619">
        <w:rPr>
          <w:rFonts w:ascii="Arial" w:hAnsi="Arial" w:cs="Arial"/>
          <w:sz w:val="24"/>
          <w:szCs w:val="24"/>
        </w:rPr>
        <w:t xml:space="preserve"> the </w:t>
      </w:r>
      <w:r w:rsidR="00DD7105">
        <w:rPr>
          <w:rFonts w:ascii="Arial" w:hAnsi="Arial" w:cs="Arial"/>
          <w:sz w:val="24"/>
          <w:szCs w:val="24"/>
        </w:rPr>
        <w:t xml:space="preserve">forfeiture proceedings </w:t>
      </w:r>
      <w:r w:rsidR="003658BA">
        <w:rPr>
          <w:rFonts w:ascii="Arial" w:hAnsi="Arial" w:cs="Arial"/>
          <w:sz w:val="24"/>
          <w:szCs w:val="24"/>
        </w:rPr>
        <w:t>depends on</w:t>
      </w:r>
      <w:r w:rsidR="009D25EE">
        <w:rPr>
          <w:rFonts w:ascii="Arial" w:hAnsi="Arial" w:cs="Arial"/>
          <w:sz w:val="24"/>
          <w:szCs w:val="24"/>
        </w:rPr>
        <w:t xml:space="preserve"> the</w:t>
      </w:r>
      <w:r w:rsidR="003658BA">
        <w:rPr>
          <w:rFonts w:ascii="Arial" w:hAnsi="Arial" w:cs="Arial"/>
          <w:sz w:val="24"/>
          <w:szCs w:val="24"/>
        </w:rPr>
        <w:t xml:space="preserve"> outcome</w:t>
      </w:r>
      <w:r w:rsidR="00DD7105">
        <w:rPr>
          <w:rFonts w:ascii="Arial" w:hAnsi="Arial" w:cs="Arial"/>
          <w:sz w:val="24"/>
          <w:szCs w:val="24"/>
        </w:rPr>
        <w:t xml:space="preserve"> </w:t>
      </w:r>
      <w:r w:rsidR="002821B0">
        <w:rPr>
          <w:rFonts w:ascii="Arial" w:hAnsi="Arial" w:cs="Arial"/>
          <w:sz w:val="24"/>
          <w:szCs w:val="24"/>
        </w:rPr>
        <w:t xml:space="preserve">of </w:t>
      </w:r>
      <w:r w:rsidR="00CE3B9E">
        <w:rPr>
          <w:rFonts w:ascii="Arial" w:hAnsi="Arial" w:cs="Arial"/>
          <w:sz w:val="24"/>
          <w:szCs w:val="24"/>
        </w:rPr>
        <w:t>this matter</w:t>
      </w:r>
      <w:r w:rsidRPr="00637619">
        <w:rPr>
          <w:rFonts w:ascii="Arial" w:hAnsi="Arial" w:cs="Arial"/>
          <w:sz w:val="24"/>
          <w:szCs w:val="24"/>
        </w:rPr>
        <w:t xml:space="preserve">. It is important to note that </w:t>
      </w:r>
      <w:r w:rsidR="00DD7105">
        <w:rPr>
          <w:rFonts w:ascii="Arial" w:hAnsi="Arial" w:cs="Arial"/>
          <w:sz w:val="24"/>
          <w:szCs w:val="24"/>
        </w:rPr>
        <w:t>the current</w:t>
      </w:r>
      <w:r w:rsidRPr="00637619">
        <w:rPr>
          <w:rFonts w:ascii="Arial" w:hAnsi="Arial" w:cs="Arial"/>
          <w:sz w:val="24"/>
          <w:szCs w:val="24"/>
        </w:rPr>
        <w:t xml:space="preserve"> application does not concern the validity of the preservation order or the outcome of the forfeiture application.</w:t>
      </w:r>
    </w:p>
    <w:p w:rsidR="00DD7105" w:rsidRPr="00DD7105" w:rsidRDefault="00DD7105" w:rsidP="00DD7105">
      <w:pPr>
        <w:pStyle w:val="ListParagraph"/>
        <w:rPr>
          <w:rFonts w:ascii="Arial" w:hAnsi="Arial" w:cs="Arial"/>
          <w:sz w:val="24"/>
          <w:szCs w:val="24"/>
        </w:rPr>
      </w:pPr>
    </w:p>
    <w:p w:rsidR="00C55B2E" w:rsidRDefault="00C55B2E" w:rsidP="00C55B2E">
      <w:pPr>
        <w:pStyle w:val="ListParagraph"/>
        <w:spacing w:after="0" w:line="360" w:lineRule="auto"/>
        <w:ind w:left="0"/>
        <w:jc w:val="both"/>
        <w:rPr>
          <w:rFonts w:ascii="Arial" w:hAnsi="Arial" w:cs="Arial"/>
          <w:sz w:val="24"/>
          <w:szCs w:val="24"/>
          <w:u w:val="single"/>
        </w:rPr>
      </w:pPr>
      <w:r w:rsidRPr="00C55B2E">
        <w:rPr>
          <w:rFonts w:ascii="Arial" w:hAnsi="Arial" w:cs="Arial"/>
          <w:sz w:val="24"/>
          <w:szCs w:val="24"/>
          <w:u w:val="single"/>
        </w:rPr>
        <w:lastRenderedPageBreak/>
        <w:t>The founding papers</w:t>
      </w:r>
    </w:p>
    <w:p w:rsidR="00C55B2E" w:rsidRPr="00C55B2E" w:rsidRDefault="00C55B2E" w:rsidP="00C55B2E">
      <w:pPr>
        <w:pStyle w:val="ListParagraph"/>
        <w:spacing w:after="0" w:line="360" w:lineRule="auto"/>
        <w:ind w:left="0"/>
        <w:jc w:val="both"/>
        <w:rPr>
          <w:rFonts w:ascii="Arial" w:hAnsi="Arial" w:cs="Arial"/>
          <w:sz w:val="24"/>
          <w:szCs w:val="24"/>
          <w:u w:val="single"/>
        </w:rPr>
      </w:pPr>
    </w:p>
    <w:p w:rsidR="00475F25" w:rsidRDefault="00F02D3A" w:rsidP="00475F25">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Mr Shilengudwa</w:t>
      </w:r>
      <w:r w:rsidR="00475F25">
        <w:rPr>
          <w:rFonts w:ascii="Arial" w:hAnsi="Arial" w:cs="Arial"/>
          <w:sz w:val="24"/>
          <w:szCs w:val="24"/>
        </w:rPr>
        <w:t xml:space="preserve">, the first applicant, </w:t>
      </w:r>
      <w:r>
        <w:rPr>
          <w:rFonts w:ascii="Arial" w:hAnsi="Arial" w:cs="Arial"/>
          <w:sz w:val="24"/>
          <w:szCs w:val="24"/>
        </w:rPr>
        <w:t xml:space="preserve">deposed to the founding affidavit </w:t>
      </w:r>
      <w:r w:rsidR="00475F25">
        <w:rPr>
          <w:rFonts w:ascii="Arial" w:hAnsi="Arial" w:cs="Arial"/>
          <w:sz w:val="24"/>
          <w:szCs w:val="24"/>
        </w:rPr>
        <w:t xml:space="preserve">on behalf of </w:t>
      </w:r>
      <w:r w:rsidR="00257484">
        <w:rPr>
          <w:rFonts w:ascii="Arial" w:hAnsi="Arial" w:cs="Arial"/>
          <w:sz w:val="24"/>
          <w:szCs w:val="24"/>
        </w:rPr>
        <w:t xml:space="preserve">both </w:t>
      </w:r>
      <w:r w:rsidR="00475F25">
        <w:rPr>
          <w:rFonts w:ascii="Arial" w:hAnsi="Arial" w:cs="Arial"/>
          <w:sz w:val="24"/>
          <w:szCs w:val="24"/>
        </w:rPr>
        <w:t xml:space="preserve">applicants. </w:t>
      </w:r>
      <w:r w:rsidR="00257484">
        <w:rPr>
          <w:rFonts w:ascii="Arial" w:hAnsi="Arial" w:cs="Arial"/>
          <w:sz w:val="24"/>
          <w:szCs w:val="24"/>
        </w:rPr>
        <w:t xml:space="preserve">He </w:t>
      </w:r>
      <w:r w:rsidR="001E4A62">
        <w:rPr>
          <w:rFonts w:ascii="Arial" w:hAnsi="Arial" w:cs="Arial"/>
          <w:sz w:val="24"/>
          <w:szCs w:val="24"/>
        </w:rPr>
        <w:t>explained</w:t>
      </w:r>
      <w:r w:rsidR="00475F25">
        <w:rPr>
          <w:rFonts w:ascii="Arial" w:hAnsi="Arial" w:cs="Arial"/>
          <w:sz w:val="24"/>
          <w:szCs w:val="24"/>
        </w:rPr>
        <w:t xml:space="preserve"> that he was approached by a certain Mr Andima, who introduced himself as the CEO of BIPA</w:t>
      </w:r>
      <w:r w:rsidR="00330DE1">
        <w:rPr>
          <w:rFonts w:ascii="Arial" w:hAnsi="Arial" w:cs="Arial"/>
          <w:sz w:val="24"/>
          <w:szCs w:val="24"/>
        </w:rPr>
        <w:t xml:space="preserve"> (BIPA-21)</w:t>
      </w:r>
      <w:r w:rsidR="00475F25">
        <w:rPr>
          <w:rFonts w:ascii="Arial" w:hAnsi="Arial" w:cs="Arial"/>
          <w:sz w:val="24"/>
          <w:szCs w:val="24"/>
        </w:rPr>
        <w:t xml:space="preserve"> </w:t>
      </w:r>
      <w:r w:rsidR="001E4A62">
        <w:rPr>
          <w:rFonts w:ascii="Arial" w:hAnsi="Arial" w:cs="Arial"/>
          <w:sz w:val="24"/>
          <w:szCs w:val="24"/>
        </w:rPr>
        <w:t>and</w:t>
      </w:r>
      <w:r w:rsidR="00475F25">
        <w:rPr>
          <w:rFonts w:ascii="Arial" w:hAnsi="Arial" w:cs="Arial"/>
          <w:sz w:val="24"/>
          <w:szCs w:val="24"/>
        </w:rPr>
        <w:t xml:space="preserve"> informed him that BIPA</w:t>
      </w:r>
      <w:r w:rsidR="00330DE1">
        <w:rPr>
          <w:rFonts w:ascii="Arial" w:hAnsi="Arial" w:cs="Arial"/>
          <w:sz w:val="24"/>
          <w:szCs w:val="24"/>
        </w:rPr>
        <w:t>-21</w:t>
      </w:r>
      <w:r w:rsidR="00475F25">
        <w:rPr>
          <w:rFonts w:ascii="Arial" w:hAnsi="Arial" w:cs="Arial"/>
          <w:sz w:val="24"/>
          <w:szCs w:val="24"/>
        </w:rPr>
        <w:t xml:space="preserve"> was interested in buying the applicants’ business premises as the property was </w:t>
      </w:r>
      <w:r w:rsidR="003658BA">
        <w:rPr>
          <w:rFonts w:ascii="Arial" w:hAnsi="Arial" w:cs="Arial"/>
          <w:sz w:val="24"/>
          <w:szCs w:val="24"/>
        </w:rPr>
        <w:t>ideally</w:t>
      </w:r>
      <w:r w:rsidR="00475F25">
        <w:rPr>
          <w:rFonts w:ascii="Arial" w:hAnsi="Arial" w:cs="Arial"/>
          <w:sz w:val="24"/>
          <w:szCs w:val="24"/>
        </w:rPr>
        <w:t xml:space="preserve"> situated to be a satellite office. </w:t>
      </w:r>
    </w:p>
    <w:p w:rsidR="004A7E09" w:rsidRDefault="004A7E09" w:rsidP="004A7E09">
      <w:pPr>
        <w:pStyle w:val="ListParagraph"/>
        <w:spacing w:after="0" w:line="360" w:lineRule="auto"/>
        <w:ind w:left="0"/>
        <w:jc w:val="both"/>
        <w:rPr>
          <w:rFonts w:ascii="Arial" w:hAnsi="Arial" w:cs="Arial"/>
          <w:sz w:val="24"/>
          <w:szCs w:val="24"/>
        </w:rPr>
      </w:pPr>
    </w:p>
    <w:p w:rsidR="00475F25" w:rsidRDefault="00475F25" w:rsidP="00475F25">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w:t>
      </w:r>
      <w:r w:rsidR="001E4A62">
        <w:rPr>
          <w:rFonts w:ascii="Arial" w:hAnsi="Arial" w:cs="Arial"/>
          <w:sz w:val="24"/>
          <w:szCs w:val="24"/>
        </w:rPr>
        <w:t>stated</w:t>
      </w:r>
      <w:r>
        <w:rPr>
          <w:rFonts w:ascii="Arial" w:hAnsi="Arial" w:cs="Arial"/>
          <w:sz w:val="24"/>
          <w:szCs w:val="24"/>
        </w:rPr>
        <w:t xml:space="preserve"> that </w:t>
      </w:r>
      <w:r w:rsidR="00330DE1">
        <w:rPr>
          <w:rFonts w:ascii="Arial" w:hAnsi="Arial" w:cs="Arial"/>
          <w:sz w:val="24"/>
          <w:szCs w:val="24"/>
        </w:rPr>
        <w:t xml:space="preserve">the </w:t>
      </w:r>
      <w:r>
        <w:rPr>
          <w:rFonts w:ascii="Arial" w:hAnsi="Arial" w:cs="Arial"/>
          <w:sz w:val="24"/>
          <w:szCs w:val="24"/>
        </w:rPr>
        <w:t xml:space="preserve">sale price of the immovable property </w:t>
      </w:r>
      <w:r w:rsidR="00330DE1">
        <w:rPr>
          <w:rFonts w:ascii="Arial" w:hAnsi="Arial" w:cs="Arial"/>
          <w:sz w:val="24"/>
          <w:szCs w:val="24"/>
        </w:rPr>
        <w:t>was not negotiable</w:t>
      </w:r>
      <w:r w:rsidR="003658BA">
        <w:rPr>
          <w:rFonts w:ascii="Arial" w:hAnsi="Arial" w:cs="Arial"/>
          <w:sz w:val="24"/>
          <w:szCs w:val="24"/>
        </w:rPr>
        <w:t>,</w:t>
      </w:r>
      <w:r w:rsidR="00330DE1">
        <w:rPr>
          <w:rFonts w:ascii="Arial" w:hAnsi="Arial" w:cs="Arial"/>
          <w:sz w:val="24"/>
          <w:szCs w:val="24"/>
        </w:rPr>
        <w:t xml:space="preserve"> </w:t>
      </w:r>
      <w:r>
        <w:rPr>
          <w:rFonts w:ascii="Arial" w:hAnsi="Arial" w:cs="Arial"/>
          <w:sz w:val="24"/>
          <w:szCs w:val="24"/>
        </w:rPr>
        <w:t>and Mr Andima was informed that the asking price was N$18 000 000. The asking price</w:t>
      </w:r>
      <w:r w:rsidR="001E4A62">
        <w:rPr>
          <w:rFonts w:ascii="Arial" w:hAnsi="Arial" w:cs="Arial"/>
          <w:sz w:val="24"/>
          <w:szCs w:val="24"/>
        </w:rPr>
        <w:t xml:space="preserve"> of N$18 000 000</w:t>
      </w:r>
      <w:r>
        <w:rPr>
          <w:rFonts w:ascii="Arial" w:hAnsi="Arial" w:cs="Arial"/>
          <w:sz w:val="24"/>
          <w:szCs w:val="24"/>
        </w:rPr>
        <w:t xml:space="preserve"> was with reference to the running-concern value of the business and not the </w:t>
      </w:r>
      <w:r w:rsidR="003658BA">
        <w:rPr>
          <w:rFonts w:ascii="Arial" w:hAnsi="Arial" w:cs="Arial"/>
          <w:sz w:val="24"/>
          <w:szCs w:val="24"/>
        </w:rPr>
        <w:t>property’s market value</w:t>
      </w:r>
      <w:r>
        <w:rPr>
          <w:rFonts w:ascii="Arial" w:hAnsi="Arial" w:cs="Arial"/>
          <w:sz w:val="24"/>
          <w:szCs w:val="24"/>
        </w:rPr>
        <w:t xml:space="preserve">. </w:t>
      </w:r>
    </w:p>
    <w:p w:rsidR="004A7E09" w:rsidRPr="004A7E09" w:rsidRDefault="004A7E09" w:rsidP="004A7E09">
      <w:pPr>
        <w:pStyle w:val="ListParagraph"/>
        <w:rPr>
          <w:rFonts w:ascii="Arial" w:hAnsi="Arial" w:cs="Arial"/>
          <w:sz w:val="24"/>
          <w:szCs w:val="24"/>
        </w:rPr>
      </w:pPr>
    </w:p>
    <w:p w:rsidR="00475F25" w:rsidRDefault="00475F25" w:rsidP="003658BA">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At the time</w:t>
      </w:r>
      <w:r w:rsidR="003658BA">
        <w:rPr>
          <w:rFonts w:ascii="Arial" w:hAnsi="Arial" w:cs="Arial"/>
          <w:sz w:val="24"/>
          <w:szCs w:val="24"/>
        </w:rPr>
        <w:t>,</w:t>
      </w:r>
      <w:r>
        <w:rPr>
          <w:rFonts w:ascii="Arial" w:hAnsi="Arial" w:cs="Arial"/>
          <w:sz w:val="24"/>
          <w:szCs w:val="24"/>
        </w:rPr>
        <w:t xml:space="preserve"> BIPA</w:t>
      </w:r>
      <w:r w:rsidR="00330DE1">
        <w:rPr>
          <w:rFonts w:ascii="Arial" w:hAnsi="Arial" w:cs="Arial"/>
          <w:sz w:val="24"/>
          <w:szCs w:val="24"/>
        </w:rPr>
        <w:t>-21</w:t>
      </w:r>
      <w:r>
        <w:rPr>
          <w:rFonts w:ascii="Arial" w:hAnsi="Arial" w:cs="Arial"/>
          <w:sz w:val="24"/>
          <w:szCs w:val="24"/>
        </w:rPr>
        <w:t xml:space="preserve"> </w:t>
      </w:r>
      <w:r w:rsidR="003658BA">
        <w:rPr>
          <w:rFonts w:ascii="Arial" w:hAnsi="Arial" w:cs="Arial"/>
          <w:sz w:val="24"/>
          <w:szCs w:val="24"/>
        </w:rPr>
        <w:t>could not</w:t>
      </w:r>
      <w:r w:rsidR="003658BA" w:rsidRPr="003658BA">
        <w:rPr>
          <w:rFonts w:ascii="Arial" w:hAnsi="Arial" w:cs="Arial"/>
          <w:sz w:val="24"/>
          <w:szCs w:val="24"/>
        </w:rPr>
        <w:t xml:space="preserve"> afford the high asking price of the property. As</w:t>
      </w:r>
      <w:r>
        <w:rPr>
          <w:rFonts w:ascii="Arial" w:hAnsi="Arial" w:cs="Arial"/>
          <w:sz w:val="24"/>
          <w:szCs w:val="24"/>
        </w:rPr>
        <w:t xml:space="preserve"> an alternative</w:t>
      </w:r>
      <w:r w:rsidR="003658BA">
        <w:rPr>
          <w:rFonts w:ascii="Arial" w:hAnsi="Arial" w:cs="Arial"/>
          <w:sz w:val="24"/>
          <w:szCs w:val="24"/>
        </w:rPr>
        <w:t>,</w:t>
      </w:r>
      <w:r>
        <w:rPr>
          <w:rFonts w:ascii="Arial" w:hAnsi="Arial" w:cs="Arial"/>
          <w:sz w:val="24"/>
          <w:szCs w:val="24"/>
        </w:rPr>
        <w:t xml:space="preserve"> Mr Andima requested the applicants to consider leasing the property to BIPA with the option to buy. </w:t>
      </w:r>
      <w:r w:rsidR="003658BA">
        <w:rPr>
          <w:rFonts w:ascii="Arial" w:hAnsi="Arial" w:cs="Arial"/>
          <w:sz w:val="24"/>
          <w:szCs w:val="24"/>
        </w:rPr>
        <w:t>The</w:t>
      </w:r>
      <w:r>
        <w:rPr>
          <w:rFonts w:ascii="Arial" w:hAnsi="Arial" w:cs="Arial"/>
          <w:sz w:val="24"/>
          <w:szCs w:val="24"/>
        </w:rPr>
        <w:t xml:space="preserve"> applicants </w:t>
      </w:r>
      <w:r w:rsidR="003658BA">
        <w:rPr>
          <w:rFonts w:ascii="Arial" w:hAnsi="Arial" w:cs="Arial"/>
          <w:sz w:val="24"/>
          <w:szCs w:val="24"/>
        </w:rPr>
        <w:t>were amenable to leasing the property to BIPA-21,</w:t>
      </w:r>
      <w:r>
        <w:rPr>
          <w:rFonts w:ascii="Arial" w:hAnsi="Arial" w:cs="Arial"/>
          <w:sz w:val="24"/>
          <w:szCs w:val="24"/>
        </w:rPr>
        <w:t xml:space="preserve"> and the </w:t>
      </w:r>
      <w:r w:rsidR="00B76E57">
        <w:rPr>
          <w:rFonts w:ascii="Arial" w:hAnsi="Arial" w:cs="Arial"/>
          <w:sz w:val="24"/>
          <w:szCs w:val="24"/>
        </w:rPr>
        <w:t xml:space="preserve">parties entered into a lease agreement with a </w:t>
      </w:r>
      <w:r w:rsidR="001E4A62">
        <w:rPr>
          <w:rFonts w:ascii="Arial" w:hAnsi="Arial" w:cs="Arial"/>
          <w:sz w:val="24"/>
          <w:szCs w:val="24"/>
        </w:rPr>
        <w:t>five-year lease period. As a result, the applicants closed down their business</w:t>
      </w:r>
      <w:r w:rsidR="00232C34">
        <w:rPr>
          <w:rFonts w:ascii="Arial" w:hAnsi="Arial" w:cs="Arial"/>
          <w:sz w:val="24"/>
          <w:szCs w:val="24"/>
        </w:rPr>
        <w:t>,</w:t>
      </w:r>
      <w:r w:rsidR="001E4A62">
        <w:rPr>
          <w:rFonts w:ascii="Arial" w:hAnsi="Arial" w:cs="Arial"/>
          <w:sz w:val="24"/>
          <w:szCs w:val="24"/>
        </w:rPr>
        <w:t xml:space="preserve"> and BIPA</w:t>
      </w:r>
      <w:r w:rsidR="00330DE1">
        <w:rPr>
          <w:rFonts w:ascii="Arial" w:hAnsi="Arial" w:cs="Arial"/>
          <w:sz w:val="24"/>
          <w:szCs w:val="24"/>
        </w:rPr>
        <w:t>-21</w:t>
      </w:r>
      <w:r w:rsidR="001E4A62">
        <w:rPr>
          <w:rFonts w:ascii="Arial" w:hAnsi="Arial" w:cs="Arial"/>
          <w:sz w:val="24"/>
          <w:szCs w:val="24"/>
        </w:rPr>
        <w:t xml:space="preserve"> </w:t>
      </w:r>
      <w:r w:rsidR="003658BA">
        <w:rPr>
          <w:rFonts w:ascii="Arial" w:hAnsi="Arial" w:cs="Arial"/>
          <w:sz w:val="24"/>
          <w:szCs w:val="24"/>
        </w:rPr>
        <w:t>occupied</w:t>
      </w:r>
      <w:r w:rsidR="001E4A62">
        <w:rPr>
          <w:rFonts w:ascii="Arial" w:hAnsi="Arial" w:cs="Arial"/>
          <w:sz w:val="24"/>
          <w:szCs w:val="24"/>
        </w:rPr>
        <w:t xml:space="preserve"> the property in terms of the lease agreement </w:t>
      </w:r>
      <w:r w:rsidR="003658BA">
        <w:rPr>
          <w:rFonts w:ascii="Arial" w:hAnsi="Arial" w:cs="Arial"/>
          <w:sz w:val="24"/>
          <w:szCs w:val="24"/>
        </w:rPr>
        <w:t>from</w:t>
      </w:r>
      <w:r w:rsidR="001E4A62">
        <w:rPr>
          <w:rFonts w:ascii="Arial" w:hAnsi="Arial" w:cs="Arial"/>
          <w:sz w:val="24"/>
          <w:szCs w:val="24"/>
        </w:rPr>
        <w:t xml:space="preserve"> 2012.</w:t>
      </w:r>
    </w:p>
    <w:p w:rsidR="00232C34" w:rsidRPr="00232C34" w:rsidRDefault="00232C34" w:rsidP="00232C34">
      <w:pPr>
        <w:pStyle w:val="ListParagraph"/>
        <w:rPr>
          <w:rFonts w:ascii="Arial" w:hAnsi="Arial" w:cs="Arial"/>
          <w:sz w:val="24"/>
          <w:szCs w:val="24"/>
        </w:rPr>
      </w:pPr>
    </w:p>
    <w:p w:rsidR="003218EC" w:rsidRDefault="00232C34" w:rsidP="002D3BC4">
      <w:pPr>
        <w:pStyle w:val="ListParagraph"/>
        <w:numPr>
          <w:ilvl w:val="0"/>
          <w:numId w:val="1"/>
        </w:numPr>
        <w:spacing w:after="0" w:line="360" w:lineRule="auto"/>
        <w:ind w:left="0" w:firstLine="0"/>
        <w:jc w:val="both"/>
        <w:rPr>
          <w:rFonts w:ascii="Arial" w:hAnsi="Arial" w:cs="Arial"/>
          <w:sz w:val="24"/>
          <w:szCs w:val="24"/>
        </w:rPr>
      </w:pPr>
      <w:r w:rsidRPr="003218EC">
        <w:rPr>
          <w:rFonts w:ascii="Arial" w:hAnsi="Arial" w:cs="Arial"/>
          <w:sz w:val="24"/>
          <w:szCs w:val="24"/>
        </w:rPr>
        <w:t xml:space="preserve">During the </w:t>
      </w:r>
      <w:r w:rsidR="003658BA">
        <w:rPr>
          <w:rFonts w:ascii="Arial" w:hAnsi="Arial" w:cs="Arial"/>
          <w:sz w:val="24"/>
          <w:szCs w:val="24"/>
        </w:rPr>
        <w:t xml:space="preserve">lease </w:t>
      </w:r>
      <w:r w:rsidR="00D83EA0">
        <w:rPr>
          <w:rFonts w:ascii="Arial" w:hAnsi="Arial" w:cs="Arial"/>
          <w:sz w:val="24"/>
          <w:szCs w:val="24"/>
        </w:rPr>
        <w:t>period</w:t>
      </w:r>
      <w:r w:rsidR="003218EC" w:rsidRPr="003218EC">
        <w:rPr>
          <w:rFonts w:ascii="Arial" w:hAnsi="Arial" w:cs="Arial"/>
          <w:sz w:val="24"/>
          <w:szCs w:val="24"/>
        </w:rPr>
        <w:t>,</w:t>
      </w:r>
      <w:r w:rsidRPr="003218EC">
        <w:rPr>
          <w:rFonts w:ascii="Arial" w:hAnsi="Arial" w:cs="Arial"/>
          <w:sz w:val="24"/>
          <w:szCs w:val="24"/>
        </w:rPr>
        <w:t xml:space="preserve"> Mr Andima continued in his attempts to secure the immovable property on behalf of BIPA</w:t>
      </w:r>
      <w:r w:rsidR="00330DE1">
        <w:rPr>
          <w:rFonts w:ascii="Arial" w:hAnsi="Arial" w:cs="Arial"/>
          <w:sz w:val="24"/>
          <w:szCs w:val="24"/>
        </w:rPr>
        <w:t>-21</w:t>
      </w:r>
      <w:r w:rsidRPr="003218EC">
        <w:rPr>
          <w:rFonts w:ascii="Arial" w:hAnsi="Arial" w:cs="Arial"/>
          <w:sz w:val="24"/>
          <w:szCs w:val="24"/>
        </w:rPr>
        <w:t>. Towards the end of the lease period</w:t>
      </w:r>
      <w:r w:rsidR="003218EC" w:rsidRPr="003218EC">
        <w:rPr>
          <w:rFonts w:ascii="Arial" w:hAnsi="Arial" w:cs="Arial"/>
          <w:sz w:val="24"/>
          <w:szCs w:val="24"/>
        </w:rPr>
        <w:t>,</w:t>
      </w:r>
      <w:r w:rsidRPr="003218EC">
        <w:rPr>
          <w:rFonts w:ascii="Arial" w:hAnsi="Arial" w:cs="Arial"/>
          <w:sz w:val="24"/>
          <w:szCs w:val="24"/>
        </w:rPr>
        <w:t xml:space="preserve"> </w:t>
      </w:r>
      <w:r w:rsidR="003218EC" w:rsidRPr="003218EC">
        <w:rPr>
          <w:rFonts w:ascii="Arial" w:hAnsi="Arial" w:cs="Arial"/>
          <w:sz w:val="24"/>
          <w:szCs w:val="24"/>
        </w:rPr>
        <w:t>BIPA</w:t>
      </w:r>
      <w:r w:rsidR="00330DE1">
        <w:rPr>
          <w:rFonts w:ascii="Arial" w:hAnsi="Arial" w:cs="Arial"/>
          <w:sz w:val="24"/>
          <w:szCs w:val="24"/>
        </w:rPr>
        <w:t>-21</w:t>
      </w:r>
      <w:r w:rsidR="003218EC" w:rsidRPr="003218EC">
        <w:rPr>
          <w:rFonts w:ascii="Arial" w:hAnsi="Arial" w:cs="Arial"/>
          <w:sz w:val="24"/>
          <w:szCs w:val="24"/>
        </w:rPr>
        <w:t xml:space="preserve"> managed to source the funds from the line ministry, </w:t>
      </w:r>
      <w:r w:rsidR="002D3BC4">
        <w:rPr>
          <w:rFonts w:ascii="Arial" w:hAnsi="Arial" w:cs="Arial"/>
          <w:sz w:val="24"/>
          <w:szCs w:val="24"/>
        </w:rPr>
        <w:t>i.e.</w:t>
      </w:r>
      <w:r w:rsidR="003218EC" w:rsidRPr="003218EC">
        <w:rPr>
          <w:rFonts w:ascii="Arial" w:hAnsi="Arial" w:cs="Arial"/>
          <w:sz w:val="24"/>
          <w:szCs w:val="24"/>
        </w:rPr>
        <w:t xml:space="preserve"> the </w:t>
      </w:r>
      <w:r w:rsidR="002D3BC4">
        <w:rPr>
          <w:rFonts w:ascii="Arial" w:hAnsi="Arial" w:cs="Arial"/>
          <w:sz w:val="24"/>
          <w:szCs w:val="24"/>
        </w:rPr>
        <w:t>Ministry</w:t>
      </w:r>
      <w:r w:rsidR="003218EC" w:rsidRPr="003218EC">
        <w:rPr>
          <w:rFonts w:ascii="Arial" w:hAnsi="Arial" w:cs="Arial"/>
          <w:sz w:val="24"/>
          <w:szCs w:val="24"/>
        </w:rPr>
        <w:t xml:space="preserve"> of Finance</w:t>
      </w:r>
      <w:r w:rsidR="003218EC">
        <w:rPr>
          <w:rFonts w:ascii="Arial" w:hAnsi="Arial" w:cs="Arial"/>
          <w:sz w:val="24"/>
          <w:szCs w:val="24"/>
        </w:rPr>
        <w:t>, wh</w:t>
      </w:r>
      <w:r w:rsidR="00453CF2">
        <w:rPr>
          <w:rFonts w:ascii="Arial" w:hAnsi="Arial" w:cs="Arial"/>
          <w:sz w:val="24"/>
          <w:szCs w:val="24"/>
        </w:rPr>
        <w:t>ich</w:t>
      </w:r>
      <w:r w:rsidR="003218EC">
        <w:rPr>
          <w:rFonts w:ascii="Arial" w:hAnsi="Arial" w:cs="Arial"/>
          <w:sz w:val="24"/>
          <w:szCs w:val="24"/>
        </w:rPr>
        <w:t xml:space="preserve"> approved BIPA’s request and the immovable property was sold to BIPA</w:t>
      </w:r>
      <w:r w:rsidR="00330DE1">
        <w:rPr>
          <w:rFonts w:ascii="Arial" w:hAnsi="Arial" w:cs="Arial"/>
          <w:sz w:val="24"/>
          <w:szCs w:val="24"/>
        </w:rPr>
        <w:t>-21</w:t>
      </w:r>
      <w:r w:rsidR="003218EC">
        <w:rPr>
          <w:rFonts w:ascii="Arial" w:hAnsi="Arial" w:cs="Arial"/>
          <w:sz w:val="24"/>
          <w:szCs w:val="24"/>
        </w:rPr>
        <w:t xml:space="preserve"> for N$18 000 000.</w:t>
      </w:r>
    </w:p>
    <w:p w:rsidR="003218EC" w:rsidRPr="002D3BC4" w:rsidRDefault="003218EC" w:rsidP="002D3BC4">
      <w:pPr>
        <w:rPr>
          <w:rFonts w:ascii="Arial" w:hAnsi="Arial" w:cs="Arial"/>
          <w:sz w:val="24"/>
          <w:szCs w:val="24"/>
        </w:rPr>
      </w:pPr>
    </w:p>
    <w:p w:rsidR="00F02D3A" w:rsidRDefault="003218EC" w:rsidP="002D3BC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 The first applicant stated that </w:t>
      </w:r>
      <w:r w:rsidR="002D3BC4">
        <w:rPr>
          <w:rFonts w:ascii="Arial" w:hAnsi="Arial" w:cs="Arial"/>
          <w:sz w:val="24"/>
          <w:szCs w:val="24"/>
        </w:rPr>
        <w:t>unbeknownst to him</w:t>
      </w:r>
      <w:r w:rsidR="003658BA">
        <w:rPr>
          <w:rFonts w:ascii="Arial" w:hAnsi="Arial" w:cs="Arial"/>
          <w:sz w:val="24"/>
          <w:szCs w:val="24"/>
        </w:rPr>
        <w:t>,</w:t>
      </w:r>
      <w:r w:rsidR="002D3BC4">
        <w:rPr>
          <w:rFonts w:ascii="Arial" w:hAnsi="Arial" w:cs="Arial"/>
          <w:sz w:val="24"/>
          <w:szCs w:val="24"/>
        </w:rPr>
        <w:t xml:space="preserve"> the PG obtained a preservation order several </w:t>
      </w:r>
      <w:r>
        <w:rPr>
          <w:rFonts w:ascii="Arial" w:hAnsi="Arial" w:cs="Arial"/>
          <w:sz w:val="24"/>
          <w:szCs w:val="24"/>
        </w:rPr>
        <w:t xml:space="preserve">months after the </w:t>
      </w:r>
      <w:r w:rsidR="003658BA">
        <w:rPr>
          <w:rFonts w:ascii="Arial" w:hAnsi="Arial" w:cs="Arial"/>
          <w:sz w:val="24"/>
          <w:szCs w:val="24"/>
        </w:rPr>
        <w:t>finalisation</w:t>
      </w:r>
      <w:r>
        <w:rPr>
          <w:rFonts w:ascii="Arial" w:hAnsi="Arial" w:cs="Arial"/>
          <w:sz w:val="24"/>
          <w:szCs w:val="24"/>
        </w:rPr>
        <w:t xml:space="preserve"> of the sale and the transfer </w:t>
      </w:r>
      <w:r w:rsidR="002D3BC4">
        <w:rPr>
          <w:rFonts w:ascii="Arial" w:hAnsi="Arial" w:cs="Arial"/>
          <w:sz w:val="24"/>
          <w:szCs w:val="24"/>
        </w:rPr>
        <w:t>of the immovable property. The first applicant states that in the affidavits in the preservation and forfeiture proceedings</w:t>
      </w:r>
      <w:r w:rsidR="003658BA">
        <w:rPr>
          <w:rFonts w:ascii="Arial" w:hAnsi="Arial" w:cs="Arial"/>
          <w:sz w:val="24"/>
          <w:szCs w:val="24"/>
        </w:rPr>
        <w:t>,</w:t>
      </w:r>
      <w:r w:rsidR="002D3BC4">
        <w:rPr>
          <w:rFonts w:ascii="Arial" w:hAnsi="Arial" w:cs="Arial"/>
          <w:sz w:val="24"/>
          <w:szCs w:val="24"/>
        </w:rPr>
        <w:t xml:space="preserve"> the PG averred that:</w:t>
      </w:r>
    </w:p>
    <w:p w:rsidR="002D3BC4" w:rsidRPr="002D3BC4" w:rsidRDefault="002D3BC4" w:rsidP="002D3BC4">
      <w:pPr>
        <w:pStyle w:val="ListParagraph"/>
        <w:rPr>
          <w:rFonts w:ascii="Arial" w:hAnsi="Arial" w:cs="Arial"/>
          <w:sz w:val="24"/>
          <w:szCs w:val="24"/>
        </w:rPr>
      </w:pPr>
    </w:p>
    <w:p w:rsidR="002D3BC4" w:rsidRDefault="002D3BC4" w:rsidP="00080ADD">
      <w:pPr>
        <w:pStyle w:val="ListParagraph"/>
        <w:numPr>
          <w:ilvl w:val="0"/>
          <w:numId w:val="7"/>
        </w:numPr>
        <w:spacing w:after="0" w:line="360" w:lineRule="auto"/>
        <w:ind w:left="357" w:hanging="357"/>
        <w:jc w:val="both"/>
        <w:rPr>
          <w:rFonts w:ascii="Arial" w:hAnsi="Arial" w:cs="Arial"/>
          <w:sz w:val="24"/>
          <w:szCs w:val="24"/>
        </w:rPr>
      </w:pPr>
      <w:r>
        <w:rPr>
          <w:rFonts w:ascii="Arial" w:hAnsi="Arial" w:cs="Arial"/>
          <w:sz w:val="24"/>
          <w:szCs w:val="24"/>
        </w:rPr>
        <w:t xml:space="preserve">Mr Andima lacked </w:t>
      </w:r>
      <w:r w:rsidR="00330DE1">
        <w:rPr>
          <w:rFonts w:ascii="Arial" w:hAnsi="Arial" w:cs="Arial"/>
          <w:sz w:val="24"/>
          <w:szCs w:val="24"/>
        </w:rPr>
        <w:t xml:space="preserve">the </w:t>
      </w:r>
      <w:r>
        <w:rPr>
          <w:rFonts w:ascii="Arial" w:hAnsi="Arial" w:cs="Arial"/>
          <w:sz w:val="24"/>
          <w:szCs w:val="24"/>
        </w:rPr>
        <w:t xml:space="preserve">authority to conclude the sales agreement. </w:t>
      </w:r>
    </w:p>
    <w:p w:rsidR="002D3BC4" w:rsidRDefault="002D3BC4" w:rsidP="00080ADD">
      <w:pPr>
        <w:pStyle w:val="ListParagraph"/>
        <w:numPr>
          <w:ilvl w:val="0"/>
          <w:numId w:val="7"/>
        </w:numPr>
        <w:spacing w:after="0" w:line="360" w:lineRule="auto"/>
        <w:ind w:left="357" w:hanging="357"/>
        <w:jc w:val="both"/>
        <w:rPr>
          <w:rFonts w:ascii="Arial" w:hAnsi="Arial" w:cs="Arial"/>
          <w:sz w:val="24"/>
          <w:szCs w:val="24"/>
        </w:rPr>
      </w:pPr>
      <w:r>
        <w:rPr>
          <w:rFonts w:ascii="Arial" w:hAnsi="Arial" w:cs="Arial"/>
          <w:sz w:val="24"/>
          <w:szCs w:val="24"/>
        </w:rPr>
        <w:lastRenderedPageBreak/>
        <w:t xml:space="preserve">Mr Andima further lacked </w:t>
      </w:r>
      <w:r w:rsidR="00330DE1">
        <w:rPr>
          <w:rFonts w:ascii="Arial" w:hAnsi="Arial" w:cs="Arial"/>
          <w:sz w:val="24"/>
          <w:szCs w:val="24"/>
        </w:rPr>
        <w:t xml:space="preserve">the </w:t>
      </w:r>
      <w:r>
        <w:rPr>
          <w:rFonts w:ascii="Arial" w:hAnsi="Arial" w:cs="Arial"/>
          <w:sz w:val="24"/>
          <w:szCs w:val="24"/>
        </w:rPr>
        <w:t xml:space="preserve">authority to request </w:t>
      </w:r>
      <w:r w:rsidR="00330DE1">
        <w:rPr>
          <w:rFonts w:ascii="Arial" w:hAnsi="Arial" w:cs="Arial"/>
          <w:sz w:val="24"/>
          <w:szCs w:val="24"/>
        </w:rPr>
        <w:t xml:space="preserve">the </w:t>
      </w:r>
      <w:r>
        <w:rPr>
          <w:rFonts w:ascii="Arial" w:hAnsi="Arial" w:cs="Arial"/>
          <w:sz w:val="24"/>
          <w:szCs w:val="24"/>
        </w:rPr>
        <w:t>transfer of funds from the Ministry</w:t>
      </w:r>
      <w:r w:rsidR="003658BA">
        <w:rPr>
          <w:rFonts w:ascii="Arial" w:hAnsi="Arial" w:cs="Arial"/>
          <w:sz w:val="24"/>
          <w:szCs w:val="24"/>
        </w:rPr>
        <w:t>,</w:t>
      </w:r>
      <w:r>
        <w:rPr>
          <w:rFonts w:ascii="Arial" w:hAnsi="Arial" w:cs="Arial"/>
          <w:sz w:val="24"/>
          <w:szCs w:val="24"/>
        </w:rPr>
        <w:t xml:space="preserve"> and the Permanent Secretary of Finance lacked the authority to approve the transfer of the funds;</w:t>
      </w:r>
    </w:p>
    <w:p w:rsidR="002D3BC4" w:rsidRDefault="002D3BC4" w:rsidP="00080ADD">
      <w:pPr>
        <w:pStyle w:val="ListParagraph"/>
        <w:numPr>
          <w:ilvl w:val="0"/>
          <w:numId w:val="7"/>
        </w:numPr>
        <w:spacing w:after="0" w:line="360" w:lineRule="auto"/>
        <w:ind w:left="357" w:hanging="357"/>
        <w:jc w:val="both"/>
        <w:rPr>
          <w:rFonts w:ascii="Arial" w:hAnsi="Arial" w:cs="Arial"/>
          <w:sz w:val="24"/>
          <w:szCs w:val="24"/>
        </w:rPr>
      </w:pPr>
      <w:r>
        <w:rPr>
          <w:rFonts w:ascii="Arial" w:hAnsi="Arial" w:cs="Arial"/>
          <w:sz w:val="24"/>
          <w:szCs w:val="24"/>
        </w:rPr>
        <w:t>The transfer could not happen because BIPA-21 (the s 21 company as it then was) was terminated, deregistered and replaced by BIPA (the sixth respondent).</w:t>
      </w:r>
    </w:p>
    <w:p w:rsidR="002D3BC4" w:rsidRDefault="002D3BC4" w:rsidP="00080ADD">
      <w:pPr>
        <w:pStyle w:val="ListParagraph"/>
        <w:numPr>
          <w:ilvl w:val="0"/>
          <w:numId w:val="7"/>
        </w:numPr>
        <w:spacing w:after="0" w:line="360" w:lineRule="auto"/>
        <w:ind w:left="357" w:hanging="357"/>
        <w:jc w:val="both"/>
        <w:rPr>
          <w:rFonts w:ascii="Arial" w:hAnsi="Arial" w:cs="Arial"/>
          <w:sz w:val="24"/>
          <w:szCs w:val="24"/>
        </w:rPr>
      </w:pPr>
      <w:r>
        <w:rPr>
          <w:rFonts w:ascii="Arial" w:hAnsi="Arial" w:cs="Arial"/>
          <w:sz w:val="24"/>
          <w:szCs w:val="24"/>
        </w:rPr>
        <w:t xml:space="preserve">There </w:t>
      </w:r>
      <w:r w:rsidR="003658BA">
        <w:rPr>
          <w:rFonts w:ascii="Arial" w:hAnsi="Arial" w:cs="Arial"/>
          <w:sz w:val="24"/>
          <w:szCs w:val="24"/>
        </w:rPr>
        <w:t>were</w:t>
      </w:r>
      <w:r>
        <w:rPr>
          <w:rFonts w:ascii="Arial" w:hAnsi="Arial" w:cs="Arial"/>
          <w:sz w:val="24"/>
          <w:szCs w:val="24"/>
        </w:rPr>
        <w:t xml:space="preserve"> reasonable grounds to believe that the proceeds of the sale </w:t>
      </w:r>
      <w:r w:rsidR="003658BA">
        <w:rPr>
          <w:rFonts w:ascii="Arial" w:hAnsi="Arial" w:cs="Arial"/>
          <w:sz w:val="24"/>
          <w:szCs w:val="24"/>
        </w:rPr>
        <w:t>were</w:t>
      </w:r>
      <w:r>
        <w:rPr>
          <w:rFonts w:ascii="Arial" w:hAnsi="Arial" w:cs="Arial"/>
          <w:sz w:val="24"/>
          <w:szCs w:val="24"/>
        </w:rPr>
        <w:t xml:space="preserve"> proceeds of unlawful activities, i.e. </w:t>
      </w:r>
    </w:p>
    <w:p w:rsidR="002D3BC4" w:rsidRDefault="002D3BC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Fraud;</w:t>
      </w:r>
    </w:p>
    <w:p w:rsidR="00DE0B24" w:rsidRDefault="00DE0B2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Contravention of the Public Procurement Act 15 of 2015;</w:t>
      </w:r>
    </w:p>
    <w:p w:rsidR="002D3BC4" w:rsidRDefault="002D3BC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 xml:space="preserve">Offences in terms of the Public Procurement Act 15 </w:t>
      </w:r>
      <w:r w:rsidR="00DE0B24">
        <w:rPr>
          <w:rFonts w:ascii="Arial" w:hAnsi="Arial" w:cs="Arial"/>
          <w:sz w:val="24"/>
          <w:szCs w:val="24"/>
        </w:rPr>
        <w:t xml:space="preserve">of </w:t>
      </w:r>
      <w:r>
        <w:rPr>
          <w:rFonts w:ascii="Arial" w:hAnsi="Arial" w:cs="Arial"/>
          <w:sz w:val="24"/>
          <w:szCs w:val="24"/>
        </w:rPr>
        <w:t>2015;</w:t>
      </w:r>
    </w:p>
    <w:p w:rsidR="002D3BC4" w:rsidRDefault="00DE0B2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Contravention of the BIPA Act;</w:t>
      </w:r>
    </w:p>
    <w:p w:rsidR="00DE0B24" w:rsidRDefault="00DE0B2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 xml:space="preserve">Contravention of the State Finance Act 31 of 1991 and treasury instructions; </w:t>
      </w:r>
    </w:p>
    <w:p w:rsidR="00DE0B24" w:rsidRDefault="00DE0B2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Offences in terms of the Anti-Corruption Act 8 of 2003; and</w:t>
      </w:r>
    </w:p>
    <w:p w:rsidR="00DE0B24" w:rsidRDefault="00DE0B24" w:rsidP="002D3BC4">
      <w:pPr>
        <w:pStyle w:val="ListParagraph"/>
        <w:numPr>
          <w:ilvl w:val="1"/>
          <w:numId w:val="7"/>
        </w:numPr>
        <w:spacing w:after="0" w:line="360" w:lineRule="auto"/>
        <w:jc w:val="both"/>
        <w:rPr>
          <w:rFonts w:ascii="Arial" w:hAnsi="Arial" w:cs="Arial"/>
          <w:sz w:val="24"/>
          <w:szCs w:val="24"/>
        </w:rPr>
      </w:pPr>
      <w:r>
        <w:rPr>
          <w:rFonts w:ascii="Arial" w:hAnsi="Arial" w:cs="Arial"/>
          <w:sz w:val="24"/>
          <w:szCs w:val="24"/>
        </w:rPr>
        <w:t xml:space="preserve">Money Laundering in contravention of s 6 of POCA. </w:t>
      </w:r>
    </w:p>
    <w:p w:rsidR="003218EC" w:rsidRPr="003218EC" w:rsidRDefault="003218EC" w:rsidP="003218EC">
      <w:pPr>
        <w:pStyle w:val="ListParagraph"/>
        <w:rPr>
          <w:rFonts w:ascii="Arial" w:hAnsi="Arial" w:cs="Arial"/>
          <w:sz w:val="24"/>
          <w:szCs w:val="24"/>
        </w:rPr>
      </w:pPr>
    </w:p>
    <w:p w:rsidR="003218EC" w:rsidRDefault="00DE0B24" w:rsidP="002D3BC4">
      <w:pPr>
        <w:pStyle w:val="ListParagraph"/>
        <w:numPr>
          <w:ilvl w:val="0"/>
          <w:numId w:val="1"/>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stated that the PG failed to make </w:t>
      </w:r>
      <w:r w:rsidR="00D84552">
        <w:rPr>
          <w:rFonts w:ascii="Arial" w:hAnsi="Arial" w:cs="Arial"/>
          <w:sz w:val="24"/>
          <w:szCs w:val="24"/>
        </w:rPr>
        <w:t xml:space="preserve">out </w:t>
      </w:r>
      <w:r>
        <w:rPr>
          <w:rFonts w:ascii="Arial" w:hAnsi="Arial" w:cs="Arial"/>
          <w:sz w:val="24"/>
          <w:szCs w:val="24"/>
        </w:rPr>
        <w:t>a case for the relief sought in the POCA matter. In support of his contention</w:t>
      </w:r>
      <w:r w:rsidR="00DD6330">
        <w:rPr>
          <w:rFonts w:ascii="Arial" w:hAnsi="Arial" w:cs="Arial"/>
          <w:sz w:val="24"/>
          <w:szCs w:val="24"/>
        </w:rPr>
        <w:t>,</w:t>
      </w:r>
      <w:r>
        <w:rPr>
          <w:rFonts w:ascii="Arial" w:hAnsi="Arial" w:cs="Arial"/>
          <w:sz w:val="24"/>
          <w:szCs w:val="24"/>
        </w:rPr>
        <w:t xml:space="preserve"> the </w:t>
      </w:r>
      <w:r w:rsidR="00DD6330">
        <w:rPr>
          <w:rFonts w:ascii="Arial" w:hAnsi="Arial" w:cs="Arial"/>
          <w:sz w:val="24"/>
          <w:szCs w:val="24"/>
        </w:rPr>
        <w:t>first applicant states in summary as follows:</w:t>
      </w:r>
    </w:p>
    <w:p w:rsidR="00DD6330" w:rsidRDefault="00DD6330" w:rsidP="00080AD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 xml:space="preserve">He was only aware of BIPA as </w:t>
      </w:r>
      <w:r w:rsidR="00FF0070">
        <w:rPr>
          <w:rFonts w:ascii="Arial" w:hAnsi="Arial" w:cs="Arial"/>
          <w:sz w:val="24"/>
          <w:szCs w:val="24"/>
        </w:rPr>
        <w:t>an</w:t>
      </w:r>
      <w:r>
        <w:rPr>
          <w:rFonts w:ascii="Arial" w:hAnsi="Arial" w:cs="Arial"/>
          <w:sz w:val="24"/>
          <w:szCs w:val="24"/>
        </w:rPr>
        <w:t xml:space="preserve"> s 21 company, and if Mr Andima did not have the authority to conclude the transaction</w:t>
      </w:r>
      <w:r w:rsidR="002055C3">
        <w:rPr>
          <w:rFonts w:ascii="Arial" w:hAnsi="Arial" w:cs="Arial"/>
          <w:sz w:val="24"/>
          <w:szCs w:val="24"/>
        </w:rPr>
        <w:t>,</w:t>
      </w:r>
      <w:r>
        <w:rPr>
          <w:rFonts w:ascii="Arial" w:hAnsi="Arial" w:cs="Arial"/>
          <w:sz w:val="24"/>
          <w:szCs w:val="24"/>
        </w:rPr>
        <w:t xml:space="preserve"> then neither he nor his wife </w:t>
      </w:r>
      <w:r w:rsidR="00B14E8D">
        <w:rPr>
          <w:rFonts w:ascii="Arial" w:hAnsi="Arial" w:cs="Arial"/>
          <w:sz w:val="24"/>
          <w:szCs w:val="24"/>
        </w:rPr>
        <w:t>were</w:t>
      </w:r>
      <w:r>
        <w:rPr>
          <w:rFonts w:ascii="Arial" w:hAnsi="Arial" w:cs="Arial"/>
          <w:sz w:val="24"/>
          <w:szCs w:val="24"/>
        </w:rPr>
        <w:t xml:space="preserve"> aware of his lack of authority;</w:t>
      </w:r>
    </w:p>
    <w:p w:rsidR="00DD6330" w:rsidRDefault="002055C3" w:rsidP="00080AD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T</w:t>
      </w:r>
      <w:r w:rsidR="00DD6330">
        <w:rPr>
          <w:rFonts w:ascii="Arial" w:hAnsi="Arial" w:cs="Arial"/>
          <w:sz w:val="24"/>
          <w:szCs w:val="24"/>
        </w:rPr>
        <w:t>he facts relied upon by the PG for her case</w:t>
      </w:r>
      <w:r w:rsidR="00FF0070" w:rsidRPr="00FF0070">
        <w:rPr>
          <w:rFonts w:ascii="Arial" w:hAnsi="Arial" w:cs="Arial"/>
          <w:sz w:val="24"/>
          <w:szCs w:val="24"/>
        </w:rPr>
        <w:t xml:space="preserve"> fall outside the applicants' knowledge, even if those facts were </w:t>
      </w:r>
      <w:r w:rsidR="00DD6330">
        <w:rPr>
          <w:rFonts w:ascii="Arial" w:hAnsi="Arial" w:cs="Arial"/>
          <w:sz w:val="24"/>
          <w:szCs w:val="24"/>
        </w:rPr>
        <w:t xml:space="preserve">true. </w:t>
      </w:r>
    </w:p>
    <w:p w:rsidR="00DD6330" w:rsidRDefault="00FF0070" w:rsidP="00080AD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Mr Andima represented BIPA-21</w:t>
      </w:r>
      <w:r w:rsidR="00DD6330">
        <w:rPr>
          <w:rFonts w:ascii="Arial" w:hAnsi="Arial" w:cs="Arial"/>
          <w:sz w:val="24"/>
          <w:szCs w:val="24"/>
        </w:rPr>
        <w:t xml:space="preserve"> throughout all negotiations and </w:t>
      </w:r>
      <w:r w:rsidR="00D84552">
        <w:rPr>
          <w:rFonts w:ascii="Arial" w:hAnsi="Arial" w:cs="Arial"/>
          <w:sz w:val="24"/>
          <w:szCs w:val="24"/>
        </w:rPr>
        <w:t xml:space="preserve">the </w:t>
      </w:r>
      <w:r w:rsidR="00DD6330">
        <w:rPr>
          <w:rFonts w:ascii="Arial" w:hAnsi="Arial" w:cs="Arial"/>
          <w:sz w:val="24"/>
          <w:szCs w:val="24"/>
        </w:rPr>
        <w:t>agreements concluded</w:t>
      </w:r>
      <w:r w:rsidR="00330DE1">
        <w:rPr>
          <w:rFonts w:ascii="Arial" w:hAnsi="Arial" w:cs="Arial"/>
          <w:sz w:val="24"/>
          <w:szCs w:val="24"/>
        </w:rPr>
        <w:t>,</w:t>
      </w:r>
      <w:r w:rsidR="00DD6330">
        <w:rPr>
          <w:rFonts w:ascii="Arial" w:hAnsi="Arial" w:cs="Arial"/>
          <w:sz w:val="24"/>
          <w:szCs w:val="24"/>
        </w:rPr>
        <w:t xml:space="preserve"> and Mr Andima signed all the relevant documentation on behalf of BIPA</w:t>
      </w:r>
      <w:r w:rsidR="00330DE1">
        <w:rPr>
          <w:rFonts w:ascii="Arial" w:hAnsi="Arial" w:cs="Arial"/>
          <w:sz w:val="24"/>
          <w:szCs w:val="24"/>
        </w:rPr>
        <w:t>-21.</w:t>
      </w:r>
    </w:p>
    <w:p w:rsidR="00330DE1" w:rsidRDefault="00330DE1" w:rsidP="00080ADD">
      <w:pPr>
        <w:pStyle w:val="ListParagraph"/>
        <w:numPr>
          <w:ilvl w:val="0"/>
          <w:numId w:val="8"/>
        </w:numPr>
        <w:spacing w:after="0" w:line="360" w:lineRule="auto"/>
        <w:ind w:left="0" w:firstLine="0"/>
        <w:jc w:val="both"/>
        <w:rPr>
          <w:rFonts w:ascii="Arial" w:hAnsi="Arial" w:cs="Arial"/>
          <w:sz w:val="24"/>
          <w:szCs w:val="24"/>
        </w:rPr>
      </w:pPr>
      <w:r>
        <w:rPr>
          <w:rFonts w:ascii="Arial" w:hAnsi="Arial" w:cs="Arial"/>
          <w:sz w:val="24"/>
          <w:szCs w:val="24"/>
        </w:rPr>
        <w:t xml:space="preserve">The Permanent Secretary of the Ministry of Finance provided Mr Andima with a letter of </w:t>
      </w:r>
      <w:r w:rsidR="002055C3">
        <w:rPr>
          <w:rFonts w:ascii="Arial" w:hAnsi="Arial" w:cs="Arial"/>
          <w:sz w:val="24"/>
          <w:szCs w:val="24"/>
        </w:rPr>
        <w:t>authorisation</w:t>
      </w:r>
      <w:r>
        <w:rPr>
          <w:rFonts w:ascii="Arial" w:hAnsi="Arial" w:cs="Arial"/>
          <w:sz w:val="24"/>
          <w:szCs w:val="24"/>
        </w:rPr>
        <w:t xml:space="preserve"> for the payment of the purchase price. </w:t>
      </w:r>
      <w:r w:rsidR="002055C3">
        <w:rPr>
          <w:rFonts w:ascii="Arial" w:hAnsi="Arial" w:cs="Arial"/>
          <w:sz w:val="24"/>
          <w:szCs w:val="24"/>
        </w:rPr>
        <w:t>Accordingly, the</w:t>
      </w:r>
      <w:r>
        <w:rPr>
          <w:rFonts w:ascii="Arial" w:hAnsi="Arial" w:cs="Arial"/>
          <w:sz w:val="24"/>
          <w:szCs w:val="24"/>
        </w:rPr>
        <w:t xml:space="preserve"> payment was made on behalf of BIPA-21.</w:t>
      </w:r>
    </w:p>
    <w:p w:rsidR="003218EC" w:rsidRDefault="00330DE1" w:rsidP="00080ADD">
      <w:pPr>
        <w:pStyle w:val="ListParagraph"/>
        <w:numPr>
          <w:ilvl w:val="0"/>
          <w:numId w:val="8"/>
        </w:numPr>
        <w:spacing w:after="0" w:line="360" w:lineRule="auto"/>
        <w:ind w:left="0" w:firstLine="0"/>
        <w:jc w:val="both"/>
        <w:rPr>
          <w:rFonts w:ascii="Arial" w:hAnsi="Arial" w:cs="Arial"/>
          <w:sz w:val="24"/>
          <w:szCs w:val="24"/>
        </w:rPr>
      </w:pPr>
      <w:r w:rsidRPr="00330DE1">
        <w:rPr>
          <w:rFonts w:ascii="Arial" w:hAnsi="Arial" w:cs="Arial"/>
          <w:sz w:val="24"/>
          <w:szCs w:val="24"/>
        </w:rPr>
        <w:t>Therefore neither the applicants can be linked to any information which could lead to a conclusion that they were involved in unlawful activities.</w:t>
      </w:r>
    </w:p>
    <w:p w:rsidR="00330DE1" w:rsidRDefault="00330DE1" w:rsidP="00080ADD">
      <w:pPr>
        <w:spacing w:after="0" w:line="360" w:lineRule="auto"/>
        <w:jc w:val="both"/>
        <w:rPr>
          <w:rFonts w:ascii="Arial" w:hAnsi="Arial" w:cs="Arial"/>
          <w:sz w:val="24"/>
          <w:szCs w:val="24"/>
        </w:rPr>
      </w:pPr>
    </w:p>
    <w:p w:rsidR="004D7319" w:rsidRPr="00F43587" w:rsidRDefault="002D2103" w:rsidP="004B037C">
      <w:pPr>
        <w:pStyle w:val="ListParagraph"/>
        <w:numPr>
          <w:ilvl w:val="0"/>
          <w:numId w:val="10"/>
        </w:numPr>
        <w:spacing w:after="0" w:line="360" w:lineRule="auto"/>
        <w:ind w:left="0" w:firstLine="0"/>
        <w:jc w:val="both"/>
        <w:rPr>
          <w:rFonts w:ascii="Arial" w:hAnsi="Arial" w:cs="Arial"/>
          <w:sz w:val="24"/>
          <w:szCs w:val="24"/>
        </w:rPr>
      </w:pPr>
      <w:r w:rsidRPr="00F43587">
        <w:rPr>
          <w:rFonts w:ascii="Arial" w:hAnsi="Arial" w:cs="Arial"/>
          <w:sz w:val="24"/>
          <w:szCs w:val="24"/>
        </w:rPr>
        <w:lastRenderedPageBreak/>
        <w:t>In the current application, the first applicant referred to the PG's founding affidavit</w:t>
      </w:r>
      <w:r w:rsidR="0000009F">
        <w:rPr>
          <w:rFonts w:ascii="Arial" w:hAnsi="Arial" w:cs="Arial"/>
          <w:sz w:val="24"/>
          <w:szCs w:val="24"/>
        </w:rPr>
        <w:t xml:space="preserve"> in the preservation application</w:t>
      </w:r>
      <w:r w:rsidRPr="00F43587">
        <w:rPr>
          <w:rFonts w:ascii="Arial" w:hAnsi="Arial" w:cs="Arial"/>
          <w:sz w:val="24"/>
          <w:szCs w:val="24"/>
        </w:rPr>
        <w:t>, where the PG raised concerns about the property valuation and alleged overpayment of N$13</w:t>
      </w:r>
      <w:r w:rsidR="00394AF6">
        <w:rPr>
          <w:rFonts w:ascii="Arial" w:hAnsi="Arial" w:cs="Arial"/>
          <w:sz w:val="24"/>
          <w:szCs w:val="24"/>
        </w:rPr>
        <w:t> </w:t>
      </w:r>
      <w:r w:rsidRPr="00F43587">
        <w:rPr>
          <w:rFonts w:ascii="Arial" w:hAnsi="Arial" w:cs="Arial"/>
          <w:sz w:val="24"/>
          <w:szCs w:val="24"/>
        </w:rPr>
        <w:t>700</w:t>
      </w:r>
      <w:r w:rsidR="00394AF6">
        <w:rPr>
          <w:rFonts w:ascii="Arial" w:hAnsi="Arial" w:cs="Arial"/>
          <w:sz w:val="24"/>
          <w:szCs w:val="24"/>
        </w:rPr>
        <w:t xml:space="preserve"> </w:t>
      </w:r>
      <w:r w:rsidRPr="00F43587">
        <w:rPr>
          <w:rFonts w:ascii="Arial" w:hAnsi="Arial" w:cs="Arial"/>
          <w:sz w:val="24"/>
          <w:szCs w:val="24"/>
        </w:rPr>
        <w:t xml:space="preserve">000. </w:t>
      </w:r>
      <w:r w:rsidR="00762BE8" w:rsidRPr="00F43587">
        <w:rPr>
          <w:rFonts w:ascii="Arial" w:hAnsi="Arial" w:cs="Arial"/>
          <w:sz w:val="24"/>
          <w:szCs w:val="24"/>
        </w:rPr>
        <w:t xml:space="preserve"> The </w:t>
      </w:r>
      <w:r w:rsidR="005D389E" w:rsidRPr="00F43587">
        <w:rPr>
          <w:rFonts w:ascii="Arial" w:hAnsi="Arial" w:cs="Arial"/>
          <w:sz w:val="24"/>
          <w:szCs w:val="24"/>
        </w:rPr>
        <w:t xml:space="preserve">first applicant stated that </w:t>
      </w:r>
      <w:r w:rsidR="00762BE8" w:rsidRPr="00F43587">
        <w:rPr>
          <w:rFonts w:ascii="Arial" w:hAnsi="Arial" w:cs="Arial"/>
          <w:sz w:val="24"/>
          <w:szCs w:val="24"/>
        </w:rPr>
        <w:t xml:space="preserve">PG relied on s 1 of POCA </w:t>
      </w:r>
      <w:r w:rsidR="005D389E" w:rsidRPr="00F43587">
        <w:rPr>
          <w:rFonts w:ascii="Arial" w:hAnsi="Arial" w:cs="Arial"/>
          <w:sz w:val="24"/>
          <w:szCs w:val="24"/>
        </w:rPr>
        <w:t xml:space="preserve">to obtain a preservation order </w:t>
      </w:r>
      <w:r w:rsidRPr="00F43587">
        <w:rPr>
          <w:rFonts w:ascii="Arial" w:hAnsi="Arial" w:cs="Arial"/>
          <w:sz w:val="24"/>
          <w:szCs w:val="24"/>
        </w:rPr>
        <w:t>which included the funds in his Bank Windhoek account</w:t>
      </w:r>
      <w:r w:rsidR="003658BA">
        <w:rPr>
          <w:rFonts w:ascii="Arial" w:hAnsi="Arial" w:cs="Arial"/>
          <w:sz w:val="24"/>
          <w:szCs w:val="24"/>
        </w:rPr>
        <w:t>,</w:t>
      </w:r>
      <w:r w:rsidRPr="00F43587">
        <w:rPr>
          <w:rFonts w:ascii="Arial" w:hAnsi="Arial" w:cs="Arial"/>
          <w:sz w:val="24"/>
          <w:szCs w:val="24"/>
        </w:rPr>
        <w:t xml:space="preserve"> </w:t>
      </w:r>
      <w:r w:rsidR="003658BA">
        <w:rPr>
          <w:rFonts w:ascii="Arial" w:hAnsi="Arial" w:cs="Arial"/>
          <w:sz w:val="24"/>
          <w:szCs w:val="24"/>
        </w:rPr>
        <w:t>before</w:t>
      </w:r>
      <w:r w:rsidRPr="00F43587">
        <w:rPr>
          <w:rFonts w:ascii="Arial" w:hAnsi="Arial" w:cs="Arial"/>
          <w:sz w:val="24"/>
          <w:szCs w:val="24"/>
        </w:rPr>
        <w:t xml:space="preserve"> the proceeds of the sale of the property </w:t>
      </w:r>
      <w:r w:rsidR="003658BA">
        <w:rPr>
          <w:rFonts w:ascii="Arial" w:hAnsi="Arial" w:cs="Arial"/>
          <w:sz w:val="24"/>
          <w:szCs w:val="24"/>
        </w:rPr>
        <w:t>were</w:t>
      </w:r>
      <w:r w:rsidRPr="00F43587">
        <w:rPr>
          <w:rFonts w:ascii="Arial" w:hAnsi="Arial" w:cs="Arial"/>
          <w:sz w:val="24"/>
          <w:szCs w:val="24"/>
        </w:rPr>
        <w:t xml:space="preserve"> deposited in that account. The PG alleged that the N$16 982 956.16 paid into his account constituted proceeds of unlawful activities, which then comingled with the amount already in the account. </w:t>
      </w:r>
      <w:r w:rsidR="004D7319" w:rsidRPr="00F43587">
        <w:rPr>
          <w:rFonts w:ascii="Arial" w:hAnsi="Arial" w:cs="Arial"/>
          <w:sz w:val="24"/>
          <w:szCs w:val="24"/>
        </w:rPr>
        <w:t>As a result, the PG attempts to make out a case that the remainder of the balance in the Bank Windhoek account also constitutes the proceed</w:t>
      </w:r>
      <w:r w:rsidR="00394AF6">
        <w:rPr>
          <w:rFonts w:ascii="Arial" w:hAnsi="Arial" w:cs="Arial"/>
          <w:sz w:val="24"/>
          <w:szCs w:val="24"/>
        </w:rPr>
        <w:t>s</w:t>
      </w:r>
      <w:r w:rsidR="004D7319" w:rsidRPr="00F43587">
        <w:rPr>
          <w:rFonts w:ascii="Arial" w:hAnsi="Arial" w:cs="Arial"/>
          <w:sz w:val="24"/>
          <w:szCs w:val="24"/>
        </w:rPr>
        <w:t xml:space="preserve"> of unlawful payment of the purchase price of the immovable property as the definition of proceeds of unlawful activities includes money that mingled with proceeds of unlawful activities. </w:t>
      </w:r>
    </w:p>
    <w:p w:rsidR="004D7319" w:rsidRPr="004D7319" w:rsidRDefault="004D7319" w:rsidP="004D7319">
      <w:pPr>
        <w:pStyle w:val="ListParagraph"/>
        <w:rPr>
          <w:rFonts w:ascii="Arial" w:hAnsi="Arial" w:cs="Arial"/>
          <w:sz w:val="24"/>
          <w:szCs w:val="24"/>
        </w:rPr>
      </w:pPr>
    </w:p>
    <w:p w:rsidR="00F43587" w:rsidRDefault="004D7319" w:rsidP="00F43587">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accepts that for the current application, the court may assume that </w:t>
      </w:r>
      <w:r w:rsidR="00762DBA">
        <w:rPr>
          <w:rFonts w:ascii="Arial" w:hAnsi="Arial" w:cs="Arial"/>
          <w:sz w:val="24"/>
          <w:szCs w:val="24"/>
        </w:rPr>
        <w:t xml:space="preserve">the </w:t>
      </w:r>
      <w:r>
        <w:rPr>
          <w:rFonts w:ascii="Arial" w:hAnsi="Arial" w:cs="Arial"/>
          <w:sz w:val="24"/>
          <w:szCs w:val="24"/>
        </w:rPr>
        <w:t xml:space="preserve">N$16 982 956.16 received into his account is proceeds of unlawful activities, although </w:t>
      </w:r>
      <w:r w:rsidR="009874FE">
        <w:rPr>
          <w:rFonts w:ascii="Arial" w:hAnsi="Arial" w:cs="Arial"/>
          <w:sz w:val="24"/>
          <w:szCs w:val="24"/>
        </w:rPr>
        <w:t>that</w:t>
      </w:r>
      <w:r>
        <w:rPr>
          <w:rFonts w:ascii="Arial" w:hAnsi="Arial" w:cs="Arial"/>
          <w:sz w:val="24"/>
          <w:szCs w:val="24"/>
        </w:rPr>
        <w:t xml:space="preserve"> remains disputed. </w:t>
      </w:r>
      <w:r w:rsidR="00F43587">
        <w:rPr>
          <w:rFonts w:ascii="Arial" w:hAnsi="Arial" w:cs="Arial"/>
          <w:sz w:val="24"/>
          <w:szCs w:val="24"/>
        </w:rPr>
        <w:t>The first applicant stated that the PG preserved and seeks forfeiture of all his funds</w:t>
      </w:r>
      <w:r w:rsidR="00762DBA">
        <w:rPr>
          <w:rFonts w:ascii="Arial" w:hAnsi="Arial" w:cs="Arial"/>
          <w:sz w:val="24"/>
          <w:szCs w:val="24"/>
        </w:rPr>
        <w:t>. However,</w:t>
      </w:r>
      <w:r w:rsidR="00F43587">
        <w:rPr>
          <w:rFonts w:ascii="Arial" w:hAnsi="Arial" w:cs="Arial"/>
          <w:sz w:val="24"/>
          <w:szCs w:val="24"/>
        </w:rPr>
        <w:t xml:space="preserve"> as </w:t>
      </w:r>
      <w:r w:rsidR="00834F8D">
        <w:rPr>
          <w:rFonts w:ascii="Arial" w:hAnsi="Arial" w:cs="Arial"/>
          <w:sz w:val="24"/>
          <w:szCs w:val="24"/>
        </w:rPr>
        <w:t>of</w:t>
      </w:r>
      <w:r w:rsidR="00F43587">
        <w:rPr>
          <w:rFonts w:ascii="Arial" w:hAnsi="Arial" w:cs="Arial"/>
          <w:sz w:val="24"/>
          <w:szCs w:val="24"/>
        </w:rPr>
        <w:t xml:space="preserve"> June 2020</w:t>
      </w:r>
      <w:r w:rsidR="00762DBA">
        <w:rPr>
          <w:rFonts w:ascii="Arial" w:hAnsi="Arial" w:cs="Arial"/>
          <w:sz w:val="24"/>
          <w:szCs w:val="24"/>
        </w:rPr>
        <w:t>,</w:t>
      </w:r>
      <w:r w:rsidR="00F43587">
        <w:rPr>
          <w:rFonts w:ascii="Arial" w:hAnsi="Arial" w:cs="Arial"/>
          <w:sz w:val="24"/>
          <w:szCs w:val="24"/>
        </w:rPr>
        <w:t xml:space="preserve"> the funds in the respective accounts exceeded the purchase price of N$18 000 000 by N$2 778 482.75. </w:t>
      </w:r>
      <w:r w:rsidR="00762DBA">
        <w:rPr>
          <w:rFonts w:ascii="Arial" w:hAnsi="Arial" w:cs="Arial"/>
          <w:sz w:val="24"/>
          <w:szCs w:val="24"/>
        </w:rPr>
        <w:t>Therefore, the</w:t>
      </w:r>
      <w:r w:rsidR="00F43587">
        <w:rPr>
          <w:rFonts w:ascii="Arial" w:hAnsi="Arial" w:cs="Arial"/>
          <w:sz w:val="24"/>
          <w:szCs w:val="24"/>
        </w:rPr>
        <w:t xml:space="preserve"> first applicant submitted that the PG cannot and does not allege that these excess funds </w:t>
      </w:r>
      <w:r w:rsidR="00762DBA">
        <w:rPr>
          <w:rFonts w:ascii="Arial" w:hAnsi="Arial" w:cs="Arial"/>
          <w:sz w:val="24"/>
          <w:szCs w:val="24"/>
        </w:rPr>
        <w:t>are</w:t>
      </w:r>
      <w:r w:rsidR="00F43587">
        <w:rPr>
          <w:rFonts w:ascii="Arial" w:hAnsi="Arial" w:cs="Arial"/>
          <w:sz w:val="24"/>
          <w:szCs w:val="24"/>
        </w:rPr>
        <w:t xml:space="preserve"> the actual ‘proceeds of unlawful activities’.</w:t>
      </w:r>
    </w:p>
    <w:p w:rsidR="00F43587" w:rsidRPr="00F43587" w:rsidRDefault="00F43587" w:rsidP="00F43587">
      <w:pPr>
        <w:pStyle w:val="ListParagraph"/>
        <w:rPr>
          <w:rFonts w:ascii="Arial" w:hAnsi="Arial" w:cs="Arial"/>
          <w:sz w:val="24"/>
          <w:szCs w:val="24"/>
        </w:rPr>
      </w:pPr>
    </w:p>
    <w:p w:rsidR="00F43587" w:rsidRDefault="00F43587" w:rsidP="00762DBA">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submitted that </w:t>
      </w:r>
      <w:r w:rsidR="00762DBA" w:rsidRPr="00762DBA">
        <w:rPr>
          <w:rFonts w:ascii="Arial" w:hAnsi="Arial" w:cs="Arial"/>
          <w:sz w:val="24"/>
          <w:szCs w:val="24"/>
        </w:rPr>
        <w:t xml:space="preserve">the definition of unlawful activities as set out in s 1 of POCA </w:t>
      </w:r>
      <w:r>
        <w:rPr>
          <w:rFonts w:ascii="Arial" w:hAnsi="Arial" w:cs="Arial"/>
          <w:sz w:val="24"/>
          <w:szCs w:val="24"/>
        </w:rPr>
        <w:t>is challenged as being unconstitutional. The first respondent submitted that the PG’s interpretation does not distinguish be</w:t>
      </w:r>
      <w:r w:rsidR="002877AD">
        <w:rPr>
          <w:rFonts w:ascii="Arial" w:hAnsi="Arial" w:cs="Arial"/>
          <w:sz w:val="24"/>
          <w:szCs w:val="24"/>
        </w:rPr>
        <w:t>t</w:t>
      </w:r>
      <w:r>
        <w:rPr>
          <w:rFonts w:ascii="Arial" w:hAnsi="Arial" w:cs="Arial"/>
          <w:sz w:val="24"/>
          <w:szCs w:val="24"/>
        </w:rPr>
        <w:t xml:space="preserve">ween </w:t>
      </w:r>
      <w:r w:rsidR="002877AD">
        <w:rPr>
          <w:rFonts w:ascii="Arial" w:hAnsi="Arial" w:cs="Arial"/>
          <w:sz w:val="24"/>
          <w:szCs w:val="24"/>
        </w:rPr>
        <w:t>the unlawful and lawful funds in the applicant’s account</w:t>
      </w:r>
      <w:r w:rsidR="00762DBA">
        <w:rPr>
          <w:rFonts w:ascii="Arial" w:hAnsi="Arial" w:cs="Arial"/>
          <w:sz w:val="24"/>
          <w:szCs w:val="24"/>
        </w:rPr>
        <w:t>. H</w:t>
      </w:r>
      <w:r w:rsidR="002877AD">
        <w:rPr>
          <w:rFonts w:ascii="Arial" w:hAnsi="Arial" w:cs="Arial"/>
          <w:sz w:val="24"/>
          <w:szCs w:val="24"/>
        </w:rPr>
        <w:t>owever, on plain interpretation</w:t>
      </w:r>
      <w:r w:rsidR="00762DBA">
        <w:rPr>
          <w:rFonts w:ascii="Arial" w:hAnsi="Arial" w:cs="Arial"/>
          <w:sz w:val="24"/>
          <w:szCs w:val="24"/>
        </w:rPr>
        <w:t>,</w:t>
      </w:r>
      <w:r w:rsidR="002877AD">
        <w:rPr>
          <w:rFonts w:ascii="Arial" w:hAnsi="Arial" w:cs="Arial"/>
          <w:sz w:val="24"/>
          <w:szCs w:val="24"/>
        </w:rPr>
        <w:t xml:space="preserve"> the concept of ‘includes property which is mingled with property’ cover</w:t>
      </w:r>
      <w:r w:rsidR="001B4186">
        <w:rPr>
          <w:rFonts w:ascii="Arial" w:hAnsi="Arial" w:cs="Arial"/>
          <w:sz w:val="24"/>
          <w:szCs w:val="24"/>
        </w:rPr>
        <w:t>s</w:t>
      </w:r>
      <w:r w:rsidR="002877AD">
        <w:rPr>
          <w:rFonts w:ascii="Arial" w:hAnsi="Arial" w:cs="Arial"/>
          <w:sz w:val="24"/>
          <w:szCs w:val="24"/>
        </w:rPr>
        <w:t xml:space="preserve"> all monies kept in an account into which alleged </w:t>
      </w:r>
      <w:r w:rsidR="00762DBA">
        <w:rPr>
          <w:rFonts w:ascii="Arial" w:hAnsi="Arial" w:cs="Arial"/>
          <w:sz w:val="24"/>
          <w:szCs w:val="24"/>
        </w:rPr>
        <w:t>illicit</w:t>
      </w:r>
      <w:r w:rsidR="002877AD">
        <w:rPr>
          <w:rFonts w:ascii="Arial" w:hAnsi="Arial" w:cs="Arial"/>
          <w:sz w:val="24"/>
          <w:szCs w:val="24"/>
        </w:rPr>
        <w:t xml:space="preserve"> proceeds are paid. The first applicant concedes that the PG’s interpretation in this regard appears to be correct. </w:t>
      </w:r>
    </w:p>
    <w:p w:rsidR="002877AD" w:rsidRPr="002877AD" w:rsidRDefault="002877AD" w:rsidP="002877AD">
      <w:pPr>
        <w:pStyle w:val="ListParagraph"/>
        <w:rPr>
          <w:rFonts w:ascii="Arial" w:hAnsi="Arial" w:cs="Arial"/>
          <w:sz w:val="24"/>
          <w:szCs w:val="24"/>
        </w:rPr>
      </w:pPr>
    </w:p>
    <w:p w:rsidR="00E83697" w:rsidRPr="00E83697" w:rsidRDefault="00762DBA" w:rsidP="00E83697">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T</w:t>
      </w:r>
      <w:r w:rsidR="002877AD">
        <w:rPr>
          <w:rFonts w:ascii="Arial" w:hAnsi="Arial" w:cs="Arial"/>
          <w:sz w:val="24"/>
          <w:szCs w:val="24"/>
        </w:rPr>
        <w:t>he first applicant contend</w:t>
      </w:r>
      <w:r w:rsidR="00346FF3">
        <w:rPr>
          <w:rFonts w:ascii="Arial" w:hAnsi="Arial" w:cs="Arial"/>
          <w:sz w:val="24"/>
          <w:szCs w:val="24"/>
        </w:rPr>
        <w:t>ed</w:t>
      </w:r>
      <w:r w:rsidR="002877AD">
        <w:rPr>
          <w:rFonts w:ascii="Arial" w:hAnsi="Arial" w:cs="Arial"/>
          <w:sz w:val="24"/>
          <w:szCs w:val="24"/>
        </w:rPr>
        <w:t xml:space="preserve"> that </w:t>
      </w:r>
      <w:r w:rsidR="00E83697">
        <w:rPr>
          <w:rFonts w:ascii="Arial" w:hAnsi="Arial" w:cs="Arial"/>
          <w:sz w:val="24"/>
          <w:szCs w:val="24"/>
        </w:rPr>
        <w:t>the PG’s ‘correct’ interpretation renders the definition of proceeds of unlawful activities unconstitutional as the portion of POCA that reads ‘</w:t>
      </w:r>
      <w:r w:rsidR="00E83697" w:rsidRPr="002E08B0">
        <w:rPr>
          <w:rFonts w:ascii="Arial" w:hAnsi="Arial" w:cs="Arial"/>
          <w:i/>
          <w:sz w:val="24"/>
          <w:szCs w:val="24"/>
        </w:rPr>
        <w:t>include</w:t>
      </w:r>
      <w:r w:rsidR="00045D5C">
        <w:rPr>
          <w:rFonts w:ascii="Arial" w:hAnsi="Arial" w:cs="Arial"/>
          <w:i/>
          <w:sz w:val="24"/>
          <w:szCs w:val="24"/>
        </w:rPr>
        <w:t>s</w:t>
      </w:r>
      <w:r w:rsidR="00E83697" w:rsidRPr="002E08B0">
        <w:rPr>
          <w:rFonts w:ascii="Arial" w:hAnsi="Arial" w:cs="Arial"/>
          <w:i/>
          <w:sz w:val="24"/>
          <w:szCs w:val="24"/>
        </w:rPr>
        <w:t xml:space="preserve"> property which is mingled with property that is proceeds of unlawful </w:t>
      </w:r>
      <w:r w:rsidR="00346FF3" w:rsidRPr="002E08B0">
        <w:rPr>
          <w:rFonts w:ascii="Arial" w:hAnsi="Arial" w:cs="Arial"/>
          <w:i/>
          <w:sz w:val="24"/>
          <w:szCs w:val="24"/>
        </w:rPr>
        <w:t>activity</w:t>
      </w:r>
      <w:r w:rsidR="00346FF3">
        <w:rPr>
          <w:rFonts w:ascii="Arial" w:hAnsi="Arial" w:cs="Arial"/>
          <w:sz w:val="24"/>
          <w:szCs w:val="24"/>
        </w:rPr>
        <w:t xml:space="preserve">’ amounts to an arbitrary deprivation of property in violation of Art 16 of the </w:t>
      </w:r>
      <w:r w:rsidR="00346FF3">
        <w:rPr>
          <w:rFonts w:ascii="Arial" w:hAnsi="Arial" w:cs="Arial"/>
          <w:sz w:val="24"/>
          <w:szCs w:val="24"/>
        </w:rPr>
        <w:lastRenderedPageBreak/>
        <w:t xml:space="preserve">Namibian Constitution. </w:t>
      </w:r>
      <w:r>
        <w:rPr>
          <w:rFonts w:ascii="Arial" w:hAnsi="Arial" w:cs="Arial"/>
          <w:sz w:val="24"/>
          <w:szCs w:val="24"/>
        </w:rPr>
        <w:t>Further, the</w:t>
      </w:r>
      <w:r w:rsidR="00346FF3">
        <w:rPr>
          <w:rFonts w:ascii="Arial" w:hAnsi="Arial" w:cs="Arial"/>
          <w:sz w:val="24"/>
          <w:szCs w:val="24"/>
        </w:rPr>
        <w:t xml:space="preserve"> first applicant submitted that this portion of the definition also breaches Art</w:t>
      </w:r>
      <w:r w:rsidR="00FB75F1">
        <w:rPr>
          <w:rFonts w:ascii="Arial" w:hAnsi="Arial" w:cs="Arial"/>
          <w:sz w:val="24"/>
          <w:szCs w:val="24"/>
        </w:rPr>
        <w:t>icles</w:t>
      </w:r>
      <w:r>
        <w:rPr>
          <w:rFonts w:ascii="Arial" w:hAnsi="Arial" w:cs="Arial"/>
          <w:sz w:val="24"/>
          <w:szCs w:val="24"/>
        </w:rPr>
        <w:t xml:space="preserve"> </w:t>
      </w:r>
      <w:r w:rsidR="00346FF3">
        <w:rPr>
          <w:rFonts w:ascii="Arial" w:hAnsi="Arial" w:cs="Arial"/>
          <w:sz w:val="24"/>
          <w:szCs w:val="24"/>
        </w:rPr>
        <w:t>8 and 21(1)(</w:t>
      </w:r>
      <w:r w:rsidR="00346FF3" w:rsidRPr="00346FF3">
        <w:rPr>
          <w:rFonts w:ascii="Arial" w:hAnsi="Arial" w:cs="Arial"/>
          <w:i/>
          <w:sz w:val="24"/>
          <w:szCs w:val="24"/>
        </w:rPr>
        <w:t>j</w:t>
      </w:r>
      <w:r w:rsidR="00346FF3">
        <w:rPr>
          <w:rFonts w:ascii="Arial" w:hAnsi="Arial" w:cs="Arial"/>
          <w:sz w:val="24"/>
          <w:szCs w:val="24"/>
        </w:rPr>
        <w:t xml:space="preserve">) </w:t>
      </w:r>
      <w:r w:rsidR="00FB75F1">
        <w:rPr>
          <w:rFonts w:ascii="Arial" w:hAnsi="Arial" w:cs="Arial"/>
          <w:sz w:val="24"/>
          <w:szCs w:val="24"/>
        </w:rPr>
        <w:t xml:space="preserve">of the Constitution </w:t>
      </w:r>
      <w:r w:rsidR="00346FF3">
        <w:rPr>
          <w:rFonts w:ascii="Arial" w:hAnsi="Arial" w:cs="Arial"/>
          <w:sz w:val="24"/>
          <w:szCs w:val="24"/>
        </w:rPr>
        <w:t xml:space="preserve">because his </w:t>
      </w:r>
      <w:r w:rsidR="008823DB">
        <w:rPr>
          <w:rFonts w:ascii="Arial" w:hAnsi="Arial" w:cs="Arial"/>
          <w:sz w:val="24"/>
          <w:szCs w:val="24"/>
        </w:rPr>
        <w:t>life’s</w:t>
      </w:r>
      <w:r w:rsidR="00346FF3">
        <w:rPr>
          <w:rFonts w:ascii="Arial" w:hAnsi="Arial" w:cs="Arial"/>
          <w:sz w:val="24"/>
          <w:szCs w:val="24"/>
        </w:rPr>
        <w:t xml:space="preserve"> savings in his cheque and investment accounts </w:t>
      </w:r>
      <w:r w:rsidR="009D6DC8">
        <w:rPr>
          <w:rFonts w:ascii="Arial" w:hAnsi="Arial" w:cs="Arial"/>
          <w:sz w:val="24"/>
          <w:szCs w:val="24"/>
        </w:rPr>
        <w:t xml:space="preserve">(the </w:t>
      </w:r>
      <w:r w:rsidR="009D6DC8" w:rsidRPr="001E4271">
        <w:rPr>
          <w:rFonts w:ascii="Arial" w:hAnsi="Arial" w:cs="Arial"/>
          <w:sz w:val="24"/>
          <w:szCs w:val="24"/>
        </w:rPr>
        <w:t>N$5 478 818.71</w:t>
      </w:r>
      <w:r w:rsidR="009D6DC8">
        <w:rPr>
          <w:rFonts w:ascii="Arial" w:hAnsi="Arial" w:cs="Arial"/>
          <w:sz w:val="24"/>
          <w:szCs w:val="24"/>
        </w:rPr>
        <w:t xml:space="preserve">) </w:t>
      </w:r>
      <w:r w:rsidR="003658BA">
        <w:rPr>
          <w:rFonts w:ascii="Arial" w:hAnsi="Arial" w:cs="Arial"/>
          <w:sz w:val="24"/>
          <w:szCs w:val="24"/>
        </w:rPr>
        <w:t>are</w:t>
      </w:r>
      <w:r w:rsidR="002E08B0">
        <w:rPr>
          <w:rFonts w:ascii="Arial" w:hAnsi="Arial" w:cs="Arial"/>
          <w:sz w:val="24"/>
          <w:szCs w:val="24"/>
        </w:rPr>
        <w:t xml:space="preserve"> not and cannot be alleged to be proceeds of unlawful activities. </w:t>
      </w:r>
    </w:p>
    <w:p w:rsidR="004D7319" w:rsidRPr="004D7319" w:rsidRDefault="004D7319" w:rsidP="004D7319">
      <w:pPr>
        <w:pStyle w:val="ListParagraph"/>
        <w:rPr>
          <w:rFonts w:ascii="Arial" w:hAnsi="Arial" w:cs="Arial"/>
          <w:sz w:val="24"/>
          <w:szCs w:val="24"/>
        </w:rPr>
      </w:pPr>
    </w:p>
    <w:p w:rsidR="002E08B0" w:rsidRDefault="002E08B0" w:rsidP="002055C3">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The first applicant submitted that</w:t>
      </w:r>
      <w:r w:rsidR="00084C8D">
        <w:rPr>
          <w:rFonts w:ascii="Arial" w:hAnsi="Arial" w:cs="Arial"/>
          <w:sz w:val="24"/>
          <w:szCs w:val="24"/>
        </w:rPr>
        <w:t xml:space="preserve"> the</w:t>
      </w:r>
      <w:r>
        <w:rPr>
          <w:rFonts w:ascii="Arial" w:hAnsi="Arial" w:cs="Arial"/>
          <w:sz w:val="24"/>
          <w:szCs w:val="24"/>
        </w:rPr>
        <w:t xml:space="preserve"> provision which reads ‘</w:t>
      </w:r>
      <w:r w:rsidRPr="002E08B0">
        <w:rPr>
          <w:rFonts w:ascii="Arial" w:hAnsi="Arial" w:cs="Arial"/>
          <w:i/>
          <w:sz w:val="24"/>
          <w:szCs w:val="24"/>
        </w:rPr>
        <w:t>include</w:t>
      </w:r>
      <w:r w:rsidR="00084C8D">
        <w:rPr>
          <w:rFonts w:ascii="Arial" w:hAnsi="Arial" w:cs="Arial"/>
          <w:i/>
          <w:sz w:val="24"/>
          <w:szCs w:val="24"/>
        </w:rPr>
        <w:t>s</w:t>
      </w:r>
      <w:r w:rsidRPr="002E08B0">
        <w:rPr>
          <w:rFonts w:ascii="Arial" w:hAnsi="Arial" w:cs="Arial"/>
          <w:i/>
          <w:sz w:val="24"/>
          <w:szCs w:val="24"/>
        </w:rPr>
        <w:t xml:space="preserve"> property which is mingled with property that is proceeds of unlawful activity</w:t>
      </w:r>
      <w:r>
        <w:rPr>
          <w:rFonts w:ascii="Arial" w:hAnsi="Arial" w:cs="Arial"/>
          <w:sz w:val="24"/>
          <w:szCs w:val="24"/>
        </w:rPr>
        <w:t>’ is open to abuse</w:t>
      </w:r>
      <w:r w:rsidR="00874741">
        <w:rPr>
          <w:rFonts w:ascii="Arial" w:hAnsi="Arial" w:cs="Arial"/>
          <w:sz w:val="24"/>
          <w:szCs w:val="24"/>
        </w:rPr>
        <w:t>. If</w:t>
      </w:r>
      <w:r>
        <w:rPr>
          <w:rFonts w:ascii="Arial" w:hAnsi="Arial" w:cs="Arial"/>
          <w:sz w:val="24"/>
          <w:szCs w:val="24"/>
        </w:rPr>
        <w:t xml:space="preserve"> the PG’s interpretation is to be followed</w:t>
      </w:r>
      <w:r w:rsidR="00884D29">
        <w:rPr>
          <w:rFonts w:ascii="Arial" w:hAnsi="Arial" w:cs="Arial"/>
          <w:sz w:val="24"/>
          <w:szCs w:val="24"/>
        </w:rPr>
        <w:t>,</w:t>
      </w:r>
      <w:r>
        <w:rPr>
          <w:rFonts w:ascii="Arial" w:hAnsi="Arial" w:cs="Arial"/>
          <w:sz w:val="24"/>
          <w:szCs w:val="24"/>
        </w:rPr>
        <w:t xml:space="preserve"> it may lead to a crippling result for the Namibian economy. </w:t>
      </w:r>
    </w:p>
    <w:p w:rsidR="002E08B0" w:rsidRPr="002E08B0" w:rsidRDefault="002E08B0" w:rsidP="002E08B0">
      <w:pPr>
        <w:pStyle w:val="ListParagraph"/>
        <w:rPr>
          <w:rFonts w:ascii="Arial" w:hAnsi="Arial" w:cs="Arial"/>
          <w:sz w:val="24"/>
          <w:szCs w:val="24"/>
        </w:rPr>
      </w:pPr>
    </w:p>
    <w:p w:rsidR="002E08B0" w:rsidRDefault="002E08B0" w:rsidP="002055C3">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first applicant urged the court to find that the </w:t>
      </w:r>
      <w:r w:rsidR="00762DBA">
        <w:rPr>
          <w:rFonts w:ascii="Arial" w:hAnsi="Arial" w:cs="Arial"/>
          <w:sz w:val="24"/>
          <w:szCs w:val="24"/>
        </w:rPr>
        <w:t xml:space="preserve">portion </w:t>
      </w:r>
      <w:r>
        <w:rPr>
          <w:rFonts w:ascii="Arial" w:hAnsi="Arial" w:cs="Arial"/>
          <w:sz w:val="24"/>
          <w:szCs w:val="24"/>
        </w:rPr>
        <w:t xml:space="preserve">of the definition of proceeds of unlawful activities per s 1 of POCA </w:t>
      </w:r>
      <w:r w:rsidR="00874741">
        <w:rPr>
          <w:rFonts w:ascii="Arial" w:hAnsi="Arial" w:cs="Arial"/>
          <w:sz w:val="24"/>
          <w:szCs w:val="24"/>
        </w:rPr>
        <w:t>mentioned</w:t>
      </w:r>
      <w:r w:rsidR="00BE3B61">
        <w:rPr>
          <w:rFonts w:ascii="Arial" w:hAnsi="Arial" w:cs="Arial"/>
          <w:sz w:val="24"/>
          <w:szCs w:val="24"/>
        </w:rPr>
        <w:t>,</w:t>
      </w:r>
      <w:r w:rsidR="00874741">
        <w:rPr>
          <w:rFonts w:ascii="Arial" w:hAnsi="Arial" w:cs="Arial"/>
          <w:sz w:val="24"/>
          <w:szCs w:val="24"/>
        </w:rPr>
        <w:t xml:space="preserve"> above </w:t>
      </w:r>
      <w:r w:rsidR="00C12A7C">
        <w:rPr>
          <w:rFonts w:ascii="Arial" w:hAnsi="Arial" w:cs="Arial"/>
          <w:sz w:val="24"/>
          <w:szCs w:val="24"/>
        </w:rPr>
        <w:t xml:space="preserve">should be declared unconstitutional, null and void and struck from the definition of proceeds of unlawful activities. </w:t>
      </w:r>
    </w:p>
    <w:p w:rsidR="002E08B0" w:rsidRPr="002E08B0" w:rsidRDefault="002E08B0" w:rsidP="002E08B0">
      <w:pPr>
        <w:pStyle w:val="ListParagraph"/>
        <w:rPr>
          <w:rFonts w:ascii="Arial" w:hAnsi="Arial" w:cs="Arial"/>
          <w:sz w:val="24"/>
          <w:szCs w:val="24"/>
        </w:rPr>
      </w:pPr>
    </w:p>
    <w:p w:rsidR="00A472DE" w:rsidRDefault="00A472DE" w:rsidP="00A472DE">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In the alternative, should the court not be satisfied that the PG’s interpretation is </w:t>
      </w:r>
      <w:r w:rsidR="008823DB">
        <w:rPr>
          <w:rFonts w:ascii="Arial" w:hAnsi="Arial" w:cs="Arial"/>
          <w:sz w:val="24"/>
          <w:szCs w:val="24"/>
        </w:rPr>
        <w:t>in</w:t>
      </w:r>
      <w:r>
        <w:rPr>
          <w:rFonts w:ascii="Arial" w:hAnsi="Arial" w:cs="Arial"/>
          <w:sz w:val="24"/>
          <w:szCs w:val="24"/>
        </w:rPr>
        <w:t>correct, then the phrase ‘</w:t>
      </w:r>
      <w:r w:rsidR="003658BA">
        <w:rPr>
          <w:rFonts w:ascii="Arial" w:hAnsi="Arial" w:cs="Arial"/>
          <w:i/>
          <w:sz w:val="24"/>
          <w:szCs w:val="24"/>
        </w:rPr>
        <w:t>includes</w:t>
      </w:r>
      <w:r w:rsidRPr="002E08B0">
        <w:rPr>
          <w:rFonts w:ascii="Arial" w:hAnsi="Arial" w:cs="Arial"/>
          <w:i/>
          <w:sz w:val="24"/>
          <w:szCs w:val="24"/>
        </w:rPr>
        <w:t xml:space="preserve"> property which is mingled with property that is proceeds of unlawful activity</w:t>
      </w:r>
      <w:r>
        <w:rPr>
          <w:rFonts w:ascii="Arial" w:hAnsi="Arial" w:cs="Arial"/>
          <w:sz w:val="24"/>
          <w:szCs w:val="24"/>
        </w:rPr>
        <w:t>’ can only be saved from being unconstitutional by ‘reading in’ the word</w:t>
      </w:r>
      <w:r w:rsidR="0028218A">
        <w:rPr>
          <w:rFonts w:ascii="Arial" w:hAnsi="Arial" w:cs="Arial"/>
          <w:sz w:val="24"/>
          <w:szCs w:val="24"/>
        </w:rPr>
        <w:t>s</w:t>
      </w:r>
      <w:r>
        <w:rPr>
          <w:rFonts w:ascii="Arial" w:hAnsi="Arial" w:cs="Arial"/>
          <w:sz w:val="24"/>
          <w:szCs w:val="24"/>
        </w:rPr>
        <w:t xml:space="preserve"> at the end of the sentence ‘</w:t>
      </w:r>
      <w:r w:rsidRPr="00A472DE">
        <w:rPr>
          <w:rFonts w:ascii="Arial" w:hAnsi="Arial" w:cs="Arial"/>
          <w:i/>
          <w:sz w:val="24"/>
          <w:szCs w:val="24"/>
        </w:rPr>
        <w:t>but not exceeding the assessed value of the proceeds of the unlawful activity before mingling’</w:t>
      </w:r>
      <w:r>
        <w:rPr>
          <w:rFonts w:ascii="Arial" w:hAnsi="Arial" w:cs="Arial"/>
          <w:sz w:val="24"/>
          <w:szCs w:val="24"/>
        </w:rPr>
        <w:t xml:space="preserve">. </w:t>
      </w:r>
    </w:p>
    <w:p w:rsidR="00E84540" w:rsidRPr="00E84540" w:rsidRDefault="00E84540" w:rsidP="00E84540">
      <w:pPr>
        <w:pStyle w:val="ListParagraph"/>
        <w:rPr>
          <w:rFonts w:ascii="Arial" w:hAnsi="Arial" w:cs="Arial"/>
          <w:sz w:val="24"/>
          <w:szCs w:val="24"/>
        </w:rPr>
      </w:pPr>
    </w:p>
    <w:p w:rsidR="00F77F60" w:rsidRPr="00B976AC" w:rsidRDefault="00E84540" w:rsidP="00A8264E">
      <w:pPr>
        <w:pStyle w:val="ListParagraph"/>
        <w:numPr>
          <w:ilvl w:val="0"/>
          <w:numId w:val="10"/>
        </w:numPr>
        <w:spacing w:after="0" w:line="360" w:lineRule="auto"/>
        <w:ind w:left="0" w:firstLine="0"/>
        <w:jc w:val="both"/>
        <w:rPr>
          <w:rFonts w:ascii="Arial" w:hAnsi="Arial" w:cs="Arial"/>
          <w:sz w:val="24"/>
          <w:szCs w:val="24"/>
        </w:rPr>
      </w:pPr>
      <w:r w:rsidRPr="00B976AC">
        <w:rPr>
          <w:rFonts w:ascii="Arial" w:hAnsi="Arial" w:cs="Arial"/>
          <w:sz w:val="24"/>
          <w:szCs w:val="24"/>
        </w:rPr>
        <w:t xml:space="preserve">The first applicant referred the court in </w:t>
      </w:r>
      <w:r w:rsidRPr="009D29DD">
        <w:rPr>
          <w:rFonts w:ascii="Arial" w:hAnsi="Arial" w:cs="Arial"/>
          <w:sz w:val="24"/>
          <w:szCs w:val="24"/>
        </w:rPr>
        <w:t>th</w:t>
      </w:r>
      <w:r w:rsidR="009D29DD" w:rsidRPr="009D29DD">
        <w:rPr>
          <w:rFonts w:ascii="Arial" w:hAnsi="Arial" w:cs="Arial"/>
          <w:sz w:val="24"/>
          <w:szCs w:val="24"/>
        </w:rPr>
        <w:t>is</w:t>
      </w:r>
      <w:r w:rsidRPr="009D29DD">
        <w:rPr>
          <w:rFonts w:ascii="Arial" w:hAnsi="Arial" w:cs="Arial"/>
          <w:sz w:val="24"/>
          <w:szCs w:val="24"/>
        </w:rPr>
        <w:t xml:space="preserve"> regard</w:t>
      </w:r>
      <w:r w:rsidRPr="00B976AC">
        <w:rPr>
          <w:rFonts w:ascii="Arial" w:hAnsi="Arial" w:cs="Arial"/>
          <w:sz w:val="24"/>
          <w:szCs w:val="24"/>
        </w:rPr>
        <w:t xml:space="preserve"> to the Palermo Convention</w:t>
      </w:r>
      <w:r w:rsidR="00F77F60">
        <w:rPr>
          <w:rStyle w:val="FootnoteReference"/>
          <w:rFonts w:ascii="Arial" w:hAnsi="Arial" w:cs="Arial"/>
          <w:sz w:val="24"/>
          <w:szCs w:val="24"/>
        </w:rPr>
        <w:footnoteReference w:id="3"/>
      </w:r>
      <w:r w:rsidR="00F77F60" w:rsidRPr="00B976AC">
        <w:rPr>
          <w:rFonts w:ascii="Arial" w:hAnsi="Arial" w:cs="Arial"/>
          <w:sz w:val="24"/>
          <w:szCs w:val="24"/>
        </w:rPr>
        <w:t xml:space="preserve">, to which Namibia is a signatory and on which our POCA is based. </w:t>
      </w:r>
      <w:r w:rsidR="00C63EB5" w:rsidRPr="00B976AC">
        <w:rPr>
          <w:rFonts w:ascii="Arial" w:hAnsi="Arial" w:cs="Arial"/>
          <w:sz w:val="24"/>
          <w:szCs w:val="24"/>
        </w:rPr>
        <w:t>Art</w:t>
      </w:r>
      <w:r w:rsidR="00376D2D">
        <w:rPr>
          <w:rFonts w:ascii="Arial" w:hAnsi="Arial" w:cs="Arial"/>
          <w:sz w:val="24"/>
          <w:szCs w:val="24"/>
        </w:rPr>
        <w:t>icle</w:t>
      </w:r>
      <w:r w:rsidR="00C63EB5" w:rsidRPr="00B976AC">
        <w:rPr>
          <w:rFonts w:ascii="Arial" w:hAnsi="Arial" w:cs="Arial"/>
          <w:sz w:val="24"/>
          <w:szCs w:val="24"/>
        </w:rPr>
        <w:t xml:space="preserve"> 12(4) of the Palermo Convention</w:t>
      </w:r>
      <w:r w:rsidR="00C63EB5">
        <w:rPr>
          <w:rStyle w:val="FootnoteReference"/>
          <w:rFonts w:ascii="Arial" w:hAnsi="Arial" w:cs="Arial"/>
          <w:sz w:val="24"/>
          <w:szCs w:val="24"/>
        </w:rPr>
        <w:footnoteReference w:id="4"/>
      </w:r>
      <w:r w:rsidR="00C63EB5" w:rsidRPr="00B976AC">
        <w:rPr>
          <w:rFonts w:ascii="Arial" w:hAnsi="Arial" w:cs="Arial"/>
          <w:sz w:val="24"/>
          <w:szCs w:val="24"/>
        </w:rPr>
        <w:t xml:space="preserve"> provides that</w:t>
      </w:r>
      <w:r w:rsidR="00B976AC" w:rsidRPr="00B976AC">
        <w:rPr>
          <w:rFonts w:ascii="Arial" w:hAnsi="Arial" w:cs="Arial"/>
          <w:sz w:val="24"/>
          <w:szCs w:val="24"/>
        </w:rPr>
        <w:t xml:space="preserve"> ‘if proceeds of crime have been intermingled with property acquired from legitimate sources, such property shall, without prejudice to any powers relating to freezing or seizure, be liable to confiscation up to the assessed value of the intermingled proceeds</w:t>
      </w:r>
      <w:r w:rsidR="003A1281">
        <w:rPr>
          <w:rFonts w:ascii="Arial" w:hAnsi="Arial" w:cs="Arial"/>
          <w:sz w:val="24"/>
          <w:szCs w:val="24"/>
        </w:rPr>
        <w:t>.</w:t>
      </w:r>
      <w:r w:rsidR="00B976AC" w:rsidRPr="00B976AC">
        <w:rPr>
          <w:rFonts w:ascii="Arial" w:hAnsi="Arial" w:cs="Arial"/>
          <w:sz w:val="24"/>
          <w:szCs w:val="24"/>
        </w:rPr>
        <w:t>’</w:t>
      </w:r>
    </w:p>
    <w:p w:rsidR="00477E04" w:rsidRDefault="00477E04" w:rsidP="00477E04">
      <w:pPr>
        <w:rPr>
          <w:rFonts w:ascii="Arial" w:hAnsi="Arial" w:cs="Arial"/>
          <w:sz w:val="24"/>
          <w:szCs w:val="24"/>
        </w:rPr>
      </w:pPr>
    </w:p>
    <w:p w:rsidR="00477E04" w:rsidRDefault="00477E04" w:rsidP="00477E04">
      <w:pPr>
        <w:pStyle w:val="Heading2"/>
      </w:pPr>
      <w:r w:rsidRPr="00477E04">
        <w:lastRenderedPageBreak/>
        <w:t>Answering papers</w:t>
      </w:r>
    </w:p>
    <w:p w:rsidR="00477E04" w:rsidRPr="00477E04" w:rsidRDefault="00477E04" w:rsidP="00477E04"/>
    <w:p w:rsidR="00477E04" w:rsidRDefault="00477E04" w:rsidP="00335229">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answering affidavit was deposed to by the Prosecutor-General, </w:t>
      </w:r>
      <w:r w:rsidR="00A11244">
        <w:rPr>
          <w:rFonts w:ascii="Arial" w:hAnsi="Arial" w:cs="Arial"/>
          <w:sz w:val="24"/>
          <w:szCs w:val="24"/>
        </w:rPr>
        <w:t xml:space="preserve">Ms </w:t>
      </w:r>
      <w:r>
        <w:rPr>
          <w:rFonts w:ascii="Arial" w:hAnsi="Arial" w:cs="Arial"/>
          <w:sz w:val="24"/>
          <w:szCs w:val="24"/>
        </w:rPr>
        <w:t xml:space="preserve">Olyvia Martha Imalwa. </w:t>
      </w:r>
      <w:r w:rsidRPr="00477E04">
        <w:rPr>
          <w:rFonts w:ascii="Arial" w:hAnsi="Arial" w:cs="Arial"/>
          <w:sz w:val="24"/>
          <w:szCs w:val="24"/>
        </w:rPr>
        <w:t xml:space="preserve">As a </w:t>
      </w:r>
      <w:r>
        <w:rPr>
          <w:rFonts w:ascii="Arial" w:hAnsi="Arial" w:cs="Arial"/>
          <w:sz w:val="24"/>
          <w:szCs w:val="24"/>
        </w:rPr>
        <w:t>p</w:t>
      </w:r>
      <w:r w:rsidR="00893728">
        <w:rPr>
          <w:rFonts w:ascii="Arial" w:hAnsi="Arial" w:cs="Arial"/>
          <w:sz w:val="24"/>
          <w:szCs w:val="24"/>
        </w:rPr>
        <w:t>oint of departure</w:t>
      </w:r>
      <w:r w:rsidR="003658BA">
        <w:rPr>
          <w:rFonts w:ascii="Arial" w:hAnsi="Arial" w:cs="Arial"/>
          <w:sz w:val="24"/>
          <w:szCs w:val="24"/>
        </w:rPr>
        <w:t>,</w:t>
      </w:r>
      <w:r w:rsidR="00893728">
        <w:rPr>
          <w:rFonts w:ascii="Arial" w:hAnsi="Arial" w:cs="Arial"/>
          <w:sz w:val="24"/>
          <w:szCs w:val="24"/>
        </w:rPr>
        <w:t xml:space="preserve"> the PG raised a point in limine that the present application is procedurally impermissible. The PG averred that it is an impermissible attempt to achieve a piecemeal hearing</w:t>
      </w:r>
      <w:r w:rsidR="00335229">
        <w:rPr>
          <w:rFonts w:ascii="Arial" w:hAnsi="Arial" w:cs="Arial"/>
          <w:sz w:val="24"/>
          <w:szCs w:val="24"/>
        </w:rPr>
        <w:t xml:space="preserve"> of the forfeiture application and further submitted that even if the constitutional challenge succeeds</w:t>
      </w:r>
      <w:r w:rsidR="00874741">
        <w:rPr>
          <w:rFonts w:ascii="Arial" w:hAnsi="Arial" w:cs="Arial"/>
          <w:sz w:val="24"/>
          <w:szCs w:val="24"/>
        </w:rPr>
        <w:t>,</w:t>
      </w:r>
      <w:r w:rsidR="00335229">
        <w:rPr>
          <w:rFonts w:ascii="Arial" w:hAnsi="Arial" w:cs="Arial"/>
          <w:sz w:val="24"/>
          <w:szCs w:val="24"/>
        </w:rPr>
        <w:t xml:space="preserve"> it </w:t>
      </w:r>
      <w:r w:rsidR="00874741">
        <w:rPr>
          <w:rFonts w:ascii="Arial" w:hAnsi="Arial" w:cs="Arial"/>
          <w:sz w:val="24"/>
          <w:szCs w:val="24"/>
        </w:rPr>
        <w:t>will</w:t>
      </w:r>
      <w:r w:rsidR="00335229">
        <w:rPr>
          <w:rFonts w:ascii="Arial" w:hAnsi="Arial" w:cs="Arial"/>
          <w:sz w:val="24"/>
          <w:szCs w:val="24"/>
        </w:rPr>
        <w:t xml:space="preserve"> not dispose of the forfeiture application.</w:t>
      </w:r>
    </w:p>
    <w:p w:rsidR="00335229" w:rsidRPr="00335229" w:rsidRDefault="00335229" w:rsidP="00335229">
      <w:pPr>
        <w:spacing w:after="0" w:line="360" w:lineRule="auto"/>
        <w:jc w:val="both"/>
        <w:rPr>
          <w:rFonts w:ascii="Arial" w:hAnsi="Arial" w:cs="Arial"/>
          <w:sz w:val="24"/>
          <w:szCs w:val="24"/>
        </w:rPr>
      </w:pPr>
    </w:p>
    <w:p w:rsidR="00477E04" w:rsidRDefault="00335229" w:rsidP="00335229">
      <w:pPr>
        <w:pStyle w:val="ListParagraph"/>
        <w:numPr>
          <w:ilvl w:val="0"/>
          <w:numId w:val="10"/>
        </w:numPr>
        <w:spacing w:after="0" w:line="360" w:lineRule="auto"/>
        <w:ind w:left="0" w:firstLine="0"/>
        <w:jc w:val="both"/>
        <w:rPr>
          <w:rFonts w:ascii="Arial" w:hAnsi="Arial" w:cs="Arial"/>
          <w:sz w:val="24"/>
          <w:szCs w:val="24"/>
        </w:rPr>
      </w:pPr>
      <w:r>
        <w:rPr>
          <w:rFonts w:ascii="Arial" w:hAnsi="Arial" w:cs="Arial"/>
          <w:sz w:val="24"/>
          <w:szCs w:val="24"/>
        </w:rPr>
        <w:t xml:space="preserve">The PG submitted that the constitutional challenge to the definition of proceeds of unlawful activities is without foundation for two reasons: </w:t>
      </w:r>
    </w:p>
    <w:p w:rsidR="00335229" w:rsidRPr="00335229" w:rsidRDefault="00335229" w:rsidP="00335229">
      <w:pPr>
        <w:pStyle w:val="ListParagraph"/>
        <w:jc w:val="both"/>
        <w:rPr>
          <w:rFonts w:ascii="Arial" w:hAnsi="Arial" w:cs="Arial"/>
          <w:sz w:val="24"/>
          <w:szCs w:val="24"/>
        </w:rPr>
      </w:pPr>
    </w:p>
    <w:p w:rsidR="00335229" w:rsidRDefault="00335229" w:rsidP="00335229">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 xml:space="preserve">POCA provides for remedies for a person who has an interest in any property held under a preservation of property order or property to be forfeited to the State. The remedies in POCA </w:t>
      </w:r>
      <w:r w:rsidR="00C12FA7">
        <w:rPr>
          <w:rFonts w:ascii="Arial" w:hAnsi="Arial" w:cs="Arial"/>
          <w:sz w:val="24"/>
          <w:szCs w:val="24"/>
        </w:rPr>
        <w:t>protect</w:t>
      </w:r>
      <w:r>
        <w:rPr>
          <w:rFonts w:ascii="Arial" w:hAnsi="Arial" w:cs="Arial"/>
          <w:sz w:val="24"/>
          <w:szCs w:val="24"/>
        </w:rPr>
        <w:t xml:space="preserve"> the rights of affected individuals who have </w:t>
      </w:r>
      <w:r w:rsidR="00C12FA7">
        <w:rPr>
          <w:rFonts w:ascii="Arial" w:hAnsi="Arial" w:cs="Arial"/>
          <w:sz w:val="24"/>
          <w:szCs w:val="24"/>
        </w:rPr>
        <w:t xml:space="preserve">an </w:t>
      </w:r>
      <w:r>
        <w:rPr>
          <w:rFonts w:ascii="Arial" w:hAnsi="Arial" w:cs="Arial"/>
          <w:sz w:val="24"/>
          <w:szCs w:val="24"/>
        </w:rPr>
        <w:t xml:space="preserve">interest in properties </w:t>
      </w:r>
      <w:r w:rsidR="00874741">
        <w:rPr>
          <w:rFonts w:ascii="Arial" w:hAnsi="Arial" w:cs="Arial"/>
          <w:sz w:val="24"/>
          <w:szCs w:val="24"/>
        </w:rPr>
        <w:t>that are preserved or</w:t>
      </w:r>
      <w:r>
        <w:rPr>
          <w:rFonts w:ascii="Arial" w:hAnsi="Arial" w:cs="Arial"/>
          <w:sz w:val="24"/>
          <w:szCs w:val="24"/>
        </w:rPr>
        <w:t xml:space="preserve"> about to be forfeited to the State. </w:t>
      </w:r>
    </w:p>
    <w:p w:rsidR="007E0560" w:rsidRDefault="00335229" w:rsidP="007E0560">
      <w:pPr>
        <w:pStyle w:val="ListParagraph"/>
        <w:numPr>
          <w:ilvl w:val="0"/>
          <w:numId w:val="13"/>
        </w:numPr>
        <w:spacing w:after="0" w:line="360" w:lineRule="auto"/>
        <w:ind w:left="0" w:firstLine="0"/>
        <w:jc w:val="both"/>
        <w:rPr>
          <w:rFonts w:ascii="Arial" w:hAnsi="Arial" w:cs="Arial"/>
          <w:sz w:val="24"/>
          <w:szCs w:val="24"/>
        </w:rPr>
      </w:pPr>
      <w:r>
        <w:rPr>
          <w:rFonts w:ascii="Arial" w:hAnsi="Arial" w:cs="Arial"/>
          <w:sz w:val="24"/>
          <w:szCs w:val="24"/>
        </w:rPr>
        <w:t>The court dealing with an application under Chapter 6 of POCA will apply the principle of proportionality in making its order</w:t>
      </w:r>
      <w:r w:rsidR="00874741">
        <w:rPr>
          <w:rFonts w:ascii="Arial" w:hAnsi="Arial" w:cs="Arial"/>
          <w:sz w:val="24"/>
          <w:szCs w:val="24"/>
        </w:rPr>
        <w:t xml:space="preserve"> to avoid consequences</w:t>
      </w:r>
      <w:r w:rsidR="007E0560">
        <w:rPr>
          <w:rFonts w:ascii="Arial" w:hAnsi="Arial" w:cs="Arial"/>
          <w:sz w:val="24"/>
          <w:szCs w:val="24"/>
        </w:rPr>
        <w:t xml:space="preserve"> inconsistent </w:t>
      </w:r>
      <w:r w:rsidR="00C12FA7">
        <w:rPr>
          <w:rFonts w:ascii="Arial" w:hAnsi="Arial" w:cs="Arial"/>
          <w:sz w:val="24"/>
          <w:szCs w:val="24"/>
        </w:rPr>
        <w:t xml:space="preserve">with </w:t>
      </w:r>
      <w:r w:rsidR="007E0560">
        <w:rPr>
          <w:rFonts w:ascii="Arial" w:hAnsi="Arial" w:cs="Arial"/>
          <w:sz w:val="24"/>
          <w:szCs w:val="24"/>
        </w:rPr>
        <w:t xml:space="preserve">the Constitution. </w:t>
      </w:r>
    </w:p>
    <w:p w:rsidR="007E0560" w:rsidRDefault="007E0560" w:rsidP="007E0560">
      <w:pPr>
        <w:spacing w:after="0" w:line="360" w:lineRule="auto"/>
        <w:jc w:val="both"/>
        <w:rPr>
          <w:rFonts w:ascii="Arial" w:hAnsi="Arial" w:cs="Arial"/>
          <w:sz w:val="24"/>
          <w:szCs w:val="24"/>
        </w:rPr>
      </w:pPr>
    </w:p>
    <w:p w:rsidR="002162AD" w:rsidRDefault="00874741" w:rsidP="007E0560">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t>Regarding</w:t>
      </w:r>
      <w:r w:rsidR="002162AD">
        <w:rPr>
          <w:rFonts w:ascii="Arial" w:hAnsi="Arial" w:cs="Arial"/>
          <w:sz w:val="24"/>
          <w:szCs w:val="24"/>
        </w:rPr>
        <w:t xml:space="preserve"> the </w:t>
      </w:r>
      <w:r w:rsidR="00376D2D">
        <w:rPr>
          <w:rFonts w:ascii="Arial" w:hAnsi="Arial" w:cs="Arial"/>
          <w:sz w:val="24"/>
          <w:szCs w:val="24"/>
        </w:rPr>
        <w:t xml:space="preserve">remedies available in terms of </w:t>
      </w:r>
      <w:r w:rsidR="002162AD">
        <w:rPr>
          <w:rFonts w:ascii="Arial" w:hAnsi="Arial" w:cs="Arial"/>
          <w:sz w:val="24"/>
          <w:szCs w:val="24"/>
        </w:rPr>
        <w:t>POCA</w:t>
      </w:r>
      <w:r>
        <w:rPr>
          <w:rFonts w:ascii="Arial" w:hAnsi="Arial" w:cs="Arial"/>
          <w:sz w:val="24"/>
          <w:szCs w:val="24"/>
        </w:rPr>
        <w:t>,</w:t>
      </w:r>
      <w:r w:rsidR="002162AD">
        <w:rPr>
          <w:rFonts w:ascii="Arial" w:hAnsi="Arial" w:cs="Arial"/>
          <w:sz w:val="24"/>
          <w:szCs w:val="24"/>
        </w:rPr>
        <w:t xml:space="preserve"> the PG referred to s 63 of the Act</w:t>
      </w:r>
      <w:r>
        <w:rPr>
          <w:rFonts w:ascii="Arial" w:hAnsi="Arial" w:cs="Arial"/>
          <w:sz w:val="24"/>
          <w:szCs w:val="24"/>
        </w:rPr>
        <w:t>,</w:t>
      </w:r>
      <w:r w:rsidR="002162AD">
        <w:rPr>
          <w:rFonts w:ascii="Arial" w:hAnsi="Arial" w:cs="Arial"/>
          <w:sz w:val="24"/>
          <w:szCs w:val="24"/>
        </w:rPr>
        <w:t xml:space="preserve"> which provides that when the High Court makes a forfeiture order in terms of s 61(1)</w:t>
      </w:r>
      <w:r w:rsidR="00051EC0">
        <w:rPr>
          <w:rFonts w:ascii="Arial" w:hAnsi="Arial" w:cs="Arial"/>
          <w:sz w:val="24"/>
          <w:szCs w:val="24"/>
        </w:rPr>
        <w:t>,</w:t>
      </w:r>
      <w:r w:rsidR="002162AD">
        <w:rPr>
          <w:rFonts w:ascii="Arial" w:hAnsi="Arial" w:cs="Arial"/>
          <w:sz w:val="24"/>
          <w:szCs w:val="24"/>
        </w:rPr>
        <w:t xml:space="preserve"> it may exclude </w:t>
      </w:r>
      <w:r>
        <w:rPr>
          <w:rFonts w:ascii="Arial" w:hAnsi="Arial" w:cs="Arial"/>
          <w:sz w:val="24"/>
          <w:szCs w:val="24"/>
        </w:rPr>
        <w:t>specific</w:t>
      </w:r>
      <w:r w:rsidR="002162AD">
        <w:rPr>
          <w:rFonts w:ascii="Arial" w:hAnsi="Arial" w:cs="Arial"/>
          <w:sz w:val="24"/>
          <w:szCs w:val="24"/>
        </w:rPr>
        <w:t xml:space="preserve"> interests in property on application. In addition</w:t>
      </w:r>
      <w:r w:rsidR="00051EC0">
        <w:rPr>
          <w:rFonts w:ascii="Arial" w:hAnsi="Arial" w:cs="Arial"/>
          <w:sz w:val="24"/>
          <w:szCs w:val="24"/>
        </w:rPr>
        <w:t>,</w:t>
      </w:r>
      <w:r w:rsidR="002162AD">
        <w:rPr>
          <w:rFonts w:ascii="Arial" w:hAnsi="Arial" w:cs="Arial"/>
          <w:sz w:val="24"/>
          <w:szCs w:val="24"/>
        </w:rPr>
        <w:t xml:space="preserve"> s 63(2) of the Act provides that </w:t>
      </w:r>
      <w:r w:rsidR="00051EC0">
        <w:rPr>
          <w:rFonts w:ascii="Arial" w:hAnsi="Arial" w:cs="Arial"/>
          <w:sz w:val="24"/>
          <w:szCs w:val="24"/>
        </w:rPr>
        <w:t xml:space="preserve">in </w:t>
      </w:r>
      <w:r w:rsidR="002162AD">
        <w:rPr>
          <w:rFonts w:ascii="Arial" w:hAnsi="Arial" w:cs="Arial"/>
          <w:sz w:val="24"/>
          <w:szCs w:val="24"/>
        </w:rPr>
        <w:t xml:space="preserve">such an application for exclusion, the ‘innocent owner’ must </w:t>
      </w:r>
      <w:r w:rsidR="00051EC0">
        <w:rPr>
          <w:rFonts w:ascii="Arial" w:hAnsi="Arial" w:cs="Arial"/>
          <w:sz w:val="24"/>
          <w:szCs w:val="24"/>
        </w:rPr>
        <w:t>prove</w:t>
      </w:r>
      <w:r w:rsidR="002162AD">
        <w:rPr>
          <w:rFonts w:ascii="Arial" w:hAnsi="Arial" w:cs="Arial"/>
          <w:sz w:val="24"/>
          <w:szCs w:val="24"/>
        </w:rPr>
        <w:t>, on a balance of probabilities</w:t>
      </w:r>
      <w:r>
        <w:rPr>
          <w:rFonts w:ascii="Arial" w:hAnsi="Arial" w:cs="Arial"/>
          <w:sz w:val="24"/>
          <w:szCs w:val="24"/>
        </w:rPr>
        <w:t>,</w:t>
      </w:r>
      <w:r w:rsidR="002162AD">
        <w:rPr>
          <w:rFonts w:ascii="Arial" w:hAnsi="Arial" w:cs="Arial"/>
          <w:sz w:val="24"/>
          <w:szCs w:val="24"/>
        </w:rPr>
        <w:t xml:space="preserve"> that he or she acquired the interest concerned legally and for a consideration not significantly less valuable than the value of the interest. </w:t>
      </w:r>
      <w:r w:rsidR="00672E0C">
        <w:rPr>
          <w:rFonts w:ascii="Arial" w:hAnsi="Arial" w:cs="Arial"/>
          <w:sz w:val="24"/>
          <w:szCs w:val="24"/>
        </w:rPr>
        <w:t xml:space="preserve">The ‘innocent owner’ must also </w:t>
      </w:r>
      <w:r w:rsidR="00051EC0">
        <w:rPr>
          <w:rFonts w:ascii="Arial" w:hAnsi="Arial" w:cs="Arial"/>
          <w:sz w:val="24"/>
          <w:szCs w:val="24"/>
        </w:rPr>
        <w:t>prove</w:t>
      </w:r>
      <w:r w:rsidR="00672E0C">
        <w:rPr>
          <w:rFonts w:ascii="Arial" w:hAnsi="Arial" w:cs="Arial"/>
          <w:sz w:val="24"/>
          <w:szCs w:val="24"/>
        </w:rPr>
        <w:t xml:space="preserve"> that he or she neither knew nor had reasonable grounds to suspect that the property in which the interest is held was </w:t>
      </w:r>
      <w:r w:rsidR="00051EC0">
        <w:rPr>
          <w:rFonts w:ascii="Arial" w:hAnsi="Arial" w:cs="Arial"/>
          <w:sz w:val="24"/>
          <w:szCs w:val="24"/>
        </w:rPr>
        <w:t xml:space="preserve">the </w:t>
      </w:r>
      <w:r w:rsidR="00672E0C">
        <w:rPr>
          <w:rFonts w:ascii="Arial" w:hAnsi="Arial" w:cs="Arial"/>
          <w:sz w:val="24"/>
          <w:szCs w:val="24"/>
        </w:rPr>
        <w:t xml:space="preserve">proceeds of unlawful activities. </w:t>
      </w:r>
    </w:p>
    <w:p w:rsidR="00672E0C" w:rsidRDefault="00672E0C" w:rsidP="00672E0C">
      <w:pPr>
        <w:pStyle w:val="ListParagraph"/>
        <w:spacing w:after="0" w:line="360" w:lineRule="auto"/>
        <w:ind w:left="0"/>
        <w:jc w:val="both"/>
        <w:rPr>
          <w:rFonts w:ascii="Arial" w:hAnsi="Arial" w:cs="Arial"/>
          <w:sz w:val="24"/>
          <w:szCs w:val="24"/>
        </w:rPr>
      </w:pPr>
    </w:p>
    <w:p w:rsidR="007E0560" w:rsidRDefault="007E0560" w:rsidP="007E0560">
      <w:pPr>
        <w:pStyle w:val="ListParagraph"/>
        <w:numPr>
          <w:ilvl w:val="0"/>
          <w:numId w:val="15"/>
        </w:numPr>
        <w:spacing w:after="0" w:line="360" w:lineRule="auto"/>
        <w:ind w:left="0" w:firstLine="0"/>
        <w:jc w:val="both"/>
        <w:rPr>
          <w:rFonts w:ascii="Arial" w:hAnsi="Arial" w:cs="Arial"/>
          <w:sz w:val="24"/>
          <w:szCs w:val="24"/>
        </w:rPr>
      </w:pPr>
      <w:r>
        <w:rPr>
          <w:rFonts w:ascii="Arial" w:hAnsi="Arial" w:cs="Arial"/>
          <w:sz w:val="24"/>
          <w:szCs w:val="24"/>
        </w:rPr>
        <w:lastRenderedPageBreak/>
        <w:t>The PG submitted that the applicants failed to demonstrate that the definition of ‘</w:t>
      </w:r>
      <w:r w:rsidRPr="007E0560">
        <w:rPr>
          <w:rFonts w:ascii="Arial" w:hAnsi="Arial" w:cs="Arial"/>
          <w:i/>
          <w:sz w:val="24"/>
          <w:szCs w:val="24"/>
        </w:rPr>
        <w:t>proceeds of unlawful activities</w:t>
      </w:r>
      <w:r>
        <w:rPr>
          <w:rFonts w:ascii="Arial" w:hAnsi="Arial" w:cs="Arial"/>
          <w:sz w:val="24"/>
          <w:szCs w:val="24"/>
        </w:rPr>
        <w:t>’ violates their constitutional rights. In this regard</w:t>
      </w:r>
      <w:r w:rsidR="00C12FA7">
        <w:rPr>
          <w:rFonts w:ascii="Arial" w:hAnsi="Arial" w:cs="Arial"/>
          <w:sz w:val="24"/>
          <w:szCs w:val="24"/>
        </w:rPr>
        <w:t>,</w:t>
      </w:r>
      <w:r>
        <w:rPr>
          <w:rFonts w:ascii="Arial" w:hAnsi="Arial" w:cs="Arial"/>
          <w:sz w:val="24"/>
          <w:szCs w:val="24"/>
        </w:rPr>
        <w:t xml:space="preserve"> the PG made the following submissions:</w:t>
      </w:r>
    </w:p>
    <w:p w:rsidR="00BE3B61" w:rsidRPr="00BE3B61" w:rsidRDefault="00BE3B61" w:rsidP="00BE3B61">
      <w:pPr>
        <w:pStyle w:val="ListParagraph"/>
        <w:rPr>
          <w:rFonts w:ascii="Arial" w:hAnsi="Arial" w:cs="Arial"/>
          <w:sz w:val="24"/>
          <w:szCs w:val="24"/>
        </w:rPr>
      </w:pPr>
    </w:p>
    <w:p w:rsidR="00C12FA7" w:rsidRPr="00C12FA7" w:rsidRDefault="007E0560" w:rsidP="004B037C">
      <w:pPr>
        <w:pStyle w:val="ListParagraph"/>
        <w:numPr>
          <w:ilvl w:val="0"/>
          <w:numId w:val="16"/>
        </w:numPr>
        <w:spacing w:after="0" w:line="360" w:lineRule="auto"/>
        <w:ind w:left="0" w:firstLine="0"/>
        <w:jc w:val="both"/>
      </w:pPr>
      <w:r>
        <w:rPr>
          <w:rFonts w:ascii="Arial" w:hAnsi="Arial" w:cs="Arial"/>
          <w:sz w:val="24"/>
          <w:szCs w:val="24"/>
        </w:rPr>
        <w:t>Art 16 property rights: The PG denied that there was or will be an arbitrary deprivation of the applicants’ right to property</w:t>
      </w:r>
      <w:r w:rsidR="00C12FA7">
        <w:rPr>
          <w:rFonts w:ascii="Arial" w:hAnsi="Arial" w:cs="Arial"/>
          <w:sz w:val="24"/>
          <w:szCs w:val="24"/>
        </w:rPr>
        <w:t xml:space="preserve"> and further denies that the definition of ‘</w:t>
      </w:r>
      <w:r w:rsidR="00C12FA7" w:rsidRPr="00C12FA7">
        <w:rPr>
          <w:rFonts w:ascii="Arial" w:hAnsi="Arial" w:cs="Arial"/>
          <w:sz w:val="24"/>
          <w:szCs w:val="24"/>
        </w:rPr>
        <w:t>proceeds of unlawful activities</w:t>
      </w:r>
      <w:r w:rsidR="00C12FA7">
        <w:rPr>
          <w:rFonts w:ascii="Arial" w:hAnsi="Arial" w:cs="Arial"/>
          <w:sz w:val="24"/>
          <w:szCs w:val="24"/>
        </w:rPr>
        <w:t xml:space="preserve">’ negates the essential contents of rights to property. </w:t>
      </w:r>
      <w:r>
        <w:rPr>
          <w:rFonts w:ascii="Arial" w:hAnsi="Arial" w:cs="Arial"/>
          <w:sz w:val="24"/>
          <w:szCs w:val="24"/>
        </w:rPr>
        <w:t xml:space="preserve">The PG further stated that the proceeds of unlawful activities do not constitute property </w:t>
      </w:r>
      <w:r w:rsidR="00874741">
        <w:rPr>
          <w:rFonts w:ascii="Arial" w:hAnsi="Arial" w:cs="Arial"/>
          <w:sz w:val="24"/>
          <w:szCs w:val="24"/>
        </w:rPr>
        <w:t>for</w:t>
      </w:r>
      <w:r>
        <w:rPr>
          <w:rFonts w:ascii="Arial" w:hAnsi="Arial" w:cs="Arial"/>
          <w:sz w:val="24"/>
          <w:szCs w:val="24"/>
        </w:rPr>
        <w:t xml:space="preserve"> which constitutional protection is available. </w:t>
      </w:r>
    </w:p>
    <w:p w:rsidR="00C12FA7" w:rsidRDefault="00C12FA7" w:rsidP="004B037C">
      <w:pPr>
        <w:pStyle w:val="ListParagraph"/>
        <w:numPr>
          <w:ilvl w:val="0"/>
          <w:numId w:val="16"/>
        </w:numPr>
        <w:spacing w:after="0" w:line="360" w:lineRule="auto"/>
        <w:ind w:left="0" w:firstLine="0"/>
        <w:jc w:val="both"/>
        <w:rPr>
          <w:rFonts w:ascii="Arial" w:hAnsi="Arial" w:cs="Arial"/>
          <w:sz w:val="24"/>
          <w:szCs w:val="24"/>
        </w:rPr>
      </w:pPr>
      <w:r w:rsidRPr="00C12FA7">
        <w:rPr>
          <w:rFonts w:ascii="Arial" w:hAnsi="Arial" w:cs="Arial"/>
          <w:sz w:val="24"/>
          <w:szCs w:val="24"/>
        </w:rPr>
        <w:t>Ar</w:t>
      </w:r>
      <w:r>
        <w:rPr>
          <w:rFonts w:ascii="Arial" w:hAnsi="Arial" w:cs="Arial"/>
          <w:sz w:val="24"/>
          <w:szCs w:val="24"/>
        </w:rPr>
        <w:t>t</w:t>
      </w:r>
      <w:r w:rsidR="00376D2D">
        <w:rPr>
          <w:rFonts w:ascii="Arial" w:hAnsi="Arial" w:cs="Arial"/>
          <w:sz w:val="24"/>
          <w:szCs w:val="24"/>
        </w:rPr>
        <w:t>icle</w:t>
      </w:r>
      <w:r>
        <w:rPr>
          <w:rFonts w:ascii="Arial" w:hAnsi="Arial" w:cs="Arial"/>
          <w:sz w:val="24"/>
          <w:szCs w:val="24"/>
        </w:rPr>
        <w:t xml:space="preserve"> 8 rights to human dignity: The PG submitted that the applicants made an assertion of breach without </w:t>
      </w:r>
      <w:r w:rsidR="00874741">
        <w:rPr>
          <w:rFonts w:ascii="Arial" w:hAnsi="Arial" w:cs="Arial"/>
          <w:sz w:val="24"/>
          <w:szCs w:val="24"/>
        </w:rPr>
        <w:t>explaining</w:t>
      </w:r>
      <w:r>
        <w:rPr>
          <w:rFonts w:ascii="Arial" w:hAnsi="Arial" w:cs="Arial"/>
          <w:sz w:val="24"/>
          <w:szCs w:val="24"/>
        </w:rPr>
        <w:t xml:space="preserve"> why this is said to be the case or </w:t>
      </w:r>
      <w:r w:rsidR="00874741">
        <w:rPr>
          <w:rFonts w:ascii="Arial" w:hAnsi="Arial" w:cs="Arial"/>
          <w:sz w:val="24"/>
          <w:szCs w:val="24"/>
        </w:rPr>
        <w:t>how</w:t>
      </w:r>
      <w:r>
        <w:rPr>
          <w:rFonts w:ascii="Arial" w:hAnsi="Arial" w:cs="Arial"/>
          <w:sz w:val="24"/>
          <w:szCs w:val="24"/>
        </w:rPr>
        <w:t xml:space="preserve"> the definition breaches the applicants’ right to human dignity or will result in such a breach. </w:t>
      </w:r>
    </w:p>
    <w:p w:rsidR="00825DC1" w:rsidRDefault="00825DC1" w:rsidP="004B037C">
      <w:pPr>
        <w:pStyle w:val="ListParagraph"/>
        <w:numPr>
          <w:ilvl w:val="0"/>
          <w:numId w:val="16"/>
        </w:numPr>
        <w:spacing w:after="0" w:line="360" w:lineRule="auto"/>
        <w:ind w:left="0" w:firstLine="0"/>
        <w:jc w:val="both"/>
        <w:rPr>
          <w:rFonts w:ascii="Arial" w:hAnsi="Arial" w:cs="Arial"/>
          <w:sz w:val="24"/>
          <w:szCs w:val="24"/>
        </w:rPr>
      </w:pPr>
      <w:r>
        <w:rPr>
          <w:rFonts w:ascii="Arial" w:hAnsi="Arial" w:cs="Arial"/>
          <w:sz w:val="24"/>
          <w:szCs w:val="24"/>
        </w:rPr>
        <w:t>Art</w:t>
      </w:r>
      <w:r w:rsidR="00376D2D">
        <w:rPr>
          <w:rFonts w:ascii="Arial" w:hAnsi="Arial" w:cs="Arial"/>
          <w:sz w:val="24"/>
          <w:szCs w:val="24"/>
        </w:rPr>
        <w:t>icle</w:t>
      </w:r>
      <w:r>
        <w:rPr>
          <w:rFonts w:ascii="Arial" w:hAnsi="Arial" w:cs="Arial"/>
          <w:sz w:val="24"/>
          <w:szCs w:val="24"/>
        </w:rPr>
        <w:t xml:space="preserve"> 21(1)(</w:t>
      </w:r>
      <w:r w:rsidRPr="00825DC1">
        <w:rPr>
          <w:rFonts w:ascii="Arial" w:hAnsi="Arial" w:cs="Arial"/>
          <w:i/>
          <w:sz w:val="24"/>
          <w:szCs w:val="24"/>
        </w:rPr>
        <w:t>j</w:t>
      </w:r>
      <w:r>
        <w:rPr>
          <w:rFonts w:ascii="Arial" w:hAnsi="Arial" w:cs="Arial"/>
          <w:sz w:val="24"/>
          <w:szCs w:val="24"/>
        </w:rPr>
        <w:t>) right to practi</w:t>
      </w:r>
      <w:r w:rsidR="002610D8">
        <w:rPr>
          <w:rFonts w:ascii="Arial" w:hAnsi="Arial" w:cs="Arial"/>
          <w:sz w:val="24"/>
          <w:szCs w:val="24"/>
        </w:rPr>
        <w:t>s</w:t>
      </w:r>
      <w:r>
        <w:rPr>
          <w:rFonts w:ascii="Arial" w:hAnsi="Arial" w:cs="Arial"/>
          <w:sz w:val="24"/>
          <w:szCs w:val="24"/>
        </w:rPr>
        <w:t xml:space="preserve">e any profession, or carry on any occupation, trade or business: </w:t>
      </w:r>
      <w:r w:rsidR="002162AD">
        <w:rPr>
          <w:rFonts w:ascii="Arial" w:hAnsi="Arial" w:cs="Arial"/>
          <w:sz w:val="24"/>
          <w:szCs w:val="24"/>
        </w:rPr>
        <w:t>In this regard as well</w:t>
      </w:r>
      <w:r w:rsidR="00874741">
        <w:rPr>
          <w:rFonts w:ascii="Arial" w:hAnsi="Arial" w:cs="Arial"/>
          <w:sz w:val="24"/>
          <w:szCs w:val="24"/>
        </w:rPr>
        <w:t>,</w:t>
      </w:r>
      <w:r w:rsidR="002162AD">
        <w:rPr>
          <w:rFonts w:ascii="Arial" w:hAnsi="Arial" w:cs="Arial"/>
          <w:sz w:val="24"/>
          <w:szCs w:val="24"/>
        </w:rPr>
        <w:t xml:space="preserve"> the PG submitted that the applicants made a bare allegation without any explanation of </w:t>
      </w:r>
      <w:r w:rsidR="002C5393">
        <w:rPr>
          <w:rFonts w:ascii="Arial" w:hAnsi="Arial" w:cs="Arial"/>
          <w:sz w:val="24"/>
          <w:szCs w:val="24"/>
        </w:rPr>
        <w:t>the</w:t>
      </w:r>
      <w:r w:rsidR="002162AD">
        <w:rPr>
          <w:rFonts w:ascii="Arial" w:hAnsi="Arial" w:cs="Arial"/>
          <w:sz w:val="24"/>
          <w:szCs w:val="24"/>
        </w:rPr>
        <w:t xml:space="preserve"> manner</w:t>
      </w:r>
      <w:r w:rsidR="007D2D19">
        <w:rPr>
          <w:rFonts w:ascii="Arial" w:hAnsi="Arial" w:cs="Arial"/>
          <w:sz w:val="24"/>
          <w:szCs w:val="24"/>
        </w:rPr>
        <w:t xml:space="preserve"> in which</w:t>
      </w:r>
      <w:r w:rsidR="002162AD">
        <w:rPr>
          <w:rFonts w:ascii="Arial" w:hAnsi="Arial" w:cs="Arial"/>
          <w:sz w:val="24"/>
          <w:szCs w:val="24"/>
        </w:rPr>
        <w:t xml:space="preserve"> the definition breaches the rights set out in Art</w:t>
      </w:r>
      <w:r w:rsidR="00376D2D">
        <w:rPr>
          <w:rFonts w:ascii="Arial" w:hAnsi="Arial" w:cs="Arial"/>
          <w:sz w:val="24"/>
          <w:szCs w:val="24"/>
        </w:rPr>
        <w:t>icle</w:t>
      </w:r>
      <w:r w:rsidR="002162AD">
        <w:rPr>
          <w:rFonts w:ascii="Arial" w:hAnsi="Arial" w:cs="Arial"/>
          <w:sz w:val="24"/>
          <w:szCs w:val="24"/>
        </w:rPr>
        <w:t xml:space="preserve"> 21(1)(</w:t>
      </w:r>
      <w:r w:rsidR="002162AD" w:rsidRPr="00825DC1">
        <w:rPr>
          <w:rFonts w:ascii="Arial" w:hAnsi="Arial" w:cs="Arial"/>
          <w:i/>
          <w:sz w:val="24"/>
          <w:szCs w:val="24"/>
        </w:rPr>
        <w:t>j</w:t>
      </w:r>
      <w:r w:rsidR="002162AD">
        <w:rPr>
          <w:rFonts w:ascii="Arial" w:hAnsi="Arial" w:cs="Arial"/>
          <w:sz w:val="24"/>
          <w:szCs w:val="24"/>
        </w:rPr>
        <w:t xml:space="preserve">). The PG denies that there is or will be such a breach. </w:t>
      </w:r>
    </w:p>
    <w:p w:rsidR="002162AD" w:rsidRDefault="002162AD" w:rsidP="002162AD">
      <w:pPr>
        <w:spacing w:after="0" w:line="360" w:lineRule="auto"/>
        <w:jc w:val="both"/>
        <w:rPr>
          <w:rFonts w:ascii="Arial" w:hAnsi="Arial" w:cs="Arial"/>
          <w:sz w:val="24"/>
          <w:szCs w:val="24"/>
        </w:rPr>
      </w:pPr>
    </w:p>
    <w:p w:rsidR="00ED0FF1" w:rsidRDefault="00051EC0" w:rsidP="00051EC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In respect of the proportionality principle, the PG submitted that in the application for the preservation order, it was alleged that the applicants knew or ought to reasonably have known that the transaction with BIPA was unlawful on various grounds</w:t>
      </w:r>
      <w:r w:rsidR="00E552E5">
        <w:rPr>
          <w:rFonts w:ascii="Arial" w:hAnsi="Arial" w:cs="Arial"/>
          <w:sz w:val="24"/>
          <w:szCs w:val="24"/>
        </w:rPr>
        <w:t xml:space="preserve"> and as a result of an illegal and unlawful agreement the N$18 000 000 was paid over to the applicants via </w:t>
      </w:r>
      <w:r w:rsidR="00356F77">
        <w:rPr>
          <w:rFonts w:ascii="Arial" w:hAnsi="Arial" w:cs="Arial"/>
          <w:sz w:val="24"/>
          <w:szCs w:val="24"/>
        </w:rPr>
        <w:t xml:space="preserve">the law firm </w:t>
      </w:r>
      <w:r w:rsidR="00E552E5">
        <w:rPr>
          <w:rFonts w:ascii="Arial" w:hAnsi="Arial" w:cs="Arial"/>
          <w:sz w:val="24"/>
          <w:szCs w:val="24"/>
        </w:rPr>
        <w:t xml:space="preserve">Ellis Shilengudwa Incorporated into their respective accounts. </w:t>
      </w:r>
    </w:p>
    <w:p w:rsidR="00E552E5" w:rsidRDefault="00E552E5" w:rsidP="00E552E5">
      <w:pPr>
        <w:pStyle w:val="ListParagraph"/>
        <w:spacing w:after="0" w:line="360" w:lineRule="auto"/>
        <w:ind w:left="0"/>
        <w:jc w:val="both"/>
        <w:rPr>
          <w:rFonts w:ascii="Arial" w:hAnsi="Arial" w:cs="Arial"/>
          <w:sz w:val="24"/>
          <w:szCs w:val="24"/>
        </w:rPr>
      </w:pPr>
    </w:p>
    <w:p w:rsidR="00E552E5" w:rsidRDefault="00E552E5" w:rsidP="00051EC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The PG</w:t>
      </w:r>
      <w:r w:rsidR="00FC0C53">
        <w:rPr>
          <w:rFonts w:ascii="Arial" w:hAnsi="Arial" w:cs="Arial"/>
          <w:sz w:val="24"/>
          <w:szCs w:val="24"/>
        </w:rPr>
        <w:t xml:space="preserve"> further</w:t>
      </w:r>
      <w:r>
        <w:rPr>
          <w:rFonts w:ascii="Arial" w:hAnsi="Arial" w:cs="Arial"/>
          <w:sz w:val="24"/>
          <w:szCs w:val="24"/>
        </w:rPr>
        <w:t xml:space="preserve"> averred that the payment would not have been made</w:t>
      </w:r>
      <w:r w:rsidR="00441908">
        <w:rPr>
          <w:rFonts w:ascii="Arial" w:hAnsi="Arial" w:cs="Arial"/>
          <w:sz w:val="24"/>
          <w:szCs w:val="24"/>
        </w:rPr>
        <w:t>,</w:t>
      </w:r>
      <w:r>
        <w:rPr>
          <w:rFonts w:ascii="Arial" w:hAnsi="Arial" w:cs="Arial"/>
          <w:sz w:val="24"/>
          <w:szCs w:val="24"/>
        </w:rPr>
        <w:t xml:space="preserve"> but for the unlawful activities, which constituted a variety of criminal offences and on that basis</w:t>
      </w:r>
      <w:r w:rsidR="00874741">
        <w:rPr>
          <w:rFonts w:ascii="Arial" w:hAnsi="Arial" w:cs="Arial"/>
          <w:sz w:val="24"/>
          <w:szCs w:val="24"/>
        </w:rPr>
        <w:t>,</w:t>
      </w:r>
      <w:r>
        <w:rPr>
          <w:rFonts w:ascii="Arial" w:hAnsi="Arial" w:cs="Arial"/>
          <w:sz w:val="24"/>
          <w:szCs w:val="24"/>
        </w:rPr>
        <w:t xml:space="preserve"> it was submitted in the forfeiture application that the positive balance in the first applicant’s Capricorn Investment account and his positive balance in his Bank Windhoek account are proceeds of unlawful activities. </w:t>
      </w:r>
    </w:p>
    <w:p w:rsidR="00610614" w:rsidRPr="00610614" w:rsidRDefault="00610614" w:rsidP="00610614">
      <w:pPr>
        <w:pStyle w:val="ListParagraph"/>
        <w:rPr>
          <w:rFonts w:ascii="Arial" w:hAnsi="Arial" w:cs="Arial"/>
          <w:sz w:val="24"/>
          <w:szCs w:val="24"/>
        </w:rPr>
      </w:pPr>
    </w:p>
    <w:p w:rsidR="00610614" w:rsidRDefault="00610614" w:rsidP="00051EC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 xml:space="preserve">The PG submitted that if the contentions of the applicants are correct and the definition of ‘proceeds of unlawful activities’ is inconsistent with the Namibian Constitution and is struck out, it would result in placing a person receiving proceeds of unlawful </w:t>
      </w:r>
      <w:r>
        <w:rPr>
          <w:rFonts w:ascii="Arial" w:hAnsi="Arial" w:cs="Arial"/>
          <w:sz w:val="24"/>
          <w:szCs w:val="24"/>
        </w:rPr>
        <w:lastRenderedPageBreak/>
        <w:t xml:space="preserve">activities beyond the reach of Chapter 6 of POCA by simply intermingling the illegitimate funds with the legitimate fund in an account. This would defeat the purpose of the Act. </w:t>
      </w:r>
    </w:p>
    <w:p w:rsidR="00610614" w:rsidRPr="00610614" w:rsidRDefault="00610614" w:rsidP="00610614">
      <w:pPr>
        <w:pStyle w:val="ListParagraph"/>
        <w:rPr>
          <w:rFonts w:ascii="Arial" w:hAnsi="Arial" w:cs="Arial"/>
          <w:sz w:val="24"/>
          <w:szCs w:val="24"/>
        </w:rPr>
      </w:pPr>
    </w:p>
    <w:p w:rsidR="00610614" w:rsidRDefault="00610614" w:rsidP="00051EC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 xml:space="preserve">The PG accepted that the mingling of proceeds with other funds does not automatically render all funds liable for forfeiture on the basis that they all constitute the proceeds of an offence. However, the PG submitted that in determining whether such mingled funds are to be declared forfeited, a court would have regard to the principle of proportionality. </w:t>
      </w:r>
    </w:p>
    <w:p w:rsidR="00A24ED5" w:rsidRPr="00A24ED5" w:rsidRDefault="00A24ED5" w:rsidP="00A24ED5">
      <w:pPr>
        <w:pStyle w:val="ListParagraph"/>
        <w:rPr>
          <w:rFonts w:ascii="Arial" w:hAnsi="Arial" w:cs="Arial"/>
          <w:sz w:val="24"/>
          <w:szCs w:val="24"/>
        </w:rPr>
      </w:pPr>
    </w:p>
    <w:p w:rsidR="00A24ED5" w:rsidRDefault="00874741" w:rsidP="00051EC0">
      <w:pPr>
        <w:pStyle w:val="ListParagraph"/>
        <w:numPr>
          <w:ilvl w:val="0"/>
          <w:numId w:val="18"/>
        </w:numPr>
        <w:spacing w:after="0" w:line="360" w:lineRule="auto"/>
        <w:ind w:left="0" w:firstLine="0"/>
        <w:jc w:val="both"/>
        <w:rPr>
          <w:rFonts w:ascii="Arial" w:hAnsi="Arial" w:cs="Arial"/>
          <w:sz w:val="24"/>
          <w:szCs w:val="24"/>
        </w:rPr>
      </w:pPr>
      <w:r>
        <w:rPr>
          <w:rFonts w:ascii="Arial" w:hAnsi="Arial" w:cs="Arial"/>
          <w:sz w:val="24"/>
          <w:szCs w:val="24"/>
        </w:rPr>
        <w:t>T</w:t>
      </w:r>
      <w:r w:rsidR="00A24ED5">
        <w:rPr>
          <w:rFonts w:ascii="Arial" w:hAnsi="Arial" w:cs="Arial"/>
          <w:sz w:val="24"/>
          <w:szCs w:val="24"/>
        </w:rPr>
        <w:t xml:space="preserve">he </w:t>
      </w:r>
      <w:r w:rsidR="004B037C">
        <w:rPr>
          <w:rFonts w:ascii="Arial" w:hAnsi="Arial" w:cs="Arial"/>
          <w:sz w:val="24"/>
          <w:szCs w:val="24"/>
        </w:rPr>
        <w:t>PG submitted that the main relief should be refused and</w:t>
      </w:r>
      <w:r>
        <w:rPr>
          <w:rFonts w:ascii="Arial" w:hAnsi="Arial" w:cs="Arial"/>
          <w:sz w:val="24"/>
          <w:szCs w:val="24"/>
        </w:rPr>
        <w:t xml:space="preserve"> further contended that </w:t>
      </w:r>
      <w:r w:rsidR="00945317">
        <w:rPr>
          <w:rFonts w:ascii="Arial" w:hAnsi="Arial" w:cs="Arial"/>
          <w:sz w:val="24"/>
          <w:szCs w:val="24"/>
        </w:rPr>
        <w:t>t</w:t>
      </w:r>
      <w:r w:rsidR="004B037C">
        <w:rPr>
          <w:rFonts w:ascii="Arial" w:hAnsi="Arial" w:cs="Arial"/>
          <w:sz w:val="24"/>
          <w:szCs w:val="24"/>
        </w:rPr>
        <w:t xml:space="preserve">he alternative relief sought </w:t>
      </w:r>
      <w:r w:rsidR="00945317">
        <w:rPr>
          <w:rFonts w:ascii="Arial" w:hAnsi="Arial" w:cs="Arial"/>
          <w:sz w:val="24"/>
          <w:szCs w:val="24"/>
        </w:rPr>
        <w:t>(</w:t>
      </w:r>
      <w:r w:rsidR="004B037C">
        <w:rPr>
          <w:rFonts w:ascii="Arial" w:hAnsi="Arial" w:cs="Arial"/>
          <w:sz w:val="24"/>
          <w:szCs w:val="24"/>
        </w:rPr>
        <w:t>that the court should ‘read into’ the definition</w:t>
      </w:r>
      <w:r w:rsidR="00945317">
        <w:rPr>
          <w:rFonts w:ascii="Arial" w:hAnsi="Arial" w:cs="Arial"/>
          <w:sz w:val="24"/>
          <w:szCs w:val="24"/>
        </w:rPr>
        <w:t>)</w:t>
      </w:r>
      <w:r w:rsidR="004B037C">
        <w:rPr>
          <w:rFonts w:ascii="Arial" w:hAnsi="Arial" w:cs="Arial"/>
          <w:sz w:val="24"/>
          <w:szCs w:val="24"/>
        </w:rPr>
        <w:t xml:space="preserve"> </w:t>
      </w:r>
      <w:r w:rsidR="00945317">
        <w:rPr>
          <w:rFonts w:ascii="Arial" w:hAnsi="Arial" w:cs="Arial"/>
          <w:sz w:val="24"/>
          <w:szCs w:val="24"/>
        </w:rPr>
        <w:t>is</w:t>
      </w:r>
      <w:r w:rsidR="004B037C">
        <w:rPr>
          <w:rFonts w:ascii="Arial" w:hAnsi="Arial" w:cs="Arial"/>
          <w:sz w:val="24"/>
          <w:szCs w:val="24"/>
        </w:rPr>
        <w:t xml:space="preserve"> incompetent </w:t>
      </w:r>
      <w:r w:rsidR="00281218">
        <w:rPr>
          <w:rFonts w:ascii="Arial" w:hAnsi="Arial" w:cs="Arial"/>
          <w:sz w:val="24"/>
          <w:szCs w:val="24"/>
        </w:rPr>
        <w:t>for the following reasons:</w:t>
      </w:r>
    </w:p>
    <w:p w:rsidR="00281218" w:rsidRPr="00281218" w:rsidRDefault="00281218" w:rsidP="00281218">
      <w:pPr>
        <w:pStyle w:val="ListParagraph"/>
        <w:rPr>
          <w:rFonts w:ascii="Arial" w:hAnsi="Arial" w:cs="Arial"/>
          <w:sz w:val="24"/>
          <w:szCs w:val="24"/>
        </w:rPr>
      </w:pPr>
    </w:p>
    <w:p w:rsidR="00956DE8" w:rsidRPr="00956DE8" w:rsidRDefault="00281218" w:rsidP="00945317">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court will read words into a statute only once it has found that the statute is inconsistent with the </w:t>
      </w:r>
      <w:r w:rsidR="00B005B0">
        <w:rPr>
          <w:rFonts w:ascii="Arial" w:hAnsi="Arial" w:cs="Arial"/>
          <w:sz w:val="24"/>
          <w:szCs w:val="24"/>
        </w:rPr>
        <w:t>Constitution</w:t>
      </w:r>
      <w:r w:rsidR="00093946">
        <w:rPr>
          <w:rFonts w:ascii="Arial" w:hAnsi="Arial" w:cs="Arial"/>
          <w:sz w:val="24"/>
          <w:szCs w:val="24"/>
        </w:rPr>
        <w:t xml:space="preserve">. </w:t>
      </w:r>
      <w:r w:rsidR="00956DE8">
        <w:rPr>
          <w:rFonts w:ascii="Arial" w:hAnsi="Arial" w:cs="Arial"/>
          <w:sz w:val="24"/>
          <w:szCs w:val="24"/>
        </w:rPr>
        <w:t xml:space="preserve">‘Reading in’ is not a mechanism for avoiding a finding for unconstitutionality. </w:t>
      </w:r>
      <w:r w:rsidR="00945317">
        <w:rPr>
          <w:rFonts w:ascii="Arial" w:hAnsi="Arial" w:cs="Arial"/>
          <w:sz w:val="24"/>
          <w:szCs w:val="24"/>
        </w:rPr>
        <w:t>Instead, it</w:t>
      </w:r>
      <w:r w:rsidR="00956DE8">
        <w:rPr>
          <w:rFonts w:ascii="Arial" w:hAnsi="Arial" w:cs="Arial"/>
          <w:sz w:val="24"/>
          <w:szCs w:val="24"/>
        </w:rPr>
        <w:t xml:space="preserve"> is a mechanism for remedying unconstitutionality. </w:t>
      </w:r>
    </w:p>
    <w:p w:rsidR="00824D48" w:rsidRDefault="00945317" w:rsidP="00945317">
      <w:pPr>
        <w:pStyle w:val="ListParagraph"/>
        <w:numPr>
          <w:ilvl w:val="0"/>
          <w:numId w:val="20"/>
        </w:numPr>
        <w:spacing w:after="0" w:line="360" w:lineRule="auto"/>
        <w:ind w:left="0" w:firstLine="0"/>
        <w:jc w:val="both"/>
        <w:rPr>
          <w:rFonts w:ascii="Arial" w:hAnsi="Arial" w:cs="Arial"/>
          <w:sz w:val="24"/>
          <w:szCs w:val="24"/>
        </w:rPr>
      </w:pPr>
      <w:r w:rsidRPr="00945317">
        <w:rPr>
          <w:rFonts w:ascii="Arial" w:hAnsi="Arial" w:cs="Arial"/>
          <w:sz w:val="24"/>
          <w:szCs w:val="24"/>
        </w:rPr>
        <w:t xml:space="preserve">In the course of litigation, the court would not </w:t>
      </w:r>
      <w:r w:rsidR="00824D48">
        <w:rPr>
          <w:rFonts w:ascii="Arial" w:hAnsi="Arial" w:cs="Arial"/>
          <w:sz w:val="24"/>
          <w:szCs w:val="24"/>
        </w:rPr>
        <w:t xml:space="preserve">issue a declaration as to the meaning of the statute in question as the court would not determine the litigation piecemeal, save in </w:t>
      </w:r>
      <w:r>
        <w:rPr>
          <w:rFonts w:ascii="Arial" w:hAnsi="Arial" w:cs="Arial"/>
          <w:sz w:val="24"/>
          <w:szCs w:val="24"/>
        </w:rPr>
        <w:t>exceptional</w:t>
      </w:r>
      <w:r w:rsidR="00824D48">
        <w:rPr>
          <w:rFonts w:ascii="Arial" w:hAnsi="Arial" w:cs="Arial"/>
          <w:sz w:val="24"/>
          <w:szCs w:val="24"/>
        </w:rPr>
        <w:t xml:space="preserve"> circumstances. </w:t>
      </w:r>
      <w:r>
        <w:rPr>
          <w:rFonts w:ascii="Arial" w:hAnsi="Arial" w:cs="Arial"/>
          <w:sz w:val="24"/>
          <w:szCs w:val="24"/>
        </w:rPr>
        <w:t>Instead, the</w:t>
      </w:r>
      <w:r w:rsidR="00956DE8">
        <w:rPr>
          <w:rFonts w:ascii="Arial" w:hAnsi="Arial" w:cs="Arial"/>
          <w:sz w:val="24"/>
          <w:szCs w:val="24"/>
        </w:rPr>
        <w:t xml:space="preserve"> applicant should have raised the constitutionality of the definition of ‘proceeds of unlawful activities’ </w:t>
      </w:r>
      <w:r>
        <w:rPr>
          <w:rFonts w:ascii="Arial" w:hAnsi="Arial" w:cs="Arial"/>
          <w:sz w:val="24"/>
          <w:szCs w:val="24"/>
        </w:rPr>
        <w:t>through</w:t>
      </w:r>
      <w:r w:rsidR="00956DE8">
        <w:rPr>
          <w:rFonts w:ascii="Arial" w:hAnsi="Arial" w:cs="Arial"/>
          <w:sz w:val="24"/>
          <w:szCs w:val="24"/>
        </w:rPr>
        <w:t xml:space="preserve"> a counter-application. </w:t>
      </w:r>
    </w:p>
    <w:p w:rsidR="00824D48" w:rsidRDefault="00B005B0" w:rsidP="00945317">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The courts do not issue general or abstract declarations as to the meaning of a statute.</w:t>
      </w:r>
    </w:p>
    <w:p w:rsidR="00B005B0" w:rsidRDefault="00B005B0" w:rsidP="00945317">
      <w:pPr>
        <w:pStyle w:val="ListParagraph"/>
        <w:numPr>
          <w:ilvl w:val="0"/>
          <w:numId w:val="20"/>
        </w:numPr>
        <w:spacing w:after="0" w:line="360" w:lineRule="auto"/>
        <w:ind w:left="0" w:firstLine="0"/>
        <w:jc w:val="both"/>
        <w:rPr>
          <w:rFonts w:ascii="Arial" w:hAnsi="Arial" w:cs="Arial"/>
          <w:sz w:val="24"/>
          <w:szCs w:val="24"/>
        </w:rPr>
      </w:pPr>
      <w:r>
        <w:rPr>
          <w:rFonts w:ascii="Arial" w:hAnsi="Arial" w:cs="Arial"/>
          <w:sz w:val="24"/>
          <w:szCs w:val="24"/>
        </w:rPr>
        <w:t xml:space="preserve">The declaration of the kind sought by the applicants would amount to legislation rather than a determination of the dispute between the opposing parties based on the facts of that case. </w:t>
      </w:r>
    </w:p>
    <w:p w:rsidR="00B005B0" w:rsidRDefault="00B005B0" w:rsidP="00945317">
      <w:pPr>
        <w:spacing w:after="0" w:line="360" w:lineRule="auto"/>
        <w:jc w:val="both"/>
        <w:rPr>
          <w:rFonts w:ascii="Arial" w:hAnsi="Arial" w:cs="Arial"/>
          <w:sz w:val="24"/>
          <w:szCs w:val="24"/>
        </w:rPr>
      </w:pPr>
    </w:p>
    <w:p w:rsidR="00B005B0" w:rsidRDefault="00B005B0" w:rsidP="00B005B0">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In response to the founding affidavit</w:t>
      </w:r>
      <w:r w:rsidR="00351FAF">
        <w:rPr>
          <w:rFonts w:ascii="Arial" w:hAnsi="Arial" w:cs="Arial"/>
          <w:sz w:val="24"/>
          <w:szCs w:val="24"/>
        </w:rPr>
        <w:t>,</w:t>
      </w:r>
      <w:r>
        <w:rPr>
          <w:rFonts w:ascii="Arial" w:hAnsi="Arial" w:cs="Arial"/>
          <w:sz w:val="24"/>
          <w:szCs w:val="24"/>
        </w:rPr>
        <w:t xml:space="preserve"> the PG submitted on the issue of the mingling of funds that the N$5 000 000 odd that w</w:t>
      </w:r>
      <w:r w:rsidR="004A1232">
        <w:rPr>
          <w:rFonts w:ascii="Arial" w:hAnsi="Arial" w:cs="Arial"/>
          <w:sz w:val="24"/>
          <w:szCs w:val="24"/>
        </w:rPr>
        <w:t>as</w:t>
      </w:r>
      <w:r>
        <w:rPr>
          <w:rFonts w:ascii="Arial" w:hAnsi="Arial" w:cs="Arial"/>
          <w:sz w:val="24"/>
          <w:szCs w:val="24"/>
        </w:rPr>
        <w:t xml:space="preserve"> in the first applicant’s bank account was used prior to the granting of the preservation order. The </w:t>
      </w:r>
      <w:r w:rsidR="00351FAF">
        <w:rPr>
          <w:rFonts w:ascii="Arial" w:hAnsi="Arial" w:cs="Arial"/>
          <w:sz w:val="24"/>
          <w:szCs w:val="24"/>
        </w:rPr>
        <w:t xml:space="preserve">PG avers that </w:t>
      </w:r>
      <w:r w:rsidR="00945317">
        <w:rPr>
          <w:rFonts w:ascii="Arial" w:hAnsi="Arial" w:cs="Arial"/>
          <w:sz w:val="24"/>
          <w:szCs w:val="24"/>
        </w:rPr>
        <w:t>f</w:t>
      </w:r>
      <w:r w:rsidR="00351FAF">
        <w:rPr>
          <w:rFonts w:ascii="Arial" w:hAnsi="Arial" w:cs="Arial"/>
          <w:sz w:val="24"/>
          <w:szCs w:val="24"/>
        </w:rPr>
        <w:t>rom the N$5 000</w:t>
      </w:r>
      <w:r w:rsidR="00BE3B61">
        <w:rPr>
          <w:rFonts w:ascii="Arial" w:hAnsi="Arial" w:cs="Arial"/>
          <w:sz w:val="24"/>
          <w:szCs w:val="24"/>
        </w:rPr>
        <w:t> </w:t>
      </w:r>
      <w:r w:rsidR="00351FAF">
        <w:rPr>
          <w:rFonts w:ascii="Arial" w:hAnsi="Arial" w:cs="Arial"/>
          <w:sz w:val="24"/>
          <w:szCs w:val="24"/>
        </w:rPr>
        <w:t>000</w:t>
      </w:r>
      <w:r w:rsidR="00BE3B61">
        <w:rPr>
          <w:rFonts w:ascii="Arial" w:hAnsi="Arial" w:cs="Arial"/>
          <w:sz w:val="24"/>
          <w:szCs w:val="24"/>
        </w:rPr>
        <w:t>,</w:t>
      </w:r>
      <w:r w:rsidR="00351FAF">
        <w:rPr>
          <w:rFonts w:ascii="Arial" w:hAnsi="Arial" w:cs="Arial"/>
          <w:sz w:val="24"/>
          <w:szCs w:val="24"/>
        </w:rPr>
        <w:t xml:space="preserve"> payments were made inter alia to Point Break Investments, Agribank, Anne Shilengudwa, </w:t>
      </w:r>
      <w:r w:rsidR="0024069A">
        <w:rPr>
          <w:rFonts w:ascii="Arial" w:hAnsi="Arial" w:cs="Arial"/>
          <w:sz w:val="24"/>
          <w:szCs w:val="24"/>
        </w:rPr>
        <w:t xml:space="preserve">Agra, </w:t>
      </w:r>
      <w:r w:rsidR="00351FAF">
        <w:rPr>
          <w:rFonts w:ascii="Arial" w:hAnsi="Arial" w:cs="Arial"/>
          <w:sz w:val="24"/>
          <w:szCs w:val="24"/>
        </w:rPr>
        <w:t>A</w:t>
      </w:r>
      <w:r w:rsidR="0024069A">
        <w:rPr>
          <w:rFonts w:ascii="Arial" w:hAnsi="Arial" w:cs="Arial"/>
          <w:sz w:val="24"/>
          <w:szCs w:val="24"/>
        </w:rPr>
        <w:t>SS</w:t>
      </w:r>
      <w:r w:rsidR="00351FAF">
        <w:rPr>
          <w:rFonts w:ascii="Arial" w:hAnsi="Arial" w:cs="Arial"/>
          <w:sz w:val="24"/>
          <w:szCs w:val="24"/>
        </w:rPr>
        <w:t xml:space="preserve"> Motors and the second applicant</w:t>
      </w:r>
      <w:r w:rsidR="00945317">
        <w:rPr>
          <w:rFonts w:ascii="Arial" w:hAnsi="Arial" w:cs="Arial"/>
          <w:sz w:val="24"/>
          <w:szCs w:val="24"/>
        </w:rPr>
        <w:t>,</w:t>
      </w:r>
      <w:r w:rsidR="00351FAF">
        <w:rPr>
          <w:rFonts w:ascii="Arial" w:hAnsi="Arial" w:cs="Arial"/>
          <w:sz w:val="24"/>
          <w:szCs w:val="24"/>
        </w:rPr>
        <w:t xml:space="preserve"> leaving a balance of N$1 671 618.72 in the </w:t>
      </w:r>
      <w:r w:rsidR="00351FAF">
        <w:rPr>
          <w:rFonts w:ascii="Arial" w:hAnsi="Arial" w:cs="Arial"/>
          <w:sz w:val="24"/>
          <w:szCs w:val="24"/>
        </w:rPr>
        <w:lastRenderedPageBreak/>
        <w:t xml:space="preserve">bank account of the first applicant, which mingled with the N$16 982 538.01. The PG further reasons that because the second </w:t>
      </w:r>
      <w:r w:rsidR="00C169A6">
        <w:rPr>
          <w:rFonts w:ascii="Arial" w:hAnsi="Arial" w:cs="Arial"/>
          <w:sz w:val="24"/>
          <w:szCs w:val="24"/>
        </w:rPr>
        <w:t>applicant</w:t>
      </w:r>
      <w:r w:rsidR="00351FAF">
        <w:rPr>
          <w:rFonts w:ascii="Arial" w:hAnsi="Arial" w:cs="Arial"/>
          <w:sz w:val="24"/>
          <w:szCs w:val="24"/>
        </w:rPr>
        <w:t xml:space="preserve"> already spent N$1 000 000 of the proceeds of the unlawful activity, it can be concluded that the ‘legitimate amount’ that co-mingled with the proceeds of unlawful activities in the account amounted to N$671 618.71.</w:t>
      </w:r>
    </w:p>
    <w:p w:rsidR="00956DE8" w:rsidRDefault="00956DE8" w:rsidP="00956DE8">
      <w:pPr>
        <w:pStyle w:val="ListParagraph"/>
        <w:spacing w:after="0" w:line="360" w:lineRule="auto"/>
        <w:ind w:left="0"/>
        <w:jc w:val="both"/>
        <w:rPr>
          <w:rFonts w:ascii="Arial" w:hAnsi="Arial" w:cs="Arial"/>
          <w:sz w:val="24"/>
          <w:szCs w:val="24"/>
        </w:rPr>
      </w:pPr>
    </w:p>
    <w:p w:rsidR="00796BE1" w:rsidRDefault="00F27C3E" w:rsidP="00B005B0">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The PG further submitted that t</w:t>
      </w:r>
      <w:r w:rsidR="00796BE1">
        <w:rPr>
          <w:rFonts w:ascii="Arial" w:hAnsi="Arial" w:cs="Arial"/>
          <w:sz w:val="24"/>
          <w:szCs w:val="24"/>
        </w:rPr>
        <w:t xml:space="preserve">he illegitimate funds paid into the applicants’ accounts and mingled with the legitimate funds </w:t>
      </w:r>
      <w:r w:rsidR="00D47B96">
        <w:rPr>
          <w:rFonts w:ascii="Arial" w:hAnsi="Arial" w:cs="Arial"/>
          <w:sz w:val="24"/>
          <w:szCs w:val="24"/>
        </w:rPr>
        <w:t>caused</w:t>
      </w:r>
      <w:r w:rsidR="00796BE1">
        <w:rPr>
          <w:rFonts w:ascii="Arial" w:hAnsi="Arial" w:cs="Arial"/>
          <w:sz w:val="24"/>
          <w:szCs w:val="24"/>
        </w:rPr>
        <w:t xml:space="preserve"> the latter to </w:t>
      </w:r>
      <w:r w:rsidR="00956DE8">
        <w:rPr>
          <w:rFonts w:ascii="Arial" w:hAnsi="Arial" w:cs="Arial"/>
          <w:sz w:val="24"/>
          <w:szCs w:val="24"/>
        </w:rPr>
        <w:t>lose</w:t>
      </w:r>
      <w:r w:rsidR="00796BE1">
        <w:rPr>
          <w:rFonts w:ascii="Arial" w:hAnsi="Arial" w:cs="Arial"/>
          <w:sz w:val="24"/>
          <w:szCs w:val="24"/>
        </w:rPr>
        <w:t xml:space="preserve"> its identity and cannot be separately identified. </w:t>
      </w:r>
    </w:p>
    <w:p w:rsidR="00796BE1" w:rsidRDefault="00796BE1" w:rsidP="00796BE1">
      <w:pPr>
        <w:pStyle w:val="ListParagraph"/>
        <w:spacing w:after="0" w:line="360" w:lineRule="auto"/>
        <w:ind w:left="0"/>
        <w:jc w:val="both"/>
        <w:rPr>
          <w:rFonts w:ascii="Arial" w:hAnsi="Arial" w:cs="Arial"/>
          <w:sz w:val="24"/>
          <w:szCs w:val="24"/>
        </w:rPr>
      </w:pPr>
    </w:p>
    <w:p w:rsidR="004B242D" w:rsidRDefault="00796BE1" w:rsidP="00B005B0">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 xml:space="preserve">The PG further contended that the first applicant </w:t>
      </w:r>
      <w:r w:rsidR="001F0114">
        <w:rPr>
          <w:rFonts w:ascii="Arial" w:hAnsi="Arial" w:cs="Arial"/>
          <w:sz w:val="24"/>
          <w:szCs w:val="24"/>
        </w:rPr>
        <w:t>was</w:t>
      </w:r>
      <w:r>
        <w:rPr>
          <w:rFonts w:ascii="Arial" w:hAnsi="Arial" w:cs="Arial"/>
          <w:sz w:val="24"/>
          <w:szCs w:val="24"/>
        </w:rPr>
        <w:t xml:space="preserve"> </w:t>
      </w:r>
      <w:r w:rsidR="00945317">
        <w:rPr>
          <w:rFonts w:ascii="Arial" w:hAnsi="Arial" w:cs="Arial"/>
          <w:sz w:val="24"/>
          <w:szCs w:val="24"/>
        </w:rPr>
        <w:t>yet to seek</w:t>
      </w:r>
      <w:r>
        <w:rPr>
          <w:rFonts w:ascii="Arial" w:hAnsi="Arial" w:cs="Arial"/>
          <w:sz w:val="24"/>
          <w:szCs w:val="24"/>
        </w:rPr>
        <w:t xml:space="preserve"> the release of the restrained funds </w:t>
      </w:r>
      <w:r w:rsidR="00945317">
        <w:rPr>
          <w:rFonts w:ascii="Arial" w:hAnsi="Arial" w:cs="Arial"/>
          <w:sz w:val="24"/>
          <w:szCs w:val="24"/>
        </w:rPr>
        <w:t>to pay</w:t>
      </w:r>
      <w:r>
        <w:rPr>
          <w:rFonts w:ascii="Arial" w:hAnsi="Arial" w:cs="Arial"/>
          <w:sz w:val="24"/>
          <w:szCs w:val="24"/>
        </w:rPr>
        <w:t xml:space="preserve"> his living and legal expenses and </w:t>
      </w:r>
      <w:r w:rsidR="00945317">
        <w:rPr>
          <w:rFonts w:ascii="Arial" w:hAnsi="Arial" w:cs="Arial"/>
          <w:sz w:val="24"/>
          <w:szCs w:val="24"/>
        </w:rPr>
        <w:t>concluded that the first applicant</w:t>
      </w:r>
      <w:r>
        <w:rPr>
          <w:rFonts w:ascii="Arial" w:hAnsi="Arial" w:cs="Arial"/>
          <w:sz w:val="24"/>
          <w:szCs w:val="24"/>
        </w:rPr>
        <w:t xml:space="preserve"> must have an alternative source of funds.</w:t>
      </w:r>
    </w:p>
    <w:p w:rsidR="004B242D" w:rsidRPr="004B242D" w:rsidRDefault="004B242D" w:rsidP="004B242D">
      <w:pPr>
        <w:pStyle w:val="ListParagraph"/>
        <w:rPr>
          <w:rFonts w:ascii="Arial" w:hAnsi="Arial" w:cs="Arial"/>
          <w:sz w:val="24"/>
          <w:szCs w:val="24"/>
        </w:rPr>
      </w:pPr>
    </w:p>
    <w:p w:rsidR="00796BE1" w:rsidRDefault="004B242D" w:rsidP="00B005B0">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In conclusion</w:t>
      </w:r>
      <w:r w:rsidR="00945317">
        <w:rPr>
          <w:rFonts w:ascii="Arial" w:hAnsi="Arial" w:cs="Arial"/>
          <w:sz w:val="24"/>
          <w:szCs w:val="24"/>
        </w:rPr>
        <w:t>,</w:t>
      </w:r>
      <w:r>
        <w:rPr>
          <w:rFonts w:ascii="Arial" w:hAnsi="Arial" w:cs="Arial"/>
          <w:sz w:val="24"/>
          <w:szCs w:val="24"/>
        </w:rPr>
        <w:t xml:space="preserve"> the PG submitted that</w:t>
      </w:r>
      <w:r w:rsidR="00945317">
        <w:rPr>
          <w:rFonts w:ascii="Arial" w:hAnsi="Arial" w:cs="Arial"/>
          <w:sz w:val="24"/>
          <w:szCs w:val="24"/>
        </w:rPr>
        <w:t>,</w:t>
      </w:r>
      <w:r>
        <w:rPr>
          <w:rFonts w:ascii="Arial" w:hAnsi="Arial" w:cs="Arial"/>
          <w:sz w:val="24"/>
          <w:szCs w:val="24"/>
        </w:rPr>
        <w:t xml:space="preserve"> in</w:t>
      </w:r>
      <w:r w:rsidR="00956DE8">
        <w:rPr>
          <w:rFonts w:ascii="Arial" w:hAnsi="Arial" w:cs="Arial"/>
          <w:sz w:val="24"/>
          <w:szCs w:val="24"/>
        </w:rPr>
        <w:t xml:space="preserve"> her view</w:t>
      </w:r>
      <w:r w:rsidR="00945317">
        <w:rPr>
          <w:rFonts w:ascii="Arial" w:hAnsi="Arial" w:cs="Arial"/>
          <w:sz w:val="24"/>
          <w:szCs w:val="24"/>
        </w:rPr>
        <w:t>,</w:t>
      </w:r>
      <w:r w:rsidR="00956DE8">
        <w:rPr>
          <w:rFonts w:ascii="Arial" w:hAnsi="Arial" w:cs="Arial"/>
          <w:sz w:val="24"/>
          <w:szCs w:val="24"/>
        </w:rPr>
        <w:t xml:space="preserve"> the applicants failed to </w:t>
      </w:r>
      <w:r>
        <w:rPr>
          <w:rFonts w:ascii="Arial" w:hAnsi="Arial" w:cs="Arial"/>
          <w:sz w:val="24"/>
          <w:szCs w:val="24"/>
        </w:rPr>
        <w:t xml:space="preserve">demonstrate that their rights have been adversely affected as their rights are protected by the remedy provided by the Act and the principle of proportionality. </w:t>
      </w:r>
    </w:p>
    <w:p w:rsidR="004B242D" w:rsidRDefault="004B242D" w:rsidP="004B242D">
      <w:pPr>
        <w:pStyle w:val="ListParagraph"/>
        <w:spacing w:after="0" w:line="360" w:lineRule="auto"/>
        <w:ind w:left="0"/>
        <w:jc w:val="both"/>
        <w:rPr>
          <w:rFonts w:ascii="Arial" w:hAnsi="Arial" w:cs="Arial"/>
          <w:sz w:val="24"/>
          <w:szCs w:val="24"/>
        </w:rPr>
      </w:pPr>
    </w:p>
    <w:p w:rsidR="004B242D" w:rsidRPr="004B242D" w:rsidRDefault="004B242D" w:rsidP="004B242D">
      <w:pPr>
        <w:pStyle w:val="ListParagraph"/>
        <w:spacing w:after="0" w:line="360" w:lineRule="auto"/>
        <w:ind w:left="0"/>
        <w:jc w:val="both"/>
        <w:rPr>
          <w:rFonts w:ascii="Arial" w:hAnsi="Arial" w:cs="Arial"/>
          <w:sz w:val="24"/>
          <w:szCs w:val="24"/>
          <w:u w:val="single"/>
        </w:rPr>
      </w:pPr>
      <w:r w:rsidRPr="004B242D">
        <w:rPr>
          <w:rFonts w:ascii="Arial" w:hAnsi="Arial" w:cs="Arial"/>
          <w:sz w:val="24"/>
          <w:szCs w:val="24"/>
          <w:u w:val="single"/>
        </w:rPr>
        <w:t>Arguments advanced on behalf of the parties</w:t>
      </w:r>
    </w:p>
    <w:p w:rsidR="004B242D" w:rsidRPr="004B242D" w:rsidRDefault="004B242D" w:rsidP="004B242D">
      <w:pPr>
        <w:pStyle w:val="ListParagraph"/>
        <w:rPr>
          <w:rFonts w:ascii="Arial" w:hAnsi="Arial" w:cs="Arial"/>
          <w:sz w:val="24"/>
          <w:szCs w:val="24"/>
        </w:rPr>
      </w:pPr>
    </w:p>
    <w:p w:rsidR="004B242D" w:rsidRDefault="004B242D" w:rsidP="004B242D">
      <w:pPr>
        <w:pStyle w:val="ListParagraph"/>
        <w:numPr>
          <w:ilvl w:val="0"/>
          <w:numId w:val="22"/>
        </w:numPr>
        <w:spacing w:after="0" w:line="360" w:lineRule="auto"/>
        <w:ind w:left="0" w:firstLine="0"/>
        <w:jc w:val="both"/>
        <w:rPr>
          <w:rFonts w:ascii="Arial" w:hAnsi="Arial" w:cs="Arial"/>
          <w:sz w:val="24"/>
          <w:szCs w:val="24"/>
        </w:rPr>
      </w:pPr>
      <w:r w:rsidRPr="004B242D">
        <w:rPr>
          <w:rFonts w:ascii="Arial" w:hAnsi="Arial" w:cs="Arial"/>
          <w:sz w:val="24"/>
          <w:szCs w:val="24"/>
        </w:rPr>
        <w:t xml:space="preserve">In the course of this </w:t>
      </w:r>
      <w:r>
        <w:rPr>
          <w:rFonts w:ascii="Arial" w:hAnsi="Arial" w:cs="Arial"/>
          <w:sz w:val="24"/>
          <w:szCs w:val="24"/>
        </w:rPr>
        <w:t>judgment</w:t>
      </w:r>
      <w:r w:rsidRPr="004B242D">
        <w:rPr>
          <w:rFonts w:ascii="Arial" w:hAnsi="Arial" w:cs="Arial"/>
          <w:sz w:val="24"/>
          <w:szCs w:val="24"/>
        </w:rPr>
        <w:t>, the words ‘submitted’ and ‘argued’ and their derivatives must be understood to encompass both the heads of arguments and the oral submissions made in court.</w:t>
      </w:r>
    </w:p>
    <w:p w:rsidR="0035276E" w:rsidRDefault="0035276E" w:rsidP="004B242D">
      <w:pPr>
        <w:pStyle w:val="ListParagraph"/>
        <w:spacing w:after="0" w:line="360" w:lineRule="auto"/>
        <w:ind w:left="0"/>
        <w:jc w:val="both"/>
        <w:rPr>
          <w:rFonts w:ascii="Arial" w:hAnsi="Arial" w:cs="Arial"/>
          <w:i/>
          <w:sz w:val="24"/>
          <w:szCs w:val="24"/>
        </w:rPr>
      </w:pPr>
    </w:p>
    <w:p w:rsidR="004B242D" w:rsidRDefault="004B242D" w:rsidP="004B242D">
      <w:pPr>
        <w:pStyle w:val="ListParagraph"/>
        <w:spacing w:after="0" w:line="360" w:lineRule="auto"/>
        <w:ind w:left="0"/>
        <w:jc w:val="both"/>
        <w:rPr>
          <w:rFonts w:ascii="Arial" w:hAnsi="Arial" w:cs="Arial"/>
          <w:i/>
          <w:sz w:val="24"/>
          <w:szCs w:val="24"/>
        </w:rPr>
      </w:pPr>
      <w:r w:rsidRPr="004B242D">
        <w:rPr>
          <w:rFonts w:ascii="Arial" w:hAnsi="Arial" w:cs="Arial"/>
          <w:i/>
          <w:sz w:val="24"/>
          <w:szCs w:val="24"/>
        </w:rPr>
        <w:t>On behalf of the applicants</w:t>
      </w:r>
    </w:p>
    <w:p w:rsidR="004B242D" w:rsidRPr="004B242D" w:rsidRDefault="004B242D" w:rsidP="004B242D">
      <w:pPr>
        <w:pStyle w:val="ListParagraph"/>
        <w:spacing w:after="0" w:line="360" w:lineRule="auto"/>
        <w:ind w:left="0"/>
        <w:jc w:val="both"/>
        <w:rPr>
          <w:rFonts w:ascii="Arial" w:hAnsi="Arial" w:cs="Arial"/>
          <w:i/>
          <w:sz w:val="24"/>
          <w:szCs w:val="24"/>
        </w:rPr>
      </w:pPr>
    </w:p>
    <w:p w:rsidR="00494F7F" w:rsidRDefault="00AF5144" w:rsidP="00494F7F">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Mr Heathcote</w:t>
      </w:r>
      <w:r w:rsidR="0023345E">
        <w:rPr>
          <w:rFonts w:ascii="Arial" w:hAnsi="Arial" w:cs="Arial"/>
          <w:sz w:val="24"/>
          <w:szCs w:val="24"/>
        </w:rPr>
        <w:t>,</w:t>
      </w:r>
      <w:r>
        <w:rPr>
          <w:rFonts w:ascii="Arial" w:hAnsi="Arial" w:cs="Arial"/>
          <w:sz w:val="24"/>
          <w:szCs w:val="24"/>
        </w:rPr>
        <w:t xml:space="preserve"> arguing on behalf of the applicants</w:t>
      </w:r>
      <w:r w:rsidR="0023345E">
        <w:rPr>
          <w:rFonts w:ascii="Arial" w:hAnsi="Arial" w:cs="Arial"/>
          <w:sz w:val="24"/>
          <w:szCs w:val="24"/>
        </w:rPr>
        <w:t>,</w:t>
      </w:r>
      <w:r>
        <w:rPr>
          <w:rFonts w:ascii="Arial" w:hAnsi="Arial" w:cs="Arial"/>
          <w:sz w:val="24"/>
          <w:szCs w:val="24"/>
        </w:rPr>
        <w:t xml:space="preserve"> </w:t>
      </w:r>
      <w:r w:rsidR="00494F7F">
        <w:rPr>
          <w:rFonts w:ascii="Arial" w:hAnsi="Arial" w:cs="Arial"/>
          <w:sz w:val="24"/>
          <w:szCs w:val="24"/>
        </w:rPr>
        <w:t>submitted that the definition of ‘proceed</w:t>
      </w:r>
      <w:r w:rsidR="00A15600">
        <w:rPr>
          <w:rFonts w:ascii="Arial" w:hAnsi="Arial" w:cs="Arial"/>
          <w:sz w:val="24"/>
          <w:szCs w:val="24"/>
        </w:rPr>
        <w:t>s</w:t>
      </w:r>
      <w:r w:rsidR="00494F7F">
        <w:rPr>
          <w:rFonts w:ascii="Arial" w:hAnsi="Arial" w:cs="Arial"/>
          <w:sz w:val="24"/>
          <w:szCs w:val="24"/>
        </w:rPr>
        <w:t xml:space="preserve"> of unlawful activities as contained in s 1 of POCA</w:t>
      </w:r>
      <w:r w:rsidR="0023345E">
        <w:rPr>
          <w:rFonts w:ascii="Arial" w:hAnsi="Arial" w:cs="Arial"/>
          <w:sz w:val="24"/>
          <w:szCs w:val="24"/>
        </w:rPr>
        <w:t>,</w:t>
      </w:r>
      <w:r w:rsidR="00494F7F">
        <w:rPr>
          <w:rFonts w:ascii="Arial" w:hAnsi="Arial" w:cs="Arial"/>
          <w:sz w:val="24"/>
          <w:szCs w:val="24"/>
        </w:rPr>
        <w:t xml:space="preserve"> is unconstitutional. In this regard, Mr Heathcote argued that the last portion of the definition is so wide that it has the potential to ‘</w:t>
      </w:r>
      <w:r w:rsidR="00945317">
        <w:rPr>
          <w:rFonts w:ascii="Arial" w:hAnsi="Arial" w:cs="Arial"/>
          <w:sz w:val="24"/>
          <w:szCs w:val="24"/>
        </w:rPr>
        <w:t>criminalise</w:t>
      </w:r>
      <w:r w:rsidR="00494F7F">
        <w:rPr>
          <w:rFonts w:ascii="Arial" w:hAnsi="Arial" w:cs="Arial"/>
          <w:sz w:val="24"/>
          <w:szCs w:val="24"/>
        </w:rPr>
        <w:t xml:space="preserve">’ the entire Namibian economy </w:t>
      </w:r>
      <w:r w:rsidR="00945317">
        <w:rPr>
          <w:rFonts w:ascii="Arial" w:hAnsi="Arial" w:cs="Arial"/>
          <w:sz w:val="24"/>
          <w:szCs w:val="24"/>
        </w:rPr>
        <w:t>daily</w:t>
      </w:r>
      <w:r w:rsidR="005A1EF9">
        <w:rPr>
          <w:rFonts w:ascii="Arial" w:hAnsi="Arial" w:cs="Arial"/>
          <w:sz w:val="24"/>
          <w:szCs w:val="24"/>
        </w:rPr>
        <w:t xml:space="preserve"> as a result of the overbroad portion of the definition</w:t>
      </w:r>
      <w:r w:rsidR="00494F7F">
        <w:rPr>
          <w:rFonts w:ascii="Arial" w:hAnsi="Arial" w:cs="Arial"/>
          <w:sz w:val="24"/>
          <w:szCs w:val="24"/>
        </w:rPr>
        <w:t>.</w:t>
      </w:r>
    </w:p>
    <w:p w:rsidR="00494F7F" w:rsidRDefault="00494F7F" w:rsidP="00494F7F">
      <w:pPr>
        <w:pStyle w:val="ListParagraph"/>
        <w:spacing w:after="0" w:line="360" w:lineRule="auto"/>
        <w:ind w:left="0"/>
        <w:jc w:val="both"/>
        <w:rPr>
          <w:rFonts w:ascii="Arial" w:hAnsi="Arial" w:cs="Arial"/>
          <w:sz w:val="24"/>
          <w:szCs w:val="24"/>
        </w:rPr>
      </w:pPr>
    </w:p>
    <w:p w:rsidR="00494F7F" w:rsidRDefault="00494F7F" w:rsidP="00FD26AA">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lastRenderedPageBreak/>
        <w:t>The impugned portion of the definition that the applicants take issue with</w:t>
      </w:r>
      <w:r w:rsidR="00BE3B61">
        <w:rPr>
          <w:rFonts w:ascii="Arial" w:hAnsi="Arial" w:cs="Arial"/>
          <w:sz w:val="24"/>
          <w:szCs w:val="24"/>
        </w:rPr>
        <w:t>,</w:t>
      </w:r>
      <w:r>
        <w:rPr>
          <w:rFonts w:ascii="Arial" w:hAnsi="Arial" w:cs="Arial"/>
          <w:sz w:val="24"/>
          <w:szCs w:val="24"/>
        </w:rPr>
        <w:t xml:space="preserve"> reads </w:t>
      </w:r>
      <w:r w:rsidR="00FD26AA">
        <w:rPr>
          <w:rFonts w:ascii="Arial" w:hAnsi="Arial" w:cs="Arial"/>
          <w:sz w:val="24"/>
          <w:szCs w:val="24"/>
        </w:rPr>
        <w:t>‘</w:t>
      </w:r>
      <w:r w:rsidR="005A1EF9">
        <w:rPr>
          <w:rFonts w:ascii="Arial" w:hAnsi="Arial" w:cs="Arial"/>
          <w:sz w:val="24"/>
          <w:szCs w:val="24"/>
        </w:rPr>
        <w:t>…</w:t>
      </w:r>
      <w:r w:rsidR="00FD26AA" w:rsidRPr="00FD26AA">
        <w:rPr>
          <w:rFonts w:ascii="Arial" w:hAnsi="Arial" w:cs="Arial"/>
          <w:sz w:val="24"/>
          <w:szCs w:val="24"/>
        </w:rPr>
        <w:t>and includes property which is mingled with property that is proceeds of unlawful activity</w:t>
      </w:r>
      <w:r w:rsidR="005A1EF9">
        <w:rPr>
          <w:rFonts w:ascii="Arial" w:hAnsi="Arial" w:cs="Arial"/>
          <w:sz w:val="24"/>
          <w:szCs w:val="24"/>
        </w:rPr>
        <w:t>.</w:t>
      </w:r>
      <w:r w:rsidR="00FD26AA">
        <w:rPr>
          <w:rFonts w:ascii="Arial" w:hAnsi="Arial" w:cs="Arial"/>
          <w:sz w:val="24"/>
          <w:szCs w:val="24"/>
        </w:rPr>
        <w:t>’</w:t>
      </w:r>
    </w:p>
    <w:p w:rsidR="005A1EF9" w:rsidRPr="005A1EF9" w:rsidRDefault="005A1EF9" w:rsidP="005A1EF9">
      <w:pPr>
        <w:pStyle w:val="ListParagraph"/>
        <w:rPr>
          <w:rFonts w:ascii="Arial" w:hAnsi="Arial" w:cs="Arial"/>
          <w:sz w:val="24"/>
          <w:szCs w:val="24"/>
        </w:rPr>
      </w:pPr>
    </w:p>
    <w:p w:rsidR="005A1EF9" w:rsidRDefault="005A1EF9" w:rsidP="00FD26AA">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Mr Heathcote submitted by illustration that if a Namibian citizen uses stolen money to pay his VAT and the illicit funds are received into the Receiver of Revenue</w:t>
      </w:r>
      <w:r w:rsidR="00735CA4">
        <w:rPr>
          <w:rFonts w:ascii="Arial" w:hAnsi="Arial" w:cs="Arial"/>
          <w:sz w:val="24"/>
          <w:szCs w:val="24"/>
        </w:rPr>
        <w:t>’s</w:t>
      </w:r>
      <w:r>
        <w:rPr>
          <w:rFonts w:ascii="Arial" w:hAnsi="Arial" w:cs="Arial"/>
          <w:sz w:val="24"/>
          <w:szCs w:val="24"/>
        </w:rPr>
        <w:t xml:space="preserve"> account</w:t>
      </w:r>
      <w:r w:rsidR="003A1281">
        <w:rPr>
          <w:rFonts w:ascii="Arial" w:hAnsi="Arial" w:cs="Arial"/>
          <w:sz w:val="24"/>
          <w:szCs w:val="24"/>
        </w:rPr>
        <w:t>,</w:t>
      </w:r>
      <w:r>
        <w:rPr>
          <w:rFonts w:ascii="Arial" w:hAnsi="Arial" w:cs="Arial"/>
          <w:sz w:val="24"/>
          <w:szCs w:val="24"/>
        </w:rPr>
        <w:t xml:space="preserve"> then in terms of the overbroad definition of ‘proceeds of unlawful activity</w:t>
      </w:r>
      <w:r w:rsidR="003A1281">
        <w:rPr>
          <w:rFonts w:ascii="Arial" w:hAnsi="Arial" w:cs="Arial"/>
          <w:sz w:val="24"/>
          <w:szCs w:val="24"/>
        </w:rPr>
        <w:t xml:space="preserve">’, </w:t>
      </w:r>
      <w:r>
        <w:rPr>
          <w:rFonts w:ascii="Arial" w:hAnsi="Arial" w:cs="Arial"/>
          <w:sz w:val="24"/>
          <w:szCs w:val="24"/>
        </w:rPr>
        <w:t xml:space="preserve">the tainted money would have the effect </w:t>
      </w:r>
      <w:r w:rsidR="0037239A">
        <w:rPr>
          <w:rFonts w:ascii="Arial" w:hAnsi="Arial" w:cs="Arial"/>
          <w:sz w:val="24"/>
          <w:szCs w:val="24"/>
        </w:rPr>
        <w:t xml:space="preserve">to turn Namibia’s economy into proceeds of crime economy. Mr Heathcote conceded that the example might be extravagant and ridiculous but submitted that the wide portion of the definition lends itself to the </w:t>
      </w:r>
      <w:r w:rsidR="003A1281">
        <w:rPr>
          <w:rFonts w:ascii="Arial" w:hAnsi="Arial" w:cs="Arial"/>
          <w:sz w:val="24"/>
          <w:szCs w:val="24"/>
        </w:rPr>
        <w:t>absurd</w:t>
      </w:r>
      <w:r w:rsidR="0037239A">
        <w:rPr>
          <w:rFonts w:ascii="Arial" w:hAnsi="Arial" w:cs="Arial"/>
          <w:sz w:val="24"/>
          <w:szCs w:val="24"/>
        </w:rPr>
        <w:t xml:space="preserve"> and irrational. </w:t>
      </w:r>
    </w:p>
    <w:p w:rsidR="00691006" w:rsidRPr="00691006" w:rsidRDefault="00691006" w:rsidP="00691006">
      <w:pPr>
        <w:pStyle w:val="ListParagraph"/>
        <w:rPr>
          <w:rFonts w:ascii="Arial" w:hAnsi="Arial" w:cs="Arial"/>
          <w:sz w:val="24"/>
          <w:szCs w:val="24"/>
        </w:rPr>
      </w:pPr>
    </w:p>
    <w:p w:rsidR="005A1EF9" w:rsidRDefault="000F2592" w:rsidP="00A8264E">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He</w:t>
      </w:r>
      <w:r w:rsidR="00691006" w:rsidRPr="00092DB1">
        <w:rPr>
          <w:rFonts w:ascii="Arial" w:hAnsi="Arial" w:cs="Arial"/>
          <w:sz w:val="24"/>
          <w:szCs w:val="24"/>
        </w:rPr>
        <w:t xml:space="preserve"> </w:t>
      </w:r>
      <w:r w:rsidR="00F012A7" w:rsidRPr="00092DB1">
        <w:rPr>
          <w:rFonts w:ascii="Arial" w:hAnsi="Arial" w:cs="Arial"/>
          <w:sz w:val="24"/>
          <w:szCs w:val="24"/>
        </w:rPr>
        <w:t xml:space="preserve">submitted </w:t>
      </w:r>
      <w:r w:rsidR="00092DB1" w:rsidRPr="00092DB1">
        <w:rPr>
          <w:rFonts w:ascii="Arial" w:hAnsi="Arial" w:cs="Arial"/>
          <w:sz w:val="24"/>
          <w:szCs w:val="24"/>
        </w:rPr>
        <w:t xml:space="preserve">with reference to </w:t>
      </w:r>
      <w:r w:rsidR="00092DB1" w:rsidRPr="00092DB1">
        <w:rPr>
          <w:rFonts w:ascii="Arial" w:hAnsi="Arial" w:cs="Arial"/>
          <w:i/>
          <w:sz w:val="24"/>
          <w:szCs w:val="24"/>
        </w:rPr>
        <w:t>New Africa Dimensions CC and Others v Prosecutor General</w:t>
      </w:r>
      <w:r w:rsidR="00092DB1">
        <w:rPr>
          <w:rStyle w:val="FootnoteReference"/>
          <w:rFonts w:ascii="Arial" w:hAnsi="Arial" w:cs="Arial"/>
          <w:sz w:val="24"/>
          <w:szCs w:val="24"/>
        </w:rPr>
        <w:footnoteReference w:id="5"/>
      </w:r>
      <w:r w:rsidR="00092DB1" w:rsidRPr="00092DB1">
        <w:rPr>
          <w:rFonts w:ascii="Arial" w:hAnsi="Arial" w:cs="Arial"/>
          <w:sz w:val="24"/>
          <w:szCs w:val="24"/>
        </w:rPr>
        <w:t xml:space="preserve"> </w:t>
      </w:r>
      <w:r w:rsidR="00F012A7" w:rsidRPr="00092DB1">
        <w:rPr>
          <w:rFonts w:ascii="Arial" w:hAnsi="Arial" w:cs="Arial"/>
          <w:sz w:val="24"/>
          <w:szCs w:val="24"/>
        </w:rPr>
        <w:t xml:space="preserve">that the inadvertent result </w:t>
      </w:r>
      <w:r w:rsidR="00092DB1">
        <w:rPr>
          <w:rFonts w:ascii="Arial" w:hAnsi="Arial" w:cs="Arial"/>
          <w:sz w:val="24"/>
          <w:szCs w:val="24"/>
        </w:rPr>
        <w:t>of the transfer of illicit money from one account to the next</w:t>
      </w:r>
      <w:r w:rsidR="003A1281">
        <w:rPr>
          <w:rFonts w:ascii="Arial" w:hAnsi="Arial" w:cs="Arial"/>
          <w:sz w:val="24"/>
          <w:szCs w:val="24"/>
        </w:rPr>
        <w:t xml:space="preserve"> is that </w:t>
      </w:r>
      <w:r w:rsidR="001E521F">
        <w:rPr>
          <w:rFonts w:ascii="Arial" w:hAnsi="Arial" w:cs="Arial"/>
          <w:sz w:val="24"/>
          <w:szCs w:val="24"/>
        </w:rPr>
        <w:t>it</w:t>
      </w:r>
      <w:r w:rsidR="00092DB1">
        <w:rPr>
          <w:rFonts w:ascii="Arial" w:hAnsi="Arial" w:cs="Arial"/>
          <w:sz w:val="24"/>
          <w:szCs w:val="24"/>
        </w:rPr>
        <w:t xml:space="preserve"> cause</w:t>
      </w:r>
      <w:r w:rsidR="003A1281">
        <w:rPr>
          <w:rFonts w:ascii="Arial" w:hAnsi="Arial" w:cs="Arial"/>
          <w:sz w:val="24"/>
          <w:szCs w:val="24"/>
        </w:rPr>
        <w:t>s</w:t>
      </w:r>
      <w:r w:rsidR="00092DB1">
        <w:rPr>
          <w:rFonts w:ascii="Arial" w:hAnsi="Arial" w:cs="Arial"/>
          <w:sz w:val="24"/>
          <w:szCs w:val="24"/>
        </w:rPr>
        <w:t xml:space="preserve"> the mingled money in all those accounts to become proceeds of unlawful activity. </w:t>
      </w:r>
      <w:r w:rsidR="007D409C">
        <w:rPr>
          <w:rFonts w:ascii="Arial" w:hAnsi="Arial" w:cs="Arial"/>
          <w:sz w:val="24"/>
          <w:szCs w:val="24"/>
        </w:rPr>
        <w:t>If an</w:t>
      </w:r>
      <w:r w:rsidR="00092DB1">
        <w:rPr>
          <w:rFonts w:ascii="Arial" w:hAnsi="Arial" w:cs="Arial"/>
          <w:sz w:val="24"/>
          <w:szCs w:val="24"/>
        </w:rPr>
        <w:t xml:space="preserve">y </w:t>
      </w:r>
      <w:r w:rsidR="007D409C">
        <w:rPr>
          <w:rFonts w:ascii="Arial" w:hAnsi="Arial" w:cs="Arial"/>
          <w:sz w:val="24"/>
          <w:szCs w:val="24"/>
        </w:rPr>
        <w:t>purchases</w:t>
      </w:r>
      <w:r w:rsidR="00092DB1">
        <w:rPr>
          <w:rFonts w:ascii="Arial" w:hAnsi="Arial" w:cs="Arial"/>
          <w:sz w:val="24"/>
          <w:szCs w:val="24"/>
        </w:rPr>
        <w:t xml:space="preserve"> </w:t>
      </w:r>
      <w:r w:rsidR="007D409C">
        <w:rPr>
          <w:rFonts w:ascii="Arial" w:hAnsi="Arial" w:cs="Arial"/>
          <w:sz w:val="24"/>
          <w:szCs w:val="24"/>
        </w:rPr>
        <w:t>are made</w:t>
      </w:r>
      <w:r w:rsidR="00092DB1">
        <w:rPr>
          <w:rFonts w:ascii="Arial" w:hAnsi="Arial" w:cs="Arial"/>
          <w:sz w:val="24"/>
          <w:szCs w:val="24"/>
        </w:rPr>
        <w:t xml:space="preserve"> from those funds</w:t>
      </w:r>
      <w:r w:rsidR="007D409C">
        <w:rPr>
          <w:rFonts w:ascii="Arial" w:hAnsi="Arial" w:cs="Arial"/>
          <w:sz w:val="24"/>
          <w:szCs w:val="24"/>
        </w:rPr>
        <w:t>,</w:t>
      </w:r>
      <w:r w:rsidR="00092DB1">
        <w:rPr>
          <w:rFonts w:ascii="Arial" w:hAnsi="Arial" w:cs="Arial"/>
          <w:sz w:val="24"/>
          <w:szCs w:val="24"/>
        </w:rPr>
        <w:t xml:space="preserve"> </w:t>
      </w:r>
      <w:r w:rsidR="007D409C">
        <w:rPr>
          <w:rFonts w:ascii="Arial" w:hAnsi="Arial" w:cs="Arial"/>
          <w:sz w:val="24"/>
          <w:szCs w:val="24"/>
        </w:rPr>
        <w:t xml:space="preserve">it </w:t>
      </w:r>
      <w:r w:rsidR="003A1281">
        <w:rPr>
          <w:rFonts w:ascii="Arial" w:hAnsi="Arial" w:cs="Arial"/>
          <w:sz w:val="24"/>
          <w:szCs w:val="24"/>
        </w:rPr>
        <w:t xml:space="preserve">follows </w:t>
      </w:r>
      <w:r w:rsidR="00092DB1">
        <w:rPr>
          <w:rFonts w:ascii="Arial" w:hAnsi="Arial" w:cs="Arial"/>
          <w:sz w:val="24"/>
          <w:szCs w:val="24"/>
        </w:rPr>
        <w:t>that</w:t>
      </w:r>
      <w:r w:rsidR="003A1281">
        <w:rPr>
          <w:rFonts w:ascii="Arial" w:hAnsi="Arial" w:cs="Arial"/>
          <w:sz w:val="24"/>
          <w:szCs w:val="24"/>
        </w:rPr>
        <w:t xml:space="preserve"> </w:t>
      </w:r>
      <w:r w:rsidR="00092DB1">
        <w:rPr>
          <w:rFonts w:ascii="Arial" w:hAnsi="Arial" w:cs="Arial"/>
          <w:sz w:val="24"/>
          <w:szCs w:val="24"/>
        </w:rPr>
        <w:t>all th</w:t>
      </w:r>
      <w:r w:rsidR="003A1281">
        <w:rPr>
          <w:rFonts w:ascii="Arial" w:hAnsi="Arial" w:cs="Arial"/>
          <w:sz w:val="24"/>
          <w:szCs w:val="24"/>
        </w:rPr>
        <w:t>at</w:t>
      </w:r>
      <w:r w:rsidR="00092DB1">
        <w:rPr>
          <w:rFonts w:ascii="Arial" w:hAnsi="Arial" w:cs="Arial"/>
          <w:sz w:val="24"/>
          <w:szCs w:val="24"/>
        </w:rPr>
        <w:t xml:space="preserve"> property </w:t>
      </w:r>
      <w:r w:rsidR="007D409C">
        <w:rPr>
          <w:rFonts w:ascii="Arial" w:hAnsi="Arial" w:cs="Arial"/>
          <w:sz w:val="24"/>
          <w:szCs w:val="24"/>
        </w:rPr>
        <w:t>is liable for forfeiture.</w:t>
      </w:r>
      <w:r w:rsidR="00AA5352">
        <w:rPr>
          <w:rFonts w:ascii="Arial" w:hAnsi="Arial" w:cs="Arial"/>
          <w:sz w:val="24"/>
          <w:szCs w:val="24"/>
        </w:rPr>
        <w:t xml:space="preserve"> In a practical application to the current facts</w:t>
      </w:r>
      <w:r w:rsidR="003A1281">
        <w:rPr>
          <w:rFonts w:ascii="Arial" w:hAnsi="Arial" w:cs="Arial"/>
          <w:sz w:val="24"/>
          <w:szCs w:val="24"/>
        </w:rPr>
        <w:t>,</w:t>
      </w:r>
      <w:r w:rsidR="00AA5352">
        <w:rPr>
          <w:rFonts w:ascii="Arial" w:hAnsi="Arial" w:cs="Arial"/>
          <w:sz w:val="24"/>
          <w:szCs w:val="24"/>
        </w:rPr>
        <w:t xml:space="preserve"> it would mean that all the beneficiaries of payments made by the first applicant after the </w:t>
      </w:r>
      <w:r w:rsidR="00AA5352" w:rsidRPr="009940C7">
        <w:rPr>
          <w:rFonts w:ascii="Arial" w:hAnsi="Arial" w:cs="Arial"/>
          <w:sz w:val="24"/>
          <w:szCs w:val="24"/>
        </w:rPr>
        <w:t>N$16</w:t>
      </w:r>
      <w:r w:rsidR="00AA5352">
        <w:rPr>
          <w:rFonts w:ascii="Arial" w:hAnsi="Arial" w:cs="Arial"/>
          <w:sz w:val="24"/>
          <w:szCs w:val="24"/>
        </w:rPr>
        <w:t> </w:t>
      </w:r>
      <w:r w:rsidR="00AA5352" w:rsidRPr="009940C7">
        <w:rPr>
          <w:rFonts w:ascii="Arial" w:hAnsi="Arial" w:cs="Arial"/>
          <w:sz w:val="24"/>
          <w:szCs w:val="24"/>
        </w:rPr>
        <w:t>982</w:t>
      </w:r>
      <w:r w:rsidR="00AA5352">
        <w:rPr>
          <w:rFonts w:ascii="Arial" w:hAnsi="Arial" w:cs="Arial"/>
          <w:sz w:val="24"/>
          <w:szCs w:val="24"/>
        </w:rPr>
        <w:t xml:space="preserve"> </w:t>
      </w:r>
      <w:r w:rsidR="00AA5352" w:rsidRPr="009940C7">
        <w:rPr>
          <w:rFonts w:ascii="Arial" w:hAnsi="Arial" w:cs="Arial"/>
          <w:sz w:val="24"/>
          <w:szCs w:val="24"/>
        </w:rPr>
        <w:t>538.01</w:t>
      </w:r>
      <w:r w:rsidR="00AA5352">
        <w:rPr>
          <w:rFonts w:ascii="Arial" w:hAnsi="Arial" w:cs="Arial"/>
          <w:sz w:val="24"/>
          <w:szCs w:val="24"/>
        </w:rPr>
        <w:t xml:space="preserve"> was received in his account would mingle with all the money in those accounts</w:t>
      </w:r>
      <w:r w:rsidR="001E521F">
        <w:rPr>
          <w:rFonts w:ascii="Arial" w:hAnsi="Arial" w:cs="Arial"/>
          <w:sz w:val="24"/>
          <w:szCs w:val="24"/>
        </w:rPr>
        <w:t>,</w:t>
      </w:r>
      <w:r w:rsidR="00AA5352">
        <w:rPr>
          <w:rFonts w:ascii="Arial" w:hAnsi="Arial" w:cs="Arial"/>
          <w:sz w:val="24"/>
          <w:szCs w:val="24"/>
        </w:rPr>
        <w:t xml:space="preserve"> causing it to become proceeds of unlawful activity. This </w:t>
      </w:r>
      <w:r w:rsidR="00354588">
        <w:rPr>
          <w:rFonts w:ascii="Arial" w:hAnsi="Arial" w:cs="Arial"/>
          <w:sz w:val="24"/>
          <w:szCs w:val="24"/>
        </w:rPr>
        <w:t>includes</w:t>
      </w:r>
      <w:r w:rsidR="001E521F">
        <w:rPr>
          <w:rFonts w:ascii="Arial" w:hAnsi="Arial" w:cs="Arial"/>
          <w:sz w:val="24"/>
          <w:szCs w:val="24"/>
        </w:rPr>
        <w:t>,</w:t>
      </w:r>
      <w:r w:rsidR="00354588">
        <w:rPr>
          <w:rFonts w:ascii="Arial" w:hAnsi="Arial" w:cs="Arial"/>
          <w:sz w:val="24"/>
          <w:szCs w:val="24"/>
        </w:rPr>
        <w:t xml:space="preserve"> for </w:t>
      </w:r>
      <w:r w:rsidR="001E521F">
        <w:rPr>
          <w:rFonts w:ascii="Arial" w:hAnsi="Arial" w:cs="Arial"/>
          <w:sz w:val="24"/>
          <w:szCs w:val="24"/>
        </w:rPr>
        <w:t xml:space="preserve">example, </w:t>
      </w:r>
      <w:r w:rsidR="00354588">
        <w:rPr>
          <w:rFonts w:ascii="Arial" w:hAnsi="Arial" w:cs="Arial"/>
          <w:sz w:val="24"/>
          <w:szCs w:val="24"/>
        </w:rPr>
        <w:t>Agribank.</w:t>
      </w:r>
    </w:p>
    <w:p w:rsidR="00354588" w:rsidRPr="00354588" w:rsidRDefault="00354588" w:rsidP="00354588">
      <w:pPr>
        <w:pStyle w:val="ListParagraph"/>
        <w:rPr>
          <w:rFonts w:ascii="Arial" w:hAnsi="Arial" w:cs="Arial"/>
          <w:sz w:val="24"/>
          <w:szCs w:val="24"/>
        </w:rPr>
      </w:pPr>
    </w:p>
    <w:p w:rsidR="00354588" w:rsidRDefault="00354588" w:rsidP="00354588">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Mr Heathcote argued that the solution to the overbroad definition is to strike out the portion which reads as ‘…</w:t>
      </w:r>
      <w:r w:rsidRPr="00FD26AA">
        <w:rPr>
          <w:rFonts w:ascii="Arial" w:hAnsi="Arial" w:cs="Arial"/>
          <w:sz w:val="24"/>
          <w:szCs w:val="24"/>
        </w:rPr>
        <w:t xml:space="preserve">and includes property which is mingled with </w:t>
      </w:r>
      <w:r w:rsidR="003A1281">
        <w:rPr>
          <w:rFonts w:ascii="Arial" w:hAnsi="Arial" w:cs="Arial"/>
          <w:sz w:val="24"/>
          <w:szCs w:val="24"/>
        </w:rPr>
        <w:t xml:space="preserve">the </w:t>
      </w:r>
      <w:r w:rsidRPr="00FD26AA">
        <w:rPr>
          <w:rFonts w:ascii="Arial" w:hAnsi="Arial" w:cs="Arial"/>
          <w:sz w:val="24"/>
          <w:szCs w:val="24"/>
        </w:rPr>
        <w:t>property that is proceeds of unlawful activity</w:t>
      </w:r>
      <w:r>
        <w:rPr>
          <w:rFonts w:ascii="Arial" w:hAnsi="Arial" w:cs="Arial"/>
          <w:sz w:val="24"/>
          <w:szCs w:val="24"/>
        </w:rPr>
        <w:t xml:space="preserve">.’ </w:t>
      </w:r>
      <w:r w:rsidR="000F2592">
        <w:rPr>
          <w:rFonts w:ascii="Arial" w:hAnsi="Arial" w:cs="Arial"/>
          <w:sz w:val="24"/>
          <w:szCs w:val="24"/>
        </w:rPr>
        <w:t>He</w:t>
      </w:r>
      <w:r w:rsidR="001E521F">
        <w:rPr>
          <w:rFonts w:ascii="Arial" w:hAnsi="Arial" w:cs="Arial"/>
          <w:sz w:val="24"/>
          <w:szCs w:val="24"/>
        </w:rPr>
        <w:t xml:space="preserve"> submitted that once struck</w:t>
      </w:r>
      <w:r w:rsidR="000F2592">
        <w:rPr>
          <w:rFonts w:ascii="Arial" w:hAnsi="Arial" w:cs="Arial"/>
          <w:sz w:val="24"/>
          <w:szCs w:val="24"/>
        </w:rPr>
        <w:t xml:space="preserve"> out</w:t>
      </w:r>
      <w:r w:rsidR="001E521F">
        <w:rPr>
          <w:rFonts w:ascii="Arial" w:hAnsi="Arial" w:cs="Arial"/>
          <w:sz w:val="24"/>
          <w:szCs w:val="24"/>
        </w:rPr>
        <w:t xml:space="preserve">, </w:t>
      </w:r>
      <w:r>
        <w:rPr>
          <w:rFonts w:ascii="Arial" w:hAnsi="Arial" w:cs="Arial"/>
          <w:sz w:val="24"/>
          <w:szCs w:val="24"/>
        </w:rPr>
        <w:t xml:space="preserve">the definition would read the same as the South African definition and would be in harmony with the Namibian Constitution and the Palermo Convention. It would also automatically cover a constitutionally compliant commixtio principle. </w:t>
      </w:r>
    </w:p>
    <w:p w:rsidR="00354588" w:rsidRPr="00354588" w:rsidRDefault="00354588" w:rsidP="00354588">
      <w:pPr>
        <w:pStyle w:val="ListParagraph"/>
        <w:rPr>
          <w:rFonts w:ascii="Arial" w:hAnsi="Arial" w:cs="Arial"/>
          <w:sz w:val="24"/>
          <w:szCs w:val="24"/>
        </w:rPr>
      </w:pPr>
    </w:p>
    <w:p w:rsidR="00A8264E" w:rsidRPr="00A8264E" w:rsidRDefault="003A1281" w:rsidP="00A8264E">
      <w:pPr>
        <w:pStyle w:val="ListParagraph"/>
        <w:numPr>
          <w:ilvl w:val="0"/>
          <w:numId w:val="22"/>
        </w:numPr>
        <w:spacing w:after="0" w:line="360" w:lineRule="auto"/>
        <w:ind w:left="0" w:firstLine="0"/>
        <w:jc w:val="both"/>
        <w:rPr>
          <w:rFonts w:ascii="Arial" w:hAnsi="Arial" w:cs="Arial"/>
          <w:sz w:val="24"/>
          <w:szCs w:val="24"/>
          <w:u w:val="single"/>
        </w:rPr>
      </w:pPr>
      <w:r w:rsidRPr="00A8264E">
        <w:rPr>
          <w:rFonts w:ascii="Arial" w:hAnsi="Arial" w:cs="Arial"/>
          <w:sz w:val="24"/>
          <w:szCs w:val="24"/>
        </w:rPr>
        <w:t xml:space="preserve">Mr Heathcote submitted that </w:t>
      </w:r>
      <w:r w:rsidR="001E521F" w:rsidRPr="00A8264E">
        <w:rPr>
          <w:rFonts w:ascii="Arial" w:hAnsi="Arial" w:cs="Arial"/>
          <w:sz w:val="24"/>
          <w:szCs w:val="24"/>
        </w:rPr>
        <w:t>Namibia is the only democratic country in the wor</w:t>
      </w:r>
      <w:r w:rsidR="00A15600">
        <w:rPr>
          <w:rFonts w:ascii="Arial" w:hAnsi="Arial" w:cs="Arial"/>
          <w:sz w:val="24"/>
          <w:szCs w:val="24"/>
        </w:rPr>
        <w:t>l</w:t>
      </w:r>
      <w:r w:rsidR="001E521F" w:rsidRPr="00A8264E">
        <w:rPr>
          <w:rFonts w:ascii="Arial" w:hAnsi="Arial" w:cs="Arial"/>
          <w:sz w:val="24"/>
          <w:szCs w:val="24"/>
        </w:rPr>
        <w:t>d</w:t>
      </w:r>
      <w:r w:rsidR="00146874">
        <w:rPr>
          <w:rFonts w:ascii="Arial" w:hAnsi="Arial" w:cs="Arial"/>
          <w:sz w:val="24"/>
          <w:szCs w:val="24"/>
        </w:rPr>
        <w:t>,</w:t>
      </w:r>
      <w:r w:rsidR="001E521F" w:rsidRPr="00A8264E">
        <w:rPr>
          <w:rFonts w:ascii="Arial" w:hAnsi="Arial" w:cs="Arial"/>
          <w:sz w:val="24"/>
          <w:szCs w:val="24"/>
        </w:rPr>
        <w:t xml:space="preserve"> with a comparative constitutional dispensation, that cast the net so wide</w:t>
      </w:r>
      <w:r w:rsidR="00A8264E" w:rsidRPr="00A8264E">
        <w:rPr>
          <w:rFonts w:ascii="Arial" w:hAnsi="Arial" w:cs="Arial"/>
          <w:sz w:val="24"/>
          <w:szCs w:val="24"/>
        </w:rPr>
        <w:t xml:space="preserve"> in its definition of proceeds of crime to include property mingled with property that is proceeds of unlawful activity.  </w:t>
      </w:r>
    </w:p>
    <w:p w:rsidR="00A8264E" w:rsidRPr="00A8264E" w:rsidRDefault="00A8264E" w:rsidP="00A8264E">
      <w:pPr>
        <w:pStyle w:val="ListParagraph"/>
        <w:rPr>
          <w:rFonts w:ascii="Arial" w:hAnsi="Arial" w:cs="Arial"/>
          <w:sz w:val="24"/>
          <w:szCs w:val="24"/>
          <w:u w:val="single"/>
        </w:rPr>
      </w:pPr>
    </w:p>
    <w:p w:rsidR="00BB1448" w:rsidRPr="00BB1448" w:rsidRDefault="00A8264E" w:rsidP="00094F1D">
      <w:pPr>
        <w:pStyle w:val="ListParagraph"/>
        <w:numPr>
          <w:ilvl w:val="0"/>
          <w:numId w:val="22"/>
        </w:numPr>
        <w:spacing w:after="0" w:line="360" w:lineRule="auto"/>
        <w:ind w:left="0" w:firstLine="0"/>
        <w:jc w:val="both"/>
        <w:rPr>
          <w:rFonts w:ascii="Arial" w:hAnsi="Arial" w:cs="Arial"/>
          <w:sz w:val="24"/>
          <w:szCs w:val="24"/>
          <w:u w:val="single"/>
        </w:rPr>
      </w:pPr>
      <w:r w:rsidRPr="00BB1448">
        <w:rPr>
          <w:rFonts w:ascii="Arial" w:hAnsi="Arial" w:cs="Arial"/>
          <w:sz w:val="24"/>
          <w:szCs w:val="24"/>
        </w:rPr>
        <w:t xml:space="preserve">Mr Heathcote </w:t>
      </w:r>
      <w:r w:rsidR="00932065">
        <w:rPr>
          <w:rFonts w:ascii="Arial" w:hAnsi="Arial" w:cs="Arial"/>
          <w:sz w:val="24"/>
          <w:szCs w:val="24"/>
        </w:rPr>
        <w:t xml:space="preserve">further </w:t>
      </w:r>
      <w:r w:rsidRPr="00BB1448">
        <w:rPr>
          <w:rFonts w:ascii="Arial" w:hAnsi="Arial" w:cs="Arial"/>
          <w:sz w:val="24"/>
          <w:szCs w:val="24"/>
        </w:rPr>
        <w:t xml:space="preserve">argued that at </w:t>
      </w:r>
      <w:r w:rsidR="003C2023" w:rsidRPr="00BB1448">
        <w:rPr>
          <w:rFonts w:ascii="Arial" w:hAnsi="Arial" w:cs="Arial"/>
          <w:sz w:val="24"/>
          <w:szCs w:val="24"/>
        </w:rPr>
        <w:t xml:space="preserve">the </w:t>
      </w:r>
      <w:r w:rsidRPr="00BB1448">
        <w:rPr>
          <w:rFonts w:ascii="Arial" w:hAnsi="Arial" w:cs="Arial"/>
          <w:sz w:val="24"/>
          <w:szCs w:val="24"/>
        </w:rPr>
        <w:t>core of the current application lies Art</w:t>
      </w:r>
      <w:r w:rsidR="00376D2D">
        <w:rPr>
          <w:rFonts w:ascii="Arial" w:hAnsi="Arial" w:cs="Arial"/>
          <w:sz w:val="24"/>
          <w:szCs w:val="24"/>
        </w:rPr>
        <w:t>icle</w:t>
      </w:r>
      <w:r w:rsidRPr="00BB1448">
        <w:rPr>
          <w:rFonts w:ascii="Arial" w:hAnsi="Arial" w:cs="Arial"/>
          <w:sz w:val="24"/>
          <w:szCs w:val="24"/>
        </w:rPr>
        <w:t xml:space="preserve"> 16 of the Constitution, which guarantees all Namibians the fundamental human right to property, as underpinned by Art</w:t>
      </w:r>
      <w:r w:rsidR="00376D2D">
        <w:rPr>
          <w:rFonts w:ascii="Arial" w:hAnsi="Arial" w:cs="Arial"/>
          <w:sz w:val="24"/>
          <w:szCs w:val="24"/>
        </w:rPr>
        <w:t>icle</w:t>
      </w:r>
      <w:r w:rsidRPr="00BB1448">
        <w:rPr>
          <w:rFonts w:ascii="Arial" w:hAnsi="Arial" w:cs="Arial"/>
          <w:sz w:val="24"/>
          <w:szCs w:val="24"/>
        </w:rPr>
        <w:t xml:space="preserve"> 8. Mr Heathcote </w:t>
      </w:r>
      <w:r w:rsidR="003C2023" w:rsidRPr="00BB1448">
        <w:rPr>
          <w:rFonts w:ascii="Arial" w:hAnsi="Arial" w:cs="Arial"/>
          <w:sz w:val="24"/>
          <w:szCs w:val="24"/>
        </w:rPr>
        <w:t xml:space="preserve">submitted that </w:t>
      </w:r>
      <w:r w:rsidR="00A94274" w:rsidRPr="00BB1448">
        <w:rPr>
          <w:rFonts w:ascii="Arial" w:hAnsi="Arial" w:cs="Arial"/>
          <w:sz w:val="24"/>
          <w:szCs w:val="24"/>
        </w:rPr>
        <w:t>Art</w:t>
      </w:r>
      <w:r w:rsidR="00A94274">
        <w:rPr>
          <w:rFonts w:ascii="Arial" w:hAnsi="Arial" w:cs="Arial"/>
          <w:sz w:val="24"/>
          <w:szCs w:val="24"/>
        </w:rPr>
        <w:t>icle</w:t>
      </w:r>
      <w:r w:rsidR="003C2023" w:rsidRPr="00BB1448">
        <w:rPr>
          <w:rFonts w:ascii="Arial" w:hAnsi="Arial" w:cs="Arial"/>
          <w:sz w:val="24"/>
          <w:szCs w:val="24"/>
        </w:rPr>
        <w:t xml:space="preserve"> 16 </w:t>
      </w:r>
      <w:r w:rsidR="00146874">
        <w:rPr>
          <w:rFonts w:ascii="Arial" w:hAnsi="Arial" w:cs="Arial"/>
          <w:sz w:val="24"/>
          <w:szCs w:val="24"/>
        </w:rPr>
        <w:t>had</w:t>
      </w:r>
      <w:r w:rsidR="003C2023" w:rsidRPr="00BB1448">
        <w:rPr>
          <w:rFonts w:ascii="Arial" w:hAnsi="Arial" w:cs="Arial"/>
          <w:sz w:val="24"/>
          <w:szCs w:val="24"/>
        </w:rPr>
        <w:t xml:space="preserve"> been considered by the Supreme Court on numerous occasions</w:t>
      </w:r>
      <w:r w:rsidR="00D47B96">
        <w:rPr>
          <w:rFonts w:ascii="Arial" w:hAnsi="Arial" w:cs="Arial"/>
          <w:sz w:val="24"/>
          <w:szCs w:val="24"/>
        </w:rPr>
        <w:t>,</w:t>
      </w:r>
      <w:r w:rsidR="003C2023">
        <w:rPr>
          <w:rStyle w:val="FootnoteReference"/>
          <w:rFonts w:ascii="Arial" w:hAnsi="Arial" w:cs="Arial"/>
          <w:i/>
          <w:sz w:val="24"/>
          <w:szCs w:val="24"/>
        </w:rPr>
        <w:footnoteReference w:id="6"/>
      </w:r>
      <w:r w:rsidR="003C2023" w:rsidRPr="00BB1448">
        <w:rPr>
          <w:rFonts w:ascii="Arial" w:hAnsi="Arial" w:cs="Arial"/>
          <w:sz w:val="24"/>
          <w:szCs w:val="24"/>
        </w:rPr>
        <w:t xml:space="preserve"> and despite the complaint of the PG</w:t>
      </w:r>
      <w:r w:rsidR="0094076E">
        <w:rPr>
          <w:rFonts w:ascii="Arial" w:hAnsi="Arial" w:cs="Arial"/>
          <w:sz w:val="24"/>
          <w:szCs w:val="24"/>
        </w:rPr>
        <w:t>,</w:t>
      </w:r>
      <w:r w:rsidR="003C2023" w:rsidRPr="00BB1448">
        <w:rPr>
          <w:rFonts w:ascii="Arial" w:hAnsi="Arial" w:cs="Arial"/>
          <w:sz w:val="24"/>
          <w:szCs w:val="24"/>
        </w:rPr>
        <w:t xml:space="preserve"> the applicants need not set out in their founding affidavit what the meaning and effect of property rights are. </w:t>
      </w:r>
      <w:r w:rsidR="00093E8D">
        <w:rPr>
          <w:rFonts w:ascii="Arial" w:hAnsi="Arial" w:cs="Arial"/>
          <w:sz w:val="24"/>
          <w:szCs w:val="24"/>
        </w:rPr>
        <w:t xml:space="preserve">Mr Heathcote referred the court to </w:t>
      </w:r>
      <w:r w:rsidRPr="00BB1448">
        <w:rPr>
          <w:rFonts w:ascii="Arial" w:hAnsi="Arial" w:cs="Arial"/>
          <w:i/>
          <w:sz w:val="24"/>
          <w:szCs w:val="24"/>
        </w:rPr>
        <w:t>Namibia Grape Growers and Exporters Association and Others v The Ministry</w:t>
      </w:r>
      <w:r w:rsidR="003C2023" w:rsidRPr="00BB1448">
        <w:rPr>
          <w:rFonts w:ascii="Arial" w:hAnsi="Arial" w:cs="Arial"/>
          <w:i/>
          <w:sz w:val="24"/>
          <w:szCs w:val="24"/>
        </w:rPr>
        <w:t xml:space="preserve"> of Mines and Energy and Others,</w:t>
      </w:r>
      <w:r w:rsidR="00275D7A">
        <w:rPr>
          <w:rStyle w:val="FootnoteReference"/>
          <w:rFonts w:ascii="Arial" w:hAnsi="Arial" w:cs="Arial"/>
          <w:i/>
          <w:sz w:val="24"/>
          <w:szCs w:val="24"/>
        </w:rPr>
        <w:footnoteReference w:id="7"/>
      </w:r>
      <w:r w:rsidR="003C2023" w:rsidRPr="00BB1448">
        <w:rPr>
          <w:rFonts w:ascii="Arial" w:hAnsi="Arial" w:cs="Arial"/>
          <w:i/>
          <w:sz w:val="24"/>
          <w:szCs w:val="24"/>
        </w:rPr>
        <w:t xml:space="preserve"> </w:t>
      </w:r>
      <w:r w:rsidR="004D506A" w:rsidRPr="004D506A">
        <w:rPr>
          <w:rFonts w:ascii="Arial" w:hAnsi="Arial" w:cs="Arial"/>
          <w:sz w:val="24"/>
          <w:szCs w:val="24"/>
        </w:rPr>
        <w:t>where</w:t>
      </w:r>
      <w:r w:rsidR="004D506A">
        <w:rPr>
          <w:rFonts w:ascii="Arial" w:hAnsi="Arial" w:cs="Arial"/>
          <w:i/>
          <w:sz w:val="24"/>
          <w:szCs w:val="24"/>
        </w:rPr>
        <w:t xml:space="preserve"> </w:t>
      </w:r>
      <w:r w:rsidR="003C2023" w:rsidRPr="00BB1448">
        <w:rPr>
          <w:rFonts w:ascii="Arial" w:hAnsi="Arial" w:cs="Arial"/>
          <w:sz w:val="24"/>
          <w:szCs w:val="24"/>
        </w:rPr>
        <w:t xml:space="preserve">the Supreme Court held that there are interrelations between various articles of the Constitution </w:t>
      </w:r>
      <w:r w:rsidR="00A15600">
        <w:rPr>
          <w:rFonts w:ascii="Arial" w:hAnsi="Arial" w:cs="Arial"/>
          <w:sz w:val="24"/>
          <w:szCs w:val="24"/>
        </w:rPr>
        <w:t>and held at p 209</w:t>
      </w:r>
      <w:r w:rsidR="00BE3B61">
        <w:rPr>
          <w:rFonts w:ascii="Arial" w:hAnsi="Arial" w:cs="Arial"/>
          <w:sz w:val="24"/>
          <w:szCs w:val="24"/>
        </w:rPr>
        <w:t xml:space="preserve"> </w:t>
      </w:r>
      <w:r w:rsidR="00A15600">
        <w:rPr>
          <w:rFonts w:ascii="Arial" w:hAnsi="Arial" w:cs="Arial"/>
          <w:sz w:val="24"/>
          <w:szCs w:val="24"/>
        </w:rPr>
        <w:t xml:space="preserve">F </w:t>
      </w:r>
      <w:r w:rsidR="00BB1448">
        <w:rPr>
          <w:rFonts w:ascii="Arial" w:hAnsi="Arial" w:cs="Arial"/>
          <w:sz w:val="24"/>
          <w:szCs w:val="24"/>
        </w:rPr>
        <w:t>that:</w:t>
      </w:r>
    </w:p>
    <w:p w:rsidR="00BB1448" w:rsidRPr="00BB1448" w:rsidRDefault="00BB1448" w:rsidP="00BB1448">
      <w:pPr>
        <w:pStyle w:val="ListParagraph"/>
        <w:rPr>
          <w:rFonts w:ascii="Arial" w:hAnsi="Arial" w:cs="Arial"/>
          <w:sz w:val="24"/>
          <w:szCs w:val="24"/>
        </w:rPr>
      </w:pPr>
    </w:p>
    <w:p w:rsidR="00A8264E" w:rsidRDefault="00BB1448" w:rsidP="00BB1448">
      <w:pPr>
        <w:pStyle w:val="ListParagraph"/>
        <w:spacing w:after="0" w:line="360" w:lineRule="auto"/>
        <w:ind w:left="0" w:firstLine="720"/>
        <w:jc w:val="both"/>
        <w:rPr>
          <w:rFonts w:ascii="Arial" w:hAnsi="Arial" w:cs="Arial"/>
        </w:rPr>
      </w:pPr>
      <w:r w:rsidRPr="00BB1448">
        <w:rPr>
          <w:rFonts w:ascii="Arial" w:hAnsi="Arial" w:cs="Arial"/>
          <w:sz w:val="24"/>
          <w:szCs w:val="24"/>
        </w:rPr>
        <w:t xml:space="preserve"> </w:t>
      </w:r>
      <w:r w:rsidR="00A85A29">
        <w:t>‘</w:t>
      </w:r>
      <w:r w:rsidRPr="00BB1448">
        <w:rPr>
          <w:rFonts w:ascii="Arial" w:hAnsi="Arial" w:cs="Arial"/>
        </w:rPr>
        <w:t xml:space="preserve">I agree that the protection granted by the article encompasses the totality of the rights in ownership of property. This article, being part of Chap 3 of the Constitution, must be interpreted in a purposive and liberal way so as to accord to subjects the full measure of the rights inherent in ownership of property. (See in this regard </w:t>
      </w:r>
      <w:r w:rsidRPr="00BB1448">
        <w:rPr>
          <w:rFonts w:ascii="Arial" w:hAnsi="Arial" w:cs="Arial"/>
          <w:i/>
        </w:rPr>
        <w:t>Minister of Defence v Mwandinghi</w:t>
      </w:r>
      <w:r w:rsidRPr="00BB1448">
        <w:rPr>
          <w:rFonts w:ascii="Arial" w:hAnsi="Arial" w:cs="Arial"/>
        </w:rPr>
        <w:t xml:space="preserve"> 1993 NR 63 (SC).)</w:t>
      </w:r>
      <w:r w:rsidR="00A85A29">
        <w:rPr>
          <w:rFonts w:ascii="Arial" w:hAnsi="Arial" w:cs="Arial"/>
        </w:rPr>
        <w:t>’</w:t>
      </w:r>
    </w:p>
    <w:p w:rsidR="00BB1448" w:rsidRDefault="00BB1448" w:rsidP="00BB1448">
      <w:pPr>
        <w:pStyle w:val="ListParagraph"/>
        <w:spacing w:after="0" w:line="360" w:lineRule="auto"/>
        <w:ind w:left="0"/>
        <w:jc w:val="both"/>
        <w:rPr>
          <w:rFonts w:ascii="Arial" w:hAnsi="Arial" w:cs="Arial"/>
          <w:sz w:val="24"/>
          <w:szCs w:val="24"/>
          <w:u w:val="single"/>
        </w:rPr>
      </w:pPr>
    </w:p>
    <w:p w:rsidR="00BB1448" w:rsidRDefault="00093E8D" w:rsidP="00BB1448">
      <w:pPr>
        <w:pStyle w:val="ListParagraph"/>
        <w:numPr>
          <w:ilvl w:val="0"/>
          <w:numId w:val="22"/>
        </w:numPr>
        <w:spacing w:after="0" w:line="360" w:lineRule="auto"/>
        <w:ind w:left="0" w:firstLine="0"/>
        <w:jc w:val="both"/>
        <w:rPr>
          <w:rFonts w:ascii="Arial" w:hAnsi="Arial" w:cs="Arial"/>
          <w:sz w:val="24"/>
          <w:szCs w:val="24"/>
        </w:rPr>
      </w:pPr>
      <w:r w:rsidRPr="00093E8D">
        <w:rPr>
          <w:rFonts w:ascii="Arial" w:hAnsi="Arial" w:cs="Arial"/>
          <w:sz w:val="24"/>
          <w:szCs w:val="24"/>
        </w:rPr>
        <w:t xml:space="preserve">The </w:t>
      </w:r>
      <w:r w:rsidR="00A85A29">
        <w:rPr>
          <w:rFonts w:ascii="Arial" w:hAnsi="Arial" w:cs="Arial"/>
          <w:sz w:val="24"/>
          <w:szCs w:val="24"/>
        </w:rPr>
        <w:t>Supreme Court</w:t>
      </w:r>
      <w:r>
        <w:rPr>
          <w:rFonts w:ascii="Arial" w:hAnsi="Arial" w:cs="Arial"/>
          <w:sz w:val="24"/>
          <w:szCs w:val="24"/>
        </w:rPr>
        <w:t xml:space="preserve"> went further to state at p</w:t>
      </w:r>
      <w:r w:rsidR="00376D2D">
        <w:rPr>
          <w:rFonts w:ascii="Arial" w:hAnsi="Arial" w:cs="Arial"/>
          <w:sz w:val="24"/>
          <w:szCs w:val="24"/>
        </w:rPr>
        <w:t xml:space="preserve"> </w:t>
      </w:r>
      <w:r>
        <w:rPr>
          <w:rFonts w:ascii="Arial" w:hAnsi="Arial" w:cs="Arial"/>
          <w:sz w:val="24"/>
          <w:szCs w:val="24"/>
        </w:rPr>
        <w:t>210</w:t>
      </w:r>
      <w:r w:rsidR="00BE3B61">
        <w:rPr>
          <w:rFonts w:ascii="Arial" w:hAnsi="Arial" w:cs="Arial"/>
          <w:sz w:val="24"/>
          <w:szCs w:val="24"/>
        </w:rPr>
        <w:t xml:space="preserve"> </w:t>
      </w:r>
      <w:r w:rsidR="00A15600">
        <w:rPr>
          <w:rFonts w:ascii="Arial" w:hAnsi="Arial" w:cs="Arial"/>
          <w:sz w:val="24"/>
          <w:szCs w:val="24"/>
        </w:rPr>
        <w:t>J</w:t>
      </w:r>
      <w:r>
        <w:rPr>
          <w:rFonts w:ascii="Arial" w:hAnsi="Arial" w:cs="Arial"/>
          <w:sz w:val="24"/>
          <w:szCs w:val="24"/>
        </w:rPr>
        <w:t xml:space="preserve"> of the judgment that </w:t>
      </w:r>
      <w:r w:rsidR="00A85A29">
        <w:rPr>
          <w:rFonts w:ascii="Arial" w:hAnsi="Arial" w:cs="Arial"/>
          <w:sz w:val="24"/>
          <w:szCs w:val="24"/>
        </w:rPr>
        <w:t>‘</w:t>
      </w:r>
      <w:r w:rsidR="00735CA4">
        <w:rPr>
          <w:rFonts w:ascii="Arial" w:hAnsi="Arial" w:cs="Arial"/>
          <w:sz w:val="24"/>
          <w:szCs w:val="24"/>
        </w:rPr>
        <w:t>t</w:t>
      </w:r>
      <w:r w:rsidRPr="00093E8D">
        <w:rPr>
          <w:rFonts w:ascii="Arial" w:hAnsi="Arial" w:cs="Arial"/>
          <w:sz w:val="24"/>
          <w:szCs w:val="24"/>
        </w:rPr>
        <w:t>he owner of property has the right to possess, protect, use and to enjoy his property. This is inherent in the right to own property.</w:t>
      </w:r>
      <w:r w:rsidR="00A85A29">
        <w:rPr>
          <w:rFonts w:ascii="Arial" w:hAnsi="Arial" w:cs="Arial"/>
          <w:sz w:val="24"/>
          <w:szCs w:val="24"/>
        </w:rPr>
        <w:t>’</w:t>
      </w:r>
    </w:p>
    <w:p w:rsidR="00093E8D" w:rsidRDefault="00093E8D" w:rsidP="00093E8D">
      <w:pPr>
        <w:pStyle w:val="ListParagraph"/>
        <w:spacing w:after="0" w:line="360" w:lineRule="auto"/>
        <w:ind w:left="0"/>
        <w:jc w:val="both"/>
        <w:rPr>
          <w:rFonts w:ascii="Arial" w:hAnsi="Arial" w:cs="Arial"/>
          <w:sz w:val="24"/>
          <w:szCs w:val="24"/>
        </w:rPr>
      </w:pPr>
    </w:p>
    <w:p w:rsidR="00093E8D" w:rsidRDefault="00093E8D" w:rsidP="00094F1D">
      <w:pPr>
        <w:pStyle w:val="ListParagraph"/>
        <w:numPr>
          <w:ilvl w:val="0"/>
          <w:numId w:val="22"/>
        </w:numPr>
        <w:spacing w:after="0" w:line="360" w:lineRule="auto"/>
        <w:ind w:left="0" w:firstLine="0"/>
        <w:jc w:val="both"/>
        <w:rPr>
          <w:rFonts w:ascii="Arial" w:hAnsi="Arial" w:cs="Arial"/>
          <w:sz w:val="24"/>
          <w:szCs w:val="24"/>
        </w:rPr>
      </w:pPr>
      <w:r w:rsidRPr="00A476EC">
        <w:rPr>
          <w:rFonts w:ascii="Arial" w:hAnsi="Arial" w:cs="Arial"/>
          <w:sz w:val="24"/>
          <w:szCs w:val="24"/>
        </w:rPr>
        <w:t xml:space="preserve">Mr Heathcote further referred the court to </w:t>
      </w:r>
      <w:r w:rsidRPr="00A476EC">
        <w:rPr>
          <w:rFonts w:ascii="Arial" w:hAnsi="Arial" w:cs="Arial"/>
          <w:i/>
          <w:sz w:val="24"/>
          <w:szCs w:val="24"/>
        </w:rPr>
        <w:t>Shali v Prosecutor-General</w:t>
      </w:r>
      <w:r w:rsidR="003F7B7F">
        <w:rPr>
          <w:rFonts w:ascii="Arial" w:hAnsi="Arial" w:cs="Arial"/>
          <w:i/>
          <w:sz w:val="24"/>
          <w:szCs w:val="24"/>
        </w:rPr>
        <w:t>,</w:t>
      </w:r>
      <w:r w:rsidR="00A476EC">
        <w:rPr>
          <w:rStyle w:val="FootnoteReference"/>
          <w:rFonts w:ascii="Arial" w:hAnsi="Arial" w:cs="Arial"/>
          <w:i/>
          <w:sz w:val="24"/>
          <w:szCs w:val="24"/>
        </w:rPr>
        <w:footnoteReference w:id="8"/>
      </w:r>
      <w:r w:rsidRPr="00A476EC">
        <w:rPr>
          <w:rFonts w:ascii="Arial" w:hAnsi="Arial" w:cs="Arial"/>
          <w:sz w:val="24"/>
          <w:szCs w:val="24"/>
        </w:rPr>
        <w:t xml:space="preserve"> </w:t>
      </w:r>
      <w:r w:rsidR="00A476EC">
        <w:rPr>
          <w:rFonts w:ascii="Arial" w:hAnsi="Arial" w:cs="Arial"/>
          <w:sz w:val="24"/>
          <w:szCs w:val="24"/>
        </w:rPr>
        <w:t xml:space="preserve">where </w:t>
      </w:r>
      <w:r w:rsidR="00D51474" w:rsidRPr="00BB1448">
        <w:rPr>
          <w:rFonts w:ascii="Arial" w:hAnsi="Arial" w:cs="Arial"/>
          <w:sz w:val="24"/>
          <w:szCs w:val="24"/>
        </w:rPr>
        <w:t>Art</w:t>
      </w:r>
      <w:r w:rsidR="00D51474">
        <w:rPr>
          <w:rFonts w:ascii="Arial" w:hAnsi="Arial" w:cs="Arial"/>
          <w:sz w:val="24"/>
          <w:szCs w:val="24"/>
        </w:rPr>
        <w:t>icle</w:t>
      </w:r>
      <w:r w:rsidR="00A476EC">
        <w:rPr>
          <w:rFonts w:ascii="Arial" w:hAnsi="Arial" w:cs="Arial"/>
          <w:sz w:val="24"/>
          <w:szCs w:val="24"/>
        </w:rPr>
        <w:t xml:space="preserve"> 16</w:t>
      </w:r>
      <w:r w:rsidR="00D24E8F">
        <w:rPr>
          <w:rFonts w:ascii="Arial" w:hAnsi="Arial" w:cs="Arial"/>
          <w:sz w:val="24"/>
          <w:szCs w:val="24"/>
        </w:rPr>
        <w:t>,</w:t>
      </w:r>
      <w:r w:rsidR="00A476EC">
        <w:rPr>
          <w:rFonts w:ascii="Arial" w:hAnsi="Arial" w:cs="Arial"/>
          <w:sz w:val="24"/>
          <w:szCs w:val="24"/>
        </w:rPr>
        <w:t xml:space="preserve"> in the context of POCA was considered by the court (Smuts J and Geier J). Mr Heathcote submitted that </w:t>
      </w:r>
      <w:r w:rsidR="00094F1D">
        <w:rPr>
          <w:rFonts w:ascii="Arial" w:hAnsi="Arial" w:cs="Arial"/>
          <w:sz w:val="24"/>
          <w:szCs w:val="24"/>
        </w:rPr>
        <w:t xml:space="preserve">the </w:t>
      </w:r>
      <w:r w:rsidR="00A476EC">
        <w:rPr>
          <w:rFonts w:ascii="Arial" w:hAnsi="Arial" w:cs="Arial"/>
          <w:sz w:val="24"/>
          <w:szCs w:val="24"/>
        </w:rPr>
        <w:t xml:space="preserve">principle laid down in </w:t>
      </w:r>
      <w:r w:rsidR="00A476EC" w:rsidRPr="00094F1D">
        <w:rPr>
          <w:rFonts w:ascii="Arial" w:hAnsi="Arial" w:cs="Arial"/>
          <w:i/>
          <w:sz w:val="24"/>
          <w:szCs w:val="24"/>
        </w:rPr>
        <w:t>Shali</w:t>
      </w:r>
      <w:r w:rsidR="00A476EC">
        <w:rPr>
          <w:rFonts w:ascii="Arial" w:hAnsi="Arial" w:cs="Arial"/>
          <w:sz w:val="24"/>
          <w:szCs w:val="24"/>
        </w:rPr>
        <w:t xml:space="preserve"> is that preservation of ‘proceeds of crime’ does not violate </w:t>
      </w:r>
      <w:r w:rsidR="00D51474" w:rsidRPr="00BB1448">
        <w:rPr>
          <w:rFonts w:ascii="Arial" w:hAnsi="Arial" w:cs="Arial"/>
          <w:sz w:val="24"/>
          <w:szCs w:val="24"/>
        </w:rPr>
        <w:t>Art</w:t>
      </w:r>
      <w:r w:rsidR="00D51474">
        <w:rPr>
          <w:rFonts w:ascii="Arial" w:hAnsi="Arial" w:cs="Arial"/>
          <w:sz w:val="24"/>
          <w:szCs w:val="24"/>
        </w:rPr>
        <w:t xml:space="preserve">icle </w:t>
      </w:r>
      <w:r w:rsidR="00A476EC">
        <w:rPr>
          <w:rFonts w:ascii="Arial" w:hAnsi="Arial" w:cs="Arial"/>
          <w:sz w:val="24"/>
          <w:szCs w:val="24"/>
        </w:rPr>
        <w:t xml:space="preserve">16 of the Constitution because it does not protect the ownership and possession of proceeds of crime. However, </w:t>
      </w:r>
      <w:r w:rsidR="00094F1D">
        <w:rPr>
          <w:rFonts w:ascii="Arial" w:hAnsi="Arial" w:cs="Arial"/>
          <w:sz w:val="24"/>
          <w:szCs w:val="24"/>
        </w:rPr>
        <w:t xml:space="preserve">so </w:t>
      </w:r>
      <w:r w:rsidR="00A476EC">
        <w:rPr>
          <w:rFonts w:ascii="Arial" w:hAnsi="Arial" w:cs="Arial"/>
          <w:sz w:val="24"/>
          <w:szCs w:val="24"/>
        </w:rPr>
        <w:t>Counsel argued</w:t>
      </w:r>
      <w:r w:rsidR="00A50993">
        <w:rPr>
          <w:rFonts w:ascii="Arial" w:hAnsi="Arial" w:cs="Arial"/>
          <w:sz w:val="24"/>
          <w:szCs w:val="24"/>
        </w:rPr>
        <w:t>, when</w:t>
      </w:r>
      <w:r w:rsidR="00A476EC">
        <w:rPr>
          <w:rFonts w:ascii="Arial" w:hAnsi="Arial" w:cs="Arial"/>
          <w:sz w:val="24"/>
          <w:szCs w:val="24"/>
        </w:rPr>
        <w:t xml:space="preserve"> put in the negative, the preservation and forfeiture o</w:t>
      </w:r>
      <w:r w:rsidR="00094F1D">
        <w:rPr>
          <w:rFonts w:ascii="Arial" w:hAnsi="Arial" w:cs="Arial"/>
          <w:sz w:val="24"/>
          <w:szCs w:val="24"/>
        </w:rPr>
        <w:t>f</w:t>
      </w:r>
      <w:r w:rsidR="00A476EC">
        <w:rPr>
          <w:rFonts w:ascii="Arial" w:hAnsi="Arial" w:cs="Arial"/>
          <w:sz w:val="24"/>
          <w:szCs w:val="24"/>
        </w:rPr>
        <w:t xml:space="preserve"> anything which is not the proceeds of crime will indeed violate </w:t>
      </w:r>
      <w:r w:rsidR="00D51474" w:rsidRPr="00BB1448">
        <w:rPr>
          <w:rFonts w:ascii="Arial" w:hAnsi="Arial" w:cs="Arial"/>
          <w:sz w:val="24"/>
          <w:szCs w:val="24"/>
        </w:rPr>
        <w:t>Art</w:t>
      </w:r>
      <w:r w:rsidR="00D51474">
        <w:rPr>
          <w:rFonts w:ascii="Arial" w:hAnsi="Arial" w:cs="Arial"/>
          <w:sz w:val="24"/>
          <w:szCs w:val="24"/>
        </w:rPr>
        <w:t>icle</w:t>
      </w:r>
      <w:r w:rsidR="00A476EC">
        <w:rPr>
          <w:rFonts w:ascii="Arial" w:hAnsi="Arial" w:cs="Arial"/>
          <w:sz w:val="24"/>
          <w:szCs w:val="24"/>
        </w:rPr>
        <w:t xml:space="preserve"> 16 of the Constitution. </w:t>
      </w:r>
    </w:p>
    <w:p w:rsidR="00A476EC" w:rsidRPr="00A476EC" w:rsidRDefault="00A476EC" w:rsidP="00A476EC">
      <w:pPr>
        <w:pStyle w:val="ListParagraph"/>
        <w:rPr>
          <w:rFonts w:ascii="Arial" w:hAnsi="Arial" w:cs="Arial"/>
          <w:sz w:val="24"/>
          <w:szCs w:val="24"/>
        </w:rPr>
      </w:pPr>
    </w:p>
    <w:p w:rsidR="00094F1D" w:rsidRDefault="00971A65" w:rsidP="00094F1D">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Mr Heathcote further argued that such a rational understanding would accord with Namibian law as </w:t>
      </w:r>
      <w:r w:rsidR="00735CA4">
        <w:rPr>
          <w:rFonts w:ascii="Arial" w:hAnsi="Arial" w:cs="Arial"/>
          <w:sz w:val="24"/>
          <w:szCs w:val="24"/>
        </w:rPr>
        <w:t>postulated</w:t>
      </w:r>
      <w:r>
        <w:rPr>
          <w:rFonts w:ascii="Arial" w:hAnsi="Arial" w:cs="Arial"/>
          <w:sz w:val="24"/>
          <w:szCs w:val="24"/>
        </w:rPr>
        <w:t xml:space="preserve"> by the Palermo Convention, more specifically</w:t>
      </w:r>
      <w:r w:rsidR="00A50993">
        <w:rPr>
          <w:rFonts w:ascii="Arial" w:hAnsi="Arial" w:cs="Arial"/>
          <w:sz w:val="24"/>
          <w:szCs w:val="24"/>
        </w:rPr>
        <w:t>,</w:t>
      </w:r>
      <w:r>
        <w:rPr>
          <w:rFonts w:ascii="Arial" w:hAnsi="Arial" w:cs="Arial"/>
          <w:sz w:val="24"/>
          <w:szCs w:val="24"/>
        </w:rPr>
        <w:t xml:space="preserve"> </w:t>
      </w:r>
      <w:r w:rsidR="00D51474" w:rsidRPr="00BB1448">
        <w:rPr>
          <w:rFonts w:ascii="Arial" w:hAnsi="Arial" w:cs="Arial"/>
          <w:sz w:val="24"/>
          <w:szCs w:val="24"/>
        </w:rPr>
        <w:t>Art</w:t>
      </w:r>
      <w:r w:rsidR="00D51474">
        <w:rPr>
          <w:rFonts w:ascii="Arial" w:hAnsi="Arial" w:cs="Arial"/>
          <w:sz w:val="24"/>
          <w:szCs w:val="24"/>
        </w:rPr>
        <w:t xml:space="preserve">icle </w:t>
      </w:r>
      <w:r>
        <w:rPr>
          <w:rFonts w:ascii="Arial" w:hAnsi="Arial" w:cs="Arial"/>
          <w:sz w:val="24"/>
          <w:szCs w:val="24"/>
        </w:rPr>
        <w:t>12 of the Convention</w:t>
      </w:r>
      <w:r w:rsidR="00B70513">
        <w:rPr>
          <w:rFonts w:ascii="Arial" w:hAnsi="Arial" w:cs="Arial"/>
          <w:sz w:val="24"/>
          <w:szCs w:val="24"/>
        </w:rPr>
        <w:t>. Counsel</w:t>
      </w:r>
      <w:r>
        <w:rPr>
          <w:rFonts w:ascii="Arial" w:hAnsi="Arial" w:cs="Arial"/>
          <w:sz w:val="24"/>
          <w:szCs w:val="24"/>
        </w:rPr>
        <w:t xml:space="preserve"> </w:t>
      </w:r>
      <w:r w:rsidR="00094F1D">
        <w:rPr>
          <w:rFonts w:ascii="Arial" w:hAnsi="Arial" w:cs="Arial"/>
          <w:sz w:val="24"/>
          <w:szCs w:val="24"/>
        </w:rPr>
        <w:t xml:space="preserve">referred the court to </w:t>
      </w:r>
      <w:r w:rsidR="00094F1D" w:rsidRPr="00094F1D">
        <w:rPr>
          <w:rFonts w:ascii="Arial" w:hAnsi="Arial" w:cs="Arial"/>
          <w:i/>
          <w:sz w:val="24"/>
          <w:szCs w:val="24"/>
        </w:rPr>
        <w:t>State v Henock and Others</w:t>
      </w:r>
      <w:r w:rsidR="00A01CDF">
        <w:rPr>
          <w:rFonts w:ascii="Arial" w:hAnsi="Arial" w:cs="Arial"/>
          <w:i/>
          <w:sz w:val="24"/>
          <w:szCs w:val="24"/>
        </w:rPr>
        <w:t>,</w:t>
      </w:r>
      <w:r w:rsidR="00094F1D">
        <w:rPr>
          <w:rStyle w:val="FootnoteReference"/>
          <w:rFonts w:ascii="Arial" w:hAnsi="Arial" w:cs="Arial"/>
          <w:sz w:val="24"/>
          <w:szCs w:val="24"/>
        </w:rPr>
        <w:footnoteReference w:id="9"/>
      </w:r>
      <w:r w:rsidR="00094F1D">
        <w:rPr>
          <w:rFonts w:ascii="Arial" w:hAnsi="Arial" w:cs="Arial"/>
          <w:sz w:val="24"/>
          <w:szCs w:val="24"/>
        </w:rPr>
        <w:t xml:space="preserve"> where </w:t>
      </w:r>
      <w:r w:rsidR="00B70513">
        <w:rPr>
          <w:rFonts w:ascii="Arial" w:hAnsi="Arial" w:cs="Arial"/>
          <w:sz w:val="24"/>
          <w:szCs w:val="24"/>
        </w:rPr>
        <w:t>a full bench of this court</w:t>
      </w:r>
      <w:r w:rsidR="00094F1D">
        <w:rPr>
          <w:rFonts w:ascii="Arial" w:hAnsi="Arial" w:cs="Arial"/>
          <w:sz w:val="24"/>
          <w:szCs w:val="24"/>
        </w:rPr>
        <w:t xml:space="preserve"> discussed the interpretation of statutes that derives from international agreements, such as the Palermo Convention and submitted that there is a presumption that Parliament when enacting a statute, intended it to be in </w:t>
      </w:r>
      <w:r w:rsidR="00A50993">
        <w:rPr>
          <w:rFonts w:ascii="Arial" w:hAnsi="Arial" w:cs="Arial"/>
          <w:sz w:val="24"/>
          <w:szCs w:val="24"/>
        </w:rPr>
        <w:t>accord</w:t>
      </w:r>
      <w:r w:rsidR="00094F1D">
        <w:rPr>
          <w:rFonts w:ascii="Arial" w:hAnsi="Arial" w:cs="Arial"/>
          <w:sz w:val="24"/>
          <w:szCs w:val="24"/>
        </w:rPr>
        <w:t xml:space="preserve"> with international law.</w:t>
      </w:r>
    </w:p>
    <w:p w:rsidR="00094F1D" w:rsidRPr="00094F1D" w:rsidRDefault="00094F1D" w:rsidP="00094F1D">
      <w:pPr>
        <w:pStyle w:val="ListParagraph"/>
        <w:rPr>
          <w:rFonts w:ascii="Arial" w:hAnsi="Arial" w:cs="Arial"/>
          <w:sz w:val="24"/>
          <w:szCs w:val="24"/>
        </w:rPr>
      </w:pPr>
    </w:p>
    <w:p w:rsidR="00A476EC" w:rsidRDefault="00B70513" w:rsidP="00094F1D">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With this in mind Mr Heathcote argued that the definition of proceeds of unlawful activity should be limited to the contributing value of the ‘dirty money’</w:t>
      </w:r>
      <w:r w:rsidR="00A50993">
        <w:rPr>
          <w:rFonts w:ascii="Arial" w:hAnsi="Arial" w:cs="Arial"/>
          <w:sz w:val="24"/>
          <w:szCs w:val="24"/>
        </w:rPr>
        <w:t>,</w:t>
      </w:r>
      <w:r>
        <w:rPr>
          <w:rFonts w:ascii="Arial" w:hAnsi="Arial" w:cs="Arial"/>
          <w:sz w:val="24"/>
          <w:szCs w:val="24"/>
        </w:rPr>
        <w:t xml:space="preserve"> </w:t>
      </w:r>
      <w:r w:rsidR="00CB6D9A">
        <w:rPr>
          <w:rFonts w:ascii="Arial" w:hAnsi="Arial" w:cs="Arial"/>
          <w:sz w:val="24"/>
          <w:szCs w:val="24"/>
        </w:rPr>
        <w:t xml:space="preserve">thereby </w:t>
      </w:r>
      <w:r w:rsidR="00441D73">
        <w:rPr>
          <w:rFonts w:ascii="Arial" w:hAnsi="Arial" w:cs="Arial"/>
          <w:sz w:val="24"/>
          <w:szCs w:val="24"/>
        </w:rPr>
        <w:t>restoring</w:t>
      </w:r>
      <w:r>
        <w:rPr>
          <w:rFonts w:ascii="Arial" w:hAnsi="Arial" w:cs="Arial"/>
          <w:sz w:val="24"/>
          <w:szCs w:val="24"/>
        </w:rPr>
        <w:t xml:space="preserve"> the constitutional safeguard </w:t>
      </w:r>
      <w:r w:rsidR="00441D73">
        <w:rPr>
          <w:rFonts w:ascii="Arial" w:hAnsi="Arial" w:cs="Arial"/>
          <w:sz w:val="24"/>
          <w:szCs w:val="24"/>
        </w:rPr>
        <w:t xml:space="preserve">of the Palermo Convention in the definition. </w:t>
      </w:r>
    </w:p>
    <w:p w:rsidR="00441D73" w:rsidRPr="00441D73" w:rsidRDefault="00441D73" w:rsidP="00441D73">
      <w:pPr>
        <w:pStyle w:val="ListParagraph"/>
        <w:rPr>
          <w:rFonts w:ascii="Arial" w:hAnsi="Arial" w:cs="Arial"/>
          <w:sz w:val="24"/>
          <w:szCs w:val="24"/>
        </w:rPr>
      </w:pPr>
    </w:p>
    <w:p w:rsidR="00441D73" w:rsidRDefault="00441D73" w:rsidP="00094F1D">
      <w:pPr>
        <w:pStyle w:val="ListParagraph"/>
        <w:numPr>
          <w:ilvl w:val="0"/>
          <w:numId w:val="22"/>
        </w:numPr>
        <w:spacing w:after="0" w:line="360" w:lineRule="auto"/>
        <w:ind w:left="0" w:firstLine="0"/>
        <w:jc w:val="both"/>
        <w:rPr>
          <w:rFonts w:ascii="Arial" w:hAnsi="Arial" w:cs="Arial"/>
          <w:sz w:val="24"/>
          <w:szCs w:val="24"/>
        </w:rPr>
      </w:pPr>
      <w:r>
        <w:rPr>
          <w:rFonts w:ascii="Arial" w:hAnsi="Arial" w:cs="Arial"/>
          <w:sz w:val="24"/>
          <w:szCs w:val="24"/>
        </w:rPr>
        <w:t>Mr Heathcote submitted that the applicants’ case is unassailable</w:t>
      </w:r>
      <w:r w:rsidR="00A50993">
        <w:rPr>
          <w:rFonts w:ascii="Arial" w:hAnsi="Arial" w:cs="Arial"/>
          <w:sz w:val="24"/>
          <w:szCs w:val="24"/>
        </w:rPr>
        <w:t>,</w:t>
      </w:r>
      <w:r>
        <w:rPr>
          <w:rFonts w:ascii="Arial" w:hAnsi="Arial" w:cs="Arial"/>
          <w:sz w:val="24"/>
          <w:szCs w:val="24"/>
        </w:rPr>
        <w:t xml:space="preserve"> </w:t>
      </w:r>
      <w:r w:rsidR="0099174A">
        <w:rPr>
          <w:rFonts w:ascii="Arial" w:hAnsi="Arial" w:cs="Arial"/>
          <w:sz w:val="24"/>
          <w:szCs w:val="24"/>
        </w:rPr>
        <w:t>and this</w:t>
      </w:r>
      <w:r>
        <w:rPr>
          <w:rFonts w:ascii="Arial" w:hAnsi="Arial" w:cs="Arial"/>
          <w:sz w:val="24"/>
          <w:szCs w:val="24"/>
        </w:rPr>
        <w:t xml:space="preserve"> is demonstrated by the following</w:t>
      </w:r>
      <w:r w:rsidR="00080FBE">
        <w:rPr>
          <w:rFonts w:ascii="Arial" w:hAnsi="Arial" w:cs="Arial"/>
          <w:sz w:val="24"/>
          <w:szCs w:val="24"/>
        </w:rPr>
        <w:t>,</w:t>
      </w:r>
      <w:r w:rsidR="00E57FBA">
        <w:rPr>
          <w:rFonts w:ascii="Arial" w:hAnsi="Arial" w:cs="Arial"/>
          <w:sz w:val="24"/>
          <w:szCs w:val="24"/>
        </w:rPr>
        <w:t xml:space="preserve"> in summary</w:t>
      </w:r>
      <w:r>
        <w:rPr>
          <w:rFonts w:ascii="Arial" w:hAnsi="Arial" w:cs="Arial"/>
          <w:sz w:val="24"/>
          <w:szCs w:val="24"/>
        </w:rPr>
        <w:t>:</w:t>
      </w:r>
    </w:p>
    <w:p w:rsidR="00441D73" w:rsidRPr="00441D73" w:rsidRDefault="00441D73" w:rsidP="00441D73">
      <w:pPr>
        <w:pStyle w:val="ListParagraph"/>
        <w:rPr>
          <w:rFonts w:ascii="Arial" w:hAnsi="Arial" w:cs="Arial"/>
          <w:sz w:val="24"/>
          <w:szCs w:val="24"/>
        </w:rPr>
      </w:pPr>
    </w:p>
    <w:p w:rsidR="00441D73" w:rsidRDefault="0078188D" w:rsidP="001536D9">
      <w:pPr>
        <w:pStyle w:val="ListParagraph"/>
        <w:numPr>
          <w:ilvl w:val="0"/>
          <w:numId w:val="23"/>
        </w:numPr>
        <w:spacing w:after="0" w:line="360" w:lineRule="auto"/>
        <w:ind w:left="0" w:firstLine="0"/>
        <w:jc w:val="both"/>
        <w:rPr>
          <w:rFonts w:ascii="Arial" w:hAnsi="Arial" w:cs="Arial"/>
          <w:sz w:val="24"/>
          <w:szCs w:val="24"/>
        </w:rPr>
      </w:pPr>
      <w:r>
        <w:rPr>
          <w:rFonts w:ascii="Arial" w:hAnsi="Arial" w:cs="Arial"/>
          <w:sz w:val="24"/>
          <w:szCs w:val="24"/>
        </w:rPr>
        <w:t xml:space="preserve">Unlike </w:t>
      </w:r>
      <w:r w:rsidR="00441D73">
        <w:rPr>
          <w:rFonts w:ascii="Arial" w:hAnsi="Arial" w:cs="Arial"/>
          <w:sz w:val="24"/>
          <w:szCs w:val="24"/>
        </w:rPr>
        <w:t xml:space="preserve">criminal </w:t>
      </w:r>
      <w:r>
        <w:rPr>
          <w:rFonts w:ascii="Arial" w:hAnsi="Arial" w:cs="Arial"/>
          <w:sz w:val="24"/>
          <w:szCs w:val="24"/>
        </w:rPr>
        <w:t>forfeiture</w:t>
      </w:r>
      <w:r w:rsidR="00080FBE">
        <w:rPr>
          <w:rFonts w:ascii="Arial" w:hAnsi="Arial" w:cs="Arial"/>
          <w:sz w:val="24"/>
          <w:szCs w:val="24"/>
        </w:rPr>
        <w:t>,</w:t>
      </w:r>
      <w:r>
        <w:rPr>
          <w:rFonts w:ascii="Arial" w:hAnsi="Arial" w:cs="Arial"/>
          <w:sz w:val="24"/>
          <w:szCs w:val="24"/>
        </w:rPr>
        <w:t xml:space="preserve"> the primary purpose of civil forfeiture is remedial and not punitive and therefore it is irrational to freeze untainted millions.</w:t>
      </w:r>
    </w:p>
    <w:p w:rsidR="0078188D" w:rsidRDefault="0078188D" w:rsidP="001536D9">
      <w:pPr>
        <w:pStyle w:val="ListParagraph"/>
        <w:numPr>
          <w:ilvl w:val="0"/>
          <w:numId w:val="23"/>
        </w:numPr>
        <w:spacing w:after="0" w:line="360" w:lineRule="auto"/>
        <w:ind w:left="0" w:firstLine="0"/>
        <w:jc w:val="both"/>
        <w:rPr>
          <w:rFonts w:ascii="Arial" w:hAnsi="Arial" w:cs="Arial"/>
          <w:sz w:val="24"/>
          <w:szCs w:val="24"/>
        </w:rPr>
      </w:pPr>
      <w:r w:rsidRPr="001536D9">
        <w:rPr>
          <w:rFonts w:ascii="Arial" w:hAnsi="Arial" w:cs="Arial"/>
          <w:sz w:val="24"/>
          <w:szCs w:val="24"/>
        </w:rPr>
        <w:t>Civil forfeiture</w:t>
      </w:r>
      <w:r>
        <w:rPr>
          <w:rFonts w:ascii="Arial" w:hAnsi="Arial" w:cs="Arial"/>
          <w:sz w:val="24"/>
          <w:szCs w:val="24"/>
        </w:rPr>
        <w:t xml:space="preserve"> has been described as draconian because the State only need</w:t>
      </w:r>
      <w:r w:rsidR="006101EA">
        <w:rPr>
          <w:rFonts w:ascii="Arial" w:hAnsi="Arial" w:cs="Arial"/>
          <w:sz w:val="24"/>
          <w:szCs w:val="24"/>
        </w:rPr>
        <w:t>s</w:t>
      </w:r>
      <w:r>
        <w:rPr>
          <w:rFonts w:ascii="Arial" w:hAnsi="Arial" w:cs="Arial"/>
          <w:sz w:val="24"/>
          <w:szCs w:val="24"/>
        </w:rPr>
        <w:t xml:space="preserve"> to prove on a balance of probabilities that the property was used as an instrumentality of an offence or is proceeds of crime in order to obtain a forfeiture order. Because of this</w:t>
      </w:r>
      <w:r w:rsidR="00034F50">
        <w:rPr>
          <w:rFonts w:ascii="Arial" w:hAnsi="Arial" w:cs="Arial"/>
          <w:sz w:val="24"/>
          <w:szCs w:val="24"/>
        </w:rPr>
        <w:t>,</w:t>
      </w:r>
      <w:r>
        <w:rPr>
          <w:rFonts w:ascii="Arial" w:hAnsi="Arial" w:cs="Arial"/>
          <w:sz w:val="24"/>
          <w:szCs w:val="24"/>
        </w:rPr>
        <w:t xml:space="preserve"> courts have cautioned that civil forfeiture has the potential to produce arbitrary consequences</w:t>
      </w:r>
      <w:r w:rsidR="00E57FBA">
        <w:rPr>
          <w:rFonts w:ascii="Arial" w:hAnsi="Arial" w:cs="Arial"/>
          <w:sz w:val="24"/>
          <w:szCs w:val="24"/>
        </w:rPr>
        <w:t>.</w:t>
      </w:r>
      <w:r>
        <w:rPr>
          <w:rFonts w:ascii="Arial" w:hAnsi="Arial" w:cs="Arial"/>
          <w:sz w:val="24"/>
          <w:szCs w:val="24"/>
        </w:rPr>
        <w:t xml:space="preserve"> </w:t>
      </w:r>
    </w:p>
    <w:p w:rsidR="001E521F" w:rsidRPr="001800D4" w:rsidRDefault="001800D4" w:rsidP="00771694">
      <w:pPr>
        <w:pStyle w:val="ListParagraph"/>
        <w:numPr>
          <w:ilvl w:val="0"/>
          <w:numId w:val="23"/>
        </w:numPr>
        <w:spacing w:after="0" w:line="360" w:lineRule="auto"/>
        <w:ind w:left="0" w:firstLine="0"/>
        <w:jc w:val="both"/>
        <w:rPr>
          <w:rFonts w:ascii="Arial" w:hAnsi="Arial" w:cs="Arial"/>
          <w:sz w:val="24"/>
          <w:szCs w:val="24"/>
          <w:u w:val="single"/>
        </w:rPr>
      </w:pPr>
      <w:r>
        <w:rPr>
          <w:rFonts w:ascii="Arial" w:hAnsi="Arial" w:cs="Arial"/>
          <w:sz w:val="24"/>
          <w:szCs w:val="24"/>
        </w:rPr>
        <w:t>T</w:t>
      </w:r>
      <w:r w:rsidR="0078188D" w:rsidRPr="00E57FBA">
        <w:rPr>
          <w:rFonts w:ascii="Arial" w:hAnsi="Arial" w:cs="Arial"/>
          <w:sz w:val="24"/>
          <w:szCs w:val="24"/>
        </w:rPr>
        <w:t>he proportionality principle</w:t>
      </w:r>
      <w:r w:rsidR="00D14B63" w:rsidRPr="00E57FBA">
        <w:rPr>
          <w:rFonts w:ascii="Arial" w:hAnsi="Arial" w:cs="Arial"/>
          <w:sz w:val="24"/>
          <w:szCs w:val="24"/>
        </w:rPr>
        <w:t xml:space="preserve"> plays a double role, i.e. firstly, the constitutionality of the impugned section must be determined, and secondly, at the level of forfeiture, the value of forfeiture is determined by a court. </w:t>
      </w:r>
      <w:r w:rsidR="00E57FBA">
        <w:rPr>
          <w:rFonts w:ascii="Arial" w:hAnsi="Arial" w:cs="Arial"/>
          <w:sz w:val="24"/>
          <w:szCs w:val="24"/>
        </w:rPr>
        <w:t xml:space="preserve"> An </w:t>
      </w:r>
      <w:r w:rsidR="00E57FBA" w:rsidRPr="00E57FBA">
        <w:rPr>
          <w:rFonts w:ascii="Arial" w:hAnsi="Arial" w:cs="Arial"/>
          <w:sz w:val="24"/>
          <w:szCs w:val="24"/>
        </w:rPr>
        <w:t>unconstitutional provision in an Act</w:t>
      </w:r>
      <w:r w:rsidR="00A15600">
        <w:rPr>
          <w:rFonts w:ascii="Arial" w:hAnsi="Arial" w:cs="Arial"/>
          <w:sz w:val="24"/>
          <w:szCs w:val="24"/>
        </w:rPr>
        <w:t xml:space="preserve"> cannot</w:t>
      </w:r>
      <w:r w:rsidR="00E57FBA" w:rsidRPr="00E57FBA">
        <w:rPr>
          <w:rFonts w:ascii="Arial" w:hAnsi="Arial" w:cs="Arial"/>
          <w:sz w:val="24"/>
          <w:szCs w:val="24"/>
        </w:rPr>
        <w:t xml:space="preserve"> </w:t>
      </w:r>
      <w:r>
        <w:rPr>
          <w:rFonts w:ascii="Arial" w:hAnsi="Arial" w:cs="Arial"/>
          <w:sz w:val="24"/>
          <w:szCs w:val="24"/>
        </w:rPr>
        <w:t xml:space="preserve">be saved from unconstitutionality </w:t>
      </w:r>
      <w:r w:rsidRPr="001800D4">
        <w:rPr>
          <w:rFonts w:ascii="Arial" w:hAnsi="Arial" w:cs="Arial"/>
          <w:sz w:val="24"/>
          <w:szCs w:val="24"/>
        </w:rPr>
        <w:t xml:space="preserve">because </w:t>
      </w:r>
      <w:r>
        <w:rPr>
          <w:rFonts w:ascii="Arial" w:hAnsi="Arial" w:cs="Arial"/>
          <w:sz w:val="24"/>
          <w:szCs w:val="24"/>
        </w:rPr>
        <w:t>its</w:t>
      </w:r>
      <w:r w:rsidRPr="001800D4">
        <w:rPr>
          <w:rFonts w:ascii="Arial" w:hAnsi="Arial" w:cs="Arial"/>
          <w:sz w:val="24"/>
          <w:szCs w:val="24"/>
        </w:rPr>
        <w:t xml:space="preserve"> devastating effects may be set straight at the second level of the enquiry</w:t>
      </w:r>
      <w:r>
        <w:rPr>
          <w:rFonts w:ascii="Arial" w:hAnsi="Arial" w:cs="Arial"/>
          <w:sz w:val="24"/>
          <w:szCs w:val="24"/>
        </w:rPr>
        <w:t>.</w:t>
      </w:r>
    </w:p>
    <w:p w:rsidR="00154F8C" w:rsidRPr="00154F8C" w:rsidRDefault="001800D4" w:rsidP="00771694">
      <w:pPr>
        <w:pStyle w:val="ListParagraph"/>
        <w:numPr>
          <w:ilvl w:val="0"/>
          <w:numId w:val="23"/>
        </w:numPr>
        <w:spacing w:after="0" w:line="360" w:lineRule="auto"/>
        <w:ind w:left="0" w:firstLine="0"/>
        <w:jc w:val="both"/>
        <w:rPr>
          <w:rFonts w:ascii="Arial" w:hAnsi="Arial" w:cs="Arial"/>
          <w:sz w:val="24"/>
          <w:szCs w:val="24"/>
          <w:u w:val="single"/>
        </w:rPr>
      </w:pPr>
      <w:r w:rsidRPr="00154F8C">
        <w:rPr>
          <w:rFonts w:ascii="Arial" w:hAnsi="Arial" w:cs="Arial"/>
          <w:sz w:val="24"/>
          <w:szCs w:val="24"/>
        </w:rPr>
        <w:t xml:space="preserve">In </w:t>
      </w:r>
      <w:r w:rsidRPr="00154F8C">
        <w:rPr>
          <w:rFonts w:ascii="Arial" w:hAnsi="Arial" w:cs="Arial"/>
          <w:i/>
          <w:sz w:val="24"/>
          <w:szCs w:val="24"/>
        </w:rPr>
        <w:t>Prophet v National Director of Public Prosecutions,</w:t>
      </w:r>
      <w:r>
        <w:rPr>
          <w:rStyle w:val="FootnoteReference"/>
          <w:rFonts w:ascii="Arial" w:hAnsi="Arial" w:cs="Arial"/>
          <w:i/>
          <w:sz w:val="24"/>
          <w:szCs w:val="24"/>
        </w:rPr>
        <w:footnoteReference w:id="10"/>
      </w:r>
      <w:r w:rsidRPr="00154F8C">
        <w:rPr>
          <w:rFonts w:ascii="Arial" w:hAnsi="Arial" w:cs="Arial"/>
          <w:i/>
          <w:sz w:val="24"/>
          <w:szCs w:val="24"/>
        </w:rPr>
        <w:t xml:space="preserve"> </w:t>
      </w:r>
      <w:r w:rsidRPr="00154F8C">
        <w:rPr>
          <w:rFonts w:ascii="Arial" w:hAnsi="Arial" w:cs="Arial"/>
          <w:sz w:val="24"/>
          <w:szCs w:val="24"/>
        </w:rPr>
        <w:t xml:space="preserve">the South African Constitutional Court stressed that the </w:t>
      </w:r>
      <w:r w:rsidR="00C90DF0">
        <w:rPr>
          <w:rFonts w:ascii="Arial" w:hAnsi="Arial" w:cs="Arial"/>
          <w:sz w:val="24"/>
          <w:szCs w:val="24"/>
        </w:rPr>
        <w:t>‘</w:t>
      </w:r>
      <w:r w:rsidRPr="00154F8C">
        <w:rPr>
          <w:rFonts w:ascii="Arial" w:hAnsi="Arial" w:cs="Arial"/>
          <w:sz w:val="24"/>
          <w:szCs w:val="24"/>
        </w:rPr>
        <w:t>unrestrained application</w:t>
      </w:r>
      <w:r w:rsidR="00C90DF0">
        <w:rPr>
          <w:rFonts w:ascii="Arial" w:hAnsi="Arial" w:cs="Arial"/>
          <w:sz w:val="24"/>
          <w:szCs w:val="24"/>
        </w:rPr>
        <w:t>’</w:t>
      </w:r>
      <w:r w:rsidRPr="00154F8C">
        <w:rPr>
          <w:rFonts w:ascii="Arial" w:hAnsi="Arial" w:cs="Arial"/>
          <w:sz w:val="24"/>
          <w:szCs w:val="24"/>
        </w:rPr>
        <w:t xml:space="preserve"> of the civil forfeiture provisions of POCA may violate the constitutional right not to be arbitrarily deprived of property. </w:t>
      </w:r>
    </w:p>
    <w:p w:rsidR="0027413A" w:rsidRPr="0027413A" w:rsidRDefault="00154F8C" w:rsidP="00771694">
      <w:pPr>
        <w:pStyle w:val="ListParagraph"/>
        <w:numPr>
          <w:ilvl w:val="0"/>
          <w:numId w:val="23"/>
        </w:numPr>
        <w:spacing w:after="0" w:line="360" w:lineRule="auto"/>
        <w:ind w:left="0" w:firstLine="0"/>
        <w:jc w:val="both"/>
        <w:rPr>
          <w:rFonts w:ascii="Arial" w:hAnsi="Arial" w:cs="Arial"/>
          <w:sz w:val="24"/>
          <w:szCs w:val="24"/>
          <w:u w:val="single"/>
        </w:rPr>
      </w:pPr>
      <w:r w:rsidRPr="00154F8C">
        <w:rPr>
          <w:rFonts w:ascii="Arial" w:hAnsi="Arial" w:cs="Arial"/>
          <w:sz w:val="24"/>
          <w:szCs w:val="24"/>
        </w:rPr>
        <w:lastRenderedPageBreak/>
        <w:t>Established and vested rights are deferred by the impugned definition</w:t>
      </w:r>
      <w:r>
        <w:rPr>
          <w:rFonts w:ascii="Arial" w:hAnsi="Arial" w:cs="Arial"/>
          <w:sz w:val="24"/>
          <w:szCs w:val="24"/>
        </w:rPr>
        <w:t xml:space="preserve">. </w:t>
      </w:r>
      <w:r w:rsidRPr="00154F8C">
        <w:rPr>
          <w:rFonts w:ascii="Arial" w:hAnsi="Arial" w:cs="Arial"/>
          <w:sz w:val="24"/>
          <w:szCs w:val="24"/>
        </w:rPr>
        <w:t xml:space="preserve">In </w:t>
      </w:r>
      <w:r w:rsidRPr="0027413A">
        <w:rPr>
          <w:rFonts w:ascii="Arial" w:hAnsi="Arial" w:cs="Arial"/>
          <w:i/>
          <w:sz w:val="24"/>
          <w:szCs w:val="24"/>
        </w:rPr>
        <w:t>Atlantic Slots and Another v MEC for Economic Affairs, North West and Others</w:t>
      </w:r>
      <w:r w:rsidR="001536D9">
        <w:rPr>
          <w:rFonts w:ascii="Arial" w:hAnsi="Arial" w:cs="Arial"/>
          <w:i/>
          <w:sz w:val="24"/>
          <w:szCs w:val="24"/>
        </w:rPr>
        <w:t>,</w:t>
      </w:r>
      <w:r w:rsidR="0027413A">
        <w:rPr>
          <w:rStyle w:val="FootnoteReference"/>
          <w:rFonts w:ascii="Arial" w:hAnsi="Arial" w:cs="Arial"/>
          <w:sz w:val="24"/>
          <w:szCs w:val="24"/>
        </w:rPr>
        <w:footnoteReference w:id="11"/>
      </w:r>
      <w:r w:rsidRPr="00154F8C">
        <w:rPr>
          <w:rFonts w:ascii="Arial" w:hAnsi="Arial" w:cs="Arial"/>
          <w:sz w:val="24"/>
          <w:szCs w:val="24"/>
        </w:rPr>
        <w:t xml:space="preserve"> the Court held: </w:t>
      </w:r>
    </w:p>
    <w:p w:rsidR="0027413A" w:rsidRDefault="0027413A" w:rsidP="0027413A">
      <w:pPr>
        <w:pStyle w:val="ListParagraph"/>
        <w:spacing w:after="0" w:line="360" w:lineRule="auto"/>
        <w:ind w:left="0"/>
        <w:jc w:val="both"/>
        <w:rPr>
          <w:rFonts w:ascii="Arial" w:hAnsi="Arial" w:cs="Arial"/>
          <w:sz w:val="24"/>
          <w:szCs w:val="24"/>
        </w:rPr>
      </w:pPr>
    </w:p>
    <w:p w:rsidR="00154F8C" w:rsidRDefault="00C90DF0" w:rsidP="0027413A">
      <w:pPr>
        <w:pStyle w:val="ListParagraph"/>
        <w:spacing w:after="0" w:line="360" w:lineRule="auto"/>
        <w:ind w:left="0" w:firstLine="720"/>
        <w:jc w:val="both"/>
        <w:rPr>
          <w:rFonts w:ascii="Arial" w:hAnsi="Arial" w:cs="Arial"/>
          <w:sz w:val="24"/>
          <w:szCs w:val="24"/>
        </w:rPr>
      </w:pPr>
      <w:r>
        <w:rPr>
          <w:rFonts w:ascii="Arial" w:hAnsi="Arial" w:cs="Arial"/>
          <w:sz w:val="24"/>
          <w:szCs w:val="24"/>
        </w:rPr>
        <w:t>‘</w:t>
      </w:r>
      <w:r w:rsidR="00154F8C" w:rsidRPr="00154F8C">
        <w:rPr>
          <w:rFonts w:ascii="Arial" w:hAnsi="Arial" w:cs="Arial"/>
        </w:rPr>
        <w:t>There is sound principle to regard a deferment of a right as an infringement of a right. It signifies that for the period of deferment or postponement the right cannot be exercised</w:t>
      </w:r>
      <w:r w:rsidR="00154F8C" w:rsidRPr="00154F8C">
        <w:rPr>
          <w:rFonts w:ascii="Arial" w:hAnsi="Arial" w:cs="Arial"/>
          <w:sz w:val="24"/>
          <w:szCs w:val="24"/>
        </w:rPr>
        <w:t>.</w:t>
      </w:r>
      <w:r>
        <w:rPr>
          <w:rFonts w:ascii="Arial" w:hAnsi="Arial" w:cs="Arial"/>
          <w:sz w:val="24"/>
          <w:szCs w:val="24"/>
        </w:rPr>
        <w:t>’</w:t>
      </w:r>
    </w:p>
    <w:p w:rsidR="00C90DF0" w:rsidRPr="00154F8C" w:rsidRDefault="00C90DF0" w:rsidP="0027413A">
      <w:pPr>
        <w:pStyle w:val="ListParagraph"/>
        <w:spacing w:after="0" w:line="360" w:lineRule="auto"/>
        <w:ind w:left="0" w:firstLine="720"/>
        <w:jc w:val="both"/>
        <w:rPr>
          <w:rFonts w:ascii="Arial" w:hAnsi="Arial" w:cs="Arial"/>
          <w:sz w:val="24"/>
          <w:szCs w:val="24"/>
          <w:u w:val="single"/>
        </w:rPr>
      </w:pPr>
    </w:p>
    <w:p w:rsidR="00EA5536" w:rsidRDefault="00154F8C" w:rsidP="00EA5536">
      <w:pPr>
        <w:pStyle w:val="ListParagraph"/>
        <w:numPr>
          <w:ilvl w:val="0"/>
          <w:numId w:val="23"/>
        </w:numPr>
        <w:spacing w:after="0" w:line="360" w:lineRule="auto"/>
        <w:ind w:left="0" w:firstLine="0"/>
        <w:jc w:val="both"/>
        <w:rPr>
          <w:rFonts w:ascii="Arial" w:hAnsi="Arial" w:cs="Arial"/>
          <w:sz w:val="24"/>
          <w:szCs w:val="24"/>
          <w:u w:val="single"/>
        </w:rPr>
      </w:pPr>
      <w:r w:rsidRPr="00154F8C">
        <w:rPr>
          <w:rFonts w:ascii="Arial" w:hAnsi="Arial" w:cs="Arial"/>
          <w:sz w:val="24"/>
          <w:szCs w:val="24"/>
        </w:rPr>
        <w:t xml:space="preserve">The impugned portion of the definition destroys core content (i.e. to use lawful property), being the </w:t>
      </w:r>
      <w:r w:rsidR="00C90DF0">
        <w:rPr>
          <w:rFonts w:ascii="Arial" w:hAnsi="Arial" w:cs="Arial"/>
          <w:sz w:val="24"/>
          <w:szCs w:val="24"/>
        </w:rPr>
        <w:t>‘</w:t>
      </w:r>
      <w:r w:rsidRPr="00154F8C">
        <w:rPr>
          <w:rFonts w:ascii="Arial" w:hAnsi="Arial" w:cs="Arial"/>
          <w:sz w:val="24"/>
          <w:szCs w:val="24"/>
        </w:rPr>
        <w:t>essential content of the right</w:t>
      </w:r>
      <w:r w:rsidR="00C90DF0">
        <w:rPr>
          <w:rFonts w:ascii="Arial" w:hAnsi="Arial" w:cs="Arial"/>
          <w:sz w:val="24"/>
          <w:szCs w:val="24"/>
        </w:rPr>
        <w:t>’</w:t>
      </w:r>
      <w:r>
        <w:rPr>
          <w:rFonts w:ascii="Arial" w:hAnsi="Arial" w:cs="Arial"/>
          <w:sz w:val="24"/>
          <w:szCs w:val="24"/>
        </w:rPr>
        <w:t>.</w:t>
      </w:r>
    </w:p>
    <w:p w:rsidR="00EA5536" w:rsidRDefault="00EA5536" w:rsidP="00EA5536">
      <w:pPr>
        <w:spacing w:after="0" w:line="360" w:lineRule="auto"/>
        <w:jc w:val="both"/>
        <w:rPr>
          <w:rFonts w:ascii="Arial" w:hAnsi="Arial" w:cs="Arial"/>
          <w:sz w:val="24"/>
          <w:szCs w:val="24"/>
          <w:u w:val="single"/>
        </w:rPr>
      </w:pPr>
    </w:p>
    <w:p w:rsidR="00EA5536" w:rsidRPr="00F3754B" w:rsidRDefault="00EA5536" w:rsidP="00EA5536">
      <w:pPr>
        <w:pStyle w:val="ListParagraph"/>
        <w:numPr>
          <w:ilvl w:val="0"/>
          <w:numId w:val="25"/>
        </w:numPr>
        <w:spacing w:after="0" w:line="360" w:lineRule="auto"/>
        <w:ind w:left="0" w:firstLine="0"/>
        <w:jc w:val="both"/>
        <w:rPr>
          <w:rFonts w:ascii="Arial" w:hAnsi="Arial" w:cs="Arial"/>
          <w:sz w:val="24"/>
          <w:szCs w:val="24"/>
          <w:u w:val="single"/>
        </w:rPr>
      </w:pPr>
      <w:r>
        <w:rPr>
          <w:rFonts w:ascii="Arial" w:hAnsi="Arial" w:cs="Arial"/>
          <w:sz w:val="24"/>
          <w:szCs w:val="24"/>
        </w:rPr>
        <w:t xml:space="preserve">In conclusion, Mr Heathcote submitted that the applicants did not make themselves guilty of any unlawful activities. They sold their property on the open market on the basis of willing buyer/willing seller. The applicants’ life savings are not linked to any unlawful activity except for the fact that these funds mingled with the funds generated from the sale of the property in question. </w:t>
      </w:r>
    </w:p>
    <w:p w:rsidR="00F3754B" w:rsidRDefault="00F3754B" w:rsidP="00F3754B">
      <w:pPr>
        <w:pStyle w:val="ListParagraph"/>
        <w:spacing w:after="0" w:line="360" w:lineRule="auto"/>
        <w:ind w:left="0"/>
        <w:jc w:val="both"/>
        <w:rPr>
          <w:rFonts w:ascii="Arial" w:hAnsi="Arial" w:cs="Arial"/>
          <w:sz w:val="24"/>
          <w:szCs w:val="24"/>
        </w:rPr>
      </w:pPr>
    </w:p>
    <w:p w:rsidR="00F3754B" w:rsidRDefault="00F3754B" w:rsidP="00F3754B">
      <w:pPr>
        <w:pStyle w:val="ListParagraph"/>
        <w:spacing w:after="0" w:line="360" w:lineRule="auto"/>
        <w:ind w:left="0"/>
        <w:jc w:val="both"/>
        <w:rPr>
          <w:rFonts w:ascii="Arial" w:hAnsi="Arial" w:cs="Arial"/>
          <w:i/>
          <w:sz w:val="24"/>
          <w:szCs w:val="24"/>
        </w:rPr>
      </w:pPr>
      <w:r w:rsidRPr="00F3754B">
        <w:rPr>
          <w:rFonts w:ascii="Arial" w:hAnsi="Arial" w:cs="Arial"/>
          <w:i/>
          <w:sz w:val="24"/>
          <w:szCs w:val="24"/>
        </w:rPr>
        <w:t>On behalf of the respondents</w:t>
      </w:r>
    </w:p>
    <w:p w:rsidR="00376D2D" w:rsidRPr="00F3754B" w:rsidRDefault="00376D2D" w:rsidP="00F3754B">
      <w:pPr>
        <w:pStyle w:val="ListParagraph"/>
        <w:spacing w:after="0" w:line="360" w:lineRule="auto"/>
        <w:ind w:left="0"/>
        <w:jc w:val="both"/>
        <w:rPr>
          <w:rFonts w:ascii="Arial" w:hAnsi="Arial" w:cs="Arial"/>
          <w:i/>
          <w:sz w:val="24"/>
          <w:szCs w:val="24"/>
          <w:u w:val="single"/>
        </w:rPr>
      </w:pPr>
    </w:p>
    <w:p w:rsidR="00FC306F" w:rsidRDefault="00F3754B" w:rsidP="00EA5536">
      <w:pPr>
        <w:pStyle w:val="ListParagraph"/>
        <w:numPr>
          <w:ilvl w:val="0"/>
          <w:numId w:val="25"/>
        </w:numPr>
        <w:spacing w:after="0" w:line="360" w:lineRule="auto"/>
        <w:ind w:left="0" w:firstLine="0"/>
        <w:jc w:val="both"/>
        <w:rPr>
          <w:rFonts w:ascii="Arial" w:hAnsi="Arial" w:cs="Arial"/>
          <w:sz w:val="24"/>
          <w:szCs w:val="24"/>
        </w:rPr>
      </w:pPr>
      <w:r w:rsidRPr="00F3754B">
        <w:rPr>
          <w:rFonts w:ascii="Arial" w:hAnsi="Arial" w:cs="Arial"/>
          <w:sz w:val="24"/>
          <w:szCs w:val="24"/>
        </w:rPr>
        <w:t xml:space="preserve">Mr </w:t>
      </w:r>
      <w:r>
        <w:rPr>
          <w:rFonts w:ascii="Arial" w:hAnsi="Arial" w:cs="Arial"/>
          <w:sz w:val="24"/>
          <w:szCs w:val="24"/>
        </w:rPr>
        <w:t xml:space="preserve">Budlender submitted on behalf of the respondents that </w:t>
      </w:r>
      <w:r w:rsidR="00771694">
        <w:rPr>
          <w:rFonts w:ascii="Arial" w:hAnsi="Arial" w:cs="Arial"/>
          <w:sz w:val="24"/>
          <w:szCs w:val="24"/>
        </w:rPr>
        <w:t>it is common cause that the funds represented by the applicants’ bank balance are mingled. As a result</w:t>
      </w:r>
      <w:r w:rsidR="00FC59D7">
        <w:rPr>
          <w:rFonts w:ascii="Arial" w:hAnsi="Arial" w:cs="Arial"/>
          <w:sz w:val="24"/>
          <w:szCs w:val="24"/>
        </w:rPr>
        <w:t>,</w:t>
      </w:r>
      <w:r w:rsidR="00771694">
        <w:rPr>
          <w:rFonts w:ascii="Arial" w:hAnsi="Arial" w:cs="Arial"/>
          <w:sz w:val="24"/>
          <w:szCs w:val="24"/>
        </w:rPr>
        <w:t xml:space="preserve"> the funds lost </w:t>
      </w:r>
      <w:r w:rsidR="00FC59D7">
        <w:rPr>
          <w:rFonts w:ascii="Arial" w:hAnsi="Arial" w:cs="Arial"/>
          <w:sz w:val="24"/>
          <w:szCs w:val="24"/>
        </w:rPr>
        <w:t>their</w:t>
      </w:r>
      <w:r w:rsidR="00771694">
        <w:rPr>
          <w:rFonts w:ascii="Arial" w:hAnsi="Arial" w:cs="Arial"/>
          <w:sz w:val="24"/>
          <w:szCs w:val="24"/>
        </w:rPr>
        <w:t xml:space="preserve"> separate identity and are not capable of being separately attached or dealt with. Mr Budlender submitted that the difficulty with funds that are co-mingled becomes clear in the current matter. The allegation is that N$16 982 538.01 are proceeds of unlawful activity however these funds became inextricably mingled with the other funds in the first applicant’s account and </w:t>
      </w:r>
      <w:r w:rsidR="00FC59D7">
        <w:rPr>
          <w:rFonts w:ascii="Arial" w:hAnsi="Arial" w:cs="Arial"/>
          <w:sz w:val="24"/>
          <w:szCs w:val="24"/>
        </w:rPr>
        <w:t>any attempt to separate them would raise a seri</w:t>
      </w:r>
      <w:r w:rsidR="00A15600">
        <w:rPr>
          <w:rFonts w:ascii="Arial" w:hAnsi="Arial" w:cs="Arial"/>
          <w:sz w:val="24"/>
          <w:szCs w:val="24"/>
        </w:rPr>
        <w:t>e</w:t>
      </w:r>
      <w:r w:rsidR="00FC59D7">
        <w:rPr>
          <w:rFonts w:ascii="Arial" w:hAnsi="Arial" w:cs="Arial"/>
          <w:sz w:val="24"/>
          <w:szCs w:val="24"/>
        </w:rPr>
        <w:t>s of i</w:t>
      </w:r>
      <w:r w:rsidR="00AE0064">
        <w:rPr>
          <w:rFonts w:ascii="Arial" w:hAnsi="Arial" w:cs="Arial"/>
          <w:sz w:val="24"/>
          <w:szCs w:val="24"/>
        </w:rPr>
        <w:t>r</w:t>
      </w:r>
      <w:r w:rsidR="00FC59D7">
        <w:rPr>
          <w:rFonts w:ascii="Arial" w:hAnsi="Arial" w:cs="Arial"/>
          <w:sz w:val="24"/>
          <w:szCs w:val="24"/>
        </w:rPr>
        <w:t xml:space="preserve">resolvable difficulties. </w:t>
      </w:r>
    </w:p>
    <w:p w:rsidR="00FC59D7" w:rsidRDefault="00FC59D7" w:rsidP="00FC59D7">
      <w:pPr>
        <w:pStyle w:val="ListParagraph"/>
        <w:spacing w:after="0" w:line="360" w:lineRule="auto"/>
        <w:ind w:left="0"/>
        <w:jc w:val="both"/>
        <w:rPr>
          <w:rFonts w:ascii="Arial" w:hAnsi="Arial" w:cs="Arial"/>
          <w:sz w:val="24"/>
          <w:szCs w:val="24"/>
        </w:rPr>
      </w:pPr>
    </w:p>
    <w:p w:rsidR="00FC59D7" w:rsidRDefault="00FC59D7" w:rsidP="00EA5536">
      <w:pPr>
        <w:pStyle w:val="ListParagraph"/>
        <w:numPr>
          <w:ilvl w:val="0"/>
          <w:numId w:val="25"/>
        </w:numPr>
        <w:spacing w:after="0" w:line="360" w:lineRule="auto"/>
        <w:ind w:left="0" w:firstLine="0"/>
        <w:jc w:val="both"/>
        <w:rPr>
          <w:rFonts w:ascii="Arial" w:hAnsi="Arial" w:cs="Arial"/>
          <w:sz w:val="24"/>
          <w:szCs w:val="24"/>
        </w:rPr>
      </w:pPr>
      <w:r>
        <w:rPr>
          <w:rFonts w:ascii="Arial" w:hAnsi="Arial" w:cs="Arial"/>
          <w:sz w:val="24"/>
          <w:szCs w:val="24"/>
        </w:rPr>
        <w:t xml:space="preserve">Mr Budlender further submitted that there are a number of </w:t>
      </w:r>
      <w:r w:rsidR="00DB7390">
        <w:rPr>
          <w:rFonts w:ascii="Arial" w:hAnsi="Arial" w:cs="Arial"/>
          <w:sz w:val="24"/>
          <w:szCs w:val="24"/>
        </w:rPr>
        <w:t>flaws</w:t>
      </w:r>
      <w:r>
        <w:rPr>
          <w:rFonts w:ascii="Arial" w:hAnsi="Arial" w:cs="Arial"/>
          <w:sz w:val="24"/>
          <w:szCs w:val="24"/>
        </w:rPr>
        <w:t xml:space="preserve"> </w:t>
      </w:r>
      <w:r w:rsidR="00DB7390">
        <w:rPr>
          <w:rFonts w:ascii="Arial" w:hAnsi="Arial" w:cs="Arial"/>
          <w:sz w:val="24"/>
          <w:szCs w:val="24"/>
        </w:rPr>
        <w:t>in</w:t>
      </w:r>
      <w:r>
        <w:rPr>
          <w:rFonts w:ascii="Arial" w:hAnsi="Arial" w:cs="Arial"/>
          <w:sz w:val="24"/>
          <w:szCs w:val="24"/>
        </w:rPr>
        <w:t xml:space="preserve"> the applicants’ application, which </w:t>
      </w:r>
      <w:r w:rsidR="00C90DF0">
        <w:rPr>
          <w:rFonts w:ascii="Arial" w:hAnsi="Arial" w:cs="Arial"/>
          <w:sz w:val="24"/>
          <w:szCs w:val="24"/>
        </w:rPr>
        <w:t>we</w:t>
      </w:r>
      <w:r>
        <w:rPr>
          <w:rFonts w:ascii="Arial" w:hAnsi="Arial" w:cs="Arial"/>
          <w:sz w:val="24"/>
          <w:szCs w:val="24"/>
        </w:rPr>
        <w:t xml:space="preserve"> </w:t>
      </w:r>
      <w:r w:rsidR="00C85BA5">
        <w:rPr>
          <w:rFonts w:ascii="Arial" w:hAnsi="Arial" w:cs="Arial"/>
          <w:sz w:val="24"/>
          <w:szCs w:val="24"/>
        </w:rPr>
        <w:t>briefly summarise</w:t>
      </w:r>
      <w:r w:rsidR="00761F70">
        <w:rPr>
          <w:rFonts w:ascii="Arial" w:hAnsi="Arial" w:cs="Arial"/>
          <w:sz w:val="24"/>
          <w:szCs w:val="24"/>
        </w:rPr>
        <w:t xml:space="preserve"> below</w:t>
      </w:r>
      <w:r>
        <w:rPr>
          <w:rFonts w:ascii="Arial" w:hAnsi="Arial" w:cs="Arial"/>
          <w:sz w:val="24"/>
          <w:szCs w:val="24"/>
        </w:rPr>
        <w:t>:</w:t>
      </w:r>
    </w:p>
    <w:p w:rsidR="00FC59D7" w:rsidRPr="00FC59D7" w:rsidRDefault="00FC59D7" w:rsidP="00FC59D7">
      <w:pPr>
        <w:pStyle w:val="ListParagraph"/>
        <w:rPr>
          <w:rFonts w:ascii="Arial" w:hAnsi="Arial" w:cs="Arial"/>
          <w:sz w:val="24"/>
          <w:szCs w:val="24"/>
        </w:rPr>
      </w:pPr>
    </w:p>
    <w:p w:rsidR="00FC59D7" w:rsidRDefault="00FC59D7" w:rsidP="00C85BA5">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first applicant is not frank regarding the state of his financial affairs. </w:t>
      </w:r>
    </w:p>
    <w:p w:rsidR="00FC59D7" w:rsidRPr="00C85BA5" w:rsidRDefault="00C85BA5" w:rsidP="00C85BA5">
      <w:pPr>
        <w:pStyle w:val="ListParagraph"/>
        <w:numPr>
          <w:ilvl w:val="0"/>
          <w:numId w:val="26"/>
        </w:numPr>
        <w:spacing w:after="0" w:line="360" w:lineRule="auto"/>
        <w:ind w:left="0" w:firstLine="0"/>
        <w:jc w:val="both"/>
        <w:rPr>
          <w:rFonts w:ascii="Arial" w:hAnsi="Arial" w:cs="Arial"/>
          <w:sz w:val="24"/>
          <w:szCs w:val="24"/>
        </w:rPr>
      </w:pPr>
      <w:r w:rsidRPr="00C85BA5">
        <w:rPr>
          <w:rFonts w:ascii="Arial" w:hAnsi="Arial" w:cs="Arial"/>
          <w:sz w:val="24"/>
          <w:szCs w:val="24"/>
          <w:u w:val="single"/>
        </w:rPr>
        <w:t>Innocent owner defence</w:t>
      </w:r>
      <w:r w:rsidRPr="00C85BA5">
        <w:rPr>
          <w:rFonts w:ascii="Arial" w:hAnsi="Arial" w:cs="Arial"/>
          <w:sz w:val="24"/>
          <w:szCs w:val="24"/>
        </w:rPr>
        <w:t xml:space="preserve">: </w:t>
      </w:r>
      <w:r w:rsidR="00FC59D7" w:rsidRPr="00C85BA5">
        <w:rPr>
          <w:rFonts w:ascii="Arial" w:hAnsi="Arial" w:cs="Arial"/>
          <w:sz w:val="24"/>
          <w:szCs w:val="24"/>
        </w:rPr>
        <w:t>The lack of frankness</w:t>
      </w:r>
      <w:r w:rsidRPr="00C85BA5">
        <w:rPr>
          <w:rFonts w:ascii="Arial" w:hAnsi="Arial" w:cs="Arial"/>
          <w:sz w:val="24"/>
          <w:szCs w:val="24"/>
        </w:rPr>
        <w:t xml:space="preserve"> of the applicants</w:t>
      </w:r>
      <w:r w:rsidR="00FC59D7" w:rsidRPr="00C85BA5">
        <w:rPr>
          <w:rFonts w:ascii="Arial" w:hAnsi="Arial" w:cs="Arial"/>
          <w:sz w:val="24"/>
          <w:szCs w:val="24"/>
        </w:rPr>
        <w:t xml:space="preserve"> can be tied </w:t>
      </w:r>
      <w:r w:rsidRPr="00C85BA5">
        <w:rPr>
          <w:rFonts w:ascii="Arial" w:hAnsi="Arial" w:cs="Arial"/>
          <w:sz w:val="24"/>
          <w:szCs w:val="24"/>
        </w:rPr>
        <w:t>to</w:t>
      </w:r>
      <w:r w:rsidR="00FC59D7" w:rsidRPr="00C85BA5">
        <w:rPr>
          <w:rFonts w:ascii="Arial" w:hAnsi="Arial" w:cs="Arial"/>
          <w:sz w:val="24"/>
          <w:szCs w:val="24"/>
        </w:rPr>
        <w:t xml:space="preserve"> the</w:t>
      </w:r>
      <w:r w:rsidRPr="00C85BA5">
        <w:rPr>
          <w:rFonts w:ascii="Arial" w:hAnsi="Arial" w:cs="Arial"/>
          <w:sz w:val="24"/>
          <w:szCs w:val="24"/>
        </w:rPr>
        <w:t>ir</w:t>
      </w:r>
      <w:r w:rsidR="00FC59D7" w:rsidRPr="00C85BA5">
        <w:rPr>
          <w:rFonts w:ascii="Arial" w:hAnsi="Arial" w:cs="Arial"/>
          <w:sz w:val="24"/>
          <w:szCs w:val="24"/>
        </w:rPr>
        <w:t xml:space="preserve"> failure to make use of the remedy available to them in terms of s 63, which can be referred to as the ‘innocent owner’ defence.</w:t>
      </w:r>
      <w:r w:rsidRPr="00C85BA5">
        <w:rPr>
          <w:rFonts w:ascii="Arial" w:hAnsi="Arial" w:cs="Arial"/>
          <w:sz w:val="24"/>
          <w:szCs w:val="24"/>
        </w:rPr>
        <w:t xml:space="preserve"> S</w:t>
      </w:r>
      <w:r w:rsidR="00FC59D7" w:rsidRPr="00C85BA5">
        <w:rPr>
          <w:rFonts w:ascii="Arial" w:hAnsi="Arial" w:cs="Arial"/>
          <w:sz w:val="24"/>
          <w:szCs w:val="24"/>
        </w:rPr>
        <w:t xml:space="preserve">ection </w:t>
      </w:r>
      <w:r w:rsidRPr="00C85BA5">
        <w:rPr>
          <w:rFonts w:ascii="Arial" w:hAnsi="Arial" w:cs="Arial"/>
          <w:sz w:val="24"/>
          <w:szCs w:val="24"/>
        </w:rPr>
        <w:t xml:space="preserve">63 </w:t>
      </w:r>
      <w:r w:rsidR="00FC59D7" w:rsidRPr="00C85BA5">
        <w:rPr>
          <w:rFonts w:ascii="Arial" w:hAnsi="Arial" w:cs="Arial"/>
          <w:sz w:val="24"/>
          <w:szCs w:val="24"/>
        </w:rPr>
        <w:t xml:space="preserve">empowers the court, on application, to exclude certain </w:t>
      </w:r>
      <w:r w:rsidRPr="00C85BA5">
        <w:rPr>
          <w:rFonts w:ascii="Arial" w:hAnsi="Arial" w:cs="Arial"/>
          <w:sz w:val="24"/>
          <w:szCs w:val="24"/>
        </w:rPr>
        <w:t>interests</w:t>
      </w:r>
      <w:r w:rsidR="00FC59D7" w:rsidRPr="00C85BA5">
        <w:rPr>
          <w:rFonts w:ascii="Arial" w:hAnsi="Arial" w:cs="Arial"/>
          <w:sz w:val="24"/>
          <w:szCs w:val="24"/>
        </w:rPr>
        <w:t xml:space="preserve"> in the property from a forfeiture order</w:t>
      </w:r>
      <w:r w:rsidRPr="00C85BA5">
        <w:rPr>
          <w:rFonts w:ascii="Arial" w:hAnsi="Arial" w:cs="Arial"/>
          <w:sz w:val="24"/>
          <w:szCs w:val="24"/>
        </w:rPr>
        <w:t xml:space="preserve">. All that is required is that in terms of s 63(2) the ‘innocent owner’ must prove on a balance </w:t>
      </w:r>
      <w:r w:rsidR="003422C3">
        <w:rPr>
          <w:rFonts w:ascii="Arial" w:hAnsi="Arial" w:cs="Arial"/>
          <w:sz w:val="24"/>
          <w:szCs w:val="24"/>
        </w:rPr>
        <w:t>of probabilities that he or she ac</w:t>
      </w:r>
      <w:r w:rsidRPr="00C85BA5">
        <w:rPr>
          <w:rFonts w:ascii="Arial" w:hAnsi="Arial" w:cs="Arial"/>
          <w:sz w:val="24"/>
          <w:szCs w:val="24"/>
        </w:rPr>
        <w:t>quired the interest legally and for a consideration not significantly less valuable than the value of the interest. The applicants ha</w:t>
      </w:r>
      <w:r w:rsidR="00FB1A8B">
        <w:rPr>
          <w:rFonts w:ascii="Arial" w:hAnsi="Arial" w:cs="Arial"/>
          <w:sz w:val="24"/>
          <w:szCs w:val="24"/>
        </w:rPr>
        <w:t>ve</w:t>
      </w:r>
      <w:r w:rsidRPr="00C85BA5">
        <w:rPr>
          <w:rFonts w:ascii="Arial" w:hAnsi="Arial" w:cs="Arial"/>
          <w:sz w:val="24"/>
          <w:szCs w:val="24"/>
        </w:rPr>
        <w:t xml:space="preserve"> failed to date</w:t>
      </w:r>
      <w:r w:rsidR="003422C3">
        <w:rPr>
          <w:rFonts w:ascii="Arial" w:hAnsi="Arial" w:cs="Arial"/>
          <w:sz w:val="24"/>
          <w:szCs w:val="24"/>
        </w:rPr>
        <w:t>,</w:t>
      </w:r>
      <w:r w:rsidRPr="00C85BA5">
        <w:rPr>
          <w:rFonts w:ascii="Arial" w:hAnsi="Arial" w:cs="Arial"/>
          <w:sz w:val="24"/>
          <w:szCs w:val="24"/>
        </w:rPr>
        <w:t xml:space="preserve"> to make such an application</w:t>
      </w:r>
      <w:r w:rsidR="003422C3">
        <w:rPr>
          <w:rFonts w:ascii="Arial" w:hAnsi="Arial" w:cs="Arial"/>
          <w:sz w:val="24"/>
          <w:szCs w:val="24"/>
        </w:rPr>
        <w:t>,</w:t>
      </w:r>
      <w:r>
        <w:rPr>
          <w:rFonts w:ascii="Arial" w:hAnsi="Arial" w:cs="Arial"/>
          <w:sz w:val="24"/>
          <w:szCs w:val="24"/>
        </w:rPr>
        <w:t xml:space="preserve"> with no explanation on the</w:t>
      </w:r>
      <w:r w:rsidR="003422C3">
        <w:rPr>
          <w:rFonts w:ascii="Arial" w:hAnsi="Arial" w:cs="Arial"/>
          <w:sz w:val="24"/>
          <w:szCs w:val="24"/>
        </w:rPr>
        <w:t>ir</w:t>
      </w:r>
      <w:r>
        <w:rPr>
          <w:rFonts w:ascii="Arial" w:hAnsi="Arial" w:cs="Arial"/>
          <w:sz w:val="24"/>
          <w:szCs w:val="24"/>
        </w:rPr>
        <w:t xml:space="preserve"> part as to why they were not making use of the remedy which provides the answer to their complaint that</w:t>
      </w:r>
      <w:r w:rsidR="00B40193">
        <w:rPr>
          <w:rFonts w:ascii="Arial" w:hAnsi="Arial" w:cs="Arial"/>
          <w:sz w:val="24"/>
          <w:szCs w:val="24"/>
        </w:rPr>
        <w:t xml:space="preserve"> the</w:t>
      </w:r>
      <w:r>
        <w:rPr>
          <w:rFonts w:ascii="Arial" w:hAnsi="Arial" w:cs="Arial"/>
          <w:sz w:val="24"/>
          <w:szCs w:val="24"/>
        </w:rPr>
        <w:t xml:space="preserve"> definition is overbroad.</w:t>
      </w:r>
      <w:r w:rsidRPr="00C85BA5">
        <w:rPr>
          <w:rFonts w:ascii="Arial" w:hAnsi="Arial" w:cs="Arial"/>
          <w:sz w:val="24"/>
          <w:szCs w:val="24"/>
        </w:rPr>
        <w:t xml:space="preserve"> </w:t>
      </w:r>
    </w:p>
    <w:p w:rsidR="00C85BA5" w:rsidRDefault="00C85BA5" w:rsidP="00C85BA5">
      <w:pPr>
        <w:pStyle w:val="ListParagraph"/>
        <w:numPr>
          <w:ilvl w:val="0"/>
          <w:numId w:val="26"/>
        </w:numPr>
        <w:spacing w:after="0" w:line="360" w:lineRule="auto"/>
        <w:ind w:left="0" w:firstLine="0"/>
        <w:jc w:val="both"/>
        <w:rPr>
          <w:rFonts w:ascii="Arial" w:hAnsi="Arial" w:cs="Arial"/>
          <w:sz w:val="24"/>
          <w:szCs w:val="24"/>
        </w:rPr>
      </w:pPr>
      <w:r w:rsidRPr="00C85BA5">
        <w:rPr>
          <w:rFonts w:ascii="Arial" w:hAnsi="Arial" w:cs="Arial"/>
          <w:sz w:val="24"/>
          <w:szCs w:val="24"/>
          <w:u w:val="single"/>
        </w:rPr>
        <w:t>Delay</w:t>
      </w:r>
      <w:r>
        <w:rPr>
          <w:rFonts w:ascii="Arial" w:hAnsi="Arial" w:cs="Arial"/>
          <w:sz w:val="24"/>
          <w:szCs w:val="24"/>
        </w:rPr>
        <w:t xml:space="preserve">: It seems that the applicants may be concerned about the alleged delay in the </w:t>
      </w:r>
      <w:r w:rsidR="009D29E3">
        <w:rPr>
          <w:rFonts w:ascii="Arial" w:hAnsi="Arial" w:cs="Arial"/>
          <w:sz w:val="24"/>
          <w:szCs w:val="24"/>
        </w:rPr>
        <w:t>innocent owner defence</w:t>
      </w:r>
      <w:r w:rsidR="00DB7390">
        <w:rPr>
          <w:rFonts w:ascii="Arial" w:hAnsi="Arial" w:cs="Arial"/>
          <w:sz w:val="24"/>
          <w:szCs w:val="24"/>
        </w:rPr>
        <w:t>, giving rise to the applicants’ complaint o</w:t>
      </w:r>
      <w:r w:rsidR="00ED03B9">
        <w:rPr>
          <w:rFonts w:ascii="Arial" w:hAnsi="Arial" w:cs="Arial"/>
          <w:sz w:val="24"/>
          <w:szCs w:val="24"/>
        </w:rPr>
        <w:t>f</w:t>
      </w:r>
      <w:r w:rsidR="00DB7390">
        <w:rPr>
          <w:rFonts w:ascii="Arial" w:hAnsi="Arial" w:cs="Arial"/>
          <w:sz w:val="24"/>
          <w:szCs w:val="24"/>
        </w:rPr>
        <w:t xml:space="preserve"> ‘brutal bureaucracy’</w:t>
      </w:r>
      <w:r w:rsidR="009D29E3">
        <w:rPr>
          <w:rFonts w:ascii="Arial" w:hAnsi="Arial" w:cs="Arial"/>
          <w:sz w:val="24"/>
          <w:szCs w:val="24"/>
        </w:rPr>
        <w:t xml:space="preserve">. However, if this is their complaint, the applicants misunderstood the process. Mr Budlender submitted that s 59(4) of POCA provides that </w:t>
      </w:r>
      <w:r w:rsidR="00DB7390">
        <w:rPr>
          <w:rFonts w:ascii="Arial" w:hAnsi="Arial" w:cs="Arial"/>
          <w:sz w:val="24"/>
          <w:szCs w:val="24"/>
        </w:rPr>
        <w:t>where an application has been made for a forfeiture order</w:t>
      </w:r>
      <w:r w:rsidR="00A526F9">
        <w:rPr>
          <w:rFonts w:ascii="Arial" w:hAnsi="Arial" w:cs="Arial"/>
          <w:sz w:val="24"/>
          <w:szCs w:val="24"/>
        </w:rPr>
        <w:t>,</w:t>
      </w:r>
      <w:r w:rsidR="00DB7390">
        <w:rPr>
          <w:rFonts w:ascii="Arial" w:hAnsi="Arial" w:cs="Arial"/>
          <w:sz w:val="24"/>
          <w:szCs w:val="24"/>
        </w:rPr>
        <w:t xml:space="preserve"> any person who gave notice in terms of s 52(3) may apply for an order excluding his or her interest in that property from the operation of forfeiture. There was no such application.</w:t>
      </w:r>
    </w:p>
    <w:p w:rsidR="00DB7390" w:rsidRDefault="00DB7390" w:rsidP="00C85BA5">
      <w:pPr>
        <w:pStyle w:val="ListParagraph"/>
        <w:numPr>
          <w:ilvl w:val="0"/>
          <w:numId w:val="26"/>
        </w:numPr>
        <w:spacing w:after="0" w:line="360" w:lineRule="auto"/>
        <w:ind w:left="0" w:firstLine="0"/>
        <w:jc w:val="both"/>
        <w:rPr>
          <w:rFonts w:ascii="Arial" w:hAnsi="Arial" w:cs="Arial"/>
          <w:sz w:val="24"/>
          <w:szCs w:val="24"/>
        </w:rPr>
      </w:pPr>
      <w:r>
        <w:rPr>
          <w:rFonts w:ascii="Arial" w:hAnsi="Arial" w:cs="Arial"/>
          <w:sz w:val="24"/>
          <w:szCs w:val="24"/>
          <w:u w:val="single"/>
        </w:rPr>
        <w:t>The examples offered in support of the applicants’ contention that the mingling provision is unconstitutional</w:t>
      </w:r>
      <w:r w:rsidRPr="00DB7390">
        <w:rPr>
          <w:rFonts w:ascii="Arial" w:hAnsi="Arial" w:cs="Arial"/>
          <w:sz w:val="24"/>
          <w:szCs w:val="24"/>
        </w:rPr>
        <w:t>:</w:t>
      </w:r>
      <w:r>
        <w:rPr>
          <w:rFonts w:ascii="Arial" w:hAnsi="Arial" w:cs="Arial"/>
          <w:sz w:val="24"/>
          <w:szCs w:val="24"/>
        </w:rPr>
        <w:t xml:space="preserve"> Mr Budlender contended that the answer to the examples of the applicants is that in each case if an application was made for preservation or forfeiture of funds, it would be quickly answered by an application for the ‘innocent owner’ exclusion of the property, which could hardly fail. The owners of the property would easily satisfy the test for the ‘innocent owner’ defence, as in the example, the Minister of Finance would not know that a criminal paid his tax with tainted money. </w:t>
      </w:r>
    </w:p>
    <w:p w:rsidR="00DB7390" w:rsidRDefault="00DB7390" w:rsidP="00DB7390">
      <w:pPr>
        <w:spacing w:after="0" w:line="360" w:lineRule="auto"/>
        <w:jc w:val="both"/>
        <w:rPr>
          <w:rFonts w:ascii="Arial" w:hAnsi="Arial" w:cs="Arial"/>
          <w:sz w:val="24"/>
          <w:szCs w:val="24"/>
        </w:rPr>
      </w:pPr>
    </w:p>
    <w:p w:rsidR="003B71EB" w:rsidRPr="00553E83" w:rsidRDefault="003B71EB" w:rsidP="00553E83">
      <w:pPr>
        <w:pStyle w:val="ListParagraph"/>
        <w:numPr>
          <w:ilvl w:val="0"/>
          <w:numId w:val="28"/>
        </w:numPr>
        <w:spacing w:after="0" w:line="360" w:lineRule="auto"/>
        <w:ind w:left="0" w:firstLine="0"/>
        <w:jc w:val="both"/>
        <w:rPr>
          <w:rFonts w:ascii="Arial" w:hAnsi="Arial" w:cs="Arial"/>
          <w:sz w:val="24"/>
          <w:szCs w:val="24"/>
        </w:rPr>
      </w:pPr>
      <w:r w:rsidRPr="00553E83">
        <w:rPr>
          <w:rFonts w:ascii="Arial" w:hAnsi="Arial" w:cs="Arial"/>
          <w:sz w:val="24"/>
          <w:szCs w:val="24"/>
        </w:rPr>
        <w:t>On proportionality and discretion, Mr Budlender argued that in light of the applicants’ failure to explain why the provisions for an ‘innocent owner’ application would not provide adequate means of ensuring that disproportionate or arbitrary deprivation does not take place</w:t>
      </w:r>
      <w:r w:rsidR="00992D13">
        <w:rPr>
          <w:rFonts w:ascii="Arial" w:hAnsi="Arial" w:cs="Arial"/>
          <w:sz w:val="24"/>
          <w:szCs w:val="24"/>
        </w:rPr>
        <w:t>,</w:t>
      </w:r>
      <w:r w:rsidRPr="00553E83">
        <w:rPr>
          <w:rFonts w:ascii="Arial" w:hAnsi="Arial" w:cs="Arial"/>
          <w:sz w:val="24"/>
          <w:szCs w:val="24"/>
        </w:rPr>
        <w:t xml:space="preserve"> the respondent</w:t>
      </w:r>
      <w:r w:rsidR="00992D13">
        <w:rPr>
          <w:rFonts w:ascii="Arial" w:hAnsi="Arial" w:cs="Arial"/>
          <w:sz w:val="24"/>
          <w:szCs w:val="24"/>
        </w:rPr>
        <w:t>s</w:t>
      </w:r>
      <w:r w:rsidRPr="00553E83">
        <w:rPr>
          <w:rFonts w:ascii="Arial" w:hAnsi="Arial" w:cs="Arial"/>
          <w:sz w:val="24"/>
          <w:szCs w:val="24"/>
        </w:rPr>
        <w:t xml:space="preserve"> do not deem it necessary to traverse the question if there is a proportionality requirement inherent in POCA</w:t>
      </w:r>
      <w:r w:rsidR="00553E83" w:rsidRPr="00553E83">
        <w:rPr>
          <w:rFonts w:ascii="Arial" w:hAnsi="Arial" w:cs="Arial"/>
          <w:sz w:val="24"/>
          <w:szCs w:val="24"/>
        </w:rPr>
        <w:t>.</w:t>
      </w:r>
      <w:r w:rsidRPr="00553E83">
        <w:rPr>
          <w:rFonts w:ascii="Arial" w:hAnsi="Arial" w:cs="Arial"/>
          <w:sz w:val="24"/>
          <w:szCs w:val="24"/>
        </w:rPr>
        <w:t xml:space="preserve"> </w:t>
      </w:r>
    </w:p>
    <w:p w:rsidR="00493506" w:rsidRDefault="00493506" w:rsidP="00493506">
      <w:pPr>
        <w:pStyle w:val="ListParagraph"/>
        <w:spacing w:after="0" w:line="360" w:lineRule="auto"/>
        <w:ind w:left="0"/>
        <w:jc w:val="both"/>
        <w:rPr>
          <w:rFonts w:ascii="Arial" w:hAnsi="Arial" w:cs="Arial"/>
          <w:sz w:val="24"/>
          <w:szCs w:val="24"/>
        </w:rPr>
      </w:pPr>
    </w:p>
    <w:p w:rsidR="00553E83" w:rsidRDefault="00553E83" w:rsidP="003B71EB">
      <w:pPr>
        <w:pStyle w:val="ListParagraph"/>
        <w:numPr>
          <w:ilvl w:val="0"/>
          <w:numId w:val="28"/>
        </w:numPr>
        <w:spacing w:after="0" w:line="360" w:lineRule="auto"/>
        <w:ind w:left="0" w:firstLine="0"/>
        <w:jc w:val="both"/>
        <w:rPr>
          <w:rFonts w:ascii="Arial" w:hAnsi="Arial" w:cs="Arial"/>
          <w:sz w:val="24"/>
          <w:szCs w:val="24"/>
        </w:rPr>
      </w:pPr>
      <w:r w:rsidRPr="009D29DD">
        <w:rPr>
          <w:rFonts w:ascii="Arial" w:hAnsi="Arial" w:cs="Arial"/>
          <w:sz w:val="24"/>
          <w:szCs w:val="24"/>
        </w:rPr>
        <w:t xml:space="preserve">Mr Budlender </w:t>
      </w:r>
      <w:r>
        <w:rPr>
          <w:rFonts w:ascii="Arial" w:hAnsi="Arial" w:cs="Arial"/>
          <w:sz w:val="24"/>
          <w:szCs w:val="24"/>
        </w:rPr>
        <w:t xml:space="preserve">submitted that despite the assertion of </w:t>
      </w:r>
      <w:r w:rsidR="00FB1A8B">
        <w:rPr>
          <w:rFonts w:ascii="Arial" w:hAnsi="Arial" w:cs="Arial"/>
          <w:sz w:val="24"/>
          <w:szCs w:val="24"/>
        </w:rPr>
        <w:t xml:space="preserve">the </w:t>
      </w:r>
      <w:r>
        <w:rPr>
          <w:rFonts w:ascii="Arial" w:hAnsi="Arial" w:cs="Arial"/>
          <w:sz w:val="24"/>
          <w:szCs w:val="24"/>
        </w:rPr>
        <w:t>applicants that the definition of proceeds of unlawful activity breaches three fundamental rights, i.e. right to property, right to human dignity and right to carry on any occupation, trade or business, the definition breaches none of them.</w:t>
      </w:r>
    </w:p>
    <w:p w:rsidR="00553E83" w:rsidRPr="00553E83" w:rsidRDefault="00553E83" w:rsidP="00553E83">
      <w:pPr>
        <w:pStyle w:val="ListParagraph"/>
        <w:rPr>
          <w:rFonts w:ascii="Arial" w:hAnsi="Arial" w:cs="Arial"/>
          <w:sz w:val="24"/>
          <w:szCs w:val="24"/>
        </w:rPr>
      </w:pPr>
    </w:p>
    <w:p w:rsidR="00CE685E" w:rsidRDefault="00553E83" w:rsidP="003B71EB">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 In support of this contention, Mr Budlender argues in respect of </w:t>
      </w:r>
      <w:r w:rsidR="00D51474" w:rsidRPr="00BB1448">
        <w:rPr>
          <w:rFonts w:ascii="Arial" w:hAnsi="Arial" w:cs="Arial"/>
          <w:sz w:val="24"/>
          <w:szCs w:val="24"/>
        </w:rPr>
        <w:t>Art</w:t>
      </w:r>
      <w:r w:rsidR="00D51474">
        <w:rPr>
          <w:rFonts w:ascii="Arial" w:hAnsi="Arial" w:cs="Arial"/>
          <w:sz w:val="24"/>
          <w:szCs w:val="24"/>
        </w:rPr>
        <w:t>icle</w:t>
      </w:r>
      <w:r>
        <w:rPr>
          <w:rFonts w:ascii="Arial" w:hAnsi="Arial" w:cs="Arial"/>
          <w:sz w:val="24"/>
          <w:szCs w:val="24"/>
        </w:rPr>
        <w:t xml:space="preserve"> 16 (right to property) that the inclusion in the definition of property</w:t>
      </w:r>
      <w:r w:rsidR="00165C51">
        <w:rPr>
          <w:rFonts w:ascii="Arial" w:hAnsi="Arial" w:cs="Arial"/>
          <w:sz w:val="24"/>
          <w:szCs w:val="24"/>
        </w:rPr>
        <w:t>,</w:t>
      </w:r>
      <w:r>
        <w:rPr>
          <w:rFonts w:ascii="Arial" w:hAnsi="Arial" w:cs="Arial"/>
          <w:sz w:val="24"/>
          <w:szCs w:val="24"/>
        </w:rPr>
        <w:t xml:space="preserve"> which is mingled with property that is proceeds of unlawful activity</w:t>
      </w:r>
      <w:r w:rsidR="00165C51">
        <w:rPr>
          <w:rFonts w:ascii="Arial" w:hAnsi="Arial" w:cs="Arial"/>
          <w:sz w:val="24"/>
          <w:szCs w:val="24"/>
        </w:rPr>
        <w:t>,</w:t>
      </w:r>
      <w:r>
        <w:rPr>
          <w:rFonts w:ascii="Arial" w:hAnsi="Arial" w:cs="Arial"/>
          <w:sz w:val="24"/>
          <w:szCs w:val="24"/>
        </w:rPr>
        <w:t xml:space="preserve"> is to achieve a public purpose, i.e. preventing offenders from protecting their illicitly gained funds from forfeiture by mingling them</w:t>
      </w:r>
      <w:r w:rsidR="00C41317">
        <w:rPr>
          <w:rFonts w:ascii="Arial" w:hAnsi="Arial" w:cs="Arial"/>
          <w:sz w:val="24"/>
          <w:szCs w:val="24"/>
        </w:rPr>
        <w:t xml:space="preserve"> with ‘clean’ money. Mr Budlender submitted that although the qualification as per </w:t>
      </w:r>
      <w:r w:rsidR="00D51474" w:rsidRPr="00BB1448">
        <w:rPr>
          <w:rFonts w:ascii="Arial" w:hAnsi="Arial" w:cs="Arial"/>
          <w:sz w:val="24"/>
          <w:szCs w:val="24"/>
        </w:rPr>
        <w:t>Art</w:t>
      </w:r>
      <w:r w:rsidR="00D51474">
        <w:rPr>
          <w:rFonts w:ascii="Arial" w:hAnsi="Arial" w:cs="Arial"/>
          <w:sz w:val="24"/>
          <w:szCs w:val="24"/>
        </w:rPr>
        <w:t>icle</w:t>
      </w:r>
      <w:r w:rsidR="00C41317">
        <w:rPr>
          <w:rFonts w:ascii="Arial" w:hAnsi="Arial" w:cs="Arial"/>
          <w:sz w:val="24"/>
          <w:szCs w:val="24"/>
        </w:rPr>
        <w:t xml:space="preserve"> 12(4) of the Palermo Convention has its advantages</w:t>
      </w:r>
      <w:r w:rsidR="005F1700">
        <w:rPr>
          <w:rFonts w:ascii="Arial" w:hAnsi="Arial" w:cs="Arial"/>
          <w:sz w:val="24"/>
          <w:szCs w:val="24"/>
        </w:rPr>
        <w:t>,</w:t>
      </w:r>
      <w:r w:rsidR="00C41317">
        <w:rPr>
          <w:rFonts w:ascii="Arial" w:hAnsi="Arial" w:cs="Arial"/>
          <w:sz w:val="24"/>
          <w:szCs w:val="24"/>
        </w:rPr>
        <w:t xml:space="preserve"> it does not mean that the Constitution obliges the adoption of this approach. The reason lies in the fact that POCA makes provision for a remedy in s 63 for the ‘innocent owner’. Therefore, so argued Counsel, the complaint that the impugned definition breaches </w:t>
      </w:r>
      <w:r w:rsidR="00D51474" w:rsidRPr="00BB1448">
        <w:rPr>
          <w:rFonts w:ascii="Arial" w:hAnsi="Arial" w:cs="Arial"/>
          <w:sz w:val="24"/>
          <w:szCs w:val="24"/>
        </w:rPr>
        <w:t>Art</w:t>
      </w:r>
      <w:r w:rsidR="00D51474">
        <w:rPr>
          <w:rFonts w:ascii="Arial" w:hAnsi="Arial" w:cs="Arial"/>
          <w:sz w:val="24"/>
          <w:szCs w:val="24"/>
        </w:rPr>
        <w:t>icle</w:t>
      </w:r>
      <w:r w:rsidR="00C41317">
        <w:rPr>
          <w:rFonts w:ascii="Arial" w:hAnsi="Arial" w:cs="Arial"/>
          <w:sz w:val="24"/>
          <w:szCs w:val="24"/>
        </w:rPr>
        <w:t xml:space="preserve"> 16 property rights is without merit. </w:t>
      </w:r>
    </w:p>
    <w:p w:rsidR="00367448" w:rsidRPr="00367448" w:rsidRDefault="00367448" w:rsidP="00367448">
      <w:pPr>
        <w:pStyle w:val="ListParagraph"/>
        <w:rPr>
          <w:rFonts w:ascii="Arial" w:hAnsi="Arial" w:cs="Arial"/>
          <w:sz w:val="24"/>
          <w:szCs w:val="24"/>
        </w:rPr>
      </w:pPr>
    </w:p>
    <w:p w:rsidR="00BB53D0" w:rsidRPr="00BB53D0" w:rsidRDefault="00BB53D0" w:rsidP="00BB53D0">
      <w:pPr>
        <w:pStyle w:val="ListParagraph"/>
        <w:numPr>
          <w:ilvl w:val="0"/>
          <w:numId w:val="28"/>
        </w:numPr>
        <w:spacing w:after="0" w:line="360" w:lineRule="auto"/>
        <w:ind w:left="0" w:firstLine="0"/>
        <w:jc w:val="both"/>
        <w:rPr>
          <w:rFonts w:ascii="Arial" w:hAnsi="Arial" w:cs="Arial"/>
          <w:sz w:val="24"/>
          <w:szCs w:val="24"/>
        </w:rPr>
      </w:pPr>
      <w:r w:rsidRPr="00BB53D0">
        <w:rPr>
          <w:rFonts w:ascii="Arial" w:hAnsi="Arial" w:cs="Arial"/>
          <w:sz w:val="24"/>
          <w:szCs w:val="24"/>
        </w:rPr>
        <w:t>It was further argued</w:t>
      </w:r>
      <w:r w:rsidR="00EE7AAE">
        <w:rPr>
          <w:rFonts w:ascii="Arial" w:hAnsi="Arial" w:cs="Arial"/>
          <w:sz w:val="24"/>
          <w:szCs w:val="24"/>
        </w:rPr>
        <w:t>,</w:t>
      </w:r>
      <w:r w:rsidRPr="00BB53D0">
        <w:rPr>
          <w:rFonts w:ascii="Arial" w:hAnsi="Arial" w:cs="Arial"/>
          <w:sz w:val="24"/>
          <w:szCs w:val="24"/>
        </w:rPr>
        <w:t xml:space="preserve"> on the issues of rights to human dignity</w:t>
      </w:r>
      <w:r w:rsidR="00EE7AAE">
        <w:rPr>
          <w:rFonts w:ascii="Arial" w:hAnsi="Arial" w:cs="Arial"/>
          <w:sz w:val="24"/>
          <w:szCs w:val="24"/>
        </w:rPr>
        <w:t>,</w:t>
      </w:r>
      <w:r w:rsidRPr="00BB53D0">
        <w:rPr>
          <w:rFonts w:ascii="Arial" w:hAnsi="Arial" w:cs="Arial"/>
          <w:sz w:val="24"/>
          <w:szCs w:val="24"/>
        </w:rPr>
        <w:t xml:space="preserve"> that the applicants did not identify how the mingled funds </w:t>
      </w:r>
      <w:r w:rsidR="00EE7AAE">
        <w:rPr>
          <w:rFonts w:ascii="Arial" w:hAnsi="Arial" w:cs="Arial"/>
          <w:sz w:val="24"/>
          <w:szCs w:val="24"/>
        </w:rPr>
        <w:t xml:space="preserve">referred to </w:t>
      </w:r>
      <w:r w:rsidRPr="00BB53D0">
        <w:rPr>
          <w:rFonts w:ascii="Arial" w:hAnsi="Arial" w:cs="Arial"/>
          <w:sz w:val="24"/>
          <w:szCs w:val="24"/>
        </w:rPr>
        <w:t>in the definition</w:t>
      </w:r>
      <w:r w:rsidR="00EE7AAE">
        <w:rPr>
          <w:rFonts w:ascii="Arial" w:hAnsi="Arial" w:cs="Arial"/>
          <w:sz w:val="24"/>
          <w:szCs w:val="24"/>
        </w:rPr>
        <w:t>,</w:t>
      </w:r>
      <w:r w:rsidRPr="00BB53D0">
        <w:rPr>
          <w:rFonts w:ascii="Arial" w:hAnsi="Arial" w:cs="Arial"/>
          <w:sz w:val="24"/>
          <w:szCs w:val="24"/>
        </w:rPr>
        <w:t xml:space="preserve"> breach their human dignity. In this regard, Mr Budlender submitted that the applicants alleged no facts apart from making conclus</w:t>
      </w:r>
      <w:r w:rsidR="004808C8">
        <w:rPr>
          <w:rFonts w:ascii="Arial" w:hAnsi="Arial" w:cs="Arial"/>
          <w:sz w:val="24"/>
          <w:szCs w:val="24"/>
        </w:rPr>
        <w:t>i</w:t>
      </w:r>
      <w:r w:rsidR="001D462D">
        <w:rPr>
          <w:rFonts w:ascii="Arial" w:hAnsi="Arial" w:cs="Arial"/>
          <w:sz w:val="24"/>
          <w:szCs w:val="24"/>
        </w:rPr>
        <w:t>onary</w:t>
      </w:r>
      <w:r w:rsidRPr="00BB53D0">
        <w:rPr>
          <w:rFonts w:ascii="Arial" w:hAnsi="Arial" w:cs="Arial"/>
          <w:sz w:val="24"/>
          <w:szCs w:val="24"/>
        </w:rPr>
        <w:t xml:space="preserve"> assertions that their rights to dignity are breached. This, according to Counsel, leaves the respondents in the dark as they do not know what facts to meet in order to answer this challenge. Mr Budlender drew the court’s attention to </w:t>
      </w:r>
      <w:r w:rsidRPr="00BB53D0">
        <w:rPr>
          <w:rFonts w:ascii="Arial" w:hAnsi="Arial" w:cs="Arial"/>
          <w:i/>
          <w:sz w:val="24"/>
          <w:szCs w:val="24"/>
        </w:rPr>
        <w:t>Amadhila v Government of the Republic of Namibia</w:t>
      </w:r>
      <w:r>
        <w:rPr>
          <w:rFonts w:ascii="Arial" w:hAnsi="Arial" w:cs="Arial"/>
          <w:i/>
          <w:sz w:val="24"/>
          <w:szCs w:val="24"/>
        </w:rPr>
        <w:t>,</w:t>
      </w:r>
      <w:r>
        <w:rPr>
          <w:rStyle w:val="FootnoteReference"/>
          <w:rFonts w:ascii="Arial" w:hAnsi="Arial" w:cs="Arial"/>
          <w:sz w:val="24"/>
          <w:szCs w:val="24"/>
        </w:rPr>
        <w:footnoteReference w:id="12"/>
      </w:r>
      <w:r>
        <w:rPr>
          <w:rFonts w:ascii="Arial" w:hAnsi="Arial" w:cs="Arial"/>
          <w:i/>
          <w:sz w:val="24"/>
          <w:szCs w:val="24"/>
        </w:rPr>
        <w:t xml:space="preserve"> </w:t>
      </w:r>
      <w:r>
        <w:rPr>
          <w:rFonts w:ascii="Arial" w:hAnsi="Arial" w:cs="Arial"/>
          <w:sz w:val="24"/>
          <w:szCs w:val="24"/>
        </w:rPr>
        <w:t>wherein</w:t>
      </w:r>
      <w:r w:rsidR="005743E3">
        <w:rPr>
          <w:rFonts w:ascii="Arial" w:hAnsi="Arial" w:cs="Arial"/>
          <w:sz w:val="24"/>
          <w:szCs w:val="24"/>
        </w:rPr>
        <w:t xml:space="preserve"> the </w:t>
      </w:r>
      <w:r>
        <w:rPr>
          <w:rFonts w:ascii="Arial" w:hAnsi="Arial" w:cs="Arial"/>
          <w:sz w:val="24"/>
          <w:szCs w:val="24"/>
        </w:rPr>
        <w:t xml:space="preserve">plaintiff alleged that the provisions of s 133(3) of the </w:t>
      </w:r>
      <w:r>
        <w:rPr>
          <w:rFonts w:ascii="Arial" w:eastAsia="Calibri" w:hAnsi="Arial" w:cs="Arial"/>
          <w:bCs/>
          <w:color w:val="000000"/>
          <w:sz w:val="24"/>
          <w:szCs w:val="24"/>
        </w:rPr>
        <w:t xml:space="preserve">Correctional Service Act 9 of 2012 offends </w:t>
      </w:r>
      <w:r w:rsidR="00D51474" w:rsidRPr="00BB1448">
        <w:rPr>
          <w:rFonts w:ascii="Arial" w:hAnsi="Arial" w:cs="Arial"/>
          <w:sz w:val="24"/>
          <w:szCs w:val="24"/>
        </w:rPr>
        <w:t>Art</w:t>
      </w:r>
      <w:r w:rsidR="00D51474">
        <w:rPr>
          <w:rFonts w:ascii="Arial" w:hAnsi="Arial" w:cs="Arial"/>
          <w:sz w:val="24"/>
          <w:szCs w:val="24"/>
        </w:rPr>
        <w:t>icle</w:t>
      </w:r>
      <w:r>
        <w:rPr>
          <w:rFonts w:ascii="Arial" w:eastAsia="Calibri" w:hAnsi="Arial" w:cs="Arial"/>
          <w:bCs/>
          <w:color w:val="000000"/>
          <w:sz w:val="24"/>
          <w:szCs w:val="24"/>
        </w:rPr>
        <w:t xml:space="preserve"> 10(1) of the Constitution. The court held that the plaintiff</w:t>
      </w:r>
      <w:r w:rsidR="005743E3">
        <w:rPr>
          <w:rFonts w:ascii="Arial" w:eastAsia="Calibri" w:hAnsi="Arial" w:cs="Arial"/>
          <w:bCs/>
          <w:color w:val="000000"/>
          <w:sz w:val="24"/>
          <w:szCs w:val="24"/>
        </w:rPr>
        <w:t>’s</w:t>
      </w:r>
      <w:r>
        <w:rPr>
          <w:rFonts w:ascii="Arial" w:eastAsia="Calibri" w:hAnsi="Arial" w:cs="Arial"/>
          <w:bCs/>
          <w:color w:val="000000"/>
          <w:sz w:val="24"/>
          <w:szCs w:val="24"/>
        </w:rPr>
        <w:t xml:space="preserve"> allegation in the amended particulars of claim regarding the breach of </w:t>
      </w:r>
      <w:r w:rsidR="00D51474" w:rsidRPr="00BB1448">
        <w:rPr>
          <w:rFonts w:ascii="Arial" w:hAnsi="Arial" w:cs="Arial"/>
          <w:sz w:val="24"/>
          <w:szCs w:val="24"/>
        </w:rPr>
        <w:t>Art</w:t>
      </w:r>
      <w:r w:rsidR="00D51474">
        <w:rPr>
          <w:rFonts w:ascii="Arial" w:hAnsi="Arial" w:cs="Arial"/>
          <w:sz w:val="24"/>
          <w:szCs w:val="24"/>
        </w:rPr>
        <w:t>icle</w:t>
      </w:r>
      <w:r>
        <w:rPr>
          <w:rFonts w:ascii="Arial" w:eastAsia="Calibri" w:hAnsi="Arial" w:cs="Arial"/>
          <w:bCs/>
          <w:color w:val="000000"/>
          <w:sz w:val="24"/>
          <w:szCs w:val="24"/>
        </w:rPr>
        <w:t xml:space="preserve"> 10 was an inference and the primary facts upon which the plaintiff’s challenge depended </w:t>
      </w:r>
      <w:r w:rsidR="00364162">
        <w:rPr>
          <w:rFonts w:ascii="Arial" w:eastAsia="Calibri" w:hAnsi="Arial" w:cs="Arial"/>
          <w:bCs/>
          <w:color w:val="000000"/>
          <w:sz w:val="24"/>
          <w:szCs w:val="24"/>
        </w:rPr>
        <w:t>were</w:t>
      </w:r>
      <w:r>
        <w:rPr>
          <w:rFonts w:ascii="Arial" w:eastAsia="Calibri" w:hAnsi="Arial" w:cs="Arial"/>
          <w:bCs/>
          <w:color w:val="000000"/>
          <w:sz w:val="24"/>
          <w:szCs w:val="24"/>
        </w:rPr>
        <w:t xml:space="preserve"> omitted and the failure to place primary facts before the court was</w:t>
      </w:r>
      <w:r w:rsidR="006F30C8">
        <w:rPr>
          <w:rFonts w:ascii="Arial" w:eastAsia="Calibri" w:hAnsi="Arial" w:cs="Arial"/>
          <w:bCs/>
          <w:color w:val="000000"/>
          <w:sz w:val="24"/>
          <w:szCs w:val="24"/>
        </w:rPr>
        <w:t xml:space="preserve"> thus</w:t>
      </w:r>
      <w:r>
        <w:rPr>
          <w:rFonts w:ascii="Arial" w:eastAsia="Calibri" w:hAnsi="Arial" w:cs="Arial"/>
          <w:bCs/>
          <w:color w:val="000000"/>
          <w:sz w:val="24"/>
          <w:szCs w:val="24"/>
        </w:rPr>
        <w:t xml:space="preserve"> fatal.  </w:t>
      </w:r>
    </w:p>
    <w:p w:rsidR="00BB53D0" w:rsidRPr="00BB53D0" w:rsidRDefault="00BB53D0" w:rsidP="00BB53D0">
      <w:pPr>
        <w:pStyle w:val="ListParagraph"/>
        <w:rPr>
          <w:rFonts w:ascii="Arial" w:hAnsi="Arial" w:cs="Arial"/>
          <w:sz w:val="24"/>
          <w:szCs w:val="24"/>
        </w:rPr>
      </w:pPr>
    </w:p>
    <w:p w:rsidR="00154F8C" w:rsidRDefault="00BB53D0"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 Reliance was also placed on the </w:t>
      </w:r>
      <w:r w:rsidRPr="00AE0064">
        <w:rPr>
          <w:rFonts w:ascii="Arial" w:hAnsi="Arial" w:cs="Arial"/>
          <w:i/>
          <w:sz w:val="24"/>
          <w:szCs w:val="24"/>
        </w:rPr>
        <w:t>Shali</w:t>
      </w:r>
      <w:r>
        <w:rPr>
          <w:rFonts w:ascii="Arial" w:hAnsi="Arial" w:cs="Arial"/>
          <w:sz w:val="24"/>
          <w:szCs w:val="24"/>
        </w:rPr>
        <w:t xml:space="preserve"> matter</w:t>
      </w:r>
      <w:r>
        <w:rPr>
          <w:rStyle w:val="FootnoteReference"/>
          <w:rFonts w:ascii="Arial" w:hAnsi="Arial" w:cs="Arial"/>
          <w:sz w:val="24"/>
          <w:szCs w:val="24"/>
        </w:rPr>
        <w:footnoteReference w:id="13"/>
      </w:r>
      <w:r>
        <w:rPr>
          <w:rFonts w:ascii="Arial" w:hAnsi="Arial" w:cs="Arial"/>
          <w:sz w:val="24"/>
          <w:szCs w:val="24"/>
        </w:rPr>
        <w:t xml:space="preserve"> but in </w:t>
      </w:r>
      <w:r w:rsidR="00364162">
        <w:rPr>
          <w:rFonts w:ascii="Arial" w:hAnsi="Arial" w:cs="Arial"/>
          <w:sz w:val="24"/>
          <w:szCs w:val="24"/>
        </w:rPr>
        <w:t xml:space="preserve">a </w:t>
      </w:r>
      <w:r>
        <w:rPr>
          <w:rFonts w:ascii="Arial" w:hAnsi="Arial" w:cs="Arial"/>
          <w:sz w:val="24"/>
          <w:szCs w:val="24"/>
        </w:rPr>
        <w:t>different context. Mr Budlende</w:t>
      </w:r>
      <w:r w:rsidR="00AE0064">
        <w:rPr>
          <w:rFonts w:ascii="Arial" w:hAnsi="Arial" w:cs="Arial"/>
          <w:sz w:val="24"/>
          <w:szCs w:val="24"/>
        </w:rPr>
        <w:t>r</w:t>
      </w:r>
      <w:r>
        <w:rPr>
          <w:rFonts w:ascii="Arial" w:hAnsi="Arial" w:cs="Arial"/>
          <w:sz w:val="24"/>
          <w:szCs w:val="24"/>
        </w:rPr>
        <w:t xml:space="preserve"> pointed out that in the said matter</w:t>
      </w:r>
      <w:r w:rsidR="00BE3B61">
        <w:rPr>
          <w:rFonts w:ascii="Arial" w:hAnsi="Arial" w:cs="Arial"/>
          <w:sz w:val="24"/>
          <w:szCs w:val="24"/>
        </w:rPr>
        <w:t>,</w:t>
      </w:r>
      <w:r>
        <w:rPr>
          <w:rFonts w:ascii="Arial" w:hAnsi="Arial" w:cs="Arial"/>
          <w:sz w:val="24"/>
          <w:szCs w:val="24"/>
        </w:rPr>
        <w:t xml:space="preserve"> the court rejected a challenge to the forfeiture </w:t>
      </w:r>
      <w:r w:rsidR="00AE0064">
        <w:rPr>
          <w:rFonts w:ascii="Arial" w:hAnsi="Arial" w:cs="Arial"/>
          <w:sz w:val="24"/>
          <w:szCs w:val="24"/>
        </w:rPr>
        <w:t xml:space="preserve">process on the grounds of its impact on human dignity. The court held that because the proceedings themselves are constitutionally permissible, any indignity inherent in them </w:t>
      </w:r>
      <w:r w:rsidR="00364162">
        <w:rPr>
          <w:rFonts w:ascii="Arial" w:hAnsi="Arial" w:cs="Arial"/>
          <w:sz w:val="24"/>
          <w:szCs w:val="24"/>
        </w:rPr>
        <w:t>is</w:t>
      </w:r>
      <w:r w:rsidR="00AE0064">
        <w:rPr>
          <w:rFonts w:ascii="Arial" w:hAnsi="Arial" w:cs="Arial"/>
          <w:sz w:val="24"/>
          <w:szCs w:val="24"/>
        </w:rPr>
        <w:t xml:space="preserve"> constitutionally permissible, therefore, any indignity in them would be constitutionally sanctioned and would not violate </w:t>
      </w:r>
      <w:r w:rsidR="00D51474" w:rsidRPr="00BB1448">
        <w:rPr>
          <w:rFonts w:ascii="Arial" w:hAnsi="Arial" w:cs="Arial"/>
          <w:sz w:val="24"/>
          <w:szCs w:val="24"/>
        </w:rPr>
        <w:t>Art</w:t>
      </w:r>
      <w:r w:rsidR="00D51474">
        <w:rPr>
          <w:rFonts w:ascii="Arial" w:hAnsi="Arial" w:cs="Arial"/>
          <w:sz w:val="24"/>
          <w:szCs w:val="24"/>
        </w:rPr>
        <w:t>icle</w:t>
      </w:r>
      <w:r w:rsidR="00AE0064">
        <w:rPr>
          <w:rFonts w:ascii="Arial" w:hAnsi="Arial" w:cs="Arial"/>
          <w:sz w:val="24"/>
          <w:szCs w:val="24"/>
        </w:rPr>
        <w:t xml:space="preserve"> 8(1). Mr Budlender submitted that once the proceedings themselves are found not to violate the Constitution in other respects, the inherent </w:t>
      </w:r>
      <w:r w:rsidR="004C57A0">
        <w:rPr>
          <w:rFonts w:ascii="Arial" w:hAnsi="Arial" w:cs="Arial"/>
          <w:sz w:val="24"/>
          <w:szCs w:val="24"/>
        </w:rPr>
        <w:t>in</w:t>
      </w:r>
      <w:r w:rsidR="00AE0064">
        <w:rPr>
          <w:rFonts w:ascii="Arial" w:hAnsi="Arial" w:cs="Arial"/>
          <w:sz w:val="24"/>
          <w:szCs w:val="24"/>
        </w:rPr>
        <w:t xml:space="preserve">dignity accompanying them, would not violate </w:t>
      </w:r>
      <w:r w:rsidR="00D51474" w:rsidRPr="00BB1448">
        <w:rPr>
          <w:rFonts w:ascii="Arial" w:hAnsi="Arial" w:cs="Arial"/>
          <w:sz w:val="24"/>
          <w:szCs w:val="24"/>
        </w:rPr>
        <w:t>Art</w:t>
      </w:r>
      <w:r w:rsidR="00D51474">
        <w:rPr>
          <w:rFonts w:ascii="Arial" w:hAnsi="Arial" w:cs="Arial"/>
          <w:sz w:val="24"/>
          <w:szCs w:val="24"/>
        </w:rPr>
        <w:t>icle</w:t>
      </w:r>
      <w:r w:rsidR="00AE0064">
        <w:rPr>
          <w:rFonts w:ascii="Arial" w:hAnsi="Arial" w:cs="Arial"/>
          <w:sz w:val="24"/>
          <w:szCs w:val="24"/>
        </w:rPr>
        <w:t xml:space="preserve"> 8 and the applicants’ claim based on a breach of rights to human dignity must fail. </w:t>
      </w:r>
    </w:p>
    <w:p w:rsidR="00AE0064" w:rsidRPr="00AE0064" w:rsidRDefault="00AE0064" w:rsidP="00AE0064">
      <w:pPr>
        <w:pStyle w:val="ListParagraph"/>
        <w:rPr>
          <w:rFonts w:ascii="Arial" w:hAnsi="Arial" w:cs="Arial"/>
          <w:sz w:val="24"/>
          <w:szCs w:val="24"/>
        </w:rPr>
      </w:pPr>
    </w:p>
    <w:p w:rsidR="00AE0064" w:rsidRDefault="00AE0064"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Mr Budlender was brief on the</w:t>
      </w:r>
      <w:r w:rsidR="001B708A">
        <w:rPr>
          <w:rFonts w:ascii="Arial" w:hAnsi="Arial" w:cs="Arial"/>
          <w:sz w:val="24"/>
          <w:szCs w:val="24"/>
        </w:rPr>
        <w:t xml:space="preserve"> applicants’ complaint regarding the breach of their </w:t>
      </w:r>
      <w:r w:rsidR="00D51474" w:rsidRPr="00BB1448">
        <w:rPr>
          <w:rFonts w:ascii="Arial" w:hAnsi="Arial" w:cs="Arial"/>
          <w:sz w:val="24"/>
          <w:szCs w:val="24"/>
        </w:rPr>
        <w:t>Art</w:t>
      </w:r>
      <w:r w:rsidR="00D51474">
        <w:rPr>
          <w:rFonts w:ascii="Arial" w:hAnsi="Arial" w:cs="Arial"/>
          <w:sz w:val="24"/>
          <w:szCs w:val="24"/>
        </w:rPr>
        <w:t xml:space="preserve">icle </w:t>
      </w:r>
      <w:r w:rsidR="001B708A">
        <w:rPr>
          <w:rFonts w:ascii="Arial" w:hAnsi="Arial" w:cs="Arial"/>
          <w:sz w:val="24"/>
          <w:szCs w:val="24"/>
        </w:rPr>
        <w:t>21</w:t>
      </w:r>
      <w:r>
        <w:rPr>
          <w:rFonts w:ascii="Arial" w:hAnsi="Arial" w:cs="Arial"/>
          <w:sz w:val="24"/>
          <w:szCs w:val="24"/>
        </w:rPr>
        <w:t xml:space="preserve"> right</w:t>
      </w:r>
      <w:r w:rsidR="001B708A">
        <w:rPr>
          <w:rFonts w:ascii="Arial" w:hAnsi="Arial" w:cs="Arial"/>
          <w:sz w:val="24"/>
          <w:szCs w:val="24"/>
        </w:rPr>
        <w:t xml:space="preserve">s and submitted that yet again the applicants failed to allege any factual basis to show that the inclusion of mingled funds in the definition affects their rights to carry on any occupation, trade or business </w:t>
      </w:r>
    </w:p>
    <w:p w:rsidR="00AF7F01" w:rsidRPr="00AF7F01" w:rsidRDefault="00AF7F01" w:rsidP="00AF7F01">
      <w:pPr>
        <w:pStyle w:val="ListParagraph"/>
        <w:rPr>
          <w:rFonts w:ascii="Arial" w:hAnsi="Arial" w:cs="Arial"/>
          <w:sz w:val="24"/>
          <w:szCs w:val="24"/>
        </w:rPr>
      </w:pPr>
    </w:p>
    <w:p w:rsidR="00AF7F01" w:rsidRDefault="00AF7F01"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On the relief sought by the applicants, Mr Budlender argued that the main relief sought, i.e. declaration of invalidity of the portion of the definition, is without qualification. </w:t>
      </w:r>
    </w:p>
    <w:p w:rsidR="00F5718E" w:rsidRPr="00F5718E" w:rsidRDefault="00F5718E" w:rsidP="00F5718E">
      <w:pPr>
        <w:pStyle w:val="ListParagraph"/>
        <w:rPr>
          <w:rFonts w:ascii="Arial" w:hAnsi="Arial" w:cs="Arial"/>
          <w:sz w:val="24"/>
          <w:szCs w:val="24"/>
        </w:rPr>
      </w:pPr>
    </w:p>
    <w:p w:rsidR="00F5718E" w:rsidRDefault="00F5718E"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Mr Budlender submitted that the mischief </w:t>
      </w:r>
      <w:r w:rsidR="00847C9F">
        <w:rPr>
          <w:rFonts w:ascii="Arial" w:hAnsi="Arial" w:cs="Arial"/>
          <w:sz w:val="24"/>
          <w:szCs w:val="24"/>
        </w:rPr>
        <w:t>that the definition intends to combat is to prevent a criminal from walking away with ‘dirty’ money mingled with ‘clean’ money and the definition succeeds in doing so. In the view of the respondents, the consequence of the main relief sought by the applicants will facilitate the mischief instead of avoiding it.</w:t>
      </w:r>
      <w:r w:rsidR="005771E0">
        <w:rPr>
          <w:rFonts w:ascii="Arial" w:hAnsi="Arial" w:cs="Arial"/>
          <w:sz w:val="24"/>
          <w:szCs w:val="24"/>
        </w:rPr>
        <w:t xml:space="preserve"> Therefore the consequences of an order in terms of prayer 1 of the notice of motion will be to facilitate that mischief.</w:t>
      </w:r>
    </w:p>
    <w:p w:rsidR="00847C9F" w:rsidRPr="00847C9F" w:rsidRDefault="00847C9F" w:rsidP="00847C9F">
      <w:pPr>
        <w:pStyle w:val="ListParagraph"/>
        <w:rPr>
          <w:rFonts w:ascii="Arial" w:hAnsi="Arial" w:cs="Arial"/>
          <w:sz w:val="24"/>
          <w:szCs w:val="24"/>
        </w:rPr>
      </w:pPr>
    </w:p>
    <w:p w:rsidR="003C436E" w:rsidRDefault="00847C9F"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In respect of </w:t>
      </w:r>
      <w:r w:rsidR="005771E0">
        <w:rPr>
          <w:rFonts w:ascii="Arial" w:hAnsi="Arial" w:cs="Arial"/>
          <w:sz w:val="24"/>
          <w:szCs w:val="24"/>
        </w:rPr>
        <w:t>prayer 2</w:t>
      </w:r>
      <w:r w:rsidR="00B408AD">
        <w:rPr>
          <w:rFonts w:ascii="Arial" w:hAnsi="Arial" w:cs="Arial"/>
          <w:sz w:val="24"/>
          <w:szCs w:val="24"/>
        </w:rPr>
        <w:t>,</w:t>
      </w:r>
      <w:r w:rsidR="005771E0">
        <w:rPr>
          <w:rFonts w:ascii="Arial" w:hAnsi="Arial" w:cs="Arial"/>
          <w:sz w:val="24"/>
          <w:szCs w:val="24"/>
        </w:rPr>
        <w:t xml:space="preserve"> as an alternative to prayer</w:t>
      </w:r>
      <w:r w:rsidR="00FB1A8B">
        <w:rPr>
          <w:rFonts w:ascii="Arial" w:hAnsi="Arial" w:cs="Arial"/>
          <w:sz w:val="24"/>
          <w:szCs w:val="24"/>
        </w:rPr>
        <w:t xml:space="preserve"> 1</w:t>
      </w:r>
      <w:r w:rsidR="003C436E">
        <w:rPr>
          <w:rFonts w:ascii="Arial" w:hAnsi="Arial" w:cs="Arial"/>
          <w:sz w:val="24"/>
          <w:szCs w:val="24"/>
        </w:rPr>
        <w:t>, according to Mr Budlender</w:t>
      </w:r>
      <w:r w:rsidR="002821B0">
        <w:rPr>
          <w:rFonts w:ascii="Arial" w:hAnsi="Arial" w:cs="Arial"/>
          <w:sz w:val="24"/>
          <w:szCs w:val="24"/>
        </w:rPr>
        <w:t>,</w:t>
      </w:r>
      <w:r w:rsidR="003C436E">
        <w:rPr>
          <w:rFonts w:ascii="Arial" w:hAnsi="Arial" w:cs="Arial"/>
          <w:sz w:val="24"/>
          <w:szCs w:val="24"/>
        </w:rPr>
        <w:t xml:space="preserve"> proceeds on the premise that a declaration of invalidity is not made and that the definition of the Act remains in force. As a result the applicants seek a declaration of the definition of ‘means’, which means that the applicant</w:t>
      </w:r>
      <w:r w:rsidR="00FB1A8B">
        <w:rPr>
          <w:rFonts w:ascii="Arial" w:hAnsi="Arial" w:cs="Arial"/>
          <w:sz w:val="24"/>
          <w:szCs w:val="24"/>
        </w:rPr>
        <w:t>s</w:t>
      </w:r>
      <w:r w:rsidR="003C436E">
        <w:rPr>
          <w:rFonts w:ascii="Arial" w:hAnsi="Arial" w:cs="Arial"/>
          <w:sz w:val="24"/>
          <w:szCs w:val="24"/>
        </w:rPr>
        <w:t xml:space="preserve"> </w:t>
      </w:r>
      <w:r w:rsidR="00FB1A8B">
        <w:rPr>
          <w:rFonts w:ascii="Arial" w:hAnsi="Arial" w:cs="Arial"/>
          <w:sz w:val="24"/>
          <w:szCs w:val="24"/>
        </w:rPr>
        <w:t xml:space="preserve">are </w:t>
      </w:r>
      <w:r w:rsidR="003C436E">
        <w:rPr>
          <w:rFonts w:ascii="Arial" w:hAnsi="Arial" w:cs="Arial"/>
          <w:sz w:val="24"/>
          <w:szCs w:val="24"/>
        </w:rPr>
        <w:t>ask</w:t>
      </w:r>
      <w:r w:rsidR="00FB1A8B">
        <w:rPr>
          <w:rFonts w:ascii="Arial" w:hAnsi="Arial" w:cs="Arial"/>
          <w:sz w:val="24"/>
          <w:szCs w:val="24"/>
        </w:rPr>
        <w:t>ing</w:t>
      </w:r>
      <w:r w:rsidR="003C436E">
        <w:rPr>
          <w:rFonts w:ascii="Arial" w:hAnsi="Arial" w:cs="Arial"/>
          <w:sz w:val="24"/>
          <w:szCs w:val="24"/>
        </w:rPr>
        <w:t xml:space="preserve"> the court to insert a phrase in the statutory definition. </w:t>
      </w:r>
    </w:p>
    <w:p w:rsidR="003C436E" w:rsidRPr="003C436E" w:rsidRDefault="003C436E" w:rsidP="003C436E">
      <w:pPr>
        <w:pStyle w:val="ListParagraph"/>
        <w:rPr>
          <w:rFonts w:ascii="Arial" w:hAnsi="Arial" w:cs="Arial"/>
          <w:sz w:val="24"/>
          <w:szCs w:val="24"/>
        </w:rPr>
      </w:pPr>
    </w:p>
    <w:p w:rsidR="00847C9F" w:rsidRDefault="003C436E"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Mr Budlender argued </w:t>
      </w:r>
      <w:r w:rsidR="00847C9F">
        <w:rPr>
          <w:rFonts w:ascii="Arial" w:hAnsi="Arial" w:cs="Arial"/>
          <w:sz w:val="24"/>
          <w:szCs w:val="24"/>
        </w:rPr>
        <w:t xml:space="preserve">that the applicants are not asking the court to ‘read in’ words into the definition in order to save the section from invalidity. Instead, the applicants are requesting the court to make a declaration as a result of an exercise in interpretation. The applicants are asking the court to make a substantial amendment to a statute, without having decided and declared that the relevant provision of the statute is inconsistent with the Constitution and invalid. </w:t>
      </w:r>
    </w:p>
    <w:p w:rsidR="00847C9F" w:rsidRPr="00847C9F" w:rsidRDefault="00847C9F" w:rsidP="00847C9F">
      <w:pPr>
        <w:pStyle w:val="ListParagraph"/>
        <w:rPr>
          <w:rFonts w:ascii="Arial" w:hAnsi="Arial" w:cs="Arial"/>
          <w:sz w:val="24"/>
          <w:szCs w:val="24"/>
        </w:rPr>
      </w:pPr>
    </w:p>
    <w:p w:rsidR="00847C9F" w:rsidRDefault="00865282"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Mr Budlender submitted that there are </w:t>
      </w:r>
      <w:r w:rsidR="004B0FED">
        <w:rPr>
          <w:rFonts w:ascii="Arial" w:hAnsi="Arial" w:cs="Arial"/>
          <w:sz w:val="24"/>
          <w:szCs w:val="24"/>
        </w:rPr>
        <w:t>instances</w:t>
      </w:r>
      <w:r>
        <w:rPr>
          <w:rFonts w:ascii="Arial" w:hAnsi="Arial" w:cs="Arial"/>
          <w:sz w:val="24"/>
          <w:szCs w:val="24"/>
        </w:rPr>
        <w:t xml:space="preserve"> where a court would ‘read in’ words into a statute and that would be in those circumstances where ‘reading in’ may save </w:t>
      </w:r>
      <w:r w:rsidR="004B0FED">
        <w:rPr>
          <w:rFonts w:ascii="Arial" w:hAnsi="Arial" w:cs="Arial"/>
          <w:sz w:val="24"/>
          <w:szCs w:val="24"/>
        </w:rPr>
        <w:t xml:space="preserve">the </w:t>
      </w:r>
      <w:r>
        <w:rPr>
          <w:rFonts w:ascii="Arial" w:hAnsi="Arial" w:cs="Arial"/>
          <w:sz w:val="24"/>
          <w:szCs w:val="24"/>
        </w:rPr>
        <w:t xml:space="preserve">provision of an </w:t>
      </w:r>
      <w:r w:rsidR="00B408AD">
        <w:rPr>
          <w:rFonts w:ascii="Arial" w:hAnsi="Arial" w:cs="Arial"/>
          <w:sz w:val="24"/>
          <w:szCs w:val="24"/>
        </w:rPr>
        <w:t>A</w:t>
      </w:r>
      <w:r>
        <w:rPr>
          <w:rFonts w:ascii="Arial" w:hAnsi="Arial" w:cs="Arial"/>
          <w:sz w:val="24"/>
          <w:szCs w:val="24"/>
        </w:rPr>
        <w:t xml:space="preserve">ct from the consequences of it being declared invalid. </w:t>
      </w:r>
    </w:p>
    <w:p w:rsidR="00847C9F" w:rsidRPr="00847C9F" w:rsidRDefault="00847C9F" w:rsidP="00847C9F">
      <w:pPr>
        <w:pStyle w:val="ListParagraph"/>
        <w:rPr>
          <w:rFonts w:ascii="Arial" w:hAnsi="Arial" w:cs="Arial"/>
          <w:sz w:val="24"/>
          <w:szCs w:val="24"/>
        </w:rPr>
      </w:pPr>
    </w:p>
    <w:p w:rsidR="00847C9F" w:rsidRDefault="00847C9F" w:rsidP="00BB53D0">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However, </w:t>
      </w:r>
      <w:r w:rsidR="004C4F98">
        <w:rPr>
          <w:rFonts w:ascii="Arial" w:hAnsi="Arial" w:cs="Arial"/>
          <w:sz w:val="24"/>
          <w:szCs w:val="24"/>
        </w:rPr>
        <w:t>the technique of ‘reading in’</w:t>
      </w:r>
      <w:r w:rsidR="00E015B9">
        <w:rPr>
          <w:rFonts w:ascii="Arial" w:hAnsi="Arial" w:cs="Arial"/>
          <w:sz w:val="24"/>
          <w:szCs w:val="24"/>
        </w:rPr>
        <w:t>,</w:t>
      </w:r>
      <w:r w:rsidR="004C4F98">
        <w:rPr>
          <w:rFonts w:ascii="Arial" w:hAnsi="Arial" w:cs="Arial"/>
          <w:sz w:val="24"/>
          <w:szCs w:val="24"/>
        </w:rPr>
        <w:t xml:space="preserve"> would follow a declaration of invalidity. </w:t>
      </w:r>
      <w:r w:rsidR="0042075E">
        <w:rPr>
          <w:rFonts w:ascii="Arial" w:hAnsi="Arial" w:cs="Arial"/>
          <w:sz w:val="24"/>
          <w:szCs w:val="24"/>
        </w:rPr>
        <w:t xml:space="preserve">In other words, the premise of </w:t>
      </w:r>
      <w:r w:rsidR="004C1B66">
        <w:rPr>
          <w:rFonts w:ascii="Arial" w:hAnsi="Arial" w:cs="Arial"/>
          <w:sz w:val="24"/>
          <w:szCs w:val="24"/>
        </w:rPr>
        <w:t>reading-in</w:t>
      </w:r>
      <w:r w:rsidR="0042075E">
        <w:rPr>
          <w:rFonts w:ascii="Arial" w:hAnsi="Arial" w:cs="Arial"/>
          <w:sz w:val="24"/>
          <w:szCs w:val="24"/>
        </w:rPr>
        <w:t xml:space="preserve"> is that the relevant part of the statutes </w:t>
      </w:r>
      <w:r w:rsidR="004B0FED">
        <w:rPr>
          <w:rFonts w:ascii="Arial" w:hAnsi="Arial" w:cs="Arial"/>
          <w:sz w:val="24"/>
          <w:szCs w:val="24"/>
        </w:rPr>
        <w:t xml:space="preserve">is </w:t>
      </w:r>
      <w:r w:rsidR="0042075E">
        <w:rPr>
          <w:rFonts w:ascii="Arial" w:hAnsi="Arial" w:cs="Arial"/>
          <w:sz w:val="24"/>
          <w:szCs w:val="24"/>
        </w:rPr>
        <w:t xml:space="preserve">found to be inconsistent with the </w:t>
      </w:r>
      <w:r w:rsidR="004B0FED">
        <w:rPr>
          <w:rFonts w:ascii="Arial" w:hAnsi="Arial" w:cs="Arial"/>
          <w:sz w:val="24"/>
          <w:szCs w:val="24"/>
        </w:rPr>
        <w:t>Constitution</w:t>
      </w:r>
      <w:r w:rsidR="0042075E">
        <w:rPr>
          <w:rFonts w:ascii="Arial" w:hAnsi="Arial" w:cs="Arial"/>
          <w:sz w:val="24"/>
          <w:szCs w:val="24"/>
        </w:rPr>
        <w:t xml:space="preserve"> and without it</w:t>
      </w:r>
      <w:r w:rsidR="004B0FED">
        <w:rPr>
          <w:rFonts w:ascii="Arial" w:hAnsi="Arial" w:cs="Arial"/>
          <w:sz w:val="24"/>
          <w:szCs w:val="24"/>
        </w:rPr>
        <w:t>,</w:t>
      </w:r>
      <w:r w:rsidR="0042075E">
        <w:rPr>
          <w:rFonts w:ascii="Arial" w:hAnsi="Arial" w:cs="Arial"/>
          <w:sz w:val="24"/>
          <w:szCs w:val="24"/>
        </w:rPr>
        <w:t xml:space="preserve"> there can be no reading-in</w:t>
      </w:r>
      <w:r w:rsidR="004B0FED">
        <w:rPr>
          <w:rFonts w:ascii="Arial" w:hAnsi="Arial" w:cs="Arial"/>
          <w:sz w:val="24"/>
          <w:szCs w:val="24"/>
        </w:rPr>
        <w:t>.</w:t>
      </w:r>
      <w:r w:rsidR="0042075E">
        <w:rPr>
          <w:rFonts w:ascii="Arial" w:hAnsi="Arial" w:cs="Arial"/>
          <w:sz w:val="24"/>
          <w:szCs w:val="24"/>
        </w:rPr>
        <w:t xml:space="preserve"> </w:t>
      </w:r>
    </w:p>
    <w:p w:rsidR="004C1B66" w:rsidRPr="004C1B66" w:rsidRDefault="004C1B66" w:rsidP="004C1B66">
      <w:pPr>
        <w:pStyle w:val="ListParagraph"/>
        <w:rPr>
          <w:rFonts w:ascii="Arial" w:hAnsi="Arial" w:cs="Arial"/>
          <w:sz w:val="24"/>
          <w:szCs w:val="24"/>
        </w:rPr>
      </w:pPr>
    </w:p>
    <w:p w:rsidR="004C1B66" w:rsidRDefault="004C1B66" w:rsidP="004C1B66">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Michael Bishops in the authoritative work Constitutional Law of South Africa</w:t>
      </w:r>
      <w:r>
        <w:rPr>
          <w:rStyle w:val="FootnoteReference"/>
          <w:rFonts w:ascii="Arial" w:hAnsi="Arial" w:cs="Arial"/>
          <w:sz w:val="24"/>
          <w:szCs w:val="24"/>
        </w:rPr>
        <w:footnoteReference w:id="14"/>
      </w:r>
      <w:r>
        <w:rPr>
          <w:rFonts w:ascii="Arial" w:hAnsi="Arial" w:cs="Arial"/>
          <w:sz w:val="24"/>
          <w:szCs w:val="24"/>
        </w:rPr>
        <w:t xml:space="preserve"> was referenced by Mr Budlender where</w:t>
      </w:r>
      <w:r w:rsidR="00E015B9">
        <w:rPr>
          <w:rFonts w:ascii="Arial" w:hAnsi="Arial" w:cs="Arial"/>
          <w:sz w:val="24"/>
          <w:szCs w:val="24"/>
        </w:rPr>
        <w:t xml:space="preserve"> the learned author</w:t>
      </w:r>
      <w:r>
        <w:rPr>
          <w:rFonts w:ascii="Arial" w:hAnsi="Arial" w:cs="Arial"/>
          <w:sz w:val="24"/>
          <w:szCs w:val="24"/>
        </w:rPr>
        <w:t xml:space="preserve"> draws attention to the caution which courts will exercise in reading words into a statute following upon a declaration of invalidity. </w:t>
      </w:r>
      <w:r w:rsidR="00EB25CF">
        <w:rPr>
          <w:rFonts w:ascii="Arial" w:hAnsi="Arial" w:cs="Arial"/>
          <w:sz w:val="24"/>
          <w:szCs w:val="24"/>
        </w:rPr>
        <w:t xml:space="preserve">The reason </w:t>
      </w:r>
      <w:r w:rsidR="00080ADD">
        <w:rPr>
          <w:rFonts w:ascii="Arial" w:hAnsi="Arial" w:cs="Arial"/>
          <w:sz w:val="24"/>
          <w:szCs w:val="24"/>
        </w:rPr>
        <w:t>is</w:t>
      </w:r>
      <w:r w:rsidR="00EB25CF">
        <w:rPr>
          <w:rFonts w:ascii="Arial" w:hAnsi="Arial" w:cs="Arial"/>
          <w:sz w:val="24"/>
          <w:szCs w:val="24"/>
        </w:rPr>
        <w:t xml:space="preserve"> that reading-in creates the risk that the court</w:t>
      </w:r>
      <w:r w:rsidR="00080ADD">
        <w:rPr>
          <w:rFonts w:ascii="Arial" w:hAnsi="Arial" w:cs="Arial"/>
          <w:sz w:val="24"/>
          <w:szCs w:val="24"/>
        </w:rPr>
        <w:t>s</w:t>
      </w:r>
      <w:r w:rsidR="00EB25CF">
        <w:rPr>
          <w:rFonts w:ascii="Arial" w:hAnsi="Arial" w:cs="Arial"/>
          <w:sz w:val="24"/>
          <w:szCs w:val="24"/>
        </w:rPr>
        <w:t xml:space="preserve"> will open themselves to the charge of a breach of </w:t>
      </w:r>
      <w:r w:rsidR="00080ADD">
        <w:rPr>
          <w:rFonts w:ascii="Arial" w:hAnsi="Arial" w:cs="Arial"/>
          <w:sz w:val="24"/>
          <w:szCs w:val="24"/>
        </w:rPr>
        <w:t xml:space="preserve">the </w:t>
      </w:r>
      <w:r w:rsidR="00EB25CF">
        <w:rPr>
          <w:rFonts w:ascii="Arial" w:hAnsi="Arial" w:cs="Arial"/>
          <w:sz w:val="24"/>
          <w:szCs w:val="24"/>
        </w:rPr>
        <w:t xml:space="preserve">separation of powers in that they are carrying out a legislative function which is reserved to Parliament. </w:t>
      </w:r>
    </w:p>
    <w:p w:rsidR="00B04AB5" w:rsidRPr="00B04AB5" w:rsidRDefault="00B04AB5" w:rsidP="00B04AB5">
      <w:pPr>
        <w:pStyle w:val="ListParagraph"/>
        <w:rPr>
          <w:rFonts w:ascii="Arial" w:hAnsi="Arial" w:cs="Arial"/>
          <w:sz w:val="24"/>
          <w:szCs w:val="24"/>
        </w:rPr>
      </w:pPr>
    </w:p>
    <w:p w:rsidR="00B04AB5" w:rsidRDefault="00B04AB5" w:rsidP="00B04AB5">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Mr Budlender submitted that even if the court is inclined to order a ‘reading-in’, despite the fact that it is not prayed for in prayer 1, the matter in casu would not be the appropriate case for doing so. </w:t>
      </w:r>
    </w:p>
    <w:p w:rsidR="00B04AB5" w:rsidRPr="00B04AB5" w:rsidRDefault="00B04AB5" w:rsidP="00B04AB5">
      <w:pPr>
        <w:pStyle w:val="ListParagraph"/>
        <w:rPr>
          <w:rFonts w:ascii="Arial" w:hAnsi="Arial" w:cs="Arial"/>
          <w:sz w:val="24"/>
          <w:szCs w:val="24"/>
        </w:rPr>
      </w:pPr>
    </w:p>
    <w:p w:rsidR="00B04AB5" w:rsidRDefault="00B04AB5" w:rsidP="00B04AB5">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Counsel emphasized that there are many different ways of addressing the problem of ‘mingling’ and it would be inappropriate, and possibly even impermissible, for the court to decide which way should be adopted because it is ultimately a matter for legislation and not adjudication.</w:t>
      </w:r>
    </w:p>
    <w:p w:rsidR="00B04AB5" w:rsidRPr="00B04AB5" w:rsidRDefault="00B04AB5" w:rsidP="00B04AB5">
      <w:pPr>
        <w:pStyle w:val="ListParagraph"/>
        <w:rPr>
          <w:rFonts w:ascii="Arial" w:hAnsi="Arial" w:cs="Arial"/>
          <w:sz w:val="24"/>
          <w:szCs w:val="24"/>
        </w:rPr>
      </w:pPr>
    </w:p>
    <w:p w:rsidR="00B04AB5" w:rsidRDefault="00A36767" w:rsidP="00B04AB5">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 xml:space="preserve">In conclusion, Mr Budlender dealt with the remedy of reading down and opined that it appears that the applicants </w:t>
      </w:r>
      <w:r w:rsidR="00D92BED">
        <w:rPr>
          <w:rFonts w:ascii="Arial" w:hAnsi="Arial" w:cs="Arial"/>
          <w:sz w:val="24"/>
          <w:szCs w:val="24"/>
        </w:rPr>
        <w:t>are</w:t>
      </w:r>
      <w:r>
        <w:rPr>
          <w:rFonts w:ascii="Arial" w:hAnsi="Arial" w:cs="Arial"/>
          <w:sz w:val="24"/>
          <w:szCs w:val="24"/>
        </w:rPr>
        <w:t xml:space="preserve"> confusing reading down with reading-in. The former </w:t>
      </w:r>
      <w:r w:rsidR="00D92BED">
        <w:rPr>
          <w:rFonts w:ascii="Arial" w:hAnsi="Arial" w:cs="Arial"/>
          <w:sz w:val="24"/>
          <w:szCs w:val="24"/>
        </w:rPr>
        <w:t>is</w:t>
      </w:r>
      <w:r>
        <w:rPr>
          <w:rFonts w:ascii="Arial" w:hAnsi="Arial" w:cs="Arial"/>
          <w:sz w:val="24"/>
          <w:szCs w:val="24"/>
        </w:rPr>
        <w:t xml:space="preserve"> a purely interpretative exercise. When reading down takes place</w:t>
      </w:r>
      <w:r w:rsidR="005C77B0">
        <w:rPr>
          <w:rFonts w:ascii="Arial" w:hAnsi="Arial" w:cs="Arial"/>
          <w:sz w:val="24"/>
          <w:szCs w:val="24"/>
        </w:rPr>
        <w:t>,</w:t>
      </w:r>
      <w:r>
        <w:rPr>
          <w:rFonts w:ascii="Arial" w:hAnsi="Arial" w:cs="Arial"/>
          <w:sz w:val="24"/>
          <w:szCs w:val="24"/>
        </w:rPr>
        <w:t xml:space="preserve"> the text of the legislation remains untouched. It is simply giving a meaning that conforms to the Constitution, whereas reading-in changes the text. This, according to Counsel, would be unprecedented if this court assumes the power to amend a statute by reading words into it</w:t>
      </w:r>
      <w:r w:rsidR="001D1B10">
        <w:rPr>
          <w:rFonts w:ascii="Arial" w:hAnsi="Arial" w:cs="Arial"/>
          <w:sz w:val="24"/>
          <w:szCs w:val="24"/>
        </w:rPr>
        <w:t xml:space="preserve"> when it is not preceded by a declaration of invalidity</w:t>
      </w:r>
      <w:r>
        <w:rPr>
          <w:rFonts w:ascii="Arial" w:hAnsi="Arial" w:cs="Arial"/>
          <w:sz w:val="24"/>
          <w:szCs w:val="24"/>
        </w:rPr>
        <w:t xml:space="preserve">. </w:t>
      </w:r>
    </w:p>
    <w:p w:rsidR="001D1B10" w:rsidRPr="001D1B10" w:rsidRDefault="001D1B10" w:rsidP="001D1B10">
      <w:pPr>
        <w:pStyle w:val="ListParagraph"/>
        <w:rPr>
          <w:rFonts w:ascii="Arial" w:hAnsi="Arial" w:cs="Arial"/>
          <w:sz w:val="24"/>
          <w:szCs w:val="24"/>
        </w:rPr>
      </w:pPr>
    </w:p>
    <w:p w:rsidR="00A36767" w:rsidRDefault="0033702C" w:rsidP="0033702C">
      <w:pPr>
        <w:pStyle w:val="ListParagraph"/>
        <w:numPr>
          <w:ilvl w:val="0"/>
          <w:numId w:val="28"/>
        </w:numPr>
        <w:spacing w:after="0" w:line="360" w:lineRule="auto"/>
        <w:ind w:left="0" w:firstLine="0"/>
        <w:jc w:val="both"/>
        <w:rPr>
          <w:rFonts w:ascii="Arial" w:hAnsi="Arial" w:cs="Arial"/>
          <w:sz w:val="24"/>
          <w:szCs w:val="24"/>
        </w:rPr>
      </w:pPr>
      <w:r w:rsidRPr="0033702C">
        <w:rPr>
          <w:rFonts w:ascii="Arial" w:hAnsi="Arial" w:cs="Arial"/>
          <w:sz w:val="24"/>
          <w:szCs w:val="24"/>
        </w:rPr>
        <w:t xml:space="preserve">According to </w:t>
      </w:r>
      <w:r w:rsidR="00D92BED">
        <w:rPr>
          <w:rFonts w:ascii="Arial" w:hAnsi="Arial" w:cs="Arial"/>
          <w:sz w:val="24"/>
          <w:szCs w:val="24"/>
        </w:rPr>
        <w:t>Mr</w:t>
      </w:r>
      <w:r w:rsidRPr="0033702C">
        <w:rPr>
          <w:rFonts w:ascii="Arial" w:hAnsi="Arial" w:cs="Arial"/>
          <w:sz w:val="24"/>
          <w:szCs w:val="24"/>
        </w:rPr>
        <w:t xml:space="preserve"> Budlender, the relief requested by the applicants is fundamentally flawed. </w:t>
      </w:r>
      <w:r>
        <w:rPr>
          <w:rFonts w:ascii="Arial" w:hAnsi="Arial" w:cs="Arial"/>
          <w:sz w:val="24"/>
          <w:szCs w:val="24"/>
        </w:rPr>
        <w:t>In reality, if the main relief sought</w:t>
      </w:r>
      <w:r w:rsidRPr="0033702C">
        <w:rPr>
          <w:rFonts w:ascii="Arial" w:hAnsi="Arial" w:cs="Arial"/>
          <w:sz w:val="24"/>
          <w:szCs w:val="24"/>
        </w:rPr>
        <w:t xml:space="preserve"> by the applicants were granted, the State and the public would be left vulnerable to criminals and their tactics</w:t>
      </w:r>
      <w:r w:rsidR="00D92BED">
        <w:rPr>
          <w:rFonts w:ascii="Arial" w:hAnsi="Arial" w:cs="Arial"/>
          <w:sz w:val="24"/>
          <w:szCs w:val="24"/>
        </w:rPr>
        <w:t>, whereas alternative relief is simply not competent</w:t>
      </w:r>
      <w:r w:rsidR="009D29DD">
        <w:rPr>
          <w:rFonts w:ascii="Arial" w:hAnsi="Arial" w:cs="Arial"/>
          <w:sz w:val="24"/>
          <w:szCs w:val="24"/>
        </w:rPr>
        <w:t>.</w:t>
      </w:r>
    </w:p>
    <w:p w:rsidR="009D29DD" w:rsidRPr="009D29DD" w:rsidRDefault="009D29DD" w:rsidP="009D29DD">
      <w:pPr>
        <w:pStyle w:val="ListParagraph"/>
        <w:rPr>
          <w:rFonts w:ascii="Arial" w:hAnsi="Arial" w:cs="Arial"/>
          <w:sz w:val="24"/>
          <w:szCs w:val="24"/>
        </w:rPr>
      </w:pPr>
    </w:p>
    <w:p w:rsidR="009D29DD" w:rsidRPr="009D29DD" w:rsidRDefault="009D29DD" w:rsidP="009D29DD">
      <w:pPr>
        <w:pStyle w:val="ListParagraph"/>
        <w:spacing w:after="0" w:line="360" w:lineRule="auto"/>
        <w:ind w:left="0"/>
        <w:jc w:val="both"/>
        <w:rPr>
          <w:rFonts w:ascii="Arial" w:hAnsi="Arial" w:cs="Arial"/>
          <w:sz w:val="24"/>
          <w:szCs w:val="24"/>
          <w:u w:val="single"/>
        </w:rPr>
      </w:pPr>
      <w:r w:rsidRPr="009D29DD">
        <w:rPr>
          <w:rFonts w:ascii="Arial" w:hAnsi="Arial" w:cs="Arial"/>
          <w:sz w:val="24"/>
          <w:szCs w:val="24"/>
          <w:u w:val="single"/>
        </w:rPr>
        <w:t>The constitutional attack</w:t>
      </w:r>
    </w:p>
    <w:p w:rsidR="009D29DD" w:rsidRPr="009D29DD" w:rsidRDefault="009D29DD" w:rsidP="009D29DD">
      <w:pPr>
        <w:pStyle w:val="ListParagraph"/>
        <w:rPr>
          <w:rFonts w:ascii="Arial" w:hAnsi="Arial" w:cs="Arial"/>
          <w:sz w:val="24"/>
          <w:szCs w:val="24"/>
        </w:rPr>
      </w:pPr>
    </w:p>
    <w:p w:rsidR="009D29DD" w:rsidRDefault="009D29DD" w:rsidP="0033702C">
      <w:pPr>
        <w:pStyle w:val="ListParagraph"/>
        <w:numPr>
          <w:ilvl w:val="0"/>
          <w:numId w:val="28"/>
        </w:numPr>
        <w:spacing w:after="0" w:line="360" w:lineRule="auto"/>
        <w:ind w:left="0" w:firstLine="0"/>
        <w:jc w:val="both"/>
        <w:rPr>
          <w:rFonts w:ascii="Arial" w:hAnsi="Arial" w:cs="Arial"/>
          <w:sz w:val="24"/>
          <w:szCs w:val="24"/>
        </w:rPr>
      </w:pPr>
      <w:r>
        <w:rPr>
          <w:rFonts w:ascii="Arial" w:hAnsi="Arial" w:cs="Arial"/>
          <w:sz w:val="24"/>
          <w:szCs w:val="24"/>
        </w:rPr>
        <w:t>The parties agree that the constitutional attack launched by the applicants can be succinctly summarised as follows:</w:t>
      </w:r>
      <w:r w:rsidR="00BE3B61">
        <w:rPr>
          <w:rStyle w:val="FootnoteReference"/>
          <w:rFonts w:ascii="Arial" w:hAnsi="Arial" w:cs="Arial"/>
          <w:sz w:val="24"/>
          <w:szCs w:val="24"/>
        </w:rPr>
        <w:footnoteReference w:id="15"/>
      </w:r>
    </w:p>
    <w:p w:rsidR="00BE3B61" w:rsidRDefault="00BE3B61" w:rsidP="00BE3B61">
      <w:pPr>
        <w:pStyle w:val="ListParagraph"/>
        <w:spacing w:after="0" w:line="360" w:lineRule="auto"/>
        <w:ind w:left="0"/>
        <w:jc w:val="both"/>
        <w:rPr>
          <w:rFonts w:ascii="Arial" w:hAnsi="Arial" w:cs="Arial"/>
          <w:sz w:val="24"/>
          <w:szCs w:val="24"/>
        </w:rPr>
      </w:pPr>
    </w:p>
    <w:p w:rsidR="009D29DD" w:rsidRDefault="009D29DD" w:rsidP="009D29DD">
      <w:pPr>
        <w:pStyle w:val="ListParagraph"/>
        <w:spacing w:after="0" w:line="360" w:lineRule="auto"/>
        <w:ind w:left="0"/>
        <w:jc w:val="both"/>
        <w:rPr>
          <w:rFonts w:ascii="Arial" w:hAnsi="Arial" w:cs="Arial"/>
          <w:sz w:val="24"/>
          <w:szCs w:val="24"/>
        </w:rPr>
      </w:pPr>
      <w:r>
        <w:rPr>
          <w:rFonts w:ascii="Arial" w:hAnsi="Arial" w:cs="Arial"/>
          <w:sz w:val="24"/>
          <w:szCs w:val="24"/>
        </w:rPr>
        <w:t>The applicants challenge the constitutionality of the definition of the ‘proceeds of unlawful activities’ in s 1 of the Act. They challenge the inclusion, in that the definition of ‘property which is mingled with property that is proceeds of unlawful activity and they do so on two grounds:</w:t>
      </w:r>
    </w:p>
    <w:p w:rsidR="00C237FD" w:rsidRDefault="00C237FD" w:rsidP="009D29DD">
      <w:pPr>
        <w:pStyle w:val="ListParagraph"/>
        <w:spacing w:after="0" w:line="360" w:lineRule="auto"/>
        <w:ind w:left="0"/>
        <w:jc w:val="both"/>
        <w:rPr>
          <w:rFonts w:ascii="Arial" w:hAnsi="Arial" w:cs="Arial"/>
          <w:sz w:val="24"/>
          <w:szCs w:val="24"/>
        </w:rPr>
      </w:pPr>
    </w:p>
    <w:p w:rsidR="009D29DD" w:rsidRDefault="009D29DD" w:rsidP="00C237FD">
      <w:pPr>
        <w:pStyle w:val="ListParagraph"/>
        <w:numPr>
          <w:ilvl w:val="0"/>
          <w:numId w:val="33"/>
        </w:numPr>
        <w:spacing w:after="0" w:line="360" w:lineRule="auto"/>
        <w:ind w:left="0" w:firstLine="0"/>
        <w:jc w:val="both"/>
        <w:rPr>
          <w:rFonts w:ascii="Arial" w:hAnsi="Arial" w:cs="Arial"/>
          <w:sz w:val="24"/>
          <w:szCs w:val="24"/>
        </w:rPr>
      </w:pPr>
      <w:r>
        <w:rPr>
          <w:rFonts w:ascii="Arial" w:hAnsi="Arial" w:cs="Arial"/>
          <w:sz w:val="24"/>
          <w:szCs w:val="24"/>
        </w:rPr>
        <w:t>First, the applicants contended that the inclusion results in the arbitrary deprivation of the property in breach of Article 16 of the Constitution, and negates the essential content of the right to property in breach of Article 22(a) of the Constitution;</w:t>
      </w:r>
    </w:p>
    <w:p w:rsidR="009D29DD" w:rsidRDefault="009D29DD" w:rsidP="00C237FD">
      <w:pPr>
        <w:pStyle w:val="ListParagraph"/>
        <w:numPr>
          <w:ilvl w:val="0"/>
          <w:numId w:val="33"/>
        </w:numPr>
        <w:spacing w:after="0" w:line="360" w:lineRule="auto"/>
        <w:ind w:left="0" w:firstLine="0"/>
        <w:jc w:val="both"/>
        <w:rPr>
          <w:rFonts w:ascii="Arial" w:hAnsi="Arial" w:cs="Arial"/>
          <w:sz w:val="24"/>
          <w:szCs w:val="24"/>
        </w:rPr>
      </w:pPr>
      <w:r>
        <w:rPr>
          <w:rFonts w:ascii="Arial" w:hAnsi="Arial" w:cs="Arial"/>
          <w:sz w:val="24"/>
          <w:szCs w:val="24"/>
        </w:rPr>
        <w:t>Second, the applicants contend that the definition is in breach of Article 8 and 21(1)(</w:t>
      </w:r>
      <w:r w:rsidRPr="008823DB">
        <w:rPr>
          <w:rFonts w:ascii="Arial" w:hAnsi="Arial" w:cs="Arial"/>
          <w:i/>
          <w:sz w:val="24"/>
          <w:szCs w:val="24"/>
        </w:rPr>
        <w:t>j</w:t>
      </w:r>
      <w:r>
        <w:rPr>
          <w:rFonts w:ascii="Arial" w:hAnsi="Arial" w:cs="Arial"/>
          <w:sz w:val="24"/>
          <w:szCs w:val="24"/>
        </w:rPr>
        <w:t>) of the Constitution, on the grounds that the first applicant’s life savings do not constitute proceeds of unlawful activities, and were earned by him through the exercise of his rights in terms of Article 21(1)(</w:t>
      </w:r>
      <w:r w:rsidRPr="008823DB">
        <w:rPr>
          <w:rFonts w:ascii="Arial" w:hAnsi="Arial" w:cs="Arial"/>
          <w:i/>
          <w:sz w:val="24"/>
          <w:szCs w:val="24"/>
        </w:rPr>
        <w:t>j</w:t>
      </w:r>
      <w:r>
        <w:rPr>
          <w:rFonts w:ascii="Arial" w:hAnsi="Arial" w:cs="Arial"/>
          <w:sz w:val="24"/>
          <w:szCs w:val="24"/>
        </w:rPr>
        <w:t>) of the Constitution.</w:t>
      </w:r>
    </w:p>
    <w:p w:rsidR="009D29DD" w:rsidRPr="00A36767" w:rsidRDefault="009D29DD" w:rsidP="009D29DD">
      <w:pPr>
        <w:pStyle w:val="ListParagraph"/>
        <w:spacing w:after="0" w:line="360" w:lineRule="auto"/>
        <w:ind w:left="1080"/>
        <w:jc w:val="both"/>
        <w:rPr>
          <w:rFonts w:ascii="Arial" w:hAnsi="Arial" w:cs="Arial"/>
          <w:sz w:val="24"/>
          <w:szCs w:val="24"/>
        </w:rPr>
      </w:pPr>
    </w:p>
    <w:p w:rsidR="00A36767" w:rsidRDefault="009D29DD" w:rsidP="009D29DD">
      <w:pPr>
        <w:pStyle w:val="ListParagraph"/>
        <w:numPr>
          <w:ilvl w:val="0"/>
          <w:numId w:val="35"/>
        </w:numPr>
        <w:spacing w:after="0" w:line="360" w:lineRule="auto"/>
        <w:ind w:left="0" w:firstLine="0"/>
        <w:jc w:val="both"/>
        <w:rPr>
          <w:rFonts w:ascii="Arial" w:hAnsi="Arial" w:cs="Arial"/>
          <w:sz w:val="24"/>
          <w:szCs w:val="24"/>
        </w:rPr>
      </w:pPr>
      <w:r>
        <w:rPr>
          <w:rFonts w:ascii="Arial" w:hAnsi="Arial" w:cs="Arial"/>
          <w:sz w:val="24"/>
          <w:szCs w:val="24"/>
        </w:rPr>
        <w:t>This is unfortunately as far as the consensus goes.</w:t>
      </w:r>
    </w:p>
    <w:p w:rsidR="00036DE9" w:rsidRDefault="00036DE9" w:rsidP="00036DE9">
      <w:pPr>
        <w:pStyle w:val="ListParagraph"/>
        <w:spacing w:after="0" w:line="360" w:lineRule="auto"/>
        <w:ind w:left="0"/>
        <w:jc w:val="both"/>
        <w:rPr>
          <w:rFonts w:ascii="Arial" w:hAnsi="Arial" w:cs="Arial"/>
          <w:sz w:val="24"/>
          <w:szCs w:val="24"/>
        </w:rPr>
      </w:pPr>
    </w:p>
    <w:p w:rsidR="00F02D3A" w:rsidRPr="00154F8C" w:rsidRDefault="00F02D3A" w:rsidP="00154F8C">
      <w:pPr>
        <w:pStyle w:val="ListParagraph"/>
        <w:spacing w:after="0" w:line="360" w:lineRule="auto"/>
        <w:ind w:left="0"/>
        <w:jc w:val="both"/>
        <w:rPr>
          <w:rFonts w:ascii="Arial" w:hAnsi="Arial" w:cs="Arial"/>
          <w:sz w:val="24"/>
          <w:szCs w:val="24"/>
          <w:u w:val="single"/>
        </w:rPr>
      </w:pPr>
      <w:r w:rsidRPr="00154F8C">
        <w:rPr>
          <w:rFonts w:ascii="Arial" w:hAnsi="Arial" w:cs="Arial"/>
          <w:sz w:val="24"/>
          <w:szCs w:val="24"/>
          <w:u w:val="single"/>
        </w:rPr>
        <w:t>Issue</w:t>
      </w:r>
      <w:r w:rsidR="00FD7483">
        <w:rPr>
          <w:rFonts w:ascii="Arial" w:hAnsi="Arial" w:cs="Arial"/>
          <w:sz w:val="24"/>
          <w:szCs w:val="24"/>
          <w:u w:val="single"/>
        </w:rPr>
        <w:t>s</w:t>
      </w:r>
      <w:r w:rsidRPr="00154F8C">
        <w:rPr>
          <w:rFonts w:ascii="Arial" w:hAnsi="Arial" w:cs="Arial"/>
          <w:sz w:val="24"/>
          <w:szCs w:val="24"/>
          <w:u w:val="single"/>
        </w:rPr>
        <w:t xml:space="preserve"> </w:t>
      </w:r>
      <w:r w:rsidR="0035276E">
        <w:rPr>
          <w:rFonts w:ascii="Arial" w:hAnsi="Arial" w:cs="Arial"/>
          <w:sz w:val="24"/>
          <w:szCs w:val="24"/>
          <w:u w:val="single"/>
        </w:rPr>
        <w:t xml:space="preserve">for </w:t>
      </w:r>
      <w:r w:rsidRPr="00154F8C">
        <w:rPr>
          <w:rFonts w:ascii="Arial" w:hAnsi="Arial" w:cs="Arial"/>
          <w:sz w:val="24"/>
          <w:szCs w:val="24"/>
          <w:u w:val="single"/>
        </w:rPr>
        <w:t>determination</w:t>
      </w:r>
    </w:p>
    <w:p w:rsidR="00F02D3A" w:rsidRPr="00F02D3A" w:rsidRDefault="00F02D3A" w:rsidP="001E521F">
      <w:pPr>
        <w:pStyle w:val="Header"/>
        <w:tabs>
          <w:tab w:val="clear" w:pos="4680"/>
          <w:tab w:val="clear" w:pos="9360"/>
        </w:tabs>
        <w:spacing w:after="160" w:line="259" w:lineRule="auto"/>
      </w:pPr>
    </w:p>
    <w:p w:rsidR="00F02D3A" w:rsidRDefault="00F02D3A" w:rsidP="00036DE9">
      <w:pPr>
        <w:pStyle w:val="ListParagraph"/>
        <w:numPr>
          <w:ilvl w:val="0"/>
          <w:numId w:val="43"/>
        </w:numPr>
        <w:spacing w:after="0" w:line="360" w:lineRule="auto"/>
        <w:ind w:left="0" w:firstLine="0"/>
        <w:jc w:val="both"/>
        <w:rPr>
          <w:rFonts w:ascii="Arial" w:hAnsi="Arial" w:cs="Arial"/>
          <w:sz w:val="24"/>
          <w:szCs w:val="24"/>
        </w:rPr>
      </w:pPr>
      <w:r>
        <w:rPr>
          <w:rFonts w:ascii="Arial" w:hAnsi="Arial" w:cs="Arial"/>
          <w:sz w:val="24"/>
          <w:szCs w:val="24"/>
        </w:rPr>
        <w:t xml:space="preserve">The issues for the determination by this court </w:t>
      </w:r>
      <w:r w:rsidR="009D29DD">
        <w:rPr>
          <w:rFonts w:ascii="Arial" w:hAnsi="Arial" w:cs="Arial"/>
          <w:sz w:val="24"/>
          <w:szCs w:val="24"/>
        </w:rPr>
        <w:t>is therefore</w:t>
      </w:r>
      <w:r>
        <w:rPr>
          <w:rFonts w:ascii="Arial" w:hAnsi="Arial" w:cs="Arial"/>
          <w:sz w:val="24"/>
          <w:szCs w:val="24"/>
        </w:rPr>
        <w:t xml:space="preserve">: </w:t>
      </w:r>
    </w:p>
    <w:p w:rsidR="00F02D3A" w:rsidRDefault="00F02D3A" w:rsidP="00F02D3A">
      <w:pPr>
        <w:pStyle w:val="ListParagraph"/>
        <w:spacing w:after="0" w:line="360" w:lineRule="auto"/>
        <w:ind w:left="0"/>
        <w:jc w:val="both"/>
        <w:rPr>
          <w:rFonts w:ascii="Arial" w:hAnsi="Arial" w:cs="Arial"/>
          <w:sz w:val="24"/>
          <w:szCs w:val="24"/>
        </w:rPr>
      </w:pPr>
    </w:p>
    <w:p w:rsidR="00F02D3A" w:rsidRDefault="00F02D3A" w:rsidP="00F02D3A">
      <w:pPr>
        <w:pStyle w:val="ListParagraph"/>
        <w:numPr>
          <w:ilvl w:val="0"/>
          <w:numId w:val="5"/>
        </w:numPr>
        <w:spacing w:after="0" w:line="360" w:lineRule="auto"/>
        <w:ind w:left="0" w:firstLine="0"/>
        <w:jc w:val="both"/>
        <w:rPr>
          <w:rFonts w:ascii="Arial" w:hAnsi="Arial" w:cs="Arial"/>
          <w:sz w:val="24"/>
          <w:szCs w:val="24"/>
        </w:rPr>
      </w:pPr>
      <w:r w:rsidRPr="00F02D3A">
        <w:rPr>
          <w:rFonts w:ascii="Arial" w:hAnsi="Arial" w:cs="Arial"/>
          <w:sz w:val="24"/>
          <w:szCs w:val="24"/>
        </w:rPr>
        <w:t xml:space="preserve">Whether the definition of </w:t>
      </w:r>
      <w:r w:rsidR="000E506C">
        <w:rPr>
          <w:rFonts w:ascii="Arial" w:hAnsi="Arial" w:cs="Arial"/>
          <w:sz w:val="24"/>
          <w:szCs w:val="24"/>
        </w:rPr>
        <w:t>‘</w:t>
      </w:r>
      <w:r w:rsidRPr="00F02D3A">
        <w:rPr>
          <w:rFonts w:ascii="Arial" w:hAnsi="Arial" w:cs="Arial"/>
          <w:sz w:val="24"/>
          <w:szCs w:val="24"/>
        </w:rPr>
        <w:t>proceeds of unlawful activities</w:t>
      </w:r>
      <w:r w:rsidR="000E506C">
        <w:rPr>
          <w:rFonts w:ascii="Arial" w:hAnsi="Arial" w:cs="Arial"/>
          <w:sz w:val="24"/>
          <w:szCs w:val="24"/>
        </w:rPr>
        <w:t>’</w:t>
      </w:r>
      <w:r w:rsidRPr="00F02D3A">
        <w:rPr>
          <w:rFonts w:ascii="Arial" w:hAnsi="Arial" w:cs="Arial"/>
          <w:sz w:val="24"/>
          <w:szCs w:val="24"/>
        </w:rPr>
        <w:t xml:space="preserve"> in s 1 of POCA is unconstitutional and invalid to the extent that it includes the phrase </w:t>
      </w:r>
      <w:r w:rsidR="009C0534">
        <w:rPr>
          <w:rFonts w:ascii="Arial" w:hAnsi="Arial" w:cs="Arial"/>
          <w:sz w:val="24"/>
          <w:szCs w:val="24"/>
        </w:rPr>
        <w:t>‘</w:t>
      </w:r>
      <w:r w:rsidRPr="00F02D3A">
        <w:rPr>
          <w:rFonts w:ascii="Arial" w:hAnsi="Arial" w:cs="Arial"/>
          <w:sz w:val="24"/>
          <w:szCs w:val="24"/>
        </w:rPr>
        <w:t xml:space="preserve">and includes property which is mingled with </w:t>
      </w:r>
      <w:r w:rsidR="00281218">
        <w:rPr>
          <w:rFonts w:ascii="Arial" w:hAnsi="Arial" w:cs="Arial"/>
          <w:sz w:val="24"/>
          <w:szCs w:val="24"/>
        </w:rPr>
        <w:t xml:space="preserve">the </w:t>
      </w:r>
      <w:r w:rsidRPr="00F02D3A">
        <w:rPr>
          <w:rFonts w:ascii="Arial" w:hAnsi="Arial" w:cs="Arial"/>
          <w:sz w:val="24"/>
          <w:szCs w:val="24"/>
        </w:rPr>
        <w:t>property that is proceeds of unlawful activity</w:t>
      </w:r>
      <w:r w:rsidR="009C0534">
        <w:rPr>
          <w:rFonts w:ascii="Arial" w:hAnsi="Arial" w:cs="Arial"/>
          <w:sz w:val="24"/>
          <w:szCs w:val="24"/>
        </w:rPr>
        <w:t>’</w:t>
      </w:r>
      <w:r w:rsidRPr="00F02D3A">
        <w:rPr>
          <w:rFonts w:ascii="Arial" w:hAnsi="Arial" w:cs="Arial"/>
          <w:sz w:val="24"/>
          <w:szCs w:val="24"/>
        </w:rPr>
        <w:t>, and whether that phrase should be struck from the definition; alternatively,</w:t>
      </w:r>
    </w:p>
    <w:p w:rsidR="00F02D3A" w:rsidRPr="00D92BED" w:rsidRDefault="00F02D3A" w:rsidP="00F02D3A">
      <w:pPr>
        <w:pStyle w:val="ListParagraph"/>
        <w:numPr>
          <w:ilvl w:val="0"/>
          <w:numId w:val="5"/>
        </w:numPr>
        <w:spacing w:after="0" w:line="360" w:lineRule="auto"/>
        <w:ind w:left="0" w:firstLine="0"/>
        <w:jc w:val="both"/>
        <w:rPr>
          <w:rFonts w:ascii="Arial" w:hAnsi="Arial" w:cs="Arial"/>
          <w:sz w:val="24"/>
          <w:szCs w:val="24"/>
        </w:rPr>
      </w:pPr>
      <w:r w:rsidRPr="00F02D3A">
        <w:rPr>
          <w:rFonts w:ascii="Arial" w:hAnsi="Arial" w:cs="Arial"/>
          <w:sz w:val="24"/>
          <w:szCs w:val="24"/>
        </w:rPr>
        <w:t xml:space="preserve"> Whether this Court should declare that the definition of proceeds of unlawful activities </w:t>
      </w:r>
      <w:r w:rsidR="009C0534">
        <w:rPr>
          <w:rFonts w:ascii="Arial" w:hAnsi="Arial" w:cs="Arial"/>
          <w:sz w:val="24"/>
          <w:szCs w:val="24"/>
        </w:rPr>
        <w:t>‘</w:t>
      </w:r>
      <w:r w:rsidRPr="00F02D3A">
        <w:rPr>
          <w:rFonts w:ascii="Arial" w:hAnsi="Arial" w:cs="Arial"/>
          <w:sz w:val="24"/>
          <w:szCs w:val="24"/>
        </w:rPr>
        <w:t>means</w:t>
      </w:r>
      <w:r w:rsidR="009C0534">
        <w:rPr>
          <w:rFonts w:ascii="Arial" w:hAnsi="Arial" w:cs="Arial"/>
          <w:sz w:val="24"/>
          <w:szCs w:val="24"/>
        </w:rPr>
        <w:t>’</w:t>
      </w:r>
      <w:r w:rsidRPr="00F02D3A">
        <w:rPr>
          <w:rFonts w:ascii="Arial" w:hAnsi="Arial" w:cs="Arial"/>
          <w:sz w:val="24"/>
          <w:szCs w:val="24"/>
        </w:rPr>
        <w:t xml:space="preserve"> that it includes property which is mingled with </w:t>
      </w:r>
      <w:r w:rsidR="00281218">
        <w:rPr>
          <w:rFonts w:ascii="Arial" w:hAnsi="Arial" w:cs="Arial"/>
          <w:sz w:val="24"/>
          <w:szCs w:val="24"/>
        </w:rPr>
        <w:t xml:space="preserve">the </w:t>
      </w:r>
      <w:r w:rsidRPr="00F02D3A">
        <w:rPr>
          <w:rFonts w:ascii="Arial" w:hAnsi="Arial" w:cs="Arial"/>
          <w:sz w:val="24"/>
          <w:szCs w:val="24"/>
        </w:rPr>
        <w:t xml:space="preserve">property that is proceeds of unlawful activity </w:t>
      </w:r>
      <w:r w:rsidR="007C4B8C">
        <w:rPr>
          <w:rFonts w:ascii="Arial" w:hAnsi="Arial" w:cs="Arial"/>
          <w:sz w:val="24"/>
          <w:szCs w:val="24"/>
        </w:rPr>
        <w:t>‘</w:t>
      </w:r>
      <w:r w:rsidRPr="00F02D3A">
        <w:rPr>
          <w:rFonts w:ascii="Arial" w:hAnsi="Arial" w:cs="Arial"/>
          <w:sz w:val="24"/>
          <w:szCs w:val="24"/>
        </w:rPr>
        <w:t>but not exceeding the assessed value of the proceeds of the unlawful activity before mingling</w:t>
      </w:r>
      <w:r w:rsidR="007C4B8C">
        <w:rPr>
          <w:rFonts w:ascii="Arial" w:hAnsi="Arial" w:cs="Arial"/>
          <w:sz w:val="24"/>
          <w:szCs w:val="24"/>
        </w:rPr>
        <w:t>’</w:t>
      </w:r>
      <w:r>
        <w:t>.</w:t>
      </w:r>
    </w:p>
    <w:p w:rsidR="00AD7932" w:rsidRDefault="00AD7932" w:rsidP="00D92BED">
      <w:pPr>
        <w:spacing w:after="0" w:line="360" w:lineRule="auto"/>
        <w:jc w:val="both"/>
        <w:rPr>
          <w:rFonts w:ascii="Arial" w:hAnsi="Arial" w:cs="Arial"/>
          <w:sz w:val="24"/>
          <w:szCs w:val="24"/>
        </w:rPr>
      </w:pPr>
    </w:p>
    <w:p w:rsidR="00D92BED" w:rsidRDefault="00AD7932" w:rsidP="00AD7932">
      <w:pPr>
        <w:pStyle w:val="Heading1"/>
        <w:spacing w:after="0"/>
      </w:pPr>
      <w:r w:rsidRPr="00AD7932">
        <w:t>The onus</w:t>
      </w:r>
    </w:p>
    <w:p w:rsidR="00AD7932" w:rsidRPr="00AD7932" w:rsidRDefault="00AD7932" w:rsidP="00AD7932"/>
    <w:p w:rsidR="00EA3F08" w:rsidRDefault="00CC4763" w:rsidP="00036DE9">
      <w:pPr>
        <w:pStyle w:val="ListParagraph"/>
        <w:numPr>
          <w:ilvl w:val="0"/>
          <w:numId w:val="44"/>
        </w:numPr>
        <w:spacing w:after="0" w:line="360" w:lineRule="auto"/>
        <w:ind w:left="0" w:firstLine="0"/>
        <w:jc w:val="both"/>
        <w:rPr>
          <w:rFonts w:ascii="Arial" w:hAnsi="Arial" w:cs="Arial"/>
          <w:sz w:val="24"/>
          <w:szCs w:val="24"/>
        </w:rPr>
      </w:pPr>
      <w:r>
        <w:rPr>
          <w:rFonts w:ascii="Arial" w:hAnsi="Arial" w:cs="Arial"/>
          <w:sz w:val="24"/>
          <w:szCs w:val="24"/>
        </w:rPr>
        <w:t xml:space="preserve">The </w:t>
      </w:r>
      <w:r w:rsidR="00EA3F08">
        <w:rPr>
          <w:rFonts w:ascii="Arial" w:hAnsi="Arial" w:cs="Arial"/>
          <w:sz w:val="24"/>
          <w:szCs w:val="24"/>
        </w:rPr>
        <w:t xml:space="preserve">incidence of the onus in matters where a constitutional challenge is mounted against a statutory provision is clearly set out by Strydom AJA in </w:t>
      </w:r>
      <w:r w:rsidR="00EA3F08" w:rsidRPr="00EA3F08">
        <w:rPr>
          <w:rFonts w:ascii="Arial" w:hAnsi="Arial" w:cs="Arial"/>
          <w:i/>
          <w:sz w:val="24"/>
          <w:szCs w:val="24"/>
        </w:rPr>
        <w:t>Alexander v Minister of Justice and Others</w:t>
      </w:r>
      <w:r w:rsidR="00E95FBD">
        <w:rPr>
          <w:rFonts w:ascii="Arial" w:hAnsi="Arial" w:cs="Arial"/>
          <w:i/>
          <w:sz w:val="24"/>
          <w:szCs w:val="24"/>
        </w:rPr>
        <w:t>.</w:t>
      </w:r>
      <w:r w:rsidR="00EA3F08">
        <w:rPr>
          <w:rStyle w:val="FootnoteReference"/>
          <w:rFonts w:ascii="Arial" w:hAnsi="Arial" w:cs="Arial"/>
          <w:i/>
          <w:sz w:val="24"/>
          <w:szCs w:val="24"/>
        </w:rPr>
        <w:footnoteReference w:id="16"/>
      </w:r>
      <w:r w:rsidR="00EA3F08">
        <w:rPr>
          <w:rFonts w:ascii="Arial" w:hAnsi="Arial" w:cs="Arial"/>
          <w:sz w:val="24"/>
          <w:szCs w:val="24"/>
        </w:rPr>
        <w:t xml:space="preserve"> </w:t>
      </w:r>
      <w:r w:rsidR="00E95FBD">
        <w:rPr>
          <w:rFonts w:ascii="Arial" w:hAnsi="Arial" w:cs="Arial"/>
          <w:sz w:val="24"/>
          <w:szCs w:val="24"/>
        </w:rPr>
        <w:t>A</w:t>
      </w:r>
      <w:r w:rsidR="00EA3F08">
        <w:rPr>
          <w:rFonts w:ascii="Arial" w:hAnsi="Arial" w:cs="Arial"/>
          <w:sz w:val="24"/>
          <w:szCs w:val="24"/>
        </w:rPr>
        <w:t xml:space="preserve"> person complaining that a constitutional freedom of his or her has been breached </w:t>
      </w:r>
      <w:r w:rsidR="00C72991">
        <w:rPr>
          <w:rFonts w:ascii="Arial" w:hAnsi="Arial" w:cs="Arial"/>
          <w:sz w:val="24"/>
          <w:szCs w:val="24"/>
        </w:rPr>
        <w:t>must pro</w:t>
      </w:r>
      <w:r w:rsidR="00A61B59">
        <w:rPr>
          <w:rFonts w:ascii="Arial" w:hAnsi="Arial" w:cs="Arial"/>
          <w:sz w:val="24"/>
          <w:szCs w:val="24"/>
        </w:rPr>
        <w:t xml:space="preserve">ve </w:t>
      </w:r>
      <w:r w:rsidR="00C72991">
        <w:rPr>
          <w:rFonts w:ascii="Arial" w:hAnsi="Arial" w:cs="Arial"/>
          <w:sz w:val="24"/>
          <w:szCs w:val="24"/>
        </w:rPr>
        <w:t xml:space="preserve">such breach. </w:t>
      </w:r>
      <w:r w:rsidR="00C72991" w:rsidRPr="00EA3F08">
        <w:rPr>
          <w:rFonts w:ascii="Arial" w:hAnsi="Arial" w:cs="Arial"/>
          <w:sz w:val="24"/>
          <w:szCs w:val="24"/>
        </w:rPr>
        <w:t xml:space="preserve">Once this onus is discharged it is for the party relying on a permissible limitation to prove that the limitation falls </w:t>
      </w:r>
      <w:r w:rsidR="00C72991">
        <w:rPr>
          <w:rFonts w:ascii="Arial" w:hAnsi="Arial" w:cs="Arial"/>
          <w:sz w:val="24"/>
          <w:szCs w:val="24"/>
        </w:rPr>
        <w:t xml:space="preserve">within the scope of what is </w:t>
      </w:r>
      <w:r w:rsidR="00C72991" w:rsidRPr="00EA3F08">
        <w:rPr>
          <w:rFonts w:ascii="Arial" w:hAnsi="Arial" w:cs="Arial"/>
          <w:sz w:val="24"/>
          <w:szCs w:val="24"/>
        </w:rPr>
        <w:t>permitted in terms of the Constitution</w:t>
      </w:r>
      <w:r w:rsidR="00C72991">
        <w:rPr>
          <w:rFonts w:ascii="Arial" w:hAnsi="Arial" w:cs="Arial"/>
          <w:sz w:val="24"/>
          <w:szCs w:val="24"/>
        </w:rPr>
        <w:t xml:space="preserve">. Strydom AJA in this regard followed what the court held in </w:t>
      </w:r>
      <w:r w:rsidR="00C72991" w:rsidRPr="00C72991">
        <w:rPr>
          <w:rFonts w:ascii="Arial" w:hAnsi="Arial" w:cs="Arial"/>
          <w:i/>
          <w:sz w:val="24"/>
          <w:szCs w:val="24"/>
        </w:rPr>
        <w:t>Africa Personnel Services (Pty) Ltd v Government of the Republic of Namibia</w:t>
      </w:r>
      <w:r w:rsidR="00FC69F9">
        <w:rPr>
          <w:rFonts w:ascii="Arial" w:hAnsi="Arial" w:cs="Arial"/>
          <w:i/>
          <w:sz w:val="24"/>
          <w:szCs w:val="24"/>
        </w:rPr>
        <w:t>.</w:t>
      </w:r>
      <w:r w:rsidR="00AF1B80">
        <w:rPr>
          <w:rStyle w:val="FootnoteReference"/>
          <w:rFonts w:ascii="Arial" w:hAnsi="Arial" w:cs="Arial"/>
          <w:i/>
          <w:sz w:val="24"/>
          <w:szCs w:val="24"/>
        </w:rPr>
        <w:footnoteReference w:id="17"/>
      </w:r>
    </w:p>
    <w:p w:rsidR="00C72991" w:rsidRDefault="00C72991" w:rsidP="00C72991">
      <w:pPr>
        <w:pStyle w:val="ListParagraph"/>
        <w:spacing w:after="0" w:line="360" w:lineRule="auto"/>
        <w:ind w:left="0"/>
        <w:jc w:val="both"/>
        <w:rPr>
          <w:rFonts w:ascii="Arial" w:hAnsi="Arial" w:cs="Arial"/>
          <w:sz w:val="24"/>
          <w:szCs w:val="24"/>
        </w:rPr>
      </w:pPr>
    </w:p>
    <w:p w:rsidR="00D92BED" w:rsidRDefault="00FE7C2C" w:rsidP="00D92BED">
      <w:pPr>
        <w:pStyle w:val="Heading1"/>
        <w:spacing w:after="0"/>
      </w:pPr>
      <w:r>
        <w:lastRenderedPageBreak/>
        <w:t xml:space="preserve">The legal </w:t>
      </w:r>
      <w:r w:rsidR="00045858">
        <w:t>framework</w:t>
      </w:r>
    </w:p>
    <w:p w:rsidR="00FE7C2C" w:rsidRDefault="00FE7C2C" w:rsidP="00FE7C2C"/>
    <w:p w:rsidR="00045858" w:rsidRPr="00045858" w:rsidRDefault="002C5E07" w:rsidP="00036DE9">
      <w:pPr>
        <w:pStyle w:val="ListParagraph"/>
        <w:numPr>
          <w:ilvl w:val="0"/>
          <w:numId w:val="45"/>
        </w:numPr>
        <w:spacing w:after="0" w:line="360" w:lineRule="auto"/>
        <w:ind w:left="0" w:firstLine="0"/>
        <w:jc w:val="both"/>
      </w:pPr>
      <w:r>
        <w:rPr>
          <w:rFonts w:ascii="Arial" w:hAnsi="Arial" w:cs="Arial"/>
          <w:sz w:val="24"/>
          <w:szCs w:val="24"/>
        </w:rPr>
        <w:t>For purposes of this application</w:t>
      </w:r>
      <w:r w:rsidR="005549D6">
        <w:rPr>
          <w:rFonts w:ascii="Arial" w:hAnsi="Arial" w:cs="Arial"/>
          <w:sz w:val="24"/>
          <w:szCs w:val="24"/>
        </w:rPr>
        <w:t>,</w:t>
      </w:r>
      <w:r>
        <w:rPr>
          <w:rFonts w:ascii="Arial" w:hAnsi="Arial" w:cs="Arial"/>
          <w:sz w:val="24"/>
          <w:szCs w:val="24"/>
        </w:rPr>
        <w:t xml:space="preserve"> </w:t>
      </w:r>
      <w:r w:rsidR="005549D6">
        <w:rPr>
          <w:rFonts w:ascii="Arial" w:hAnsi="Arial" w:cs="Arial"/>
          <w:sz w:val="24"/>
          <w:szCs w:val="24"/>
        </w:rPr>
        <w:t xml:space="preserve">it is necessary to refer to </w:t>
      </w:r>
      <w:r>
        <w:rPr>
          <w:rFonts w:ascii="Arial" w:hAnsi="Arial" w:cs="Arial"/>
          <w:sz w:val="24"/>
          <w:szCs w:val="24"/>
        </w:rPr>
        <w:t>the relevant provisions of the C</w:t>
      </w:r>
      <w:r w:rsidR="005549D6">
        <w:rPr>
          <w:rFonts w:ascii="Arial" w:hAnsi="Arial" w:cs="Arial"/>
          <w:sz w:val="24"/>
          <w:szCs w:val="24"/>
        </w:rPr>
        <w:t xml:space="preserve">onstitution, which is contended to be breached or offended by the definition </w:t>
      </w:r>
      <w:r w:rsidR="00045858">
        <w:rPr>
          <w:rFonts w:ascii="Arial" w:hAnsi="Arial" w:cs="Arial"/>
          <w:sz w:val="24"/>
          <w:szCs w:val="24"/>
        </w:rPr>
        <w:t>of ‘proceeds</w:t>
      </w:r>
      <w:r w:rsidR="005549D6">
        <w:rPr>
          <w:rFonts w:ascii="Arial" w:hAnsi="Arial" w:cs="Arial"/>
          <w:sz w:val="24"/>
          <w:szCs w:val="24"/>
        </w:rPr>
        <w:t xml:space="preserve"> of unlawful activities’ as set out in the Act. These are Articles 8, 16 and 21</w:t>
      </w:r>
      <w:r w:rsidR="00045858">
        <w:rPr>
          <w:rFonts w:ascii="Arial" w:hAnsi="Arial" w:cs="Arial"/>
          <w:sz w:val="24"/>
          <w:szCs w:val="24"/>
        </w:rPr>
        <w:t>(1)(</w:t>
      </w:r>
      <w:r w:rsidR="00045858" w:rsidRPr="00045858">
        <w:rPr>
          <w:rFonts w:ascii="Arial" w:hAnsi="Arial" w:cs="Arial"/>
          <w:i/>
          <w:sz w:val="24"/>
          <w:szCs w:val="24"/>
        </w:rPr>
        <w:t>j</w:t>
      </w:r>
      <w:r w:rsidR="00045858">
        <w:rPr>
          <w:rFonts w:ascii="Arial" w:hAnsi="Arial" w:cs="Arial"/>
          <w:sz w:val="24"/>
          <w:szCs w:val="24"/>
        </w:rPr>
        <w:t>)</w:t>
      </w:r>
      <w:r w:rsidR="00793804">
        <w:rPr>
          <w:rFonts w:ascii="Arial" w:hAnsi="Arial" w:cs="Arial"/>
          <w:sz w:val="24"/>
          <w:szCs w:val="24"/>
        </w:rPr>
        <w:t xml:space="preserve"> of the Constitution</w:t>
      </w:r>
      <w:r w:rsidR="00045858">
        <w:rPr>
          <w:rFonts w:ascii="Arial" w:hAnsi="Arial" w:cs="Arial"/>
          <w:sz w:val="24"/>
          <w:szCs w:val="24"/>
        </w:rPr>
        <w:t>.</w:t>
      </w:r>
    </w:p>
    <w:p w:rsidR="00045858" w:rsidRPr="00045858" w:rsidRDefault="00045858" w:rsidP="00045858">
      <w:pPr>
        <w:pStyle w:val="ListParagraph"/>
        <w:spacing w:after="0" w:line="360" w:lineRule="auto"/>
        <w:ind w:left="0"/>
        <w:jc w:val="both"/>
      </w:pPr>
    </w:p>
    <w:p w:rsidR="00FE7C2C" w:rsidRPr="00084D7B" w:rsidRDefault="00045858" w:rsidP="00036DE9">
      <w:pPr>
        <w:pStyle w:val="ListParagraph"/>
        <w:numPr>
          <w:ilvl w:val="0"/>
          <w:numId w:val="45"/>
        </w:numPr>
        <w:spacing w:after="0" w:line="360" w:lineRule="auto"/>
        <w:ind w:left="0" w:firstLine="0"/>
        <w:jc w:val="both"/>
      </w:pPr>
      <w:r>
        <w:rPr>
          <w:rFonts w:ascii="Arial" w:hAnsi="Arial" w:cs="Arial"/>
          <w:sz w:val="24"/>
          <w:szCs w:val="24"/>
        </w:rPr>
        <w:t>Article 8</w:t>
      </w:r>
      <w:r w:rsidR="005549D6">
        <w:rPr>
          <w:rFonts w:ascii="Arial" w:hAnsi="Arial" w:cs="Arial"/>
          <w:sz w:val="24"/>
          <w:szCs w:val="24"/>
        </w:rPr>
        <w:t xml:space="preserve"> read</w:t>
      </w:r>
      <w:r w:rsidR="00793804">
        <w:rPr>
          <w:rFonts w:ascii="Arial" w:hAnsi="Arial" w:cs="Arial"/>
          <w:sz w:val="24"/>
          <w:szCs w:val="24"/>
        </w:rPr>
        <w:t>s</w:t>
      </w:r>
      <w:r w:rsidR="005549D6">
        <w:rPr>
          <w:rFonts w:ascii="Arial" w:hAnsi="Arial" w:cs="Arial"/>
          <w:sz w:val="24"/>
          <w:szCs w:val="24"/>
        </w:rPr>
        <w:t xml:space="preserve"> as follows:</w:t>
      </w:r>
    </w:p>
    <w:p w:rsidR="005549D6" w:rsidRDefault="005549D6" w:rsidP="005549D6">
      <w:pPr>
        <w:pStyle w:val="ListParagraph"/>
        <w:spacing w:after="0" w:line="360" w:lineRule="auto"/>
        <w:ind w:left="0"/>
        <w:jc w:val="both"/>
        <w:rPr>
          <w:rFonts w:ascii="Arial" w:hAnsi="Arial" w:cs="Arial"/>
        </w:rPr>
      </w:pPr>
    </w:p>
    <w:p w:rsidR="005549D6" w:rsidRPr="005549D6" w:rsidRDefault="005549D6" w:rsidP="00045858">
      <w:pPr>
        <w:spacing w:after="0" w:line="360" w:lineRule="auto"/>
        <w:ind w:firstLine="720"/>
        <w:jc w:val="both"/>
        <w:rPr>
          <w:rFonts w:ascii="Arial" w:hAnsi="Arial" w:cs="Arial"/>
        </w:rPr>
      </w:pPr>
      <w:r>
        <w:rPr>
          <w:rFonts w:ascii="Arial" w:hAnsi="Arial" w:cs="Arial"/>
        </w:rPr>
        <w:t>‘</w:t>
      </w:r>
      <w:r w:rsidRPr="005549D6">
        <w:rPr>
          <w:rFonts w:ascii="Arial" w:hAnsi="Arial" w:cs="Arial"/>
        </w:rPr>
        <w:t>Article 8</w:t>
      </w:r>
      <w:r>
        <w:rPr>
          <w:rFonts w:ascii="Arial" w:hAnsi="Arial" w:cs="Arial"/>
        </w:rPr>
        <w:t xml:space="preserve"> </w:t>
      </w:r>
      <w:r w:rsidRPr="005549D6">
        <w:rPr>
          <w:rFonts w:ascii="Arial" w:hAnsi="Arial" w:cs="Arial"/>
        </w:rPr>
        <w:t>Respect for Human Dignity</w:t>
      </w:r>
    </w:p>
    <w:p w:rsidR="005549D6" w:rsidRPr="005549D6" w:rsidRDefault="005549D6" w:rsidP="005549D6">
      <w:pPr>
        <w:spacing w:after="0" w:line="360" w:lineRule="auto"/>
        <w:jc w:val="both"/>
        <w:rPr>
          <w:rFonts w:ascii="Arial" w:hAnsi="Arial" w:cs="Arial"/>
        </w:rPr>
      </w:pPr>
      <w:r w:rsidRPr="005549D6">
        <w:rPr>
          <w:rFonts w:ascii="Arial" w:hAnsi="Arial" w:cs="Arial"/>
        </w:rPr>
        <w:t>(1) The dignity of all persons shall be inviolable.</w:t>
      </w:r>
    </w:p>
    <w:p w:rsidR="005549D6" w:rsidRPr="005549D6" w:rsidRDefault="005549D6" w:rsidP="00563854">
      <w:pPr>
        <w:pStyle w:val="BodyText"/>
        <w:spacing w:after="0"/>
      </w:pPr>
      <w:r w:rsidRPr="005549D6">
        <w:t>(2)(a) In any judicial proceedings or in other proceedings before any organ of the State, and during the enforcement of a penalty, respect for human dignity shall be guaranteed.</w:t>
      </w:r>
    </w:p>
    <w:p w:rsidR="00FE7C2C" w:rsidRDefault="005549D6" w:rsidP="005549D6">
      <w:pPr>
        <w:spacing w:after="0" w:line="360" w:lineRule="auto"/>
        <w:jc w:val="both"/>
        <w:rPr>
          <w:rFonts w:ascii="Arial" w:hAnsi="Arial" w:cs="Arial"/>
        </w:rPr>
      </w:pPr>
      <w:r w:rsidRPr="005549D6">
        <w:rPr>
          <w:rFonts w:ascii="Arial" w:hAnsi="Arial" w:cs="Arial"/>
        </w:rPr>
        <w:t>(b) No persons shall be subject to torture or to cruel, inhuman or degrading treatment or punishment.</w:t>
      </w:r>
      <w:r>
        <w:rPr>
          <w:rFonts w:ascii="Arial" w:hAnsi="Arial" w:cs="Arial"/>
        </w:rPr>
        <w:t>’</w:t>
      </w:r>
    </w:p>
    <w:p w:rsidR="00045858" w:rsidRDefault="00045858" w:rsidP="005549D6">
      <w:pPr>
        <w:spacing w:after="0" w:line="360" w:lineRule="auto"/>
        <w:jc w:val="both"/>
        <w:rPr>
          <w:rFonts w:ascii="Arial" w:hAnsi="Arial" w:cs="Arial"/>
        </w:rPr>
      </w:pPr>
    </w:p>
    <w:p w:rsidR="00045858" w:rsidRDefault="00045858"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Article 21, and more specifically Article 21(1)(</w:t>
      </w:r>
      <w:r w:rsidRPr="00045858">
        <w:rPr>
          <w:rFonts w:ascii="Arial" w:hAnsi="Arial" w:cs="Arial"/>
          <w:i/>
          <w:sz w:val="24"/>
          <w:szCs w:val="24"/>
        </w:rPr>
        <w:t>j</w:t>
      </w:r>
      <w:r>
        <w:rPr>
          <w:rFonts w:ascii="Arial" w:hAnsi="Arial" w:cs="Arial"/>
          <w:sz w:val="24"/>
          <w:szCs w:val="24"/>
        </w:rPr>
        <w:t>) reads as follows:</w:t>
      </w:r>
    </w:p>
    <w:p w:rsidR="00045858" w:rsidRDefault="00045858" w:rsidP="00045858">
      <w:pPr>
        <w:pStyle w:val="ListParagraph"/>
        <w:spacing w:after="0" w:line="360" w:lineRule="auto"/>
        <w:ind w:left="0"/>
        <w:jc w:val="both"/>
        <w:rPr>
          <w:rFonts w:ascii="Arial" w:hAnsi="Arial" w:cs="Arial"/>
          <w:sz w:val="24"/>
          <w:szCs w:val="24"/>
        </w:rPr>
      </w:pPr>
    </w:p>
    <w:p w:rsidR="00045858" w:rsidRPr="00045858" w:rsidRDefault="00045858" w:rsidP="00045858">
      <w:pPr>
        <w:pStyle w:val="ListParagraph"/>
        <w:spacing w:after="0" w:line="360" w:lineRule="auto"/>
        <w:ind w:left="0" w:firstLine="720"/>
        <w:jc w:val="both"/>
        <w:rPr>
          <w:rFonts w:ascii="Arial" w:hAnsi="Arial" w:cs="Arial"/>
        </w:rPr>
      </w:pPr>
      <w:r>
        <w:rPr>
          <w:rFonts w:ascii="Arial" w:hAnsi="Arial" w:cs="Arial"/>
        </w:rPr>
        <w:t>‘</w:t>
      </w:r>
      <w:r w:rsidRPr="00045858">
        <w:rPr>
          <w:rFonts w:ascii="Arial" w:hAnsi="Arial" w:cs="Arial"/>
        </w:rPr>
        <w:t>Article 21 Fundamental Freedoms</w:t>
      </w:r>
    </w:p>
    <w:p w:rsidR="00045858" w:rsidRDefault="00045858" w:rsidP="00045858">
      <w:pPr>
        <w:pStyle w:val="BodyText"/>
        <w:spacing w:after="0"/>
      </w:pPr>
      <w:r w:rsidRPr="00045858">
        <w:t>(1) All persons shall have the right to:</w:t>
      </w:r>
    </w:p>
    <w:p w:rsidR="00045858" w:rsidRDefault="00045858" w:rsidP="00045858">
      <w:pPr>
        <w:pStyle w:val="BodyText"/>
        <w:spacing w:after="0"/>
      </w:pPr>
      <w:r>
        <w:t>(a) –(i) not relevant</w:t>
      </w:r>
    </w:p>
    <w:p w:rsidR="00045858" w:rsidRPr="005549D6" w:rsidRDefault="00045858" w:rsidP="00045858">
      <w:pPr>
        <w:pStyle w:val="BodyText"/>
        <w:spacing w:after="0"/>
      </w:pPr>
      <w:r w:rsidRPr="005549D6">
        <w:t>(j)</w:t>
      </w:r>
      <w:r w:rsidRPr="005549D6">
        <w:tab/>
        <w:t>practise any profession, or carry on any occupation, trade or business.</w:t>
      </w:r>
      <w:r>
        <w:t>’</w:t>
      </w:r>
    </w:p>
    <w:p w:rsidR="00045858" w:rsidRDefault="00045858" w:rsidP="00045858">
      <w:pPr>
        <w:pStyle w:val="BodyText"/>
        <w:spacing w:after="0"/>
      </w:pPr>
    </w:p>
    <w:p w:rsidR="005549D6" w:rsidRPr="00045858" w:rsidRDefault="00045858"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Lastly, Article 16</w:t>
      </w:r>
      <w:r w:rsidR="005837DC">
        <w:rPr>
          <w:rFonts w:ascii="Arial" w:hAnsi="Arial" w:cs="Arial"/>
          <w:sz w:val="24"/>
          <w:szCs w:val="24"/>
        </w:rPr>
        <w:t>, which lies at the core of the application</w:t>
      </w:r>
      <w:r>
        <w:rPr>
          <w:rFonts w:ascii="Arial" w:hAnsi="Arial" w:cs="Arial"/>
          <w:sz w:val="24"/>
          <w:szCs w:val="24"/>
        </w:rPr>
        <w:t>, reads as follows:</w:t>
      </w:r>
    </w:p>
    <w:p w:rsidR="00045858" w:rsidRDefault="00045858" w:rsidP="005549D6">
      <w:pPr>
        <w:spacing w:after="0" w:line="360" w:lineRule="auto"/>
        <w:jc w:val="both"/>
        <w:rPr>
          <w:rFonts w:ascii="Arial" w:hAnsi="Arial" w:cs="Arial"/>
        </w:rPr>
      </w:pPr>
    </w:p>
    <w:p w:rsidR="005549D6" w:rsidRPr="005549D6" w:rsidRDefault="005549D6" w:rsidP="00045858">
      <w:pPr>
        <w:spacing w:after="0" w:line="360" w:lineRule="auto"/>
        <w:ind w:firstLine="720"/>
        <w:jc w:val="both"/>
        <w:rPr>
          <w:rFonts w:ascii="Arial" w:hAnsi="Arial" w:cs="Arial"/>
        </w:rPr>
      </w:pPr>
      <w:r w:rsidRPr="005549D6">
        <w:rPr>
          <w:rFonts w:ascii="Arial" w:hAnsi="Arial" w:cs="Arial"/>
        </w:rPr>
        <w:t>‘Article 16 Property</w:t>
      </w:r>
    </w:p>
    <w:p w:rsidR="005549D6" w:rsidRPr="005549D6" w:rsidRDefault="005549D6" w:rsidP="00045858">
      <w:pPr>
        <w:pStyle w:val="BodyText"/>
        <w:spacing w:after="0"/>
      </w:pPr>
      <w:r w:rsidRPr="005549D6">
        <w:t>(1) All persons shall have the right in any part of Namibia to acquire, own and dispose of all forms of immovable and movable property individually or in association with others and to bequeath their property to their heirs or legatees: provided that Parliament may by legislation prohibit or regulate as it deems expedient the right to acquire property by persons who are not Namibian citizens.</w:t>
      </w:r>
    </w:p>
    <w:p w:rsidR="005549D6" w:rsidRDefault="005549D6" w:rsidP="00045858">
      <w:pPr>
        <w:spacing w:after="0" w:line="360" w:lineRule="auto"/>
        <w:jc w:val="both"/>
        <w:rPr>
          <w:rFonts w:ascii="Arial" w:hAnsi="Arial" w:cs="Arial"/>
        </w:rPr>
      </w:pPr>
      <w:r w:rsidRPr="005549D6">
        <w:rPr>
          <w:rFonts w:ascii="Arial" w:hAnsi="Arial" w:cs="Arial"/>
        </w:rPr>
        <w:lastRenderedPageBreak/>
        <w:t>(2) The State or a competent body or organ authorised by law may expropriate property in the public interest subject to the payment of just compensation, in accordance with requirements and procedures to be determined by Act of Parliament.</w:t>
      </w:r>
      <w:r>
        <w:rPr>
          <w:rFonts w:ascii="Arial" w:hAnsi="Arial" w:cs="Arial"/>
        </w:rPr>
        <w:t>’</w:t>
      </w:r>
    </w:p>
    <w:p w:rsidR="005837DC" w:rsidRDefault="005837DC" w:rsidP="00045858">
      <w:pPr>
        <w:spacing w:after="0" w:line="360" w:lineRule="auto"/>
        <w:jc w:val="both"/>
        <w:rPr>
          <w:rFonts w:ascii="Arial" w:hAnsi="Arial" w:cs="Arial"/>
        </w:rPr>
      </w:pPr>
    </w:p>
    <w:p w:rsidR="00207F4F" w:rsidRPr="00883405" w:rsidRDefault="00207F4F" w:rsidP="00207F4F">
      <w:pPr>
        <w:pStyle w:val="Heading5"/>
        <w:rPr>
          <w:sz w:val="24"/>
          <w:szCs w:val="24"/>
        </w:rPr>
      </w:pPr>
      <w:r w:rsidRPr="00883405">
        <w:rPr>
          <w:sz w:val="24"/>
          <w:szCs w:val="24"/>
        </w:rPr>
        <w:t>Overview of POCA</w:t>
      </w:r>
    </w:p>
    <w:p w:rsidR="00207F4F" w:rsidRPr="00207F4F" w:rsidRDefault="00207F4F" w:rsidP="00045858">
      <w:pPr>
        <w:spacing w:after="0" w:line="360" w:lineRule="auto"/>
        <w:jc w:val="both"/>
        <w:rPr>
          <w:rFonts w:ascii="Arial" w:hAnsi="Arial" w:cs="Arial"/>
          <w:u w:val="single"/>
        </w:rPr>
      </w:pPr>
    </w:p>
    <w:p w:rsidR="00FE7C2C" w:rsidRDefault="005837DC" w:rsidP="00036DE9">
      <w:pPr>
        <w:pStyle w:val="ListParagraph"/>
        <w:numPr>
          <w:ilvl w:val="0"/>
          <w:numId w:val="45"/>
        </w:numPr>
        <w:spacing w:after="0" w:line="360" w:lineRule="auto"/>
        <w:ind w:left="0" w:firstLine="0"/>
        <w:jc w:val="both"/>
        <w:rPr>
          <w:rFonts w:ascii="Arial" w:hAnsi="Arial" w:cs="Arial"/>
          <w:sz w:val="24"/>
          <w:szCs w:val="24"/>
        </w:rPr>
      </w:pPr>
      <w:r w:rsidRPr="005837DC">
        <w:rPr>
          <w:rFonts w:ascii="Arial" w:hAnsi="Arial" w:cs="Arial"/>
          <w:sz w:val="24"/>
          <w:szCs w:val="24"/>
        </w:rPr>
        <w:t>The imp</w:t>
      </w:r>
      <w:r>
        <w:rPr>
          <w:rFonts w:ascii="Arial" w:hAnsi="Arial" w:cs="Arial"/>
          <w:sz w:val="24"/>
          <w:szCs w:val="24"/>
        </w:rPr>
        <w:t xml:space="preserve">ugned and related provisions of POCA are contained in the definitions of the Act, </w:t>
      </w:r>
      <w:r w:rsidR="00A15600">
        <w:rPr>
          <w:rFonts w:ascii="Arial" w:hAnsi="Arial" w:cs="Arial"/>
          <w:sz w:val="24"/>
          <w:szCs w:val="24"/>
        </w:rPr>
        <w:t>and</w:t>
      </w:r>
      <w:r w:rsidR="00516E6E">
        <w:rPr>
          <w:rFonts w:ascii="Arial" w:hAnsi="Arial" w:cs="Arial"/>
          <w:sz w:val="24"/>
          <w:szCs w:val="24"/>
        </w:rPr>
        <w:t xml:space="preserve"> in Chapter </w:t>
      </w:r>
      <w:r w:rsidR="005C40E6">
        <w:rPr>
          <w:rFonts w:ascii="Arial" w:hAnsi="Arial" w:cs="Arial"/>
          <w:sz w:val="24"/>
          <w:szCs w:val="24"/>
        </w:rPr>
        <w:t>6</w:t>
      </w:r>
      <w:r w:rsidR="00516E6E">
        <w:rPr>
          <w:rFonts w:ascii="Arial" w:hAnsi="Arial" w:cs="Arial"/>
          <w:sz w:val="24"/>
          <w:szCs w:val="24"/>
        </w:rPr>
        <w:t xml:space="preserve"> of POCA</w:t>
      </w:r>
      <w:r w:rsidR="005C40E6">
        <w:rPr>
          <w:rFonts w:ascii="Arial" w:hAnsi="Arial" w:cs="Arial"/>
          <w:sz w:val="24"/>
          <w:szCs w:val="24"/>
        </w:rPr>
        <w:t xml:space="preserve"> (civil forfeiture)</w:t>
      </w:r>
      <w:r w:rsidR="00516E6E">
        <w:rPr>
          <w:rFonts w:ascii="Arial" w:hAnsi="Arial" w:cs="Arial"/>
          <w:sz w:val="24"/>
          <w:szCs w:val="24"/>
        </w:rPr>
        <w:t xml:space="preserve">. </w:t>
      </w:r>
    </w:p>
    <w:p w:rsidR="00036DE9" w:rsidRDefault="00036DE9" w:rsidP="00036DE9">
      <w:pPr>
        <w:pStyle w:val="ListParagraph"/>
        <w:spacing w:after="0" w:line="360" w:lineRule="auto"/>
        <w:ind w:left="0"/>
        <w:jc w:val="both"/>
        <w:rPr>
          <w:rFonts w:ascii="Arial" w:hAnsi="Arial" w:cs="Arial"/>
          <w:sz w:val="24"/>
          <w:szCs w:val="24"/>
        </w:rPr>
      </w:pPr>
    </w:p>
    <w:p w:rsidR="005837DC" w:rsidRPr="00EE700C" w:rsidRDefault="00516E6E" w:rsidP="00036DE9">
      <w:pPr>
        <w:pStyle w:val="ListParagraph"/>
        <w:numPr>
          <w:ilvl w:val="0"/>
          <w:numId w:val="45"/>
        </w:numPr>
        <w:spacing w:after="0" w:line="360" w:lineRule="auto"/>
        <w:ind w:left="0" w:firstLine="0"/>
        <w:jc w:val="both"/>
      </w:pPr>
      <w:r w:rsidRPr="00516E6E">
        <w:rPr>
          <w:rFonts w:ascii="Arial" w:hAnsi="Arial" w:cs="Arial"/>
          <w:sz w:val="24"/>
          <w:szCs w:val="24"/>
        </w:rPr>
        <w:t xml:space="preserve">However, before </w:t>
      </w:r>
      <w:r w:rsidR="00EE700C">
        <w:rPr>
          <w:rFonts w:ascii="Arial" w:hAnsi="Arial" w:cs="Arial"/>
          <w:sz w:val="24"/>
          <w:szCs w:val="24"/>
        </w:rPr>
        <w:t>discussing</w:t>
      </w:r>
      <w:r w:rsidRPr="00516E6E">
        <w:rPr>
          <w:rFonts w:ascii="Arial" w:hAnsi="Arial" w:cs="Arial"/>
          <w:sz w:val="24"/>
          <w:szCs w:val="24"/>
        </w:rPr>
        <w:t xml:space="preserve"> those provisions it would be instructive to have an overview of </w:t>
      </w:r>
      <w:r>
        <w:rPr>
          <w:rFonts w:ascii="Arial" w:hAnsi="Arial" w:cs="Arial"/>
          <w:sz w:val="24"/>
          <w:szCs w:val="24"/>
        </w:rPr>
        <w:t xml:space="preserve">similar POCA provisions in other countries with a similar dispensation as Namibia. </w:t>
      </w:r>
      <w:r w:rsidR="00AA258C" w:rsidRPr="00AA258C">
        <w:rPr>
          <w:rFonts w:ascii="Arial" w:hAnsi="Arial" w:cs="Arial"/>
          <w:sz w:val="24"/>
          <w:szCs w:val="24"/>
        </w:rPr>
        <w:t>From a comparative law point of view, the focus is limited to the neighbouring jurisdictions of South Africa</w:t>
      </w:r>
      <w:r w:rsidR="00AA258C">
        <w:rPr>
          <w:rFonts w:ascii="Arial" w:hAnsi="Arial" w:cs="Arial"/>
          <w:sz w:val="24"/>
          <w:szCs w:val="24"/>
        </w:rPr>
        <w:t xml:space="preserve"> and Botswana.</w:t>
      </w:r>
    </w:p>
    <w:p w:rsidR="00EE700C" w:rsidRPr="00516E6E" w:rsidRDefault="00EE700C" w:rsidP="00EE700C">
      <w:pPr>
        <w:pStyle w:val="ListParagraph"/>
        <w:spacing w:after="0" w:line="360" w:lineRule="auto"/>
        <w:ind w:left="0"/>
        <w:jc w:val="both"/>
      </w:pPr>
    </w:p>
    <w:p w:rsidR="00516E6E" w:rsidRPr="00EE700C" w:rsidRDefault="00516E6E" w:rsidP="00036DE9">
      <w:pPr>
        <w:pStyle w:val="ListParagraph"/>
        <w:numPr>
          <w:ilvl w:val="0"/>
          <w:numId w:val="45"/>
        </w:numPr>
        <w:spacing w:after="0" w:line="360" w:lineRule="auto"/>
        <w:ind w:left="0" w:firstLine="0"/>
        <w:jc w:val="both"/>
      </w:pPr>
      <w:r>
        <w:rPr>
          <w:rFonts w:ascii="Arial" w:hAnsi="Arial" w:cs="Arial"/>
          <w:sz w:val="24"/>
          <w:szCs w:val="24"/>
        </w:rPr>
        <w:t xml:space="preserve">We were repeatedly referred to South Africa which has an </w:t>
      </w:r>
      <w:r w:rsidR="003837A2">
        <w:rPr>
          <w:rFonts w:ascii="Arial" w:hAnsi="Arial" w:cs="Arial"/>
          <w:sz w:val="24"/>
          <w:szCs w:val="24"/>
        </w:rPr>
        <w:t>A</w:t>
      </w:r>
      <w:r>
        <w:rPr>
          <w:rFonts w:ascii="Arial" w:hAnsi="Arial" w:cs="Arial"/>
          <w:sz w:val="24"/>
          <w:szCs w:val="24"/>
        </w:rPr>
        <w:t>ct with similar provisions as Namibia’s POCA. Although it has been said that the Namibian POCA and South African POCA</w:t>
      </w:r>
      <w:r w:rsidR="003837A2">
        <w:rPr>
          <w:rFonts w:ascii="Arial" w:hAnsi="Arial" w:cs="Arial"/>
          <w:sz w:val="24"/>
          <w:szCs w:val="24"/>
        </w:rPr>
        <w:t>,</w:t>
      </w:r>
      <w:r w:rsidR="00E35B30">
        <w:rPr>
          <w:rStyle w:val="FootnoteReference"/>
          <w:rFonts w:ascii="Arial" w:hAnsi="Arial" w:cs="Arial"/>
          <w:sz w:val="24"/>
          <w:szCs w:val="24"/>
        </w:rPr>
        <w:footnoteReference w:id="18"/>
      </w:r>
      <w:r>
        <w:rPr>
          <w:rFonts w:ascii="Arial" w:hAnsi="Arial" w:cs="Arial"/>
          <w:sz w:val="24"/>
          <w:szCs w:val="24"/>
        </w:rPr>
        <w:t xml:space="preserve"> are carbon copies</w:t>
      </w:r>
      <w:r w:rsidR="003837A2">
        <w:rPr>
          <w:rFonts w:ascii="Arial" w:hAnsi="Arial" w:cs="Arial"/>
          <w:sz w:val="24"/>
          <w:szCs w:val="24"/>
        </w:rPr>
        <w:t>,</w:t>
      </w:r>
      <w:r>
        <w:rPr>
          <w:rFonts w:ascii="Arial" w:hAnsi="Arial" w:cs="Arial"/>
          <w:sz w:val="24"/>
          <w:szCs w:val="24"/>
        </w:rPr>
        <w:t xml:space="preserve"> it appears not to be a correct statement</w:t>
      </w:r>
      <w:r w:rsidR="00EE700C">
        <w:rPr>
          <w:rFonts w:ascii="Arial" w:hAnsi="Arial" w:cs="Arial"/>
          <w:sz w:val="24"/>
          <w:szCs w:val="24"/>
        </w:rPr>
        <w:t>.</w:t>
      </w:r>
      <w:r>
        <w:rPr>
          <w:rFonts w:ascii="Arial" w:hAnsi="Arial" w:cs="Arial"/>
          <w:sz w:val="24"/>
          <w:szCs w:val="24"/>
        </w:rPr>
        <w:t xml:space="preserve"> </w:t>
      </w:r>
    </w:p>
    <w:p w:rsidR="00EE700C" w:rsidRPr="00516E6E" w:rsidRDefault="00EE700C" w:rsidP="00EE700C">
      <w:pPr>
        <w:pStyle w:val="ListParagraph"/>
        <w:spacing w:after="0" w:line="360" w:lineRule="auto"/>
        <w:ind w:left="0"/>
        <w:jc w:val="both"/>
      </w:pPr>
    </w:p>
    <w:p w:rsidR="00516E6E" w:rsidRPr="00E35B30" w:rsidRDefault="00516E6E" w:rsidP="00036DE9">
      <w:pPr>
        <w:pStyle w:val="ListParagraph"/>
        <w:numPr>
          <w:ilvl w:val="0"/>
          <w:numId w:val="45"/>
        </w:numPr>
        <w:spacing w:after="0" w:line="360" w:lineRule="auto"/>
        <w:ind w:left="0" w:firstLine="0"/>
        <w:jc w:val="both"/>
      </w:pPr>
      <w:r>
        <w:rPr>
          <w:rFonts w:ascii="Arial" w:hAnsi="Arial" w:cs="Arial"/>
          <w:sz w:val="24"/>
          <w:szCs w:val="24"/>
        </w:rPr>
        <w:t>The South A</w:t>
      </w:r>
      <w:r w:rsidR="00E35B30">
        <w:rPr>
          <w:rFonts w:ascii="Arial" w:hAnsi="Arial" w:cs="Arial"/>
          <w:sz w:val="24"/>
          <w:szCs w:val="24"/>
        </w:rPr>
        <w:t>frican definition reads as follows:</w:t>
      </w:r>
    </w:p>
    <w:p w:rsidR="00E35B30" w:rsidRDefault="00E35B30" w:rsidP="00E35B30">
      <w:pPr>
        <w:pStyle w:val="ListParagraph"/>
        <w:spacing w:after="0" w:line="360" w:lineRule="auto"/>
        <w:ind w:left="0"/>
        <w:jc w:val="both"/>
        <w:rPr>
          <w:rFonts w:ascii="Arial" w:hAnsi="Arial" w:cs="Arial"/>
        </w:rPr>
      </w:pPr>
    </w:p>
    <w:p w:rsidR="00E35B30" w:rsidRDefault="00E35B30" w:rsidP="00E35B30">
      <w:pPr>
        <w:pStyle w:val="ListParagraph"/>
        <w:spacing w:after="0" w:line="360" w:lineRule="auto"/>
        <w:ind w:left="0" w:firstLine="720"/>
        <w:jc w:val="both"/>
        <w:rPr>
          <w:rFonts w:ascii="Arial" w:hAnsi="Arial" w:cs="Arial"/>
        </w:rPr>
      </w:pPr>
      <w:r w:rsidRPr="00E35B30">
        <w:rPr>
          <w:rFonts w:ascii="Arial" w:hAnsi="Arial" w:cs="Arial"/>
        </w:rPr>
        <w:t>‘(xv)“proceeds of unlawful activities”, means any property or part thereof or any service, advantage, benefit or reward which was derived, received or retained, directly or indirectly, in connection with or as a result of any unlawful activity carried on by any person, whether in the Republic or elsewhere, except for purposes of Chapter 5 where it means—</w:t>
      </w:r>
    </w:p>
    <w:p w:rsidR="00E35B30" w:rsidRDefault="00E35B30" w:rsidP="00E35B30">
      <w:pPr>
        <w:pStyle w:val="ListParagraph"/>
        <w:spacing w:after="0" w:line="360" w:lineRule="auto"/>
        <w:ind w:left="0" w:firstLine="720"/>
        <w:jc w:val="both"/>
        <w:rPr>
          <w:rFonts w:ascii="Arial" w:hAnsi="Arial" w:cs="Arial"/>
        </w:rPr>
      </w:pPr>
      <w:r w:rsidRPr="00E35B30">
        <w:rPr>
          <w:rFonts w:ascii="Arial" w:hAnsi="Arial" w:cs="Arial"/>
        </w:rPr>
        <w:t xml:space="preserve"> (a) any unlawful activity carried on by any person; or </w:t>
      </w:r>
    </w:p>
    <w:p w:rsidR="00E35B30" w:rsidRDefault="00E35B30" w:rsidP="00E35B30">
      <w:pPr>
        <w:pStyle w:val="ListParagraph"/>
        <w:spacing w:after="0" w:line="360" w:lineRule="auto"/>
        <w:ind w:left="0" w:firstLine="720"/>
        <w:jc w:val="both"/>
        <w:rPr>
          <w:rFonts w:ascii="Arial" w:hAnsi="Arial" w:cs="Arial"/>
        </w:rPr>
      </w:pPr>
      <w:r w:rsidRPr="00E35B30">
        <w:rPr>
          <w:rFonts w:ascii="Arial" w:hAnsi="Arial" w:cs="Arial"/>
        </w:rPr>
        <w:t xml:space="preserve"> (b) any act or omission outside the Republic which, if it had occurred in the Republic, would have constituted an unlawful activity, and includes any property representing property so derived;</w:t>
      </w:r>
      <w:r>
        <w:rPr>
          <w:rFonts w:ascii="Arial" w:hAnsi="Arial" w:cs="Arial"/>
        </w:rPr>
        <w:t>’</w:t>
      </w:r>
    </w:p>
    <w:p w:rsidR="00E35B30" w:rsidRPr="00E35B30" w:rsidRDefault="00E35B30" w:rsidP="00E35B30">
      <w:pPr>
        <w:pStyle w:val="ListParagraph"/>
        <w:spacing w:after="0" w:line="360" w:lineRule="auto"/>
        <w:ind w:left="0"/>
        <w:jc w:val="both"/>
        <w:rPr>
          <w:rFonts w:ascii="Arial" w:hAnsi="Arial" w:cs="Arial"/>
        </w:rPr>
      </w:pPr>
    </w:p>
    <w:p w:rsidR="00E35B30" w:rsidRPr="00E35B30" w:rsidRDefault="00E35B30" w:rsidP="00036DE9">
      <w:pPr>
        <w:pStyle w:val="ListParagraph"/>
        <w:numPr>
          <w:ilvl w:val="0"/>
          <w:numId w:val="45"/>
        </w:numPr>
        <w:spacing w:after="0" w:line="360" w:lineRule="auto"/>
        <w:ind w:left="0" w:firstLine="0"/>
        <w:jc w:val="both"/>
        <w:rPr>
          <w:rFonts w:ascii="Arial" w:hAnsi="Arial" w:cs="Arial"/>
          <w:sz w:val="24"/>
          <w:szCs w:val="24"/>
        </w:rPr>
      </w:pPr>
      <w:r w:rsidRPr="00E35B30">
        <w:rPr>
          <w:rFonts w:ascii="Arial" w:hAnsi="Arial" w:cs="Arial"/>
          <w:sz w:val="24"/>
          <w:szCs w:val="24"/>
        </w:rPr>
        <w:lastRenderedPageBreak/>
        <w:t>The ma</w:t>
      </w:r>
      <w:r>
        <w:rPr>
          <w:rFonts w:ascii="Arial" w:hAnsi="Arial" w:cs="Arial"/>
          <w:sz w:val="24"/>
          <w:szCs w:val="24"/>
        </w:rPr>
        <w:t xml:space="preserve">terial difference between the two </w:t>
      </w:r>
      <w:r w:rsidR="008C0325">
        <w:rPr>
          <w:rFonts w:ascii="Arial" w:hAnsi="Arial" w:cs="Arial"/>
          <w:sz w:val="24"/>
          <w:szCs w:val="24"/>
        </w:rPr>
        <w:t>A</w:t>
      </w:r>
      <w:r>
        <w:rPr>
          <w:rFonts w:ascii="Arial" w:hAnsi="Arial" w:cs="Arial"/>
          <w:sz w:val="24"/>
          <w:szCs w:val="24"/>
        </w:rPr>
        <w:t xml:space="preserve">cts </w:t>
      </w:r>
      <w:r w:rsidR="00364162">
        <w:rPr>
          <w:rFonts w:ascii="Arial" w:hAnsi="Arial" w:cs="Arial"/>
          <w:sz w:val="24"/>
          <w:szCs w:val="24"/>
        </w:rPr>
        <w:t>is</w:t>
      </w:r>
      <w:r>
        <w:rPr>
          <w:rFonts w:ascii="Arial" w:hAnsi="Arial" w:cs="Arial"/>
          <w:sz w:val="24"/>
          <w:szCs w:val="24"/>
        </w:rPr>
        <w:t xml:space="preserve"> the </w:t>
      </w:r>
      <w:r w:rsidR="00364162">
        <w:rPr>
          <w:rFonts w:ascii="Arial" w:hAnsi="Arial" w:cs="Arial"/>
          <w:sz w:val="24"/>
          <w:szCs w:val="24"/>
        </w:rPr>
        <w:t>add-on</w:t>
      </w:r>
      <w:r>
        <w:rPr>
          <w:rFonts w:ascii="Arial" w:hAnsi="Arial" w:cs="Arial"/>
          <w:sz w:val="24"/>
          <w:szCs w:val="24"/>
        </w:rPr>
        <w:t xml:space="preserve"> to the Namibian POCA after the words ‘so derived’ as Namibia’s PO</w:t>
      </w:r>
      <w:r>
        <w:rPr>
          <w:rFonts w:ascii="Arial" w:hAnsi="Arial" w:cs="Arial"/>
          <w:caps/>
          <w:sz w:val="24"/>
          <w:szCs w:val="24"/>
        </w:rPr>
        <w:t xml:space="preserve">CA </w:t>
      </w:r>
      <w:r>
        <w:rPr>
          <w:rFonts w:ascii="Arial" w:hAnsi="Arial" w:cs="Arial"/>
          <w:sz w:val="24"/>
          <w:szCs w:val="24"/>
        </w:rPr>
        <w:t>proceeds with ‘</w:t>
      </w:r>
      <w:r w:rsidRPr="00E35B30">
        <w:rPr>
          <w:rFonts w:ascii="Arial" w:hAnsi="Arial" w:cs="Arial"/>
          <w:i/>
          <w:sz w:val="24"/>
          <w:szCs w:val="24"/>
        </w:rPr>
        <w:t>and includes property which is mingled with property that is proceeds of unlawful activity’</w:t>
      </w:r>
      <w:r>
        <w:rPr>
          <w:rFonts w:ascii="Arial" w:hAnsi="Arial" w:cs="Arial"/>
          <w:i/>
          <w:sz w:val="24"/>
          <w:szCs w:val="24"/>
        </w:rPr>
        <w:t>.</w:t>
      </w:r>
    </w:p>
    <w:p w:rsidR="00E35B30" w:rsidRPr="00E35B30" w:rsidRDefault="00E35B30" w:rsidP="00E35B30">
      <w:pPr>
        <w:pStyle w:val="ListParagraph"/>
        <w:spacing w:after="0" w:line="360" w:lineRule="auto"/>
        <w:ind w:left="0"/>
        <w:jc w:val="both"/>
        <w:rPr>
          <w:rFonts w:ascii="Arial" w:hAnsi="Arial" w:cs="Arial"/>
          <w:sz w:val="24"/>
          <w:szCs w:val="24"/>
        </w:rPr>
      </w:pPr>
    </w:p>
    <w:p w:rsidR="00E35B30" w:rsidRDefault="00E35B30"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The Botswana Proceeds and Instruments of Crime Act 28 of 2014</w:t>
      </w:r>
      <w:r w:rsidR="008C0325">
        <w:rPr>
          <w:rFonts w:ascii="Arial" w:hAnsi="Arial" w:cs="Arial"/>
          <w:sz w:val="24"/>
          <w:szCs w:val="24"/>
        </w:rPr>
        <w:t>,</w:t>
      </w:r>
      <w:r>
        <w:rPr>
          <w:rFonts w:ascii="Arial" w:hAnsi="Arial" w:cs="Arial"/>
          <w:sz w:val="24"/>
          <w:szCs w:val="24"/>
        </w:rPr>
        <w:t xml:space="preserve"> reads similar</w:t>
      </w:r>
      <w:r w:rsidR="008C0325">
        <w:rPr>
          <w:rFonts w:ascii="Arial" w:hAnsi="Arial" w:cs="Arial"/>
          <w:sz w:val="24"/>
          <w:szCs w:val="24"/>
        </w:rPr>
        <w:t>ly</w:t>
      </w:r>
      <w:r>
        <w:rPr>
          <w:rFonts w:ascii="Arial" w:hAnsi="Arial" w:cs="Arial"/>
          <w:sz w:val="24"/>
          <w:szCs w:val="24"/>
        </w:rPr>
        <w:t xml:space="preserve"> to Namibia’s POCA</w:t>
      </w:r>
      <w:r w:rsidR="008C0325">
        <w:rPr>
          <w:rFonts w:ascii="Arial" w:hAnsi="Arial" w:cs="Arial"/>
          <w:sz w:val="24"/>
          <w:szCs w:val="24"/>
        </w:rPr>
        <w:t xml:space="preserve">. It </w:t>
      </w:r>
      <w:r w:rsidR="00EE700C">
        <w:rPr>
          <w:rFonts w:ascii="Arial" w:hAnsi="Arial" w:cs="Arial"/>
          <w:sz w:val="24"/>
          <w:szCs w:val="24"/>
        </w:rPr>
        <w:t>reads as follows:</w:t>
      </w:r>
    </w:p>
    <w:p w:rsidR="00EE700C" w:rsidRPr="00EE700C" w:rsidRDefault="00EE700C" w:rsidP="00EE700C">
      <w:pPr>
        <w:pStyle w:val="ListParagraph"/>
        <w:ind w:left="1440"/>
        <w:rPr>
          <w:rFonts w:ascii="Arial" w:hAnsi="Arial" w:cs="Arial"/>
          <w:sz w:val="24"/>
          <w:szCs w:val="24"/>
        </w:rPr>
      </w:pPr>
    </w:p>
    <w:p w:rsidR="00EE700C" w:rsidRDefault="00EE700C" w:rsidP="00EE700C">
      <w:pPr>
        <w:pStyle w:val="ListParagraph"/>
        <w:spacing w:after="0" w:line="360" w:lineRule="auto"/>
        <w:ind w:left="0" w:firstLine="720"/>
        <w:jc w:val="both"/>
        <w:rPr>
          <w:rFonts w:ascii="Arial" w:hAnsi="Arial" w:cs="Arial"/>
        </w:rPr>
      </w:pPr>
      <w:r w:rsidRPr="00EE700C">
        <w:rPr>
          <w:rFonts w:ascii="Arial" w:hAnsi="Arial" w:cs="Arial"/>
        </w:rPr>
        <w:t>‘“proceeds” means property that was derived or realised, or substantially derived or realised, directly or indirectly, by any person from the commission of an offence or a serious crime related activity or foreign serious crime related activity and includes property with which proceeds have been mixed;’</w:t>
      </w:r>
    </w:p>
    <w:p w:rsidR="00EE700C" w:rsidRPr="00E35B30" w:rsidRDefault="00EE700C" w:rsidP="00EE700C">
      <w:pPr>
        <w:pStyle w:val="ListParagraph"/>
        <w:spacing w:after="0" w:line="360" w:lineRule="auto"/>
        <w:ind w:left="0"/>
        <w:jc w:val="both"/>
        <w:rPr>
          <w:rFonts w:ascii="Arial" w:hAnsi="Arial" w:cs="Arial"/>
          <w:sz w:val="24"/>
          <w:szCs w:val="24"/>
        </w:rPr>
      </w:pPr>
    </w:p>
    <w:p w:rsidR="00B038D7" w:rsidRDefault="00B038D7"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The notable difference between Namibia’s POCA and that of Botswana is therefore not the definition of proceeds of unlawful activities but during the preservation stage</w:t>
      </w:r>
      <w:r w:rsidR="00563854">
        <w:rPr>
          <w:rFonts w:ascii="Arial" w:hAnsi="Arial" w:cs="Arial"/>
          <w:sz w:val="24"/>
          <w:szCs w:val="24"/>
        </w:rPr>
        <w:t>,</w:t>
      </w:r>
      <w:r>
        <w:rPr>
          <w:rFonts w:ascii="Arial" w:hAnsi="Arial" w:cs="Arial"/>
          <w:sz w:val="24"/>
          <w:szCs w:val="24"/>
        </w:rPr>
        <w:t xml:space="preserve"> where their s 43(1) provides that the court may, when it makes a restraining order or at any later time, make such orders in relation to the property to which the restraining order relates as it considers </w:t>
      </w:r>
      <w:r w:rsidRPr="00B038D7">
        <w:rPr>
          <w:rFonts w:ascii="Arial" w:hAnsi="Arial" w:cs="Arial"/>
          <w:sz w:val="24"/>
          <w:szCs w:val="24"/>
          <w:u w:val="single"/>
        </w:rPr>
        <w:t>just</w:t>
      </w:r>
      <w:r>
        <w:rPr>
          <w:rFonts w:ascii="Arial" w:hAnsi="Arial" w:cs="Arial"/>
          <w:sz w:val="24"/>
          <w:szCs w:val="24"/>
        </w:rPr>
        <w:t>. This implies that at the preservation stage of the proceedings</w:t>
      </w:r>
      <w:r w:rsidR="00F92C8C">
        <w:rPr>
          <w:rFonts w:ascii="Arial" w:hAnsi="Arial" w:cs="Arial"/>
          <w:sz w:val="24"/>
          <w:szCs w:val="24"/>
        </w:rPr>
        <w:t>,</w:t>
      </w:r>
      <w:r>
        <w:rPr>
          <w:rFonts w:ascii="Arial" w:hAnsi="Arial" w:cs="Arial"/>
          <w:sz w:val="24"/>
          <w:szCs w:val="24"/>
        </w:rPr>
        <w:t xml:space="preserve"> the court may make a just order.</w:t>
      </w:r>
    </w:p>
    <w:p w:rsidR="00B038D7" w:rsidRPr="00B038D7" w:rsidRDefault="00B038D7" w:rsidP="00B038D7">
      <w:pPr>
        <w:pStyle w:val="ListParagraph"/>
        <w:spacing w:after="0" w:line="360" w:lineRule="auto"/>
        <w:ind w:left="0"/>
        <w:jc w:val="both"/>
        <w:rPr>
          <w:rFonts w:ascii="Arial" w:hAnsi="Arial" w:cs="Arial"/>
          <w:sz w:val="24"/>
          <w:szCs w:val="24"/>
        </w:rPr>
      </w:pPr>
    </w:p>
    <w:p w:rsidR="00B038D7" w:rsidRDefault="00B038D7" w:rsidP="00036DE9">
      <w:pPr>
        <w:pStyle w:val="ListParagraph"/>
        <w:numPr>
          <w:ilvl w:val="0"/>
          <w:numId w:val="45"/>
        </w:numPr>
        <w:spacing w:after="0" w:line="360" w:lineRule="auto"/>
        <w:ind w:left="0" w:firstLine="0"/>
        <w:jc w:val="both"/>
        <w:rPr>
          <w:rFonts w:ascii="Arial" w:hAnsi="Arial" w:cs="Arial"/>
          <w:sz w:val="24"/>
          <w:szCs w:val="24"/>
        </w:rPr>
      </w:pPr>
      <w:r w:rsidRPr="00B038D7">
        <w:rPr>
          <w:rFonts w:ascii="Arial" w:hAnsi="Arial" w:cs="Arial"/>
          <w:sz w:val="24"/>
          <w:szCs w:val="24"/>
        </w:rPr>
        <w:t xml:space="preserve">Mr </w:t>
      </w:r>
      <w:r>
        <w:rPr>
          <w:rFonts w:ascii="Arial" w:hAnsi="Arial" w:cs="Arial"/>
          <w:sz w:val="24"/>
          <w:szCs w:val="24"/>
        </w:rPr>
        <w:t xml:space="preserve">Heathcote </w:t>
      </w:r>
      <w:r w:rsidR="00E95FBD">
        <w:rPr>
          <w:rFonts w:ascii="Arial" w:hAnsi="Arial" w:cs="Arial"/>
          <w:sz w:val="24"/>
          <w:szCs w:val="24"/>
        </w:rPr>
        <w:t>conceded</w:t>
      </w:r>
      <w:r>
        <w:rPr>
          <w:rFonts w:ascii="Arial" w:hAnsi="Arial" w:cs="Arial"/>
          <w:sz w:val="24"/>
          <w:szCs w:val="24"/>
        </w:rPr>
        <w:t xml:space="preserve"> that in essence the Namibian definition of proceeds of unlaw</w:t>
      </w:r>
      <w:r w:rsidR="00AA258C">
        <w:rPr>
          <w:rFonts w:ascii="Arial" w:hAnsi="Arial" w:cs="Arial"/>
          <w:sz w:val="24"/>
          <w:szCs w:val="24"/>
        </w:rPr>
        <w:t xml:space="preserve">ful activities is similar </w:t>
      </w:r>
      <w:r w:rsidR="00F92C8C">
        <w:rPr>
          <w:rFonts w:ascii="Arial" w:hAnsi="Arial" w:cs="Arial"/>
          <w:sz w:val="24"/>
          <w:szCs w:val="24"/>
        </w:rPr>
        <w:t>to</w:t>
      </w:r>
      <w:r w:rsidR="00AA258C">
        <w:rPr>
          <w:rFonts w:ascii="Arial" w:hAnsi="Arial" w:cs="Arial"/>
          <w:sz w:val="24"/>
          <w:szCs w:val="24"/>
        </w:rPr>
        <w:t xml:space="preserve"> that of Botswana but submitted that the Botswana Act, although at odds with the constitution, has a ‘release valve’ in the word </w:t>
      </w:r>
      <w:r w:rsidR="00AA258C" w:rsidRPr="00380171">
        <w:rPr>
          <w:rFonts w:ascii="Arial" w:hAnsi="Arial" w:cs="Arial"/>
          <w:sz w:val="24"/>
          <w:szCs w:val="24"/>
          <w:u w:val="single"/>
        </w:rPr>
        <w:t>just</w:t>
      </w:r>
      <w:r w:rsidR="00F95280" w:rsidRPr="00F95280">
        <w:rPr>
          <w:rFonts w:ascii="Arial" w:hAnsi="Arial" w:cs="Arial"/>
          <w:sz w:val="24"/>
          <w:szCs w:val="24"/>
        </w:rPr>
        <w:t>,</w:t>
      </w:r>
      <w:r w:rsidR="00AA258C">
        <w:rPr>
          <w:rFonts w:ascii="Arial" w:hAnsi="Arial" w:cs="Arial"/>
          <w:sz w:val="24"/>
          <w:szCs w:val="24"/>
        </w:rPr>
        <w:t xml:space="preserve"> to ease the tension between the Act and the Constitution. The Namibian POCA does not have any tension release</w:t>
      </w:r>
      <w:r w:rsidR="00F95280">
        <w:rPr>
          <w:rFonts w:ascii="Arial" w:hAnsi="Arial" w:cs="Arial"/>
          <w:sz w:val="24"/>
          <w:szCs w:val="24"/>
        </w:rPr>
        <w:t xml:space="preserve"> clause</w:t>
      </w:r>
      <w:r w:rsidR="00AA258C">
        <w:rPr>
          <w:rFonts w:ascii="Arial" w:hAnsi="Arial" w:cs="Arial"/>
          <w:sz w:val="24"/>
          <w:szCs w:val="24"/>
        </w:rPr>
        <w:t xml:space="preserve"> between the constitutional rights of the individual and the Act. </w:t>
      </w:r>
    </w:p>
    <w:p w:rsidR="00251EF5" w:rsidRPr="00251EF5" w:rsidRDefault="00251EF5" w:rsidP="00251EF5">
      <w:pPr>
        <w:pStyle w:val="ListParagraph"/>
        <w:rPr>
          <w:rFonts w:ascii="Arial" w:hAnsi="Arial" w:cs="Arial"/>
          <w:sz w:val="24"/>
          <w:szCs w:val="24"/>
        </w:rPr>
      </w:pPr>
    </w:p>
    <w:p w:rsidR="00251EF5" w:rsidRDefault="00380171"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In addition to the POCA models referred to above</w:t>
      </w:r>
      <w:r w:rsidR="00742113">
        <w:rPr>
          <w:rFonts w:ascii="Arial" w:hAnsi="Arial" w:cs="Arial"/>
          <w:sz w:val="24"/>
          <w:szCs w:val="24"/>
        </w:rPr>
        <w:t>,</w:t>
      </w:r>
      <w:r>
        <w:rPr>
          <w:rFonts w:ascii="Arial" w:hAnsi="Arial" w:cs="Arial"/>
          <w:sz w:val="24"/>
          <w:szCs w:val="24"/>
        </w:rPr>
        <w:t xml:space="preserve"> the inter</w:t>
      </w:r>
      <w:r w:rsidR="00547235">
        <w:rPr>
          <w:rFonts w:ascii="Arial" w:hAnsi="Arial" w:cs="Arial"/>
          <w:sz w:val="24"/>
          <w:szCs w:val="24"/>
        </w:rPr>
        <w:t>national convention which relates to POCA is the</w:t>
      </w:r>
      <w:r w:rsidR="00F92C8C">
        <w:rPr>
          <w:rFonts w:ascii="Arial" w:hAnsi="Arial" w:cs="Arial"/>
          <w:sz w:val="24"/>
          <w:szCs w:val="24"/>
        </w:rPr>
        <w:t xml:space="preserve"> Palermo Convention</w:t>
      </w:r>
      <w:r w:rsidR="00547235">
        <w:rPr>
          <w:rFonts w:ascii="Arial" w:hAnsi="Arial" w:cs="Arial"/>
          <w:sz w:val="24"/>
          <w:szCs w:val="24"/>
        </w:rPr>
        <w:t xml:space="preserve">, which is the United Nations Convention against Transnational Organised Crime and the Protocols thereto. </w:t>
      </w:r>
    </w:p>
    <w:p w:rsidR="00547235" w:rsidRPr="00547235" w:rsidRDefault="00547235" w:rsidP="00547235">
      <w:pPr>
        <w:pStyle w:val="ListParagraph"/>
        <w:rPr>
          <w:rFonts w:ascii="Arial" w:hAnsi="Arial" w:cs="Arial"/>
          <w:sz w:val="24"/>
          <w:szCs w:val="24"/>
        </w:rPr>
      </w:pPr>
    </w:p>
    <w:p w:rsidR="00547235" w:rsidRPr="00547235" w:rsidRDefault="00547235" w:rsidP="00036DE9">
      <w:pPr>
        <w:pStyle w:val="ListParagraph"/>
        <w:numPr>
          <w:ilvl w:val="0"/>
          <w:numId w:val="45"/>
        </w:numPr>
        <w:spacing w:after="0" w:line="360" w:lineRule="auto"/>
        <w:ind w:left="0" w:firstLine="0"/>
        <w:jc w:val="both"/>
        <w:rPr>
          <w:rFonts w:ascii="Arial" w:hAnsi="Arial" w:cs="Arial"/>
          <w:sz w:val="24"/>
          <w:szCs w:val="24"/>
        </w:rPr>
      </w:pPr>
      <w:r w:rsidRPr="00547235">
        <w:rPr>
          <w:rFonts w:ascii="Arial" w:hAnsi="Arial" w:cs="Arial"/>
          <w:sz w:val="24"/>
          <w:szCs w:val="24"/>
        </w:rPr>
        <w:t xml:space="preserve">On 15 November 2000, the United Nations General Assembly passed a resolution adopting the United Nations Convention against Transnational Organized Crime known as the </w:t>
      </w:r>
      <w:r>
        <w:rPr>
          <w:rFonts w:ascii="Arial" w:hAnsi="Arial" w:cs="Arial"/>
          <w:sz w:val="24"/>
          <w:szCs w:val="24"/>
        </w:rPr>
        <w:t xml:space="preserve">Palermo </w:t>
      </w:r>
      <w:r w:rsidRPr="00547235">
        <w:rPr>
          <w:rFonts w:ascii="Arial" w:hAnsi="Arial" w:cs="Arial"/>
          <w:sz w:val="24"/>
          <w:szCs w:val="24"/>
        </w:rPr>
        <w:t xml:space="preserve">Convention. Its aim was to establish a baseline standard for member </w:t>
      </w:r>
      <w:r w:rsidRPr="00547235">
        <w:rPr>
          <w:rFonts w:ascii="Arial" w:hAnsi="Arial" w:cs="Arial"/>
          <w:sz w:val="24"/>
          <w:szCs w:val="24"/>
        </w:rPr>
        <w:lastRenderedPageBreak/>
        <w:t>states to follow in their fight against criminal activities and the acquisition of illicit profits. Article 1 of the Convention declares that its objective is to enhance collaboration among nations in order to more efficiently prevent and combat transnational organized crime.</w:t>
      </w:r>
    </w:p>
    <w:p w:rsidR="00547235" w:rsidRPr="00547235" w:rsidRDefault="00547235" w:rsidP="00547235">
      <w:pPr>
        <w:pStyle w:val="ListParagraph"/>
        <w:rPr>
          <w:rFonts w:ascii="Arial" w:hAnsi="Arial" w:cs="Arial"/>
          <w:sz w:val="24"/>
          <w:szCs w:val="24"/>
        </w:rPr>
      </w:pPr>
    </w:p>
    <w:p w:rsidR="00DF36B7" w:rsidRPr="00DF36B7" w:rsidRDefault="00DF36B7"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lang w:val="en-GB"/>
        </w:rPr>
        <w:t>As a member state</w:t>
      </w:r>
      <w:r w:rsidR="00742113">
        <w:rPr>
          <w:rFonts w:ascii="Arial" w:hAnsi="Arial" w:cs="Arial"/>
          <w:sz w:val="24"/>
          <w:szCs w:val="24"/>
          <w:lang w:val="en-GB"/>
        </w:rPr>
        <w:t>,</w:t>
      </w:r>
      <w:r>
        <w:rPr>
          <w:rFonts w:ascii="Arial" w:hAnsi="Arial" w:cs="Arial"/>
          <w:sz w:val="24"/>
          <w:szCs w:val="24"/>
          <w:lang w:val="en-GB"/>
        </w:rPr>
        <w:t xml:space="preserve"> </w:t>
      </w:r>
      <w:r w:rsidR="00547235" w:rsidRPr="00D10D8A">
        <w:rPr>
          <w:rFonts w:ascii="Arial" w:hAnsi="Arial" w:cs="Arial"/>
          <w:sz w:val="24"/>
          <w:szCs w:val="24"/>
          <w:lang w:val="en-GB"/>
        </w:rPr>
        <w:t xml:space="preserve">Namibia </w:t>
      </w:r>
      <w:r>
        <w:rPr>
          <w:rFonts w:ascii="Arial" w:hAnsi="Arial" w:cs="Arial"/>
          <w:sz w:val="24"/>
          <w:szCs w:val="24"/>
          <w:lang w:val="en-GB"/>
        </w:rPr>
        <w:t>was a signatory to the Covenant on 13 December 200</w:t>
      </w:r>
      <w:r w:rsidR="00A15600">
        <w:rPr>
          <w:rFonts w:ascii="Arial" w:hAnsi="Arial" w:cs="Arial"/>
          <w:sz w:val="24"/>
          <w:szCs w:val="24"/>
          <w:lang w:val="en-GB"/>
        </w:rPr>
        <w:t>0</w:t>
      </w:r>
      <w:r>
        <w:rPr>
          <w:rFonts w:ascii="Arial" w:hAnsi="Arial" w:cs="Arial"/>
          <w:sz w:val="24"/>
          <w:szCs w:val="24"/>
          <w:lang w:val="en-GB"/>
        </w:rPr>
        <w:t xml:space="preserve"> and ratified the Convention on 16 August 2002.</w:t>
      </w:r>
    </w:p>
    <w:p w:rsidR="00DF36B7" w:rsidRPr="00DF36B7" w:rsidRDefault="00DF36B7" w:rsidP="00DF36B7">
      <w:pPr>
        <w:pStyle w:val="ListParagraph"/>
        <w:rPr>
          <w:rFonts w:ascii="Arial" w:hAnsi="Arial" w:cs="Arial"/>
          <w:sz w:val="24"/>
          <w:szCs w:val="24"/>
          <w:lang w:val="en-GB"/>
        </w:rPr>
      </w:pPr>
    </w:p>
    <w:p w:rsidR="0079342B" w:rsidRPr="0079342B" w:rsidRDefault="0079342B"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lang w:val="en-GB"/>
        </w:rPr>
        <w:t xml:space="preserve">Article </w:t>
      </w:r>
      <w:r w:rsidR="00A15600">
        <w:rPr>
          <w:rFonts w:ascii="Arial" w:hAnsi="Arial" w:cs="Arial"/>
          <w:sz w:val="24"/>
          <w:szCs w:val="24"/>
          <w:lang w:val="en-GB"/>
        </w:rPr>
        <w:t>32(3)(</w:t>
      </w:r>
      <w:r w:rsidR="00A15600" w:rsidRPr="00A15600">
        <w:rPr>
          <w:rFonts w:ascii="Arial" w:hAnsi="Arial" w:cs="Arial"/>
          <w:i/>
          <w:sz w:val="24"/>
          <w:szCs w:val="24"/>
          <w:lang w:val="en-GB"/>
        </w:rPr>
        <w:t>e</w:t>
      </w:r>
      <w:r w:rsidR="00A15600">
        <w:rPr>
          <w:rFonts w:ascii="Arial" w:hAnsi="Arial" w:cs="Arial"/>
          <w:sz w:val="24"/>
          <w:szCs w:val="24"/>
          <w:lang w:val="en-GB"/>
        </w:rPr>
        <w:t>)</w:t>
      </w:r>
      <w:r>
        <w:rPr>
          <w:rFonts w:ascii="Arial" w:hAnsi="Arial" w:cs="Arial"/>
          <w:sz w:val="24"/>
          <w:szCs w:val="24"/>
          <w:lang w:val="en-GB"/>
        </w:rPr>
        <w:t xml:space="preserve"> of the Constitution requires that international agreements be negotiated and signed by the President or under his authority. The seriousness and commitment in respect of Namibia’s international obligation</w:t>
      </w:r>
      <w:r w:rsidR="00742113">
        <w:rPr>
          <w:rFonts w:ascii="Arial" w:hAnsi="Arial" w:cs="Arial"/>
          <w:sz w:val="24"/>
          <w:szCs w:val="24"/>
          <w:lang w:val="en-GB"/>
        </w:rPr>
        <w:t>s</w:t>
      </w:r>
      <w:r>
        <w:rPr>
          <w:rFonts w:ascii="Arial" w:hAnsi="Arial" w:cs="Arial"/>
          <w:sz w:val="24"/>
          <w:szCs w:val="24"/>
          <w:lang w:val="en-GB"/>
        </w:rPr>
        <w:t xml:space="preserve"> culminate in Article 144 of the Constitution, which in material parts provides that:</w:t>
      </w:r>
    </w:p>
    <w:p w:rsidR="0079342B" w:rsidRDefault="0079342B" w:rsidP="00547235">
      <w:pPr>
        <w:pStyle w:val="ListParagraph"/>
        <w:spacing w:line="360" w:lineRule="auto"/>
        <w:ind w:left="90" w:firstLine="540"/>
        <w:jc w:val="both"/>
        <w:rPr>
          <w:rFonts w:ascii="Arial" w:hAnsi="Arial" w:cs="Arial"/>
          <w:lang w:val="en-GB"/>
        </w:rPr>
      </w:pPr>
    </w:p>
    <w:p w:rsidR="00547235" w:rsidRPr="000F3FA7" w:rsidRDefault="00547235" w:rsidP="00547235">
      <w:pPr>
        <w:pStyle w:val="ListParagraph"/>
        <w:spacing w:line="360" w:lineRule="auto"/>
        <w:ind w:left="90" w:firstLine="540"/>
        <w:jc w:val="both"/>
        <w:rPr>
          <w:rFonts w:ascii="Arial" w:hAnsi="Arial" w:cs="Arial"/>
          <w:lang w:val="en-GB"/>
        </w:rPr>
      </w:pPr>
      <w:r w:rsidRPr="000F3FA7">
        <w:rPr>
          <w:rFonts w:ascii="Arial" w:hAnsi="Arial" w:cs="Arial"/>
          <w:lang w:val="en-GB"/>
        </w:rPr>
        <w:t>'Unless otherwise provided by this Constitution or Act of Parliament, the general rules of public international law and international agreements binding upon Namibia under this Constitution shall form part of the law of Namibia.’</w:t>
      </w:r>
    </w:p>
    <w:p w:rsidR="00547235" w:rsidRPr="000F3FA7" w:rsidRDefault="00547235" w:rsidP="00547235">
      <w:pPr>
        <w:pStyle w:val="ListParagraph"/>
        <w:tabs>
          <w:tab w:val="left" w:pos="3224"/>
        </w:tabs>
        <w:spacing w:line="360" w:lineRule="auto"/>
        <w:ind w:left="0"/>
        <w:jc w:val="both"/>
        <w:rPr>
          <w:rFonts w:ascii="Arial" w:hAnsi="Arial" w:cs="Arial"/>
          <w:sz w:val="24"/>
          <w:szCs w:val="24"/>
        </w:rPr>
      </w:pPr>
      <w:r>
        <w:rPr>
          <w:rFonts w:ascii="Arial" w:hAnsi="Arial" w:cs="Arial"/>
          <w:sz w:val="24"/>
          <w:szCs w:val="24"/>
        </w:rPr>
        <w:tab/>
      </w:r>
    </w:p>
    <w:p w:rsidR="0079342B" w:rsidRDefault="0079342B"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Article 12 of the Convention deals with the confiscation and seizure, and the relevant portion for purposes of the matter in casu reads as follows:</w:t>
      </w:r>
    </w:p>
    <w:p w:rsidR="0079342B" w:rsidRDefault="0079342B" w:rsidP="0079342B">
      <w:pPr>
        <w:pStyle w:val="ListParagraph"/>
        <w:spacing w:after="0" w:line="360" w:lineRule="auto"/>
        <w:ind w:left="0"/>
        <w:jc w:val="both"/>
      </w:pPr>
    </w:p>
    <w:p w:rsidR="0079342B" w:rsidRPr="0079342B" w:rsidRDefault="0079342B" w:rsidP="0079342B">
      <w:pPr>
        <w:pStyle w:val="ListParagraph"/>
        <w:spacing w:after="0" w:line="360" w:lineRule="auto"/>
        <w:ind w:left="0" w:firstLine="720"/>
        <w:jc w:val="both"/>
        <w:rPr>
          <w:rFonts w:ascii="Arial" w:hAnsi="Arial" w:cs="Arial"/>
        </w:rPr>
      </w:pPr>
      <w:r>
        <w:rPr>
          <w:rFonts w:ascii="Arial" w:hAnsi="Arial" w:cs="Arial"/>
        </w:rPr>
        <w:t>‘</w:t>
      </w:r>
      <w:r w:rsidRPr="0079342B">
        <w:rPr>
          <w:rFonts w:ascii="Arial" w:hAnsi="Arial" w:cs="Arial"/>
        </w:rPr>
        <w:t xml:space="preserve">1. States Parties shall adopt, to the greatest extent possible within their domestic legal systems, such measures as may be necessary to enable confiscation of: </w:t>
      </w:r>
    </w:p>
    <w:p w:rsidR="0079342B" w:rsidRPr="0079342B" w:rsidRDefault="0079342B" w:rsidP="0079342B">
      <w:pPr>
        <w:pStyle w:val="ListParagraph"/>
        <w:spacing w:after="0" w:line="360" w:lineRule="auto"/>
        <w:ind w:left="0"/>
        <w:jc w:val="both"/>
        <w:rPr>
          <w:rFonts w:ascii="Arial" w:hAnsi="Arial" w:cs="Arial"/>
        </w:rPr>
      </w:pPr>
      <w:r w:rsidRPr="0079342B">
        <w:rPr>
          <w:rFonts w:ascii="Arial" w:hAnsi="Arial" w:cs="Arial"/>
        </w:rPr>
        <w:t xml:space="preserve">(a) Proceeds of crime derived from offences covered by this Convention or </w:t>
      </w:r>
      <w:r w:rsidRPr="00E30B96">
        <w:rPr>
          <w:rFonts w:ascii="Arial" w:hAnsi="Arial" w:cs="Arial"/>
          <w:u w:val="single"/>
        </w:rPr>
        <w:t>property the value of which corresponds to that of such proceeds</w:t>
      </w:r>
      <w:r w:rsidRPr="0079342B">
        <w:rPr>
          <w:rFonts w:ascii="Arial" w:hAnsi="Arial" w:cs="Arial"/>
        </w:rPr>
        <w:t>;</w:t>
      </w:r>
    </w:p>
    <w:p w:rsidR="0079342B" w:rsidRPr="0079342B" w:rsidRDefault="0079342B" w:rsidP="0079342B">
      <w:pPr>
        <w:pStyle w:val="ListParagraph"/>
        <w:spacing w:after="0" w:line="360" w:lineRule="auto"/>
        <w:ind w:left="0"/>
        <w:jc w:val="both"/>
        <w:rPr>
          <w:rFonts w:ascii="Arial" w:hAnsi="Arial" w:cs="Arial"/>
        </w:rPr>
      </w:pPr>
      <w:r w:rsidRPr="0079342B">
        <w:rPr>
          <w:rFonts w:ascii="Arial" w:hAnsi="Arial" w:cs="Arial"/>
        </w:rPr>
        <w:t xml:space="preserve"> (b) Property, equipment or other instrumentalities used in or destined.</w:t>
      </w:r>
    </w:p>
    <w:p w:rsidR="0079342B" w:rsidRPr="0079342B" w:rsidRDefault="0079342B" w:rsidP="0079342B">
      <w:pPr>
        <w:pStyle w:val="ListParagraph"/>
        <w:spacing w:after="0" w:line="360" w:lineRule="auto"/>
        <w:ind w:left="0"/>
        <w:jc w:val="both"/>
        <w:rPr>
          <w:rFonts w:ascii="Arial" w:hAnsi="Arial" w:cs="Arial"/>
        </w:rPr>
      </w:pPr>
      <w:r w:rsidRPr="0079342B">
        <w:rPr>
          <w:rFonts w:ascii="Arial" w:hAnsi="Arial" w:cs="Arial"/>
        </w:rPr>
        <w:t>2.  Not relevant.</w:t>
      </w:r>
    </w:p>
    <w:p w:rsidR="0079342B" w:rsidRPr="0079342B" w:rsidRDefault="0079342B" w:rsidP="0079342B">
      <w:pPr>
        <w:pStyle w:val="ListParagraph"/>
        <w:spacing w:after="0" w:line="360" w:lineRule="auto"/>
        <w:ind w:left="0"/>
        <w:jc w:val="both"/>
        <w:rPr>
          <w:rFonts w:ascii="Arial" w:hAnsi="Arial" w:cs="Arial"/>
        </w:rPr>
      </w:pPr>
      <w:r w:rsidRPr="0079342B">
        <w:rPr>
          <w:rFonts w:ascii="Arial" w:hAnsi="Arial" w:cs="Arial"/>
        </w:rPr>
        <w:t>3.  Not relevant.</w:t>
      </w:r>
    </w:p>
    <w:p w:rsidR="0079342B" w:rsidRPr="0079342B" w:rsidRDefault="0079342B" w:rsidP="0079342B">
      <w:pPr>
        <w:pStyle w:val="ListParagraph"/>
        <w:spacing w:after="0" w:line="360" w:lineRule="auto"/>
        <w:ind w:left="0"/>
        <w:jc w:val="both"/>
        <w:rPr>
          <w:rFonts w:ascii="Arial" w:hAnsi="Arial" w:cs="Arial"/>
        </w:rPr>
      </w:pPr>
      <w:r w:rsidRPr="0079342B">
        <w:rPr>
          <w:rFonts w:ascii="Arial" w:hAnsi="Arial" w:cs="Arial"/>
        </w:rPr>
        <w:t xml:space="preserve">4. If proceeds of crime have been intermingled with property acquired from legitimate sources, such property shall, without prejudice to any powers relating to freezing or seizure, be liable to confiscation </w:t>
      </w:r>
      <w:r w:rsidRPr="00E30B96">
        <w:rPr>
          <w:rFonts w:ascii="Arial" w:hAnsi="Arial" w:cs="Arial"/>
          <w:u w:val="single"/>
        </w:rPr>
        <w:t>up to the assessed value of the intermingled proceeds</w:t>
      </w:r>
      <w:r w:rsidRPr="0079342B">
        <w:rPr>
          <w:rFonts w:ascii="Arial" w:hAnsi="Arial" w:cs="Arial"/>
        </w:rPr>
        <w:t xml:space="preserve">. </w:t>
      </w:r>
    </w:p>
    <w:p w:rsidR="0079342B" w:rsidRDefault="0079342B" w:rsidP="0079342B">
      <w:pPr>
        <w:pStyle w:val="ListParagraph"/>
        <w:spacing w:after="0" w:line="360" w:lineRule="auto"/>
        <w:ind w:left="0"/>
        <w:jc w:val="both"/>
        <w:rPr>
          <w:rFonts w:ascii="Arial" w:hAnsi="Arial" w:cs="Arial"/>
        </w:rPr>
      </w:pPr>
      <w:r w:rsidRPr="0079342B">
        <w:rPr>
          <w:rFonts w:ascii="Arial" w:hAnsi="Arial" w:cs="Arial"/>
        </w:rPr>
        <w:t>5. Income or other benefits derived from proceeds of crime, from property into which proceeds of crime have been transformed or converted or from property with which proceeds of crime have been intermingled shall also 13 be liable to the measures referred to in this article, in the same manner</w:t>
      </w:r>
      <w:r w:rsidR="00CA38DD">
        <w:rPr>
          <w:rFonts w:ascii="Arial" w:hAnsi="Arial" w:cs="Arial"/>
        </w:rPr>
        <w:t>,</w:t>
      </w:r>
      <w:r w:rsidRPr="0079342B">
        <w:rPr>
          <w:rFonts w:ascii="Arial" w:hAnsi="Arial" w:cs="Arial"/>
        </w:rPr>
        <w:t xml:space="preserve"> and to the same extent as proceeds of crime.</w:t>
      </w:r>
      <w:r>
        <w:rPr>
          <w:rFonts w:ascii="Arial" w:hAnsi="Arial" w:cs="Arial"/>
        </w:rPr>
        <w:t>’</w:t>
      </w:r>
      <w:r w:rsidR="00E30B96">
        <w:rPr>
          <w:rFonts w:ascii="Arial" w:hAnsi="Arial" w:cs="Arial"/>
        </w:rPr>
        <w:t xml:space="preserve"> (our emphasis)</w:t>
      </w:r>
    </w:p>
    <w:p w:rsidR="0079342B" w:rsidRPr="0079342B" w:rsidRDefault="0079342B" w:rsidP="0079342B">
      <w:pPr>
        <w:pStyle w:val="ListParagraph"/>
        <w:spacing w:after="0" w:line="360" w:lineRule="auto"/>
        <w:ind w:left="0"/>
        <w:jc w:val="both"/>
        <w:rPr>
          <w:rFonts w:ascii="Arial" w:hAnsi="Arial" w:cs="Arial"/>
          <w:sz w:val="24"/>
          <w:szCs w:val="24"/>
        </w:rPr>
      </w:pPr>
      <w:r w:rsidRPr="0079342B">
        <w:rPr>
          <w:rFonts w:ascii="Arial" w:hAnsi="Arial" w:cs="Arial"/>
          <w:sz w:val="24"/>
          <w:szCs w:val="24"/>
        </w:rPr>
        <w:lastRenderedPageBreak/>
        <w:t xml:space="preserve"> </w:t>
      </w:r>
    </w:p>
    <w:p w:rsidR="00E30B96" w:rsidRPr="00206751" w:rsidRDefault="00E95FBD"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Article 12(4) of the Convention and Chapter 5 of POCA provide for the principle of proportionality where provision is made for confiscation </w:t>
      </w:r>
      <w:r w:rsidRPr="00BE0563">
        <w:rPr>
          <w:rFonts w:ascii="Arial" w:hAnsi="Arial" w:cs="Arial"/>
          <w:sz w:val="24"/>
          <w:szCs w:val="24"/>
          <w:u w:val="single"/>
        </w:rPr>
        <w:t>up to the assessed value of the intermingled proceeds</w:t>
      </w:r>
      <w:r>
        <w:rPr>
          <w:rFonts w:ascii="Arial" w:hAnsi="Arial" w:cs="Arial"/>
          <w:sz w:val="24"/>
          <w:szCs w:val="24"/>
        </w:rPr>
        <w:t xml:space="preserve"> </w:t>
      </w:r>
      <w:r w:rsidR="007B6A3F">
        <w:rPr>
          <w:rFonts w:ascii="Arial" w:hAnsi="Arial" w:cs="Arial"/>
          <w:sz w:val="24"/>
          <w:szCs w:val="24"/>
        </w:rPr>
        <w:t xml:space="preserve">which is echoed </w:t>
      </w:r>
      <w:r>
        <w:rPr>
          <w:rFonts w:ascii="Arial" w:hAnsi="Arial" w:cs="Arial"/>
          <w:sz w:val="24"/>
          <w:szCs w:val="24"/>
        </w:rPr>
        <w:t>in s 32(</w:t>
      </w:r>
      <w:r w:rsidR="00F32D02">
        <w:rPr>
          <w:rFonts w:ascii="Arial" w:hAnsi="Arial" w:cs="Arial"/>
          <w:sz w:val="24"/>
          <w:szCs w:val="24"/>
        </w:rPr>
        <w:t>6</w:t>
      </w:r>
      <w:r>
        <w:rPr>
          <w:rFonts w:ascii="Arial" w:hAnsi="Arial" w:cs="Arial"/>
          <w:sz w:val="24"/>
          <w:szCs w:val="24"/>
        </w:rPr>
        <w:t xml:space="preserve">) of POCA for confiscation of the benefits of crime </w:t>
      </w:r>
      <w:r w:rsidRPr="00F84625">
        <w:rPr>
          <w:rFonts w:ascii="Arial" w:hAnsi="Arial" w:cs="Arial"/>
          <w:sz w:val="24"/>
          <w:szCs w:val="24"/>
        </w:rPr>
        <w:t>up to the value of the proceeds of the offences or related criminal activities as determined by the court</w:t>
      </w:r>
      <w:r w:rsidRPr="00206751">
        <w:rPr>
          <w:rFonts w:ascii="Arial" w:hAnsi="Arial" w:cs="Arial"/>
          <w:sz w:val="24"/>
          <w:szCs w:val="24"/>
        </w:rPr>
        <w:t xml:space="preserve">. </w:t>
      </w:r>
      <w:r w:rsidR="007B6A3F" w:rsidRPr="00206751">
        <w:rPr>
          <w:rFonts w:ascii="Arial" w:hAnsi="Arial" w:cs="Arial"/>
          <w:sz w:val="24"/>
          <w:szCs w:val="24"/>
        </w:rPr>
        <w:t>In our view t</w:t>
      </w:r>
      <w:r w:rsidR="00F84625" w:rsidRPr="00206751">
        <w:rPr>
          <w:rFonts w:ascii="Arial" w:hAnsi="Arial" w:cs="Arial"/>
          <w:sz w:val="24"/>
          <w:szCs w:val="24"/>
        </w:rPr>
        <w:t>he provision</w:t>
      </w:r>
      <w:r w:rsidR="00384C8E">
        <w:rPr>
          <w:rFonts w:ascii="Arial" w:hAnsi="Arial" w:cs="Arial"/>
          <w:sz w:val="24"/>
          <w:szCs w:val="24"/>
        </w:rPr>
        <w:t xml:space="preserve">s </w:t>
      </w:r>
      <w:r w:rsidR="00F84625" w:rsidRPr="00206751">
        <w:rPr>
          <w:rFonts w:ascii="Arial" w:hAnsi="Arial" w:cs="Arial"/>
          <w:sz w:val="24"/>
          <w:szCs w:val="24"/>
        </w:rPr>
        <w:t>in article 12(4)</w:t>
      </w:r>
      <w:r w:rsidR="00384C8E">
        <w:rPr>
          <w:rFonts w:ascii="Arial" w:hAnsi="Arial" w:cs="Arial"/>
          <w:sz w:val="24"/>
          <w:szCs w:val="24"/>
        </w:rPr>
        <w:t xml:space="preserve"> of the Convention</w:t>
      </w:r>
      <w:r w:rsidR="00F84625" w:rsidRPr="00206751">
        <w:rPr>
          <w:rFonts w:ascii="Arial" w:hAnsi="Arial" w:cs="Arial"/>
          <w:sz w:val="24"/>
          <w:szCs w:val="24"/>
        </w:rPr>
        <w:t xml:space="preserve"> serves as a constitutional safeguard</w:t>
      </w:r>
      <w:r w:rsidR="007B6A3F" w:rsidRPr="00206751">
        <w:rPr>
          <w:rFonts w:ascii="Arial" w:hAnsi="Arial" w:cs="Arial"/>
          <w:sz w:val="24"/>
          <w:szCs w:val="24"/>
        </w:rPr>
        <w:t>.</w:t>
      </w:r>
    </w:p>
    <w:p w:rsidR="00E30B96" w:rsidRPr="00E30B96" w:rsidRDefault="00E30B96" w:rsidP="00E30B96">
      <w:pPr>
        <w:pStyle w:val="ListParagraph"/>
        <w:rPr>
          <w:rFonts w:ascii="Arial" w:hAnsi="Arial" w:cs="Arial"/>
          <w:sz w:val="24"/>
          <w:szCs w:val="24"/>
        </w:rPr>
      </w:pPr>
    </w:p>
    <w:p w:rsidR="00547235" w:rsidRDefault="00E95FBD"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T</w:t>
      </w:r>
      <w:r w:rsidR="000D1DF3">
        <w:rPr>
          <w:rFonts w:ascii="Arial" w:hAnsi="Arial" w:cs="Arial"/>
          <w:sz w:val="24"/>
          <w:szCs w:val="24"/>
        </w:rPr>
        <w:t>he full bench i</w:t>
      </w:r>
      <w:r w:rsidR="0079342B">
        <w:rPr>
          <w:rFonts w:ascii="Arial" w:hAnsi="Arial" w:cs="Arial"/>
          <w:sz w:val="24"/>
          <w:szCs w:val="24"/>
        </w:rPr>
        <w:t xml:space="preserve">n </w:t>
      </w:r>
      <w:r w:rsidR="0079342B" w:rsidRPr="00CA38DD">
        <w:rPr>
          <w:rFonts w:ascii="Arial" w:hAnsi="Arial" w:cs="Arial"/>
          <w:i/>
          <w:sz w:val="24"/>
          <w:szCs w:val="24"/>
        </w:rPr>
        <w:t>S v Henock</w:t>
      </w:r>
      <w:r w:rsidR="00CA38DD">
        <w:rPr>
          <w:rStyle w:val="FootnoteReference"/>
          <w:rFonts w:ascii="Arial" w:hAnsi="Arial" w:cs="Arial"/>
          <w:i/>
          <w:sz w:val="24"/>
          <w:szCs w:val="24"/>
        </w:rPr>
        <w:footnoteReference w:id="19"/>
      </w:r>
      <w:r w:rsidR="0079342B">
        <w:rPr>
          <w:rFonts w:ascii="Arial" w:hAnsi="Arial" w:cs="Arial"/>
          <w:sz w:val="24"/>
          <w:szCs w:val="24"/>
        </w:rPr>
        <w:t xml:space="preserve"> discussed the domestication </w:t>
      </w:r>
      <w:r w:rsidR="00CA38DD">
        <w:rPr>
          <w:rFonts w:ascii="Arial" w:hAnsi="Arial" w:cs="Arial"/>
          <w:sz w:val="24"/>
          <w:szCs w:val="24"/>
        </w:rPr>
        <w:t xml:space="preserve">and the </w:t>
      </w:r>
      <w:r w:rsidR="00CA38DD" w:rsidRPr="000F3FA7">
        <w:rPr>
          <w:rFonts w:ascii="Arial" w:hAnsi="Arial" w:cs="Arial"/>
          <w:sz w:val="24"/>
          <w:szCs w:val="24"/>
        </w:rPr>
        <w:t xml:space="preserve">interpretation of statutes which </w:t>
      </w:r>
      <w:r w:rsidR="004F3A60">
        <w:rPr>
          <w:rFonts w:ascii="Arial" w:hAnsi="Arial" w:cs="Arial"/>
          <w:sz w:val="24"/>
          <w:szCs w:val="24"/>
        </w:rPr>
        <w:t xml:space="preserve">are </w:t>
      </w:r>
      <w:r w:rsidR="00CA38DD" w:rsidRPr="000F3FA7">
        <w:rPr>
          <w:rFonts w:ascii="Arial" w:hAnsi="Arial" w:cs="Arial"/>
          <w:sz w:val="24"/>
          <w:szCs w:val="24"/>
        </w:rPr>
        <w:t>derive from international agreements</w:t>
      </w:r>
      <w:r w:rsidR="00CA38DD">
        <w:rPr>
          <w:rFonts w:ascii="Arial" w:hAnsi="Arial" w:cs="Arial"/>
          <w:sz w:val="24"/>
          <w:szCs w:val="24"/>
        </w:rPr>
        <w:t xml:space="preserve"> such as</w:t>
      </w:r>
      <w:r w:rsidR="0079342B">
        <w:rPr>
          <w:rFonts w:ascii="Arial" w:hAnsi="Arial" w:cs="Arial"/>
          <w:sz w:val="24"/>
          <w:szCs w:val="24"/>
        </w:rPr>
        <w:t xml:space="preserve"> the</w:t>
      </w:r>
      <w:r w:rsidR="00CA38DD">
        <w:rPr>
          <w:rFonts w:ascii="Arial" w:hAnsi="Arial" w:cs="Arial"/>
          <w:sz w:val="24"/>
          <w:szCs w:val="24"/>
        </w:rPr>
        <w:t xml:space="preserve"> Palermo</w:t>
      </w:r>
      <w:r w:rsidR="0079342B">
        <w:rPr>
          <w:rFonts w:ascii="Arial" w:hAnsi="Arial" w:cs="Arial"/>
          <w:sz w:val="24"/>
          <w:szCs w:val="24"/>
        </w:rPr>
        <w:t xml:space="preserve"> Convention as follows:</w:t>
      </w:r>
    </w:p>
    <w:p w:rsidR="00364162" w:rsidRDefault="00364162" w:rsidP="00364162">
      <w:pPr>
        <w:pStyle w:val="ListParagraph"/>
        <w:spacing w:after="0" w:line="360" w:lineRule="auto"/>
        <w:ind w:left="0"/>
        <w:jc w:val="both"/>
        <w:rPr>
          <w:rFonts w:ascii="Arial" w:hAnsi="Arial" w:cs="Arial"/>
          <w:sz w:val="24"/>
          <w:szCs w:val="24"/>
        </w:rPr>
      </w:pPr>
    </w:p>
    <w:p w:rsidR="00CA38DD" w:rsidRDefault="00CA38DD" w:rsidP="00BE3B61">
      <w:pPr>
        <w:spacing w:after="0" w:line="360" w:lineRule="auto"/>
        <w:jc w:val="both"/>
        <w:rPr>
          <w:rFonts w:ascii="Arial" w:hAnsi="Arial" w:cs="Arial"/>
          <w:lang w:val="en-GB"/>
        </w:rPr>
      </w:pPr>
      <w:r w:rsidRPr="00CA38DD">
        <w:rPr>
          <w:rFonts w:ascii="Arial" w:hAnsi="Arial" w:cs="Arial"/>
        </w:rPr>
        <w:t>‘[12]</w:t>
      </w:r>
      <w:r>
        <w:rPr>
          <w:rFonts w:ascii="Arial" w:hAnsi="Arial" w:cs="Arial"/>
        </w:rPr>
        <w:t xml:space="preserve"> </w:t>
      </w:r>
      <w:r w:rsidRPr="00CA38DD">
        <w:rPr>
          <w:rFonts w:ascii="Arial" w:hAnsi="Arial" w:cs="Arial"/>
        </w:rPr>
        <w:t xml:space="preserve">With regards to the interpretation of statutes which derive from international agreements such as Covenants, the author </w:t>
      </w:r>
      <w:r w:rsidRPr="000D1DF3">
        <w:rPr>
          <w:rFonts w:ascii="Arial" w:hAnsi="Arial" w:cs="Arial"/>
        </w:rPr>
        <w:t>Devenish</w:t>
      </w:r>
      <w:r w:rsidRPr="000D1DF3">
        <w:rPr>
          <w:rStyle w:val="FootnoteReference"/>
          <w:rFonts w:ascii="Arial" w:hAnsi="Arial" w:cs="Arial"/>
        </w:rPr>
        <w:footnoteReference w:id="20"/>
      </w:r>
      <w:r w:rsidRPr="000D1DF3">
        <w:rPr>
          <w:rFonts w:ascii="Arial" w:hAnsi="Arial" w:cs="Arial"/>
        </w:rPr>
        <w:t xml:space="preserve"> </w:t>
      </w:r>
      <w:r w:rsidRPr="00CA38DD">
        <w:rPr>
          <w:rFonts w:ascii="Arial" w:hAnsi="Arial" w:cs="Arial"/>
        </w:rPr>
        <w:t xml:space="preserve">is of the view that courts, when interpreting statutes, should endeavor to interpret those statutes in conformity with international law. Furthermore, that there is a presumption that Parliament, in enacting a statute, intended it to be in agreement with international law. To this end, the Legislative Guides drafted by the United Nations office on Drugs and Crime Division for Treaty Affairs </w:t>
      </w:r>
      <w:r w:rsidRPr="00CA38DD">
        <w:rPr>
          <w:rFonts w:ascii="Arial" w:hAnsi="Arial" w:cs="Arial"/>
          <w:lang w:val="en-GB"/>
        </w:rPr>
        <w:t>assist in the interpretation of those provisions. When interpreting domesticated laws, it is imperative to look at the legislative guides, especially where the domesticated law is silent on a certain aspect.</w:t>
      </w:r>
      <w:r w:rsidR="00A15600">
        <w:rPr>
          <w:rFonts w:ascii="Arial" w:hAnsi="Arial" w:cs="Arial"/>
          <w:lang w:val="en-GB"/>
        </w:rPr>
        <w:t>’</w:t>
      </w:r>
    </w:p>
    <w:p w:rsidR="007845D9" w:rsidRDefault="007845D9" w:rsidP="00BE3B61">
      <w:pPr>
        <w:spacing w:after="0" w:line="360" w:lineRule="auto"/>
        <w:jc w:val="both"/>
        <w:rPr>
          <w:rFonts w:ascii="Arial" w:hAnsi="Arial" w:cs="Arial"/>
          <w:lang w:val="en-GB"/>
        </w:rPr>
      </w:pPr>
    </w:p>
    <w:p w:rsidR="00E95FBD" w:rsidRDefault="00AA258C" w:rsidP="00BE3B61">
      <w:pPr>
        <w:pStyle w:val="Heading2"/>
        <w:spacing w:after="0" w:line="360" w:lineRule="auto"/>
        <w:jc w:val="both"/>
      </w:pPr>
      <w:r w:rsidRPr="00F61879">
        <w:t>The constitutional issues that arise</w:t>
      </w:r>
    </w:p>
    <w:p w:rsidR="00E95FBD" w:rsidRPr="00E95FBD" w:rsidRDefault="00E95FBD" w:rsidP="00E95FBD"/>
    <w:p w:rsidR="00F61879" w:rsidRDefault="00F6187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As a point of departure</w:t>
      </w:r>
      <w:r w:rsidR="00523BE9">
        <w:rPr>
          <w:rFonts w:ascii="Arial" w:hAnsi="Arial" w:cs="Arial"/>
          <w:sz w:val="24"/>
          <w:szCs w:val="24"/>
        </w:rPr>
        <w:t>,</w:t>
      </w:r>
      <w:r>
        <w:rPr>
          <w:rFonts w:ascii="Arial" w:hAnsi="Arial" w:cs="Arial"/>
          <w:sz w:val="24"/>
          <w:szCs w:val="24"/>
        </w:rPr>
        <w:t xml:space="preserve"> in interpreting the provisions of the Constitution</w:t>
      </w:r>
      <w:r w:rsidR="00C5500F">
        <w:rPr>
          <w:rFonts w:ascii="Arial" w:hAnsi="Arial" w:cs="Arial"/>
          <w:sz w:val="24"/>
          <w:szCs w:val="24"/>
        </w:rPr>
        <w:t>,</w:t>
      </w:r>
      <w:r>
        <w:rPr>
          <w:rFonts w:ascii="Arial" w:hAnsi="Arial" w:cs="Arial"/>
          <w:sz w:val="24"/>
          <w:szCs w:val="24"/>
        </w:rPr>
        <w:t xml:space="preserve"> we are guided by </w:t>
      </w:r>
      <w:r w:rsidR="00523BE9">
        <w:rPr>
          <w:rFonts w:ascii="Arial" w:hAnsi="Arial" w:cs="Arial"/>
          <w:sz w:val="24"/>
          <w:szCs w:val="24"/>
        </w:rPr>
        <w:t xml:space="preserve">sentiments of </w:t>
      </w:r>
      <w:r w:rsidR="00C5500F">
        <w:rPr>
          <w:rFonts w:ascii="Arial" w:hAnsi="Arial" w:cs="Arial"/>
          <w:sz w:val="24"/>
          <w:szCs w:val="24"/>
        </w:rPr>
        <w:t xml:space="preserve">the Supreme Court as set out  in </w:t>
      </w:r>
      <w:r w:rsidR="00C5500F" w:rsidRPr="00C5500F">
        <w:rPr>
          <w:rFonts w:ascii="Arial" w:hAnsi="Arial" w:cs="Arial"/>
          <w:i/>
          <w:sz w:val="24"/>
          <w:szCs w:val="24"/>
        </w:rPr>
        <w:t>AG of Namibia v Minister of Justice</w:t>
      </w:r>
      <w:r w:rsidR="00523BE9" w:rsidRPr="00C5500F">
        <w:rPr>
          <w:rStyle w:val="FootnoteReference"/>
          <w:rFonts w:ascii="Arial" w:hAnsi="Arial" w:cs="Arial"/>
          <w:i/>
          <w:sz w:val="24"/>
          <w:szCs w:val="24"/>
        </w:rPr>
        <w:footnoteReference w:id="21"/>
      </w:r>
      <w:r w:rsidR="00523BE9">
        <w:rPr>
          <w:rFonts w:ascii="Arial" w:hAnsi="Arial" w:cs="Arial"/>
          <w:i/>
          <w:sz w:val="24"/>
          <w:szCs w:val="24"/>
        </w:rPr>
        <w:t xml:space="preserve">, </w:t>
      </w:r>
      <w:r w:rsidR="00523BE9" w:rsidRPr="00523BE9">
        <w:rPr>
          <w:rFonts w:ascii="Arial" w:hAnsi="Arial" w:cs="Arial"/>
          <w:sz w:val="24"/>
          <w:szCs w:val="24"/>
        </w:rPr>
        <w:t xml:space="preserve">where </w:t>
      </w:r>
      <w:r w:rsidR="00523BE9">
        <w:rPr>
          <w:rFonts w:ascii="Arial" w:hAnsi="Arial" w:cs="Arial"/>
          <w:sz w:val="24"/>
          <w:szCs w:val="24"/>
        </w:rPr>
        <w:t>the following appears:</w:t>
      </w:r>
    </w:p>
    <w:p w:rsidR="00C5500F" w:rsidRDefault="00C5500F" w:rsidP="00C5500F">
      <w:pPr>
        <w:pStyle w:val="ListParagraph"/>
        <w:spacing w:after="0" w:line="360" w:lineRule="auto"/>
        <w:ind w:left="0"/>
        <w:jc w:val="both"/>
        <w:rPr>
          <w:rFonts w:ascii="Arial" w:hAnsi="Arial" w:cs="Arial"/>
          <w:sz w:val="24"/>
          <w:szCs w:val="24"/>
        </w:rPr>
      </w:pPr>
    </w:p>
    <w:p w:rsidR="00F61879" w:rsidRDefault="00C5500F" w:rsidP="00C5500F">
      <w:pPr>
        <w:pStyle w:val="BodyText"/>
        <w:spacing w:after="0"/>
        <w:ind w:firstLine="720"/>
        <w:rPr>
          <w:sz w:val="24"/>
          <w:szCs w:val="24"/>
        </w:rPr>
      </w:pPr>
      <w:r>
        <w:t>‘</w:t>
      </w:r>
      <w:r w:rsidR="00F61879" w:rsidRPr="00F61879">
        <w:t xml:space="preserve">[7] It has also become necessary to restate the well-known general principles relating to constitutional interpretation, with which all counsel were in agreement and which are, in any event, </w:t>
      </w:r>
      <w:r w:rsidR="00F61879" w:rsidRPr="00F61879">
        <w:lastRenderedPageBreak/>
        <w:t>incontrovertible. The first principle is that the Constitution of a nation is not to be interpreted like an ordinary statute. In his characteristic eloquence, the late Mahomed AJ described the Constitution as 'a mirror reflecting the national soul, the identification of the ideals and aspirations of a nation; the articulation of the values bonding its people and disciplining its government'. The spirit and tenor of the Constitution must therefore preside and permeate the process of judicial interpretation and judicial discretion</w:t>
      </w:r>
      <w:r>
        <w:t>.</w:t>
      </w:r>
      <w:r>
        <w:rPr>
          <w:rStyle w:val="FootnoteReference"/>
        </w:rPr>
        <w:footnoteReference w:id="22"/>
      </w:r>
      <w:r w:rsidR="00F61879" w:rsidRPr="00F61879">
        <w:t xml:space="preserve"> In keeping with the requirement to allow the constitutional spirit and tenor to permeate, the Constitution must not be interpreted in 'a narrow, mechanistic, rigid and artificial' manner.</w:t>
      </w:r>
      <w:r>
        <w:rPr>
          <w:rStyle w:val="FootnoteReference"/>
        </w:rPr>
        <w:footnoteReference w:id="23"/>
      </w:r>
      <w:r w:rsidR="00F61879" w:rsidRPr="00F61879">
        <w:t xml:space="preserve"> Instead, constitutional provisions are to be 'broadly, liberally and purposively' interpreted so as to avoid what has been described as the 'austerity of tabulated legalism'.</w:t>
      </w:r>
      <w:r>
        <w:rPr>
          <w:rStyle w:val="FootnoteReference"/>
        </w:rPr>
        <w:footnoteReference w:id="24"/>
      </w:r>
      <w:r w:rsidR="00F61879" w:rsidRPr="00F61879">
        <w:t xml:space="preserve">  It is also true to say that situations may arise where the generous and purposive interpretations do not coincide.</w:t>
      </w:r>
      <w:r>
        <w:rPr>
          <w:rStyle w:val="FootnoteReference"/>
        </w:rPr>
        <w:footnoteReference w:id="25"/>
      </w:r>
      <w:r w:rsidR="00F61879" w:rsidRPr="00F61879">
        <w:t xml:space="preserve">  In such instances, it was held that it may be necessary for the generous to yield to the purposive.</w:t>
      </w:r>
      <w:r>
        <w:rPr>
          <w:rStyle w:val="FootnoteReference"/>
        </w:rPr>
        <w:footnoteReference w:id="26"/>
      </w:r>
      <w:r w:rsidR="00F61879" w:rsidRPr="00F61879">
        <w:t xml:space="preserve">  </w:t>
      </w:r>
      <w:r w:rsidR="00F61879" w:rsidRPr="00C5500F">
        <w:t>Secondly, in interpreting constitutional rights, close scrutiny should be given to the language of the Constitution itself in ascertaining the underlying meaning and purpose of the provision in question.</w:t>
      </w:r>
      <w:r>
        <w:t>’</w:t>
      </w:r>
      <w:r>
        <w:rPr>
          <w:rStyle w:val="FootnoteReference"/>
        </w:rPr>
        <w:footnoteReference w:id="27"/>
      </w:r>
      <w:r w:rsidR="00F61879" w:rsidRPr="00C5500F">
        <w:t xml:space="preserve">  </w:t>
      </w:r>
    </w:p>
    <w:p w:rsidR="00C5500F" w:rsidRDefault="00C5500F" w:rsidP="00C5500F">
      <w:pPr>
        <w:pStyle w:val="BodyText"/>
        <w:spacing w:after="0"/>
        <w:ind w:firstLine="720"/>
        <w:rPr>
          <w:sz w:val="24"/>
          <w:szCs w:val="24"/>
        </w:rPr>
      </w:pPr>
    </w:p>
    <w:p w:rsidR="00AA258C" w:rsidRDefault="00F6187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We have set out the relevant Articles of the Constitution above. The point of departure in interpreting the provisions of the Constitution</w:t>
      </w:r>
      <w:r w:rsidR="00D9447B">
        <w:rPr>
          <w:rFonts w:ascii="Arial" w:hAnsi="Arial" w:cs="Arial"/>
          <w:sz w:val="24"/>
          <w:szCs w:val="24"/>
        </w:rPr>
        <w:t>,</w:t>
      </w:r>
      <w:r>
        <w:rPr>
          <w:rFonts w:ascii="Arial" w:hAnsi="Arial" w:cs="Arial"/>
          <w:sz w:val="24"/>
          <w:szCs w:val="24"/>
        </w:rPr>
        <w:t xml:space="preserve"> is Article 1 of the Constitution. </w:t>
      </w:r>
      <w:r w:rsidR="00D9447B">
        <w:rPr>
          <w:rFonts w:ascii="Arial" w:hAnsi="Arial" w:cs="Arial"/>
          <w:sz w:val="24"/>
          <w:szCs w:val="24"/>
        </w:rPr>
        <w:t>It</w:t>
      </w:r>
      <w:r>
        <w:rPr>
          <w:rFonts w:ascii="Arial" w:hAnsi="Arial" w:cs="Arial"/>
          <w:sz w:val="24"/>
          <w:szCs w:val="24"/>
        </w:rPr>
        <w:t xml:space="preserve"> provides that the Constitution shall be the Supreme Law of Namibia. Certain rights and freedoms </w:t>
      </w:r>
      <w:r w:rsidR="004F3A60">
        <w:rPr>
          <w:rFonts w:ascii="Arial" w:hAnsi="Arial" w:cs="Arial"/>
          <w:sz w:val="24"/>
          <w:szCs w:val="24"/>
        </w:rPr>
        <w:t xml:space="preserve">are </w:t>
      </w:r>
      <w:r w:rsidR="00557789">
        <w:rPr>
          <w:rFonts w:ascii="Arial" w:hAnsi="Arial" w:cs="Arial"/>
          <w:sz w:val="24"/>
          <w:szCs w:val="24"/>
        </w:rPr>
        <w:t xml:space="preserve">recorded </w:t>
      </w:r>
      <w:r>
        <w:rPr>
          <w:rFonts w:ascii="Arial" w:hAnsi="Arial" w:cs="Arial"/>
          <w:sz w:val="24"/>
          <w:szCs w:val="24"/>
        </w:rPr>
        <w:t xml:space="preserve">as being fundamental </w:t>
      </w:r>
      <w:r w:rsidR="00557789">
        <w:rPr>
          <w:rFonts w:ascii="Arial" w:hAnsi="Arial" w:cs="Arial"/>
          <w:sz w:val="24"/>
          <w:szCs w:val="24"/>
        </w:rPr>
        <w:t>are</w:t>
      </w:r>
      <w:r>
        <w:rPr>
          <w:rFonts w:ascii="Arial" w:hAnsi="Arial" w:cs="Arial"/>
          <w:sz w:val="24"/>
          <w:szCs w:val="24"/>
        </w:rPr>
        <w:t xml:space="preserve"> enshrined in Chapter 3 of the Constitution, </w:t>
      </w:r>
      <w:r w:rsidR="00BF4FD5">
        <w:rPr>
          <w:rFonts w:ascii="Arial" w:hAnsi="Arial" w:cs="Arial"/>
          <w:sz w:val="24"/>
          <w:szCs w:val="24"/>
        </w:rPr>
        <w:t xml:space="preserve">and </w:t>
      </w:r>
      <w:r>
        <w:rPr>
          <w:rFonts w:ascii="Arial" w:hAnsi="Arial" w:cs="Arial"/>
          <w:sz w:val="24"/>
          <w:szCs w:val="24"/>
        </w:rPr>
        <w:t xml:space="preserve">must be respected by the Executive, the Legislature and the Judiciary. </w:t>
      </w:r>
    </w:p>
    <w:p w:rsidR="00B34FBA" w:rsidRDefault="00B34FBA" w:rsidP="00B34FBA">
      <w:pPr>
        <w:pStyle w:val="ListParagraph"/>
        <w:spacing w:after="0" w:line="360" w:lineRule="auto"/>
        <w:ind w:left="0"/>
        <w:jc w:val="both"/>
        <w:rPr>
          <w:rFonts w:ascii="Arial" w:hAnsi="Arial" w:cs="Arial"/>
          <w:sz w:val="24"/>
          <w:szCs w:val="24"/>
        </w:rPr>
      </w:pPr>
    </w:p>
    <w:p w:rsidR="00B34FBA" w:rsidRDefault="00B34FBA"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The court in </w:t>
      </w:r>
      <w:r w:rsidRPr="00B34FBA">
        <w:rPr>
          <w:rFonts w:ascii="Arial" w:hAnsi="Arial" w:cs="Arial"/>
          <w:i/>
          <w:sz w:val="24"/>
          <w:szCs w:val="24"/>
        </w:rPr>
        <w:t>Alexander v Minister of Justice</w:t>
      </w:r>
      <w:r w:rsidRPr="00EA3F08">
        <w:rPr>
          <w:rFonts w:ascii="Arial" w:hAnsi="Arial" w:cs="Arial"/>
          <w:i/>
          <w:sz w:val="20"/>
          <w:szCs w:val="20"/>
        </w:rPr>
        <w:t xml:space="preserve"> </w:t>
      </w:r>
      <w:r w:rsidRPr="00B34FBA">
        <w:rPr>
          <w:rFonts w:ascii="Arial" w:hAnsi="Arial" w:cs="Arial"/>
          <w:i/>
          <w:sz w:val="24"/>
          <w:szCs w:val="24"/>
        </w:rPr>
        <w:t>and Others</w:t>
      </w:r>
      <w:r>
        <w:rPr>
          <w:rStyle w:val="FootnoteReference"/>
          <w:rFonts w:ascii="Arial" w:hAnsi="Arial" w:cs="Arial"/>
          <w:i/>
          <w:sz w:val="24"/>
          <w:szCs w:val="24"/>
        </w:rPr>
        <w:footnoteReference w:id="28"/>
      </w:r>
      <w:r w:rsidRPr="00EA3F08">
        <w:rPr>
          <w:rFonts w:ascii="Arial" w:hAnsi="Arial" w:cs="Arial"/>
          <w:sz w:val="20"/>
          <w:szCs w:val="20"/>
        </w:rPr>
        <w:t xml:space="preserve"> </w:t>
      </w:r>
      <w:r>
        <w:rPr>
          <w:rFonts w:ascii="Arial" w:hAnsi="Arial" w:cs="Arial"/>
          <w:sz w:val="24"/>
          <w:szCs w:val="24"/>
        </w:rPr>
        <w:t>held that:</w:t>
      </w:r>
    </w:p>
    <w:p w:rsidR="00A55179" w:rsidRPr="00A55179" w:rsidRDefault="00A55179" w:rsidP="00A55179">
      <w:pPr>
        <w:pStyle w:val="ListParagraph"/>
        <w:rPr>
          <w:rFonts w:ascii="Arial" w:hAnsi="Arial" w:cs="Arial"/>
          <w:sz w:val="24"/>
          <w:szCs w:val="24"/>
        </w:rPr>
      </w:pPr>
    </w:p>
    <w:p w:rsidR="00005C1E" w:rsidRDefault="00B34FBA" w:rsidP="00A55179">
      <w:pPr>
        <w:pStyle w:val="ListParagraph"/>
        <w:spacing w:after="0" w:line="360" w:lineRule="auto"/>
        <w:ind w:left="0" w:firstLine="720"/>
        <w:jc w:val="both"/>
        <w:rPr>
          <w:rFonts w:ascii="Arial" w:hAnsi="Arial" w:cs="Arial"/>
        </w:rPr>
      </w:pPr>
      <w:r w:rsidRPr="00B34FBA">
        <w:rPr>
          <w:rFonts w:ascii="Arial" w:hAnsi="Arial" w:cs="Arial"/>
        </w:rPr>
        <w:t xml:space="preserve">‘Where an Act of Parliament encroaches upon a fundamental right, the question whether that is at all permissible must be answered according to whether such limitation is authorised by the particular article and on art 22 of the Constitution. Where the article does not permit any limitation, it is said that the protection is absolute. An example of this is to be found in </w:t>
      </w:r>
      <w:r w:rsidRPr="008E4E91">
        <w:rPr>
          <w:rFonts w:ascii="Arial" w:hAnsi="Arial" w:cs="Arial"/>
          <w:i/>
        </w:rPr>
        <w:t>Ex Parte Attorney-General: In re Corporal Punishment by Organs of the State</w:t>
      </w:r>
      <w:r w:rsidRPr="00B34FBA">
        <w:rPr>
          <w:rFonts w:ascii="Arial" w:hAnsi="Arial" w:cs="Arial"/>
        </w:rPr>
        <w:t xml:space="preserve"> 1991 NR 178 (SC) at 187I - 188B (1991 (3) SA 76 at 86D - F), where the court stated that the obligation of the State in regard to art 8 was 'absolute and unqualified'.  </w:t>
      </w:r>
    </w:p>
    <w:p w:rsidR="00B34FBA" w:rsidRDefault="00B34FBA" w:rsidP="00FC142F">
      <w:pPr>
        <w:pStyle w:val="ListParagraph"/>
        <w:spacing w:after="0" w:line="360" w:lineRule="auto"/>
        <w:ind w:left="0"/>
        <w:jc w:val="both"/>
        <w:rPr>
          <w:rFonts w:ascii="Arial" w:hAnsi="Arial" w:cs="Arial"/>
          <w:sz w:val="24"/>
          <w:szCs w:val="24"/>
        </w:rPr>
      </w:pPr>
    </w:p>
    <w:p w:rsidR="0057127D" w:rsidRDefault="00005C1E" w:rsidP="00E95FBD">
      <w:pPr>
        <w:pStyle w:val="ListParagraph"/>
        <w:numPr>
          <w:ilvl w:val="0"/>
          <w:numId w:val="45"/>
        </w:numPr>
        <w:spacing w:after="0" w:line="360" w:lineRule="auto"/>
        <w:ind w:left="0" w:firstLine="0"/>
        <w:jc w:val="both"/>
        <w:rPr>
          <w:rFonts w:ascii="Arial" w:hAnsi="Arial" w:cs="Arial"/>
          <w:sz w:val="24"/>
          <w:szCs w:val="24"/>
        </w:rPr>
      </w:pPr>
      <w:r w:rsidRPr="00E95FBD">
        <w:rPr>
          <w:rFonts w:ascii="Arial" w:hAnsi="Arial" w:cs="Arial"/>
          <w:sz w:val="24"/>
          <w:szCs w:val="24"/>
        </w:rPr>
        <w:t>However, in terms of Article 80(2) of the Constitution, the court has original jurisdiction in ‘cases which involve the interpretation, implementation and upholding of this Constitution and the fundamental rights and freedoms guaranteed thereunder.’</w:t>
      </w:r>
    </w:p>
    <w:p w:rsidR="009B39E1" w:rsidRPr="004F3A60" w:rsidRDefault="009B39E1" w:rsidP="009B39E1">
      <w:pPr>
        <w:pStyle w:val="ListParagraph"/>
        <w:spacing w:after="0" w:line="360" w:lineRule="auto"/>
        <w:ind w:left="0"/>
        <w:jc w:val="both"/>
        <w:rPr>
          <w:rFonts w:ascii="Arial" w:hAnsi="Arial" w:cs="Arial"/>
          <w:sz w:val="24"/>
          <w:szCs w:val="24"/>
        </w:rPr>
      </w:pPr>
    </w:p>
    <w:p w:rsidR="009B39E1" w:rsidRPr="004F3A60" w:rsidRDefault="009B39E1" w:rsidP="009B39E1">
      <w:pPr>
        <w:pStyle w:val="ListParagraph"/>
        <w:numPr>
          <w:ilvl w:val="0"/>
          <w:numId w:val="45"/>
        </w:numPr>
        <w:spacing w:after="0" w:line="360" w:lineRule="auto"/>
        <w:ind w:left="0" w:firstLine="0"/>
        <w:jc w:val="both"/>
        <w:rPr>
          <w:rFonts w:ascii="Arial" w:hAnsi="Arial" w:cs="Arial"/>
          <w:sz w:val="24"/>
          <w:szCs w:val="24"/>
        </w:rPr>
      </w:pPr>
      <w:r w:rsidRPr="004F3A60">
        <w:rPr>
          <w:rFonts w:ascii="Arial" w:hAnsi="Arial" w:cs="Arial"/>
          <w:sz w:val="24"/>
          <w:szCs w:val="24"/>
        </w:rPr>
        <w:t>The applicants plead that the impugned portion of the definition also breaches Articles 8 and 21(1)(</w:t>
      </w:r>
      <w:r w:rsidRPr="004F3A60">
        <w:rPr>
          <w:rFonts w:ascii="Arial" w:hAnsi="Arial" w:cs="Arial"/>
          <w:i/>
          <w:sz w:val="24"/>
          <w:szCs w:val="24"/>
        </w:rPr>
        <w:t>j</w:t>
      </w:r>
      <w:r w:rsidRPr="004F3A60">
        <w:rPr>
          <w:rFonts w:ascii="Arial" w:hAnsi="Arial" w:cs="Arial"/>
          <w:sz w:val="24"/>
          <w:szCs w:val="24"/>
        </w:rPr>
        <w:t>). The basis for this claim is the fact that the first applicant’s cheque and investment accounts are not alleged to be proceeds of unlawful activities, and the amounts in those accounts were earned through exercise and manifestation of the applicants’ Article 21(1)(</w:t>
      </w:r>
      <w:r w:rsidRPr="004F3A60">
        <w:rPr>
          <w:rFonts w:ascii="Arial" w:hAnsi="Arial" w:cs="Arial"/>
          <w:i/>
          <w:sz w:val="24"/>
          <w:szCs w:val="24"/>
        </w:rPr>
        <w:t>j</w:t>
      </w:r>
      <w:r w:rsidRPr="004F3A60">
        <w:rPr>
          <w:rFonts w:ascii="Arial" w:hAnsi="Arial" w:cs="Arial"/>
          <w:sz w:val="24"/>
          <w:szCs w:val="24"/>
        </w:rPr>
        <w:t xml:space="preserve">) rights. </w:t>
      </w:r>
    </w:p>
    <w:p w:rsidR="009B39E1" w:rsidRPr="00AA4FF4" w:rsidRDefault="009B39E1" w:rsidP="009B39E1">
      <w:pPr>
        <w:pStyle w:val="ListParagraph"/>
        <w:spacing w:after="0" w:line="360" w:lineRule="auto"/>
        <w:ind w:left="0"/>
        <w:jc w:val="both"/>
        <w:rPr>
          <w:rFonts w:ascii="Arial" w:hAnsi="Arial" w:cs="Arial"/>
          <w:sz w:val="24"/>
          <w:szCs w:val="24"/>
        </w:rPr>
      </w:pPr>
    </w:p>
    <w:p w:rsidR="009B39E1" w:rsidRPr="004F3A60" w:rsidRDefault="009B39E1" w:rsidP="009B39E1">
      <w:pPr>
        <w:pStyle w:val="ListParagraph"/>
        <w:numPr>
          <w:ilvl w:val="0"/>
          <w:numId w:val="45"/>
        </w:numPr>
        <w:spacing w:after="0" w:line="360" w:lineRule="auto"/>
        <w:ind w:left="0" w:firstLine="0"/>
        <w:jc w:val="both"/>
        <w:rPr>
          <w:rFonts w:ascii="Arial" w:hAnsi="Arial" w:cs="Arial"/>
          <w:sz w:val="24"/>
          <w:szCs w:val="24"/>
        </w:rPr>
      </w:pPr>
      <w:r w:rsidRPr="004F3A60">
        <w:rPr>
          <w:rFonts w:ascii="Arial" w:hAnsi="Arial" w:cs="Arial"/>
          <w:sz w:val="24"/>
          <w:szCs w:val="24"/>
        </w:rPr>
        <w:t>The respondents were of the view that the constitutional complaint in this regard is inadequately pleaded.</w:t>
      </w:r>
    </w:p>
    <w:p w:rsidR="009B39E1" w:rsidRPr="004F3A60" w:rsidRDefault="009B39E1" w:rsidP="009B39E1">
      <w:pPr>
        <w:pStyle w:val="ListParagraph"/>
        <w:rPr>
          <w:rFonts w:ascii="Arial" w:hAnsi="Arial" w:cs="Arial"/>
          <w:sz w:val="24"/>
          <w:szCs w:val="24"/>
        </w:rPr>
      </w:pPr>
    </w:p>
    <w:p w:rsidR="009B39E1" w:rsidRPr="004F3A60" w:rsidRDefault="009B39E1" w:rsidP="009B39E1">
      <w:pPr>
        <w:pStyle w:val="ListParagraph"/>
        <w:numPr>
          <w:ilvl w:val="0"/>
          <w:numId w:val="45"/>
        </w:numPr>
        <w:spacing w:after="0" w:line="360" w:lineRule="auto"/>
        <w:ind w:left="0" w:firstLine="0"/>
        <w:jc w:val="both"/>
        <w:rPr>
          <w:rFonts w:ascii="Arial" w:hAnsi="Arial" w:cs="Arial"/>
          <w:sz w:val="24"/>
          <w:szCs w:val="24"/>
        </w:rPr>
      </w:pPr>
      <w:r w:rsidRPr="004F3A60">
        <w:rPr>
          <w:rFonts w:ascii="Arial" w:hAnsi="Arial" w:cs="Arial"/>
          <w:sz w:val="24"/>
          <w:szCs w:val="24"/>
        </w:rPr>
        <w:t>Due to our view concerning the effect of the impugned part of the definition of ‘proceeds of unlawful activity’ on Article 16 property rights, it is not necessary to deal in any detai</w:t>
      </w:r>
      <w:r w:rsidR="00A45F94" w:rsidRPr="004F3A60">
        <w:rPr>
          <w:rFonts w:ascii="Arial" w:hAnsi="Arial" w:cs="Arial"/>
          <w:sz w:val="24"/>
          <w:szCs w:val="24"/>
        </w:rPr>
        <w:t>l with</w:t>
      </w:r>
      <w:r w:rsidRPr="004F3A60">
        <w:rPr>
          <w:rFonts w:ascii="Arial" w:hAnsi="Arial" w:cs="Arial"/>
          <w:sz w:val="24"/>
          <w:szCs w:val="24"/>
        </w:rPr>
        <w:t xml:space="preserve"> Articles 8 and 21(1)(</w:t>
      </w:r>
      <w:r w:rsidRPr="004F3A60">
        <w:rPr>
          <w:rFonts w:ascii="Arial" w:hAnsi="Arial" w:cs="Arial"/>
          <w:i/>
          <w:sz w:val="24"/>
          <w:szCs w:val="24"/>
        </w:rPr>
        <w:t>j</w:t>
      </w:r>
      <w:r w:rsidRPr="004F3A60">
        <w:rPr>
          <w:rFonts w:ascii="Arial" w:hAnsi="Arial" w:cs="Arial"/>
          <w:sz w:val="24"/>
          <w:szCs w:val="24"/>
        </w:rPr>
        <w:t>) of the Constitution.</w:t>
      </w:r>
    </w:p>
    <w:p w:rsidR="0057127D" w:rsidRDefault="0057127D" w:rsidP="00FC142F">
      <w:pPr>
        <w:pStyle w:val="ListParagraph"/>
        <w:spacing w:after="0" w:line="360" w:lineRule="auto"/>
        <w:ind w:left="0"/>
        <w:jc w:val="both"/>
        <w:rPr>
          <w:rFonts w:ascii="Arial" w:hAnsi="Arial" w:cs="Arial"/>
          <w:sz w:val="24"/>
          <w:szCs w:val="24"/>
        </w:rPr>
      </w:pPr>
    </w:p>
    <w:p w:rsidR="00207F4F" w:rsidRDefault="00207F4F" w:rsidP="00FC142F">
      <w:pPr>
        <w:pStyle w:val="ListParagraph"/>
        <w:spacing w:after="0" w:line="360" w:lineRule="auto"/>
        <w:ind w:left="0"/>
        <w:jc w:val="both"/>
        <w:rPr>
          <w:rFonts w:ascii="Arial" w:hAnsi="Arial" w:cs="Arial"/>
          <w:i/>
          <w:sz w:val="24"/>
          <w:szCs w:val="24"/>
        </w:rPr>
      </w:pPr>
      <w:r w:rsidRPr="00207F4F">
        <w:rPr>
          <w:rFonts w:ascii="Arial" w:hAnsi="Arial" w:cs="Arial"/>
          <w:i/>
          <w:sz w:val="24"/>
          <w:szCs w:val="24"/>
        </w:rPr>
        <w:t>Article 16</w:t>
      </w:r>
    </w:p>
    <w:p w:rsidR="00207F4F" w:rsidRPr="00207F4F" w:rsidRDefault="00207F4F" w:rsidP="00FC142F">
      <w:pPr>
        <w:pStyle w:val="ListParagraph"/>
        <w:spacing w:after="0" w:line="360" w:lineRule="auto"/>
        <w:ind w:left="0"/>
        <w:jc w:val="both"/>
        <w:rPr>
          <w:rFonts w:ascii="Arial" w:hAnsi="Arial" w:cs="Arial"/>
          <w:i/>
          <w:sz w:val="24"/>
          <w:szCs w:val="24"/>
        </w:rPr>
      </w:pPr>
    </w:p>
    <w:p w:rsidR="00F81B44" w:rsidRDefault="00DF5354"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lastRenderedPageBreak/>
        <w:t xml:space="preserve">The </w:t>
      </w:r>
      <w:r w:rsidR="00F81B44">
        <w:rPr>
          <w:rFonts w:ascii="Arial" w:hAnsi="Arial" w:cs="Arial"/>
          <w:sz w:val="24"/>
          <w:szCs w:val="24"/>
        </w:rPr>
        <w:t xml:space="preserve">issue of the </w:t>
      </w:r>
      <w:r>
        <w:rPr>
          <w:rFonts w:ascii="Arial" w:hAnsi="Arial" w:cs="Arial"/>
          <w:sz w:val="24"/>
          <w:szCs w:val="24"/>
        </w:rPr>
        <w:t xml:space="preserve">ambit of </w:t>
      </w:r>
      <w:r w:rsidR="00F81B44">
        <w:rPr>
          <w:rFonts w:ascii="Arial" w:hAnsi="Arial" w:cs="Arial"/>
          <w:sz w:val="24"/>
          <w:szCs w:val="24"/>
        </w:rPr>
        <w:t>property rig</w:t>
      </w:r>
      <w:r w:rsidR="0057127D">
        <w:rPr>
          <w:rFonts w:ascii="Arial" w:hAnsi="Arial" w:cs="Arial"/>
          <w:sz w:val="24"/>
          <w:szCs w:val="24"/>
        </w:rPr>
        <w:t>ht</w:t>
      </w:r>
      <w:r w:rsidR="00F81B44">
        <w:rPr>
          <w:rFonts w:ascii="Arial" w:hAnsi="Arial" w:cs="Arial"/>
          <w:sz w:val="24"/>
          <w:szCs w:val="24"/>
        </w:rPr>
        <w:t xml:space="preserve">s as entrenched in Article 16 and the constitutionality of statutory provisions limiting such </w:t>
      </w:r>
      <w:r w:rsidR="009B39E1">
        <w:rPr>
          <w:rFonts w:ascii="Arial" w:hAnsi="Arial" w:cs="Arial"/>
          <w:sz w:val="24"/>
          <w:szCs w:val="24"/>
        </w:rPr>
        <w:t>rights</w:t>
      </w:r>
      <w:r w:rsidR="00F81B44">
        <w:rPr>
          <w:rFonts w:ascii="Arial" w:hAnsi="Arial" w:cs="Arial"/>
          <w:sz w:val="24"/>
          <w:szCs w:val="24"/>
        </w:rPr>
        <w:t xml:space="preserve"> was examined in </w:t>
      </w:r>
      <w:r w:rsidR="00F81B44" w:rsidRPr="002438B9">
        <w:rPr>
          <w:rFonts w:ascii="Arial" w:hAnsi="Arial" w:cs="Arial"/>
          <w:i/>
          <w:sz w:val="24"/>
          <w:szCs w:val="24"/>
        </w:rPr>
        <w:t>Namibia Grape Growers and Export Association and Others v Minister of Mines and Energy</w:t>
      </w:r>
      <w:r w:rsidR="009B39E1">
        <w:rPr>
          <w:rFonts w:ascii="Arial" w:hAnsi="Arial" w:cs="Arial"/>
          <w:i/>
          <w:sz w:val="24"/>
          <w:szCs w:val="24"/>
        </w:rPr>
        <w:t>,</w:t>
      </w:r>
      <w:r w:rsidR="002438B9">
        <w:rPr>
          <w:rStyle w:val="FootnoteReference"/>
          <w:rFonts w:ascii="Arial" w:hAnsi="Arial" w:cs="Arial"/>
          <w:sz w:val="24"/>
          <w:szCs w:val="24"/>
        </w:rPr>
        <w:footnoteReference w:id="29"/>
      </w:r>
      <w:r w:rsidR="00F81B44">
        <w:rPr>
          <w:rFonts w:ascii="Arial" w:hAnsi="Arial" w:cs="Arial"/>
          <w:sz w:val="24"/>
          <w:szCs w:val="24"/>
        </w:rPr>
        <w:t xml:space="preserve"> and from this case the following is clear:</w:t>
      </w:r>
    </w:p>
    <w:p w:rsidR="008E4E91" w:rsidRDefault="008E4E91" w:rsidP="008E4E91">
      <w:pPr>
        <w:pStyle w:val="ListParagraph"/>
        <w:spacing w:after="0" w:line="360" w:lineRule="auto"/>
        <w:ind w:left="0"/>
        <w:jc w:val="both"/>
        <w:rPr>
          <w:rFonts w:ascii="Arial" w:hAnsi="Arial" w:cs="Arial"/>
          <w:sz w:val="24"/>
          <w:szCs w:val="24"/>
        </w:rPr>
      </w:pPr>
    </w:p>
    <w:p w:rsidR="00F81B44" w:rsidRDefault="00F81B44" w:rsidP="00F81B44">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Article 16</w:t>
      </w:r>
      <w:r w:rsidR="00AE5D73">
        <w:rPr>
          <w:rFonts w:ascii="Arial" w:hAnsi="Arial" w:cs="Arial"/>
          <w:sz w:val="24"/>
          <w:szCs w:val="24"/>
        </w:rPr>
        <w:t>, being part of Chapter 3,</w:t>
      </w:r>
      <w:r>
        <w:rPr>
          <w:rFonts w:ascii="Arial" w:hAnsi="Arial" w:cs="Arial"/>
          <w:sz w:val="24"/>
          <w:szCs w:val="24"/>
        </w:rPr>
        <w:t xml:space="preserve"> must be interpreted in a purposive and liberal way in order to accord subjects the full measure of rights inherent in ownership in property</w:t>
      </w:r>
      <w:r w:rsidR="002438B9">
        <w:rPr>
          <w:rFonts w:ascii="Arial" w:hAnsi="Arial" w:cs="Arial"/>
          <w:sz w:val="24"/>
          <w:szCs w:val="24"/>
        </w:rPr>
        <w:t xml:space="preserve"> (209</w:t>
      </w:r>
      <w:r w:rsidR="008E4E91">
        <w:rPr>
          <w:rFonts w:ascii="Arial" w:hAnsi="Arial" w:cs="Arial"/>
          <w:sz w:val="24"/>
          <w:szCs w:val="24"/>
        </w:rPr>
        <w:t xml:space="preserve"> </w:t>
      </w:r>
      <w:r w:rsidR="002438B9">
        <w:rPr>
          <w:rFonts w:ascii="Arial" w:hAnsi="Arial" w:cs="Arial"/>
          <w:sz w:val="24"/>
          <w:szCs w:val="24"/>
        </w:rPr>
        <w:t>F-G)</w:t>
      </w:r>
      <w:r>
        <w:rPr>
          <w:rFonts w:ascii="Arial" w:hAnsi="Arial" w:cs="Arial"/>
          <w:sz w:val="24"/>
          <w:szCs w:val="24"/>
        </w:rPr>
        <w:t>;</w:t>
      </w:r>
    </w:p>
    <w:p w:rsidR="00F81B44" w:rsidRDefault="00F81B44" w:rsidP="00F81B44">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The owner of property has the inherent right to possess, use and enjoy his property</w:t>
      </w:r>
      <w:r w:rsidR="002438B9">
        <w:rPr>
          <w:rFonts w:ascii="Arial" w:hAnsi="Arial" w:cs="Arial"/>
          <w:sz w:val="24"/>
          <w:szCs w:val="24"/>
        </w:rPr>
        <w:t xml:space="preserve"> (210</w:t>
      </w:r>
      <w:r w:rsidR="008E4E91">
        <w:rPr>
          <w:rFonts w:ascii="Arial" w:hAnsi="Arial" w:cs="Arial"/>
          <w:sz w:val="24"/>
          <w:szCs w:val="24"/>
        </w:rPr>
        <w:t xml:space="preserve"> </w:t>
      </w:r>
      <w:r w:rsidR="002438B9">
        <w:rPr>
          <w:rFonts w:ascii="Arial" w:hAnsi="Arial" w:cs="Arial"/>
          <w:sz w:val="24"/>
          <w:szCs w:val="24"/>
        </w:rPr>
        <w:t>J)</w:t>
      </w:r>
      <w:r>
        <w:rPr>
          <w:rFonts w:ascii="Arial" w:hAnsi="Arial" w:cs="Arial"/>
          <w:sz w:val="24"/>
          <w:szCs w:val="24"/>
        </w:rPr>
        <w:t>;</w:t>
      </w:r>
    </w:p>
    <w:p w:rsidR="00F81B44" w:rsidRDefault="00F81B44" w:rsidP="00F81B44">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The right to property is not absolute, but is subject to certain constraints which, in order to be constitutional, must comp</w:t>
      </w:r>
      <w:r w:rsidR="002438B9">
        <w:rPr>
          <w:rFonts w:ascii="Arial" w:hAnsi="Arial" w:cs="Arial"/>
          <w:sz w:val="24"/>
          <w:szCs w:val="24"/>
        </w:rPr>
        <w:t>l</w:t>
      </w:r>
      <w:r>
        <w:rPr>
          <w:rFonts w:ascii="Arial" w:hAnsi="Arial" w:cs="Arial"/>
          <w:sz w:val="24"/>
          <w:szCs w:val="24"/>
        </w:rPr>
        <w:t>y with certain requirements</w:t>
      </w:r>
      <w:r w:rsidR="002438B9">
        <w:rPr>
          <w:rFonts w:ascii="Arial" w:hAnsi="Arial" w:cs="Arial"/>
          <w:sz w:val="24"/>
          <w:szCs w:val="24"/>
        </w:rPr>
        <w:t xml:space="preserve"> (211</w:t>
      </w:r>
      <w:r w:rsidR="008E4E91">
        <w:rPr>
          <w:rFonts w:ascii="Arial" w:hAnsi="Arial" w:cs="Arial"/>
          <w:sz w:val="24"/>
          <w:szCs w:val="24"/>
        </w:rPr>
        <w:t xml:space="preserve"> </w:t>
      </w:r>
      <w:r w:rsidR="002438B9">
        <w:rPr>
          <w:rFonts w:ascii="Arial" w:hAnsi="Arial" w:cs="Arial"/>
          <w:sz w:val="24"/>
          <w:szCs w:val="24"/>
        </w:rPr>
        <w:t>I)</w:t>
      </w:r>
      <w:r>
        <w:rPr>
          <w:rFonts w:ascii="Arial" w:hAnsi="Arial" w:cs="Arial"/>
          <w:sz w:val="24"/>
          <w:szCs w:val="24"/>
        </w:rPr>
        <w:t>, and</w:t>
      </w:r>
    </w:p>
    <w:p w:rsidR="00F81B44" w:rsidRDefault="00F81B44" w:rsidP="00F81B44">
      <w:pPr>
        <w:pStyle w:val="ListParagraph"/>
        <w:numPr>
          <w:ilvl w:val="0"/>
          <w:numId w:val="41"/>
        </w:numPr>
        <w:spacing w:after="0" w:line="360" w:lineRule="auto"/>
        <w:jc w:val="both"/>
        <w:rPr>
          <w:rFonts w:ascii="Arial" w:hAnsi="Arial" w:cs="Arial"/>
          <w:sz w:val="24"/>
          <w:szCs w:val="24"/>
        </w:rPr>
      </w:pPr>
      <w:r>
        <w:rPr>
          <w:rFonts w:ascii="Arial" w:hAnsi="Arial" w:cs="Arial"/>
          <w:sz w:val="24"/>
          <w:szCs w:val="24"/>
        </w:rPr>
        <w:t>Keeping in mind the values and sentiments expressed in the Constitution, legislative constraints</w:t>
      </w:r>
      <w:r w:rsidR="002438B9">
        <w:rPr>
          <w:rFonts w:ascii="Arial" w:hAnsi="Arial" w:cs="Arial"/>
          <w:sz w:val="24"/>
          <w:szCs w:val="24"/>
        </w:rPr>
        <w:t xml:space="preserve"> placed on ownership of property which are reasonable, which are in the public interest and for legitimate object would be constitutional (212</w:t>
      </w:r>
      <w:r w:rsidR="008E4E91">
        <w:rPr>
          <w:rFonts w:ascii="Arial" w:hAnsi="Arial" w:cs="Arial"/>
          <w:sz w:val="24"/>
          <w:szCs w:val="24"/>
        </w:rPr>
        <w:t xml:space="preserve"> </w:t>
      </w:r>
      <w:r w:rsidR="002438B9">
        <w:rPr>
          <w:rFonts w:ascii="Arial" w:hAnsi="Arial" w:cs="Arial"/>
          <w:sz w:val="24"/>
          <w:szCs w:val="24"/>
        </w:rPr>
        <w:t xml:space="preserve">E-F). </w:t>
      </w:r>
    </w:p>
    <w:p w:rsidR="002438B9" w:rsidRDefault="002438B9" w:rsidP="002438B9">
      <w:pPr>
        <w:pStyle w:val="ListParagraph"/>
        <w:spacing w:after="0" w:line="360" w:lineRule="auto"/>
        <w:jc w:val="both"/>
        <w:rPr>
          <w:rFonts w:ascii="Arial" w:hAnsi="Arial" w:cs="Arial"/>
          <w:sz w:val="24"/>
          <w:szCs w:val="24"/>
        </w:rPr>
      </w:pPr>
    </w:p>
    <w:p w:rsidR="00C43373" w:rsidRDefault="00C43373"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Article 16(1) </w:t>
      </w:r>
      <w:r w:rsidR="00E95FBD">
        <w:rPr>
          <w:rFonts w:ascii="Arial" w:hAnsi="Arial" w:cs="Arial"/>
          <w:sz w:val="24"/>
          <w:szCs w:val="24"/>
        </w:rPr>
        <w:t xml:space="preserve">of the Constitution itself </w:t>
      </w:r>
      <w:r>
        <w:rPr>
          <w:rFonts w:ascii="Arial" w:hAnsi="Arial" w:cs="Arial"/>
          <w:sz w:val="24"/>
          <w:szCs w:val="24"/>
        </w:rPr>
        <w:t xml:space="preserve">makes one original exception concerning the right of foreigners to acquire property </w:t>
      </w:r>
      <w:r w:rsidR="00E95FBD">
        <w:rPr>
          <w:rFonts w:ascii="Arial" w:hAnsi="Arial" w:cs="Arial"/>
          <w:sz w:val="24"/>
          <w:szCs w:val="24"/>
        </w:rPr>
        <w:t xml:space="preserve">in Namibia. The property proviso authorises Parliament to limit and regulate the right of non-Namibian citizens to acquire property in Namibia. </w:t>
      </w:r>
    </w:p>
    <w:p w:rsidR="00AA624E" w:rsidRDefault="00AA624E" w:rsidP="00AA624E">
      <w:pPr>
        <w:pStyle w:val="ListParagraph"/>
        <w:spacing w:after="0" w:line="360" w:lineRule="auto"/>
        <w:ind w:left="0"/>
        <w:jc w:val="both"/>
        <w:rPr>
          <w:rFonts w:ascii="Arial" w:hAnsi="Arial" w:cs="Arial"/>
          <w:sz w:val="24"/>
          <w:szCs w:val="24"/>
        </w:rPr>
      </w:pPr>
    </w:p>
    <w:p w:rsidR="00C43373" w:rsidRDefault="00C43373"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Article 16(2) then provide</w:t>
      </w:r>
      <w:r w:rsidR="005A4AFC">
        <w:rPr>
          <w:rFonts w:ascii="Arial" w:hAnsi="Arial" w:cs="Arial"/>
          <w:sz w:val="24"/>
          <w:szCs w:val="24"/>
        </w:rPr>
        <w:t>s</w:t>
      </w:r>
      <w:r>
        <w:rPr>
          <w:rFonts w:ascii="Arial" w:hAnsi="Arial" w:cs="Arial"/>
          <w:sz w:val="24"/>
          <w:szCs w:val="24"/>
        </w:rPr>
        <w:t xml:space="preserve"> that the State or a competent authorised body or organ may expropriate property (inclusive of immovable or movable) in the public interest, subject to payment of just compensation, in accordance with the requirements and procedures to be determined by Act of Parliament. </w:t>
      </w:r>
    </w:p>
    <w:p w:rsidR="00AA624E" w:rsidRPr="00AA624E" w:rsidRDefault="00AA624E" w:rsidP="00AA624E">
      <w:pPr>
        <w:pStyle w:val="ListParagraph"/>
        <w:rPr>
          <w:rFonts w:ascii="Arial" w:hAnsi="Arial" w:cs="Arial"/>
          <w:sz w:val="24"/>
          <w:szCs w:val="24"/>
        </w:rPr>
      </w:pPr>
    </w:p>
    <w:p w:rsidR="006D7253" w:rsidRPr="006D7253" w:rsidRDefault="00C43373" w:rsidP="00F82B17">
      <w:pPr>
        <w:pStyle w:val="ListParagraph"/>
        <w:numPr>
          <w:ilvl w:val="0"/>
          <w:numId w:val="45"/>
        </w:numPr>
        <w:spacing w:after="0" w:line="360" w:lineRule="auto"/>
        <w:ind w:left="0" w:firstLine="0"/>
        <w:jc w:val="both"/>
        <w:rPr>
          <w:rFonts w:ascii="Arial" w:hAnsi="Arial" w:cs="Arial"/>
          <w:sz w:val="24"/>
          <w:szCs w:val="24"/>
        </w:rPr>
      </w:pPr>
      <w:r w:rsidRPr="006D7253">
        <w:rPr>
          <w:rFonts w:ascii="Arial" w:hAnsi="Arial" w:cs="Arial"/>
          <w:sz w:val="24"/>
          <w:szCs w:val="24"/>
        </w:rPr>
        <w:lastRenderedPageBreak/>
        <w:t xml:space="preserve">Our case law and common law inform us that property unlawfully obtained is not subject to the protection of Article 16. That in our view is logical. A thief cannot be heard to call on the protection availed by Article 16 for property stolen by him. </w:t>
      </w:r>
    </w:p>
    <w:p w:rsidR="00AA624E" w:rsidRPr="00AA624E" w:rsidRDefault="00AA624E" w:rsidP="00AA624E">
      <w:pPr>
        <w:pStyle w:val="ListParagraph"/>
        <w:rPr>
          <w:rFonts w:ascii="Arial" w:hAnsi="Arial" w:cs="Arial"/>
          <w:sz w:val="24"/>
          <w:szCs w:val="24"/>
        </w:rPr>
      </w:pPr>
    </w:p>
    <w:p w:rsidR="00AA624E" w:rsidRDefault="00AA624E" w:rsidP="00036DE9">
      <w:pPr>
        <w:pStyle w:val="ListParagraph"/>
        <w:numPr>
          <w:ilvl w:val="0"/>
          <w:numId w:val="45"/>
        </w:numPr>
        <w:spacing w:after="0" w:line="360" w:lineRule="auto"/>
        <w:ind w:left="0" w:firstLine="0"/>
        <w:jc w:val="both"/>
        <w:rPr>
          <w:rFonts w:ascii="Arial" w:hAnsi="Arial" w:cs="Arial"/>
          <w:sz w:val="24"/>
          <w:szCs w:val="24"/>
        </w:rPr>
      </w:pPr>
      <w:r w:rsidRPr="00D24899">
        <w:rPr>
          <w:rFonts w:ascii="Arial" w:hAnsi="Arial" w:cs="Arial"/>
          <w:sz w:val="24"/>
          <w:szCs w:val="24"/>
        </w:rPr>
        <w:t>The applicants’ constitutional attack is focused on the last portion of the definition of ‘proceeds of unlawful activities’, which reads ‘…and includes property which is mingled with property that is proceeds of unlawful activities.’</w:t>
      </w:r>
      <w:r w:rsidR="00D24899" w:rsidRPr="00D24899">
        <w:rPr>
          <w:rFonts w:ascii="Arial" w:hAnsi="Arial" w:cs="Arial"/>
          <w:sz w:val="24"/>
          <w:szCs w:val="24"/>
        </w:rPr>
        <w:t xml:space="preserve"> The PG relied on this part of the definition to justify her authority to seize, preserve, and potentially forfeit any property that was mixed with the proceeds of </w:t>
      </w:r>
      <w:r w:rsidR="006D7253">
        <w:rPr>
          <w:rFonts w:ascii="Arial" w:hAnsi="Arial" w:cs="Arial"/>
          <w:sz w:val="24"/>
          <w:szCs w:val="24"/>
        </w:rPr>
        <w:t>unlawful</w:t>
      </w:r>
      <w:r w:rsidR="00D24899" w:rsidRPr="00D24899">
        <w:rPr>
          <w:rFonts w:ascii="Arial" w:hAnsi="Arial" w:cs="Arial"/>
          <w:sz w:val="24"/>
          <w:szCs w:val="24"/>
        </w:rPr>
        <w:t xml:space="preserve"> activities. This includes the balance in the bank account at the time when the sales price of the applicants' property was deposited into the first </w:t>
      </w:r>
      <w:r w:rsidR="006D7253">
        <w:rPr>
          <w:rFonts w:ascii="Arial" w:hAnsi="Arial" w:cs="Arial"/>
          <w:sz w:val="24"/>
          <w:szCs w:val="24"/>
        </w:rPr>
        <w:t>applicant</w:t>
      </w:r>
      <w:r w:rsidR="00D24899" w:rsidRPr="00D24899">
        <w:rPr>
          <w:rFonts w:ascii="Arial" w:hAnsi="Arial" w:cs="Arial"/>
          <w:sz w:val="24"/>
          <w:szCs w:val="24"/>
        </w:rPr>
        <w:t>'s account.</w:t>
      </w:r>
    </w:p>
    <w:p w:rsidR="00D24899" w:rsidRPr="00D24899" w:rsidRDefault="00D24899" w:rsidP="00D24899">
      <w:pPr>
        <w:pStyle w:val="ListParagraph"/>
        <w:rPr>
          <w:rFonts w:ascii="Arial" w:hAnsi="Arial" w:cs="Arial"/>
          <w:sz w:val="24"/>
          <w:szCs w:val="24"/>
        </w:rPr>
      </w:pPr>
    </w:p>
    <w:p w:rsidR="00D24899" w:rsidRDefault="00D2489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In order to comprehend the constitutional challenge</w:t>
      </w:r>
      <w:r w:rsidR="000D4578">
        <w:rPr>
          <w:rFonts w:ascii="Arial" w:hAnsi="Arial" w:cs="Arial"/>
          <w:sz w:val="24"/>
          <w:szCs w:val="24"/>
        </w:rPr>
        <w:t>,</w:t>
      </w:r>
      <w:r>
        <w:rPr>
          <w:rFonts w:ascii="Arial" w:hAnsi="Arial" w:cs="Arial"/>
          <w:sz w:val="24"/>
          <w:szCs w:val="24"/>
        </w:rPr>
        <w:t xml:space="preserve"> we must have regard to both the definitions of ‘unlawful activity’ and ‘proceeds of unlawful activities’. An ‘unlawful activity’ means </w:t>
      </w:r>
      <w:r w:rsidRPr="00D24899">
        <w:rPr>
          <w:rFonts w:ascii="Arial" w:hAnsi="Arial" w:cs="Arial"/>
          <w:sz w:val="24"/>
          <w:szCs w:val="24"/>
        </w:rPr>
        <w:t>any conduct</w:t>
      </w:r>
      <w:r w:rsidR="00D65611">
        <w:rPr>
          <w:rFonts w:ascii="Arial" w:hAnsi="Arial" w:cs="Arial"/>
          <w:sz w:val="24"/>
          <w:szCs w:val="24"/>
        </w:rPr>
        <w:t>,</w:t>
      </w:r>
      <w:r w:rsidRPr="00D24899">
        <w:rPr>
          <w:rFonts w:ascii="Arial" w:hAnsi="Arial" w:cs="Arial"/>
          <w:sz w:val="24"/>
          <w:szCs w:val="24"/>
        </w:rPr>
        <w:t xml:space="preserve"> which constitutes an offence or which contravenes any law</w:t>
      </w:r>
      <w:r w:rsidR="00D65611">
        <w:rPr>
          <w:rFonts w:ascii="Arial" w:hAnsi="Arial" w:cs="Arial"/>
          <w:sz w:val="24"/>
          <w:szCs w:val="24"/>
        </w:rPr>
        <w:t>,</w:t>
      </w:r>
      <w:r w:rsidRPr="00D24899">
        <w:rPr>
          <w:rFonts w:ascii="Arial" w:hAnsi="Arial" w:cs="Arial"/>
          <w:sz w:val="24"/>
          <w:szCs w:val="24"/>
        </w:rPr>
        <w:t xml:space="preserve"> whether that conduct occurred before or after the commencement of this Act and whether that conduct occurred in Namibia or elsewhere</w:t>
      </w:r>
      <w:r w:rsidR="002F45DA">
        <w:rPr>
          <w:rFonts w:ascii="Arial" w:hAnsi="Arial" w:cs="Arial"/>
          <w:sz w:val="24"/>
          <w:szCs w:val="24"/>
        </w:rPr>
        <w:t>,</w:t>
      </w:r>
      <w:r w:rsidRPr="00D24899">
        <w:rPr>
          <w:rFonts w:ascii="Arial" w:hAnsi="Arial" w:cs="Arial"/>
          <w:sz w:val="24"/>
          <w:szCs w:val="24"/>
        </w:rPr>
        <w:t xml:space="preserve"> as long as that conduct constitutes an offence in Namibia or contravenes any law of Namibia.</w:t>
      </w:r>
    </w:p>
    <w:p w:rsidR="00D24899" w:rsidRPr="00D24899" w:rsidRDefault="00D24899" w:rsidP="00D24899">
      <w:pPr>
        <w:pStyle w:val="ListParagraph"/>
        <w:rPr>
          <w:rFonts w:ascii="Arial" w:hAnsi="Arial" w:cs="Arial"/>
          <w:sz w:val="24"/>
          <w:szCs w:val="24"/>
        </w:rPr>
      </w:pPr>
    </w:p>
    <w:p w:rsidR="00AA624E" w:rsidRDefault="00D2489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An offence or contravention of the law is </w:t>
      </w:r>
      <w:r w:rsidR="006D7253">
        <w:rPr>
          <w:rFonts w:ascii="Arial" w:hAnsi="Arial" w:cs="Arial"/>
          <w:sz w:val="24"/>
          <w:szCs w:val="24"/>
        </w:rPr>
        <w:t>an essential requirement of an unlawful activity</w:t>
      </w:r>
      <w:r>
        <w:rPr>
          <w:rFonts w:ascii="Arial" w:hAnsi="Arial" w:cs="Arial"/>
          <w:sz w:val="24"/>
          <w:szCs w:val="24"/>
        </w:rPr>
        <w:t xml:space="preserve">. </w:t>
      </w:r>
    </w:p>
    <w:p w:rsidR="00D24899" w:rsidRPr="00D24899" w:rsidRDefault="00D24899" w:rsidP="00D24899">
      <w:pPr>
        <w:pStyle w:val="ListParagraph"/>
        <w:rPr>
          <w:rFonts w:ascii="Arial" w:hAnsi="Arial" w:cs="Arial"/>
          <w:sz w:val="24"/>
          <w:szCs w:val="24"/>
        </w:rPr>
      </w:pPr>
    </w:p>
    <w:p w:rsidR="002161BC" w:rsidRDefault="00D24899" w:rsidP="00036DE9">
      <w:pPr>
        <w:pStyle w:val="ListParagraph"/>
        <w:numPr>
          <w:ilvl w:val="0"/>
          <w:numId w:val="45"/>
        </w:numPr>
        <w:spacing w:after="0" w:line="360" w:lineRule="auto"/>
        <w:ind w:left="0" w:firstLine="0"/>
        <w:jc w:val="both"/>
        <w:rPr>
          <w:rFonts w:ascii="Arial" w:hAnsi="Arial" w:cs="Arial"/>
          <w:sz w:val="24"/>
          <w:szCs w:val="24"/>
        </w:rPr>
      </w:pPr>
      <w:r w:rsidRPr="00AE5D73">
        <w:rPr>
          <w:rFonts w:ascii="Arial" w:hAnsi="Arial" w:cs="Arial"/>
          <w:sz w:val="24"/>
          <w:szCs w:val="24"/>
        </w:rPr>
        <w:t xml:space="preserve">The definition of ‘proceeds of unlawful activities’ </w:t>
      </w:r>
      <w:r w:rsidR="002161BC" w:rsidRPr="00AE5D73">
        <w:rPr>
          <w:rFonts w:ascii="Arial" w:hAnsi="Arial" w:cs="Arial"/>
          <w:sz w:val="24"/>
          <w:szCs w:val="24"/>
        </w:rPr>
        <w:t>focuses</w:t>
      </w:r>
      <w:r w:rsidRPr="00AE5D73">
        <w:rPr>
          <w:rFonts w:ascii="Arial" w:hAnsi="Arial" w:cs="Arial"/>
          <w:sz w:val="24"/>
          <w:szCs w:val="24"/>
        </w:rPr>
        <w:t xml:space="preserve"> on </w:t>
      </w:r>
      <w:r w:rsidR="002161BC" w:rsidRPr="00AE5D73">
        <w:rPr>
          <w:rFonts w:ascii="Arial" w:hAnsi="Arial" w:cs="Arial"/>
          <w:sz w:val="24"/>
          <w:szCs w:val="24"/>
        </w:rPr>
        <w:t>the proceeds of such unlawful activities, which is logical and reasonable. The part that reads ‘and includes property which is mingled with property that is proceeds of unlawful activities’ is however not rationally and constitutionally explicable because it is property not tainted by unlawful activity. Bar the definition which seeks to include lawful property with the proceeds of unlawful property</w:t>
      </w:r>
      <w:r w:rsidR="00AA14E7">
        <w:rPr>
          <w:rFonts w:ascii="Arial" w:hAnsi="Arial" w:cs="Arial"/>
          <w:sz w:val="24"/>
          <w:szCs w:val="24"/>
        </w:rPr>
        <w:t>,</w:t>
      </w:r>
      <w:r w:rsidR="002161BC" w:rsidRPr="00AE5D73">
        <w:rPr>
          <w:rFonts w:ascii="Arial" w:hAnsi="Arial" w:cs="Arial"/>
          <w:sz w:val="24"/>
          <w:szCs w:val="24"/>
        </w:rPr>
        <w:t xml:space="preserve"> there is no constitutional rational</w:t>
      </w:r>
      <w:r w:rsidR="00AA14E7">
        <w:rPr>
          <w:rFonts w:ascii="Arial" w:hAnsi="Arial" w:cs="Arial"/>
          <w:sz w:val="24"/>
          <w:szCs w:val="24"/>
        </w:rPr>
        <w:t>e</w:t>
      </w:r>
      <w:r w:rsidR="002161BC" w:rsidRPr="00AE5D73">
        <w:rPr>
          <w:rFonts w:ascii="Arial" w:hAnsi="Arial" w:cs="Arial"/>
          <w:sz w:val="24"/>
          <w:szCs w:val="24"/>
        </w:rPr>
        <w:t xml:space="preserve"> to include lawful</w:t>
      </w:r>
      <w:r w:rsidR="00AA14E7">
        <w:rPr>
          <w:rFonts w:ascii="Arial" w:hAnsi="Arial" w:cs="Arial"/>
          <w:sz w:val="24"/>
          <w:szCs w:val="24"/>
        </w:rPr>
        <w:t>ly acquired</w:t>
      </w:r>
      <w:r w:rsidR="002161BC" w:rsidRPr="00AE5D73">
        <w:rPr>
          <w:rFonts w:ascii="Arial" w:hAnsi="Arial" w:cs="Arial"/>
          <w:sz w:val="24"/>
          <w:szCs w:val="24"/>
        </w:rPr>
        <w:t xml:space="preserve"> property. The lawfully acquired property deserve</w:t>
      </w:r>
      <w:r w:rsidR="00FE2696">
        <w:rPr>
          <w:rFonts w:ascii="Arial" w:hAnsi="Arial" w:cs="Arial"/>
          <w:sz w:val="24"/>
          <w:szCs w:val="24"/>
        </w:rPr>
        <w:t>s</w:t>
      </w:r>
      <w:r w:rsidR="002161BC" w:rsidRPr="00AE5D73">
        <w:rPr>
          <w:rFonts w:ascii="Arial" w:hAnsi="Arial" w:cs="Arial"/>
          <w:sz w:val="24"/>
          <w:szCs w:val="24"/>
        </w:rPr>
        <w:t xml:space="preserve"> constitutional protection and is indeed protected</w:t>
      </w:r>
      <w:r w:rsidR="00FE2696">
        <w:rPr>
          <w:rFonts w:ascii="Arial" w:hAnsi="Arial" w:cs="Arial"/>
          <w:sz w:val="24"/>
          <w:szCs w:val="24"/>
        </w:rPr>
        <w:t>.</w:t>
      </w:r>
      <w:r w:rsidR="002161BC" w:rsidRPr="00AE5D73">
        <w:rPr>
          <w:rFonts w:ascii="Arial" w:hAnsi="Arial" w:cs="Arial"/>
          <w:sz w:val="24"/>
          <w:szCs w:val="24"/>
        </w:rPr>
        <w:t xml:space="preserve"> </w:t>
      </w:r>
      <w:r w:rsidR="00FE2696">
        <w:rPr>
          <w:rFonts w:ascii="Arial" w:hAnsi="Arial" w:cs="Arial"/>
          <w:sz w:val="24"/>
          <w:szCs w:val="24"/>
        </w:rPr>
        <w:t>O</w:t>
      </w:r>
      <w:r w:rsidR="002161BC" w:rsidRPr="00AE5D73">
        <w:rPr>
          <w:rFonts w:ascii="Arial" w:hAnsi="Arial" w:cs="Arial"/>
          <w:sz w:val="24"/>
          <w:szCs w:val="24"/>
        </w:rPr>
        <w:t xml:space="preserve">ur Supreme Court said as much in </w:t>
      </w:r>
      <w:r w:rsidR="002161BC" w:rsidRPr="00AE5D73">
        <w:rPr>
          <w:rFonts w:ascii="Arial" w:hAnsi="Arial" w:cs="Arial"/>
          <w:i/>
          <w:sz w:val="24"/>
          <w:szCs w:val="24"/>
        </w:rPr>
        <w:t>Namibia Grape Growers and Exporters Association and Others v The Ministry of Mines and Energy and Others</w:t>
      </w:r>
      <w:r w:rsidR="002161BC">
        <w:rPr>
          <w:rStyle w:val="FootnoteReference"/>
          <w:rFonts w:ascii="Arial" w:hAnsi="Arial" w:cs="Arial"/>
          <w:sz w:val="24"/>
          <w:szCs w:val="24"/>
        </w:rPr>
        <w:footnoteReference w:id="30"/>
      </w:r>
      <w:r w:rsidR="00AE5D73" w:rsidRPr="00AE5D73">
        <w:rPr>
          <w:rFonts w:ascii="Arial" w:hAnsi="Arial" w:cs="Arial"/>
          <w:i/>
          <w:sz w:val="24"/>
          <w:szCs w:val="24"/>
        </w:rPr>
        <w:t>.</w:t>
      </w:r>
      <w:r w:rsidR="002161BC" w:rsidRPr="00AE5D73">
        <w:rPr>
          <w:rFonts w:ascii="Arial" w:hAnsi="Arial" w:cs="Arial"/>
          <w:sz w:val="24"/>
          <w:szCs w:val="24"/>
        </w:rPr>
        <w:t xml:space="preserve"> </w:t>
      </w:r>
    </w:p>
    <w:p w:rsidR="00AE5D73" w:rsidRPr="00AE5D73" w:rsidRDefault="00AE5D73" w:rsidP="00AE5D73">
      <w:pPr>
        <w:pStyle w:val="ListParagraph"/>
        <w:rPr>
          <w:rFonts w:ascii="Arial" w:hAnsi="Arial" w:cs="Arial"/>
          <w:sz w:val="24"/>
          <w:szCs w:val="24"/>
        </w:rPr>
      </w:pPr>
    </w:p>
    <w:p w:rsidR="002161BC" w:rsidRDefault="002161BC"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We accept </w:t>
      </w:r>
      <w:r w:rsidR="007628A9">
        <w:rPr>
          <w:rFonts w:ascii="Arial" w:hAnsi="Arial" w:cs="Arial"/>
          <w:sz w:val="24"/>
          <w:szCs w:val="24"/>
        </w:rPr>
        <w:t xml:space="preserve">the principle laid down in </w:t>
      </w:r>
      <w:r w:rsidR="007628A9" w:rsidRPr="007628A9">
        <w:rPr>
          <w:rFonts w:ascii="Arial" w:hAnsi="Arial" w:cs="Arial"/>
          <w:i/>
          <w:sz w:val="24"/>
          <w:szCs w:val="24"/>
        </w:rPr>
        <w:t>Shali v The Attorney-General</w:t>
      </w:r>
      <w:r w:rsidR="007628A9">
        <w:rPr>
          <w:rStyle w:val="FootnoteReference"/>
          <w:rFonts w:ascii="Arial" w:hAnsi="Arial" w:cs="Arial"/>
          <w:sz w:val="24"/>
          <w:szCs w:val="24"/>
        </w:rPr>
        <w:footnoteReference w:id="31"/>
      </w:r>
      <w:r w:rsidR="007628A9">
        <w:rPr>
          <w:rFonts w:ascii="Arial" w:hAnsi="Arial" w:cs="Arial"/>
          <w:sz w:val="24"/>
          <w:szCs w:val="24"/>
        </w:rPr>
        <w:t xml:space="preserve"> wherein the court held that preservation and forfeiture of ‘proceeds of crime’ does not violate Article 16 of the Constitution because it does not protect the ownership and possession of proceeds of crime. However, the upshot of that finding is then that put in the negative, the preservation and forfeiture of anything that is </w:t>
      </w:r>
      <w:r w:rsidR="007628A9" w:rsidRPr="007628A9">
        <w:rPr>
          <w:rFonts w:ascii="Arial" w:hAnsi="Arial" w:cs="Arial"/>
          <w:sz w:val="24"/>
          <w:szCs w:val="24"/>
          <w:u w:val="single"/>
        </w:rPr>
        <w:t>not</w:t>
      </w:r>
      <w:r w:rsidR="007628A9">
        <w:rPr>
          <w:rFonts w:ascii="Arial" w:hAnsi="Arial" w:cs="Arial"/>
          <w:sz w:val="24"/>
          <w:szCs w:val="24"/>
        </w:rPr>
        <w:t xml:space="preserve"> proceeds of crime violates Article 16 of the Constitution.</w:t>
      </w:r>
    </w:p>
    <w:p w:rsidR="007628A9" w:rsidRPr="007628A9" w:rsidRDefault="007628A9" w:rsidP="007628A9">
      <w:pPr>
        <w:pStyle w:val="ListParagraph"/>
        <w:rPr>
          <w:rFonts w:ascii="Arial" w:hAnsi="Arial" w:cs="Arial"/>
          <w:sz w:val="24"/>
          <w:szCs w:val="24"/>
        </w:rPr>
      </w:pPr>
    </w:p>
    <w:p w:rsidR="000716B7" w:rsidRDefault="007628A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We are of the view that the forfeiture of lawful</w:t>
      </w:r>
      <w:r w:rsidR="00877A3F">
        <w:rPr>
          <w:rFonts w:ascii="Arial" w:hAnsi="Arial" w:cs="Arial"/>
          <w:sz w:val="24"/>
          <w:szCs w:val="24"/>
        </w:rPr>
        <w:t>ly</w:t>
      </w:r>
      <w:r>
        <w:rPr>
          <w:rFonts w:ascii="Arial" w:hAnsi="Arial" w:cs="Arial"/>
          <w:sz w:val="24"/>
          <w:szCs w:val="24"/>
        </w:rPr>
        <w:t xml:space="preserve"> </w:t>
      </w:r>
      <w:r w:rsidR="00990F15">
        <w:rPr>
          <w:rFonts w:ascii="Arial" w:hAnsi="Arial" w:cs="Arial"/>
          <w:sz w:val="24"/>
          <w:szCs w:val="24"/>
        </w:rPr>
        <w:t xml:space="preserve">acquired </w:t>
      </w:r>
      <w:r>
        <w:rPr>
          <w:rFonts w:ascii="Arial" w:hAnsi="Arial" w:cs="Arial"/>
          <w:sz w:val="24"/>
          <w:szCs w:val="24"/>
        </w:rPr>
        <w:t xml:space="preserve">property is akin to </w:t>
      </w:r>
      <w:r w:rsidR="00C71329">
        <w:rPr>
          <w:rFonts w:ascii="Arial" w:hAnsi="Arial" w:cs="Arial"/>
          <w:sz w:val="24"/>
          <w:szCs w:val="24"/>
        </w:rPr>
        <w:t xml:space="preserve">an </w:t>
      </w:r>
      <w:r>
        <w:rPr>
          <w:rFonts w:ascii="Arial" w:hAnsi="Arial" w:cs="Arial"/>
          <w:sz w:val="24"/>
          <w:szCs w:val="24"/>
        </w:rPr>
        <w:t xml:space="preserve">expropriation of property without just compensation, which is constitutionally </w:t>
      </w:r>
      <w:r w:rsidR="006D7253">
        <w:rPr>
          <w:rFonts w:ascii="Arial" w:hAnsi="Arial" w:cs="Arial"/>
          <w:sz w:val="24"/>
          <w:szCs w:val="24"/>
        </w:rPr>
        <w:t>prohibited</w:t>
      </w:r>
      <w:r w:rsidR="00F44C6A">
        <w:rPr>
          <w:rFonts w:ascii="Arial" w:hAnsi="Arial" w:cs="Arial"/>
          <w:sz w:val="24"/>
          <w:szCs w:val="24"/>
        </w:rPr>
        <w:t xml:space="preserve"> and is not in the public interest. </w:t>
      </w:r>
      <w:r w:rsidR="00AE5D73">
        <w:rPr>
          <w:rFonts w:ascii="Arial" w:hAnsi="Arial" w:cs="Arial"/>
          <w:sz w:val="24"/>
          <w:szCs w:val="24"/>
        </w:rPr>
        <w:t>The</w:t>
      </w:r>
      <w:r w:rsidR="006D7253">
        <w:rPr>
          <w:rFonts w:ascii="Arial" w:hAnsi="Arial" w:cs="Arial"/>
          <w:sz w:val="24"/>
          <w:szCs w:val="24"/>
        </w:rPr>
        <w:t xml:space="preserve"> impugned part of the </w:t>
      </w:r>
      <w:r w:rsidR="00AE5D73">
        <w:rPr>
          <w:rFonts w:ascii="Arial" w:hAnsi="Arial" w:cs="Arial"/>
          <w:sz w:val="24"/>
          <w:szCs w:val="24"/>
        </w:rPr>
        <w:t xml:space="preserve">definition of proceeds of unlawful activities is </w:t>
      </w:r>
      <w:r w:rsidR="006D7253">
        <w:rPr>
          <w:rFonts w:ascii="Arial" w:hAnsi="Arial" w:cs="Arial"/>
          <w:sz w:val="24"/>
          <w:szCs w:val="24"/>
        </w:rPr>
        <w:t>arbitrary</w:t>
      </w:r>
      <w:r w:rsidR="00AE5D73">
        <w:rPr>
          <w:rFonts w:ascii="Arial" w:hAnsi="Arial" w:cs="Arial"/>
          <w:sz w:val="24"/>
          <w:szCs w:val="24"/>
        </w:rPr>
        <w:t xml:space="preserve"> and </w:t>
      </w:r>
      <w:r w:rsidR="00364162">
        <w:rPr>
          <w:rFonts w:ascii="Arial" w:hAnsi="Arial" w:cs="Arial"/>
          <w:sz w:val="24"/>
          <w:szCs w:val="24"/>
        </w:rPr>
        <w:t>deprives</w:t>
      </w:r>
      <w:r w:rsidR="006D7253">
        <w:rPr>
          <w:rFonts w:ascii="Arial" w:hAnsi="Arial" w:cs="Arial"/>
          <w:sz w:val="24"/>
          <w:szCs w:val="24"/>
        </w:rPr>
        <w:t xml:space="preserve"> owners</w:t>
      </w:r>
      <w:r w:rsidR="00FA3A68">
        <w:rPr>
          <w:rFonts w:ascii="Arial" w:hAnsi="Arial" w:cs="Arial"/>
          <w:sz w:val="24"/>
          <w:szCs w:val="24"/>
        </w:rPr>
        <w:t xml:space="preserve"> of lawfully acquired property</w:t>
      </w:r>
      <w:r w:rsidR="006D7253">
        <w:rPr>
          <w:rFonts w:ascii="Arial" w:hAnsi="Arial" w:cs="Arial"/>
          <w:sz w:val="24"/>
          <w:szCs w:val="24"/>
        </w:rPr>
        <w:t xml:space="preserve"> </w:t>
      </w:r>
      <w:r w:rsidR="00E95FBD">
        <w:rPr>
          <w:rFonts w:ascii="Arial" w:hAnsi="Arial" w:cs="Arial"/>
          <w:sz w:val="24"/>
          <w:szCs w:val="24"/>
        </w:rPr>
        <w:t xml:space="preserve">of their rights </w:t>
      </w:r>
      <w:r w:rsidR="00FA3A68">
        <w:rPr>
          <w:rFonts w:ascii="Arial" w:hAnsi="Arial" w:cs="Arial"/>
          <w:sz w:val="24"/>
          <w:szCs w:val="24"/>
        </w:rPr>
        <w:t xml:space="preserve">to that property </w:t>
      </w:r>
      <w:r w:rsidR="006D7253">
        <w:rPr>
          <w:rFonts w:ascii="Arial" w:hAnsi="Arial" w:cs="Arial"/>
          <w:sz w:val="24"/>
          <w:szCs w:val="24"/>
        </w:rPr>
        <w:t xml:space="preserve">without </w:t>
      </w:r>
      <w:r w:rsidR="00E95FBD">
        <w:rPr>
          <w:rFonts w:ascii="Arial" w:hAnsi="Arial" w:cs="Arial"/>
          <w:sz w:val="24"/>
          <w:szCs w:val="24"/>
        </w:rPr>
        <w:t>providing</w:t>
      </w:r>
      <w:r w:rsidR="006D7253">
        <w:rPr>
          <w:rFonts w:ascii="Arial" w:hAnsi="Arial" w:cs="Arial"/>
          <w:sz w:val="24"/>
          <w:szCs w:val="24"/>
        </w:rPr>
        <w:t xml:space="preserve"> sufficient reasons</w:t>
      </w:r>
      <w:r w:rsidR="000B436E">
        <w:rPr>
          <w:rFonts w:ascii="Arial" w:hAnsi="Arial" w:cs="Arial"/>
          <w:sz w:val="24"/>
          <w:szCs w:val="24"/>
        </w:rPr>
        <w:t xml:space="preserve"> therefor</w:t>
      </w:r>
      <w:r w:rsidR="00AE5D73">
        <w:rPr>
          <w:rFonts w:ascii="Arial" w:hAnsi="Arial" w:cs="Arial"/>
          <w:sz w:val="24"/>
          <w:szCs w:val="24"/>
        </w:rPr>
        <w:t xml:space="preserve">. </w:t>
      </w:r>
    </w:p>
    <w:p w:rsidR="000716B7" w:rsidRPr="000716B7" w:rsidRDefault="000716B7" w:rsidP="000716B7">
      <w:pPr>
        <w:pStyle w:val="ListParagraph"/>
        <w:rPr>
          <w:rFonts w:ascii="Arial" w:hAnsi="Arial" w:cs="Arial"/>
          <w:sz w:val="24"/>
          <w:szCs w:val="24"/>
        </w:rPr>
      </w:pPr>
    </w:p>
    <w:p w:rsidR="000716B7" w:rsidRDefault="000716B7"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We are of the view that </w:t>
      </w:r>
      <w:r w:rsidR="00427243">
        <w:rPr>
          <w:rFonts w:ascii="Arial" w:hAnsi="Arial" w:cs="Arial"/>
          <w:sz w:val="24"/>
          <w:szCs w:val="24"/>
        </w:rPr>
        <w:t xml:space="preserve">the </w:t>
      </w:r>
      <w:r>
        <w:rPr>
          <w:rFonts w:ascii="Arial" w:hAnsi="Arial" w:cs="Arial"/>
          <w:sz w:val="24"/>
          <w:szCs w:val="24"/>
        </w:rPr>
        <w:t xml:space="preserve">current matter is a telling example </w:t>
      </w:r>
      <w:r w:rsidR="00427243">
        <w:rPr>
          <w:rFonts w:ascii="Arial" w:hAnsi="Arial" w:cs="Arial"/>
          <w:sz w:val="24"/>
          <w:szCs w:val="24"/>
        </w:rPr>
        <w:t xml:space="preserve">of </w:t>
      </w:r>
      <w:r>
        <w:rPr>
          <w:rFonts w:ascii="Arial" w:hAnsi="Arial" w:cs="Arial"/>
          <w:sz w:val="24"/>
          <w:szCs w:val="24"/>
        </w:rPr>
        <w:t xml:space="preserve">how </w:t>
      </w:r>
      <w:r w:rsidR="006D7253">
        <w:rPr>
          <w:rFonts w:ascii="Arial" w:hAnsi="Arial" w:cs="Arial"/>
          <w:sz w:val="24"/>
          <w:szCs w:val="24"/>
        </w:rPr>
        <w:t>arbitrary</w:t>
      </w:r>
      <w:r>
        <w:rPr>
          <w:rFonts w:ascii="Arial" w:hAnsi="Arial" w:cs="Arial"/>
          <w:sz w:val="24"/>
          <w:szCs w:val="24"/>
        </w:rPr>
        <w:t xml:space="preserve"> the definition is.</w:t>
      </w:r>
    </w:p>
    <w:p w:rsidR="006D7253" w:rsidRPr="006D7253" w:rsidRDefault="006D7253" w:rsidP="006D7253">
      <w:pPr>
        <w:pStyle w:val="ListParagraph"/>
        <w:rPr>
          <w:rFonts w:ascii="Arial" w:hAnsi="Arial" w:cs="Arial"/>
          <w:sz w:val="24"/>
          <w:szCs w:val="24"/>
        </w:rPr>
      </w:pPr>
    </w:p>
    <w:p w:rsidR="00F82B17" w:rsidRDefault="006D7253" w:rsidP="008E3B7C">
      <w:pPr>
        <w:pStyle w:val="ListParagraph"/>
        <w:numPr>
          <w:ilvl w:val="0"/>
          <w:numId w:val="45"/>
        </w:numPr>
        <w:spacing w:after="0" w:line="360" w:lineRule="auto"/>
        <w:ind w:left="0" w:firstLine="0"/>
        <w:jc w:val="both"/>
        <w:rPr>
          <w:rFonts w:ascii="Arial" w:hAnsi="Arial" w:cs="Arial"/>
          <w:sz w:val="24"/>
          <w:szCs w:val="24"/>
        </w:rPr>
      </w:pPr>
      <w:r w:rsidRPr="00F75D00">
        <w:rPr>
          <w:rFonts w:ascii="Arial" w:hAnsi="Arial" w:cs="Arial"/>
          <w:sz w:val="24"/>
          <w:szCs w:val="24"/>
        </w:rPr>
        <w:t xml:space="preserve">Due to the fact that the definition of ‘proceeds of unlawful activities’ appears in s 1 of POCA and not in Chapter 6 where ‘proceeds of unlawful activities’ are employed to preserve and forfeit, one </w:t>
      </w:r>
      <w:r w:rsidR="00364162">
        <w:rPr>
          <w:rFonts w:ascii="Arial" w:hAnsi="Arial" w:cs="Arial"/>
          <w:sz w:val="24"/>
          <w:szCs w:val="24"/>
        </w:rPr>
        <w:t>tends</w:t>
      </w:r>
      <w:r w:rsidRPr="00F75D00">
        <w:rPr>
          <w:rFonts w:ascii="Arial" w:hAnsi="Arial" w:cs="Arial"/>
          <w:sz w:val="24"/>
          <w:szCs w:val="24"/>
        </w:rPr>
        <w:t xml:space="preserve"> to overlook the fact that </w:t>
      </w:r>
      <w:r w:rsidR="00F75D00" w:rsidRPr="00F75D00">
        <w:rPr>
          <w:rFonts w:ascii="Arial" w:hAnsi="Arial" w:cs="Arial"/>
          <w:sz w:val="24"/>
          <w:szCs w:val="24"/>
        </w:rPr>
        <w:t>POCA</w:t>
      </w:r>
      <w:r w:rsidRPr="00F75D00">
        <w:rPr>
          <w:rFonts w:ascii="Arial" w:hAnsi="Arial" w:cs="Arial"/>
          <w:sz w:val="24"/>
          <w:szCs w:val="24"/>
        </w:rPr>
        <w:t xml:space="preserve"> does not comply with Article 22 of the Constitution concerning the impugned part of the definition</w:t>
      </w:r>
      <w:r w:rsidR="00F75D00" w:rsidRPr="00F75D00">
        <w:rPr>
          <w:rFonts w:ascii="Arial" w:hAnsi="Arial" w:cs="Arial"/>
          <w:sz w:val="24"/>
          <w:szCs w:val="24"/>
        </w:rPr>
        <w:t>.</w:t>
      </w:r>
      <w:r w:rsidRPr="00F75D00">
        <w:rPr>
          <w:rFonts w:ascii="Arial" w:hAnsi="Arial" w:cs="Arial"/>
          <w:sz w:val="24"/>
          <w:szCs w:val="24"/>
        </w:rPr>
        <w:t xml:space="preserve"> </w:t>
      </w:r>
    </w:p>
    <w:p w:rsidR="00F75D00" w:rsidRPr="00F75D00" w:rsidRDefault="00F75D00" w:rsidP="00F75D00">
      <w:pPr>
        <w:pStyle w:val="ListParagraph"/>
        <w:rPr>
          <w:rFonts w:ascii="Arial" w:hAnsi="Arial" w:cs="Arial"/>
          <w:sz w:val="24"/>
          <w:szCs w:val="24"/>
        </w:rPr>
      </w:pPr>
    </w:p>
    <w:p w:rsidR="00F82B17" w:rsidRDefault="00F82B17"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Apart from the fact that there is no section in Chapter 6 of the Act </w:t>
      </w:r>
      <w:r w:rsidR="00974F38">
        <w:rPr>
          <w:rFonts w:ascii="Arial" w:hAnsi="Arial" w:cs="Arial"/>
          <w:sz w:val="24"/>
          <w:szCs w:val="24"/>
        </w:rPr>
        <w:t>complying with Article 22</w:t>
      </w:r>
      <w:r w:rsidR="00364162">
        <w:rPr>
          <w:rFonts w:ascii="Arial" w:hAnsi="Arial" w:cs="Arial"/>
          <w:sz w:val="24"/>
          <w:szCs w:val="24"/>
        </w:rPr>
        <w:t>,</w:t>
      </w:r>
      <w:r w:rsidR="00974F38">
        <w:rPr>
          <w:rFonts w:ascii="Arial" w:hAnsi="Arial" w:cs="Arial"/>
          <w:sz w:val="24"/>
          <w:szCs w:val="24"/>
        </w:rPr>
        <w:t xml:space="preserve"> there is also nothing in the Preamble of the Act supplying sufficient reason for the preservation and forfeiture of lawful proceeds. </w:t>
      </w:r>
    </w:p>
    <w:p w:rsidR="00D5701D" w:rsidRDefault="00D5701D" w:rsidP="00D5701D">
      <w:pPr>
        <w:pStyle w:val="ListParagraph"/>
        <w:spacing w:after="0" w:line="360" w:lineRule="auto"/>
        <w:ind w:left="0"/>
        <w:jc w:val="both"/>
        <w:rPr>
          <w:rFonts w:ascii="Arial" w:hAnsi="Arial" w:cs="Arial"/>
          <w:sz w:val="24"/>
          <w:szCs w:val="24"/>
        </w:rPr>
      </w:pPr>
    </w:p>
    <w:p w:rsidR="00AC4B02" w:rsidRPr="00D5701D" w:rsidRDefault="00D5701D" w:rsidP="00AC4B02">
      <w:pPr>
        <w:pStyle w:val="ListParagraph"/>
        <w:spacing w:after="0" w:line="360" w:lineRule="auto"/>
        <w:ind w:left="0"/>
        <w:jc w:val="both"/>
        <w:rPr>
          <w:rFonts w:ascii="Arial" w:hAnsi="Arial" w:cs="Arial"/>
          <w:i/>
          <w:sz w:val="24"/>
          <w:szCs w:val="24"/>
        </w:rPr>
      </w:pPr>
      <w:r w:rsidRPr="00D5701D">
        <w:rPr>
          <w:rFonts w:ascii="Arial" w:hAnsi="Arial" w:cs="Arial"/>
          <w:i/>
          <w:sz w:val="24"/>
          <w:szCs w:val="24"/>
        </w:rPr>
        <w:t>Co-mingling</w:t>
      </w:r>
    </w:p>
    <w:p w:rsidR="00D5701D" w:rsidRDefault="00D5701D" w:rsidP="00AC4B02">
      <w:pPr>
        <w:pStyle w:val="ListParagraph"/>
        <w:spacing w:after="0" w:line="360" w:lineRule="auto"/>
        <w:ind w:left="0"/>
        <w:jc w:val="both"/>
        <w:rPr>
          <w:rFonts w:ascii="Arial" w:hAnsi="Arial" w:cs="Arial"/>
          <w:sz w:val="24"/>
          <w:szCs w:val="24"/>
        </w:rPr>
      </w:pPr>
    </w:p>
    <w:p w:rsidR="007628A9" w:rsidRDefault="00AE5D73"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In the current instance</w:t>
      </w:r>
      <w:r w:rsidR="00197CFD">
        <w:rPr>
          <w:rFonts w:ascii="Arial" w:hAnsi="Arial" w:cs="Arial"/>
          <w:sz w:val="24"/>
          <w:szCs w:val="24"/>
        </w:rPr>
        <w:t>,</w:t>
      </w:r>
      <w:r>
        <w:rPr>
          <w:rFonts w:ascii="Arial" w:hAnsi="Arial" w:cs="Arial"/>
          <w:sz w:val="24"/>
          <w:szCs w:val="24"/>
        </w:rPr>
        <w:t xml:space="preserve"> the respondents </w:t>
      </w:r>
      <w:r w:rsidR="00427243">
        <w:rPr>
          <w:rFonts w:ascii="Arial" w:hAnsi="Arial" w:cs="Arial"/>
          <w:sz w:val="24"/>
          <w:szCs w:val="24"/>
        </w:rPr>
        <w:t>aver</w:t>
      </w:r>
      <w:r w:rsidR="000716B7">
        <w:rPr>
          <w:rFonts w:ascii="Arial" w:hAnsi="Arial" w:cs="Arial"/>
          <w:sz w:val="24"/>
          <w:szCs w:val="24"/>
        </w:rPr>
        <w:t xml:space="preserve"> that the applicants should have known that the sale of their property to BIPA was unlawful as the </w:t>
      </w:r>
      <w:r w:rsidR="00427243">
        <w:rPr>
          <w:rFonts w:ascii="Arial" w:hAnsi="Arial" w:cs="Arial"/>
          <w:sz w:val="24"/>
          <w:szCs w:val="24"/>
        </w:rPr>
        <w:t>market-related</w:t>
      </w:r>
      <w:r w:rsidR="000716B7">
        <w:rPr>
          <w:rFonts w:ascii="Arial" w:hAnsi="Arial" w:cs="Arial"/>
          <w:sz w:val="24"/>
          <w:szCs w:val="24"/>
        </w:rPr>
        <w:t xml:space="preserve"> value o</w:t>
      </w:r>
      <w:r w:rsidR="008C05B0">
        <w:rPr>
          <w:rFonts w:ascii="Arial" w:hAnsi="Arial" w:cs="Arial"/>
          <w:sz w:val="24"/>
          <w:szCs w:val="24"/>
        </w:rPr>
        <w:t>f</w:t>
      </w:r>
      <w:r w:rsidR="000716B7">
        <w:rPr>
          <w:rFonts w:ascii="Arial" w:hAnsi="Arial" w:cs="Arial"/>
          <w:sz w:val="24"/>
          <w:szCs w:val="24"/>
        </w:rPr>
        <w:t xml:space="preserve"> the property was N$4 500 000 yet they sold it for N$18 000 000 and as a result of an </w:t>
      </w:r>
      <w:r w:rsidR="000716B7">
        <w:rPr>
          <w:rFonts w:ascii="Arial" w:hAnsi="Arial" w:cs="Arial"/>
          <w:sz w:val="24"/>
          <w:szCs w:val="24"/>
        </w:rPr>
        <w:lastRenderedPageBreak/>
        <w:t xml:space="preserve">illegal and unlawful agreement the amount of N$18 000 000 was received by the applicants. </w:t>
      </w:r>
    </w:p>
    <w:p w:rsidR="00F44C6A" w:rsidRPr="00F44C6A" w:rsidRDefault="00F44C6A" w:rsidP="00F44C6A">
      <w:pPr>
        <w:pStyle w:val="ListParagraph"/>
        <w:rPr>
          <w:rFonts w:ascii="Arial" w:hAnsi="Arial" w:cs="Arial"/>
          <w:sz w:val="24"/>
          <w:szCs w:val="24"/>
        </w:rPr>
      </w:pPr>
    </w:p>
    <w:p w:rsidR="00F44C6A" w:rsidRDefault="00974F38"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Applicants</w:t>
      </w:r>
      <w:r w:rsidR="000716B7">
        <w:rPr>
          <w:rFonts w:ascii="Arial" w:hAnsi="Arial" w:cs="Arial"/>
          <w:sz w:val="24"/>
          <w:szCs w:val="24"/>
        </w:rPr>
        <w:t xml:space="preserve"> did not only lose their property </w:t>
      </w:r>
      <w:r w:rsidR="00EE6A59">
        <w:rPr>
          <w:rFonts w:ascii="Arial" w:hAnsi="Arial" w:cs="Arial"/>
          <w:sz w:val="24"/>
          <w:szCs w:val="24"/>
        </w:rPr>
        <w:t xml:space="preserve">and the proceeds of the sale but also the funds that were in their accounts prior to receiving the N$18 000 000. There is no allegation that </w:t>
      </w:r>
      <w:r w:rsidR="00427243">
        <w:rPr>
          <w:rFonts w:ascii="Arial" w:hAnsi="Arial" w:cs="Arial"/>
          <w:sz w:val="24"/>
          <w:szCs w:val="24"/>
        </w:rPr>
        <w:t xml:space="preserve">the </w:t>
      </w:r>
      <w:r w:rsidR="00EE6A59">
        <w:rPr>
          <w:rFonts w:ascii="Arial" w:hAnsi="Arial" w:cs="Arial"/>
          <w:sz w:val="24"/>
          <w:szCs w:val="24"/>
        </w:rPr>
        <w:t xml:space="preserve">positive balance </w:t>
      </w:r>
      <w:r w:rsidR="00EE6A59" w:rsidRPr="001E4271">
        <w:rPr>
          <w:rFonts w:ascii="Arial" w:hAnsi="Arial" w:cs="Arial"/>
          <w:sz w:val="24"/>
          <w:szCs w:val="24"/>
        </w:rPr>
        <w:t>of N$5 478 818.71</w:t>
      </w:r>
      <w:r w:rsidR="00EE6A59">
        <w:rPr>
          <w:rFonts w:ascii="Arial" w:hAnsi="Arial" w:cs="Arial"/>
          <w:sz w:val="24"/>
          <w:szCs w:val="24"/>
        </w:rPr>
        <w:t xml:space="preserve"> in the first applicant’s account was the proceeds of illegal activities. It is not and cannot be disputed that the money was the life</w:t>
      </w:r>
      <w:r w:rsidR="00877A3F">
        <w:rPr>
          <w:rFonts w:ascii="Arial" w:hAnsi="Arial" w:cs="Arial"/>
          <w:sz w:val="24"/>
          <w:szCs w:val="24"/>
        </w:rPr>
        <w:t xml:space="preserve"> </w:t>
      </w:r>
      <w:r w:rsidR="00EE6A59">
        <w:rPr>
          <w:rFonts w:ascii="Arial" w:hAnsi="Arial" w:cs="Arial"/>
          <w:sz w:val="24"/>
          <w:szCs w:val="24"/>
        </w:rPr>
        <w:t xml:space="preserve">saving of the applicants. The effect of the definition as it currently stands is that the money that was in the applicants’ accounts prior to receiving the proceeds of the sale of the immovable property stands to be forfeited. </w:t>
      </w:r>
    </w:p>
    <w:p w:rsidR="00EE6A59" w:rsidRPr="00EE6A59" w:rsidRDefault="00EE6A59" w:rsidP="00EE6A59">
      <w:pPr>
        <w:pStyle w:val="ListParagraph"/>
        <w:rPr>
          <w:rFonts w:ascii="Arial" w:hAnsi="Arial" w:cs="Arial"/>
          <w:sz w:val="24"/>
          <w:szCs w:val="24"/>
        </w:rPr>
      </w:pPr>
    </w:p>
    <w:p w:rsidR="00EE6A59" w:rsidRDefault="00EE6A59"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The descriptive examples mentioned by Mr Heathcote </w:t>
      </w:r>
      <w:r w:rsidR="00974F38">
        <w:rPr>
          <w:rFonts w:ascii="Arial" w:hAnsi="Arial" w:cs="Arial"/>
          <w:sz w:val="24"/>
          <w:szCs w:val="24"/>
        </w:rPr>
        <w:t>concerning</w:t>
      </w:r>
      <w:r>
        <w:rPr>
          <w:rFonts w:ascii="Arial" w:hAnsi="Arial" w:cs="Arial"/>
          <w:sz w:val="24"/>
          <w:szCs w:val="24"/>
        </w:rPr>
        <w:t xml:space="preserve"> the effect of mingling might sound farfetched and ridiculous, however, </w:t>
      </w:r>
      <w:r w:rsidR="00974F38">
        <w:rPr>
          <w:rFonts w:ascii="Arial" w:hAnsi="Arial" w:cs="Arial"/>
          <w:sz w:val="24"/>
          <w:szCs w:val="24"/>
        </w:rPr>
        <w:t xml:space="preserve">it </w:t>
      </w:r>
      <w:r>
        <w:rPr>
          <w:rFonts w:ascii="Arial" w:hAnsi="Arial" w:cs="Arial"/>
          <w:sz w:val="24"/>
          <w:szCs w:val="24"/>
        </w:rPr>
        <w:t xml:space="preserve">is the direct </w:t>
      </w:r>
      <w:r w:rsidR="00E45641">
        <w:rPr>
          <w:rFonts w:ascii="Arial" w:hAnsi="Arial" w:cs="Arial"/>
          <w:sz w:val="24"/>
          <w:szCs w:val="24"/>
        </w:rPr>
        <w:t>result</w:t>
      </w:r>
      <w:r>
        <w:rPr>
          <w:rFonts w:ascii="Arial" w:hAnsi="Arial" w:cs="Arial"/>
          <w:sz w:val="24"/>
          <w:szCs w:val="24"/>
        </w:rPr>
        <w:t xml:space="preserve"> of the impugned portion of </w:t>
      </w:r>
      <w:r w:rsidR="000B3A7B">
        <w:rPr>
          <w:rFonts w:ascii="Arial" w:hAnsi="Arial" w:cs="Arial"/>
          <w:sz w:val="24"/>
          <w:szCs w:val="24"/>
        </w:rPr>
        <w:t xml:space="preserve">the </w:t>
      </w:r>
      <w:r>
        <w:rPr>
          <w:rFonts w:ascii="Arial" w:hAnsi="Arial" w:cs="Arial"/>
          <w:sz w:val="24"/>
          <w:szCs w:val="24"/>
        </w:rPr>
        <w:t>definition</w:t>
      </w:r>
      <w:r w:rsidR="00974F38">
        <w:rPr>
          <w:rFonts w:ascii="Arial" w:hAnsi="Arial" w:cs="Arial"/>
          <w:sz w:val="24"/>
          <w:szCs w:val="24"/>
        </w:rPr>
        <w:t>.</w:t>
      </w:r>
      <w:r w:rsidR="0057127D">
        <w:rPr>
          <w:rFonts w:ascii="Arial" w:hAnsi="Arial" w:cs="Arial"/>
          <w:sz w:val="24"/>
          <w:szCs w:val="24"/>
        </w:rPr>
        <w:t xml:space="preserve"> </w:t>
      </w:r>
      <w:r w:rsidR="00F75D00">
        <w:rPr>
          <w:rFonts w:ascii="Arial" w:hAnsi="Arial" w:cs="Arial"/>
          <w:sz w:val="24"/>
          <w:szCs w:val="24"/>
        </w:rPr>
        <w:t xml:space="preserve">The strict application </w:t>
      </w:r>
      <w:r w:rsidR="00E45641">
        <w:rPr>
          <w:rFonts w:ascii="Arial" w:hAnsi="Arial" w:cs="Arial"/>
          <w:sz w:val="24"/>
          <w:szCs w:val="24"/>
        </w:rPr>
        <w:t>of the definition</w:t>
      </w:r>
      <w:r w:rsidR="00F75D00">
        <w:rPr>
          <w:rFonts w:ascii="Arial" w:hAnsi="Arial" w:cs="Arial"/>
          <w:sz w:val="24"/>
          <w:szCs w:val="24"/>
        </w:rPr>
        <w:t xml:space="preserve"> </w:t>
      </w:r>
      <w:r w:rsidR="00E45641">
        <w:rPr>
          <w:rFonts w:ascii="Arial" w:hAnsi="Arial" w:cs="Arial"/>
          <w:sz w:val="24"/>
          <w:szCs w:val="24"/>
        </w:rPr>
        <w:t>would</w:t>
      </w:r>
      <w:r w:rsidR="000B3A7B">
        <w:rPr>
          <w:rFonts w:ascii="Arial" w:hAnsi="Arial" w:cs="Arial"/>
          <w:sz w:val="24"/>
          <w:szCs w:val="24"/>
        </w:rPr>
        <w:t xml:space="preserve"> </w:t>
      </w:r>
      <w:r w:rsidR="00E45641">
        <w:rPr>
          <w:rFonts w:ascii="Arial" w:hAnsi="Arial" w:cs="Arial"/>
          <w:sz w:val="24"/>
          <w:szCs w:val="24"/>
        </w:rPr>
        <w:t xml:space="preserve">cause all the money </w:t>
      </w:r>
      <w:r w:rsidR="000B3A7B">
        <w:rPr>
          <w:rFonts w:ascii="Arial" w:hAnsi="Arial" w:cs="Arial"/>
          <w:sz w:val="24"/>
          <w:szCs w:val="24"/>
        </w:rPr>
        <w:t>of the bank, to be proceeds of unlawful activities</w:t>
      </w:r>
      <w:r w:rsidR="00F75D00">
        <w:rPr>
          <w:rFonts w:ascii="Arial" w:hAnsi="Arial" w:cs="Arial"/>
          <w:sz w:val="24"/>
          <w:szCs w:val="24"/>
        </w:rPr>
        <w:t xml:space="preserve"> upon the deposit of the proceeds of the sale into the bank account of the applicants.</w:t>
      </w:r>
      <w:r w:rsidR="000B3A7B">
        <w:rPr>
          <w:rFonts w:ascii="Arial" w:hAnsi="Arial" w:cs="Arial"/>
          <w:sz w:val="24"/>
          <w:szCs w:val="24"/>
        </w:rPr>
        <w:t xml:space="preserve"> </w:t>
      </w:r>
      <w:r w:rsidR="00F75D00">
        <w:rPr>
          <w:rFonts w:ascii="Arial" w:hAnsi="Arial" w:cs="Arial"/>
          <w:sz w:val="24"/>
          <w:szCs w:val="24"/>
        </w:rPr>
        <w:t xml:space="preserve">It is common law that money deposited in a bank account becomes the property of the bank, and the beneficiary of the deposit only has a claim against the bank in the amount of </w:t>
      </w:r>
      <w:r w:rsidR="00F75D00" w:rsidRPr="00E25E0F">
        <w:rPr>
          <w:rFonts w:ascii="Arial" w:hAnsi="Arial" w:cs="Arial"/>
          <w:sz w:val="24"/>
          <w:szCs w:val="24"/>
        </w:rPr>
        <w:t>the deposit.</w:t>
      </w:r>
      <w:r w:rsidR="00E25E0F" w:rsidRPr="00E25E0F">
        <w:rPr>
          <w:rStyle w:val="FootnoteReference"/>
          <w:rFonts w:ascii="Arial" w:hAnsi="Arial" w:cs="Arial"/>
          <w:sz w:val="24"/>
          <w:szCs w:val="24"/>
        </w:rPr>
        <w:footnoteReference w:id="32"/>
      </w:r>
    </w:p>
    <w:p w:rsidR="000B3A7B" w:rsidRPr="000B3A7B" w:rsidRDefault="000B3A7B" w:rsidP="000B3A7B">
      <w:pPr>
        <w:pStyle w:val="ListParagraph"/>
        <w:rPr>
          <w:rFonts w:ascii="Arial" w:hAnsi="Arial" w:cs="Arial"/>
          <w:sz w:val="24"/>
          <w:szCs w:val="24"/>
        </w:rPr>
      </w:pPr>
    </w:p>
    <w:p w:rsidR="000B3A7B" w:rsidRDefault="000B3A7B"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The respondents seem to argue that the accounts paid by the first applicant from his account after receiving the </w:t>
      </w:r>
      <w:r w:rsidR="00427243">
        <w:rPr>
          <w:rFonts w:ascii="Arial" w:hAnsi="Arial" w:cs="Arial"/>
          <w:sz w:val="24"/>
          <w:szCs w:val="24"/>
        </w:rPr>
        <w:t>proceeds of the sale of the property to have come from the ‘clean’ money leaving only N$671 618.71 to co-mingle with the proceeds of unlawful activities. However, if only one dollar of the</w:t>
      </w:r>
      <w:r w:rsidR="002C3CFD">
        <w:rPr>
          <w:rFonts w:ascii="Arial" w:hAnsi="Arial" w:cs="Arial"/>
          <w:sz w:val="24"/>
          <w:szCs w:val="24"/>
        </w:rPr>
        <w:t xml:space="preserve"> tainted money</w:t>
      </w:r>
      <w:r w:rsidR="00427243">
        <w:rPr>
          <w:rFonts w:ascii="Arial" w:hAnsi="Arial" w:cs="Arial"/>
          <w:sz w:val="24"/>
          <w:szCs w:val="24"/>
        </w:rPr>
        <w:t xml:space="preserve"> mingles with </w:t>
      </w:r>
      <w:r w:rsidR="002C3CFD">
        <w:rPr>
          <w:rFonts w:ascii="Arial" w:hAnsi="Arial" w:cs="Arial"/>
          <w:sz w:val="24"/>
          <w:szCs w:val="24"/>
        </w:rPr>
        <w:t xml:space="preserve">other moneys it would cause it all to be tainted. This is why the example of a thief putting one stolen dollar in the collection plate at church </w:t>
      </w:r>
      <w:r w:rsidR="00575136">
        <w:rPr>
          <w:rFonts w:ascii="Arial" w:hAnsi="Arial" w:cs="Arial"/>
          <w:sz w:val="24"/>
          <w:szCs w:val="24"/>
        </w:rPr>
        <w:t>causing</w:t>
      </w:r>
      <w:r w:rsidR="002C3CFD">
        <w:rPr>
          <w:rFonts w:ascii="Arial" w:hAnsi="Arial" w:cs="Arial"/>
          <w:sz w:val="24"/>
          <w:szCs w:val="24"/>
        </w:rPr>
        <w:t xml:space="preserve"> all the money of that church to be ‘proceeds of unlaw</w:t>
      </w:r>
      <w:r w:rsidR="00CC3EC7">
        <w:rPr>
          <w:rFonts w:ascii="Arial" w:hAnsi="Arial" w:cs="Arial"/>
          <w:sz w:val="24"/>
          <w:szCs w:val="24"/>
        </w:rPr>
        <w:t>f</w:t>
      </w:r>
      <w:r w:rsidR="002C3CFD">
        <w:rPr>
          <w:rFonts w:ascii="Arial" w:hAnsi="Arial" w:cs="Arial"/>
          <w:sz w:val="24"/>
          <w:szCs w:val="24"/>
        </w:rPr>
        <w:t>ul activity’</w:t>
      </w:r>
      <w:r w:rsidR="00575136">
        <w:rPr>
          <w:rFonts w:ascii="Arial" w:hAnsi="Arial" w:cs="Arial"/>
          <w:sz w:val="24"/>
          <w:szCs w:val="24"/>
        </w:rPr>
        <w:t xml:space="preserve"> is not so farfetched</w:t>
      </w:r>
      <w:r w:rsidR="002C3CFD">
        <w:rPr>
          <w:rFonts w:ascii="Arial" w:hAnsi="Arial" w:cs="Arial"/>
          <w:sz w:val="24"/>
          <w:szCs w:val="24"/>
        </w:rPr>
        <w:t>.</w:t>
      </w:r>
      <w:r w:rsidR="004A72AD">
        <w:rPr>
          <w:rFonts w:ascii="Arial" w:hAnsi="Arial" w:cs="Arial"/>
          <w:sz w:val="24"/>
          <w:szCs w:val="24"/>
        </w:rPr>
        <w:t xml:space="preserve"> The church’s money then stands to be preserved and ultimately to be forfeited</w:t>
      </w:r>
      <w:r w:rsidR="00197CFD">
        <w:rPr>
          <w:rFonts w:ascii="Arial" w:hAnsi="Arial" w:cs="Arial"/>
          <w:sz w:val="24"/>
          <w:szCs w:val="24"/>
        </w:rPr>
        <w:t xml:space="preserve"> in terms of the interpretation of the relevant provisions of POCA as argued by the respondents.</w:t>
      </w:r>
    </w:p>
    <w:p w:rsidR="00427243" w:rsidRPr="00427243" w:rsidRDefault="00427243" w:rsidP="00427243">
      <w:pPr>
        <w:pStyle w:val="ListParagraph"/>
        <w:rPr>
          <w:rFonts w:ascii="Arial" w:hAnsi="Arial" w:cs="Arial"/>
          <w:sz w:val="24"/>
          <w:szCs w:val="24"/>
        </w:rPr>
      </w:pPr>
    </w:p>
    <w:p w:rsidR="00427243" w:rsidRDefault="004A72AD"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lastRenderedPageBreak/>
        <w:t>Civil forfeiture is not meant to be punitive but rather remedial</w:t>
      </w:r>
      <w:r w:rsidR="00F75D00">
        <w:rPr>
          <w:rFonts w:ascii="Arial" w:hAnsi="Arial" w:cs="Arial"/>
          <w:sz w:val="24"/>
          <w:szCs w:val="24"/>
        </w:rPr>
        <w:t>.</w:t>
      </w:r>
      <w:r w:rsidR="00D8263B">
        <w:rPr>
          <w:rStyle w:val="FootnoteReference"/>
          <w:rFonts w:ascii="Arial" w:hAnsi="Arial" w:cs="Arial"/>
          <w:sz w:val="24"/>
          <w:szCs w:val="24"/>
        </w:rPr>
        <w:footnoteReference w:id="33"/>
      </w:r>
      <w:r w:rsidR="00F75D00">
        <w:rPr>
          <w:rFonts w:ascii="Arial" w:hAnsi="Arial" w:cs="Arial"/>
          <w:sz w:val="24"/>
          <w:szCs w:val="24"/>
        </w:rPr>
        <w:t xml:space="preserve"> </w:t>
      </w:r>
      <w:r>
        <w:rPr>
          <w:rFonts w:ascii="Arial" w:hAnsi="Arial" w:cs="Arial"/>
          <w:sz w:val="24"/>
          <w:szCs w:val="24"/>
        </w:rPr>
        <w:t xml:space="preserve">The characterization of civil forfeiture </w:t>
      </w:r>
      <w:r w:rsidR="00505864">
        <w:rPr>
          <w:rFonts w:ascii="Arial" w:hAnsi="Arial" w:cs="Arial"/>
          <w:sz w:val="24"/>
          <w:szCs w:val="24"/>
        </w:rPr>
        <w:t xml:space="preserve">as </w:t>
      </w:r>
      <w:r>
        <w:rPr>
          <w:rFonts w:ascii="Arial" w:hAnsi="Arial" w:cs="Arial"/>
          <w:sz w:val="24"/>
          <w:szCs w:val="24"/>
        </w:rPr>
        <w:t>not being punishment</w:t>
      </w:r>
      <w:r w:rsidR="00505864">
        <w:rPr>
          <w:rFonts w:ascii="Arial" w:hAnsi="Arial" w:cs="Arial"/>
          <w:sz w:val="24"/>
          <w:szCs w:val="24"/>
        </w:rPr>
        <w:t xml:space="preserve"> stands, </w:t>
      </w:r>
      <w:r>
        <w:rPr>
          <w:rFonts w:ascii="Arial" w:hAnsi="Arial" w:cs="Arial"/>
          <w:sz w:val="24"/>
          <w:szCs w:val="24"/>
        </w:rPr>
        <w:t xml:space="preserve">however the result of the definition of ‘proceeds of unlawful activity’ causes it to stand in stark contrast with the intended remedial purpose that the Act purports to have. It is irrational to </w:t>
      </w:r>
      <w:r w:rsidR="00974F38">
        <w:rPr>
          <w:rFonts w:ascii="Arial" w:hAnsi="Arial" w:cs="Arial"/>
          <w:sz w:val="24"/>
          <w:szCs w:val="24"/>
        </w:rPr>
        <w:t>preserve</w:t>
      </w:r>
      <w:r>
        <w:rPr>
          <w:rFonts w:ascii="Arial" w:hAnsi="Arial" w:cs="Arial"/>
          <w:sz w:val="24"/>
          <w:szCs w:val="24"/>
        </w:rPr>
        <w:t xml:space="preserve"> or </w:t>
      </w:r>
      <w:r w:rsidR="0070247D">
        <w:rPr>
          <w:rFonts w:ascii="Arial" w:hAnsi="Arial" w:cs="Arial"/>
          <w:sz w:val="24"/>
          <w:szCs w:val="24"/>
        </w:rPr>
        <w:t xml:space="preserve">eventually </w:t>
      </w:r>
      <w:r w:rsidR="00974F38">
        <w:rPr>
          <w:rFonts w:ascii="Arial" w:hAnsi="Arial" w:cs="Arial"/>
          <w:sz w:val="24"/>
          <w:szCs w:val="24"/>
        </w:rPr>
        <w:t>forfeit</w:t>
      </w:r>
      <w:r>
        <w:rPr>
          <w:rFonts w:ascii="Arial" w:hAnsi="Arial" w:cs="Arial"/>
          <w:sz w:val="24"/>
          <w:szCs w:val="24"/>
        </w:rPr>
        <w:t xml:space="preserve"> millions of ‘clean’ money</w:t>
      </w:r>
      <w:r w:rsidR="00A83CD2">
        <w:rPr>
          <w:rFonts w:ascii="Arial" w:hAnsi="Arial" w:cs="Arial"/>
          <w:sz w:val="24"/>
          <w:szCs w:val="24"/>
        </w:rPr>
        <w:t xml:space="preserve"> </w:t>
      </w:r>
      <w:r>
        <w:rPr>
          <w:rFonts w:ascii="Arial" w:hAnsi="Arial" w:cs="Arial"/>
          <w:sz w:val="24"/>
          <w:szCs w:val="24"/>
        </w:rPr>
        <w:t xml:space="preserve">because of tainted, perceived or real, </w:t>
      </w:r>
      <w:r w:rsidR="00A83CD2">
        <w:rPr>
          <w:rFonts w:ascii="Arial" w:hAnsi="Arial" w:cs="Arial"/>
          <w:sz w:val="24"/>
          <w:szCs w:val="24"/>
        </w:rPr>
        <w:t xml:space="preserve">money (the one-dollar example above) that </w:t>
      </w:r>
      <w:r w:rsidR="000E6DED">
        <w:rPr>
          <w:rFonts w:ascii="Arial" w:hAnsi="Arial" w:cs="Arial"/>
          <w:sz w:val="24"/>
          <w:szCs w:val="24"/>
        </w:rPr>
        <w:t>was</w:t>
      </w:r>
      <w:r w:rsidR="00A83CD2">
        <w:rPr>
          <w:rFonts w:ascii="Arial" w:hAnsi="Arial" w:cs="Arial"/>
          <w:sz w:val="24"/>
          <w:szCs w:val="24"/>
        </w:rPr>
        <w:t xml:space="preserve"> mixed with the untainted millions.</w:t>
      </w:r>
      <w:r w:rsidR="00C22F86">
        <w:rPr>
          <w:rFonts w:ascii="Arial" w:hAnsi="Arial" w:cs="Arial"/>
          <w:sz w:val="24"/>
          <w:szCs w:val="24"/>
        </w:rPr>
        <w:t xml:space="preserve"> This amounts to punishment.</w:t>
      </w:r>
      <w:r w:rsidR="00A83CD2">
        <w:rPr>
          <w:rFonts w:ascii="Arial" w:hAnsi="Arial" w:cs="Arial"/>
          <w:sz w:val="24"/>
          <w:szCs w:val="24"/>
        </w:rPr>
        <w:t xml:space="preserve"> </w:t>
      </w:r>
      <w:r w:rsidR="00C22F86">
        <w:rPr>
          <w:rFonts w:ascii="Arial" w:hAnsi="Arial" w:cs="Arial"/>
          <w:sz w:val="24"/>
          <w:szCs w:val="24"/>
        </w:rPr>
        <w:t xml:space="preserve">We are cognizant of the fact that although the Act is remedial it does not mean that it does not have a punitive dimension. </w:t>
      </w:r>
      <w:r w:rsidR="0038534F">
        <w:rPr>
          <w:rFonts w:ascii="Arial" w:hAnsi="Arial" w:cs="Arial"/>
          <w:sz w:val="24"/>
          <w:szCs w:val="24"/>
        </w:rPr>
        <w:t>It would</w:t>
      </w:r>
      <w:r w:rsidR="00877A3F">
        <w:rPr>
          <w:rFonts w:ascii="Arial" w:hAnsi="Arial" w:cs="Arial"/>
          <w:sz w:val="24"/>
          <w:szCs w:val="24"/>
        </w:rPr>
        <w:t>,</w:t>
      </w:r>
      <w:r w:rsidR="0038534F">
        <w:rPr>
          <w:rFonts w:ascii="Arial" w:hAnsi="Arial" w:cs="Arial"/>
          <w:sz w:val="24"/>
          <w:szCs w:val="24"/>
        </w:rPr>
        <w:t xml:space="preserve"> however</w:t>
      </w:r>
      <w:r w:rsidR="00877A3F">
        <w:rPr>
          <w:rFonts w:ascii="Arial" w:hAnsi="Arial" w:cs="Arial"/>
          <w:sz w:val="24"/>
          <w:szCs w:val="24"/>
        </w:rPr>
        <w:t>,</w:t>
      </w:r>
      <w:r w:rsidR="0038534F">
        <w:rPr>
          <w:rFonts w:ascii="Arial" w:hAnsi="Arial" w:cs="Arial"/>
          <w:sz w:val="24"/>
          <w:szCs w:val="24"/>
        </w:rPr>
        <w:t xml:space="preserve"> be </w:t>
      </w:r>
      <w:r w:rsidR="00C22F86">
        <w:rPr>
          <w:rFonts w:ascii="Arial" w:hAnsi="Arial" w:cs="Arial"/>
          <w:sz w:val="24"/>
          <w:szCs w:val="24"/>
        </w:rPr>
        <w:t xml:space="preserve">irrational to punish </w:t>
      </w:r>
      <w:r w:rsidR="00C7211A">
        <w:rPr>
          <w:rFonts w:ascii="Arial" w:hAnsi="Arial" w:cs="Arial"/>
          <w:sz w:val="24"/>
          <w:szCs w:val="24"/>
        </w:rPr>
        <w:t xml:space="preserve">the applicants </w:t>
      </w:r>
      <w:r w:rsidR="00C22F86">
        <w:rPr>
          <w:rFonts w:ascii="Arial" w:hAnsi="Arial" w:cs="Arial"/>
          <w:sz w:val="24"/>
          <w:szCs w:val="24"/>
        </w:rPr>
        <w:t xml:space="preserve">if the object of civil forfeiture is </w:t>
      </w:r>
      <w:r w:rsidR="00C7211A">
        <w:rPr>
          <w:rFonts w:ascii="Arial" w:hAnsi="Arial" w:cs="Arial"/>
          <w:sz w:val="24"/>
          <w:szCs w:val="24"/>
        </w:rPr>
        <w:t>precisely the opposite.</w:t>
      </w:r>
    </w:p>
    <w:p w:rsidR="00B820F1" w:rsidRPr="00B820F1" w:rsidRDefault="00B820F1" w:rsidP="00B820F1">
      <w:pPr>
        <w:pStyle w:val="ListParagraph"/>
        <w:rPr>
          <w:rFonts w:ascii="Arial" w:hAnsi="Arial" w:cs="Arial"/>
          <w:sz w:val="24"/>
          <w:szCs w:val="24"/>
        </w:rPr>
      </w:pPr>
    </w:p>
    <w:p w:rsidR="00701B5E" w:rsidRDefault="00B820F1"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The respondents are of the view that the mingling of proceeds would not</w:t>
      </w:r>
      <w:r w:rsidR="00DF14BF">
        <w:rPr>
          <w:rFonts w:ascii="Arial" w:hAnsi="Arial" w:cs="Arial"/>
          <w:sz w:val="24"/>
          <w:szCs w:val="24"/>
        </w:rPr>
        <w:t xml:space="preserve"> automatically render</w:t>
      </w:r>
      <w:r>
        <w:rPr>
          <w:rFonts w:ascii="Arial" w:hAnsi="Arial" w:cs="Arial"/>
          <w:sz w:val="24"/>
          <w:szCs w:val="24"/>
        </w:rPr>
        <w:t xml:space="preserve"> all mingled funds liable for forfeiture, on the basis that they all constitute the proceeds of an offence. The respondents submit that in determining whether such mingled funds are to be declared forfeited, a court will have regard to the principle of proportionality. </w:t>
      </w:r>
      <w:r w:rsidR="00701B5E">
        <w:rPr>
          <w:rFonts w:ascii="Arial" w:hAnsi="Arial" w:cs="Arial"/>
          <w:sz w:val="24"/>
          <w:szCs w:val="24"/>
        </w:rPr>
        <w:t xml:space="preserve">Therefore, if proceeds </w:t>
      </w:r>
      <w:r w:rsidR="006F4571">
        <w:rPr>
          <w:rFonts w:ascii="Arial" w:hAnsi="Arial" w:cs="Arial"/>
          <w:sz w:val="24"/>
          <w:szCs w:val="24"/>
        </w:rPr>
        <w:t xml:space="preserve">of crime </w:t>
      </w:r>
      <w:r w:rsidR="00701B5E">
        <w:rPr>
          <w:rFonts w:ascii="Arial" w:hAnsi="Arial" w:cs="Arial"/>
          <w:sz w:val="24"/>
          <w:szCs w:val="24"/>
        </w:rPr>
        <w:t xml:space="preserve">for example </w:t>
      </w:r>
      <w:r w:rsidR="006F4571">
        <w:rPr>
          <w:rFonts w:ascii="Arial" w:hAnsi="Arial" w:cs="Arial"/>
          <w:sz w:val="24"/>
          <w:szCs w:val="24"/>
        </w:rPr>
        <w:t xml:space="preserve">of </w:t>
      </w:r>
      <w:r w:rsidR="00701B5E">
        <w:rPr>
          <w:rFonts w:ascii="Arial" w:hAnsi="Arial" w:cs="Arial"/>
          <w:sz w:val="24"/>
          <w:szCs w:val="24"/>
        </w:rPr>
        <w:t>N$1</w:t>
      </w:r>
      <w:r w:rsidR="008E4E91">
        <w:rPr>
          <w:rFonts w:ascii="Arial" w:hAnsi="Arial" w:cs="Arial"/>
          <w:sz w:val="24"/>
          <w:szCs w:val="24"/>
        </w:rPr>
        <w:t xml:space="preserve"> </w:t>
      </w:r>
      <w:r w:rsidR="00701B5E">
        <w:rPr>
          <w:rFonts w:ascii="Arial" w:hAnsi="Arial" w:cs="Arial"/>
          <w:sz w:val="24"/>
          <w:szCs w:val="24"/>
        </w:rPr>
        <w:t>000 is placed in an account containing N$1 000</w:t>
      </w:r>
      <w:r w:rsidR="006F4571">
        <w:rPr>
          <w:rFonts w:ascii="Arial" w:hAnsi="Arial" w:cs="Arial"/>
          <w:sz w:val="24"/>
          <w:szCs w:val="24"/>
        </w:rPr>
        <w:t> </w:t>
      </w:r>
      <w:r w:rsidR="00701B5E">
        <w:rPr>
          <w:rFonts w:ascii="Arial" w:hAnsi="Arial" w:cs="Arial"/>
          <w:sz w:val="24"/>
          <w:szCs w:val="24"/>
        </w:rPr>
        <w:t>000</w:t>
      </w:r>
      <w:r w:rsidR="006F4571">
        <w:rPr>
          <w:rFonts w:ascii="Arial" w:hAnsi="Arial" w:cs="Arial"/>
          <w:sz w:val="24"/>
          <w:szCs w:val="24"/>
        </w:rPr>
        <w:t xml:space="preserve"> of</w:t>
      </w:r>
      <w:r w:rsidR="00701B5E">
        <w:rPr>
          <w:rFonts w:ascii="Arial" w:hAnsi="Arial" w:cs="Arial"/>
          <w:sz w:val="24"/>
          <w:szCs w:val="24"/>
        </w:rPr>
        <w:t xml:space="preserve"> legitimate funds</w:t>
      </w:r>
      <w:r w:rsidR="006F4571">
        <w:rPr>
          <w:rFonts w:ascii="Arial" w:hAnsi="Arial" w:cs="Arial"/>
          <w:sz w:val="24"/>
          <w:szCs w:val="24"/>
        </w:rPr>
        <w:t>,</w:t>
      </w:r>
      <w:r w:rsidR="00701B5E">
        <w:rPr>
          <w:rFonts w:ascii="Arial" w:hAnsi="Arial" w:cs="Arial"/>
          <w:sz w:val="24"/>
          <w:szCs w:val="24"/>
        </w:rPr>
        <w:t xml:space="preserve"> the court will not </w:t>
      </w:r>
      <w:r w:rsidR="006F4571">
        <w:rPr>
          <w:rFonts w:ascii="Arial" w:hAnsi="Arial" w:cs="Arial"/>
          <w:sz w:val="24"/>
          <w:szCs w:val="24"/>
        </w:rPr>
        <w:t xml:space="preserve">issue an </w:t>
      </w:r>
      <w:r w:rsidR="00701B5E">
        <w:rPr>
          <w:rFonts w:ascii="Arial" w:hAnsi="Arial" w:cs="Arial"/>
          <w:sz w:val="24"/>
          <w:szCs w:val="24"/>
        </w:rPr>
        <w:t xml:space="preserve">order forfeiting </w:t>
      </w:r>
      <w:r w:rsidR="006F4571">
        <w:rPr>
          <w:rFonts w:ascii="Arial" w:hAnsi="Arial" w:cs="Arial"/>
          <w:sz w:val="24"/>
          <w:szCs w:val="24"/>
        </w:rPr>
        <w:t xml:space="preserve">the </w:t>
      </w:r>
      <w:r w:rsidR="00701B5E">
        <w:rPr>
          <w:rFonts w:ascii="Arial" w:hAnsi="Arial" w:cs="Arial"/>
          <w:sz w:val="24"/>
          <w:szCs w:val="24"/>
        </w:rPr>
        <w:t xml:space="preserve">N$1 000 100 as </w:t>
      </w:r>
      <w:r w:rsidR="000B187C">
        <w:rPr>
          <w:rFonts w:ascii="Arial" w:hAnsi="Arial" w:cs="Arial"/>
          <w:sz w:val="24"/>
          <w:szCs w:val="24"/>
        </w:rPr>
        <w:t>that</w:t>
      </w:r>
      <w:r w:rsidR="00701B5E">
        <w:rPr>
          <w:rFonts w:ascii="Arial" w:hAnsi="Arial" w:cs="Arial"/>
          <w:sz w:val="24"/>
          <w:szCs w:val="24"/>
        </w:rPr>
        <w:t xml:space="preserve"> would breach the principle of proportionality and would result in arbitrary deprivation of property. Conversely, if proceeds of N$1 000 000 </w:t>
      </w:r>
      <w:r w:rsidR="005C40E6">
        <w:rPr>
          <w:rFonts w:ascii="Arial" w:hAnsi="Arial" w:cs="Arial"/>
          <w:sz w:val="24"/>
          <w:szCs w:val="24"/>
        </w:rPr>
        <w:t>are</w:t>
      </w:r>
      <w:r w:rsidR="00701B5E">
        <w:rPr>
          <w:rFonts w:ascii="Arial" w:hAnsi="Arial" w:cs="Arial"/>
          <w:sz w:val="24"/>
          <w:szCs w:val="24"/>
        </w:rPr>
        <w:t xml:space="preserve"> deposited into an account N$1000 the proceeds are not protected against forfeiture by the mere fact of their having been mingled with legitimate funds. </w:t>
      </w:r>
    </w:p>
    <w:p w:rsidR="0038669F" w:rsidRPr="0038669F" w:rsidRDefault="0038669F" w:rsidP="0038669F">
      <w:pPr>
        <w:pStyle w:val="ListParagraph"/>
        <w:rPr>
          <w:rFonts w:ascii="Arial" w:hAnsi="Arial" w:cs="Arial"/>
          <w:sz w:val="24"/>
          <w:szCs w:val="24"/>
        </w:rPr>
      </w:pPr>
    </w:p>
    <w:p w:rsidR="00197A1A" w:rsidRPr="00544B21" w:rsidRDefault="00B70A01" w:rsidP="00E95FBD">
      <w:pPr>
        <w:pStyle w:val="ListParagraph"/>
        <w:numPr>
          <w:ilvl w:val="0"/>
          <w:numId w:val="45"/>
        </w:numPr>
        <w:spacing w:after="0" w:line="360" w:lineRule="auto"/>
        <w:ind w:left="0" w:firstLine="0"/>
        <w:jc w:val="both"/>
        <w:rPr>
          <w:rFonts w:ascii="Arial" w:hAnsi="Arial" w:cs="Arial"/>
          <w:sz w:val="24"/>
          <w:szCs w:val="24"/>
        </w:rPr>
      </w:pPr>
      <w:r w:rsidRPr="00544B21">
        <w:rPr>
          <w:rFonts w:ascii="Arial" w:hAnsi="Arial" w:cs="Arial"/>
          <w:sz w:val="24"/>
          <w:szCs w:val="24"/>
        </w:rPr>
        <w:t>Interestingly enough</w:t>
      </w:r>
      <w:r w:rsidR="00D70DA9">
        <w:rPr>
          <w:rFonts w:ascii="Arial" w:hAnsi="Arial" w:cs="Arial"/>
          <w:sz w:val="24"/>
          <w:szCs w:val="24"/>
        </w:rPr>
        <w:t>,</w:t>
      </w:r>
      <w:r w:rsidRPr="00544B21">
        <w:rPr>
          <w:rFonts w:ascii="Arial" w:hAnsi="Arial" w:cs="Arial"/>
          <w:sz w:val="24"/>
          <w:szCs w:val="24"/>
        </w:rPr>
        <w:t xml:space="preserve"> in the two scenarios set out </w:t>
      </w:r>
      <w:r w:rsidR="00FD498C" w:rsidRPr="00544B21">
        <w:rPr>
          <w:rFonts w:ascii="Arial" w:hAnsi="Arial" w:cs="Arial"/>
          <w:sz w:val="24"/>
          <w:szCs w:val="24"/>
        </w:rPr>
        <w:t>would result in the exact same outcome</w:t>
      </w:r>
      <w:r w:rsidRPr="00544B21">
        <w:rPr>
          <w:rFonts w:ascii="Arial" w:hAnsi="Arial" w:cs="Arial"/>
          <w:sz w:val="24"/>
          <w:szCs w:val="24"/>
        </w:rPr>
        <w:t>. The money would co-mingle</w:t>
      </w:r>
      <w:r w:rsidR="00FD498C" w:rsidRPr="00544B21">
        <w:rPr>
          <w:rFonts w:ascii="Arial" w:hAnsi="Arial" w:cs="Arial"/>
          <w:sz w:val="24"/>
          <w:szCs w:val="24"/>
        </w:rPr>
        <w:t xml:space="preserve"> and as a result</w:t>
      </w:r>
      <w:r w:rsidR="000111F4">
        <w:rPr>
          <w:rFonts w:ascii="Arial" w:hAnsi="Arial" w:cs="Arial"/>
          <w:sz w:val="24"/>
          <w:szCs w:val="24"/>
        </w:rPr>
        <w:t>,</w:t>
      </w:r>
      <w:r w:rsidR="00FD498C" w:rsidRPr="00544B21">
        <w:rPr>
          <w:rFonts w:ascii="Arial" w:hAnsi="Arial" w:cs="Arial"/>
          <w:sz w:val="24"/>
          <w:szCs w:val="24"/>
        </w:rPr>
        <w:t xml:space="preserve"> once </w:t>
      </w:r>
      <w:r w:rsidR="00FD498C" w:rsidRPr="00544B21">
        <w:rPr>
          <w:rFonts w:ascii="Arial" w:hAnsi="Arial" w:cs="Arial"/>
          <w:sz w:val="24"/>
          <w:szCs w:val="24"/>
          <w:shd w:val="clear" w:color="auto" w:fill="FFFFFF"/>
        </w:rPr>
        <w:t>the money is transferred into an account with other money it loses its separate identity and all the money would be tainted in terms of the current definition in POCA</w:t>
      </w:r>
      <w:r w:rsidR="00197A1A" w:rsidRPr="00544B21">
        <w:rPr>
          <w:rFonts w:ascii="Arial" w:hAnsi="Arial" w:cs="Arial"/>
          <w:sz w:val="24"/>
          <w:szCs w:val="24"/>
          <w:shd w:val="clear" w:color="auto" w:fill="FFFFFF"/>
        </w:rPr>
        <w:t>.</w:t>
      </w:r>
      <w:r w:rsidR="00FD498C" w:rsidRPr="00544B21">
        <w:rPr>
          <w:rFonts w:ascii="Arial" w:hAnsi="Arial" w:cs="Arial"/>
          <w:sz w:val="24"/>
          <w:szCs w:val="24"/>
          <w:shd w:val="clear" w:color="auto" w:fill="FFFFFF"/>
        </w:rPr>
        <w:t xml:space="preserve"> </w:t>
      </w:r>
    </w:p>
    <w:p w:rsidR="00B70A01" w:rsidRPr="00B70A01" w:rsidRDefault="00B70A01" w:rsidP="00544B21">
      <w:pPr>
        <w:pStyle w:val="ListParagraph"/>
        <w:spacing w:after="0" w:line="360" w:lineRule="auto"/>
        <w:ind w:left="0"/>
        <w:jc w:val="both"/>
        <w:rPr>
          <w:rFonts w:ascii="Arial" w:hAnsi="Arial" w:cs="Arial"/>
          <w:sz w:val="24"/>
          <w:szCs w:val="24"/>
        </w:rPr>
      </w:pPr>
    </w:p>
    <w:p w:rsidR="0038669F" w:rsidRDefault="00C7211A" w:rsidP="00544B21">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From our understanding </w:t>
      </w:r>
      <w:r w:rsidR="00197A1A">
        <w:rPr>
          <w:rFonts w:ascii="Arial" w:hAnsi="Arial" w:cs="Arial"/>
          <w:sz w:val="24"/>
          <w:szCs w:val="24"/>
        </w:rPr>
        <w:t>of the respondents’ argument</w:t>
      </w:r>
      <w:r w:rsidR="00877A3F">
        <w:rPr>
          <w:rFonts w:ascii="Arial" w:hAnsi="Arial" w:cs="Arial"/>
          <w:sz w:val="24"/>
          <w:szCs w:val="24"/>
        </w:rPr>
        <w:t>,</w:t>
      </w:r>
      <w:r w:rsidR="00197A1A">
        <w:rPr>
          <w:rFonts w:ascii="Arial" w:hAnsi="Arial" w:cs="Arial"/>
          <w:sz w:val="24"/>
          <w:szCs w:val="24"/>
        </w:rPr>
        <w:t xml:space="preserve"> in order to avoid the possibility of arbitrary deprivation, if s 63 of the Act is disregarded, the respondents </w:t>
      </w:r>
      <w:r w:rsidR="000111F4">
        <w:rPr>
          <w:rFonts w:ascii="Arial" w:hAnsi="Arial" w:cs="Arial"/>
          <w:sz w:val="24"/>
          <w:szCs w:val="24"/>
        </w:rPr>
        <w:t>rely</w:t>
      </w:r>
      <w:r w:rsidR="00197A1A">
        <w:rPr>
          <w:rFonts w:ascii="Arial" w:hAnsi="Arial" w:cs="Arial"/>
          <w:sz w:val="24"/>
          <w:szCs w:val="24"/>
        </w:rPr>
        <w:t xml:space="preserve"> on </w:t>
      </w:r>
      <w:r>
        <w:rPr>
          <w:rFonts w:ascii="Arial" w:hAnsi="Arial" w:cs="Arial"/>
          <w:sz w:val="24"/>
          <w:szCs w:val="24"/>
        </w:rPr>
        <w:t>the principle of proportionality.</w:t>
      </w:r>
    </w:p>
    <w:p w:rsidR="00D5701D" w:rsidRDefault="00D5701D" w:rsidP="00660562">
      <w:pPr>
        <w:spacing w:after="0" w:line="360" w:lineRule="auto"/>
        <w:jc w:val="both"/>
        <w:rPr>
          <w:rFonts w:ascii="Arial" w:hAnsi="Arial" w:cs="Arial"/>
          <w:sz w:val="24"/>
          <w:szCs w:val="24"/>
        </w:rPr>
      </w:pPr>
    </w:p>
    <w:p w:rsidR="00660562" w:rsidRPr="00D5701D" w:rsidRDefault="00D5701D" w:rsidP="00D5701D">
      <w:pPr>
        <w:pStyle w:val="Heading1"/>
        <w:spacing w:after="0"/>
        <w:rPr>
          <w:i/>
          <w:u w:val="none"/>
        </w:rPr>
      </w:pPr>
      <w:r w:rsidRPr="00D5701D">
        <w:rPr>
          <w:i/>
          <w:u w:val="none"/>
        </w:rPr>
        <w:lastRenderedPageBreak/>
        <w:t>Proportionality</w:t>
      </w:r>
    </w:p>
    <w:p w:rsidR="00D5701D" w:rsidRDefault="00D5701D" w:rsidP="00660562">
      <w:pPr>
        <w:spacing w:after="0" w:line="360" w:lineRule="auto"/>
        <w:jc w:val="both"/>
        <w:rPr>
          <w:rFonts w:ascii="Arial" w:hAnsi="Arial" w:cs="Arial"/>
          <w:sz w:val="24"/>
          <w:szCs w:val="24"/>
        </w:rPr>
      </w:pPr>
    </w:p>
    <w:p w:rsidR="005C40E6" w:rsidRDefault="005C40E6"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The respondents submit that forfeiture of property in terms of Chapter 6 (civil forfeiture) may be ordered in respect of an instrumentality of an offence or proceeds of unlawful activities. In both those instances, civil forfeiture could result in disproportionate </w:t>
      </w:r>
      <w:r w:rsidR="00AB7B4A">
        <w:rPr>
          <w:rFonts w:ascii="Arial" w:hAnsi="Arial" w:cs="Arial"/>
          <w:sz w:val="24"/>
          <w:szCs w:val="24"/>
        </w:rPr>
        <w:t>consequences</w:t>
      </w:r>
      <w:r w:rsidR="00050F28">
        <w:rPr>
          <w:rFonts w:ascii="Arial" w:hAnsi="Arial" w:cs="Arial"/>
          <w:sz w:val="24"/>
          <w:szCs w:val="24"/>
        </w:rPr>
        <w:t>,</w:t>
      </w:r>
      <w:r w:rsidR="00A35B92">
        <w:rPr>
          <w:rFonts w:ascii="Arial" w:hAnsi="Arial" w:cs="Arial"/>
          <w:sz w:val="24"/>
          <w:szCs w:val="24"/>
        </w:rPr>
        <w:t xml:space="preserve"> and for that reason</w:t>
      </w:r>
      <w:r w:rsidR="00050F28">
        <w:rPr>
          <w:rFonts w:ascii="Arial" w:hAnsi="Arial" w:cs="Arial"/>
          <w:sz w:val="24"/>
          <w:szCs w:val="24"/>
        </w:rPr>
        <w:t>,</w:t>
      </w:r>
      <w:r w:rsidR="00A35B92">
        <w:rPr>
          <w:rFonts w:ascii="Arial" w:hAnsi="Arial" w:cs="Arial"/>
          <w:sz w:val="24"/>
          <w:szCs w:val="24"/>
        </w:rPr>
        <w:t xml:space="preserve"> the courts will hold requests for civil forfeiture to the standard of proportionality</w:t>
      </w:r>
      <w:r w:rsidR="00AC4B02">
        <w:rPr>
          <w:rFonts w:ascii="Arial" w:hAnsi="Arial" w:cs="Arial"/>
          <w:sz w:val="24"/>
          <w:szCs w:val="24"/>
        </w:rPr>
        <w:t xml:space="preserve">, which requires that the forfeiture should not </w:t>
      </w:r>
      <w:r w:rsidR="00974F38">
        <w:rPr>
          <w:rFonts w:ascii="Arial" w:hAnsi="Arial" w:cs="Arial"/>
          <w:sz w:val="24"/>
          <w:szCs w:val="24"/>
        </w:rPr>
        <w:t>amount to</w:t>
      </w:r>
      <w:r w:rsidR="00AC4B02">
        <w:rPr>
          <w:rFonts w:ascii="Arial" w:hAnsi="Arial" w:cs="Arial"/>
          <w:sz w:val="24"/>
          <w:szCs w:val="24"/>
        </w:rPr>
        <w:t xml:space="preserve"> arbitrary deprivation of property</w:t>
      </w:r>
      <w:r w:rsidR="00D70DA9">
        <w:rPr>
          <w:rFonts w:ascii="Arial" w:hAnsi="Arial" w:cs="Arial"/>
          <w:sz w:val="24"/>
          <w:szCs w:val="24"/>
        </w:rPr>
        <w:t>.</w:t>
      </w:r>
    </w:p>
    <w:p w:rsidR="00D70DA9" w:rsidRPr="00D70DA9" w:rsidRDefault="00D70DA9" w:rsidP="00D70DA9">
      <w:pPr>
        <w:pStyle w:val="ListParagraph"/>
        <w:rPr>
          <w:rFonts w:ascii="Arial" w:hAnsi="Arial" w:cs="Arial"/>
          <w:sz w:val="24"/>
          <w:szCs w:val="24"/>
        </w:rPr>
      </w:pPr>
    </w:p>
    <w:p w:rsidR="00C464CF" w:rsidRPr="00D70DA9" w:rsidRDefault="00E531C7" w:rsidP="006B1AB5">
      <w:pPr>
        <w:pStyle w:val="ListParagraph"/>
        <w:numPr>
          <w:ilvl w:val="0"/>
          <w:numId w:val="45"/>
        </w:numPr>
        <w:spacing w:after="0" w:line="360" w:lineRule="auto"/>
        <w:ind w:left="0" w:firstLine="0"/>
        <w:jc w:val="both"/>
        <w:rPr>
          <w:rFonts w:ascii="Arial" w:hAnsi="Arial" w:cs="Arial"/>
          <w:sz w:val="24"/>
          <w:szCs w:val="24"/>
        </w:rPr>
      </w:pPr>
      <w:r w:rsidRPr="00D70DA9">
        <w:rPr>
          <w:rFonts w:ascii="Arial" w:hAnsi="Arial" w:cs="Arial"/>
          <w:sz w:val="24"/>
          <w:szCs w:val="24"/>
        </w:rPr>
        <w:t xml:space="preserve">In the </w:t>
      </w:r>
      <w:r w:rsidRPr="00D70DA9">
        <w:rPr>
          <w:rFonts w:ascii="Arial" w:hAnsi="Arial" w:cs="Arial"/>
          <w:i/>
          <w:sz w:val="24"/>
          <w:szCs w:val="24"/>
        </w:rPr>
        <w:t>Alexander</w:t>
      </w:r>
      <w:r w:rsidRPr="00D70DA9">
        <w:rPr>
          <w:rFonts w:ascii="Arial" w:hAnsi="Arial" w:cs="Arial"/>
          <w:sz w:val="24"/>
          <w:szCs w:val="24"/>
        </w:rPr>
        <w:t xml:space="preserve"> matter the court held that w</w:t>
      </w:r>
      <w:r w:rsidR="00974F38" w:rsidRPr="00D70DA9">
        <w:rPr>
          <w:rFonts w:ascii="Arial" w:hAnsi="Arial" w:cs="Arial"/>
          <w:sz w:val="24"/>
          <w:szCs w:val="24"/>
        </w:rPr>
        <w:t>h</w:t>
      </w:r>
      <w:r w:rsidRPr="00D70DA9">
        <w:rPr>
          <w:rFonts w:ascii="Arial" w:hAnsi="Arial" w:cs="Arial"/>
          <w:sz w:val="24"/>
          <w:szCs w:val="24"/>
        </w:rPr>
        <w:t>ere the</w:t>
      </w:r>
      <w:r w:rsidR="00B820F1" w:rsidRPr="00D70DA9">
        <w:rPr>
          <w:rFonts w:ascii="Arial" w:hAnsi="Arial" w:cs="Arial"/>
          <w:sz w:val="24"/>
          <w:szCs w:val="24"/>
        </w:rPr>
        <w:t xml:space="preserve"> Constitution allows a limitation of a constitutional right, such limitation must be proportional</w:t>
      </w:r>
      <w:r w:rsidRPr="00D70DA9">
        <w:rPr>
          <w:rFonts w:ascii="Arial" w:hAnsi="Arial" w:cs="Arial"/>
          <w:sz w:val="24"/>
          <w:szCs w:val="24"/>
        </w:rPr>
        <w:t>.</w:t>
      </w:r>
      <w:r>
        <w:rPr>
          <w:rStyle w:val="FootnoteReference"/>
          <w:rFonts w:ascii="Arial" w:hAnsi="Arial" w:cs="Arial"/>
          <w:sz w:val="24"/>
          <w:szCs w:val="24"/>
        </w:rPr>
        <w:footnoteReference w:id="34"/>
      </w:r>
      <w:r w:rsidR="00B820F1" w:rsidRPr="00D70DA9">
        <w:rPr>
          <w:rFonts w:ascii="Arial" w:hAnsi="Arial" w:cs="Arial"/>
          <w:sz w:val="24"/>
          <w:szCs w:val="24"/>
        </w:rPr>
        <w:t xml:space="preserve">  </w:t>
      </w:r>
      <w:r w:rsidR="002E0F5E" w:rsidRPr="00D70DA9">
        <w:rPr>
          <w:rFonts w:ascii="Arial" w:hAnsi="Arial" w:cs="Arial"/>
          <w:sz w:val="24"/>
          <w:szCs w:val="24"/>
        </w:rPr>
        <w:t>To</w:t>
      </w:r>
      <w:r w:rsidR="00B820F1" w:rsidRPr="00D70DA9">
        <w:rPr>
          <w:rFonts w:ascii="Arial" w:hAnsi="Arial" w:cs="Arial"/>
          <w:sz w:val="24"/>
          <w:szCs w:val="24"/>
        </w:rPr>
        <w:t xml:space="preserve"> pass the test of proportionality, the limitation of the constitutional right must also be fair and not arbitrary</w:t>
      </w:r>
      <w:r w:rsidR="000111F4" w:rsidRPr="00D70DA9">
        <w:rPr>
          <w:rFonts w:ascii="Arial" w:hAnsi="Arial" w:cs="Arial"/>
          <w:sz w:val="24"/>
          <w:szCs w:val="24"/>
        </w:rPr>
        <w:t>,</w:t>
      </w:r>
      <w:r w:rsidR="00B820F1" w:rsidRPr="00D70DA9">
        <w:rPr>
          <w:rFonts w:ascii="Arial" w:hAnsi="Arial" w:cs="Arial"/>
          <w:sz w:val="24"/>
          <w:szCs w:val="24"/>
        </w:rPr>
        <w:t xml:space="preserve"> and the means used must impair the right as minimally as is reasonably possible</w:t>
      </w:r>
      <w:r w:rsidR="000111F4" w:rsidRPr="00D70DA9">
        <w:rPr>
          <w:rFonts w:ascii="Arial" w:hAnsi="Arial" w:cs="Arial"/>
          <w:sz w:val="24"/>
          <w:szCs w:val="24"/>
        </w:rPr>
        <w:t>.</w:t>
      </w:r>
      <w:r w:rsidR="00C464CF">
        <w:rPr>
          <w:rStyle w:val="FootnoteReference"/>
          <w:rFonts w:ascii="Arial" w:hAnsi="Arial" w:cs="Arial"/>
          <w:sz w:val="24"/>
          <w:szCs w:val="24"/>
        </w:rPr>
        <w:footnoteReference w:id="35"/>
      </w:r>
      <w:r w:rsidR="000111F4" w:rsidRPr="00D70DA9">
        <w:rPr>
          <w:rFonts w:ascii="Arial" w:hAnsi="Arial" w:cs="Arial"/>
          <w:sz w:val="24"/>
          <w:szCs w:val="24"/>
        </w:rPr>
        <w:t xml:space="preserve"> The Act allowing for proportionality must explicitly provide therefor</w:t>
      </w:r>
      <w:r w:rsidR="00050F28">
        <w:rPr>
          <w:rFonts w:ascii="Arial" w:hAnsi="Arial" w:cs="Arial"/>
          <w:sz w:val="24"/>
          <w:szCs w:val="24"/>
        </w:rPr>
        <w:t>e</w:t>
      </w:r>
      <w:r w:rsidR="000111F4" w:rsidRPr="00D70DA9">
        <w:rPr>
          <w:rFonts w:ascii="Arial" w:hAnsi="Arial" w:cs="Arial"/>
          <w:sz w:val="24"/>
          <w:szCs w:val="24"/>
        </w:rPr>
        <w:t xml:space="preserve"> by complying with Article 22 of the Constitution. </w:t>
      </w:r>
      <w:r w:rsidR="00B820F1" w:rsidRPr="00D70DA9">
        <w:rPr>
          <w:rFonts w:ascii="Arial" w:hAnsi="Arial" w:cs="Arial"/>
          <w:sz w:val="24"/>
          <w:szCs w:val="24"/>
        </w:rPr>
        <w:t xml:space="preserve"> </w:t>
      </w:r>
    </w:p>
    <w:p w:rsidR="0038669F" w:rsidRPr="0038669F" w:rsidRDefault="0038669F" w:rsidP="0038669F">
      <w:pPr>
        <w:pStyle w:val="ListParagraph"/>
        <w:rPr>
          <w:rFonts w:ascii="Arial" w:hAnsi="Arial" w:cs="Arial"/>
          <w:sz w:val="24"/>
          <w:szCs w:val="24"/>
        </w:rPr>
      </w:pPr>
    </w:p>
    <w:p w:rsidR="00FC623D" w:rsidRDefault="00FC623D" w:rsidP="00FC623D">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Article 22 of the Constitution reads:</w:t>
      </w:r>
    </w:p>
    <w:p w:rsidR="00FC623D" w:rsidRDefault="00FC623D" w:rsidP="00FC623D">
      <w:pPr>
        <w:pStyle w:val="ListParagraph"/>
        <w:spacing w:after="0" w:line="360" w:lineRule="auto"/>
        <w:ind w:left="0"/>
        <w:jc w:val="both"/>
        <w:rPr>
          <w:rFonts w:ascii="Arial" w:hAnsi="Arial" w:cs="Arial"/>
          <w:sz w:val="24"/>
          <w:szCs w:val="24"/>
        </w:rPr>
      </w:pPr>
    </w:p>
    <w:p w:rsidR="00FC623D" w:rsidRPr="007228A8" w:rsidRDefault="00FC623D" w:rsidP="00AA4FF4">
      <w:pPr>
        <w:spacing w:after="0" w:line="360" w:lineRule="auto"/>
        <w:ind w:firstLine="720"/>
        <w:jc w:val="both"/>
        <w:rPr>
          <w:rFonts w:ascii="Arial" w:hAnsi="Arial" w:cs="Arial"/>
          <w:sz w:val="20"/>
          <w:szCs w:val="20"/>
        </w:rPr>
      </w:pPr>
      <w:r>
        <w:rPr>
          <w:rFonts w:ascii="Arial" w:hAnsi="Arial" w:cs="Arial"/>
          <w:sz w:val="20"/>
          <w:szCs w:val="20"/>
        </w:rPr>
        <w:t>‘</w:t>
      </w:r>
      <w:r w:rsidRPr="007228A8">
        <w:rPr>
          <w:rFonts w:ascii="Arial" w:hAnsi="Arial" w:cs="Arial"/>
          <w:sz w:val="20"/>
          <w:szCs w:val="20"/>
        </w:rPr>
        <w:t>Limitation upon Fundamental Rights and Freedoms</w:t>
      </w:r>
    </w:p>
    <w:p w:rsidR="00FC623D" w:rsidRPr="007228A8" w:rsidRDefault="00FC623D" w:rsidP="00FC623D">
      <w:pPr>
        <w:spacing w:after="0" w:line="360" w:lineRule="auto"/>
        <w:jc w:val="both"/>
        <w:rPr>
          <w:rFonts w:ascii="Arial" w:hAnsi="Arial" w:cs="Arial"/>
          <w:sz w:val="20"/>
          <w:szCs w:val="20"/>
        </w:rPr>
      </w:pPr>
      <w:r w:rsidRPr="007228A8">
        <w:rPr>
          <w:rFonts w:ascii="Arial" w:hAnsi="Arial" w:cs="Arial"/>
          <w:sz w:val="20"/>
          <w:szCs w:val="20"/>
        </w:rPr>
        <w:t>Whenever or wherever in terms of this Constitution the limitation of any fundamental rights or freedoms contemplated by this Chapter is authorised any law providing for such limitation shall:</w:t>
      </w:r>
    </w:p>
    <w:p w:rsidR="00FC623D" w:rsidRPr="007228A8" w:rsidRDefault="00FC623D" w:rsidP="00FC623D">
      <w:pPr>
        <w:spacing w:after="0" w:line="360" w:lineRule="auto"/>
        <w:jc w:val="both"/>
        <w:rPr>
          <w:rFonts w:ascii="Arial" w:hAnsi="Arial" w:cs="Arial"/>
          <w:sz w:val="20"/>
          <w:szCs w:val="20"/>
        </w:rPr>
      </w:pPr>
      <w:r w:rsidRPr="007228A8">
        <w:rPr>
          <w:rFonts w:ascii="Arial" w:hAnsi="Arial" w:cs="Arial"/>
          <w:sz w:val="20"/>
          <w:szCs w:val="20"/>
        </w:rPr>
        <w:t>(a)</w:t>
      </w:r>
      <w:r w:rsidRPr="007228A8">
        <w:rPr>
          <w:rFonts w:ascii="Arial" w:hAnsi="Arial" w:cs="Arial"/>
          <w:sz w:val="20"/>
          <w:szCs w:val="20"/>
        </w:rPr>
        <w:tab/>
        <w:t>be of general application, shall not negate the essential content thereof, and shall not be aimed at a particular individual;</w:t>
      </w:r>
    </w:p>
    <w:p w:rsidR="00FC623D" w:rsidRPr="007228A8" w:rsidRDefault="00FC623D" w:rsidP="00FC623D">
      <w:pPr>
        <w:spacing w:after="0" w:line="360" w:lineRule="auto"/>
        <w:jc w:val="both"/>
        <w:rPr>
          <w:rFonts w:ascii="Arial" w:hAnsi="Arial" w:cs="Arial"/>
          <w:sz w:val="20"/>
          <w:szCs w:val="20"/>
        </w:rPr>
      </w:pPr>
      <w:r w:rsidRPr="007228A8">
        <w:rPr>
          <w:rFonts w:ascii="Arial" w:hAnsi="Arial" w:cs="Arial"/>
          <w:sz w:val="20"/>
          <w:szCs w:val="20"/>
        </w:rPr>
        <w:t>(b)</w:t>
      </w:r>
      <w:r w:rsidRPr="007228A8">
        <w:rPr>
          <w:rFonts w:ascii="Arial" w:hAnsi="Arial" w:cs="Arial"/>
          <w:sz w:val="20"/>
          <w:szCs w:val="20"/>
        </w:rPr>
        <w:tab/>
        <w:t>specify the ascertainable extent of such limitation and identify the Article or Articles hereof on which authority to enact such limitation is claimed to rest.</w:t>
      </w:r>
      <w:r>
        <w:rPr>
          <w:rFonts w:ascii="Arial" w:hAnsi="Arial" w:cs="Arial"/>
          <w:sz w:val="20"/>
          <w:szCs w:val="20"/>
        </w:rPr>
        <w:t>’</w:t>
      </w:r>
    </w:p>
    <w:p w:rsidR="00FC623D" w:rsidRDefault="00FC623D" w:rsidP="00FC623D">
      <w:pPr>
        <w:pStyle w:val="ListParagraph"/>
        <w:spacing w:after="0" w:line="360" w:lineRule="auto"/>
        <w:ind w:left="0"/>
        <w:jc w:val="both"/>
        <w:rPr>
          <w:rFonts w:ascii="Arial" w:hAnsi="Arial" w:cs="Arial"/>
          <w:sz w:val="24"/>
          <w:szCs w:val="24"/>
        </w:rPr>
      </w:pPr>
    </w:p>
    <w:p w:rsidR="00FC623D" w:rsidRDefault="00FC623D" w:rsidP="000465BC">
      <w:pPr>
        <w:pStyle w:val="ListParagraph"/>
        <w:numPr>
          <w:ilvl w:val="0"/>
          <w:numId w:val="45"/>
        </w:numPr>
        <w:spacing w:after="0" w:line="360" w:lineRule="auto"/>
        <w:ind w:left="0" w:firstLine="0"/>
        <w:jc w:val="both"/>
        <w:rPr>
          <w:rFonts w:ascii="Arial" w:hAnsi="Arial" w:cs="Arial"/>
          <w:sz w:val="24"/>
          <w:szCs w:val="24"/>
        </w:rPr>
      </w:pPr>
      <w:r w:rsidRPr="009E3372">
        <w:rPr>
          <w:rFonts w:ascii="Arial" w:hAnsi="Arial" w:cs="Arial"/>
          <w:sz w:val="24"/>
          <w:szCs w:val="24"/>
          <w:shd w:val="clear" w:color="auto" w:fill="FFFFFF"/>
        </w:rPr>
        <w:t>It is clear that the definition</w:t>
      </w:r>
      <w:r w:rsidR="009E3372" w:rsidRPr="009E3372">
        <w:rPr>
          <w:rFonts w:ascii="Arial" w:hAnsi="Arial" w:cs="Arial"/>
          <w:sz w:val="24"/>
          <w:szCs w:val="24"/>
          <w:shd w:val="clear" w:color="auto" w:fill="FFFFFF"/>
        </w:rPr>
        <w:t xml:space="preserve"> of </w:t>
      </w:r>
      <w:r w:rsidR="002534F9" w:rsidRPr="00816ED1">
        <w:rPr>
          <w:rFonts w:ascii="Arial" w:hAnsi="Arial" w:cs="Arial"/>
          <w:sz w:val="24"/>
          <w:szCs w:val="24"/>
        </w:rPr>
        <w:t>proceeds of unlawful activities</w:t>
      </w:r>
      <w:r w:rsidR="002534F9" w:rsidRPr="009E3372">
        <w:rPr>
          <w:rFonts w:ascii="Arial" w:hAnsi="Arial" w:cs="Arial"/>
          <w:sz w:val="24"/>
          <w:szCs w:val="24"/>
          <w:shd w:val="clear" w:color="auto" w:fill="FFFFFF"/>
        </w:rPr>
        <w:t xml:space="preserve"> </w:t>
      </w:r>
      <w:r w:rsidRPr="009E3372">
        <w:rPr>
          <w:rFonts w:ascii="Arial" w:hAnsi="Arial" w:cs="Arial"/>
          <w:sz w:val="24"/>
          <w:szCs w:val="24"/>
          <w:shd w:val="clear" w:color="auto" w:fill="FFFFFF"/>
        </w:rPr>
        <w:t>must be interpreted restrictively in order to be consistent with the Constitution</w:t>
      </w:r>
      <w:r w:rsidRPr="009E3372">
        <w:rPr>
          <w:rFonts w:ascii="Arial" w:hAnsi="Arial" w:cs="Arial"/>
          <w:shd w:val="clear" w:color="auto" w:fill="FFFFFF"/>
        </w:rPr>
        <w:t>.</w:t>
      </w:r>
      <w:r w:rsidRPr="009E3372">
        <w:rPr>
          <w:rFonts w:ascii="Verdana" w:hAnsi="Verdana"/>
          <w:shd w:val="clear" w:color="auto" w:fill="FFFFFF"/>
        </w:rPr>
        <w:t xml:space="preserve"> </w:t>
      </w:r>
      <w:r w:rsidRPr="009E3372">
        <w:rPr>
          <w:rFonts w:ascii="Arial" w:hAnsi="Arial" w:cs="Arial"/>
          <w:sz w:val="24"/>
          <w:szCs w:val="24"/>
        </w:rPr>
        <w:t xml:space="preserve">In our considered view and for the detailed reasons advanced above, </w:t>
      </w:r>
      <w:r w:rsidR="009E3372" w:rsidRPr="002534F9">
        <w:rPr>
          <w:rFonts w:ascii="Arial" w:hAnsi="Arial" w:cs="Arial"/>
          <w:sz w:val="24"/>
          <w:szCs w:val="24"/>
        </w:rPr>
        <w:t xml:space="preserve">the definition of </w:t>
      </w:r>
      <w:r w:rsidR="002534F9" w:rsidRPr="00816ED1">
        <w:rPr>
          <w:rFonts w:ascii="Arial" w:hAnsi="Arial" w:cs="Arial"/>
          <w:sz w:val="24"/>
          <w:szCs w:val="24"/>
        </w:rPr>
        <w:t>proceeds of unlawful activities</w:t>
      </w:r>
      <w:r w:rsidR="002534F9" w:rsidRPr="009E3372">
        <w:rPr>
          <w:rFonts w:ascii="Arial" w:hAnsi="Arial" w:cs="Arial"/>
          <w:sz w:val="24"/>
          <w:szCs w:val="24"/>
        </w:rPr>
        <w:t xml:space="preserve"> </w:t>
      </w:r>
      <w:r w:rsidRPr="009E3372">
        <w:rPr>
          <w:rFonts w:ascii="Arial" w:hAnsi="Arial" w:cs="Arial"/>
          <w:sz w:val="24"/>
          <w:szCs w:val="24"/>
        </w:rPr>
        <w:t>POCA does not comply with</w:t>
      </w:r>
      <w:r w:rsidR="009E3372" w:rsidRPr="009E3372">
        <w:rPr>
          <w:rFonts w:ascii="Arial" w:hAnsi="Arial" w:cs="Arial"/>
          <w:sz w:val="24"/>
          <w:szCs w:val="24"/>
        </w:rPr>
        <w:t xml:space="preserve"> Article 22 of the Constitution. </w:t>
      </w:r>
    </w:p>
    <w:p w:rsidR="009E3372" w:rsidRPr="009E3372" w:rsidRDefault="009E3372" w:rsidP="009E3372">
      <w:pPr>
        <w:pStyle w:val="ListParagraph"/>
        <w:spacing w:after="0" w:line="360" w:lineRule="auto"/>
        <w:ind w:left="0"/>
        <w:jc w:val="both"/>
        <w:rPr>
          <w:rFonts w:ascii="Arial" w:hAnsi="Arial" w:cs="Arial"/>
          <w:sz w:val="24"/>
          <w:szCs w:val="24"/>
        </w:rPr>
      </w:pPr>
    </w:p>
    <w:p w:rsidR="00FC623D" w:rsidRPr="00BE0563" w:rsidRDefault="00FC623D" w:rsidP="006E2628">
      <w:pPr>
        <w:pStyle w:val="ListParagraph"/>
        <w:numPr>
          <w:ilvl w:val="0"/>
          <w:numId w:val="45"/>
        </w:numPr>
        <w:shd w:val="clear" w:color="auto" w:fill="FFFFFF"/>
        <w:spacing w:after="0" w:line="360" w:lineRule="auto"/>
        <w:ind w:left="0" w:firstLine="0"/>
        <w:jc w:val="both"/>
        <w:rPr>
          <w:rFonts w:ascii="Arial" w:hAnsi="Arial" w:cs="Arial"/>
          <w:color w:val="212529"/>
          <w:sz w:val="24"/>
          <w:szCs w:val="24"/>
          <w:lang w:val="en-ZA"/>
        </w:rPr>
      </w:pPr>
      <w:r w:rsidRPr="00DF2C2C">
        <w:rPr>
          <w:rFonts w:ascii="Arial" w:hAnsi="Arial" w:cs="Arial"/>
          <w:sz w:val="24"/>
          <w:szCs w:val="24"/>
        </w:rPr>
        <w:lastRenderedPageBreak/>
        <w:t>We reiterate that Chapter 5 of the Namibian POCA is in compliance with Article 12(4) of the Palermo Convention in respect of criminal prosecutions</w:t>
      </w:r>
      <w:r w:rsidR="009E3372">
        <w:rPr>
          <w:rFonts w:ascii="Arial" w:hAnsi="Arial" w:cs="Arial"/>
          <w:sz w:val="24"/>
          <w:szCs w:val="24"/>
        </w:rPr>
        <w:t>.</w:t>
      </w:r>
      <w:r w:rsidRPr="00DF2C2C">
        <w:rPr>
          <w:rFonts w:ascii="Arial" w:hAnsi="Arial" w:cs="Arial"/>
          <w:sz w:val="24"/>
          <w:szCs w:val="24"/>
        </w:rPr>
        <w:t xml:space="preserve"> </w:t>
      </w:r>
      <w:r w:rsidR="009E3372">
        <w:rPr>
          <w:rFonts w:ascii="Arial" w:hAnsi="Arial" w:cs="Arial"/>
          <w:sz w:val="24"/>
          <w:szCs w:val="24"/>
        </w:rPr>
        <w:t xml:space="preserve">Whereas </w:t>
      </w:r>
      <w:r w:rsidRPr="00DF2C2C">
        <w:rPr>
          <w:rFonts w:ascii="Arial" w:hAnsi="Arial" w:cs="Arial"/>
          <w:sz w:val="24"/>
          <w:szCs w:val="24"/>
        </w:rPr>
        <w:t>Chapter 6 of the Namibian POCA</w:t>
      </w:r>
      <w:r w:rsidR="009E3372">
        <w:rPr>
          <w:rFonts w:ascii="Arial" w:hAnsi="Arial" w:cs="Arial"/>
          <w:sz w:val="24"/>
          <w:szCs w:val="24"/>
        </w:rPr>
        <w:t xml:space="preserve">, </w:t>
      </w:r>
      <w:r w:rsidRPr="00DF2C2C">
        <w:rPr>
          <w:rFonts w:ascii="Arial" w:hAnsi="Arial" w:cs="Arial"/>
          <w:sz w:val="24"/>
          <w:szCs w:val="24"/>
        </w:rPr>
        <w:t>deals with preservation and forfeiture</w:t>
      </w:r>
      <w:r w:rsidR="009E3372">
        <w:rPr>
          <w:rFonts w:ascii="Arial" w:hAnsi="Arial" w:cs="Arial"/>
          <w:sz w:val="24"/>
          <w:szCs w:val="24"/>
        </w:rPr>
        <w:t>,</w:t>
      </w:r>
      <w:r w:rsidRPr="00DF2C2C">
        <w:rPr>
          <w:rFonts w:ascii="Arial" w:hAnsi="Arial" w:cs="Arial"/>
          <w:sz w:val="24"/>
          <w:szCs w:val="24"/>
        </w:rPr>
        <w:t xml:space="preserve"> regardless of whether</w:t>
      </w:r>
      <w:r w:rsidR="009E3372">
        <w:rPr>
          <w:rFonts w:ascii="Arial" w:hAnsi="Arial" w:cs="Arial"/>
          <w:sz w:val="24"/>
          <w:szCs w:val="24"/>
        </w:rPr>
        <w:t xml:space="preserve"> or not</w:t>
      </w:r>
      <w:r w:rsidRPr="00DF2C2C">
        <w:rPr>
          <w:rFonts w:ascii="Arial" w:hAnsi="Arial" w:cs="Arial"/>
          <w:sz w:val="24"/>
          <w:szCs w:val="24"/>
        </w:rPr>
        <w:t xml:space="preserve"> criminal prosecution is pursued under Chapter 5. Chapter 6 of the Namibian POCA is however not in accord with the Palermo Convention</w:t>
      </w:r>
      <w:r w:rsidR="00DF2C2C" w:rsidRPr="00DF2C2C">
        <w:rPr>
          <w:rFonts w:ascii="Arial" w:hAnsi="Arial" w:cs="Arial"/>
          <w:sz w:val="24"/>
          <w:szCs w:val="24"/>
        </w:rPr>
        <w:t xml:space="preserve">, to which Namibia is a signatory. It is expected of our courts when interpreting a statute like POCA, which derives from an international agreement or covenant such </w:t>
      </w:r>
      <w:r w:rsidR="009E3372">
        <w:rPr>
          <w:rFonts w:ascii="Arial" w:hAnsi="Arial" w:cs="Arial"/>
          <w:sz w:val="24"/>
          <w:szCs w:val="24"/>
        </w:rPr>
        <w:t>a</w:t>
      </w:r>
      <w:r w:rsidR="00DF2C2C" w:rsidRPr="00DF2C2C">
        <w:rPr>
          <w:rFonts w:ascii="Arial" w:hAnsi="Arial" w:cs="Arial"/>
          <w:sz w:val="24"/>
          <w:szCs w:val="24"/>
        </w:rPr>
        <w:t xml:space="preserve">s the Palermo Convention, to do so in conformity with </w:t>
      </w:r>
      <w:r w:rsidR="009E3372">
        <w:rPr>
          <w:rFonts w:ascii="Arial" w:hAnsi="Arial" w:cs="Arial"/>
          <w:sz w:val="24"/>
          <w:szCs w:val="24"/>
        </w:rPr>
        <w:t xml:space="preserve">Namibia’s obligation under </w:t>
      </w:r>
      <w:r w:rsidR="00DF2C2C" w:rsidRPr="00DF2C2C">
        <w:rPr>
          <w:rFonts w:ascii="Arial" w:hAnsi="Arial" w:cs="Arial"/>
          <w:sz w:val="24"/>
          <w:szCs w:val="24"/>
        </w:rPr>
        <w:t xml:space="preserve">international law. </w:t>
      </w:r>
      <w:r w:rsidR="00BE0563" w:rsidRPr="00BE0563">
        <w:rPr>
          <w:rFonts w:ascii="Arial" w:hAnsi="Arial" w:cs="Arial"/>
          <w:sz w:val="24"/>
          <w:szCs w:val="24"/>
        </w:rPr>
        <w:t>The constitutional safeguard</w:t>
      </w:r>
      <w:r w:rsidR="00BE0563">
        <w:rPr>
          <w:rFonts w:ascii="Arial" w:hAnsi="Arial" w:cs="Arial"/>
          <w:sz w:val="24"/>
          <w:szCs w:val="24"/>
        </w:rPr>
        <w:t xml:space="preserve"> in the</w:t>
      </w:r>
      <w:r w:rsidR="00BE0563" w:rsidRPr="00BE0563">
        <w:rPr>
          <w:rFonts w:ascii="Arial" w:hAnsi="Arial" w:cs="Arial"/>
          <w:sz w:val="24"/>
          <w:szCs w:val="24"/>
        </w:rPr>
        <w:t xml:space="preserve"> Palermo Con</w:t>
      </w:r>
      <w:r w:rsidR="00BE0563" w:rsidRPr="00206751">
        <w:rPr>
          <w:rFonts w:ascii="Arial" w:hAnsi="Arial" w:cs="Arial"/>
          <w:sz w:val="24"/>
          <w:szCs w:val="24"/>
        </w:rPr>
        <w:t>vention</w:t>
      </w:r>
      <w:r w:rsidR="00206751" w:rsidRPr="00206751">
        <w:rPr>
          <w:rFonts w:ascii="Arial" w:hAnsi="Arial" w:cs="Arial"/>
          <w:sz w:val="24"/>
          <w:szCs w:val="24"/>
        </w:rPr>
        <w:t xml:space="preserve">, </w:t>
      </w:r>
      <w:r w:rsidR="007B6A3F" w:rsidRPr="00206751">
        <w:rPr>
          <w:rFonts w:ascii="Arial" w:hAnsi="Arial" w:cs="Arial"/>
          <w:sz w:val="24"/>
          <w:szCs w:val="24"/>
        </w:rPr>
        <w:t>as discussed in para 91 above</w:t>
      </w:r>
      <w:r w:rsidR="00BE0563" w:rsidRPr="00206751">
        <w:rPr>
          <w:rFonts w:ascii="Arial" w:hAnsi="Arial" w:cs="Arial"/>
          <w:sz w:val="24"/>
          <w:szCs w:val="24"/>
        </w:rPr>
        <w:t xml:space="preserve">, is </w:t>
      </w:r>
      <w:r w:rsidR="00BE0563" w:rsidRPr="00BE0563">
        <w:rPr>
          <w:rFonts w:ascii="Arial" w:hAnsi="Arial" w:cs="Arial"/>
          <w:sz w:val="24"/>
          <w:szCs w:val="24"/>
        </w:rPr>
        <w:t>singularly missing from the POCA definition of “proceeds of unlawful activities”.</w:t>
      </w:r>
    </w:p>
    <w:p w:rsidR="00FC623D" w:rsidRDefault="00FC623D" w:rsidP="00FC623D">
      <w:pPr>
        <w:pStyle w:val="ListParagraph"/>
        <w:rPr>
          <w:rFonts w:ascii="Arial" w:hAnsi="Arial" w:cs="Arial"/>
        </w:rPr>
      </w:pPr>
    </w:p>
    <w:p w:rsidR="00FC623D" w:rsidRDefault="00FC623D" w:rsidP="00FC623D">
      <w:pPr>
        <w:pStyle w:val="NormalWeb"/>
        <w:numPr>
          <w:ilvl w:val="0"/>
          <w:numId w:val="45"/>
        </w:numPr>
        <w:shd w:val="clear" w:color="auto" w:fill="FFFFFF"/>
        <w:spacing w:before="0" w:beforeAutospacing="0" w:after="0" w:afterAutospacing="0" w:line="360" w:lineRule="auto"/>
        <w:ind w:left="0" w:firstLine="0"/>
        <w:jc w:val="both"/>
        <w:rPr>
          <w:rFonts w:ascii="Arial" w:hAnsi="Arial" w:cs="Arial"/>
        </w:rPr>
      </w:pPr>
      <w:r w:rsidRPr="003C73FF">
        <w:rPr>
          <w:rFonts w:ascii="Arial" w:hAnsi="Arial" w:cs="Arial"/>
        </w:rPr>
        <w:t xml:space="preserve"> </w:t>
      </w:r>
      <w:r>
        <w:rPr>
          <w:rFonts w:ascii="Arial" w:hAnsi="Arial" w:cs="Arial"/>
        </w:rPr>
        <w:t>The impugned definition does not only fall short of the Palermo Convention but more importantly, it fall</w:t>
      </w:r>
      <w:r w:rsidR="009E3372">
        <w:rPr>
          <w:rFonts w:ascii="Arial" w:hAnsi="Arial" w:cs="Arial"/>
        </w:rPr>
        <w:t>s</w:t>
      </w:r>
      <w:r>
        <w:rPr>
          <w:rFonts w:ascii="Arial" w:hAnsi="Arial" w:cs="Arial"/>
        </w:rPr>
        <w:t xml:space="preserve"> short of the Namibian Constitution</w:t>
      </w:r>
      <w:r w:rsidR="009E3372">
        <w:rPr>
          <w:rFonts w:ascii="Arial" w:hAnsi="Arial" w:cs="Arial"/>
        </w:rPr>
        <w:t>, Article 22 in particular</w:t>
      </w:r>
      <w:r>
        <w:rPr>
          <w:rFonts w:ascii="Arial" w:hAnsi="Arial" w:cs="Arial"/>
        </w:rPr>
        <w:t xml:space="preserve">. </w:t>
      </w:r>
    </w:p>
    <w:p w:rsidR="00FC623D" w:rsidRDefault="00FC623D" w:rsidP="00FC623D">
      <w:pPr>
        <w:pStyle w:val="ListParagraph"/>
        <w:rPr>
          <w:rFonts w:ascii="Arial" w:hAnsi="Arial" w:cs="Arial"/>
        </w:rPr>
      </w:pPr>
    </w:p>
    <w:p w:rsidR="00FC623D" w:rsidRDefault="00FC623D" w:rsidP="00FC623D">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 xml:space="preserve">The first respondent’s argument concerning the necessity of the impugned portion of the definition of ‘proceeds of unlawful activities’ in order to prevent criminals from escaping preservation and forfeiture by mingling ‘dirty money’ with ‘clean money’, is not valid or applicable under Chapter 6 of POCA. </w:t>
      </w:r>
    </w:p>
    <w:p w:rsidR="00FD7483" w:rsidRPr="00AA4FF4" w:rsidRDefault="00FD7483" w:rsidP="00AA4FF4">
      <w:pPr>
        <w:rPr>
          <w:rFonts w:ascii="Arial" w:hAnsi="Arial" w:cs="Arial"/>
          <w:sz w:val="24"/>
          <w:szCs w:val="24"/>
        </w:rPr>
      </w:pPr>
    </w:p>
    <w:p w:rsidR="00D5701D" w:rsidRDefault="00D5701D" w:rsidP="00D5701D">
      <w:pPr>
        <w:pStyle w:val="Heading2"/>
      </w:pPr>
      <w:r w:rsidRPr="00D5701D">
        <w:t>Remedies in the Act</w:t>
      </w:r>
    </w:p>
    <w:p w:rsidR="00D5701D" w:rsidRPr="00D5701D" w:rsidRDefault="00D5701D" w:rsidP="00D5701D"/>
    <w:p w:rsidR="00657460" w:rsidRDefault="00657460" w:rsidP="008E3B7C">
      <w:pPr>
        <w:pStyle w:val="ListParagraph"/>
        <w:numPr>
          <w:ilvl w:val="0"/>
          <w:numId w:val="45"/>
        </w:numPr>
        <w:spacing w:after="0" w:line="360" w:lineRule="auto"/>
        <w:ind w:left="0" w:firstLine="0"/>
        <w:jc w:val="both"/>
        <w:rPr>
          <w:rFonts w:ascii="Arial" w:hAnsi="Arial" w:cs="Arial"/>
          <w:sz w:val="24"/>
          <w:szCs w:val="24"/>
        </w:rPr>
      </w:pPr>
      <w:r w:rsidRPr="005F49A9">
        <w:rPr>
          <w:rFonts w:ascii="Arial" w:hAnsi="Arial" w:cs="Arial"/>
          <w:sz w:val="24"/>
          <w:szCs w:val="24"/>
        </w:rPr>
        <w:t xml:space="preserve"> It was argued on behalf of the respondent</w:t>
      </w:r>
      <w:r w:rsidR="00877A3F">
        <w:rPr>
          <w:rFonts w:ascii="Arial" w:hAnsi="Arial" w:cs="Arial"/>
          <w:sz w:val="24"/>
          <w:szCs w:val="24"/>
        </w:rPr>
        <w:t>s</w:t>
      </w:r>
      <w:r w:rsidRPr="005F49A9">
        <w:rPr>
          <w:rFonts w:ascii="Arial" w:hAnsi="Arial" w:cs="Arial"/>
          <w:sz w:val="24"/>
          <w:szCs w:val="24"/>
        </w:rPr>
        <w:t xml:space="preserve"> that there are remedies and safeguards </w:t>
      </w:r>
      <w:r w:rsidR="00C71329" w:rsidRPr="005F49A9">
        <w:rPr>
          <w:rFonts w:ascii="Arial" w:hAnsi="Arial" w:cs="Arial"/>
          <w:sz w:val="24"/>
          <w:szCs w:val="24"/>
        </w:rPr>
        <w:t>built</w:t>
      </w:r>
      <w:r w:rsidRPr="005F49A9">
        <w:rPr>
          <w:rFonts w:ascii="Arial" w:hAnsi="Arial" w:cs="Arial"/>
          <w:sz w:val="24"/>
          <w:szCs w:val="24"/>
        </w:rPr>
        <w:t xml:space="preserve"> into the Act. </w:t>
      </w:r>
      <w:r w:rsidR="00544B21" w:rsidRPr="005F49A9">
        <w:rPr>
          <w:rFonts w:ascii="Arial" w:hAnsi="Arial" w:cs="Arial"/>
          <w:sz w:val="24"/>
          <w:szCs w:val="24"/>
        </w:rPr>
        <w:t>T</w:t>
      </w:r>
      <w:r w:rsidRPr="005F49A9">
        <w:rPr>
          <w:rFonts w:ascii="Arial" w:hAnsi="Arial" w:cs="Arial"/>
          <w:sz w:val="24"/>
          <w:szCs w:val="24"/>
        </w:rPr>
        <w:t>he ‘innocent owner’ remedy</w:t>
      </w:r>
      <w:r w:rsidR="00441908">
        <w:rPr>
          <w:rFonts w:ascii="Arial" w:hAnsi="Arial" w:cs="Arial"/>
          <w:sz w:val="24"/>
          <w:szCs w:val="24"/>
        </w:rPr>
        <w:t>,</w:t>
      </w:r>
      <w:r w:rsidRPr="005F49A9">
        <w:rPr>
          <w:rFonts w:ascii="Arial" w:hAnsi="Arial" w:cs="Arial"/>
          <w:sz w:val="24"/>
          <w:szCs w:val="24"/>
        </w:rPr>
        <w:t xml:space="preserve"> as per s 63 of the Act</w:t>
      </w:r>
      <w:r w:rsidR="00441908">
        <w:rPr>
          <w:rFonts w:ascii="Arial" w:hAnsi="Arial" w:cs="Arial"/>
          <w:sz w:val="24"/>
          <w:szCs w:val="24"/>
        </w:rPr>
        <w:t>,</w:t>
      </w:r>
      <w:r w:rsidRPr="005F49A9">
        <w:rPr>
          <w:rFonts w:ascii="Arial" w:hAnsi="Arial" w:cs="Arial"/>
          <w:sz w:val="24"/>
          <w:szCs w:val="24"/>
        </w:rPr>
        <w:t xml:space="preserve"> provides that when the court makes a forfeiture order, </w:t>
      </w:r>
      <w:r w:rsidR="00877A3F">
        <w:rPr>
          <w:rFonts w:ascii="Arial" w:hAnsi="Arial" w:cs="Arial"/>
          <w:sz w:val="24"/>
          <w:szCs w:val="24"/>
        </w:rPr>
        <w:t>the</w:t>
      </w:r>
      <w:r w:rsidR="00F32D02">
        <w:rPr>
          <w:rFonts w:ascii="Arial" w:hAnsi="Arial" w:cs="Arial"/>
          <w:sz w:val="24"/>
          <w:szCs w:val="24"/>
        </w:rPr>
        <w:t xml:space="preserve"> </w:t>
      </w:r>
      <w:r w:rsidRPr="005F49A9">
        <w:rPr>
          <w:rFonts w:ascii="Arial" w:hAnsi="Arial" w:cs="Arial"/>
          <w:sz w:val="24"/>
          <w:szCs w:val="24"/>
        </w:rPr>
        <w:t>said court can make an order excluding certain interests in property</w:t>
      </w:r>
      <w:r w:rsidR="00441908">
        <w:rPr>
          <w:rFonts w:ascii="Arial" w:hAnsi="Arial" w:cs="Arial"/>
          <w:sz w:val="24"/>
          <w:szCs w:val="24"/>
        </w:rPr>
        <w:t>,</w:t>
      </w:r>
      <w:r w:rsidRPr="005F49A9">
        <w:rPr>
          <w:rFonts w:ascii="Arial" w:hAnsi="Arial" w:cs="Arial"/>
          <w:sz w:val="24"/>
          <w:szCs w:val="24"/>
        </w:rPr>
        <w:t xml:space="preserve"> which </w:t>
      </w:r>
      <w:r w:rsidR="00AC16F4">
        <w:rPr>
          <w:rFonts w:ascii="Arial" w:hAnsi="Arial" w:cs="Arial"/>
          <w:sz w:val="24"/>
          <w:szCs w:val="24"/>
        </w:rPr>
        <w:t>are</w:t>
      </w:r>
      <w:r w:rsidRPr="005F49A9">
        <w:rPr>
          <w:rFonts w:ascii="Arial" w:hAnsi="Arial" w:cs="Arial"/>
          <w:sz w:val="24"/>
          <w:szCs w:val="24"/>
        </w:rPr>
        <w:t xml:space="preserve"> subject to the order from the operation of the order. </w:t>
      </w:r>
    </w:p>
    <w:p w:rsidR="005F49A9" w:rsidRPr="005F49A9" w:rsidRDefault="005F49A9" w:rsidP="005F49A9">
      <w:pPr>
        <w:pStyle w:val="ListParagraph"/>
        <w:spacing w:after="0" w:line="360" w:lineRule="auto"/>
        <w:ind w:left="0"/>
        <w:jc w:val="both"/>
        <w:rPr>
          <w:rFonts w:ascii="Arial" w:hAnsi="Arial" w:cs="Arial"/>
          <w:sz w:val="24"/>
          <w:szCs w:val="24"/>
        </w:rPr>
      </w:pPr>
    </w:p>
    <w:p w:rsidR="00657460" w:rsidRDefault="00E047F5"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In terms of s 63(2) of the Act</w:t>
      </w:r>
      <w:r w:rsidR="00441908">
        <w:rPr>
          <w:rFonts w:ascii="Arial" w:hAnsi="Arial" w:cs="Arial"/>
          <w:sz w:val="24"/>
          <w:szCs w:val="24"/>
        </w:rPr>
        <w:t>,</w:t>
      </w:r>
      <w:r>
        <w:rPr>
          <w:rFonts w:ascii="Arial" w:hAnsi="Arial" w:cs="Arial"/>
          <w:sz w:val="24"/>
          <w:szCs w:val="24"/>
        </w:rPr>
        <w:t xml:space="preserve"> the ‘innocent owner’ must </w:t>
      </w:r>
      <w:r w:rsidR="00C71329">
        <w:rPr>
          <w:rFonts w:ascii="Arial" w:hAnsi="Arial" w:cs="Arial"/>
          <w:sz w:val="24"/>
          <w:szCs w:val="24"/>
        </w:rPr>
        <w:t>prove</w:t>
      </w:r>
      <w:r>
        <w:rPr>
          <w:rFonts w:ascii="Arial" w:hAnsi="Arial" w:cs="Arial"/>
          <w:sz w:val="24"/>
          <w:szCs w:val="24"/>
        </w:rPr>
        <w:t>, on a balance of probabilities</w:t>
      </w:r>
      <w:r w:rsidR="002E0F5E">
        <w:rPr>
          <w:rFonts w:ascii="Arial" w:hAnsi="Arial" w:cs="Arial"/>
          <w:sz w:val="24"/>
          <w:szCs w:val="24"/>
        </w:rPr>
        <w:t>,</w:t>
      </w:r>
      <w:r>
        <w:rPr>
          <w:rFonts w:ascii="Arial" w:hAnsi="Arial" w:cs="Arial"/>
          <w:sz w:val="24"/>
          <w:szCs w:val="24"/>
        </w:rPr>
        <w:t xml:space="preserve"> that he or she acquired the interest legally and for consideration not significantly less valuable than the value of the interest. The ‘innocent owner’ must further </w:t>
      </w:r>
      <w:r w:rsidR="002E0F5E">
        <w:rPr>
          <w:rFonts w:ascii="Arial" w:hAnsi="Arial" w:cs="Arial"/>
          <w:sz w:val="24"/>
          <w:szCs w:val="24"/>
        </w:rPr>
        <w:t>prove</w:t>
      </w:r>
      <w:r>
        <w:rPr>
          <w:rFonts w:ascii="Arial" w:hAnsi="Arial" w:cs="Arial"/>
          <w:sz w:val="24"/>
          <w:szCs w:val="24"/>
        </w:rPr>
        <w:t xml:space="preserve"> that he or she neither knew nor had reasonable </w:t>
      </w:r>
      <w:r w:rsidR="002E0F5E">
        <w:rPr>
          <w:rFonts w:ascii="Arial" w:hAnsi="Arial" w:cs="Arial"/>
          <w:sz w:val="24"/>
          <w:szCs w:val="24"/>
        </w:rPr>
        <w:t>grounds</w:t>
      </w:r>
      <w:r>
        <w:rPr>
          <w:rFonts w:ascii="Arial" w:hAnsi="Arial" w:cs="Arial"/>
          <w:sz w:val="24"/>
          <w:szCs w:val="24"/>
        </w:rPr>
        <w:t xml:space="preserve"> to suspect that the property in which the interest is held was proceeds of unlawful activities. </w:t>
      </w:r>
    </w:p>
    <w:p w:rsidR="00592686" w:rsidRDefault="00592686" w:rsidP="00592686">
      <w:pPr>
        <w:pStyle w:val="ListParagraph"/>
        <w:spacing w:after="0" w:line="360" w:lineRule="auto"/>
        <w:ind w:left="0"/>
        <w:jc w:val="both"/>
        <w:rPr>
          <w:rFonts w:ascii="Arial" w:hAnsi="Arial" w:cs="Arial"/>
          <w:sz w:val="24"/>
          <w:szCs w:val="24"/>
        </w:rPr>
      </w:pPr>
    </w:p>
    <w:p w:rsidR="00592686" w:rsidRPr="005B62C2" w:rsidRDefault="001C2A00" w:rsidP="006E2628">
      <w:pPr>
        <w:pStyle w:val="ListParagraph"/>
        <w:numPr>
          <w:ilvl w:val="0"/>
          <w:numId w:val="45"/>
        </w:numPr>
        <w:spacing w:after="0" w:line="360" w:lineRule="auto"/>
        <w:ind w:left="0" w:firstLine="0"/>
        <w:jc w:val="both"/>
        <w:rPr>
          <w:rFonts w:ascii="Arial" w:hAnsi="Arial" w:cs="Arial"/>
          <w:sz w:val="24"/>
          <w:szCs w:val="24"/>
        </w:rPr>
      </w:pPr>
      <w:r w:rsidRPr="005B62C2">
        <w:rPr>
          <w:rFonts w:ascii="Arial" w:hAnsi="Arial" w:cs="Arial"/>
          <w:sz w:val="24"/>
          <w:szCs w:val="24"/>
        </w:rPr>
        <w:t>Michael Rhimes</w:t>
      </w:r>
      <w:r w:rsidR="00441908" w:rsidRPr="005B62C2">
        <w:rPr>
          <w:rFonts w:ascii="Arial" w:hAnsi="Arial" w:cs="Arial"/>
          <w:sz w:val="24"/>
          <w:szCs w:val="24"/>
        </w:rPr>
        <w:t>,</w:t>
      </w:r>
      <w:r w:rsidRPr="005B62C2">
        <w:rPr>
          <w:rFonts w:ascii="Arial" w:hAnsi="Arial" w:cs="Arial"/>
          <w:sz w:val="24"/>
          <w:szCs w:val="24"/>
        </w:rPr>
        <w:t xml:space="preserve"> </w:t>
      </w:r>
      <w:r w:rsidR="00980865" w:rsidRPr="005B62C2">
        <w:rPr>
          <w:rFonts w:ascii="Arial" w:hAnsi="Arial" w:cs="Arial"/>
          <w:sz w:val="24"/>
          <w:szCs w:val="24"/>
        </w:rPr>
        <w:t>in his article</w:t>
      </w:r>
      <w:r w:rsidRPr="005B62C2">
        <w:rPr>
          <w:rFonts w:ascii="Arial" w:hAnsi="Arial" w:cs="Arial"/>
          <w:sz w:val="24"/>
          <w:szCs w:val="24"/>
        </w:rPr>
        <w:t xml:space="preserve"> Forfeiting Proceeds: Civil </w:t>
      </w:r>
      <w:r w:rsidR="00980865" w:rsidRPr="005B62C2">
        <w:rPr>
          <w:rFonts w:ascii="Arial" w:hAnsi="Arial" w:cs="Arial"/>
          <w:sz w:val="24"/>
          <w:szCs w:val="24"/>
        </w:rPr>
        <w:t>F</w:t>
      </w:r>
      <w:r w:rsidRPr="005B62C2">
        <w:rPr>
          <w:rFonts w:ascii="Arial" w:hAnsi="Arial" w:cs="Arial"/>
          <w:sz w:val="24"/>
          <w:szCs w:val="24"/>
        </w:rPr>
        <w:t xml:space="preserve">orfeiture, the </w:t>
      </w:r>
      <w:r w:rsidR="00980865" w:rsidRPr="005B62C2">
        <w:rPr>
          <w:rFonts w:ascii="Arial" w:hAnsi="Arial" w:cs="Arial"/>
          <w:sz w:val="24"/>
          <w:szCs w:val="24"/>
        </w:rPr>
        <w:t>R</w:t>
      </w:r>
      <w:r w:rsidRPr="005B62C2">
        <w:rPr>
          <w:rFonts w:ascii="Arial" w:hAnsi="Arial" w:cs="Arial"/>
          <w:sz w:val="24"/>
          <w:szCs w:val="24"/>
        </w:rPr>
        <w:t xml:space="preserve">ight to </w:t>
      </w:r>
      <w:r w:rsidR="00980865" w:rsidRPr="005B62C2">
        <w:rPr>
          <w:rFonts w:ascii="Arial" w:hAnsi="Arial" w:cs="Arial"/>
          <w:sz w:val="24"/>
          <w:szCs w:val="24"/>
        </w:rPr>
        <w:t>P</w:t>
      </w:r>
      <w:r w:rsidRPr="005B62C2">
        <w:rPr>
          <w:rFonts w:ascii="Arial" w:hAnsi="Arial" w:cs="Arial"/>
          <w:sz w:val="24"/>
          <w:szCs w:val="24"/>
        </w:rPr>
        <w:t>roperty and the Constitution</w:t>
      </w:r>
      <w:r w:rsidR="00980865">
        <w:rPr>
          <w:rStyle w:val="FootnoteReference"/>
          <w:rFonts w:ascii="Arial" w:hAnsi="Arial" w:cs="Arial"/>
          <w:sz w:val="24"/>
          <w:szCs w:val="24"/>
        </w:rPr>
        <w:footnoteReference w:id="36"/>
      </w:r>
      <w:r w:rsidR="00980865" w:rsidRPr="005B62C2">
        <w:rPr>
          <w:rFonts w:ascii="Arial" w:hAnsi="Arial" w:cs="Arial"/>
          <w:sz w:val="24"/>
          <w:szCs w:val="24"/>
        </w:rPr>
        <w:t xml:space="preserve"> opined that the defence of ‘innocent owner’ in </w:t>
      </w:r>
      <w:r w:rsidRPr="005B62C2">
        <w:rPr>
          <w:rFonts w:ascii="Arial" w:hAnsi="Arial" w:cs="Arial"/>
          <w:sz w:val="24"/>
          <w:szCs w:val="24"/>
        </w:rPr>
        <w:t>s 52 of South African POCA</w:t>
      </w:r>
      <w:r w:rsidR="00980865" w:rsidRPr="005B62C2">
        <w:rPr>
          <w:rFonts w:ascii="Arial" w:hAnsi="Arial" w:cs="Arial"/>
          <w:sz w:val="24"/>
          <w:szCs w:val="24"/>
        </w:rPr>
        <w:t xml:space="preserve"> (Namibian s 63 counterpart)</w:t>
      </w:r>
      <w:r w:rsidR="00150655">
        <w:rPr>
          <w:rFonts w:ascii="Arial" w:hAnsi="Arial" w:cs="Arial"/>
          <w:sz w:val="24"/>
          <w:szCs w:val="24"/>
        </w:rPr>
        <w:t>,</w:t>
      </w:r>
      <w:r w:rsidR="00980865" w:rsidRPr="005B62C2">
        <w:rPr>
          <w:rFonts w:ascii="Arial" w:hAnsi="Arial" w:cs="Arial"/>
          <w:sz w:val="24"/>
          <w:szCs w:val="24"/>
        </w:rPr>
        <w:t xml:space="preserve"> is not a fail-safe against disproportionate forfeiture. It requires a person with an interest in the proceeds to make an application to the court (which requires knowledge, time and money)</w:t>
      </w:r>
      <w:r w:rsidR="00DF011E" w:rsidRPr="005B62C2">
        <w:rPr>
          <w:rFonts w:ascii="Arial" w:hAnsi="Arial" w:cs="Arial"/>
          <w:sz w:val="24"/>
          <w:szCs w:val="24"/>
        </w:rPr>
        <w:t>. He further contends that it is a blunt tool that cannot cater for the broad range of factors that might render forfeiture disproportionate.</w:t>
      </w:r>
    </w:p>
    <w:p w:rsidR="00592686" w:rsidRPr="00592686" w:rsidRDefault="00592686" w:rsidP="00592686">
      <w:pPr>
        <w:pStyle w:val="ListParagraph"/>
        <w:rPr>
          <w:rFonts w:ascii="Arial" w:hAnsi="Arial" w:cs="Arial"/>
          <w:sz w:val="24"/>
          <w:szCs w:val="24"/>
        </w:rPr>
      </w:pPr>
    </w:p>
    <w:p w:rsidR="00DF011E" w:rsidRPr="00055F2D" w:rsidRDefault="00C61A22" w:rsidP="006E2628">
      <w:pPr>
        <w:pStyle w:val="ListParagraph"/>
        <w:numPr>
          <w:ilvl w:val="0"/>
          <w:numId w:val="45"/>
        </w:numPr>
        <w:spacing w:after="0" w:line="360" w:lineRule="auto"/>
        <w:ind w:left="0" w:firstLine="0"/>
        <w:jc w:val="both"/>
        <w:rPr>
          <w:rFonts w:ascii="Arial" w:hAnsi="Arial" w:cs="Arial"/>
          <w:sz w:val="24"/>
          <w:szCs w:val="24"/>
        </w:rPr>
      </w:pPr>
      <w:r w:rsidRPr="00055F2D">
        <w:rPr>
          <w:rFonts w:ascii="Arial" w:hAnsi="Arial" w:cs="Arial"/>
          <w:sz w:val="24"/>
          <w:szCs w:val="24"/>
        </w:rPr>
        <w:t xml:space="preserve">In the current matter it was submitted by </w:t>
      </w:r>
      <w:r w:rsidR="005B62C2" w:rsidRPr="00055F2D">
        <w:rPr>
          <w:rFonts w:ascii="Arial" w:hAnsi="Arial" w:cs="Arial"/>
          <w:sz w:val="24"/>
          <w:szCs w:val="24"/>
        </w:rPr>
        <w:t xml:space="preserve">the </w:t>
      </w:r>
      <w:r w:rsidR="00150655">
        <w:rPr>
          <w:rFonts w:ascii="Arial" w:hAnsi="Arial" w:cs="Arial"/>
          <w:sz w:val="24"/>
          <w:szCs w:val="24"/>
        </w:rPr>
        <w:t xml:space="preserve">first respondent </w:t>
      </w:r>
      <w:r w:rsidR="005B62C2" w:rsidRPr="00055F2D">
        <w:rPr>
          <w:rFonts w:ascii="Arial" w:hAnsi="Arial" w:cs="Arial"/>
          <w:sz w:val="24"/>
          <w:szCs w:val="24"/>
        </w:rPr>
        <w:t>that the applicants are yet to see</w:t>
      </w:r>
      <w:r w:rsidRPr="00055F2D">
        <w:rPr>
          <w:rFonts w:ascii="Arial" w:hAnsi="Arial" w:cs="Arial"/>
          <w:sz w:val="24"/>
          <w:szCs w:val="24"/>
        </w:rPr>
        <w:t>k</w:t>
      </w:r>
      <w:r w:rsidR="005B62C2" w:rsidRPr="00055F2D">
        <w:rPr>
          <w:rFonts w:ascii="Arial" w:hAnsi="Arial" w:cs="Arial"/>
          <w:sz w:val="24"/>
          <w:szCs w:val="24"/>
        </w:rPr>
        <w:t xml:space="preserve"> the release of their restrained fund</w:t>
      </w:r>
      <w:r w:rsidR="00150655">
        <w:rPr>
          <w:rFonts w:ascii="Arial" w:hAnsi="Arial" w:cs="Arial"/>
          <w:sz w:val="24"/>
          <w:szCs w:val="24"/>
        </w:rPr>
        <w:t>s</w:t>
      </w:r>
      <w:r w:rsidR="005B62C2" w:rsidRPr="00055F2D">
        <w:rPr>
          <w:rFonts w:ascii="Arial" w:hAnsi="Arial" w:cs="Arial"/>
          <w:sz w:val="24"/>
          <w:szCs w:val="24"/>
        </w:rPr>
        <w:t xml:space="preserve"> and concluded that the applicant</w:t>
      </w:r>
      <w:r w:rsidR="00150655">
        <w:rPr>
          <w:rFonts w:ascii="Arial" w:hAnsi="Arial" w:cs="Arial"/>
          <w:sz w:val="24"/>
          <w:szCs w:val="24"/>
        </w:rPr>
        <w:t>s</w:t>
      </w:r>
      <w:r w:rsidR="005B62C2" w:rsidRPr="00055F2D">
        <w:rPr>
          <w:rFonts w:ascii="Arial" w:hAnsi="Arial" w:cs="Arial"/>
          <w:sz w:val="24"/>
          <w:szCs w:val="24"/>
        </w:rPr>
        <w:t xml:space="preserve"> </w:t>
      </w:r>
      <w:r w:rsidR="007228A8">
        <w:rPr>
          <w:rFonts w:ascii="Arial" w:hAnsi="Arial" w:cs="Arial"/>
          <w:sz w:val="24"/>
          <w:szCs w:val="24"/>
        </w:rPr>
        <w:t xml:space="preserve">must </w:t>
      </w:r>
      <w:r w:rsidR="005B62C2" w:rsidRPr="00055F2D">
        <w:rPr>
          <w:rFonts w:ascii="Arial" w:hAnsi="Arial" w:cs="Arial"/>
          <w:sz w:val="24"/>
          <w:szCs w:val="24"/>
        </w:rPr>
        <w:t>have alternative funds</w:t>
      </w:r>
      <w:r w:rsidR="00150655">
        <w:rPr>
          <w:rFonts w:ascii="Arial" w:hAnsi="Arial" w:cs="Arial"/>
          <w:sz w:val="24"/>
          <w:szCs w:val="24"/>
        </w:rPr>
        <w:t xml:space="preserve"> at their disposal</w:t>
      </w:r>
      <w:r w:rsidR="005B62C2" w:rsidRPr="00055F2D">
        <w:rPr>
          <w:rFonts w:ascii="Arial" w:hAnsi="Arial" w:cs="Arial"/>
          <w:sz w:val="24"/>
          <w:szCs w:val="24"/>
        </w:rPr>
        <w:t xml:space="preserve">. </w:t>
      </w:r>
      <w:r w:rsidRPr="00055F2D">
        <w:rPr>
          <w:rFonts w:ascii="Arial" w:hAnsi="Arial" w:cs="Arial"/>
          <w:sz w:val="24"/>
          <w:szCs w:val="24"/>
        </w:rPr>
        <w:t>This conte</w:t>
      </w:r>
      <w:r w:rsidR="007228A8">
        <w:rPr>
          <w:rFonts w:ascii="Arial" w:hAnsi="Arial" w:cs="Arial"/>
          <w:sz w:val="24"/>
          <w:szCs w:val="24"/>
        </w:rPr>
        <w:t>ntion is speculative</w:t>
      </w:r>
      <w:r w:rsidRPr="00055F2D">
        <w:rPr>
          <w:rFonts w:ascii="Arial" w:hAnsi="Arial" w:cs="Arial"/>
          <w:sz w:val="24"/>
          <w:szCs w:val="24"/>
        </w:rPr>
        <w:t xml:space="preserve"> and without foundation</w:t>
      </w:r>
      <w:r w:rsidR="007228A8">
        <w:rPr>
          <w:rFonts w:ascii="Arial" w:hAnsi="Arial" w:cs="Arial"/>
          <w:sz w:val="24"/>
          <w:szCs w:val="24"/>
        </w:rPr>
        <w:t xml:space="preserve"> in fact</w:t>
      </w:r>
      <w:r w:rsidR="00055F2D" w:rsidRPr="00055F2D">
        <w:rPr>
          <w:rFonts w:ascii="Arial" w:hAnsi="Arial" w:cs="Arial"/>
          <w:sz w:val="24"/>
          <w:szCs w:val="24"/>
        </w:rPr>
        <w:t xml:space="preserve">. One should not lose sight of the fact, as pointed out by the learned author above, that in order to </w:t>
      </w:r>
      <w:r w:rsidR="00592686" w:rsidRPr="00055F2D">
        <w:rPr>
          <w:rFonts w:ascii="Arial" w:hAnsi="Arial" w:cs="Arial"/>
          <w:sz w:val="24"/>
          <w:szCs w:val="24"/>
        </w:rPr>
        <w:t>approach a competent court to exclude lawful funds from being forfeited</w:t>
      </w:r>
      <w:r w:rsidR="00055F2D">
        <w:rPr>
          <w:rFonts w:ascii="Arial" w:hAnsi="Arial" w:cs="Arial"/>
          <w:sz w:val="24"/>
          <w:szCs w:val="24"/>
        </w:rPr>
        <w:t xml:space="preserve"> requires </w:t>
      </w:r>
      <w:r w:rsidR="00EF1705">
        <w:rPr>
          <w:rFonts w:ascii="Arial" w:hAnsi="Arial" w:cs="Arial"/>
          <w:sz w:val="24"/>
          <w:szCs w:val="24"/>
        </w:rPr>
        <w:t xml:space="preserve">alternative </w:t>
      </w:r>
      <w:r w:rsidR="00055F2D">
        <w:rPr>
          <w:rFonts w:ascii="Arial" w:hAnsi="Arial" w:cs="Arial"/>
          <w:sz w:val="24"/>
          <w:szCs w:val="24"/>
        </w:rPr>
        <w:t xml:space="preserve">funds as </w:t>
      </w:r>
      <w:r w:rsidR="00592686" w:rsidRPr="00055F2D">
        <w:rPr>
          <w:rFonts w:ascii="Arial" w:hAnsi="Arial" w:cs="Arial"/>
          <w:sz w:val="24"/>
          <w:szCs w:val="24"/>
        </w:rPr>
        <w:t xml:space="preserve">access to justice involves funds and knowledge, which some </w:t>
      </w:r>
      <w:r w:rsidR="00447E16" w:rsidRPr="00055F2D">
        <w:rPr>
          <w:rFonts w:ascii="Arial" w:hAnsi="Arial" w:cs="Arial"/>
          <w:sz w:val="24"/>
          <w:szCs w:val="24"/>
        </w:rPr>
        <w:t>individuals’</w:t>
      </w:r>
      <w:r w:rsidR="00592686" w:rsidRPr="00055F2D">
        <w:rPr>
          <w:rFonts w:ascii="Arial" w:hAnsi="Arial" w:cs="Arial"/>
          <w:sz w:val="24"/>
          <w:szCs w:val="24"/>
        </w:rPr>
        <w:t xml:space="preserve"> lack. </w:t>
      </w:r>
      <w:r w:rsidR="005B62C2" w:rsidRPr="00055F2D">
        <w:rPr>
          <w:rFonts w:ascii="Arial" w:hAnsi="Arial" w:cs="Arial"/>
          <w:sz w:val="24"/>
          <w:szCs w:val="24"/>
        </w:rPr>
        <w:t>In the current matter</w:t>
      </w:r>
      <w:r w:rsidR="00592686" w:rsidRPr="00055F2D">
        <w:rPr>
          <w:rFonts w:ascii="Arial" w:hAnsi="Arial" w:cs="Arial"/>
          <w:sz w:val="24"/>
          <w:szCs w:val="24"/>
        </w:rPr>
        <w:t xml:space="preserve"> the applicants had to secure </w:t>
      </w:r>
      <w:r w:rsidR="00055F2D">
        <w:rPr>
          <w:rFonts w:ascii="Arial" w:hAnsi="Arial" w:cs="Arial"/>
          <w:sz w:val="24"/>
          <w:szCs w:val="24"/>
        </w:rPr>
        <w:t xml:space="preserve">the services and specialised knowledge of </w:t>
      </w:r>
      <w:r w:rsidR="00EF1705">
        <w:rPr>
          <w:rFonts w:ascii="Arial" w:hAnsi="Arial" w:cs="Arial"/>
          <w:sz w:val="24"/>
          <w:szCs w:val="24"/>
        </w:rPr>
        <w:t>senior counsel</w:t>
      </w:r>
      <w:r w:rsidR="00592686" w:rsidRPr="00055F2D">
        <w:rPr>
          <w:rFonts w:ascii="Arial" w:hAnsi="Arial" w:cs="Arial"/>
          <w:sz w:val="24"/>
          <w:szCs w:val="24"/>
        </w:rPr>
        <w:t xml:space="preserve"> for purpose of </w:t>
      </w:r>
      <w:r w:rsidR="00055F2D">
        <w:rPr>
          <w:rFonts w:ascii="Arial" w:hAnsi="Arial" w:cs="Arial"/>
          <w:sz w:val="24"/>
          <w:szCs w:val="24"/>
        </w:rPr>
        <w:t>re</w:t>
      </w:r>
      <w:r w:rsidR="00592686" w:rsidRPr="00055F2D">
        <w:rPr>
          <w:rFonts w:ascii="Arial" w:hAnsi="Arial" w:cs="Arial"/>
          <w:sz w:val="24"/>
          <w:szCs w:val="24"/>
        </w:rPr>
        <w:t xml:space="preserve">claiming their lawful funds. </w:t>
      </w:r>
      <w:r w:rsidR="007228A8">
        <w:rPr>
          <w:rFonts w:ascii="Arial" w:hAnsi="Arial" w:cs="Arial"/>
          <w:sz w:val="24"/>
          <w:szCs w:val="24"/>
        </w:rPr>
        <w:t>It is clear that the ‘innocent owner’ remedy is far from satisfactory.</w:t>
      </w:r>
    </w:p>
    <w:p w:rsidR="005B62C2" w:rsidRPr="005B62C2" w:rsidRDefault="005B62C2" w:rsidP="005B62C2">
      <w:pPr>
        <w:pStyle w:val="ListParagraph"/>
        <w:rPr>
          <w:rFonts w:ascii="Arial" w:hAnsi="Arial" w:cs="Arial"/>
          <w:sz w:val="24"/>
          <w:szCs w:val="24"/>
        </w:rPr>
      </w:pPr>
    </w:p>
    <w:p w:rsidR="00DF011E" w:rsidRDefault="002E0F5E"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On</w:t>
      </w:r>
      <w:r w:rsidR="00DF011E">
        <w:rPr>
          <w:rFonts w:ascii="Arial" w:hAnsi="Arial" w:cs="Arial"/>
          <w:sz w:val="24"/>
          <w:szCs w:val="24"/>
        </w:rPr>
        <w:t xml:space="preserve"> p 352</w:t>
      </w:r>
      <w:r>
        <w:rPr>
          <w:rFonts w:ascii="Arial" w:hAnsi="Arial" w:cs="Arial"/>
          <w:sz w:val="24"/>
          <w:szCs w:val="24"/>
        </w:rPr>
        <w:t>,</w:t>
      </w:r>
      <w:r w:rsidR="00DF011E">
        <w:rPr>
          <w:rFonts w:ascii="Arial" w:hAnsi="Arial" w:cs="Arial"/>
          <w:sz w:val="24"/>
          <w:szCs w:val="24"/>
        </w:rPr>
        <w:t xml:space="preserve"> Rhimes </w:t>
      </w:r>
      <w:r w:rsidR="007228A8">
        <w:rPr>
          <w:rFonts w:ascii="Arial" w:hAnsi="Arial" w:cs="Arial"/>
          <w:sz w:val="24"/>
          <w:szCs w:val="24"/>
        </w:rPr>
        <w:t xml:space="preserve">further </w:t>
      </w:r>
      <w:r w:rsidR="00DF011E">
        <w:rPr>
          <w:rFonts w:ascii="Arial" w:hAnsi="Arial" w:cs="Arial"/>
          <w:sz w:val="24"/>
          <w:szCs w:val="24"/>
        </w:rPr>
        <w:t>states that ‘it is therefore not easy to conclude with a degree of confidence that POCA eliminates the risk of arbitrary deprivation of proceeds. Forfeiting proceeds is less likely to be constitutionally offensive than with instrumentalities. But the fact that POCA is less likely to result in disproportionate forfeiture of proceeds does not mean that it would never result. As has been often been recognised by the courts, there is an ever-present threat that the forfeiture powers in chap 6 of POCA</w:t>
      </w:r>
      <w:r w:rsidR="00FE3599">
        <w:rPr>
          <w:rFonts w:ascii="Arial" w:hAnsi="Arial" w:cs="Arial"/>
          <w:sz w:val="24"/>
          <w:szCs w:val="24"/>
        </w:rPr>
        <w:t xml:space="preserve"> </w:t>
      </w:r>
      <w:r w:rsidR="00DF011E">
        <w:rPr>
          <w:rFonts w:ascii="Arial" w:hAnsi="Arial" w:cs="Arial"/>
          <w:sz w:val="24"/>
          <w:szCs w:val="24"/>
        </w:rPr>
        <w:t>may result in arbitrary deprivation of property</w:t>
      </w:r>
      <w:r w:rsidR="00FE3599">
        <w:rPr>
          <w:rFonts w:ascii="Arial" w:hAnsi="Arial" w:cs="Arial"/>
          <w:sz w:val="24"/>
          <w:szCs w:val="24"/>
        </w:rPr>
        <w:t>.</w:t>
      </w:r>
      <w:r w:rsidR="00DF011E">
        <w:rPr>
          <w:rFonts w:ascii="Arial" w:hAnsi="Arial" w:cs="Arial"/>
          <w:sz w:val="24"/>
          <w:szCs w:val="24"/>
        </w:rPr>
        <w:t>’</w:t>
      </w:r>
      <w:r w:rsidR="00FE3599">
        <w:rPr>
          <w:rFonts w:ascii="Arial" w:hAnsi="Arial" w:cs="Arial"/>
          <w:sz w:val="24"/>
          <w:szCs w:val="24"/>
        </w:rPr>
        <w:t xml:space="preserve"> Rhimes made these comments in the context of the South African POCA</w:t>
      </w:r>
      <w:r>
        <w:rPr>
          <w:rFonts w:ascii="Arial" w:hAnsi="Arial" w:cs="Arial"/>
          <w:sz w:val="24"/>
          <w:szCs w:val="24"/>
        </w:rPr>
        <w:t>,</w:t>
      </w:r>
      <w:r w:rsidR="00FE3599">
        <w:rPr>
          <w:rFonts w:ascii="Arial" w:hAnsi="Arial" w:cs="Arial"/>
          <w:sz w:val="24"/>
          <w:szCs w:val="24"/>
        </w:rPr>
        <w:t xml:space="preserve"> which does not have the add-on to its definition of proceeds of crime contained in the Namibian POCA. In </w:t>
      </w:r>
      <w:r w:rsidR="00C71329">
        <w:rPr>
          <w:rFonts w:ascii="Arial" w:hAnsi="Arial" w:cs="Arial"/>
          <w:sz w:val="24"/>
          <w:szCs w:val="24"/>
        </w:rPr>
        <w:t xml:space="preserve">the </w:t>
      </w:r>
      <w:r w:rsidR="00FE3599">
        <w:rPr>
          <w:rFonts w:ascii="Arial" w:hAnsi="Arial" w:cs="Arial"/>
          <w:sz w:val="24"/>
          <w:szCs w:val="24"/>
        </w:rPr>
        <w:t>Namibian setting</w:t>
      </w:r>
      <w:r w:rsidR="00C71329">
        <w:rPr>
          <w:rFonts w:ascii="Arial" w:hAnsi="Arial" w:cs="Arial"/>
          <w:sz w:val="24"/>
          <w:szCs w:val="24"/>
        </w:rPr>
        <w:t>,</w:t>
      </w:r>
      <w:r w:rsidR="00FE3599">
        <w:rPr>
          <w:rFonts w:ascii="Arial" w:hAnsi="Arial" w:cs="Arial"/>
          <w:sz w:val="24"/>
          <w:szCs w:val="24"/>
        </w:rPr>
        <w:t xml:space="preserve"> the danger of arbitrariness is ever present</w:t>
      </w:r>
      <w:r>
        <w:rPr>
          <w:rFonts w:ascii="Arial" w:hAnsi="Arial" w:cs="Arial"/>
          <w:sz w:val="24"/>
          <w:szCs w:val="24"/>
        </w:rPr>
        <w:t>, culminating</w:t>
      </w:r>
      <w:r w:rsidR="00546709">
        <w:rPr>
          <w:rFonts w:ascii="Arial" w:hAnsi="Arial" w:cs="Arial"/>
          <w:sz w:val="24"/>
          <w:szCs w:val="24"/>
        </w:rPr>
        <w:t xml:space="preserve"> in </w:t>
      </w:r>
      <w:r w:rsidR="002B38E1">
        <w:rPr>
          <w:rFonts w:ascii="Arial" w:hAnsi="Arial" w:cs="Arial"/>
          <w:sz w:val="24"/>
          <w:szCs w:val="24"/>
        </w:rPr>
        <w:t>draconian</w:t>
      </w:r>
      <w:r w:rsidR="00546709">
        <w:rPr>
          <w:rFonts w:ascii="Arial" w:hAnsi="Arial" w:cs="Arial"/>
          <w:sz w:val="24"/>
          <w:szCs w:val="24"/>
        </w:rPr>
        <w:t xml:space="preserve"> results</w:t>
      </w:r>
      <w:r w:rsidR="002B38E1">
        <w:rPr>
          <w:rFonts w:ascii="Arial" w:hAnsi="Arial" w:cs="Arial"/>
          <w:sz w:val="24"/>
          <w:szCs w:val="24"/>
        </w:rPr>
        <w:t>.</w:t>
      </w:r>
    </w:p>
    <w:p w:rsidR="002B38E1" w:rsidRPr="002B38E1" w:rsidRDefault="002B38E1" w:rsidP="002B38E1">
      <w:pPr>
        <w:pStyle w:val="ListParagraph"/>
        <w:rPr>
          <w:rFonts w:ascii="Arial" w:hAnsi="Arial" w:cs="Arial"/>
          <w:sz w:val="24"/>
          <w:szCs w:val="24"/>
        </w:rPr>
      </w:pPr>
    </w:p>
    <w:p w:rsidR="002B38E1" w:rsidRDefault="002B38E1"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To tie in with what Rhimes said</w:t>
      </w:r>
      <w:r w:rsidR="002E0F5E">
        <w:rPr>
          <w:rFonts w:ascii="Arial" w:hAnsi="Arial" w:cs="Arial"/>
          <w:sz w:val="24"/>
          <w:szCs w:val="24"/>
        </w:rPr>
        <w:t>,</w:t>
      </w:r>
      <w:r>
        <w:rPr>
          <w:rFonts w:ascii="Arial" w:hAnsi="Arial" w:cs="Arial"/>
          <w:sz w:val="24"/>
          <w:szCs w:val="24"/>
        </w:rPr>
        <w:t xml:space="preserve"> it is necessary to refer to </w:t>
      </w:r>
      <w:r w:rsidRPr="002B38E1">
        <w:rPr>
          <w:rFonts w:ascii="Arial" w:hAnsi="Arial" w:cs="Arial"/>
          <w:i/>
          <w:sz w:val="24"/>
          <w:szCs w:val="24"/>
        </w:rPr>
        <w:t>Prophet v National Director of Public Prosecutions</w:t>
      </w:r>
      <w:r>
        <w:rPr>
          <w:rFonts w:ascii="Arial" w:hAnsi="Arial" w:cs="Arial"/>
          <w:i/>
          <w:sz w:val="24"/>
          <w:szCs w:val="24"/>
        </w:rPr>
        <w:t>,</w:t>
      </w:r>
      <w:r w:rsidRPr="002B38E1">
        <w:rPr>
          <w:rStyle w:val="FootnoteReference"/>
        </w:rPr>
        <w:t xml:space="preserve"> </w:t>
      </w:r>
      <w:r>
        <w:rPr>
          <w:rStyle w:val="FootnoteReference"/>
          <w:rFonts w:ascii="Arial" w:hAnsi="Arial" w:cs="Arial"/>
          <w:sz w:val="24"/>
          <w:szCs w:val="24"/>
        </w:rPr>
        <w:footnoteReference w:id="37"/>
      </w:r>
      <w:r>
        <w:rPr>
          <w:rFonts w:ascii="Arial" w:hAnsi="Arial" w:cs="Arial"/>
          <w:sz w:val="24"/>
          <w:szCs w:val="24"/>
        </w:rPr>
        <w:t xml:space="preserve"> </w:t>
      </w:r>
      <w:r w:rsidR="00A42FDC">
        <w:rPr>
          <w:rFonts w:ascii="Arial" w:hAnsi="Arial" w:cs="Arial"/>
          <w:sz w:val="24"/>
          <w:szCs w:val="24"/>
        </w:rPr>
        <w:t xml:space="preserve">where </w:t>
      </w:r>
      <w:r>
        <w:rPr>
          <w:rFonts w:ascii="Arial" w:hAnsi="Arial" w:cs="Arial"/>
          <w:sz w:val="24"/>
          <w:szCs w:val="24"/>
        </w:rPr>
        <w:t>Nkabinde J stated:</w:t>
      </w:r>
    </w:p>
    <w:p w:rsidR="002B38E1" w:rsidRPr="002B38E1" w:rsidRDefault="002B38E1" w:rsidP="002B38E1">
      <w:pPr>
        <w:pStyle w:val="ListParagraph"/>
        <w:rPr>
          <w:rFonts w:ascii="Arial" w:hAnsi="Arial" w:cs="Arial"/>
          <w:sz w:val="24"/>
          <w:szCs w:val="24"/>
        </w:rPr>
      </w:pPr>
    </w:p>
    <w:p w:rsidR="002B38E1" w:rsidRPr="002B38E1" w:rsidRDefault="002B38E1" w:rsidP="002B38E1">
      <w:pPr>
        <w:pStyle w:val="ListParagraph"/>
        <w:spacing w:after="0" w:line="360" w:lineRule="auto"/>
        <w:ind w:left="0" w:firstLine="720"/>
        <w:jc w:val="both"/>
        <w:rPr>
          <w:rFonts w:ascii="Arial" w:hAnsi="Arial" w:cs="Arial"/>
        </w:rPr>
      </w:pPr>
      <w:r>
        <w:rPr>
          <w:rFonts w:ascii="Arial" w:hAnsi="Arial" w:cs="Arial"/>
        </w:rPr>
        <w:t>‘</w:t>
      </w:r>
      <w:r w:rsidRPr="002B38E1">
        <w:rPr>
          <w:rFonts w:ascii="Arial" w:hAnsi="Arial" w:cs="Arial"/>
        </w:rPr>
        <w:t>[61] While the purpose and object of Ch 6 must be considered when a forfeiture order is sought, one</w:t>
      </w:r>
      <w:r>
        <w:rPr>
          <w:rFonts w:ascii="Arial" w:hAnsi="Arial" w:cs="Arial"/>
        </w:rPr>
        <w:t xml:space="preserve"> should be mindful of the fact </w:t>
      </w:r>
      <w:r w:rsidRPr="002B38E1">
        <w:rPr>
          <w:rFonts w:ascii="Arial" w:hAnsi="Arial" w:cs="Arial"/>
        </w:rPr>
        <w:t xml:space="preserve">that unrestrained application of Ch 6 may violate constitutional rights, in particular the protection against arbitrary deprivation of property particularly within the meaning of s 25(1) of the Constitution, which requires that 'no law may permit arbitrary deprivation of property'. In </w:t>
      </w:r>
      <w:r w:rsidRPr="001E7DC2">
        <w:rPr>
          <w:rFonts w:ascii="Arial" w:hAnsi="Arial" w:cs="Arial"/>
          <w:i/>
        </w:rPr>
        <w:t>First National Bank of SA Ltd t/a Wesbank v Commissioner, South African Revenue Service and Another</w:t>
      </w:r>
      <w:r w:rsidRPr="002B38E1">
        <w:rPr>
          <w:rFonts w:ascii="Arial" w:hAnsi="Arial" w:cs="Arial"/>
        </w:rPr>
        <w:t xml:space="preserve">; </w:t>
      </w:r>
      <w:r w:rsidRPr="001E7DC2">
        <w:rPr>
          <w:rFonts w:ascii="Arial" w:hAnsi="Arial" w:cs="Arial"/>
          <w:i/>
        </w:rPr>
        <w:t xml:space="preserve">First National Bank of SA Ltd t/a Wesbank v Minister of Finance </w:t>
      </w:r>
      <w:r w:rsidRPr="002B38E1">
        <w:rPr>
          <w:rFonts w:ascii="Arial" w:hAnsi="Arial" w:cs="Arial"/>
        </w:rPr>
        <w:t xml:space="preserve">('FNB') this Court held that 'arbitrary' in s 25(1) means that the law allowing for the deprivation does not provide sufficient reason for the deprivation or allows deprivation that is procedurally unfair. The Court said:   </w:t>
      </w:r>
    </w:p>
    <w:p w:rsidR="002B38E1" w:rsidRPr="002B38E1" w:rsidRDefault="002B38E1" w:rsidP="002B38E1">
      <w:pPr>
        <w:pStyle w:val="ListParagraph"/>
        <w:spacing w:after="0" w:line="360" w:lineRule="auto"/>
        <w:ind w:left="0"/>
        <w:jc w:val="both"/>
        <w:rPr>
          <w:rFonts w:ascii="Arial" w:hAnsi="Arial" w:cs="Arial"/>
        </w:rPr>
      </w:pPr>
      <w:r w:rsidRPr="002B38E1">
        <w:rPr>
          <w:rFonts w:ascii="Arial" w:hAnsi="Arial" w:cs="Arial"/>
        </w:rPr>
        <w:tab/>
      </w:r>
      <w:r w:rsidR="001E7DC2">
        <w:rPr>
          <w:rFonts w:ascii="Arial" w:hAnsi="Arial" w:cs="Arial"/>
        </w:rPr>
        <w:t>“</w:t>
      </w:r>
      <w:r w:rsidRPr="002B38E1">
        <w:rPr>
          <w:rFonts w:ascii="Arial" w:hAnsi="Arial" w:cs="Arial"/>
        </w:rPr>
        <w:t>(F)or the validity of such deprivation, there must be an appropriate relationship between means and ends, between the sacrifice the individual is asked to make and the public purpose this is intended to serve. It is one that</w:t>
      </w:r>
      <w:r>
        <w:rPr>
          <w:rFonts w:ascii="Arial" w:hAnsi="Arial" w:cs="Arial"/>
        </w:rPr>
        <w:t xml:space="preserve"> i</w:t>
      </w:r>
      <w:r w:rsidRPr="002B38E1">
        <w:rPr>
          <w:rFonts w:ascii="Arial" w:hAnsi="Arial" w:cs="Arial"/>
        </w:rPr>
        <w:t>s not limited to an enquiry into mere rationality, but is less strict than a ful</w:t>
      </w:r>
      <w:r>
        <w:rPr>
          <w:rFonts w:ascii="Arial" w:hAnsi="Arial" w:cs="Arial"/>
        </w:rPr>
        <w:t xml:space="preserve">l and exacting proportionality </w:t>
      </w:r>
      <w:r w:rsidR="001E7DC2">
        <w:rPr>
          <w:rFonts w:ascii="Arial" w:hAnsi="Arial" w:cs="Arial"/>
        </w:rPr>
        <w:t>examination.”’</w:t>
      </w:r>
    </w:p>
    <w:p w:rsidR="006D29C7" w:rsidRDefault="006D29C7" w:rsidP="00931EAF">
      <w:pPr>
        <w:pStyle w:val="ListParagraph"/>
        <w:spacing w:after="0" w:line="360" w:lineRule="auto"/>
        <w:ind w:left="0"/>
        <w:jc w:val="both"/>
        <w:rPr>
          <w:rFonts w:ascii="Arial" w:hAnsi="Arial" w:cs="Arial"/>
          <w:sz w:val="24"/>
          <w:szCs w:val="24"/>
          <w:u w:val="single"/>
        </w:rPr>
      </w:pPr>
    </w:p>
    <w:p w:rsidR="00592686" w:rsidRDefault="006558E7" w:rsidP="00931EAF">
      <w:pPr>
        <w:pStyle w:val="ListParagraph"/>
        <w:spacing w:after="0" w:line="360" w:lineRule="auto"/>
        <w:ind w:left="0"/>
        <w:jc w:val="both"/>
        <w:rPr>
          <w:rFonts w:ascii="Arial" w:hAnsi="Arial" w:cs="Arial"/>
          <w:sz w:val="24"/>
          <w:szCs w:val="24"/>
          <w:u w:val="single"/>
        </w:rPr>
      </w:pPr>
      <w:r>
        <w:rPr>
          <w:rFonts w:ascii="Arial" w:hAnsi="Arial" w:cs="Arial"/>
          <w:sz w:val="24"/>
          <w:szCs w:val="24"/>
          <w:u w:val="single"/>
        </w:rPr>
        <w:t>Conclusion</w:t>
      </w:r>
    </w:p>
    <w:p w:rsidR="00592686" w:rsidRPr="008D2E7C" w:rsidRDefault="00592686" w:rsidP="00592686">
      <w:pPr>
        <w:pStyle w:val="ListParagraph"/>
        <w:rPr>
          <w:rFonts w:ascii="Arial" w:hAnsi="Arial" w:cs="Arial"/>
          <w:sz w:val="24"/>
          <w:szCs w:val="24"/>
        </w:rPr>
      </w:pPr>
    </w:p>
    <w:p w:rsidR="0059319B" w:rsidRPr="006C22D3" w:rsidRDefault="00FC623D" w:rsidP="006E2628">
      <w:pPr>
        <w:pStyle w:val="ListParagraph"/>
        <w:numPr>
          <w:ilvl w:val="0"/>
          <w:numId w:val="45"/>
        </w:numPr>
        <w:spacing w:after="0" w:line="360" w:lineRule="auto"/>
        <w:ind w:left="0" w:firstLine="0"/>
        <w:jc w:val="both"/>
        <w:rPr>
          <w:rFonts w:ascii="Arial" w:hAnsi="Arial" w:cs="Arial"/>
          <w:sz w:val="24"/>
          <w:szCs w:val="24"/>
          <w:u w:val="single"/>
        </w:rPr>
      </w:pPr>
      <w:r>
        <w:rPr>
          <w:rFonts w:ascii="Arial" w:hAnsi="Arial" w:cs="Arial"/>
          <w:sz w:val="24"/>
          <w:szCs w:val="24"/>
        </w:rPr>
        <w:t>Having co</w:t>
      </w:r>
      <w:r w:rsidR="004C4454">
        <w:rPr>
          <w:rFonts w:ascii="Arial" w:hAnsi="Arial" w:cs="Arial"/>
          <w:sz w:val="24"/>
          <w:szCs w:val="24"/>
        </w:rPr>
        <w:t>nsidered the arguments advanced and the relevant authority presented to us, w</w:t>
      </w:r>
      <w:r w:rsidR="005F49A9" w:rsidRPr="006C22D3">
        <w:rPr>
          <w:rFonts w:ascii="Arial" w:hAnsi="Arial" w:cs="Arial"/>
          <w:sz w:val="24"/>
          <w:szCs w:val="24"/>
        </w:rPr>
        <w:t>e conclude</w:t>
      </w:r>
      <w:r w:rsidR="00544B21" w:rsidRPr="006C22D3">
        <w:rPr>
          <w:rFonts w:ascii="Arial" w:hAnsi="Arial" w:cs="Arial"/>
          <w:sz w:val="24"/>
          <w:szCs w:val="24"/>
        </w:rPr>
        <w:t xml:space="preserve"> that the portion in the definition of ‘proceeds of unlawful activities’, which reads ‘and includes property which is mingled with property that is proceeds of unlawful activity’ </w:t>
      </w:r>
      <w:r w:rsidR="008E3B7C" w:rsidRPr="006C22D3">
        <w:rPr>
          <w:rFonts w:ascii="Arial" w:hAnsi="Arial" w:cs="Arial"/>
          <w:sz w:val="24"/>
          <w:szCs w:val="24"/>
        </w:rPr>
        <w:t>is</w:t>
      </w:r>
      <w:r w:rsidR="00544B21" w:rsidRPr="006C22D3">
        <w:rPr>
          <w:rFonts w:ascii="Arial" w:hAnsi="Arial" w:cs="Arial"/>
          <w:sz w:val="24"/>
          <w:szCs w:val="24"/>
        </w:rPr>
        <w:t xml:space="preserve"> unconstitutional and </w:t>
      </w:r>
      <w:r w:rsidR="008E3B7C" w:rsidRPr="006C22D3">
        <w:rPr>
          <w:rFonts w:ascii="Arial" w:hAnsi="Arial" w:cs="Arial"/>
          <w:sz w:val="24"/>
          <w:szCs w:val="24"/>
        </w:rPr>
        <w:t xml:space="preserve">should </w:t>
      </w:r>
      <w:r w:rsidR="00544B21" w:rsidRPr="006C22D3">
        <w:rPr>
          <w:rFonts w:ascii="Arial" w:hAnsi="Arial" w:cs="Arial"/>
          <w:sz w:val="24"/>
          <w:szCs w:val="24"/>
        </w:rPr>
        <w:t xml:space="preserve">be </w:t>
      </w:r>
      <w:r w:rsidR="00771357" w:rsidRPr="006C22D3">
        <w:rPr>
          <w:rFonts w:ascii="Arial" w:hAnsi="Arial" w:cs="Arial"/>
          <w:sz w:val="24"/>
          <w:szCs w:val="24"/>
        </w:rPr>
        <w:t xml:space="preserve">struck from the definition of the proceeds of unlawful activities. </w:t>
      </w:r>
    </w:p>
    <w:p w:rsidR="002534F9" w:rsidRDefault="002534F9" w:rsidP="0059319B">
      <w:pPr>
        <w:rPr>
          <w:rFonts w:ascii="Arial" w:hAnsi="Arial" w:cs="Arial"/>
          <w:sz w:val="24"/>
          <w:szCs w:val="24"/>
          <w:u w:val="single"/>
        </w:rPr>
      </w:pPr>
    </w:p>
    <w:p w:rsidR="0059319B" w:rsidRDefault="0059319B" w:rsidP="0059319B">
      <w:pPr>
        <w:rPr>
          <w:rFonts w:ascii="Arial" w:hAnsi="Arial" w:cs="Arial"/>
          <w:sz w:val="24"/>
          <w:szCs w:val="24"/>
          <w:u w:val="single"/>
        </w:rPr>
      </w:pPr>
      <w:r>
        <w:rPr>
          <w:rFonts w:ascii="Arial" w:hAnsi="Arial" w:cs="Arial"/>
          <w:sz w:val="24"/>
          <w:szCs w:val="24"/>
          <w:u w:val="single"/>
        </w:rPr>
        <w:t>Costs</w:t>
      </w:r>
    </w:p>
    <w:p w:rsidR="0059319B" w:rsidRPr="00E34AB8" w:rsidRDefault="0059319B" w:rsidP="0059319B">
      <w:pPr>
        <w:rPr>
          <w:rFonts w:ascii="Arial" w:hAnsi="Arial" w:cs="Arial"/>
          <w:sz w:val="24"/>
          <w:szCs w:val="24"/>
          <w:u w:val="single"/>
        </w:rPr>
      </w:pPr>
    </w:p>
    <w:p w:rsidR="0059319B" w:rsidRDefault="0059319B" w:rsidP="006B1AB5">
      <w:pPr>
        <w:pStyle w:val="ListParagraph"/>
        <w:numPr>
          <w:ilvl w:val="0"/>
          <w:numId w:val="45"/>
        </w:numPr>
        <w:spacing w:after="0" w:line="360" w:lineRule="auto"/>
        <w:ind w:left="0" w:firstLine="0"/>
        <w:jc w:val="both"/>
        <w:rPr>
          <w:rFonts w:ascii="Arial" w:hAnsi="Arial" w:cs="Arial"/>
          <w:sz w:val="24"/>
          <w:szCs w:val="24"/>
        </w:rPr>
      </w:pPr>
      <w:r w:rsidRPr="00A248D5">
        <w:rPr>
          <w:rFonts w:ascii="Arial" w:hAnsi="Arial" w:cs="Arial"/>
          <w:sz w:val="24"/>
          <w:szCs w:val="24"/>
        </w:rPr>
        <w:lastRenderedPageBreak/>
        <w:t xml:space="preserve">It is now opportune that we deal with the question of costs. At para [124] of </w:t>
      </w:r>
      <w:r w:rsidRPr="00A248D5">
        <w:rPr>
          <w:rFonts w:ascii="Arial" w:hAnsi="Arial" w:cs="Arial"/>
          <w:i/>
          <w:sz w:val="24"/>
          <w:szCs w:val="24"/>
        </w:rPr>
        <w:t>Kambazembi Guest Farm CC t/a Waterberg Wilderness v Minister of Lands and Resettlement</w:t>
      </w:r>
      <w:r>
        <w:rPr>
          <w:rStyle w:val="FootnoteReference"/>
          <w:i/>
        </w:rPr>
        <w:footnoteReference w:id="38"/>
      </w:r>
      <w:r w:rsidRPr="00A248D5">
        <w:rPr>
          <w:rFonts w:ascii="Arial" w:hAnsi="Arial" w:cs="Arial"/>
          <w:sz w:val="24"/>
          <w:szCs w:val="24"/>
        </w:rPr>
        <w:t>, the Supreme Court stated the following:</w:t>
      </w:r>
    </w:p>
    <w:p w:rsidR="00AA4FF4" w:rsidRPr="00A248D5" w:rsidRDefault="00AA4FF4" w:rsidP="00AA4FF4">
      <w:pPr>
        <w:pStyle w:val="ListParagraph"/>
        <w:spacing w:after="0" w:line="360" w:lineRule="auto"/>
        <w:ind w:left="0"/>
        <w:jc w:val="both"/>
        <w:rPr>
          <w:rFonts w:ascii="Arial" w:hAnsi="Arial" w:cs="Arial"/>
          <w:sz w:val="24"/>
          <w:szCs w:val="24"/>
        </w:rPr>
      </w:pPr>
    </w:p>
    <w:p w:rsidR="0059319B" w:rsidRDefault="0059319B" w:rsidP="006B1AB5">
      <w:pPr>
        <w:spacing w:after="0" w:line="360" w:lineRule="auto"/>
        <w:jc w:val="both"/>
        <w:rPr>
          <w:rFonts w:ascii="Arial" w:hAnsi="Arial" w:cs="Arial"/>
        </w:rPr>
      </w:pPr>
      <w:r>
        <w:rPr>
          <w:rFonts w:ascii="Arial" w:hAnsi="Arial" w:cs="Arial"/>
          <w:sz w:val="24"/>
          <w:szCs w:val="24"/>
        </w:rPr>
        <w:tab/>
        <w:t>‘</w:t>
      </w:r>
      <w:r>
        <w:rPr>
          <w:rFonts w:ascii="Arial" w:hAnsi="Arial" w:cs="Arial"/>
        </w:rPr>
        <w:t xml:space="preserve">There remains the question of costs. Mr Totemeyer argued that this court should apply the approach of the South African Constitutional Court in </w:t>
      </w:r>
      <w:r>
        <w:rPr>
          <w:rFonts w:ascii="Arial" w:hAnsi="Arial" w:cs="Arial"/>
          <w:i/>
        </w:rPr>
        <w:t xml:space="preserve">Biowatch Trust v Registrar, Genetic Resources </w:t>
      </w:r>
      <w:r>
        <w:rPr>
          <w:rFonts w:ascii="Arial" w:hAnsi="Arial" w:cs="Arial"/>
        </w:rPr>
        <w:t xml:space="preserve">in the event of the appellant’s challenge not succeeding and that no costs order should be made against it. The Constitutional Court held that in litigation between private parties and government, where a private party unsuccessfully seeks to assert a constitutional right each party would bear its own costs. In </w:t>
      </w:r>
      <w:r>
        <w:rPr>
          <w:rFonts w:ascii="Arial" w:hAnsi="Arial" w:cs="Arial"/>
          <w:i/>
        </w:rPr>
        <w:t>Biowatch</w:t>
      </w:r>
      <w:r>
        <w:rPr>
          <w:rFonts w:ascii="Arial" w:hAnsi="Arial" w:cs="Arial"/>
        </w:rPr>
        <w:t>, the Constitutional Court made it clear that this general approach is not unqualified or risk free, adding:</w:t>
      </w:r>
    </w:p>
    <w:p w:rsidR="00AA4FF4" w:rsidRDefault="00AA4FF4" w:rsidP="006B1AB5">
      <w:pPr>
        <w:spacing w:after="0" w:line="360" w:lineRule="auto"/>
        <w:jc w:val="both"/>
        <w:rPr>
          <w:rFonts w:ascii="Arial" w:hAnsi="Arial" w:cs="Arial"/>
        </w:rPr>
      </w:pPr>
    </w:p>
    <w:p w:rsidR="0059319B" w:rsidRDefault="0059319B" w:rsidP="006B1AB5">
      <w:pPr>
        <w:spacing w:after="0" w:line="360" w:lineRule="auto"/>
        <w:jc w:val="both"/>
        <w:rPr>
          <w:rFonts w:ascii="Arial" w:hAnsi="Arial" w:cs="Arial"/>
        </w:rPr>
      </w:pPr>
      <w:r>
        <w:rPr>
          <w:rFonts w:ascii="Arial" w:hAnsi="Arial" w:cs="Arial"/>
        </w:rPr>
        <w:t>“If an application is frivolous or vexatious or in any way manifestly inappropriate, the applicant should not expect that the worthiness of its cause will immunize it against an adverse costs award.’”</w:t>
      </w:r>
    </w:p>
    <w:p w:rsidR="0059319B" w:rsidRDefault="0059319B" w:rsidP="006B1AB5">
      <w:pPr>
        <w:spacing w:after="0" w:line="360" w:lineRule="auto"/>
        <w:jc w:val="both"/>
        <w:rPr>
          <w:rFonts w:ascii="Arial" w:hAnsi="Arial" w:cs="Arial"/>
          <w:sz w:val="24"/>
          <w:szCs w:val="24"/>
        </w:rPr>
      </w:pPr>
    </w:p>
    <w:p w:rsidR="0059319B" w:rsidRDefault="0059319B" w:rsidP="006B1AB5">
      <w:pPr>
        <w:pStyle w:val="ListParagraph"/>
        <w:numPr>
          <w:ilvl w:val="0"/>
          <w:numId w:val="45"/>
        </w:numPr>
        <w:spacing w:after="0" w:line="360" w:lineRule="auto"/>
        <w:ind w:left="0" w:firstLine="0"/>
        <w:jc w:val="both"/>
        <w:rPr>
          <w:rFonts w:ascii="Arial" w:hAnsi="Arial" w:cs="Arial"/>
          <w:sz w:val="24"/>
          <w:szCs w:val="24"/>
        </w:rPr>
      </w:pPr>
      <w:r w:rsidRPr="00A248D5">
        <w:rPr>
          <w:rFonts w:ascii="Arial" w:hAnsi="Arial" w:cs="Arial"/>
          <w:sz w:val="24"/>
          <w:szCs w:val="24"/>
        </w:rPr>
        <w:t xml:space="preserve">It is accordingly plain that the </w:t>
      </w:r>
      <w:r w:rsidRPr="00A248D5">
        <w:rPr>
          <w:rFonts w:ascii="Arial" w:hAnsi="Arial" w:cs="Arial"/>
          <w:i/>
          <w:sz w:val="24"/>
          <w:szCs w:val="24"/>
        </w:rPr>
        <w:t xml:space="preserve">Biowatch </w:t>
      </w:r>
      <w:r w:rsidRPr="00A248D5">
        <w:rPr>
          <w:rFonts w:ascii="Arial" w:hAnsi="Arial" w:cs="Arial"/>
          <w:sz w:val="24"/>
          <w:szCs w:val="24"/>
        </w:rPr>
        <w:t xml:space="preserve">principle, as adopted by the Supreme Court, applies in cases where a private party, in a constitutional matter, does not succeed in obtaining the constitutional </w:t>
      </w:r>
      <w:r w:rsidR="00EF1705">
        <w:rPr>
          <w:rFonts w:ascii="Arial" w:hAnsi="Arial" w:cs="Arial"/>
          <w:sz w:val="24"/>
          <w:szCs w:val="24"/>
        </w:rPr>
        <w:t>relief</w:t>
      </w:r>
      <w:r w:rsidRPr="00A248D5">
        <w:rPr>
          <w:rFonts w:ascii="Arial" w:hAnsi="Arial" w:cs="Arial"/>
          <w:sz w:val="24"/>
          <w:szCs w:val="24"/>
        </w:rPr>
        <w:t xml:space="preserve"> that it seeks. In that event, each party bears its own costs, unless, as found in </w:t>
      </w:r>
      <w:r w:rsidRPr="00A248D5">
        <w:rPr>
          <w:rFonts w:ascii="Arial" w:hAnsi="Arial" w:cs="Arial"/>
          <w:i/>
          <w:sz w:val="24"/>
          <w:szCs w:val="24"/>
        </w:rPr>
        <w:t>Kambazembi</w:t>
      </w:r>
      <w:r w:rsidRPr="00A248D5">
        <w:rPr>
          <w:rFonts w:ascii="Arial" w:hAnsi="Arial" w:cs="Arial"/>
          <w:sz w:val="24"/>
          <w:szCs w:val="24"/>
        </w:rPr>
        <w:t xml:space="preserve">, </w:t>
      </w:r>
      <w:r w:rsidR="00274226">
        <w:rPr>
          <w:rFonts w:ascii="Arial" w:hAnsi="Arial" w:cs="Arial"/>
          <w:sz w:val="24"/>
          <w:szCs w:val="24"/>
        </w:rPr>
        <w:t xml:space="preserve">that </w:t>
      </w:r>
      <w:r w:rsidRPr="00A248D5">
        <w:rPr>
          <w:rFonts w:ascii="Arial" w:hAnsi="Arial" w:cs="Arial"/>
          <w:sz w:val="24"/>
          <w:szCs w:val="24"/>
        </w:rPr>
        <w:t>the private party in the proceedings, acted vexatiously, frivolously or in a manifestly inappropriate manner. The rationale behind this reasoning is that private parties, in constitutional litigation, should not be induced to be shy or frigid in approaching this court in case an adverse order for costs, which may have a chilling effect in private parties approaching the court for constitutional redress, is issued.</w:t>
      </w:r>
    </w:p>
    <w:p w:rsidR="006B1AB5" w:rsidRDefault="006B1AB5" w:rsidP="006B1AB5">
      <w:pPr>
        <w:pStyle w:val="ListParagraph"/>
        <w:spacing w:after="0" w:line="360" w:lineRule="auto"/>
        <w:ind w:left="0"/>
        <w:jc w:val="both"/>
        <w:rPr>
          <w:rFonts w:ascii="Arial" w:hAnsi="Arial" w:cs="Arial"/>
          <w:sz w:val="24"/>
          <w:szCs w:val="24"/>
        </w:rPr>
      </w:pPr>
    </w:p>
    <w:p w:rsidR="0059319B" w:rsidRDefault="0059319B" w:rsidP="006B1AB5">
      <w:pPr>
        <w:pStyle w:val="ListParagraph"/>
        <w:numPr>
          <w:ilvl w:val="0"/>
          <w:numId w:val="45"/>
        </w:numPr>
        <w:spacing w:after="0" w:line="360" w:lineRule="auto"/>
        <w:ind w:left="0" w:firstLine="0"/>
        <w:jc w:val="both"/>
        <w:rPr>
          <w:rFonts w:ascii="Arial" w:hAnsi="Arial" w:cs="Arial"/>
          <w:sz w:val="24"/>
          <w:szCs w:val="24"/>
        </w:rPr>
      </w:pPr>
      <w:r w:rsidRPr="00A248D5">
        <w:rPr>
          <w:rFonts w:ascii="Arial" w:hAnsi="Arial" w:cs="Arial"/>
          <w:sz w:val="24"/>
          <w:szCs w:val="24"/>
        </w:rPr>
        <w:t xml:space="preserve">We are of the considered view that the </w:t>
      </w:r>
      <w:r w:rsidRPr="006C22D3">
        <w:rPr>
          <w:rFonts w:ascii="Arial" w:hAnsi="Arial" w:cs="Arial"/>
          <w:i/>
          <w:sz w:val="24"/>
          <w:szCs w:val="24"/>
        </w:rPr>
        <w:t>Biowatch</w:t>
      </w:r>
      <w:r w:rsidRPr="00A248D5">
        <w:rPr>
          <w:rFonts w:ascii="Arial" w:hAnsi="Arial" w:cs="Arial"/>
          <w:i/>
          <w:sz w:val="24"/>
          <w:szCs w:val="24"/>
        </w:rPr>
        <w:t xml:space="preserve"> </w:t>
      </w:r>
      <w:r w:rsidRPr="00A248D5">
        <w:rPr>
          <w:rFonts w:ascii="Arial" w:hAnsi="Arial" w:cs="Arial"/>
          <w:sz w:val="24"/>
          <w:szCs w:val="24"/>
        </w:rPr>
        <w:t xml:space="preserve">principle, as positively endorsed in </w:t>
      </w:r>
      <w:r w:rsidRPr="00A248D5">
        <w:rPr>
          <w:rFonts w:ascii="Arial" w:hAnsi="Arial" w:cs="Arial"/>
          <w:i/>
          <w:sz w:val="24"/>
          <w:szCs w:val="24"/>
        </w:rPr>
        <w:t>Kambazembi</w:t>
      </w:r>
      <w:r w:rsidRPr="00A248D5">
        <w:rPr>
          <w:rFonts w:ascii="Arial" w:hAnsi="Arial" w:cs="Arial"/>
          <w:sz w:val="24"/>
          <w:szCs w:val="24"/>
        </w:rPr>
        <w:t xml:space="preserve">, does not find application in the instant case. This is because when proper regard is had to the order that follows below, it is clear that the applicants have succeeded. The chilling effect that a costs order may have on private litigants, does not </w:t>
      </w:r>
      <w:r w:rsidRPr="00A248D5">
        <w:rPr>
          <w:rFonts w:ascii="Arial" w:hAnsi="Arial" w:cs="Arial"/>
          <w:sz w:val="24"/>
          <w:szCs w:val="24"/>
        </w:rPr>
        <w:lastRenderedPageBreak/>
        <w:t>apply when the government has been on the losing side. It would appear that the government does not have the same protection extended to private parties, whose resources may be extremely limited.</w:t>
      </w:r>
    </w:p>
    <w:p w:rsidR="0059319B" w:rsidRDefault="0059319B" w:rsidP="006B1AB5">
      <w:pPr>
        <w:pStyle w:val="ListParagraph"/>
        <w:spacing w:after="0" w:line="360" w:lineRule="auto"/>
        <w:ind w:left="0"/>
        <w:jc w:val="both"/>
        <w:rPr>
          <w:rFonts w:ascii="Arial" w:hAnsi="Arial" w:cs="Arial"/>
          <w:sz w:val="24"/>
          <w:szCs w:val="24"/>
        </w:rPr>
      </w:pPr>
    </w:p>
    <w:p w:rsidR="008A72F8" w:rsidRDefault="0059319B" w:rsidP="006E2628">
      <w:pPr>
        <w:pStyle w:val="ListParagraph"/>
        <w:numPr>
          <w:ilvl w:val="0"/>
          <w:numId w:val="45"/>
        </w:numPr>
        <w:spacing w:after="0" w:line="360" w:lineRule="auto"/>
        <w:ind w:left="0" w:firstLine="0"/>
        <w:jc w:val="both"/>
        <w:rPr>
          <w:rFonts w:ascii="Arial" w:hAnsi="Arial" w:cs="Arial"/>
          <w:sz w:val="24"/>
          <w:szCs w:val="24"/>
        </w:rPr>
      </w:pPr>
      <w:r w:rsidRPr="00C268B8">
        <w:rPr>
          <w:rFonts w:ascii="Arial" w:hAnsi="Arial" w:cs="Arial"/>
          <w:sz w:val="24"/>
          <w:szCs w:val="24"/>
        </w:rPr>
        <w:t>In the premises, we incline to the view that the ordinary rule applicable to costs should follow, namely that costs should follow the event. There is nothing indicated to us or apparent from the papers before court that would justify this court departing from the application of the general rule to costs. The respondents shall jointly and severally pay the applicants</w:t>
      </w:r>
      <w:r w:rsidR="00F775D4">
        <w:rPr>
          <w:rFonts w:ascii="Arial" w:hAnsi="Arial" w:cs="Arial"/>
          <w:sz w:val="24"/>
          <w:szCs w:val="24"/>
        </w:rPr>
        <w:t>’</w:t>
      </w:r>
      <w:r w:rsidRPr="00C268B8">
        <w:rPr>
          <w:rFonts w:ascii="Arial" w:hAnsi="Arial" w:cs="Arial"/>
          <w:sz w:val="24"/>
          <w:szCs w:val="24"/>
        </w:rPr>
        <w:t xml:space="preserve"> costs on the ordinary scale.</w:t>
      </w:r>
    </w:p>
    <w:p w:rsidR="008E3B7C" w:rsidRPr="008E3B7C" w:rsidRDefault="008E3B7C" w:rsidP="008E3B7C">
      <w:pPr>
        <w:pStyle w:val="ListParagraph"/>
        <w:rPr>
          <w:rFonts w:ascii="Arial" w:hAnsi="Arial" w:cs="Arial"/>
          <w:sz w:val="24"/>
          <w:szCs w:val="24"/>
        </w:rPr>
      </w:pPr>
    </w:p>
    <w:p w:rsidR="008E3B7C" w:rsidRDefault="008E3B7C" w:rsidP="00036DE9">
      <w:pPr>
        <w:pStyle w:val="ListParagraph"/>
        <w:numPr>
          <w:ilvl w:val="0"/>
          <w:numId w:val="45"/>
        </w:numPr>
        <w:spacing w:after="0" w:line="360" w:lineRule="auto"/>
        <w:ind w:left="0" w:firstLine="0"/>
        <w:jc w:val="both"/>
        <w:rPr>
          <w:rFonts w:ascii="Arial" w:hAnsi="Arial" w:cs="Arial"/>
          <w:sz w:val="24"/>
          <w:szCs w:val="24"/>
        </w:rPr>
      </w:pPr>
      <w:r>
        <w:rPr>
          <w:rFonts w:ascii="Arial" w:hAnsi="Arial" w:cs="Arial"/>
          <w:sz w:val="24"/>
          <w:szCs w:val="24"/>
        </w:rPr>
        <w:t>In the premises, the court make</w:t>
      </w:r>
      <w:r w:rsidR="00447E16">
        <w:rPr>
          <w:rFonts w:ascii="Arial" w:hAnsi="Arial" w:cs="Arial"/>
          <w:sz w:val="24"/>
          <w:szCs w:val="24"/>
        </w:rPr>
        <w:t>s</w:t>
      </w:r>
      <w:r>
        <w:rPr>
          <w:rFonts w:ascii="Arial" w:hAnsi="Arial" w:cs="Arial"/>
          <w:sz w:val="24"/>
          <w:szCs w:val="24"/>
        </w:rPr>
        <w:t xml:space="preserve"> the following order:</w:t>
      </w:r>
    </w:p>
    <w:p w:rsidR="008E3B7C" w:rsidRPr="008E3B7C" w:rsidRDefault="008E3B7C" w:rsidP="008E3B7C">
      <w:pPr>
        <w:pStyle w:val="ListParagraph"/>
        <w:rPr>
          <w:rFonts w:ascii="Arial" w:hAnsi="Arial" w:cs="Arial"/>
          <w:sz w:val="24"/>
          <w:szCs w:val="24"/>
        </w:rPr>
      </w:pPr>
    </w:p>
    <w:p w:rsidR="0023031D" w:rsidRDefault="008E3B7C" w:rsidP="00B31BCE">
      <w:pPr>
        <w:pStyle w:val="ListParagraph"/>
        <w:numPr>
          <w:ilvl w:val="0"/>
          <w:numId w:val="50"/>
        </w:numPr>
        <w:spacing w:after="0" w:line="360" w:lineRule="auto"/>
        <w:jc w:val="both"/>
        <w:rPr>
          <w:rFonts w:ascii="Arial" w:hAnsi="Arial" w:cs="Arial"/>
          <w:sz w:val="24"/>
          <w:szCs w:val="24"/>
        </w:rPr>
      </w:pPr>
      <w:r w:rsidRPr="0023031D">
        <w:rPr>
          <w:rFonts w:ascii="Arial" w:hAnsi="Arial" w:cs="Arial"/>
          <w:sz w:val="24"/>
          <w:szCs w:val="24"/>
        </w:rPr>
        <w:t>The last portion of the definition of ‘proceeds of unlawful activities’ contained in s 1 of the Prevention of Organised Crime Act 29 of 2004</w:t>
      </w:r>
      <w:r w:rsidR="002E0F5E" w:rsidRPr="0023031D">
        <w:rPr>
          <w:rFonts w:ascii="Arial" w:hAnsi="Arial" w:cs="Arial"/>
          <w:sz w:val="24"/>
          <w:szCs w:val="24"/>
        </w:rPr>
        <w:t>,</w:t>
      </w:r>
      <w:r w:rsidRPr="0023031D">
        <w:rPr>
          <w:rFonts w:ascii="Arial" w:hAnsi="Arial" w:cs="Arial"/>
          <w:sz w:val="24"/>
          <w:szCs w:val="24"/>
        </w:rPr>
        <w:t xml:space="preserve"> which reads ‘and includes property which is mingled with property that is proceeds of unlawful activity;’ is declared to be unconstitutional and</w:t>
      </w:r>
      <w:r w:rsidR="0023031D" w:rsidRPr="0023031D">
        <w:rPr>
          <w:rFonts w:ascii="Arial" w:hAnsi="Arial" w:cs="Arial"/>
          <w:sz w:val="24"/>
          <w:szCs w:val="24"/>
        </w:rPr>
        <w:t xml:space="preserve"> is </w:t>
      </w:r>
      <w:r w:rsidRPr="0023031D">
        <w:rPr>
          <w:rFonts w:ascii="Arial" w:hAnsi="Arial" w:cs="Arial"/>
          <w:sz w:val="24"/>
          <w:szCs w:val="24"/>
        </w:rPr>
        <w:t xml:space="preserve">struck </w:t>
      </w:r>
      <w:r w:rsidR="0023031D" w:rsidRPr="0023031D">
        <w:rPr>
          <w:rFonts w:ascii="Arial" w:hAnsi="Arial" w:cs="Arial"/>
          <w:sz w:val="24"/>
          <w:szCs w:val="24"/>
        </w:rPr>
        <w:t xml:space="preserve">out </w:t>
      </w:r>
      <w:r w:rsidRPr="0023031D">
        <w:rPr>
          <w:rFonts w:ascii="Arial" w:hAnsi="Arial" w:cs="Arial"/>
          <w:sz w:val="24"/>
          <w:szCs w:val="24"/>
        </w:rPr>
        <w:t>from the definition.</w:t>
      </w:r>
      <w:r w:rsidR="0023031D" w:rsidRPr="0023031D">
        <w:rPr>
          <w:rFonts w:ascii="Arial" w:hAnsi="Arial" w:cs="Arial"/>
          <w:sz w:val="24"/>
          <w:szCs w:val="24"/>
        </w:rPr>
        <w:t xml:space="preserve"> </w:t>
      </w:r>
    </w:p>
    <w:p w:rsidR="008E3B7C" w:rsidRPr="0023031D" w:rsidRDefault="00274226" w:rsidP="00B31BCE">
      <w:pPr>
        <w:pStyle w:val="ListParagraph"/>
        <w:numPr>
          <w:ilvl w:val="0"/>
          <w:numId w:val="50"/>
        </w:numPr>
        <w:spacing w:after="0" w:line="360" w:lineRule="auto"/>
        <w:jc w:val="both"/>
        <w:rPr>
          <w:rFonts w:ascii="Arial" w:hAnsi="Arial" w:cs="Arial"/>
          <w:sz w:val="24"/>
          <w:szCs w:val="24"/>
        </w:rPr>
      </w:pPr>
      <w:r w:rsidRPr="0023031D">
        <w:rPr>
          <w:rFonts w:ascii="Arial" w:hAnsi="Arial" w:cs="Arial"/>
          <w:sz w:val="24"/>
          <w:szCs w:val="24"/>
        </w:rPr>
        <w:t>The respondents are ordered to pay the costs of the application consequent upon the employment of one instructing</w:t>
      </w:r>
      <w:r w:rsidR="006C22D3" w:rsidRPr="0023031D">
        <w:rPr>
          <w:rFonts w:ascii="Arial" w:hAnsi="Arial" w:cs="Arial"/>
          <w:sz w:val="24"/>
          <w:szCs w:val="24"/>
        </w:rPr>
        <w:t xml:space="preserve"> and two instructed counsel. </w:t>
      </w:r>
      <w:r w:rsidR="008E3B7C" w:rsidRPr="0023031D">
        <w:rPr>
          <w:rFonts w:ascii="Arial" w:hAnsi="Arial" w:cs="Arial"/>
          <w:sz w:val="24"/>
          <w:szCs w:val="24"/>
        </w:rPr>
        <w:t xml:space="preserve"> </w:t>
      </w:r>
    </w:p>
    <w:p w:rsidR="008E3B7C" w:rsidRDefault="008E3B7C" w:rsidP="002A383F">
      <w:pPr>
        <w:pStyle w:val="ListParagraph"/>
        <w:numPr>
          <w:ilvl w:val="0"/>
          <w:numId w:val="50"/>
        </w:numPr>
        <w:spacing w:after="0" w:line="360" w:lineRule="auto"/>
        <w:jc w:val="both"/>
        <w:rPr>
          <w:rFonts w:ascii="Arial" w:hAnsi="Arial" w:cs="Arial"/>
          <w:sz w:val="24"/>
          <w:szCs w:val="24"/>
        </w:rPr>
      </w:pPr>
      <w:r>
        <w:rPr>
          <w:rFonts w:ascii="Arial" w:hAnsi="Arial" w:cs="Arial"/>
          <w:sz w:val="24"/>
          <w:szCs w:val="24"/>
        </w:rPr>
        <w:t xml:space="preserve">The matter is regarded as </w:t>
      </w:r>
      <w:r w:rsidR="002E0F5E">
        <w:rPr>
          <w:rFonts w:ascii="Arial" w:hAnsi="Arial" w:cs="Arial"/>
          <w:sz w:val="24"/>
          <w:szCs w:val="24"/>
        </w:rPr>
        <w:t>finalised</w:t>
      </w:r>
      <w:r>
        <w:rPr>
          <w:rFonts w:ascii="Arial" w:hAnsi="Arial" w:cs="Arial"/>
          <w:sz w:val="24"/>
          <w:szCs w:val="24"/>
        </w:rPr>
        <w:t xml:space="preserve"> and removed from the roll. </w:t>
      </w: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p>
    <w:p w:rsidR="002E0F5E" w:rsidRDefault="002E0F5E" w:rsidP="008E3B7C">
      <w:pPr>
        <w:pStyle w:val="ListParagraph"/>
        <w:spacing w:after="0" w:line="360" w:lineRule="auto"/>
        <w:jc w:val="both"/>
        <w:rPr>
          <w:rFonts w:ascii="Arial" w:hAnsi="Arial" w:cs="Arial"/>
          <w:sz w:val="24"/>
          <w:szCs w:val="24"/>
        </w:rPr>
      </w:pPr>
    </w:p>
    <w:p w:rsidR="002E0F5E" w:rsidRDefault="002E0F5E" w:rsidP="008E3B7C">
      <w:pPr>
        <w:pStyle w:val="ListParagraph"/>
        <w:spacing w:after="0" w:line="360" w:lineRule="auto"/>
        <w:jc w:val="both"/>
        <w:rPr>
          <w:rFonts w:ascii="Arial" w:hAnsi="Arial" w:cs="Arial"/>
          <w:sz w:val="24"/>
          <w:szCs w:val="24"/>
        </w:rPr>
      </w:pPr>
    </w:p>
    <w:p w:rsidR="002E0F5E" w:rsidRDefault="002E0F5E" w:rsidP="008E3B7C">
      <w:pPr>
        <w:pStyle w:val="ListParagraph"/>
        <w:spacing w:after="0" w:line="360" w:lineRule="auto"/>
        <w:jc w:val="both"/>
        <w:rPr>
          <w:rFonts w:ascii="Arial" w:hAnsi="Arial" w:cs="Arial"/>
          <w:sz w:val="24"/>
          <w:szCs w:val="24"/>
        </w:rPr>
      </w:pPr>
    </w:p>
    <w:p w:rsidR="002E0F5E" w:rsidRDefault="002E0F5E" w:rsidP="008E3B7C">
      <w:pPr>
        <w:pStyle w:val="ListParagraph"/>
        <w:spacing w:after="0" w:line="360" w:lineRule="auto"/>
        <w:jc w:val="both"/>
        <w:rPr>
          <w:rFonts w:ascii="Arial" w:hAnsi="Arial" w:cs="Arial"/>
          <w:sz w:val="24"/>
          <w:szCs w:val="24"/>
        </w:rPr>
      </w:pPr>
    </w:p>
    <w:p w:rsidR="007845D9" w:rsidRDefault="007845D9" w:rsidP="008E3B7C">
      <w:pPr>
        <w:pStyle w:val="ListParagraph"/>
        <w:spacing w:after="0" w:line="360" w:lineRule="auto"/>
        <w:jc w:val="both"/>
        <w:rPr>
          <w:rFonts w:ascii="Arial" w:hAnsi="Arial" w:cs="Arial"/>
          <w:sz w:val="24"/>
          <w:szCs w:val="24"/>
        </w:rPr>
      </w:pPr>
    </w:p>
    <w:p w:rsidR="007845D9" w:rsidRDefault="007845D9" w:rsidP="008E3B7C">
      <w:pPr>
        <w:pStyle w:val="ListParagraph"/>
        <w:spacing w:after="0" w:line="360" w:lineRule="auto"/>
        <w:jc w:val="both"/>
        <w:rPr>
          <w:rFonts w:ascii="Arial" w:hAnsi="Arial" w:cs="Arial"/>
          <w:sz w:val="24"/>
          <w:szCs w:val="24"/>
        </w:rPr>
      </w:pPr>
    </w:p>
    <w:p w:rsidR="00AA4FF4" w:rsidRDefault="00AA4FF4" w:rsidP="008E3B7C">
      <w:pPr>
        <w:pStyle w:val="ListParagraph"/>
        <w:spacing w:after="0" w:line="360" w:lineRule="auto"/>
        <w:jc w:val="both"/>
        <w:rPr>
          <w:rFonts w:ascii="Arial" w:hAnsi="Arial" w:cs="Arial"/>
          <w:sz w:val="24"/>
          <w:szCs w:val="24"/>
        </w:rPr>
      </w:pPr>
    </w:p>
    <w:p w:rsidR="00AA4FF4" w:rsidRDefault="00AA4FF4" w:rsidP="008E3B7C">
      <w:pPr>
        <w:pStyle w:val="ListParagraph"/>
        <w:spacing w:after="0" w:line="360" w:lineRule="auto"/>
        <w:jc w:val="both"/>
        <w:rPr>
          <w:rFonts w:ascii="Arial" w:hAnsi="Arial" w:cs="Arial"/>
          <w:sz w:val="24"/>
          <w:szCs w:val="24"/>
        </w:rPr>
      </w:pPr>
    </w:p>
    <w:p w:rsidR="00AA4FF4" w:rsidRDefault="00AA4FF4" w:rsidP="008E3B7C">
      <w:pPr>
        <w:pStyle w:val="ListParagraph"/>
        <w:spacing w:after="0" w:line="360" w:lineRule="auto"/>
        <w:jc w:val="both"/>
        <w:rPr>
          <w:rFonts w:ascii="Arial" w:hAnsi="Arial" w:cs="Arial"/>
          <w:sz w:val="24"/>
          <w:szCs w:val="24"/>
        </w:rPr>
      </w:pPr>
    </w:p>
    <w:p w:rsidR="00AA4FF4" w:rsidRDefault="00AA4FF4" w:rsidP="008E3B7C">
      <w:pPr>
        <w:pStyle w:val="ListParagraph"/>
        <w:spacing w:after="0" w:line="360" w:lineRule="auto"/>
        <w:jc w:val="both"/>
        <w:rPr>
          <w:rFonts w:ascii="Arial" w:hAnsi="Arial" w:cs="Arial"/>
          <w:sz w:val="24"/>
          <w:szCs w:val="24"/>
        </w:rPr>
      </w:pPr>
    </w:p>
    <w:p w:rsidR="007845D9" w:rsidRDefault="007845D9" w:rsidP="008E3B7C">
      <w:pPr>
        <w:pStyle w:val="ListParagraph"/>
        <w:spacing w:after="0" w:line="360" w:lineRule="auto"/>
        <w:jc w:val="both"/>
        <w:rPr>
          <w:rFonts w:ascii="Arial" w:hAnsi="Arial" w:cs="Arial"/>
          <w:sz w:val="24"/>
          <w:szCs w:val="24"/>
        </w:rPr>
      </w:pPr>
    </w:p>
    <w:p w:rsidR="008E3B7C" w:rsidRDefault="008E3B7C" w:rsidP="002E0F5E">
      <w:pPr>
        <w:pStyle w:val="ListParagraph"/>
        <w:spacing w:after="0" w:line="360" w:lineRule="auto"/>
        <w:ind w:left="5040" w:firstLine="720"/>
        <w:jc w:val="both"/>
        <w:rPr>
          <w:rFonts w:ascii="Arial" w:hAnsi="Arial" w:cs="Arial"/>
          <w:sz w:val="24"/>
          <w:szCs w:val="24"/>
        </w:rPr>
      </w:pPr>
      <w:r>
        <w:rPr>
          <w:rFonts w:ascii="Arial" w:hAnsi="Arial" w:cs="Arial"/>
          <w:sz w:val="24"/>
          <w:szCs w:val="24"/>
        </w:rPr>
        <w:lastRenderedPageBreak/>
        <w:t>_________________________</w:t>
      </w:r>
    </w:p>
    <w:p w:rsidR="008E3B7C" w:rsidRDefault="008E3B7C" w:rsidP="008E3B7C">
      <w:pPr>
        <w:pStyle w:val="ListParagraph"/>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TS Masuku</w:t>
      </w: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8E3B7C" w:rsidRDefault="008E3B7C" w:rsidP="008E3B7C">
      <w:pPr>
        <w:pStyle w:val="ListParagraph"/>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GH Oosthuizen</w:t>
      </w: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p>
    <w:p w:rsidR="008E3B7C" w:rsidRDefault="008E3B7C" w:rsidP="008E3B7C">
      <w:pPr>
        <w:pStyle w:val="ListParagraph"/>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8E3B7C" w:rsidRDefault="008E3B7C" w:rsidP="008E3B7C">
      <w:pPr>
        <w:pStyle w:val="ListParagraph"/>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JS Prinsloo</w:t>
      </w:r>
    </w:p>
    <w:p w:rsidR="008E3B7C" w:rsidRDefault="008E3B7C" w:rsidP="008E3B7C">
      <w:pPr>
        <w:pStyle w:val="ListParagraph"/>
        <w:spacing w:after="0" w:line="360" w:lineRule="auto"/>
        <w:jc w:val="both"/>
        <w:rPr>
          <w:rFonts w:ascii="Arial" w:hAnsi="Arial" w:cs="Arial"/>
          <w:sz w:val="24"/>
          <w:szCs w:val="24"/>
        </w:rPr>
      </w:pPr>
    </w:p>
    <w:p w:rsidR="00C464CF" w:rsidRDefault="00C464CF" w:rsidP="00C464CF">
      <w:pPr>
        <w:pStyle w:val="ListParagraph"/>
        <w:rPr>
          <w:rFonts w:ascii="Arial" w:hAnsi="Arial" w:cs="Arial"/>
          <w:sz w:val="24"/>
          <w:szCs w:val="24"/>
        </w:rPr>
      </w:pPr>
    </w:p>
    <w:p w:rsidR="006A74FE" w:rsidRDefault="006A74FE" w:rsidP="00C464CF">
      <w:pPr>
        <w:pStyle w:val="ListParagraph"/>
        <w:rPr>
          <w:rFonts w:ascii="Arial" w:hAnsi="Arial" w:cs="Arial"/>
          <w:sz w:val="24"/>
          <w:szCs w:val="24"/>
        </w:rPr>
      </w:pPr>
    </w:p>
    <w:p w:rsidR="006A74FE" w:rsidRDefault="006A74FE" w:rsidP="00C464CF">
      <w:pPr>
        <w:pStyle w:val="ListParagraph"/>
        <w:rPr>
          <w:rFonts w:ascii="Arial" w:hAnsi="Arial" w:cs="Arial"/>
          <w:sz w:val="24"/>
          <w:szCs w:val="24"/>
        </w:rPr>
      </w:pPr>
    </w:p>
    <w:p w:rsidR="006A74FE" w:rsidRDefault="006A74FE" w:rsidP="00C464CF">
      <w:pPr>
        <w:pStyle w:val="ListParagraph"/>
        <w:rPr>
          <w:rFonts w:ascii="Arial" w:hAnsi="Arial" w:cs="Arial"/>
          <w:sz w:val="24"/>
          <w:szCs w:val="24"/>
        </w:rPr>
      </w:pPr>
    </w:p>
    <w:p w:rsidR="006A74FE" w:rsidRDefault="006A74FE"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AA4FF4" w:rsidRDefault="00AA4FF4" w:rsidP="00C464CF">
      <w:pPr>
        <w:pStyle w:val="ListParagraph"/>
        <w:rPr>
          <w:rFonts w:ascii="Arial" w:hAnsi="Arial" w:cs="Arial"/>
          <w:sz w:val="24"/>
          <w:szCs w:val="24"/>
        </w:rPr>
      </w:pPr>
    </w:p>
    <w:p w:rsidR="00AA4FF4" w:rsidRDefault="00AA4FF4" w:rsidP="00C464CF">
      <w:pPr>
        <w:pStyle w:val="ListParagraph"/>
        <w:rPr>
          <w:rFonts w:ascii="Arial" w:hAnsi="Arial" w:cs="Arial"/>
          <w:sz w:val="24"/>
          <w:szCs w:val="24"/>
        </w:rPr>
      </w:pPr>
    </w:p>
    <w:p w:rsidR="00AA4FF4" w:rsidRDefault="00AA4FF4" w:rsidP="00C464CF">
      <w:pPr>
        <w:pStyle w:val="ListParagraph"/>
        <w:rPr>
          <w:rFonts w:ascii="Arial" w:hAnsi="Arial" w:cs="Arial"/>
          <w:sz w:val="24"/>
          <w:szCs w:val="24"/>
        </w:rPr>
      </w:pPr>
    </w:p>
    <w:p w:rsidR="00AA4FF4" w:rsidRDefault="00AA4FF4" w:rsidP="00C464CF">
      <w:pPr>
        <w:pStyle w:val="ListParagraph"/>
        <w:rPr>
          <w:rFonts w:ascii="Arial" w:hAnsi="Arial" w:cs="Arial"/>
          <w:sz w:val="24"/>
          <w:szCs w:val="24"/>
        </w:rPr>
      </w:pPr>
    </w:p>
    <w:p w:rsidR="007845D9" w:rsidRDefault="007845D9" w:rsidP="00C464CF">
      <w:pPr>
        <w:pStyle w:val="ListParagraph"/>
        <w:rPr>
          <w:rFonts w:ascii="Arial" w:hAnsi="Arial" w:cs="Arial"/>
          <w:sz w:val="24"/>
          <w:szCs w:val="24"/>
        </w:rPr>
      </w:pPr>
    </w:p>
    <w:p w:rsidR="007845D9" w:rsidRPr="00C464CF" w:rsidRDefault="007845D9" w:rsidP="00C464CF">
      <w:pPr>
        <w:pStyle w:val="ListParagraph"/>
        <w:rPr>
          <w:rFonts w:ascii="Arial" w:hAnsi="Arial" w:cs="Arial"/>
          <w:sz w:val="24"/>
          <w:szCs w:val="24"/>
        </w:rPr>
      </w:pPr>
    </w:p>
    <w:p w:rsidR="00660562" w:rsidRDefault="00660562" w:rsidP="00660562">
      <w:pPr>
        <w:spacing w:after="0" w:line="360" w:lineRule="auto"/>
        <w:jc w:val="both"/>
        <w:rPr>
          <w:rFonts w:ascii="Arial" w:hAnsi="Arial" w:cs="Arial"/>
          <w:sz w:val="24"/>
          <w:szCs w:val="24"/>
        </w:rPr>
      </w:pPr>
    </w:p>
    <w:p w:rsidR="008E3B7C" w:rsidRDefault="008E3B7C" w:rsidP="00660562">
      <w:pPr>
        <w:spacing w:after="0" w:line="360" w:lineRule="auto"/>
        <w:jc w:val="both"/>
        <w:rPr>
          <w:rFonts w:ascii="Arial" w:hAnsi="Arial" w:cs="Arial"/>
          <w:sz w:val="24"/>
          <w:szCs w:val="24"/>
        </w:rPr>
      </w:pPr>
      <w:r>
        <w:rPr>
          <w:rFonts w:ascii="Arial" w:hAnsi="Arial" w:cs="Arial"/>
          <w:sz w:val="24"/>
          <w:szCs w:val="24"/>
        </w:rPr>
        <w:lastRenderedPageBreak/>
        <w:t>APPEARANCES:</w:t>
      </w:r>
    </w:p>
    <w:p w:rsidR="008E3B7C" w:rsidRDefault="008E3B7C" w:rsidP="00660562">
      <w:pPr>
        <w:spacing w:after="0" w:line="360" w:lineRule="auto"/>
        <w:jc w:val="both"/>
        <w:rPr>
          <w:rFonts w:ascii="Arial" w:hAnsi="Arial" w:cs="Arial"/>
          <w:sz w:val="24"/>
          <w:szCs w:val="24"/>
        </w:rPr>
      </w:pPr>
    </w:p>
    <w:p w:rsidR="008E3B7C" w:rsidRDefault="008E3B7C" w:rsidP="00660562">
      <w:pPr>
        <w:spacing w:after="0" w:line="360" w:lineRule="auto"/>
        <w:jc w:val="both"/>
        <w:rPr>
          <w:rFonts w:ascii="Arial" w:hAnsi="Arial" w:cs="Arial"/>
          <w:sz w:val="24"/>
          <w:szCs w:val="24"/>
        </w:rPr>
      </w:pPr>
    </w:p>
    <w:p w:rsidR="008E3B7C" w:rsidRDefault="008E3B7C" w:rsidP="00660562">
      <w:pPr>
        <w:spacing w:after="0" w:line="360" w:lineRule="auto"/>
        <w:jc w:val="both"/>
        <w:rPr>
          <w:rFonts w:ascii="Arial" w:hAnsi="Arial" w:cs="Arial"/>
          <w:sz w:val="24"/>
          <w:szCs w:val="24"/>
        </w:rPr>
      </w:pPr>
      <w:r>
        <w:rPr>
          <w:rFonts w:ascii="Arial" w:hAnsi="Arial" w:cs="Arial"/>
          <w:sz w:val="24"/>
          <w:szCs w:val="24"/>
        </w:rPr>
        <w:t>For the applicants: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 Heathcote </w:t>
      </w:r>
      <w:r w:rsidR="00907423">
        <w:rPr>
          <w:rFonts w:ascii="Arial" w:hAnsi="Arial" w:cs="Arial"/>
          <w:sz w:val="24"/>
          <w:szCs w:val="24"/>
        </w:rPr>
        <w:t>assisted by J Jacobs</w:t>
      </w:r>
    </w:p>
    <w:p w:rsidR="008E3B7C" w:rsidRDefault="008E3B7C" w:rsidP="0066056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w:t>
      </w:r>
    </w:p>
    <w:p w:rsidR="008E3B7C" w:rsidRDefault="008E3B7C" w:rsidP="0066056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Van der Merwe - Gree</w:t>
      </w:r>
      <w:r w:rsidR="006A74FE">
        <w:rPr>
          <w:rFonts w:ascii="Arial" w:hAnsi="Arial" w:cs="Arial"/>
          <w:sz w:val="24"/>
          <w:szCs w:val="24"/>
        </w:rPr>
        <w:t>f</w:t>
      </w:r>
      <w:r>
        <w:rPr>
          <w:rFonts w:ascii="Arial" w:hAnsi="Arial" w:cs="Arial"/>
          <w:sz w:val="24"/>
          <w:szCs w:val="24"/>
        </w:rPr>
        <w:t>f Andima Inc.</w:t>
      </w:r>
    </w:p>
    <w:p w:rsidR="008E3B7C" w:rsidRDefault="008E3B7C" w:rsidP="00660562">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rsidR="008E3B7C" w:rsidRDefault="008E3B7C" w:rsidP="00660562">
      <w:pPr>
        <w:spacing w:after="0" w:line="360" w:lineRule="auto"/>
        <w:jc w:val="both"/>
        <w:rPr>
          <w:rFonts w:ascii="Arial" w:hAnsi="Arial" w:cs="Arial"/>
          <w:sz w:val="24"/>
          <w:szCs w:val="24"/>
        </w:rPr>
      </w:pPr>
    </w:p>
    <w:p w:rsidR="008E3B7C" w:rsidRDefault="008E3B7C" w:rsidP="00660562">
      <w:pPr>
        <w:spacing w:after="0" w:line="360" w:lineRule="auto"/>
        <w:jc w:val="both"/>
        <w:rPr>
          <w:rFonts w:ascii="Arial" w:hAnsi="Arial" w:cs="Arial"/>
          <w:sz w:val="24"/>
          <w:szCs w:val="24"/>
        </w:rPr>
      </w:pPr>
    </w:p>
    <w:p w:rsidR="008E3B7C" w:rsidRDefault="008E3B7C" w:rsidP="00543E9D">
      <w:pPr>
        <w:spacing w:after="0" w:line="360" w:lineRule="auto"/>
        <w:ind w:left="5040" w:hanging="5040"/>
        <w:jc w:val="both"/>
        <w:rPr>
          <w:rFonts w:ascii="Arial" w:hAnsi="Arial" w:cs="Arial"/>
          <w:sz w:val="24"/>
          <w:szCs w:val="24"/>
        </w:rPr>
      </w:pPr>
      <w:r>
        <w:rPr>
          <w:rFonts w:ascii="Arial" w:hAnsi="Arial" w:cs="Arial"/>
          <w:sz w:val="24"/>
          <w:szCs w:val="24"/>
        </w:rPr>
        <w:t>For the first respondent:</w:t>
      </w:r>
      <w:r>
        <w:rPr>
          <w:rFonts w:ascii="Arial" w:hAnsi="Arial" w:cs="Arial"/>
          <w:sz w:val="24"/>
          <w:szCs w:val="24"/>
        </w:rPr>
        <w:tab/>
      </w:r>
      <w:r w:rsidR="00543E9D">
        <w:rPr>
          <w:rFonts w:ascii="Arial" w:hAnsi="Arial" w:cs="Arial"/>
          <w:sz w:val="24"/>
          <w:szCs w:val="24"/>
        </w:rPr>
        <w:t>G</w:t>
      </w:r>
      <w:r w:rsidR="00907423">
        <w:rPr>
          <w:rFonts w:ascii="Arial" w:hAnsi="Arial" w:cs="Arial"/>
          <w:sz w:val="24"/>
          <w:szCs w:val="24"/>
        </w:rPr>
        <w:t>M Budlender assisted by MG Boonzaier</w:t>
      </w:r>
    </w:p>
    <w:p w:rsidR="00543E9D" w:rsidRDefault="00543E9D" w:rsidP="00543E9D">
      <w:pPr>
        <w:spacing w:after="0" w:line="360" w:lineRule="auto"/>
        <w:ind w:left="5040" w:hanging="5040"/>
        <w:jc w:val="both"/>
        <w:rPr>
          <w:rFonts w:ascii="Arial" w:hAnsi="Arial" w:cs="Arial"/>
          <w:sz w:val="24"/>
          <w:szCs w:val="24"/>
        </w:rPr>
      </w:pPr>
      <w:r>
        <w:rPr>
          <w:rFonts w:ascii="Arial" w:hAnsi="Arial" w:cs="Arial"/>
          <w:sz w:val="24"/>
          <w:szCs w:val="24"/>
        </w:rPr>
        <w:tab/>
        <w:t xml:space="preserve">Instructed by </w:t>
      </w:r>
    </w:p>
    <w:p w:rsidR="00543E9D" w:rsidRDefault="00543E9D" w:rsidP="00543E9D">
      <w:pPr>
        <w:spacing w:after="0" w:line="360" w:lineRule="auto"/>
        <w:ind w:left="5040" w:hanging="5040"/>
        <w:jc w:val="both"/>
        <w:rPr>
          <w:rFonts w:ascii="Arial" w:hAnsi="Arial" w:cs="Arial"/>
          <w:sz w:val="24"/>
          <w:szCs w:val="24"/>
        </w:rPr>
      </w:pPr>
      <w:r>
        <w:rPr>
          <w:rFonts w:ascii="Arial" w:hAnsi="Arial" w:cs="Arial"/>
          <w:sz w:val="24"/>
          <w:szCs w:val="24"/>
        </w:rPr>
        <w:tab/>
        <w:t>Government Attorney</w:t>
      </w:r>
    </w:p>
    <w:sectPr w:rsidR="00543E9D" w:rsidSect="0063761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411" w:rsidRDefault="00DB0411" w:rsidP="006B4617">
      <w:pPr>
        <w:spacing w:after="0" w:line="240" w:lineRule="auto"/>
      </w:pPr>
      <w:r>
        <w:separator/>
      </w:r>
    </w:p>
  </w:endnote>
  <w:endnote w:type="continuationSeparator" w:id="0">
    <w:p w:rsidR="00DB0411" w:rsidRDefault="00DB0411" w:rsidP="006B4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411" w:rsidRDefault="00DB0411" w:rsidP="006B4617">
      <w:pPr>
        <w:spacing w:after="0" w:line="240" w:lineRule="auto"/>
      </w:pPr>
      <w:r>
        <w:separator/>
      </w:r>
    </w:p>
  </w:footnote>
  <w:footnote w:type="continuationSeparator" w:id="0">
    <w:p w:rsidR="00DB0411" w:rsidRDefault="00DB0411" w:rsidP="006B4617">
      <w:pPr>
        <w:spacing w:after="0" w:line="240" w:lineRule="auto"/>
      </w:pPr>
      <w:r>
        <w:continuationSeparator/>
      </w:r>
    </w:p>
  </w:footnote>
  <w:footnote w:id="1">
    <w:p w:rsidR="000829DC" w:rsidRPr="0047001F" w:rsidRDefault="000829DC" w:rsidP="00080ADD">
      <w:pPr>
        <w:pStyle w:val="FootnoteText"/>
        <w:spacing w:line="360" w:lineRule="auto"/>
        <w:jc w:val="both"/>
        <w:rPr>
          <w:lang w:val="en-ZA"/>
        </w:rPr>
      </w:pPr>
      <w:r>
        <w:rPr>
          <w:rStyle w:val="FootnoteReference"/>
        </w:rPr>
        <w:footnoteRef/>
      </w:r>
      <w:r>
        <w:t xml:space="preserve"> </w:t>
      </w:r>
      <w:r w:rsidRPr="00080ADD">
        <w:rPr>
          <w:rFonts w:ascii="Arial" w:hAnsi="Arial" w:cs="Arial"/>
        </w:rPr>
        <w:t xml:space="preserve">Prior to the enactment of the </w:t>
      </w:r>
      <w:r w:rsidRPr="00080ADD">
        <w:rPr>
          <w:rFonts w:ascii="Arial" w:hAnsi="Arial" w:cs="Arial"/>
          <w:lang w:val="en-ZA"/>
        </w:rPr>
        <w:t>BIPA Act, BIPA was registered as a s 21 company in terms of the Companies Act 24 of 2008 pending the enactment of the BIPA Act. The BIPA Act came into operation on 16 January 2017 and thereby established the Business and Intellectual Property Authority in terms of s 3 of the Act.</w:t>
      </w:r>
    </w:p>
  </w:footnote>
  <w:footnote w:id="2">
    <w:p w:rsidR="000829DC" w:rsidRPr="00080ADD" w:rsidRDefault="000829DC" w:rsidP="00080ADD">
      <w:pPr>
        <w:pStyle w:val="FootnoteText"/>
        <w:spacing w:line="360" w:lineRule="auto"/>
        <w:rPr>
          <w:rFonts w:ascii="Arial" w:hAnsi="Arial" w:cs="Arial"/>
          <w:lang w:val="en-ZA"/>
        </w:rPr>
      </w:pPr>
      <w:r w:rsidRPr="00080ADD">
        <w:rPr>
          <w:rStyle w:val="FootnoteReference"/>
          <w:rFonts w:ascii="Arial" w:hAnsi="Arial" w:cs="Arial"/>
        </w:rPr>
        <w:footnoteRef/>
      </w:r>
      <w:r w:rsidRPr="00080ADD">
        <w:rPr>
          <w:rFonts w:ascii="Arial" w:hAnsi="Arial" w:cs="Arial"/>
        </w:rPr>
        <w:t xml:space="preserve"> </w:t>
      </w:r>
      <w:r w:rsidRPr="00D84552">
        <w:rPr>
          <w:rFonts w:ascii="Arial" w:hAnsi="Arial" w:cs="Arial"/>
          <w:i/>
        </w:rPr>
        <w:t>The Prosecutor-General v Martin Nande Shilengudwa</w:t>
      </w:r>
      <w:r>
        <w:rPr>
          <w:rFonts w:ascii="Arial" w:hAnsi="Arial" w:cs="Arial"/>
        </w:rPr>
        <w:t xml:space="preserve"> </w:t>
      </w:r>
      <w:r w:rsidRPr="00080ADD">
        <w:rPr>
          <w:rFonts w:ascii="Arial" w:hAnsi="Arial" w:cs="Arial"/>
        </w:rPr>
        <w:t>HC- MD- CIV- MOT- POCA 2018/00140</w:t>
      </w:r>
      <w:r>
        <w:rPr>
          <w:rFonts w:ascii="Arial" w:hAnsi="Arial" w:cs="Arial"/>
        </w:rPr>
        <w:t>.</w:t>
      </w:r>
    </w:p>
  </w:footnote>
  <w:footnote w:id="3">
    <w:p w:rsidR="000829DC" w:rsidRPr="00F77F60" w:rsidRDefault="000829DC">
      <w:pPr>
        <w:pStyle w:val="FootnoteText"/>
        <w:rPr>
          <w:rFonts w:ascii="Arial" w:hAnsi="Arial" w:cs="Arial"/>
          <w:lang w:val="en-ZA"/>
        </w:rPr>
      </w:pPr>
      <w:r>
        <w:rPr>
          <w:rStyle w:val="FootnoteReference"/>
        </w:rPr>
        <w:footnoteRef/>
      </w:r>
      <w:r>
        <w:t xml:space="preserve"> </w:t>
      </w:r>
      <w:r w:rsidRPr="00F77F60">
        <w:rPr>
          <w:rFonts w:ascii="Arial" w:hAnsi="Arial" w:cs="Arial"/>
        </w:rPr>
        <w:t>The Palermo Convention is the United Nations Convention against Transnational Organized Crime and Protocols thereto</w:t>
      </w:r>
      <w:r>
        <w:rPr>
          <w:rFonts w:ascii="Arial" w:hAnsi="Arial" w:cs="Arial"/>
        </w:rPr>
        <w:t xml:space="preserve">. </w:t>
      </w:r>
    </w:p>
  </w:footnote>
  <w:footnote w:id="4">
    <w:p w:rsidR="000829DC" w:rsidRPr="00C63EB5" w:rsidRDefault="000829DC">
      <w:pPr>
        <w:pStyle w:val="FootnoteText"/>
        <w:rPr>
          <w:rFonts w:ascii="Arial" w:hAnsi="Arial" w:cs="Arial"/>
          <w:lang w:val="en-ZA"/>
        </w:rPr>
      </w:pPr>
      <w:r w:rsidRPr="00C63EB5">
        <w:rPr>
          <w:rStyle w:val="FootnoteReference"/>
          <w:rFonts w:ascii="Arial" w:hAnsi="Arial" w:cs="Arial"/>
        </w:rPr>
        <w:footnoteRef/>
      </w:r>
      <w:r w:rsidRPr="00C63EB5">
        <w:rPr>
          <w:rFonts w:ascii="Arial" w:hAnsi="Arial" w:cs="Arial"/>
        </w:rPr>
        <w:t xml:space="preserve"> </w:t>
      </w:r>
      <w:r w:rsidRPr="00C63EB5">
        <w:rPr>
          <w:rFonts w:ascii="Arial" w:hAnsi="Arial" w:cs="Arial"/>
          <w:lang w:val="en-ZA"/>
        </w:rPr>
        <w:t>General Assembly Resolution 55/25 of 15 November 2000.</w:t>
      </w:r>
    </w:p>
  </w:footnote>
  <w:footnote w:id="5">
    <w:p w:rsidR="000829DC" w:rsidRPr="00F012A7" w:rsidRDefault="000829DC" w:rsidP="00092DB1">
      <w:pPr>
        <w:pStyle w:val="FootnoteText"/>
        <w:rPr>
          <w:rFonts w:ascii="Arial" w:hAnsi="Arial" w:cs="Arial"/>
          <w:lang w:val="en-ZA"/>
        </w:rPr>
      </w:pPr>
      <w:r w:rsidRPr="00F012A7">
        <w:rPr>
          <w:rStyle w:val="FootnoteReference"/>
          <w:rFonts w:ascii="Arial" w:hAnsi="Arial" w:cs="Arial"/>
        </w:rPr>
        <w:footnoteRef/>
      </w:r>
      <w:r w:rsidRPr="00F012A7">
        <w:rPr>
          <w:rFonts w:ascii="Arial" w:hAnsi="Arial" w:cs="Arial"/>
        </w:rPr>
        <w:t xml:space="preserve"> </w:t>
      </w:r>
      <w:r w:rsidRPr="00F012A7">
        <w:rPr>
          <w:rFonts w:ascii="Arial" w:hAnsi="Arial" w:cs="Arial"/>
          <w:i/>
          <w:lang w:val="en-ZA"/>
        </w:rPr>
        <w:t>New Africa Dimensions CC and Others v Prosecutor General</w:t>
      </w:r>
      <w:r>
        <w:rPr>
          <w:rFonts w:ascii="Arial" w:hAnsi="Arial" w:cs="Arial"/>
          <w:lang w:val="en-ZA"/>
        </w:rPr>
        <w:t xml:space="preserve"> </w:t>
      </w:r>
      <w:r w:rsidRPr="00F012A7">
        <w:rPr>
          <w:rFonts w:ascii="Arial" w:hAnsi="Arial" w:cs="Arial"/>
          <w:lang w:val="en-ZA"/>
        </w:rPr>
        <w:t>2018 (2) NR 340 SC at para 43.</w:t>
      </w:r>
    </w:p>
  </w:footnote>
  <w:footnote w:id="6">
    <w:p w:rsidR="000829DC" w:rsidRPr="003C2023" w:rsidRDefault="000829DC" w:rsidP="00275D7A">
      <w:pPr>
        <w:pStyle w:val="ListParagraph"/>
        <w:spacing w:after="0" w:line="360" w:lineRule="auto"/>
        <w:ind w:left="0"/>
        <w:jc w:val="both"/>
        <w:rPr>
          <w:lang w:val="en-ZA"/>
        </w:rPr>
      </w:pPr>
      <w:r>
        <w:rPr>
          <w:rStyle w:val="FootnoteReference"/>
        </w:rPr>
        <w:footnoteRef/>
      </w:r>
      <w:r>
        <w:t xml:space="preserve"> </w:t>
      </w:r>
      <w:r w:rsidRPr="003C2023">
        <w:rPr>
          <w:rFonts w:ascii="Arial" w:hAnsi="Arial" w:cs="Arial"/>
          <w:i/>
          <w:sz w:val="20"/>
          <w:szCs w:val="20"/>
        </w:rPr>
        <w:t>Namibia Grape Growers and Exporters Association and Others v The Ministry of Mines and Energy and Others</w:t>
      </w:r>
      <w:r>
        <w:rPr>
          <w:rFonts w:ascii="Arial" w:hAnsi="Arial" w:cs="Arial"/>
          <w:i/>
          <w:sz w:val="20"/>
          <w:szCs w:val="20"/>
        </w:rPr>
        <w:t xml:space="preserve"> </w:t>
      </w:r>
      <w:r w:rsidRPr="00735CA4">
        <w:rPr>
          <w:rFonts w:ascii="Arial" w:hAnsi="Arial" w:cs="Arial"/>
          <w:sz w:val="20"/>
          <w:szCs w:val="20"/>
        </w:rPr>
        <w:t>2004 NR 194 (SC).</w:t>
      </w:r>
    </w:p>
  </w:footnote>
  <w:footnote w:id="7">
    <w:p w:rsidR="000829DC" w:rsidRPr="00275D7A" w:rsidRDefault="000829DC" w:rsidP="00275D7A">
      <w:pPr>
        <w:pStyle w:val="FootnoteText"/>
        <w:spacing w:line="360" w:lineRule="auto"/>
        <w:rPr>
          <w:lang w:val="en-ZA"/>
        </w:rPr>
      </w:pPr>
      <w:r>
        <w:rPr>
          <w:rStyle w:val="FootnoteReference"/>
        </w:rPr>
        <w:footnoteRef/>
      </w:r>
      <w:r>
        <w:t xml:space="preserve"> </w:t>
      </w:r>
      <w:r w:rsidRPr="00275D7A">
        <w:rPr>
          <w:rFonts w:ascii="Arial" w:hAnsi="Arial" w:cs="Arial"/>
        </w:rPr>
        <w:t>Ibid.</w:t>
      </w:r>
    </w:p>
  </w:footnote>
  <w:footnote w:id="8">
    <w:p w:rsidR="000829DC" w:rsidRPr="00094F1D" w:rsidRDefault="000829DC">
      <w:pPr>
        <w:pStyle w:val="FootnoteText"/>
        <w:rPr>
          <w:rFonts w:ascii="Arial" w:hAnsi="Arial" w:cs="Arial"/>
          <w:lang w:val="en-ZA"/>
        </w:rPr>
      </w:pPr>
      <w:r w:rsidRPr="00094F1D">
        <w:rPr>
          <w:rStyle w:val="FootnoteReference"/>
          <w:rFonts w:ascii="Arial" w:hAnsi="Arial" w:cs="Arial"/>
        </w:rPr>
        <w:footnoteRef/>
      </w:r>
      <w:r w:rsidRPr="00094F1D">
        <w:rPr>
          <w:rFonts w:ascii="Arial" w:hAnsi="Arial" w:cs="Arial"/>
        </w:rPr>
        <w:t xml:space="preserve"> </w:t>
      </w:r>
      <w:r w:rsidRPr="00BB53D0">
        <w:rPr>
          <w:rFonts w:ascii="Arial" w:hAnsi="Arial" w:cs="Arial"/>
          <w:i/>
        </w:rPr>
        <w:t>Shali v Prosecutor-Genera</w:t>
      </w:r>
      <w:r w:rsidRPr="00094F1D">
        <w:rPr>
          <w:rFonts w:ascii="Arial" w:hAnsi="Arial" w:cs="Arial"/>
        </w:rPr>
        <w:t>l (9 of 2011) [2012] NAHC 289 (31 October 2012).</w:t>
      </w:r>
    </w:p>
  </w:footnote>
  <w:footnote w:id="9">
    <w:p w:rsidR="000829DC" w:rsidRPr="00094F1D" w:rsidRDefault="000829DC">
      <w:pPr>
        <w:pStyle w:val="FootnoteText"/>
        <w:rPr>
          <w:lang w:val="en-ZA"/>
        </w:rPr>
      </w:pPr>
      <w:r w:rsidRPr="00094F1D">
        <w:rPr>
          <w:rStyle w:val="FootnoteReference"/>
          <w:rFonts w:ascii="Arial" w:hAnsi="Arial" w:cs="Arial"/>
        </w:rPr>
        <w:footnoteRef/>
      </w:r>
      <w:r w:rsidRPr="00094F1D">
        <w:rPr>
          <w:rFonts w:ascii="Arial" w:hAnsi="Arial" w:cs="Arial"/>
        </w:rPr>
        <w:t xml:space="preserve"> </w:t>
      </w:r>
      <w:r w:rsidRPr="00BB53D0">
        <w:rPr>
          <w:rFonts w:ascii="Arial" w:hAnsi="Arial" w:cs="Arial"/>
          <w:i/>
        </w:rPr>
        <w:t>State v Henock and Others</w:t>
      </w:r>
      <w:r w:rsidRPr="00094F1D">
        <w:rPr>
          <w:rFonts w:ascii="Arial" w:hAnsi="Arial" w:cs="Arial"/>
        </w:rPr>
        <w:t xml:space="preserve"> (CR86/299) [2019} NAHCMD 466 (11 November 2019) at para 12.</w:t>
      </w:r>
      <w:r>
        <w:rPr>
          <w:rFonts w:ascii="Arial" w:hAnsi="Arial" w:cs="Arial"/>
        </w:rPr>
        <w:t xml:space="preserve"> </w:t>
      </w:r>
    </w:p>
  </w:footnote>
  <w:footnote w:id="10">
    <w:p w:rsidR="000829DC" w:rsidRPr="0027413A" w:rsidRDefault="000829DC" w:rsidP="0027413A">
      <w:pPr>
        <w:pStyle w:val="FootnoteText"/>
        <w:spacing w:line="360" w:lineRule="auto"/>
        <w:rPr>
          <w:rFonts w:ascii="Arial" w:hAnsi="Arial" w:cs="Arial"/>
          <w:lang w:val="en-ZA"/>
        </w:rPr>
      </w:pPr>
      <w:r w:rsidRPr="0027413A">
        <w:rPr>
          <w:rStyle w:val="FootnoteReference"/>
          <w:rFonts w:ascii="Arial" w:hAnsi="Arial" w:cs="Arial"/>
        </w:rPr>
        <w:footnoteRef/>
      </w:r>
      <w:r w:rsidRPr="0027413A">
        <w:rPr>
          <w:rFonts w:ascii="Arial" w:hAnsi="Arial" w:cs="Arial"/>
        </w:rPr>
        <w:t xml:space="preserve"> </w:t>
      </w:r>
      <w:r w:rsidRPr="00BB53D0">
        <w:rPr>
          <w:rFonts w:ascii="Arial" w:hAnsi="Arial" w:cs="Arial"/>
          <w:i/>
        </w:rPr>
        <w:t>Prophet v National Director of Public Prosecutions</w:t>
      </w:r>
      <w:r w:rsidRPr="0027413A">
        <w:rPr>
          <w:rFonts w:ascii="Arial" w:hAnsi="Arial" w:cs="Arial"/>
        </w:rPr>
        <w:t xml:space="preserve"> 2007 (6) S</w:t>
      </w:r>
      <w:r>
        <w:rPr>
          <w:rFonts w:ascii="Arial" w:hAnsi="Arial" w:cs="Arial"/>
        </w:rPr>
        <w:t>A</w:t>
      </w:r>
      <w:r w:rsidRPr="0027413A">
        <w:rPr>
          <w:rFonts w:ascii="Arial" w:hAnsi="Arial" w:cs="Arial"/>
        </w:rPr>
        <w:t xml:space="preserve"> 169 (SC) at paragraphs 61-62.</w:t>
      </w:r>
    </w:p>
  </w:footnote>
  <w:footnote w:id="11">
    <w:p w:rsidR="000829DC" w:rsidRPr="0027413A" w:rsidRDefault="000829DC" w:rsidP="0027413A">
      <w:pPr>
        <w:pStyle w:val="FootnoteText"/>
        <w:spacing w:line="360" w:lineRule="auto"/>
        <w:rPr>
          <w:lang w:val="en-ZA"/>
        </w:rPr>
      </w:pPr>
      <w:r w:rsidRPr="0027413A">
        <w:rPr>
          <w:rStyle w:val="FootnoteReference"/>
          <w:rFonts w:ascii="Arial" w:hAnsi="Arial" w:cs="Arial"/>
        </w:rPr>
        <w:footnoteRef/>
      </w:r>
      <w:r w:rsidRPr="0027413A">
        <w:rPr>
          <w:rFonts w:ascii="Arial" w:hAnsi="Arial" w:cs="Arial"/>
        </w:rPr>
        <w:t xml:space="preserve"> </w:t>
      </w:r>
      <w:r w:rsidRPr="00BB53D0">
        <w:rPr>
          <w:rFonts w:ascii="Arial" w:hAnsi="Arial" w:cs="Arial"/>
          <w:i/>
        </w:rPr>
        <w:t>Atlantic Slots and Another v MEC for Economic Affairs, North West and Others</w:t>
      </w:r>
      <w:r w:rsidRPr="0027413A">
        <w:rPr>
          <w:rFonts w:ascii="Arial" w:hAnsi="Arial" w:cs="Arial"/>
        </w:rPr>
        <w:t xml:space="preserve"> 1997 (2) BCLR 176 (B) at 184H – I.</w:t>
      </w:r>
    </w:p>
  </w:footnote>
  <w:footnote w:id="12">
    <w:p w:rsidR="000829DC" w:rsidRPr="00BB53D0" w:rsidRDefault="000829DC" w:rsidP="00BB53D0">
      <w:pPr>
        <w:pStyle w:val="ListParagraph"/>
        <w:spacing w:after="0" w:line="360" w:lineRule="auto"/>
        <w:ind w:left="0"/>
        <w:jc w:val="both"/>
        <w:rPr>
          <w:lang w:val="en-ZA"/>
        </w:rPr>
      </w:pPr>
      <w:r>
        <w:rPr>
          <w:rStyle w:val="FootnoteReference"/>
        </w:rPr>
        <w:footnoteRef/>
      </w:r>
      <w:r>
        <w:t xml:space="preserve"> </w:t>
      </w:r>
      <w:r w:rsidRPr="00BB53D0">
        <w:rPr>
          <w:rFonts w:ascii="Arial" w:hAnsi="Arial" w:cs="Arial"/>
          <w:i/>
          <w:sz w:val="20"/>
          <w:szCs w:val="20"/>
        </w:rPr>
        <w:t>Amadhila v Government of the Republic of Namibia</w:t>
      </w:r>
      <w:r w:rsidRPr="00BB53D0">
        <w:rPr>
          <w:rFonts w:ascii="Arial" w:hAnsi="Arial" w:cs="Arial"/>
          <w:sz w:val="20"/>
          <w:szCs w:val="20"/>
        </w:rPr>
        <w:t xml:space="preserve"> (HC-MD-CIV-ACT-DEL-2019/00602) [2021] NAHCMD 428 </w:t>
      </w:r>
      <w:r w:rsidRPr="00BB53D0">
        <w:rPr>
          <w:rFonts w:ascii="Arial" w:hAnsi="Arial" w:cs="Arial"/>
          <w:sz w:val="20"/>
          <w:szCs w:val="20"/>
          <w:shd w:val="clear" w:color="auto" w:fill="FFFFFF"/>
        </w:rPr>
        <w:t>(24 September </w:t>
      </w:r>
      <w:r w:rsidRPr="00BB53D0">
        <w:rPr>
          <w:rStyle w:val="Emphasis"/>
          <w:rFonts w:ascii="Arial" w:hAnsi="Arial" w:cs="Arial"/>
          <w:bCs/>
          <w:i w:val="0"/>
          <w:iCs w:val="0"/>
          <w:sz w:val="20"/>
          <w:szCs w:val="20"/>
          <w:shd w:val="clear" w:color="auto" w:fill="FFFFFF"/>
        </w:rPr>
        <w:t>2021</w:t>
      </w:r>
      <w:r w:rsidRPr="00BB53D0">
        <w:rPr>
          <w:rFonts w:ascii="Arial" w:hAnsi="Arial" w:cs="Arial"/>
          <w:sz w:val="20"/>
          <w:szCs w:val="20"/>
          <w:shd w:val="clear" w:color="auto" w:fill="FFFFFF"/>
        </w:rPr>
        <w:t>)</w:t>
      </w:r>
      <w:r>
        <w:rPr>
          <w:rFonts w:ascii="Arial" w:hAnsi="Arial" w:cs="Arial"/>
          <w:sz w:val="20"/>
          <w:szCs w:val="20"/>
          <w:shd w:val="clear" w:color="auto" w:fill="FFFFFF"/>
        </w:rPr>
        <w:t>.</w:t>
      </w:r>
    </w:p>
  </w:footnote>
  <w:footnote w:id="13">
    <w:p w:rsidR="000829DC" w:rsidRPr="00BB53D0" w:rsidRDefault="000829DC">
      <w:pPr>
        <w:pStyle w:val="FootnoteText"/>
        <w:rPr>
          <w:rFonts w:ascii="Arial" w:hAnsi="Arial" w:cs="Arial"/>
          <w:lang w:val="en-ZA"/>
        </w:rPr>
      </w:pPr>
      <w:r w:rsidRPr="00BB53D0">
        <w:rPr>
          <w:rStyle w:val="FootnoteReference"/>
          <w:rFonts w:ascii="Arial" w:hAnsi="Arial" w:cs="Arial"/>
        </w:rPr>
        <w:footnoteRef/>
      </w:r>
      <w:r w:rsidRPr="00BB53D0">
        <w:rPr>
          <w:rFonts w:ascii="Arial" w:hAnsi="Arial" w:cs="Arial"/>
        </w:rPr>
        <w:t xml:space="preserve"> Supra at footnote 9.</w:t>
      </w:r>
    </w:p>
  </w:footnote>
  <w:footnote w:id="14">
    <w:p w:rsidR="000829DC" w:rsidRPr="004C1B66" w:rsidRDefault="000829DC" w:rsidP="004C1B66">
      <w:pPr>
        <w:pStyle w:val="FootnoteText"/>
        <w:spacing w:line="360" w:lineRule="auto"/>
        <w:rPr>
          <w:lang w:val="en-ZA"/>
        </w:rPr>
      </w:pPr>
      <w:r>
        <w:rPr>
          <w:rStyle w:val="FootnoteReference"/>
        </w:rPr>
        <w:footnoteRef/>
      </w:r>
      <w:r>
        <w:t xml:space="preserve"> </w:t>
      </w:r>
      <w:r w:rsidRPr="004C1B66">
        <w:rPr>
          <w:rFonts w:ascii="Arial" w:hAnsi="Arial" w:cs="Arial"/>
          <w:lang w:val="en-ZA"/>
        </w:rPr>
        <w:t>Michael Bishop “Remedies”, Chapter 9 in Woolman and Others, Constitutional Law of South Africa</w:t>
      </w:r>
      <w:r>
        <w:rPr>
          <w:rFonts w:ascii="Arial" w:hAnsi="Arial" w:cs="Arial"/>
          <w:lang w:val="en-ZA"/>
        </w:rPr>
        <w:t xml:space="preserve"> </w:t>
      </w:r>
      <w:r w:rsidRPr="004C1B66">
        <w:rPr>
          <w:rFonts w:ascii="Arial" w:hAnsi="Arial" w:cs="Arial"/>
          <w:lang w:val="en-ZA"/>
        </w:rPr>
        <w:t>(2</w:t>
      </w:r>
      <w:r w:rsidRPr="004C1B66">
        <w:rPr>
          <w:rFonts w:ascii="Arial" w:hAnsi="Arial" w:cs="Arial"/>
          <w:vertAlign w:val="superscript"/>
          <w:lang w:val="en-ZA"/>
        </w:rPr>
        <w:t>nd</w:t>
      </w:r>
      <w:r w:rsidRPr="004C1B66">
        <w:rPr>
          <w:rFonts w:ascii="Arial" w:hAnsi="Arial" w:cs="Arial"/>
          <w:lang w:val="en-ZA"/>
        </w:rPr>
        <w:t xml:space="preserve"> ed) Vo</w:t>
      </w:r>
      <w:r>
        <w:rPr>
          <w:rFonts w:ascii="Arial" w:hAnsi="Arial" w:cs="Arial"/>
          <w:lang w:val="en-ZA"/>
        </w:rPr>
        <w:t>l</w:t>
      </w:r>
      <w:r w:rsidRPr="004C1B66">
        <w:rPr>
          <w:rFonts w:ascii="Arial" w:hAnsi="Arial" w:cs="Arial"/>
          <w:lang w:val="en-ZA"/>
        </w:rPr>
        <w:t xml:space="preserve"> 1 at 9-104 to 9-105.</w:t>
      </w:r>
    </w:p>
  </w:footnote>
  <w:footnote w:id="15">
    <w:p w:rsidR="000829DC" w:rsidRPr="009D29DD" w:rsidRDefault="000829DC" w:rsidP="00BE3B61">
      <w:pPr>
        <w:pStyle w:val="FootnoteText"/>
        <w:rPr>
          <w:lang w:val="en-ZA"/>
        </w:rPr>
      </w:pPr>
      <w:r>
        <w:rPr>
          <w:rStyle w:val="FootnoteReference"/>
        </w:rPr>
        <w:footnoteRef/>
      </w:r>
      <w:r>
        <w:t xml:space="preserve"> </w:t>
      </w:r>
      <w:r w:rsidRPr="009D29DD">
        <w:rPr>
          <w:rFonts w:ascii="Arial" w:hAnsi="Arial" w:cs="Arial"/>
          <w:lang w:val="en-ZA"/>
        </w:rPr>
        <w:t>Respondent’s answering affidavit at para 12.</w:t>
      </w:r>
    </w:p>
  </w:footnote>
  <w:footnote w:id="16">
    <w:p w:rsidR="000829DC" w:rsidRPr="00EA3F08" w:rsidRDefault="000829DC" w:rsidP="00563854">
      <w:pPr>
        <w:pStyle w:val="ListParagraph"/>
        <w:spacing w:after="0" w:line="360" w:lineRule="auto"/>
        <w:ind w:left="0"/>
        <w:jc w:val="both"/>
        <w:rPr>
          <w:lang w:val="en-ZA"/>
        </w:rPr>
      </w:pPr>
      <w:r>
        <w:rPr>
          <w:rStyle w:val="FootnoteReference"/>
        </w:rPr>
        <w:footnoteRef/>
      </w:r>
      <w:r>
        <w:t xml:space="preserve"> </w:t>
      </w:r>
      <w:r w:rsidRPr="00EA3F08">
        <w:rPr>
          <w:rFonts w:ascii="Arial" w:hAnsi="Arial" w:cs="Arial"/>
          <w:i/>
          <w:sz w:val="20"/>
          <w:szCs w:val="20"/>
        </w:rPr>
        <w:t>Alexander v Minister of Justice and Others</w:t>
      </w:r>
      <w:r w:rsidRPr="00EA3F08">
        <w:rPr>
          <w:rFonts w:ascii="Arial" w:hAnsi="Arial" w:cs="Arial"/>
          <w:sz w:val="20"/>
          <w:szCs w:val="20"/>
        </w:rPr>
        <w:t xml:space="preserve"> 2010 (1) NR 328 (SC)</w:t>
      </w:r>
      <w:r>
        <w:rPr>
          <w:rFonts w:ascii="Arial" w:hAnsi="Arial" w:cs="Arial"/>
          <w:sz w:val="20"/>
          <w:szCs w:val="20"/>
        </w:rPr>
        <w:t xml:space="preserve"> at para 122.</w:t>
      </w:r>
    </w:p>
  </w:footnote>
  <w:footnote w:id="17">
    <w:p w:rsidR="000829DC" w:rsidRDefault="000829DC" w:rsidP="00563854">
      <w:pPr>
        <w:pStyle w:val="FootnoteText"/>
        <w:spacing w:line="360" w:lineRule="auto"/>
        <w:jc w:val="both"/>
        <w:rPr>
          <w:rFonts w:ascii="Arial" w:hAnsi="Arial" w:cs="Arial"/>
        </w:rPr>
      </w:pPr>
      <w:r>
        <w:rPr>
          <w:rStyle w:val="FootnoteReference"/>
        </w:rPr>
        <w:footnoteRef/>
      </w:r>
      <w:r>
        <w:t xml:space="preserve"> </w:t>
      </w:r>
      <w:r w:rsidRPr="00C72991">
        <w:rPr>
          <w:rFonts w:ascii="Arial" w:hAnsi="Arial" w:cs="Arial"/>
          <w:i/>
        </w:rPr>
        <w:t xml:space="preserve">Africa Personnel Services (Pty) Ltd v Government of the Republic of Namibia </w:t>
      </w:r>
      <w:r w:rsidRPr="00C72991">
        <w:rPr>
          <w:rFonts w:ascii="Arial" w:hAnsi="Arial" w:cs="Arial"/>
        </w:rPr>
        <w:t>2009 (2) NR 596 (SC)</w:t>
      </w:r>
      <w:r>
        <w:rPr>
          <w:rFonts w:ascii="Arial" w:hAnsi="Arial" w:cs="Arial"/>
        </w:rPr>
        <w:t xml:space="preserve"> at para [65].</w:t>
      </w:r>
    </w:p>
    <w:p w:rsidR="000829DC" w:rsidRPr="00AF1B80" w:rsidRDefault="000829DC" w:rsidP="00AF1B80">
      <w:pPr>
        <w:pStyle w:val="FootnoteText"/>
        <w:jc w:val="both"/>
        <w:rPr>
          <w:lang w:val="en-ZA"/>
        </w:rPr>
      </w:pPr>
    </w:p>
  </w:footnote>
  <w:footnote w:id="18">
    <w:p w:rsidR="000829DC" w:rsidRPr="00E35B30" w:rsidRDefault="000829DC">
      <w:pPr>
        <w:pStyle w:val="FootnoteText"/>
        <w:rPr>
          <w:lang w:val="en-ZA"/>
        </w:rPr>
      </w:pPr>
      <w:r>
        <w:rPr>
          <w:rStyle w:val="FootnoteReference"/>
        </w:rPr>
        <w:footnoteRef/>
      </w:r>
      <w:r>
        <w:t xml:space="preserve"> </w:t>
      </w:r>
      <w:r w:rsidRPr="00EE700C">
        <w:rPr>
          <w:rFonts w:ascii="Arial" w:hAnsi="Arial" w:cs="Arial"/>
        </w:rPr>
        <w:t>Prevention of Organised Crime Act 121 of 1998.</w:t>
      </w:r>
    </w:p>
  </w:footnote>
  <w:footnote w:id="19">
    <w:p w:rsidR="000829DC" w:rsidRPr="00CA38DD" w:rsidRDefault="000829DC">
      <w:pPr>
        <w:pStyle w:val="FootnoteText"/>
        <w:rPr>
          <w:lang w:val="en-ZA"/>
        </w:rPr>
      </w:pPr>
      <w:r>
        <w:rPr>
          <w:rStyle w:val="FootnoteReference"/>
        </w:rPr>
        <w:footnoteRef/>
      </w:r>
      <w:r>
        <w:t xml:space="preserve"> </w:t>
      </w:r>
      <w:r w:rsidRPr="00CA38DD">
        <w:rPr>
          <w:rFonts w:ascii="Arial" w:hAnsi="Arial" w:cs="Arial"/>
          <w:i/>
        </w:rPr>
        <w:t>State v Henock and Others</w:t>
      </w:r>
      <w:r w:rsidRPr="00CA38DD">
        <w:rPr>
          <w:rFonts w:ascii="Arial" w:hAnsi="Arial" w:cs="Arial"/>
        </w:rPr>
        <w:t xml:space="preserve"> (CR 86/2019) [2019] NAHCMD 466 (11 November 2019)</w:t>
      </w:r>
      <w:r>
        <w:rPr>
          <w:rFonts w:ascii="Arial" w:hAnsi="Arial" w:cs="Arial"/>
        </w:rPr>
        <w:t>.</w:t>
      </w:r>
    </w:p>
  </w:footnote>
  <w:footnote w:id="20">
    <w:p w:rsidR="000829DC" w:rsidRPr="000F3FA7" w:rsidRDefault="000829DC" w:rsidP="00CA38DD">
      <w:pPr>
        <w:pStyle w:val="FootnoteText"/>
        <w:rPr>
          <w:rFonts w:ascii="Arial" w:hAnsi="Arial" w:cs="Arial"/>
          <w:color w:val="000000" w:themeColor="text1"/>
        </w:rPr>
      </w:pPr>
      <w:r w:rsidRPr="000F3FA7">
        <w:rPr>
          <w:rStyle w:val="FootnoteReference"/>
          <w:rFonts w:ascii="Arial" w:hAnsi="Arial" w:cs="Arial"/>
          <w:color w:val="000000" w:themeColor="text1"/>
        </w:rPr>
        <w:footnoteRef/>
      </w:r>
      <w:r w:rsidRPr="000F3FA7">
        <w:rPr>
          <w:rFonts w:ascii="Arial" w:hAnsi="Arial" w:cs="Arial"/>
          <w:color w:val="000000" w:themeColor="text1"/>
        </w:rPr>
        <w:t xml:space="preserve"> Devenish, GE </w:t>
      </w:r>
      <w:r w:rsidRPr="000F3FA7">
        <w:rPr>
          <w:rFonts w:ascii="Arial" w:hAnsi="Arial" w:cs="Arial"/>
          <w:i/>
          <w:color w:val="000000" w:themeColor="text1"/>
        </w:rPr>
        <w:t>Interpretation of Statutes</w:t>
      </w:r>
      <w:r>
        <w:rPr>
          <w:rFonts w:ascii="Arial" w:hAnsi="Arial" w:cs="Arial"/>
          <w:i/>
          <w:color w:val="000000" w:themeColor="text1"/>
        </w:rPr>
        <w:t xml:space="preserve"> </w:t>
      </w:r>
      <w:r w:rsidRPr="000F3FA7">
        <w:rPr>
          <w:rFonts w:ascii="Arial" w:hAnsi="Arial" w:cs="Arial"/>
          <w:color w:val="000000" w:themeColor="text1"/>
        </w:rPr>
        <w:t>1992</w:t>
      </w:r>
      <w:r w:rsidRPr="000F3FA7">
        <w:rPr>
          <w:rFonts w:ascii="Arial" w:hAnsi="Arial" w:cs="Arial"/>
          <w:i/>
          <w:color w:val="000000" w:themeColor="text1"/>
        </w:rPr>
        <w:t xml:space="preserve"> </w:t>
      </w:r>
      <w:r w:rsidRPr="000F3FA7">
        <w:rPr>
          <w:rFonts w:ascii="Arial" w:hAnsi="Arial" w:cs="Arial"/>
          <w:color w:val="000000" w:themeColor="text1"/>
        </w:rPr>
        <w:t>Cape Town: Juta &amp; Co, at p 129.</w:t>
      </w:r>
    </w:p>
  </w:footnote>
  <w:footnote w:id="21">
    <w:p w:rsidR="000829DC" w:rsidRPr="00C5500F" w:rsidRDefault="000829DC" w:rsidP="00523BE9">
      <w:pPr>
        <w:pStyle w:val="FootnoteText"/>
        <w:spacing w:line="360" w:lineRule="auto"/>
        <w:rPr>
          <w:lang w:val="en-ZA"/>
        </w:rPr>
      </w:pPr>
      <w:r>
        <w:rPr>
          <w:rStyle w:val="FootnoteReference"/>
        </w:rPr>
        <w:footnoteRef/>
      </w:r>
      <w:r>
        <w:t xml:space="preserve"> </w:t>
      </w:r>
      <w:r w:rsidRPr="00C5500F">
        <w:rPr>
          <w:rFonts w:ascii="Arial" w:hAnsi="Arial" w:cs="Arial"/>
          <w:i/>
          <w:lang w:val="en-ZA"/>
        </w:rPr>
        <w:t>AG of Namibia v Minister of Justice</w:t>
      </w:r>
      <w:r w:rsidRPr="00C5500F">
        <w:rPr>
          <w:rFonts w:ascii="Arial" w:hAnsi="Arial" w:cs="Arial"/>
          <w:lang w:val="en-ZA"/>
        </w:rPr>
        <w:t xml:space="preserve"> 2013 (3) NR 806 (SC) at para [7].</w:t>
      </w:r>
    </w:p>
  </w:footnote>
  <w:footnote w:id="22">
    <w:p w:rsidR="000829DC" w:rsidRPr="00E531C7" w:rsidRDefault="000829DC" w:rsidP="00A15600">
      <w:pPr>
        <w:pStyle w:val="FootnoteText"/>
        <w:spacing w:line="360" w:lineRule="auto"/>
        <w:rPr>
          <w:rFonts w:ascii="Arial" w:hAnsi="Arial" w:cs="Arial"/>
          <w:lang w:val="en-ZA"/>
        </w:rPr>
      </w:pPr>
      <w:r w:rsidRPr="00E531C7">
        <w:rPr>
          <w:rStyle w:val="FootnoteReference"/>
          <w:rFonts w:ascii="Arial" w:hAnsi="Arial" w:cs="Arial"/>
        </w:rPr>
        <w:footnoteRef/>
      </w:r>
      <w:r w:rsidRPr="00E531C7">
        <w:rPr>
          <w:rFonts w:ascii="Arial" w:hAnsi="Arial" w:cs="Arial"/>
        </w:rPr>
        <w:t xml:space="preserve"> </w:t>
      </w:r>
      <w:r w:rsidRPr="00E531C7">
        <w:rPr>
          <w:rFonts w:ascii="Arial" w:hAnsi="Arial" w:cs="Arial"/>
          <w:i/>
        </w:rPr>
        <w:t>S v Acheson</w:t>
      </w:r>
      <w:r w:rsidRPr="00E531C7">
        <w:rPr>
          <w:rFonts w:ascii="Arial" w:hAnsi="Arial" w:cs="Arial"/>
        </w:rPr>
        <w:t> 1991 NR 1 (HC) (1991 (2) SA 805) at 10A – B.</w:t>
      </w:r>
    </w:p>
  </w:footnote>
  <w:footnote w:id="23">
    <w:p w:rsidR="000829DC" w:rsidRPr="00E531C7" w:rsidRDefault="000829DC" w:rsidP="00A15600">
      <w:pPr>
        <w:pStyle w:val="FootnoteText"/>
        <w:spacing w:line="360" w:lineRule="auto"/>
        <w:jc w:val="both"/>
        <w:rPr>
          <w:rFonts w:ascii="Arial" w:hAnsi="Arial" w:cs="Arial"/>
          <w:lang w:val="en-ZA"/>
        </w:rPr>
      </w:pPr>
      <w:r w:rsidRPr="00E531C7">
        <w:rPr>
          <w:rStyle w:val="FootnoteReference"/>
          <w:rFonts w:ascii="Arial" w:hAnsi="Arial" w:cs="Arial"/>
        </w:rPr>
        <w:footnoteRef/>
      </w:r>
      <w:r w:rsidRPr="00E531C7">
        <w:rPr>
          <w:rFonts w:ascii="Arial" w:hAnsi="Arial" w:cs="Arial"/>
        </w:rPr>
        <w:t xml:space="preserve"> </w:t>
      </w:r>
      <w:r w:rsidRPr="00E531C7">
        <w:rPr>
          <w:rFonts w:ascii="Arial" w:hAnsi="Arial" w:cs="Arial"/>
          <w:i/>
        </w:rPr>
        <w:t>Government of the Republic of Namibia and Another v Cultura</w:t>
      </w:r>
      <w:r w:rsidRPr="00E531C7">
        <w:rPr>
          <w:rFonts w:ascii="Arial" w:hAnsi="Arial" w:cs="Arial"/>
        </w:rPr>
        <w:t xml:space="preserve"> 2000 and Another 1993 NR 328 (SC) (1994 (1) SA 407) at 340A.</w:t>
      </w:r>
    </w:p>
  </w:footnote>
  <w:footnote w:id="24">
    <w:p w:rsidR="000829DC" w:rsidRPr="00E531C7" w:rsidRDefault="000829DC" w:rsidP="00A15600">
      <w:pPr>
        <w:pStyle w:val="FootnoteText"/>
        <w:spacing w:line="360" w:lineRule="auto"/>
        <w:jc w:val="both"/>
        <w:rPr>
          <w:rFonts w:ascii="Arial" w:hAnsi="Arial" w:cs="Arial"/>
          <w:lang w:val="en-ZA"/>
        </w:rPr>
      </w:pPr>
      <w:r w:rsidRPr="00E531C7">
        <w:rPr>
          <w:rStyle w:val="FootnoteReference"/>
          <w:rFonts w:ascii="Arial" w:hAnsi="Arial" w:cs="Arial"/>
        </w:rPr>
        <w:footnoteRef/>
      </w:r>
      <w:r>
        <w:rPr>
          <w:rFonts w:ascii="Arial" w:hAnsi="Arial" w:cs="Arial"/>
        </w:rPr>
        <w:t xml:space="preserve"> Ibid</w:t>
      </w:r>
      <w:r w:rsidRPr="00E531C7">
        <w:rPr>
          <w:rFonts w:ascii="Arial" w:hAnsi="Arial" w:cs="Arial"/>
        </w:rPr>
        <w:t xml:space="preserve"> at 340B – C.</w:t>
      </w:r>
    </w:p>
  </w:footnote>
  <w:footnote w:id="25">
    <w:p w:rsidR="000829DC" w:rsidRPr="00C5500F" w:rsidRDefault="000829DC" w:rsidP="00A15600">
      <w:pPr>
        <w:pStyle w:val="FootnoteText"/>
        <w:spacing w:line="360" w:lineRule="auto"/>
        <w:jc w:val="both"/>
        <w:rPr>
          <w:rFonts w:ascii="Arial" w:hAnsi="Arial" w:cs="Arial"/>
          <w:lang w:val="en-ZA"/>
        </w:rPr>
      </w:pPr>
      <w:r w:rsidRPr="00E531C7">
        <w:rPr>
          <w:rStyle w:val="FootnoteReference"/>
          <w:rFonts w:ascii="Arial" w:hAnsi="Arial" w:cs="Arial"/>
        </w:rPr>
        <w:footnoteRef/>
      </w:r>
      <w:r w:rsidRPr="00E531C7">
        <w:rPr>
          <w:rFonts w:ascii="Arial" w:hAnsi="Arial" w:cs="Arial"/>
        </w:rPr>
        <w:t xml:space="preserve"> See the South African Constitutional Court cases of </w:t>
      </w:r>
      <w:r w:rsidRPr="00E531C7">
        <w:rPr>
          <w:rFonts w:ascii="Arial" w:hAnsi="Arial" w:cs="Arial"/>
          <w:i/>
        </w:rPr>
        <w:t>S v Makwanyane and Another</w:t>
      </w:r>
      <w:r w:rsidRPr="00E531C7">
        <w:rPr>
          <w:rFonts w:ascii="Arial" w:hAnsi="Arial" w:cs="Arial"/>
        </w:rPr>
        <w:t xml:space="preserve"> 1995 (3) SA 391 (CC) (1995 (2) SACR 1; 1995 (6) BCLR 665; [1995] ZACC 3) in para 9 fn 8; </w:t>
      </w:r>
      <w:r w:rsidRPr="00E531C7">
        <w:rPr>
          <w:rFonts w:ascii="Arial" w:hAnsi="Arial" w:cs="Arial"/>
          <w:i/>
        </w:rPr>
        <w:t>Soobramoney v Minister of Health, KwaZulu-Natal</w:t>
      </w:r>
      <w:r w:rsidRPr="00E531C7">
        <w:rPr>
          <w:rFonts w:ascii="Arial" w:hAnsi="Arial" w:cs="Arial"/>
        </w:rPr>
        <w:t xml:space="preserve"> 1998 (1) SA 765 (CC) (1997 (12) BCLR 1696; [1997] ZACC 17) para 17.</w:t>
      </w:r>
    </w:p>
  </w:footnote>
  <w:footnote w:id="26">
    <w:p w:rsidR="000829DC" w:rsidRPr="00C5500F" w:rsidRDefault="000829DC" w:rsidP="00C5500F">
      <w:pPr>
        <w:pStyle w:val="FootnoteText"/>
        <w:spacing w:line="360" w:lineRule="auto"/>
        <w:jc w:val="both"/>
        <w:rPr>
          <w:lang w:val="en-ZA"/>
        </w:rPr>
      </w:pPr>
      <w:r w:rsidRPr="00C5500F">
        <w:rPr>
          <w:rStyle w:val="FootnoteReference"/>
          <w:rFonts w:ascii="Arial" w:hAnsi="Arial" w:cs="Arial"/>
        </w:rPr>
        <w:footnoteRef/>
      </w:r>
      <w:r w:rsidRPr="00C5500F">
        <w:rPr>
          <w:rFonts w:ascii="Arial" w:hAnsi="Arial" w:cs="Arial"/>
        </w:rPr>
        <w:t xml:space="preserve"> </w:t>
      </w:r>
      <w:r w:rsidRPr="00C5500F">
        <w:rPr>
          <w:rFonts w:ascii="Arial" w:hAnsi="Arial" w:cs="Arial"/>
          <w:i/>
        </w:rPr>
        <w:t>Kauesa v Minister of Home Affairs and Others</w:t>
      </w:r>
      <w:r w:rsidRPr="00C5500F">
        <w:rPr>
          <w:rFonts w:ascii="Arial" w:hAnsi="Arial" w:cs="Arial"/>
        </w:rPr>
        <w:t xml:space="preserve"> 1995 NR 175 (SC) (1996 (4) SA 965; 1995 (11) BCLR 1540) at 183J-184B; </w:t>
      </w:r>
      <w:r w:rsidRPr="00C5500F">
        <w:rPr>
          <w:rFonts w:ascii="Arial" w:hAnsi="Arial" w:cs="Arial"/>
          <w:i/>
        </w:rPr>
        <w:t>S v Zemburuka</w:t>
      </w:r>
      <w:r w:rsidRPr="00C5500F">
        <w:rPr>
          <w:rFonts w:ascii="Arial" w:hAnsi="Arial" w:cs="Arial"/>
        </w:rPr>
        <w:t xml:space="preserve"> (2) 2003 NR 200 (HC) at 201E-H; </w:t>
      </w:r>
      <w:r w:rsidRPr="00C5500F">
        <w:rPr>
          <w:rFonts w:ascii="Arial" w:hAnsi="Arial" w:cs="Arial"/>
          <w:i/>
        </w:rPr>
        <w:t>Tlhoro v Minister of Home Affairs</w:t>
      </w:r>
      <w:r w:rsidRPr="00C5500F">
        <w:rPr>
          <w:rFonts w:ascii="Arial" w:hAnsi="Arial" w:cs="Arial"/>
        </w:rPr>
        <w:t xml:space="preserve"> 2008 (1) NR 97 (HC) at 116H-I; </w:t>
      </w:r>
      <w:r w:rsidRPr="00C5500F">
        <w:rPr>
          <w:rFonts w:ascii="Arial" w:hAnsi="Arial" w:cs="Arial"/>
          <w:i/>
        </w:rPr>
        <w:t>Schroeder and Another v Solomon and 48 Others</w:t>
      </w:r>
      <w:r w:rsidRPr="00C5500F">
        <w:rPr>
          <w:rFonts w:ascii="Arial" w:hAnsi="Arial" w:cs="Arial"/>
        </w:rPr>
        <w:t xml:space="preserve"> 2009 (1) NR 1 (SC) at 6J-7A; </w:t>
      </w:r>
      <w:r w:rsidRPr="00C5500F">
        <w:rPr>
          <w:rFonts w:ascii="Arial" w:hAnsi="Arial" w:cs="Arial"/>
          <w:i/>
        </w:rPr>
        <w:t>Africa Personnel Services (Pty) Ltd v Government of the Republic of Namibia and Others</w:t>
      </w:r>
      <w:r w:rsidRPr="00C5500F">
        <w:rPr>
          <w:rFonts w:ascii="Arial" w:hAnsi="Arial" w:cs="Arial"/>
        </w:rPr>
        <w:t xml:space="preserve"> 2009 (2) NR 596 (SC) at 269B-C.</w:t>
      </w:r>
    </w:p>
  </w:footnote>
  <w:footnote w:id="27">
    <w:p w:rsidR="000829DC" w:rsidRPr="00005C1E" w:rsidRDefault="000829DC">
      <w:pPr>
        <w:pStyle w:val="FootnoteText"/>
        <w:rPr>
          <w:rFonts w:ascii="Arial" w:hAnsi="Arial" w:cs="Arial"/>
          <w:lang w:val="en-ZA"/>
        </w:rPr>
      </w:pPr>
      <w:r>
        <w:rPr>
          <w:rStyle w:val="FootnoteReference"/>
        </w:rPr>
        <w:footnoteRef/>
      </w:r>
      <w:r>
        <w:t xml:space="preserve"> </w:t>
      </w:r>
      <w:r w:rsidRPr="00005C1E">
        <w:rPr>
          <w:rFonts w:ascii="Arial" w:hAnsi="Arial" w:cs="Arial"/>
          <w:i/>
        </w:rPr>
        <w:t>Minister of Defence v Mwandinghi</w:t>
      </w:r>
      <w:r w:rsidRPr="00005C1E">
        <w:rPr>
          <w:rFonts w:ascii="Arial" w:hAnsi="Arial" w:cs="Arial"/>
        </w:rPr>
        <w:t xml:space="preserve"> 1993 NR 63 (SC) (1992 (2) SA 355); </w:t>
      </w:r>
      <w:r w:rsidRPr="00005C1E">
        <w:rPr>
          <w:rFonts w:ascii="Arial" w:hAnsi="Arial" w:cs="Arial"/>
          <w:i/>
        </w:rPr>
        <w:t xml:space="preserve">S v Heidenreich </w:t>
      </w:r>
      <w:r w:rsidRPr="00005C1E">
        <w:rPr>
          <w:rFonts w:ascii="Arial" w:hAnsi="Arial" w:cs="Arial"/>
        </w:rPr>
        <w:t>1998 NR 229 (HC) at 234.</w:t>
      </w:r>
    </w:p>
  </w:footnote>
  <w:footnote w:id="28">
    <w:p w:rsidR="000829DC" w:rsidRPr="00B34FBA" w:rsidRDefault="000829DC" w:rsidP="00B34FBA">
      <w:pPr>
        <w:pStyle w:val="FootnoteText"/>
        <w:rPr>
          <w:lang w:val="en-ZA"/>
        </w:rPr>
      </w:pPr>
      <w:r>
        <w:rPr>
          <w:rStyle w:val="FootnoteReference"/>
        </w:rPr>
        <w:footnoteRef/>
      </w:r>
      <w:r>
        <w:t xml:space="preserve"> </w:t>
      </w:r>
      <w:r w:rsidRPr="00B34FBA">
        <w:rPr>
          <w:rFonts w:ascii="Arial" w:hAnsi="Arial" w:cs="Arial"/>
          <w:lang w:val="en-ZA"/>
        </w:rPr>
        <w:t>Supra footnote 16 at para [117].</w:t>
      </w:r>
    </w:p>
  </w:footnote>
  <w:footnote w:id="29">
    <w:p w:rsidR="000829DC" w:rsidRPr="002438B9" w:rsidRDefault="000829DC">
      <w:pPr>
        <w:pStyle w:val="FootnoteText"/>
        <w:rPr>
          <w:lang w:val="en-ZA"/>
        </w:rPr>
      </w:pPr>
      <w:r>
        <w:rPr>
          <w:rStyle w:val="FootnoteReference"/>
        </w:rPr>
        <w:footnoteRef/>
      </w:r>
      <w:r>
        <w:t xml:space="preserve"> </w:t>
      </w:r>
      <w:r w:rsidRPr="00FC142F">
        <w:rPr>
          <w:rFonts w:ascii="Arial" w:hAnsi="Arial" w:cs="Arial"/>
          <w:i/>
        </w:rPr>
        <w:t>Namibia Grape Growers and Exporters Association and Others v The Ministry of Mines and Energy and Others</w:t>
      </w:r>
      <w:r w:rsidRPr="00FC142F">
        <w:rPr>
          <w:rFonts w:ascii="Arial" w:hAnsi="Arial" w:cs="Arial"/>
        </w:rPr>
        <w:t xml:space="preserve"> 2004 NR 194 (SC)</w:t>
      </w:r>
      <w:r>
        <w:rPr>
          <w:rFonts w:ascii="Arial" w:hAnsi="Arial" w:cs="Arial"/>
        </w:rPr>
        <w:t>.</w:t>
      </w:r>
    </w:p>
  </w:footnote>
  <w:footnote w:id="30">
    <w:p w:rsidR="000829DC" w:rsidRPr="00FC142F" w:rsidRDefault="000829DC" w:rsidP="002161BC">
      <w:pPr>
        <w:pStyle w:val="FootnoteText"/>
        <w:rPr>
          <w:lang w:val="en-ZA"/>
        </w:rPr>
      </w:pPr>
      <w:r>
        <w:rPr>
          <w:rStyle w:val="FootnoteReference"/>
        </w:rPr>
        <w:footnoteRef/>
      </w:r>
      <w:r>
        <w:t xml:space="preserve"> </w:t>
      </w:r>
      <w:r w:rsidRPr="00AE5D73">
        <w:rPr>
          <w:rFonts w:ascii="Arial" w:hAnsi="Arial" w:cs="Arial"/>
        </w:rPr>
        <w:t>Ibid.</w:t>
      </w:r>
    </w:p>
  </w:footnote>
  <w:footnote w:id="31">
    <w:p w:rsidR="000829DC" w:rsidRPr="007628A9" w:rsidRDefault="000829DC">
      <w:pPr>
        <w:pStyle w:val="FootnoteText"/>
        <w:rPr>
          <w:lang w:val="en-ZA"/>
        </w:rPr>
      </w:pPr>
      <w:r>
        <w:rPr>
          <w:rStyle w:val="FootnoteReference"/>
        </w:rPr>
        <w:footnoteRef/>
      </w:r>
      <w:r>
        <w:t xml:space="preserve"> </w:t>
      </w:r>
      <w:r w:rsidRPr="00AE5D73">
        <w:rPr>
          <w:rFonts w:ascii="Arial" w:hAnsi="Arial" w:cs="Arial"/>
          <w:i/>
          <w:lang w:val="en-ZA"/>
        </w:rPr>
        <w:t>Shali v Attorney-General and Another</w:t>
      </w:r>
      <w:r w:rsidRPr="007628A9">
        <w:rPr>
          <w:rFonts w:ascii="Arial" w:hAnsi="Arial" w:cs="Arial"/>
          <w:lang w:val="en-ZA"/>
        </w:rPr>
        <w:t xml:space="preserve"> 2013 (3) NR 613 (HC)</w:t>
      </w:r>
      <w:r>
        <w:rPr>
          <w:rFonts w:ascii="Arial" w:hAnsi="Arial" w:cs="Arial"/>
          <w:lang w:val="en-ZA"/>
        </w:rPr>
        <w:t xml:space="preserve"> at para 45.</w:t>
      </w:r>
    </w:p>
  </w:footnote>
  <w:footnote w:id="32">
    <w:p w:rsidR="00E25E0F" w:rsidRPr="00F75D00" w:rsidRDefault="00E25E0F" w:rsidP="00E25E0F">
      <w:pPr>
        <w:pStyle w:val="FootnoteText"/>
        <w:rPr>
          <w:lang w:val="en-ZA"/>
        </w:rPr>
      </w:pPr>
      <w:r>
        <w:rPr>
          <w:rStyle w:val="FootnoteReference"/>
        </w:rPr>
        <w:footnoteRef/>
      </w:r>
      <w:r>
        <w:t xml:space="preserve"> </w:t>
      </w:r>
      <w:r w:rsidRPr="00F75D00">
        <w:rPr>
          <w:rFonts w:ascii="Arial" w:hAnsi="Arial" w:cs="Arial"/>
          <w:i/>
          <w:lang w:val="en-ZA"/>
        </w:rPr>
        <w:t>S v Kearney</w:t>
      </w:r>
      <w:r w:rsidRPr="00F75D00">
        <w:rPr>
          <w:rFonts w:ascii="Arial" w:hAnsi="Arial" w:cs="Arial"/>
          <w:lang w:val="en-ZA"/>
        </w:rPr>
        <w:t xml:space="preserve"> 1964(2) SA 495 (A) at 502H-503A.</w:t>
      </w:r>
    </w:p>
  </w:footnote>
  <w:footnote w:id="33">
    <w:p w:rsidR="000829DC" w:rsidRPr="00D8263B" w:rsidRDefault="000829DC">
      <w:pPr>
        <w:pStyle w:val="FootnoteText"/>
        <w:rPr>
          <w:lang w:val="en-ZA"/>
        </w:rPr>
      </w:pPr>
      <w:r>
        <w:rPr>
          <w:rStyle w:val="FootnoteReference"/>
        </w:rPr>
        <w:footnoteRef/>
      </w:r>
      <w:r>
        <w:t xml:space="preserve"> </w:t>
      </w:r>
      <w:r w:rsidRPr="00D8263B">
        <w:rPr>
          <w:rFonts w:ascii="Arial" w:hAnsi="Arial" w:cs="Arial"/>
          <w:i/>
        </w:rPr>
        <w:t>National Director of Public Prosecutions v Seevnarayan</w:t>
      </w:r>
      <w:r w:rsidRPr="00D8263B">
        <w:rPr>
          <w:rFonts w:ascii="Arial" w:hAnsi="Arial" w:cs="Arial"/>
        </w:rPr>
        <w:t xml:space="preserve"> 2004 (2) SACR 208 (SCA) (2004 (8) BCLR 844; [2004] 2 All SA 491; [2004] ZASCA 37)</w:t>
      </w:r>
      <w:r>
        <w:rPr>
          <w:rFonts w:ascii="Arial" w:hAnsi="Arial" w:cs="Arial"/>
        </w:rPr>
        <w:t xml:space="preserve"> at [17].</w:t>
      </w:r>
    </w:p>
  </w:footnote>
  <w:footnote w:id="34">
    <w:p w:rsidR="000829DC" w:rsidRPr="00877A3F" w:rsidRDefault="000829DC">
      <w:pPr>
        <w:pStyle w:val="FootnoteText"/>
        <w:rPr>
          <w:rFonts w:ascii="Arial" w:hAnsi="Arial" w:cs="Arial"/>
          <w:lang w:val="en-ZA"/>
        </w:rPr>
      </w:pPr>
      <w:r w:rsidRPr="00877A3F">
        <w:rPr>
          <w:rStyle w:val="FootnoteReference"/>
          <w:rFonts w:ascii="Arial" w:hAnsi="Arial" w:cs="Arial"/>
        </w:rPr>
        <w:footnoteRef/>
      </w:r>
      <w:r w:rsidRPr="00877A3F">
        <w:rPr>
          <w:rFonts w:ascii="Arial" w:hAnsi="Arial" w:cs="Arial"/>
        </w:rPr>
        <w:t xml:space="preserve"> Supra footnote 16 at para [124].</w:t>
      </w:r>
    </w:p>
  </w:footnote>
  <w:footnote w:id="35">
    <w:p w:rsidR="000829DC" w:rsidRPr="00C464CF" w:rsidRDefault="000829DC">
      <w:pPr>
        <w:pStyle w:val="FootnoteText"/>
        <w:rPr>
          <w:lang w:val="en-ZA"/>
        </w:rPr>
      </w:pPr>
      <w:r w:rsidRPr="00877A3F">
        <w:rPr>
          <w:rStyle w:val="FootnoteReference"/>
          <w:rFonts w:ascii="Arial" w:hAnsi="Arial" w:cs="Arial"/>
        </w:rPr>
        <w:footnoteRef/>
      </w:r>
      <w:r w:rsidRPr="00877A3F">
        <w:rPr>
          <w:rFonts w:ascii="Arial" w:hAnsi="Arial" w:cs="Arial"/>
        </w:rPr>
        <w:t xml:space="preserve"> </w:t>
      </w:r>
      <w:r w:rsidRPr="00877A3F">
        <w:rPr>
          <w:rFonts w:ascii="Arial" w:hAnsi="Arial" w:cs="Arial"/>
          <w:lang w:val="en-ZA"/>
        </w:rPr>
        <w:t>Ibid para [125].</w:t>
      </w:r>
    </w:p>
  </w:footnote>
  <w:footnote w:id="36">
    <w:p w:rsidR="000829DC" w:rsidRPr="00980865" w:rsidRDefault="000829DC">
      <w:pPr>
        <w:pStyle w:val="FootnoteText"/>
        <w:rPr>
          <w:lang w:val="en-ZA"/>
        </w:rPr>
      </w:pPr>
      <w:r>
        <w:rPr>
          <w:rStyle w:val="FootnoteReference"/>
        </w:rPr>
        <w:footnoteRef/>
      </w:r>
      <w:r>
        <w:t xml:space="preserve"> </w:t>
      </w:r>
      <w:r w:rsidRPr="00980865">
        <w:rPr>
          <w:rFonts w:ascii="Arial" w:hAnsi="Arial" w:cs="Arial"/>
          <w:lang w:val="en-ZA"/>
        </w:rPr>
        <w:t>SALJ Volume 138 Part 2 p 323 “Forfeiture,</w:t>
      </w:r>
      <w:r>
        <w:rPr>
          <w:rFonts w:ascii="Arial" w:hAnsi="Arial" w:cs="Arial"/>
          <w:lang w:val="en-ZA"/>
        </w:rPr>
        <w:t xml:space="preserve"> </w:t>
      </w:r>
      <w:r w:rsidRPr="00980865">
        <w:rPr>
          <w:rFonts w:ascii="Arial" w:hAnsi="Arial" w:cs="Arial"/>
          <w:lang w:val="en-ZA"/>
        </w:rPr>
        <w:t>the Right to Property and the Constitution by Michael Rhimes.</w:t>
      </w:r>
    </w:p>
  </w:footnote>
  <w:footnote w:id="37">
    <w:p w:rsidR="000829DC" w:rsidRPr="002B38E1" w:rsidRDefault="000829DC" w:rsidP="002B38E1">
      <w:pPr>
        <w:pStyle w:val="ListParagraph"/>
        <w:spacing w:after="0" w:line="360" w:lineRule="auto"/>
        <w:ind w:left="0"/>
        <w:jc w:val="both"/>
        <w:rPr>
          <w:rFonts w:ascii="Arial" w:hAnsi="Arial" w:cs="Arial"/>
          <w:sz w:val="20"/>
          <w:szCs w:val="20"/>
        </w:rPr>
      </w:pPr>
      <w:r>
        <w:rPr>
          <w:rStyle w:val="FootnoteReference"/>
        </w:rPr>
        <w:footnoteRef/>
      </w:r>
      <w:r>
        <w:t xml:space="preserve"> </w:t>
      </w:r>
      <w:r w:rsidRPr="002B38E1">
        <w:rPr>
          <w:rFonts w:ascii="Arial" w:hAnsi="Arial" w:cs="Arial"/>
          <w:i/>
          <w:sz w:val="20"/>
          <w:szCs w:val="20"/>
        </w:rPr>
        <w:t>Prophet v National Director of Public Prosecutions</w:t>
      </w:r>
      <w:r w:rsidRPr="002B38E1">
        <w:rPr>
          <w:rFonts w:ascii="Arial" w:hAnsi="Arial" w:cs="Arial"/>
          <w:sz w:val="20"/>
          <w:szCs w:val="20"/>
        </w:rPr>
        <w:t xml:space="preserve"> 2007 (6) SA 169 (CC) at para 61-62</w:t>
      </w:r>
      <w:r>
        <w:rPr>
          <w:rFonts w:ascii="Arial" w:hAnsi="Arial" w:cs="Arial"/>
          <w:sz w:val="20"/>
          <w:szCs w:val="20"/>
        </w:rPr>
        <w:t>.</w:t>
      </w:r>
    </w:p>
    <w:p w:rsidR="000829DC" w:rsidRPr="002B38E1" w:rsidRDefault="000829DC">
      <w:pPr>
        <w:pStyle w:val="FootnoteText"/>
        <w:rPr>
          <w:lang w:val="en-ZA"/>
        </w:rPr>
      </w:pPr>
    </w:p>
  </w:footnote>
  <w:footnote w:id="38">
    <w:p w:rsidR="000829DC" w:rsidRPr="00FB2F31" w:rsidRDefault="000829DC" w:rsidP="0059319B">
      <w:pPr>
        <w:pStyle w:val="FootnoteText"/>
        <w:rPr>
          <w:rFonts w:ascii="Arial" w:hAnsi="Arial" w:cs="Arial"/>
        </w:rPr>
      </w:pPr>
      <w:r>
        <w:rPr>
          <w:rStyle w:val="FootnoteReference"/>
        </w:rPr>
        <w:footnoteRef/>
      </w:r>
      <w:r>
        <w:t xml:space="preserve"> </w:t>
      </w:r>
      <w:r>
        <w:rPr>
          <w:rFonts w:ascii="Arial" w:hAnsi="Arial" w:cs="Arial"/>
          <w:i/>
        </w:rPr>
        <w:t>Kambazembi Guest House Farm CC t/a Waterberg Wilderness v Minister of Lands and Resettlement</w:t>
      </w:r>
      <w:r>
        <w:rPr>
          <w:rFonts w:ascii="Arial" w:hAnsi="Arial" w:cs="Arial"/>
        </w:rPr>
        <w:t xml:space="preserve"> 2018 (3) NR 800 (SC), p 826H-827A.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239662"/>
      <w:docPartObj>
        <w:docPartGallery w:val="Page Numbers (Top of Page)"/>
        <w:docPartUnique/>
      </w:docPartObj>
    </w:sdtPr>
    <w:sdtEndPr>
      <w:rPr>
        <w:noProof/>
      </w:rPr>
    </w:sdtEndPr>
    <w:sdtContent>
      <w:p w:rsidR="000829DC" w:rsidRDefault="000829DC">
        <w:pPr>
          <w:pStyle w:val="Header"/>
          <w:jc w:val="right"/>
        </w:pPr>
        <w:r>
          <w:fldChar w:fldCharType="begin"/>
        </w:r>
        <w:r>
          <w:instrText xml:space="preserve"> PAGE   \* MERGEFORMAT </w:instrText>
        </w:r>
        <w:r>
          <w:fldChar w:fldCharType="separate"/>
        </w:r>
        <w:r w:rsidR="00AA4FF4">
          <w:rPr>
            <w:noProof/>
          </w:rPr>
          <w:t>2</w:t>
        </w:r>
        <w:r>
          <w:rPr>
            <w:noProof/>
          </w:rPr>
          <w:fldChar w:fldCharType="end"/>
        </w:r>
      </w:p>
    </w:sdtContent>
  </w:sdt>
  <w:p w:rsidR="000829DC" w:rsidRDefault="00082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6CB"/>
    <w:multiLevelType w:val="hybridMultilevel"/>
    <w:tmpl w:val="6D28F764"/>
    <w:lvl w:ilvl="0" w:tplc="784A51C8">
      <w:start w:val="18"/>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8392DEA"/>
    <w:multiLevelType w:val="hybridMultilevel"/>
    <w:tmpl w:val="6FF8DDA0"/>
    <w:lvl w:ilvl="0" w:tplc="7C7ADA32">
      <w:start w:val="1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E0A45"/>
    <w:multiLevelType w:val="hybridMultilevel"/>
    <w:tmpl w:val="9C2AA5CE"/>
    <w:lvl w:ilvl="0" w:tplc="04090017">
      <w:start w:val="1"/>
      <w:numFmt w:val="lowerLetter"/>
      <w:lvlText w:val="%1)"/>
      <w:lvlJc w:val="left"/>
      <w:pPr>
        <w:ind w:left="720" w:hanging="360"/>
      </w:pPr>
      <w:rPr>
        <w:rFonts w:hint="default"/>
      </w:rPr>
    </w:lvl>
    <w:lvl w:ilvl="1" w:tplc="03C052B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A6E96"/>
    <w:multiLevelType w:val="hybridMultilevel"/>
    <w:tmpl w:val="DA26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C50BA"/>
    <w:multiLevelType w:val="hybridMultilevel"/>
    <w:tmpl w:val="6B5C02AE"/>
    <w:lvl w:ilvl="0" w:tplc="42869BEC">
      <w:start w:val="72"/>
      <w:numFmt w:val="decimal"/>
      <w:lvlText w:val="[%1]"/>
      <w:lvlJc w:val="left"/>
      <w:pPr>
        <w:ind w:left="785"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610E1"/>
    <w:multiLevelType w:val="hybridMultilevel"/>
    <w:tmpl w:val="7200EF36"/>
    <w:lvl w:ilvl="0" w:tplc="EC586BC0">
      <w:start w:val="3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5E06FCC"/>
    <w:multiLevelType w:val="hybridMultilevel"/>
    <w:tmpl w:val="4AFC3D7E"/>
    <w:lvl w:ilvl="0" w:tplc="EA5A279C">
      <w:start w:val="5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52660"/>
    <w:multiLevelType w:val="hybridMultilevel"/>
    <w:tmpl w:val="F30A6F38"/>
    <w:lvl w:ilvl="0" w:tplc="8B20D74C">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11052"/>
    <w:multiLevelType w:val="hybridMultilevel"/>
    <w:tmpl w:val="B8647200"/>
    <w:lvl w:ilvl="0" w:tplc="21E4A73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34AF3"/>
    <w:multiLevelType w:val="hybridMultilevel"/>
    <w:tmpl w:val="36C47B94"/>
    <w:lvl w:ilvl="0" w:tplc="A15EFFC0">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8774F"/>
    <w:multiLevelType w:val="hybridMultilevel"/>
    <w:tmpl w:val="EDBA96C4"/>
    <w:lvl w:ilvl="0" w:tplc="09BCD650">
      <w:start w:val="1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A1C69"/>
    <w:multiLevelType w:val="multilevel"/>
    <w:tmpl w:val="54AA52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B33C9"/>
    <w:multiLevelType w:val="hybridMultilevel"/>
    <w:tmpl w:val="8946C9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F7641"/>
    <w:multiLevelType w:val="hybridMultilevel"/>
    <w:tmpl w:val="71649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A4BC9"/>
    <w:multiLevelType w:val="hybridMultilevel"/>
    <w:tmpl w:val="4552D284"/>
    <w:lvl w:ilvl="0" w:tplc="37AA0656">
      <w:start w:val="2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72742"/>
    <w:multiLevelType w:val="hybridMultilevel"/>
    <w:tmpl w:val="85D23448"/>
    <w:lvl w:ilvl="0" w:tplc="935841B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41EA1"/>
    <w:multiLevelType w:val="hybridMultilevel"/>
    <w:tmpl w:val="B9AEE6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B4D70"/>
    <w:multiLevelType w:val="hybridMultilevel"/>
    <w:tmpl w:val="1E90D79C"/>
    <w:lvl w:ilvl="0" w:tplc="7C7ADA32">
      <w:start w:val="15"/>
      <w:numFmt w:val="decimal"/>
      <w:lvlText w:val="[%1]"/>
      <w:lvlJc w:val="left"/>
      <w:pPr>
        <w:ind w:left="1440" w:hanging="360"/>
      </w:pPr>
      <w:rPr>
        <w:rFonts w:ascii="Arial" w:hAnsi="Arial" w:cs="Arial"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2F629F"/>
    <w:multiLevelType w:val="hybridMultilevel"/>
    <w:tmpl w:val="988E2E42"/>
    <w:lvl w:ilvl="0" w:tplc="EA5A279C">
      <w:start w:val="5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C09A0"/>
    <w:multiLevelType w:val="hybridMultilevel"/>
    <w:tmpl w:val="D0504022"/>
    <w:lvl w:ilvl="0" w:tplc="784A51C8">
      <w:start w:val="18"/>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46C53CF"/>
    <w:multiLevelType w:val="hybridMultilevel"/>
    <w:tmpl w:val="D5DCCF60"/>
    <w:lvl w:ilvl="0" w:tplc="0CCAFB2A">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7724B"/>
    <w:multiLevelType w:val="hybridMultilevel"/>
    <w:tmpl w:val="CF940198"/>
    <w:lvl w:ilvl="0" w:tplc="784A51C8">
      <w:start w:val="1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A1E34"/>
    <w:multiLevelType w:val="hybridMultilevel"/>
    <w:tmpl w:val="3F7A89D0"/>
    <w:lvl w:ilvl="0" w:tplc="25F20698">
      <w:start w:val="7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3C1025"/>
    <w:multiLevelType w:val="hybridMultilevel"/>
    <w:tmpl w:val="1ACECC8E"/>
    <w:lvl w:ilvl="0" w:tplc="6F4AFFA2">
      <w:start w:val="73"/>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72AD1"/>
    <w:multiLevelType w:val="hybridMultilevel"/>
    <w:tmpl w:val="2452CF00"/>
    <w:lvl w:ilvl="0" w:tplc="04090017">
      <w:start w:val="1"/>
      <w:numFmt w:val="lowerLetter"/>
      <w:lvlText w:val="%1)"/>
      <w:lvlJc w:val="left"/>
      <w:pPr>
        <w:ind w:left="720" w:hanging="360"/>
      </w:pPr>
      <w:rPr>
        <w:rFonts w:hint="default"/>
      </w:rPr>
    </w:lvl>
    <w:lvl w:ilvl="1" w:tplc="03C052B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94755"/>
    <w:multiLevelType w:val="hybridMultilevel"/>
    <w:tmpl w:val="86365812"/>
    <w:lvl w:ilvl="0" w:tplc="68DC1860">
      <w:start w:val="91"/>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367191"/>
    <w:multiLevelType w:val="hybridMultilevel"/>
    <w:tmpl w:val="BB7E4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44199"/>
    <w:multiLevelType w:val="hybridMultilevel"/>
    <w:tmpl w:val="539271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B6D09"/>
    <w:multiLevelType w:val="hybridMultilevel"/>
    <w:tmpl w:val="DA26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8038C"/>
    <w:multiLevelType w:val="hybridMultilevel"/>
    <w:tmpl w:val="87A8B1BA"/>
    <w:lvl w:ilvl="0" w:tplc="DB3C11BC">
      <w:start w:val="74"/>
      <w:numFmt w:val="decimal"/>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A1CD2"/>
    <w:multiLevelType w:val="hybridMultilevel"/>
    <w:tmpl w:val="70BC6CC8"/>
    <w:lvl w:ilvl="0" w:tplc="BAF2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950EAA"/>
    <w:multiLevelType w:val="hybridMultilevel"/>
    <w:tmpl w:val="6218CE90"/>
    <w:lvl w:ilvl="0" w:tplc="7C7ADA32">
      <w:start w:val="15"/>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2A6FE5"/>
    <w:multiLevelType w:val="hybridMultilevel"/>
    <w:tmpl w:val="E464928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22713"/>
    <w:multiLevelType w:val="hybridMultilevel"/>
    <w:tmpl w:val="FF82E4E4"/>
    <w:lvl w:ilvl="0" w:tplc="344462E0">
      <w:start w:val="5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462833"/>
    <w:multiLevelType w:val="hybridMultilevel"/>
    <w:tmpl w:val="DB0AAE5A"/>
    <w:lvl w:ilvl="0" w:tplc="349C91FA">
      <w:start w:val="26"/>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6643B8"/>
    <w:multiLevelType w:val="hybridMultilevel"/>
    <w:tmpl w:val="4686E38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E80D99"/>
    <w:multiLevelType w:val="hybridMultilevel"/>
    <w:tmpl w:val="8B78DBCA"/>
    <w:lvl w:ilvl="0" w:tplc="57908444">
      <w:start w:val="5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D10B9"/>
    <w:multiLevelType w:val="hybridMultilevel"/>
    <w:tmpl w:val="C2E0A618"/>
    <w:lvl w:ilvl="0" w:tplc="B754B33C">
      <w:start w:val="72"/>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9688D"/>
    <w:multiLevelType w:val="hybridMultilevel"/>
    <w:tmpl w:val="BAC47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40726"/>
    <w:multiLevelType w:val="multilevel"/>
    <w:tmpl w:val="E588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FC33C6"/>
    <w:multiLevelType w:val="hybridMultilevel"/>
    <w:tmpl w:val="C7DA870A"/>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526BC0"/>
    <w:multiLevelType w:val="hybridMultilevel"/>
    <w:tmpl w:val="CC8EEE3C"/>
    <w:lvl w:ilvl="0" w:tplc="784A51C8">
      <w:start w:val="1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FE2F0D"/>
    <w:multiLevelType w:val="hybridMultilevel"/>
    <w:tmpl w:val="A4ACE054"/>
    <w:lvl w:ilvl="0" w:tplc="784A51C8">
      <w:start w:val="1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76DEA"/>
    <w:multiLevelType w:val="hybridMultilevel"/>
    <w:tmpl w:val="82BE3194"/>
    <w:lvl w:ilvl="0" w:tplc="0F7EA39E">
      <w:start w:val="53"/>
      <w:numFmt w:val="decimal"/>
      <w:lvlText w:val="[%1]"/>
      <w:lvlJc w:val="left"/>
      <w:pPr>
        <w:ind w:left="785" w:hanging="360"/>
      </w:pPr>
      <w:rPr>
        <w:rFonts w:ascii="Arial" w:hAnsi="Arial" w:cs="Arial"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4">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5A555D"/>
    <w:multiLevelType w:val="hybridMultilevel"/>
    <w:tmpl w:val="DA268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CD4630"/>
    <w:multiLevelType w:val="hybridMultilevel"/>
    <w:tmpl w:val="A0FC6256"/>
    <w:lvl w:ilvl="0" w:tplc="784A51C8">
      <w:start w:val="1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E64BB"/>
    <w:multiLevelType w:val="hybridMultilevel"/>
    <w:tmpl w:val="5FBC1506"/>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8A6BF8"/>
    <w:multiLevelType w:val="hybridMultilevel"/>
    <w:tmpl w:val="B40EEDB0"/>
    <w:lvl w:ilvl="0" w:tplc="1BCE0480">
      <w:start w:val="90"/>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C7748C"/>
    <w:multiLevelType w:val="hybridMultilevel"/>
    <w:tmpl w:val="016E2B8C"/>
    <w:lvl w:ilvl="0" w:tplc="8B20D7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0"/>
  </w:num>
  <w:num w:numId="2">
    <w:abstractNumId w:val="7"/>
  </w:num>
  <w:num w:numId="3">
    <w:abstractNumId w:val="47"/>
  </w:num>
  <w:num w:numId="4">
    <w:abstractNumId w:val="35"/>
  </w:num>
  <w:num w:numId="5">
    <w:abstractNumId w:val="38"/>
  </w:num>
  <w:num w:numId="6">
    <w:abstractNumId w:val="40"/>
  </w:num>
  <w:num w:numId="7">
    <w:abstractNumId w:val="24"/>
  </w:num>
  <w:num w:numId="8">
    <w:abstractNumId w:val="13"/>
  </w:num>
  <w:num w:numId="9">
    <w:abstractNumId w:val="32"/>
  </w:num>
  <w:num w:numId="10">
    <w:abstractNumId w:val="8"/>
  </w:num>
  <w:num w:numId="11">
    <w:abstractNumId w:val="42"/>
  </w:num>
  <w:num w:numId="12">
    <w:abstractNumId w:val="46"/>
  </w:num>
  <w:num w:numId="13">
    <w:abstractNumId w:val="26"/>
  </w:num>
  <w:num w:numId="14">
    <w:abstractNumId w:val="0"/>
  </w:num>
  <w:num w:numId="15">
    <w:abstractNumId w:val="34"/>
  </w:num>
  <w:num w:numId="16">
    <w:abstractNumId w:val="15"/>
  </w:num>
  <w:num w:numId="17">
    <w:abstractNumId w:val="19"/>
  </w:num>
  <w:num w:numId="18">
    <w:abstractNumId w:val="14"/>
  </w:num>
  <w:num w:numId="19">
    <w:abstractNumId w:val="5"/>
  </w:num>
  <w:num w:numId="20">
    <w:abstractNumId w:val="12"/>
  </w:num>
  <w:num w:numId="21">
    <w:abstractNumId w:val="49"/>
  </w:num>
  <w:num w:numId="22">
    <w:abstractNumId w:val="9"/>
  </w:num>
  <w:num w:numId="23">
    <w:abstractNumId w:val="2"/>
  </w:num>
  <w:num w:numId="24">
    <w:abstractNumId w:val="21"/>
  </w:num>
  <w:num w:numId="25">
    <w:abstractNumId w:val="33"/>
  </w:num>
  <w:num w:numId="26">
    <w:abstractNumId w:val="16"/>
  </w:num>
  <w:num w:numId="27">
    <w:abstractNumId w:val="41"/>
  </w:num>
  <w:num w:numId="28">
    <w:abstractNumId w:val="43"/>
  </w:num>
  <w:num w:numId="29">
    <w:abstractNumId w:val="36"/>
  </w:num>
  <w:num w:numId="30">
    <w:abstractNumId w:val="17"/>
  </w:num>
  <w:num w:numId="31">
    <w:abstractNumId w:val="18"/>
  </w:num>
  <w:num w:numId="32">
    <w:abstractNumId w:val="39"/>
  </w:num>
  <w:num w:numId="33">
    <w:abstractNumId w:val="30"/>
  </w:num>
  <w:num w:numId="34">
    <w:abstractNumId w:val="6"/>
  </w:num>
  <w:num w:numId="35">
    <w:abstractNumId w:val="22"/>
  </w:num>
  <w:num w:numId="36">
    <w:abstractNumId w:val="1"/>
  </w:num>
  <w:num w:numId="37">
    <w:abstractNumId w:val="37"/>
  </w:num>
  <w:num w:numId="38">
    <w:abstractNumId w:val="44"/>
  </w:num>
  <w:num w:numId="39">
    <w:abstractNumId w:val="48"/>
  </w:num>
  <w:num w:numId="40">
    <w:abstractNumId w:val="25"/>
  </w:num>
  <w:num w:numId="41">
    <w:abstractNumId w:val="27"/>
  </w:num>
  <w:num w:numId="42">
    <w:abstractNumId w:val="31"/>
  </w:num>
  <w:num w:numId="43">
    <w:abstractNumId w:val="4"/>
  </w:num>
  <w:num w:numId="44">
    <w:abstractNumId w:val="23"/>
  </w:num>
  <w:num w:numId="45">
    <w:abstractNumId w:val="29"/>
  </w:num>
  <w:num w:numId="46">
    <w:abstractNumId w:val="45"/>
  </w:num>
  <w:num w:numId="47">
    <w:abstractNumId w:val="3"/>
  </w:num>
  <w:num w:numId="48">
    <w:abstractNumId w:val="10"/>
  </w:num>
  <w:num w:numId="49">
    <w:abstractNumId w:val="1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22"/>
    <w:rsid w:val="0000009F"/>
    <w:rsid w:val="00005C1E"/>
    <w:rsid w:val="00007C48"/>
    <w:rsid w:val="000111F4"/>
    <w:rsid w:val="00023C19"/>
    <w:rsid w:val="00034F50"/>
    <w:rsid w:val="00036DE9"/>
    <w:rsid w:val="00045858"/>
    <w:rsid w:val="00045D5C"/>
    <w:rsid w:val="00050F28"/>
    <w:rsid w:val="00051EC0"/>
    <w:rsid w:val="00055F2D"/>
    <w:rsid w:val="000716B7"/>
    <w:rsid w:val="000720DF"/>
    <w:rsid w:val="00080ADD"/>
    <w:rsid w:val="00080FBE"/>
    <w:rsid w:val="000829DC"/>
    <w:rsid w:val="00084C8D"/>
    <w:rsid w:val="00084D7B"/>
    <w:rsid w:val="00092DB1"/>
    <w:rsid w:val="00093946"/>
    <w:rsid w:val="00093E8D"/>
    <w:rsid w:val="00094F1D"/>
    <w:rsid w:val="0009776C"/>
    <w:rsid w:val="000B187C"/>
    <w:rsid w:val="000B3A7B"/>
    <w:rsid w:val="000B436E"/>
    <w:rsid w:val="000B5069"/>
    <w:rsid w:val="000C661F"/>
    <w:rsid w:val="000C7676"/>
    <w:rsid w:val="000D1DF3"/>
    <w:rsid w:val="000D4578"/>
    <w:rsid w:val="000E2DD1"/>
    <w:rsid w:val="000E506C"/>
    <w:rsid w:val="000E6DED"/>
    <w:rsid w:val="000F2592"/>
    <w:rsid w:val="000F373C"/>
    <w:rsid w:val="000F6A66"/>
    <w:rsid w:val="000F73BB"/>
    <w:rsid w:val="00137027"/>
    <w:rsid w:val="00146874"/>
    <w:rsid w:val="00150655"/>
    <w:rsid w:val="00150FB9"/>
    <w:rsid w:val="001536D9"/>
    <w:rsid w:val="00154F8C"/>
    <w:rsid w:val="001652BF"/>
    <w:rsid w:val="00165C51"/>
    <w:rsid w:val="001676CA"/>
    <w:rsid w:val="001800D4"/>
    <w:rsid w:val="00197A1A"/>
    <w:rsid w:val="00197CFD"/>
    <w:rsid w:val="001A2A8D"/>
    <w:rsid w:val="001B4186"/>
    <w:rsid w:val="001B708A"/>
    <w:rsid w:val="001C2A00"/>
    <w:rsid w:val="001D1B10"/>
    <w:rsid w:val="001D462D"/>
    <w:rsid w:val="001E0966"/>
    <w:rsid w:val="001E4271"/>
    <w:rsid w:val="001E4A62"/>
    <w:rsid w:val="001E521F"/>
    <w:rsid w:val="001E7DC2"/>
    <w:rsid w:val="001F0114"/>
    <w:rsid w:val="00201ACE"/>
    <w:rsid w:val="002055C3"/>
    <w:rsid w:val="00206751"/>
    <w:rsid w:val="00207F4F"/>
    <w:rsid w:val="002121D1"/>
    <w:rsid w:val="002128EF"/>
    <w:rsid w:val="002161BC"/>
    <w:rsid w:val="002162AD"/>
    <w:rsid w:val="0023031D"/>
    <w:rsid w:val="00232C34"/>
    <w:rsid w:val="0023345E"/>
    <w:rsid w:val="00236579"/>
    <w:rsid w:val="0024069A"/>
    <w:rsid w:val="002438B9"/>
    <w:rsid w:val="00251EF5"/>
    <w:rsid w:val="002534F9"/>
    <w:rsid w:val="00257484"/>
    <w:rsid w:val="0025754D"/>
    <w:rsid w:val="002610D8"/>
    <w:rsid w:val="0027413A"/>
    <w:rsid w:val="00274226"/>
    <w:rsid w:val="00275D7A"/>
    <w:rsid w:val="00281218"/>
    <w:rsid w:val="0028218A"/>
    <w:rsid w:val="002821B0"/>
    <w:rsid w:val="002877AD"/>
    <w:rsid w:val="00290392"/>
    <w:rsid w:val="002A06C1"/>
    <w:rsid w:val="002A383F"/>
    <w:rsid w:val="002B38E1"/>
    <w:rsid w:val="002C3CFD"/>
    <w:rsid w:val="002C5393"/>
    <w:rsid w:val="002C5E07"/>
    <w:rsid w:val="002D2103"/>
    <w:rsid w:val="002D3BC4"/>
    <w:rsid w:val="002D6248"/>
    <w:rsid w:val="002E08B0"/>
    <w:rsid w:val="002E0F5E"/>
    <w:rsid w:val="002F45DA"/>
    <w:rsid w:val="003218EC"/>
    <w:rsid w:val="00322C18"/>
    <w:rsid w:val="00330DE1"/>
    <w:rsid w:val="00335229"/>
    <w:rsid w:val="0033702C"/>
    <w:rsid w:val="003422C3"/>
    <w:rsid w:val="003448B6"/>
    <w:rsid w:val="00346FF3"/>
    <w:rsid w:val="00351FAF"/>
    <w:rsid w:val="0035276E"/>
    <w:rsid w:val="00354588"/>
    <w:rsid w:val="00356F6E"/>
    <w:rsid w:val="00356F77"/>
    <w:rsid w:val="00364162"/>
    <w:rsid w:val="003658BA"/>
    <w:rsid w:val="00367448"/>
    <w:rsid w:val="0037239A"/>
    <w:rsid w:val="00376D2D"/>
    <w:rsid w:val="00380171"/>
    <w:rsid w:val="003837A2"/>
    <w:rsid w:val="00384C8E"/>
    <w:rsid w:val="0038534F"/>
    <w:rsid w:val="0038669F"/>
    <w:rsid w:val="00391BB7"/>
    <w:rsid w:val="00394AF6"/>
    <w:rsid w:val="003A1281"/>
    <w:rsid w:val="003B71EB"/>
    <w:rsid w:val="003C2023"/>
    <w:rsid w:val="003C436E"/>
    <w:rsid w:val="003C73FF"/>
    <w:rsid w:val="003C76F4"/>
    <w:rsid w:val="003D6FD3"/>
    <w:rsid w:val="003F4705"/>
    <w:rsid w:val="003F7B7F"/>
    <w:rsid w:val="0042075E"/>
    <w:rsid w:val="00427243"/>
    <w:rsid w:val="00441908"/>
    <w:rsid w:val="00441D73"/>
    <w:rsid w:val="00447E16"/>
    <w:rsid w:val="00453CF2"/>
    <w:rsid w:val="0047001F"/>
    <w:rsid w:val="00475F25"/>
    <w:rsid w:val="00477E04"/>
    <w:rsid w:val="004808C8"/>
    <w:rsid w:val="00493506"/>
    <w:rsid w:val="00494F7F"/>
    <w:rsid w:val="004A1232"/>
    <w:rsid w:val="004A48D6"/>
    <w:rsid w:val="004A6F7C"/>
    <w:rsid w:val="004A72AD"/>
    <w:rsid w:val="004A7794"/>
    <w:rsid w:val="004A7E09"/>
    <w:rsid w:val="004B037C"/>
    <w:rsid w:val="004B0FED"/>
    <w:rsid w:val="004B242D"/>
    <w:rsid w:val="004B73D1"/>
    <w:rsid w:val="004B7C95"/>
    <w:rsid w:val="004C1B66"/>
    <w:rsid w:val="004C4454"/>
    <w:rsid w:val="004C4F98"/>
    <w:rsid w:val="004C5354"/>
    <w:rsid w:val="004C57A0"/>
    <w:rsid w:val="004D1671"/>
    <w:rsid w:val="004D506A"/>
    <w:rsid w:val="004D7319"/>
    <w:rsid w:val="004F3A60"/>
    <w:rsid w:val="00505864"/>
    <w:rsid w:val="00516E6E"/>
    <w:rsid w:val="00523BE9"/>
    <w:rsid w:val="00534AD8"/>
    <w:rsid w:val="00540422"/>
    <w:rsid w:val="00543E9D"/>
    <w:rsid w:val="00544B21"/>
    <w:rsid w:val="005452B5"/>
    <w:rsid w:val="00546709"/>
    <w:rsid w:val="00547235"/>
    <w:rsid w:val="00553E83"/>
    <w:rsid w:val="005549D6"/>
    <w:rsid w:val="005553ED"/>
    <w:rsid w:val="00557789"/>
    <w:rsid w:val="00563854"/>
    <w:rsid w:val="0057127D"/>
    <w:rsid w:val="005743E3"/>
    <w:rsid w:val="00575136"/>
    <w:rsid w:val="005751B2"/>
    <w:rsid w:val="005771E0"/>
    <w:rsid w:val="005837DC"/>
    <w:rsid w:val="00592686"/>
    <w:rsid w:val="0059319B"/>
    <w:rsid w:val="00593CF4"/>
    <w:rsid w:val="005A1EF9"/>
    <w:rsid w:val="005A2E87"/>
    <w:rsid w:val="005A4AFC"/>
    <w:rsid w:val="005B62C2"/>
    <w:rsid w:val="005C40E6"/>
    <w:rsid w:val="005C5126"/>
    <w:rsid w:val="005C77B0"/>
    <w:rsid w:val="005D389E"/>
    <w:rsid w:val="005F1700"/>
    <w:rsid w:val="005F49A9"/>
    <w:rsid w:val="006101EA"/>
    <w:rsid w:val="00610614"/>
    <w:rsid w:val="006328A2"/>
    <w:rsid w:val="00637619"/>
    <w:rsid w:val="006558E7"/>
    <w:rsid w:val="00657460"/>
    <w:rsid w:val="00660562"/>
    <w:rsid w:val="00666818"/>
    <w:rsid w:val="00672E0C"/>
    <w:rsid w:val="00676949"/>
    <w:rsid w:val="00685BEA"/>
    <w:rsid w:val="00687BAD"/>
    <w:rsid w:val="00691006"/>
    <w:rsid w:val="006A74FE"/>
    <w:rsid w:val="006B1AB5"/>
    <w:rsid w:val="006B4617"/>
    <w:rsid w:val="006C22D3"/>
    <w:rsid w:val="006C2A09"/>
    <w:rsid w:val="006D29C7"/>
    <w:rsid w:val="006D6152"/>
    <w:rsid w:val="006D7253"/>
    <w:rsid w:val="006E2628"/>
    <w:rsid w:val="006F30C8"/>
    <w:rsid w:val="006F3DCB"/>
    <w:rsid w:val="006F4571"/>
    <w:rsid w:val="00701B5E"/>
    <w:rsid w:val="0070247D"/>
    <w:rsid w:val="00702D84"/>
    <w:rsid w:val="007141A0"/>
    <w:rsid w:val="007228A8"/>
    <w:rsid w:val="00735CA4"/>
    <w:rsid w:val="00742113"/>
    <w:rsid w:val="00746252"/>
    <w:rsid w:val="00761F70"/>
    <w:rsid w:val="007628A9"/>
    <w:rsid w:val="00762BE8"/>
    <w:rsid w:val="00762DBA"/>
    <w:rsid w:val="00771357"/>
    <w:rsid w:val="00771694"/>
    <w:rsid w:val="007777AB"/>
    <w:rsid w:val="0078188D"/>
    <w:rsid w:val="007845D9"/>
    <w:rsid w:val="00787A2F"/>
    <w:rsid w:val="0079342B"/>
    <w:rsid w:val="00793804"/>
    <w:rsid w:val="00796BE1"/>
    <w:rsid w:val="007B6A3F"/>
    <w:rsid w:val="007C0222"/>
    <w:rsid w:val="007C43B3"/>
    <w:rsid w:val="007C4B8C"/>
    <w:rsid w:val="007D2AC7"/>
    <w:rsid w:val="007D2D19"/>
    <w:rsid w:val="007D409C"/>
    <w:rsid w:val="007E0560"/>
    <w:rsid w:val="008119B7"/>
    <w:rsid w:val="00815F26"/>
    <w:rsid w:val="00816ED1"/>
    <w:rsid w:val="00824D48"/>
    <w:rsid w:val="00825DC1"/>
    <w:rsid w:val="00834F8D"/>
    <w:rsid w:val="00843964"/>
    <w:rsid w:val="00847C9F"/>
    <w:rsid w:val="00865282"/>
    <w:rsid w:val="00874741"/>
    <w:rsid w:val="00877A3F"/>
    <w:rsid w:val="00880409"/>
    <w:rsid w:val="008823DB"/>
    <w:rsid w:val="00882FEA"/>
    <w:rsid w:val="00883405"/>
    <w:rsid w:val="00884D29"/>
    <w:rsid w:val="00893728"/>
    <w:rsid w:val="008968A0"/>
    <w:rsid w:val="008A72F8"/>
    <w:rsid w:val="008B24D5"/>
    <w:rsid w:val="008B3145"/>
    <w:rsid w:val="008C0325"/>
    <w:rsid w:val="008C05B0"/>
    <w:rsid w:val="008C327E"/>
    <w:rsid w:val="008D2E7C"/>
    <w:rsid w:val="008E3B7C"/>
    <w:rsid w:val="008E4E91"/>
    <w:rsid w:val="008E790C"/>
    <w:rsid w:val="008F0765"/>
    <w:rsid w:val="009027CF"/>
    <w:rsid w:val="00907423"/>
    <w:rsid w:val="00931EAF"/>
    <w:rsid w:val="00932065"/>
    <w:rsid w:val="0094076E"/>
    <w:rsid w:val="00945317"/>
    <w:rsid w:val="00947FD9"/>
    <w:rsid w:val="00956DE8"/>
    <w:rsid w:val="0097180A"/>
    <w:rsid w:val="00971A65"/>
    <w:rsid w:val="00974F38"/>
    <w:rsid w:val="00976178"/>
    <w:rsid w:val="00980865"/>
    <w:rsid w:val="009874FE"/>
    <w:rsid w:val="00990F15"/>
    <w:rsid w:val="0099174A"/>
    <w:rsid w:val="00992D13"/>
    <w:rsid w:val="00993396"/>
    <w:rsid w:val="009940C7"/>
    <w:rsid w:val="009A0CAA"/>
    <w:rsid w:val="009B39E1"/>
    <w:rsid w:val="009C0534"/>
    <w:rsid w:val="009D25EE"/>
    <w:rsid w:val="009D29DD"/>
    <w:rsid w:val="009D29E3"/>
    <w:rsid w:val="009D6DC8"/>
    <w:rsid w:val="009E2E3F"/>
    <w:rsid w:val="009E3372"/>
    <w:rsid w:val="009E3811"/>
    <w:rsid w:val="009F240D"/>
    <w:rsid w:val="00A01CDF"/>
    <w:rsid w:val="00A04036"/>
    <w:rsid w:val="00A11244"/>
    <w:rsid w:val="00A15600"/>
    <w:rsid w:val="00A24ED5"/>
    <w:rsid w:val="00A35B92"/>
    <w:rsid w:val="00A35C73"/>
    <w:rsid w:val="00A36767"/>
    <w:rsid w:val="00A42FDC"/>
    <w:rsid w:val="00A45F94"/>
    <w:rsid w:val="00A472DE"/>
    <w:rsid w:val="00A476EC"/>
    <w:rsid w:val="00A50993"/>
    <w:rsid w:val="00A526F9"/>
    <w:rsid w:val="00A55179"/>
    <w:rsid w:val="00A61B59"/>
    <w:rsid w:val="00A66C0A"/>
    <w:rsid w:val="00A74B36"/>
    <w:rsid w:val="00A812FC"/>
    <w:rsid w:val="00A82370"/>
    <w:rsid w:val="00A8264E"/>
    <w:rsid w:val="00A83CD2"/>
    <w:rsid w:val="00A85A29"/>
    <w:rsid w:val="00A94274"/>
    <w:rsid w:val="00AA14E7"/>
    <w:rsid w:val="00AA258C"/>
    <w:rsid w:val="00AA4D4E"/>
    <w:rsid w:val="00AA4FF4"/>
    <w:rsid w:val="00AA5352"/>
    <w:rsid w:val="00AA624E"/>
    <w:rsid w:val="00AB7B4A"/>
    <w:rsid w:val="00AC16F4"/>
    <w:rsid w:val="00AC4B02"/>
    <w:rsid w:val="00AD7932"/>
    <w:rsid w:val="00AE0064"/>
    <w:rsid w:val="00AE25AC"/>
    <w:rsid w:val="00AE2722"/>
    <w:rsid w:val="00AE5D73"/>
    <w:rsid w:val="00AF1B80"/>
    <w:rsid w:val="00AF5144"/>
    <w:rsid w:val="00AF7F01"/>
    <w:rsid w:val="00B005B0"/>
    <w:rsid w:val="00B038D7"/>
    <w:rsid w:val="00B03CBE"/>
    <w:rsid w:val="00B04AB5"/>
    <w:rsid w:val="00B14E8D"/>
    <w:rsid w:val="00B34FBA"/>
    <w:rsid w:val="00B40193"/>
    <w:rsid w:val="00B408AD"/>
    <w:rsid w:val="00B645DF"/>
    <w:rsid w:val="00B70513"/>
    <w:rsid w:val="00B70A01"/>
    <w:rsid w:val="00B719FE"/>
    <w:rsid w:val="00B76E57"/>
    <w:rsid w:val="00B820F1"/>
    <w:rsid w:val="00B976AC"/>
    <w:rsid w:val="00BB1448"/>
    <w:rsid w:val="00BB53D0"/>
    <w:rsid w:val="00BB5B36"/>
    <w:rsid w:val="00BC2F35"/>
    <w:rsid w:val="00BD1A04"/>
    <w:rsid w:val="00BE0563"/>
    <w:rsid w:val="00BE3B61"/>
    <w:rsid w:val="00BF4FD5"/>
    <w:rsid w:val="00C10469"/>
    <w:rsid w:val="00C10864"/>
    <w:rsid w:val="00C12A7C"/>
    <w:rsid w:val="00C12FA7"/>
    <w:rsid w:val="00C169A6"/>
    <w:rsid w:val="00C22F86"/>
    <w:rsid w:val="00C237FD"/>
    <w:rsid w:val="00C268B8"/>
    <w:rsid w:val="00C41317"/>
    <w:rsid w:val="00C43373"/>
    <w:rsid w:val="00C464CF"/>
    <w:rsid w:val="00C5500F"/>
    <w:rsid w:val="00C55B2E"/>
    <w:rsid w:val="00C56EF8"/>
    <w:rsid w:val="00C61A22"/>
    <w:rsid w:val="00C63EB5"/>
    <w:rsid w:val="00C71329"/>
    <w:rsid w:val="00C7211A"/>
    <w:rsid w:val="00C72991"/>
    <w:rsid w:val="00C85BA5"/>
    <w:rsid w:val="00C90DF0"/>
    <w:rsid w:val="00CA38DD"/>
    <w:rsid w:val="00CB6D9A"/>
    <w:rsid w:val="00CC3EC7"/>
    <w:rsid w:val="00CC4763"/>
    <w:rsid w:val="00CE3B9E"/>
    <w:rsid w:val="00CE685E"/>
    <w:rsid w:val="00CE757E"/>
    <w:rsid w:val="00CF0825"/>
    <w:rsid w:val="00D14B63"/>
    <w:rsid w:val="00D24899"/>
    <w:rsid w:val="00D24E8F"/>
    <w:rsid w:val="00D3328D"/>
    <w:rsid w:val="00D47B96"/>
    <w:rsid w:val="00D5021F"/>
    <w:rsid w:val="00D51474"/>
    <w:rsid w:val="00D52AF1"/>
    <w:rsid w:val="00D5701D"/>
    <w:rsid w:val="00D6038A"/>
    <w:rsid w:val="00D65611"/>
    <w:rsid w:val="00D70DA9"/>
    <w:rsid w:val="00D8263B"/>
    <w:rsid w:val="00D83EA0"/>
    <w:rsid w:val="00D84552"/>
    <w:rsid w:val="00D92BED"/>
    <w:rsid w:val="00D9447B"/>
    <w:rsid w:val="00D96AA1"/>
    <w:rsid w:val="00DB0411"/>
    <w:rsid w:val="00DB3DE1"/>
    <w:rsid w:val="00DB7390"/>
    <w:rsid w:val="00DC2687"/>
    <w:rsid w:val="00DD5878"/>
    <w:rsid w:val="00DD6330"/>
    <w:rsid w:val="00DD7105"/>
    <w:rsid w:val="00DE0B24"/>
    <w:rsid w:val="00DF011E"/>
    <w:rsid w:val="00DF14BF"/>
    <w:rsid w:val="00DF24BB"/>
    <w:rsid w:val="00DF2C2C"/>
    <w:rsid w:val="00DF32EA"/>
    <w:rsid w:val="00DF36B7"/>
    <w:rsid w:val="00DF5354"/>
    <w:rsid w:val="00E015B9"/>
    <w:rsid w:val="00E047F5"/>
    <w:rsid w:val="00E100EB"/>
    <w:rsid w:val="00E25E0F"/>
    <w:rsid w:val="00E30B96"/>
    <w:rsid w:val="00E35B30"/>
    <w:rsid w:val="00E45641"/>
    <w:rsid w:val="00E531C7"/>
    <w:rsid w:val="00E552E5"/>
    <w:rsid w:val="00E57FBA"/>
    <w:rsid w:val="00E83697"/>
    <w:rsid w:val="00E84540"/>
    <w:rsid w:val="00E95FBD"/>
    <w:rsid w:val="00EA319B"/>
    <w:rsid w:val="00EA3F08"/>
    <w:rsid w:val="00EA5536"/>
    <w:rsid w:val="00EB25CF"/>
    <w:rsid w:val="00ED03B9"/>
    <w:rsid w:val="00ED0FF1"/>
    <w:rsid w:val="00EE6A59"/>
    <w:rsid w:val="00EE700C"/>
    <w:rsid w:val="00EE7059"/>
    <w:rsid w:val="00EE7AAE"/>
    <w:rsid w:val="00EF0A26"/>
    <w:rsid w:val="00EF1705"/>
    <w:rsid w:val="00F012A7"/>
    <w:rsid w:val="00F02D3A"/>
    <w:rsid w:val="00F2629B"/>
    <w:rsid w:val="00F27C3E"/>
    <w:rsid w:val="00F32D02"/>
    <w:rsid w:val="00F33276"/>
    <w:rsid w:val="00F3754B"/>
    <w:rsid w:val="00F43587"/>
    <w:rsid w:val="00F44C6A"/>
    <w:rsid w:val="00F55CBF"/>
    <w:rsid w:val="00F5718E"/>
    <w:rsid w:val="00F60E06"/>
    <w:rsid w:val="00F61879"/>
    <w:rsid w:val="00F75D00"/>
    <w:rsid w:val="00F775D4"/>
    <w:rsid w:val="00F77F60"/>
    <w:rsid w:val="00F81B44"/>
    <w:rsid w:val="00F82B17"/>
    <w:rsid w:val="00F84625"/>
    <w:rsid w:val="00F92C8C"/>
    <w:rsid w:val="00F94144"/>
    <w:rsid w:val="00F95280"/>
    <w:rsid w:val="00FA06D7"/>
    <w:rsid w:val="00FA3A68"/>
    <w:rsid w:val="00FB1A8B"/>
    <w:rsid w:val="00FB75F1"/>
    <w:rsid w:val="00FC0C53"/>
    <w:rsid w:val="00FC142F"/>
    <w:rsid w:val="00FC306F"/>
    <w:rsid w:val="00FC480E"/>
    <w:rsid w:val="00FC59D7"/>
    <w:rsid w:val="00FC623D"/>
    <w:rsid w:val="00FC69F9"/>
    <w:rsid w:val="00FC7F31"/>
    <w:rsid w:val="00FD26AA"/>
    <w:rsid w:val="00FD498C"/>
    <w:rsid w:val="00FD7483"/>
    <w:rsid w:val="00FE2696"/>
    <w:rsid w:val="00FE3599"/>
    <w:rsid w:val="00FE7C2C"/>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D9B31-14D9-40D8-950D-CB86E0A0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0222"/>
    <w:pPr>
      <w:keepNext/>
      <w:spacing w:line="360" w:lineRule="auto"/>
      <w:jc w:val="both"/>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477E04"/>
    <w:pPr>
      <w:keepNext/>
      <w:outlineLvl w:val="1"/>
    </w:pPr>
    <w:rPr>
      <w:rFonts w:ascii="Arial" w:hAnsi="Arial" w:cs="Arial"/>
      <w:sz w:val="24"/>
      <w:szCs w:val="24"/>
      <w:u w:val="single"/>
    </w:rPr>
  </w:style>
  <w:style w:type="paragraph" w:styleId="Heading3">
    <w:name w:val="heading 3"/>
    <w:basedOn w:val="Normal"/>
    <w:next w:val="Normal"/>
    <w:link w:val="Heading3Char"/>
    <w:uiPriority w:val="9"/>
    <w:unhideWhenUsed/>
    <w:qFormat/>
    <w:rsid w:val="00023C19"/>
    <w:pPr>
      <w:keepNext/>
      <w:outlineLvl w:val="2"/>
    </w:pPr>
    <w:rPr>
      <w:rFonts w:ascii="Arial" w:hAnsi="Arial" w:cs="Arial"/>
      <w:i/>
      <w:sz w:val="24"/>
      <w:szCs w:val="24"/>
    </w:rPr>
  </w:style>
  <w:style w:type="paragraph" w:styleId="Heading4">
    <w:name w:val="heading 4"/>
    <w:basedOn w:val="Normal"/>
    <w:next w:val="Normal"/>
    <w:link w:val="Heading4Char"/>
    <w:uiPriority w:val="9"/>
    <w:unhideWhenUsed/>
    <w:qFormat/>
    <w:rsid w:val="00A66C0A"/>
    <w:pPr>
      <w:keepNext/>
      <w:spacing w:after="0" w:line="360" w:lineRule="auto"/>
      <w:jc w:val="both"/>
      <w:outlineLvl w:val="3"/>
    </w:pPr>
    <w:rPr>
      <w:rFonts w:ascii="Arial" w:hAnsi="Arial" w:cs="Arial"/>
      <w:i/>
      <w:sz w:val="24"/>
      <w:szCs w:val="24"/>
    </w:rPr>
  </w:style>
  <w:style w:type="paragraph" w:styleId="Heading5">
    <w:name w:val="heading 5"/>
    <w:basedOn w:val="Normal"/>
    <w:next w:val="Normal"/>
    <w:link w:val="Heading5Char"/>
    <w:uiPriority w:val="9"/>
    <w:unhideWhenUsed/>
    <w:qFormat/>
    <w:rsid w:val="00207F4F"/>
    <w:pPr>
      <w:keepNext/>
      <w:spacing w:after="0" w:line="360" w:lineRule="auto"/>
      <w:jc w:val="both"/>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C0222"/>
    <w:pPr>
      <w:spacing w:line="360" w:lineRule="auto"/>
      <w:jc w:val="both"/>
    </w:pPr>
    <w:rPr>
      <w:rFonts w:ascii="Arial" w:hAnsi="Arial" w:cs="Arial"/>
    </w:rPr>
  </w:style>
  <w:style w:type="character" w:customStyle="1" w:styleId="BodyTextChar">
    <w:name w:val="Body Text Char"/>
    <w:basedOn w:val="DefaultParagraphFont"/>
    <w:link w:val="BodyText"/>
    <w:uiPriority w:val="99"/>
    <w:rsid w:val="007C0222"/>
    <w:rPr>
      <w:rFonts w:ascii="Arial" w:hAnsi="Arial" w:cs="Arial"/>
    </w:rPr>
  </w:style>
  <w:style w:type="character" w:customStyle="1" w:styleId="Heading1Char">
    <w:name w:val="Heading 1 Char"/>
    <w:basedOn w:val="DefaultParagraphFont"/>
    <w:link w:val="Heading1"/>
    <w:uiPriority w:val="9"/>
    <w:rsid w:val="007C0222"/>
    <w:rPr>
      <w:rFonts w:ascii="Arial" w:hAnsi="Arial" w:cs="Arial"/>
      <w:sz w:val="24"/>
      <w:szCs w:val="24"/>
      <w:u w:val="single"/>
    </w:rPr>
  </w:style>
  <w:style w:type="paragraph" w:styleId="ListParagraph">
    <w:name w:val="List Paragraph"/>
    <w:basedOn w:val="Normal"/>
    <w:uiPriority w:val="34"/>
    <w:qFormat/>
    <w:rsid w:val="007C0222"/>
    <w:pPr>
      <w:ind w:left="720"/>
      <w:contextualSpacing/>
    </w:pPr>
  </w:style>
  <w:style w:type="paragraph" w:styleId="FootnoteText">
    <w:name w:val="footnote text"/>
    <w:basedOn w:val="Normal"/>
    <w:link w:val="FootnoteTextChar"/>
    <w:uiPriority w:val="99"/>
    <w:semiHidden/>
    <w:unhideWhenUsed/>
    <w:rsid w:val="006B4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4617"/>
    <w:rPr>
      <w:sz w:val="20"/>
      <w:szCs w:val="20"/>
    </w:rPr>
  </w:style>
  <w:style w:type="character" w:styleId="FootnoteReference">
    <w:name w:val="footnote reference"/>
    <w:basedOn w:val="DefaultParagraphFont"/>
    <w:uiPriority w:val="99"/>
    <w:semiHidden/>
    <w:unhideWhenUsed/>
    <w:rsid w:val="006B4617"/>
    <w:rPr>
      <w:vertAlign w:val="superscript"/>
    </w:rPr>
  </w:style>
  <w:style w:type="paragraph" w:styleId="Header">
    <w:name w:val="header"/>
    <w:basedOn w:val="Normal"/>
    <w:link w:val="HeaderChar"/>
    <w:uiPriority w:val="99"/>
    <w:unhideWhenUsed/>
    <w:rsid w:val="0063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619"/>
  </w:style>
  <w:style w:type="paragraph" w:styleId="Footer">
    <w:name w:val="footer"/>
    <w:basedOn w:val="Normal"/>
    <w:link w:val="FooterChar"/>
    <w:uiPriority w:val="99"/>
    <w:unhideWhenUsed/>
    <w:rsid w:val="0063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619"/>
  </w:style>
  <w:style w:type="character" w:customStyle="1" w:styleId="Heading2Char">
    <w:name w:val="Heading 2 Char"/>
    <w:basedOn w:val="DefaultParagraphFont"/>
    <w:link w:val="Heading2"/>
    <w:uiPriority w:val="9"/>
    <w:rsid w:val="00477E04"/>
    <w:rPr>
      <w:rFonts w:ascii="Arial" w:hAnsi="Arial" w:cs="Arial"/>
      <w:sz w:val="24"/>
      <w:szCs w:val="24"/>
      <w:u w:val="single"/>
    </w:rPr>
  </w:style>
  <w:style w:type="character" w:styleId="Emphasis">
    <w:name w:val="Emphasis"/>
    <w:basedOn w:val="DefaultParagraphFont"/>
    <w:uiPriority w:val="20"/>
    <w:qFormat/>
    <w:rsid w:val="00BB53D0"/>
    <w:rPr>
      <w:i/>
      <w:iCs/>
    </w:rPr>
  </w:style>
  <w:style w:type="paragraph" w:styleId="BodyText2">
    <w:name w:val="Body Text 2"/>
    <w:basedOn w:val="Normal"/>
    <w:link w:val="BodyText2Char"/>
    <w:uiPriority w:val="99"/>
    <w:unhideWhenUsed/>
    <w:rsid w:val="008B3145"/>
    <w:pPr>
      <w:spacing w:after="0" w:line="360" w:lineRule="auto"/>
      <w:jc w:val="both"/>
    </w:pPr>
    <w:rPr>
      <w:rFonts w:ascii="Arial" w:hAnsi="Arial" w:cs="Arial"/>
      <w:sz w:val="24"/>
      <w:szCs w:val="24"/>
    </w:rPr>
  </w:style>
  <w:style w:type="character" w:customStyle="1" w:styleId="BodyText2Char">
    <w:name w:val="Body Text 2 Char"/>
    <w:basedOn w:val="DefaultParagraphFont"/>
    <w:link w:val="BodyText2"/>
    <w:uiPriority w:val="99"/>
    <w:rsid w:val="008B3145"/>
    <w:rPr>
      <w:rFonts w:ascii="Arial" w:hAnsi="Arial" w:cs="Arial"/>
      <w:sz w:val="24"/>
      <w:szCs w:val="24"/>
    </w:rPr>
  </w:style>
  <w:style w:type="character" w:customStyle="1" w:styleId="Heading3Char">
    <w:name w:val="Heading 3 Char"/>
    <w:basedOn w:val="DefaultParagraphFont"/>
    <w:link w:val="Heading3"/>
    <w:uiPriority w:val="9"/>
    <w:rsid w:val="00023C19"/>
    <w:rPr>
      <w:rFonts w:ascii="Arial" w:hAnsi="Arial" w:cs="Arial"/>
      <w:i/>
      <w:sz w:val="24"/>
      <w:szCs w:val="24"/>
    </w:rPr>
  </w:style>
  <w:style w:type="paragraph" w:styleId="NormalWeb">
    <w:name w:val="Normal (Web)"/>
    <w:basedOn w:val="Normal"/>
    <w:uiPriority w:val="99"/>
    <w:unhideWhenUsed/>
    <w:rsid w:val="00660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66C0A"/>
    <w:rPr>
      <w:rFonts w:ascii="Arial" w:hAnsi="Arial" w:cs="Arial"/>
      <w:i/>
      <w:sz w:val="24"/>
      <w:szCs w:val="24"/>
    </w:rPr>
  </w:style>
  <w:style w:type="character" w:styleId="Hyperlink">
    <w:name w:val="Hyperlink"/>
    <w:basedOn w:val="DefaultParagraphFont"/>
    <w:uiPriority w:val="99"/>
    <w:semiHidden/>
    <w:unhideWhenUsed/>
    <w:rsid w:val="008C05B0"/>
    <w:rPr>
      <w:color w:val="0000FF"/>
      <w:u w:val="single"/>
    </w:rPr>
  </w:style>
  <w:style w:type="character" w:customStyle="1" w:styleId="Heading5Char">
    <w:name w:val="Heading 5 Char"/>
    <w:basedOn w:val="DefaultParagraphFont"/>
    <w:link w:val="Heading5"/>
    <w:uiPriority w:val="9"/>
    <w:rsid w:val="00207F4F"/>
    <w:rPr>
      <w:rFonts w:ascii="Arial" w:hAnsi="Arial" w:cs="Arial"/>
      <w:u w:val="single"/>
    </w:rPr>
  </w:style>
  <w:style w:type="paragraph" w:styleId="BalloonText">
    <w:name w:val="Balloon Text"/>
    <w:basedOn w:val="Normal"/>
    <w:link w:val="BalloonTextChar"/>
    <w:uiPriority w:val="99"/>
    <w:semiHidden/>
    <w:unhideWhenUsed/>
    <w:rsid w:val="006E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0661">
      <w:bodyDiv w:val="1"/>
      <w:marLeft w:val="0"/>
      <w:marRight w:val="0"/>
      <w:marTop w:val="0"/>
      <w:marBottom w:val="0"/>
      <w:divBdr>
        <w:top w:val="none" w:sz="0" w:space="0" w:color="auto"/>
        <w:left w:val="none" w:sz="0" w:space="0" w:color="auto"/>
        <w:bottom w:val="none" w:sz="0" w:space="0" w:color="auto"/>
        <w:right w:val="none" w:sz="0" w:space="0" w:color="auto"/>
      </w:divBdr>
    </w:div>
    <w:div w:id="307170823">
      <w:bodyDiv w:val="1"/>
      <w:marLeft w:val="0"/>
      <w:marRight w:val="0"/>
      <w:marTop w:val="0"/>
      <w:marBottom w:val="0"/>
      <w:divBdr>
        <w:top w:val="none" w:sz="0" w:space="0" w:color="auto"/>
        <w:left w:val="none" w:sz="0" w:space="0" w:color="auto"/>
        <w:bottom w:val="none" w:sz="0" w:space="0" w:color="auto"/>
        <w:right w:val="none" w:sz="0" w:space="0" w:color="auto"/>
      </w:divBdr>
    </w:div>
    <w:div w:id="175397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2023-08-10T18:30:00+00:00</Judgment_x0020_Date>
    <Year xmlns="c1afb1bd-f2fb-40fd-9abb-aea55b4d7662">2023</Year>
  </documentManagement>
</p:properties>
</file>

<file path=customXml/itemProps1.xml><?xml version="1.0" encoding="utf-8"?>
<ds:datastoreItem xmlns:ds="http://schemas.openxmlformats.org/officeDocument/2006/customXml" ds:itemID="{73C9ED14-E608-4DC2-A4AB-2B682FE1E654}"/>
</file>

<file path=customXml/itemProps2.xml><?xml version="1.0" encoding="utf-8"?>
<ds:datastoreItem xmlns:ds="http://schemas.openxmlformats.org/officeDocument/2006/customXml" ds:itemID="{028174B1-D747-4E0C-9B4D-245D011E2E7A}"/>
</file>

<file path=customXml/itemProps3.xml><?xml version="1.0" encoding="utf-8"?>
<ds:datastoreItem xmlns:ds="http://schemas.openxmlformats.org/officeDocument/2006/customXml" ds:itemID="{F52D6D4D-291A-4255-8AE4-A59ABE60B662}"/>
</file>

<file path=customXml/itemProps4.xml><?xml version="1.0" encoding="utf-8"?>
<ds:datastoreItem xmlns:ds="http://schemas.openxmlformats.org/officeDocument/2006/customXml" ds:itemID="{889C2F2E-DE5C-4A01-81DB-90392D0755A4}"/>
</file>

<file path=docProps/app.xml><?xml version="1.0" encoding="utf-8"?>
<Properties xmlns="http://schemas.openxmlformats.org/officeDocument/2006/extended-properties" xmlns:vt="http://schemas.openxmlformats.org/officeDocument/2006/docPropsVTypes">
  <Template>Normal</Template>
  <TotalTime>0</TotalTime>
  <Pages>46</Pages>
  <Words>12329</Words>
  <Characters>70277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Shilengudwa v The Prosecutor-General (HC-MD-CIV-MOT-GEN-2020-00374) [2023] NAHCMD 496 (11 August 2023)</dc:title>
  <dc:subject/>
  <dc:creator>Prinsloo Hannelie</dc:creator>
  <cp:keywords/>
  <dc:description/>
  <cp:lastModifiedBy>Charlet Mokomele</cp:lastModifiedBy>
  <cp:revision>2</cp:revision>
  <cp:lastPrinted>2023-08-11T07:22:00Z</cp:lastPrinted>
  <dcterms:created xsi:type="dcterms:W3CDTF">2023-08-11T08:25:00Z</dcterms:created>
  <dcterms:modified xsi:type="dcterms:W3CDTF">2023-08-11T08:25:00Z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34794502-a40b-4256-8bc5-c13d72e2685a</vt:lpwstr>
  </property>
  <property fmtid="{D5CDD505-2E9C-101B-9397-08002B2CF9AE}" pid="3" name="ContentTypeId">
    <vt:lpwstr>0x0101000ECE0F99B3F8644397ECB0C536651393</vt:lpwstr>
  </property>
</Properties>
</file>