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7777777" w:rsidR="00B40844" w:rsidRDefault="008006A3" w:rsidP="00B40844">
      <w:pPr>
        <w:spacing w:after="0" w:line="360" w:lineRule="auto"/>
        <w:jc w:val="center"/>
        <w:rPr>
          <w:rFonts w:ascii="Arial" w:hAnsi="Arial" w:cs="Arial"/>
          <w:b/>
          <w:sz w:val="24"/>
          <w:szCs w:val="24"/>
        </w:rPr>
      </w:pPr>
      <w:r w:rsidRPr="004A5618">
        <w:rPr>
          <w:rFonts w:ascii="Arial" w:hAnsi="Arial" w:cs="Arial"/>
          <w:b/>
          <w:sz w:val="24"/>
          <w:szCs w:val="24"/>
        </w:rPr>
        <w:t>RULING</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11B30F24" w:rsidR="00B40844" w:rsidRPr="00D3397A" w:rsidRDefault="00E8337D" w:rsidP="00E8337D">
            <w:pPr>
              <w:jc w:val="both"/>
              <w:rPr>
                <w:rFonts w:ascii="Arial" w:hAnsi="Arial" w:cs="Arial"/>
                <w:sz w:val="24"/>
                <w:szCs w:val="24"/>
              </w:rPr>
            </w:pPr>
            <w:r>
              <w:rPr>
                <w:rFonts w:ascii="Arial" w:hAnsi="Arial" w:cs="Arial"/>
                <w:sz w:val="24"/>
                <w:szCs w:val="24"/>
              </w:rPr>
              <w:t>FIRST NATIONAL BANK OF NAMIBIA</w:t>
            </w:r>
            <w:r w:rsidR="00602C25" w:rsidRPr="00D3397A">
              <w:rPr>
                <w:rFonts w:ascii="Arial" w:hAnsi="Arial" w:cs="Arial"/>
                <w:sz w:val="24"/>
                <w:szCs w:val="24"/>
              </w:rPr>
              <w:t xml:space="preserve"> </w:t>
            </w:r>
            <w:r w:rsidR="00136505" w:rsidRPr="00D3397A">
              <w:rPr>
                <w:rFonts w:ascii="Arial" w:hAnsi="Arial" w:cs="Arial"/>
                <w:sz w:val="24"/>
                <w:szCs w:val="24"/>
                <w:shd w:val="clear" w:color="auto" w:fill="FFFFFF"/>
              </w:rPr>
              <w:t xml:space="preserve">// </w:t>
            </w:r>
            <w:r>
              <w:rPr>
                <w:rFonts w:ascii="Arial" w:hAnsi="Arial" w:cs="Arial"/>
                <w:sz w:val="24"/>
                <w:szCs w:val="24"/>
              </w:rPr>
              <w:t>ROBERT UUGWANGA</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65541EFA" w:rsidR="00865F37" w:rsidRPr="00D3397A" w:rsidRDefault="00E8337D" w:rsidP="00E8337D">
            <w:pPr>
              <w:spacing w:line="360" w:lineRule="auto"/>
              <w:jc w:val="both"/>
              <w:rPr>
                <w:rFonts w:ascii="Arial" w:hAnsi="Arial" w:cs="Arial"/>
                <w:sz w:val="24"/>
                <w:szCs w:val="24"/>
              </w:rPr>
            </w:pPr>
            <w:r>
              <w:rPr>
                <w:rFonts w:ascii="Arial" w:hAnsi="Arial" w:cs="Arial"/>
                <w:sz w:val="24"/>
                <w:szCs w:val="24"/>
              </w:rPr>
              <w:t>HC-MD-CIV-ACT-CON-2023</w:t>
            </w:r>
            <w:r w:rsidR="00D3397A" w:rsidRPr="00D3397A">
              <w:rPr>
                <w:rFonts w:ascii="Arial" w:hAnsi="Arial" w:cs="Arial"/>
                <w:sz w:val="24"/>
                <w:szCs w:val="24"/>
              </w:rPr>
              <w:t>/0</w:t>
            </w:r>
            <w:r>
              <w:rPr>
                <w:rFonts w:ascii="Arial" w:hAnsi="Arial" w:cs="Arial"/>
                <w:sz w:val="24"/>
                <w:szCs w:val="24"/>
              </w:rPr>
              <w:t>0046</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12DFB215" w:rsidR="00B40844" w:rsidRPr="004A5618" w:rsidRDefault="00F25945" w:rsidP="00F25945">
            <w:pPr>
              <w:spacing w:line="360" w:lineRule="auto"/>
              <w:jc w:val="both"/>
              <w:rPr>
                <w:rFonts w:ascii="Arial" w:hAnsi="Arial" w:cs="Arial"/>
                <w:sz w:val="24"/>
                <w:szCs w:val="24"/>
              </w:rPr>
            </w:pPr>
            <w:r>
              <w:rPr>
                <w:rFonts w:ascii="Arial" w:hAnsi="Arial" w:cs="Arial"/>
                <w:sz w:val="24"/>
                <w:szCs w:val="24"/>
              </w:rPr>
              <w:t>CLAASEN</w:t>
            </w:r>
            <w:r w:rsidR="00B40844" w:rsidRPr="004A5618">
              <w:rPr>
                <w:rFonts w:ascii="Arial" w:hAnsi="Arial" w:cs="Arial"/>
                <w:sz w:val="24"/>
                <w:szCs w:val="24"/>
              </w:rPr>
              <w:t xml:space="preserve"> </w:t>
            </w:r>
            <w:r w:rsidR="00250ED7">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764443D3" w:rsidR="00B40844" w:rsidRPr="004A5618" w:rsidRDefault="00F25945" w:rsidP="00602C25">
            <w:pPr>
              <w:spacing w:line="360" w:lineRule="auto"/>
              <w:jc w:val="both"/>
              <w:rPr>
                <w:rFonts w:ascii="Arial" w:hAnsi="Arial" w:cs="Arial"/>
                <w:sz w:val="24"/>
                <w:szCs w:val="24"/>
              </w:rPr>
            </w:pPr>
            <w:r>
              <w:rPr>
                <w:rFonts w:ascii="Arial" w:hAnsi="Arial" w:cs="Arial"/>
                <w:sz w:val="24"/>
                <w:szCs w:val="24"/>
              </w:rPr>
              <w:t>20</w:t>
            </w:r>
            <w:r w:rsidR="00C2633E" w:rsidRPr="004A5618">
              <w:rPr>
                <w:rFonts w:ascii="Arial" w:hAnsi="Arial" w:cs="Arial"/>
                <w:sz w:val="24"/>
                <w:szCs w:val="24"/>
              </w:rPr>
              <w:t xml:space="preserve"> </w:t>
            </w:r>
            <w:r w:rsidR="00602C25">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297612A3" w:rsidR="00B40844" w:rsidRPr="004A5618" w:rsidRDefault="00377367" w:rsidP="00B51737">
            <w:pPr>
              <w:spacing w:line="360" w:lineRule="auto"/>
              <w:jc w:val="both"/>
              <w:rPr>
                <w:rFonts w:ascii="Arial" w:hAnsi="Arial" w:cs="Arial"/>
                <w:b/>
                <w:sz w:val="24"/>
                <w:szCs w:val="24"/>
              </w:rPr>
            </w:pPr>
            <w:r>
              <w:rPr>
                <w:rFonts w:ascii="Arial" w:hAnsi="Arial" w:cs="Arial"/>
                <w:sz w:val="24"/>
                <w:szCs w:val="24"/>
              </w:rPr>
              <w:t>8</w:t>
            </w:r>
            <w:r w:rsidR="00136505" w:rsidRPr="004A5618">
              <w:rPr>
                <w:rFonts w:ascii="Arial" w:hAnsi="Arial" w:cs="Arial"/>
                <w:sz w:val="24"/>
                <w:szCs w:val="24"/>
              </w:rPr>
              <w:t xml:space="preserve"> </w:t>
            </w:r>
            <w:r w:rsidR="00B51737">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03C3282C" w:rsidR="00B40844" w:rsidRPr="004A5618" w:rsidRDefault="00B40844" w:rsidP="00603DF0">
            <w:pPr>
              <w:spacing w:line="360" w:lineRule="auto"/>
              <w:ind w:left="2019" w:hanging="1986"/>
              <w:rPr>
                <w:rFonts w:ascii="Arial" w:hAnsi="Arial" w:cs="Arial"/>
                <w:sz w:val="24"/>
                <w:szCs w:val="24"/>
              </w:rPr>
            </w:pPr>
            <w:r w:rsidRPr="004A5618">
              <w:rPr>
                <w:rFonts w:ascii="Arial" w:hAnsi="Arial" w:cs="Arial"/>
                <w:b/>
                <w:sz w:val="24"/>
                <w:szCs w:val="24"/>
              </w:rPr>
              <w:t xml:space="preserve">Neutral citation: </w:t>
            </w:r>
            <w:r w:rsidR="004E3BFB" w:rsidRPr="004A5618">
              <w:rPr>
                <w:rFonts w:ascii="Arial" w:hAnsi="Arial" w:cs="Arial"/>
                <w:b/>
                <w:sz w:val="24"/>
                <w:szCs w:val="24"/>
              </w:rPr>
              <w:t xml:space="preserve"> </w:t>
            </w:r>
            <w:bookmarkStart w:id="0" w:name="_GoBack"/>
            <w:r w:rsidR="00F25945" w:rsidRPr="00F25945">
              <w:rPr>
                <w:rFonts w:ascii="Arial" w:hAnsi="Arial" w:cs="Arial"/>
                <w:i/>
                <w:sz w:val="24"/>
                <w:szCs w:val="24"/>
              </w:rPr>
              <w:t xml:space="preserve">First National Bank Of Namibia </w:t>
            </w:r>
            <w:r w:rsidR="00F25945" w:rsidRPr="00F25945">
              <w:rPr>
                <w:rFonts w:ascii="Arial" w:hAnsi="Arial" w:cs="Arial"/>
                <w:i/>
                <w:sz w:val="24"/>
                <w:szCs w:val="24"/>
                <w:shd w:val="clear" w:color="auto" w:fill="FFFFFF"/>
              </w:rPr>
              <w:t xml:space="preserve">// </w:t>
            </w:r>
            <w:proofErr w:type="spellStart"/>
            <w:r w:rsidR="00F25945" w:rsidRPr="00F25945">
              <w:rPr>
                <w:rFonts w:ascii="Arial" w:hAnsi="Arial" w:cs="Arial"/>
                <w:i/>
                <w:sz w:val="24"/>
                <w:szCs w:val="24"/>
              </w:rPr>
              <w:t>Uugwanga</w:t>
            </w:r>
            <w:proofErr w:type="spellEnd"/>
            <w:r w:rsidR="00F25945" w:rsidRPr="00F25945">
              <w:rPr>
                <w:rFonts w:ascii="Arial" w:hAnsi="Arial" w:cs="Arial"/>
                <w:i/>
                <w:sz w:val="24"/>
                <w:szCs w:val="24"/>
              </w:rPr>
              <w:t xml:space="preserve"> </w:t>
            </w:r>
            <w:r w:rsidR="00D3397A" w:rsidRPr="00D3397A">
              <w:rPr>
                <w:rFonts w:ascii="Arial" w:hAnsi="Arial" w:cs="Arial"/>
                <w:i/>
                <w:sz w:val="24"/>
                <w:szCs w:val="24"/>
              </w:rPr>
              <w:t>CC</w:t>
            </w:r>
            <w:r w:rsidRPr="004A5618">
              <w:rPr>
                <w:rFonts w:ascii="Arial" w:hAnsi="Arial" w:cs="Arial"/>
                <w:sz w:val="24"/>
                <w:szCs w:val="24"/>
              </w:rPr>
              <w:t xml:space="preserve"> (</w:t>
            </w:r>
            <w:r w:rsidR="00D3397A" w:rsidRPr="00D3397A">
              <w:rPr>
                <w:rFonts w:ascii="Arial" w:hAnsi="Arial" w:cs="Arial"/>
                <w:sz w:val="24"/>
                <w:szCs w:val="24"/>
              </w:rPr>
              <w:t>HC-MD-CIV-ACT-CON-</w:t>
            </w:r>
            <w:r w:rsidR="00F25945">
              <w:rPr>
                <w:rFonts w:ascii="Arial" w:hAnsi="Arial" w:cs="Arial"/>
                <w:sz w:val="24"/>
                <w:szCs w:val="24"/>
              </w:rPr>
              <w:t>2023/00046</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603DF0">
              <w:rPr>
                <w:rFonts w:ascii="Arial" w:hAnsi="Arial" w:cs="Arial"/>
                <w:sz w:val="24"/>
                <w:szCs w:val="24"/>
              </w:rPr>
              <w:t>719</w:t>
            </w:r>
            <w:r w:rsidRPr="004A5618">
              <w:rPr>
                <w:rFonts w:ascii="Arial" w:hAnsi="Arial" w:cs="Arial"/>
                <w:sz w:val="24"/>
                <w:szCs w:val="24"/>
              </w:rPr>
              <w:t xml:space="preserve"> (</w:t>
            </w:r>
            <w:r w:rsidR="00F25945">
              <w:rPr>
                <w:rFonts w:ascii="Arial" w:hAnsi="Arial" w:cs="Arial"/>
                <w:sz w:val="24"/>
                <w:szCs w:val="24"/>
              </w:rPr>
              <w:t>8</w:t>
            </w:r>
            <w:r w:rsidR="00136505" w:rsidRPr="004A5618">
              <w:rPr>
                <w:rFonts w:ascii="Arial" w:hAnsi="Arial" w:cs="Arial"/>
                <w:sz w:val="24"/>
                <w:szCs w:val="24"/>
              </w:rPr>
              <w:t xml:space="preserve"> </w:t>
            </w:r>
            <w:r w:rsidR="007B7330">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bookmarkEnd w:id="0"/>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1E111E5A" w14:textId="52939C54" w:rsidR="00FD0062" w:rsidRDefault="00FD0062" w:rsidP="000D6EF2">
            <w:pPr>
              <w:pStyle w:val="ListParagraph"/>
              <w:numPr>
                <w:ilvl w:val="0"/>
                <w:numId w:val="25"/>
              </w:numPr>
              <w:spacing w:line="360" w:lineRule="auto"/>
              <w:ind w:left="743" w:hanging="710"/>
              <w:jc w:val="both"/>
              <w:rPr>
                <w:rFonts w:ascii="Arial" w:hAnsi="Arial" w:cs="Arial"/>
                <w:sz w:val="24"/>
                <w:szCs w:val="24"/>
              </w:rPr>
            </w:pPr>
            <w:r>
              <w:rPr>
                <w:rFonts w:ascii="Arial" w:hAnsi="Arial" w:cs="Arial"/>
                <w:sz w:val="24"/>
                <w:szCs w:val="24"/>
              </w:rPr>
              <w:t>The following immovable property is hereby declared specially executable:</w:t>
            </w:r>
          </w:p>
          <w:p w14:paraId="11C614E7" w14:textId="77777777" w:rsidR="00FD0062" w:rsidRDefault="00FD0062" w:rsidP="00FD0062">
            <w:pPr>
              <w:pStyle w:val="ListParagraph"/>
              <w:spacing w:line="360" w:lineRule="auto"/>
              <w:ind w:left="743"/>
              <w:jc w:val="both"/>
              <w:rPr>
                <w:rFonts w:ascii="Arial" w:hAnsi="Arial" w:cs="Arial"/>
                <w:sz w:val="24"/>
                <w:szCs w:val="24"/>
              </w:rPr>
            </w:pPr>
          </w:p>
          <w:p w14:paraId="771C89DA" w14:textId="2514A82E"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CERTAIN:</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proofErr w:type="spellStart"/>
            <w:r>
              <w:rPr>
                <w:rFonts w:ascii="Arial" w:hAnsi="Arial" w:cs="Arial"/>
                <w:sz w:val="24"/>
                <w:szCs w:val="24"/>
              </w:rPr>
              <w:t>Erf</w:t>
            </w:r>
            <w:proofErr w:type="spellEnd"/>
            <w:r>
              <w:rPr>
                <w:rFonts w:ascii="Arial" w:hAnsi="Arial" w:cs="Arial"/>
                <w:sz w:val="24"/>
                <w:szCs w:val="24"/>
              </w:rPr>
              <w:t xml:space="preserve"> </w:t>
            </w:r>
            <w:r w:rsidR="00F25945">
              <w:rPr>
                <w:rFonts w:ascii="Arial" w:hAnsi="Arial" w:cs="Arial"/>
                <w:sz w:val="24"/>
                <w:szCs w:val="24"/>
              </w:rPr>
              <w:t xml:space="preserve">No </w:t>
            </w:r>
            <w:r w:rsidR="00CD08AE">
              <w:rPr>
                <w:rFonts w:ascii="Arial" w:hAnsi="Arial" w:cs="Arial"/>
                <w:sz w:val="24"/>
                <w:szCs w:val="24"/>
              </w:rPr>
              <w:t>623</w:t>
            </w:r>
            <w:r>
              <w:rPr>
                <w:rFonts w:ascii="Arial" w:hAnsi="Arial" w:cs="Arial"/>
                <w:sz w:val="24"/>
                <w:szCs w:val="24"/>
              </w:rPr>
              <w:t xml:space="preserve">, </w:t>
            </w:r>
            <w:proofErr w:type="spellStart"/>
            <w:r w:rsidR="002D298B">
              <w:rPr>
                <w:rFonts w:ascii="Arial" w:hAnsi="Arial" w:cs="Arial"/>
                <w:sz w:val="24"/>
                <w:szCs w:val="24"/>
              </w:rPr>
              <w:t>Goreangab</w:t>
            </w:r>
            <w:proofErr w:type="spellEnd"/>
            <w:r w:rsidR="002D298B">
              <w:rPr>
                <w:rFonts w:ascii="Arial" w:hAnsi="Arial" w:cs="Arial"/>
                <w:sz w:val="24"/>
                <w:szCs w:val="24"/>
              </w:rPr>
              <w:t xml:space="preserve"> </w:t>
            </w:r>
            <w:r w:rsidR="00F25945">
              <w:rPr>
                <w:rFonts w:ascii="Arial" w:hAnsi="Arial" w:cs="Arial"/>
                <w:sz w:val="24"/>
                <w:szCs w:val="24"/>
              </w:rPr>
              <w:t>(E</w:t>
            </w:r>
            <w:r w:rsidR="002D298B">
              <w:rPr>
                <w:rFonts w:ascii="Arial" w:hAnsi="Arial" w:cs="Arial"/>
                <w:sz w:val="24"/>
                <w:szCs w:val="24"/>
              </w:rPr>
              <w:t>xtension 2</w:t>
            </w:r>
            <w:r w:rsidR="00F25945">
              <w:rPr>
                <w:rFonts w:ascii="Arial" w:hAnsi="Arial" w:cs="Arial"/>
                <w:sz w:val="24"/>
                <w:szCs w:val="24"/>
              </w:rPr>
              <w:t>)</w:t>
            </w:r>
          </w:p>
          <w:p w14:paraId="1CE16948" w14:textId="77777777"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p>
          <w:p w14:paraId="0E90B704" w14:textId="55DA1A64"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SITUATE:</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I</w:t>
            </w:r>
            <w:r w:rsidR="00F25945">
              <w:rPr>
                <w:rFonts w:ascii="Arial" w:hAnsi="Arial" w:cs="Arial"/>
                <w:sz w:val="24"/>
                <w:szCs w:val="24"/>
              </w:rPr>
              <w:t xml:space="preserve">n the </w:t>
            </w:r>
            <w:r w:rsidR="002D298B">
              <w:rPr>
                <w:rFonts w:ascii="Arial" w:hAnsi="Arial" w:cs="Arial"/>
                <w:sz w:val="24"/>
                <w:szCs w:val="24"/>
              </w:rPr>
              <w:t xml:space="preserve">municipality of Windhoek </w:t>
            </w:r>
          </w:p>
          <w:p w14:paraId="60C9CF58" w14:textId="132029CF"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Registration Division “</w:t>
            </w:r>
            <w:r w:rsidR="002D298B">
              <w:rPr>
                <w:rFonts w:ascii="Arial" w:hAnsi="Arial" w:cs="Arial"/>
                <w:sz w:val="24"/>
                <w:szCs w:val="24"/>
              </w:rPr>
              <w:t>K</w:t>
            </w:r>
            <w:r>
              <w:rPr>
                <w:rFonts w:ascii="Arial" w:hAnsi="Arial" w:cs="Arial"/>
                <w:sz w:val="24"/>
                <w:szCs w:val="24"/>
              </w:rPr>
              <w:t>”</w:t>
            </w:r>
          </w:p>
          <w:p w14:paraId="39245A55" w14:textId="7065414F" w:rsidR="00FD0062" w:rsidRDefault="00FD0062" w:rsidP="00FD0062">
            <w:pPr>
              <w:pStyle w:val="ListParagraph"/>
              <w:spacing w:line="360" w:lineRule="auto"/>
              <w:ind w:left="743"/>
              <w:jc w:val="both"/>
              <w:rPr>
                <w:rFonts w:ascii="Arial" w:hAnsi="Arial" w:cs="Arial"/>
                <w:sz w:val="24"/>
                <w:szCs w:val="24"/>
              </w:rPr>
            </w:pPr>
            <w:r w:rsidRPr="004A5618">
              <w:rPr>
                <w:rFonts w:ascii="Arial" w:hAnsi="Arial" w:cs="Arial"/>
                <w:sz w:val="24"/>
                <w:szCs w:val="24"/>
              </w:rPr>
              <w:tab/>
            </w:r>
            <w:r w:rsidRPr="004A5618">
              <w:rPr>
                <w:rFonts w:ascii="Arial" w:hAnsi="Arial" w:cs="Arial"/>
                <w:sz w:val="24"/>
                <w:szCs w:val="24"/>
              </w:rPr>
              <w:tab/>
            </w:r>
            <w:r w:rsidRPr="004A5618">
              <w:rPr>
                <w:rFonts w:ascii="Arial" w:hAnsi="Arial" w:cs="Arial"/>
                <w:sz w:val="24"/>
                <w:szCs w:val="24"/>
              </w:rPr>
              <w:tab/>
            </w:r>
            <w:r w:rsidR="002D298B">
              <w:rPr>
                <w:rFonts w:ascii="Arial" w:hAnsi="Arial" w:cs="Arial"/>
                <w:sz w:val="24"/>
                <w:szCs w:val="24"/>
              </w:rPr>
              <w:t>Windhoek</w:t>
            </w:r>
          </w:p>
          <w:p w14:paraId="42AA2FEB" w14:textId="77777777" w:rsidR="00FD0062" w:rsidRDefault="00FD0062" w:rsidP="00FD0062">
            <w:pPr>
              <w:pStyle w:val="ListParagraph"/>
              <w:spacing w:line="360" w:lineRule="auto"/>
              <w:ind w:left="743"/>
              <w:jc w:val="both"/>
              <w:rPr>
                <w:rFonts w:ascii="Arial" w:hAnsi="Arial" w:cs="Arial"/>
                <w:sz w:val="24"/>
                <w:szCs w:val="24"/>
              </w:rPr>
            </w:pPr>
          </w:p>
          <w:p w14:paraId="29749389" w14:textId="4A61D832"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MEASURING:</w:t>
            </w:r>
            <w:r w:rsidRPr="004A5618">
              <w:rPr>
                <w:rFonts w:ascii="Arial" w:hAnsi="Arial" w:cs="Arial"/>
                <w:sz w:val="24"/>
                <w:szCs w:val="24"/>
              </w:rPr>
              <w:t xml:space="preserve"> </w:t>
            </w:r>
            <w:r w:rsidRPr="004A5618">
              <w:rPr>
                <w:rFonts w:ascii="Arial" w:hAnsi="Arial" w:cs="Arial"/>
                <w:sz w:val="24"/>
                <w:szCs w:val="24"/>
              </w:rPr>
              <w:tab/>
            </w:r>
            <w:r w:rsidR="002D298B">
              <w:rPr>
                <w:rFonts w:ascii="Arial" w:hAnsi="Arial" w:cs="Arial"/>
                <w:sz w:val="24"/>
                <w:szCs w:val="24"/>
              </w:rPr>
              <w:t>200</w:t>
            </w:r>
            <w:r w:rsidR="00F25945">
              <w:rPr>
                <w:rFonts w:ascii="Arial" w:hAnsi="Arial" w:cs="Arial"/>
                <w:sz w:val="24"/>
                <w:szCs w:val="24"/>
              </w:rPr>
              <w:t xml:space="preserve"> </w:t>
            </w:r>
            <w:r>
              <w:rPr>
                <w:rFonts w:ascii="Arial" w:hAnsi="Arial" w:cs="Arial"/>
                <w:sz w:val="24"/>
                <w:szCs w:val="24"/>
              </w:rPr>
              <w:t>(</w:t>
            </w:r>
            <w:r w:rsidR="002D298B">
              <w:rPr>
                <w:rFonts w:ascii="Arial" w:hAnsi="Arial" w:cs="Arial"/>
                <w:sz w:val="24"/>
                <w:szCs w:val="24"/>
              </w:rPr>
              <w:t>two hundred)</w:t>
            </w:r>
            <w:r w:rsidR="00F25945">
              <w:rPr>
                <w:rFonts w:ascii="Arial" w:hAnsi="Arial" w:cs="Arial"/>
                <w:sz w:val="24"/>
                <w:szCs w:val="24"/>
              </w:rPr>
              <w:t xml:space="preserve"> square m</w:t>
            </w:r>
            <w:r>
              <w:rPr>
                <w:rFonts w:ascii="Arial" w:hAnsi="Arial" w:cs="Arial"/>
                <w:sz w:val="24"/>
                <w:szCs w:val="24"/>
              </w:rPr>
              <w:t>eters</w:t>
            </w:r>
          </w:p>
          <w:p w14:paraId="784CB413" w14:textId="77777777" w:rsidR="00FD0062" w:rsidRDefault="00FD0062" w:rsidP="00FD0062">
            <w:pPr>
              <w:pStyle w:val="ListParagraph"/>
              <w:spacing w:line="360" w:lineRule="auto"/>
              <w:ind w:left="743"/>
              <w:jc w:val="both"/>
              <w:rPr>
                <w:rFonts w:ascii="Arial" w:hAnsi="Arial" w:cs="Arial"/>
                <w:sz w:val="24"/>
                <w:szCs w:val="24"/>
              </w:rPr>
            </w:pPr>
          </w:p>
          <w:p w14:paraId="31A53DC8" w14:textId="69011941" w:rsidR="00FD0062"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HELD:</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sidR="002D298B">
              <w:rPr>
                <w:rFonts w:ascii="Arial" w:hAnsi="Arial" w:cs="Arial"/>
                <w:sz w:val="24"/>
                <w:szCs w:val="24"/>
              </w:rPr>
              <w:t>Deed of Transfer No. T3229</w:t>
            </w:r>
            <w:r>
              <w:rPr>
                <w:rFonts w:ascii="Arial" w:hAnsi="Arial" w:cs="Arial"/>
                <w:sz w:val="24"/>
                <w:szCs w:val="24"/>
              </w:rPr>
              <w:t>/20</w:t>
            </w:r>
            <w:r w:rsidR="00F25945">
              <w:rPr>
                <w:rFonts w:ascii="Arial" w:hAnsi="Arial" w:cs="Arial"/>
                <w:sz w:val="24"/>
                <w:szCs w:val="24"/>
              </w:rPr>
              <w:t>13</w:t>
            </w:r>
          </w:p>
          <w:p w14:paraId="2B3FE551" w14:textId="77777777" w:rsidR="00FD0062" w:rsidRDefault="00FD0062" w:rsidP="00FD0062">
            <w:pPr>
              <w:pStyle w:val="ListParagraph"/>
              <w:spacing w:line="360" w:lineRule="auto"/>
              <w:ind w:left="743"/>
              <w:jc w:val="both"/>
              <w:rPr>
                <w:rFonts w:ascii="Arial" w:hAnsi="Arial" w:cs="Arial"/>
                <w:sz w:val="24"/>
                <w:szCs w:val="24"/>
              </w:rPr>
            </w:pPr>
          </w:p>
          <w:p w14:paraId="4D4D2F17" w14:textId="51A8F6B3" w:rsidR="00FD0062" w:rsidRPr="004A5618" w:rsidRDefault="00FD0062" w:rsidP="00FD0062">
            <w:pPr>
              <w:pStyle w:val="ListParagraph"/>
              <w:spacing w:line="360" w:lineRule="auto"/>
              <w:ind w:left="743"/>
              <w:jc w:val="both"/>
              <w:rPr>
                <w:rFonts w:ascii="Arial" w:hAnsi="Arial" w:cs="Arial"/>
                <w:sz w:val="24"/>
                <w:szCs w:val="24"/>
              </w:rPr>
            </w:pPr>
            <w:r>
              <w:rPr>
                <w:rFonts w:ascii="Arial" w:hAnsi="Arial" w:cs="Arial"/>
                <w:sz w:val="24"/>
                <w:szCs w:val="24"/>
              </w:rPr>
              <w:t>SUBJECT:</w:t>
            </w:r>
            <w:r w:rsidRPr="004A5618">
              <w:rPr>
                <w:rFonts w:ascii="Arial" w:hAnsi="Arial" w:cs="Arial"/>
                <w:sz w:val="24"/>
                <w:szCs w:val="24"/>
              </w:rPr>
              <w:t xml:space="preserve"> </w:t>
            </w:r>
            <w:r w:rsidRPr="004A5618">
              <w:rPr>
                <w:rFonts w:ascii="Arial" w:hAnsi="Arial" w:cs="Arial"/>
                <w:sz w:val="24"/>
                <w:szCs w:val="24"/>
              </w:rPr>
              <w:tab/>
            </w:r>
            <w:r w:rsidRPr="004A5618">
              <w:rPr>
                <w:rFonts w:ascii="Arial" w:hAnsi="Arial" w:cs="Arial"/>
                <w:sz w:val="24"/>
                <w:szCs w:val="24"/>
              </w:rPr>
              <w:tab/>
            </w:r>
            <w:r>
              <w:rPr>
                <w:rFonts w:ascii="Arial" w:hAnsi="Arial" w:cs="Arial"/>
                <w:sz w:val="24"/>
                <w:szCs w:val="24"/>
              </w:rPr>
              <w:t>to</w:t>
            </w:r>
            <w:r w:rsidR="00F25945">
              <w:rPr>
                <w:rFonts w:ascii="Arial" w:hAnsi="Arial" w:cs="Arial"/>
                <w:sz w:val="24"/>
                <w:szCs w:val="24"/>
              </w:rPr>
              <w:t xml:space="preserve"> all the terms and conditions</w:t>
            </w:r>
            <w:r>
              <w:rPr>
                <w:rFonts w:ascii="Arial" w:hAnsi="Arial" w:cs="Arial"/>
                <w:sz w:val="24"/>
                <w:szCs w:val="24"/>
              </w:rPr>
              <w:t xml:space="preserve"> contained therein</w:t>
            </w:r>
          </w:p>
          <w:p w14:paraId="251456F4" w14:textId="77777777" w:rsidR="00FD0062" w:rsidRPr="004A5618" w:rsidRDefault="00FD0062" w:rsidP="00FD0062">
            <w:pPr>
              <w:pStyle w:val="ListParagraph"/>
              <w:spacing w:line="360" w:lineRule="auto"/>
              <w:ind w:left="743" w:hanging="710"/>
              <w:jc w:val="both"/>
              <w:rPr>
                <w:rFonts w:ascii="Arial" w:hAnsi="Arial" w:cs="Arial"/>
                <w:sz w:val="24"/>
                <w:szCs w:val="24"/>
              </w:rPr>
            </w:pPr>
          </w:p>
          <w:p w14:paraId="483C3F85" w14:textId="77777777" w:rsidR="00166649" w:rsidRPr="00166649" w:rsidRDefault="00166649" w:rsidP="00166649">
            <w:pPr>
              <w:pStyle w:val="ListParagraph"/>
              <w:numPr>
                <w:ilvl w:val="0"/>
                <w:numId w:val="23"/>
              </w:numPr>
              <w:ind w:hanging="720"/>
              <w:rPr>
                <w:rFonts w:ascii="Arial" w:hAnsi="Arial" w:cs="Arial"/>
                <w:sz w:val="24"/>
                <w:szCs w:val="24"/>
              </w:rPr>
            </w:pPr>
            <w:r w:rsidRPr="00166649">
              <w:rPr>
                <w:rFonts w:ascii="Arial" w:hAnsi="Arial" w:cs="Arial"/>
                <w:sz w:val="24"/>
                <w:szCs w:val="24"/>
              </w:rPr>
              <w:t>Defendant must pay plaintiff’s costs of suit on a scale as between attorney and client.</w:t>
            </w:r>
          </w:p>
          <w:p w14:paraId="1B27B529" w14:textId="77777777" w:rsidR="00FD0062" w:rsidRPr="004A5618" w:rsidRDefault="00FD0062" w:rsidP="00FD0062">
            <w:pPr>
              <w:pStyle w:val="ListParagraph"/>
              <w:spacing w:line="360" w:lineRule="auto"/>
              <w:ind w:left="743" w:hanging="710"/>
              <w:rPr>
                <w:rFonts w:ascii="Arial" w:hAnsi="Arial" w:cs="Arial"/>
                <w:sz w:val="24"/>
                <w:szCs w:val="24"/>
              </w:rPr>
            </w:pPr>
          </w:p>
          <w:p w14:paraId="5D5DB145" w14:textId="77777777" w:rsidR="00FD0062" w:rsidRDefault="00FD0062" w:rsidP="0020505F">
            <w:pPr>
              <w:pStyle w:val="ListParagraph"/>
              <w:numPr>
                <w:ilvl w:val="0"/>
                <w:numId w:val="23"/>
              </w:numPr>
              <w:spacing w:line="360" w:lineRule="auto"/>
              <w:ind w:hanging="720"/>
              <w:jc w:val="both"/>
              <w:rPr>
                <w:rFonts w:ascii="Arial" w:hAnsi="Arial" w:cs="Arial"/>
                <w:sz w:val="24"/>
                <w:szCs w:val="24"/>
              </w:rPr>
            </w:pPr>
            <w:r>
              <w:rPr>
                <w:rFonts w:ascii="Arial" w:hAnsi="Arial" w:cs="Arial"/>
                <w:sz w:val="24"/>
                <w:szCs w:val="24"/>
              </w:rPr>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lastRenderedPageBreak/>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678FE6E1" w14:textId="556E804C" w:rsidR="00204276" w:rsidRPr="004F5034" w:rsidRDefault="00204276" w:rsidP="00E8337D">
            <w:pPr>
              <w:spacing w:line="360" w:lineRule="auto"/>
              <w:rPr>
                <w:rFonts w:ascii="Arial" w:hAnsi="Arial" w:cs="Arial"/>
                <w:color w:val="262626" w:themeColor="text1" w:themeTint="D9"/>
                <w:sz w:val="24"/>
                <w:szCs w:val="24"/>
                <w:lang w:val="en-US"/>
              </w:rPr>
            </w:pPr>
          </w:p>
          <w:p w14:paraId="65247C95" w14:textId="146C2C15" w:rsidR="00DC03A4" w:rsidRPr="004F5034" w:rsidRDefault="00DC03A4" w:rsidP="00E8337D">
            <w:pPr>
              <w:spacing w:line="360" w:lineRule="auto"/>
              <w:rPr>
                <w:rFonts w:ascii="Arial" w:hAnsi="Arial" w:cs="Arial"/>
                <w:color w:val="262626" w:themeColor="text1" w:themeTint="D9"/>
                <w:sz w:val="24"/>
                <w:szCs w:val="24"/>
                <w:lang w:val="en-US"/>
              </w:rPr>
            </w:pPr>
            <w:r w:rsidRPr="004F5034">
              <w:rPr>
                <w:rFonts w:ascii="Arial" w:hAnsi="Arial" w:cs="Arial"/>
                <w:color w:val="262626" w:themeColor="text1" w:themeTint="D9"/>
                <w:sz w:val="24"/>
                <w:szCs w:val="24"/>
                <w:lang w:val="en-US"/>
              </w:rPr>
              <w:t xml:space="preserve">CLAASEN J: </w:t>
            </w:r>
          </w:p>
          <w:p w14:paraId="14E3E90A" w14:textId="77777777" w:rsidR="00DC03A4" w:rsidRPr="004F5034" w:rsidRDefault="00DC03A4" w:rsidP="00E8337D">
            <w:pPr>
              <w:spacing w:line="360" w:lineRule="auto"/>
              <w:rPr>
                <w:rFonts w:ascii="Arial" w:hAnsi="Arial" w:cs="Arial"/>
                <w:color w:val="262626" w:themeColor="text1" w:themeTint="D9"/>
                <w:sz w:val="24"/>
                <w:szCs w:val="24"/>
                <w:lang w:val="en-US"/>
              </w:rPr>
            </w:pPr>
          </w:p>
          <w:p w14:paraId="2E146368" w14:textId="0BE978CF" w:rsidR="00E8337D" w:rsidRPr="004F5034" w:rsidRDefault="00204276" w:rsidP="00DC03A4">
            <w:pPr>
              <w:spacing w:line="360" w:lineRule="auto"/>
              <w:jc w:val="both"/>
              <w:rPr>
                <w:rFonts w:ascii="Arial" w:hAnsi="Arial" w:cs="Arial"/>
                <w:color w:val="262626" w:themeColor="text1" w:themeTint="D9"/>
                <w:sz w:val="24"/>
                <w:szCs w:val="24"/>
                <w:lang w:val="en-US"/>
              </w:rPr>
            </w:pPr>
            <w:r w:rsidRPr="004F5034">
              <w:rPr>
                <w:rFonts w:ascii="Arial" w:hAnsi="Arial" w:cs="Arial"/>
                <w:color w:val="262626" w:themeColor="text1" w:themeTint="D9"/>
                <w:sz w:val="24"/>
                <w:szCs w:val="24"/>
                <w:lang w:val="en-US"/>
              </w:rPr>
              <w:t>[1]</w:t>
            </w:r>
            <w:r w:rsidRPr="004F5034">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In this matter the applicant obtained a default judgment in its favour on 15 Feb</w:t>
            </w:r>
            <w:r w:rsidR="00A11B40">
              <w:rPr>
                <w:rFonts w:ascii="Arial" w:hAnsi="Arial" w:cs="Arial"/>
                <w:color w:val="262626" w:themeColor="text1" w:themeTint="D9"/>
                <w:sz w:val="24"/>
                <w:szCs w:val="24"/>
                <w:lang w:val="en-US"/>
              </w:rPr>
              <w:t>ruary 2023 for payment of N$671 712</w:t>
            </w:r>
            <w:proofErr w:type="gramStart"/>
            <w:r w:rsidR="00A11B40">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17</w:t>
            </w:r>
            <w:proofErr w:type="gramEnd"/>
            <w:r w:rsidR="00E8337D" w:rsidRPr="00E8337D">
              <w:rPr>
                <w:rFonts w:ascii="Arial" w:hAnsi="Arial" w:cs="Arial"/>
                <w:color w:val="262626" w:themeColor="text1" w:themeTint="D9"/>
                <w:sz w:val="24"/>
                <w:szCs w:val="24"/>
                <w:lang w:val="en-US"/>
              </w:rPr>
              <w:t xml:space="preserve"> plus interest and costs. Following a </w:t>
            </w:r>
            <w:proofErr w:type="spellStart"/>
            <w:r w:rsidR="00E8337D" w:rsidRPr="00E8337D">
              <w:rPr>
                <w:rFonts w:ascii="Arial" w:hAnsi="Arial" w:cs="Arial"/>
                <w:color w:val="262626" w:themeColor="text1" w:themeTint="D9"/>
                <w:sz w:val="24"/>
                <w:szCs w:val="24"/>
                <w:lang w:val="en-US"/>
              </w:rPr>
              <w:t>nulla</w:t>
            </w:r>
            <w:proofErr w:type="spellEnd"/>
            <w:r w:rsidR="00E8337D" w:rsidRPr="00E8337D">
              <w:rPr>
                <w:rFonts w:ascii="Arial" w:hAnsi="Arial" w:cs="Arial"/>
                <w:color w:val="262626" w:themeColor="text1" w:themeTint="D9"/>
                <w:sz w:val="24"/>
                <w:szCs w:val="24"/>
                <w:lang w:val="en-US"/>
              </w:rPr>
              <w:t xml:space="preserve"> bona return of service in respect of movables, the applicant applied for an order to declare the execution debtor’s</w:t>
            </w:r>
            <w:r w:rsidR="00A11B40">
              <w:rPr>
                <w:rFonts w:ascii="Arial" w:hAnsi="Arial" w:cs="Arial"/>
                <w:color w:val="262626" w:themeColor="text1" w:themeTint="D9"/>
                <w:sz w:val="24"/>
                <w:szCs w:val="24"/>
                <w:lang w:val="en-US"/>
              </w:rPr>
              <w:t xml:space="preserve"> immovable</w:t>
            </w:r>
            <w:r w:rsidR="00E8337D" w:rsidRPr="00E8337D">
              <w:rPr>
                <w:rFonts w:ascii="Arial" w:hAnsi="Arial" w:cs="Arial"/>
                <w:color w:val="262626" w:themeColor="text1" w:themeTint="D9"/>
                <w:sz w:val="24"/>
                <w:szCs w:val="24"/>
                <w:lang w:val="en-US"/>
              </w:rPr>
              <w:t xml:space="preserve"> property executable. </w:t>
            </w:r>
          </w:p>
          <w:p w14:paraId="1510463A" w14:textId="77777777" w:rsidR="00204276" w:rsidRPr="00E8337D" w:rsidRDefault="00204276" w:rsidP="00DC03A4">
            <w:pPr>
              <w:spacing w:line="360" w:lineRule="auto"/>
              <w:jc w:val="both"/>
              <w:rPr>
                <w:rFonts w:ascii="Arial" w:hAnsi="Arial" w:cs="Arial"/>
                <w:color w:val="262626" w:themeColor="text1" w:themeTint="D9"/>
                <w:sz w:val="24"/>
                <w:szCs w:val="24"/>
                <w:lang w:val="en-US"/>
              </w:rPr>
            </w:pPr>
          </w:p>
          <w:p w14:paraId="67212410" w14:textId="4AE0C146" w:rsidR="00DA5EC7" w:rsidRDefault="00204276" w:rsidP="00DC03A4">
            <w:pPr>
              <w:spacing w:line="360" w:lineRule="auto"/>
              <w:jc w:val="both"/>
              <w:rPr>
                <w:rFonts w:ascii="Arial" w:hAnsi="Arial" w:cs="Arial"/>
                <w:color w:val="262626" w:themeColor="text1" w:themeTint="D9"/>
                <w:sz w:val="24"/>
                <w:szCs w:val="24"/>
                <w:lang w:val="en-US"/>
              </w:rPr>
            </w:pPr>
            <w:r w:rsidRPr="004F5034">
              <w:rPr>
                <w:rFonts w:ascii="Arial" w:hAnsi="Arial" w:cs="Arial"/>
                <w:color w:val="262626" w:themeColor="text1" w:themeTint="D9"/>
                <w:sz w:val="24"/>
                <w:szCs w:val="24"/>
                <w:lang w:val="en-US"/>
              </w:rPr>
              <w:t>[2]</w:t>
            </w:r>
            <w:r w:rsidRPr="004F5034">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Counsel for the applicant argued that the debtor’s monthly income exceeds the monthly expenses by far and that information was depicted in the bank statement as he banks with the applicant. The home loan account</w:t>
            </w:r>
            <w:r w:rsidR="00E8337D" w:rsidRPr="004F5034">
              <w:rPr>
                <w:rFonts w:ascii="Arial" w:hAnsi="Arial" w:cs="Arial"/>
                <w:color w:val="262626" w:themeColor="text1" w:themeTint="D9"/>
                <w:sz w:val="24"/>
                <w:szCs w:val="24"/>
                <w:vertAlign w:val="superscript"/>
                <w:lang w:val="en-US"/>
              </w:rPr>
              <w:footnoteReference w:id="1"/>
            </w:r>
            <w:r w:rsidR="00E8337D" w:rsidRPr="00E8337D">
              <w:rPr>
                <w:rFonts w:ascii="Arial" w:hAnsi="Arial" w:cs="Arial"/>
                <w:color w:val="262626" w:themeColor="text1" w:themeTint="D9"/>
                <w:sz w:val="24"/>
                <w:szCs w:val="24"/>
                <w:lang w:val="en-US"/>
              </w:rPr>
              <w:t xml:space="preserve"> reflecte</w:t>
            </w:r>
            <w:r w:rsidR="00A11B40">
              <w:rPr>
                <w:rFonts w:ascii="Arial" w:hAnsi="Arial" w:cs="Arial"/>
                <w:color w:val="262626" w:themeColor="text1" w:themeTint="D9"/>
                <w:sz w:val="24"/>
                <w:szCs w:val="24"/>
                <w:lang w:val="en-US"/>
              </w:rPr>
              <w:t>d an outstanding balance was N$</w:t>
            </w:r>
            <w:r w:rsidR="00E8337D" w:rsidRPr="00E8337D">
              <w:rPr>
                <w:rFonts w:ascii="Arial" w:hAnsi="Arial" w:cs="Arial"/>
                <w:color w:val="262626" w:themeColor="text1" w:themeTint="D9"/>
                <w:sz w:val="24"/>
                <w:szCs w:val="24"/>
                <w:lang w:val="en-US"/>
              </w:rPr>
              <w:t>746</w:t>
            </w:r>
            <w:r w:rsidR="00A11B40">
              <w:rPr>
                <w:rFonts w:ascii="Arial" w:hAnsi="Arial" w:cs="Arial"/>
                <w:color w:val="262626" w:themeColor="text1" w:themeTint="D9"/>
                <w:sz w:val="24"/>
                <w:szCs w:val="24"/>
                <w:lang w:val="en-US"/>
              </w:rPr>
              <w:t> 278</w:t>
            </w:r>
            <w:proofErr w:type="gramStart"/>
            <w:r w:rsidR="00A11B40">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44</w:t>
            </w:r>
            <w:proofErr w:type="gramEnd"/>
            <w:r w:rsidR="00E8337D" w:rsidRPr="00E8337D">
              <w:rPr>
                <w:rFonts w:ascii="Arial" w:hAnsi="Arial" w:cs="Arial"/>
                <w:color w:val="262626" w:themeColor="text1" w:themeTint="D9"/>
                <w:sz w:val="24"/>
                <w:szCs w:val="24"/>
                <w:lang w:val="en-US"/>
              </w:rPr>
              <w:t xml:space="preserve"> with an ar</w:t>
            </w:r>
            <w:r w:rsidR="00DA5EC7">
              <w:rPr>
                <w:rFonts w:ascii="Arial" w:hAnsi="Arial" w:cs="Arial"/>
                <w:color w:val="262626" w:themeColor="text1" w:themeTint="D9"/>
                <w:sz w:val="24"/>
                <w:szCs w:val="24"/>
                <w:lang w:val="en-US"/>
              </w:rPr>
              <w:t xml:space="preserve">rears balance of N$ 103 824.27. </w:t>
            </w:r>
            <w:r w:rsidR="00E8337D" w:rsidRPr="00E8337D">
              <w:rPr>
                <w:rFonts w:ascii="Arial" w:hAnsi="Arial" w:cs="Arial"/>
                <w:color w:val="262626" w:themeColor="text1" w:themeTint="D9"/>
                <w:sz w:val="24"/>
                <w:szCs w:val="24"/>
                <w:lang w:val="en-US"/>
              </w:rPr>
              <w:t>The current</w:t>
            </w:r>
            <w:r w:rsidR="00A11B40">
              <w:rPr>
                <w:rFonts w:ascii="Arial" w:hAnsi="Arial" w:cs="Arial"/>
                <w:color w:val="262626" w:themeColor="text1" w:themeTint="D9"/>
                <w:sz w:val="24"/>
                <w:szCs w:val="24"/>
                <w:lang w:val="en-US"/>
              </w:rPr>
              <w:t xml:space="preserve"> monthly instalment was N$9 281</w:t>
            </w:r>
            <w:proofErr w:type="gramStart"/>
            <w:r w:rsidR="00A11B40">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96</w:t>
            </w:r>
            <w:proofErr w:type="gramEnd"/>
            <w:r w:rsidR="00E8337D" w:rsidRPr="00E8337D">
              <w:rPr>
                <w:rFonts w:ascii="Arial" w:hAnsi="Arial" w:cs="Arial"/>
                <w:color w:val="262626" w:themeColor="text1" w:themeTint="D9"/>
                <w:sz w:val="24"/>
                <w:szCs w:val="24"/>
                <w:lang w:val="en-US"/>
              </w:rPr>
              <w:t xml:space="preserve">. </w:t>
            </w:r>
          </w:p>
          <w:p w14:paraId="0043F81A" w14:textId="77777777" w:rsidR="00DA5EC7" w:rsidRDefault="00DA5EC7" w:rsidP="00DC03A4">
            <w:pPr>
              <w:spacing w:line="360" w:lineRule="auto"/>
              <w:jc w:val="both"/>
              <w:rPr>
                <w:rFonts w:ascii="Arial" w:hAnsi="Arial" w:cs="Arial"/>
                <w:color w:val="262626" w:themeColor="text1" w:themeTint="D9"/>
                <w:sz w:val="24"/>
                <w:szCs w:val="24"/>
                <w:lang w:val="en-US"/>
              </w:rPr>
            </w:pPr>
          </w:p>
          <w:p w14:paraId="438D64A2" w14:textId="7473E9D6" w:rsidR="00E8337D" w:rsidRPr="004F5034" w:rsidRDefault="00DA5EC7" w:rsidP="00DC03A4">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t>[3]</w:t>
            </w:r>
            <w:r>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According to the plaintiff</w:t>
            </w:r>
            <w:r w:rsidR="00204276" w:rsidRPr="004F5034">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 xml:space="preserve"> the debtor’s average monthly income was N$10 000</w:t>
            </w:r>
            <w:r w:rsidR="00DC03A4" w:rsidRPr="004F5034">
              <w:rPr>
                <w:rFonts w:ascii="Arial" w:hAnsi="Arial" w:cs="Arial"/>
                <w:color w:val="262626" w:themeColor="text1" w:themeTint="D9"/>
                <w:sz w:val="24"/>
                <w:szCs w:val="24"/>
                <w:lang w:val="en-US"/>
              </w:rPr>
              <w:t xml:space="preserve"> </w:t>
            </w:r>
            <w:r w:rsidR="00204276" w:rsidRPr="004F5034">
              <w:rPr>
                <w:rFonts w:ascii="Arial" w:hAnsi="Arial" w:cs="Arial"/>
                <w:color w:val="262626" w:themeColor="text1" w:themeTint="D9"/>
                <w:sz w:val="24"/>
                <w:szCs w:val="24"/>
                <w:lang w:val="en-US"/>
              </w:rPr>
              <w:t xml:space="preserve">and </w:t>
            </w:r>
            <w:r w:rsidR="00DC03A4" w:rsidRPr="004F5034">
              <w:rPr>
                <w:rFonts w:ascii="Arial" w:hAnsi="Arial" w:cs="Arial"/>
                <w:color w:val="262626" w:themeColor="text1" w:themeTint="D9"/>
                <w:sz w:val="24"/>
                <w:szCs w:val="24"/>
                <w:lang w:val="en-US"/>
              </w:rPr>
              <w:t>f</w:t>
            </w:r>
            <w:r w:rsidR="00E8337D" w:rsidRPr="00E8337D">
              <w:rPr>
                <w:rFonts w:ascii="Arial" w:hAnsi="Arial" w:cs="Arial"/>
                <w:color w:val="262626" w:themeColor="text1" w:themeTint="D9"/>
                <w:sz w:val="24"/>
                <w:szCs w:val="24"/>
                <w:lang w:val="en-US"/>
              </w:rPr>
              <w:t xml:space="preserve">or this year the applicant had only been able to pay three instalments and thus even with restructuring the loan the defendant is unable to continue to service the loan. </w:t>
            </w:r>
            <w:r w:rsidR="00204276" w:rsidRPr="004F5034">
              <w:rPr>
                <w:rFonts w:ascii="Arial" w:hAnsi="Arial" w:cs="Arial"/>
                <w:color w:val="262626" w:themeColor="text1" w:themeTint="D9"/>
                <w:sz w:val="24"/>
                <w:szCs w:val="24"/>
                <w:lang w:val="en-US"/>
              </w:rPr>
              <w:t xml:space="preserve">Counsel stated that when the debtor was asked to </w:t>
            </w:r>
            <w:r w:rsidR="00E8337D" w:rsidRPr="00E8337D">
              <w:rPr>
                <w:rFonts w:ascii="Arial" w:hAnsi="Arial" w:cs="Arial"/>
                <w:color w:val="262626" w:themeColor="text1" w:themeTint="D9"/>
                <w:sz w:val="24"/>
                <w:szCs w:val="24"/>
                <w:lang w:val="en-US"/>
              </w:rPr>
              <w:t>make a settlement offer</w:t>
            </w:r>
            <w:r w:rsidR="00204276" w:rsidRPr="004F5034">
              <w:rPr>
                <w:rFonts w:ascii="Arial" w:hAnsi="Arial" w:cs="Arial"/>
                <w:color w:val="262626" w:themeColor="text1" w:themeTint="D9"/>
                <w:sz w:val="24"/>
                <w:szCs w:val="24"/>
                <w:lang w:val="en-US"/>
              </w:rPr>
              <w:t xml:space="preserve">, </w:t>
            </w:r>
            <w:r w:rsidR="00E8337D" w:rsidRPr="00E8337D">
              <w:rPr>
                <w:rFonts w:ascii="Arial" w:hAnsi="Arial" w:cs="Arial"/>
                <w:color w:val="262626" w:themeColor="text1" w:themeTint="D9"/>
                <w:sz w:val="24"/>
                <w:szCs w:val="24"/>
                <w:lang w:val="en-US"/>
              </w:rPr>
              <w:t xml:space="preserve">he indicated that he cannot afford to pay the loan. The applicant also invited the debtor to provide information as to his financial position, but the debtor was not forthcoming with that and it led to naught. </w:t>
            </w:r>
          </w:p>
          <w:p w14:paraId="2B0AC44C" w14:textId="77777777" w:rsidR="00204276" w:rsidRPr="00E8337D" w:rsidRDefault="00204276" w:rsidP="00DC03A4">
            <w:pPr>
              <w:spacing w:line="360" w:lineRule="auto"/>
              <w:jc w:val="both"/>
              <w:rPr>
                <w:rFonts w:ascii="Arial" w:hAnsi="Arial" w:cs="Arial"/>
                <w:color w:val="262626" w:themeColor="text1" w:themeTint="D9"/>
                <w:sz w:val="24"/>
                <w:szCs w:val="24"/>
                <w:lang w:val="en-US"/>
              </w:rPr>
            </w:pPr>
          </w:p>
          <w:p w14:paraId="383A05F3" w14:textId="037500EC" w:rsidR="00DA5EC7" w:rsidRDefault="00DA5EC7" w:rsidP="00DC03A4">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t>[4</w:t>
            </w:r>
            <w:r w:rsidR="00204276" w:rsidRPr="004F5034">
              <w:rPr>
                <w:rFonts w:ascii="Arial" w:hAnsi="Arial" w:cs="Arial"/>
                <w:color w:val="262626" w:themeColor="text1" w:themeTint="D9"/>
                <w:sz w:val="24"/>
                <w:szCs w:val="24"/>
                <w:lang w:val="en-US"/>
              </w:rPr>
              <w:t>]</w:t>
            </w:r>
            <w:r w:rsidR="00204276" w:rsidRPr="004F5034">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 xml:space="preserve">The debtor informed the court that indeed </w:t>
            </w:r>
            <w:r w:rsidR="00A11B40">
              <w:rPr>
                <w:rFonts w:ascii="Arial" w:hAnsi="Arial" w:cs="Arial"/>
                <w:color w:val="262626" w:themeColor="text1" w:themeTint="D9"/>
                <w:sz w:val="24"/>
                <w:szCs w:val="24"/>
                <w:lang w:val="en-US"/>
              </w:rPr>
              <w:t>the immovable property</w:t>
            </w:r>
            <w:r w:rsidR="00E8337D" w:rsidRPr="00E8337D">
              <w:rPr>
                <w:rFonts w:ascii="Arial" w:hAnsi="Arial" w:cs="Arial"/>
                <w:color w:val="262626" w:themeColor="text1" w:themeTint="D9"/>
                <w:sz w:val="24"/>
                <w:szCs w:val="24"/>
                <w:lang w:val="en-US"/>
              </w:rPr>
              <w:t xml:space="preserve"> was his primary home</w:t>
            </w:r>
            <w:r w:rsidR="008A7C53" w:rsidRPr="004F5034">
              <w:rPr>
                <w:rFonts w:ascii="Arial" w:hAnsi="Arial" w:cs="Arial"/>
                <w:color w:val="262626" w:themeColor="text1" w:themeTint="D9"/>
                <w:sz w:val="24"/>
                <w:szCs w:val="24"/>
                <w:lang w:val="en-US"/>
              </w:rPr>
              <w:t xml:space="preserve"> which </w:t>
            </w:r>
            <w:r w:rsidR="00E8337D" w:rsidRPr="00E8337D">
              <w:rPr>
                <w:rFonts w:ascii="Arial" w:hAnsi="Arial" w:cs="Arial"/>
                <w:color w:val="262626" w:themeColor="text1" w:themeTint="D9"/>
                <w:sz w:val="24"/>
                <w:szCs w:val="24"/>
                <w:lang w:val="en-US"/>
              </w:rPr>
              <w:t xml:space="preserve">he had been paying for 9 years. He explained that he fell into arrears because of an undetected water leakage that culminated in an overdue municipal account of approximately N$65 000. That made it difficult to pay the home loan. </w:t>
            </w:r>
          </w:p>
          <w:p w14:paraId="0211944A" w14:textId="77777777" w:rsidR="00DA5EC7" w:rsidRDefault="00DA5EC7" w:rsidP="00DC03A4">
            <w:pPr>
              <w:spacing w:line="360" w:lineRule="auto"/>
              <w:jc w:val="both"/>
              <w:rPr>
                <w:rFonts w:ascii="Arial" w:hAnsi="Arial" w:cs="Arial"/>
                <w:color w:val="262626" w:themeColor="text1" w:themeTint="D9"/>
                <w:sz w:val="24"/>
                <w:szCs w:val="24"/>
                <w:lang w:val="en-US"/>
              </w:rPr>
            </w:pPr>
          </w:p>
          <w:p w14:paraId="225A7F42" w14:textId="702EB0D5" w:rsidR="00E8337D" w:rsidRPr="004F5034" w:rsidRDefault="00DA5EC7" w:rsidP="00DC03A4">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t>[5]</w:t>
            </w:r>
            <w:r>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 xml:space="preserve">Upon enquiry by the court, the debtor divulged that he is employed at a Government institution where he earns about N$20 000 monthly. He also stated that his wife, to whom he was married out of community of property, was willing to assist him with N$3 000 monthly. He also stated that he was trying to sell his vehicle, though he was unable to provide an estimate of the amount that could be realized from that, if and when it occurred. He has no children, though he indicated that he was assisting extended family members. He stated that the applicant indicated </w:t>
            </w:r>
            <w:r w:rsidR="00A11B40">
              <w:rPr>
                <w:rFonts w:ascii="Arial" w:hAnsi="Arial" w:cs="Arial"/>
                <w:color w:val="262626" w:themeColor="text1" w:themeTint="D9"/>
                <w:sz w:val="24"/>
                <w:szCs w:val="24"/>
                <w:lang w:val="en-US"/>
              </w:rPr>
              <w:t>that they would accept about N$</w:t>
            </w:r>
            <w:r w:rsidR="00E8337D" w:rsidRPr="00E8337D">
              <w:rPr>
                <w:rFonts w:ascii="Arial" w:hAnsi="Arial" w:cs="Arial"/>
                <w:color w:val="262626" w:themeColor="text1" w:themeTint="D9"/>
                <w:sz w:val="24"/>
                <w:szCs w:val="24"/>
                <w:lang w:val="en-US"/>
              </w:rPr>
              <w:t>18 0</w:t>
            </w:r>
            <w:r w:rsidR="00A11B40">
              <w:rPr>
                <w:rFonts w:ascii="Arial" w:hAnsi="Arial" w:cs="Arial"/>
                <w:color w:val="262626" w:themeColor="text1" w:themeTint="D9"/>
                <w:sz w:val="24"/>
                <w:szCs w:val="24"/>
                <w:lang w:val="en-US"/>
              </w:rPr>
              <w:t>00 monthly until the arrears were</w:t>
            </w:r>
            <w:r w:rsidR="00E8337D" w:rsidRPr="00E8337D">
              <w:rPr>
                <w:rFonts w:ascii="Arial" w:hAnsi="Arial" w:cs="Arial"/>
                <w:color w:val="262626" w:themeColor="text1" w:themeTint="D9"/>
                <w:sz w:val="24"/>
                <w:szCs w:val="24"/>
                <w:lang w:val="en-US"/>
              </w:rPr>
              <w:t xml:space="preserve"> settled, which amount he simply could not do at this stage. He proposed that he remain with the current instalment and only pay the arrears as of November </w:t>
            </w:r>
            <w:r w:rsidR="00A11B40">
              <w:rPr>
                <w:rFonts w:ascii="Arial" w:hAnsi="Arial" w:cs="Arial"/>
                <w:color w:val="262626" w:themeColor="text1" w:themeTint="D9"/>
                <w:sz w:val="24"/>
                <w:szCs w:val="24"/>
                <w:lang w:val="en-US"/>
              </w:rPr>
              <w:t>2024</w:t>
            </w:r>
            <w:r w:rsidR="00E8337D" w:rsidRPr="00E8337D">
              <w:rPr>
                <w:rFonts w:ascii="Arial" w:hAnsi="Arial" w:cs="Arial"/>
                <w:color w:val="262626" w:themeColor="text1" w:themeTint="D9"/>
                <w:sz w:val="24"/>
                <w:szCs w:val="24"/>
                <w:lang w:val="en-US"/>
              </w:rPr>
              <w:t>.</w:t>
            </w:r>
          </w:p>
          <w:p w14:paraId="30AD3945" w14:textId="77777777" w:rsidR="00204276" w:rsidRPr="00E8337D" w:rsidRDefault="00204276" w:rsidP="00DC03A4">
            <w:pPr>
              <w:spacing w:line="360" w:lineRule="auto"/>
              <w:jc w:val="both"/>
              <w:rPr>
                <w:rFonts w:ascii="Arial" w:hAnsi="Arial" w:cs="Arial"/>
                <w:color w:val="262626" w:themeColor="text1" w:themeTint="D9"/>
                <w:sz w:val="24"/>
                <w:szCs w:val="24"/>
                <w:lang w:val="en-US"/>
              </w:rPr>
            </w:pPr>
          </w:p>
          <w:p w14:paraId="58D82B6E" w14:textId="587120D3" w:rsidR="00E8337D" w:rsidRPr="004F5034" w:rsidRDefault="00DA5EC7" w:rsidP="00DC03A4">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t>[6</w:t>
            </w:r>
            <w:r w:rsidR="008A7C53" w:rsidRPr="004F5034">
              <w:rPr>
                <w:rFonts w:ascii="Arial" w:hAnsi="Arial" w:cs="Arial"/>
                <w:color w:val="262626" w:themeColor="text1" w:themeTint="D9"/>
                <w:sz w:val="24"/>
                <w:szCs w:val="24"/>
                <w:lang w:val="en-US"/>
              </w:rPr>
              <w:t>]</w:t>
            </w:r>
            <w:r w:rsidR="008A7C53" w:rsidRPr="004F5034">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In matters of this nature</w:t>
            </w:r>
            <w:r w:rsidR="00A11B40">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 xml:space="preserve"> the evidential burden rests on the debtor to come forth with viable less drastic measures than to sell the immovable property</w:t>
            </w:r>
            <w:r w:rsidR="00A11B40">
              <w:rPr>
                <w:rFonts w:ascii="Arial" w:hAnsi="Arial" w:cs="Arial"/>
                <w:color w:val="262626" w:themeColor="text1" w:themeTint="D9"/>
                <w:sz w:val="24"/>
                <w:szCs w:val="24"/>
                <w:lang w:val="en-US"/>
              </w:rPr>
              <w:t xml:space="preserve"> in execution</w:t>
            </w:r>
            <w:r w:rsidR="00E8337D" w:rsidRPr="00E8337D">
              <w:rPr>
                <w:rFonts w:ascii="Arial" w:hAnsi="Arial" w:cs="Arial"/>
                <w:color w:val="262626" w:themeColor="text1" w:themeTint="D9"/>
                <w:sz w:val="24"/>
                <w:szCs w:val="24"/>
                <w:lang w:val="en-US"/>
              </w:rPr>
              <w:t>. The parties appeared before a different court previously and the order show</w:t>
            </w:r>
            <w:r w:rsidR="00166649">
              <w:rPr>
                <w:rFonts w:ascii="Arial" w:hAnsi="Arial" w:cs="Arial"/>
                <w:color w:val="262626" w:themeColor="text1" w:themeTint="D9"/>
                <w:sz w:val="24"/>
                <w:szCs w:val="24"/>
                <w:lang w:val="en-US"/>
              </w:rPr>
              <w:t>s</w:t>
            </w:r>
            <w:r w:rsidR="00E8337D" w:rsidRPr="00E8337D">
              <w:rPr>
                <w:rFonts w:ascii="Arial" w:hAnsi="Arial" w:cs="Arial"/>
                <w:color w:val="262626" w:themeColor="text1" w:themeTint="D9"/>
                <w:sz w:val="24"/>
                <w:szCs w:val="24"/>
                <w:lang w:val="en-US"/>
              </w:rPr>
              <w:t xml:space="preserve"> that </w:t>
            </w:r>
            <w:r w:rsidR="00A11B40">
              <w:rPr>
                <w:rFonts w:ascii="Arial" w:hAnsi="Arial" w:cs="Arial"/>
                <w:color w:val="262626" w:themeColor="text1" w:themeTint="D9"/>
                <w:sz w:val="24"/>
                <w:szCs w:val="24"/>
                <w:lang w:val="en-US"/>
              </w:rPr>
              <w:t>they</w:t>
            </w:r>
            <w:r w:rsidR="00E8337D" w:rsidRPr="00E8337D">
              <w:rPr>
                <w:rFonts w:ascii="Arial" w:hAnsi="Arial" w:cs="Arial"/>
                <w:color w:val="262626" w:themeColor="text1" w:themeTint="D9"/>
                <w:sz w:val="24"/>
                <w:szCs w:val="24"/>
                <w:lang w:val="en-US"/>
              </w:rPr>
              <w:t xml:space="preserve"> were afforded another chance to file aff</w:t>
            </w:r>
            <w:r w:rsidR="0084035F">
              <w:rPr>
                <w:rFonts w:ascii="Arial" w:hAnsi="Arial" w:cs="Arial"/>
                <w:color w:val="262626" w:themeColor="text1" w:themeTint="D9"/>
                <w:sz w:val="24"/>
                <w:szCs w:val="24"/>
                <w:lang w:val="en-US"/>
              </w:rPr>
              <w:t xml:space="preserve">idavits. The record shows that the </w:t>
            </w:r>
            <w:r w:rsidR="00E8337D" w:rsidRPr="00E8337D">
              <w:rPr>
                <w:rFonts w:ascii="Arial" w:hAnsi="Arial" w:cs="Arial"/>
                <w:color w:val="262626" w:themeColor="text1" w:themeTint="D9"/>
                <w:sz w:val="24"/>
                <w:szCs w:val="24"/>
                <w:lang w:val="en-US"/>
              </w:rPr>
              <w:t xml:space="preserve">debtor was informed to deal with less drastic measures therein. Instead of an affidavit, he filed a document </w:t>
            </w:r>
            <w:r>
              <w:rPr>
                <w:rFonts w:ascii="Arial" w:hAnsi="Arial" w:cs="Arial"/>
                <w:color w:val="262626" w:themeColor="text1" w:themeTint="D9"/>
                <w:sz w:val="24"/>
                <w:szCs w:val="24"/>
                <w:lang w:val="en-US"/>
              </w:rPr>
              <w:t xml:space="preserve">with no supporting documents in relation to his finances or assets </w:t>
            </w:r>
            <w:r w:rsidR="00E8337D" w:rsidRPr="00E8337D">
              <w:rPr>
                <w:rFonts w:ascii="Arial" w:hAnsi="Arial" w:cs="Arial"/>
                <w:color w:val="262626" w:themeColor="text1" w:themeTint="D9"/>
                <w:sz w:val="24"/>
                <w:szCs w:val="24"/>
                <w:lang w:val="en-US"/>
              </w:rPr>
              <w:t xml:space="preserve">and the enquiry proceeded on that basis. </w:t>
            </w:r>
          </w:p>
          <w:p w14:paraId="77A611FB" w14:textId="77777777" w:rsidR="008A7C53" w:rsidRPr="00E8337D" w:rsidRDefault="008A7C53" w:rsidP="00DC03A4">
            <w:pPr>
              <w:spacing w:line="360" w:lineRule="auto"/>
              <w:jc w:val="both"/>
              <w:rPr>
                <w:rFonts w:ascii="Arial" w:hAnsi="Arial" w:cs="Arial"/>
                <w:color w:val="262626" w:themeColor="text1" w:themeTint="D9"/>
                <w:sz w:val="24"/>
                <w:szCs w:val="24"/>
                <w:lang w:val="en-US"/>
              </w:rPr>
            </w:pPr>
          </w:p>
          <w:p w14:paraId="5AFB3439" w14:textId="6C2AA3CE" w:rsidR="008A7C53" w:rsidRPr="004F5034" w:rsidRDefault="008A7C53" w:rsidP="008A7C53">
            <w:pPr>
              <w:spacing w:line="360" w:lineRule="auto"/>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lang w:val="en-US"/>
              </w:rPr>
              <w:t>[</w:t>
            </w:r>
            <w:r w:rsidR="00DA5EC7">
              <w:rPr>
                <w:rFonts w:ascii="Arial" w:hAnsi="Arial" w:cs="Arial"/>
                <w:color w:val="262626" w:themeColor="text1" w:themeTint="D9"/>
                <w:sz w:val="24"/>
                <w:szCs w:val="24"/>
                <w:lang w:val="en-US"/>
              </w:rPr>
              <w:t>7</w:t>
            </w:r>
            <w:r w:rsidRPr="004F5034">
              <w:rPr>
                <w:rFonts w:ascii="Arial" w:hAnsi="Arial" w:cs="Arial"/>
                <w:color w:val="262626" w:themeColor="text1" w:themeTint="D9"/>
                <w:sz w:val="24"/>
                <w:szCs w:val="24"/>
                <w:lang w:val="en-US"/>
              </w:rPr>
              <w:t>]</w:t>
            </w:r>
            <w:r w:rsidRPr="004F5034">
              <w:rPr>
                <w:rFonts w:ascii="Arial" w:hAnsi="Arial" w:cs="Arial"/>
                <w:color w:val="262626" w:themeColor="text1" w:themeTint="D9"/>
                <w:sz w:val="24"/>
                <w:szCs w:val="24"/>
              </w:rPr>
              <w:tab/>
              <w:t xml:space="preserve">In </w:t>
            </w:r>
            <w:proofErr w:type="spellStart"/>
            <w:r w:rsidRPr="004F5034">
              <w:rPr>
                <w:rFonts w:ascii="Arial" w:hAnsi="Arial" w:cs="Arial"/>
                <w:i/>
                <w:color w:val="262626" w:themeColor="text1" w:themeTint="D9"/>
                <w:sz w:val="24"/>
                <w:szCs w:val="24"/>
              </w:rPr>
              <w:t>Kisilipile</w:t>
            </w:r>
            <w:proofErr w:type="spellEnd"/>
            <w:r w:rsidRPr="004F5034">
              <w:rPr>
                <w:rFonts w:ascii="Arial" w:hAnsi="Arial" w:cs="Arial"/>
                <w:i/>
                <w:color w:val="262626" w:themeColor="text1" w:themeTint="D9"/>
                <w:sz w:val="24"/>
                <w:szCs w:val="24"/>
              </w:rPr>
              <w:t xml:space="preserve"> and</w:t>
            </w:r>
            <w:r w:rsidR="00C16EA7">
              <w:rPr>
                <w:rFonts w:ascii="Arial" w:hAnsi="Arial" w:cs="Arial"/>
                <w:i/>
                <w:color w:val="262626" w:themeColor="text1" w:themeTint="D9"/>
                <w:sz w:val="24"/>
                <w:szCs w:val="24"/>
              </w:rPr>
              <w:t xml:space="preserve"> Another </w:t>
            </w:r>
            <w:r w:rsidRPr="004F5034">
              <w:rPr>
                <w:rFonts w:ascii="Arial" w:hAnsi="Arial" w:cs="Arial"/>
                <w:i/>
                <w:color w:val="262626" w:themeColor="text1" w:themeTint="D9"/>
                <w:sz w:val="24"/>
                <w:szCs w:val="24"/>
              </w:rPr>
              <w:t>v First National Bank of Namibia Limited</w:t>
            </w:r>
            <w:r w:rsidRPr="004F5034">
              <w:rPr>
                <w:rStyle w:val="FootnoteReference"/>
                <w:rFonts w:ascii="Arial" w:hAnsi="Arial" w:cs="Arial"/>
                <w:color w:val="262626" w:themeColor="text1" w:themeTint="D9"/>
                <w:sz w:val="24"/>
                <w:szCs w:val="24"/>
              </w:rPr>
              <w:footnoteReference w:id="2"/>
            </w:r>
            <w:r w:rsidRPr="004F5034">
              <w:rPr>
                <w:rFonts w:ascii="Arial" w:hAnsi="Arial" w:cs="Arial"/>
                <w:i/>
                <w:color w:val="262626" w:themeColor="text1" w:themeTint="D9"/>
                <w:sz w:val="24"/>
                <w:szCs w:val="24"/>
              </w:rPr>
              <w:t xml:space="preserve"> </w:t>
            </w:r>
            <w:r w:rsidRPr="004F5034">
              <w:rPr>
                <w:rFonts w:ascii="Arial" w:hAnsi="Arial" w:cs="Arial"/>
                <w:color w:val="262626" w:themeColor="text1" w:themeTint="D9"/>
                <w:sz w:val="24"/>
                <w:szCs w:val="24"/>
              </w:rPr>
              <w:t xml:space="preserve">it was stated that: </w:t>
            </w:r>
          </w:p>
          <w:p w14:paraId="720F4C11" w14:textId="77777777" w:rsidR="008A7C53" w:rsidRPr="004F5034" w:rsidRDefault="008A7C53" w:rsidP="008A7C53">
            <w:pPr>
              <w:spacing w:line="360" w:lineRule="auto"/>
              <w:jc w:val="both"/>
              <w:rPr>
                <w:rFonts w:ascii="Arial" w:hAnsi="Arial" w:cs="Arial"/>
                <w:color w:val="262626" w:themeColor="text1" w:themeTint="D9"/>
                <w:sz w:val="24"/>
                <w:szCs w:val="24"/>
              </w:rPr>
            </w:pPr>
          </w:p>
          <w:p w14:paraId="4FE60E74" w14:textId="77777777" w:rsidR="008A7C53" w:rsidRPr="004F5034" w:rsidRDefault="008A7C53" w:rsidP="008A7C53">
            <w:pPr>
              <w:spacing w:line="360" w:lineRule="auto"/>
              <w:jc w:val="both"/>
              <w:rPr>
                <w:rFonts w:ascii="Arial" w:hAnsi="Arial" w:cs="Arial"/>
                <w:color w:val="262626" w:themeColor="text1" w:themeTint="D9"/>
              </w:rPr>
            </w:pPr>
            <w:r w:rsidRPr="004F5034">
              <w:rPr>
                <w:rFonts w:ascii="Arial" w:hAnsi="Arial" w:cs="Arial"/>
                <w:color w:val="262626" w:themeColor="text1" w:themeTint="D9"/>
                <w:sz w:val="24"/>
                <w:szCs w:val="24"/>
              </w:rPr>
              <w:tab/>
            </w:r>
            <w:r w:rsidRPr="004F5034">
              <w:rPr>
                <w:rFonts w:ascii="Arial" w:hAnsi="Arial" w:cs="Arial"/>
                <w:color w:val="262626" w:themeColor="text1" w:themeTint="D9"/>
              </w:rPr>
              <w:t>‘[19]</w:t>
            </w:r>
            <w:r w:rsidRPr="004F5034">
              <w:rPr>
                <w:rFonts w:ascii="Arial" w:hAnsi="Arial" w:cs="Arial"/>
                <w:color w:val="262626" w:themeColor="text1" w:themeTint="D9"/>
              </w:rPr>
              <w:tab/>
              <w:t xml:space="preserve">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w:t>
            </w:r>
          </w:p>
          <w:p w14:paraId="5803877E" w14:textId="77777777" w:rsidR="008A7C53" w:rsidRPr="004F5034" w:rsidRDefault="008A7C53" w:rsidP="008A7C53">
            <w:pPr>
              <w:spacing w:line="360" w:lineRule="auto"/>
              <w:jc w:val="both"/>
              <w:rPr>
                <w:rFonts w:ascii="Arial" w:hAnsi="Arial" w:cs="Arial"/>
                <w:color w:val="262626" w:themeColor="text1" w:themeTint="D9"/>
                <w:sz w:val="24"/>
                <w:szCs w:val="24"/>
              </w:rPr>
            </w:pPr>
          </w:p>
          <w:p w14:paraId="233B60AB" w14:textId="600F73F0" w:rsidR="008A7C53" w:rsidRPr="004F5034" w:rsidRDefault="00DA5EC7" w:rsidP="00DC03A4">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t>[8</w:t>
            </w:r>
            <w:r w:rsidR="008A7C53" w:rsidRPr="004F5034">
              <w:rPr>
                <w:rFonts w:ascii="Arial" w:hAnsi="Arial" w:cs="Arial"/>
                <w:color w:val="262626" w:themeColor="text1" w:themeTint="D9"/>
                <w:sz w:val="24"/>
                <w:szCs w:val="24"/>
                <w:lang w:val="en-US"/>
              </w:rPr>
              <w:t>]</w:t>
            </w:r>
            <w:r w:rsidR="008A7C53" w:rsidRPr="004F5034">
              <w:rPr>
                <w:rFonts w:ascii="Arial" w:hAnsi="Arial" w:cs="Arial"/>
                <w:color w:val="262626" w:themeColor="text1" w:themeTint="D9"/>
                <w:sz w:val="24"/>
                <w:szCs w:val="24"/>
                <w:lang w:val="en-US"/>
              </w:rPr>
              <w:tab/>
            </w:r>
            <w:r w:rsidR="008A7C53" w:rsidRPr="00E8337D">
              <w:rPr>
                <w:rFonts w:ascii="Arial" w:hAnsi="Arial" w:cs="Arial"/>
                <w:color w:val="262626" w:themeColor="text1" w:themeTint="D9"/>
                <w:sz w:val="24"/>
                <w:szCs w:val="24"/>
                <w:lang w:val="en-US"/>
              </w:rPr>
              <w:t>I accept that it will be difficult to lay one’s cards in the open, but it is unfortunately part</w:t>
            </w:r>
            <w:r w:rsidR="00A11B40">
              <w:rPr>
                <w:rFonts w:ascii="Arial" w:hAnsi="Arial" w:cs="Arial"/>
                <w:color w:val="262626" w:themeColor="text1" w:themeTint="D9"/>
                <w:sz w:val="24"/>
                <w:szCs w:val="24"/>
                <w:lang w:val="en-US"/>
              </w:rPr>
              <w:t xml:space="preserve"> of the process of trying to sav</w:t>
            </w:r>
            <w:r w:rsidR="008A7C53" w:rsidRPr="00E8337D">
              <w:rPr>
                <w:rFonts w:ascii="Arial" w:hAnsi="Arial" w:cs="Arial"/>
                <w:color w:val="262626" w:themeColor="text1" w:themeTint="D9"/>
                <w:sz w:val="24"/>
                <w:szCs w:val="24"/>
                <w:lang w:val="en-US"/>
              </w:rPr>
              <w:t>e one’s house from execution</w:t>
            </w:r>
            <w:r w:rsidR="008A7C53" w:rsidRPr="004F5034">
              <w:rPr>
                <w:rFonts w:ascii="Arial" w:hAnsi="Arial" w:cs="Arial"/>
                <w:color w:val="262626" w:themeColor="text1" w:themeTint="D9"/>
                <w:sz w:val="24"/>
                <w:szCs w:val="24"/>
                <w:lang w:val="en-US"/>
              </w:rPr>
              <w:t>. In this matter</w:t>
            </w:r>
            <w:r w:rsidR="00A11B40">
              <w:rPr>
                <w:rFonts w:ascii="Arial" w:hAnsi="Arial" w:cs="Arial"/>
                <w:color w:val="262626" w:themeColor="text1" w:themeTint="D9"/>
                <w:sz w:val="24"/>
                <w:szCs w:val="24"/>
                <w:lang w:val="en-US"/>
              </w:rPr>
              <w:t>,</w:t>
            </w:r>
            <w:r w:rsidR="008A7C53" w:rsidRPr="004F5034">
              <w:rPr>
                <w:rFonts w:ascii="Arial" w:hAnsi="Arial" w:cs="Arial"/>
                <w:color w:val="262626" w:themeColor="text1" w:themeTint="D9"/>
                <w:sz w:val="24"/>
                <w:szCs w:val="24"/>
                <w:lang w:val="en-US"/>
              </w:rPr>
              <w:t xml:space="preserve"> </w:t>
            </w:r>
            <w:r w:rsidR="00E8337D" w:rsidRPr="00E8337D">
              <w:rPr>
                <w:rFonts w:ascii="Arial" w:hAnsi="Arial" w:cs="Arial"/>
                <w:color w:val="262626" w:themeColor="text1" w:themeTint="D9"/>
                <w:sz w:val="24"/>
                <w:szCs w:val="24"/>
                <w:lang w:val="en-US"/>
              </w:rPr>
              <w:t>the debtor elected to not put forth his version under oath and also came to court without any supporting document to cement the information. In addition, the debtor did not dispute the dire financial picture that the applicant</w:t>
            </w:r>
            <w:r w:rsidR="008A7C53" w:rsidRPr="004F5034">
              <w:rPr>
                <w:rFonts w:ascii="Arial" w:hAnsi="Arial" w:cs="Arial"/>
                <w:color w:val="262626" w:themeColor="text1" w:themeTint="D9"/>
                <w:sz w:val="24"/>
                <w:szCs w:val="24"/>
                <w:lang w:val="en-US"/>
              </w:rPr>
              <w:t xml:space="preserve"> deposed to under oath, which was evident </w:t>
            </w:r>
            <w:r w:rsidR="00E8337D" w:rsidRPr="00E8337D">
              <w:rPr>
                <w:rFonts w:ascii="Arial" w:hAnsi="Arial" w:cs="Arial"/>
                <w:color w:val="262626" w:themeColor="text1" w:themeTint="D9"/>
                <w:sz w:val="24"/>
                <w:szCs w:val="24"/>
                <w:lang w:val="en-US"/>
              </w:rPr>
              <w:t>from the bank statement. That did nothing to satisfy the court that he is in a position to have a concrete and viable plan in place to service the loan and settle the arrears on the account.  As such</w:t>
            </w:r>
            <w:r w:rsidR="00A11B40">
              <w:rPr>
                <w:rFonts w:ascii="Arial" w:hAnsi="Arial" w:cs="Arial"/>
                <w:color w:val="262626" w:themeColor="text1" w:themeTint="D9"/>
                <w:sz w:val="24"/>
                <w:szCs w:val="24"/>
                <w:lang w:val="en-US"/>
              </w:rPr>
              <w:t>,</w:t>
            </w:r>
            <w:r w:rsidR="00E8337D" w:rsidRPr="00E8337D">
              <w:rPr>
                <w:rFonts w:ascii="Arial" w:hAnsi="Arial" w:cs="Arial"/>
                <w:color w:val="262626" w:themeColor="text1" w:themeTint="D9"/>
                <w:sz w:val="24"/>
                <w:szCs w:val="24"/>
                <w:lang w:val="en-US"/>
              </w:rPr>
              <w:t xml:space="preserve"> he failed to discharge the onus on him.</w:t>
            </w:r>
          </w:p>
          <w:p w14:paraId="1A033C09" w14:textId="37F83446" w:rsidR="008A7C53" w:rsidRPr="004F5034" w:rsidRDefault="00E8337D" w:rsidP="00DC03A4">
            <w:pPr>
              <w:spacing w:line="360" w:lineRule="auto"/>
              <w:jc w:val="both"/>
              <w:rPr>
                <w:rFonts w:ascii="Arial" w:hAnsi="Arial" w:cs="Arial"/>
                <w:color w:val="262626" w:themeColor="text1" w:themeTint="D9"/>
                <w:sz w:val="24"/>
                <w:szCs w:val="24"/>
                <w:lang w:val="en-US"/>
              </w:rPr>
            </w:pPr>
            <w:r w:rsidRPr="00E8337D">
              <w:rPr>
                <w:rFonts w:ascii="Arial" w:hAnsi="Arial" w:cs="Arial"/>
                <w:color w:val="262626" w:themeColor="text1" w:themeTint="D9"/>
                <w:sz w:val="24"/>
                <w:szCs w:val="24"/>
                <w:lang w:val="en-US"/>
              </w:rPr>
              <w:t xml:space="preserve"> </w:t>
            </w:r>
          </w:p>
          <w:p w14:paraId="0F4E99C9" w14:textId="0C477A4A" w:rsidR="008A7C53" w:rsidRPr="004F5034" w:rsidRDefault="00DA5EC7" w:rsidP="008A7C53">
            <w:pPr>
              <w:spacing w:line="360" w:lineRule="auto"/>
              <w:jc w:val="both"/>
              <w:rPr>
                <w:rFonts w:ascii="Arial" w:hAnsi="Arial" w:cs="Arial"/>
                <w:color w:val="262626" w:themeColor="text1" w:themeTint="D9"/>
                <w:sz w:val="24"/>
                <w:szCs w:val="24"/>
                <w:lang w:val="en-US"/>
              </w:rPr>
            </w:pPr>
            <w:r>
              <w:rPr>
                <w:rFonts w:ascii="Arial" w:hAnsi="Arial" w:cs="Arial"/>
                <w:color w:val="262626" w:themeColor="text1" w:themeTint="D9"/>
                <w:sz w:val="24"/>
                <w:szCs w:val="24"/>
                <w:lang w:val="en-US"/>
              </w:rPr>
              <w:lastRenderedPageBreak/>
              <w:t>[9</w:t>
            </w:r>
            <w:r w:rsidR="008A7C53" w:rsidRPr="004F5034">
              <w:rPr>
                <w:rFonts w:ascii="Arial" w:hAnsi="Arial" w:cs="Arial"/>
                <w:color w:val="262626" w:themeColor="text1" w:themeTint="D9"/>
                <w:sz w:val="24"/>
                <w:szCs w:val="24"/>
                <w:lang w:val="en-US"/>
              </w:rPr>
              <w:t>]</w:t>
            </w:r>
            <w:r w:rsidR="008A7C53" w:rsidRPr="004F5034">
              <w:rPr>
                <w:rFonts w:ascii="Arial" w:hAnsi="Arial" w:cs="Arial"/>
                <w:color w:val="262626" w:themeColor="text1" w:themeTint="D9"/>
                <w:sz w:val="24"/>
                <w:szCs w:val="24"/>
                <w:lang w:val="en-US"/>
              </w:rPr>
              <w:tab/>
            </w:r>
            <w:r w:rsidR="00E8337D" w:rsidRPr="00E8337D">
              <w:rPr>
                <w:rFonts w:ascii="Arial" w:hAnsi="Arial" w:cs="Arial"/>
                <w:color w:val="262626" w:themeColor="text1" w:themeTint="D9"/>
                <w:sz w:val="24"/>
                <w:szCs w:val="24"/>
                <w:lang w:val="en-US"/>
              </w:rPr>
              <w:t>Thus the court grant</w:t>
            </w:r>
            <w:r w:rsidR="008A7C53" w:rsidRPr="004F5034">
              <w:rPr>
                <w:rFonts w:ascii="Arial" w:hAnsi="Arial" w:cs="Arial"/>
                <w:color w:val="262626" w:themeColor="text1" w:themeTint="D9"/>
                <w:sz w:val="24"/>
                <w:szCs w:val="24"/>
                <w:lang w:val="en-US"/>
              </w:rPr>
              <w:t xml:space="preserve">s the application as prayed for. </w:t>
            </w:r>
          </w:p>
          <w:p w14:paraId="39DE5F1A" w14:textId="77777777" w:rsidR="008A7C53" w:rsidRPr="004F5034" w:rsidRDefault="008A7C53" w:rsidP="008A7C53">
            <w:pPr>
              <w:spacing w:line="360" w:lineRule="auto"/>
              <w:jc w:val="both"/>
              <w:rPr>
                <w:rFonts w:ascii="Arial" w:hAnsi="Arial" w:cs="Arial"/>
                <w:b/>
                <w:color w:val="262626" w:themeColor="text1" w:themeTint="D9"/>
                <w:sz w:val="24"/>
                <w:szCs w:val="24"/>
              </w:rPr>
            </w:pPr>
            <w:r w:rsidRPr="004F5034">
              <w:rPr>
                <w:rFonts w:ascii="Arial" w:hAnsi="Arial" w:cs="Arial"/>
                <w:color w:val="262626" w:themeColor="text1" w:themeTint="D9"/>
                <w:sz w:val="24"/>
                <w:szCs w:val="24"/>
                <w:lang w:val="en-US"/>
              </w:rPr>
              <w:tab/>
            </w:r>
          </w:p>
          <w:p w14:paraId="22F32C8F" w14:textId="5F079E1C" w:rsidR="008A7C53" w:rsidRPr="004F5034" w:rsidRDefault="008A7C53" w:rsidP="008A7C53">
            <w:pPr>
              <w:pStyle w:val="ListParagraph"/>
              <w:numPr>
                <w:ilvl w:val="0"/>
                <w:numId w:val="26"/>
              </w:numPr>
              <w:spacing w:line="360" w:lineRule="auto"/>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The following immovable property is hereby declared specially executable:</w:t>
            </w:r>
          </w:p>
          <w:p w14:paraId="660121B2"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p>
          <w:p w14:paraId="547688E6" w14:textId="134F1195"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 xml:space="preserve">CERTAIN: </w:t>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r>
            <w:proofErr w:type="spellStart"/>
            <w:r w:rsidRPr="004F5034">
              <w:rPr>
                <w:rFonts w:ascii="Arial" w:hAnsi="Arial" w:cs="Arial"/>
                <w:color w:val="262626" w:themeColor="text1" w:themeTint="D9"/>
                <w:sz w:val="24"/>
                <w:szCs w:val="24"/>
              </w:rPr>
              <w:t>Erf</w:t>
            </w:r>
            <w:proofErr w:type="spellEnd"/>
            <w:r w:rsidRPr="004F5034">
              <w:rPr>
                <w:rFonts w:ascii="Arial" w:hAnsi="Arial" w:cs="Arial"/>
                <w:color w:val="262626" w:themeColor="text1" w:themeTint="D9"/>
                <w:sz w:val="24"/>
                <w:szCs w:val="24"/>
              </w:rPr>
              <w:t xml:space="preserve"> No </w:t>
            </w:r>
            <w:r w:rsidR="00CD08AE">
              <w:rPr>
                <w:rFonts w:ascii="Arial" w:hAnsi="Arial" w:cs="Arial"/>
                <w:color w:val="262626" w:themeColor="text1" w:themeTint="D9"/>
                <w:sz w:val="24"/>
                <w:szCs w:val="24"/>
              </w:rPr>
              <w:t>623</w:t>
            </w:r>
            <w:r w:rsidRPr="004F5034">
              <w:rPr>
                <w:rFonts w:ascii="Arial" w:hAnsi="Arial" w:cs="Arial"/>
                <w:color w:val="262626" w:themeColor="text1" w:themeTint="D9"/>
                <w:sz w:val="24"/>
                <w:szCs w:val="24"/>
              </w:rPr>
              <w:t xml:space="preserve">, </w:t>
            </w:r>
            <w:proofErr w:type="spellStart"/>
            <w:r w:rsidRPr="004F5034">
              <w:rPr>
                <w:rFonts w:ascii="Arial" w:hAnsi="Arial" w:cs="Arial"/>
                <w:color w:val="262626" w:themeColor="text1" w:themeTint="D9"/>
                <w:sz w:val="24"/>
                <w:szCs w:val="24"/>
              </w:rPr>
              <w:t>Goreangab</w:t>
            </w:r>
            <w:proofErr w:type="spellEnd"/>
            <w:r w:rsidRPr="004F5034">
              <w:rPr>
                <w:rFonts w:ascii="Arial" w:hAnsi="Arial" w:cs="Arial"/>
                <w:color w:val="262626" w:themeColor="text1" w:themeTint="D9"/>
                <w:sz w:val="24"/>
                <w:szCs w:val="24"/>
              </w:rPr>
              <w:t xml:space="preserve"> (Extension 2)</w:t>
            </w:r>
          </w:p>
          <w:p w14:paraId="626EB439"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r>
          </w:p>
          <w:p w14:paraId="4C04D249"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 xml:space="preserve">SITUATE: </w:t>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t xml:space="preserve">In the municipality of Windhoek </w:t>
            </w:r>
          </w:p>
          <w:p w14:paraId="700423B7"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t>Registration Division “K”</w:t>
            </w:r>
          </w:p>
          <w:p w14:paraId="69DB2494"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t>Windhoek</w:t>
            </w:r>
          </w:p>
          <w:p w14:paraId="171740C6"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p>
          <w:p w14:paraId="721C9AD5"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 xml:space="preserve">MEASURING: </w:t>
            </w:r>
            <w:r w:rsidRPr="004F5034">
              <w:rPr>
                <w:rFonts w:ascii="Arial" w:hAnsi="Arial" w:cs="Arial"/>
                <w:color w:val="262626" w:themeColor="text1" w:themeTint="D9"/>
                <w:sz w:val="24"/>
                <w:szCs w:val="24"/>
              </w:rPr>
              <w:tab/>
              <w:t>200 (two hundred) square meters</w:t>
            </w:r>
          </w:p>
          <w:p w14:paraId="4E6CD257"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p>
          <w:p w14:paraId="3FCE4246"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 xml:space="preserve">HELD: </w:t>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t>Deed of Transfer No. T3229/2013</w:t>
            </w:r>
          </w:p>
          <w:p w14:paraId="66D15C22"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p>
          <w:p w14:paraId="08C862FD" w14:textId="77777777" w:rsidR="008A7C53" w:rsidRPr="004F5034" w:rsidRDefault="008A7C53" w:rsidP="008A7C53">
            <w:pPr>
              <w:pStyle w:val="ListParagraph"/>
              <w:spacing w:line="360" w:lineRule="auto"/>
              <w:ind w:left="743"/>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 xml:space="preserve">SUBJECT: </w:t>
            </w:r>
            <w:r w:rsidRPr="004F5034">
              <w:rPr>
                <w:rFonts w:ascii="Arial" w:hAnsi="Arial" w:cs="Arial"/>
                <w:color w:val="262626" w:themeColor="text1" w:themeTint="D9"/>
                <w:sz w:val="24"/>
                <w:szCs w:val="24"/>
              </w:rPr>
              <w:tab/>
            </w:r>
            <w:r w:rsidRPr="004F5034">
              <w:rPr>
                <w:rFonts w:ascii="Arial" w:hAnsi="Arial" w:cs="Arial"/>
                <w:color w:val="262626" w:themeColor="text1" w:themeTint="D9"/>
                <w:sz w:val="24"/>
                <w:szCs w:val="24"/>
              </w:rPr>
              <w:tab/>
              <w:t>to all the terms and conditions contained therein</w:t>
            </w:r>
          </w:p>
          <w:p w14:paraId="0A8A4733" w14:textId="77777777" w:rsidR="008A7C53" w:rsidRPr="004F5034" w:rsidRDefault="008A7C53" w:rsidP="008A7C53">
            <w:pPr>
              <w:pStyle w:val="ListParagraph"/>
              <w:spacing w:line="360" w:lineRule="auto"/>
              <w:ind w:left="743" w:hanging="710"/>
              <w:jc w:val="both"/>
              <w:rPr>
                <w:rFonts w:ascii="Arial" w:hAnsi="Arial" w:cs="Arial"/>
                <w:color w:val="262626" w:themeColor="text1" w:themeTint="D9"/>
                <w:sz w:val="24"/>
                <w:szCs w:val="24"/>
              </w:rPr>
            </w:pPr>
          </w:p>
          <w:p w14:paraId="75DA2759" w14:textId="071CB5C7" w:rsidR="008A7C53" w:rsidRPr="004F5034" w:rsidRDefault="00166649" w:rsidP="008A7C53">
            <w:pPr>
              <w:pStyle w:val="ListParagraph"/>
              <w:numPr>
                <w:ilvl w:val="0"/>
                <w:numId w:val="26"/>
              </w:numPr>
              <w:tabs>
                <w:tab w:val="left" w:pos="729"/>
              </w:tabs>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Defendant must pay plaintiff’s c</w:t>
            </w:r>
            <w:r w:rsidR="008A7C53" w:rsidRPr="004F5034">
              <w:rPr>
                <w:rFonts w:ascii="Arial" w:hAnsi="Arial" w:cs="Arial"/>
                <w:color w:val="262626" w:themeColor="text1" w:themeTint="D9"/>
                <w:sz w:val="24"/>
                <w:szCs w:val="24"/>
              </w:rPr>
              <w:t>osts of suit on a scale as between attorney and client.</w:t>
            </w:r>
          </w:p>
          <w:p w14:paraId="4D246789" w14:textId="77777777" w:rsidR="008A7C53" w:rsidRPr="004F5034" w:rsidRDefault="008A7C53" w:rsidP="008A7C53">
            <w:pPr>
              <w:pStyle w:val="ListParagraph"/>
              <w:spacing w:line="360" w:lineRule="auto"/>
              <w:ind w:left="743" w:hanging="710"/>
              <w:rPr>
                <w:rFonts w:ascii="Arial" w:hAnsi="Arial" w:cs="Arial"/>
                <w:color w:val="262626" w:themeColor="text1" w:themeTint="D9"/>
                <w:sz w:val="24"/>
                <w:szCs w:val="24"/>
              </w:rPr>
            </w:pPr>
          </w:p>
          <w:p w14:paraId="71D39DDF" w14:textId="2BCC2EEB" w:rsidR="007008BE" w:rsidRPr="004F5034" w:rsidRDefault="008A7C53" w:rsidP="008A7C53">
            <w:pPr>
              <w:pStyle w:val="ListParagraph"/>
              <w:numPr>
                <w:ilvl w:val="0"/>
                <w:numId w:val="26"/>
              </w:numPr>
              <w:spacing w:line="360" w:lineRule="auto"/>
              <w:jc w:val="both"/>
              <w:rPr>
                <w:rFonts w:ascii="Arial" w:hAnsi="Arial" w:cs="Arial"/>
                <w:color w:val="262626" w:themeColor="text1" w:themeTint="D9"/>
                <w:sz w:val="24"/>
                <w:szCs w:val="24"/>
              </w:rPr>
            </w:pPr>
            <w:r w:rsidRPr="004F5034">
              <w:rPr>
                <w:rFonts w:ascii="Arial" w:hAnsi="Arial" w:cs="Arial"/>
                <w:color w:val="262626" w:themeColor="text1" w:themeTint="D9"/>
                <w:sz w:val="24"/>
                <w:szCs w:val="24"/>
              </w:rPr>
              <w:t>The matter is finalised and removed from the roll</w:t>
            </w:r>
            <w:r w:rsidRPr="004F5034">
              <w:rPr>
                <w:rFonts w:ascii="Arial" w:hAnsi="Arial" w:cs="Arial"/>
                <w:color w:val="262626" w:themeColor="text1" w:themeTint="D9"/>
                <w:sz w:val="24"/>
                <w:szCs w:val="24"/>
                <w:lang w:val="en-US"/>
              </w:rPr>
              <w:t xml:space="preserve">. </w:t>
            </w:r>
          </w:p>
        </w:tc>
      </w:tr>
      <w:tr w:rsidR="00CA7995" w:rsidRPr="004A5618" w14:paraId="569D7468" w14:textId="77777777" w:rsidTr="00136505">
        <w:tc>
          <w:tcPr>
            <w:tcW w:w="4770" w:type="dxa"/>
          </w:tcPr>
          <w:p w14:paraId="1CE02859" w14:textId="08D98E96" w:rsidR="00B40844" w:rsidRPr="004A5618" w:rsidRDefault="0053073E"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2FD825CD" w14:textId="77777777" w:rsidR="00002551" w:rsidRDefault="00002551"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4FD38B6C" w:rsidR="00B40844" w:rsidRPr="004A5618" w:rsidRDefault="00CC128D"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5746A8EE" w:rsidR="00B40844" w:rsidRPr="004A5618" w:rsidRDefault="00337423" w:rsidP="00CC128D">
            <w:pPr>
              <w:spacing w:line="360" w:lineRule="auto"/>
              <w:jc w:val="center"/>
              <w:rPr>
                <w:rFonts w:ascii="Arial" w:hAnsi="Arial" w:cs="Arial"/>
                <w:b/>
                <w:sz w:val="24"/>
                <w:szCs w:val="24"/>
              </w:rPr>
            </w:pPr>
            <w:r>
              <w:rPr>
                <w:rFonts w:ascii="Arial" w:hAnsi="Arial" w:cs="Arial"/>
                <w:b/>
                <w:sz w:val="24"/>
                <w:szCs w:val="24"/>
              </w:rPr>
              <w:t xml:space="preserve">Second </w:t>
            </w:r>
            <w:r w:rsidR="00CC128D">
              <w:rPr>
                <w:rFonts w:ascii="Arial" w:hAnsi="Arial" w:cs="Arial"/>
                <w:b/>
                <w:sz w:val="24"/>
                <w:szCs w:val="24"/>
              </w:rPr>
              <w:t>Respondent</w:t>
            </w:r>
          </w:p>
        </w:tc>
      </w:tr>
      <w:tr w:rsidR="00CA7995" w:rsidRPr="004A5618" w14:paraId="7F6632AA" w14:textId="77777777" w:rsidTr="00136505">
        <w:tc>
          <w:tcPr>
            <w:tcW w:w="4770" w:type="dxa"/>
          </w:tcPr>
          <w:p w14:paraId="76F83BBD" w14:textId="65EB1EED" w:rsidR="001B346B" w:rsidRPr="001B346B" w:rsidRDefault="00E8337D" w:rsidP="00937C89">
            <w:pPr>
              <w:spacing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J Gaya</w:t>
            </w:r>
          </w:p>
          <w:p w14:paraId="5821C7F1" w14:textId="2C18AEAF" w:rsidR="00B40844" w:rsidRPr="00134E9F" w:rsidRDefault="00E97512" w:rsidP="00937C89">
            <w:pPr>
              <w:spacing w:line="360" w:lineRule="auto"/>
              <w:jc w:val="center"/>
              <w:rPr>
                <w:rFonts w:ascii="Arial" w:hAnsi="Arial" w:cs="Arial"/>
                <w:sz w:val="24"/>
                <w:szCs w:val="24"/>
              </w:rPr>
            </w:pPr>
            <w:r>
              <w:rPr>
                <w:rFonts w:ascii="Arial" w:hAnsi="Arial" w:cs="Arial"/>
                <w:sz w:val="24"/>
                <w:szCs w:val="24"/>
              </w:rPr>
              <w:t>Of</w:t>
            </w:r>
          </w:p>
          <w:p w14:paraId="5DF3F17F" w14:textId="62AF3130" w:rsidR="00B40844" w:rsidRPr="004A5618" w:rsidRDefault="00E8337D" w:rsidP="00E8337D">
            <w:pPr>
              <w:spacing w:line="360" w:lineRule="auto"/>
              <w:jc w:val="center"/>
              <w:rPr>
                <w:rFonts w:ascii="Arial" w:hAnsi="Arial" w:cs="Arial"/>
                <w:sz w:val="24"/>
                <w:szCs w:val="24"/>
              </w:rPr>
            </w:pPr>
            <w:r>
              <w:rPr>
                <w:rFonts w:ascii="Arial" w:hAnsi="Arial" w:cs="Arial"/>
                <w:sz w:val="24"/>
                <w:szCs w:val="24"/>
              </w:rPr>
              <w:t xml:space="preserve">Fisher, </w:t>
            </w:r>
            <w:proofErr w:type="spellStart"/>
            <w:r>
              <w:rPr>
                <w:rFonts w:ascii="Arial" w:hAnsi="Arial" w:cs="Arial"/>
                <w:sz w:val="24"/>
                <w:szCs w:val="24"/>
              </w:rPr>
              <w:t>Quarmby</w:t>
            </w:r>
            <w:proofErr w:type="spellEnd"/>
            <w:r w:rsidR="00136505" w:rsidRPr="001B346B">
              <w:rPr>
                <w:rFonts w:ascii="Arial" w:hAnsi="Arial" w:cs="Arial"/>
                <w:sz w:val="24"/>
                <w:szCs w:val="24"/>
              </w:rPr>
              <w:t>,</w:t>
            </w:r>
            <w:r w:rsidR="00136505" w:rsidRPr="004A5618">
              <w:rPr>
                <w:rFonts w:ascii="Arial" w:hAnsi="Arial" w:cs="Arial"/>
                <w:sz w:val="24"/>
                <w:szCs w:val="24"/>
              </w:rPr>
              <w:t xml:space="preserve"> Windhoek</w:t>
            </w:r>
          </w:p>
        </w:tc>
        <w:tc>
          <w:tcPr>
            <w:tcW w:w="5436" w:type="dxa"/>
            <w:gridSpan w:val="2"/>
          </w:tcPr>
          <w:p w14:paraId="3B9A518D" w14:textId="2C3211F3" w:rsidR="00661376" w:rsidRPr="00661376" w:rsidRDefault="00E8337D" w:rsidP="00070995">
            <w:pPr>
              <w:spacing w:line="360" w:lineRule="auto"/>
              <w:jc w:val="center"/>
              <w:rPr>
                <w:rFonts w:ascii="Arial" w:hAnsi="Arial" w:cs="Arial"/>
                <w:sz w:val="24"/>
                <w:szCs w:val="24"/>
              </w:rPr>
            </w:pPr>
            <w:r>
              <w:rPr>
                <w:rFonts w:ascii="Arial" w:hAnsi="Arial" w:cs="Arial"/>
                <w:sz w:val="24"/>
                <w:szCs w:val="24"/>
              </w:rPr>
              <w:t xml:space="preserve">R N </w:t>
            </w:r>
            <w:proofErr w:type="spellStart"/>
            <w:r>
              <w:rPr>
                <w:rFonts w:ascii="Arial" w:hAnsi="Arial" w:cs="Arial"/>
                <w:sz w:val="24"/>
                <w:szCs w:val="24"/>
              </w:rPr>
              <w:t>Uugwanga</w:t>
            </w:r>
            <w:proofErr w:type="spellEnd"/>
          </w:p>
          <w:p w14:paraId="2EDA150C" w14:textId="2076F357" w:rsidR="00B62F2B" w:rsidRPr="004A5618" w:rsidRDefault="00070995" w:rsidP="00E8337D">
            <w:pPr>
              <w:spacing w:line="360" w:lineRule="auto"/>
              <w:jc w:val="center"/>
              <w:rPr>
                <w:rFonts w:ascii="Arial" w:hAnsi="Arial" w:cs="Arial"/>
                <w:sz w:val="24"/>
                <w:szCs w:val="24"/>
              </w:rPr>
            </w:pPr>
            <w:r>
              <w:rPr>
                <w:rFonts w:ascii="Arial" w:hAnsi="Arial" w:cs="Arial"/>
                <w:sz w:val="24"/>
                <w:szCs w:val="24"/>
              </w:rPr>
              <w:t>In Person</w:t>
            </w:r>
            <w:r w:rsidR="00683F2D">
              <w:rPr>
                <w:rFonts w:ascii="Arial" w:hAnsi="Arial" w:cs="Arial"/>
                <w:sz w:val="24"/>
                <w:szCs w:val="24"/>
              </w:rPr>
              <w:t xml:space="preserve"> (on behalf of the respondent)</w:t>
            </w:r>
          </w:p>
        </w:tc>
      </w:tr>
    </w:tbl>
    <w:p w14:paraId="0EB2A4A3" w14:textId="77777777" w:rsidR="00B845CF" w:rsidRDefault="00B845CF"/>
    <w:sectPr w:rsidR="00B845CF" w:rsidSect="00340EA6">
      <w:headerReference w:type="default" r:id="rId12"/>
      <w:footerReference w:type="default" r:id="rId13"/>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8ABC6" w14:textId="77777777" w:rsidR="00D271FA" w:rsidRPr="004A5618" w:rsidRDefault="00D271FA" w:rsidP="00B40844">
      <w:pPr>
        <w:spacing w:after="0" w:line="240" w:lineRule="auto"/>
      </w:pPr>
      <w:r w:rsidRPr="004A5618">
        <w:separator/>
      </w:r>
    </w:p>
  </w:endnote>
  <w:endnote w:type="continuationSeparator" w:id="0">
    <w:p w14:paraId="1997BFBB" w14:textId="77777777" w:rsidR="00D271FA" w:rsidRPr="004A5618" w:rsidRDefault="00D271FA"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E7933" w14:textId="77777777" w:rsidR="00D271FA" w:rsidRPr="004A5618" w:rsidRDefault="00D271FA" w:rsidP="00B40844">
      <w:pPr>
        <w:spacing w:after="0" w:line="240" w:lineRule="auto"/>
      </w:pPr>
      <w:r w:rsidRPr="004A5618">
        <w:separator/>
      </w:r>
    </w:p>
  </w:footnote>
  <w:footnote w:type="continuationSeparator" w:id="0">
    <w:p w14:paraId="7E638678" w14:textId="77777777" w:rsidR="00D271FA" w:rsidRPr="004A5618" w:rsidRDefault="00D271FA" w:rsidP="00B40844">
      <w:pPr>
        <w:spacing w:after="0" w:line="240" w:lineRule="auto"/>
      </w:pPr>
      <w:r w:rsidRPr="004A5618">
        <w:continuationSeparator/>
      </w:r>
    </w:p>
  </w:footnote>
  <w:footnote w:id="1">
    <w:p w14:paraId="3A6CD2AD" w14:textId="77777777" w:rsidR="00E8337D" w:rsidRPr="00A11B40" w:rsidRDefault="00E8337D" w:rsidP="00E8337D">
      <w:pPr>
        <w:pStyle w:val="FootnoteText"/>
        <w:rPr>
          <w:rFonts w:ascii="Arial" w:hAnsi="Arial" w:cs="Arial"/>
        </w:rPr>
      </w:pPr>
      <w:r w:rsidRPr="00A11B40">
        <w:rPr>
          <w:rStyle w:val="FootnoteReference"/>
          <w:rFonts w:ascii="Arial" w:hAnsi="Arial" w:cs="Arial"/>
        </w:rPr>
        <w:footnoteRef/>
      </w:r>
      <w:r w:rsidRPr="00A11B40">
        <w:rPr>
          <w:rFonts w:ascii="Arial" w:hAnsi="Arial" w:cs="Arial"/>
        </w:rPr>
        <w:t xml:space="preserve"> As at 16 September 2023.</w:t>
      </w:r>
    </w:p>
  </w:footnote>
  <w:footnote w:id="2">
    <w:p w14:paraId="47C54FBB" w14:textId="60AA8D90" w:rsidR="008A7C53" w:rsidRPr="00A11B40" w:rsidRDefault="008A7C53" w:rsidP="008A7C53">
      <w:pPr>
        <w:pStyle w:val="FootnoteText"/>
        <w:jc w:val="both"/>
        <w:rPr>
          <w:rFonts w:ascii="Arial" w:hAnsi="Arial" w:cs="Arial"/>
          <w:lang w:val="en-ZA"/>
        </w:rPr>
      </w:pPr>
      <w:r w:rsidRPr="00A11B40">
        <w:rPr>
          <w:rStyle w:val="FootnoteReference"/>
          <w:rFonts w:ascii="Arial" w:hAnsi="Arial" w:cs="Arial"/>
        </w:rPr>
        <w:footnoteRef/>
      </w:r>
      <w:r w:rsidRPr="00A11B40">
        <w:rPr>
          <w:rFonts w:ascii="Arial" w:hAnsi="Arial" w:cs="Arial"/>
        </w:rPr>
        <w:t xml:space="preserve"> </w:t>
      </w:r>
      <w:proofErr w:type="spellStart"/>
      <w:r w:rsidRPr="00A11B40">
        <w:rPr>
          <w:rFonts w:ascii="Arial" w:hAnsi="Arial" w:cs="Arial"/>
          <w:i/>
        </w:rPr>
        <w:t>Kisilipile</w:t>
      </w:r>
      <w:proofErr w:type="spellEnd"/>
      <w:r w:rsidRPr="00A11B40">
        <w:rPr>
          <w:rFonts w:ascii="Arial" w:hAnsi="Arial" w:cs="Arial"/>
          <w:i/>
          <w:lang w:val="en-ZA"/>
        </w:rPr>
        <w:t xml:space="preserve"> </w:t>
      </w:r>
      <w:r w:rsidR="00C16EA7" w:rsidRPr="00A11B40">
        <w:rPr>
          <w:rFonts w:ascii="Arial" w:hAnsi="Arial" w:cs="Arial"/>
          <w:i/>
          <w:lang w:val="en-ZA"/>
        </w:rPr>
        <w:t xml:space="preserve">and Another </w:t>
      </w:r>
      <w:r w:rsidRPr="00A11B40">
        <w:rPr>
          <w:rFonts w:ascii="Arial" w:hAnsi="Arial" w:cs="Arial"/>
          <w:i/>
          <w:lang w:val="en-ZA"/>
        </w:rPr>
        <w:t>v First National Bank of Namibia Limited</w:t>
      </w:r>
      <w:r w:rsidRPr="00A11B40">
        <w:rPr>
          <w:rFonts w:ascii="Arial" w:hAnsi="Arial" w:cs="Arial"/>
          <w:lang w:val="en-ZA"/>
        </w:rPr>
        <w:t xml:space="preserve"> </w:t>
      </w:r>
      <w:r w:rsidR="00C16EA7" w:rsidRPr="00A11B40">
        <w:rPr>
          <w:rFonts w:ascii="Arial" w:hAnsi="Arial" w:cs="Arial"/>
          <w:lang w:val="en-ZA"/>
        </w:rPr>
        <w:t>2021 (4) NR 921</w:t>
      </w:r>
      <w:r w:rsidRPr="00A11B40">
        <w:rPr>
          <w:rFonts w:ascii="Arial" w:hAnsi="Arial" w:cs="Arial"/>
          <w:lang w:val="en-ZA"/>
        </w:rPr>
        <w:t>(SC).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FD3EAE">
          <w:rPr>
            <w:rFonts w:ascii="Arial" w:hAnsi="Arial" w:cs="Arial"/>
            <w:noProof/>
            <w:sz w:val="24"/>
            <w:szCs w:val="24"/>
          </w:rPr>
          <w:t>4</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3E16D00"/>
    <w:multiLevelType w:val="hybridMultilevel"/>
    <w:tmpl w:val="F5ECE14A"/>
    <w:lvl w:ilvl="0" w:tplc="79341FE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2481773"/>
    <w:multiLevelType w:val="hybridMultilevel"/>
    <w:tmpl w:val="27E283FA"/>
    <w:lvl w:ilvl="0" w:tplc="574800F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3">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4B426C91"/>
    <w:multiLevelType w:val="hybridMultilevel"/>
    <w:tmpl w:val="5FBE82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8">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3">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4">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3"/>
  </w:num>
  <w:num w:numId="5">
    <w:abstractNumId w:val="1"/>
  </w:num>
  <w:num w:numId="6">
    <w:abstractNumId w:val="11"/>
  </w:num>
  <w:num w:numId="7">
    <w:abstractNumId w:val="10"/>
  </w:num>
  <w:num w:numId="8">
    <w:abstractNumId w:val="23"/>
  </w:num>
  <w:num w:numId="9">
    <w:abstractNumId w:val="8"/>
  </w:num>
  <w:num w:numId="10">
    <w:abstractNumId w:val="5"/>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9"/>
  </w:num>
  <w:num w:numId="16">
    <w:abstractNumId w:val="22"/>
  </w:num>
  <w:num w:numId="17">
    <w:abstractNumId w:val="6"/>
  </w:num>
  <w:num w:numId="18">
    <w:abstractNumId w:val="21"/>
  </w:num>
  <w:num w:numId="19">
    <w:abstractNumId w:val="24"/>
  </w:num>
  <w:num w:numId="20">
    <w:abstractNumId w:val="16"/>
  </w:num>
  <w:num w:numId="21">
    <w:abstractNumId w:val="15"/>
  </w:num>
  <w:num w:numId="22">
    <w:abstractNumId w:val="17"/>
  </w:num>
  <w:num w:numId="23">
    <w:abstractNumId w:val="4"/>
  </w:num>
  <w:num w:numId="24">
    <w:abstractNumId w:val="14"/>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551"/>
    <w:rsid w:val="00002760"/>
    <w:rsid w:val="000142CE"/>
    <w:rsid w:val="00015808"/>
    <w:rsid w:val="000200BD"/>
    <w:rsid w:val="00022A4B"/>
    <w:rsid w:val="00030A66"/>
    <w:rsid w:val="00031642"/>
    <w:rsid w:val="00042EFE"/>
    <w:rsid w:val="00043914"/>
    <w:rsid w:val="00047BBE"/>
    <w:rsid w:val="0005029C"/>
    <w:rsid w:val="00052806"/>
    <w:rsid w:val="00052A39"/>
    <w:rsid w:val="00053646"/>
    <w:rsid w:val="0006006E"/>
    <w:rsid w:val="000650A0"/>
    <w:rsid w:val="00070995"/>
    <w:rsid w:val="00071E6A"/>
    <w:rsid w:val="00076184"/>
    <w:rsid w:val="000929C5"/>
    <w:rsid w:val="000A6E7F"/>
    <w:rsid w:val="000B297E"/>
    <w:rsid w:val="000D1E23"/>
    <w:rsid w:val="000D6EF2"/>
    <w:rsid w:val="000E7C99"/>
    <w:rsid w:val="000F2FD9"/>
    <w:rsid w:val="000F39A3"/>
    <w:rsid w:val="000F681E"/>
    <w:rsid w:val="00100870"/>
    <w:rsid w:val="001032AE"/>
    <w:rsid w:val="00116AFB"/>
    <w:rsid w:val="00117280"/>
    <w:rsid w:val="001223B7"/>
    <w:rsid w:val="00124C63"/>
    <w:rsid w:val="00130339"/>
    <w:rsid w:val="00134E9F"/>
    <w:rsid w:val="00136505"/>
    <w:rsid w:val="00144967"/>
    <w:rsid w:val="00150B08"/>
    <w:rsid w:val="00152FEA"/>
    <w:rsid w:val="00153ED0"/>
    <w:rsid w:val="00157447"/>
    <w:rsid w:val="00163FB4"/>
    <w:rsid w:val="00166649"/>
    <w:rsid w:val="001721EB"/>
    <w:rsid w:val="0017433C"/>
    <w:rsid w:val="001822C1"/>
    <w:rsid w:val="0018718C"/>
    <w:rsid w:val="00191974"/>
    <w:rsid w:val="001A13C3"/>
    <w:rsid w:val="001B2CA3"/>
    <w:rsid w:val="001B346B"/>
    <w:rsid w:val="001B3825"/>
    <w:rsid w:val="001C1570"/>
    <w:rsid w:val="001C33C5"/>
    <w:rsid w:val="001E097B"/>
    <w:rsid w:val="001E113F"/>
    <w:rsid w:val="001E192B"/>
    <w:rsid w:val="001E2A2D"/>
    <w:rsid w:val="002000BA"/>
    <w:rsid w:val="00204276"/>
    <w:rsid w:val="00204A1F"/>
    <w:rsid w:val="0020505F"/>
    <w:rsid w:val="00217744"/>
    <w:rsid w:val="00222067"/>
    <w:rsid w:val="00224808"/>
    <w:rsid w:val="002317B0"/>
    <w:rsid w:val="0023549A"/>
    <w:rsid w:val="00241D98"/>
    <w:rsid w:val="00244BAC"/>
    <w:rsid w:val="00244F7C"/>
    <w:rsid w:val="00250ED7"/>
    <w:rsid w:val="0025219B"/>
    <w:rsid w:val="002536EA"/>
    <w:rsid w:val="00276736"/>
    <w:rsid w:val="0028119C"/>
    <w:rsid w:val="002863C2"/>
    <w:rsid w:val="00287097"/>
    <w:rsid w:val="002A3C64"/>
    <w:rsid w:val="002A4AA3"/>
    <w:rsid w:val="002B38E0"/>
    <w:rsid w:val="002B44E0"/>
    <w:rsid w:val="002C1EF6"/>
    <w:rsid w:val="002D20C5"/>
    <w:rsid w:val="002D298B"/>
    <w:rsid w:val="002D407B"/>
    <w:rsid w:val="002D633E"/>
    <w:rsid w:val="002E738E"/>
    <w:rsid w:val="002F06E3"/>
    <w:rsid w:val="00301CC7"/>
    <w:rsid w:val="00302F62"/>
    <w:rsid w:val="0030757C"/>
    <w:rsid w:val="00311DE0"/>
    <w:rsid w:val="0031523D"/>
    <w:rsid w:val="003206F3"/>
    <w:rsid w:val="00322F39"/>
    <w:rsid w:val="00323AAF"/>
    <w:rsid w:val="00323E22"/>
    <w:rsid w:val="00337423"/>
    <w:rsid w:val="00340EA6"/>
    <w:rsid w:val="003414A7"/>
    <w:rsid w:val="0036327E"/>
    <w:rsid w:val="00371A8B"/>
    <w:rsid w:val="00371B8F"/>
    <w:rsid w:val="00377367"/>
    <w:rsid w:val="0038382D"/>
    <w:rsid w:val="003A1463"/>
    <w:rsid w:val="003A18AD"/>
    <w:rsid w:val="003A3390"/>
    <w:rsid w:val="003A43B2"/>
    <w:rsid w:val="003B03B0"/>
    <w:rsid w:val="003C0EA4"/>
    <w:rsid w:val="003C2574"/>
    <w:rsid w:val="003D165C"/>
    <w:rsid w:val="003D3059"/>
    <w:rsid w:val="003E6398"/>
    <w:rsid w:val="00401C11"/>
    <w:rsid w:val="00404B70"/>
    <w:rsid w:val="00412278"/>
    <w:rsid w:val="00414B69"/>
    <w:rsid w:val="00415F4F"/>
    <w:rsid w:val="00426C60"/>
    <w:rsid w:val="00431A65"/>
    <w:rsid w:val="004352E5"/>
    <w:rsid w:val="004358E2"/>
    <w:rsid w:val="00436B1E"/>
    <w:rsid w:val="00436C2B"/>
    <w:rsid w:val="00437666"/>
    <w:rsid w:val="004416D0"/>
    <w:rsid w:val="00443B14"/>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5788"/>
    <w:rsid w:val="004C646F"/>
    <w:rsid w:val="004D7D3B"/>
    <w:rsid w:val="004E02A0"/>
    <w:rsid w:val="004E3BFB"/>
    <w:rsid w:val="004E6D2F"/>
    <w:rsid w:val="004F5034"/>
    <w:rsid w:val="00503F36"/>
    <w:rsid w:val="005111BA"/>
    <w:rsid w:val="00512AB9"/>
    <w:rsid w:val="00522621"/>
    <w:rsid w:val="00523D75"/>
    <w:rsid w:val="0053073E"/>
    <w:rsid w:val="005334B7"/>
    <w:rsid w:val="00535F29"/>
    <w:rsid w:val="00536EFF"/>
    <w:rsid w:val="005629DA"/>
    <w:rsid w:val="00565B43"/>
    <w:rsid w:val="005672D2"/>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602C25"/>
    <w:rsid w:val="00603DF0"/>
    <w:rsid w:val="00605348"/>
    <w:rsid w:val="00610BF1"/>
    <w:rsid w:val="006115E2"/>
    <w:rsid w:val="006144A8"/>
    <w:rsid w:val="0061537D"/>
    <w:rsid w:val="0062003A"/>
    <w:rsid w:val="00625A57"/>
    <w:rsid w:val="00644855"/>
    <w:rsid w:val="00661376"/>
    <w:rsid w:val="00663770"/>
    <w:rsid w:val="00672C76"/>
    <w:rsid w:val="006734C7"/>
    <w:rsid w:val="00683F2D"/>
    <w:rsid w:val="00695745"/>
    <w:rsid w:val="006976D9"/>
    <w:rsid w:val="006A0BA4"/>
    <w:rsid w:val="006A1E08"/>
    <w:rsid w:val="006B5854"/>
    <w:rsid w:val="006B7521"/>
    <w:rsid w:val="006C2FB6"/>
    <w:rsid w:val="006D0991"/>
    <w:rsid w:val="006D0E84"/>
    <w:rsid w:val="006D69E7"/>
    <w:rsid w:val="006D7450"/>
    <w:rsid w:val="006E014E"/>
    <w:rsid w:val="006E0FD4"/>
    <w:rsid w:val="006F07B3"/>
    <w:rsid w:val="006F1CCC"/>
    <w:rsid w:val="006F6648"/>
    <w:rsid w:val="006F6DE3"/>
    <w:rsid w:val="007008BE"/>
    <w:rsid w:val="00700B1F"/>
    <w:rsid w:val="00702C62"/>
    <w:rsid w:val="00703171"/>
    <w:rsid w:val="00734802"/>
    <w:rsid w:val="00735C39"/>
    <w:rsid w:val="00736DA4"/>
    <w:rsid w:val="007448FE"/>
    <w:rsid w:val="00746C0C"/>
    <w:rsid w:val="0075019C"/>
    <w:rsid w:val="00750F55"/>
    <w:rsid w:val="00752FAA"/>
    <w:rsid w:val="007600DB"/>
    <w:rsid w:val="00766C68"/>
    <w:rsid w:val="00776163"/>
    <w:rsid w:val="0078274D"/>
    <w:rsid w:val="007853D8"/>
    <w:rsid w:val="00787EE4"/>
    <w:rsid w:val="007950C8"/>
    <w:rsid w:val="007979CA"/>
    <w:rsid w:val="007B131C"/>
    <w:rsid w:val="007B2BC4"/>
    <w:rsid w:val="007B2C8F"/>
    <w:rsid w:val="007B7330"/>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75AC"/>
    <w:rsid w:val="00827F39"/>
    <w:rsid w:val="00835300"/>
    <w:rsid w:val="0084035F"/>
    <w:rsid w:val="00843040"/>
    <w:rsid w:val="00853833"/>
    <w:rsid w:val="008653EA"/>
    <w:rsid w:val="00865F37"/>
    <w:rsid w:val="0087368D"/>
    <w:rsid w:val="00882F73"/>
    <w:rsid w:val="00883D7C"/>
    <w:rsid w:val="00886625"/>
    <w:rsid w:val="00890A20"/>
    <w:rsid w:val="00892D9A"/>
    <w:rsid w:val="00895263"/>
    <w:rsid w:val="008A1447"/>
    <w:rsid w:val="008A5AC1"/>
    <w:rsid w:val="008A7C53"/>
    <w:rsid w:val="008B5D68"/>
    <w:rsid w:val="008B6223"/>
    <w:rsid w:val="008C2200"/>
    <w:rsid w:val="008D54B2"/>
    <w:rsid w:val="008E0730"/>
    <w:rsid w:val="008E5E3D"/>
    <w:rsid w:val="008F59A0"/>
    <w:rsid w:val="00904ED1"/>
    <w:rsid w:val="00912F74"/>
    <w:rsid w:val="0091372D"/>
    <w:rsid w:val="00923430"/>
    <w:rsid w:val="009279BE"/>
    <w:rsid w:val="00937C89"/>
    <w:rsid w:val="00944CCD"/>
    <w:rsid w:val="00946D90"/>
    <w:rsid w:val="0095505F"/>
    <w:rsid w:val="0096585C"/>
    <w:rsid w:val="009661E4"/>
    <w:rsid w:val="009733A9"/>
    <w:rsid w:val="009856AB"/>
    <w:rsid w:val="009919F6"/>
    <w:rsid w:val="00996760"/>
    <w:rsid w:val="00997C11"/>
    <w:rsid w:val="009A49BF"/>
    <w:rsid w:val="009A5AD1"/>
    <w:rsid w:val="009A7A59"/>
    <w:rsid w:val="009B41E2"/>
    <w:rsid w:val="009B600F"/>
    <w:rsid w:val="009C3275"/>
    <w:rsid w:val="009C35C9"/>
    <w:rsid w:val="009C62AE"/>
    <w:rsid w:val="009C6F3F"/>
    <w:rsid w:val="009D24DC"/>
    <w:rsid w:val="009D27E8"/>
    <w:rsid w:val="009E730A"/>
    <w:rsid w:val="009F1FA2"/>
    <w:rsid w:val="009F2ADD"/>
    <w:rsid w:val="00A05FE8"/>
    <w:rsid w:val="00A10E40"/>
    <w:rsid w:val="00A11B40"/>
    <w:rsid w:val="00A13C7B"/>
    <w:rsid w:val="00A15CD1"/>
    <w:rsid w:val="00A162A3"/>
    <w:rsid w:val="00A22E0F"/>
    <w:rsid w:val="00A2391E"/>
    <w:rsid w:val="00A23EB6"/>
    <w:rsid w:val="00A26B7B"/>
    <w:rsid w:val="00A31424"/>
    <w:rsid w:val="00A3327E"/>
    <w:rsid w:val="00A42469"/>
    <w:rsid w:val="00A45560"/>
    <w:rsid w:val="00A50F13"/>
    <w:rsid w:val="00A60965"/>
    <w:rsid w:val="00A66511"/>
    <w:rsid w:val="00A75ED6"/>
    <w:rsid w:val="00A85792"/>
    <w:rsid w:val="00A90F3E"/>
    <w:rsid w:val="00A91240"/>
    <w:rsid w:val="00A9498C"/>
    <w:rsid w:val="00AA2EFA"/>
    <w:rsid w:val="00AA3ECB"/>
    <w:rsid w:val="00AC4E79"/>
    <w:rsid w:val="00AD5C54"/>
    <w:rsid w:val="00AD72DD"/>
    <w:rsid w:val="00AE0185"/>
    <w:rsid w:val="00AE08F0"/>
    <w:rsid w:val="00AE16BF"/>
    <w:rsid w:val="00AE2293"/>
    <w:rsid w:val="00B01B6C"/>
    <w:rsid w:val="00B050E7"/>
    <w:rsid w:val="00B119D6"/>
    <w:rsid w:val="00B121EA"/>
    <w:rsid w:val="00B13529"/>
    <w:rsid w:val="00B22F17"/>
    <w:rsid w:val="00B32493"/>
    <w:rsid w:val="00B40844"/>
    <w:rsid w:val="00B42F3B"/>
    <w:rsid w:val="00B45E7F"/>
    <w:rsid w:val="00B47800"/>
    <w:rsid w:val="00B50C99"/>
    <w:rsid w:val="00B51737"/>
    <w:rsid w:val="00B56E34"/>
    <w:rsid w:val="00B5737E"/>
    <w:rsid w:val="00B573A6"/>
    <w:rsid w:val="00B60287"/>
    <w:rsid w:val="00B61AC7"/>
    <w:rsid w:val="00B62F2B"/>
    <w:rsid w:val="00B72DF0"/>
    <w:rsid w:val="00B77777"/>
    <w:rsid w:val="00B808CB"/>
    <w:rsid w:val="00B845CF"/>
    <w:rsid w:val="00B92DE7"/>
    <w:rsid w:val="00B9407E"/>
    <w:rsid w:val="00B96ECC"/>
    <w:rsid w:val="00BA2C89"/>
    <w:rsid w:val="00BA4C8B"/>
    <w:rsid w:val="00BA61B9"/>
    <w:rsid w:val="00BB13F4"/>
    <w:rsid w:val="00BB3273"/>
    <w:rsid w:val="00BB3C0C"/>
    <w:rsid w:val="00BC2C75"/>
    <w:rsid w:val="00BC5931"/>
    <w:rsid w:val="00BD61A4"/>
    <w:rsid w:val="00BD7103"/>
    <w:rsid w:val="00BE31AD"/>
    <w:rsid w:val="00BE3978"/>
    <w:rsid w:val="00BE4F57"/>
    <w:rsid w:val="00BF44EC"/>
    <w:rsid w:val="00C04F28"/>
    <w:rsid w:val="00C06EB4"/>
    <w:rsid w:val="00C14AB5"/>
    <w:rsid w:val="00C16EA7"/>
    <w:rsid w:val="00C2633E"/>
    <w:rsid w:val="00C3225B"/>
    <w:rsid w:val="00C360E9"/>
    <w:rsid w:val="00C47E3A"/>
    <w:rsid w:val="00C5200F"/>
    <w:rsid w:val="00C617C6"/>
    <w:rsid w:val="00C72463"/>
    <w:rsid w:val="00C73D5D"/>
    <w:rsid w:val="00C975D3"/>
    <w:rsid w:val="00CA7995"/>
    <w:rsid w:val="00CB1183"/>
    <w:rsid w:val="00CC128D"/>
    <w:rsid w:val="00CC7431"/>
    <w:rsid w:val="00CD08AE"/>
    <w:rsid w:val="00CD62C0"/>
    <w:rsid w:val="00CE4631"/>
    <w:rsid w:val="00D03B96"/>
    <w:rsid w:val="00D04B6F"/>
    <w:rsid w:val="00D113DD"/>
    <w:rsid w:val="00D24453"/>
    <w:rsid w:val="00D25285"/>
    <w:rsid w:val="00D271FA"/>
    <w:rsid w:val="00D30D4D"/>
    <w:rsid w:val="00D32F8E"/>
    <w:rsid w:val="00D3397A"/>
    <w:rsid w:val="00D37DAA"/>
    <w:rsid w:val="00D41928"/>
    <w:rsid w:val="00D5070E"/>
    <w:rsid w:val="00D547B6"/>
    <w:rsid w:val="00D61648"/>
    <w:rsid w:val="00D6224D"/>
    <w:rsid w:val="00D6655A"/>
    <w:rsid w:val="00D752D7"/>
    <w:rsid w:val="00D80947"/>
    <w:rsid w:val="00D86F11"/>
    <w:rsid w:val="00D87914"/>
    <w:rsid w:val="00D9282E"/>
    <w:rsid w:val="00D960EA"/>
    <w:rsid w:val="00D965B8"/>
    <w:rsid w:val="00DA1708"/>
    <w:rsid w:val="00DA2283"/>
    <w:rsid w:val="00DA5689"/>
    <w:rsid w:val="00DA58B4"/>
    <w:rsid w:val="00DA5EC7"/>
    <w:rsid w:val="00DB5AA2"/>
    <w:rsid w:val="00DC03A4"/>
    <w:rsid w:val="00DD76E7"/>
    <w:rsid w:val="00DE1990"/>
    <w:rsid w:val="00DE220E"/>
    <w:rsid w:val="00DE5DA8"/>
    <w:rsid w:val="00E0573A"/>
    <w:rsid w:val="00E07A3E"/>
    <w:rsid w:val="00E16739"/>
    <w:rsid w:val="00E207A3"/>
    <w:rsid w:val="00E221FD"/>
    <w:rsid w:val="00E33889"/>
    <w:rsid w:val="00E41BE5"/>
    <w:rsid w:val="00E4469F"/>
    <w:rsid w:val="00E452F4"/>
    <w:rsid w:val="00E533BE"/>
    <w:rsid w:val="00E5361F"/>
    <w:rsid w:val="00E53C47"/>
    <w:rsid w:val="00E55FBE"/>
    <w:rsid w:val="00E62DB3"/>
    <w:rsid w:val="00E6569A"/>
    <w:rsid w:val="00E73C41"/>
    <w:rsid w:val="00E778B9"/>
    <w:rsid w:val="00E8337D"/>
    <w:rsid w:val="00E911FB"/>
    <w:rsid w:val="00E96F9E"/>
    <w:rsid w:val="00E97512"/>
    <w:rsid w:val="00EA2DE2"/>
    <w:rsid w:val="00EB1AE0"/>
    <w:rsid w:val="00EC06E4"/>
    <w:rsid w:val="00EC1776"/>
    <w:rsid w:val="00EC7E83"/>
    <w:rsid w:val="00ED27EE"/>
    <w:rsid w:val="00ED2C7B"/>
    <w:rsid w:val="00ED5B76"/>
    <w:rsid w:val="00ED7008"/>
    <w:rsid w:val="00ED76B2"/>
    <w:rsid w:val="00EE122C"/>
    <w:rsid w:val="00EE4268"/>
    <w:rsid w:val="00EF184A"/>
    <w:rsid w:val="00EF249A"/>
    <w:rsid w:val="00EF2FFD"/>
    <w:rsid w:val="00F01B97"/>
    <w:rsid w:val="00F0235A"/>
    <w:rsid w:val="00F05B1C"/>
    <w:rsid w:val="00F05CAB"/>
    <w:rsid w:val="00F0783D"/>
    <w:rsid w:val="00F13D78"/>
    <w:rsid w:val="00F146F6"/>
    <w:rsid w:val="00F21EDB"/>
    <w:rsid w:val="00F25945"/>
    <w:rsid w:val="00F3779B"/>
    <w:rsid w:val="00F4176A"/>
    <w:rsid w:val="00F4726A"/>
    <w:rsid w:val="00F47A1E"/>
    <w:rsid w:val="00F57D85"/>
    <w:rsid w:val="00F62189"/>
    <w:rsid w:val="00F65529"/>
    <w:rsid w:val="00F65903"/>
    <w:rsid w:val="00F66F79"/>
    <w:rsid w:val="00F72231"/>
    <w:rsid w:val="00F7691A"/>
    <w:rsid w:val="00F82EDF"/>
    <w:rsid w:val="00F84868"/>
    <w:rsid w:val="00F84DD1"/>
    <w:rsid w:val="00F92D04"/>
    <w:rsid w:val="00F9481A"/>
    <w:rsid w:val="00F9509A"/>
    <w:rsid w:val="00FB27BC"/>
    <w:rsid w:val="00FB2E9E"/>
    <w:rsid w:val="00FB5F14"/>
    <w:rsid w:val="00FC2237"/>
    <w:rsid w:val="00FC6F2E"/>
    <w:rsid w:val="00FC73EF"/>
    <w:rsid w:val="00FC7A25"/>
    <w:rsid w:val="00FD0062"/>
    <w:rsid w:val="00FD3EA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2023-11-07T18:30:00+00:00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430A-3152-4E71-AEAB-BFA5226057C4}"/>
</file>

<file path=customXml/itemProps2.xml><?xml version="1.0" encoding="utf-8"?>
<ds:datastoreItem xmlns:ds="http://schemas.openxmlformats.org/officeDocument/2006/customXml" ds:itemID="{7042FCC7-5BD7-4168-89FC-1E07410A2E7E}"/>
</file>

<file path=customXml/itemProps3.xml><?xml version="1.0" encoding="utf-8"?>
<ds:datastoreItem xmlns:ds="http://schemas.openxmlformats.org/officeDocument/2006/customXml" ds:itemID="{A9775645-EA20-4B13-BD9B-65C64DD9A152}"/>
</file>

<file path=customXml/itemProps4.xml><?xml version="1.0" encoding="utf-8"?>
<ds:datastoreItem xmlns:ds="http://schemas.openxmlformats.org/officeDocument/2006/customXml" ds:itemID="{E20A92BA-C75C-455F-B678-B5D5E82297BB}"/>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Nedbank Namibia Ltd v Erf Eighty Two Rossmund CC (HC-MD-CIV-ACT-CON-2017-03250) [2023] NAHCMD 691 (1 Nov 2023)</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Of Namibia v Uugwanga CC (HC-MD-CIV-ACT-CON-2023-00046) [2023] NAHCMD 719 (8 November 2023)</dc:title>
  <dc:subject/>
  <dc:creator>shomany keister</dc:creator>
  <cp:keywords/>
  <dc:description/>
  <cp:lastModifiedBy>Liana Cloete</cp:lastModifiedBy>
  <cp:revision>2</cp:revision>
  <cp:lastPrinted>2023-11-08T12:18:00Z</cp:lastPrinted>
  <dcterms:created xsi:type="dcterms:W3CDTF">2023-11-09T05:41:00Z</dcterms:created>
  <dcterms:modified xsi:type="dcterms:W3CDTF">2023-11-09T05:41:00Z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