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827"/>
        <w:gridCol w:w="2835"/>
      </w:tblGrid>
      <w:tr w:rsidR="00AF7D5F" w:rsidRPr="00FE7F68" w14:paraId="229DB763" w14:textId="77777777" w:rsidTr="00155B26">
        <w:tc>
          <w:tcPr>
            <w:tcW w:w="8789" w:type="dxa"/>
            <w:gridSpan w:val="4"/>
          </w:tcPr>
          <w:p w14:paraId="0C4BB454" w14:textId="3D2253A4"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DIVISION, WIN</w:t>
            </w:r>
            <w:r w:rsidR="003B6BE9">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155B26">
        <w:tc>
          <w:tcPr>
            <w:tcW w:w="8789" w:type="dxa"/>
            <w:gridSpan w:val="4"/>
          </w:tcPr>
          <w:p w14:paraId="279F5FEF" w14:textId="77777777" w:rsidR="00AF7D5F" w:rsidRDefault="00AF7D5F" w:rsidP="00AF7D5F">
            <w:pPr>
              <w:spacing w:line="360" w:lineRule="auto"/>
              <w:jc w:val="center"/>
              <w:rPr>
                <w:rFonts w:ascii="Arial" w:hAnsi="Arial" w:cs="Arial"/>
                <w:b/>
                <w:bCs/>
                <w:lang w:val="en-US"/>
              </w:rPr>
            </w:pPr>
            <w:r w:rsidRPr="00791AFD">
              <w:rPr>
                <w:rFonts w:ascii="Arial" w:hAnsi="Arial" w:cs="Arial"/>
                <w:b/>
                <w:bCs/>
                <w:lang w:val="en-US"/>
              </w:rPr>
              <w:t>JUDGMENT</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155B26">
        <w:tc>
          <w:tcPr>
            <w:tcW w:w="8789" w:type="dxa"/>
            <w:gridSpan w:val="4"/>
          </w:tcPr>
          <w:p w14:paraId="11B37741" w14:textId="19194541" w:rsidR="00AF7D5F" w:rsidRDefault="00AF7D5F" w:rsidP="00AF7D5F">
            <w:pPr>
              <w:spacing w:line="360" w:lineRule="auto"/>
              <w:jc w:val="right"/>
              <w:rPr>
                <w:rFonts w:ascii="Arial" w:hAnsi="Arial" w:cs="Arial"/>
                <w:lang w:val="en-US"/>
              </w:rPr>
            </w:pPr>
            <w:r>
              <w:rPr>
                <w:rFonts w:ascii="Arial" w:hAnsi="Arial" w:cs="Arial"/>
                <w:lang w:val="en-US"/>
              </w:rPr>
              <w:t>Case number: HC-MD-CIV-</w:t>
            </w:r>
            <w:r w:rsidR="00791AFD">
              <w:rPr>
                <w:rFonts w:ascii="Arial" w:hAnsi="Arial" w:cs="Arial"/>
                <w:lang w:val="en-US"/>
              </w:rPr>
              <w:t>APP-ATL-2023/00019</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155B26">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791AFD" w14:paraId="34CCEAD3" w14:textId="77777777" w:rsidTr="00155B26">
        <w:tc>
          <w:tcPr>
            <w:tcW w:w="5954" w:type="dxa"/>
            <w:gridSpan w:val="3"/>
          </w:tcPr>
          <w:p w14:paraId="5D832CEA" w14:textId="0545D45C" w:rsidR="00FE7F68" w:rsidRPr="00791AFD" w:rsidRDefault="00791AFD" w:rsidP="00FE7F68">
            <w:pPr>
              <w:spacing w:line="360" w:lineRule="auto"/>
              <w:rPr>
                <w:rFonts w:ascii="Arial" w:hAnsi="Arial" w:cs="Arial"/>
                <w:b/>
                <w:bCs/>
                <w:lang w:val="en-US"/>
              </w:rPr>
            </w:pPr>
            <w:r w:rsidRPr="00791AFD">
              <w:rPr>
                <w:rFonts w:ascii="Arial" w:hAnsi="Arial" w:cs="Arial"/>
                <w:b/>
                <w:bCs/>
                <w:lang w:val="en-US"/>
              </w:rPr>
              <w:t>KALENGA AUGUSTINUS DAVID</w:t>
            </w:r>
          </w:p>
        </w:tc>
        <w:tc>
          <w:tcPr>
            <w:tcW w:w="2835" w:type="dxa"/>
          </w:tcPr>
          <w:p w14:paraId="4662CC21" w14:textId="77777777" w:rsidR="00FE7F68" w:rsidRDefault="00791AFD" w:rsidP="00FE7F68">
            <w:pPr>
              <w:spacing w:line="360" w:lineRule="auto"/>
              <w:jc w:val="right"/>
              <w:rPr>
                <w:rFonts w:ascii="Arial" w:hAnsi="Arial" w:cs="Arial"/>
                <w:b/>
                <w:bCs/>
                <w:lang w:val="en-US"/>
              </w:rPr>
            </w:pPr>
            <w:r w:rsidRPr="00791AFD">
              <w:rPr>
                <w:rFonts w:ascii="Arial" w:hAnsi="Arial" w:cs="Arial"/>
                <w:b/>
                <w:bCs/>
                <w:lang w:val="en-US"/>
              </w:rPr>
              <w:t>APPELLANT</w:t>
            </w:r>
          </w:p>
          <w:p w14:paraId="0C5F0845" w14:textId="55ECB5E6" w:rsidR="00791AFD" w:rsidRPr="00791AFD" w:rsidRDefault="00791AFD" w:rsidP="00FE7F68">
            <w:pPr>
              <w:spacing w:line="360" w:lineRule="auto"/>
              <w:jc w:val="right"/>
              <w:rPr>
                <w:rFonts w:ascii="Arial" w:hAnsi="Arial" w:cs="Arial"/>
                <w:b/>
                <w:bCs/>
                <w:lang w:val="en-US"/>
              </w:rPr>
            </w:pPr>
          </w:p>
        </w:tc>
      </w:tr>
      <w:tr w:rsidR="00FE7F68" w:rsidRPr="00791AFD" w14:paraId="0E075A5C" w14:textId="77777777" w:rsidTr="00155B26">
        <w:tc>
          <w:tcPr>
            <w:tcW w:w="8789" w:type="dxa"/>
            <w:gridSpan w:val="4"/>
          </w:tcPr>
          <w:p w14:paraId="7C0D8C08" w14:textId="77777777" w:rsidR="00FE7F68" w:rsidRDefault="00FE7F68" w:rsidP="00FE7F68">
            <w:pPr>
              <w:spacing w:line="360" w:lineRule="auto"/>
              <w:jc w:val="both"/>
              <w:rPr>
                <w:rFonts w:ascii="Arial" w:hAnsi="Arial" w:cs="Arial"/>
                <w:lang w:val="en-US"/>
              </w:rPr>
            </w:pPr>
            <w:r w:rsidRPr="00791AFD">
              <w:rPr>
                <w:rFonts w:ascii="Arial" w:hAnsi="Arial" w:cs="Arial"/>
                <w:lang w:val="en-US"/>
              </w:rPr>
              <w:t>and</w:t>
            </w:r>
          </w:p>
          <w:p w14:paraId="7105FEA8" w14:textId="5A938592" w:rsidR="00791AFD" w:rsidRPr="00791AFD" w:rsidRDefault="00791AFD" w:rsidP="00FE7F68">
            <w:pPr>
              <w:spacing w:line="360" w:lineRule="auto"/>
              <w:jc w:val="both"/>
              <w:rPr>
                <w:rFonts w:ascii="Arial" w:hAnsi="Arial" w:cs="Arial"/>
                <w:lang w:val="en-US"/>
              </w:rPr>
            </w:pPr>
          </w:p>
        </w:tc>
      </w:tr>
      <w:tr w:rsidR="00FE7F68" w:rsidRPr="00791AFD" w14:paraId="04F81E39" w14:textId="77777777" w:rsidTr="00155B26">
        <w:tc>
          <w:tcPr>
            <w:tcW w:w="5954" w:type="dxa"/>
            <w:gridSpan w:val="3"/>
          </w:tcPr>
          <w:p w14:paraId="00D8DE7D" w14:textId="60AB30B8" w:rsidR="00FE7F68" w:rsidRPr="00791AFD" w:rsidRDefault="00791AFD" w:rsidP="00FE7F68">
            <w:pPr>
              <w:spacing w:line="360" w:lineRule="auto"/>
              <w:rPr>
                <w:rFonts w:ascii="Arial" w:hAnsi="Arial" w:cs="Arial"/>
                <w:b/>
                <w:bCs/>
                <w:lang w:val="en-US"/>
              </w:rPr>
            </w:pPr>
            <w:r w:rsidRPr="00791AFD">
              <w:rPr>
                <w:rFonts w:ascii="Arial" w:hAnsi="Arial" w:cs="Arial"/>
                <w:b/>
                <w:bCs/>
                <w:lang w:val="en-US"/>
              </w:rPr>
              <w:t>EMILIE SIYAMBA</w:t>
            </w:r>
          </w:p>
        </w:tc>
        <w:tc>
          <w:tcPr>
            <w:tcW w:w="2835" w:type="dxa"/>
          </w:tcPr>
          <w:p w14:paraId="047A4384" w14:textId="77777777" w:rsidR="00FE7F68" w:rsidRDefault="00791AFD" w:rsidP="00FE7F68">
            <w:pPr>
              <w:spacing w:line="360" w:lineRule="auto"/>
              <w:jc w:val="right"/>
              <w:rPr>
                <w:rFonts w:ascii="Arial" w:hAnsi="Arial" w:cs="Arial"/>
                <w:b/>
                <w:bCs/>
                <w:lang w:val="en-US"/>
              </w:rPr>
            </w:pPr>
            <w:r>
              <w:rPr>
                <w:rFonts w:ascii="Arial" w:hAnsi="Arial" w:cs="Arial"/>
                <w:b/>
                <w:bCs/>
                <w:lang w:val="en-US"/>
              </w:rPr>
              <w:t>RESPONDENT</w:t>
            </w:r>
          </w:p>
          <w:p w14:paraId="1ADBFFFC" w14:textId="1DDC4054" w:rsidR="00791AFD" w:rsidRPr="00791AFD" w:rsidRDefault="00791AFD" w:rsidP="00FE7F68">
            <w:pPr>
              <w:spacing w:line="360" w:lineRule="auto"/>
              <w:jc w:val="right"/>
              <w:rPr>
                <w:rFonts w:ascii="Arial" w:hAnsi="Arial" w:cs="Arial"/>
                <w:b/>
                <w:bCs/>
                <w:lang w:val="en-US"/>
              </w:rPr>
            </w:pPr>
          </w:p>
        </w:tc>
      </w:tr>
      <w:tr w:rsidR="00AF7D5F" w:rsidRPr="00FE7F68" w14:paraId="41CF2B70" w14:textId="77777777" w:rsidTr="00155B26">
        <w:tc>
          <w:tcPr>
            <w:tcW w:w="2127" w:type="dxa"/>
            <w:gridSpan w:val="2"/>
          </w:tcPr>
          <w:p w14:paraId="487AC033" w14:textId="3EB28DE0" w:rsidR="00AF7D5F" w:rsidRPr="00AF7D5F" w:rsidRDefault="00AF7D5F" w:rsidP="00AF7D5F">
            <w:pPr>
              <w:spacing w:line="360" w:lineRule="auto"/>
              <w:jc w:val="both"/>
              <w:rPr>
                <w:rFonts w:ascii="Arial" w:hAnsi="Arial" w:cs="Arial"/>
                <w:b/>
                <w:bCs/>
                <w:highlight w:val="yellow"/>
                <w:lang w:val="en-US"/>
              </w:rPr>
            </w:pPr>
            <w:r w:rsidRPr="00AF7D5F">
              <w:rPr>
                <w:rFonts w:ascii="Arial" w:hAnsi="Arial" w:cs="Arial"/>
                <w:b/>
                <w:bCs/>
                <w:lang w:val="en-US"/>
              </w:rPr>
              <w:t>Neutral citation:</w:t>
            </w:r>
          </w:p>
        </w:tc>
        <w:tc>
          <w:tcPr>
            <w:tcW w:w="6662" w:type="dxa"/>
            <w:gridSpan w:val="2"/>
          </w:tcPr>
          <w:p w14:paraId="251DFA2E" w14:textId="311DDB4A" w:rsidR="00AF7D5F" w:rsidRPr="00791AFD" w:rsidRDefault="00791AFD" w:rsidP="00AF7D5F">
            <w:pPr>
              <w:spacing w:line="360" w:lineRule="auto"/>
              <w:jc w:val="both"/>
              <w:rPr>
                <w:rFonts w:ascii="Arial" w:hAnsi="Arial" w:cs="Arial"/>
                <w:lang w:val="en-US"/>
              </w:rPr>
            </w:pPr>
            <w:r w:rsidRPr="00791AFD">
              <w:rPr>
                <w:rFonts w:ascii="Arial" w:hAnsi="Arial" w:cs="Arial"/>
                <w:i/>
                <w:iCs/>
                <w:lang w:val="en-US"/>
              </w:rPr>
              <w:t xml:space="preserve">David v </w:t>
            </w:r>
            <w:proofErr w:type="spellStart"/>
            <w:r w:rsidRPr="00791AFD">
              <w:rPr>
                <w:rFonts w:ascii="Arial" w:hAnsi="Arial" w:cs="Arial"/>
                <w:i/>
                <w:iCs/>
                <w:lang w:val="en-US"/>
              </w:rPr>
              <w:t>Siyamba</w:t>
            </w:r>
            <w:proofErr w:type="spellEnd"/>
            <w:r w:rsidR="00AF7D5F" w:rsidRPr="00791AFD">
              <w:rPr>
                <w:rFonts w:ascii="Arial" w:hAnsi="Arial" w:cs="Arial"/>
                <w:lang w:val="en-US"/>
              </w:rPr>
              <w:t xml:space="preserve"> (</w:t>
            </w:r>
            <w:r w:rsidRPr="00791AFD">
              <w:rPr>
                <w:rFonts w:ascii="Arial" w:hAnsi="Arial" w:cs="Arial"/>
                <w:lang w:val="en-US"/>
              </w:rPr>
              <w:t>HC-MD-CIV-APP-ATL-2023/00019</w:t>
            </w:r>
            <w:r w:rsidR="00AF7D5F" w:rsidRPr="00791AFD">
              <w:rPr>
                <w:rFonts w:ascii="Arial" w:hAnsi="Arial" w:cs="Arial"/>
                <w:lang w:val="en-US"/>
              </w:rPr>
              <w:t>) [2024]</w:t>
            </w:r>
            <w:r w:rsidR="00DC6327" w:rsidRPr="00791AFD">
              <w:rPr>
                <w:rFonts w:ascii="Arial" w:hAnsi="Arial" w:cs="Arial"/>
                <w:lang w:val="en-US"/>
              </w:rPr>
              <w:t xml:space="preserve"> NAHCMD</w:t>
            </w:r>
            <w:r w:rsidR="004E7A43">
              <w:rPr>
                <w:rFonts w:ascii="Arial" w:hAnsi="Arial" w:cs="Arial"/>
                <w:lang w:val="en-US"/>
              </w:rPr>
              <w:t xml:space="preserve"> 128</w:t>
            </w:r>
            <w:r w:rsidR="00AF7D5F" w:rsidRPr="00791AFD">
              <w:rPr>
                <w:rFonts w:ascii="Arial" w:hAnsi="Arial" w:cs="Arial"/>
                <w:lang w:val="en-US"/>
              </w:rPr>
              <w:t xml:space="preserve"> (</w:t>
            </w:r>
            <w:r>
              <w:rPr>
                <w:rFonts w:ascii="Arial" w:hAnsi="Arial" w:cs="Arial"/>
                <w:lang w:val="en-US"/>
              </w:rPr>
              <w:t>2</w:t>
            </w:r>
            <w:r w:rsidR="004E7A43">
              <w:rPr>
                <w:rFonts w:ascii="Arial" w:hAnsi="Arial" w:cs="Arial"/>
                <w:lang w:val="en-US"/>
              </w:rPr>
              <w:t>5</w:t>
            </w:r>
            <w:r>
              <w:rPr>
                <w:rFonts w:ascii="Arial" w:hAnsi="Arial" w:cs="Arial"/>
                <w:lang w:val="en-US"/>
              </w:rPr>
              <w:t xml:space="preserve"> March</w:t>
            </w:r>
            <w:r w:rsidR="00AF7D5F" w:rsidRPr="00791AFD">
              <w:rPr>
                <w:rFonts w:ascii="Arial" w:hAnsi="Arial" w:cs="Arial"/>
                <w:lang w:val="en-US"/>
              </w:rPr>
              <w:t xml:space="preserve"> 2024)</w:t>
            </w:r>
          </w:p>
          <w:p w14:paraId="282C2D36" w14:textId="5C4EF553" w:rsidR="00AF7D5F" w:rsidRPr="00AF7D5F" w:rsidRDefault="00AF7D5F" w:rsidP="00AF7D5F">
            <w:pPr>
              <w:spacing w:line="360" w:lineRule="auto"/>
              <w:jc w:val="both"/>
              <w:rPr>
                <w:rFonts w:ascii="Arial" w:hAnsi="Arial" w:cs="Arial"/>
                <w:highlight w:val="yellow"/>
                <w:lang w:val="en-US"/>
              </w:rPr>
            </w:pPr>
          </w:p>
        </w:tc>
      </w:tr>
      <w:tr w:rsidR="00AF7D5F" w:rsidRPr="00155B26" w14:paraId="27AE6A1D" w14:textId="77777777" w:rsidTr="00155B26">
        <w:tc>
          <w:tcPr>
            <w:tcW w:w="1418" w:type="dxa"/>
          </w:tcPr>
          <w:p w14:paraId="6BF613A4" w14:textId="39079173"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Coram:</w:t>
            </w:r>
          </w:p>
        </w:tc>
        <w:tc>
          <w:tcPr>
            <w:tcW w:w="7371" w:type="dxa"/>
            <w:gridSpan w:val="3"/>
          </w:tcPr>
          <w:p w14:paraId="5A5C72D6" w14:textId="561CA919" w:rsidR="00AF7D5F" w:rsidRPr="00155B26" w:rsidRDefault="00C60EAF" w:rsidP="00AF7D5F">
            <w:pPr>
              <w:spacing w:line="360" w:lineRule="auto"/>
              <w:jc w:val="both"/>
              <w:rPr>
                <w:rFonts w:ascii="Arial" w:hAnsi="Arial" w:cs="Arial"/>
                <w:lang w:val="en-US"/>
              </w:rPr>
            </w:pPr>
            <w:r>
              <w:rPr>
                <w:rFonts w:ascii="Arial" w:hAnsi="Arial" w:cs="Arial"/>
                <w:lang w:val="en-US"/>
              </w:rPr>
              <w:t xml:space="preserve">SCHIMMING-CHASE J </w:t>
            </w:r>
            <w:r>
              <w:rPr>
                <w:rFonts w:ascii="Arial" w:hAnsi="Arial" w:cs="Arial"/>
                <w:i/>
                <w:lang w:val="en-US"/>
              </w:rPr>
              <w:t>et</w:t>
            </w:r>
            <w:r w:rsidR="00791AFD">
              <w:rPr>
                <w:rFonts w:ascii="Arial" w:hAnsi="Arial" w:cs="Arial"/>
                <w:lang w:val="en-US"/>
              </w:rPr>
              <w:t xml:space="preserve"> </w:t>
            </w:r>
            <w:r w:rsidR="00155B26">
              <w:rPr>
                <w:rFonts w:ascii="Arial" w:hAnsi="Arial" w:cs="Arial"/>
                <w:lang w:val="en-US"/>
              </w:rPr>
              <w:t>DE JAGER AJ</w:t>
            </w:r>
          </w:p>
        </w:tc>
      </w:tr>
      <w:tr w:rsidR="00AF7D5F" w:rsidRPr="00155B26" w14:paraId="6AA370E6" w14:textId="77777777" w:rsidTr="00155B26">
        <w:tc>
          <w:tcPr>
            <w:tcW w:w="1418" w:type="dxa"/>
          </w:tcPr>
          <w:p w14:paraId="0FD33D8F" w14:textId="392CB1F0"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Heard:</w:t>
            </w:r>
          </w:p>
        </w:tc>
        <w:tc>
          <w:tcPr>
            <w:tcW w:w="7371" w:type="dxa"/>
            <w:gridSpan w:val="3"/>
          </w:tcPr>
          <w:p w14:paraId="35ED4601" w14:textId="42E780B7" w:rsidR="00AF7D5F" w:rsidRPr="00155B26" w:rsidRDefault="00791AFD" w:rsidP="00AF7D5F">
            <w:pPr>
              <w:spacing w:line="360" w:lineRule="auto"/>
              <w:jc w:val="both"/>
              <w:rPr>
                <w:rFonts w:ascii="Arial" w:hAnsi="Arial" w:cs="Arial"/>
                <w:b/>
                <w:bCs/>
                <w:lang w:val="en-US"/>
              </w:rPr>
            </w:pPr>
            <w:r>
              <w:rPr>
                <w:rFonts w:ascii="Arial" w:hAnsi="Arial" w:cs="Arial"/>
                <w:b/>
                <w:bCs/>
                <w:lang w:val="en-US"/>
              </w:rPr>
              <w:t>9 February 2024</w:t>
            </w:r>
          </w:p>
        </w:tc>
      </w:tr>
      <w:tr w:rsidR="00AF7D5F" w:rsidRPr="00AF7D5F" w14:paraId="655093C6" w14:textId="77777777" w:rsidTr="00155B26">
        <w:tc>
          <w:tcPr>
            <w:tcW w:w="1418" w:type="dxa"/>
          </w:tcPr>
          <w:p w14:paraId="550E49EA" w14:textId="221779FF"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Delivered:</w:t>
            </w:r>
          </w:p>
        </w:tc>
        <w:tc>
          <w:tcPr>
            <w:tcW w:w="7371" w:type="dxa"/>
            <w:gridSpan w:val="3"/>
          </w:tcPr>
          <w:p w14:paraId="3BB7DE40" w14:textId="5E83DEDC" w:rsidR="00AF7D5F" w:rsidRDefault="00791AFD" w:rsidP="00AF7D5F">
            <w:pPr>
              <w:spacing w:line="360" w:lineRule="auto"/>
              <w:jc w:val="both"/>
              <w:rPr>
                <w:rFonts w:ascii="Arial" w:hAnsi="Arial" w:cs="Arial"/>
                <w:b/>
                <w:bCs/>
                <w:lang w:val="en-US"/>
              </w:rPr>
            </w:pPr>
            <w:r w:rsidRPr="00791AFD">
              <w:rPr>
                <w:rFonts w:ascii="Arial" w:hAnsi="Arial" w:cs="Arial"/>
                <w:b/>
                <w:bCs/>
                <w:lang w:val="en-US"/>
              </w:rPr>
              <w:t>2</w:t>
            </w:r>
            <w:r w:rsidR="004E7A43">
              <w:rPr>
                <w:rFonts w:ascii="Arial" w:hAnsi="Arial" w:cs="Arial"/>
                <w:b/>
                <w:bCs/>
                <w:lang w:val="en-US"/>
              </w:rPr>
              <w:t>5</w:t>
            </w:r>
            <w:r w:rsidRPr="00791AFD">
              <w:rPr>
                <w:rFonts w:ascii="Arial" w:hAnsi="Arial" w:cs="Arial"/>
                <w:b/>
                <w:bCs/>
                <w:lang w:val="en-US"/>
              </w:rPr>
              <w:t xml:space="preserve"> March 2024</w:t>
            </w:r>
          </w:p>
          <w:p w14:paraId="20367C70" w14:textId="78A3FD94" w:rsidR="00155B26" w:rsidRPr="00155B26" w:rsidRDefault="00155B26" w:rsidP="00AF7D5F">
            <w:pPr>
              <w:spacing w:line="360" w:lineRule="auto"/>
              <w:jc w:val="both"/>
              <w:rPr>
                <w:rFonts w:ascii="Arial" w:hAnsi="Arial" w:cs="Arial"/>
                <w:lang w:val="en-US"/>
              </w:rPr>
            </w:pPr>
          </w:p>
        </w:tc>
      </w:tr>
    </w:tbl>
    <w:p w14:paraId="0DC7DF4A" w14:textId="32536FEE" w:rsidR="001E3882" w:rsidRDefault="00155B26" w:rsidP="001E3882">
      <w:pPr>
        <w:pStyle w:val="ListParagraph"/>
        <w:spacing w:line="360" w:lineRule="auto"/>
        <w:ind w:left="0"/>
        <w:jc w:val="both"/>
        <w:rPr>
          <w:rFonts w:ascii="Arial" w:hAnsi="Arial" w:cs="Arial"/>
          <w:lang w:val="en-US"/>
        </w:rPr>
      </w:pPr>
      <w:proofErr w:type="spellStart"/>
      <w:r w:rsidRPr="00C93308">
        <w:rPr>
          <w:rFonts w:ascii="Arial" w:hAnsi="Arial" w:cs="Arial"/>
          <w:b/>
          <w:bCs/>
          <w:lang w:val="en-US"/>
        </w:rPr>
        <w:t>Flynote</w:t>
      </w:r>
      <w:proofErr w:type="spellEnd"/>
      <w:r w:rsidRPr="00C93308">
        <w:rPr>
          <w:rFonts w:ascii="Arial" w:hAnsi="Arial" w:cs="Arial"/>
          <w:b/>
          <w:bCs/>
          <w:lang w:val="en-US"/>
        </w:rPr>
        <w:t>:</w:t>
      </w:r>
      <w:r w:rsidRPr="00C93308">
        <w:rPr>
          <w:rFonts w:ascii="Arial" w:hAnsi="Arial" w:cs="Arial"/>
          <w:b/>
          <w:bCs/>
          <w:lang w:val="en-US"/>
        </w:rPr>
        <w:tab/>
      </w:r>
      <w:r w:rsidR="00C60EAF">
        <w:rPr>
          <w:rFonts w:ascii="Arial" w:hAnsi="Arial" w:cs="Arial"/>
          <w:bCs/>
          <w:lang w:val="en-US"/>
        </w:rPr>
        <w:t xml:space="preserve">Appeal – </w:t>
      </w:r>
      <w:r w:rsidR="00C60EAF">
        <w:rPr>
          <w:rFonts w:ascii="Arial" w:hAnsi="Arial" w:cs="Arial"/>
          <w:lang w:val="en-US"/>
        </w:rPr>
        <w:t>Magistrate’s C</w:t>
      </w:r>
      <w:r w:rsidR="00262F97" w:rsidRPr="00262F97">
        <w:rPr>
          <w:rFonts w:ascii="Arial" w:hAnsi="Arial" w:cs="Arial"/>
          <w:lang w:val="en-US"/>
        </w:rPr>
        <w:t xml:space="preserve">ourt sitting as court under the Combating of Domestic Violence Act 4 of 2003 – </w:t>
      </w:r>
      <w:r w:rsidR="00940E0F">
        <w:rPr>
          <w:rFonts w:ascii="Arial" w:hAnsi="Arial" w:cs="Arial"/>
          <w:lang w:val="en-US"/>
        </w:rPr>
        <w:t>Wide discretion to make o</w:t>
      </w:r>
      <w:r w:rsidR="00262F97" w:rsidRPr="00262F97">
        <w:rPr>
          <w:rFonts w:ascii="Arial" w:hAnsi="Arial" w:cs="Arial"/>
          <w:lang w:val="en-US"/>
        </w:rPr>
        <w:t>rder</w:t>
      </w:r>
      <w:r w:rsidR="00940E0F">
        <w:rPr>
          <w:rFonts w:ascii="Arial" w:hAnsi="Arial" w:cs="Arial"/>
          <w:lang w:val="en-US"/>
        </w:rPr>
        <w:t>s</w:t>
      </w:r>
      <w:r w:rsidR="00262F97" w:rsidRPr="00262F97">
        <w:rPr>
          <w:rFonts w:ascii="Arial" w:hAnsi="Arial" w:cs="Arial"/>
          <w:lang w:val="en-US"/>
        </w:rPr>
        <w:t xml:space="preserve"> under s 12(16)</w:t>
      </w:r>
      <w:r w:rsidR="00262F97" w:rsidRPr="001E3882">
        <w:rPr>
          <w:rFonts w:ascii="Arial" w:hAnsi="Arial" w:cs="Arial"/>
          <w:i/>
          <w:iCs/>
          <w:lang w:val="en-US"/>
        </w:rPr>
        <w:t>(a)</w:t>
      </w:r>
      <w:r w:rsidR="00262F97" w:rsidRPr="00262F97">
        <w:rPr>
          <w:rFonts w:ascii="Arial" w:hAnsi="Arial" w:cs="Arial"/>
          <w:lang w:val="en-US"/>
        </w:rPr>
        <w:t xml:space="preserve"> to </w:t>
      </w:r>
      <w:r w:rsidR="00262F97" w:rsidRPr="001E3882">
        <w:rPr>
          <w:rFonts w:ascii="Arial" w:hAnsi="Arial" w:cs="Arial"/>
          <w:i/>
          <w:iCs/>
          <w:lang w:val="en-US"/>
        </w:rPr>
        <w:t>(e)</w:t>
      </w:r>
      <w:r w:rsidR="00940E0F">
        <w:rPr>
          <w:rFonts w:ascii="Arial" w:hAnsi="Arial" w:cs="Arial"/>
          <w:lang w:val="en-US"/>
        </w:rPr>
        <w:t xml:space="preserve"> – </w:t>
      </w:r>
      <w:r w:rsidR="00D67D61">
        <w:rPr>
          <w:rFonts w:ascii="Arial" w:hAnsi="Arial" w:cs="Arial"/>
          <w:lang w:val="en-US"/>
        </w:rPr>
        <w:t xml:space="preserve">Depending on the nature </w:t>
      </w:r>
      <w:r w:rsidR="00D67D61" w:rsidRPr="00D94F82">
        <w:rPr>
          <w:rFonts w:ascii="Arial" w:hAnsi="Arial" w:cs="Arial"/>
          <w:lang w:val="en-US"/>
        </w:rPr>
        <w:t>of court a quo’s discretion</w:t>
      </w:r>
      <w:r w:rsidR="00C60EAF">
        <w:rPr>
          <w:rFonts w:ascii="Arial" w:hAnsi="Arial" w:cs="Arial"/>
          <w:lang w:val="en-US"/>
        </w:rPr>
        <w:t>,</w:t>
      </w:r>
      <w:r w:rsidR="00D67D61" w:rsidRPr="00D94F82">
        <w:rPr>
          <w:rFonts w:ascii="Arial" w:hAnsi="Arial" w:cs="Arial"/>
          <w:lang w:val="en-US"/>
        </w:rPr>
        <w:t xml:space="preserve"> an a</w:t>
      </w:r>
      <w:r w:rsidR="00262F97" w:rsidRPr="00D94F82">
        <w:rPr>
          <w:rFonts w:ascii="Arial" w:hAnsi="Arial" w:cs="Arial"/>
          <w:lang w:val="en-US"/>
        </w:rPr>
        <w:t xml:space="preserve">ppeal court’s power to interfere with </w:t>
      </w:r>
      <w:r w:rsidR="00D94F82">
        <w:rPr>
          <w:rFonts w:ascii="Arial" w:hAnsi="Arial" w:cs="Arial"/>
          <w:lang w:val="en-US"/>
        </w:rPr>
        <w:t xml:space="preserve">the </w:t>
      </w:r>
      <w:r w:rsidR="00940E0F" w:rsidRPr="00D94F82">
        <w:rPr>
          <w:rFonts w:ascii="Arial" w:hAnsi="Arial" w:cs="Arial"/>
          <w:lang w:val="en-US"/>
        </w:rPr>
        <w:t xml:space="preserve">court a quo’s </w:t>
      </w:r>
      <w:r w:rsidR="00262F97" w:rsidRPr="00D94F82">
        <w:rPr>
          <w:rFonts w:ascii="Arial" w:hAnsi="Arial" w:cs="Arial"/>
          <w:lang w:val="en-US"/>
        </w:rPr>
        <w:t xml:space="preserve">decision </w:t>
      </w:r>
      <w:r w:rsidR="00D94F82">
        <w:rPr>
          <w:rFonts w:ascii="Arial" w:hAnsi="Arial" w:cs="Arial"/>
          <w:lang w:val="en-US"/>
        </w:rPr>
        <w:t xml:space="preserve">is </w:t>
      </w:r>
      <w:r w:rsidR="00262F97" w:rsidRPr="00D94F82">
        <w:rPr>
          <w:rFonts w:ascii="Arial" w:hAnsi="Arial" w:cs="Arial"/>
          <w:lang w:val="en-US"/>
        </w:rPr>
        <w:t xml:space="preserve">not limited to </w:t>
      </w:r>
      <w:r w:rsidR="00D94F82">
        <w:rPr>
          <w:rFonts w:ascii="Arial" w:hAnsi="Arial" w:cs="Arial"/>
          <w:lang w:val="en-US"/>
        </w:rPr>
        <w:t xml:space="preserve">the </w:t>
      </w:r>
      <w:r w:rsidR="00262F97" w:rsidRPr="00D94F82">
        <w:rPr>
          <w:rFonts w:ascii="Arial" w:hAnsi="Arial" w:cs="Arial"/>
          <w:lang w:val="en-US"/>
        </w:rPr>
        <w:t xml:space="preserve">trial court having exercised </w:t>
      </w:r>
      <w:r w:rsidR="00D94F82">
        <w:rPr>
          <w:rFonts w:ascii="Arial" w:hAnsi="Arial" w:cs="Arial"/>
          <w:lang w:val="en-US"/>
        </w:rPr>
        <w:t xml:space="preserve">the </w:t>
      </w:r>
      <w:r w:rsidR="00262F97" w:rsidRPr="00D94F82">
        <w:rPr>
          <w:rFonts w:ascii="Arial" w:hAnsi="Arial" w:cs="Arial"/>
          <w:lang w:val="en-US"/>
        </w:rPr>
        <w:t xml:space="preserve">discretion capriciously or upon </w:t>
      </w:r>
      <w:r w:rsidR="00D94F82">
        <w:rPr>
          <w:rFonts w:ascii="Arial" w:hAnsi="Arial" w:cs="Arial"/>
          <w:lang w:val="en-US"/>
        </w:rPr>
        <w:t xml:space="preserve">a </w:t>
      </w:r>
      <w:r w:rsidR="00262F97" w:rsidRPr="00D94F82">
        <w:rPr>
          <w:rFonts w:ascii="Arial" w:hAnsi="Arial" w:cs="Arial"/>
          <w:lang w:val="en-US"/>
        </w:rPr>
        <w:t xml:space="preserve">wrong principle or having failed to bring </w:t>
      </w:r>
      <w:r w:rsidR="00D94F82">
        <w:rPr>
          <w:rFonts w:ascii="Arial" w:hAnsi="Arial" w:cs="Arial"/>
          <w:lang w:val="en-US"/>
        </w:rPr>
        <w:t xml:space="preserve">an </w:t>
      </w:r>
      <w:r w:rsidR="00262F97" w:rsidRPr="00D94F82">
        <w:rPr>
          <w:rFonts w:ascii="Arial" w:hAnsi="Arial" w:cs="Arial"/>
          <w:lang w:val="en-US"/>
        </w:rPr>
        <w:t xml:space="preserve">unbiased judgment to bear on </w:t>
      </w:r>
      <w:r w:rsidR="00D94F82">
        <w:rPr>
          <w:rFonts w:ascii="Arial" w:hAnsi="Arial" w:cs="Arial"/>
          <w:lang w:val="en-US"/>
        </w:rPr>
        <w:t xml:space="preserve">the </w:t>
      </w:r>
      <w:r w:rsidR="00262F97" w:rsidRPr="00D94F82">
        <w:rPr>
          <w:rFonts w:ascii="Arial" w:hAnsi="Arial" w:cs="Arial"/>
          <w:lang w:val="en-US"/>
        </w:rPr>
        <w:t xml:space="preserve">matter or </w:t>
      </w:r>
      <w:r w:rsidR="00262F97" w:rsidRPr="00D94F82">
        <w:rPr>
          <w:rFonts w:ascii="Arial" w:hAnsi="Arial" w:cs="Arial"/>
          <w:lang w:val="en-US"/>
        </w:rPr>
        <w:lastRenderedPageBreak/>
        <w:t xml:space="preserve">not having acted for substantial reasons – Appeal court at liberty </w:t>
      </w:r>
      <w:r w:rsidR="00D94F82" w:rsidRPr="00D94F82">
        <w:rPr>
          <w:rFonts w:ascii="Arial" w:hAnsi="Arial" w:cs="Arial"/>
          <w:lang w:val="en-US"/>
        </w:rPr>
        <w:t xml:space="preserve">in those circumstances </w:t>
      </w:r>
      <w:r w:rsidR="00262F97" w:rsidRPr="00D94F82">
        <w:rPr>
          <w:rFonts w:ascii="Arial" w:hAnsi="Arial" w:cs="Arial"/>
          <w:lang w:val="en-US"/>
        </w:rPr>
        <w:t xml:space="preserve">to decide matter on </w:t>
      </w:r>
      <w:r w:rsidR="00D94F82">
        <w:rPr>
          <w:rFonts w:ascii="Arial" w:hAnsi="Arial" w:cs="Arial"/>
          <w:lang w:val="en-US"/>
        </w:rPr>
        <w:t xml:space="preserve">its </w:t>
      </w:r>
      <w:r w:rsidR="00262F97" w:rsidRPr="00D94F82">
        <w:rPr>
          <w:rFonts w:ascii="Arial" w:hAnsi="Arial" w:cs="Arial"/>
          <w:lang w:val="en-US"/>
        </w:rPr>
        <w:t>own views of the merits.</w:t>
      </w:r>
    </w:p>
    <w:p w14:paraId="47CDC916" w14:textId="77777777" w:rsidR="001E3882" w:rsidRPr="00C93308" w:rsidRDefault="001E3882" w:rsidP="001E3882">
      <w:pPr>
        <w:pStyle w:val="ListParagraph"/>
        <w:ind w:left="0"/>
        <w:rPr>
          <w:rFonts w:ascii="Arial" w:hAnsi="Arial" w:cs="Arial"/>
          <w:i/>
          <w:iCs/>
          <w:lang w:val="en-US"/>
        </w:rPr>
      </w:pPr>
    </w:p>
    <w:p w14:paraId="2E4A8A45" w14:textId="107551FC" w:rsidR="00262F97" w:rsidRDefault="00262F97" w:rsidP="00262F97">
      <w:pPr>
        <w:pStyle w:val="ListParagraph"/>
        <w:spacing w:line="360" w:lineRule="auto"/>
        <w:ind w:left="0"/>
        <w:jc w:val="both"/>
        <w:rPr>
          <w:rFonts w:ascii="Arial" w:hAnsi="Arial" w:cs="Arial"/>
          <w:lang w:val="en-US"/>
        </w:rPr>
      </w:pPr>
      <w:r w:rsidRPr="00262F97">
        <w:rPr>
          <w:rFonts w:ascii="Arial" w:hAnsi="Arial" w:cs="Arial"/>
          <w:lang w:val="en-US"/>
        </w:rPr>
        <w:t xml:space="preserve">Statute – Interpretation – Section 12(17) – </w:t>
      </w:r>
      <w:r w:rsidR="001E3882">
        <w:rPr>
          <w:rFonts w:ascii="Arial" w:hAnsi="Arial" w:cs="Arial"/>
          <w:lang w:val="en-US"/>
        </w:rPr>
        <w:t>‘</w:t>
      </w:r>
      <w:r w:rsidRPr="00262F97">
        <w:rPr>
          <w:rFonts w:ascii="Arial" w:hAnsi="Arial" w:cs="Arial"/>
          <w:lang w:val="en-US"/>
        </w:rPr>
        <w:t>Granting</w:t>
      </w:r>
      <w:r w:rsidR="001E3882">
        <w:rPr>
          <w:rFonts w:ascii="Arial" w:hAnsi="Arial" w:cs="Arial"/>
          <w:lang w:val="en-US"/>
        </w:rPr>
        <w:t>’</w:t>
      </w:r>
      <w:r w:rsidRPr="00262F97">
        <w:rPr>
          <w:rFonts w:ascii="Arial" w:hAnsi="Arial" w:cs="Arial"/>
          <w:lang w:val="en-US"/>
        </w:rPr>
        <w:t xml:space="preserve"> of protection order includes both ‘positive’ and ‘negative’ orders – Whatever order follows at the conclusion of s 12 enquiry is ‘a final protection order’ – 7 June 2022 order is ‘a final protection order’ under s 12(17) </w:t>
      </w:r>
      <w:r w:rsidR="00940E0F">
        <w:rPr>
          <w:rFonts w:ascii="Arial" w:hAnsi="Arial" w:cs="Arial"/>
          <w:lang w:val="en-US"/>
        </w:rPr>
        <w:t xml:space="preserve">– 7 June 2022 order </w:t>
      </w:r>
      <w:r w:rsidRPr="00262F97">
        <w:rPr>
          <w:rFonts w:ascii="Arial" w:hAnsi="Arial" w:cs="Arial"/>
          <w:lang w:val="en-US"/>
        </w:rPr>
        <w:t xml:space="preserve">made under s 12(16)(d) discharging interim order and substituting another order for </w:t>
      </w:r>
      <w:r w:rsidR="001E3882">
        <w:rPr>
          <w:rFonts w:ascii="Arial" w:hAnsi="Arial" w:cs="Arial"/>
          <w:lang w:val="en-US"/>
        </w:rPr>
        <w:t>it</w:t>
      </w:r>
      <w:r w:rsidRPr="00262F97">
        <w:rPr>
          <w:rFonts w:ascii="Arial" w:hAnsi="Arial" w:cs="Arial"/>
          <w:lang w:val="en-US"/>
        </w:rPr>
        <w:t xml:space="preserve">. </w:t>
      </w:r>
    </w:p>
    <w:p w14:paraId="7CA74125" w14:textId="77777777" w:rsidR="00262F97" w:rsidRPr="00C93308" w:rsidRDefault="00262F97" w:rsidP="00262F97">
      <w:pPr>
        <w:pStyle w:val="ListParagraph"/>
        <w:ind w:left="0"/>
        <w:rPr>
          <w:rFonts w:ascii="Arial" w:hAnsi="Arial" w:cs="Arial"/>
          <w:i/>
          <w:iCs/>
          <w:lang w:val="en-US"/>
        </w:rPr>
      </w:pPr>
    </w:p>
    <w:p w14:paraId="25CBB9F3" w14:textId="27C27BA8" w:rsidR="00262F97" w:rsidRDefault="00262F97" w:rsidP="00262F97">
      <w:pPr>
        <w:pStyle w:val="ListParagraph"/>
        <w:spacing w:line="360" w:lineRule="auto"/>
        <w:ind w:left="0"/>
        <w:jc w:val="both"/>
        <w:rPr>
          <w:rFonts w:ascii="Arial" w:hAnsi="Arial" w:cs="Arial"/>
          <w:lang w:val="en-US"/>
        </w:rPr>
      </w:pPr>
      <w:r w:rsidRPr="00262F97">
        <w:rPr>
          <w:rFonts w:ascii="Arial" w:hAnsi="Arial" w:cs="Arial"/>
          <w:lang w:val="en-US"/>
        </w:rPr>
        <w:t xml:space="preserve">Statute – Interpretation – </w:t>
      </w:r>
      <w:r w:rsidR="00940E0F">
        <w:rPr>
          <w:rFonts w:ascii="Arial" w:hAnsi="Arial" w:cs="Arial"/>
          <w:lang w:val="en-US"/>
        </w:rPr>
        <w:t xml:space="preserve">Section 1 – Definition protection order – </w:t>
      </w:r>
      <w:r w:rsidRPr="00262F97">
        <w:rPr>
          <w:rFonts w:ascii="Arial" w:hAnsi="Arial" w:cs="Arial"/>
          <w:lang w:val="en-US"/>
        </w:rPr>
        <w:t>Section</w:t>
      </w:r>
      <w:r w:rsidR="00940E0F">
        <w:rPr>
          <w:rFonts w:ascii="Arial" w:hAnsi="Arial" w:cs="Arial"/>
          <w:lang w:val="en-US"/>
        </w:rPr>
        <w:t xml:space="preserve"> </w:t>
      </w:r>
      <w:r w:rsidRPr="00262F97">
        <w:rPr>
          <w:rFonts w:ascii="Arial" w:hAnsi="Arial" w:cs="Arial"/>
          <w:lang w:val="en-US"/>
        </w:rPr>
        <w:t xml:space="preserve"> 17 applies to interim and final protection orders – 7 June 2022 order is ‘a protection order’ </w:t>
      </w:r>
      <w:r w:rsidR="00940E0F">
        <w:rPr>
          <w:rFonts w:ascii="Arial" w:hAnsi="Arial" w:cs="Arial"/>
          <w:lang w:val="en-US"/>
        </w:rPr>
        <w:t>capable of cancellation under</w:t>
      </w:r>
      <w:r w:rsidRPr="00262F97">
        <w:rPr>
          <w:rFonts w:ascii="Arial" w:hAnsi="Arial" w:cs="Arial"/>
          <w:lang w:val="en-US"/>
        </w:rPr>
        <w:t xml:space="preserve"> s 17 – Section 17(3) and (5) – Legislature’s intention – Person in whose </w:t>
      </w:r>
      <w:proofErr w:type="spellStart"/>
      <w:r w:rsidRPr="00262F97">
        <w:rPr>
          <w:rFonts w:ascii="Arial" w:hAnsi="Arial" w:cs="Arial"/>
          <w:lang w:val="en-US"/>
        </w:rPr>
        <w:t>favour</w:t>
      </w:r>
      <w:proofErr w:type="spellEnd"/>
      <w:r w:rsidRPr="00262F97">
        <w:rPr>
          <w:rFonts w:ascii="Arial" w:hAnsi="Arial" w:cs="Arial"/>
          <w:lang w:val="en-US"/>
        </w:rPr>
        <w:t xml:space="preserve"> and against whom </w:t>
      </w:r>
      <w:r w:rsidR="001E3882">
        <w:rPr>
          <w:rFonts w:ascii="Arial" w:hAnsi="Arial" w:cs="Arial"/>
          <w:lang w:val="en-US"/>
        </w:rPr>
        <w:t xml:space="preserve">protection </w:t>
      </w:r>
      <w:r w:rsidRPr="00262F97">
        <w:rPr>
          <w:rFonts w:ascii="Arial" w:hAnsi="Arial" w:cs="Arial"/>
          <w:lang w:val="en-US"/>
        </w:rPr>
        <w:t xml:space="preserve">order made may apply for cancellation – For s 17(5) appellant should be regarded as ‘the respondent’ – </w:t>
      </w:r>
      <w:r w:rsidR="001E3882">
        <w:rPr>
          <w:rFonts w:ascii="Arial" w:hAnsi="Arial" w:cs="Arial"/>
          <w:lang w:val="en-US"/>
        </w:rPr>
        <w:t>A</w:t>
      </w:r>
      <w:r w:rsidRPr="00262F97">
        <w:rPr>
          <w:rFonts w:ascii="Arial" w:hAnsi="Arial" w:cs="Arial"/>
          <w:lang w:val="en-US"/>
        </w:rPr>
        <w:t xml:space="preserve">ppellant could apply for cancellation of 7 June 2022 order – Section 17 application was proper before court a quo – Court of first instance erred </w:t>
      </w:r>
      <w:r w:rsidR="00EF3919">
        <w:rPr>
          <w:rFonts w:ascii="Arial" w:hAnsi="Arial" w:cs="Arial"/>
          <w:lang w:val="en-US"/>
        </w:rPr>
        <w:t xml:space="preserve">in </w:t>
      </w:r>
      <w:r w:rsidRPr="00262F97">
        <w:rPr>
          <w:rFonts w:ascii="Arial" w:hAnsi="Arial" w:cs="Arial"/>
          <w:lang w:val="en-US"/>
        </w:rPr>
        <w:t>refusing to hear and dismissing the application – Appeal succeeds.</w:t>
      </w:r>
    </w:p>
    <w:p w14:paraId="13A95D8C" w14:textId="77777777" w:rsidR="00262F97" w:rsidRPr="00C93308" w:rsidRDefault="00262F97" w:rsidP="00262F97">
      <w:pPr>
        <w:pStyle w:val="ListParagraph"/>
        <w:ind w:left="0"/>
        <w:rPr>
          <w:rFonts w:ascii="Arial" w:hAnsi="Arial" w:cs="Arial"/>
          <w:i/>
          <w:iCs/>
          <w:lang w:val="en-US"/>
        </w:rPr>
      </w:pPr>
    </w:p>
    <w:p w14:paraId="58C8E9FD" w14:textId="74E61D16" w:rsidR="00C93308" w:rsidRDefault="00155B26" w:rsidP="00C93308">
      <w:pPr>
        <w:pStyle w:val="ListParagraph"/>
        <w:spacing w:line="360" w:lineRule="auto"/>
        <w:ind w:left="0"/>
        <w:jc w:val="both"/>
        <w:rPr>
          <w:rFonts w:ascii="Arial" w:hAnsi="Arial" w:cs="Arial"/>
          <w:lang w:val="en-US"/>
        </w:rPr>
      </w:pPr>
      <w:r w:rsidRPr="00C93308">
        <w:rPr>
          <w:rFonts w:ascii="Arial" w:hAnsi="Arial" w:cs="Arial"/>
          <w:b/>
          <w:bCs/>
          <w:lang w:val="en-US"/>
        </w:rPr>
        <w:t>Summary:</w:t>
      </w:r>
      <w:r w:rsidRPr="00C93308">
        <w:rPr>
          <w:rFonts w:ascii="Arial" w:hAnsi="Arial" w:cs="Arial"/>
          <w:b/>
          <w:bCs/>
          <w:lang w:val="en-US"/>
        </w:rPr>
        <w:tab/>
      </w:r>
      <w:r w:rsidR="008E57B1" w:rsidRPr="00C93308">
        <w:rPr>
          <w:rFonts w:ascii="Arial" w:hAnsi="Arial" w:cs="Arial"/>
          <w:lang w:val="en-US"/>
        </w:rPr>
        <w:t>The appellant obtained an interim protection order</w:t>
      </w:r>
      <w:r w:rsidR="00C93308" w:rsidRPr="00C93308">
        <w:rPr>
          <w:rFonts w:ascii="Arial" w:hAnsi="Arial" w:cs="Arial"/>
          <w:lang w:val="en-US"/>
        </w:rPr>
        <w:t xml:space="preserve"> under the </w:t>
      </w:r>
      <w:r w:rsidR="00C93308" w:rsidRPr="00C93308">
        <w:rPr>
          <w:rFonts w:ascii="Arial" w:eastAsia="Calibri" w:hAnsi="Arial" w:cs="Arial"/>
          <w:bCs/>
        </w:rPr>
        <w:t>Combating of Domestic Violence Act 4 of 2003 (the Act)</w:t>
      </w:r>
      <w:r w:rsidR="008E57B1" w:rsidRPr="00C93308">
        <w:rPr>
          <w:rFonts w:ascii="Arial" w:hAnsi="Arial" w:cs="Arial"/>
          <w:lang w:val="en-US"/>
        </w:rPr>
        <w:t xml:space="preserve"> in his </w:t>
      </w:r>
      <w:proofErr w:type="spellStart"/>
      <w:r w:rsidR="008E57B1" w:rsidRPr="00C93308">
        <w:rPr>
          <w:rFonts w:ascii="Arial" w:hAnsi="Arial" w:cs="Arial"/>
          <w:lang w:val="en-US"/>
        </w:rPr>
        <w:t>favour</w:t>
      </w:r>
      <w:proofErr w:type="spellEnd"/>
      <w:r w:rsidR="008E57B1" w:rsidRPr="00C93308">
        <w:rPr>
          <w:rFonts w:ascii="Arial" w:hAnsi="Arial" w:cs="Arial"/>
          <w:lang w:val="en-US"/>
        </w:rPr>
        <w:t xml:space="preserve"> against the respondent</w:t>
      </w:r>
      <w:r w:rsidR="00C93308" w:rsidRPr="00C93308">
        <w:rPr>
          <w:rFonts w:ascii="Arial" w:hAnsi="Arial" w:cs="Arial"/>
          <w:lang w:val="en-US"/>
        </w:rPr>
        <w:t xml:space="preserve"> with whom he cohabited at the time and with whom he fathered five children</w:t>
      </w:r>
      <w:r w:rsidR="008E57B1" w:rsidRPr="00C93308">
        <w:rPr>
          <w:rFonts w:ascii="Arial" w:hAnsi="Arial" w:cs="Arial"/>
          <w:lang w:val="en-US"/>
        </w:rPr>
        <w:t>. On 7 June 2022, the interim order was cancelled</w:t>
      </w:r>
      <w:r w:rsidR="004D345D" w:rsidRPr="00C93308">
        <w:rPr>
          <w:rFonts w:ascii="Arial" w:hAnsi="Arial" w:cs="Arial"/>
          <w:lang w:val="en-US"/>
        </w:rPr>
        <w:t xml:space="preserve">, </w:t>
      </w:r>
      <w:r w:rsidR="008E57B1" w:rsidRPr="00C93308">
        <w:rPr>
          <w:rFonts w:ascii="Arial" w:hAnsi="Arial" w:cs="Arial"/>
          <w:lang w:val="en-US"/>
        </w:rPr>
        <w:t xml:space="preserve">the application </w:t>
      </w:r>
      <w:r w:rsidR="004D345D" w:rsidRPr="00C93308">
        <w:rPr>
          <w:rFonts w:ascii="Arial" w:hAnsi="Arial" w:cs="Arial"/>
          <w:lang w:val="en-US"/>
        </w:rPr>
        <w:t xml:space="preserve">was </w:t>
      </w:r>
      <w:r w:rsidR="008E57B1" w:rsidRPr="00C93308">
        <w:rPr>
          <w:rFonts w:ascii="Arial" w:hAnsi="Arial" w:cs="Arial"/>
          <w:lang w:val="en-US"/>
        </w:rPr>
        <w:t>dismissed</w:t>
      </w:r>
      <w:r w:rsidR="00C93308" w:rsidRPr="00C93308">
        <w:rPr>
          <w:rFonts w:ascii="Arial" w:hAnsi="Arial" w:cs="Arial"/>
          <w:lang w:val="en-US"/>
        </w:rPr>
        <w:t xml:space="preserve"> thereby</w:t>
      </w:r>
      <w:r w:rsidR="008E57B1" w:rsidRPr="00C93308">
        <w:rPr>
          <w:rFonts w:ascii="Arial" w:hAnsi="Arial" w:cs="Arial"/>
          <w:lang w:val="en-US"/>
        </w:rPr>
        <w:t xml:space="preserve">, and the respondent was </w:t>
      </w:r>
      <w:r w:rsidR="00C93308" w:rsidRPr="00C93308">
        <w:rPr>
          <w:rFonts w:ascii="Arial" w:hAnsi="Arial" w:cs="Arial"/>
          <w:lang w:val="en-US"/>
        </w:rPr>
        <w:t xml:space="preserve">furthermore </w:t>
      </w:r>
      <w:r w:rsidR="008E57B1" w:rsidRPr="00C93308">
        <w:rPr>
          <w:rFonts w:ascii="Arial" w:hAnsi="Arial" w:cs="Arial"/>
          <w:lang w:val="en-US"/>
        </w:rPr>
        <w:t xml:space="preserve">ordered to stay in the </w:t>
      </w:r>
      <w:r w:rsidR="00C93308" w:rsidRPr="00C93308">
        <w:rPr>
          <w:rFonts w:ascii="Arial" w:hAnsi="Arial" w:cs="Arial"/>
          <w:lang w:val="en-US"/>
        </w:rPr>
        <w:t xml:space="preserve">joint </w:t>
      </w:r>
      <w:r w:rsidR="008E57B1" w:rsidRPr="00C93308">
        <w:rPr>
          <w:rFonts w:ascii="Arial" w:hAnsi="Arial" w:cs="Arial"/>
          <w:lang w:val="en-US"/>
        </w:rPr>
        <w:t>residence while the appellant was ordered to vacate it forthwith.</w:t>
      </w:r>
      <w:r w:rsidR="00C93308" w:rsidRPr="00C93308">
        <w:rPr>
          <w:rFonts w:ascii="Arial" w:hAnsi="Arial" w:cs="Arial"/>
          <w:lang w:val="en-US"/>
        </w:rPr>
        <w:t xml:space="preserve"> The appellant the</w:t>
      </w:r>
      <w:r w:rsidR="00EF3919">
        <w:rPr>
          <w:rFonts w:ascii="Arial" w:hAnsi="Arial" w:cs="Arial"/>
          <w:lang w:val="en-US"/>
        </w:rPr>
        <w:t>n</w:t>
      </w:r>
      <w:r w:rsidR="008E57B1" w:rsidRPr="00C93308">
        <w:rPr>
          <w:rFonts w:ascii="Arial" w:hAnsi="Arial" w:cs="Arial"/>
          <w:lang w:val="en-US"/>
        </w:rPr>
        <w:t xml:space="preserve"> launched an application under s 17 of the</w:t>
      </w:r>
      <w:r w:rsidR="00C93308" w:rsidRPr="00C93308">
        <w:rPr>
          <w:rFonts w:ascii="Arial" w:hAnsi="Arial" w:cs="Arial"/>
          <w:lang w:val="en-US"/>
        </w:rPr>
        <w:t xml:space="preserve"> </w:t>
      </w:r>
      <w:r w:rsidR="008E57B1" w:rsidRPr="00C93308">
        <w:rPr>
          <w:rFonts w:ascii="Arial" w:eastAsia="Calibri" w:hAnsi="Arial" w:cs="Arial"/>
          <w:bCs/>
        </w:rPr>
        <w:t>Act</w:t>
      </w:r>
      <w:r w:rsidR="008E57B1" w:rsidRPr="00C93308">
        <w:rPr>
          <w:rFonts w:ascii="Arial" w:hAnsi="Arial" w:cs="Arial"/>
          <w:lang w:val="en-US"/>
        </w:rPr>
        <w:t xml:space="preserve"> to cancel the protection order granted on 7 June 2022 and to have the respondent evicted from the premises.</w:t>
      </w:r>
      <w:r w:rsidR="00C93308" w:rsidRPr="00C93308">
        <w:rPr>
          <w:rFonts w:ascii="Arial" w:hAnsi="Arial" w:cs="Arial"/>
          <w:lang w:val="en-US"/>
        </w:rPr>
        <w:t xml:space="preserve"> T</w:t>
      </w:r>
      <w:r w:rsidR="008E57B1" w:rsidRPr="00C93308">
        <w:rPr>
          <w:rFonts w:ascii="Arial" w:hAnsi="Arial" w:cs="Arial"/>
          <w:lang w:val="en-US"/>
        </w:rPr>
        <w:t>h</w:t>
      </w:r>
      <w:r w:rsidR="00C93308" w:rsidRPr="00C93308">
        <w:rPr>
          <w:rFonts w:ascii="Arial" w:hAnsi="Arial" w:cs="Arial"/>
          <w:lang w:val="en-US"/>
        </w:rPr>
        <w:t>at</w:t>
      </w:r>
      <w:r w:rsidR="008E57B1" w:rsidRPr="00C93308">
        <w:rPr>
          <w:rFonts w:ascii="Arial" w:hAnsi="Arial" w:cs="Arial"/>
          <w:lang w:val="en-US"/>
        </w:rPr>
        <w:t xml:space="preserve"> application was dismissed </w:t>
      </w:r>
      <w:r w:rsidR="00C93308" w:rsidRPr="00C93308">
        <w:rPr>
          <w:rFonts w:ascii="Arial" w:hAnsi="Arial" w:cs="Arial"/>
          <w:lang w:val="en-US"/>
        </w:rPr>
        <w:t xml:space="preserve">on 29 August 2023 </w:t>
      </w:r>
      <w:r w:rsidR="008E57B1" w:rsidRPr="00C93308">
        <w:rPr>
          <w:rFonts w:ascii="Arial" w:hAnsi="Arial" w:cs="Arial"/>
          <w:lang w:val="en-US"/>
        </w:rPr>
        <w:t>because</w:t>
      </w:r>
      <w:r w:rsidR="00C93308" w:rsidRPr="00C93308">
        <w:rPr>
          <w:rFonts w:ascii="Arial" w:hAnsi="Arial" w:cs="Arial"/>
          <w:lang w:val="en-US"/>
        </w:rPr>
        <w:t>, according to the court a quo,</w:t>
      </w:r>
      <w:r w:rsidR="008E57B1" w:rsidRPr="00C93308">
        <w:rPr>
          <w:rFonts w:ascii="Arial" w:hAnsi="Arial" w:cs="Arial"/>
          <w:lang w:val="en-US"/>
        </w:rPr>
        <w:t xml:space="preserve"> the matter was not proper</w:t>
      </w:r>
      <w:r w:rsidR="00EF3919">
        <w:rPr>
          <w:rFonts w:ascii="Arial" w:hAnsi="Arial" w:cs="Arial"/>
          <w:lang w:val="en-US"/>
        </w:rPr>
        <w:t>ly</w:t>
      </w:r>
      <w:r w:rsidR="008E57B1" w:rsidRPr="00C93308">
        <w:rPr>
          <w:rFonts w:ascii="Arial" w:hAnsi="Arial" w:cs="Arial"/>
          <w:lang w:val="en-US"/>
        </w:rPr>
        <w:t xml:space="preserve"> before </w:t>
      </w:r>
      <w:r w:rsidR="00C93308" w:rsidRPr="00C93308">
        <w:rPr>
          <w:rFonts w:ascii="Arial" w:hAnsi="Arial" w:cs="Arial"/>
          <w:lang w:val="en-US"/>
        </w:rPr>
        <w:t>it</w:t>
      </w:r>
      <w:r w:rsidR="008E57B1" w:rsidRPr="00C93308">
        <w:rPr>
          <w:rFonts w:ascii="Arial" w:hAnsi="Arial" w:cs="Arial"/>
          <w:lang w:val="en-US"/>
        </w:rPr>
        <w:t xml:space="preserve"> under s 17. The appellant appeal</w:t>
      </w:r>
      <w:r w:rsidR="00EF3919">
        <w:rPr>
          <w:rFonts w:ascii="Arial" w:hAnsi="Arial" w:cs="Arial"/>
          <w:lang w:val="en-US"/>
        </w:rPr>
        <w:t>ed</w:t>
      </w:r>
      <w:r w:rsidR="008E57B1" w:rsidRPr="00C93308">
        <w:rPr>
          <w:rFonts w:ascii="Arial" w:hAnsi="Arial" w:cs="Arial"/>
          <w:lang w:val="en-US"/>
        </w:rPr>
        <w:t xml:space="preserve"> against the whole order of 29 August 2023 and prays that the matter be remitted to the court of first instance for the s 17 application to be heard on the merits. The appeal is opposed on the basis that, whereas the interim order was cancelled, the</w:t>
      </w:r>
      <w:r w:rsidR="004D345D" w:rsidRPr="00C93308">
        <w:rPr>
          <w:rFonts w:ascii="Arial" w:hAnsi="Arial" w:cs="Arial"/>
          <w:lang w:val="en-US"/>
        </w:rPr>
        <w:t xml:space="preserve">re </w:t>
      </w:r>
      <w:r w:rsidR="00C93308" w:rsidRPr="00C93308">
        <w:rPr>
          <w:rFonts w:ascii="Arial" w:hAnsi="Arial" w:cs="Arial"/>
          <w:lang w:val="en-US"/>
        </w:rPr>
        <w:t>wa</w:t>
      </w:r>
      <w:r w:rsidR="004D345D" w:rsidRPr="00C93308">
        <w:rPr>
          <w:rFonts w:ascii="Arial" w:hAnsi="Arial" w:cs="Arial"/>
          <w:lang w:val="en-US"/>
        </w:rPr>
        <w:t>s no final protection order t</w:t>
      </w:r>
      <w:r w:rsidR="00C93308" w:rsidRPr="00C93308">
        <w:rPr>
          <w:rFonts w:ascii="Arial" w:hAnsi="Arial" w:cs="Arial"/>
          <w:lang w:val="en-US"/>
        </w:rPr>
        <w:t xml:space="preserve">hat the appellant could cancel </w:t>
      </w:r>
      <w:r w:rsidR="004D345D" w:rsidRPr="00C93308">
        <w:rPr>
          <w:rFonts w:ascii="Arial" w:hAnsi="Arial" w:cs="Arial"/>
          <w:lang w:val="en-US"/>
        </w:rPr>
        <w:t>under s 17.</w:t>
      </w:r>
      <w:r w:rsidR="00C93308" w:rsidRPr="00C93308">
        <w:rPr>
          <w:rFonts w:ascii="Arial" w:hAnsi="Arial" w:cs="Arial"/>
          <w:lang w:val="en-US"/>
        </w:rPr>
        <w:t xml:space="preserve"> The court a quo was furthermore of the view that, whereas the 7 June 2022 order was an order against the appellant, the appellant could not have it cancelled under s 17.</w:t>
      </w:r>
      <w:r w:rsidR="004D345D" w:rsidRPr="00C93308">
        <w:rPr>
          <w:rFonts w:ascii="Arial" w:hAnsi="Arial" w:cs="Arial"/>
          <w:lang w:val="en-US"/>
        </w:rPr>
        <w:t xml:space="preserve"> </w:t>
      </w:r>
    </w:p>
    <w:p w14:paraId="2EC572B7" w14:textId="77777777" w:rsidR="00C93308" w:rsidRPr="00C93308" w:rsidRDefault="00C93308" w:rsidP="00C93308">
      <w:pPr>
        <w:pStyle w:val="ListParagraph"/>
        <w:ind w:left="0"/>
        <w:rPr>
          <w:rFonts w:ascii="Arial" w:hAnsi="Arial" w:cs="Arial"/>
          <w:i/>
          <w:iCs/>
          <w:lang w:val="en-US"/>
        </w:rPr>
      </w:pPr>
    </w:p>
    <w:p w14:paraId="01793653" w14:textId="555CEA61" w:rsidR="00C93308" w:rsidRDefault="00155B26" w:rsidP="00C93308">
      <w:pPr>
        <w:pStyle w:val="ListParagraph"/>
        <w:spacing w:line="360" w:lineRule="auto"/>
        <w:ind w:left="0"/>
        <w:jc w:val="both"/>
        <w:rPr>
          <w:rFonts w:ascii="Arial" w:hAnsi="Arial" w:cs="Arial"/>
          <w:lang w:val="en-US"/>
        </w:rPr>
      </w:pPr>
      <w:r w:rsidRPr="00C93308">
        <w:rPr>
          <w:rFonts w:ascii="Arial" w:hAnsi="Arial" w:cs="Arial"/>
          <w:i/>
          <w:iCs/>
          <w:lang w:val="en-US"/>
        </w:rPr>
        <w:t>Held that</w:t>
      </w:r>
      <w:r w:rsidR="004D345D" w:rsidRPr="00C93308">
        <w:rPr>
          <w:rFonts w:ascii="Arial" w:hAnsi="Arial" w:cs="Arial"/>
          <w:lang w:val="en-US"/>
        </w:rPr>
        <w:t xml:space="preserve"> after holding an enquiry under s 12 of the </w:t>
      </w:r>
      <w:r w:rsidR="004D345D" w:rsidRPr="00C93308">
        <w:rPr>
          <w:rFonts w:ascii="Arial" w:eastAsia="Calibri" w:hAnsi="Arial" w:cs="Arial"/>
          <w:bCs/>
        </w:rPr>
        <w:t xml:space="preserve">Combating of Domestic </w:t>
      </w:r>
      <w:r w:rsidR="00C60EAF">
        <w:rPr>
          <w:rFonts w:ascii="Arial" w:eastAsia="Calibri" w:hAnsi="Arial" w:cs="Arial"/>
          <w:bCs/>
        </w:rPr>
        <w:t>Violence Act 4 of 2003,</w:t>
      </w:r>
      <w:r w:rsidR="004D345D" w:rsidRPr="00C93308">
        <w:rPr>
          <w:rFonts w:ascii="Arial" w:hAnsi="Arial" w:cs="Arial"/>
          <w:lang w:val="en-US"/>
        </w:rPr>
        <w:t xml:space="preserve"> following an interim protection order, the court a quo ha</w:t>
      </w:r>
      <w:r w:rsidR="001E3882">
        <w:rPr>
          <w:rFonts w:ascii="Arial" w:hAnsi="Arial" w:cs="Arial"/>
          <w:lang w:val="en-US"/>
        </w:rPr>
        <w:t>d</w:t>
      </w:r>
      <w:r w:rsidR="004D345D" w:rsidRPr="00C93308">
        <w:rPr>
          <w:rFonts w:ascii="Arial" w:hAnsi="Arial" w:cs="Arial"/>
          <w:lang w:val="en-US"/>
        </w:rPr>
        <w:t xml:space="preserve"> </w:t>
      </w:r>
      <w:r w:rsidR="001E3882">
        <w:rPr>
          <w:rFonts w:ascii="Arial" w:hAnsi="Arial" w:cs="Arial"/>
          <w:lang w:val="en-US"/>
        </w:rPr>
        <w:t>a wide</w:t>
      </w:r>
      <w:r w:rsidR="004D345D" w:rsidRPr="00C93308">
        <w:rPr>
          <w:rFonts w:ascii="Arial" w:hAnsi="Arial" w:cs="Arial"/>
          <w:lang w:val="en-US"/>
        </w:rPr>
        <w:t xml:space="preserve"> discretion to make an order set out in s 12(16)</w:t>
      </w:r>
      <w:r w:rsidR="004D345D" w:rsidRPr="00852B09">
        <w:rPr>
          <w:rFonts w:ascii="Arial" w:hAnsi="Arial" w:cs="Arial"/>
          <w:i/>
          <w:iCs/>
          <w:lang w:val="en-US"/>
        </w:rPr>
        <w:t>(a)</w:t>
      </w:r>
      <w:r w:rsidR="004D345D" w:rsidRPr="00C93308">
        <w:rPr>
          <w:rFonts w:ascii="Arial" w:hAnsi="Arial" w:cs="Arial"/>
          <w:lang w:val="en-US"/>
        </w:rPr>
        <w:t xml:space="preserve"> to </w:t>
      </w:r>
      <w:r w:rsidR="004D345D" w:rsidRPr="00852B09">
        <w:rPr>
          <w:rFonts w:ascii="Arial" w:hAnsi="Arial" w:cs="Arial"/>
          <w:i/>
          <w:iCs/>
          <w:lang w:val="en-US"/>
        </w:rPr>
        <w:t>(e)</w:t>
      </w:r>
      <w:r w:rsidR="004D345D" w:rsidRPr="00C93308">
        <w:rPr>
          <w:rFonts w:ascii="Arial" w:hAnsi="Arial" w:cs="Arial"/>
          <w:lang w:val="en-US"/>
        </w:rPr>
        <w:t xml:space="preserve"> of the Act.</w:t>
      </w:r>
    </w:p>
    <w:p w14:paraId="2225D257" w14:textId="77777777" w:rsidR="00C93308" w:rsidRPr="00C93308" w:rsidRDefault="00C93308" w:rsidP="00C93308">
      <w:pPr>
        <w:pStyle w:val="ListParagraph"/>
        <w:ind w:left="0"/>
        <w:rPr>
          <w:rFonts w:ascii="Arial" w:hAnsi="Arial" w:cs="Arial"/>
          <w:i/>
          <w:iCs/>
          <w:lang w:val="en-US"/>
        </w:rPr>
      </w:pPr>
    </w:p>
    <w:p w14:paraId="4AF13BA1" w14:textId="2A2B5CED" w:rsidR="00C93308" w:rsidRDefault="004D345D" w:rsidP="00C93308">
      <w:pPr>
        <w:pStyle w:val="ListParagraph"/>
        <w:spacing w:line="360" w:lineRule="auto"/>
        <w:ind w:left="0"/>
        <w:jc w:val="both"/>
        <w:rPr>
          <w:rFonts w:ascii="Arial" w:hAnsi="Arial" w:cs="Arial"/>
          <w:lang w:val="en-US"/>
        </w:rPr>
      </w:pPr>
      <w:r w:rsidRPr="00C93308">
        <w:rPr>
          <w:rFonts w:ascii="Arial" w:hAnsi="Arial" w:cs="Arial"/>
          <w:i/>
          <w:iCs/>
          <w:lang w:val="en-US"/>
        </w:rPr>
        <w:t xml:space="preserve">Held that </w:t>
      </w:r>
      <w:r w:rsidRPr="00C93308">
        <w:rPr>
          <w:rFonts w:ascii="Arial" w:hAnsi="Arial" w:cs="Arial"/>
          <w:lang w:val="en-US"/>
        </w:rPr>
        <w:t>whereas the court a quo ha</w:t>
      </w:r>
      <w:r w:rsidR="001E3882">
        <w:rPr>
          <w:rFonts w:ascii="Arial" w:hAnsi="Arial" w:cs="Arial"/>
          <w:lang w:val="en-US"/>
        </w:rPr>
        <w:t>d</w:t>
      </w:r>
      <w:r w:rsidRPr="00C93308">
        <w:rPr>
          <w:rFonts w:ascii="Arial" w:hAnsi="Arial" w:cs="Arial"/>
          <w:lang w:val="en-US"/>
        </w:rPr>
        <w:t xml:space="preserve"> a wide discretion, the court’s power to interfere with </w:t>
      </w:r>
      <w:r w:rsidR="00852B09">
        <w:rPr>
          <w:rFonts w:ascii="Arial" w:hAnsi="Arial" w:cs="Arial"/>
          <w:lang w:val="en-US"/>
        </w:rPr>
        <w:t>th</w:t>
      </w:r>
      <w:r w:rsidR="001E3882">
        <w:rPr>
          <w:rFonts w:ascii="Arial" w:hAnsi="Arial" w:cs="Arial"/>
          <w:lang w:val="en-US"/>
        </w:rPr>
        <w:t>e court of first instance’s</w:t>
      </w:r>
      <w:r w:rsidRPr="00C93308">
        <w:rPr>
          <w:rFonts w:ascii="Arial" w:hAnsi="Arial" w:cs="Arial"/>
          <w:lang w:val="en-US"/>
        </w:rPr>
        <w:t xml:space="preserve"> decisio</w:t>
      </w:r>
      <w:r w:rsidR="00852B09">
        <w:rPr>
          <w:rFonts w:ascii="Arial" w:hAnsi="Arial" w:cs="Arial"/>
          <w:lang w:val="en-US"/>
        </w:rPr>
        <w:t>n</w:t>
      </w:r>
      <w:r w:rsidRPr="00C93308">
        <w:rPr>
          <w:rFonts w:ascii="Arial" w:hAnsi="Arial" w:cs="Arial"/>
          <w:lang w:val="en-US"/>
        </w:rPr>
        <w:t xml:space="preserve"> is not limited to the trial court having exercised its discretion capriciously or upon a wrong principle or having failed to bring an unbiased judgment to bear on the matter or not having acted for substantial reasons, and the </w:t>
      </w:r>
      <w:r w:rsidR="001E3882">
        <w:rPr>
          <w:rFonts w:ascii="Arial" w:hAnsi="Arial" w:cs="Arial"/>
          <w:lang w:val="en-US"/>
        </w:rPr>
        <w:t xml:space="preserve">appeal </w:t>
      </w:r>
      <w:r w:rsidRPr="00C93308">
        <w:rPr>
          <w:rFonts w:ascii="Arial" w:hAnsi="Arial" w:cs="Arial"/>
          <w:lang w:val="en-US"/>
        </w:rPr>
        <w:t>court is thus at liberty to decide the matter according to its own views of the merits.</w:t>
      </w:r>
    </w:p>
    <w:p w14:paraId="23895EEA" w14:textId="77777777" w:rsidR="00C93308" w:rsidRPr="00C93308" w:rsidRDefault="00C93308" w:rsidP="00C93308">
      <w:pPr>
        <w:pStyle w:val="ListParagraph"/>
        <w:rPr>
          <w:rFonts w:ascii="Arial" w:hAnsi="Arial" w:cs="Arial"/>
          <w:i/>
          <w:iCs/>
          <w:lang w:val="en-US"/>
        </w:rPr>
      </w:pPr>
    </w:p>
    <w:p w14:paraId="03B54D61" w14:textId="5E41816F" w:rsidR="00C93308" w:rsidRDefault="004D345D" w:rsidP="00C93308">
      <w:pPr>
        <w:pStyle w:val="ListParagraph"/>
        <w:spacing w:line="360" w:lineRule="auto"/>
        <w:ind w:left="0"/>
        <w:jc w:val="both"/>
        <w:rPr>
          <w:rFonts w:ascii="Arial" w:hAnsi="Arial" w:cs="Arial"/>
          <w:lang w:val="en-US"/>
        </w:rPr>
      </w:pPr>
      <w:r w:rsidRPr="00C93308">
        <w:rPr>
          <w:rFonts w:ascii="Arial" w:hAnsi="Arial" w:cs="Arial"/>
          <w:i/>
          <w:iCs/>
          <w:lang w:val="en-US"/>
        </w:rPr>
        <w:t xml:space="preserve">Held that </w:t>
      </w:r>
      <w:r w:rsidRPr="00C93308">
        <w:rPr>
          <w:rFonts w:ascii="Arial" w:hAnsi="Arial" w:cs="Arial"/>
          <w:lang w:val="en-US"/>
        </w:rPr>
        <w:t>when s 12(17)</w:t>
      </w:r>
      <w:r w:rsidR="00C60EAF">
        <w:rPr>
          <w:rFonts w:ascii="Arial" w:hAnsi="Arial" w:cs="Arial"/>
          <w:lang w:val="en-US"/>
        </w:rPr>
        <w:t xml:space="preserve"> of the Act</w:t>
      </w:r>
      <w:r w:rsidRPr="00C93308">
        <w:rPr>
          <w:rFonts w:ascii="Arial" w:hAnsi="Arial" w:cs="Arial"/>
          <w:lang w:val="en-US"/>
        </w:rPr>
        <w:t xml:space="preserve"> speaks of a protection order being ‘granted’, it should be interpreted to include </w:t>
      </w:r>
      <w:r w:rsidR="00852B09">
        <w:rPr>
          <w:rFonts w:ascii="Arial" w:hAnsi="Arial" w:cs="Arial"/>
          <w:lang w:val="en-US"/>
        </w:rPr>
        <w:t>both</w:t>
      </w:r>
      <w:r w:rsidRPr="00C93308">
        <w:rPr>
          <w:rFonts w:ascii="Arial" w:hAnsi="Arial" w:cs="Arial"/>
          <w:lang w:val="en-US"/>
        </w:rPr>
        <w:t xml:space="preserve"> a ‘positive’ </w:t>
      </w:r>
      <w:r w:rsidR="00852B09">
        <w:rPr>
          <w:rFonts w:ascii="Arial" w:hAnsi="Arial" w:cs="Arial"/>
          <w:lang w:val="en-US"/>
        </w:rPr>
        <w:t>and</w:t>
      </w:r>
      <w:r w:rsidRPr="00C93308">
        <w:rPr>
          <w:rFonts w:ascii="Arial" w:hAnsi="Arial" w:cs="Arial"/>
          <w:lang w:val="en-US"/>
        </w:rPr>
        <w:t xml:space="preserve"> a ‘negative’ order. In other words, whatever order is made at the conclusion of an enquiry</w:t>
      </w:r>
      <w:r w:rsidR="00852B09">
        <w:rPr>
          <w:rFonts w:ascii="Arial" w:hAnsi="Arial" w:cs="Arial"/>
          <w:lang w:val="en-US"/>
        </w:rPr>
        <w:t xml:space="preserve"> under s 12</w:t>
      </w:r>
      <w:r w:rsidRPr="00C93308">
        <w:rPr>
          <w:rFonts w:ascii="Arial" w:hAnsi="Arial" w:cs="Arial"/>
          <w:lang w:val="en-US"/>
        </w:rPr>
        <w:t xml:space="preserve"> </w:t>
      </w:r>
      <w:r w:rsidR="00C60EAF">
        <w:rPr>
          <w:rFonts w:ascii="Arial" w:hAnsi="Arial" w:cs="Arial"/>
          <w:lang w:val="en-US"/>
        </w:rPr>
        <w:t xml:space="preserve">of the Act </w:t>
      </w:r>
      <w:r w:rsidRPr="00C93308">
        <w:rPr>
          <w:rFonts w:ascii="Arial" w:hAnsi="Arial" w:cs="Arial"/>
          <w:lang w:val="en-US"/>
        </w:rPr>
        <w:t xml:space="preserve">is ‘a final protection order’. </w:t>
      </w:r>
    </w:p>
    <w:p w14:paraId="5D663AF5" w14:textId="77777777" w:rsidR="00C93308" w:rsidRPr="00C93308" w:rsidRDefault="00C93308" w:rsidP="00C93308">
      <w:pPr>
        <w:pStyle w:val="ListParagraph"/>
        <w:rPr>
          <w:rFonts w:ascii="Arial" w:hAnsi="Arial" w:cs="Arial"/>
          <w:i/>
          <w:iCs/>
          <w:lang w:val="en-US"/>
        </w:rPr>
      </w:pPr>
    </w:p>
    <w:p w14:paraId="2A4C05E3" w14:textId="2742B9BA" w:rsidR="00C93308" w:rsidRDefault="004D345D" w:rsidP="00C93308">
      <w:pPr>
        <w:pStyle w:val="ListParagraph"/>
        <w:spacing w:line="360" w:lineRule="auto"/>
        <w:ind w:left="0"/>
        <w:jc w:val="both"/>
        <w:rPr>
          <w:rFonts w:ascii="Arial" w:hAnsi="Arial" w:cs="Arial"/>
          <w:lang w:val="en-US"/>
        </w:rPr>
      </w:pPr>
      <w:r w:rsidRPr="00C93308">
        <w:rPr>
          <w:rFonts w:ascii="Arial" w:hAnsi="Arial" w:cs="Arial"/>
          <w:i/>
          <w:iCs/>
          <w:lang w:val="en-US"/>
        </w:rPr>
        <w:t>Held that</w:t>
      </w:r>
      <w:r w:rsidRPr="00C93308">
        <w:rPr>
          <w:rFonts w:ascii="Arial" w:hAnsi="Arial" w:cs="Arial"/>
          <w:lang w:val="en-US"/>
        </w:rPr>
        <w:t xml:space="preserve"> the 7 June 2022 order is ‘a final protection order’ as envisaged in s 12(17) </w:t>
      </w:r>
      <w:r w:rsidR="001E3882">
        <w:rPr>
          <w:rFonts w:ascii="Arial" w:hAnsi="Arial" w:cs="Arial"/>
          <w:lang w:val="en-US"/>
        </w:rPr>
        <w:t xml:space="preserve">that was </w:t>
      </w:r>
      <w:r w:rsidRPr="00C93308">
        <w:rPr>
          <w:rFonts w:ascii="Arial" w:hAnsi="Arial" w:cs="Arial"/>
          <w:lang w:val="en-US"/>
        </w:rPr>
        <w:t xml:space="preserve">made under s 12(16)(d) discharging the interim order and substituting another order for </w:t>
      </w:r>
      <w:r w:rsidR="001E3882">
        <w:rPr>
          <w:rFonts w:ascii="Arial" w:hAnsi="Arial" w:cs="Arial"/>
          <w:lang w:val="en-US"/>
        </w:rPr>
        <w:t>it</w:t>
      </w:r>
      <w:r w:rsidRPr="00C93308">
        <w:rPr>
          <w:rFonts w:ascii="Arial" w:hAnsi="Arial" w:cs="Arial"/>
          <w:lang w:val="en-US"/>
        </w:rPr>
        <w:t xml:space="preserve">, which </w:t>
      </w:r>
      <w:r w:rsidR="00852B09">
        <w:rPr>
          <w:rFonts w:ascii="Arial" w:hAnsi="Arial" w:cs="Arial"/>
          <w:lang w:val="en-US"/>
        </w:rPr>
        <w:t xml:space="preserve">order </w:t>
      </w:r>
      <w:r w:rsidRPr="00C93308">
        <w:rPr>
          <w:rFonts w:ascii="Arial" w:hAnsi="Arial" w:cs="Arial"/>
          <w:lang w:val="en-US"/>
        </w:rPr>
        <w:t>did not bring s 15</w:t>
      </w:r>
      <w:r w:rsidRPr="00C93308">
        <w:rPr>
          <w:rFonts w:ascii="Arial" w:hAnsi="Arial" w:cs="Arial"/>
          <w:i/>
          <w:iCs/>
          <w:lang w:val="en-US"/>
        </w:rPr>
        <w:t xml:space="preserve">(a) </w:t>
      </w:r>
      <w:r w:rsidRPr="00C93308">
        <w:rPr>
          <w:rFonts w:ascii="Arial" w:hAnsi="Arial" w:cs="Arial"/>
          <w:lang w:val="en-US"/>
        </w:rPr>
        <w:t xml:space="preserve">into operation. </w:t>
      </w:r>
    </w:p>
    <w:p w14:paraId="418AA471" w14:textId="77777777" w:rsidR="00C93308" w:rsidRPr="00C93308" w:rsidRDefault="00C93308" w:rsidP="00C93308">
      <w:pPr>
        <w:pStyle w:val="ListParagraph"/>
        <w:rPr>
          <w:rFonts w:ascii="Arial" w:hAnsi="Arial" w:cs="Arial"/>
          <w:i/>
          <w:iCs/>
          <w:lang w:val="en-US"/>
        </w:rPr>
      </w:pPr>
    </w:p>
    <w:p w14:paraId="15EDFF9D" w14:textId="14788A27" w:rsidR="00C93308" w:rsidRDefault="004D345D" w:rsidP="00C93308">
      <w:pPr>
        <w:pStyle w:val="ListParagraph"/>
        <w:spacing w:line="360" w:lineRule="auto"/>
        <w:ind w:left="0"/>
        <w:jc w:val="both"/>
        <w:rPr>
          <w:rFonts w:ascii="Arial" w:hAnsi="Arial" w:cs="Arial"/>
          <w:lang w:val="en-US"/>
        </w:rPr>
      </w:pPr>
      <w:r w:rsidRPr="00C93308">
        <w:rPr>
          <w:rFonts w:ascii="Arial" w:hAnsi="Arial" w:cs="Arial"/>
          <w:i/>
          <w:iCs/>
          <w:lang w:val="en-US"/>
        </w:rPr>
        <w:t>Held that</w:t>
      </w:r>
      <w:r w:rsidRPr="00C93308">
        <w:rPr>
          <w:rFonts w:ascii="Arial" w:hAnsi="Arial" w:cs="Arial"/>
          <w:lang w:val="en-US"/>
        </w:rPr>
        <w:t xml:space="preserve"> s 17 </w:t>
      </w:r>
      <w:r w:rsidR="00C60EAF">
        <w:rPr>
          <w:rFonts w:ascii="Arial" w:hAnsi="Arial" w:cs="Arial"/>
          <w:lang w:val="en-US"/>
        </w:rPr>
        <w:t xml:space="preserve">of the Act </w:t>
      </w:r>
      <w:r w:rsidRPr="00C93308">
        <w:rPr>
          <w:rFonts w:ascii="Arial" w:hAnsi="Arial" w:cs="Arial"/>
          <w:lang w:val="en-US"/>
        </w:rPr>
        <w:t>applies to an interim or final protection order, and the 7 June 2022 order is ‘a protection</w:t>
      </w:r>
      <w:r w:rsidR="00C60EAF">
        <w:rPr>
          <w:rFonts w:ascii="Arial" w:hAnsi="Arial" w:cs="Arial"/>
          <w:lang w:val="en-US"/>
        </w:rPr>
        <w:t xml:space="preserve"> order’ for the purpose of s 17 of the Act.</w:t>
      </w:r>
    </w:p>
    <w:p w14:paraId="6673EF6B" w14:textId="77777777" w:rsidR="00C93308" w:rsidRPr="00C93308" w:rsidRDefault="00C93308" w:rsidP="00C93308">
      <w:pPr>
        <w:pStyle w:val="ListParagraph"/>
        <w:rPr>
          <w:rFonts w:ascii="Arial" w:hAnsi="Arial" w:cs="Arial"/>
          <w:i/>
          <w:iCs/>
          <w:lang w:val="en-US"/>
        </w:rPr>
      </w:pPr>
    </w:p>
    <w:p w14:paraId="6A43526E" w14:textId="4F609B6C" w:rsidR="00852B09" w:rsidRDefault="006D4511" w:rsidP="00852B09">
      <w:pPr>
        <w:pStyle w:val="ListParagraph"/>
        <w:spacing w:line="360" w:lineRule="auto"/>
        <w:ind w:left="0"/>
        <w:jc w:val="both"/>
        <w:rPr>
          <w:rFonts w:ascii="Arial" w:hAnsi="Arial" w:cs="Arial"/>
          <w:lang w:val="en-US"/>
        </w:rPr>
      </w:pPr>
      <w:r w:rsidRPr="00C93308">
        <w:rPr>
          <w:rFonts w:ascii="Arial" w:hAnsi="Arial" w:cs="Arial"/>
          <w:i/>
          <w:iCs/>
          <w:lang w:val="en-US"/>
        </w:rPr>
        <w:t xml:space="preserve">Held that </w:t>
      </w:r>
      <w:r w:rsidRPr="00C93308">
        <w:rPr>
          <w:rFonts w:ascii="Arial" w:hAnsi="Arial" w:cs="Arial"/>
          <w:lang w:val="en-US"/>
        </w:rPr>
        <w:t>s 17(3)</w:t>
      </w:r>
      <w:r w:rsidR="00C60EAF">
        <w:rPr>
          <w:rFonts w:ascii="Arial" w:hAnsi="Arial" w:cs="Arial"/>
          <w:lang w:val="en-US"/>
        </w:rPr>
        <w:t xml:space="preserve"> of the Act</w:t>
      </w:r>
      <w:r w:rsidRPr="00C93308">
        <w:rPr>
          <w:rFonts w:ascii="Arial" w:hAnsi="Arial" w:cs="Arial"/>
          <w:lang w:val="en-US"/>
        </w:rPr>
        <w:t xml:space="preserve"> applies when ‘the complainant’ or ‘an applicant’ wants to </w:t>
      </w:r>
      <w:r w:rsidR="00852B09">
        <w:rPr>
          <w:rFonts w:ascii="Arial" w:hAnsi="Arial" w:cs="Arial"/>
          <w:lang w:val="en-US"/>
        </w:rPr>
        <w:t xml:space="preserve">apply to </w:t>
      </w:r>
      <w:r w:rsidRPr="00C93308">
        <w:rPr>
          <w:rFonts w:ascii="Arial" w:hAnsi="Arial" w:cs="Arial"/>
          <w:lang w:val="en-US"/>
        </w:rPr>
        <w:t>cancel or modify a</w:t>
      </w:r>
      <w:r w:rsidR="00852B09">
        <w:rPr>
          <w:rFonts w:ascii="Arial" w:hAnsi="Arial" w:cs="Arial"/>
          <w:lang w:val="en-US"/>
        </w:rPr>
        <w:t xml:space="preserve"> protection</w:t>
      </w:r>
      <w:r w:rsidRPr="00C93308">
        <w:rPr>
          <w:rFonts w:ascii="Arial" w:hAnsi="Arial" w:cs="Arial"/>
          <w:lang w:val="en-US"/>
        </w:rPr>
        <w:t xml:space="preserve"> order</w:t>
      </w:r>
      <w:r w:rsidR="00852B09">
        <w:rPr>
          <w:rFonts w:ascii="Arial" w:hAnsi="Arial" w:cs="Arial"/>
          <w:lang w:val="en-US"/>
        </w:rPr>
        <w:t>,</w:t>
      </w:r>
      <w:r w:rsidRPr="00C93308">
        <w:rPr>
          <w:rFonts w:ascii="Arial" w:hAnsi="Arial" w:cs="Arial"/>
          <w:lang w:val="en-US"/>
        </w:rPr>
        <w:t xml:space="preserve"> and s 17(5) </w:t>
      </w:r>
      <w:r w:rsidR="00C60EAF">
        <w:rPr>
          <w:rFonts w:ascii="Arial" w:hAnsi="Arial" w:cs="Arial"/>
          <w:lang w:val="en-US"/>
        </w:rPr>
        <w:t xml:space="preserve">of the Act </w:t>
      </w:r>
      <w:r w:rsidRPr="00C93308">
        <w:rPr>
          <w:rFonts w:ascii="Arial" w:hAnsi="Arial" w:cs="Arial"/>
          <w:lang w:val="en-US"/>
        </w:rPr>
        <w:t>applies when ‘the respondent’ wants to make such application</w:t>
      </w:r>
      <w:r w:rsidR="00852B09">
        <w:rPr>
          <w:rFonts w:ascii="Arial" w:hAnsi="Arial" w:cs="Arial"/>
          <w:lang w:val="en-US"/>
        </w:rPr>
        <w:t xml:space="preserve">, and it is the legislature’s intention that </w:t>
      </w:r>
      <w:r w:rsidR="00262F97">
        <w:rPr>
          <w:rFonts w:ascii="Arial" w:hAnsi="Arial" w:cs="Arial"/>
          <w:lang w:val="en-US"/>
        </w:rPr>
        <w:t xml:space="preserve">a person in whose </w:t>
      </w:r>
      <w:proofErr w:type="spellStart"/>
      <w:r w:rsidR="00262F97">
        <w:rPr>
          <w:rFonts w:ascii="Arial" w:hAnsi="Arial" w:cs="Arial"/>
          <w:lang w:val="en-US"/>
        </w:rPr>
        <w:t>favour</w:t>
      </w:r>
      <w:proofErr w:type="spellEnd"/>
      <w:r w:rsidR="00262F97">
        <w:rPr>
          <w:rFonts w:ascii="Arial" w:hAnsi="Arial" w:cs="Arial"/>
          <w:lang w:val="en-US"/>
        </w:rPr>
        <w:t xml:space="preserve"> and </w:t>
      </w:r>
      <w:r w:rsidR="00852B09">
        <w:rPr>
          <w:rFonts w:ascii="Arial" w:hAnsi="Arial" w:cs="Arial"/>
          <w:lang w:val="en-US"/>
        </w:rPr>
        <w:t xml:space="preserve">against whom a protection order is made </w:t>
      </w:r>
      <w:r w:rsidR="003F088F">
        <w:rPr>
          <w:rFonts w:ascii="Arial" w:hAnsi="Arial" w:cs="Arial"/>
          <w:lang w:val="en-US"/>
        </w:rPr>
        <w:t xml:space="preserve">may </w:t>
      </w:r>
      <w:r w:rsidR="00852B09">
        <w:rPr>
          <w:rFonts w:ascii="Arial" w:hAnsi="Arial" w:cs="Arial"/>
          <w:lang w:val="en-US"/>
        </w:rPr>
        <w:t>apply for its cancellation under s 17</w:t>
      </w:r>
      <w:r w:rsidR="00C60EAF">
        <w:rPr>
          <w:rFonts w:ascii="Arial" w:hAnsi="Arial" w:cs="Arial"/>
          <w:lang w:val="en-US"/>
        </w:rPr>
        <w:t xml:space="preserve"> of the Act</w:t>
      </w:r>
      <w:r w:rsidR="00852B09">
        <w:rPr>
          <w:rFonts w:ascii="Arial" w:hAnsi="Arial" w:cs="Arial"/>
          <w:lang w:val="en-US"/>
        </w:rPr>
        <w:t>.</w:t>
      </w:r>
    </w:p>
    <w:p w14:paraId="33BE4112" w14:textId="77777777" w:rsidR="00852B09" w:rsidRPr="00C93308" w:rsidRDefault="00852B09" w:rsidP="00852B09">
      <w:pPr>
        <w:pStyle w:val="ListParagraph"/>
        <w:rPr>
          <w:rFonts w:ascii="Arial" w:hAnsi="Arial" w:cs="Arial"/>
          <w:i/>
          <w:iCs/>
          <w:lang w:val="en-US"/>
        </w:rPr>
      </w:pPr>
    </w:p>
    <w:p w14:paraId="0027FD7D" w14:textId="68A7E36F" w:rsidR="00E31AF3" w:rsidRDefault="00852B09" w:rsidP="00E31AF3">
      <w:pPr>
        <w:pStyle w:val="ListParagraph"/>
        <w:spacing w:line="360" w:lineRule="auto"/>
        <w:ind w:left="0"/>
        <w:jc w:val="both"/>
        <w:rPr>
          <w:rFonts w:ascii="Arial" w:hAnsi="Arial" w:cs="Arial"/>
          <w:lang w:val="en-US"/>
        </w:rPr>
      </w:pPr>
      <w:r>
        <w:rPr>
          <w:rFonts w:ascii="Arial" w:hAnsi="Arial" w:cs="Arial"/>
          <w:i/>
          <w:iCs/>
          <w:lang w:val="en-US"/>
        </w:rPr>
        <w:t>Held that</w:t>
      </w:r>
      <w:r>
        <w:rPr>
          <w:rFonts w:ascii="Arial" w:hAnsi="Arial" w:cs="Arial"/>
          <w:lang w:val="en-US"/>
        </w:rPr>
        <w:t xml:space="preserve"> </w:t>
      </w:r>
      <w:r w:rsidR="006D4511" w:rsidRPr="00C93308">
        <w:rPr>
          <w:rFonts w:ascii="Arial" w:hAnsi="Arial" w:cs="Arial"/>
          <w:lang w:val="en-US"/>
        </w:rPr>
        <w:t>the appellant should, for the purpose of s 17(5)</w:t>
      </w:r>
      <w:r w:rsidR="00C60EAF">
        <w:rPr>
          <w:rFonts w:ascii="Arial" w:hAnsi="Arial" w:cs="Arial"/>
          <w:lang w:val="en-US"/>
        </w:rPr>
        <w:t xml:space="preserve"> of the Act</w:t>
      </w:r>
      <w:r w:rsidR="00E31AF3">
        <w:rPr>
          <w:rFonts w:ascii="Arial" w:hAnsi="Arial" w:cs="Arial"/>
          <w:lang w:val="en-US"/>
        </w:rPr>
        <w:t>,</w:t>
      </w:r>
      <w:r w:rsidR="006D4511" w:rsidRPr="00C93308">
        <w:rPr>
          <w:rFonts w:ascii="Arial" w:hAnsi="Arial" w:cs="Arial"/>
          <w:lang w:val="en-US"/>
        </w:rPr>
        <w:t xml:space="preserve"> be regarded as </w:t>
      </w:r>
      <w:r w:rsidR="00E31AF3">
        <w:rPr>
          <w:rFonts w:ascii="Arial" w:hAnsi="Arial" w:cs="Arial"/>
          <w:lang w:val="en-US"/>
        </w:rPr>
        <w:t>‘</w:t>
      </w:r>
      <w:r w:rsidR="006D4511" w:rsidRPr="00C93308">
        <w:rPr>
          <w:rFonts w:ascii="Arial" w:hAnsi="Arial" w:cs="Arial"/>
          <w:lang w:val="en-US"/>
        </w:rPr>
        <w:t>the respondent</w:t>
      </w:r>
      <w:r w:rsidR="00E31AF3">
        <w:rPr>
          <w:rFonts w:ascii="Arial" w:hAnsi="Arial" w:cs="Arial"/>
          <w:lang w:val="en-US"/>
        </w:rPr>
        <w:t>’,</w:t>
      </w:r>
      <w:r w:rsidR="006D4511" w:rsidRPr="00C93308">
        <w:rPr>
          <w:rFonts w:ascii="Arial" w:hAnsi="Arial" w:cs="Arial"/>
          <w:lang w:val="en-US"/>
        </w:rPr>
        <w:t xml:space="preserve"> and </w:t>
      </w:r>
      <w:r w:rsidR="003F088F">
        <w:rPr>
          <w:rFonts w:ascii="Arial" w:hAnsi="Arial" w:cs="Arial"/>
          <w:lang w:val="en-US"/>
        </w:rPr>
        <w:t xml:space="preserve">with </w:t>
      </w:r>
      <w:r w:rsidR="006D4511" w:rsidRPr="00C93308">
        <w:rPr>
          <w:rFonts w:ascii="Arial" w:hAnsi="Arial" w:cs="Arial"/>
          <w:lang w:val="en-US"/>
        </w:rPr>
        <w:t>such interpretation</w:t>
      </w:r>
      <w:r w:rsidR="00E31AF3">
        <w:rPr>
          <w:rFonts w:ascii="Arial" w:hAnsi="Arial" w:cs="Arial"/>
          <w:lang w:val="en-US"/>
        </w:rPr>
        <w:t xml:space="preserve">, </w:t>
      </w:r>
      <w:r w:rsidR="006D4511" w:rsidRPr="00C93308">
        <w:rPr>
          <w:rFonts w:ascii="Arial" w:hAnsi="Arial" w:cs="Arial"/>
          <w:lang w:val="en-US"/>
        </w:rPr>
        <w:t>which supports the legislature’s intention</w:t>
      </w:r>
      <w:r w:rsidR="00E31AF3">
        <w:rPr>
          <w:rFonts w:ascii="Arial" w:hAnsi="Arial" w:cs="Arial"/>
          <w:lang w:val="en-US"/>
        </w:rPr>
        <w:t>,</w:t>
      </w:r>
      <w:r w:rsidR="006D4511" w:rsidRPr="00C93308">
        <w:rPr>
          <w:rFonts w:ascii="Arial" w:hAnsi="Arial" w:cs="Arial"/>
          <w:lang w:val="en-US"/>
        </w:rPr>
        <w:t xml:space="preserve"> the appellant could apply </w:t>
      </w:r>
      <w:r w:rsidR="00E31AF3">
        <w:rPr>
          <w:rFonts w:ascii="Arial" w:hAnsi="Arial" w:cs="Arial"/>
          <w:lang w:val="en-US"/>
        </w:rPr>
        <w:t>to</w:t>
      </w:r>
      <w:r w:rsidR="006D4511" w:rsidRPr="00C93308">
        <w:rPr>
          <w:rFonts w:ascii="Arial" w:hAnsi="Arial" w:cs="Arial"/>
          <w:lang w:val="en-US"/>
        </w:rPr>
        <w:t xml:space="preserve"> cancel</w:t>
      </w:r>
      <w:r w:rsidR="00E31AF3">
        <w:rPr>
          <w:rFonts w:ascii="Arial" w:hAnsi="Arial" w:cs="Arial"/>
          <w:lang w:val="en-US"/>
        </w:rPr>
        <w:t xml:space="preserve"> the 7 June 2022 order</w:t>
      </w:r>
      <w:r w:rsidR="006D4511" w:rsidRPr="00C93308">
        <w:rPr>
          <w:rFonts w:ascii="Arial" w:hAnsi="Arial" w:cs="Arial"/>
          <w:lang w:val="en-US"/>
        </w:rPr>
        <w:t xml:space="preserve">. </w:t>
      </w:r>
    </w:p>
    <w:p w14:paraId="19345A5C" w14:textId="77777777" w:rsidR="00E31AF3" w:rsidRPr="00C93308" w:rsidRDefault="00E31AF3" w:rsidP="00E31AF3">
      <w:pPr>
        <w:pStyle w:val="ListParagraph"/>
        <w:rPr>
          <w:rFonts w:ascii="Arial" w:hAnsi="Arial" w:cs="Arial"/>
          <w:i/>
          <w:iCs/>
          <w:lang w:val="en-US"/>
        </w:rPr>
      </w:pPr>
    </w:p>
    <w:p w14:paraId="39CB3164" w14:textId="72DB92D5" w:rsidR="00E31AF3" w:rsidRDefault="006D4511" w:rsidP="00E31AF3">
      <w:pPr>
        <w:pStyle w:val="ListParagraph"/>
        <w:spacing w:line="360" w:lineRule="auto"/>
        <w:ind w:left="0"/>
        <w:jc w:val="both"/>
        <w:rPr>
          <w:rFonts w:ascii="Arial" w:hAnsi="Arial" w:cs="Arial"/>
          <w:lang w:val="en-US"/>
        </w:rPr>
      </w:pPr>
      <w:r w:rsidRPr="00C93308">
        <w:rPr>
          <w:rFonts w:ascii="Arial" w:hAnsi="Arial" w:cs="Arial"/>
          <w:i/>
          <w:iCs/>
          <w:lang w:val="en-US"/>
        </w:rPr>
        <w:lastRenderedPageBreak/>
        <w:t xml:space="preserve">Held that </w:t>
      </w:r>
      <w:r w:rsidRPr="00C93308">
        <w:rPr>
          <w:rFonts w:ascii="Arial" w:hAnsi="Arial" w:cs="Arial"/>
          <w:lang w:val="en-US"/>
        </w:rPr>
        <w:t>the s 17 application was proper before the court a quo and it erred in refusing to hear it and dismissing it and concluding that the 7 June 2022 order does not amount to a protection order capable of cancellation under s 17</w:t>
      </w:r>
      <w:r w:rsidR="00C60EAF">
        <w:rPr>
          <w:rFonts w:ascii="Arial" w:hAnsi="Arial" w:cs="Arial"/>
          <w:lang w:val="en-US"/>
        </w:rPr>
        <w:t xml:space="preserve"> of the Act.</w:t>
      </w:r>
    </w:p>
    <w:p w14:paraId="4332AD6C" w14:textId="77777777" w:rsidR="00E31AF3" w:rsidRPr="00C93308" w:rsidRDefault="00E31AF3" w:rsidP="00E31AF3">
      <w:pPr>
        <w:pStyle w:val="ListParagraph"/>
        <w:rPr>
          <w:rFonts w:ascii="Arial" w:hAnsi="Arial" w:cs="Arial"/>
          <w:i/>
          <w:iCs/>
          <w:lang w:val="en-US"/>
        </w:rPr>
      </w:pPr>
    </w:p>
    <w:p w14:paraId="7F3B824D" w14:textId="2D7952F5" w:rsidR="006D4511" w:rsidRPr="00C93308" w:rsidRDefault="00E31AF3" w:rsidP="00C93308">
      <w:pPr>
        <w:pStyle w:val="ListParagraph"/>
        <w:spacing w:line="360" w:lineRule="auto"/>
        <w:ind w:left="0"/>
        <w:jc w:val="both"/>
        <w:rPr>
          <w:rFonts w:ascii="Arial" w:hAnsi="Arial" w:cs="Arial"/>
          <w:lang w:val="en-US"/>
        </w:rPr>
      </w:pPr>
      <w:r>
        <w:rPr>
          <w:rFonts w:ascii="Arial" w:hAnsi="Arial" w:cs="Arial"/>
          <w:i/>
          <w:iCs/>
          <w:lang w:val="en-US"/>
        </w:rPr>
        <w:t>Held that</w:t>
      </w:r>
      <w:r w:rsidR="006D4511" w:rsidRPr="00C93308">
        <w:rPr>
          <w:rFonts w:ascii="Arial" w:hAnsi="Arial" w:cs="Arial"/>
          <w:lang w:val="en-US"/>
        </w:rPr>
        <w:t xml:space="preserve"> the court a quo should have proceeded to hear the merits of the s 17 application</w:t>
      </w:r>
      <w:r>
        <w:rPr>
          <w:rFonts w:ascii="Arial" w:hAnsi="Arial" w:cs="Arial"/>
          <w:lang w:val="en-US"/>
        </w:rPr>
        <w:t>,</w:t>
      </w:r>
      <w:r w:rsidR="006D4511" w:rsidRPr="00C93308">
        <w:rPr>
          <w:rFonts w:ascii="Arial" w:hAnsi="Arial" w:cs="Arial"/>
          <w:lang w:val="en-US"/>
        </w:rPr>
        <w:t xml:space="preserve"> and</w:t>
      </w:r>
      <w:r w:rsidR="006D4511" w:rsidRPr="00C93308">
        <w:rPr>
          <w:rFonts w:ascii="Arial" w:hAnsi="Arial" w:cs="Arial"/>
          <w:i/>
          <w:iCs/>
          <w:lang w:val="en-US"/>
        </w:rPr>
        <w:t xml:space="preserve"> </w:t>
      </w:r>
      <w:r w:rsidR="006D4511" w:rsidRPr="00C93308">
        <w:rPr>
          <w:rFonts w:ascii="Arial" w:hAnsi="Arial" w:cs="Arial"/>
          <w:lang w:val="en-US"/>
        </w:rPr>
        <w:t>the appeal</w:t>
      </w:r>
      <w:r w:rsidR="003F088F">
        <w:rPr>
          <w:rFonts w:ascii="Arial" w:hAnsi="Arial" w:cs="Arial"/>
          <w:lang w:val="en-US"/>
        </w:rPr>
        <w:t xml:space="preserve"> </w:t>
      </w:r>
      <w:r w:rsidR="006D4511" w:rsidRPr="00C93308">
        <w:rPr>
          <w:rFonts w:ascii="Arial" w:hAnsi="Arial" w:cs="Arial"/>
          <w:lang w:val="en-US"/>
        </w:rPr>
        <w:t>succeed</w:t>
      </w:r>
      <w:r w:rsidR="003F088F">
        <w:rPr>
          <w:rFonts w:ascii="Arial" w:hAnsi="Arial" w:cs="Arial"/>
          <w:lang w:val="en-US"/>
        </w:rPr>
        <w:t>s</w:t>
      </w:r>
      <w:r w:rsidR="006D4511" w:rsidRPr="00C93308">
        <w:rPr>
          <w:rFonts w:ascii="Arial" w:hAnsi="Arial" w:cs="Arial"/>
          <w:lang w:val="en-US"/>
        </w:rPr>
        <w:t>.</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676E785B" w14:textId="26018D1A" w:rsidR="004E5F07" w:rsidRDefault="004E1864" w:rsidP="00C60EAF">
      <w:pPr>
        <w:pStyle w:val="ListParagraph"/>
        <w:numPr>
          <w:ilvl w:val="0"/>
          <w:numId w:val="1"/>
        </w:numPr>
        <w:spacing w:line="360" w:lineRule="auto"/>
        <w:ind w:left="1134" w:hanging="567"/>
        <w:jc w:val="both"/>
        <w:rPr>
          <w:rFonts w:ascii="Arial" w:hAnsi="Arial" w:cs="Arial"/>
          <w:lang w:val="en-US"/>
        </w:rPr>
      </w:pPr>
      <w:r>
        <w:rPr>
          <w:rFonts w:ascii="Arial" w:eastAsia="Calibri" w:hAnsi="Arial" w:cs="Arial"/>
          <w:bCs/>
        </w:rPr>
        <w:t xml:space="preserve">The </w:t>
      </w:r>
      <w:r w:rsidR="006E5FAB">
        <w:rPr>
          <w:rFonts w:ascii="Arial" w:eastAsia="Calibri" w:hAnsi="Arial" w:cs="Arial"/>
          <w:bCs/>
        </w:rPr>
        <w:t>appeal succeeds</w:t>
      </w:r>
      <w:r w:rsidR="004E5F07" w:rsidRPr="004E5F07">
        <w:rPr>
          <w:rFonts w:ascii="Arial" w:hAnsi="Arial" w:cs="Arial"/>
          <w:lang w:val="en-US"/>
        </w:rPr>
        <w:t>.</w:t>
      </w:r>
    </w:p>
    <w:p w14:paraId="140C3B7D" w14:textId="77777777" w:rsidR="004E5F07" w:rsidRPr="004E5F07" w:rsidRDefault="004E5F07" w:rsidP="00C60EAF">
      <w:pPr>
        <w:pStyle w:val="ListParagraph"/>
        <w:ind w:left="1134" w:hanging="567"/>
        <w:rPr>
          <w:rFonts w:ascii="Arial" w:hAnsi="Arial" w:cs="Arial"/>
          <w:lang w:val="en-US"/>
        </w:rPr>
      </w:pPr>
    </w:p>
    <w:p w14:paraId="76134384" w14:textId="68C8FC73" w:rsidR="004E5F07" w:rsidRDefault="006E5FAB" w:rsidP="00C60EAF">
      <w:pPr>
        <w:pStyle w:val="ListParagraph"/>
        <w:numPr>
          <w:ilvl w:val="0"/>
          <w:numId w:val="1"/>
        </w:numPr>
        <w:spacing w:line="360" w:lineRule="auto"/>
        <w:ind w:left="1134" w:hanging="567"/>
        <w:jc w:val="both"/>
        <w:rPr>
          <w:rFonts w:ascii="Arial" w:hAnsi="Arial" w:cs="Arial"/>
          <w:lang w:val="en-US"/>
        </w:rPr>
      </w:pPr>
      <w:r>
        <w:rPr>
          <w:rFonts w:ascii="Arial" w:eastAsia="Calibri" w:hAnsi="Arial" w:cs="Arial"/>
          <w:bCs/>
        </w:rPr>
        <w:t xml:space="preserve">The order dated 29 August 2023 under case number DV 285/2022 in the </w:t>
      </w:r>
      <w:r w:rsidR="00203C60">
        <w:rPr>
          <w:rFonts w:ascii="Arial" w:eastAsia="Calibri" w:hAnsi="Arial" w:cs="Arial"/>
          <w:bCs/>
        </w:rPr>
        <w:t>m</w:t>
      </w:r>
      <w:r>
        <w:rPr>
          <w:rFonts w:ascii="Arial" w:eastAsia="Calibri" w:hAnsi="Arial" w:cs="Arial"/>
          <w:bCs/>
        </w:rPr>
        <w:t xml:space="preserve">agistrate’s </w:t>
      </w:r>
      <w:r w:rsidR="00203C60">
        <w:rPr>
          <w:rFonts w:ascii="Arial" w:eastAsia="Calibri" w:hAnsi="Arial" w:cs="Arial"/>
          <w:bCs/>
        </w:rPr>
        <w:t>c</w:t>
      </w:r>
      <w:r>
        <w:rPr>
          <w:rFonts w:ascii="Arial" w:eastAsia="Calibri" w:hAnsi="Arial" w:cs="Arial"/>
          <w:bCs/>
        </w:rPr>
        <w:t>ourt for the district of Windhoek sitting as a court</w:t>
      </w:r>
      <w:r w:rsidR="00A77B08">
        <w:rPr>
          <w:rFonts w:ascii="Arial" w:eastAsia="Calibri" w:hAnsi="Arial" w:cs="Arial"/>
          <w:bCs/>
        </w:rPr>
        <w:t xml:space="preserve"> in terms of</w:t>
      </w:r>
      <w:r>
        <w:rPr>
          <w:rFonts w:ascii="Arial" w:eastAsia="Calibri" w:hAnsi="Arial" w:cs="Arial"/>
          <w:bCs/>
        </w:rPr>
        <w:t xml:space="preserve"> the Combating of Domestic Violence Act 4 of 20</w:t>
      </w:r>
      <w:r w:rsidR="00792EB6">
        <w:rPr>
          <w:rFonts w:ascii="Arial" w:eastAsia="Calibri" w:hAnsi="Arial" w:cs="Arial"/>
          <w:bCs/>
        </w:rPr>
        <w:t>0</w:t>
      </w:r>
      <w:r>
        <w:rPr>
          <w:rFonts w:ascii="Arial" w:eastAsia="Calibri" w:hAnsi="Arial" w:cs="Arial"/>
          <w:bCs/>
        </w:rPr>
        <w:t>3 (the Act) is set aside</w:t>
      </w:r>
      <w:r w:rsidR="004E5F07" w:rsidRPr="004E5F07">
        <w:rPr>
          <w:rFonts w:ascii="Arial" w:hAnsi="Arial" w:cs="Arial"/>
          <w:lang w:val="en-US"/>
        </w:rPr>
        <w:t>.</w:t>
      </w:r>
    </w:p>
    <w:p w14:paraId="35A98BA3" w14:textId="77777777" w:rsidR="004E5F07" w:rsidRPr="004E5F07" w:rsidRDefault="004E5F07" w:rsidP="00C60EAF">
      <w:pPr>
        <w:pStyle w:val="ListParagraph"/>
        <w:ind w:left="1134" w:hanging="567"/>
        <w:rPr>
          <w:rFonts w:ascii="Arial" w:hAnsi="Arial" w:cs="Arial"/>
          <w:lang w:val="en-US"/>
        </w:rPr>
      </w:pPr>
    </w:p>
    <w:p w14:paraId="1080BB99" w14:textId="5CCDF411" w:rsidR="004E5F07" w:rsidRDefault="006E5FAB" w:rsidP="00C60EAF">
      <w:pPr>
        <w:pStyle w:val="ListParagraph"/>
        <w:numPr>
          <w:ilvl w:val="0"/>
          <w:numId w:val="1"/>
        </w:numPr>
        <w:spacing w:line="360" w:lineRule="auto"/>
        <w:ind w:left="1134" w:hanging="567"/>
        <w:jc w:val="both"/>
        <w:rPr>
          <w:rFonts w:ascii="Arial" w:hAnsi="Arial" w:cs="Arial"/>
          <w:lang w:val="en-US"/>
        </w:rPr>
      </w:pPr>
      <w:r>
        <w:rPr>
          <w:rFonts w:ascii="Arial" w:eastAsia="Calibri" w:hAnsi="Arial" w:cs="Arial"/>
          <w:bCs/>
        </w:rPr>
        <w:t>The matter is remitted to the court of first instance</w:t>
      </w:r>
      <w:r w:rsidR="004E5F07" w:rsidRPr="004E5F07">
        <w:rPr>
          <w:rFonts w:ascii="Arial" w:hAnsi="Arial" w:cs="Arial"/>
          <w:lang w:val="en-US"/>
        </w:rPr>
        <w:t>.</w:t>
      </w:r>
    </w:p>
    <w:p w14:paraId="7D859024" w14:textId="77777777" w:rsidR="004E5F07" w:rsidRPr="004E5F07" w:rsidRDefault="004E5F07" w:rsidP="00C60EAF">
      <w:pPr>
        <w:pStyle w:val="ListParagraph"/>
        <w:ind w:left="1134" w:hanging="567"/>
        <w:rPr>
          <w:rFonts w:ascii="Arial" w:hAnsi="Arial" w:cs="Arial"/>
          <w:lang w:val="en-US"/>
        </w:rPr>
      </w:pPr>
    </w:p>
    <w:p w14:paraId="7B9E2886" w14:textId="37BC8C12" w:rsidR="004E5F07" w:rsidRDefault="007B4701" w:rsidP="00C60EAF">
      <w:pPr>
        <w:pStyle w:val="ListParagraph"/>
        <w:numPr>
          <w:ilvl w:val="0"/>
          <w:numId w:val="1"/>
        </w:numPr>
        <w:spacing w:line="360" w:lineRule="auto"/>
        <w:ind w:left="1134" w:hanging="567"/>
        <w:jc w:val="both"/>
        <w:rPr>
          <w:rFonts w:ascii="Arial" w:hAnsi="Arial" w:cs="Arial"/>
          <w:lang w:val="en-US"/>
        </w:rPr>
      </w:pPr>
      <w:r>
        <w:rPr>
          <w:rFonts w:ascii="Arial" w:eastAsia="Calibri" w:hAnsi="Arial" w:cs="Arial"/>
          <w:bCs/>
        </w:rPr>
        <w:t>The court a quo is directed to hear the application launched under s 17 of the Act on the merits</w:t>
      </w:r>
      <w:r w:rsidRPr="004E5F07">
        <w:rPr>
          <w:rFonts w:ascii="Arial" w:hAnsi="Arial" w:cs="Arial"/>
          <w:lang w:val="en-US"/>
        </w:rPr>
        <w:t>.</w:t>
      </w:r>
    </w:p>
    <w:p w14:paraId="5E0CBB67" w14:textId="77777777" w:rsidR="006E5FAB" w:rsidRPr="006E5FAB" w:rsidRDefault="006E5FAB" w:rsidP="00C60EAF">
      <w:pPr>
        <w:pStyle w:val="ListParagraph"/>
        <w:ind w:left="1134" w:hanging="567"/>
        <w:rPr>
          <w:rFonts w:ascii="Arial" w:hAnsi="Arial" w:cs="Arial"/>
          <w:lang w:val="en-US"/>
        </w:rPr>
      </w:pPr>
    </w:p>
    <w:p w14:paraId="374EF93F" w14:textId="5DEB206A" w:rsidR="004E5F07" w:rsidRPr="00203C60" w:rsidRDefault="006E5FAB" w:rsidP="00C60EAF">
      <w:pPr>
        <w:pStyle w:val="ListParagraph"/>
        <w:numPr>
          <w:ilvl w:val="0"/>
          <w:numId w:val="1"/>
        </w:numPr>
        <w:spacing w:line="360" w:lineRule="auto"/>
        <w:ind w:left="1134" w:hanging="567"/>
        <w:jc w:val="both"/>
        <w:rPr>
          <w:rFonts w:ascii="Arial" w:hAnsi="Arial" w:cs="Arial"/>
          <w:lang w:val="en-US"/>
        </w:rPr>
      </w:pPr>
      <w:r>
        <w:rPr>
          <w:rFonts w:ascii="Arial" w:hAnsi="Arial" w:cs="Arial"/>
          <w:lang w:val="en-US"/>
        </w:rPr>
        <w:t>There is no order as to costs.</w:t>
      </w: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4FA4534B" w:rsidR="00010077" w:rsidRDefault="00010077" w:rsidP="00010077">
      <w:pPr>
        <w:spacing w:line="360" w:lineRule="auto"/>
        <w:jc w:val="center"/>
        <w:rPr>
          <w:rFonts w:ascii="Arial" w:hAnsi="Arial" w:cs="Arial"/>
          <w:b/>
          <w:bCs/>
          <w:lang w:val="en-US"/>
        </w:rPr>
      </w:pPr>
      <w:r w:rsidRPr="00791AFD">
        <w:rPr>
          <w:rFonts w:ascii="Arial" w:hAnsi="Arial" w:cs="Arial"/>
          <w:b/>
          <w:bCs/>
          <w:lang w:val="en-US"/>
        </w:rPr>
        <w:t>JUDGMENT</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56F2B22D" w14:textId="77777777" w:rsidR="00792EB6" w:rsidRDefault="004E5F07" w:rsidP="00792EB6">
      <w:pPr>
        <w:pStyle w:val="ListParagraph"/>
        <w:spacing w:line="360" w:lineRule="auto"/>
        <w:ind w:left="0"/>
        <w:jc w:val="both"/>
        <w:rPr>
          <w:rFonts w:ascii="Arial" w:hAnsi="Arial" w:cs="Arial"/>
          <w:lang w:val="en-US"/>
        </w:rPr>
      </w:pPr>
      <w:r>
        <w:rPr>
          <w:rFonts w:ascii="Arial" w:hAnsi="Arial" w:cs="Arial"/>
          <w:lang w:val="en-US"/>
        </w:rPr>
        <w:t xml:space="preserve">DE </w:t>
      </w:r>
      <w:r w:rsidRPr="00EF3919">
        <w:rPr>
          <w:rFonts w:ascii="Arial" w:hAnsi="Arial" w:cs="Arial"/>
          <w:lang w:val="en-US"/>
        </w:rPr>
        <w:t>JAGER AJ</w:t>
      </w:r>
      <w:r w:rsidR="00791AFD" w:rsidRPr="00EF3919">
        <w:rPr>
          <w:rFonts w:ascii="Arial" w:hAnsi="Arial" w:cs="Arial"/>
          <w:lang w:val="en-US"/>
        </w:rPr>
        <w:t xml:space="preserve"> (SCHIMMING-CHASE J </w:t>
      </w:r>
      <w:r w:rsidR="00B920E9" w:rsidRPr="00EF3919">
        <w:rPr>
          <w:rFonts w:ascii="Arial" w:hAnsi="Arial" w:cs="Arial"/>
          <w:lang w:val="en-US"/>
        </w:rPr>
        <w:t>concurring</w:t>
      </w:r>
      <w:r w:rsidR="00791AFD" w:rsidRPr="00EF3919">
        <w:rPr>
          <w:rFonts w:ascii="Arial" w:hAnsi="Arial" w:cs="Arial"/>
          <w:lang w:val="en-US"/>
        </w:rPr>
        <w:t>)</w:t>
      </w:r>
      <w:r w:rsidRPr="00EF3919">
        <w:rPr>
          <w:rFonts w:ascii="Arial" w:hAnsi="Arial" w:cs="Arial"/>
          <w:lang w:val="en-US"/>
        </w:rPr>
        <w:t>:</w:t>
      </w:r>
    </w:p>
    <w:p w14:paraId="37AA4B7B" w14:textId="77777777" w:rsidR="00792EB6" w:rsidRPr="00792EB6" w:rsidRDefault="00792EB6" w:rsidP="00792EB6">
      <w:pPr>
        <w:pStyle w:val="ListParagraph"/>
        <w:rPr>
          <w:rFonts w:ascii="Arial" w:eastAsia="Calibri" w:hAnsi="Arial" w:cs="Arial"/>
          <w:bCs/>
        </w:rPr>
      </w:pPr>
    </w:p>
    <w:p w14:paraId="3A740F30" w14:textId="2CBEE3D8" w:rsidR="00792EB6" w:rsidRDefault="00BA2723" w:rsidP="00792EB6">
      <w:pPr>
        <w:pStyle w:val="ListParagraph"/>
        <w:spacing w:line="360" w:lineRule="auto"/>
        <w:ind w:left="0"/>
        <w:jc w:val="both"/>
        <w:rPr>
          <w:rFonts w:ascii="Arial" w:hAnsi="Arial" w:cs="Arial"/>
          <w:lang w:val="en-US"/>
        </w:rPr>
      </w:pPr>
      <w:r w:rsidRPr="00792EB6">
        <w:rPr>
          <w:rFonts w:ascii="Arial" w:hAnsi="Arial" w:cs="Arial"/>
          <w:u w:val="single"/>
          <w:lang w:val="en-US"/>
        </w:rPr>
        <w:t>Introduction</w:t>
      </w:r>
    </w:p>
    <w:p w14:paraId="117785C6" w14:textId="77777777" w:rsidR="00792EB6" w:rsidRPr="00792EB6" w:rsidRDefault="00792EB6" w:rsidP="00792EB6">
      <w:pPr>
        <w:pStyle w:val="ListParagraph"/>
        <w:rPr>
          <w:rFonts w:ascii="Arial" w:eastAsia="Calibri" w:hAnsi="Arial" w:cs="Arial"/>
          <w:bCs/>
        </w:rPr>
      </w:pPr>
    </w:p>
    <w:p w14:paraId="14B5B0B2" w14:textId="6D1F4161" w:rsidR="00586484" w:rsidRDefault="00BF155D" w:rsidP="00586484">
      <w:pPr>
        <w:pStyle w:val="ListParagraph"/>
        <w:numPr>
          <w:ilvl w:val="0"/>
          <w:numId w:val="2"/>
        </w:numPr>
        <w:spacing w:line="360" w:lineRule="auto"/>
        <w:ind w:left="0" w:firstLine="0"/>
        <w:jc w:val="both"/>
        <w:rPr>
          <w:rFonts w:ascii="Arial" w:hAnsi="Arial" w:cs="Arial"/>
          <w:lang w:val="en-US"/>
        </w:rPr>
      </w:pPr>
      <w:r w:rsidRPr="00792EB6">
        <w:rPr>
          <w:rFonts w:ascii="Arial" w:eastAsia="Calibri" w:hAnsi="Arial" w:cs="Arial"/>
          <w:bCs/>
        </w:rPr>
        <w:t xml:space="preserve">Before the court is an appeal from the </w:t>
      </w:r>
      <w:r w:rsidR="00C60EAF">
        <w:rPr>
          <w:rFonts w:ascii="Arial" w:eastAsia="Calibri" w:hAnsi="Arial" w:cs="Arial"/>
          <w:bCs/>
        </w:rPr>
        <w:t>M</w:t>
      </w:r>
      <w:r w:rsidRPr="00792EB6">
        <w:rPr>
          <w:rFonts w:ascii="Arial" w:eastAsia="Calibri" w:hAnsi="Arial" w:cs="Arial"/>
          <w:bCs/>
        </w:rPr>
        <w:t xml:space="preserve">agistrate’s </w:t>
      </w:r>
      <w:r w:rsidR="00C60EAF">
        <w:rPr>
          <w:rFonts w:ascii="Arial" w:eastAsia="Calibri" w:hAnsi="Arial" w:cs="Arial"/>
          <w:bCs/>
        </w:rPr>
        <w:t>C</w:t>
      </w:r>
      <w:r w:rsidRPr="00792EB6">
        <w:rPr>
          <w:rFonts w:ascii="Arial" w:eastAsia="Calibri" w:hAnsi="Arial" w:cs="Arial"/>
          <w:bCs/>
        </w:rPr>
        <w:t xml:space="preserve">ourt for the district of Windhoek sitting </w:t>
      </w:r>
      <w:r w:rsidR="00B66363" w:rsidRPr="00792EB6">
        <w:rPr>
          <w:rFonts w:ascii="Arial" w:eastAsia="Calibri" w:hAnsi="Arial" w:cs="Arial"/>
          <w:bCs/>
        </w:rPr>
        <w:t>as a court</w:t>
      </w:r>
      <w:r w:rsidR="00792EB6">
        <w:rPr>
          <w:rFonts w:ascii="Arial" w:eastAsia="Calibri" w:hAnsi="Arial" w:cs="Arial"/>
          <w:bCs/>
        </w:rPr>
        <w:t xml:space="preserve"> of first instance</w:t>
      </w:r>
      <w:r w:rsidR="00B66363" w:rsidRPr="00792EB6">
        <w:rPr>
          <w:rFonts w:ascii="Arial" w:eastAsia="Calibri" w:hAnsi="Arial" w:cs="Arial"/>
          <w:bCs/>
        </w:rPr>
        <w:t xml:space="preserve"> </w:t>
      </w:r>
      <w:r w:rsidR="00792EB6">
        <w:rPr>
          <w:rFonts w:ascii="Arial" w:eastAsia="Calibri" w:hAnsi="Arial" w:cs="Arial"/>
          <w:bCs/>
        </w:rPr>
        <w:t>under</w:t>
      </w:r>
      <w:r w:rsidR="00B66363" w:rsidRPr="00792EB6">
        <w:rPr>
          <w:rFonts w:ascii="Arial" w:eastAsia="Calibri" w:hAnsi="Arial" w:cs="Arial"/>
          <w:bCs/>
        </w:rPr>
        <w:t xml:space="preserve"> the Combating of Domestic Violence Act 4 of 20</w:t>
      </w:r>
      <w:r w:rsidR="00792EB6">
        <w:rPr>
          <w:rFonts w:ascii="Arial" w:eastAsia="Calibri" w:hAnsi="Arial" w:cs="Arial"/>
          <w:bCs/>
        </w:rPr>
        <w:t>0</w:t>
      </w:r>
      <w:r w:rsidR="00B66363" w:rsidRPr="00792EB6">
        <w:rPr>
          <w:rFonts w:ascii="Arial" w:eastAsia="Calibri" w:hAnsi="Arial" w:cs="Arial"/>
          <w:bCs/>
        </w:rPr>
        <w:t>3 (the Act)</w:t>
      </w:r>
      <w:r w:rsidR="00792EB6" w:rsidRPr="00792EB6">
        <w:rPr>
          <w:rFonts w:ascii="Arial" w:eastAsia="Calibri" w:hAnsi="Arial" w:cs="Arial"/>
          <w:bCs/>
        </w:rPr>
        <w:t xml:space="preserve">. </w:t>
      </w:r>
    </w:p>
    <w:p w14:paraId="194856D0" w14:textId="77777777" w:rsidR="00586484" w:rsidRPr="00586484" w:rsidRDefault="00586484" w:rsidP="00586484">
      <w:pPr>
        <w:pStyle w:val="ListParagraph"/>
        <w:rPr>
          <w:rFonts w:ascii="Arial" w:eastAsia="Calibri" w:hAnsi="Arial" w:cs="Arial"/>
          <w:bCs/>
        </w:rPr>
      </w:pPr>
    </w:p>
    <w:p w14:paraId="27133CA4" w14:textId="07371B3E" w:rsidR="00586484" w:rsidRDefault="00792EB6" w:rsidP="00586484">
      <w:pPr>
        <w:pStyle w:val="ListParagraph"/>
        <w:numPr>
          <w:ilvl w:val="0"/>
          <w:numId w:val="2"/>
        </w:numPr>
        <w:spacing w:line="360" w:lineRule="auto"/>
        <w:ind w:left="0" w:firstLine="0"/>
        <w:jc w:val="both"/>
        <w:rPr>
          <w:rFonts w:ascii="Arial" w:hAnsi="Arial" w:cs="Arial"/>
          <w:lang w:val="en-US"/>
        </w:rPr>
      </w:pPr>
      <w:r w:rsidRPr="00792EB6">
        <w:rPr>
          <w:rFonts w:ascii="Arial" w:eastAsia="Calibri" w:hAnsi="Arial" w:cs="Arial"/>
          <w:bCs/>
        </w:rPr>
        <w:t>The appeal lies against</w:t>
      </w:r>
      <w:r w:rsidR="00B66363" w:rsidRPr="00792EB6">
        <w:rPr>
          <w:rFonts w:ascii="Arial" w:eastAsia="Calibri" w:hAnsi="Arial" w:cs="Arial"/>
          <w:bCs/>
        </w:rPr>
        <w:t xml:space="preserve"> </w:t>
      </w:r>
      <w:r w:rsidR="001C5BB4" w:rsidRPr="00792EB6">
        <w:rPr>
          <w:rFonts w:ascii="Arial" w:eastAsia="Calibri" w:hAnsi="Arial" w:cs="Arial"/>
          <w:bCs/>
        </w:rPr>
        <w:t xml:space="preserve">an </w:t>
      </w:r>
      <w:r w:rsidR="00B66363" w:rsidRPr="00792EB6">
        <w:rPr>
          <w:rFonts w:ascii="Arial" w:eastAsia="Calibri" w:hAnsi="Arial" w:cs="Arial"/>
          <w:bCs/>
        </w:rPr>
        <w:t xml:space="preserve">order </w:t>
      </w:r>
      <w:r w:rsidR="001C5BB4" w:rsidRPr="00792EB6">
        <w:rPr>
          <w:rFonts w:ascii="Arial" w:eastAsia="Calibri" w:hAnsi="Arial" w:cs="Arial"/>
          <w:bCs/>
        </w:rPr>
        <w:t>dismissing the appellant’s application</w:t>
      </w:r>
      <w:r w:rsidR="00A77B08">
        <w:rPr>
          <w:rFonts w:ascii="Arial" w:eastAsia="Calibri" w:hAnsi="Arial" w:cs="Arial"/>
          <w:bCs/>
        </w:rPr>
        <w:t xml:space="preserve"> launched</w:t>
      </w:r>
      <w:r w:rsidR="001C5BB4" w:rsidRPr="00792EB6">
        <w:rPr>
          <w:rFonts w:ascii="Arial" w:eastAsia="Calibri" w:hAnsi="Arial" w:cs="Arial"/>
          <w:bCs/>
        </w:rPr>
        <w:t xml:space="preserve"> in terms of s 17 of the Act to cancel a protection order</w:t>
      </w:r>
      <w:r w:rsidR="00A77B08">
        <w:rPr>
          <w:rFonts w:ascii="Arial" w:eastAsia="Calibri" w:hAnsi="Arial" w:cs="Arial"/>
          <w:bCs/>
        </w:rPr>
        <w:t xml:space="preserve"> and to have the respondent evicted from certain premises</w:t>
      </w:r>
      <w:r w:rsidR="001C5BB4" w:rsidRPr="00792EB6">
        <w:rPr>
          <w:rFonts w:ascii="Arial" w:eastAsia="Calibri" w:hAnsi="Arial" w:cs="Arial"/>
          <w:bCs/>
        </w:rPr>
        <w:t>.</w:t>
      </w:r>
      <w:r w:rsidR="005313FD" w:rsidRPr="00792EB6">
        <w:rPr>
          <w:rFonts w:ascii="Arial" w:eastAsia="Calibri" w:hAnsi="Arial" w:cs="Arial"/>
          <w:bCs/>
        </w:rPr>
        <w:t xml:space="preserve"> </w:t>
      </w:r>
    </w:p>
    <w:p w14:paraId="280A256A" w14:textId="77777777" w:rsidR="00586484" w:rsidRPr="00586484" w:rsidRDefault="00586484" w:rsidP="00586484">
      <w:pPr>
        <w:pStyle w:val="ListParagraph"/>
        <w:rPr>
          <w:rFonts w:ascii="Arial" w:eastAsia="Calibri" w:hAnsi="Arial" w:cs="Arial"/>
          <w:bCs/>
        </w:rPr>
      </w:pPr>
    </w:p>
    <w:p w14:paraId="550ABF72" w14:textId="77777777" w:rsidR="00586484" w:rsidRDefault="00792EB6" w:rsidP="00A77B08">
      <w:pPr>
        <w:pStyle w:val="ListParagraph"/>
        <w:numPr>
          <w:ilvl w:val="0"/>
          <w:numId w:val="2"/>
        </w:numPr>
        <w:spacing w:line="360" w:lineRule="auto"/>
        <w:ind w:left="0" w:firstLine="0"/>
        <w:jc w:val="both"/>
        <w:rPr>
          <w:rFonts w:ascii="Arial" w:hAnsi="Arial" w:cs="Arial"/>
          <w:lang w:val="en-US"/>
        </w:rPr>
      </w:pPr>
      <w:r w:rsidRPr="00586484">
        <w:rPr>
          <w:rFonts w:ascii="Arial" w:eastAsia="Calibri" w:hAnsi="Arial" w:cs="Arial"/>
          <w:bCs/>
        </w:rPr>
        <w:t xml:space="preserve">The appellant, the applicant in the court a quo, is referred to as David. The respondent in both courts is referred to as </w:t>
      </w:r>
      <w:proofErr w:type="spellStart"/>
      <w:r w:rsidRPr="00586484">
        <w:rPr>
          <w:rFonts w:ascii="Arial" w:eastAsia="Calibri" w:hAnsi="Arial" w:cs="Arial"/>
          <w:bCs/>
        </w:rPr>
        <w:t>Siyamba</w:t>
      </w:r>
      <w:proofErr w:type="spellEnd"/>
      <w:r w:rsidRPr="00586484">
        <w:rPr>
          <w:rFonts w:ascii="Arial" w:eastAsia="Calibri" w:hAnsi="Arial" w:cs="Arial"/>
          <w:bCs/>
        </w:rPr>
        <w:t>.</w:t>
      </w:r>
    </w:p>
    <w:p w14:paraId="185F564D" w14:textId="77777777" w:rsidR="00586484" w:rsidRPr="00586484" w:rsidRDefault="00586484" w:rsidP="00586484">
      <w:pPr>
        <w:pStyle w:val="ListParagraph"/>
        <w:rPr>
          <w:rFonts w:ascii="Arial" w:hAnsi="Arial" w:cs="Arial"/>
          <w:u w:val="single"/>
          <w:lang w:val="en-US"/>
        </w:rPr>
      </w:pPr>
    </w:p>
    <w:p w14:paraId="3F48648A" w14:textId="25EE5B04" w:rsidR="00586484" w:rsidRDefault="00EF3919" w:rsidP="00586484">
      <w:pPr>
        <w:pStyle w:val="ListParagraph"/>
        <w:spacing w:line="360" w:lineRule="auto"/>
        <w:ind w:left="0"/>
        <w:jc w:val="both"/>
        <w:rPr>
          <w:rFonts w:ascii="Arial" w:hAnsi="Arial" w:cs="Arial"/>
          <w:lang w:val="en-US"/>
        </w:rPr>
      </w:pPr>
      <w:r>
        <w:rPr>
          <w:rFonts w:ascii="Arial" w:hAnsi="Arial" w:cs="Arial"/>
          <w:u w:val="single"/>
          <w:lang w:val="en-US"/>
        </w:rPr>
        <w:t>Background</w:t>
      </w:r>
      <w:r w:rsidR="004D087C" w:rsidRPr="00586484">
        <w:rPr>
          <w:rFonts w:ascii="Arial" w:hAnsi="Arial" w:cs="Arial"/>
          <w:u w:val="single"/>
          <w:lang w:val="en-US"/>
        </w:rPr>
        <w:t xml:space="preserve"> facts</w:t>
      </w:r>
    </w:p>
    <w:p w14:paraId="5745E09E" w14:textId="77777777" w:rsidR="00586484" w:rsidRPr="00586484" w:rsidRDefault="00586484" w:rsidP="00586484">
      <w:pPr>
        <w:pStyle w:val="ListParagraph"/>
        <w:rPr>
          <w:rFonts w:ascii="Arial" w:hAnsi="Arial" w:cs="Arial"/>
          <w:lang w:val="en-US"/>
        </w:rPr>
      </w:pPr>
    </w:p>
    <w:p w14:paraId="174DEA73" w14:textId="2209AC78" w:rsidR="005313FD" w:rsidRPr="00586484" w:rsidRDefault="00A77B08" w:rsidP="00586484">
      <w:pPr>
        <w:pStyle w:val="ListParagraph"/>
        <w:numPr>
          <w:ilvl w:val="0"/>
          <w:numId w:val="2"/>
        </w:numPr>
        <w:spacing w:line="360" w:lineRule="auto"/>
        <w:ind w:left="0" w:firstLine="0"/>
        <w:jc w:val="both"/>
        <w:rPr>
          <w:rFonts w:ascii="Arial" w:hAnsi="Arial" w:cs="Arial"/>
          <w:lang w:val="en-US"/>
        </w:rPr>
      </w:pPr>
      <w:r w:rsidRPr="00586484">
        <w:rPr>
          <w:rFonts w:ascii="Arial" w:hAnsi="Arial" w:cs="Arial"/>
          <w:lang w:val="en-US"/>
        </w:rPr>
        <w:t xml:space="preserve">David and </w:t>
      </w:r>
      <w:proofErr w:type="spellStart"/>
      <w:r w:rsidRPr="00586484">
        <w:rPr>
          <w:rFonts w:ascii="Arial" w:hAnsi="Arial" w:cs="Arial"/>
          <w:lang w:val="en-US"/>
        </w:rPr>
        <w:t>Siyamba</w:t>
      </w:r>
      <w:proofErr w:type="spellEnd"/>
      <w:r w:rsidR="0039647F" w:rsidRPr="00586484">
        <w:rPr>
          <w:rFonts w:ascii="Arial" w:hAnsi="Arial" w:cs="Arial"/>
          <w:lang w:val="en-US"/>
        </w:rPr>
        <w:t xml:space="preserve"> </w:t>
      </w:r>
      <w:r w:rsidR="004D087C" w:rsidRPr="00586484">
        <w:rPr>
          <w:rFonts w:ascii="Arial" w:hAnsi="Arial" w:cs="Arial"/>
          <w:lang w:val="en-US"/>
        </w:rPr>
        <w:t>have five children together.</w:t>
      </w:r>
      <w:r w:rsidR="00F8486E" w:rsidRPr="00586484">
        <w:rPr>
          <w:rFonts w:ascii="Arial" w:hAnsi="Arial" w:cs="Arial"/>
          <w:lang w:val="en-US"/>
        </w:rPr>
        <w:t xml:space="preserve"> </w:t>
      </w:r>
      <w:r w:rsidRPr="00586484">
        <w:rPr>
          <w:rFonts w:ascii="Arial" w:hAnsi="Arial" w:cs="Arial"/>
          <w:lang w:val="en-US"/>
        </w:rPr>
        <w:t>David</w:t>
      </w:r>
      <w:r w:rsidR="0039647F" w:rsidRPr="00586484">
        <w:rPr>
          <w:rFonts w:ascii="Arial" w:hAnsi="Arial" w:cs="Arial"/>
          <w:lang w:val="en-US"/>
        </w:rPr>
        <w:t xml:space="preserve"> says they are unmarried</w:t>
      </w:r>
      <w:r w:rsidRPr="00586484">
        <w:rPr>
          <w:rFonts w:ascii="Arial" w:hAnsi="Arial" w:cs="Arial"/>
          <w:lang w:val="en-US"/>
        </w:rPr>
        <w:t>,</w:t>
      </w:r>
      <w:r w:rsidR="0039647F" w:rsidRPr="00586484">
        <w:rPr>
          <w:rFonts w:ascii="Arial" w:hAnsi="Arial" w:cs="Arial"/>
          <w:lang w:val="en-US"/>
        </w:rPr>
        <w:t xml:space="preserve"> while </w:t>
      </w:r>
      <w:proofErr w:type="spellStart"/>
      <w:r w:rsidRPr="00586484">
        <w:rPr>
          <w:rFonts w:ascii="Arial" w:hAnsi="Arial" w:cs="Arial"/>
          <w:lang w:val="en-US"/>
        </w:rPr>
        <w:t>Siyamba</w:t>
      </w:r>
      <w:proofErr w:type="spellEnd"/>
      <w:r w:rsidR="0039647F" w:rsidRPr="00586484">
        <w:rPr>
          <w:rFonts w:ascii="Arial" w:hAnsi="Arial" w:cs="Arial"/>
          <w:lang w:val="en-US"/>
        </w:rPr>
        <w:t xml:space="preserve"> says they wer</w:t>
      </w:r>
      <w:r w:rsidR="007047D2" w:rsidRPr="00586484">
        <w:rPr>
          <w:rFonts w:ascii="Arial" w:hAnsi="Arial" w:cs="Arial"/>
          <w:lang w:val="en-US"/>
        </w:rPr>
        <w:t xml:space="preserve">e </w:t>
      </w:r>
      <w:r w:rsidR="0039647F" w:rsidRPr="00586484">
        <w:rPr>
          <w:rFonts w:ascii="Arial" w:hAnsi="Arial" w:cs="Arial"/>
          <w:lang w:val="en-US"/>
        </w:rPr>
        <w:t xml:space="preserve">traditionally </w:t>
      </w:r>
      <w:r w:rsidR="007047D2" w:rsidRPr="00586484">
        <w:rPr>
          <w:rFonts w:ascii="Arial" w:hAnsi="Arial" w:cs="Arial"/>
          <w:lang w:val="en-US"/>
        </w:rPr>
        <w:t>married from</w:t>
      </w:r>
      <w:r w:rsidR="0039647F" w:rsidRPr="00586484">
        <w:rPr>
          <w:rFonts w:ascii="Arial" w:hAnsi="Arial" w:cs="Arial"/>
          <w:lang w:val="en-US"/>
        </w:rPr>
        <w:t xml:space="preserve"> 1996 </w:t>
      </w:r>
      <w:r w:rsidR="007047D2" w:rsidRPr="00586484">
        <w:rPr>
          <w:rFonts w:ascii="Arial" w:hAnsi="Arial" w:cs="Arial"/>
          <w:lang w:val="en-US"/>
        </w:rPr>
        <w:t>to</w:t>
      </w:r>
      <w:r w:rsidR="0039647F" w:rsidRPr="00586484">
        <w:rPr>
          <w:rFonts w:ascii="Arial" w:hAnsi="Arial" w:cs="Arial"/>
          <w:lang w:val="en-US"/>
        </w:rPr>
        <w:t xml:space="preserve"> 2016. </w:t>
      </w:r>
      <w:r w:rsidR="00F577B9" w:rsidRPr="00586484">
        <w:rPr>
          <w:rFonts w:ascii="Arial" w:hAnsi="Arial" w:cs="Arial"/>
          <w:lang w:val="en-US"/>
        </w:rPr>
        <w:t>The</w:t>
      </w:r>
      <w:r w:rsidR="00F8486E" w:rsidRPr="00586484">
        <w:rPr>
          <w:rFonts w:ascii="Arial" w:hAnsi="Arial" w:cs="Arial"/>
          <w:lang w:val="en-US"/>
        </w:rPr>
        <w:t xml:space="preserve">y </w:t>
      </w:r>
      <w:r w:rsidR="00A55321" w:rsidRPr="00586484">
        <w:rPr>
          <w:rFonts w:ascii="Arial" w:hAnsi="Arial" w:cs="Arial"/>
          <w:lang w:val="en-US"/>
        </w:rPr>
        <w:t>cohabited</w:t>
      </w:r>
      <w:r w:rsidR="00F8486E" w:rsidRPr="00586484">
        <w:rPr>
          <w:rFonts w:ascii="Arial" w:hAnsi="Arial" w:cs="Arial"/>
          <w:lang w:val="en-US"/>
        </w:rPr>
        <w:t xml:space="preserve"> at </w:t>
      </w:r>
      <w:r w:rsidR="00586484">
        <w:rPr>
          <w:rFonts w:ascii="Arial" w:hAnsi="Arial" w:cs="Arial"/>
          <w:lang w:val="en-US"/>
        </w:rPr>
        <w:t>a residence</w:t>
      </w:r>
      <w:r w:rsidR="007047D2" w:rsidRPr="00586484">
        <w:rPr>
          <w:rFonts w:ascii="Arial" w:hAnsi="Arial" w:cs="Arial"/>
          <w:lang w:val="en-US"/>
        </w:rPr>
        <w:t xml:space="preserve"> which</w:t>
      </w:r>
      <w:r w:rsidR="008F7E37" w:rsidRPr="00586484">
        <w:rPr>
          <w:rFonts w:ascii="Arial" w:hAnsi="Arial" w:cs="Arial"/>
          <w:lang w:val="en-US"/>
        </w:rPr>
        <w:t>, according to</w:t>
      </w:r>
      <w:r w:rsidR="007047D2" w:rsidRPr="00586484">
        <w:rPr>
          <w:rFonts w:ascii="Arial" w:hAnsi="Arial" w:cs="Arial"/>
          <w:lang w:val="en-US"/>
        </w:rPr>
        <w:t xml:space="preserve"> David</w:t>
      </w:r>
      <w:r w:rsidR="008F7E37" w:rsidRPr="00586484">
        <w:rPr>
          <w:rFonts w:ascii="Arial" w:hAnsi="Arial" w:cs="Arial"/>
          <w:lang w:val="en-US"/>
        </w:rPr>
        <w:t>, is</w:t>
      </w:r>
      <w:r w:rsidR="007047D2" w:rsidRPr="00586484">
        <w:rPr>
          <w:rFonts w:ascii="Arial" w:hAnsi="Arial" w:cs="Arial"/>
          <w:lang w:val="en-US"/>
        </w:rPr>
        <w:t xml:space="preserve"> his</w:t>
      </w:r>
      <w:r w:rsidR="00F8486E" w:rsidRPr="00586484">
        <w:rPr>
          <w:rFonts w:ascii="Arial" w:hAnsi="Arial" w:cs="Arial"/>
          <w:lang w:val="en-US"/>
        </w:rPr>
        <w:t xml:space="preserve"> </w:t>
      </w:r>
      <w:r w:rsidR="00586484">
        <w:rPr>
          <w:rFonts w:ascii="Arial" w:hAnsi="Arial" w:cs="Arial"/>
          <w:lang w:val="en-US"/>
        </w:rPr>
        <w:t>house</w:t>
      </w:r>
      <w:r w:rsidR="008F7E37" w:rsidRPr="00586484">
        <w:rPr>
          <w:rFonts w:ascii="Arial" w:hAnsi="Arial" w:cs="Arial"/>
          <w:lang w:val="en-US"/>
        </w:rPr>
        <w:t xml:space="preserve">, </w:t>
      </w:r>
      <w:r w:rsidR="0039647F" w:rsidRPr="00586484">
        <w:rPr>
          <w:rFonts w:ascii="Arial" w:hAnsi="Arial" w:cs="Arial"/>
          <w:lang w:val="en-US"/>
        </w:rPr>
        <w:t xml:space="preserve">a fact disputed by </w:t>
      </w:r>
      <w:proofErr w:type="spellStart"/>
      <w:r w:rsidR="008F7E37" w:rsidRPr="00586484">
        <w:rPr>
          <w:rFonts w:ascii="Arial" w:hAnsi="Arial" w:cs="Arial"/>
          <w:lang w:val="en-US"/>
        </w:rPr>
        <w:t>Siyamba</w:t>
      </w:r>
      <w:proofErr w:type="spellEnd"/>
      <w:r w:rsidR="0039647F" w:rsidRPr="00586484">
        <w:rPr>
          <w:rFonts w:ascii="Arial" w:hAnsi="Arial" w:cs="Arial"/>
          <w:lang w:val="en-US"/>
        </w:rPr>
        <w:t xml:space="preserve">. </w:t>
      </w:r>
      <w:r w:rsidR="008F7E37" w:rsidRPr="00586484">
        <w:rPr>
          <w:rFonts w:ascii="Arial" w:hAnsi="Arial" w:cs="Arial"/>
          <w:lang w:val="en-US"/>
        </w:rPr>
        <w:t>David</w:t>
      </w:r>
      <w:r w:rsidR="00F8486E" w:rsidRPr="00586484">
        <w:rPr>
          <w:rFonts w:ascii="Arial" w:hAnsi="Arial" w:cs="Arial"/>
          <w:lang w:val="en-US"/>
        </w:rPr>
        <w:t xml:space="preserve"> complained about </w:t>
      </w:r>
      <w:proofErr w:type="spellStart"/>
      <w:r w:rsidR="008F7E37" w:rsidRPr="00586484">
        <w:rPr>
          <w:rFonts w:ascii="Arial" w:hAnsi="Arial" w:cs="Arial"/>
          <w:lang w:val="en-US"/>
        </w:rPr>
        <w:t>Siyamba</w:t>
      </w:r>
      <w:r w:rsidR="00F8486E" w:rsidRPr="00586484">
        <w:rPr>
          <w:rFonts w:ascii="Arial" w:hAnsi="Arial" w:cs="Arial"/>
          <w:lang w:val="en-US"/>
        </w:rPr>
        <w:t>’s</w:t>
      </w:r>
      <w:proofErr w:type="spellEnd"/>
      <w:r w:rsidR="00F8486E" w:rsidRPr="00586484">
        <w:rPr>
          <w:rFonts w:ascii="Arial" w:hAnsi="Arial" w:cs="Arial"/>
          <w:lang w:val="en-US"/>
        </w:rPr>
        <w:t xml:space="preserve"> conduct towards him and his property and obtained an interim protection order against her in his </w:t>
      </w:r>
      <w:proofErr w:type="spellStart"/>
      <w:r w:rsidR="00F8486E" w:rsidRPr="00586484">
        <w:rPr>
          <w:rFonts w:ascii="Arial" w:hAnsi="Arial" w:cs="Arial"/>
          <w:lang w:val="en-US"/>
        </w:rPr>
        <w:t>favour</w:t>
      </w:r>
      <w:proofErr w:type="spellEnd"/>
      <w:r w:rsidR="00586484">
        <w:rPr>
          <w:rFonts w:ascii="Arial" w:hAnsi="Arial" w:cs="Arial"/>
          <w:lang w:val="en-US"/>
        </w:rPr>
        <w:t xml:space="preserve"> from the court a quo</w:t>
      </w:r>
      <w:r w:rsidR="008F7E37" w:rsidRPr="00586484">
        <w:rPr>
          <w:rFonts w:ascii="Arial" w:hAnsi="Arial" w:cs="Arial"/>
          <w:lang w:val="en-US"/>
        </w:rPr>
        <w:t xml:space="preserve">. After the return date, the court </w:t>
      </w:r>
      <w:r w:rsidR="00586484">
        <w:rPr>
          <w:rFonts w:ascii="Arial" w:hAnsi="Arial" w:cs="Arial"/>
          <w:lang w:val="en-US"/>
        </w:rPr>
        <w:t>of first instance</w:t>
      </w:r>
      <w:r w:rsidR="008F7E37" w:rsidRPr="00586484">
        <w:rPr>
          <w:rFonts w:ascii="Arial" w:hAnsi="Arial" w:cs="Arial"/>
          <w:lang w:val="en-US"/>
        </w:rPr>
        <w:t>, o</w:t>
      </w:r>
      <w:r w:rsidR="00492F1A" w:rsidRPr="00586484">
        <w:rPr>
          <w:rFonts w:ascii="Arial" w:hAnsi="Arial" w:cs="Arial"/>
          <w:lang w:val="en-US"/>
        </w:rPr>
        <w:t>n 7 June 2022</w:t>
      </w:r>
      <w:r w:rsidR="00F8486E" w:rsidRPr="00586484">
        <w:rPr>
          <w:rFonts w:ascii="Arial" w:hAnsi="Arial" w:cs="Arial"/>
          <w:lang w:val="en-US"/>
        </w:rPr>
        <w:t xml:space="preserve">, made the following </w:t>
      </w:r>
      <w:r w:rsidR="00492F1A" w:rsidRPr="00586484">
        <w:rPr>
          <w:rFonts w:ascii="Arial" w:hAnsi="Arial" w:cs="Arial"/>
          <w:lang w:val="en-US"/>
        </w:rPr>
        <w:t>order:</w:t>
      </w:r>
    </w:p>
    <w:p w14:paraId="268553B2" w14:textId="77777777" w:rsidR="00492F1A" w:rsidRPr="00492F1A" w:rsidRDefault="00492F1A" w:rsidP="00492F1A">
      <w:pPr>
        <w:pStyle w:val="ListParagraph"/>
        <w:rPr>
          <w:rFonts w:ascii="Arial" w:hAnsi="Arial" w:cs="Arial"/>
          <w:lang w:val="en-US"/>
        </w:rPr>
      </w:pPr>
    </w:p>
    <w:p w14:paraId="58D667D0" w14:textId="682A4DAF" w:rsidR="00F8486E" w:rsidRPr="00F8486E" w:rsidRDefault="00492F1A" w:rsidP="00F8486E">
      <w:pPr>
        <w:pStyle w:val="ListParagraph"/>
        <w:spacing w:line="360" w:lineRule="auto"/>
        <w:ind w:left="0" w:firstLine="720"/>
        <w:jc w:val="both"/>
        <w:rPr>
          <w:rFonts w:ascii="Arial" w:hAnsi="Arial" w:cs="Arial"/>
          <w:sz w:val="22"/>
          <w:szCs w:val="22"/>
          <w:lang w:val="en-US"/>
        </w:rPr>
      </w:pPr>
      <w:r>
        <w:rPr>
          <w:rFonts w:ascii="Arial" w:hAnsi="Arial" w:cs="Arial"/>
          <w:lang w:val="en-US"/>
        </w:rPr>
        <w:t>‘</w:t>
      </w:r>
      <w:r w:rsidR="00F8486E" w:rsidRPr="00F8486E">
        <w:rPr>
          <w:rFonts w:ascii="Arial" w:hAnsi="Arial" w:cs="Arial"/>
          <w:sz w:val="22"/>
          <w:szCs w:val="22"/>
          <w:lang w:val="en-US"/>
        </w:rPr>
        <w:t>Having read the documents filed of record and having heard the Applicant and the Respondents</w:t>
      </w:r>
      <w:r w:rsidR="00586484">
        <w:rPr>
          <w:rStyle w:val="FootnoteReference"/>
          <w:rFonts w:ascii="Arial" w:hAnsi="Arial" w:cs="Arial"/>
          <w:sz w:val="22"/>
          <w:szCs w:val="22"/>
          <w:lang w:val="en-US"/>
        </w:rPr>
        <w:footnoteReference w:id="1"/>
      </w:r>
      <w:r w:rsidR="00F8486E" w:rsidRPr="00F8486E">
        <w:rPr>
          <w:rFonts w:ascii="Arial" w:hAnsi="Arial" w:cs="Arial"/>
          <w:sz w:val="22"/>
          <w:szCs w:val="22"/>
          <w:lang w:val="en-US"/>
        </w:rPr>
        <w:t xml:space="preserve"> in person:</w:t>
      </w:r>
    </w:p>
    <w:p w14:paraId="0A39B704" w14:textId="77777777" w:rsidR="00F8486E" w:rsidRPr="00F8486E" w:rsidRDefault="00F8486E" w:rsidP="00F8486E">
      <w:pPr>
        <w:spacing w:line="360" w:lineRule="auto"/>
        <w:jc w:val="both"/>
        <w:rPr>
          <w:rFonts w:ascii="Arial" w:hAnsi="Arial" w:cs="Arial"/>
          <w:sz w:val="22"/>
          <w:szCs w:val="22"/>
          <w:lang w:val="en-US"/>
        </w:rPr>
      </w:pPr>
    </w:p>
    <w:p w14:paraId="736641F0" w14:textId="785C5BC6" w:rsidR="00F8486E" w:rsidRPr="00F8486E" w:rsidRDefault="00F8486E" w:rsidP="00F8486E">
      <w:pPr>
        <w:spacing w:line="360" w:lineRule="auto"/>
        <w:jc w:val="both"/>
        <w:rPr>
          <w:rFonts w:ascii="Arial" w:hAnsi="Arial" w:cs="Arial"/>
          <w:b/>
          <w:bCs/>
          <w:sz w:val="22"/>
          <w:szCs w:val="22"/>
          <w:lang w:val="en-US"/>
        </w:rPr>
      </w:pPr>
      <w:r w:rsidRPr="00F8486E">
        <w:rPr>
          <w:rFonts w:ascii="Arial" w:hAnsi="Arial" w:cs="Arial"/>
          <w:b/>
          <w:bCs/>
          <w:sz w:val="22"/>
          <w:szCs w:val="22"/>
          <w:lang w:val="en-US"/>
        </w:rPr>
        <w:t>IT IS ORDERED:</w:t>
      </w:r>
    </w:p>
    <w:p w14:paraId="138DD496" w14:textId="77777777" w:rsidR="00F8486E" w:rsidRPr="00F8486E" w:rsidRDefault="00F8486E" w:rsidP="00F8486E">
      <w:pPr>
        <w:spacing w:line="360" w:lineRule="auto"/>
        <w:jc w:val="both"/>
        <w:rPr>
          <w:rFonts w:ascii="Arial" w:hAnsi="Arial" w:cs="Arial"/>
          <w:sz w:val="22"/>
          <w:szCs w:val="22"/>
          <w:lang w:val="en-US"/>
        </w:rPr>
      </w:pPr>
    </w:p>
    <w:p w14:paraId="472661DE" w14:textId="4BDBBFB6" w:rsidR="00492F1A" w:rsidRPr="00F8486E" w:rsidRDefault="00492F1A" w:rsidP="00F8486E">
      <w:pPr>
        <w:spacing w:line="360" w:lineRule="auto"/>
        <w:jc w:val="both"/>
        <w:rPr>
          <w:rFonts w:ascii="Arial" w:hAnsi="Arial" w:cs="Arial"/>
          <w:sz w:val="22"/>
          <w:szCs w:val="22"/>
          <w:lang w:val="en-US"/>
        </w:rPr>
      </w:pPr>
      <w:r w:rsidRPr="00F8486E">
        <w:rPr>
          <w:rFonts w:ascii="Arial" w:hAnsi="Arial" w:cs="Arial"/>
          <w:sz w:val="22"/>
          <w:szCs w:val="22"/>
          <w:lang w:val="en-US"/>
        </w:rPr>
        <w:t xml:space="preserve">1. That the </w:t>
      </w:r>
      <w:r w:rsidR="00F8486E">
        <w:rPr>
          <w:rFonts w:ascii="Arial" w:hAnsi="Arial" w:cs="Arial"/>
          <w:sz w:val="22"/>
          <w:szCs w:val="22"/>
          <w:lang w:val="en-US"/>
        </w:rPr>
        <w:t xml:space="preserve">Interim </w:t>
      </w:r>
      <w:r w:rsidRPr="00F8486E">
        <w:rPr>
          <w:rFonts w:ascii="Arial" w:hAnsi="Arial" w:cs="Arial"/>
          <w:sz w:val="22"/>
          <w:szCs w:val="22"/>
          <w:lang w:val="en-US"/>
        </w:rPr>
        <w:t xml:space="preserve">order is hereby cancelled and the application is </w:t>
      </w:r>
      <w:r w:rsidR="00F8486E">
        <w:rPr>
          <w:rFonts w:ascii="Arial" w:hAnsi="Arial" w:cs="Arial"/>
          <w:sz w:val="22"/>
          <w:szCs w:val="22"/>
          <w:lang w:val="en-US"/>
        </w:rPr>
        <w:t xml:space="preserve">hereby </w:t>
      </w:r>
      <w:r w:rsidR="00586484">
        <w:rPr>
          <w:rFonts w:ascii="Arial" w:hAnsi="Arial" w:cs="Arial"/>
          <w:sz w:val="22"/>
          <w:szCs w:val="22"/>
          <w:lang w:val="en-US"/>
        </w:rPr>
        <w:t xml:space="preserve">is </w:t>
      </w:r>
      <w:r w:rsidRPr="00F8486E">
        <w:rPr>
          <w:rFonts w:ascii="Arial" w:hAnsi="Arial" w:cs="Arial"/>
          <w:sz w:val="22"/>
          <w:szCs w:val="22"/>
          <w:lang w:val="en-US"/>
        </w:rPr>
        <w:t>dismissed.</w:t>
      </w:r>
    </w:p>
    <w:p w14:paraId="1BD56A0E" w14:textId="4C9B1F1B" w:rsidR="00492F1A" w:rsidRPr="00F8486E" w:rsidRDefault="00492F1A" w:rsidP="00F8486E">
      <w:pPr>
        <w:pStyle w:val="ListParagraph"/>
        <w:spacing w:line="360" w:lineRule="auto"/>
        <w:ind w:left="0"/>
        <w:jc w:val="both"/>
        <w:rPr>
          <w:rFonts w:ascii="Arial" w:hAnsi="Arial" w:cs="Arial"/>
          <w:sz w:val="22"/>
          <w:szCs w:val="22"/>
          <w:lang w:val="en-US"/>
        </w:rPr>
      </w:pPr>
      <w:r w:rsidRPr="00F8486E">
        <w:rPr>
          <w:rFonts w:ascii="Arial" w:hAnsi="Arial" w:cs="Arial"/>
          <w:sz w:val="22"/>
          <w:szCs w:val="22"/>
          <w:lang w:val="en-US"/>
        </w:rPr>
        <w:t>2. Respondent must stay in the joint residence, . . . with the children.</w:t>
      </w:r>
    </w:p>
    <w:p w14:paraId="40CF84A3" w14:textId="05F8BEC6" w:rsidR="00492F1A" w:rsidRPr="005313FD" w:rsidRDefault="00492F1A" w:rsidP="00F8486E">
      <w:pPr>
        <w:pStyle w:val="ListParagraph"/>
        <w:spacing w:line="360" w:lineRule="auto"/>
        <w:ind w:left="0"/>
        <w:jc w:val="both"/>
        <w:rPr>
          <w:rFonts w:ascii="Arial" w:hAnsi="Arial" w:cs="Arial"/>
          <w:lang w:val="en-US"/>
        </w:rPr>
      </w:pPr>
      <w:r w:rsidRPr="00F8486E">
        <w:rPr>
          <w:rFonts w:ascii="Arial" w:hAnsi="Arial" w:cs="Arial"/>
          <w:sz w:val="22"/>
          <w:szCs w:val="22"/>
          <w:lang w:val="en-US"/>
        </w:rPr>
        <w:t>3. Applicant must vacate the residence forthwith.</w:t>
      </w:r>
      <w:r>
        <w:rPr>
          <w:rFonts w:ascii="Arial" w:hAnsi="Arial" w:cs="Arial"/>
          <w:lang w:val="en-US"/>
        </w:rPr>
        <w:t>’</w:t>
      </w:r>
    </w:p>
    <w:p w14:paraId="2327EAD0" w14:textId="77777777" w:rsidR="005313FD" w:rsidRPr="005313FD" w:rsidRDefault="005313FD" w:rsidP="005313FD">
      <w:pPr>
        <w:pStyle w:val="ListParagraph"/>
        <w:rPr>
          <w:rFonts w:ascii="Arial" w:eastAsia="Calibri" w:hAnsi="Arial" w:cs="Arial"/>
          <w:bCs/>
        </w:rPr>
      </w:pPr>
    </w:p>
    <w:p w14:paraId="081C8D53" w14:textId="15361BE8" w:rsidR="00F577B9" w:rsidRDefault="00BF0461" w:rsidP="00F577B9">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Siyamba</w:t>
      </w:r>
      <w:proofErr w:type="spellEnd"/>
      <w:r>
        <w:rPr>
          <w:rFonts w:ascii="Arial" w:hAnsi="Arial" w:cs="Arial"/>
          <w:lang w:val="en-US"/>
        </w:rPr>
        <w:t xml:space="preserve"> was ordered to stay in the ‘joint residen</w:t>
      </w:r>
      <w:r w:rsidR="00586484">
        <w:rPr>
          <w:rFonts w:ascii="Arial" w:hAnsi="Arial" w:cs="Arial"/>
          <w:lang w:val="en-US"/>
        </w:rPr>
        <w:t>ce</w:t>
      </w:r>
      <w:r>
        <w:rPr>
          <w:rFonts w:ascii="Arial" w:hAnsi="Arial" w:cs="Arial"/>
          <w:lang w:val="en-US"/>
        </w:rPr>
        <w:t>’</w:t>
      </w:r>
      <w:r w:rsidR="00B25AEF">
        <w:rPr>
          <w:rFonts w:ascii="Arial" w:hAnsi="Arial" w:cs="Arial"/>
          <w:lang w:val="en-US"/>
        </w:rPr>
        <w:t>,</w:t>
      </w:r>
      <w:r>
        <w:rPr>
          <w:rFonts w:ascii="Arial" w:hAnsi="Arial" w:cs="Arial"/>
          <w:lang w:val="en-US"/>
        </w:rPr>
        <w:t xml:space="preserve"> and </w:t>
      </w:r>
      <w:r w:rsidR="008F7E37">
        <w:rPr>
          <w:rFonts w:ascii="Arial" w:hAnsi="Arial" w:cs="Arial"/>
          <w:lang w:val="en-US"/>
        </w:rPr>
        <w:t>David</w:t>
      </w:r>
      <w:r w:rsidR="00F577B9">
        <w:rPr>
          <w:rFonts w:ascii="Arial" w:hAnsi="Arial" w:cs="Arial"/>
          <w:lang w:val="en-US"/>
        </w:rPr>
        <w:t xml:space="preserve"> was ordered to vacate</w:t>
      </w:r>
      <w:r>
        <w:rPr>
          <w:rFonts w:ascii="Arial" w:hAnsi="Arial" w:cs="Arial"/>
          <w:lang w:val="en-US"/>
        </w:rPr>
        <w:t>, with immediate effect,</w:t>
      </w:r>
      <w:r w:rsidR="00F577B9">
        <w:rPr>
          <w:rFonts w:ascii="Arial" w:hAnsi="Arial" w:cs="Arial"/>
          <w:lang w:val="en-US"/>
        </w:rPr>
        <w:t xml:space="preserve"> </w:t>
      </w:r>
      <w:r w:rsidR="008F7E37">
        <w:rPr>
          <w:rFonts w:ascii="Arial" w:hAnsi="Arial" w:cs="Arial"/>
          <w:lang w:val="en-US"/>
        </w:rPr>
        <w:t xml:space="preserve">what he calls his </w:t>
      </w:r>
      <w:r w:rsidR="00F577B9">
        <w:rPr>
          <w:rFonts w:ascii="Arial" w:hAnsi="Arial" w:cs="Arial"/>
          <w:lang w:val="en-US"/>
        </w:rPr>
        <w:t xml:space="preserve">house. </w:t>
      </w:r>
    </w:p>
    <w:p w14:paraId="4A66701C" w14:textId="77777777" w:rsidR="00F577B9" w:rsidRPr="005313FD" w:rsidRDefault="00F577B9" w:rsidP="00F577B9">
      <w:pPr>
        <w:pStyle w:val="ListParagraph"/>
        <w:rPr>
          <w:rFonts w:ascii="Arial" w:hAnsi="Arial" w:cs="Arial"/>
          <w:lang w:val="en-US"/>
        </w:rPr>
      </w:pPr>
    </w:p>
    <w:p w14:paraId="59861FAE" w14:textId="0B18E2D9" w:rsidR="003B527D" w:rsidRDefault="008F7E37" w:rsidP="003B527D">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David</w:t>
      </w:r>
      <w:r w:rsidR="00492F1A">
        <w:rPr>
          <w:rFonts w:ascii="Arial" w:hAnsi="Arial" w:cs="Arial"/>
          <w:lang w:val="en-US"/>
        </w:rPr>
        <w:t xml:space="preserve"> proceeded to launch an application in terms of s 17 to cancel the</w:t>
      </w:r>
      <w:r w:rsidR="00530516">
        <w:rPr>
          <w:rFonts w:ascii="Arial" w:hAnsi="Arial" w:cs="Arial"/>
          <w:lang w:val="en-US"/>
        </w:rPr>
        <w:t xml:space="preserve"> protection order granted on 7 June 2022</w:t>
      </w:r>
      <w:r w:rsidR="00F577B9">
        <w:rPr>
          <w:rFonts w:ascii="Arial" w:hAnsi="Arial" w:cs="Arial"/>
          <w:lang w:val="en-US"/>
        </w:rPr>
        <w:t xml:space="preserve"> and to have </w:t>
      </w:r>
      <w:proofErr w:type="spellStart"/>
      <w:r>
        <w:rPr>
          <w:rFonts w:ascii="Arial" w:hAnsi="Arial" w:cs="Arial"/>
          <w:lang w:val="en-US"/>
        </w:rPr>
        <w:t>Siyamba</w:t>
      </w:r>
      <w:proofErr w:type="spellEnd"/>
      <w:r w:rsidR="00F577B9">
        <w:rPr>
          <w:rFonts w:ascii="Arial" w:hAnsi="Arial" w:cs="Arial"/>
          <w:lang w:val="en-US"/>
        </w:rPr>
        <w:t xml:space="preserve"> evicted from </w:t>
      </w:r>
      <w:r>
        <w:rPr>
          <w:rFonts w:ascii="Arial" w:hAnsi="Arial" w:cs="Arial"/>
          <w:lang w:val="en-US"/>
        </w:rPr>
        <w:t>‘his</w:t>
      </w:r>
      <w:r w:rsidR="00F577B9">
        <w:rPr>
          <w:rFonts w:ascii="Arial" w:hAnsi="Arial" w:cs="Arial"/>
          <w:lang w:val="en-US"/>
        </w:rPr>
        <w:t xml:space="preserve"> house</w:t>
      </w:r>
      <w:r w:rsidR="00B25AEF">
        <w:rPr>
          <w:rFonts w:ascii="Arial" w:hAnsi="Arial" w:cs="Arial"/>
          <w:lang w:val="en-US"/>
        </w:rPr>
        <w:t>’</w:t>
      </w:r>
      <w:r w:rsidR="00530516">
        <w:rPr>
          <w:rFonts w:ascii="Arial" w:hAnsi="Arial" w:cs="Arial"/>
          <w:lang w:val="en-US"/>
        </w:rPr>
        <w:t>.</w:t>
      </w:r>
    </w:p>
    <w:p w14:paraId="097A2D95" w14:textId="77777777" w:rsidR="003B527D" w:rsidRPr="003B527D" w:rsidRDefault="003B527D" w:rsidP="003B527D">
      <w:pPr>
        <w:pStyle w:val="ListParagraph"/>
        <w:rPr>
          <w:rFonts w:ascii="Arial" w:eastAsia="Calibri" w:hAnsi="Arial" w:cs="Arial"/>
          <w:bCs/>
        </w:rPr>
      </w:pPr>
    </w:p>
    <w:p w14:paraId="1FBA86AB" w14:textId="1687487A" w:rsidR="003B527D" w:rsidRPr="003B527D" w:rsidRDefault="00AC302F" w:rsidP="003B527D">
      <w:pPr>
        <w:pStyle w:val="ListParagraph"/>
        <w:numPr>
          <w:ilvl w:val="0"/>
          <w:numId w:val="2"/>
        </w:numPr>
        <w:spacing w:line="360" w:lineRule="auto"/>
        <w:ind w:left="0" w:firstLine="0"/>
        <w:jc w:val="both"/>
        <w:rPr>
          <w:rFonts w:ascii="Arial" w:hAnsi="Arial" w:cs="Arial"/>
          <w:lang w:val="en-US"/>
        </w:rPr>
      </w:pPr>
      <w:r w:rsidRPr="003B527D">
        <w:rPr>
          <w:rFonts w:ascii="Arial" w:eastAsia="Calibri" w:hAnsi="Arial" w:cs="Arial"/>
          <w:bCs/>
        </w:rPr>
        <w:lastRenderedPageBreak/>
        <w:t>The application was dismissed o</w:t>
      </w:r>
      <w:r w:rsidR="00530516" w:rsidRPr="003B527D">
        <w:rPr>
          <w:rFonts w:ascii="Arial" w:eastAsia="Calibri" w:hAnsi="Arial" w:cs="Arial"/>
          <w:bCs/>
        </w:rPr>
        <w:t>n 29 August 2023</w:t>
      </w:r>
      <w:r w:rsidRPr="003B527D">
        <w:rPr>
          <w:rFonts w:ascii="Arial" w:eastAsia="Calibri" w:hAnsi="Arial" w:cs="Arial"/>
          <w:bCs/>
        </w:rPr>
        <w:t xml:space="preserve"> after hearing submissions from the parties’ legal practitioners and considering ‘all the papers on record’. T</w:t>
      </w:r>
      <w:r w:rsidR="005313FD" w:rsidRPr="003B527D">
        <w:rPr>
          <w:rFonts w:ascii="Arial" w:eastAsia="Calibri" w:hAnsi="Arial" w:cs="Arial"/>
          <w:bCs/>
        </w:rPr>
        <w:t xml:space="preserve">he court </w:t>
      </w:r>
      <w:r w:rsidR="00530516" w:rsidRPr="003B527D">
        <w:rPr>
          <w:rFonts w:ascii="Arial" w:eastAsia="Calibri" w:hAnsi="Arial" w:cs="Arial"/>
          <w:bCs/>
        </w:rPr>
        <w:t>of first instanc</w:t>
      </w:r>
      <w:r w:rsidRPr="003B527D">
        <w:rPr>
          <w:rFonts w:ascii="Arial" w:eastAsia="Calibri" w:hAnsi="Arial" w:cs="Arial"/>
          <w:bCs/>
        </w:rPr>
        <w:t xml:space="preserve">e was of the view that the matter </w:t>
      </w:r>
      <w:r w:rsidR="003B527D">
        <w:rPr>
          <w:rFonts w:ascii="Arial" w:eastAsia="Calibri" w:hAnsi="Arial" w:cs="Arial"/>
          <w:bCs/>
        </w:rPr>
        <w:t>wa</w:t>
      </w:r>
      <w:r w:rsidRPr="003B527D">
        <w:rPr>
          <w:rFonts w:ascii="Arial" w:eastAsia="Calibri" w:hAnsi="Arial" w:cs="Arial"/>
          <w:bCs/>
        </w:rPr>
        <w:t>s not proper</w:t>
      </w:r>
      <w:r w:rsidR="00EF3919">
        <w:rPr>
          <w:rFonts w:ascii="Arial" w:eastAsia="Calibri" w:hAnsi="Arial" w:cs="Arial"/>
          <w:bCs/>
        </w:rPr>
        <w:t>ly</w:t>
      </w:r>
      <w:r w:rsidRPr="003B527D">
        <w:rPr>
          <w:rFonts w:ascii="Arial" w:eastAsia="Calibri" w:hAnsi="Arial" w:cs="Arial"/>
          <w:bCs/>
        </w:rPr>
        <w:t xml:space="preserve"> before </w:t>
      </w:r>
      <w:r w:rsidR="003B527D">
        <w:rPr>
          <w:rFonts w:ascii="Arial" w:eastAsia="Calibri" w:hAnsi="Arial" w:cs="Arial"/>
          <w:bCs/>
        </w:rPr>
        <w:t xml:space="preserve">it </w:t>
      </w:r>
      <w:r w:rsidR="00EF3919">
        <w:rPr>
          <w:rFonts w:ascii="Arial" w:eastAsia="Calibri" w:hAnsi="Arial" w:cs="Arial"/>
          <w:bCs/>
        </w:rPr>
        <w:t>in terms of</w:t>
      </w:r>
      <w:r w:rsidRPr="003B527D">
        <w:rPr>
          <w:rFonts w:ascii="Arial" w:eastAsia="Calibri" w:hAnsi="Arial" w:cs="Arial"/>
          <w:bCs/>
        </w:rPr>
        <w:t xml:space="preserve"> s 17.</w:t>
      </w:r>
    </w:p>
    <w:p w14:paraId="51CD1FA4" w14:textId="77777777" w:rsidR="003B527D" w:rsidRPr="003B527D" w:rsidRDefault="003B527D" w:rsidP="003B527D">
      <w:pPr>
        <w:pStyle w:val="ListParagraph"/>
        <w:rPr>
          <w:rFonts w:ascii="Arial" w:hAnsi="Arial" w:cs="Arial"/>
          <w:lang w:val="en-US"/>
        </w:rPr>
      </w:pPr>
    </w:p>
    <w:p w14:paraId="47F095AC" w14:textId="77777777" w:rsidR="003B527D" w:rsidRDefault="00AC302F" w:rsidP="008F7E37">
      <w:pPr>
        <w:pStyle w:val="ListParagraph"/>
        <w:numPr>
          <w:ilvl w:val="0"/>
          <w:numId w:val="2"/>
        </w:numPr>
        <w:spacing w:line="360" w:lineRule="auto"/>
        <w:ind w:left="0" w:firstLine="0"/>
        <w:jc w:val="both"/>
        <w:rPr>
          <w:rFonts w:ascii="Arial" w:hAnsi="Arial" w:cs="Arial"/>
          <w:lang w:val="en-US"/>
        </w:rPr>
      </w:pPr>
      <w:r w:rsidRPr="003B527D">
        <w:rPr>
          <w:rFonts w:ascii="Arial" w:hAnsi="Arial" w:cs="Arial"/>
          <w:lang w:val="en-US"/>
        </w:rPr>
        <w:t xml:space="preserve">The appeal lies against the whole order of 29 August 2023. </w:t>
      </w:r>
    </w:p>
    <w:p w14:paraId="73AAC824" w14:textId="77777777" w:rsidR="003B527D" w:rsidRPr="003B527D" w:rsidRDefault="003B527D" w:rsidP="003B527D">
      <w:pPr>
        <w:pStyle w:val="ListParagraph"/>
        <w:rPr>
          <w:rFonts w:ascii="Arial" w:hAnsi="Arial" w:cs="Arial"/>
          <w:u w:val="single"/>
          <w:lang w:val="en-US"/>
        </w:rPr>
      </w:pPr>
    </w:p>
    <w:p w14:paraId="175DDF68" w14:textId="77777777" w:rsidR="003B527D" w:rsidRDefault="003A71D8" w:rsidP="003B527D">
      <w:pPr>
        <w:pStyle w:val="ListParagraph"/>
        <w:spacing w:line="360" w:lineRule="auto"/>
        <w:ind w:left="0"/>
        <w:jc w:val="both"/>
        <w:rPr>
          <w:rFonts w:ascii="Arial" w:hAnsi="Arial" w:cs="Arial"/>
          <w:lang w:val="en-US"/>
        </w:rPr>
      </w:pPr>
      <w:r w:rsidRPr="003B527D">
        <w:rPr>
          <w:rFonts w:ascii="Arial" w:hAnsi="Arial" w:cs="Arial"/>
          <w:u w:val="single"/>
          <w:lang w:val="en-US"/>
        </w:rPr>
        <w:t>The notice of appeal</w:t>
      </w:r>
    </w:p>
    <w:p w14:paraId="0750594C" w14:textId="77777777" w:rsidR="003B527D" w:rsidRPr="003B527D" w:rsidRDefault="003B527D" w:rsidP="003B527D">
      <w:pPr>
        <w:pStyle w:val="ListParagraph"/>
        <w:rPr>
          <w:rFonts w:ascii="Arial" w:hAnsi="Arial" w:cs="Arial"/>
          <w:lang w:val="en-US"/>
        </w:rPr>
      </w:pPr>
    </w:p>
    <w:p w14:paraId="3E34E995" w14:textId="77777777" w:rsidR="003B527D" w:rsidRDefault="003A71D8" w:rsidP="003B527D">
      <w:pPr>
        <w:pStyle w:val="ListParagraph"/>
        <w:numPr>
          <w:ilvl w:val="0"/>
          <w:numId w:val="2"/>
        </w:numPr>
        <w:spacing w:line="360" w:lineRule="auto"/>
        <w:ind w:left="0" w:firstLine="0"/>
        <w:jc w:val="both"/>
        <w:rPr>
          <w:rFonts w:ascii="Arial" w:hAnsi="Arial" w:cs="Arial"/>
          <w:lang w:val="en-US"/>
        </w:rPr>
      </w:pPr>
      <w:r w:rsidRPr="003B527D">
        <w:rPr>
          <w:rFonts w:ascii="Arial" w:hAnsi="Arial" w:cs="Arial"/>
          <w:lang w:val="en-US"/>
        </w:rPr>
        <w:t xml:space="preserve">The notice of appeal contains three </w:t>
      </w:r>
      <w:r w:rsidR="00734C48" w:rsidRPr="003B527D">
        <w:rPr>
          <w:rFonts w:ascii="Arial" w:hAnsi="Arial" w:cs="Arial"/>
          <w:lang w:val="en-US"/>
        </w:rPr>
        <w:t xml:space="preserve">so-called </w:t>
      </w:r>
      <w:r w:rsidRPr="003B527D">
        <w:rPr>
          <w:rFonts w:ascii="Arial" w:hAnsi="Arial" w:cs="Arial"/>
          <w:lang w:val="en-US"/>
        </w:rPr>
        <w:t>questions of law and grounds of appeal.</w:t>
      </w:r>
    </w:p>
    <w:p w14:paraId="0EF1C81B" w14:textId="77777777" w:rsidR="003B527D" w:rsidRPr="003B527D" w:rsidRDefault="003B527D" w:rsidP="003B527D">
      <w:pPr>
        <w:pStyle w:val="ListParagraph"/>
        <w:rPr>
          <w:rFonts w:ascii="Arial" w:hAnsi="Arial" w:cs="Arial"/>
          <w:lang w:val="en-US"/>
        </w:rPr>
      </w:pPr>
    </w:p>
    <w:p w14:paraId="56302718" w14:textId="3906353B" w:rsidR="005A7B94" w:rsidRPr="003B527D" w:rsidRDefault="005A7B94" w:rsidP="003B527D">
      <w:pPr>
        <w:pStyle w:val="ListParagraph"/>
        <w:numPr>
          <w:ilvl w:val="0"/>
          <w:numId w:val="2"/>
        </w:numPr>
        <w:spacing w:line="360" w:lineRule="auto"/>
        <w:ind w:left="0" w:firstLine="0"/>
        <w:jc w:val="both"/>
        <w:rPr>
          <w:rFonts w:ascii="Arial" w:hAnsi="Arial" w:cs="Arial"/>
          <w:lang w:val="en-US"/>
        </w:rPr>
      </w:pPr>
      <w:r w:rsidRPr="003B527D">
        <w:rPr>
          <w:rFonts w:ascii="Arial" w:hAnsi="Arial" w:cs="Arial"/>
          <w:lang w:val="en-US"/>
        </w:rPr>
        <w:t>The questions of law</w:t>
      </w:r>
      <w:r w:rsidR="008F7E37" w:rsidRPr="003B527D">
        <w:rPr>
          <w:rFonts w:ascii="Arial" w:hAnsi="Arial" w:cs="Arial"/>
          <w:lang w:val="en-US"/>
        </w:rPr>
        <w:t>, according to David,</w:t>
      </w:r>
      <w:r w:rsidRPr="003B527D">
        <w:rPr>
          <w:rFonts w:ascii="Arial" w:hAnsi="Arial" w:cs="Arial"/>
          <w:lang w:val="en-US"/>
        </w:rPr>
        <w:t xml:space="preserve"> are that the court of first instance erred in law </w:t>
      </w:r>
      <w:r w:rsidR="003A71D8" w:rsidRPr="003B527D">
        <w:rPr>
          <w:rFonts w:ascii="Arial" w:hAnsi="Arial" w:cs="Arial"/>
          <w:lang w:val="en-US"/>
        </w:rPr>
        <w:t>and</w:t>
      </w:r>
      <w:r w:rsidRPr="003B527D">
        <w:rPr>
          <w:rFonts w:ascii="Arial" w:hAnsi="Arial" w:cs="Arial"/>
          <w:lang w:val="en-US"/>
        </w:rPr>
        <w:t xml:space="preserve"> fact in:</w:t>
      </w:r>
    </w:p>
    <w:p w14:paraId="10589D30" w14:textId="77777777" w:rsidR="005A7B94" w:rsidRPr="005A7B94" w:rsidRDefault="005A7B94" w:rsidP="005A7B94">
      <w:pPr>
        <w:pStyle w:val="ListParagraph"/>
        <w:ind w:left="0"/>
        <w:rPr>
          <w:rFonts w:ascii="Arial" w:hAnsi="Arial" w:cs="Arial"/>
          <w:lang w:val="en-US"/>
        </w:rPr>
      </w:pPr>
    </w:p>
    <w:p w14:paraId="5F23756C" w14:textId="3F6A5BC4" w:rsidR="005A7B94" w:rsidRDefault="005A7B94" w:rsidP="005A7B94">
      <w:pPr>
        <w:pStyle w:val="ListParagraph"/>
        <w:numPr>
          <w:ilvl w:val="0"/>
          <w:numId w:val="6"/>
        </w:numPr>
        <w:spacing w:line="360" w:lineRule="auto"/>
        <w:ind w:left="0" w:firstLine="0"/>
        <w:jc w:val="both"/>
        <w:rPr>
          <w:rFonts w:ascii="Arial" w:hAnsi="Arial" w:cs="Arial"/>
          <w:lang w:val="en-US"/>
        </w:rPr>
      </w:pPr>
      <w:r w:rsidRPr="005A7B94">
        <w:rPr>
          <w:rFonts w:ascii="Arial" w:hAnsi="Arial" w:cs="Arial"/>
          <w:lang w:val="en-US"/>
        </w:rPr>
        <w:t xml:space="preserve">refusing to hear the matter and dismissing the application on the ground that it was not proper before </w:t>
      </w:r>
      <w:r w:rsidR="003A71D8">
        <w:rPr>
          <w:rFonts w:ascii="Arial" w:hAnsi="Arial" w:cs="Arial"/>
          <w:lang w:val="en-US"/>
        </w:rPr>
        <w:t xml:space="preserve">the </w:t>
      </w:r>
      <w:r w:rsidRPr="005A7B94">
        <w:rPr>
          <w:rFonts w:ascii="Arial" w:hAnsi="Arial" w:cs="Arial"/>
          <w:lang w:val="en-US"/>
        </w:rPr>
        <w:t xml:space="preserve">court </w:t>
      </w:r>
      <w:r w:rsidR="003B527D">
        <w:rPr>
          <w:rFonts w:ascii="Arial" w:hAnsi="Arial" w:cs="Arial"/>
          <w:lang w:val="en-US"/>
        </w:rPr>
        <w:t>under</w:t>
      </w:r>
      <w:r w:rsidRPr="005A7B94">
        <w:rPr>
          <w:rFonts w:ascii="Arial" w:hAnsi="Arial" w:cs="Arial"/>
          <w:lang w:val="en-US"/>
        </w:rPr>
        <w:t xml:space="preserve"> s 17</w:t>
      </w:r>
      <w:r>
        <w:rPr>
          <w:rFonts w:ascii="Arial" w:hAnsi="Arial" w:cs="Arial"/>
          <w:lang w:val="en-US"/>
        </w:rPr>
        <w:t>.</w:t>
      </w:r>
    </w:p>
    <w:p w14:paraId="6E5C87AC" w14:textId="77777777" w:rsidR="005A7B94" w:rsidRPr="005A7B94" w:rsidRDefault="005A7B94" w:rsidP="005A7B94">
      <w:pPr>
        <w:pStyle w:val="ListParagraph"/>
        <w:ind w:left="0"/>
        <w:rPr>
          <w:rFonts w:ascii="Arial" w:hAnsi="Arial" w:cs="Arial"/>
          <w:lang w:val="en-US"/>
        </w:rPr>
      </w:pPr>
    </w:p>
    <w:p w14:paraId="0B18AC5A" w14:textId="27219BBD" w:rsidR="00B66363" w:rsidRDefault="005A7B94" w:rsidP="005A7B94">
      <w:pPr>
        <w:pStyle w:val="ListParagraph"/>
        <w:numPr>
          <w:ilvl w:val="0"/>
          <w:numId w:val="6"/>
        </w:numPr>
        <w:spacing w:line="360" w:lineRule="auto"/>
        <w:ind w:left="0" w:firstLine="0"/>
        <w:jc w:val="both"/>
        <w:rPr>
          <w:rFonts w:ascii="Arial" w:hAnsi="Arial" w:cs="Arial"/>
          <w:lang w:val="en-US"/>
        </w:rPr>
      </w:pPr>
      <w:r w:rsidRPr="005A7B94">
        <w:rPr>
          <w:rFonts w:ascii="Arial" w:hAnsi="Arial" w:cs="Arial"/>
          <w:lang w:val="en-US"/>
        </w:rPr>
        <w:t>concluding that the 7 June 2022 order does not amount to a protection order and</w:t>
      </w:r>
      <w:r w:rsidR="008F7E37">
        <w:rPr>
          <w:rFonts w:ascii="Arial" w:hAnsi="Arial" w:cs="Arial"/>
          <w:lang w:val="en-US"/>
        </w:rPr>
        <w:t xml:space="preserve">, therefore, </w:t>
      </w:r>
      <w:r w:rsidR="00734C48">
        <w:rPr>
          <w:rFonts w:ascii="Arial" w:hAnsi="Arial" w:cs="Arial"/>
          <w:lang w:val="en-US"/>
        </w:rPr>
        <w:t xml:space="preserve">it </w:t>
      </w:r>
      <w:r w:rsidR="008F7E37">
        <w:rPr>
          <w:rFonts w:ascii="Arial" w:hAnsi="Arial" w:cs="Arial"/>
          <w:lang w:val="en-US"/>
        </w:rPr>
        <w:t>is</w:t>
      </w:r>
      <w:r w:rsidRPr="005A7B94">
        <w:rPr>
          <w:rFonts w:ascii="Arial" w:hAnsi="Arial" w:cs="Arial"/>
          <w:lang w:val="en-US"/>
        </w:rPr>
        <w:t xml:space="preserve"> not capable of cancellation </w:t>
      </w:r>
      <w:r w:rsidR="003F088F">
        <w:rPr>
          <w:rFonts w:ascii="Arial" w:hAnsi="Arial" w:cs="Arial"/>
          <w:lang w:val="en-US"/>
        </w:rPr>
        <w:t>under</w:t>
      </w:r>
      <w:r w:rsidRPr="005A7B94">
        <w:rPr>
          <w:rFonts w:ascii="Arial" w:hAnsi="Arial" w:cs="Arial"/>
          <w:lang w:val="en-US"/>
        </w:rPr>
        <w:t xml:space="preserve"> s 17. </w:t>
      </w:r>
    </w:p>
    <w:p w14:paraId="6EE2B0AA" w14:textId="77777777" w:rsidR="005A7B94" w:rsidRPr="005A7B94" w:rsidRDefault="005A7B94" w:rsidP="005A7B94">
      <w:pPr>
        <w:pStyle w:val="ListParagraph"/>
        <w:ind w:left="0"/>
        <w:rPr>
          <w:rFonts w:ascii="Arial" w:hAnsi="Arial" w:cs="Arial"/>
          <w:lang w:val="en-US"/>
        </w:rPr>
      </w:pPr>
    </w:p>
    <w:p w14:paraId="277FDA33" w14:textId="21887FA4" w:rsidR="005A7B94" w:rsidRPr="005A7B94" w:rsidRDefault="005A7B94" w:rsidP="005A7B9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failing to consider the provisions of s 12(16)</w:t>
      </w:r>
      <w:r>
        <w:rPr>
          <w:rFonts w:ascii="Arial" w:hAnsi="Arial" w:cs="Arial"/>
          <w:i/>
          <w:iCs/>
          <w:lang w:val="en-US"/>
        </w:rPr>
        <w:t>(d)</w:t>
      </w:r>
      <w:r w:rsidR="00734C48">
        <w:rPr>
          <w:rFonts w:ascii="Arial" w:hAnsi="Arial" w:cs="Arial"/>
          <w:lang w:val="en-US"/>
        </w:rPr>
        <w:t xml:space="preserve">, </w:t>
      </w:r>
      <w:r>
        <w:rPr>
          <w:rFonts w:ascii="Arial" w:hAnsi="Arial" w:cs="Arial"/>
          <w:i/>
          <w:iCs/>
          <w:lang w:val="en-US"/>
        </w:rPr>
        <w:t>(e)</w:t>
      </w:r>
      <w:r>
        <w:rPr>
          <w:rFonts w:ascii="Arial" w:hAnsi="Arial" w:cs="Arial"/>
          <w:lang w:val="en-US"/>
        </w:rPr>
        <w:t xml:space="preserve"> and (17)</w:t>
      </w:r>
      <w:r w:rsidR="00734C48">
        <w:rPr>
          <w:rFonts w:ascii="Arial" w:hAnsi="Arial" w:cs="Arial"/>
          <w:lang w:val="en-US"/>
        </w:rPr>
        <w:t xml:space="preserve"> of the Act and</w:t>
      </w:r>
      <w:r>
        <w:rPr>
          <w:rFonts w:ascii="Arial" w:hAnsi="Arial" w:cs="Arial"/>
          <w:lang w:val="en-US"/>
        </w:rPr>
        <w:t xml:space="preserve"> failing to find that the 7 June 2022 order is an order </w:t>
      </w:r>
      <w:r w:rsidR="003F088F">
        <w:rPr>
          <w:rFonts w:ascii="Arial" w:hAnsi="Arial" w:cs="Arial"/>
          <w:lang w:val="en-US"/>
        </w:rPr>
        <w:t>under</w:t>
      </w:r>
      <w:r>
        <w:rPr>
          <w:rFonts w:ascii="Arial" w:hAnsi="Arial" w:cs="Arial"/>
          <w:lang w:val="en-US"/>
        </w:rPr>
        <w:t xml:space="preserve"> those sections and thereby fall</w:t>
      </w:r>
      <w:r w:rsidR="00734C48">
        <w:rPr>
          <w:rFonts w:ascii="Arial" w:hAnsi="Arial" w:cs="Arial"/>
          <w:lang w:val="en-US"/>
        </w:rPr>
        <w:t>s</w:t>
      </w:r>
      <w:r>
        <w:rPr>
          <w:rFonts w:ascii="Arial" w:hAnsi="Arial" w:cs="Arial"/>
          <w:lang w:val="en-US"/>
        </w:rPr>
        <w:t xml:space="preserve"> within the ambit of s 17.</w:t>
      </w:r>
    </w:p>
    <w:p w14:paraId="4C98B10B" w14:textId="77777777" w:rsidR="00B66363" w:rsidRPr="00195DE0" w:rsidRDefault="00B66363" w:rsidP="005A7B94">
      <w:pPr>
        <w:pStyle w:val="ListParagraph"/>
        <w:ind w:left="0"/>
        <w:rPr>
          <w:rFonts w:ascii="Arial" w:hAnsi="Arial" w:cs="Arial"/>
          <w:lang w:val="en-US"/>
        </w:rPr>
      </w:pPr>
    </w:p>
    <w:p w14:paraId="68454B78" w14:textId="43EDB578" w:rsidR="001C5BB4" w:rsidRDefault="005A7B94" w:rsidP="005A7B94">
      <w:pPr>
        <w:pStyle w:val="ListParagraph"/>
        <w:numPr>
          <w:ilvl w:val="0"/>
          <w:numId w:val="2"/>
        </w:numPr>
        <w:spacing w:line="360" w:lineRule="auto"/>
        <w:ind w:left="0" w:firstLine="0"/>
        <w:jc w:val="both"/>
        <w:rPr>
          <w:rFonts w:ascii="Arial" w:hAnsi="Arial" w:cs="Arial"/>
          <w:lang w:val="en-US"/>
        </w:rPr>
      </w:pPr>
      <w:r w:rsidRPr="005A7B94">
        <w:rPr>
          <w:rFonts w:ascii="Arial" w:eastAsia="Calibri" w:hAnsi="Arial" w:cs="Arial"/>
          <w:bCs/>
        </w:rPr>
        <w:t>The grounds of appeal</w:t>
      </w:r>
      <w:r w:rsidR="00734C48">
        <w:rPr>
          <w:rFonts w:ascii="Arial" w:eastAsia="Calibri" w:hAnsi="Arial" w:cs="Arial"/>
          <w:bCs/>
        </w:rPr>
        <w:t>, as set out in the notice of appeal,</w:t>
      </w:r>
      <w:r w:rsidRPr="005A7B94">
        <w:rPr>
          <w:rFonts w:ascii="Arial" w:eastAsia="Calibri" w:hAnsi="Arial" w:cs="Arial"/>
          <w:bCs/>
        </w:rPr>
        <w:t xml:space="preserve"> are</w:t>
      </w:r>
      <w:r w:rsidR="00734C48">
        <w:rPr>
          <w:rFonts w:ascii="Arial" w:eastAsia="Calibri" w:hAnsi="Arial" w:cs="Arial"/>
          <w:bCs/>
        </w:rPr>
        <w:t xml:space="preserve"> as follows</w:t>
      </w:r>
      <w:r w:rsidRPr="005A7B94">
        <w:rPr>
          <w:rFonts w:ascii="Arial" w:eastAsia="Calibri" w:hAnsi="Arial" w:cs="Arial"/>
          <w:bCs/>
        </w:rPr>
        <w:t>:</w:t>
      </w:r>
    </w:p>
    <w:p w14:paraId="456D27EA" w14:textId="77777777" w:rsidR="001C5BB4" w:rsidRPr="001C5BB4" w:rsidRDefault="001C5BB4" w:rsidP="005A7B94">
      <w:pPr>
        <w:pStyle w:val="ListParagraph"/>
        <w:ind w:left="0"/>
        <w:rPr>
          <w:rFonts w:ascii="Arial" w:hAnsi="Arial" w:cs="Arial"/>
          <w:lang w:val="en-US"/>
        </w:rPr>
      </w:pPr>
    </w:p>
    <w:p w14:paraId="7D5BC1DB" w14:textId="0911004F" w:rsidR="005A7B94" w:rsidRDefault="005A7B94" w:rsidP="005A7B94">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 xml:space="preserve">The court of first instance, </w:t>
      </w:r>
      <w:r w:rsidR="00734C48">
        <w:rPr>
          <w:rFonts w:ascii="Arial" w:hAnsi="Arial" w:cs="Arial"/>
          <w:lang w:val="en-US"/>
        </w:rPr>
        <w:t>under</w:t>
      </w:r>
      <w:r>
        <w:rPr>
          <w:rFonts w:ascii="Arial" w:hAnsi="Arial" w:cs="Arial"/>
          <w:lang w:val="en-US"/>
        </w:rPr>
        <w:t xml:space="preserve"> the 7 June 2022 order, </w:t>
      </w:r>
      <w:r w:rsidR="003F088F">
        <w:rPr>
          <w:rFonts w:ascii="Arial" w:hAnsi="Arial" w:cs="Arial"/>
          <w:lang w:val="en-US"/>
        </w:rPr>
        <w:t>on</w:t>
      </w:r>
      <w:r>
        <w:rPr>
          <w:rFonts w:ascii="Arial" w:hAnsi="Arial" w:cs="Arial"/>
          <w:lang w:val="en-US"/>
        </w:rPr>
        <w:t xml:space="preserve"> its own initiative as empowered by s 12(16)</w:t>
      </w:r>
      <w:r>
        <w:rPr>
          <w:rFonts w:ascii="Arial" w:hAnsi="Arial" w:cs="Arial"/>
          <w:i/>
          <w:iCs/>
          <w:lang w:val="en-US"/>
        </w:rPr>
        <w:t>(d)</w:t>
      </w:r>
      <w:r>
        <w:rPr>
          <w:rFonts w:ascii="Arial" w:hAnsi="Arial" w:cs="Arial"/>
          <w:lang w:val="en-US"/>
        </w:rPr>
        <w:t xml:space="preserve"> and </w:t>
      </w:r>
      <w:r>
        <w:rPr>
          <w:rFonts w:ascii="Arial" w:hAnsi="Arial" w:cs="Arial"/>
          <w:i/>
          <w:iCs/>
          <w:lang w:val="en-US"/>
        </w:rPr>
        <w:t>(e)</w:t>
      </w:r>
      <w:r w:rsidR="00734C48">
        <w:rPr>
          <w:rFonts w:ascii="Arial" w:hAnsi="Arial" w:cs="Arial"/>
          <w:lang w:val="en-US"/>
        </w:rPr>
        <w:t>,</w:t>
      </w:r>
      <w:r>
        <w:rPr>
          <w:rFonts w:ascii="Arial" w:hAnsi="Arial" w:cs="Arial"/>
          <w:lang w:val="en-US"/>
        </w:rPr>
        <w:t xml:space="preserve"> </w:t>
      </w:r>
      <w:r w:rsidR="00E65B68">
        <w:rPr>
          <w:rFonts w:ascii="Arial" w:hAnsi="Arial" w:cs="Arial"/>
          <w:lang w:val="en-US"/>
        </w:rPr>
        <w:t>added provisions not contained in the interim order</w:t>
      </w:r>
      <w:r w:rsidR="00734C48">
        <w:rPr>
          <w:rFonts w:ascii="Arial" w:hAnsi="Arial" w:cs="Arial"/>
          <w:lang w:val="en-US"/>
        </w:rPr>
        <w:t>,</w:t>
      </w:r>
      <w:r w:rsidR="00E65B68">
        <w:rPr>
          <w:rFonts w:ascii="Arial" w:hAnsi="Arial" w:cs="Arial"/>
          <w:lang w:val="en-US"/>
        </w:rPr>
        <w:t xml:space="preserve"> </w:t>
      </w:r>
      <w:r w:rsidR="00734C48">
        <w:rPr>
          <w:rFonts w:ascii="Arial" w:hAnsi="Arial" w:cs="Arial"/>
          <w:lang w:val="en-US"/>
        </w:rPr>
        <w:t xml:space="preserve">which provisions </w:t>
      </w:r>
      <w:r w:rsidR="00E65B68">
        <w:rPr>
          <w:rFonts w:ascii="Arial" w:hAnsi="Arial" w:cs="Arial"/>
          <w:lang w:val="en-US"/>
        </w:rPr>
        <w:t>grant</w:t>
      </w:r>
      <w:r w:rsidR="00734C48">
        <w:rPr>
          <w:rFonts w:ascii="Arial" w:hAnsi="Arial" w:cs="Arial"/>
          <w:lang w:val="en-US"/>
        </w:rPr>
        <w:t>ed</w:t>
      </w:r>
      <w:r w:rsidR="00E65B68">
        <w:rPr>
          <w:rFonts w:ascii="Arial" w:hAnsi="Arial" w:cs="Arial"/>
          <w:lang w:val="en-US"/>
        </w:rPr>
        <w:t xml:space="preserve"> </w:t>
      </w:r>
      <w:proofErr w:type="spellStart"/>
      <w:r w:rsidR="00734C48">
        <w:rPr>
          <w:rFonts w:ascii="Arial" w:hAnsi="Arial" w:cs="Arial"/>
          <w:lang w:val="en-US"/>
        </w:rPr>
        <w:t>Siyamba</w:t>
      </w:r>
      <w:proofErr w:type="spellEnd"/>
      <w:r w:rsidR="00E65B68">
        <w:rPr>
          <w:rFonts w:ascii="Arial" w:hAnsi="Arial" w:cs="Arial"/>
          <w:lang w:val="en-US"/>
        </w:rPr>
        <w:t xml:space="preserve"> exclusive occupation of </w:t>
      </w:r>
      <w:r w:rsidR="00734C48">
        <w:rPr>
          <w:rFonts w:ascii="Arial" w:hAnsi="Arial" w:cs="Arial"/>
          <w:lang w:val="en-US"/>
        </w:rPr>
        <w:t>a</w:t>
      </w:r>
      <w:r w:rsidR="00E65B68">
        <w:rPr>
          <w:rFonts w:ascii="Arial" w:hAnsi="Arial" w:cs="Arial"/>
          <w:lang w:val="en-US"/>
        </w:rPr>
        <w:t xml:space="preserve"> residence which </w:t>
      </w:r>
      <w:r w:rsidR="00734C48">
        <w:rPr>
          <w:rFonts w:ascii="Arial" w:hAnsi="Arial" w:cs="Arial"/>
          <w:lang w:val="en-US"/>
        </w:rPr>
        <w:t>David</w:t>
      </w:r>
      <w:r w:rsidR="00E65B68">
        <w:rPr>
          <w:rFonts w:ascii="Arial" w:hAnsi="Arial" w:cs="Arial"/>
          <w:lang w:val="en-US"/>
        </w:rPr>
        <w:t xml:space="preserve"> has </w:t>
      </w:r>
      <w:r w:rsidR="00734C48">
        <w:rPr>
          <w:rFonts w:ascii="Arial" w:hAnsi="Arial" w:cs="Arial"/>
          <w:lang w:val="en-US"/>
        </w:rPr>
        <w:t xml:space="preserve">a </w:t>
      </w:r>
      <w:r w:rsidR="00E65B68">
        <w:rPr>
          <w:rFonts w:ascii="Arial" w:hAnsi="Arial" w:cs="Arial"/>
          <w:lang w:val="en-US"/>
        </w:rPr>
        <w:t xml:space="preserve">right </w:t>
      </w:r>
      <w:r w:rsidR="00734C48">
        <w:rPr>
          <w:rFonts w:ascii="Arial" w:hAnsi="Arial" w:cs="Arial"/>
          <w:lang w:val="en-US"/>
        </w:rPr>
        <w:t>to occupy,</w:t>
      </w:r>
      <w:r w:rsidR="00E65B68">
        <w:rPr>
          <w:rFonts w:ascii="Arial" w:hAnsi="Arial" w:cs="Arial"/>
          <w:lang w:val="en-US"/>
        </w:rPr>
        <w:t xml:space="preserve"> and the order brings into operation s (15)</w:t>
      </w:r>
      <w:r w:rsidR="00E65B68">
        <w:rPr>
          <w:rFonts w:ascii="Arial" w:hAnsi="Arial" w:cs="Arial"/>
          <w:i/>
          <w:iCs/>
          <w:lang w:val="en-US"/>
        </w:rPr>
        <w:t>(a)</w:t>
      </w:r>
      <w:r w:rsidR="00734C48">
        <w:rPr>
          <w:rFonts w:ascii="Arial" w:hAnsi="Arial" w:cs="Arial"/>
          <w:lang w:val="en-US"/>
        </w:rPr>
        <w:t xml:space="preserve"> of the Act.</w:t>
      </w:r>
    </w:p>
    <w:p w14:paraId="4428F5CE" w14:textId="77777777" w:rsidR="005A7B94" w:rsidRPr="005A7B94" w:rsidRDefault="005A7B94" w:rsidP="005A7B94">
      <w:pPr>
        <w:pStyle w:val="ListParagraph"/>
        <w:ind w:left="0"/>
        <w:rPr>
          <w:rFonts w:ascii="Arial" w:hAnsi="Arial" w:cs="Arial"/>
          <w:lang w:val="en-US"/>
        </w:rPr>
      </w:pPr>
    </w:p>
    <w:p w14:paraId="40E1792E" w14:textId="689A48D7" w:rsidR="005A7B94" w:rsidRDefault="00E65B68" w:rsidP="005A7B94">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Consequently, s 12(16)</w:t>
      </w:r>
      <w:r>
        <w:rPr>
          <w:rFonts w:ascii="Arial" w:hAnsi="Arial" w:cs="Arial"/>
          <w:i/>
          <w:iCs/>
          <w:lang w:val="en-US"/>
        </w:rPr>
        <w:t>(d)</w:t>
      </w:r>
      <w:r>
        <w:rPr>
          <w:rFonts w:ascii="Arial" w:hAnsi="Arial" w:cs="Arial"/>
          <w:lang w:val="en-US"/>
        </w:rPr>
        <w:t xml:space="preserve"> and </w:t>
      </w:r>
      <w:r>
        <w:rPr>
          <w:rFonts w:ascii="Arial" w:hAnsi="Arial" w:cs="Arial"/>
          <w:i/>
          <w:iCs/>
          <w:lang w:val="en-US"/>
        </w:rPr>
        <w:t>(e)</w:t>
      </w:r>
      <w:r>
        <w:rPr>
          <w:rFonts w:ascii="Arial" w:hAnsi="Arial" w:cs="Arial"/>
          <w:lang w:val="en-US"/>
        </w:rPr>
        <w:t xml:space="preserve"> may not be interpreted in isolation of ss 12(17) and 15</w:t>
      </w:r>
      <w:r>
        <w:rPr>
          <w:rFonts w:ascii="Arial" w:hAnsi="Arial" w:cs="Arial"/>
          <w:i/>
          <w:iCs/>
          <w:lang w:val="en-US"/>
        </w:rPr>
        <w:t>(a)</w:t>
      </w:r>
      <w:r>
        <w:rPr>
          <w:rFonts w:ascii="Arial" w:hAnsi="Arial" w:cs="Arial"/>
          <w:lang w:val="en-US"/>
        </w:rPr>
        <w:t xml:space="preserve"> and, as a result, the 7 June 2022 order falls </w:t>
      </w:r>
      <w:r w:rsidR="00A55321">
        <w:rPr>
          <w:rFonts w:ascii="Arial" w:hAnsi="Arial" w:cs="Arial"/>
          <w:lang w:val="en-US"/>
        </w:rPr>
        <w:t>within</w:t>
      </w:r>
      <w:r>
        <w:rPr>
          <w:rFonts w:ascii="Arial" w:hAnsi="Arial" w:cs="Arial"/>
          <w:lang w:val="en-US"/>
        </w:rPr>
        <w:t xml:space="preserve"> the ambit of a final protection order capable of being cancelled in terms of s 17. </w:t>
      </w:r>
    </w:p>
    <w:p w14:paraId="0AB8E045" w14:textId="77777777" w:rsidR="005A7B94" w:rsidRPr="005A7B94" w:rsidRDefault="005A7B94" w:rsidP="005A7B94">
      <w:pPr>
        <w:pStyle w:val="ListParagraph"/>
        <w:ind w:left="0"/>
        <w:rPr>
          <w:rFonts w:ascii="Arial" w:hAnsi="Arial" w:cs="Arial"/>
          <w:lang w:val="en-US"/>
        </w:rPr>
      </w:pPr>
    </w:p>
    <w:p w14:paraId="48D411BA" w14:textId="30322897" w:rsidR="005A7B94" w:rsidRDefault="00E65B68" w:rsidP="005A7B94">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lastRenderedPageBreak/>
        <w:t>In the circumstances, no reasonable court could have found that the application was not properly before the court in terms of s 17</w:t>
      </w:r>
      <w:r w:rsidR="00734C48">
        <w:rPr>
          <w:rFonts w:ascii="Arial" w:hAnsi="Arial" w:cs="Arial"/>
          <w:lang w:val="en-US"/>
        </w:rPr>
        <w:t>,</w:t>
      </w:r>
      <w:r>
        <w:rPr>
          <w:rFonts w:ascii="Arial" w:hAnsi="Arial" w:cs="Arial"/>
          <w:lang w:val="en-US"/>
        </w:rPr>
        <w:t xml:space="preserve"> and</w:t>
      </w:r>
      <w:r w:rsidR="00734C48">
        <w:rPr>
          <w:rFonts w:ascii="Arial" w:hAnsi="Arial" w:cs="Arial"/>
          <w:lang w:val="en-US"/>
        </w:rPr>
        <w:t xml:space="preserve"> the court a quo</w:t>
      </w:r>
      <w:r>
        <w:rPr>
          <w:rFonts w:ascii="Arial" w:hAnsi="Arial" w:cs="Arial"/>
          <w:lang w:val="en-US"/>
        </w:rPr>
        <w:t xml:space="preserve"> should have proceeded to hear it</w:t>
      </w:r>
      <w:r w:rsidR="00734C48">
        <w:rPr>
          <w:rFonts w:ascii="Arial" w:hAnsi="Arial" w:cs="Arial"/>
          <w:lang w:val="en-US"/>
        </w:rPr>
        <w:t xml:space="preserve"> on the</w:t>
      </w:r>
      <w:r>
        <w:rPr>
          <w:rFonts w:ascii="Arial" w:hAnsi="Arial" w:cs="Arial"/>
          <w:lang w:val="en-US"/>
        </w:rPr>
        <w:t xml:space="preserve"> merits. </w:t>
      </w:r>
    </w:p>
    <w:p w14:paraId="7A29BDEB" w14:textId="77777777" w:rsidR="001C5BB4" w:rsidRPr="001C5BB4" w:rsidRDefault="001C5BB4" w:rsidP="005A7B94">
      <w:pPr>
        <w:pStyle w:val="ListParagraph"/>
        <w:ind w:left="0"/>
        <w:rPr>
          <w:rFonts w:ascii="Arial" w:hAnsi="Arial" w:cs="Arial"/>
          <w:lang w:val="en-US"/>
        </w:rPr>
      </w:pPr>
    </w:p>
    <w:p w14:paraId="3050B4D4" w14:textId="487EB8FE" w:rsidR="00BF0461" w:rsidRDefault="00BF0461" w:rsidP="00BF046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submissions made on David’s behalf were</w:t>
      </w:r>
      <w:r w:rsidR="00C60EAF">
        <w:rPr>
          <w:rFonts w:ascii="Arial" w:hAnsi="Arial" w:cs="Arial"/>
          <w:lang w:val="en-US"/>
        </w:rPr>
        <w:t>,</w:t>
      </w:r>
      <w:r>
        <w:rPr>
          <w:rFonts w:ascii="Arial" w:hAnsi="Arial" w:cs="Arial"/>
          <w:lang w:val="en-US"/>
        </w:rPr>
        <w:t xml:space="preserve"> </w:t>
      </w:r>
      <w:r w:rsidR="00B25AEF">
        <w:rPr>
          <w:rFonts w:ascii="Arial" w:hAnsi="Arial" w:cs="Arial"/>
          <w:lang w:val="en-US"/>
        </w:rPr>
        <w:t>as per</w:t>
      </w:r>
      <w:r>
        <w:rPr>
          <w:rFonts w:ascii="Arial" w:hAnsi="Arial" w:cs="Arial"/>
          <w:lang w:val="en-US"/>
        </w:rPr>
        <w:t xml:space="preserve"> the notice of appeal and are, as a result, not repeated. </w:t>
      </w:r>
      <w:r w:rsidR="003F088F">
        <w:rPr>
          <w:rFonts w:ascii="Arial" w:hAnsi="Arial" w:cs="Arial"/>
          <w:lang w:val="en-US"/>
        </w:rPr>
        <w:t xml:space="preserve">It was </w:t>
      </w:r>
      <w:r w:rsidR="006C2E63">
        <w:rPr>
          <w:rFonts w:ascii="Arial" w:hAnsi="Arial" w:cs="Arial"/>
          <w:lang w:val="en-US"/>
        </w:rPr>
        <w:t>further argue</w:t>
      </w:r>
      <w:r w:rsidR="00AE437D">
        <w:rPr>
          <w:rFonts w:ascii="Arial" w:hAnsi="Arial" w:cs="Arial"/>
          <w:lang w:val="en-US"/>
        </w:rPr>
        <w:t>d</w:t>
      </w:r>
      <w:r>
        <w:rPr>
          <w:rFonts w:ascii="Arial" w:hAnsi="Arial" w:cs="Arial"/>
          <w:lang w:val="en-US"/>
        </w:rPr>
        <w:t xml:space="preserve"> </w:t>
      </w:r>
      <w:r w:rsidR="003F088F">
        <w:rPr>
          <w:rFonts w:ascii="Arial" w:hAnsi="Arial" w:cs="Arial"/>
          <w:lang w:val="en-US"/>
        </w:rPr>
        <w:t xml:space="preserve">on his behalf </w:t>
      </w:r>
      <w:r>
        <w:rPr>
          <w:rFonts w:ascii="Arial" w:hAnsi="Arial" w:cs="Arial"/>
          <w:lang w:val="en-US"/>
        </w:rPr>
        <w:t xml:space="preserve">there was no application by </w:t>
      </w:r>
      <w:proofErr w:type="spellStart"/>
      <w:r>
        <w:rPr>
          <w:rFonts w:ascii="Arial" w:hAnsi="Arial" w:cs="Arial"/>
          <w:lang w:val="en-US"/>
        </w:rPr>
        <w:t>Siyamba</w:t>
      </w:r>
      <w:proofErr w:type="spellEnd"/>
      <w:r>
        <w:rPr>
          <w:rFonts w:ascii="Arial" w:hAnsi="Arial" w:cs="Arial"/>
          <w:lang w:val="en-US"/>
        </w:rPr>
        <w:t xml:space="preserve"> for relief and, o</w:t>
      </w:r>
      <w:r w:rsidRPr="00BF0461">
        <w:rPr>
          <w:rFonts w:ascii="Arial" w:hAnsi="Arial" w:cs="Arial"/>
          <w:lang w:val="en-US"/>
        </w:rPr>
        <w:t xml:space="preserve">n a literal meaning of s 12(17), and having regard to ss 14 and 15, </w:t>
      </w:r>
      <w:r>
        <w:rPr>
          <w:rFonts w:ascii="Arial" w:hAnsi="Arial" w:cs="Arial"/>
          <w:lang w:val="en-US"/>
        </w:rPr>
        <w:t>the order that</w:t>
      </w:r>
      <w:r w:rsidRPr="00BF0461">
        <w:rPr>
          <w:rFonts w:ascii="Arial" w:hAnsi="Arial" w:cs="Arial"/>
          <w:lang w:val="en-US"/>
        </w:rPr>
        <w:t xml:space="preserve"> was granted was a final order.</w:t>
      </w:r>
    </w:p>
    <w:p w14:paraId="23360867" w14:textId="77777777" w:rsidR="00BF0461" w:rsidRPr="00BF0461" w:rsidRDefault="00BF0461" w:rsidP="00BF0461">
      <w:pPr>
        <w:pStyle w:val="ListParagraph"/>
        <w:rPr>
          <w:rFonts w:ascii="Arial" w:hAnsi="Arial" w:cs="Arial"/>
          <w:lang w:val="en-US"/>
        </w:rPr>
      </w:pPr>
    </w:p>
    <w:p w14:paraId="16FA9618" w14:textId="3A5F837A" w:rsidR="00AE437D" w:rsidRDefault="00BF0461" w:rsidP="00BF0461">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David’s legal practitioner</w:t>
      </w:r>
      <w:r w:rsidR="00FF6E18" w:rsidRPr="00BF0461">
        <w:rPr>
          <w:rFonts w:ascii="Arial" w:eastAsia="Calibri" w:hAnsi="Arial" w:cs="Arial"/>
          <w:bCs/>
        </w:rPr>
        <w:t xml:space="preserve"> made it clear that the appeal court was not approached on whether the </w:t>
      </w:r>
      <w:r w:rsidR="00AE437D">
        <w:rPr>
          <w:rFonts w:ascii="Arial" w:eastAsia="Calibri" w:hAnsi="Arial" w:cs="Arial"/>
          <w:bCs/>
        </w:rPr>
        <w:t xml:space="preserve">29 August 2023 </w:t>
      </w:r>
      <w:r w:rsidR="00FF6E18" w:rsidRPr="00BF0461">
        <w:rPr>
          <w:rFonts w:ascii="Arial" w:eastAsia="Calibri" w:hAnsi="Arial" w:cs="Arial"/>
          <w:bCs/>
        </w:rPr>
        <w:t>order</w:t>
      </w:r>
      <w:r w:rsidR="00AE437D">
        <w:rPr>
          <w:rFonts w:ascii="Arial" w:eastAsia="Calibri" w:hAnsi="Arial" w:cs="Arial"/>
          <w:bCs/>
        </w:rPr>
        <w:t xml:space="preserve"> should</w:t>
      </w:r>
      <w:r w:rsidR="00FF6E18" w:rsidRPr="00BF0461">
        <w:rPr>
          <w:rFonts w:ascii="Arial" w:eastAsia="Calibri" w:hAnsi="Arial" w:cs="Arial"/>
          <w:bCs/>
        </w:rPr>
        <w:t xml:space="preserve"> have been made. It is </w:t>
      </w:r>
      <w:r>
        <w:rPr>
          <w:rFonts w:ascii="Arial" w:eastAsia="Calibri" w:hAnsi="Arial" w:cs="Arial"/>
          <w:bCs/>
        </w:rPr>
        <w:t>David’s</w:t>
      </w:r>
      <w:r w:rsidR="00FF6E18" w:rsidRPr="00BF0461">
        <w:rPr>
          <w:rFonts w:ascii="Arial" w:eastAsia="Calibri" w:hAnsi="Arial" w:cs="Arial"/>
          <w:bCs/>
        </w:rPr>
        <w:t xml:space="preserve"> case that he should have been </w:t>
      </w:r>
      <w:r w:rsidR="006C2E63" w:rsidRPr="00BF0461">
        <w:rPr>
          <w:rFonts w:ascii="Arial" w:hAnsi="Arial" w:cs="Arial"/>
          <w:lang w:val="en-US"/>
        </w:rPr>
        <w:t>heard</w:t>
      </w:r>
      <w:r w:rsidR="00FF6E18" w:rsidRPr="00BF0461">
        <w:rPr>
          <w:rFonts w:ascii="Arial" w:hAnsi="Arial" w:cs="Arial"/>
          <w:lang w:val="en-US"/>
        </w:rPr>
        <w:t xml:space="preserve"> by the court a quo, but he was </w:t>
      </w:r>
      <w:r w:rsidR="006C2E63" w:rsidRPr="00BF0461">
        <w:rPr>
          <w:rFonts w:ascii="Arial" w:hAnsi="Arial" w:cs="Arial"/>
          <w:lang w:val="en-US"/>
        </w:rPr>
        <w:t>denied that opportuni</w:t>
      </w:r>
      <w:r w:rsidR="00FF6E18" w:rsidRPr="00BF0461">
        <w:rPr>
          <w:rFonts w:ascii="Arial" w:hAnsi="Arial" w:cs="Arial"/>
          <w:lang w:val="en-US"/>
        </w:rPr>
        <w:t>ty</w:t>
      </w:r>
      <w:r w:rsidR="00AE437D">
        <w:rPr>
          <w:rFonts w:ascii="Arial" w:hAnsi="Arial" w:cs="Arial"/>
          <w:lang w:val="en-US"/>
        </w:rPr>
        <w:t xml:space="preserve">. </w:t>
      </w:r>
      <w:r w:rsidR="00FF6E18" w:rsidRPr="00AE437D">
        <w:rPr>
          <w:rFonts w:ascii="Arial" w:hAnsi="Arial" w:cs="Arial"/>
          <w:lang w:val="en-US"/>
        </w:rPr>
        <w:t xml:space="preserve">Against that backdrop, </w:t>
      </w:r>
      <w:r w:rsidRPr="00AE437D">
        <w:rPr>
          <w:rFonts w:ascii="Arial" w:hAnsi="Arial" w:cs="Arial"/>
          <w:lang w:val="en-US"/>
        </w:rPr>
        <w:t xml:space="preserve">David </w:t>
      </w:r>
      <w:r w:rsidR="00E65B68" w:rsidRPr="00AE437D">
        <w:rPr>
          <w:rFonts w:ascii="Arial" w:hAnsi="Arial" w:cs="Arial"/>
          <w:lang w:val="en-US"/>
        </w:rPr>
        <w:t xml:space="preserve">prays that the order of 29 August 2023 be set aside and that the matter be remitted to the court a quo </w:t>
      </w:r>
      <w:r w:rsidRPr="00AE437D">
        <w:rPr>
          <w:rFonts w:ascii="Arial" w:hAnsi="Arial" w:cs="Arial"/>
          <w:lang w:val="en-US"/>
        </w:rPr>
        <w:t xml:space="preserve">for the application </w:t>
      </w:r>
      <w:r w:rsidR="00E65B68" w:rsidRPr="00AE437D">
        <w:rPr>
          <w:rFonts w:ascii="Arial" w:hAnsi="Arial" w:cs="Arial"/>
          <w:lang w:val="en-US"/>
        </w:rPr>
        <w:t xml:space="preserve">to be heard on </w:t>
      </w:r>
      <w:r w:rsidR="00B25AEF">
        <w:rPr>
          <w:rFonts w:ascii="Arial" w:hAnsi="Arial" w:cs="Arial"/>
          <w:lang w:val="en-US"/>
        </w:rPr>
        <w:t>the</w:t>
      </w:r>
      <w:r w:rsidR="00E65B68" w:rsidRPr="00AE437D">
        <w:rPr>
          <w:rFonts w:ascii="Arial" w:hAnsi="Arial" w:cs="Arial"/>
          <w:lang w:val="en-US"/>
        </w:rPr>
        <w:t xml:space="preserve"> merits.</w:t>
      </w:r>
      <w:r w:rsidRPr="00AE437D">
        <w:rPr>
          <w:rFonts w:ascii="Arial" w:hAnsi="Arial" w:cs="Arial"/>
          <w:lang w:val="en-US"/>
        </w:rPr>
        <w:t xml:space="preserve"> </w:t>
      </w:r>
      <w:r w:rsidR="00F97989" w:rsidRPr="00AE437D">
        <w:rPr>
          <w:rFonts w:ascii="Arial" w:hAnsi="Arial" w:cs="Arial"/>
          <w:lang w:val="en-US"/>
        </w:rPr>
        <w:t>No cost order is sought</w:t>
      </w:r>
      <w:r w:rsidRPr="00AE437D">
        <w:rPr>
          <w:rFonts w:ascii="Arial" w:hAnsi="Arial" w:cs="Arial"/>
          <w:lang w:val="en-US"/>
        </w:rPr>
        <w:t xml:space="preserve"> in the notice of appeal</w:t>
      </w:r>
      <w:r w:rsidR="00F97989" w:rsidRPr="00AE437D">
        <w:rPr>
          <w:rFonts w:ascii="Arial" w:hAnsi="Arial" w:cs="Arial"/>
          <w:lang w:val="en-US"/>
        </w:rPr>
        <w:t>.</w:t>
      </w:r>
    </w:p>
    <w:p w14:paraId="265CD536" w14:textId="77777777" w:rsidR="00AE437D" w:rsidRPr="00AE437D" w:rsidRDefault="00AE437D" w:rsidP="00AE437D">
      <w:pPr>
        <w:pStyle w:val="ListParagraph"/>
        <w:rPr>
          <w:rFonts w:ascii="Arial" w:hAnsi="Arial" w:cs="Arial"/>
          <w:u w:val="single"/>
          <w:lang w:val="en-US"/>
        </w:rPr>
      </w:pPr>
    </w:p>
    <w:p w14:paraId="19F38F39" w14:textId="77777777" w:rsidR="00AE437D" w:rsidRDefault="002869C2" w:rsidP="00AE437D">
      <w:pPr>
        <w:pStyle w:val="ListParagraph"/>
        <w:spacing w:line="360" w:lineRule="auto"/>
        <w:ind w:left="0"/>
        <w:jc w:val="both"/>
        <w:rPr>
          <w:rFonts w:ascii="Arial" w:hAnsi="Arial" w:cs="Arial"/>
          <w:lang w:val="en-US"/>
        </w:rPr>
      </w:pPr>
      <w:r w:rsidRPr="00AE437D">
        <w:rPr>
          <w:rFonts w:ascii="Arial" w:hAnsi="Arial" w:cs="Arial"/>
          <w:u w:val="single"/>
          <w:lang w:val="en-US"/>
        </w:rPr>
        <w:t>O</w:t>
      </w:r>
      <w:r w:rsidR="00A55321" w:rsidRPr="00AE437D">
        <w:rPr>
          <w:rFonts w:ascii="Arial" w:hAnsi="Arial" w:cs="Arial"/>
          <w:u w:val="single"/>
          <w:lang w:val="en-US"/>
        </w:rPr>
        <w:t>pposition</w:t>
      </w:r>
      <w:r w:rsidRPr="00AE437D">
        <w:rPr>
          <w:rFonts w:ascii="Arial" w:hAnsi="Arial" w:cs="Arial"/>
          <w:u w:val="single"/>
          <w:lang w:val="en-US"/>
        </w:rPr>
        <w:t xml:space="preserve"> to the appeal</w:t>
      </w:r>
    </w:p>
    <w:p w14:paraId="2FCA47BD" w14:textId="77777777" w:rsidR="00AE437D" w:rsidRPr="00AE437D" w:rsidRDefault="00AE437D" w:rsidP="00AE437D">
      <w:pPr>
        <w:pStyle w:val="ListParagraph"/>
        <w:rPr>
          <w:rFonts w:ascii="Arial" w:eastAsia="Calibri" w:hAnsi="Arial" w:cs="Arial"/>
          <w:bCs/>
        </w:rPr>
      </w:pPr>
    </w:p>
    <w:p w14:paraId="5B3C63B9" w14:textId="62024130" w:rsidR="007A6C4A" w:rsidRPr="00AE437D" w:rsidRDefault="00AE437D" w:rsidP="00AE437D">
      <w:pPr>
        <w:pStyle w:val="ListParagraph"/>
        <w:numPr>
          <w:ilvl w:val="0"/>
          <w:numId w:val="2"/>
        </w:numPr>
        <w:spacing w:line="360" w:lineRule="auto"/>
        <w:ind w:left="0" w:firstLine="0"/>
        <w:jc w:val="both"/>
        <w:rPr>
          <w:rFonts w:ascii="Arial" w:hAnsi="Arial" w:cs="Arial"/>
          <w:lang w:val="en-US"/>
        </w:rPr>
      </w:pPr>
      <w:proofErr w:type="spellStart"/>
      <w:r>
        <w:rPr>
          <w:rFonts w:ascii="Arial" w:eastAsia="Calibri" w:hAnsi="Arial" w:cs="Arial"/>
          <w:bCs/>
        </w:rPr>
        <w:t>Siyamba’s</w:t>
      </w:r>
      <w:proofErr w:type="spellEnd"/>
      <w:r w:rsidR="006C2E63" w:rsidRPr="00AE437D">
        <w:rPr>
          <w:rFonts w:ascii="Arial" w:eastAsia="Calibri" w:hAnsi="Arial" w:cs="Arial"/>
          <w:bCs/>
        </w:rPr>
        <w:t xml:space="preserve"> opposition to the appeal is based on the following arguments</w:t>
      </w:r>
      <w:r w:rsidR="004E5F07" w:rsidRPr="00AE437D">
        <w:rPr>
          <w:rFonts w:ascii="Arial" w:hAnsi="Arial" w:cs="Arial"/>
          <w:lang w:val="en-US"/>
        </w:rPr>
        <w:t>.</w:t>
      </w:r>
    </w:p>
    <w:p w14:paraId="36CAA326" w14:textId="77777777" w:rsidR="007A6C4A" w:rsidRPr="004E3437" w:rsidRDefault="007A6C4A" w:rsidP="007A6C4A">
      <w:pPr>
        <w:pStyle w:val="ListParagraph"/>
        <w:rPr>
          <w:rFonts w:ascii="Arial" w:hAnsi="Arial" w:cs="Arial"/>
          <w:lang w:val="en-US"/>
        </w:rPr>
      </w:pPr>
    </w:p>
    <w:p w14:paraId="640FC119" w14:textId="408BB932" w:rsidR="004E3437" w:rsidRPr="00BF0461" w:rsidRDefault="006C2E63" w:rsidP="00BF0461">
      <w:pPr>
        <w:pStyle w:val="ListParagraph"/>
        <w:numPr>
          <w:ilvl w:val="0"/>
          <w:numId w:val="2"/>
        </w:numPr>
        <w:spacing w:line="360" w:lineRule="auto"/>
        <w:ind w:left="0" w:firstLine="0"/>
        <w:jc w:val="both"/>
        <w:rPr>
          <w:rFonts w:ascii="Arial" w:hAnsi="Arial" w:cs="Arial"/>
          <w:lang w:val="en-US"/>
        </w:rPr>
      </w:pPr>
      <w:r w:rsidRPr="00BF0461">
        <w:rPr>
          <w:rFonts w:ascii="Arial" w:hAnsi="Arial" w:cs="Arial"/>
          <w:lang w:val="en-US"/>
        </w:rPr>
        <w:t xml:space="preserve">The 7 June 2022 order is not a protection order </w:t>
      </w:r>
      <w:r w:rsidR="00AE437D">
        <w:rPr>
          <w:rFonts w:ascii="Arial" w:hAnsi="Arial" w:cs="Arial"/>
          <w:lang w:val="en-US"/>
        </w:rPr>
        <w:t>that could be</w:t>
      </w:r>
      <w:r w:rsidRPr="00BF0461">
        <w:rPr>
          <w:rFonts w:ascii="Arial" w:hAnsi="Arial" w:cs="Arial"/>
          <w:lang w:val="en-US"/>
        </w:rPr>
        <w:t xml:space="preserve"> cancell</w:t>
      </w:r>
      <w:r w:rsidR="00AE437D">
        <w:rPr>
          <w:rFonts w:ascii="Arial" w:hAnsi="Arial" w:cs="Arial"/>
          <w:lang w:val="en-US"/>
        </w:rPr>
        <w:t>ed</w:t>
      </w:r>
      <w:r w:rsidRPr="00BF0461">
        <w:rPr>
          <w:rFonts w:ascii="Arial" w:hAnsi="Arial" w:cs="Arial"/>
          <w:lang w:val="en-US"/>
        </w:rPr>
        <w:t>.</w:t>
      </w:r>
      <w:r w:rsidR="004A1AC9" w:rsidRPr="00BF0461">
        <w:rPr>
          <w:rFonts w:ascii="Arial" w:hAnsi="Arial" w:cs="Arial"/>
          <w:lang w:val="en-US"/>
        </w:rPr>
        <w:t xml:space="preserve"> </w:t>
      </w:r>
      <w:proofErr w:type="spellStart"/>
      <w:r w:rsidR="007A6C4A">
        <w:rPr>
          <w:rFonts w:ascii="Arial" w:hAnsi="Arial" w:cs="Arial"/>
          <w:lang w:val="en-US"/>
        </w:rPr>
        <w:t>Siyamba’s</w:t>
      </w:r>
      <w:proofErr w:type="spellEnd"/>
      <w:r w:rsidR="007A6C4A">
        <w:rPr>
          <w:rFonts w:ascii="Arial" w:hAnsi="Arial" w:cs="Arial"/>
          <w:lang w:val="en-US"/>
        </w:rPr>
        <w:t xml:space="preserve"> legal practitioner</w:t>
      </w:r>
      <w:r w:rsidR="004A1AC9" w:rsidRPr="00BF0461">
        <w:rPr>
          <w:rFonts w:ascii="Arial" w:hAnsi="Arial" w:cs="Arial"/>
          <w:lang w:val="en-US"/>
        </w:rPr>
        <w:t xml:space="preserve"> pointed out that s 17 speaks about </w:t>
      </w:r>
      <w:r w:rsidR="00020AFC" w:rsidRPr="00BF0461">
        <w:rPr>
          <w:rFonts w:ascii="Arial" w:hAnsi="Arial" w:cs="Arial"/>
          <w:lang w:val="en-US"/>
        </w:rPr>
        <w:t xml:space="preserve">the </w:t>
      </w:r>
      <w:r w:rsidR="004A1AC9" w:rsidRPr="00BF0461">
        <w:rPr>
          <w:rFonts w:ascii="Arial" w:hAnsi="Arial" w:cs="Arial"/>
          <w:lang w:val="en-US"/>
        </w:rPr>
        <w:t>cancellation of an order</w:t>
      </w:r>
      <w:r w:rsidR="00020AFC" w:rsidRPr="00BF0461">
        <w:rPr>
          <w:rFonts w:ascii="Arial" w:hAnsi="Arial" w:cs="Arial"/>
          <w:lang w:val="en-US"/>
        </w:rPr>
        <w:t>.</w:t>
      </w:r>
      <w:r w:rsidR="007A6C4A">
        <w:rPr>
          <w:rFonts w:ascii="Arial" w:hAnsi="Arial" w:cs="Arial"/>
          <w:lang w:val="en-US"/>
        </w:rPr>
        <w:t xml:space="preserve"> Her counsel </w:t>
      </w:r>
      <w:r w:rsidR="004A1AC9" w:rsidRPr="00BF0461">
        <w:rPr>
          <w:rFonts w:ascii="Arial" w:hAnsi="Arial" w:cs="Arial"/>
          <w:lang w:val="en-US"/>
        </w:rPr>
        <w:t>argue</w:t>
      </w:r>
      <w:r w:rsidR="00AE437D">
        <w:rPr>
          <w:rFonts w:ascii="Arial" w:hAnsi="Arial" w:cs="Arial"/>
          <w:lang w:val="en-US"/>
        </w:rPr>
        <w:t>d</w:t>
      </w:r>
      <w:r w:rsidR="00C60EAF">
        <w:rPr>
          <w:rFonts w:ascii="Arial" w:hAnsi="Arial" w:cs="Arial"/>
          <w:lang w:val="en-US"/>
        </w:rPr>
        <w:t xml:space="preserve"> that</w:t>
      </w:r>
      <w:r w:rsidR="007A6C4A">
        <w:rPr>
          <w:rFonts w:ascii="Arial" w:hAnsi="Arial" w:cs="Arial"/>
          <w:lang w:val="en-US"/>
        </w:rPr>
        <w:t xml:space="preserve"> </w:t>
      </w:r>
      <w:r w:rsidR="004A1AC9" w:rsidRPr="00BF0461">
        <w:rPr>
          <w:rFonts w:ascii="Arial" w:hAnsi="Arial" w:cs="Arial"/>
          <w:lang w:val="en-US"/>
        </w:rPr>
        <w:t>the effect of cancellation</w:t>
      </w:r>
      <w:r w:rsidR="00AE437D">
        <w:rPr>
          <w:rFonts w:ascii="Arial" w:hAnsi="Arial" w:cs="Arial"/>
          <w:lang w:val="en-US"/>
        </w:rPr>
        <w:t xml:space="preserve"> under the 7 June 2022 order</w:t>
      </w:r>
      <w:r w:rsidR="004A1AC9" w:rsidRPr="00BF0461">
        <w:rPr>
          <w:rFonts w:ascii="Arial" w:hAnsi="Arial" w:cs="Arial"/>
          <w:lang w:val="en-US"/>
        </w:rPr>
        <w:t xml:space="preserve"> </w:t>
      </w:r>
      <w:r w:rsidR="00AE437D">
        <w:rPr>
          <w:rFonts w:ascii="Arial" w:hAnsi="Arial" w:cs="Arial"/>
          <w:lang w:val="en-US"/>
        </w:rPr>
        <w:t>wa</w:t>
      </w:r>
      <w:r w:rsidR="00FF6E18" w:rsidRPr="00BF0461">
        <w:rPr>
          <w:rFonts w:ascii="Arial" w:hAnsi="Arial" w:cs="Arial"/>
          <w:lang w:val="en-US"/>
        </w:rPr>
        <w:t>s that the interim order no longer exist</w:t>
      </w:r>
      <w:r w:rsidR="004A1AC9" w:rsidRPr="00BF0461">
        <w:rPr>
          <w:rFonts w:ascii="Arial" w:hAnsi="Arial" w:cs="Arial"/>
          <w:lang w:val="en-US"/>
        </w:rPr>
        <w:t>ed</w:t>
      </w:r>
      <w:r w:rsidR="00FF6E18" w:rsidRPr="00BF0461">
        <w:rPr>
          <w:rFonts w:ascii="Arial" w:hAnsi="Arial" w:cs="Arial"/>
          <w:lang w:val="en-US"/>
        </w:rPr>
        <w:t xml:space="preserve">, and a final order </w:t>
      </w:r>
      <w:r w:rsidR="00AE437D">
        <w:rPr>
          <w:rFonts w:ascii="Arial" w:hAnsi="Arial" w:cs="Arial"/>
          <w:lang w:val="en-US"/>
        </w:rPr>
        <w:t>did not</w:t>
      </w:r>
      <w:r w:rsidR="004A1AC9" w:rsidRPr="00BF0461">
        <w:rPr>
          <w:rFonts w:ascii="Arial" w:hAnsi="Arial" w:cs="Arial"/>
          <w:lang w:val="en-US"/>
        </w:rPr>
        <w:t xml:space="preserve"> </w:t>
      </w:r>
      <w:r w:rsidR="00FF6E18" w:rsidRPr="00BF0461">
        <w:rPr>
          <w:rFonts w:ascii="Arial" w:hAnsi="Arial" w:cs="Arial"/>
          <w:lang w:val="en-US"/>
        </w:rPr>
        <w:t>come into existence</w:t>
      </w:r>
      <w:r w:rsidR="004A1AC9" w:rsidRPr="00BF0461">
        <w:rPr>
          <w:rFonts w:ascii="Arial" w:hAnsi="Arial" w:cs="Arial"/>
          <w:lang w:val="en-US"/>
        </w:rPr>
        <w:t xml:space="preserve"> </w:t>
      </w:r>
      <w:r w:rsidR="00AE437D">
        <w:rPr>
          <w:rFonts w:ascii="Arial" w:hAnsi="Arial" w:cs="Arial"/>
          <w:lang w:val="en-US"/>
        </w:rPr>
        <w:t>which could be</w:t>
      </w:r>
      <w:r w:rsidR="004A1AC9" w:rsidRPr="00BF0461">
        <w:rPr>
          <w:rFonts w:ascii="Arial" w:hAnsi="Arial" w:cs="Arial"/>
          <w:lang w:val="en-US"/>
        </w:rPr>
        <w:t xml:space="preserve"> cancelled by </w:t>
      </w:r>
      <w:r w:rsidR="007A6C4A">
        <w:rPr>
          <w:rFonts w:ascii="Arial" w:hAnsi="Arial" w:cs="Arial"/>
          <w:lang w:val="en-US"/>
        </w:rPr>
        <w:t xml:space="preserve">David’s </w:t>
      </w:r>
      <w:r w:rsidR="004A1AC9" w:rsidRPr="00BF0461">
        <w:rPr>
          <w:rFonts w:ascii="Arial" w:hAnsi="Arial" w:cs="Arial"/>
          <w:lang w:val="en-US"/>
        </w:rPr>
        <w:t xml:space="preserve">s 17 </w:t>
      </w:r>
      <w:proofErr w:type="gramStart"/>
      <w:r w:rsidR="004A1AC9" w:rsidRPr="00BF0461">
        <w:rPr>
          <w:rFonts w:ascii="Arial" w:hAnsi="Arial" w:cs="Arial"/>
          <w:lang w:val="en-US"/>
        </w:rPr>
        <w:t>application</w:t>
      </w:r>
      <w:proofErr w:type="gramEnd"/>
      <w:r w:rsidR="004A1AC9" w:rsidRPr="00BF0461">
        <w:rPr>
          <w:rFonts w:ascii="Arial" w:hAnsi="Arial" w:cs="Arial"/>
          <w:lang w:val="en-US"/>
        </w:rPr>
        <w:t xml:space="preserve">. </w:t>
      </w:r>
      <w:r w:rsidR="007A6C4A">
        <w:rPr>
          <w:rFonts w:ascii="Arial" w:hAnsi="Arial" w:cs="Arial"/>
          <w:lang w:val="en-US"/>
        </w:rPr>
        <w:t>It was contended on her behalf that</w:t>
      </w:r>
      <w:r w:rsidR="004A1AC9" w:rsidRPr="00BF0461">
        <w:rPr>
          <w:rFonts w:ascii="Arial" w:hAnsi="Arial" w:cs="Arial"/>
          <w:lang w:val="en-US"/>
        </w:rPr>
        <w:t xml:space="preserve"> a f</w:t>
      </w:r>
      <w:r w:rsidR="00FF6E18" w:rsidRPr="00BF0461">
        <w:rPr>
          <w:rFonts w:ascii="Arial" w:hAnsi="Arial" w:cs="Arial"/>
          <w:lang w:val="en-US"/>
        </w:rPr>
        <w:t>inal order c</w:t>
      </w:r>
      <w:r w:rsidR="007A6C4A">
        <w:rPr>
          <w:rFonts w:ascii="Arial" w:hAnsi="Arial" w:cs="Arial"/>
          <w:lang w:val="en-US"/>
        </w:rPr>
        <w:t>ould</w:t>
      </w:r>
      <w:r w:rsidR="00FF6E18" w:rsidRPr="00BF0461">
        <w:rPr>
          <w:rFonts w:ascii="Arial" w:hAnsi="Arial" w:cs="Arial"/>
          <w:lang w:val="en-US"/>
        </w:rPr>
        <w:t xml:space="preserve"> only exist if </w:t>
      </w:r>
      <w:r w:rsidR="004A1AC9" w:rsidRPr="00BF0461">
        <w:rPr>
          <w:rFonts w:ascii="Arial" w:hAnsi="Arial" w:cs="Arial"/>
          <w:lang w:val="en-US"/>
        </w:rPr>
        <w:t xml:space="preserve">the </w:t>
      </w:r>
      <w:r w:rsidR="00FF6E18" w:rsidRPr="00BF0461">
        <w:rPr>
          <w:rFonts w:ascii="Arial" w:hAnsi="Arial" w:cs="Arial"/>
          <w:lang w:val="en-US"/>
        </w:rPr>
        <w:t xml:space="preserve">interim order </w:t>
      </w:r>
      <w:r w:rsidR="004A1AC9" w:rsidRPr="00BF0461">
        <w:rPr>
          <w:rFonts w:ascii="Arial" w:hAnsi="Arial" w:cs="Arial"/>
          <w:lang w:val="en-US"/>
        </w:rPr>
        <w:t xml:space="preserve">was </w:t>
      </w:r>
      <w:r w:rsidR="00FF6E18" w:rsidRPr="00BF0461">
        <w:rPr>
          <w:rFonts w:ascii="Arial" w:hAnsi="Arial" w:cs="Arial"/>
          <w:lang w:val="en-US"/>
        </w:rPr>
        <w:t xml:space="preserve">not cancelled and </w:t>
      </w:r>
      <w:r w:rsidR="007A6C4A">
        <w:rPr>
          <w:rFonts w:ascii="Arial" w:hAnsi="Arial" w:cs="Arial"/>
          <w:lang w:val="en-US"/>
        </w:rPr>
        <w:t xml:space="preserve">if </w:t>
      </w:r>
      <w:r w:rsidR="00FF6E18" w:rsidRPr="00BF0461">
        <w:rPr>
          <w:rFonts w:ascii="Arial" w:hAnsi="Arial" w:cs="Arial"/>
          <w:lang w:val="en-US"/>
        </w:rPr>
        <w:t xml:space="preserve">it </w:t>
      </w:r>
      <w:r w:rsidR="004A1AC9" w:rsidRPr="00BF0461">
        <w:rPr>
          <w:rFonts w:ascii="Arial" w:hAnsi="Arial" w:cs="Arial"/>
          <w:lang w:val="en-US"/>
        </w:rPr>
        <w:t>wa</w:t>
      </w:r>
      <w:r w:rsidR="00FF6E18" w:rsidRPr="00BF0461">
        <w:rPr>
          <w:rFonts w:ascii="Arial" w:hAnsi="Arial" w:cs="Arial"/>
          <w:lang w:val="en-US"/>
        </w:rPr>
        <w:t>s made a final order.</w:t>
      </w:r>
      <w:r w:rsidR="004A1AC9" w:rsidRPr="00BF0461">
        <w:rPr>
          <w:rFonts w:ascii="Arial" w:hAnsi="Arial" w:cs="Arial"/>
          <w:lang w:val="en-US"/>
        </w:rPr>
        <w:t xml:space="preserve"> </w:t>
      </w:r>
      <w:r w:rsidR="007A6C4A">
        <w:rPr>
          <w:rFonts w:ascii="Arial" w:hAnsi="Arial" w:cs="Arial"/>
          <w:lang w:val="en-US"/>
        </w:rPr>
        <w:t>It was argued that, as a result, there was no final order before the court a quo, and the court could not cancel that which was not before it</w:t>
      </w:r>
      <w:r w:rsidR="003F088F">
        <w:rPr>
          <w:rFonts w:ascii="Arial" w:hAnsi="Arial" w:cs="Arial"/>
          <w:lang w:val="en-US"/>
        </w:rPr>
        <w:t xml:space="preserve"> and </w:t>
      </w:r>
      <w:r w:rsidR="008764DD" w:rsidRPr="00BF0461">
        <w:rPr>
          <w:rFonts w:ascii="Arial" w:hAnsi="Arial" w:cs="Arial"/>
          <w:lang w:val="en-US"/>
        </w:rPr>
        <w:t xml:space="preserve">that which did not exist. </w:t>
      </w:r>
      <w:proofErr w:type="spellStart"/>
      <w:r w:rsidR="007A6C4A">
        <w:rPr>
          <w:rFonts w:ascii="Arial" w:hAnsi="Arial" w:cs="Arial"/>
          <w:lang w:val="en-US"/>
        </w:rPr>
        <w:t>Siyamba’s</w:t>
      </w:r>
      <w:proofErr w:type="spellEnd"/>
      <w:r w:rsidR="007A6C4A">
        <w:rPr>
          <w:rFonts w:ascii="Arial" w:hAnsi="Arial" w:cs="Arial"/>
          <w:lang w:val="en-US"/>
        </w:rPr>
        <w:t xml:space="preserve"> case is that since there is no final protection order,</w:t>
      </w:r>
      <w:r w:rsidR="008764DD" w:rsidRPr="00BF0461">
        <w:rPr>
          <w:rFonts w:ascii="Arial" w:hAnsi="Arial" w:cs="Arial"/>
          <w:lang w:val="en-US"/>
        </w:rPr>
        <w:t xml:space="preserve"> it is a nullity to seek </w:t>
      </w:r>
      <w:r w:rsidR="00AE437D">
        <w:rPr>
          <w:rFonts w:ascii="Arial" w:hAnsi="Arial" w:cs="Arial"/>
          <w:lang w:val="en-US"/>
        </w:rPr>
        <w:t>a</w:t>
      </w:r>
      <w:r w:rsidR="007A6C4A">
        <w:rPr>
          <w:rFonts w:ascii="Arial" w:hAnsi="Arial" w:cs="Arial"/>
          <w:lang w:val="en-US"/>
        </w:rPr>
        <w:t xml:space="preserve"> </w:t>
      </w:r>
      <w:r w:rsidR="008764DD" w:rsidRPr="00BF0461">
        <w:rPr>
          <w:rFonts w:ascii="Arial" w:hAnsi="Arial" w:cs="Arial"/>
          <w:lang w:val="en-US"/>
        </w:rPr>
        <w:t>remit</w:t>
      </w:r>
      <w:r w:rsidR="007A6C4A">
        <w:rPr>
          <w:rFonts w:ascii="Arial" w:hAnsi="Arial" w:cs="Arial"/>
          <w:lang w:val="en-US"/>
        </w:rPr>
        <w:t>t</w:t>
      </w:r>
      <w:r w:rsidR="00AE437D">
        <w:rPr>
          <w:rFonts w:ascii="Arial" w:hAnsi="Arial" w:cs="Arial"/>
          <w:lang w:val="en-US"/>
        </w:rPr>
        <w:t xml:space="preserve">al </w:t>
      </w:r>
      <w:r w:rsidR="00804DF2">
        <w:rPr>
          <w:rFonts w:ascii="Arial" w:hAnsi="Arial" w:cs="Arial"/>
          <w:lang w:val="en-US"/>
        </w:rPr>
        <w:t>of the matter to the court a quo</w:t>
      </w:r>
      <w:r w:rsidR="008764DD" w:rsidRPr="00BF0461">
        <w:rPr>
          <w:rFonts w:ascii="Arial" w:hAnsi="Arial" w:cs="Arial"/>
          <w:lang w:val="en-US"/>
        </w:rPr>
        <w:t>.</w:t>
      </w:r>
      <w:r w:rsidR="004E3437" w:rsidRPr="00BF0461">
        <w:rPr>
          <w:rFonts w:ascii="Arial" w:hAnsi="Arial" w:cs="Arial"/>
          <w:lang w:val="en-US"/>
        </w:rPr>
        <w:t xml:space="preserve"> </w:t>
      </w:r>
    </w:p>
    <w:p w14:paraId="4B6FB5FF" w14:textId="77777777" w:rsidR="004E3437" w:rsidRPr="004E3437" w:rsidRDefault="004E3437" w:rsidP="004E3437">
      <w:pPr>
        <w:pStyle w:val="ListParagraph"/>
        <w:rPr>
          <w:rFonts w:ascii="Arial" w:hAnsi="Arial" w:cs="Arial"/>
          <w:lang w:val="en-US"/>
        </w:rPr>
      </w:pPr>
    </w:p>
    <w:p w14:paraId="6E7B5309" w14:textId="53C725A7" w:rsidR="004E3437" w:rsidRPr="00020AFC" w:rsidRDefault="007A6C4A" w:rsidP="00020AF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The court was</w:t>
      </w:r>
      <w:r w:rsidR="00020AFC">
        <w:rPr>
          <w:rFonts w:ascii="Arial" w:hAnsi="Arial" w:cs="Arial"/>
          <w:lang w:val="en-US"/>
        </w:rPr>
        <w:t xml:space="preserve"> referred </w:t>
      </w:r>
      <w:r w:rsidR="004E3437">
        <w:rPr>
          <w:rFonts w:ascii="Arial" w:hAnsi="Arial" w:cs="Arial"/>
          <w:lang w:val="en-US"/>
        </w:rPr>
        <w:t>to case law</w:t>
      </w:r>
      <w:r w:rsidR="00804DF2">
        <w:rPr>
          <w:rStyle w:val="FootnoteReference"/>
          <w:rFonts w:ascii="Arial" w:hAnsi="Arial" w:cs="Arial"/>
          <w:lang w:val="en-US"/>
        </w:rPr>
        <w:footnoteReference w:id="2"/>
      </w:r>
      <w:r w:rsidR="00020AFC">
        <w:rPr>
          <w:rFonts w:ascii="Arial" w:hAnsi="Arial" w:cs="Arial"/>
          <w:lang w:val="en-US"/>
        </w:rPr>
        <w:t xml:space="preserve"> </w:t>
      </w:r>
      <w:r>
        <w:rPr>
          <w:rFonts w:ascii="Arial" w:hAnsi="Arial" w:cs="Arial"/>
          <w:lang w:val="en-US"/>
        </w:rPr>
        <w:t>that if</w:t>
      </w:r>
      <w:r w:rsidR="004E3437">
        <w:rPr>
          <w:rFonts w:ascii="Arial" w:hAnsi="Arial" w:cs="Arial"/>
          <w:lang w:val="en-US"/>
        </w:rPr>
        <w:t xml:space="preserve"> an interim order is not confirmed, the application is dismissed</w:t>
      </w:r>
      <w:r w:rsidR="0095151E">
        <w:rPr>
          <w:rFonts w:ascii="Arial" w:hAnsi="Arial" w:cs="Arial"/>
          <w:lang w:val="en-US"/>
        </w:rPr>
        <w:t xml:space="preserve">, and </w:t>
      </w:r>
      <w:r w:rsidR="00E94F78">
        <w:rPr>
          <w:rFonts w:ascii="Arial" w:hAnsi="Arial" w:cs="Arial"/>
          <w:lang w:val="en-US"/>
        </w:rPr>
        <w:t>a discharged order cannot be revived as there is no order that can be revived</w:t>
      </w:r>
      <w:r w:rsidR="00EF3919">
        <w:rPr>
          <w:rFonts w:ascii="Arial" w:hAnsi="Arial" w:cs="Arial"/>
          <w:lang w:val="en-US"/>
        </w:rPr>
        <w:t xml:space="preserve">. Further that, </w:t>
      </w:r>
      <w:r w:rsidR="00804DF2">
        <w:rPr>
          <w:rFonts w:ascii="Arial" w:hAnsi="Arial" w:cs="Arial"/>
          <w:lang w:val="en-US"/>
        </w:rPr>
        <w:t>the noting of an appeal against the refusal of a final order where interim relief was granted but the final relief was refused, does not reviv</w:t>
      </w:r>
      <w:r w:rsidR="00E94F78">
        <w:rPr>
          <w:rFonts w:ascii="Arial" w:hAnsi="Arial" w:cs="Arial"/>
          <w:lang w:val="en-US"/>
        </w:rPr>
        <w:t>e the interim order</w:t>
      </w:r>
      <w:r w:rsidR="004E3437">
        <w:rPr>
          <w:rFonts w:ascii="Arial" w:hAnsi="Arial" w:cs="Arial"/>
          <w:lang w:val="en-US"/>
        </w:rPr>
        <w:t xml:space="preserve">. </w:t>
      </w:r>
      <w:r w:rsidR="00020AFC">
        <w:rPr>
          <w:rFonts w:ascii="Arial" w:hAnsi="Arial" w:cs="Arial"/>
          <w:lang w:val="en-US"/>
        </w:rPr>
        <w:t xml:space="preserve">According to </w:t>
      </w:r>
      <w:proofErr w:type="spellStart"/>
      <w:r w:rsidR="0095151E">
        <w:rPr>
          <w:rFonts w:ascii="Arial" w:hAnsi="Arial" w:cs="Arial"/>
          <w:lang w:val="en-US"/>
        </w:rPr>
        <w:t>Siyamba</w:t>
      </w:r>
      <w:proofErr w:type="spellEnd"/>
      <w:r w:rsidR="00020AFC">
        <w:rPr>
          <w:rFonts w:ascii="Arial" w:hAnsi="Arial" w:cs="Arial"/>
          <w:lang w:val="en-US"/>
        </w:rPr>
        <w:t>, the</w:t>
      </w:r>
      <w:r w:rsidR="004E3437">
        <w:rPr>
          <w:rFonts w:ascii="Arial" w:hAnsi="Arial" w:cs="Arial"/>
          <w:lang w:val="en-US"/>
        </w:rPr>
        <w:t xml:space="preserve"> implication of the </w:t>
      </w:r>
      <w:r w:rsidR="00E94F78">
        <w:rPr>
          <w:rFonts w:ascii="Arial" w:hAnsi="Arial" w:cs="Arial"/>
          <w:lang w:val="en-US"/>
        </w:rPr>
        <w:t xml:space="preserve">discharged </w:t>
      </w:r>
      <w:r w:rsidR="00C60EAF">
        <w:rPr>
          <w:rFonts w:ascii="Arial" w:hAnsi="Arial" w:cs="Arial"/>
          <w:lang w:val="en-US"/>
        </w:rPr>
        <w:t>rule nisi</w:t>
      </w:r>
      <w:r w:rsidR="004E3437">
        <w:rPr>
          <w:rFonts w:ascii="Arial" w:hAnsi="Arial" w:cs="Arial"/>
          <w:lang w:val="en-US"/>
        </w:rPr>
        <w:t xml:space="preserve"> </w:t>
      </w:r>
      <w:r w:rsidR="00E94F78">
        <w:rPr>
          <w:rFonts w:ascii="Arial" w:hAnsi="Arial" w:cs="Arial"/>
          <w:lang w:val="en-US"/>
        </w:rPr>
        <w:t>wa</w:t>
      </w:r>
      <w:r w:rsidR="004E3437">
        <w:rPr>
          <w:rFonts w:ascii="Arial" w:hAnsi="Arial" w:cs="Arial"/>
          <w:lang w:val="en-US"/>
        </w:rPr>
        <w:t xml:space="preserve">s that </w:t>
      </w:r>
      <w:r w:rsidR="0095151E">
        <w:rPr>
          <w:rFonts w:ascii="Arial" w:hAnsi="Arial" w:cs="Arial"/>
          <w:lang w:val="en-US"/>
        </w:rPr>
        <w:t>David’s</w:t>
      </w:r>
      <w:r w:rsidR="004E3437">
        <w:rPr>
          <w:rFonts w:ascii="Arial" w:hAnsi="Arial" w:cs="Arial"/>
          <w:lang w:val="en-US"/>
        </w:rPr>
        <w:t xml:space="preserve"> application was dismissed on the return date</w:t>
      </w:r>
      <w:r w:rsidR="00020AFC">
        <w:rPr>
          <w:rFonts w:ascii="Arial" w:hAnsi="Arial" w:cs="Arial"/>
          <w:lang w:val="en-US"/>
        </w:rPr>
        <w:t>,</w:t>
      </w:r>
      <w:r w:rsidR="004E3437">
        <w:rPr>
          <w:rFonts w:ascii="Arial" w:hAnsi="Arial" w:cs="Arial"/>
          <w:lang w:val="en-US"/>
        </w:rPr>
        <w:t xml:space="preserve"> and the effect was that there </w:t>
      </w:r>
      <w:r w:rsidR="00E94F78">
        <w:rPr>
          <w:rFonts w:ascii="Arial" w:hAnsi="Arial" w:cs="Arial"/>
          <w:lang w:val="en-US"/>
        </w:rPr>
        <w:t>wa</w:t>
      </w:r>
      <w:r w:rsidR="004E3437">
        <w:rPr>
          <w:rFonts w:ascii="Arial" w:hAnsi="Arial" w:cs="Arial"/>
          <w:lang w:val="en-US"/>
        </w:rPr>
        <w:t>s no interim or final order.</w:t>
      </w:r>
      <w:r w:rsidR="00E94F78">
        <w:rPr>
          <w:rFonts w:ascii="Arial" w:hAnsi="Arial" w:cs="Arial"/>
          <w:lang w:val="en-US"/>
        </w:rPr>
        <w:t xml:space="preserve"> Although the authorities are sound on the principles referred to above, they do not assist </w:t>
      </w:r>
      <w:proofErr w:type="spellStart"/>
      <w:r w:rsidR="00E94F78">
        <w:rPr>
          <w:rFonts w:ascii="Arial" w:hAnsi="Arial" w:cs="Arial"/>
          <w:lang w:val="en-US"/>
        </w:rPr>
        <w:t>Siyamba’s</w:t>
      </w:r>
      <w:proofErr w:type="spellEnd"/>
      <w:r w:rsidR="00E94F78">
        <w:rPr>
          <w:rFonts w:ascii="Arial" w:hAnsi="Arial" w:cs="Arial"/>
          <w:lang w:val="en-US"/>
        </w:rPr>
        <w:t xml:space="preserve"> arguments. That is illustrated by the court’s findings below.   </w:t>
      </w:r>
    </w:p>
    <w:p w14:paraId="0C2D607B" w14:textId="77777777" w:rsidR="004E3437" w:rsidRPr="004E3437" w:rsidRDefault="004E3437" w:rsidP="004E3437">
      <w:pPr>
        <w:pStyle w:val="ListParagraph"/>
        <w:rPr>
          <w:rFonts w:ascii="Arial" w:hAnsi="Arial" w:cs="Arial"/>
          <w:lang w:val="en-US"/>
        </w:rPr>
      </w:pPr>
    </w:p>
    <w:p w14:paraId="575CEF0F" w14:textId="385EA6D7" w:rsidR="00E94F78" w:rsidRDefault="0095151E" w:rsidP="00E94F78">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Siyamba’s</w:t>
      </w:r>
      <w:proofErr w:type="spellEnd"/>
      <w:r>
        <w:rPr>
          <w:rFonts w:ascii="Arial" w:hAnsi="Arial" w:cs="Arial"/>
          <w:lang w:val="en-US"/>
        </w:rPr>
        <w:t xml:space="preserve"> counsel </w:t>
      </w:r>
      <w:r w:rsidR="00EF3919">
        <w:rPr>
          <w:rFonts w:ascii="Arial" w:hAnsi="Arial" w:cs="Arial"/>
          <w:lang w:val="en-US"/>
        </w:rPr>
        <w:t>disputes the</w:t>
      </w:r>
      <w:r>
        <w:rPr>
          <w:rFonts w:ascii="Arial" w:hAnsi="Arial" w:cs="Arial"/>
          <w:lang w:val="en-US"/>
        </w:rPr>
        <w:t xml:space="preserve"> </w:t>
      </w:r>
      <w:r w:rsidR="008764DD" w:rsidRPr="004E3437">
        <w:rPr>
          <w:rFonts w:ascii="Arial" w:hAnsi="Arial" w:cs="Arial"/>
          <w:lang w:val="en-US"/>
        </w:rPr>
        <w:t>submission that the two additional order</w:t>
      </w:r>
      <w:r w:rsidR="00020AFC">
        <w:rPr>
          <w:rFonts w:ascii="Arial" w:hAnsi="Arial" w:cs="Arial"/>
          <w:lang w:val="en-US"/>
        </w:rPr>
        <w:t>s</w:t>
      </w:r>
      <w:r>
        <w:rPr>
          <w:rFonts w:ascii="Arial" w:hAnsi="Arial" w:cs="Arial"/>
          <w:lang w:val="en-US"/>
        </w:rPr>
        <w:t xml:space="preserve"> in the 7 June 2022 order</w:t>
      </w:r>
      <w:r w:rsidR="008764DD" w:rsidRPr="004E3437">
        <w:rPr>
          <w:rFonts w:ascii="Arial" w:hAnsi="Arial" w:cs="Arial"/>
          <w:lang w:val="en-US"/>
        </w:rPr>
        <w:t xml:space="preserve"> qualif</w:t>
      </w:r>
      <w:r w:rsidR="00E94F78">
        <w:rPr>
          <w:rFonts w:ascii="Arial" w:hAnsi="Arial" w:cs="Arial"/>
          <w:lang w:val="en-US"/>
        </w:rPr>
        <w:t>ied</w:t>
      </w:r>
      <w:r w:rsidR="008764DD" w:rsidRPr="004E3437">
        <w:rPr>
          <w:rFonts w:ascii="Arial" w:hAnsi="Arial" w:cs="Arial"/>
          <w:lang w:val="en-US"/>
        </w:rPr>
        <w:t xml:space="preserve"> as a protection order</w:t>
      </w:r>
      <w:r>
        <w:rPr>
          <w:rFonts w:ascii="Arial" w:hAnsi="Arial" w:cs="Arial"/>
          <w:lang w:val="en-US"/>
        </w:rPr>
        <w:t xml:space="preserve">. </w:t>
      </w:r>
      <w:r w:rsidR="00EF3919">
        <w:rPr>
          <w:rFonts w:ascii="Arial" w:hAnsi="Arial" w:cs="Arial"/>
          <w:lang w:val="en-US"/>
        </w:rPr>
        <w:t>He</w:t>
      </w:r>
      <w:r>
        <w:rPr>
          <w:rFonts w:ascii="Arial" w:hAnsi="Arial" w:cs="Arial"/>
          <w:lang w:val="en-US"/>
        </w:rPr>
        <w:t xml:space="preserve"> </w:t>
      </w:r>
      <w:r w:rsidR="004E3437" w:rsidRPr="004E3437">
        <w:rPr>
          <w:rFonts w:ascii="Arial" w:hAnsi="Arial" w:cs="Arial"/>
          <w:lang w:val="en-US"/>
        </w:rPr>
        <w:t>argued that ‘</w:t>
      </w:r>
      <w:r w:rsidR="00020AFC">
        <w:rPr>
          <w:rFonts w:ascii="Arial" w:hAnsi="Arial" w:cs="Arial"/>
          <w:lang w:val="en-US"/>
        </w:rPr>
        <w:t>a</w:t>
      </w:r>
      <w:r w:rsidR="004E3437" w:rsidRPr="004E3437">
        <w:rPr>
          <w:rFonts w:ascii="Arial" w:hAnsi="Arial" w:cs="Arial"/>
          <w:lang w:val="en-US"/>
        </w:rPr>
        <w:t xml:space="preserve"> grant’ can only operate in </w:t>
      </w:r>
      <w:proofErr w:type="spellStart"/>
      <w:r w:rsidR="004E3437" w:rsidRPr="004E3437">
        <w:rPr>
          <w:rFonts w:ascii="Arial" w:hAnsi="Arial" w:cs="Arial"/>
          <w:lang w:val="en-US"/>
        </w:rPr>
        <w:t>favour</w:t>
      </w:r>
      <w:proofErr w:type="spellEnd"/>
      <w:r w:rsidR="004E3437" w:rsidRPr="004E3437">
        <w:rPr>
          <w:rFonts w:ascii="Arial" w:hAnsi="Arial" w:cs="Arial"/>
          <w:lang w:val="en-US"/>
        </w:rPr>
        <w:t xml:space="preserve"> of </w:t>
      </w:r>
      <w:r>
        <w:rPr>
          <w:rFonts w:ascii="Arial" w:hAnsi="Arial" w:cs="Arial"/>
          <w:lang w:val="en-US"/>
        </w:rPr>
        <w:t>David</w:t>
      </w:r>
      <w:r w:rsidR="004E3437" w:rsidRPr="004E3437">
        <w:rPr>
          <w:rFonts w:ascii="Arial" w:hAnsi="Arial" w:cs="Arial"/>
          <w:lang w:val="en-US"/>
        </w:rPr>
        <w:t xml:space="preserve"> </w:t>
      </w:r>
      <w:r>
        <w:rPr>
          <w:rFonts w:ascii="Arial" w:hAnsi="Arial" w:cs="Arial"/>
          <w:lang w:val="en-US"/>
        </w:rPr>
        <w:t xml:space="preserve">because </w:t>
      </w:r>
      <w:proofErr w:type="spellStart"/>
      <w:r>
        <w:rPr>
          <w:rFonts w:ascii="Arial" w:hAnsi="Arial" w:cs="Arial"/>
          <w:lang w:val="en-US"/>
        </w:rPr>
        <w:t>Siyamba</w:t>
      </w:r>
      <w:proofErr w:type="spellEnd"/>
      <w:r>
        <w:rPr>
          <w:rFonts w:ascii="Arial" w:hAnsi="Arial" w:cs="Arial"/>
          <w:lang w:val="en-US"/>
        </w:rPr>
        <w:t xml:space="preserve"> </w:t>
      </w:r>
      <w:r w:rsidR="004E3437" w:rsidRPr="004E3437">
        <w:rPr>
          <w:rFonts w:ascii="Arial" w:hAnsi="Arial" w:cs="Arial"/>
          <w:lang w:val="en-US"/>
        </w:rPr>
        <w:t xml:space="preserve">did not bring any application seeking an order against </w:t>
      </w:r>
      <w:r>
        <w:rPr>
          <w:rFonts w:ascii="Arial" w:hAnsi="Arial" w:cs="Arial"/>
          <w:lang w:val="en-US"/>
        </w:rPr>
        <w:t>David</w:t>
      </w:r>
      <w:r w:rsidR="004E3437" w:rsidRPr="004E3437">
        <w:rPr>
          <w:rFonts w:ascii="Arial" w:hAnsi="Arial" w:cs="Arial"/>
          <w:lang w:val="en-US"/>
        </w:rPr>
        <w:t xml:space="preserve">. It </w:t>
      </w:r>
      <w:r>
        <w:rPr>
          <w:rFonts w:ascii="Arial" w:hAnsi="Arial" w:cs="Arial"/>
          <w:lang w:val="en-US"/>
        </w:rPr>
        <w:t xml:space="preserve">was </w:t>
      </w:r>
      <w:r w:rsidR="004E3437" w:rsidRPr="004E3437">
        <w:rPr>
          <w:rFonts w:ascii="Arial" w:hAnsi="Arial" w:cs="Arial"/>
          <w:lang w:val="en-US"/>
        </w:rPr>
        <w:t xml:space="preserve">argued </w:t>
      </w:r>
      <w:r w:rsidR="00EF3919">
        <w:rPr>
          <w:rFonts w:ascii="Arial" w:hAnsi="Arial" w:cs="Arial"/>
          <w:lang w:val="en-US"/>
        </w:rPr>
        <w:t xml:space="preserve">that </w:t>
      </w:r>
      <w:r w:rsidR="004E3437" w:rsidRPr="004E3437">
        <w:rPr>
          <w:rFonts w:ascii="Arial" w:hAnsi="Arial" w:cs="Arial"/>
          <w:lang w:val="en-US"/>
        </w:rPr>
        <w:t xml:space="preserve">the fact that </w:t>
      </w:r>
      <w:r w:rsidR="00020AFC">
        <w:rPr>
          <w:rFonts w:ascii="Arial" w:hAnsi="Arial" w:cs="Arial"/>
          <w:lang w:val="en-US"/>
        </w:rPr>
        <w:t>those two orders were</w:t>
      </w:r>
      <w:r w:rsidR="004E3437" w:rsidRPr="004E3437">
        <w:rPr>
          <w:rFonts w:ascii="Arial" w:hAnsi="Arial" w:cs="Arial"/>
          <w:lang w:val="en-US"/>
        </w:rPr>
        <w:t xml:space="preserve"> made d</w:t>
      </w:r>
      <w:r w:rsidR="00E94F78">
        <w:rPr>
          <w:rFonts w:ascii="Arial" w:hAnsi="Arial" w:cs="Arial"/>
          <w:lang w:val="en-US"/>
        </w:rPr>
        <w:t>id</w:t>
      </w:r>
      <w:r w:rsidR="004E3437" w:rsidRPr="004E3437">
        <w:rPr>
          <w:rFonts w:ascii="Arial" w:hAnsi="Arial" w:cs="Arial"/>
          <w:lang w:val="en-US"/>
        </w:rPr>
        <w:t xml:space="preserve"> not make </w:t>
      </w:r>
      <w:r w:rsidR="00E94F78">
        <w:rPr>
          <w:rFonts w:ascii="Arial" w:hAnsi="Arial" w:cs="Arial"/>
          <w:lang w:val="en-US"/>
        </w:rPr>
        <w:t>the order</w:t>
      </w:r>
      <w:r w:rsidR="004E3437" w:rsidRPr="004E3437">
        <w:rPr>
          <w:rFonts w:ascii="Arial" w:hAnsi="Arial" w:cs="Arial"/>
          <w:lang w:val="en-US"/>
        </w:rPr>
        <w:t xml:space="preserve"> a final order</w:t>
      </w:r>
      <w:r w:rsidR="00EF3919">
        <w:rPr>
          <w:rFonts w:ascii="Arial" w:hAnsi="Arial" w:cs="Arial"/>
          <w:lang w:val="en-US"/>
        </w:rPr>
        <w:t xml:space="preserve"> because</w:t>
      </w:r>
      <w:r w:rsidR="004E3437" w:rsidRPr="004E3437">
        <w:rPr>
          <w:rFonts w:ascii="Arial" w:hAnsi="Arial" w:cs="Arial"/>
          <w:lang w:val="en-US"/>
        </w:rPr>
        <w:t xml:space="preserve"> a </w:t>
      </w:r>
      <w:r w:rsidR="00FF6E18" w:rsidRPr="004E3437">
        <w:rPr>
          <w:rFonts w:ascii="Arial" w:hAnsi="Arial" w:cs="Arial"/>
          <w:lang w:val="en-US"/>
        </w:rPr>
        <w:t xml:space="preserve">final </w:t>
      </w:r>
      <w:r w:rsidR="004E3437" w:rsidRPr="004E3437">
        <w:rPr>
          <w:rFonts w:ascii="Arial" w:hAnsi="Arial" w:cs="Arial"/>
          <w:lang w:val="en-US"/>
        </w:rPr>
        <w:t xml:space="preserve">order </w:t>
      </w:r>
      <w:r w:rsidR="00FF6E18" w:rsidRPr="004E3437">
        <w:rPr>
          <w:rFonts w:ascii="Arial" w:hAnsi="Arial" w:cs="Arial"/>
          <w:lang w:val="en-US"/>
        </w:rPr>
        <w:t>can only be made foll</w:t>
      </w:r>
      <w:r w:rsidR="004E3437" w:rsidRPr="004E3437">
        <w:rPr>
          <w:rFonts w:ascii="Arial" w:hAnsi="Arial" w:cs="Arial"/>
          <w:lang w:val="en-US"/>
        </w:rPr>
        <w:t>owing</w:t>
      </w:r>
      <w:r w:rsidR="00FF6E18" w:rsidRPr="004E3437">
        <w:rPr>
          <w:rFonts w:ascii="Arial" w:hAnsi="Arial" w:cs="Arial"/>
          <w:lang w:val="en-US"/>
        </w:rPr>
        <w:t xml:space="preserve"> confirmation of </w:t>
      </w:r>
      <w:r w:rsidR="004E3437" w:rsidRPr="004E3437">
        <w:rPr>
          <w:rFonts w:ascii="Arial" w:hAnsi="Arial" w:cs="Arial"/>
          <w:lang w:val="en-US"/>
        </w:rPr>
        <w:t xml:space="preserve">a </w:t>
      </w:r>
      <w:r w:rsidR="00FF6E18" w:rsidRPr="004E3437">
        <w:rPr>
          <w:rFonts w:ascii="Arial" w:hAnsi="Arial" w:cs="Arial"/>
          <w:lang w:val="en-US"/>
        </w:rPr>
        <w:t xml:space="preserve">rule nisi in </w:t>
      </w:r>
      <w:r w:rsidR="004E3437" w:rsidRPr="004E3437">
        <w:rPr>
          <w:rFonts w:ascii="Arial" w:hAnsi="Arial" w:cs="Arial"/>
          <w:lang w:val="en-US"/>
        </w:rPr>
        <w:t xml:space="preserve">the </w:t>
      </w:r>
      <w:r w:rsidR="00FF6E18" w:rsidRPr="004E3437">
        <w:rPr>
          <w:rFonts w:ascii="Arial" w:hAnsi="Arial" w:cs="Arial"/>
          <w:lang w:val="en-US"/>
        </w:rPr>
        <w:t xml:space="preserve">form of </w:t>
      </w:r>
      <w:r w:rsidR="004E3437" w:rsidRPr="004E3437">
        <w:rPr>
          <w:rFonts w:ascii="Arial" w:hAnsi="Arial" w:cs="Arial"/>
          <w:lang w:val="en-US"/>
        </w:rPr>
        <w:t xml:space="preserve">an </w:t>
      </w:r>
      <w:r w:rsidR="00FF6E18" w:rsidRPr="004E3437">
        <w:rPr>
          <w:rFonts w:ascii="Arial" w:hAnsi="Arial" w:cs="Arial"/>
          <w:lang w:val="en-US"/>
        </w:rPr>
        <w:t>interim order</w:t>
      </w:r>
      <w:r w:rsidR="00020AFC">
        <w:rPr>
          <w:rFonts w:ascii="Arial" w:hAnsi="Arial" w:cs="Arial"/>
          <w:lang w:val="en-US"/>
        </w:rPr>
        <w:t>,</w:t>
      </w:r>
      <w:r w:rsidR="004E3437" w:rsidRPr="004E3437">
        <w:rPr>
          <w:rFonts w:ascii="Arial" w:hAnsi="Arial" w:cs="Arial"/>
          <w:lang w:val="en-US"/>
        </w:rPr>
        <w:t xml:space="preserve"> and </w:t>
      </w:r>
      <w:r>
        <w:rPr>
          <w:rFonts w:ascii="Arial" w:hAnsi="Arial" w:cs="Arial"/>
          <w:lang w:val="en-US"/>
        </w:rPr>
        <w:t>the discharge of a rule nisi can never grant relief</w:t>
      </w:r>
      <w:r w:rsidR="004E3437" w:rsidRPr="004E3437">
        <w:rPr>
          <w:rFonts w:ascii="Arial" w:hAnsi="Arial" w:cs="Arial"/>
          <w:lang w:val="en-US"/>
        </w:rPr>
        <w:t>.</w:t>
      </w:r>
    </w:p>
    <w:p w14:paraId="234BF428" w14:textId="77777777" w:rsidR="00E94F78" w:rsidRPr="00E94F78" w:rsidRDefault="00E94F78" w:rsidP="00E94F78">
      <w:pPr>
        <w:pStyle w:val="ListParagraph"/>
        <w:rPr>
          <w:rFonts w:ascii="Arial" w:hAnsi="Arial" w:cs="Arial"/>
          <w:lang w:val="en-US"/>
        </w:rPr>
      </w:pPr>
    </w:p>
    <w:p w14:paraId="0D436F72" w14:textId="074F2BB3" w:rsidR="00E94F78" w:rsidRDefault="00EF3919" w:rsidP="00E94F7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As to the argument made by David’s </w:t>
      </w:r>
      <w:r w:rsidR="00895FB2">
        <w:rPr>
          <w:rFonts w:ascii="Arial" w:hAnsi="Arial" w:cs="Arial"/>
          <w:lang w:val="en-US"/>
        </w:rPr>
        <w:t>counsel</w:t>
      </w:r>
      <w:r w:rsidR="00FF6E18" w:rsidRPr="00E94F78">
        <w:rPr>
          <w:rFonts w:ascii="Arial" w:hAnsi="Arial" w:cs="Arial"/>
          <w:lang w:val="en-US"/>
        </w:rPr>
        <w:t xml:space="preserve"> that the </w:t>
      </w:r>
      <w:r w:rsidR="00E94F78">
        <w:rPr>
          <w:rFonts w:ascii="Arial" w:hAnsi="Arial" w:cs="Arial"/>
          <w:lang w:val="en-US"/>
        </w:rPr>
        <w:t>7</w:t>
      </w:r>
      <w:r w:rsidR="00FF6E18" w:rsidRPr="00E94F78">
        <w:rPr>
          <w:rFonts w:ascii="Arial" w:hAnsi="Arial" w:cs="Arial"/>
          <w:lang w:val="en-US"/>
        </w:rPr>
        <w:t xml:space="preserve"> June 2022 order was an order made in terms of s 12(16) at the conclusion of an enquiry and </w:t>
      </w:r>
      <w:r>
        <w:rPr>
          <w:rFonts w:ascii="Arial" w:hAnsi="Arial" w:cs="Arial"/>
          <w:lang w:val="en-US"/>
        </w:rPr>
        <w:t xml:space="preserve">accordingly a final protection order </w:t>
      </w:r>
      <w:r w:rsidR="00FF6E18" w:rsidRPr="00E94F78">
        <w:rPr>
          <w:rFonts w:ascii="Arial" w:hAnsi="Arial" w:cs="Arial"/>
          <w:lang w:val="en-US"/>
        </w:rPr>
        <w:t>by virtue of s 12(17)</w:t>
      </w:r>
      <w:r w:rsidR="00E94F78">
        <w:rPr>
          <w:rFonts w:ascii="Arial" w:hAnsi="Arial" w:cs="Arial"/>
          <w:lang w:val="en-US"/>
        </w:rPr>
        <w:t>,</w:t>
      </w:r>
      <w:r w:rsidR="00FF6E18" w:rsidRPr="00E94F78">
        <w:rPr>
          <w:rFonts w:ascii="Arial" w:hAnsi="Arial" w:cs="Arial"/>
          <w:lang w:val="en-US"/>
        </w:rPr>
        <w:t xml:space="preserve"> </w:t>
      </w:r>
      <w:r w:rsidR="0095151E" w:rsidRPr="00E94F78">
        <w:rPr>
          <w:rFonts w:ascii="Arial" w:hAnsi="Arial" w:cs="Arial"/>
          <w:lang w:val="en-US"/>
        </w:rPr>
        <w:t>it was</w:t>
      </w:r>
      <w:r w:rsidR="00E5226A" w:rsidRPr="00E94F78">
        <w:rPr>
          <w:rFonts w:ascii="Arial" w:hAnsi="Arial" w:cs="Arial"/>
          <w:lang w:val="en-US"/>
        </w:rPr>
        <w:t xml:space="preserve"> submitted that the application to confirm the interim order was dismissed</w:t>
      </w:r>
      <w:r w:rsidR="00E94F78">
        <w:rPr>
          <w:rFonts w:ascii="Arial" w:hAnsi="Arial" w:cs="Arial"/>
          <w:lang w:val="en-US"/>
        </w:rPr>
        <w:t xml:space="preserve">, and </w:t>
      </w:r>
      <w:r>
        <w:rPr>
          <w:rFonts w:ascii="Arial" w:hAnsi="Arial" w:cs="Arial"/>
          <w:lang w:val="en-US"/>
        </w:rPr>
        <w:t xml:space="preserve">that </w:t>
      </w:r>
      <w:r w:rsidR="00E94F78">
        <w:rPr>
          <w:rFonts w:ascii="Arial" w:hAnsi="Arial" w:cs="Arial"/>
          <w:lang w:val="en-US"/>
        </w:rPr>
        <w:t>the interim order was cancelled</w:t>
      </w:r>
      <w:r w:rsidR="00E5226A" w:rsidRPr="00E94F78">
        <w:rPr>
          <w:rFonts w:ascii="Arial" w:hAnsi="Arial" w:cs="Arial"/>
          <w:lang w:val="en-US"/>
        </w:rPr>
        <w:t>.</w:t>
      </w:r>
    </w:p>
    <w:p w14:paraId="6F172E52" w14:textId="77777777" w:rsidR="00E94F78" w:rsidRPr="00E94F78" w:rsidRDefault="00E94F78" w:rsidP="00E94F78">
      <w:pPr>
        <w:pStyle w:val="ListParagraph"/>
        <w:rPr>
          <w:rFonts w:ascii="Arial" w:hAnsi="Arial" w:cs="Arial"/>
          <w:lang w:val="en-US"/>
        </w:rPr>
      </w:pPr>
    </w:p>
    <w:p w14:paraId="4CF2FC9A" w14:textId="77777777" w:rsidR="00E94F78" w:rsidRDefault="0095151E" w:rsidP="00E41A5F">
      <w:pPr>
        <w:pStyle w:val="ListParagraph"/>
        <w:numPr>
          <w:ilvl w:val="0"/>
          <w:numId w:val="2"/>
        </w:numPr>
        <w:spacing w:line="360" w:lineRule="auto"/>
        <w:ind w:left="0" w:firstLine="0"/>
        <w:jc w:val="both"/>
        <w:rPr>
          <w:rFonts w:ascii="Arial" w:hAnsi="Arial" w:cs="Arial"/>
          <w:lang w:val="en-US"/>
        </w:rPr>
      </w:pPr>
      <w:proofErr w:type="spellStart"/>
      <w:r w:rsidRPr="00E94F78">
        <w:rPr>
          <w:rFonts w:ascii="Arial" w:hAnsi="Arial" w:cs="Arial"/>
          <w:lang w:val="en-US"/>
        </w:rPr>
        <w:t>Siyamba</w:t>
      </w:r>
      <w:proofErr w:type="spellEnd"/>
      <w:r w:rsidR="004E1864" w:rsidRPr="00E94F78">
        <w:rPr>
          <w:rFonts w:ascii="Arial" w:hAnsi="Arial" w:cs="Arial"/>
          <w:lang w:val="en-US"/>
        </w:rPr>
        <w:t xml:space="preserve"> prays that the appeal be dismissed with costs.</w:t>
      </w:r>
    </w:p>
    <w:p w14:paraId="20D17930" w14:textId="77777777" w:rsidR="00E94F78" w:rsidRPr="00E94F78" w:rsidRDefault="00E94F78" w:rsidP="00E94F78">
      <w:pPr>
        <w:pStyle w:val="ListParagraph"/>
        <w:rPr>
          <w:rFonts w:ascii="Arial" w:hAnsi="Arial" w:cs="Arial"/>
          <w:u w:val="single"/>
          <w:lang w:val="en-US"/>
        </w:rPr>
      </w:pPr>
    </w:p>
    <w:p w14:paraId="3496CB58" w14:textId="77777777" w:rsidR="00E94F78" w:rsidRDefault="00B13979" w:rsidP="00E94F78">
      <w:pPr>
        <w:pStyle w:val="ListParagraph"/>
        <w:spacing w:line="360" w:lineRule="auto"/>
        <w:ind w:left="0"/>
        <w:jc w:val="both"/>
        <w:rPr>
          <w:rFonts w:ascii="Arial" w:hAnsi="Arial" w:cs="Arial"/>
          <w:lang w:val="en-US"/>
        </w:rPr>
      </w:pPr>
      <w:r w:rsidRPr="00E94F78">
        <w:rPr>
          <w:rFonts w:ascii="Arial" w:hAnsi="Arial" w:cs="Arial"/>
          <w:u w:val="single"/>
          <w:lang w:val="en-US"/>
        </w:rPr>
        <w:t xml:space="preserve">The </w:t>
      </w:r>
      <w:r w:rsidR="003C3F29" w:rsidRPr="00E94F78">
        <w:rPr>
          <w:rFonts w:ascii="Arial" w:hAnsi="Arial" w:cs="Arial"/>
          <w:u w:val="single"/>
          <w:lang w:val="en-US"/>
        </w:rPr>
        <w:t xml:space="preserve">appeal </w:t>
      </w:r>
      <w:r w:rsidRPr="00E94F78">
        <w:rPr>
          <w:rFonts w:ascii="Arial" w:hAnsi="Arial" w:cs="Arial"/>
          <w:u w:val="single"/>
          <w:lang w:val="en-US"/>
        </w:rPr>
        <w:t>court’s power</w:t>
      </w:r>
    </w:p>
    <w:p w14:paraId="1803CD9B" w14:textId="77777777" w:rsidR="00E94F78" w:rsidRPr="00E94F78" w:rsidRDefault="00E94F78" w:rsidP="00E94F78">
      <w:pPr>
        <w:pStyle w:val="ListParagraph"/>
        <w:rPr>
          <w:rFonts w:ascii="Arial" w:hAnsi="Arial" w:cs="Arial"/>
          <w:lang w:val="en-US"/>
        </w:rPr>
      </w:pPr>
    </w:p>
    <w:p w14:paraId="3BBF4B25" w14:textId="1476D8DB" w:rsidR="00E41A5F" w:rsidRPr="00E94F78" w:rsidRDefault="00E41A5F" w:rsidP="00E94F78">
      <w:pPr>
        <w:pStyle w:val="ListParagraph"/>
        <w:numPr>
          <w:ilvl w:val="0"/>
          <w:numId w:val="2"/>
        </w:numPr>
        <w:spacing w:line="360" w:lineRule="auto"/>
        <w:ind w:left="0" w:firstLine="0"/>
        <w:jc w:val="both"/>
        <w:rPr>
          <w:rFonts w:ascii="Arial" w:hAnsi="Arial" w:cs="Arial"/>
          <w:lang w:val="en-US"/>
        </w:rPr>
      </w:pPr>
      <w:r w:rsidRPr="00E94F78">
        <w:rPr>
          <w:rFonts w:ascii="Arial" w:hAnsi="Arial" w:cs="Arial"/>
          <w:lang w:val="en-US"/>
        </w:rPr>
        <w:t xml:space="preserve">The court </w:t>
      </w:r>
      <w:r w:rsidR="00E94F78">
        <w:rPr>
          <w:rFonts w:ascii="Arial" w:hAnsi="Arial" w:cs="Arial"/>
          <w:lang w:val="en-US"/>
        </w:rPr>
        <w:t xml:space="preserve">firstly deals with </w:t>
      </w:r>
      <w:r w:rsidRPr="00E94F78">
        <w:rPr>
          <w:rFonts w:ascii="Arial" w:hAnsi="Arial" w:cs="Arial"/>
          <w:lang w:val="en-US"/>
        </w:rPr>
        <w:t>its powers on appeal.</w:t>
      </w:r>
    </w:p>
    <w:p w14:paraId="34B293B9" w14:textId="77777777" w:rsidR="00E41A5F" w:rsidRPr="00195DE0" w:rsidRDefault="00E41A5F" w:rsidP="00E41A5F">
      <w:pPr>
        <w:pStyle w:val="ListParagraph"/>
        <w:ind w:left="0"/>
        <w:rPr>
          <w:rFonts w:ascii="Arial" w:eastAsia="Calibri" w:hAnsi="Arial" w:cs="Arial"/>
          <w:bCs/>
        </w:rPr>
      </w:pPr>
    </w:p>
    <w:p w14:paraId="71E23D09" w14:textId="025386B5" w:rsidR="00FC5BB2" w:rsidRDefault="00B13979" w:rsidP="00E41A5F">
      <w:pPr>
        <w:pStyle w:val="ListParagraph"/>
        <w:numPr>
          <w:ilvl w:val="0"/>
          <w:numId w:val="2"/>
        </w:numPr>
        <w:spacing w:line="360" w:lineRule="auto"/>
        <w:ind w:left="0" w:firstLine="0"/>
        <w:jc w:val="both"/>
        <w:rPr>
          <w:rFonts w:ascii="Arial" w:hAnsi="Arial" w:cs="Arial"/>
          <w:lang w:val="en-US"/>
        </w:rPr>
      </w:pPr>
      <w:r w:rsidRPr="00E41A5F">
        <w:rPr>
          <w:rFonts w:ascii="Arial" w:hAnsi="Arial" w:cs="Arial"/>
          <w:lang w:val="en-US"/>
        </w:rPr>
        <w:lastRenderedPageBreak/>
        <w:t xml:space="preserve">Section 18 of the Act enabled </w:t>
      </w:r>
      <w:r w:rsidR="00E94F78">
        <w:rPr>
          <w:rFonts w:ascii="Arial" w:hAnsi="Arial" w:cs="Arial"/>
          <w:lang w:val="en-US"/>
        </w:rPr>
        <w:t>David</w:t>
      </w:r>
      <w:r w:rsidRPr="00E41A5F">
        <w:rPr>
          <w:rFonts w:ascii="Arial" w:hAnsi="Arial" w:cs="Arial"/>
          <w:lang w:val="en-US"/>
        </w:rPr>
        <w:t xml:space="preserve"> to appeal t</w:t>
      </w:r>
      <w:r w:rsidR="00E44100">
        <w:rPr>
          <w:rFonts w:ascii="Arial" w:hAnsi="Arial" w:cs="Arial"/>
          <w:lang w:val="en-US"/>
        </w:rPr>
        <w:t>o the court in accordance with C</w:t>
      </w:r>
      <w:r w:rsidRPr="00E41A5F">
        <w:rPr>
          <w:rFonts w:ascii="Arial" w:hAnsi="Arial" w:cs="Arial"/>
          <w:lang w:val="en-US"/>
        </w:rPr>
        <w:t>hapter XI of the Magistrates’ Courts Act 32 of 1944</w:t>
      </w:r>
      <w:r w:rsidR="00FC5BB2">
        <w:rPr>
          <w:rFonts w:ascii="Arial" w:hAnsi="Arial" w:cs="Arial"/>
          <w:lang w:val="en-US"/>
        </w:rPr>
        <w:t xml:space="preserve"> (the Magistrates’ Courts Act)</w:t>
      </w:r>
      <w:r w:rsidR="00E41A5F">
        <w:rPr>
          <w:rFonts w:ascii="Arial" w:hAnsi="Arial" w:cs="Arial"/>
          <w:lang w:val="en-US"/>
        </w:rPr>
        <w:t xml:space="preserve">. </w:t>
      </w:r>
      <w:r w:rsidR="00FC5BB2">
        <w:rPr>
          <w:rFonts w:ascii="Arial" w:hAnsi="Arial" w:cs="Arial"/>
          <w:lang w:val="en-US"/>
        </w:rPr>
        <w:t>Section</w:t>
      </w:r>
      <w:r w:rsidR="00F97989" w:rsidRPr="00E41A5F">
        <w:rPr>
          <w:rFonts w:ascii="Arial" w:hAnsi="Arial" w:cs="Arial"/>
          <w:lang w:val="en-US"/>
        </w:rPr>
        <w:t xml:space="preserve"> 8</w:t>
      </w:r>
      <w:r w:rsidR="00FC5BB2">
        <w:rPr>
          <w:rFonts w:ascii="Arial" w:hAnsi="Arial" w:cs="Arial"/>
          <w:lang w:val="en-US"/>
        </w:rPr>
        <w:t>7</w:t>
      </w:r>
      <w:r w:rsidR="00F97989" w:rsidRPr="00E41A5F">
        <w:rPr>
          <w:rFonts w:ascii="Arial" w:hAnsi="Arial" w:cs="Arial"/>
          <w:lang w:val="en-US"/>
        </w:rPr>
        <w:t xml:space="preserve"> </w:t>
      </w:r>
      <w:r w:rsidR="00E41A5F">
        <w:rPr>
          <w:rFonts w:ascii="Arial" w:hAnsi="Arial" w:cs="Arial"/>
          <w:lang w:val="en-US"/>
        </w:rPr>
        <w:t xml:space="preserve">of that Act </w:t>
      </w:r>
      <w:r w:rsidR="00FC5BB2">
        <w:rPr>
          <w:rFonts w:ascii="Arial" w:hAnsi="Arial" w:cs="Arial"/>
          <w:lang w:val="en-US"/>
        </w:rPr>
        <w:t>provides that the</w:t>
      </w:r>
      <w:r w:rsidR="00F97989" w:rsidRPr="00E41A5F">
        <w:rPr>
          <w:rFonts w:ascii="Arial" w:hAnsi="Arial" w:cs="Arial"/>
          <w:lang w:val="en-US"/>
        </w:rPr>
        <w:t xml:space="preserve"> court</w:t>
      </w:r>
      <w:r w:rsidR="00FC5BB2">
        <w:rPr>
          <w:rFonts w:ascii="Arial" w:hAnsi="Arial" w:cs="Arial"/>
          <w:lang w:val="en-US"/>
        </w:rPr>
        <w:t xml:space="preserve"> of appeal may:</w:t>
      </w:r>
    </w:p>
    <w:p w14:paraId="0F4C7AE8" w14:textId="77777777" w:rsidR="00FC5BB2" w:rsidRPr="00FC5BB2" w:rsidRDefault="00FC5BB2" w:rsidP="00FC5BB2">
      <w:pPr>
        <w:pStyle w:val="ListParagraph"/>
        <w:rPr>
          <w:rFonts w:ascii="Arial" w:hAnsi="Arial" w:cs="Arial"/>
          <w:lang w:val="en-US"/>
        </w:rPr>
      </w:pPr>
    </w:p>
    <w:p w14:paraId="7966AD1C" w14:textId="7F171688" w:rsidR="00FC5BB2" w:rsidRPr="00FC5BB2" w:rsidRDefault="00FC5BB2" w:rsidP="00FC5BB2">
      <w:pPr>
        <w:pStyle w:val="ListParagraph"/>
        <w:spacing w:line="360" w:lineRule="auto"/>
        <w:ind w:left="0" w:firstLine="720"/>
        <w:jc w:val="both"/>
        <w:rPr>
          <w:rFonts w:ascii="Arial" w:hAnsi="Arial" w:cs="Arial"/>
          <w:sz w:val="22"/>
          <w:szCs w:val="22"/>
          <w:lang w:val="en-US"/>
        </w:rPr>
      </w:pPr>
      <w:r w:rsidRPr="00FC5BB2">
        <w:rPr>
          <w:rFonts w:ascii="Arial" w:hAnsi="Arial" w:cs="Arial"/>
          <w:sz w:val="22"/>
          <w:szCs w:val="22"/>
          <w:lang w:val="en-US"/>
        </w:rPr>
        <w:t>‘(</w:t>
      </w:r>
      <w:proofErr w:type="gramStart"/>
      <w:r w:rsidRPr="00FC5BB2">
        <w:rPr>
          <w:rFonts w:ascii="Arial" w:hAnsi="Arial" w:cs="Arial"/>
          <w:sz w:val="22"/>
          <w:szCs w:val="22"/>
          <w:lang w:val="en-US"/>
        </w:rPr>
        <w:t>a</w:t>
      </w:r>
      <w:proofErr w:type="gramEnd"/>
      <w:r w:rsidRPr="00FC5BB2">
        <w:rPr>
          <w:rFonts w:ascii="Arial" w:hAnsi="Arial" w:cs="Arial"/>
          <w:sz w:val="22"/>
          <w:szCs w:val="22"/>
          <w:lang w:val="en-US"/>
        </w:rPr>
        <w:t>)</w:t>
      </w:r>
      <w:r w:rsidRPr="00FC5BB2">
        <w:rPr>
          <w:rFonts w:ascii="Arial" w:hAnsi="Arial" w:cs="Arial"/>
          <w:sz w:val="22"/>
          <w:szCs w:val="22"/>
          <w:lang w:val="en-US"/>
        </w:rPr>
        <w:tab/>
        <w:t>confirm, vary or reverse the judgment appealed from, as justice may require;</w:t>
      </w:r>
    </w:p>
    <w:p w14:paraId="18BD804F" w14:textId="77777777" w:rsidR="00FC5BB2" w:rsidRDefault="00FC5BB2" w:rsidP="00FC5BB2">
      <w:pPr>
        <w:pStyle w:val="ListParagraph"/>
        <w:spacing w:line="360" w:lineRule="auto"/>
        <w:ind w:left="0"/>
        <w:jc w:val="both"/>
        <w:rPr>
          <w:rFonts w:ascii="Arial" w:hAnsi="Arial" w:cs="Arial"/>
          <w:sz w:val="22"/>
          <w:szCs w:val="22"/>
          <w:lang w:val="en-US"/>
        </w:rPr>
      </w:pPr>
    </w:p>
    <w:p w14:paraId="730BFAF6" w14:textId="2466D9C7" w:rsidR="00FC5BB2" w:rsidRPr="00FC5BB2" w:rsidRDefault="00FC5BB2" w:rsidP="00FC5BB2">
      <w:pPr>
        <w:pStyle w:val="ListParagraph"/>
        <w:spacing w:line="360" w:lineRule="auto"/>
        <w:ind w:left="0"/>
        <w:jc w:val="both"/>
        <w:rPr>
          <w:rFonts w:ascii="Arial" w:hAnsi="Arial" w:cs="Arial"/>
          <w:sz w:val="22"/>
          <w:szCs w:val="22"/>
          <w:lang w:val="en-US"/>
        </w:rPr>
      </w:pPr>
      <w:r w:rsidRPr="00FC5BB2">
        <w:rPr>
          <w:rFonts w:ascii="Arial" w:hAnsi="Arial" w:cs="Arial"/>
          <w:sz w:val="22"/>
          <w:szCs w:val="22"/>
          <w:lang w:val="en-US"/>
        </w:rPr>
        <w:t>(b)</w:t>
      </w:r>
      <w:r w:rsidRPr="00FC5BB2">
        <w:rPr>
          <w:rFonts w:ascii="Arial" w:hAnsi="Arial" w:cs="Arial"/>
          <w:sz w:val="22"/>
          <w:szCs w:val="22"/>
          <w:lang w:val="en-US"/>
        </w:rPr>
        <w:tab/>
        <w:t>if the record does not furnish sufficient evidence or information for the determination of the appeal, remit the matter to the court from which the appeal is brought, with instructions in regard to the taking of further evidence or the setting out of further information;</w:t>
      </w:r>
    </w:p>
    <w:p w14:paraId="704C7DC5" w14:textId="77777777" w:rsidR="00FC5BB2" w:rsidRDefault="00FC5BB2" w:rsidP="00FC5BB2">
      <w:pPr>
        <w:pStyle w:val="ListParagraph"/>
        <w:spacing w:line="360" w:lineRule="auto"/>
        <w:ind w:left="0"/>
        <w:jc w:val="both"/>
        <w:rPr>
          <w:rFonts w:ascii="Arial" w:hAnsi="Arial" w:cs="Arial"/>
          <w:sz w:val="22"/>
          <w:szCs w:val="22"/>
          <w:lang w:val="en-US"/>
        </w:rPr>
      </w:pPr>
    </w:p>
    <w:p w14:paraId="2DA7AFDF" w14:textId="38F02872" w:rsidR="00FC5BB2" w:rsidRPr="00FC5BB2" w:rsidRDefault="00FC5BB2" w:rsidP="00FC5BB2">
      <w:pPr>
        <w:pStyle w:val="ListParagraph"/>
        <w:spacing w:line="360" w:lineRule="auto"/>
        <w:ind w:left="0"/>
        <w:jc w:val="both"/>
        <w:rPr>
          <w:rFonts w:ascii="Arial" w:hAnsi="Arial" w:cs="Arial"/>
          <w:sz w:val="22"/>
          <w:szCs w:val="22"/>
          <w:lang w:val="en-US"/>
        </w:rPr>
      </w:pPr>
      <w:r w:rsidRPr="00FC5BB2">
        <w:rPr>
          <w:rFonts w:ascii="Arial" w:hAnsi="Arial" w:cs="Arial"/>
          <w:sz w:val="22"/>
          <w:szCs w:val="22"/>
          <w:lang w:val="en-US"/>
        </w:rPr>
        <w:t>(c)</w:t>
      </w:r>
      <w:r w:rsidRPr="00FC5BB2">
        <w:rPr>
          <w:rFonts w:ascii="Arial" w:hAnsi="Arial" w:cs="Arial"/>
          <w:sz w:val="22"/>
          <w:szCs w:val="22"/>
          <w:lang w:val="en-US"/>
        </w:rPr>
        <w:tab/>
        <w:t>order the parties or either of them to produce at some convenient time in the court of appeal such further proof as shall to it seem necessary or desirable; or</w:t>
      </w:r>
    </w:p>
    <w:p w14:paraId="2E562879" w14:textId="77777777" w:rsidR="00FC5BB2" w:rsidRDefault="00FC5BB2" w:rsidP="00FC5BB2">
      <w:pPr>
        <w:pStyle w:val="ListParagraph"/>
        <w:spacing w:line="360" w:lineRule="auto"/>
        <w:ind w:left="0"/>
        <w:jc w:val="both"/>
        <w:rPr>
          <w:rFonts w:ascii="Arial" w:hAnsi="Arial" w:cs="Arial"/>
          <w:sz w:val="22"/>
          <w:szCs w:val="22"/>
          <w:lang w:val="en-US"/>
        </w:rPr>
      </w:pPr>
    </w:p>
    <w:p w14:paraId="1512C545" w14:textId="4181DF09" w:rsidR="00FC5BB2" w:rsidRPr="00FC5BB2" w:rsidRDefault="00FC5BB2" w:rsidP="00FC5BB2">
      <w:pPr>
        <w:pStyle w:val="ListParagraph"/>
        <w:spacing w:line="360" w:lineRule="auto"/>
        <w:ind w:left="0"/>
        <w:jc w:val="both"/>
        <w:rPr>
          <w:rFonts w:ascii="Arial" w:hAnsi="Arial" w:cs="Arial"/>
          <w:sz w:val="22"/>
          <w:szCs w:val="22"/>
          <w:lang w:val="en-US"/>
        </w:rPr>
      </w:pPr>
      <w:r w:rsidRPr="00FC5BB2">
        <w:rPr>
          <w:rFonts w:ascii="Arial" w:hAnsi="Arial" w:cs="Arial"/>
          <w:sz w:val="22"/>
          <w:szCs w:val="22"/>
          <w:lang w:val="en-US"/>
        </w:rPr>
        <w:t>(d)</w:t>
      </w:r>
      <w:r w:rsidRPr="00FC5BB2">
        <w:rPr>
          <w:rFonts w:ascii="Arial" w:hAnsi="Arial" w:cs="Arial"/>
          <w:sz w:val="22"/>
          <w:szCs w:val="22"/>
          <w:lang w:val="en-US"/>
        </w:rPr>
        <w:tab/>
      </w:r>
      <w:proofErr w:type="gramStart"/>
      <w:r w:rsidRPr="00FC5BB2">
        <w:rPr>
          <w:rFonts w:ascii="Arial" w:hAnsi="Arial" w:cs="Arial"/>
          <w:sz w:val="22"/>
          <w:szCs w:val="22"/>
          <w:lang w:val="en-US"/>
        </w:rPr>
        <w:t>take</w:t>
      </w:r>
      <w:proofErr w:type="gramEnd"/>
      <w:r w:rsidRPr="00FC5BB2">
        <w:rPr>
          <w:rFonts w:ascii="Arial" w:hAnsi="Arial" w:cs="Arial"/>
          <w:sz w:val="22"/>
          <w:szCs w:val="22"/>
          <w:lang w:val="en-US"/>
        </w:rPr>
        <w:t xml:space="preserve"> any other course which may lead to the just, speedy and as much as may be inexpensive settlement of the case; and</w:t>
      </w:r>
    </w:p>
    <w:p w14:paraId="624C6CC1" w14:textId="77777777" w:rsidR="00FC5BB2" w:rsidRDefault="00FC5BB2" w:rsidP="00FC5BB2">
      <w:pPr>
        <w:pStyle w:val="ListParagraph"/>
        <w:spacing w:line="360" w:lineRule="auto"/>
        <w:ind w:left="0"/>
        <w:jc w:val="both"/>
        <w:rPr>
          <w:rFonts w:ascii="Arial" w:hAnsi="Arial" w:cs="Arial"/>
          <w:sz w:val="22"/>
          <w:szCs w:val="22"/>
          <w:lang w:val="en-US"/>
        </w:rPr>
      </w:pPr>
    </w:p>
    <w:p w14:paraId="17C89ACA" w14:textId="3A5B7962" w:rsidR="00FC5BB2" w:rsidRDefault="00FC5BB2" w:rsidP="00FC5BB2">
      <w:pPr>
        <w:pStyle w:val="ListParagraph"/>
        <w:spacing w:line="360" w:lineRule="auto"/>
        <w:ind w:left="0"/>
        <w:jc w:val="both"/>
        <w:rPr>
          <w:rFonts w:ascii="Arial" w:hAnsi="Arial" w:cs="Arial"/>
          <w:lang w:val="en-US"/>
        </w:rPr>
      </w:pPr>
      <w:r w:rsidRPr="00FC5BB2">
        <w:rPr>
          <w:rFonts w:ascii="Arial" w:hAnsi="Arial" w:cs="Arial"/>
          <w:sz w:val="22"/>
          <w:szCs w:val="22"/>
          <w:lang w:val="en-US"/>
        </w:rPr>
        <w:t>(e)</w:t>
      </w:r>
      <w:r w:rsidRPr="00FC5BB2">
        <w:rPr>
          <w:rFonts w:ascii="Arial" w:hAnsi="Arial" w:cs="Arial"/>
          <w:sz w:val="22"/>
          <w:szCs w:val="22"/>
          <w:lang w:val="en-US"/>
        </w:rPr>
        <w:tab/>
        <w:t>make such order as to costs as justice may require.’</w:t>
      </w:r>
    </w:p>
    <w:p w14:paraId="05E70157" w14:textId="77777777" w:rsidR="00FC5BB2" w:rsidRPr="00FC5BB2" w:rsidRDefault="00FC5BB2" w:rsidP="00FC5BB2">
      <w:pPr>
        <w:pStyle w:val="ListParagraph"/>
        <w:rPr>
          <w:rFonts w:ascii="Arial" w:hAnsi="Arial" w:cs="Arial"/>
          <w:lang w:val="en-US"/>
        </w:rPr>
      </w:pPr>
    </w:p>
    <w:p w14:paraId="2515ECE3" w14:textId="26A81C82" w:rsidR="00DB6A28" w:rsidRPr="00FC5BB2" w:rsidRDefault="00F7004D" w:rsidP="00FC5BB2">
      <w:pPr>
        <w:pStyle w:val="ListParagraph"/>
        <w:numPr>
          <w:ilvl w:val="0"/>
          <w:numId w:val="2"/>
        </w:numPr>
        <w:spacing w:line="360" w:lineRule="auto"/>
        <w:ind w:left="0" w:firstLine="0"/>
        <w:jc w:val="both"/>
        <w:rPr>
          <w:rFonts w:ascii="Arial" w:hAnsi="Arial" w:cs="Arial"/>
          <w:lang w:val="en-US"/>
        </w:rPr>
      </w:pPr>
      <w:r w:rsidRPr="00FC5BB2">
        <w:rPr>
          <w:rFonts w:ascii="Arial" w:hAnsi="Arial" w:cs="Arial"/>
          <w:lang w:val="en-US"/>
        </w:rPr>
        <w:t xml:space="preserve">The powers provided by s 87 of the Magistrates’ Courts Act are underscored by s 19(1) </w:t>
      </w:r>
      <w:r w:rsidR="00E44100">
        <w:rPr>
          <w:rFonts w:ascii="Arial" w:hAnsi="Arial" w:cs="Arial"/>
          <w:lang w:val="en-US"/>
        </w:rPr>
        <w:t>of the High Court Act 16 of 1990</w:t>
      </w:r>
      <w:r w:rsidR="00FC5BB2">
        <w:rPr>
          <w:rFonts w:ascii="Arial" w:hAnsi="Arial" w:cs="Arial"/>
          <w:lang w:val="en-US"/>
        </w:rPr>
        <w:t xml:space="preserve">, which states that the </w:t>
      </w:r>
      <w:r w:rsidR="00824329">
        <w:rPr>
          <w:rFonts w:ascii="Arial" w:hAnsi="Arial" w:cs="Arial"/>
          <w:lang w:val="en-US"/>
        </w:rPr>
        <w:t>court</w:t>
      </w:r>
      <w:r w:rsidR="00FC5BB2">
        <w:rPr>
          <w:rFonts w:ascii="Arial" w:hAnsi="Arial" w:cs="Arial"/>
          <w:lang w:val="en-US"/>
        </w:rPr>
        <w:t xml:space="preserve"> shall have power:</w:t>
      </w:r>
    </w:p>
    <w:p w14:paraId="5FFA26E7" w14:textId="77777777" w:rsidR="00FC5BB2" w:rsidRDefault="00FC5BB2" w:rsidP="00FC5BB2">
      <w:pPr>
        <w:pStyle w:val="ListParagraph"/>
        <w:spacing w:line="360" w:lineRule="auto"/>
        <w:ind w:left="0"/>
        <w:jc w:val="both"/>
        <w:rPr>
          <w:rFonts w:ascii="Arial" w:eastAsia="Calibri" w:hAnsi="Arial" w:cs="Arial"/>
          <w:bCs/>
        </w:rPr>
      </w:pPr>
    </w:p>
    <w:p w14:paraId="44C003C4" w14:textId="430194B1" w:rsidR="00FC5BB2" w:rsidRPr="00FC5BB2" w:rsidRDefault="00FC5BB2" w:rsidP="00FC5BB2">
      <w:pPr>
        <w:pStyle w:val="ListParagraph"/>
        <w:spacing w:line="360" w:lineRule="auto"/>
        <w:ind w:left="0" w:firstLine="720"/>
        <w:jc w:val="both"/>
        <w:rPr>
          <w:rFonts w:ascii="Arial" w:hAnsi="Arial" w:cs="Arial"/>
          <w:sz w:val="22"/>
          <w:szCs w:val="22"/>
          <w:lang w:val="en-US"/>
        </w:rPr>
      </w:pPr>
      <w:r w:rsidRPr="00FC5BB2">
        <w:rPr>
          <w:rFonts w:ascii="Arial" w:eastAsia="Calibri" w:hAnsi="Arial" w:cs="Arial"/>
          <w:bCs/>
          <w:sz w:val="22"/>
          <w:szCs w:val="22"/>
        </w:rPr>
        <w:t>‘</w:t>
      </w:r>
      <w:r w:rsidRPr="00FC5BB2">
        <w:rPr>
          <w:rFonts w:ascii="Arial" w:hAnsi="Arial" w:cs="Arial"/>
          <w:sz w:val="22"/>
          <w:szCs w:val="22"/>
          <w:lang w:val="en-US"/>
        </w:rPr>
        <w:t>(a)</w:t>
      </w:r>
      <w:r w:rsidRPr="00FC5BB2">
        <w:rPr>
          <w:rFonts w:ascii="Arial" w:hAnsi="Arial" w:cs="Arial"/>
          <w:sz w:val="22"/>
          <w:szCs w:val="22"/>
          <w:lang w:val="en-US"/>
        </w:rPr>
        <w:tab/>
        <w:t>on the hearing of an appeal to receive further evidence, either orally or by deposition before a person appointed by the court, or to remit the case to the court of first instance or the court whose judgment is the subject of the appeal, for further hearing, with such instructions relating to the taking of further evidence or any other matter as the High Court may deem necessary;</w:t>
      </w:r>
    </w:p>
    <w:p w14:paraId="411D6569" w14:textId="77777777" w:rsidR="00FC5BB2" w:rsidRDefault="00FC5BB2" w:rsidP="00FC5BB2">
      <w:pPr>
        <w:pStyle w:val="ListParagraph"/>
        <w:spacing w:line="360" w:lineRule="auto"/>
        <w:ind w:left="0"/>
        <w:jc w:val="both"/>
        <w:rPr>
          <w:rFonts w:ascii="Arial" w:hAnsi="Arial" w:cs="Arial"/>
          <w:sz w:val="22"/>
          <w:szCs w:val="22"/>
          <w:lang w:val="en-US"/>
        </w:rPr>
      </w:pPr>
    </w:p>
    <w:p w14:paraId="7EE73266" w14:textId="03933323" w:rsidR="00FC5BB2" w:rsidRDefault="00FC5BB2" w:rsidP="00FC5BB2">
      <w:pPr>
        <w:pStyle w:val="ListParagraph"/>
        <w:spacing w:line="360" w:lineRule="auto"/>
        <w:ind w:left="0"/>
        <w:jc w:val="both"/>
        <w:rPr>
          <w:rFonts w:ascii="Arial" w:hAnsi="Arial" w:cs="Arial"/>
          <w:lang w:val="en-US"/>
        </w:rPr>
      </w:pPr>
      <w:r w:rsidRPr="00FC5BB2">
        <w:rPr>
          <w:rFonts w:ascii="Arial" w:hAnsi="Arial" w:cs="Arial"/>
          <w:sz w:val="22"/>
          <w:szCs w:val="22"/>
          <w:lang w:val="en-US"/>
        </w:rPr>
        <w:t>(b)</w:t>
      </w:r>
      <w:r w:rsidRPr="00FC5BB2">
        <w:rPr>
          <w:rFonts w:ascii="Arial" w:hAnsi="Arial" w:cs="Arial"/>
          <w:sz w:val="22"/>
          <w:szCs w:val="22"/>
          <w:lang w:val="en-US"/>
        </w:rPr>
        <w:tab/>
        <w:t>to confirm, amend or set aside the judgment or order which is the subject of the appeal and to give any judgment or make any order which the circumstances may require.’</w:t>
      </w:r>
    </w:p>
    <w:p w14:paraId="06855C7C" w14:textId="77777777" w:rsidR="00FC5BB2" w:rsidRPr="00FC5BB2" w:rsidRDefault="00FC5BB2" w:rsidP="00FC5BB2">
      <w:pPr>
        <w:pStyle w:val="ListParagraph"/>
        <w:rPr>
          <w:rFonts w:ascii="Arial" w:hAnsi="Arial" w:cs="Arial"/>
          <w:lang w:val="en-US"/>
        </w:rPr>
      </w:pPr>
    </w:p>
    <w:p w14:paraId="506D4CB4" w14:textId="5BAFF3CE" w:rsidR="00DB6A28" w:rsidRPr="00D634C0" w:rsidRDefault="00DB6A28" w:rsidP="00DB6A2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After holding an enquiry </w:t>
      </w:r>
      <w:r w:rsidR="00895FB2">
        <w:rPr>
          <w:rFonts w:ascii="Arial" w:hAnsi="Arial" w:cs="Arial"/>
          <w:lang w:val="en-US"/>
        </w:rPr>
        <w:t>under s 12</w:t>
      </w:r>
      <w:r w:rsidR="00E44100">
        <w:rPr>
          <w:rFonts w:ascii="Arial" w:hAnsi="Arial" w:cs="Arial"/>
          <w:lang w:val="en-US"/>
        </w:rPr>
        <w:t xml:space="preserve"> of the Act,</w:t>
      </w:r>
      <w:r w:rsidR="00895FB2">
        <w:rPr>
          <w:rFonts w:ascii="Arial" w:hAnsi="Arial" w:cs="Arial"/>
          <w:lang w:val="en-US"/>
        </w:rPr>
        <w:t xml:space="preserve"> </w:t>
      </w:r>
      <w:r>
        <w:rPr>
          <w:rFonts w:ascii="Arial" w:hAnsi="Arial" w:cs="Arial"/>
          <w:lang w:val="en-US"/>
        </w:rPr>
        <w:t>following an interim protection order, the court a quo had the discretion to make an order set out in s 12(16)</w:t>
      </w:r>
      <w:r>
        <w:rPr>
          <w:rFonts w:ascii="Arial" w:hAnsi="Arial" w:cs="Arial"/>
          <w:i/>
          <w:iCs/>
          <w:lang w:val="en-US"/>
        </w:rPr>
        <w:t>(a)</w:t>
      </w:r>
      <w:r>
        <w:rPr>
          <w:rFonts w:ascii="Arial" w:hAnsi="Arial" w:cs="Arial"/>
          <w:lang w:val="en-US"/>
        </w:rPr>
        <w:t xml:space="preserve"> to </w:t>
      </w:r>
      <w:r>
        <w:rPr>
          <w:rFonts w:ascii="Arial" w:hAnsi="Arial" w:cs="Arial"/>
          <w:i/>
          <w:iCs/>
          <w:lang w:val="en-US"/>
        </w:rPr>
        <w:t>(e)</w:t>
      </w:r>
      <w:r w:rsidR="00824329">
        <w:rPr>
          <w:rFonts w:ascii="Arial" w:hAnsi="Arial" w:cs="Arial"/>
          <w:lang w:val="en-US"/>
        </w:rPr>
        <w:t xml:space="preserve"> of the Act.</w:t>
      </w:r>
      <w:r>
        <w:rPr>
          <w:rStyle w:val="FootnoteReference"/>
          <w:rFonts w:ascii="Arial" w:hAnsi="Arial" w:cs="Arial"/>
          <w:lang w:val="en-US"/>
        </w:rPr>
        <w:footnoteReference w:id="3"/>
      </w:r>
    </w:p>
    <w:p w14:paraId="0C24777A" w14:textId="77777777" w:rsidR="00DB6A28" w:rsidRPr="00195DE0" w:rsidRDefault="00DB6A28" w:rsidP="00DB6A28">
      <w:pPr>
        <w:pStyle w:val="ListParagraph"/>
        <w:ind w:left="0"/>
        <w:rPr>
          <w:rFonts w:ascii="Arial" w:eastAsia="Calibri" w:hAnsi="Arial" w:cs="Arial"/>
          <w:bCs/>
        </w:rPr>
      </w:pPr>
    </w:p>
    <w:p w14:paraId="47204E40" w14:textId="65B339B5" w:rsidR="000E47C3" w:rsidRPr="000E47C3" w:rsidRDefault="00DB6A28" w:rsidP="00DB6A28">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The </w:t>
      </w:r>
      <w:r w:rsidR="003F1345">
        <w:rPr>
          <w:rFonts w:ascii="Arial" w:eastAsia="Calibri" w:hAnsi="Arial" w:cs="Arial"/>
          <w:bCs/>
        </w:rPr>
        <w:t xml:space="preserve">extent of the </w:t>
      </w:r>
      <w:r w:rsidR="00895FB2">
        <w:rPr>
          <w:rFonts w:ascii="Arial" w:eastAsia="Calibri" w:hAnsi="Arial" w:cs="Arial"/>
          <w:bCs/>
        </w:rPr>
        <w:t xml:space="preserve">appeal </w:t>
      </w:r>
      <w:r>
        <w:rPr>
          <w:rFonts w:ascii="Arial" w:eastAsia="Calibri" w:hAnsi="Arial" w:cs="Arial"/>
          <w:bCs/>
        </w:rPr>
        <w:t xml:space="preserve">court’s power to interfere with the decision of the trial court, which involved the exercise of discretion, depends on whether that discretion </w:t>
      </w:r>
      <w:r w:rsidR="00824329">
        <w:rPr>
          <w:rFonts w:ascii="Arial" w:eastAsia="Calibri" w:hAnsi="Arial" w:cs="Arial"/>
          <w:bCs/>
        </w:rPr>
        <w:t>was</w:t>
      </w:r>
      <w:r>
        <w:rPr>
          <w:rFonts w:ascii="Arial" w:eastAsia="Calibri" w:hAnsi="Arial" w:cs="Arial"/>
          <w:bCs/>
        </w:rPr>
        <w:t xml:space="preserve"> a narrow or wide one. </w:t>
      </w:r>
    </w:p>
    <w:p w14:paraId="3D66D2C7" w14:textId="77777777" w:rsidR="000E47C3" w:rsidRPr="000E47C3" w:rsidRDefault="000E47C3" w:rsidP="000E47C3">
      <w:pPr>
        <w:pStyle w:val="ListParagraph"/>
        <w:rPr>
          <w:rFonts w:ascii="Arial" w:eastAsia="Calibri" w:hAnsi="Arial" w:cs="Arial"/>
          <w:bCs/>
        </w:rPr>
      </w:pPr>
    </w:p>
    <w:p w14:paraId="1E3B9586" w14:textId="5CB21915" w:rsidR="00EF3919" w:rsidRPr="00EF3919" w:rsidRDefault="003F1345" w:rsidP="009D406B">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Even though the court could not find local case law directly on that point, it</w:t>
      </w:r>
      <w:r w:rsidR="00824329">
        <w:rPr>
          <w:rFonts w:ascii="Arial" w:eastAsia="Calibri" w:hAnsi="Arial" w:cs="Arial"/>
          <w:bCs/>
        </w:rPr>
        <w:t xml:space="preserve"> finds</w:t>
      </w:r>
      <w:r>
        <w:rPr>
          <w:rFonts w:ascii="Arial" w:eastAsia="Calibri" w:hAnsi="Arial" w:cs="Arial"/>
          <w:bCs/>
        </w:rPr>
        <w:t>, for the following reasons,</w:t>
      </w:r>
      <w:r w:rsidR="00824329">
        <w:rPr>
          <w:rFonts w:ascii="Arial" w:eastAsia="Calibri" w:hAnsi="Arial" w:cs="Arial"/>
          <w:bCs/>
        </w:rPr>
        <w:t xml:space="preserve"> that the discretion which the court a quo exercised was a wide one. I</w:t>
      </w:r>
      <w:r w:rsidR="00DB6A28">
        <w:rPr>
          <w:rFonts w:ascii="Arial" w:eastAsia="Calibri" w:hAnsi="Arial" w:cs="Arial"/>
          <w:bCs/>
        </w:rPr>
        <w:t xml:space="preserve">n </w:t>
      </w:r>
      <w:r w:rsidR="00671F9E" w:rsidRPr="00671F9E">
        <w:rPr>
          <w:rFonts w:ascii="Arial" w:eastAsia="Calibri" w:hAnsi="Arial" w:cs="Arial"/>
          <w:bCs/>
          <w:i/>
          <w:iCs/>
        </w:rPr>
        <w:t xml:space="preserve">DVT v </w:t>
      </w:r>
      <w:proofErr w:type="spellStart"/>
      <w:r w:rsidR="00671F9E" w:rsidRPr="00671F9E">
        <w:rPr>
          <w:rFonts w:ascii="Arial" w:eastAsia="Calibri" w:hAnsi="Arial" w:cs="Arial"/>
          <w:bCs/>
          <w:i/>
          <w:iCs/>
        </w:rPr>
        <w:t>Bmt</w:t>
      </w:r>
      <w:proofErr w:type="spellEnd"/>
      <w:r w:rsidR="00824329">
        <w:rPr>
          <w:rFonts w:ascii="Arial" w:eastAsia="Calibri" w:hAnsi="Arial" w:cs="Arial"/>
          <w:bCs/>
        </w:rPr>
        <w:t>,</w:t>
      </w:r>
      <w:r w:rsidR="00DB6A28">
        <w:rPr>
          <w:rStyle w:val="FootnoteReference"/>
          <w:rFonts w:ascii="Arial" w:eastAsia="Calibri" w:hAnsi="Arial" w:cs="Arial"/>
          <w:bCs/>
        </w:rPr>
        <w:footnoteReference w:id="4"/>
      </w:r>
      <w:r w:rsidR="00671F9E">
        <w:rPr>
          <w:rFonts w:ascii="Arial" w:eastAsia="Calibri" w:hAnsi="Arial" w:cs="Arial"/>
          <w:bCs/>
        </w:rPr>
        <w:t xml:space="preserve"> the South African Supreme Court of Appeal</w:t>
      </w:r>
      <w:r w:rsidR="00824329">
        <w:rPr>
          <w:rFonts w:ascii="Arial" w:eastAsia="Calibri" w:hAnsi="Arial" w:cs="Arial"/>
          <w:bCs/>
        </w:rPr>
        <w:t>, when dealing with the South African Domestic Violence Act,</w:t>
      </w:r>
      <w:r w:rsidR="00671F9E">
        <w:rPr>
          <w:rFonts w:ascii="Arial" w:eastAsia="Calibri" w:hAnsi="Arial" w:cs="Arial"/>
          <w:bCs/>
        </w:rPr>
        <w:t xml:space="preserve"> stated that </w:t>
      </w:r>
      <w:r w:rsidR="00E44100">
        <w:rPr>
          <w:rFonts w:ascii="Arial" w:eastAsia="Calibri" w:hAnsi="Arial" w:cs="Arial"/>
          <w:bCs/>
        </w:rPr>
        <w:t xml:space="preserve">the </w:t>
      </w:r>
      <w:r w:rsidR="00FF272E">
        <w:rPr>
          <w:rFonts w:ascii="Arial" w:eastAsia="Calibri" w:hAnsi="Arial" w:cs="Arial"/>
          <w:bCs/>
        </w:rPr>
        <w:t xml:space="preserve">Act endowed the courts with a wide discretion </w:t>
      </w:r>
      <w:r w:rsidR="00671F9E">
        <w:rPr>
          <w:rFonts w:ascii="Arial" w:eastAsia="Calibri" w:hAnsi="Arial" w:cs="Arial"/>
          <w:bCs/>
        </w:rPr>
        <w:t>‘both in respect of the manner of the hearing and the form of relief’.</w:t>
      </w:r>
      <w:r w:rsidR="00824329">
        <w:rPr>
          <w:rFonts w:ascii="Arial" w:eastAsia="Calibri" w:hAnsi="Arial" w:cs="Arial"/>
          <w:bCs/>
        </w:rPr>
        <w:t xml:space="preserve"> The South African legislation is</w:t>
      </w:r>
      <w:r w:rsidR="00997249">
        <w:rPr>
          <w:rFonts w:ascii="Arial" w:eastAsia="Calibri" w:hAnsi="Arial" w:cs="Arial"/>
          <w:bCs/>
        </w:rPr>
        <w:t>, however,</w:t>
      </w:r>
      <w:r w:rsidR="00824329">
        <w:rPr>
          <w:rFonts w:ascii="Arial" w:eastAsia="Calibri" w:hAnsi="Arial" w:cs="Arial"/>
          <w:bCs/>
        </w:rPr>
        <w:t xml:space="preserve"> not the same as its Namibian counterpart</w:t>
      </w:r>
      <w:r w:rsidR="00997249">
        <w:rPr>
          <w:rFonts w:ascii="Arial" w:eastAsia="Calibri" w:hAnsi="Arial" w:cs="Arial"/>
          <w:bCs/>
        </w:rPr>
        <w:t>, but i</w:t>
      </w:r>
      <w:r w:rsidR="00FF272E">
        <w:rPr>
          <w:rFonts w:ascii="Arial" w:eastAsia="Calibri" w:hAnsi="Arial" w:cs="Arial"/>
          <w:bCs/>
        </w:rPr>
        <w:t xml:space="preserve">n </w:t>
      </w:r>
      <w:r w:rsidR="00FF272E">
        <w:rPr>
          <w:rFonts w:ascii="Arial" w:eastAsia="Calibri" w:hAnsi="Arial" w:cs="Arial"/>
          <w:bCs/>
          <w:i/>
          <w:iCs/>
        </w:rPr>
        <w:t>FN v SM</w:t>
      </w:r>
      <w:r>
        <w:rPr>
          <w:rStyle w:val="FootnoteReference"/>
          <w:rFonts w:ascii="Arial" w:eastAsia="Calibri" w:hAnsi="Arial" w:cs="Arial"/>
          <w:bCs/>
          <w:i/>
          <w:iCs/>
        </w:rPr>
        <w:footnoteReference w:id="5"/>
      </w:r>
      <w:r w:rsidR="00FF272E">
        <w:rPr>
          <w:rFonts w:ascii="Arial" w:eastAsia="Calibri" w:hAnsi="Arial" w:cs="Arial"/>
          <w:bCs/>
        </w:rPr>
        <w:t xml:space="preserve"> thi</w:t>
      </w:r>
      <w:r w:rsidR="00895FB2">
        <w:rPr>
          <w:rFonts w:ascii="Arial" w:eastAsia="Calibri" w:hAnsi="Arial" w:cs="Arial"/>
          <w:bCs/>
        </w:rPr>
        <w:t>s</w:t>
      </w:r>
      <w:r w:rsidR="00FF272E">
        <w:rPr>
          <w:rFonts w:ascii="Arial" w:eastAsia="Calibri" w:hAnsi="Arial" w:cs="Arial"/>
          <w:bCs/>
        </w:rPr>
        <w:t xml:space="preserve"> court state</w:t>
      </w:r>
      <w:r w:rsidR="00997249">
        <w:rPr>
          <w:rFonts w:ascii="Arial" w:eastAsia="Calibri" w:hAnsi="Arial" w:cs="Arial"/>
          <w:bCs/>
        </w:rPr>
        <w:t>d</w:t>
      </w:r>
      <w:r w:rsidR="00FF272E">
        <w:rPr>
          <w:rFonts w:ascii="Arial" w:eastAsia="Calibri" w:hAnsi="Arial" w:cs="Arial"/>
          <w:bCs/>
        </w:rPr>
        <w:t xml:space="preserve"> that it enjoyed wide powers under s 87 of the Magistrates’ Courts Act.</w:t>
      </w:r>
    </w:p>
    <w:p w14:paraId="6EE40567" w14:textId="77777777" w:rsidR="00EF3919" w:rsidRPr="00EF3919" w:rsidRDefault="00EF3919" w:rsidP="00EF3919">
      <w:pPr>
        <w:pStyle w:val="ListParagraph"/>
        <w:rPr>
          <w:rFonts w:ascii="Arial" w:eastAsia="Calibri" w:hAnsi="Arial" w:cs="Arial"/>
          <w:bCs/>
        </w:rPr>
      </w:pPr>
    </w:p>
    <w:p w14:paraId="40091E6F" w14:textId="43270172" w:rsidR="00824329" w:rsidRPr="00824329" w:rsidRDefault="00FF272E" w:rsidP="009D406B">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Furthermore, having regard to the provisions of s 12</w:t>
      </w:r>
      <w:r w:rsidR="00E44100">
        <w:rPr>
          <w:rFonts w:ascii="Arial" w:eastAsia="Calibri" w:hAnsi="Arial" w:cs="Arial"/>
          <w:bCs/>
        </w:rPr>
        <w:t xml:space="preserve"> of the Act</w:t>
      </w:r>
      <w:r>
        <w:rPr>
          <w:rFonts w:ascii="Arial" w:eastAsia="Calibri" w:hAnsi="Arial" w:cs="Arial"/>
          <w:bCs/>
        </w:rPr>
        <w:t>, including s 12(16), the nature of the discretion given to the court a quo</w:t>
      </w:r>
      <w:r w:rsidR="005E353F">
        <w:rPr>
          <w:rFonts w:ascii="Arial" w:eastAsia="Calibri" w:hAnsi="Arial" w:cs="Arial"/>
          <w:bCs/>
        </w:rPr>
        <w:t xml:space="preserve"> is a wide one</w:t>
      </w:r>
      <w:r w:rsidR="003F1345">
        <w:rPr>
          <w:rFonts w:ascii="Arial" w:eastAsia="Calibri" w:hAnsi="Arial" w:cs="Arial"/>
          <w:bCs/>
        </w:rPr>
        <w:t>,</w:t>
      </w:r>
      <w:r w:rsidR="005E353F">
        <w:rPr>
          <w:rFonts w:ascii="Arial" w:eastAsia="Calibri" w:hAnsi="Arial" w:cs="Arial"/>
          <w:bCs/>
        </w:rPr>
        <w:t xml:space="preserve"> and it relates to both the manner of the hearing and the form of relief which that court may make at </w:t>
      </w:r>
      <w:r w:rsidR="003F1345">
        <w:rPr>
          <w:rFonts w:ascii="Arial" w:eastAsia="Calibri" w:hAnsi="Arial" w:cs="Arial"/>
          <w:bCs/>
        </w:rPr>
        <w:t xml:space="preserve">the </w:t>
      </w:r>
      <w:r w:rsidR="005E353F">
        <w:rPr>
          <w:rFonts w:ascii="Arial" w:eastAsia="Calibri" w:hAnsi="Arial" w:cs="Arial"/>
          <w:bCs/>
        </w:rPr>
        <w:t>conclusion of an enquiry</w:t>
      </w:r>
      <w:r w:rsidR="00895FB2">
        <w:rPr>
          <w:rFonts w:ascii="Arial" w:eastAsia="Calibri" w:hAnsi="Arial" w:cs="Arial"/>
          <w:bCs/>
        </w:rPr>
        <w:t xml:space="preserve"> under s 12</w:t>
      </w:r>
      <w:r w:rsidR="005E353F">
        <w:rPr>
          <w:rFonts w:ascii="Arial" w:eastAsia="Calibri" w:hAnsi="Arial" w:cs="Arial"/>
          <w:bCs/>
        </w:rPr>
        <w:t xml:space="preserve">. </w:t>
      </w:r>
      <w:r w:rsidR="00997249">
        <w:rPr>
          <w:rFonts w:ascii="Arial" w:eastAsia="Calibri" w:hAnsi="Arial" w:cs="Arial"/>
          <w:bCs/>
        </w:rPr>
        <w:t>Lastly, this court’s finding is supported by t</w:t>
      </w:r>
      <w:r w:rsidR="005E353F">
        <w:rPr>
          <w:rFonts w:ascii="Arial" w:eastAsia="Calibri" w:hAnsi="Arial" w:cs="Arial"/>
          <w:bCs/>
        </w:rPr>
        <w:t>h</w:t>
      </w:r>
      <w:r w:rsidR="003F1345">
        <w:rPr>
          <w:rFonts w:ascii="Arial" w:eastAsia="Calibri" w:hAnsi="Arial" w:cs="Arial"/>
          <w:bCs/>
        </w:rPr>
        <w:t>e paramount purpose of the Act</w:t>
      </w:r>
      <w:r w:rsidR="00EF3919">
        <w:rPr>
          <w:rFonts w:ascii="Arial" w:eastAsia="Calibri" w:hAnsi="Arial" w:cs="Arial"/>
          <w:bCs/>
        </w:rPr>
        <w:t>, which is</w:t>
      </w:r>
      <w:r w:rsidR="003F1345">
        <w:rPr>
          <w:rFonts w:ascii="Arial" w:eastAsia="Calibri" w:hAnsi="Arial" w:cs="Arial"/>
          <w:bCs/>
        </w:rPr>
        <w:t xml:space="preserve"> to provide for the issuing of protection orders in domestic violence matters</w:t>
      </w:r>
      <w:r w:rsidR="00EF3919">
        <w:rPr>
          <w:rFonts w:ascii="Arial" w:eastAsia="Calibri" w:hAnsi="Arial" w:cs="Arial"/>
          <w:bCs/>
        </w:rPr>
        <w:t>. I</w:t>
      </w:r>
      <w:r w:rsidR="005E353F">
        <w:rPr>
          <w:rFonts w:ascii="Arial" w:eastAsia="Calibri" w:hAnsi="Arial" w:cs="Arial"/>
          <w:bCs/>
        </w:rPr>
        <w:t xml:space="preserve">f a magistrate’s court sitting in terms of the Act </w:t>
      </w:r>
      <w:r w:rsidR="00EF3919">
        <w:rPr>
          <w:rFonts w:ascii="Arial" w:eastAsia="Calibri" w:hAnsi="Arial" w:cs="Arial"/>
          <w:bCs/>
        </w:rPr>
        <w:t>did</w:t>
      </w:r>
      <w:r w:rsidR="005E353F">
        <w:rPr>
          <w:rFonts w:ascii="Arial" w:eastAsia="Calibri" w:hAnsi="Arial" w:cs="Arial"/>
          <w:bCs/>
        </w:rPr>
        <w:t xml:space="preserve"> not have wide </w:t>
      </w:r>
      <w:r w:rsidR="00895FB2">
        <w:rPr>
          <w:rFonts w:ascii="Arial" w:eastAsia="Calibri" w:hAnsi="Arial" w:cs="Arial"/>
          <w:bCs/>
        </w:rPr>
        <w:t>discretion</w:t>
      </w:r>
      <w:r w:rsidR="005E353F">
        <w:rPr>
          <w:rFonts w:ascii="Arial" w:eastAsia="Calibri" w:hAnsi="Arial" w:cs="Arial"/>
          <w:bCs/>
        </w:rPr>
        <w:t>, its functionality to achieve th</w:t>
      </w:r>
      <w:r w:rsidR="00997249">
        <w:rPr>
          <w:rFonts w:ascii="Arial" w:eastAsia="Calibri" w:hAnsi="Arial" w:cs="Arial"/>
          <w:bCs/>
        </w:rPr>
        <w:t>at</w:t>
      </w:r>
      <w:r w:rsidR="005E353F">
        <w:rPr>
          <w:rFonts w:ascii="Arial" w:eastAsia="Calibri" w:hAnsi="Arial" w:cs="Arial"/>
          <w:bCs/>
        </w:rPr>
        <w:t xml:space="preserve"> purpose would be severely hampered.  </w:t>
      </w:r>
    </w:p>
    <w:p w14:paraId="38E16F0D" w14:textId="77777777" w:rsidR="00824329" w:rsidRPr="00824329" w:rsidRDefault="00824329" w:rsidP="00824329">
      <w:pPr>
        <w:pStyle w:val="ListParagraph"/>
        <w:rPr>
          <w:rFonts w:ascii="Arial" w:eastAsia="Calibri" w:hAnsi="Arial" w:cs="Arial"/>
          <w:bCs/>
        </w:rPr>
      </w:pPr>
    </w:p>
    <w:p w14:paraId="111033D8" w14:textId="63272251" w:rsidR="00E44100" w:rsidRPr="00E44100" w:rsidRDefault="005E353F" w:rsidP="00E44100">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Whereas the court a quo had a wide discretion, </w:t>
      </w:r>
      <w:r w:rsidR="00DB6A28">
        <w:rPr>
          <w:rFonts w:ascii="Arial" w:eastAsia="Calibri" w:hAnsi="Arial" w:cs="Arial"/>
          <w:bCs/>
        </w:rPr>
        <w:t xml:space="preserve">the court’s power to interfere with </w:t>
      </w:r>
      <w:r w:rsidR="00997249">
        <w:rPr>
          <w:rFonts w:ascii="Arial" w:eastAsia="Calibri" w:hAnsi="Arial" w:cs="Arial"/>
          <w:bCs/>
        </w:rPr>
        <w:t>its decision</w:t>
      </w:r>
      <w:r w:rsidR="00DB6A28">
        <w:rPr>
          <w:rFonts w:ascii="Arial" w:eastAsia="Calibri" w:hAnsi="Arial" w:cs="Arial"/>
          <w:bCs/>
        </w:rPr>
        <w:t xml:space="preserve"> is not limited to the trial court </w:t>
      </w:r>
      <w:r w:rsidR="000E47C3">
        <w:rPr>
          <w:rFonts w:ascii="Arial" w:eastAsia="Calibri" w:hAnsi="Arial" w:cs="Arial"/>
          <w:bCs/>
        </w:rPr>
        <w:t xml:space="preserve">having exercised </w:t>
      </w:r>
      <w:r w:rsidR="00DB6A28">
        <w:rPr>
          <w:rFonts w:ascii="Arial" w:eastAsia="Calibri" w:hAnsi="Arial" w:cs="Arial"/>
          <w:bCs/>
        </w:rPr>
        <w:t xml:space="preserve">its discretion capriciously or upon a wrong principle or </w:t>
      </w:r>
      <w:r w:rsidR="000E47C3">
        <w:rPr>
          <w:rFonts w:ascii="Arial" w:eastAsia="Calibri" w:hAnsi="Arial" w:cs="Arial"/>
          <w:bCs/>
        </w:rPr>
        <w:t xml:space="preserve">having </w:t>
      </w:r>
      <w:r w:rsidR="00DB6A28">
        <w:rPr>
          <w:rFonts w:ascii="Arial" w:eastAsia="Calibri" w:hAnsi="Arial" w:cs="Arial"/>
          <w:bCs/>
        </w:rPr>
        <w:t>fai</w:t>
      </w:r>
      <w:r w:rsidR="000E47C3">
        <w:rPr>
          <w:rFonts w:ascii="Arial" w:eastAsia="Calibri" w:hAnsi="Arial" w:cs="Arial"/>
          <w:bCs/>
        </w:rPr>
        <w:t>led</w:t>
      </w:r>
      <w:r w:rsidR="00DB6A28">
        <w:rPr>
          <w:rFonts w:ascii="Arial" w:eastAsia="Calibri" w:hAnsi="Arial" w:cs="Arial"/>
          <w:bCs/>
        </w:rPr>
        <w:t xml:space="preserve"> to bring </w:t>
      </w:r>
      <w:r w:rsidR="000E47C3">
        <w:rPr>
          <w:rFonts w:ascii="Arial" w:eastAsia="Calibri" w:hAnsi="Arial" w:cs="Arial"/>
          <w:bCs/>
        </w:rPr>
        <w:t>an</w:t>
      </w:r>
      <w:r w:rsidR="00DB6A28">
        <w:rPr>
          <w:rFonts w:ascii="Arial" w:eastAsia="Calibri" w:hAnsi="Arial" w:cs="Arial"/>
          <w:bCs/>
        </w:rPr>
        <w:t xml:space="preserve"> unbiased judgment to bear on the </w:t>
      </w:r>
      <w:r w:rsidR="000E47C3">
        <w:rPr>
          <w:rFonts w:ascii="Arial" w:eastAsia="Calibri" w:hAnsi="Arial" w:cs="Arial"/>
          <w:bCs/>
        </w:rPr>
        <w:t>ma</w:t>
      </w:r>
      <w:r w:rsidR="00B44D8C">
        <w:rPr>
          <w:rFonts w:ascii="Arial" w:eastAsia="Calibri" w:hAnsi="Arial" w:cs="Arial"/>
          <w:bCs/>
        </w:rPr>
        <w:t>t</w:t>
      </w:r>
      <w:r w:rsidR="000E47C3">
        <w:rPr>
          <w:rFonts w:ascii="Arial" w:eastAsia="Calibri" w:hAnsi="Arial" w:cs="Arial"/>
          <w:bCs/>
        </w:rPr>
        <w:t>ter</w:t>
      </w:r>
      <w:r w:rsidR="00DB6A28">
        <w:rPr>
          <w:rFonts w:ascii="Arial" w:eastAsia="Calibri" w:hAnsi="Arial" w:cs="Arial"/>
          <w:bCs/>
        </w:rPr>
        <w:t xml:space="preserve"> or not </w:t>
      </w:r>
      <w:r w:rsidR="000E47C3">
        <w:rPr>
          <w:rFonts w:ascii="Arial" w:eastAsia="Calibri" w:hAnsi="Arial" w:cs="Arial"/>
          <w:bCs/>
        </w:rPr>
        <w:t xml:space="preserve">having </w:t>
      </w:r>
      <w:r w:rsidR="00DB6A28">
        <w:rPr>
          <w:rFonts w:ascii="Arial" w:eastAsia="Calibri" w:hAnsi="Arial" w:cs="Arial"/>
          <w:bCs/>
        </w:rPr>
        <w:t xml:space="preserve">acted for substantial </w:t>
      </w:r>
      <w:r w:rsidR="00DB6A28" w:rsidRPr="00D94F82">
        <w:rPr>
          <w:rFonts w:ascii="Arial" w:eastAsia="Calibri" w:hAnsi="Arial" w:cs="Arial"/>
          <w:bCs/>
        </w:rPr>
        <w:t>reasons. The court is</w:t>
      </w:r>
      <w:r w:rsidR="000E47C3" w:rsidRPr="00D94F82">
        <w:rPr>
          <w:rFonts w:ascii="Arial" w:eastAsia="Calibri" w:hAnsi="Arial" w:cs="Arial"/>
          <w:bCs/>
        </w:rPr>
        <w:t xml:space="preserve"> thus</w:t>
      </w:r>
      <w:r w:rsidR="00DB6A28" w:rsidRPr="00D94F82">
        <w:rPr>
          <w:rFonts w:ascii="Arial" w:eastAsia="Calibri" w:hAnsi="Arial" w:cs="Arial"/>
          <w:bCs/>
        </w:rPr>
        <w:t xml:space="preserve"> at liberty to decide the matter according to its own views of the merits.</w:t>
      </w:r>
      <w:r w:rsidR="00D67D61" w:rsidRPr="00D94F82">
        <w:rPr>
          <w:rStyle w:val="FootnoteReference"/>
          <w:rFonts w:ascii="Arial" w:eastAsia="Calibri" w:hAnsi="Arial" w:cs="Arial"/>
          <w:bCs/>
        </w:rPr>
        <w:footnoteReference w:id="6"/>
      </w:r>
    </w:p>
    <w:p w14:paraId="2275965B" w14:textId="77777777" w:rsidR="00E44100" w:rsidRPr="00E44100" w:rsidRDefault="00E44100" w:rsidP="00E44100">
      <w:pPr>
        <w:pStyle w:val="ListParagraph"/>
        <w:spacing w:line="360" w:lineRule="auto"/>
        <w:ind w:left="0"/>
        <w:jc w:val="both"/>
        <w:rPr>
          <w:rFonts w:ascii="Arial" w:hAnsi="Arial" w:cs="Arial"/>
          <w:lang w:val="en-US"/>
        </w:rPr>
      </w:pPr>
    </w:p>
    <w:p w14:paraId="5C487D5C" w14:textId="77777777" w:rsidR="005E353F" w:rsidRDefault="000E47C3" w:rsidP="005E353F">
      <w:pPr>
        <w:pStyle w:val="ListParagraph"/>
        <w:spacing w:line="360" w:lineRule="auto"/>
        <w:ind w:left="0"/>
        <w:jc w:val="both"/>
        <w:rPr>
          <w:rFonts w:ascii="Arial" w:hAnsi="Arial" w:cs="Arial"/>
          <w:lang w:val="en-US"/>
        </w:rPr>
      </w:pPr>
      <w:r w:rsidRPr="005E353F">
        <w:rPr>
          <w:rFonts w:ascii="Arial" w:hAnsi="Arial" w:cs="Arial"/>
          <w:u w:val="single"/>
          <w:lang w:val="en-US"/>
        </w:rPr>
        <w:t>Determination</w:t>
      </w:r>
    </w:p>
    <w:p w14:paraId="63FE0A16" w14:textId="77777777" w:rsidR="005E353F" w:rsidRPr="005E353F" w:rsidRDefault="005E353F" w:rsidP="005E353F">
      <w:pPr>
        <w:pStyle w:val="ListParagraph"/>
        <w:rPr>
          <w:rFonts w:ascii="Arial" w:hAnsi="Arial" w:cs="Arial"/>
          <w:lang w:val="en-US"/>
        </w:rPr>
      </w:pPr>
    </w:p>
    <w:p w14:paraId="6BCB674A" w14:textId="6853295D" w:rsidR="005E353F" w:rsidRDefault="0078171A" w:rsidP="005E353F">
      <w:pPr>
        <w:pStyle w:val="ListParagraph"/>
        <w:numPr>
          <w:ilvl w:val="0"/>
          <w:numId w:val="2"/>
        </w:numPr>
        <w:spacing w:line="360" w:lineRule="auto"/>
        <w:ind w:left="0" w:firstLine="0"/>
        <w:jc w:val="both"/>
        <w:rPr>
          <w:rFonts w:ascii="Arial" w:hAnsi="Arial" w:cs="Arial"/>
          <w:lang w:val="en-US"/>
        </w:rPr>
      </w:pPr>
      <w:r w:rsidRPr="005E353F">
        <w:rPr>
          <w:rFonts w:ascii="Arial" w:hAnsi="Arial" w:cs="Arial"/>
          <w:lang w:val="en-US"/>
        </w:rPr>
        <w:t xml:space="preserve">The </w:t>
      </w:r>
      <w:r w:rsidR="005E353F">
        <w:rPr>
          <w:rFonts w:ascii="Arial" w:hAnsi="Arial" w:cs="Arial"/>
          <w:lang w:val="en-US"/>
        </w:rPr>
        <w:t xml:space="preserve">court now turns to the </w:t>
      </w:r>
      <w:r w:rsidRPr="005E353F">
        <w:rPr>
          <w:rFonts w:ascii="Arial" w:hAnsi="Arial" w:cs="Arial"/>
          <w:lang w:val="en-US"/>
        </w:rPr>
        <w:t>main issue for determination</w:t>
      </w:r>
      <w:r w:rsidR="00997249">
        <w:rPr>
          <w:rFonts w:ascii="Arial" w:hAnsi="Arial" w:cs="Arial"/>
          <w:lang w:val="en-US"/>
        </w:rPr>
        <w:t>. That is,</w:t>
      </w:r>
      <w:r w:rsidR="005E353F">
        <w:rPr>
          <w:rFonts w:ascii="Arial" w:hAnsi="Arial" w:cs="Arial"/>
          <w:lang w:val="en-US"/>
        </w:rPr>
        <w:t xml:space="preserve"> </w:t>
      </w:r>
      <w:r w:rsidRPr="005E353F">
        <w:rPr>
          <w:rFonts w:ascii="Arial" w:hAnsi="Arial" w:cs="Arial"/>
          <w:lang w:val="en-US"/>
        </w:rPr>
        <w:t>whether the</w:t>
      </w:r>
      <w:r w:rsidRPr="005E353F">
        <w:rPr>
          <w:rFonts w:ascii="Arial" w:eastAsia="Calibri" w:hAnsi="Arial" w:cs="Arial"/>
          <w:bCs/>
        </w:rPr>
        <w:t xml:space="preserve"> </w:t>
      </w:r>
      <w:r w:rsidR="00C15334" w:rsidRPr="005E353F">
        <w:rPr>
          <w:rFonts w:ascii="Arial" w:eastAsia="Calibri" w:hAnsi="Arial" w:cs="Arial"/>
          <w:bCs/>
        </w:rPr>
        <w:t>7</w:t>
      </w:r>
      <w:r w:rsidRPr="005E353F">
        <w:rPr>
          <w:rFonts w:ascii="Arial" w:eastAsia="Calibri" w:hAnsi="Arial" w:cs="Arial"/>
          <w:bCs/>
        </w:rPr>
        <w:t xml:space="preserve"> June 2022 order constitute</w:t>
      </w:r>
      <w:r w:rsidR="005E353F">
        <w:rPr>
          <w:rFonts w:ascii="Arial" w:eastAsia="Calibri" w:hAnsi="Arial" w:cs="Arial"/>
          <w:bCs/>
        </w:rPr>
        <w:t>s</w:t>
      </w:r>
      <w:r w:rsidRPr="005E353F">
        <w:rPr>
          <w:rFonts w:ascii="Arial" w:eastAsia="Calibri" w:hAnsi="Arial" w:cs="Arial"/>
          <w:bCs/>
        </w:rPr>
        <w:t xml:space="preserve"> a protection order </w:t>
      </w:r>
      <w:r w:rsidR="005E353F">
        <w:rPr>
          <w:rFonts w:ascii="Arial" w:eastAsia="Calibri" w:hAnsi="Arial" w:cs="Arial"/>
          <w:bCs/>
        </w:rPr>
        <w:t>t</w:t>
      </w:r>
      <w:r w:rsidR="00997249">
        <w:rPr>
          <w:rFonts w:ascii="Arial" w:eastAsia="Calibri" w:hAnsi="Arial" w:cs="Arial"/>
          <w:bCs/>
        </w:rPr>
        <w:t>hat David could c</w:t>
      </w:r>
      <w:r w:rsidR="00895FB2">
        <w:rPr>
          <w:rFonts w:ascii="Arial" w:eastAsia="Calibri" w:hAnsi="Arial" w:cs="Arial"/>
          <w:bCs/>
        </w:rPr>
        <w:t>ancel</w:t>
      </w:r>
      <w:r w:rsidR="00997249">
        <w:rPr>
          <w:rFonts w:ascii="Arial" w:eastAsia="Calibri" w:hAnsi="Arial" w:cs="Arial"/>
          <w:bCs/>
        </w:rPr>
        <w:t xml:space="preserve"> </w:t>
      </w:r>
      <w:r w:rsidRPr="005E353F">
        <w:rPr>
          <w:rFonts w:ascii="Arial" w:eastAsia="Calibri" w:hAnsi="Arial" w:cs="Arial"/>
          <w:bCs/>
        </w:rPr>
        <w:t>under s 17</w:t>
      </w:r>
      <w:r w:rsidR="00E44100">
        <w:rPr>
          <w:rFonts w:ascii="Arial" w:eastAsia="Calibri" w:hAnsi="Arial" w:cs="Arial"/>
          <w:bCs/>
        </w:rPr>
        <w:t xml:space="preserve"> of the Act</w:t>
      </w:r>
      <w:r w:rsidRPr="005E353F">
        <w:rPr>
          <w:rFonts w:ascii="Arial" w:hAnsi="Arial" w:cs="Arial"/>
          <w:lang w:val="en-US"/>
        </w:rPr>
        <w:t>.</w:t>
      </w:r>
    </w:p>
    <w:p w14:paraId="754681C8" w14:textId="77777777" w:rsidR="005E353F" w:rsidRPr="005E353F" w:rsidRDefault="005E353F" w:rsidP="005E353F">
      <w:pPr>
        <w:pStyle w:val="ListParagraph"/>
        <w:rPr>
          <w:rFonts w:ascii="Arial" w:hAnsi="Arial" w:cs="Arial"/>
          <w:lang w:val="en-US"/>
        </w:rPr>
      </w:pPr>
    </w:p>
    <w:p w14:paraId="56C2465A" w14:textId="67B1C08E" w:rsidR="00F93AF3" w:rsidRPr="005E353F" w:rsidRDefault="00F93AF3" w:rsidP="005E353F">
      <w:pPr>
        <w:pStyle w:val="ListParagraph"/>
        <w:numPr>
          <w:ilvl w:val="0"/>
          <w:numId w:val="2"/>
        </w:numPr>
        <w:spacing w:line="360" w:lineRule="auto"/>
        <w:ind w:left="0" w:firstLine="0"/>
        <w:jc w:val="both"/>
        <w:rPr>
          <w:rFonts w:ascii="Arial" w:hAnsi="Arial" w:cs="Arial"/>
          <w:lang w:val="en-US"/>
        </w:rPr>
      </w:pPr>
      <w:r w:rsidRPr="005E353F">
        <w:rPr>
          <w:rFonts w:ascii="Arial" w:hAnsi="Arial" w:cs="Arial"/>
          <w:lang w:val="en-US"/>
        </w:rPr>
        <w:t>David’s application was dismissed on 29 August 2023 because, according to the court of first instance, the matter was not proper</w:t>
      </w:r>
      <w:r w:rsidR="00EF3919">
        <w:rPr>
          <w:rFonts w:ascii="Arial" w:hAnsi="Arial" w:cs="Arial"/>
          <w:lang w:val="en-US"/>
        </w:rPr>
        <w:t>ly</w:t>
      </w:r>
      <w:r w:rsidRPr="005E353F">
        <w:rPr>
          <w:rFonts w:ascii="Arial" w:hAnsi="Arial" w:cs="Arial"/>
          <w:lang w:val="en-US"/>
        </w:rPr>
        <w:t xml:space="preserve"> before</w:t>
      </w:r>
      <w:r w:rsidR="005E353F">
        <w:rPr>
          <w:rFonts w:ascii="Arial" w:hAnsi="Arial" w:cs="Arial"/>
          <w:lang w:val="en-US"/>
        </w:rPr>
        <w:t xml:space="preserve"> it</w:t>
      </w:r>
      <w:r w:rsidRPr="005E353F">
        <w:rPr>
          <w:rFonts w:ascii="Arial" w:hAnsi="Arial" w:cs="Arial"/>
          <w:lang w:val="en-US"/>
        </w:rPr>
        <w:t xml:space="preserve"> in terms of s 17. On 7 June 2022, the court a quo cancelled the interim order and dismissed the application</w:t>
      </w:r>
      <w:r w:rsidR="005E353F">
        <w:rPr>
          <w:rFonts w:ascii="Arial" w:hAnsi="Arial" w:cs="Arial"/>
          <w:lang w:val="en-US"/>
        </w:rPr>
        <w:t xml:space="preserve">, </w:t>
      </w:r>
      <w:r w:rsidRPr="005E353F">
        <w:rPr>
          <w:rFonts w:ascii="Arial" w:hAnsi="Arial" w:cs="Arial"/>
          <w:lang w:val="en-US"/>
        </w:rPr>
        <w:t>thereby discharg</w:t>
      </w:r>
      <w:r w:rsidR="005E353F">
        <w:rPr>
          <w:rFonts w:ascii="Arial" w:hAnsi="Arial" w:cs="Arial"/>
          <w:lang w:val="en-US"/>
        </w:rPr>
        <w:t>ing the interim order</w:t>
      </w:r>
      <w:r w:rsidRPr="005E353F">
        <w:rPr>
          <w:rFonts w:ascii="Arial" w:hAnsi="Arial" w:cs="Arial"/>
          <w:lang w:val="en-US"/>
        </w:rPr>
        <w:t xml:space="preserve">. That was, however, not the end of the </w:t>
      </w:r>
      <w:r w:rsidR="00EF3919">
        <w:rPr>
          <w:rFonts w:ascii="Arial" w:hAnsi="Arial" w:cs="Arial"/>
          <w:lang w:val="en-US"/>
        </w:rPr>
        <w:t>matter</w:t>
      </w:r>
      <w:r w:rsidRPr="005E353F">
        <w:rPr>
          <w:rFonts w:ascii="Arial" w:hAnsi="Arial" w:cs="Arial"/>
          <w:lang w:val="en-US"/>
        </w:rPr>
        <w:t xml:space="preserve">. The court made two further orders. </w:t>
      </w:r>
      <w:proofErr w:type="spellStart"/>
      <w:r w:rsidRPr="005E353F">
        <w:rPr>
          <w:rFonts w:ascii="Arial" w:hAnsi="Arial" w:cs="Arial"/>
          <w:lang w:val="en-US"/>
        </w:rPr>
        <w:t>Siyamba</w:t>
      </w:r>
      <w:proofErr w:type="spellEnd"/>
      <w:r w:rsidRPr="005E353F">
        <w:rPr>
          <w:rFonts w:ascii="Arial" w:hAnsi="Arial" w:cs="Arial"/>
          <w:lang w:val="en-US"/>
        </w:rPr>
        <w:t xml:space="preserve"> was ordered to stay in the joint residence and David was ordered to forthwith vacate the residence.</w:t>
      </w:r>
      <w:r w:rsidR="00C15334" w:rsidRPr="005E353F">
        <w:rPr>
          <w:rFonts w:ascii="Arial" w:hAnsi="Arial" w:cs="Arial"/>
          <w:lang w:val="en-US"/>
        </w:rPr>
        <w:t xml:space="preserve"> One order </w:t>
      </w:r>
      <w:r w:rsidR="005E353F" w:rsidRPr="005E353F">
        <w:rPr>
          <w:rFonts w:ascii="Arial" w:hAnsi="Arial" w:cs="Arial"/>
          <w:lang w:val="en-US"/>
        </w:rPr>
        <w:t xml:space="preserve">entitles </w:t>
      </w:r>
      <w:proofErr w:type="spellStart"/>
      <w:r w:rsidR="005E353F" w:rsidRPr="005E353F">
        <w:rPr>
          <w:rFonts w:ascii="Arial" w:hAnsi="Arial" w:cs="Arial"/>
          <w:lang w:val="en-US"/>
        </w:rPr>
        <w:t>Siyamba</w:t>
      </w:r>
      <w:proofErr w:type="spellEnd"/>
      <w:r w:rsidR="005E353F" w:rsidRPr="005E353F">
        <w:rPr>
          <w:rFonts w:ascii="Arial" w:hAnsi="Arial" w:cs="Arial"/>
          <w:lang w:val="en-US"/>
        </w:rPr>
        <w:t xml:space="preserve"> to </w:t>
      </w:r>
      <w:r w:rsidR="008920B9">
        <w:rPr>
          <w:rFonts w:ascii="Arial" w:hAnsi="Arial" w:cs="Arial"/>
          <w:lang w:val="en-US"/>
        </w:rPr>
        <w:t>occupy</w:t>
      </w:r>
      <w:r w:rsidR="005E353F" w:rsidRPr="005E353F">
        <w:rPr>
          <w:rFonts w:ascii="Arial" w:hAnsi="Arial" w:cs="Arial"/>
          <w:lang w:val="en-US"/>
        </w:rPr>
        <w:t xml:space="preserve"> the residence</w:t>
      </w:r>
      <w:r w:rsidR="008920B9">
        <w:rPr>
          <w:rFonts w:ascii="Arial" w:hAnsi="Arial" w:cs="Arial"/>
          <w:lang w:val="en-US"/>
        </w:rPr>
        <w:t>,</w:t>
      </w:r>
      <w:r w:rsidR="005E353F" w:rsidRPr="005E353F">
        <w:rPr>
          <w:rFonts w:ascii="Arial" w:hAnsi="Arial" w:cs="Arial"/>
          <w:lang w:val="en-US"/>
        </w:rPr>
        <w:t xml:space="preserve"> </w:t>
      </w:r>
      <w:r w:rsidR="005E353F">
        <w:rPr>
          <w:rFonts w:ascii="Arial" w:hAnsi="Arial" w:cs="Arial"/>
          <w:lang w:val="en-US"/>
        </w:rPr>
        <w:t xml:space="preserve">and the other </w:t>
      </w:r>
      <w:r w:rsidR="00C15334" w:rsidRPr="005E353F">
        <w:rPr>
          <w:rFonts w:ascii="Arial" w:hAnsi="Arial" w:cs="Arial"/>
          <w:lang w:val="en-US"/>
        </w:rPr>
        <w:t xml:space="preserve">prohibits David from </w:t>
      </w:r>
      <w:r w:rsidR="008920B9">
        <w:rPr>
          <w:rFonts w:ascii="Arial" w:hAnsi="Arial" w:cs="Arial"/>
          <w:lang w:val="en-US"/>
        </w:rPr>
        <w:t>doing so</w:t>
      </w:r>
      <w:r w:rsidR="00C15334" w:rsidRPr="005E353F">
        <w:rPr>
          <w:rFonts w:ascii="Arial" w:hAnsi="Arial" w:cs="Arial"/>
          <w:lang w:val="en-US"/>
        </w:rPr>
        <w:t xml:space="preserve">. </w:t>
      </w:r>
      <w:r w:rsidRPr="005E353F">
        <w:rPr>
          <w:rFonts w:ascii="Arial" w:hAnsi="Arial" w:cs="Arial"/>
          <w:lang w:val="en-US"/>
        </w:rPr>
        <w:t xml:space="preserve"> </w:t>
      </w:r>
    </w:p>
    <w:p w14:paraId="7611BEC3" w14:textId="77777777" w:rsidR="00F93AF3" w:rsidRPr="00F93AF3" w:rsidRDefault="00F93AF3" w:rsidP="00F93AF3">
      <w:pPr>
        <w:pStyle w:val="ListParagraph"/>
        <w:rPr>
          <w:rFonts w:ascii="Arial" w:hAnsi="Arial" w:cs="Arial"/>
          <w:lang w:val="en-US"/>
        </w:rPr>
      </w:pPr>
    </w:p>
    <w:p w14:paraId="3850EC16" w14:textId="702F097A" w:rsidR="000E47C3" w:rsidRPr="000C4D39" w:rsidRDefault="006A0E3D" w:rsidP="000C4D3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From the ruling of the </w:t>
      </w:r>
      <w:r w:rsidR="00F93AF3">
        <w:rPr>
          <w:rFonts w:ascii="Arial" w:hAnsi="Arial" w:cs="Arial"/>
          <w:lang w:val="en-US"/>
        </w:rPr>
        <w:t>29 August 2023</w:t>
      </w:r>
      <w:r>
        <w:rPr>
          <w:rFonts w:ascii="Arial" w:hAnsi="Arial" w:cs="Arial"/>
          <w:lang w:val="en-US"/>
        </w:rPr>
        <w:t xml:space="preserve"> order, </w:t>
      </w:r>
      <w:r w:rsidR="000C4D39">
        <w:rPr>
          <w:rFonts w:ascii="Arial" w:hAnsi="Arial" w:cs="Arial"/>
          <w:lang w:val="en-US"/>
        </w:rPr>
        <w:t>the following is discerned</w:t>
      </w:r>
      <w:r>
        <w:rPr>
          <w:rFonts w:ascii="Arial" w:hAnsi="Arial" w:cs="Arial"/>
          <w:lang w:val="en-US"/>
        </w:rPr>
        <w:t xml:space="preserve"> in respect of the 7 June 2022 order</w:t>
      </w:r>
      <w:r w:rsidR="000C4D39">
        <w:rPr>
          <w:rFonts w:ascii="Arial" w:hAnsi="Arial" w:cs="Arial"/>
          <w:lang w:val="en-US"/>
        </w:rPr>
        <w:t xml:space="preserve">: </w:t>
      </w:r>
    </w:p>
    <w:p w14:paraId="137DDBD7" w14:textId="77777777" w:rsidR="000E47C3" w:rsidRPr="000E47C3" w:rsidRDefault="000E47C3" w:rsidP="000E47C3">
      <w:pPr>
        <w:pStyle w:val="ListParagraph"/>
        <w:rPr>
          <w:rFonts w:ascii="Arial" w:hAnsi="Arial" w:cs="Arial"/>
          <w:lang w:val="en-US"/>
        </w:rPr>
      </w:pPr>
    </w:p>
    <w:p w14:paraId="73C32515" w14:textId="3EF4CC4B" w:rsidR="000E47C3" w:rsidRPr="000E47C3" w:rsidRDefault="000E47C3" w:rsidP="000E47C3">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court of first instance</w:t>
      </w:r>
      <w:r w:rsidR="008F7E37">
        <w:rPr>
          <w:rFonts w:ascii="Arial" w:hAnsi="Arial" w:cs="Arial"/>
          <w:lang w:val="en-US"/>
        </w:rPr>
        <w:t xml:space="preserve"> </w:t>
      </w:r>
      <w:r w:rsidR="00E649FE">
        <w:rPr>
          <w:rFonts w:ascii="Arial" w:hAnsi="Arial" w:cs="Arial"/>
          <w:lang w:val="en-US"/>
        </w:rPr>
        <w:t xml:space="preserve">was of the view that it </w:t>
      </w:r>
      <w:r w:rsidR="008F7E37">
        <w:rPr>
          <w:rFonts w:ascii="Arial" w:hAnsi="Arial" w:cs="Arial"/>
          <w:lang w:val="en-US"/>
        </w:rPr>
        <w:t>did not grant a final protection order on 7 June 2022.</w:t>
      </w:r>
      <w:r>
        <w:rPr>
          <w:rFonts w:ascii="Arial" w:hAnsi="Arial" w:cs="Arial"/>
          <w:lang w:val="en-US"/>
        </w:rPr>
        <w:t xml:space="preserve"> </w:t>
      </w:r>
      <w:r w:rsidR="008F7E37" w:rsidRPr="000E47C3">
        <w:rPr>
          <w:rFonts w:ascii="Arial" w:hAnsi="Arial" w:cs="Arial"/>
          <w:lang w:val="en-US"/>
        </w:rPr>
        <w:t xml:space="preserve">It dismissed the application after conducting an </w:t>
      </w:r>
      <w:r w:rsidR="00376C79">
        <w:rPr>
          <w:rFonts w:ascii="Arial" w:hAnsi="Arial" w:cs="Arial"/>
          <w:lang w:val="en-US"/>
        </w:rPr>
        <w:t>e</w:t>
      </w:r>
      <w:r w:rsidR="008F7E37" w:rsidRPr="000E47C3">
        <w:rPr>
          <w:rFonts w:ascii="Arial" w:hAnsi="Arial" w:cs="Arial"/>
          <w:lang w:val="en-US"/>
        </w:rPr>
        <w:t>nquiry</w:t>
      </w:r>
      <w:r w:rsidR="00E649FE">
        <w:rPr>
          <w:rFonts w:ascii="Arial" w:hAnsi="Arial" w:cs="Arial"/>
          <w:lang w:val="en-US"/>
        </w:rPr>
        <w:t xml:space="preserve"> and listening to the witnesses and the parties’ evidence</w:t>
      </w:r>
      <w:r w:rsidR="008920B9">
        <w:rPr>
          <w:rFonts w:ascii="Arial" w:hAnsi="Arial" w:cs="Arial"/>
          <w:lang w:val="en-US"/>
        </w:rPr>
        <w:t>,</w:t>
      </w:r>
      <w:r w:rsidR="00E649FE">
        <w:rPr>
          <w:rFonts w:ascii="Arial" w:hAnsi="Arial" w:cs="Arial"/>
          <w:lang w:val="en-US"/>
        </w:rPr>
        <w:t xml:space="preserve"> and it made </w:t>
      </w:r>
      <w:r w:rsidR="008F7E37" w:rsidRPr="000E47C3">
        <w:rPr>
          <w:rFonts w:ascii="Arial" w:hAnsi="Arial" w:cs="Arial"/>
          <w:lang w:val="en-US"/>
        </w:rPr>
        <w:t xml:space="preserve">a second order ordering </w:t>
      </w:r>
      <w:proofErr w:type="spellStart"/>
      <w:r w:rsidRPr="000E47C3">
        <w:rPr>
          <w:rFonts w:ascii="Arial" w:hAnsi="Arial" w:cs="Arial"/>
          <w:lang w:val="en-US"/>
        </w:rPr>
        <w:t>Siyamba</w:t>
      </w:r>
      <w:proofErr w:type="spellEnd"/>
      <w:r w:rsidR="008F7E37" w:rsidRPr="000E47C3">
        <w:rPr>
          <w:rFonts w:ascii="Arial" w:hAnsi="Arial" w:cs="Arial"/>
          <w:lang w:val="en-US"/>
        </w:rPr>
        <w:t xml:space="preserve"> to return to the residence after the interim protection order ordered </w:t>
      </w:r>
      <w:r w:rsidRPr="000E47C3">
        <w:rPr>
          <w:rFonts w:ascii="Arial" w:hAnsi="Arial" w:cs="Arial"/>
          <w:lang w:val="en-US"/>
        </w:rPr>
        <w:t>her</w:t>
      </w:r>
      <w:r w:rsidR="008F7E37" w:rsidRPr="000E47C3">
        <w:rPr>
          <w:rFonts w:ascii="Arial" w:hAnsi="Arial" w:cs="Arial"/>
          <w:lang w:val="en-US"/>
        </w:rPr>
        <w:t xml:space="preserve"> to be removed from </w:t>
      </w:r>
      <w:r w:rsidRPr="000E47C3">
        <w:rPr>
          <w:rFonts w:ascii="Arial" w:hAnsi="Arial" w:cs="Arial"/>
          <w:lang w:val="en-US"/>
        </w:rPr>
        <w:t>it</w:t>
      </w:r>
      <w:r w:rsidR="008F7E37" w:rsidRPr="000E47C3">
        <w:rPr>
          <w:rFonts w:ascii="Arial" w:hAnsi="Arial" w:cs="Arial"/>
          <w:lang w:val="en-US"/>
        </w:rPr>
        <w:t>.</w:t>
      </w:r>
      <w:r w:rsidR="00E649FE">
        <w:rPr>
          <w:rFonts w:ascii="Arial" w:hAnsi="Arial" w:cs="Arial"/>
          <w:lang w:val="en-US"/>
        </w:rPr>
        <w:t xml:space="preserve"> </w:t>
      </w:r>
      <w:r w:rsidR="008920B9">
        <w:rPr>
          <w:rFonts w:ascii="Arial" w:hAnsi="Arial" w:cs="Arial"/>
          <w:lang w:val="en-US"/>
        </w:rPr>
        <w:t>T</w:t>
      </w:r>
      <w:r w:rsidR="00E649FE">
        <w:rPr>
          <w:rFonts w:ascii="Arial" w:hAnsi="Arial" w:cs="Arial"/>
          <w:lang w:val="en-US"/>
        </w:rPr>
        <w:t>here was evidence that</w:t>
      </w:r>
      <w:r w:rsidR="008E493A">
        <w:rPr>
          <w:rFonts w:ascii="Arial" w:hAnsi="Arial" w:cs="Arial"/>
          <w:lang w:val="en-US"/>
        </w:rPr>
        <w:t>, at the time,</w:t>
      </w:r>
      <w:r w:rsidR="00E649FE">
        <w:rPr>
          <w:rFonts w:ascii="Arial" w:hAnsi="Arial" w:cs="Arial"/>
          <w:lang w:val="en-US"/>
        </w:rPr>
        <w:t xml:space="preserve"> </w:t>
      </w:r>
      <w:proofErr w:type="spellStart"/>
      <w:r w:rsidR="00E649FE">
        <w:rPr>
          <w:rFonts w:ascii="Arial" w:hAnsi="Arial" w:cs="Arial"/>
          <w:lang w:val="en-US"/>
        </w:rPr>
        <w:t>Siyamba</w:t>
      </w:r>
      <w:proofErr w:type="spellEnd"/>
      <w:r w:rsidR="00E649FE">
        <w:rPr>
          <w:rFonts w:ascii="Arial" w:hAnsi="Arial" w:cs="Arial"/>
          <w:lang w:val="en-US"/>
        </w:rPr>
        <w:t xml:space="preserve"> stay</w:t>
      </w:r>
      <w:r w:rsidR="000958BF">
        <w:rPr>
          <w:rFonts w:ascii="Arial" w:hAnsi="Arial" w:cs="Arial"/>
          <w:lang w:val="en-US"/>
        </w:rPr>
        <w:t>ed in th</w:t>
      </w:r>
      <w:r w:rsidR="008E493A">
        <w:rPr>
          <w:rFonts w:ascii="Arial" w:hAnsi="Arial" w:cs="Arial"/>
          <w:lang w:val="en-US"/>
        </w:rPr>
        <w:t xml:space="preserve">e </w:t>
      </w:r>
      <w:r w:rsidR="000958BF">
        <w:rPr>
          <w:rFonts w:ascii="Arial" w:hAnsi="Arial" w:cs="Arial"/>
          <w:lang w:val="en-US"/>
        </w:rPr>
        <w:t xml:space="preserve">house with the children, and it was on that basis that the court considered where she should go and stay with the children. </w:t>
      </w:r>
      <w:r w:rsidR="008E493A">
        <w:rPr>
          <w:rFonts w:ascii="Arial" w:hAnsi="Arial" w:cs="Arial"/>
          <w:lang w:val="en-US"/>
        </w:rPr>
        <w:t xml:space="preserve">On the other hand, </w:t>
      </w:r>
      <w:r w:rsidR="000958BF">
        <w:rPr>
          <w:rFonts w:ascii="Arial" w:hAnsi="Arial" w:cs="Arial"/>
          <w:lang w:val="en-US"/>
        </w:rPr>
        <w:t>David was not in th</w:t>
      </w:r>
      <w:r w:rsidR="008E493A">
        <w:rPr>
          <w:rFonts w:ascii="Arial" w:hAnsi="Arial" w:cs="Arial"/>
          <w:lang w:val="en-US"/>
        </w:rPr>
        <w:t>e</w:t>
      </w:r>
      <w:r w:rsidR="000958BF">
        <w:rPr>
          <w:rFonts w:ascii="Arial" w:hAnsi="Arial" w:cs="Arial"/>
          <w:lang w:val="en-US"/>
        </w:rPr>
        <w:t xml:space="preserve"> house</w:t>
      </w:r>
      <w:r w:rsidR="008E493A">
        <w:rPr>
          <w:rFonts w:ascii="Arial" w:hAnsi="Arial" w:cs="Arial"/>
          <w:lang w:val="en-US"/>
        </w:rPr>
        <w:t xml:space="preserve"> at the time as he</w:t>
      </w:r>
      <w:r w:rsidR="00E649FE">
        <w:rPr>
          <w:rFonts w:ascii="Arial" w:hAnsi="Arial" w:cs="Arial"/>
          <w:lang w:val="en-US"/>
        </w:rPr>
        <w:t xml:space="preserve"> was staying at his girlfriend’s house</w:t>
      </w:r>
      <w:r w:rsidR="00997249">
        <w:rPr>
          <w:rFonts w:ascii="Arial" w:hAnsi="Arial" w:cs="Arial"/>
          <w:lang w:val="en-US"/>
        </w:rPr>
        <w:t>.</w:t>
      </w:r>
      <w:r w:rsidR="00E649FE">
        <w:rPr>
          <w:rFonts w:ascii="Arial" w:hAnsi="Arial" w:cs="Arial"/>
          <w:lang w:val="en-US"/>
        </w:rPr>
        <w:t xml:space="preserve">  </w:t>
      </w:r>
    </w:p>
    <w:p w14:paraId="20728ED1" w14:textId="77777777" w:rsidR="000E47C3" w:rsidRPr="000E47C3" w:rsidRDefault="000E47C3" w:rsidP="000E47C3">
      <w:pPr>
        <w:pStyle w:val="ListParagraph"/>
        <w:rPr>
          <w:rFonts w:ascii="Arial" w:hAnsi="Arial" w:cs="Arial"/>
          <w:lang w:val="en-US"/>
        </w:rPr>
      </w:pPr>
    </w:p>
    <w:p w14:paraId="06A34D4C" w14:textId="736A66B1" w:rsidR="008F7E37" w:rsidRPr="000958BF" w:rsidRDefault="000E47C3" w:rsidP="000958BF">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David’s</w:t>
      </w:r>
      <w:r w:rsidR="008F7E37">
        <w:rPr>
          <w:rFonts w:ascii="Arial" w:hAnsi="Arial" w:cs="Arial"/>
          <w:lang w:val="en-US"/>
        </w:rPr>
        <w:t xml:space="preserve"> application is based on s 17</w:t>
      </w:r>
      <w:r w:rsidR="00E44100">
        <w:rPr>
          <w:rFonts w:ascii="Arial" w:hAnsi="Arial" w:cs="Arial"/>
          <w:lang w:val="en-US"/>
        </w:rPr>
        <w:t xml:space="preserve"> of the Act</w:t>
      </w:r>
      <w:r w:rsidR="008F7E37">
        <w:rPr>
          <w:rFonts w:ascii="Arial" w:hAnsi="Arial" w:cs="Arial"/>
          <w:lang w:val="en-US"/>
        </w:rPr>
        <w:t>. Section 17(3)</w:t>
      </w:r>
      <w:r w:rsidR="00E44100">
        <w:rPr>
          <w:rFonts w:ascii="Arial" w:hAnsi="Arial" w:cs="Arial"/>
          <w:lang w:val="en-US"/>
        </w:rPr>
        <w:t xml:space="preserve"> of the Act</w:t>
      </w:r>
      <w:r w:rsidR="008F7E37">
        <w:rPr>
          <w:rFonts w:ascii="Arial" w:hAnsi="Arial" w:cs="Arial"/>
          <w:lang w:val="en-US"/>
        </w:rPr>
        <w:t xml:space="preserve"> is clear that </w:t>
      </w:r>
      <w:r w:rsidR="00FB4C8D">
        <w:rPr>
          <w:rFonts w:ascii="Arial" w:hAnsi="Arial" w:cs="Arial"/>
          <w:lang w:val="en-US"/>
        </w:rPr>
        <w:t>‘</w:t>
      </w:r>
      <w:r w:rsidR="008F7E37">
        <w:rPr>
          <w:rFonts w:ascii="Arial" w:hAnsi="Arial" w:cs="Arial"/>
          <w:lang w:val="en-US"/>
        </w:rPr>
        <w:t>the application is not a final protection order</w:t>
      </w:r>
      <w:r w:rsidR="00FB4C8D">
        <w:rPr>
          <w:rFonts w:ascii="Arial" w:hAnsi="Arial" w:cs="Arial"/>
          <w:lang w:val="en-US"/>
        </w:rPr>
        <w:t xml:space="preserve"> application in terms </w:t>
      </w:r>
      <w:proofErr w:type="gramStart"/>
      <w:r w:rsidR="00FB4C8D">
        <w:rPr>
          <w:rFonts w:ascii="Arial" w:hAnsi="Arial" w:cs="Arial"/>
          <w:lang w:val="en-US"/>
        </w:rPr>
        <w:t>of</w:t>
      </w:r>
      <w:r w:rsidR="001F32A8">
        <w:rPr>
          <w:rFonts w:ascii="Arial" w:hAnsi="Arial" w:cs="Arial"/>
          <w:lang w:val="en-US"/>
        </w:rPr>
        <w:t>’</w:t>
      </w:r>
      <w:r w:rsidR="00FB4C8D">
        <w:rPr>
          <w:rFonts w:ascii="Arial" w:hAnsi="Arial" w:cs="Arial"/>
          <w:lang w:val="en-US"/>
        </w:rPr>
        <w:t xml:space="preserve"> s</w:t>
      </w:r>
      <w:proofErr w:type="gramEnd"/>
      <w:r w:rsidR="00FB4C8D">
        <w:rPr>
          <w:rFonts w:ascii="Arial" w:hAnsi="Arial" w:cs="Arial"/>
          <w:lang w:val="en-US"/>
        </w:rPr>
        <w:t xml:space="preserve"> 17 for cancellation</w:t>
      </w:r>
      <w:r w:rsidR="008F7E37">
        <w:rPr>
          <w:rFonts w:ascii="Arial" w:hAnsi="Arial" w:cs="Arial"/>
          <w:lang w:val="en-US"/>
        </w:rPr>
        <w:t>.</w:t>
      </w:r>
      <w:r w:rsidR="000958BF">
        <w:rPr>
          <w:rFonts w:ascii="Arial" w:hAnsi="Arial" w:cs="Arial"/>
          <w:lang w:val="en-US"/>
        </w:rPr>
        <w:t xml:space="preserve"> </w:t>
      </w:r>
      <w:r w:rsidR="00FB4C8D" w:rsidRPr="000958BF">
        <w:rPr>
          <w:rFonts w:ascii="Arial" w:hAnsi="Arial" w:cs="Arial"/>
          <w:lang w:val="en-US"/>
        </w:rPr>
        <w:t>The court a quo</w:t>
      </w:r>
      <w:r w:rsidR="008F7E37" w:rsidRPr="000958BF">
        <w:rPr>
          <w:rFonts w:ascii="Arial" w:hAnsi="Arial" w:cs="Arial"/>
          <w:lang w:val="en-US"/>
        </w:rPr>
        <w:t xml:space="preserve"> can only cancel an order which was made final</w:t>
      </w:r>
      <w:r w:rsidR="008920B9">
        <w:rPr>
          <w:rFonts w:ascii="Arial" w:hAnsi="Arial" w:cs="Arial"/>
          <w:lang w:val="en-US"/>
        </w:rPr>
        <w:t>,</w:t>
      </w:r>
      <w:r w:rsidR="00FB4C8D" w:rsidRPr="000958BF">
        <w:rPr>
          <w:rFonts w:ascii="Arial" w:hAnsi="Arial" w:cs="Arial"/>
          <w:lang w:val="en-US"/>
        </w:rPr>
        <w:t xml:space="preserve"> and n</w:t>
      </w:r>
      <w:r w:rsidR="008F7E37" w:rsidRPr="000958BF">
        <w:rPr>
          <w:rFonts w:ascii="Arial" w:hAnsi="Arial" w:cs="Arial"/>
          <w:lang w:val="en-US"/>
        </w:rPr>
        <w:t>o order was made final.</w:t>
      </w:r>
      <w:r w:rsidR="000958BF">
        <w:rPr>
          <w:rFonts w:ascii="Arial" w:hAnsi="Arial" w:cs="Arial"/>
          <w:lang w:val="en-US"/>
        </w:rPr>
        <w:t xml:space="preserve"> </w:t>
      </w:r>
      <w:r w:rsidR="00FB4C8D" w:rsidRPr="000958BF">
        <w:rPr>
          <w:rFonts w:ascii="Arial" w:hAnsi="Arial" w:cs="Arial"/>
          <w:lang w:val="en-US"/>
        </w:rPr>
        <w:t>The said court</w:t>
      </w:r>
      <w:r w:rsidR="008F7E37" w:rsidRPr="000958BF">
        <w:rPr>
          <w:rFonts w:ascii="Arial" w:hAnsi="Arial" w:cs="Arial"/>
          <w:lang w:val="en-US"/>
        </w:rPr>
        <w:t xml:space="preserve"> deemed it fit to make an additional order ordering </w:t>
      </w:r>
      <w:proofErr w:type="spellStart"/>
      <w:r w:rsidRPr="000958BF">
        <w:rPr>
          <w:rFonts w:ascii="Arial" w:hAnsi="Arial" w:cs="Arial"/>
          <w:lang w:val="en-US"/>
        </w:rPr>
        <w:t>Siyamba</w:t>
      </w:r>
      <w:proofErr w:type="spellEnd"/>
      <w:r w:rsidR="008F7E37" w:rsidRPr="000958BF">
        <w:rPr>
          <w:rFonts w:ascii="Arial" w:hAnsi="Arial" w:cs="Arial"/>
          <w:lang w:val="en-US"/>
        </w:rPr>
        <w:t xml:space="preserve">, who </w:t>
      </w:r>
      <w:r w:rsidR="008920B9">
        <w:rPr>
          <w:rFonts w:ascii="Arial" w:hAnsi="Arial" w:cs="Arial"/>
          <w:lang w:val="en-US"/>
        </w:rPr>
        <w:t>wa</w:t>
      </w:r>
      <w:r w:rsidR="008F7E37" w:rsidRPr="000958BF">
        <w:rPr>
          <w:rFonts w:ascii="Arial" w:hAnsi="Arial" w:cs="Arial"/>
          <w:lang w:val="en-US"/>
        </w:rPr>
        <w:t>s in custody of the children</w:t>
      </w:r>
      <w:r w:rsidRPr="000958BF">
        <w:rPr>
          <w:rFonts w:ascii="Arial" w:hAnsi="Arial" w:cs="Arial"/>
          <w:lang w:val="en-US"/>
        </w:rPr>
        <w:t xml:space="preserve">, to return </w:t>
      </w:r>
      <w:r w:rsidRPr="000958BF">
        <w:rPr>
          <w:rFonts w:ascii="Arial" w:hAnsi="Arial" w:cs="Arial"/>
          <w:lang w:val="en-US"/>
        </w:rPr>
        <w:lastRenderedPageBreak/>
        <w:t>to the residence.</w:t>
      </w:r>
      <w:r w:rsidR="000958BF">
        <w:rPr>
          <w:rFonts w:ascii="Arial" w:hAnsi="Arial" w:cs="Arial"/>
          <w:lang w:val="en-US"/>
        </w:rPr>
        <w:t xml:space="preserve"> </w:t>
      </w:r>
      <w:r w:rsidRPr="000958BF">
        <w:rPr>
          <w:rFonts w:ascii="Arial" w:hAnsi="Arial" w:cs="Arial"/>
          <w:lang w:val="en-US"/>
        </w:rPr>
        <w:t>A</w:t>
      </w:r>
      <w:r w:rsidR="008F7E37" w:rsidRPr="000958BF">
        <w:rPr>
          <w:rFonts w:ascii="Arial" w:hAnsi="Arial" w:cs="Arial"/>
          <w:lang w:val="en-US"/>
        </w:rPr>
        <w:t>s such, it was held that the application was not proper</w:t>
      </w:r>
      <w:r w:rsidR="00EF3919">
        <w:rPr>
          <w:rFonts w:ascii="Arial" w:hAnsi="Arial" w:cs="Arial"/>
          <w:lang w:val="en-US"/>
        </w:rPr>
        <w:t>ly</w:t>
      </w:r>
      <w:r w:rsidR="008F7E37" w:rsidRPr="000958BF">
        <w:rPr>
          <w:rFonts w:ascii="Arial" w:hAnsi="Arial" w:cs="Arial"/>
          <w:lang w:val="en-US"/>
        </w:rPr>
        <w:t xml:space="preserve"> before </w:t>
      </w:r>
      <w:r w:rsidRPr="000958BF">
        <w:rPr>
          <w:rFonts w:ascii="Arial" w:hAnsi="Arial" w:cs="Arial"/>
          <w:lang w:val="en-US"/>
        </w:rPr>
        <w:t>the court</w:t>
      </w:r>
      <w:r w:rsidR="008F7E37" w:rsidRPr="000958BF">
        <w:rPr>
          <w:rFonts w:ascii="Arial" w:hAnsi="Arial" w:cs="Arial"/>
          <w:lang w:val="en-US"/>
        </w:rPr>
        <w:t>.</w:t>
      </w:r>
    </w:p>
    <w:p w14:paraId="41D91D1F" w14:textId="77777777" w:rsidR="008F7E37" w:rsidRPr="008F7E37" w:rsidRDefault="008F7E37" w:rsidP="008F7E37">
      <w:pPr>
        <w:pStyle w:val="ListParagraph"/>
        <w:rPr>
          <w:rFonts w:ascii="Arial" w:hAnsi="Arial" w:cs="Arial"/>
          <w:lang w:val="en-US"/>
        </w:rPr>
      </w:pPr>
    </w:p>
    <w:p w14:paraId="59FBA3AA" w14:textId="0A33D739" w:rsidR="008920B9" w:rsidRDefault="004A1AC9" w:rsidP="008920B9">
      <w:pPr>
        <w:pStyle w:val="ListParagraph"/>
        <w:numPr>
          <w:ilvl w:val="0"/>
          <w:numId w:val="2"/>
        </w:numPr>
        <w:spacing w:line="360" w:lineRule="auto"/>
        <w:ind w:left="0" w:firstLine="0"/>
        <w:jc w:val="both"/>
        <w:rPr>
          <w:rFonts w:ascii="Arial" w:hAnsi="Arial" w:cs="Arial"/>
          <w:lang w:val="en-US"/>
        </w:rPr>
      </w:pPr>
      <w:r w:rsidRPr="000958BF">
        <w:rPr>
          <w:rFonts w:ascii="Arial" w:hAnsi="Arial" w:cs="Arial"/>
          <w:lang w:val="en-US"/>
        </w:rPr>
        <w:t>From the transcript of the court proceedings conducted on</w:t>
      </w:r>
      <w:r w:rsidR="003C3F29" w:rsidRPr="000958BF">
        <w:rPr>
          <w:rFonts w:ascii="Arial" w:hAnsi="Arial" w:cs="Arial"/>
          <w:lang w:val="en-US"/>
        </w:rPr>
        <w:t xml:space="preserve"> 29 August 2023</w:t>
      </w:r>
      <w:r w:rsidR="00B44D8C">
        <w:rPr>
          <w:rFonts w:ascii="Arial" w:hAnsi="Arial" w:cs="Arial"/>
          <w:lang w:val="en-US"/>
        </w:rPr>
        <w:t>,</w:t>
      </w:r>
      <w:r w:rsidR="003C3F29" w:rsidRPr="000958BF">
        <w:rPr>
          <w:rFonts w:ascii="Arial" w:hAnsi="Arial" w:cs="Arial"/>
          <w:lang w:val="en-US"/>
        </w:rPr>
        <w:t xml:space="preserve"> the following transpires</w:t>
      </w:r>
      <w:r w:rsidR="006A0E3D">
        <w:rPr>
          <w:rFonts w:ascii="Arial" w:hAnsi="Arial" w:cs="Arial"/>
          <w:lang w:val="en-US"/>
        </w:rPr>
        <w:t xml:space="preserve"> in respect of the 7 June 2022 order</w:t>
      </w:r>
      <w:r w:rsidR="003C3F29" w:rsidRPr="000958BF">
        <w:rPr>
          <w:rFonts w:ascii="Arial" w:hAnsi="Arial" w:cs="Arial"/>
          <w:lang w:val="en-US"/>
        </w:rPr>
        <w:t>.</w:t>
      </w:r>
      <w:r w:rsidR="00FF374C" w:rsidRPr="000958BF">
        <w:rPr>
          <w:rFonts w:ascii="Arial" w:hAnsi="Arial" w:cs="Arial"/>
          <w:lang w:val="en-US"/>
        </w:rPr>
        <w:t xml:space="preserve"> The court a quo was of the view that the second order</w:t>
      </w:r>
      <w:r w:rsidR="000958BF">
        <w:rPr>
          <w:rFonts w:ascii="Arial" w:hAnsi="Arial" w:cs="Arial"/>
          <w:lang w:val="en-US"/>
        </w:rPr>
        <w:t xml:space="preserve"> was not to evict</w:t>
      </w:r>
      <w:r w:rsidR="00FB4C8D" w:rsidRPr="000958BF">
        <w:rPr>
          <w:rFonts w:ascii="Arial" w:hAnsi="Arial" w:cs="Arial"/>
          <w:lang w:val="en-US"/>
        </w:rPr>
        <w:t xml:space="preserve"> David</w:t>
      </w:r>
      <w:r w:rsidR="00FF374C" w:rsidRPr="000958BF">
        <w:rPr>
          <w:rFonts w:ascii="Arial" w:hAnsi="Arial" w:cs="Arial"/>
          <w:lang w:val="en-US"/>
        </w:rPr>
        <w:t xml:space="preserve"> from his house because he was not there</w:t>
      </w:r>
      <w:r w:rsidR="008E493A">
        <w:rPr>
          <w:rFonts w:ascii="Arial" w:hAnsi="Arial" w:cs="Arial"/>
          <w:lang w:val="en-US"/>
        </w:rPr>
        <w:t xml:space="preserve"> at the time</w:t>
      </w:r>
      <w:r w:rsidR="00FB4C8D" w:rsidRPr="000958BF">
        <w:rPr>
          <w:rFonts w:ascii="Arial" w:hAnsi="Arial" w:cs="Arial"/>
          <w:lang w:val="en-US"/>
        </w:rPr>
        <w:t xml:space="preserve">. </w:t>
      </w:r>
      <w:r w:rsidR="000958BF">
        <w:rPr>
          <w:rFonts w:ascii="Arial" w:hAnsi="Arial" w:cs="Arial"/>
          <w:lang w:val="en-US"/>
        </w:rPr>
        <w:t>The court of first instance</w:t>
      </w:r>
      <w:r w:rsidR="00FF374C" w:rsidRPr="000958BF">
        <w:rPr>
          <w:rFonts w:ascii="Arial" w:hAnsi="Arial" w:cs="Arial"/>
          <w:lang w:val="en-US"/>
        </w:rPr>
        <w:t xml:space="preserve"> was alive to the fact that it could make any other order, but it appeared to be of the view that th</w:t>
      </w:r>
      <w:r w:rsidR="00FB4C8D" w:rsidRPr="000958BF">
        <w:rPr>
          <w:rFonts w:ascii="Arial" w:hAnsi="Arial" w:cs="Arial"/>
          <w:lang w:val="en-US"/>
        </w:rPr>
        <w:t xml:space="preserve">e second order </w:t>
      </w:r>
      <w:r w:rsidR="00B44D8C">
        <w:rPr>
          <w:rFonts w:ascii="Arial" w:hAnsi="Arial" w:cs="Arial"/>
          <w:lang w:val="en-US"/>
        </w:rPr>
        <w:t>wa</w:t>
      </w:r>
      <w:r w:rsidR="00FF374C" w:rsidRPr="000958BF">
        <w:rPr>
          <w:rFonts w:ascii="Arial" w:hAnsi="Arial" w:cs="Arial"/>
          <w:lang w:val="en-US"/>
        </w:rPr>
        <w:t>s not a protection order.</w:t>
      </w:r>
      <w:r w:rsidR="00FB4C8D" w:rsidRPr="000958BF">
        <w:rPr>
          <w:rFonts w:ascii="Arial" w:hAnsi="Arial" w:cs="Arial"/>
          <w:lang w:val="en-US"/>
        </w:rPr>
        <w:t xml:space="preserve"> </w:t>
      </w:r>
      <w:r w:rsidR="003C3F29" w:rsidRPr="000958BF">
        <w:rPr>
          <w:rFonts w:ascii="Arial" w:hAnsi="Arial" w:cs="Arial"/>
          <w:lang w:val="en-US"/>
        </w:rPr>
        <w:t xml:space="preserve">It referred to s 17(2) </w:t>
      </w:r>
      <w:r w:rsidR="00E44100">
        <w:rPr>
          <w:rFonts w:ascii="Arial" w:hAnsi="Arial" w:cs="Arial"/>
          <w:lang w:val="en-US"/>
        </w:rPr>
        <w:t xml:space="preserve">of the Act </w:t>
      </w:r>
      <w:r w:rsidR="003C3F29" w:rsidRPr="000958BF">
        <w:rPr>
          <w:rFonts w:ascii="Arial" w:hAnsi="Arial" w:cs="Arial"/>
          <w:lang w:val="en-US"/>
        </w:rPr>
        <w:t xml:space="preserve">and found that </w:t>
      </w:r>
      <w:r w:rsidR="00FB4C8D" w:rsidRPr="000958BF">
        <w:rPr>
          <w:rFonts w:ascii="Arial" w:hAnsi="Arial" w:cs="Arial"/>
          <w:lang w:val="en-US"/>
        </w:rPr>
        <w:t>David</w:t>
      </w:r>
      <w:r w:rsidR="003C3F29" w:rsidRPr="000958BF">
        <w:rPr>
          <w:rFonts w:ascii="Arial" w:hAnsi="Arial" w:cs="Arial"/>
          <w:lang w:val="en-US"/>
        </w:rPr>
        <w:t xml:space="preserve"> c</w:t>
      </w:r>
      <w:r w:rsidR="00FB4C8D" w:rsidRPr="000958BF">
        <w:rPr>
          <w:rFonts w:ascii="Arial" w:hAnsi="Arial" w:cs="Arial"/>
          <w:lang w:val="en-US"/>
        </w:rPr>
        <w:t xml:space="preserve">ould not apply for cancellation because the order was </w:t>
      </w:r>
      <w:r w:rsidR="00BC46F1" w:rsidRPr="000958BF">
        <w:rPr>
          <w:rFonts w:ascii="Arial" w:hAnsi="Arial" w:cs="Arial"/>
          <w:lang w:val="en-US"/>
        </w:rPr>
        <w:t>‘</w:t>
      </w:r>
      <w:r w:rsidR="00FB4C8D" w:rsidRPr="000958BF">
        <w:rPr>
          <w:rFonts w:ascii="Arial" w:hAnsi="Arial" w:cs="Arial"/>
          <w:lang w:val="en-US"/>
        </w:rPr>
        <w:t>against him</w:t>
      </w:r>
      <w:r w:rsidR="00B44D8C">
        <w:rPr>
          <w:rFonts w:ascii="Arial" w:hAnsi="Arial" w:cs="Arial"/>
          <w:lang w:val="en-US"/>
        </w:rPr>
        <w:t>’</w:t>
      </w:r>
      <w:r w:rsidR="00BC46F1" w:rsidRPr="000958BF">
        <w:rPr>
          <w:rFonts w:ascii="Arial" w:hAnsi="Arial" w:cs="Arial"/>
          <w:lang w:val="en-US"/>
        </w:rPr>
        <w:t>,</w:t>
      </w:r>
      <w:r w:rsidR="000C4D39" w:rsidRPr="000958BF">
        <w:rPr>
          <w:rFonts w:ascii="Arial" w:hAnsi="Arial" w:cs="Arial"/>
          <w:lang w:val="en-US"/>
        </w:rPr>
        <w:t xml:space="preserve"> and</w:t>
      </w:r>
      <w:r w:rsidR="00BC46F1" w:rsidRPr="000958BF">
        <w:rPr>
          <w:rFonts w:ascii="Arial" w:hAnsi="Arial" w:cs="Arial"/>
          <w:lang w:val="en-US"/>
        </w:rPr>
        <w:t xml:space="preserve"> therefore</w:t>
      </w:r>
      <w:r w:rsidR="00B44D8C">
        <w:rPr>
          <w:rFonts w:ascii="Arial" w:hAnsi="Arial" w:cs="Arial"/>
          <w:lang w:val="en-US"/>
        </w:rPr>
        <w:t>, ‘unless there is new evidence’,</w:t>
      </w:r>
      <w:r w:rsidR="00BC46F1" w:rsidRPr="000958BF">
        <w:rPr>
          <w:rFonts w:ascii="Arial" w:hAnsi="Arial" w:cs="Arial"/>
          <w:lang w:val="en-US"/>
        </w:rPr>
        <w:t xml:space="preserve"> he could not approach the court a quo ‘again</w:t>
      </w:r>
      <w:r w:rsidR="00997249">
        <w:rPr>
          <w:rFonts w:ascii="Arial" w:hAnsi="Arial" w:cs="Arial"/>
          <w:lang w:val="en-US"/>
        </w:rPr>
        <w:t>’</w:t>
      </w:r>
      <w:r w:rsidR="00BC46F1" w:rsidRPr="000958BF">
        <w:rPr>
          <w:rFonts w:ascii="Arial" w:hAnsi="Arial" w:cs="Arial"/>
          <w:lang w:val="en-US"/>
        </w:rPr>
        <w:t xml:space="preserve"> to say </w:t>
      </w:r>
      <w:r w:rsidR="00997249">
        <w:rPr>
          <w:rFonts w:ascii="Arial" w:hAnsi="Arial" w:cs="Arial"/>
          <w:lang w:val="en-US"/>
        </w:rPr>
        <w:t>he wants th</w:t>
      </w:r>
      <w:r w:rsidR="008E493A">
        <w:rPr>
          <w:rFonts w:ascii="Arial" w:hAnsi="Arial" w:cs="Arial"/>
          <w:lang w:val="en-US"/>
        </w:rPr>
        <w:t>e</w:t>
      </w:r>
      <w:r w:rsidR="00997249">
        <w:rPr>
          <w:rFonts w:ascii="Arial" w:hAnsi="Arial" w:cs="Arial"/>
          <w:lang w:val="en-US"/>
        </w:rPr>
        <w:t xml:space="preserve"> </w:t>
      </w:r>
      <w:r w:rsidR="00BC46F1" w:rsidRPr="000958BF">
        <w:rPr>
          <w:rFonts w:ascii="Arial" w:hAnsi="Arial" w:cs="Arial"/>
          <w:lang w:val="en-US"/>
        </w:rPr>
        <w:t>order to be cancelled</w:t>
      </w:r>
      <w:r w:rsidR="00FB4C8D" w:rsidRPr="000958BF">
        <w:rPr>
          <w:rFonts w:ascii="Arial" w:hAnsi="Arial" w:cs="Arial"/>
          <w:lang w:val="en-US"/>
        </w:rPr>
        <w:t>.</w:t>
      </w:r>
      <w:r w:rsidR="00BC46F1" w:rsidRPr="000958BF">
        <w:rPr>
          <w:rFonts w:ascii="Arial" w:hAnsi="Arial" w:cs="Arial"/>
          <w:lang w:val="en-US"/>
        </w:rPr>
        <w:t xml:space="preserve"> The court a quo opined that David c</w:t>
      </w:r>
      <w:r w:rsidR="000C4D39" w:rsidRPr="000958BF">
        <w:rPr>
          <w:rFonts w:ascii="Arial" w:hAnsi="Arial" w:cs="Arial"/>
          <w:lang w:val="en-US"/>
        </w:rPr>
        <w:t>ould</w:t>
      </w:r>
      <w:r w:rsidR="00BC46F1" w:rsidRPr="000958BF">
        <w:rPr>
          <w:rFonts w:ascii="Arial" w:hAnsi="Arial" w:cs="Arial"/>
          <w:lang w:val="en-US"/>
        </w:rPr>
        <w:t xml:space="preserve"> apply for a new protection order. </w:t>
      </w:r>
    </w:p>
    <w:p w14:paraId="25C28B33" w14:textId="77777777" w:rsidR="008920B9" w:rsidRPr="008920B9" w:rsidRDefault="008920B9" w:rsidP="008920B9">
      <w:pPr>
        <w:pStyle w:val="ListParagraph"/>
        <w:rPr>
          <w:rFonts w:ascii="Arial" w:hAnsi="Arial" w:cs="Arial"/>
          <w:lang w:val="en-US"/>
        </w:rPr>
      </w:pPr>
    </w:p>
    <w:p w14:paraId="57240BED" w14:textId="354AE605" w:rsidR="008920B9" w:rsidRDefault="007B4701" w:rsidP="008920B9">
      <w:pPr>
        <w:pStyle w:val="ListParagraph"/>
        <w:numPr>
          <w:ilvl w:val="0"/>
          <w:numId w:val="2"/>
        </w:numPr>
        <w:spacing w:line="360" w:lineRule="auto"/>
        <w:ind w:left="0" w:firstLine="0"/>
        <w:jc w:val="both"/>
        <w:rPr>
          <w:rFonts w:ascii="Arial" w:hAnsi="Arial" w:cs="Arial"/>
          <w:lang w:val="en-US"/>
        </w:rPr>
      </w:pPr>
      <w:r w:rsidRPr="0095151E">
        <w:rPr>
          <w:rFonts w:ascii="Arial" w:hAnsi="Arial" w:cs="Arial"/>
          <w:lang w:val="en-US"/>
        </w:rPr>
        <w:t xml:space="preserve">It is necessary </w:t>
      </w:r>
      <w:r w:rsidR="008920B9">
        <w:rPr>
          <w:rFonts w:ascii="Arial" w:hAnsi="Arial" w:cs="Arial"/>
          <w:lang w:val="en-US"/>
        </w:rPr>
        <w:t xml:space="preserve">at this juncture </w:t>
      </w:r>
      <w:r w:rsidRPr="0095151E">
        <w:rPr>
          <w:rFonts w:ascii="Arial" w:hAnsi="Arial" w:cs="Arial"/>
          <w:lang w:val="en-US"/>
        </w:rPr>
        <w:t>to examine the relevant structure of the Act.</w:t>
      </w:r>
    </w:p>
    <w:p w14:paraId="1CEA7225" w14:textId="77777777" w:rsidR="008920B9" w:rsidRPr="008920B9" w:rsidRDefault="008920B9" w:rsidP="008920B9">
      <w:pPr>
        <w:pStyle w:val="ListParagraph"/>
        <w:rPr>
          <w:rFonts w:ascii="Arial" w:hAnsi="Arial" w:cs="Arial"/>
          <w:lang w:val="en-US"/>
        </w:rPr>
      </w:pPr>
    </w:p>
    <w:p w14:paraId="629E2C74" w14:textId="0963CAC6" w:rsidR="008920B9" w:rsidRDefault="007B4701" w:rsidP="008920B9">
      <w:pPr>
        <w:pStyle w:val="ListParagraph"/>
        <w:numPr>
          <w:ilvl w:val="0"/>
          <w:numId w:val="2"/>
        </w:numPr>
        <w:spacing w:line="360" w:lineRule="auto"/>
        <w:ind w:left="0" w:firstLine="0"/>
        <w:jc w:val="both"/>
        <w:rPr>
          <w:rFonts w:ascii="Arial" w:hAnsi="Arial" w:cs="Arial"/>
          <w:lang w:val="en-US"/>
        </w:rPr>
      </w:pPr>
      <w:r w:rsidRPr="008920B9">
        <w:rPr>
          <w:rFonts w:ascii="Arial" w:hAnsi="Arial" w:cs="Arial"/>
          <w:lang w:val="en-US"/>
        </w:rPr>
        <w:t xml:space="preserve">Section 1 defines a protection order to mean ‘an interim or final protection order granted under’ the Act. The </w:t>
      </w:r>
      <w:r w:rsidR="008920B9">
        <w:rPr>
          <w:rFonts w:ascii="Arial" w:hAnsi="Arial" w:cs="Arial"/>
          <w:lang w:val="en-US"/>
        </w:rPr>
        <w:t>phrases</w:t>
      </w:r>
      <w:r w:rsidRPr="008920B9">
        <w:rPr>
          <w:rFonts w:ascii="Arial" w:hAnsi="Arial" w:cs="Arial"/>
          <w:lang w:val="en-US"/>
        </w:rPr>
        <w:t xml:space="preserve"> ‘interim protection order’ and ‘final protection order’ are not </w:t>
      </w:r>
      <w:r w:rsidR="00997249">
        <w:rPr>
          <w:rFonts w:ascii="Arial" w:hAnsi="Arial" w:cs="Arial"/>
          <w:lang w:val="en-US"/>
        </w:rPr>
        <w:t xml:space="preserve">separately </w:t>
      </w:r>
      <w:r w:rsidRPr="008920B9">
        <w:rPr>
          <w:rFonts w:ascii="Arial" w:hAnsi="Arial" w:cs="Arial"/>
          <w:lang w:val="en-US"/>
        </w:rPr>
        <w:t>defined in s 1.</w:t>
      </w:r>
    </w:p>
    <w:p w14:paraId="691C543A" w14:textId="77777777" w:rsidR="008920B9" w:rsidRPr="008920B9" w:rsidRDefault="008920B9" w:rsidP="008920B9">
      <w:pPr>
        <w:pStyle w:val="ListParagraph"/>
        <w:rPr>
          <w:rFonts w:ascii="Arial" w:hAnsi="Arial" w:cs="Arial"/>
          <w:lang w:val="en-US"/>
        </w:rPr>
      </w:pPr>
    </w:p>
    <w:p w14:paraId="5354DF72" w14:textId="261090D2" w:rsidR="008920B9" w:rsidRDefault="008920B9" w:rsidP="008920B9">
      <w:pPr>
        <w:pStyle w:val="ListParagraph"/>
        <w:numPr>
          <w:ilvl w:val="0"/>
          <w:numId w:val="2"/>
        </w:numPr>
        <w:spacing w:line="360" w:lineRule="auto"/>
        <w:ind w:left="0" w:firstLine="0"/>
        <w:jc w:val="both"/>
        <w:rPr>
          <w:rFonts w:ascii="Arial" w:hAnsi="Arial" w:cs="Arial"/>
          <w:lang w:val="en-US"/>
        </w:rPr>
      </w:pPr>
      <w:r w:rsidRPr="008920B9">
        <w:rPr>
          <w:rFonts w:ascii="Arial" w:hAnsi="Arial" w:cs="Arial"/>
          <w:lang w:val="en-US"/>
        </w:rPr>
        <w:t xml:space="preserve">The phrases ‘protection order’, ‘interim protection order’ and ‘final protection order’ are all used in the Act. The specific phrase used in any particular section should be interpreted in the context in which it is used </w:t>
      </w:r>
      <w:r w:rsidR="00735BEF">
        <w:rPr>
          <w:rFonts w:ascii="Arial" w:hAnsi="Arial" w:cs="Arial"/>
          <w:lang w:val="en-US"/>
        </w:rPr>
        <w:t>with</w:t>
      </w:r>
      <w:r w:rsidRPr="008920B9">
        <w:rPr>
          <w:rFonts w:ascii="Arial" w:hAnsi="Arial" w:cs="Arial"/>
          <w:lang w:val="en-US"/>
        </w:rPr>
        <w:t>in the structure of the Act as a whole.</w:t>
      </w:r>
      <w:r w:rsidR="007B4701" w:rsidRPr="008920B9">
        <w:rPr>
          <w:rFonts w:ascii="Arial" w:hAnsi="Arial" w:cs="Arial"/>
          <w:lang w:val="en-US"/>
        </w:rPr>
        <w:t xml:space="preserve"> </w:t>
      </w:r>
    </w:p>
    <w:p w14:paraId="7A0CF58C" w14:textId="77777777" w:rsidR="008920B9" w:rsidRPr="008920B9" w:rsidRDefault="008920B9" w:rsidP="008920B9">
      <w:pPr>
        <w:pStyle w:val="ListParagraph"/>
        <w:rPr>
          <w:rFonts w:ascii="Arial" w:hAnsi="Arial" w:cs="Arial"/>
          <w:lang w:val="en-US"/>
        </w:rPr>
      </w:pPr>
    </w:p>
    <w:p w14:paraId="1A05D8ED" w14:textId="475E52CA" w:rsidR="008920B9" w:rsidRDefault="007B4701" w:rsidP="008920B9">
      <w:pPr>
        <w:pStyle w:val="ListParagraph"/>
        <w:numPr>
          <w:ilvl w:val="0"/>
          <w:numId w:val="2"/>
        </w:numPr>
        <w:spacing w:line="360" w:lineRule="auto"/>
        <w:ind w:left="0" w:firstLine="0"/>
        <w:jc w:val="both"/>
        <w:rPr>
          <w:rFonts w:ascii="Arial" w:hAnsi="Arial" w:cs="Arial"/>
          <w:lang w:val="en-US"/>
        </w:rPr>
      </w:pPr>
      <w:r w:rsidRPr="008920B9">
        <w:rPr>
          <w:rFonts w:ascii="Arial" w:hAnsi="Arial" w:cs="Arial"/>
          <w:lang w:val="en-US"/>
        </w:rPr>
        <w:t>Part II</w:t>
      </w:r>
      <w:r w:rsidR="008920B9">
        <w:rPr>
          <w:rFonts w:ascii="Arial" w:hAnsi="Arial" w:cs="Arial"/>
          <w:lang w:val="en-US"/>
        </w:rPr>
        <w:t xml:space="preserve"> of the Act</w:t>
      </w:r>
      <w:r w:rsidRPr="008920B9">
        <w:rPr>
          <w:rFonts w:ascii="Arial" w:hAnsi="Arial" w:cs="Arial"/>
          <w:lang w:val="en-US"/>
        </w:rPr>
        <w:t>, consisting of ss 4 to 20, deals with ‘protection orders’.</w:t>
      </w:r>
    </w:p>
    <w:p w14:paraId="6D5FC05B" w14:textId="77777777" w:rsidR="008920B9" w:rsidRPr="008920B9" w:rsidRDefault="008920B9" w:rsidP="008920B9">
      <w:pPr>
        <w:pStyle w:val="ListParagraph"/>
        <w:rPr>
          <w:rFonts w:ascii="Arial" w:hAnsi="Arial" w:cs="Arial"/>
          <w:lang w:val="en-US"/>
        </w:rPr>
      </w:pPr>
    </w:p>
    <w:p w14:paraId="53F30C75" w14:textId="04523E46" w:rsidR="007B4701" w:rsidRPr="008920B9" w:rsidRDefault="007B4701" w:rsidP="008920B9">
      <w:pPr>
        <w:pStyle w:val="ListParagraph"/>
        <w:numPr>
          <w:ilvl w:val="0"/>
          <w:numId w:val="2"/>
        </w:numPr>
        <w:spacing w:line="360" w:lineRule="auto"/>
        <w:ind w:left="0" w:firstLine="0"/>
        <w:jc w:val="both"/>
        <w:rPr>
          <w:rFonts w:ascii="Arial" w:hAnsi="Arial" w:cs="Arial"/>
          <w:lang w:val="en-US"/>
        </w:rPr>
      </w:pPr>
      <w:r w:rsidRPr="008920B9">
        <w:rPr>
          <w:rFonts w:ascii="Arial" w:hAnsi="Arial" w:cs="Arial"/>
          <w:lang w:val="en-US"/>
        </w:rPr>
        <w:t>Section 6 makes provision for an application to be made for a protection order. Section 7 deals with the criteria for the granting and contents of a protection order.</w:t>
      </w:r>
      <w:r w:rsidR="008920B9">
        <w:rPr>
          <w:rFonts w:ascii="Arial" w:hAnsi="Arial" w:cs="Arial"/>
          <w:lang w:val="en-US"/>
        </w:rPr>
        <w:t xml:space="preserve"> </w:t>
      </w:r>
      <w:r w:rsidRPr="008920B9">
        <w:rPr>
          <w:rFonts w:ascii="Arial" w:hAnsi="Arial" w:cs="Arial"/>
          <w:lang w:val="en-US"/>
        </w:rPr>
        <w:t xml:space="preserve">Section 8 </w:t>
      </w:r>
      <w:r w:rsidR="008E493A">
        <w:rPr>
          <w:rFonts w:ascii="Arial" w:hAnsi="Arial" w:cs="Arial"/>
          <w:lang w:val="en-US"/>
        </w:rPr>
        <w:t>concerns</w:t>
      </w:r>
      <w:r w:rsidRPr="008920B9">
        <w:rPr>
          <w:rFonts w:ascii="Arial" w:hAnsi="Arial" w:cs="Arial"/>
          <w:lang w:val="en-US"/>
        </w:rPr>
        <w:t xml:space="preserve"> the granting of interim protection orders</w:t>
      </w:r>
      <w:r w:rsidR="00F81777">
        <w:rPr>
          <w:rFonts w:ascii="Arial" w:hAnsi="Arial" w:cs="Arial"/>
          <w:lang w:val="en-US"/>
        </w:rPr>
        <w:t>,</w:t>
      </w:r>
      <w:r w:rsidR="008920B9" w:rsidRPr="008920B9">
        <w:rPr>
          <w:rFonts w:ascii="Arial" w:hAnsi="Arial" w:cs="Arial"/>
          <w:lang w:val="en-US"/>
        </w:rPr>
        <w:t xml:space="preserve"> </w:t>
      </w:r>
      <w:r w:rsidR="00F81777">
        <w:rPr>
          <w:rFonts w:ascii="Arial" w:hAnsi="Arial" w:cs="Arial"/>
          <w:lang w:val="en-US"/>
        </w:rPr>
        <w:t xml:space="preserve">and s 9 </w:t>
      </w:r>
      <w:r w:rsidR="008E493A">
        <w:rPr>
          <w:rFonts w:ascii="Arial" w:hAnsi="Arial" w:cs="Arial"/>
          <w:lang w:val="en-US"/>
        </w:rPr>
        <w:t xml:space="preserve">provides for </w:t>
      </w:r>
      <w:r w:rsidR="00F81777">
        <w:rPr>
          <w:rFonts w:ascii="Arial" w:hAnsi="Arial" w:cs="Arial"/>
          <w:lang w:val="en-US"/>
        </w:rPr>
        <w:t>service</w:t>
      </w:r>
      <w:r w:rsidR="008920B9" w:rsidRPr="008920B9">
        <w:rPr>
          <w:rFonts w:ascii="Arial" w:hAnsi="Arial" w:cs="Arial"/>
          <w:lang w:val="en-US"/>
        </w:rPr>
        <w:t xml:space="preserve"> </w:t>
      </w:r>
      <w:r w:rsidR="00F81777">
        <w:rPr>
          <w:rFonts w:ascii="Arial" w:hAnsi="Arial" w:cs="Arial"/>
          <w:lang w:val="en-US"/>
        </w:rPr>
        <w:t xml:space="preserve">of </w:t>
      </w:r>
      <w:r w:rsidR="008920B9" w:rsidRPr="008920B9">
        <w:rPr>
          <w:rFonts w:ascii="Arial" w:hAnsi="Arial" w:cs="Arial"/>
          <w:lang w:val="en-US"/>
        </w:rPr>
        <w:t>an interim protection order</w:t>
      </w:r>
      <w:r w:rsidRPr="008920B9">
        <w:rPr>
          <w:rFonts w:ascii="Arial" w:hAnsi="Arial" w:cs="Arial"/>
          <w:lang w:val="en-US"/>
        </w:rPr>
        <w:t xml:space="preserve">. </w:t>
      </w:r>
      <w:r w:rsidR="008920B9" w:rsidRPr="008920B9">
        <w:rPr>
          <w:rFonts w:ascii="Arial" w:hAnsi="Arial" w:cs="Arial"/>
          <w:lang w:val="en-US"/>
        </w:rPr>
        <w:t>If a respondent gives notice of intention to oppose the confirmation of a protection order, s 11 provides that a date is set for an enquiry, and the parties are informed thereof.</w:t>
      </w:r>
      <w:r w:rsidR="008920B9">
        <w:rPr>
          <w:rFonts w:ascii="Arial" w:hAnsi="Arial" w:cs="Arial"/>
          <w:lang w:val="en-US"/>
        </w:rPr>
        <w:t xml:space="preserve"> S</w:t>
      </w:r>
      <w:r w:rsidRPr="008920B9">
        <w:rPr>
          <w:rFonts w:ascii="Arial" w:hAnsi="Arial" w:cs="Arial"/>
          <w:lang w:val="en-US"/>
        </w:rPr>
        <w:t>ection 12 deals with the procedure for holding an enquiry before a final protection order can be made.</w:t>
      </w:r>
    </w:p>
    <w:p w14:paraId="19EFCC2F" w14:textId="77777777" w:rsidR="007B4701" w:rsidRPr="007B4701" w:rsidRDefault="007B4701" w:rsidP="007B4701">
      <w:pPr>
        <w:pStyle w:val="ListParagraph"/>
        <w:rPr>
          <w:rFonts w:ascii="Arial" w:hAnsi="Arial" w:cs="Arial"/>
          <w:lang w:val="en-US"/>
        </w:rPr>
      </w:pPr>
    </w:p>
    <w:p w14:paraId="2BF13B1A" w14:textId="5F2BB178" w:rsidR="007B4701" w:rsidRDefault="007B4701" w:rsidP="007B470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Section 12(16) sets out the order</w:t>
      </w:r>
      <w:r w:rsidR="00F81777">
        <w:rPr>
          <w:rFonts w:ascii="Arial" w:hAnsi="Arial" w:cs="Arial"/>
          <w:lang w:val="en-US"/>
        </w:rPr>
        <w:t>s</w:t>
      </w:r>
      <w:r>
        <w:rPr>
          <w:rFonts w:ascii="Arial" w:hAnsi="Arial" w:cs="Arial"/>
          <w:lang w:val="en-US"/>
        </w:rPr>
        <w:t xml:space="preserve"> the court may make after holding the enquiry. They are:</w:t>
      </w:r>
    </w:p>
    <w:p w14:paraId="60751315" w14:textId="77777777" w:rsidR="007B4701" w:rsidRPr="00C95394" w:rsidRDefault="007B4701" w:rsidP="007B4701">
      <w:pPr>
        <w:pStyle w:val="ListParagraph"/>
        <w:rPr>
          <w:rFonts w:ascii="Arial" w:hAnsi="Arial" w:cs="Arial"/>
          <w:lang w:val="en-US"/>
        </w:rPr>
      </w:pPr>
    </w:p>
    <w:p w14:paraId="066A0724" w14:textId="77777777" w:rsidR="007B4701" w:rsidRPr="00933562" w:rsidRDefault="007B4701" w:rsidP="007B4701">
      <w:pPr>
        <w:spacing w:line="360" w:lineRule="auto"/>
        <w:ind w:firstLine="720"/>
        <w:jc w:val="both"/>
        <w:rPr>
          <w:rFonts w:ascii="Arial" w:hAnsi="Arial" w:cs="Arial"/>
          <w:sz w:val="22"/>
          <w:szCs w:val="22"/>
          <w:lang w:val="en-US"/>
        </w:rPr>
      </w:pPr>
      <w:r w:rsidRPr="00933562">
        <w:rPr>
          <w:rFonts w:ascii="Arial" w:hAnsi="Arial" w:cs="Arial"/>
          <w:sz w:val="22"/>
          <w:szCs w:val="22"/>
          <w:lang w:val="en-US"/>
        </w:rPr>
        <w:t>‘(</w:t>
      </w:r>
      <w:proofErr w:type="gramStart"/>
      <w:r w:rsidRPr="00933562">
        <w:rPr>
          <w:rFonts w:ascii="Arial" w:hAnsi="Arial" w:cs="Arial"/>
          <w:sz w:val="22"/>
          <w:szCs w:val="22"/>
          <w:lang w:val="en-US"/>
        </w:rPr>
        <w:t>a</w:t>
      </w:r>
      <w:proofErr w:type="gramEnd"/>
      <w:r w:rsidRPr="00933562">
        <w:rPr>
          <w:rFonts w:ascii="Arial" w:hAnsi="Arial" w:cs="Arial"/>
          <w:sz w:val="22"/>
          <w:szCs w:val="22"/>
          <w:lang w:val="en-US"/>
        </w:rPr>
        <w:t>)</w:t>
      </w:r>
      <w:r w:rsidRPr="00933562">
        <w:rPr>
          <w:rFonts w:ascii="Arial" w:hAnsi="Arial" w:cs="Arial"/>
          <w:sz w:val="22"/>
          <w:szCs w:val="22"/>
          <w:lang w:val="en-US"/>
        </w:rPr>
        <w:tab/>
        <w:t>confirm or discharge the interim order in its entirety;</w:t>
      </w:r>
    </w:p>
    <w:p w14:paraId="2CA0A2E2" w14:textId="77777777" w:rsidR="007B4701" w:rsidRPr="00933562" w:rsidRDefault="007B4701" w:rsidP="007B4701">
      <w:pPr>
        <w:pStyle w:val="ListParagraph"/>
        <w:spacing w:line="360" w:lineRule="auto"/>
        <w:ind w:left="0"/>
        <w:jc w:val="both"/>
        <w:rPr>
          <w:rFonts w:ascii="Arial" w:hAnsi="Arial" w:cs="Arial"/>
          <w:sz w:val="22"/>
          <w:szCs w:val="22"/>
          <w:lang w:val="en-US"/>
        </w:rPr>
      </w:pPr>
      <w:r w:rsidRPr="00933562">
        <w:rPr>
          <w:rFonts w:ascii="Arial" w:hAnsi="Arial" w:cs="Arial"/>
          <w:sz w:val="22"/>
          <w:szCs w:val="22"/>
          <w:lang w:val="en-US"/>
        </w:rPr>
        <w:t>(b)</w:t>
      </w:r>
      <w:r w:rsidRPr="00933562">
        <w:rPr>
          <w:rFonts w:ascii="Arial" w:hAnsi="Arial" w:cs="Arial"/>
          <w:sz w:val="22"/>
          <w:szCs w:val="22"/>
          <w:lang w:val="en-US"/>
        </w:rPr>
        <w:tab/>
      </w:r>
      <w:proofErr w:type="gramStart"/>
      <w:r w:rsidRPr="00933562">
        <w:rPr>
          <w:rFonts w:ascii="Arial" w:hAnsi="Arial" w:cs="Arial"/>
          <w:sz w:val="22"/>
          <w:szCs w:val="22"/>
          <w:lang w:val="en-US"/>
        </w:rPr>
        <w:t>confirm</w:t>
      </w:r>
      <w:proofErr w:type="gramEnd"/>
      <w:r w:rsidRPr="00933562">
        <w:rPr>
          <w:rFonts w:ascii="Arial" w:hAnsi="Arial" w:cs="Arial"/>
          <w:sz w:val="22"/>
          <w:szCs w:val="22"/>
          <w:lang w:val="en-US"/>
        </w:rPr>
        <w:t xml:space="preserve"> specified provisions of the interim order;</w:t>
      </w:r>
    </w:p>
    <w:p w14:paraId="2995716C" w14:textId="77777777" w:rsidR="007B4701" w:rsidRPr="00933562" w:rsidRDefault="007B4701" w:rsidP="007B4701">
      <w:pPr>
        <w:pStyle w:val="ListParagraph"/>
        <w:spacing w:line="360" w:lineRule="auto"/>
        <w:ind w:left="0"/>
        <w:jc w:val="both"/>
        <w:rPr>
          <w:rFonts w:ascii="Arial" w:hAnsi="Arial" w:cs="Arial"/>
          <w:sz w:val="22"/>
          <w:szCs w:val="22"/>
          <w:lang w:val="en-US"/>
        </w:rPr>
      </w:pPr>
      <w:r w:rsidRPr="00933562">
        <w:rPr>
          <w:rFonts w:ascii="Arial" w:hAnsi="Arial" w:cs="Arial"/>
          <w:sz w:val="22"/>
          <w:szCs w:val="22"/>
          <w:lang w:val="en-US"/>
        </w:rPr>
        <w:t>(c)</w:t>
      </w:r>
      <w:r w:rsidRPr="00933562">
        <w:rPr>
          <w:rFonts w:ascii="Arial" w:hAnsi="Arial" w:cs="Arial"/>
          <w:sz w:val="22"/>
          <w:szCs w:val="22"/>
          <w:lang w:val="en-US"/>
        </w:rPr>
        <w:tab/>
      </w:r>
      <w:proofErr w:type="gramStart"/>
      <w:r w:rsidRPr="00933562">
        <w:rPr>
          <w:rFonts w:ascii="Arial" w:hAnsi="Arial" w:cs="Arial"/>
          <w:sz w:val="22"/>
          <w:szCs w:val="22"/>
          <w:lang w:val="en-US"/>
        </w:rPr>
        <w:t>cancel</w:t>
      </w:r>
      <w:proofErr w:type="gramEnd"/>
      <w:r w:rsidRPr="00933562">
        <w:rPr>
          <w:rFonts w:ascii="Arial" w:hAnsi="Arial" w:cs="Arial"/>
          <w:sz w:val="22"/>
          <w:szCs w:val="22"/>
          <w:lang w:val="en-US"/>
        </w:rPr>
        <w:t xml:space="preserve"> or vary specified provisions of the interim order;</w:t>
      </w:r>
    </w:p>
    <w:p w14:paraId="652D1459" w14:textId="77777777" w:rsidR="007B4701" w:rsidRPr="00933562" w:rsidRDefault="007B4701" w:rsidP="007B4701">
      <w:pPr>
        <w:pStyle w:val="ListParagraph"/>
        <w:spacing w:line="360" w:lineRule="auto"/>
        <w:ind w:left="0"/>
        <w:jc w:val="both"/>
        <w:rPr>
          <w:rFonts w:ascii="Arial" w:hAnsi="Arial" w:cs="Arial"/>
          <w:sz w:val="22"/>
          <w:szCs w:val="22"/>
          <w:lang w:val="en-US"/>
        </w:rPr>
      </w:pPr>
      <w:r w:rsidRPr="00933562">
        <w:rPr>
          <w:rFonts w:ascii="Arial" w:hAnsi="Arial" w:cs="Arial"/>
          <w:sz w:val="22"/>
          <w:szCs w:val="22"/>
          <w:lang w:val="en-US"/>
        </w:rPr>
        <w:t>(d)</w:t>
      </w:r>
      <w:r w:rsidRPr="00933562">
        <w:rPr>
          <w:rFonts w:ascii="Arial" w:hAnsi="Arial" w:cs="Arial"/>
          <w:sz w:val="22"/>
          <w:szCs w:val="22"/>
          <w:lang w:val="en-US"/>
        </w:rPr>
        <w:tab/>
      </w:r>
      <w:proofErr w:type="gramStart"/>
      <w:r w:rsidRPr="00933562">
        <w:rPr>
          <w:rFonts w:ascii="Arial" w:hAnsi="Arial" w:cs="Arial"/>
          <w:sz w:val="22"/>
          <w:szCs w:val="22"/>
          <w:lang w:val="en-US"/>
        </w:rPr>
        <w:t>discharge</w:t>
      </w:r>
      <w:proofErr w:type="gramEnd"/>
      <w:r w:rsidRPr="00933562">
        <w:rPr>
          <w:rFonts w:ascii="Arial" w:hAnsi="Arial" w:cs="Arial"/>
          <w:sz w:val="22"/>
          <w:szCs w:val="22"/>
          <w:lang w:val="en-US"/>
        </w:rPr>
        <w:t xml:space="preserve"> the interim order and substitute another order for the interim order;</w:t>
      </w:r>
    </w:p>
    <w:p w14:paraId="2AD9B46B" w14:textId="77777777" w:rsidR="00F81777" w:rsidRPr="008920B9" w:rsidRDefault="007B4701" w:rsidP="00F81777">
      <w:pPr>
        <w:pStyle w:val="ListParagraph"/>
        <w:spacing w:line="360" w:lineRule="auto"/>
        <w:ind w:left="0"/>
        <w:jc w:val="both"/>
        <w:rPr>
          <w:rFonts w:ascii="Arial" w:hAnsi="Arial" w:cs="Arial"/>
          <w:lang w:val="en-US"/>
        </w:rPr>
      </w:pPr>
      <w:r w:rsidRPr="00933562">
        <w:rPr>
          <w:rFonts w:ascii="Arial" w:hAnsi="Arial" w:cs="Arial"/>
          <w:sz w:val="22"/>
          <w:szCs w:val="22"/>
          <w:lang w:val="en-US"/>
        </w:rPr>
        <w:t>(e)</w:t>
      </w:r>
      <w:r w:rsidRPr="00933562">
        <w:rPr>
          <w:rFonts w:ascii="Arial" w:hAnsi="Arial" w:cs="Arial"/>
          <w:sz w:val="22"/>
          <w:szCs w:val="22"/>
          <w:lang w:val="en-US"/>
        </w:rPr>
        <w:tab/>
        <w:t>if the respondent is present at the enquiry, at the request of the applicant or at its own initiative, add provisions which were not contained in the interim order.’</w:t>
      </w:r>
    </w:p>
    <w:p w14:paraId="7CEB2F08" w14:textId="77777777" w:rsidR="00F81777" w:rsidRPr="007B4701" w:rsidRDefault="00F81777" w:rsidP="00F81777">
      <w:pPr>
        <w:pStyle w:val="ListParagraph"/>
        <w:rPr>
          <w:rFonts w:ascii="Arial" w:hAnsi="Arial" w:cs="Arial"/>
          <w:lang w:val="en-US"/>
        </w:rPr>
      </w:pPr>
    </w:p>
    <w:p w14:paraId="73863DC2" w14:textId="65782EA7" w:rsidR="007B4701" w:rsidRPr="00F81777" w:rsidRDefault="007B4701" w:rsidP="00F81777">
      <w:pPr>
        <w:pStyle w:val="ListParagraph"/>
        <w:numPr>
          <w:ilvl w:val="0"/>
          <w:numId w:val="2"/>
        </w:numPr>
        <w:spacing w:line="360" w:lineRule="auto"/>
        <w:ind w:left="0" w:firstLine="0"/>
        <w:jc w:val="both"/>
        <w:rPr>
          <w:rFonts w:ascii="Arial" w:hAnsi="Arial" w:cs="Arial"/>
          <w:lang w:val="en-US"/>
        </w:rPr>
      </w:pPr>
      <w:r w:rsidRPr="00F81777">
        <w:rPr>
          <w:rFonts w:ascii="Arial" w:hAnsi="Arial" w:cs="Arial"/>
          <w:lang w:val="en-US"/>
        </w:rPr>
        <w:t xml:space="preserve">Section 12 concludes with </w:t>
      </w:r>
      <w:proofErr w:type="spellStart"/>
      <w:r w:rsidRPr="00F81777">
        <w:rPr>
          <w:rFonts w:ascii="Arial" w:hAnsi="Arial" w:cs="Arial"/>
          <w:lang w:val="en-US"/>
        </w:rPr>
        <w:t>subsec</w:t>
      </w:r>
      <w:proofErr w:type="spellEnd"/>
      <w:r w:rsidRPr="00F81777">
        <w:rPr>
          <w:rFonts w:ascii="Arial" w:hAnsi="Arial" w:cs="Arial"/>
          <w:lang w:val="en-US"/>
        </w:rPr>
        <w:t xml:space="preserve"> (17) reading as follows:</w:t>
      </w:r>
    </w:p>
    <w:p w14:paraId="7FFC36BB" w14:textId="77777777" w:rsidR="007B4701" w:rsidRPr="00933562" w:rsidRDefault="007B4701" w:rsidP="007B4701">
      <w:pPr>
        <w:pStyle w:val="ListParagraph"/>
        <w:rPr>
          <w:rFonts w:ascii="Arial" w:hAnsi="Arial" w:cs="Arial"/>
          <w:lang w:val="en-US"/>
        </w:rPr>
      </w:pPr>
    </w:p>
    <w:p w14:paraId="0F08FBE4" w14:textId="6C734DF2" w:rsidR="00BC1977" w:rsidRPr="00357E2D" w:rsidRDefault="007B4701" w:rsidP="007B4701">
      <w:pPr>
        <w:pStyle w:val="ListParagraph"/>
        <w:spacing w:line="360" w:lineRule="auto"/>
        <w:ind w:left="0" w:firstLine="720"/>
        <w:jc w:val="both"/>
        <w:rPr>
          <w:rFonts w:ascii="Arial" w:hAnsi="Arial" w:cs="Arial"/>
          <w:sz w:val="22"/>
          <w:szCs w:val="22"/>
          <w:lang w:val="en-US"/>
        </w:rPr>
      </w:pPr>
      <w:r w:rsidRPr="00933562">
        <w:rPr>
          <w:rFonts w:ascii="Arial" w:hAnsi="Arial" w:cs="Arial"/>
          <w:sz w:val="22"/>
          <w:szCs w:val="22"/>
          <w:lang w:val="en-US"/>
        </w:rPr>
        <w:t>‘A protection order granted at the conclusion of an enquiry is a final protection order.’</w:t>
      </w:r>
    </w:p>
    <w:p w14:paraId="2E637088" w14:textId="77777777" w:rsidR="00BC1977" w:rsidRPr="00BC1977" w:rsidRDefault="00BC1977" w:rsidP="00BC1977">
      <w:pPr>
        <w:pStyle w:val="ListParagraph"/>
        <w:rPr>
          <w:rFonts w:ascii="Arial" w:hAnsi="Arial" w:cs="Arial"/>
          <w:lang w:val="en-US"/>
        </w:rPr>
      </w:pPr>
    </w:p>
    <w:p w14:paraId="48CFA6D0" w14:textId="4D3DA304" w:rsidR="00C02EB0" w:rsidRDefault="00357E2D" w:rsidP="00C02EB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w:t>
      </w:r>
      <w:r w:rsidRPr="00357E2D">
        <w:rPr>
          <w:rFonts w:ascii="Arial" w:hAnsi="Arial" w:cs="Arial"/>
          <w:lang w:val="en-US"/>
        </w:rPr>
        <w:t xml:space="preserve">hen s 12(17) </w:t>
      </w:r>
      <w:r>
        <w:rPr>
          <w:rFonts w:ascii="Arial" w:hAnsi="Arial" w:cs="Arial"/>
          <w:lang w:val="en-US"/>
        </w:rPr>
        <w:t xml:space="preserve">speaks of a protection order being ‘granted’, </w:t>
      </w:r>
      <w:r w:rsidRPr="00357E2D">
        <w:rPr>
          <w:rFonts w:ascii="Arial" w:hAnsi="Arial" w:cs="Arial"/>
          <w:lang w:val="en-US"/>
        </w:rPr>
        <w:t>it should not be interpreted to</w:t>
      </w:r>
      <w:r w:rsidR="00C02EB0">
        <w:rPr>
          <w:rFonts w:ascii="Arial" w:hAnsi="Arial" w:cs="Arial"/>
          <w:lang w:val="en-US"/>
        </w:rPr>
        <w:t xml:space="preserve"> </w:t>
      </w:r>
      <w:r w:rsidRPr="00357E2D">
        <w:rPr>
          <w:rFonts w:ascii="Arial" w:hAnsi="Arial" w:cs="Arial"/>
          <w:lang w:val="en-US"/>
        </w:rPr>
        <w:t xml:space="preserve">mean </w:t>
      </w:r>
      <w:r w:rsidR="004D345D">
        <w:rPr>
          <w:rFonts w:ascii="Arial" w:hAnsi="Arial" w:cs="Arial"/>
          <w:lang w:val="en-US"/>
        </w:rPr>
        <w:t xml:space="preserve">only </w:t>
      </w:r>
      <w:r w:rsidRPr="00357E2D">
        <w:rPr>
          <w:rFonts w:ascii="Arial" w:hAnsi="Arial" w:cs="Arial"/>
          <w:lang w:val="en-US"/>
        </w:rPr>
        <w:t>a ‘positive’ order</w:t>
      </w:r>
      <w:r w:rsidR="00C02EB0">
        <w:rPr>
          <w:rFonts w:ascii="Arial" w:hAnsi="Arial" w:cs="Arial"/>
          <w:lang w:val="en-US"/>
        </w:rPr>
        <w:t>. It should be interpreted to include a ‘negative’ order. In other words, whatever order is made at the conclusion of an enquiry</w:t>
      </w:r>
      <w:r w:rsidR="008E493A">
        <w:rPr>
          <w:rFonts w:ascii="Arial" w:hAnsi="Arial" w:cs="Arial"/>
          <w:lang w:val="en-US"/>
        </w:rPr>
        <w:t xml:space="preserve"> under s 12</w:t>
      </w:r>
      <w:r w:rsidR="00C02EB0">
        <w:rPr>
          <w:rFonts w:ascii="Arial" w:hAnsi="Arial" w:cs="Arial"/>
          <w:lang w:val="en-US"/>
        </w:rPr>
        <w:t xml:space="preserve"> is ‘a final protection order’. That is so </w:t>
      </w:r>
      <w:r w:rsidRPr="00357E2D">
        <w:rPr>
          <w:rFonts w:ascii="Arial" w:hAnsi="Arial" w:cs="Arial"/>
          <w:lang w:val="en-US"/>
        </w:rPr>
        <w:t xml:space="preserve">because ‘a final protection order’ could </w:t>
      </w:r>
      <w:r w:rsidR="00C02EB0">
        <w:rPr>
          <w:rFonts w:ascii="Arial" w:hAnsi="Arial" w:cs="Arial"/>
          <w:lang w:val="en-US"/>
        </w:rPr>
        <w:t>be</w:t>
      </w:r>
      <w:r w:rsidRPr="00357E2D">
        <w:rPr>
          <w:rFonts w:ascii="Arial" w:hAnsi="Arial" w:cs="Arial"/>
          <w:lang w:val="en-US"/>
        </w:rPr>
        <w:t xml:space="preserve"> a ‘negative’ order setting the interim protection order aside</w:t>
      </w:r>
      <w:r w:rsidR="00F81777">
        <w:rPr>
          <w:rFonts w:ascii="Arial" w:hAnsi="Arial" w:cs="Arial"/>
          <w:lang w:val="en-US"/>
        </w:rPr>
        <w:t>,</w:t>
      </w:r>
      <w:r w:rsidR="00C02EB0">
        <w:rPr>
          <w:rFonts w:ascii="Arial" w:hAnsi="Arial" w:cs="Arial"/>
          <w:lang w:val="en-US"/>
        </w:rPr>
        <w:t xml:space="preserve"> and such order would be ‘a final protection order’</w:t>
      </w:r>
      <w:r w:rsidRPr="00357E2D">
        <w:rPr>
          <w:rFonts w:ascii="Arial" w:hAnsi="Arial" w:cs="Arial"/>
          <w:lang w:val="en-US"/>
        </w:rPr>
        <w:t>.</w:t>
      </w:r>
    </w:p>
    <w:p w14:paraId="613F4AC8" w14:textId="77777777" w:rsidR="00C02EB0" w:rsidRPr="00C02EB0" w:rsidRDefault="00C02EB0" w:rsidP="00C02EB0">
      <w:pPr>
        <w:pStyle w:val="ListParagraph"/>
        <w:rPr>
          <w:rFonts w:ascii="Arial" w:hAnsi="Arial" w:cs="Arial"/>
          <w:lang w:val="en-US"/>
        </w:rPr>
      </w:pPr>
    </w:p>
    <w:p w14:paraId="2DB6A243" w14:textId="1B35E036" w:rsidR="00BC1977" w:rsidRDefault="00C02EB0" w:rsidP="00BC197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That interpretation is supported by the following. </w:t>
      </w:r>
      <w:r w:rsidR="00BC1977">
        <w:rPr>
          <w:rFonts w:ascii="Arial" w:hAnsi="Arial" w:cs="Arial"/>
          <w:lang w:val="en-US"/>
        </w:rPr>
        <w:t xml:space="preserve">Section 13(1) provides that ‘a final protection order’ granted under section 12 ‘must be in the prescribed form’. </w:t>
      </w:r>
      <w:r w:rsidR="00BC1977" w:rsidRPr="00F93AF3">
        <w:rPr>
          <w:rFonts w:ascii="Arial" w:hAnsi="Arial" w:cs="Arial"/>
          <w:lang w:val="en-US"/>
        </w:rPr>
        <w:t>Regulation 10 of the regulations made in terms of the Act provides that ‘a final protection order</w:t>
      </w:r>
      <w:r w:rsidR="00BC1977">
        <w:rPr>
          <w:rFonts w:ascii="Arial" w:hAnsi="Arial" w:cs="Arial"/>
          <w:lang w:val="en-US"/>
        </w:rPr>
        <w:t xml:space="preserve">’ </w:t>
      </w:r>
      <w:r w:rsidR="00BC1977" w:rsidRPr="00F93AF3">
        <w:rPr>
          <w:rFonts w:ascii="Arial" w:hAnsi="Arial" w:cs="Arial"/>
          <w:lang w:val="en-US"/>
        </w:rPr>
        <w:t xml:space="preserve">contemplated in s 13(1), whether or not it is preceded by an interim protection order or an order for its modification or cancellation as contemplated in s 17, ‘must be in a form substantially corresponding to Form 9A, accompanied by Form 9B where appropriate’. </w:t>
      </w:r>
      <w:r w:rsidR="00BC1977">
        <w:rPr>
          <w:rFonts w:ascii="Arial" w:hAnsi="Arial" w:cs="Arial"/>
          <w:lang w:val="en-US"/>
        </w:rPr>
        <w:t>Form 9A</w:t>
      </w:r>
      <w:r>
        <w:rPr>
          <w:rFonts w:ascii="Arial" w:hAnsi="Arial" w:cs="Arial"/>
          <w:lang w:val="en-US"/>
        </w:rPr>
        <w:t xml:space="preserve"> is headed ‘(Regulation 10) FINAL PROTECTION ORDER’</w:t>
      </w:r>
      <w:r w:rsidR="00F81777">
        <w:rPr>
          <w:rFonts w:ascii="Arial" w:hAnsi="Arial" w:cs="Arial"/>
          <w:lang w:val="en-US"/>
        </w:rPr>
        <w:t>,</w:t>
      </w:r>
      <w:r>
        <w:rPr>
          <w:rFonts w:ascii="Arial" w:hAnsi="Arial" w:cs="Arial"/>
          <w:lang w:val="en-US"/>
        </w:rPr>
        <w:t xml:space="preserve"> and th</w:t>
      </w:r>
      <w:r w:rsidR="00735BEF">
        <w:rPr>
          <w:rFonts w:ascii="Arial" w:hAnsi="Arial" w:cs="Arial"/>
          <w:lang w:val="en-US"/>
        </w:rPr>
        <w:t>at</w:t>
      </w:r>
      <w:r>
        <w:rPr>
          <w:rFonts w:ascii="Arial" w:hAnsi="Arial" w:cs="Arial"/>
          <w:lang w:val="en-US"/>
        </w:rPr>
        <w:t xml:space="preserve"> form</w:t>
      </w:r>
      <w:r w:rsidR="00BC1977">
        <w:rPr>
          <w:rFonts w:ascii="Arial" w:hAnsi="Arial" w:cs="Arial"/>
          <w:lang w:val="en-US"/>
        </w:rPr>
        <w:t xml:space="preserve"> includes the following </w:t>
      </w:r>
      <w:r w:rsidR="00F81777">
        <w:rPr>
          <w:rFonts w:ascii="Arial" w:hAnsi="Arial" w:cs="Arial"/>
          <w:lang w:val="en-US"/>
        </w:rPr>
        <w:t xml:space="preserve">possible </w:t>
      </w:r>
      <w:r w:rsidR="00BC1977">
        <w:rPr>
          <w:rFonts w:ascii="Arial" w:hAnsi="Arial" w:cs="Arial"/>
          <w:lang w:val="en-US"/>
        </w:rPr>
        <w:t>order</w:t>
      </w:r>
      <w:r w:rsidR="008255C8">
        <w:rPr>
          <w:rFonts w:ascii="Arial" w:hAnsi="Arial" w:cs="Arial"/>
          <w:lang w:val="en-US"/>
        </w:rPr>
        <w:t>s</w:t>
      </w:r>
      <w:r w:rsidR="00BC1977">
        <w:rPr>
          <w:rFonts w:ascii="Arial" w:hAnsi="Arial" w:cs="Arial"/>
          <w:lang w:val="en-US"/>
        </w:rPr>
        <w:t>:</w:t>
      </w:r>
    </w:p>
    <w:p w14:paraId="527BB82F" w14:textId="77777777" w:rsidR="00BC1977" w:rsidRPr="00433D2A" w:rsidRDefault="00BC1977" w:rsidP="00BC1977">
      <w:pPr>
        <w:pStyle w:val="ListParagraph"/>
        <w:rPr>
          <w:rFonts w:ascii="Arial" w:hAnsi="Arial" w:cs="Arial"/>
          <w:lang w:val="en-US"/>
        </w:rPr>
      </w:pPr>
    </w:p>
    <w:p w14:paraId="76A4635F" w14:textId="77777777" w:rsidR="008255C8" w:rsidRDefault="00BC1977" w:rsidP="008255C8">
      <w:pPr>
        <w:pStyle w:val="ListParagraph"/>
        <w:spacing w:line="360" w:lineRule="auto"/>
        <w:ind w:left="0" w:firstLine="720"/>
        <w:jc w:val="both"/>
        <w:rPr>
          <w:rFonts w:ascii="Arial" w:hAnsi="Arial" w:cs="Arial"/>
          <w:sz w:val="22"/>
          <w:szCs w:val="22"/>
          <w:lang w:val="en-US"/>
        </w:rPr>
      </w:pPr>
      <w:r w:rsidRPr="00433D2A">
        <w:rPr>
          <w:rFonts w:ascii="Arial" w:hAnsi="Arial" w:cs="Arial"/>
          <w:lang w:val="en-US"/>
        </w:rPr>
        <w:t>‘</w:t>
      </w:r>
      <w:r w:rsidRPr="00433D2A">
        <w:rPr>
          <w:rFonts w:ascii="Arial" w:hAnsi="Arial" w:cs="Arial"/>
          <w:sz w:val="22"/>
          <w:szCs w:val="22"/>
          <w:lang w:val="en-US"/>
        </w:rPr>
        <w:t>The Court orders that the attached interim protection order be set aside.</w:t>
      </w:r>
    </w:p>
    <w:p w14:paraId="6F55C6BA" w14:textId="4D425295" w:rsidR="00BC1977" w:rsidRPr="008255C8" w:rsidRDefault="008255C8" w:rsidP="008255C8">
      <w:pPr>
        <w:spacing w:line="360" w:lineRule="auto"/>
        <w:jc w:val="both"/>
        <w:rPr>
          <w:rFonts w:ascii="Arial" w:hAnsi="Arial" w:cs="Arial"/>
          <w:sz w:val="22"/>
          <w:szCs w:val="22"/>
          <w:lang w:val="en-US"/>
        </w:rPr>
      </w:pPr>
      <w:r w:rsidRPr="008255C8">
        <w:rPr>
          <w:rFonts w:ascii="Arial" w:hAnsi="Arial" w:cs="Arial"/>
          <w:sz w:val="22"/>
          <w:szCs w:val="22"/>
          <w:lang w:val="en-US"/>
        </w:rPr>
        <w:t>The Court ord</w:t>
      </w:r>
      <w:r w:rsidR="00E33BBA">
        <w:rPr>
          <w:rFonts w:ascii="Arial" w:hAnsi="Arial" w:cs="Arial"/>
          <w:sz w:val="22"/>
          <w:szCs w:val="22"/>
          <w:lang w:val="en-US"/>
        </w:rPr>
        <w:t>ers that the attached interim protection order be discharged and replaced by the attached protection order which is hereby declared final.</w:t>
      </w:r>
      <w:r w:rsidR="00BC1977" w:rsidRPr="008255C8">
        <w:rPr>
          <w:rFonts w:ascii="Arial" w:hAnsi="Arial" w:cs="Arial"/>
          <w:lang w:val="en-US"/>
        </w:rPr>
        <w:t>’</w:t>
      </w:r>
    </w:p>
    <w:p w14:paraId="48B5BDBD" w14:textId="77777777" w:rsidR="00BC1977" w:rsidRPr="00433D2A" w:rsidRDefault="00BC1977" w:rsidP="00BC1977">
      <w:pPr>
        <w:pStyle w:val="ListParagraph"/>
        <w:rPr>
          <w:rFonts w:ascii="Arial" w:hAnsi="Arial" w:cs="Arial"/>
          <w:lang w:val="en-US"/>
        </w:rPr>
      </w:pPr>
    </w:p>
    <w:p w14:paraId="1B623D55" w14:textId="6162A0F7" w:rsidR="008E493A" w:rsidRPr="00820933" w:rsidRDefault="008E493A" w:rsidP="008E493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An order setting aside an interim order is a ‘negative’ order, but, as confirmed under s 13(1) and the relevant forms, such order constitutes ‘a final protection order’. An order discharging </w:t>
      </w:r>
      <w:r w:rsidR="002B1C62">
        <w:rPr>
          <w:rFonts w:ascii="Arial" w:hAnsi="Arial" w:cs="Arial"/>
          <w:lang w:val="en-US"/>
        </w:rPr>
        <w:t xml:space="preserve">an interim order and replacing it with another order is a ‘negative’ and ‘positive’ order and, as confirmed under s 13(1) and the relevant forms, such order also constitutes ‘a final protection order’. </w:t>
      </w:r>
      <w:r>
        <w:rPr>
          <w:rFonts w:ascii="Arial" w:hAnsi="Arial" w:cs="Arial"/>
          <w:lang w:val="en-US"/>
        </w:rPr>
        <w:t xml:space="preserve">  </w:t>
      </w:r>
    </w:p>
    <w:p w14:paraId="22D7A7E5" w14:textId="77777777" w:rsidR="008E493A" w:rsidRPr="00F55516" w:rsidRDefault="008E493A" w:rsidP="008E493A">
      <w:pPr>
        <w:pStyle w:val="ListParagraph"/>
        <w:rPr>
          <w:rFonts w:ascii="Arial" w:hAnsi="Arial" w:cs="Arial"/>
          <w:lang w:val="en-US"/>
        </w:rPr>
      </w:pPr>
    </w:p>
    <w:p w14:paraId="7566B3D7" w14:textId="5894E9CC" w:rsidR="00820933" w:rsidRPr="00820933" w:rsidRDefault="00F55516" w:rsidP="0082093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court thus finds that the 7 June 2022 order is </w:t>
      </w:r>
      <w:r w:rsidR="00F81777">
        <w:rPr>
          <w:rFonts w:ascii="Arial" w:hAnsi="Arial" w:cs="Arial"/>
          <w:lang w:val="en-US"/>
        </w:rPr>
        <w:t>‘</w:t>
      </w:r>
      <w:r>
        <w:rPr>
          <w:rFonts w:ascii="Arial" w:hAnsi="Arial" w:cs="Arial"/>
          <w:lang w:val="en-US"/>
        </w:rPr>
        <w:t>a final protection order</w:t>
      </w:r>
      <w:r w:rsidR="00F81777">
        <w:rPr>
          <w:rFonts w:ascii="Arial" w:hAnsi="Arial" w:cs="Arial"/>
          <w:lang w:val="en-US"/>
        </w:rPr>
        <w:t>’</w:t>
      </w:r>
      <w:r>
        <w:rPr>
          <w:rFonts w:ascii="Arial" w:hAnsi="Arial" w:cs="Arial"/>
          <w:lang w:val="en-US"/>
        </w:rPr>
        <w:t xml:space="preserve"> as envisaged in s 12(17).</w:t>
      </w:r>
      <w:r w:rsidR="00596206">
        <w:rPr>
          <w:rFonts w:ascii="Arial" w:hAnsi="Arial" w:cs="Arial"/>
          <w:lang w:val="en-US"/>
        </w:rPr>
        <w:t xml:space="preserve"> </w:t>
      </w:r>
      <w:r w:rsidR="00F81777">
        <w:rPr>
          <w:rFonts w:ascii="Arial" w:hAnsi="Arial" w:cs="Arial"/>
          <w:lang w:val="en-US"/>
        </w:rPr>
        <w:t>In particular, a</w:t>
      </w:r>
      <w:r w:rsidR="00C15334">
        <w:rPr>
          <w:rFonts w:ascii="Arial" w:hAnsi="Arial" w:cs="Arial"/>
          <w:lang w:val="en-US"/>
        </w:rPr>
        <w:t xml:space="preserve">ssuming that the court a quo did not act </w:t>
      </w:r>
      <w:r w:rsidR="00C15334" w:rsidRPr="00E44100">
        <w:rPr>
          <w:rFonts w:ascii="Arial" w:hAnsi="Arial" w:cs="Arial"/>
          <w:i/>
          <w:lang w:val="en-US"/>
        </w:rPr>
        <w:t>ultra vires</w:t>
      </w:r>
      <w:r w:rsidR="00C15334">
        <w:rPr>
          <w:rFonts w:ascii="Arial" w:hAnsi="Arial" w:cs="Arial"/>
          <w:lang w:val="en-US"/>
        </w:rPr>
        <w:t xml:space="preserve"> the Act, </w:t>
      </w:r>
      <w:r w:rsidR="00F81777">
        <w:rPr>
          <w:rFonts w:ascii="Arial" w:hAnsi="Arial" w:cs="Arial"/>
          <w:lang w:val="en-US"/>
        </w:rPr>
        <w:t xml:space="preserve">the court finds that </w:t>
      </w:r>
      <w:r w:rsidR="00C15334">
        <w:rPr>
          <w:rFonts w:ascii="Arial" w:hAnsi="Arial" w:cs="Arial"/>
          <w:lang w:val="en-US"/>
        </w:rPr>
        <w:t xml:space="preserve">the </w:t>
      </w:r>
      <w:r w:rsidR="00596206">
        <w:rPr>
          <w:rFonts w:ascii="Arial" w:hAnsi="Arial" w:cs="Arial"/>
          <w:lang w:val="en-US"/>
        </w:rPr>
        <w:t xml:space="preserve">7 June 2022 order is an order </w:t>
      </w:r>
      <w:r w:rsidR="00C15334">
        <w:rPr>
          <w:rFonts w:ascii="Arial" w:hAnsi="Arial" w:cs="Arial"/>
          <w:lang w:val="en-US"/>
        </w:rPr>
        <w:t xml:space="preserve">made </w:t>
      </w:r>
      <w:r w:rsidR="00596206">
        <w:rPr>
          <w:rFonts w:ascii="Arial" w:hAnsi="Arial" w:cs="Arial"/>
          <w:lang w:val="en-US"/>
        </w:rPr>
        <w:t>under s 12(16)</w:t>
      </w:r>
      <w:r w:rsidR="00596206">
        <w:rPr>
          <w:rFonts w:ascii="Arial" w:hAnsi="Arial" w:cs="Arial"/>
          <w:i/>
          <w:iCs/>
          <w:lang w:val="en-US"/>
        </w:rPr>
        <w:t>(d)</w:t>
      </w:r>
      <w:r w:rsidR="00596206">
        <w:rPr>
          <w:rFonts w:ascii="Arial" w:hAnsi="Arial" w:cs="Arial"/>
          <w:lang w:val="en-US"/>
        </w:rPr>
        <w:t xml:space="preserve">. The court a quo discharged the interim order and substituted another order for </w:t>
      </w:r>
      <w:r w:rsidR="002B1C62">
        <w:rPr>
          <w:rFonts w:ascii="Arial" w:hAnsi="Arial" w:cs="Arial"/>
          <w:lang w:val="en-US"/>
        </w:rPr>
        <w:t>it</w:t>
      </w:r>
      <w:r w:rsidR="00596206">
        <w:rPr>
          <w:rFonts w:ascii="Arial" w:hAnsi="Arial" w:cs="Arial"/>
          <w:lang w:val="en-US"/>
        </w:rPr>
        <w:t xml:space="preserve">. None of the other </w:t>
      </w:r>
      <w:proofErr w:type="spellStart"/>
      <w:r w:rsidR="00596206">
        <w:rPr>
          <w:rFonts w:ascii="Arial" w:hAnsi="Arial" w:cs="Arial"/>
          <w:lang w:val="en-US"/>
        </w:rPr>
        <w:t>subsecs</w:t>
      </w:r>
      <w:proofErr w:type="spellEnd"/>
      <w:r w:rsidR="00596206">
        <w:rPr>
          <w:rFonts w:ascii="Arial" w:hAnsi="Arial" w:cs="Arial"/>
          <w:lang w:val="en-US"/>
        </w:rPr>
        <w:t xml:space="preserve"> of s 12(16)</w:t>
      </w:r>
      <w:r w:rsidR="00820933">
        <w:rPr>
          <w:rFonts w:ascii="Arial" w:hAnsi="Arial" w:cs="Arial"/>
          <w:lang w:val="en-US"/>
        </w:rPr>
        <w:t xml:space="preserve">, including </w:t>
      </w:r>
      <w:proofErr w:type="spellStart"/>
      <w:r w:rsidR="00820933">
        <w:rPr>
          <w:rFonts w:ascii="Arial" w:hAnsi="Arial" w:cs="Arial"/>
          <w:lang w:val="en-US"/>
        </w:rPr>
        <w:t>subsec</w:t>
      </w:r>
      <w:proofErr w:type="spellEnd"/>
      <w:r w:rsidR="00820933">
        <w:rPr>
          <w:rFonts w:ascii="Arial" w:hAnsi="Arial" w:cs="Arial"/>
          <w:lang w:val="en-US"/>
        </w:rPr>
        <w:t xml:space="preserve"> </w:t>
      </w:r>
      <w:r w:rsidR="00820933">
        <w:rPr>
          <w:rFonts w:ascii="Arial" w:hAnsi="Arial" w:cs="Arial"/>
          <w:i/>
          <w:iCs/>
          <w:lang w:val="en-US"/>
        </w:rPr>
        <w:t>(e)</w:t>
      </w:r>
      <w:r w:rsidR="00F81777">
        <w:rPr>
          <w:rFonts w:ascii="Arial" w:hAnsi="Arial" w:cs="Arial"/>
          <w:lang w:val="en-US"/>
        </w:rPr>
        <w:t xml:space="preserve"> relied on by David</w:t>
      </w:r>
      <w:r w:rsidR="00820933">
        <w:rPr>
          <w:rFonts w:ascii="Arial" w:hAnsi="Arial" w:cs="Arial"/>
          <w:lang w:val="en-US"/>
        </w:rPr>
        <w:t>,</w:t>
      </w:r>
      <w:r w:rsidR="00596206">
        <w:rPr>
          <w:rFonts w:ascii="Arial" w:hAnsi="Arial" w:cs="Arial"/>
          <w:lang w:val="en-US"/>
        </w:rPr>
        <w:t xml:space="preserve"> finds application</w:t>
      </w:r>
      <w:r w:rsidR="00C15334">
        <w:rPr>
          <w:rFonts w:ascii="Arial" w:hAnsi="Arial" w:cs="Arial"/>
          <w:lang w:val="en-US"/>
        </w:rPr>
        <w:t xml:space="preserve"> to the 7 June 2022 order</w:t>
      </w:r>
      <w:r w:rsidR="00596206">
        <w:rPr>
          <w:rFonts w:ascii="Arial" w:hAnsi="Arial" w:cs="Arial"/>
          <w:lang w:val="en-US"/>
        </w:rPr>
        <w:t>.</w:t>
      </w:r>
      <w:r w:rsidR="00820933">
        <w:rPr>
          <w:rFonts w:ascii="Arial" w:hAnsi="Arial" w:cs="Arial"/>
          <w:lang w:val="en-US"/>
        </w:rPr>
        <w:t xml:space="preserve"> The court a quo did not add provisions which were not contained in the interim order. It discharged the interim order </w:t>
      </w:r>
      <w:r w:rsidR="00F81777">
        <w:rPr>
          <w:rFonts w:ascii="Arial" w:hAnsi="Arial" w:cs="Arial"/>
          <w:lang w:val="en-US"/>
        </w:rPr>
        <w:t>and then made other orders going against the</w:t>
      </w:r>
      <w:r w:rsidR="00735BEF">
        <w:rPr>
          <w:rFonts w:ascii="Arial" w:hAnsi="Arial" w:cs="Arial"/>
          <w:lang w:val="en-US"/>
        </w:rPr>
        <w:t xml:space="preserve"> grain of the</w:t>
      </w:r>
      <w:r w:rsidR="00F81777">
        <w:rPr>
          <w:rFonts w:ascii="Arial" w:hAnsi="Arial" w:cs="Arial"/>
          <w:lang w:val="en-US"/>
        </w:rPr>
        <w:t xml:space="preserve"> interim order</w:t>
      </w:r>
      <w:r w:rsidR="00820933">
        <w:rPr>
          <w:rFonts w:ascii="Arial" w:hAnsi="Arial" w:cs="Arial"/>
          <w:lang w:val="en-US"/>
        </w:rPr>
        <w:t xml:space="preserve">. </w:t>
      </w:r>
    </w:p>
    <w:p w14:paraId="000E2AA2" w14:textId="77777777" w:rsidR="00820933" w:rsidRPr="00F55516" w:rsidRDefault="00820933" w:rsidP="00820933">
      <w:pPr>
        <w:pStyle w:val="ListParagraph"/>
        <w:rPr>
          <w:rFonts w:ascii="Arial" w:hAnsi="Arial" w:cs="Arial"/>
          <w:lang w:val="en-US"/>
        </w:rPr>
      </w:pPr>
    </w:p>
    <w:p w14:paraId="421A818A" w14:textId="2F510C92" w:rsidR="00F81777" w:rsidRDefault="00820933" w:rsidP="00F8177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substituted order did</w:t>
      </w:r>
      <w:r w:rsidR="00F81777">
        <w:rPr>
          <w:rFonts w:ascii="Arial" w:hAnsi="Arial" w:cs="Arial"/>
          <w:lang w:val="en-US"/>
        </w:rPr>
        <w:t>, however,</w:t>
      </w:r>
      <w:r>
        <w:rPr>
          <w:rFonts w:ascii="Arial" w:hAnsi="Arial" w:cs="Arial"/>
          <w:lang w:val="en-US"/>
        </w:rPr>
        <w:t xml:space="preserve"> not </w:t>
      </w:r>
      <w:r w:rsidRPr="00F81777">
        <w:rPr>
          <w:rFonts w:ascii="Arial" w:hAnsi="Arial" w:cs="Arial"/>
          <w:lang w:val="en-US"/>
        </w:rPr>
        <w:t>bring s 15</w:t>
      </w:r>
      <w:r>
        <w:rPr>
          <w:rFonts w:ascii="Arial" w:hAnsi="Arial" w:cs="Arial"/>
          <w:i/>
          <w:iCs/>
          <w:lang w:val="en-US"/>
        </w:rPr>
        <w:t>(a)</w:t>
      </w:r>
      <w:r>
        <w:rPr>
          <w:rFonts w:ascii="Arial" w:hAnsi="Arial" w:cs="Arial"/>
          <w:lang w:val="en-US"/>
        </w:rPr>
        <w:t xml:space="preserve"> into operation as contended </w:t>
      </w:r>
      <w:r w:rsidR="00F81777">
        <w:rPr>
          <w:rFonts w:ascii="Arial" w:hAnsi="Arial" w:cs="Arial"/>
          <w:lang w:val="en-US"/>
        </w:rPr>
        <w:t>for on</w:t>
      </w:r>
      <w:r>
        <w:rPr>
          <w:rFonts w:ascii="Arial" w:hAnsi="Arial" w:cs="Arial"/>
          <w:lang w:val="en-US"/>
        </w:rPr>
        <w:t xml:space="preserve"> David</w:t>
      </w:r>
      <w:r w:rsidR="00F81777">
        <w:rPr>
          <w:rFonts w:ascii="Arial" w:hAnsi="Arial" w:cs="Arial"/>
          <w:lang w:val="en-US"/>
        </w:rPr>
        <w:t>’s behalf</w:t>
      </w:r>
      <w:r>
        <w:rPr>
          <w:rFonts w:ascii="Arial" w:hAnsi="Arial" w:cs="Arial"/>
          <w:lang w:val="en-US"/>
        </w:rPr>
        <w:t xml:space="preserve">. </w:t>
      </w:r>
      <w:r w:rsidR="00735BEF" w:rsidRPr="00820933">
        <w:rPr>
          <w:rFonts w:ascii="Arial" w:hAnsi="Arial" w:cs="Arial"/>
          <w:lang w:val="en-US"/>
        </w:rPr>
        <w:t>Section 15</w:t>
      </w:r>
      <w:r w:rsidR="00735BEF" w:rsidRPr="00820933">
        <w:rPr>
          <w:rFonts w:ascii="Arial" w:hAnsi="Arial" w:cs="Arial"/>
          <w:i/>
          <w:iCs/>
          <w:lang w:val="en-US"/>
        </w:rPr>
        <w:t>(a)</w:t>
      </w:r>
      <w:r w:rsidR="00735BEF" w:rsidRPr="00820933">
        <w:rPr>
          <w:rFonts w:ascii="Arial" w:hAnsi="Arial" w:cs="Arial"/>
          <w:lang w:val="en-US"/>
        </w:rPr>
        <w:t xml:space="preserve"> deals with a provision grant</w:t>
      </w:r>
      <w:r w:rsidR="00735BEF">
        <w:rPr>
          <w:rFonts w:ascii="Arial" w:hAnsi="Arial" w:cs="Arial"/>
          <w:lang w:val="en-US"/>
        </w:rPr>
        <w:t>ing</w:t>
      </w:r>
      <w:r w:rsidR="00735BEF" w:rsidRPr="00820933">
        <w:rPr>
          <w:rFonts w:ascii="Arial" w:hAnsi="Arial" w:cs="Arial"/>
          <w:lang w:val="en-US"/>
        </w:rPr>
        <w:t xml:space="preserve"> ‘the complainant’ exclusive occupation of a residence.</w:t>
      </w:r>
      <w:r w:rsidR="00735BEF">
        <w:rPr>
          <w:rFonts w:ascii="Arial" w:hAnsi="Arial" w:cs="Arial"/>
          <w:lang w:val="en-US"/>
        </w:rPr>
        <w:t xml:space="preserve"> </w:t>
      </w:r>
      <w:r w:rsidRPr="00820933">
        <w:rPr>
          <w:rFonts w:ascii="Arial" w:hAnsi="Arial" w:cs="Arial"/>
          <w:lang w:val="en-US"/>
        </w:rPr>
        <w:t>David</w:t>
      </w:r>
      <w:r w:rsidR="00735BEF">
        <w:rPr>
          <w:rFonts w:ascii="Arial" w:hAnsi="Arial" w:cs="Arial"/>
          <w:lang w:val="en-US"/>
        </w:rPr>
        <w:t>, ‘the complainant’,</w:t>
      </w:r>
      <w:r w:rsidRPr="00820933">
        <w:rPr>
          <w:rFonts w:ascii="Arial" w:hAnsi="Arial" w:cs="Arial"/>
          <w:lang w:val="en-US"/>
        </w:rPr>
        <w:t xml:space="preserve"> was </w:t>
      </w:r>
      <w:r w:rsidR="00F81777">
        <w:rPr>
          <w:rFonts w:ascii="Arial" w:hAnsi="Arial" w:cs="Arial"/>
          <w:lang w:val="en-US"/>
        </w:rPr>
        <w:t xml:space="preserve">expressly </w:t>
      </w:r>
      <w:r w:rsidRPr="00820933">
        <w:rPr>
          <w:rFonts w:ascii="Arial" w:hAnsi="Arial" w:cs="Arial"/>
          <w:lang w:val="en-US"/>
        </w:rPr>
        <w:t xml:space="preserve">ordered to vacate the property while </w:t>
      </w:r>
      <w:proofErr w:type="spellStart"/>
      <w:r w:rsidRPr="00820933">
        <w:rPr>
          <w:rFonts w:ascii="Arial" w:hAnsi="Arial" w:cs="Arial"/>
          <w:lang w:val="en-US"/>
        </w:rPr>
        <w:t>Siyamba</w:t>
      </w:r>
      <w:proofErr w:type="spellEnd"/>
      <w:r w:rsidRPr="00820933">
        <w:rPr>
          <w:rFonts w:ascii="Arial" w:hAnsi="Arial" w:cs="Arial"/>
          <w:lang w:val="en-US"/>
        </w:rPr>
        <w:t>,</w:t>
      </w:r>
      <w:r w:rsidR="00735BEF" w:rsidRPr="00735BEF">
        <w:rPr>
          <w:rFonts w:ascii="Arial" w:hAnsi="Arial" w:cs="Arial"/>
          <w:lang w:val="en-US"/>
        </w:rPr>
        <w:t xml:space="preserve"> </w:t>
      </w:r>
      <w:r w:rsidR="00735BEF">
        <w:rPr>
          <w:rFonts w:ascii="Arial" w:hAnsi="Arial" w:cs="Arial"/>
          <w:lang w:val="en-US"/>
        </w:rPr>
        <w:t>‘the respondent’,</w:t>
      </w:r>
      <w:r w:rsidRPr="00820933">
        <w:rPr>
          <w:rFonts w:ascii="Arial" w:hAnsi="Arial" w:cs="Arial"/>
          <w:lang w:val="en-US"/>
        </w:rPr>
        <w:t xml:space="preserve"> who was never a complainant in the court a quo, was </w:t>
      </w:r>
      <w:r w:rsidR="00735BEF">
        <w:rPr>
          <w:rFonts w:ascii="Arial" w:hAnsi="Arial" w:cs="Arial"/>
          <w:lang w:val="en-US"/>
        </w:rPr>
        <w:t xml:space="preserve">granted occupation of the residence allegedly belonging to David and </w:t>
      </w:r>
      <w:r w:rsidRPr="00820933">
        <w:rPr>
          <w:rFonts w:ascii="Arial" w:hAnsi="Arial" w:cs="Arial"/>
          <w:lang w:val="en-US"/>
        </w:rPr>
        <w:t xml:space="preserve">ordered to stay in </w:t>
      </w:r>
      <w:r w:rsidR="00735BEF">
        <w:rPr>
          <w:rFonts w:ascii="Arial" w:hAnsi="Arial" w:cs="Arial"/>
          <w:lang w:val="en-US"/>
        </w:rPr>
        <w:t>it</w:t>
      </w:r>
      <w:r w:rsidRPr="00820933">
        <w:rPr>
          <w:rFonts w:ascii="Arial" w:hAnsi="Arial" w:cs="Arial"/>
          <w:lang w:val="en-US"/>
        </w:rPr>
        <w:t xml:space="preserve"> with the children.</w:t>
      </w:r>
      <w:r w:rsidR="002B1C62">
        <w:rPr>
          <w:rFonts w:ascii="Arial" w:hAnsi="Arial" w:cs="Arial"/>
          <w:lang w:val="en-US"/>
        </w:rPr>
        <w:t xml:space="preserve"> A plain reading of s </w:t>
      </w:r>
      <w:r w:rsidR="002B1C62" w:rsidRPr="00F81777">
        <w:rPr>
          <w:rFonts w:ascii="Arial" w:hAnsi="Arial" w:cs="Arial"/>
          <w:lang w:val="en-US"/>
        </w:rPr>
        <w:t>15</w:t>
      </w:r>
      <w:r w:rsidR="002B1C62">
        <w:rPr>
          <w:rFonts w:ascii="Arial" w:hAnsi="Arial" w:cs="Arial"/>
          <w:i/>
          <w:iCs/>
          <w:lang w:val="en-US"/>
        </w:rPr>
        <w:t xml:space="preserve">(a) </w:t>
      </w:r>
      <w:r w:rsidR="002B1C62">
        <w:rPr>
          <w:rFonts w:ascii="Arial" w:hAnsi="Arial" w:cs="Arial"/>
          <w:lang w:val="en-US"/>
        </w:rPr>
        <w:t>illustrates that it does not apply to the 7 June 2022 order.</w:t>
      </w:r>
    </w:p>
    <w:p w14:paraId="0DE856F7" w14:textId="77777777" w:rsidR="00F81777" w:rsidRPr="00F81777" w:rsidRDefault="00F81777" w:rsidP="00F81777">
      <w:pPr>
        <w:pStyle w:val="ListParagraph"/>
        <w:rPr>
          <w:rFonts w:ascii="Arial" w:hAnsi="Arial" w:cs="Arial"/>
          <w:lang w:val="en-US"/>
        </w:rPr>
      </w:pPr>
    </w:p>
    <w:p w14:paraId="4705069B" w14:textId="3FBA122C" w:rsidR="005F5D77" w:rsidRDefault="00596206" w:rsidP="005F5D77">
      <w:pPr>
        <w:pStyle w:val="ListParagraph"/>
        <w:numPr>
          <w:ilvl w:val="0"/>
          <w:numId w:val="2"/>
        </w:numPr>
        <w:spacing w:line="360" w:lineRule="auto"/>
        <w:ind w:left="0" w:firstLine="0"/>
        <w:jc w:val="both"/>
        <w:rPr>
          <w:rFonts w:ascii="Arial" w:hAnsi="Arial" w:cs="Arial"/>
          <w:lang w:val="en-US"/>
        </w:rPr>
      </w:pPr>
      <w:r w:rsidRPr="00F81777">
        <w:rPr>
          <w:rFonts w:ascii="Arial" w:hAnsi="Arial" w:cs="Arial"/>
          <w:lang w:val="en-US"/>
        </w:rPr>
        <w:t>The question remains whether the 7 June 2022 order is ‘a protection order’ for the purpose of s 17</w:t>
      </w:r>
      <w:r w:rsidR="00735BEF">
        <w:rPr>
          <w:rFonts w:ascii="Arial" w:hAnsi="Arial" w:cs="Arial"/>
          <w:lang w:val="en-US"/>
        </w:rPr>
        <w:t>,</w:t>
      </w:r>
      <w:r w:rsidRPr="00F81777">
        <w:rPr>
          <w:rFonts w:ascii="Arial" w:hAnsi="Arial" w:cs="Arial"/>
          <w:lang w:val="en-US"/>
        </w:rPr>
        <w:t xml:space="preserve"> which </w:t>
      </w:r>
      <w:r w:rsidR="00735BEF">
        <w:rPr>
          <w:rFonts w:ascii="Arial" w:hAnsi="Arial" w:cs="Arial"/>
          <w:lang w:val="en-US"/>
        </w:rPr>
        <w:t xml:space="preserve">David could cancel </w:t>
      </w:r>
      <w:r w:rsidRPr="00F81777">
        <w:rPr>
          <w:rFonts w:ascii="Arial" w:hAnsi="Arial" w:cs="Arial"/>
          <w:lang w:val="en-US"/>
        </w:rPr>
        <w:t>under that section.</w:t>
      </w:r>
    </w:p>
    <w:p w14:paraId="26DB4E70" w14:textId="77777777" w:rsidR="005F5D77" w:rsidRPr="005F5D77" w:rsidRDefault="005F5D77" w:rsidP="005F5D77">
      <w:pPr>
        <w:pStyle w:val="ListParagraph"/>
        <w:rPr>
          <w:rFonts w:ascii="Arial" w:hAnsi="Arial" w:cs="Arial"/>
          <w:lang w:val="en-US"/>
        </w:rPr>
      </w:pPr>
    </w:p>
    <w:p w14:paraId="07B1613B" w14:textId="015126F0" w:rsidR="00642714" w:rsidRPr="005F5D77" w:rsidRDefault="00642714" w:rsidP="005F5D77">
      <w:pPr>
        <w:pStyle w:val="ListParagraph"/>
        <w:numPr>
          <w:ilvl w:val="0"/>
          <w:numId w:val="2"/>
        </w:numPr>
        <w:spacing w:line="360" w:lineRule="auto"/>
        <w:ind w:left="0" w:firstLine="0"/>
        <w:jc w:val="both"/>
        <w:rPr>
          <w:rFonts w:ascii="Arial" w:hAnsi="Arial" w:cs="Arial"/>
          <w:lang w:val="en-US"/>
        </w:rPr>
      </w:pPr>
      <w:r w:rsidRPr="005F5D77">
        <w:rPr>
          <w:rFonts w:ascii="Arial" w:hAnsi="Arial" w:cs="Arial"/>
          <w:lang w:val="en-US"/>
        </w:rPr>
        <w:t xml:space="preserve">Section 17 makes provision for the modification or cancellation of protection orders. Section 17 uses the phrase ‘a protection order’. Applying the definition </w:t>
      </w:r>
      <w:r w:rsidR="005F5D77">
        <w:rPr>
          <w:rFonts w:ascii="Arial" w:hAnsi="Arial" w:cs="Arial"/>
          <w:lang w:val="en-US"/>
        </w:rPr>
        <w:t xml:space="preserve">for </w:t>
      </w:r>
      <w:r w:rsidR="005F5D77" w:rsidRPr="005F5D77">
        <w:rPr>
          <w:rFonts w:ascii="Arial" w:hAnsi="Arial" w:cs="Arial"/>
          <w:lang w:val="en-US"/>
        </w:rPr>
        <w:t xml:space="preserve">‘a protection order’ </w:t>
      </w:r>
      <w:r w:rsidRPr="005F5D77">
        <w:rPr>
          <w:rFonts w:ascii="Arial" w:hAnsi="Arial" w:cs="Arial"/>
          <w:lang w:val="en-US"/>
        </w:rPr>
        <w:t>provided in s 1, i</w:t>
      </w:r>
      <w:r w:rsidR="005F5D77">
        <w:rPr>
          <w:rFonts w:ascii="Arial" w:hAnsi="Arial" w:cs="Arial"/>
          <w:lang w:val="en-US"/>
        </w:rPr>
        <w:t xml:space="preserve">t </w:t>
      </w:r>
      <w:r w:rsidRPr="005F5D77">
        <w:rPr>
          <w:rFonts w:ascii="Arial" w:hAnsi="Arial" w:cs="Arial"/>
          <w:lang w:val="en-US"/>
        </w:rPr>
        <w:t>means ‘an interim or final protection order’.</w:t>
      </w:r>
      <w:r w:rsidR="005F5D77">
        <w:rPr>
          <w:rFonts w:ascii="Arial" w:hAnsi="Arial" w:cs="Arial"/>
          <w:lang w:val="en-US"/>
        </w:rPr>
        <w:t xml:space="preserve"> Having found that the 7 June 2022 order is ‘a final protection order’, the court further finds that it is ‘a protection order’ for the purpose of s 17.</w:t>
      </w:r>
    </w:p>
    <w:p w14:paraId="3AEBCDE7" w14:textId="77777777" w:rsidR="00642714" w:rsidRPr="00642714" w:rsidRDefault="00642714" w:rsidP="00642714">
      <w:pPr>
        <w:pStyle w:val="ListParagraph"/>
        <w:rPr>
          <w:rFonts w:ascii="Arial" w:hAnsi="Arial" w:cs="Arial"/>
          <w:lang w:val="en-US"/>
        </w:rPr>
      </w:pPr>
    </w:p>
    <w:p w14:paraId="33152970" w14:textId="4D62D1FE" w:rsidR="005F5D77" w:rsidRDefault="005F5D77" w:rsidP="0064271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Next is the question whether David could apply for its cancellation as the court a quo said he could not because </w:t>
      </w:r>
      <w:r w:rsidR="008E7CBE">
        <w:rPr>
          <w:rFonts w:ascii="Arial" w:hAnsi="Arial" w:cs="Arial"/>
          <w:lang w:val="en-US"/>
        </w:rPr>
        <w:t>the order</w:t>
      </w:r>
      <w:r>
        <w:rPr>
          <w:rFonts w:ascii="Arial" w:hAnsi="Arial" w:cs="Arial"/>
          <w:lang w:val="en-US"/>
        </w:rPr>
        <w:t xml:space="preserve"> was made against him. </w:t>
      </w:r>
    </w:p>
    <w:p w14:paraId="4DE36CA0" w14:textId="77777777" w:rsidR="005F5D77" w:rsidRPr="005F5D77" w:rsidRDefault="005F5D77" w:rsidP="005F5D77">
      <w:pPr>
        <w:pStyle w:val="ListParagraph"/>
        <w:rPr>
          <w:rFonts w:ascii="Arial" w:hAnsi="Arial" w:cs="Arial"/>
          <w:lang w:val="en-US"/>
        </w:rPr>
      </w:pPr>
    </w:p>
    <w:p w14:paraId="0922CCFC" w14:textId="609706F7" w:rsidR="00642714" w:rsidRDefault="00642714" w:rsidP="00642714">
      <w:pPr>
        <w:pStyle w:val="ListParagraph"/>
        <w:numPr>
          <w:ilvl w:val="0"/>
          <w:numId w:val="2"/>
        </w:numPr>
        <w:spacing w:line="360" w:lineRule="auto"/>
        <w:ind w:left="0" w:firstLine="0"/>
        <w:jc w:val="both"/>
        <w:rPr>
          <w:rFonts w:ascii="Arial" w:hAnsi="Arial" w:cs="Arial"/>
          <w:lang w:val="en-US"/>
        </w:rPr>
      </w:pPr>
      <w:r w:rsidRPr="00642714">
        <w:rPr>
          <w:rFonts w:ascii="Arial" w:hAnsi="Arial" w:cs="Arial"/>
          <w:lang w:val="en-US"/>
        </w:rPr>
        <w:t xml:space="preserve">Section 17(1) provides that ‘the complainant’, ‘an applicant’ or ‘the respondent’ may, in writing, make </w:t>
      </w:r>
      <w:r w:rsidR="002B1C62">
        <w:rPr>
          <w:rFonts w:ascii="Arial" w:hAnsi="Arial" w:cs="Arial"/>
          <w:lang w:val="en-US"/>
        </w:rPr>
        <w:t xml:space="preserve">an </w:t>
      </w:r>
      <w:r w:rsidRPr="00642714">
        <w:rPr>
          <w:rFonts w:ascii="Arial" w:hAnsi="Arial" w:cs="Arial"/>
          <w:lang w:val="en-US"/>
        </w:rPr>
        <w:t>application to the court which granted the protection order</w:t>
      </w:r>
      <w:r>
        <w:rPr>
          <w:rFonts w:ascii="Arial" w:hAnsi="Arial" w:cs="Arial"/>
          <w:lang w:val="en-US"/>
        </w:rPr>
        <w:t xml:space="preserve"> for its modification or cancellation</w:t>
      </w:r>
      <w:r w:rsidRPr="00642714">
        <w:rPr>
          <w:rFonts w:ascii="Arial" w:hAnsi="Arial" w:cs="Arial"/>
          <w:lang w:val="en-US"/>
        </w:rPr>
        <w:t xml:space="preserve">.  </w:t>
      </w:r>
    </w:p>
    <w:p w14:paraId="6E7D3A0F" w14:textId="77777777" w:rsidR="00642714" w:rsidRPr="00642714" w:rsidRDefault="00642714" w:rsidP="00642714">
      <w:pPr>
        <w:pStyle w:val="ListParagraph"/>
        <w:rPr>
          <w:rFonts w:ascii="Arial" w:hAnsi="Arial" w:cs="Arial"/>
          <w:lang w:val="en-US"/>
        </w:rPr>
      </w:pPr>
    </w:p>
    <w:p w14:paraId="3B555964" w14:textId="77777777" w:rsidR="00F207B9" w:rsidRDefault="00642714" w:rsidP="00F207B9">
      <w:pPr>
        <w:pStyle w:val="ListParagraph"/>
        <w:numPr>
          <w:ilvl w:val="0"/>
          <w:numId w:val="2"/>
        </w:numPr>
        <w:spacing w:line="360" w:lineRule="auto"/>
        <w:ind w:left="0" w:firstLine="0"/>
        <w:jc w:val="both"/>
        <w:rPr>
          <w:rFonts w:ascii="Arial" w:hAnsi="Arial" w:cs="Arial"/>
          <w:lang w:val="en-US"/>
        </w:rPr>
      </w:pPr>
      <w:r w:rsidRPr="00C02EB0">
        <w:rPr>
          <w:rFonts w:ascii="Arial" w:hAnsi="Arial" w:cs="Arial"/>
          <w:lang w:val="en-US"/>
        </w:rPr>
        <w:t>Section 1 defines the words ‘complainant’, ‘applicant’ and ‘respondent’.</w:t>
      </w:r>
      <w:r w:rsidR="00062C4F">
        <w:rPr>
          <w:rFonts w:ascii="Arial" w:hAnsi="Arial" w:cs="Arial"/>
          <w:lang w:val="en-US"/>
        </w:rPr>
        <w:t xml:space="preserve"> </w:t>
      </w:r>
      <w:r w:rsidR="00062C4F" w:rsidRPr="00062C4F">
        <w:rPr>
          <w:rFonts w:ascii="Arial" w:hAnsi="Arial" w:cs="Arial"/>
          <w:lang w:val="en-US"/>
        </w:rPr>
        <w:t>The definition of the word ‘respondent’ in s 1, is ‘a person against whom a protection order is sought or has been made’.</w:t>
      </w:r>
      <w:r w:rsidR="00C15334">
        <w:rPr>
          <w:rFonts w:ascii="Arial" w:hAnsi="Arial" w:cs="Arial"/>
          <w:lang w:val="en-US"/>
        </w:rPr>
        <w:t xml:space="preserve"> </w:t>
      </w:r>
      <w:r w:rsidR="00C15334" w:rsidRPr="00C15334">
        <w:rPr>
          <w:rFonts w:ascii="Arial" w:hAnsi="Arial" w:cs="Arial"/>
          <w:lang w:val="en-US"/>
        </w:rPr>
        <w:t xml:space="preserve">Section 17(1), however, refers to ‘the complainant’, ‘an applicant’ or ‘the respondent’ as the persons who may </w:t>
      </w:r>
      <w:r w:rsidR="005F5D77">
        <w:rPr>
          <w:rFonts w:ascii="Arial" w:hAnsi="Arial" w:cs="Arial"/>
          <w:lang w:val="en-US"/>
        </w:rPr>
        <w:t xml:space="preserve">make the </w:t>
      </w:r>
      <w:r w:rsidR="00C15334" w:rsidRPr="00C15334">
        <w:rPr>
          <w:rFonts w:ascii="Arial" w:hAnsi="Arial" w:cs="Arial"/>
          <w:lang w:val="en-US"/>
        </w:rPr>
        <w:t>appl</w:t>
      </w:r>
      <w:r w:rsidR="005F5D77">
        <w:rPr>
          <w:rFonts w:ascii="Arial" w:hAnsi="Arial" w:cs="Arial"/>
          <w:lang w:val="en-US"/>
        </w:rPr>
        <w:t>ication</w:t>
      </w:r>
      <w:r w:rsidR="00C15334" w:rsidRPr="00C15334">
        <w:rPr>
          <w:rFonts w:ascii="Arial" w:hAnsi="Arial" w:cs="Arial"/>
          <w:lang w:val="en-US"/>
        </w:rPr>
        <w:t xml:space="preserve">. The legislature clearly intended </w:t>
      </w:r>
      <w:r w:rsidR="00C15334">
        <w:rPr>
          <w:rFonts w:ascii="Arial" w:hAnsi="Arial" w:cs="Arial"/>
          <w:lang w:val="en-US"/>
        </w:rPr>
        <w:t xml:space="preserve">to </w:t>
      </w:r>
      <w:r w:rsidR="00C15334" w:rsidRPr="00C15334">
        <w:rPr>
          <w:rFonts w:ascii="Arial" w:hAnsi="Arial" w:cs="Arial"/>
          <w:lang w:val="en-US"/>
        </w:rPr>
        <w:t xml:space="preserve">afford ‘the complainant’ and ‘the respondent’ to the protection order an opportunity to have </w:t>
      </w:r>
      <w:r w:rsidR="005F5D77">
        <w:rPr>
          <w:rFonts w:ascii="Arial" w:hAnsi="Arial" w:cs="Arial"/>
          <w:lang w:val="en-US"/>
        </w:rPr>
        <w:t>it</w:t>
      </w:r>
      <w:r w:rsidR="00C15334" w:rsidRPr="00C15334">
        <w:rPr>
          <w:rFonts w:ascii="Arial" w:hAnsi="Arial" w:cs="Arial"/>
          <w:lang w:val="en-US"/>
        </w:rPr>
        <w:t xml:space="preserve"> modified or cancelled.</w:t>
      </w:r>
    </w:p>
    <w:p w14:paraId="54532C4A" w14:textId="77777777" w:rsidR="00F207B9" w:rsidRPr="00F207B9" w:rsidRDefault="00F207B9" w:rsidP="00F207B9">
      <w:pPr>
        <w:pStyle w:val="ListParagraph"/>
        <w:rPr>
          <w:rFonts w:ascii="Arial" w:hAnsi="Arial" w:cs="Arial"/>
          <w:lang w:val="en-US"/>
        </w:rPr>
      </w:pPr>
    </w:p>
    <w:p w14:paraId="74B37FC5" w14:textId="77777777" w:rsidR="00F207B9" w:rsidRDefault="00C15334" w:rsidP="00F207B9">
      <w:pPr>
        <w:pStyle w:val="ListParagraph"/>
        <w:numPr>
          <w:ilvl w:val="0"/>
          <w:numId w:val="2"/>
        </w:numPr>
        <w:spacing w:line="360" w:lineRule="auto"/>
        <w:ind w:left="0" w:firstLine="0"/>
        <w:jc w:val="both"/>
        <w:rPr>
          <w:rFonts w:ascii="Arial" w:hAnsi="Arial" w:cs="Arial"/>
          <w:lang w:val="en-US"/>
        </w:rPr>
      </w:pPr>
      <w:r w:rsidRPr="00F207B9">
        <w:rPr>
          <w:rFonts w:ascii="Arial" w:hAnsi="Arial" w:cs="Arial"/>
          <w:lang w:val="en-US"/>
        </w:rPr>
        <w:t>Section 17(2) sets out the procedure if ‘the complainant’ or ‘an applicant’ wants to cancel or modify a protection order. An application must be submitted in the prescribed manner, accompanied by an affidavit and any prescribed information.</w:t>
      </w:r>
    </w:p>
    <w:p w14:paraId="2539942A" w14:textId="77777777" w:rsidR="00F207B9" w:rsidRPr="00F207B9" w:rsidRDefault="00F207B9" w:rsidP="00F207B9">
      <w:pPr>
        <w:pStyle w:val="ListParagraph"/>
        <w:rPr>
          <w:rFonts w:ascii="Arial" w:hAnsi="Arial" w:cs="Arial"/>
          <w:lang w:val="en-US"/>
        </w:rPr>
      </w:pPr>
    </w:p>
    <w:p w14:paraId="53F56E24" w14:textId="09CC061D" w:rsidR="00C15334" w:rsidRPr="00F207B9" w:rsidRDefault="00C15334" w:rsidP="00F207B9">
      <w:pPr>
        <w:pStyle w:val="ListParagraph"/>
        <w:numPr>
          <w:ilvl w:val="0"/>
          <w:numId w:val="2"/>
        </w:numPr>
        <w:spacing w:line="360" w:lineRule="auto"/>
        <w:ind w:left="0" w:firstLine="0"/>
        <w:jc w:val="both"/>
        <w:rPr>
          <w:rFonts w:ascii="Arial" w:hAnsi="Arial" w:cs="Arial"/>
          <w:lang w:val="en-US"/>
        </w:rPr>
      </w:pPr>
      <w:r w:rsidRPr="00F207B9">
        <w:rPr>
          <w:rFonts w:ascii="Arial" w:hAnsi="Arial" w:cs="Arial"/>
          <w:lang w:val="en-US"/>
        </w:rPr>
        <w:t xml:space="preserve">If ‘the complainant’ </w:t>
      </w:r>
      <w:r w:rsidR="00EC2490" w:rsidRPr="00F207B9">
        <w:rPr>
          <w:rFonts w:ascii="Arial" w:hAnsi="Arial" w:cs="Arial"/>
          <w:lang w:val="en-US"/>
        </w:rPr>
        <w:t>or</w:t>
      </w:r>
      <w:r w:rsidRPr="00F207B9">
        <w:rPr>
          <w:rFonts w:ascii="Arial" w:hAnsi="Arial" w:cs="Arial"/>
          <w:lang w:val="en-US"/>
        </w:rPr>
        <w:t xml:space="preserve"> ‘an applicant’ </w:t>
      </w:r>
      <w:r w:rsidR="00EC2490" w:rsidRPr="00F207B9">
        <w:rPr>
          <w:rFonts w:ascii="Arial" w:hAnsi="Arial" w:cs="Arial"/>
          <w:lang w:val="en-US"/>
        </w:rPr>
        <w:t xml:space="preserve">wants to cancel an order, </w:t>
      </w:r>
      <w:r w:rsidRPr="00F207B9">
        <w:rPr>
          <w:rFonts w:ascii="Arial" w:hAnsi="Arial" w:cs="Arial"/>
          <w:lang w:val="en-US"/>
        </w:rPr>
        <w:t xml:space="preserve">the court must, under s 17(3), on receipt of it, grant the application if satisfied that the application is in accordance with the wishes of ‘the complainant’ made freely and voluntarily and if it would not endanger such party or any child or other person concerned in the matter. It is clear that the legislature intended to afford ‘the complainant’ an opportunity to cancel an order obtained in such person’s </w:t>
      </w:r>
      <w:proofErr w:type="spellStart"/>
      <w:r w:rsidRPr="00F207B9">
        <w:rPr>
          <w:rFonts w:ascii="Arial" w:hAnsi="Arial" w:cs="Arial"/>
          <w:lang w:val="en-US"/>
        </w:rPr>
        <w:t>favour</w:t>
      </w:r>
      <w:proofErr w:type="spellEnd"/>
      <w:r w:rsidRPr="00F207B9">
        <w:rPr>
          <w:rFonts w:ascii="Arial" w:hAnsi="Arial" w:cs="Arial"/>
          <w:lang w:val="en-US"/>
        </w:rPr>
        <w:t>.</w:t>
      </w:r>
    </w:p>
    <w:p w14:paraId="5CD5D230" w14:textId="77777777" w:rsidR="00C15334" w:rsidRPr="00C15334" w:rsidRDefault="00C15334" w:rsidP="00C15334">
      <w:pPr>
        <w:pStyle w:val="ListParagraph"/>
        <w:rPr>
          <w:rFonts w:ascii="Arial" w:hAnsi="Arial" w:cs="Arial"/>
          <w:lang w:val="en-US"/>
        </w:rPr>
      </w:pPr>
    </w:p>
    <w:p w14:paraId="06BB93C2" w14:textId="785B86D9" w:rsidR="00F207B9" w:rsidRDefault="00EC2490" w:rsidP="00F207B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Section 17(5) provides that if the application for cancellation or modification is made by ‘the respondent’, the court may grant the application only after an enquiry </w:t>
      </w:r>
      <w:r w:rsidR="002B1C62">
        <w:rPr>
          <w:rFonts w:ascii="Arial" w:hAnsi="Arial" w:cs="Arial"/>
          <w:lang w:val="en-US"/>
        </w:rPr>
        <w:t>under</w:t>
      </w:r>
      <w:r w:rsidR="00E44100">
        <w:rPr>
          <w:rFonts w:ascii="Arial" w:hAnsi="Arial" w:cs="Arial"/>
          <w:lang w:val="en-US"/>
        </w:rPr>
        <w:t xml:space="preserve"> s 12 with at least ten</w:t>
      </w:r>
      <w:r>
        <w:rPr>
          <w:rFonts w:ascii="Arial" w:hAnsi="Arial" w:cs="Arial"/>
          <w:lang w:val="en-US"/>
        </w:rPr>
        <w:t xml:space="preserve"> days’ notice to ‘the applicant’ and if ‘the complainant’ was not ‘the applicant’ to ‘the complainant’.</w:t>
      </w:r>
      <w:r w:rsidR="006E074F">
        <w:rPr>
          <w:rFonts w:ascii="Arial" w:hAnsi="Arial" w:cs="Arial"/>
          <w:lang w:val="en-US"/>
        </w:rPr>
        <w:t xml:space="preserve"> </w:t>
      </w:r>
      <w:r w:rsidR="006E074F" w:rsidRPr="0075261B">
        <w:rPr>
          <w:rFonts w:ascii="Arial" w:hAnsi="Arial" w:cs="Arial"/>
          <w:lang w:val="en-US"/>
        </w:rPr>
        <w:t xml:space="preserve">In terms of s 17(6), </w:t>
      </w:r>
      <w:r w:rsidR="006E074F">
        <w:rPr>
          <w:rFonts w:ascii="Arial" w:hAnsi="Arial" w:cs="Arial"/>
          <w:lang w:val="en-US"/>
        </w:rPr>
        <w:t>the court may</w:t>
      </w:r>
      <w:r w:rsidR="00F207B9">
        <w:rPr>
          <w:rFonts w:ascii="Arial" w:hAnsi="Arial" w:cs="Arial"/>
          <w:lang w:val="en-US"/>
        </w:rPr>
        <w:t>,</w:t>
      </w:r>
      <w:r w:rsidR="006E074F">
        <w:rPr>
          <w:rFonts w:ascii="Arial" w:hAnsi="Arial" w:cs="Arial"/>
          <w:lang w:val="en-US"/>
        </w:rPr>
        <w:t xml:space="preserve"> </w:t>
      </w:r>
      <w:r w:rsidR="006E074F" w:rsidRPr="0075261B">
        <w:rPr>
          <w:rFonts w:ascii="Arial" w:hAnsi="Arial" w:cs="Arial"/>
          <w:lang w:val="en-US"/>
        </w:rPr>
        <w:t>whether or not it is ‘the complainant’s’ wish to oppose the modification or cancellation, grant ‘the respondent’s’ request only if satisfied that</w:t>
      </w:r>
      <w:r w:rsidR="00F207B9">
        <w:rPr>
          <w:rFonts w:ascii="Arial" w:hAnsi="Arial" w:cs="Arial"/>
          <w:lang w:val="en-US"/>
        </w:rPr>
        <w:t xml:space="preserve"> </w:t>
      </w:r>
      <w:r w:rsidR="006E074F" w:rsidRPr="0075261B">
        <w:rPr>
          <w:rFonts w:ascii="Arial" w:hAnsi="Arial" w:cs="Arial"/>
          <w:lang w:val="en-US"/>
        </w:rPr>
        <w:t xml:space="preserve">it will not endanger ‘the complainant’ or any child or other person concerned in </w:t>
      </w:r>
      <w:r w:rsidR="006E074F" w:rsidRPr="0075261B">
        <w:rPr>
          <w:rFonts w:ascii="Arial" w:hAnsi="Arial" w:cs="Arial"/>
          <w:lang w:val="en-US"/>
        </w:rPr>
        <w:lastRenderedPageBreak/>
        <w:t>the matter. The court must be so satisfied on the basis of all information before it, including the record of the original protection order.</w:t>
      </w:r>
    </w:p>
    <w:p w14:paraId="65202EAC" w14:textId="77777777" w:rsidR="00F207B9" w:rsidRPr="00F207B9" w:rsidRDefault="00F207B9" w:rsidP="00F207B9">
      <w:pPr>
        <w:pStyle w:val="ListParagraph"/>
        <w:rPr>
          <w:rFonts w:ascii="Arial" w:hAnsi="Arial" w:cs="Arial"/>
          <w:lang w:val="en-US"/>
        </w:rPr>
      </w:pPr>
    </w:p>
    <w:p w14:paraId="2FB906F5" w14:textId="219737A0" w:rsidR="00EC2490" w:rsidRPr="00F207B9" w:rsidRDefault="00EC2490" w:rsidP="00F207B9">
      <w:pPr>
        <w:pStyle w:val="ListParagraph"/>
        <w:numPr>
          <w:ilvl w:val="0"/>
          <w:numId w:val="2"/>
        </w:numPr>
        <w:spacing w:line="360" w:lineRule="auto"/>
        <w:ind w:left="0" w:firstLine="0"/>
        <w:jc w:val="both"/>
        <w:rPr>
          <w:rFonts w:ascii="Arial" w:hAnsi="Arial" w:cs="Arial"/>
          <w:lang w:val="en-US"/>
        </w:rPr>
      </w:pPr>
      <w:r w:rsidRPr="00F207B9">
        <w:rPr>
          <w:rFonts w:ascii="Arial" w:hAnsi="Arial" w:cs="Arial"/>
          <w:lang w:val="en-US"/>
        </w:rPr>
        <w:t>There are two options. Section 17(3) should either be interpreted literally, in which event David, ‘the complainant’</w:t>
      </w:r>
      <w:r w:rsidR="00F207B9">
        <w:rPr>
          <w:rFonts w:ascii="Arial" w:hAnsi="Arial" w:cs="Arial"/>
          <w:lang w:val="en-US"/>
        </w:rPr>
        <w:t>,</w:t>
      </w:r>
      <w:r w:rsidRPr="00F207B9">
        <w:rPr>
          <w:rFonts w:ascii="Arial" w:hAnsi="Arial" w:cs="Arial"/>
          <w:lang w:val="en-US"/>
        </w:rPr>
        <w:t xml:space="preserve"> </w:t>
      </w:r>
      <w:r w:rsidR="00AA6273">
        <w:rPr>
          <w:rFonts w:ascii="Arial" w:hAnsi="Arial" w:cs="Arial"/>
          <w:lang w:val="en-US"/>
        </w:rPr>
        <w:t>may have</w:t>
      </w:r>
      <w:r w:rsidRPr="00F207B9">
        <w:rPr>
          <w:rFonts w:ascii="Arial" w:hAnsi="Arial" w:cs="Arial"/>
          <w:lang w:val="en-US"/>
        </w:rPr>
        <w:t xml:space="preserve"> appl</w:t>
      </w:r>
      <w:r w:rsidR="00AA6273">
        <w:rPr>
          <w:rFonts w:ascii="Arial" w:hAnsi="Arial" w:cs="Arial"/>
          <w:lang w:val="en-US"/>
        </w:rPr>
        <w:t>ied</w:t>
      </w:r>
      <w:r w:rsidRPr="00F207B9">
        <w:rPr>
          <w:rFonts w:ascii="Arial" w:hAnsi="Arial" w:cs="Arial"/>
          <w:lang w:val="en-US"/>
        </w:rPr>
        <w:t xml:space="preserve"> for cancellation of the 7 June 2022 order</w:t>
      </w:r>
      <w:r w:rsidR="00F207B9">
        <w:rPr>
          <w:rFonts w:ascii="Arial" w:hAnsi="Arial" w:cs="Arial"/>
          <w:lang w:val="en-US"/>
        </w:rPr>
        <w:t>,</w:t>
      </w:r>
      <w:r w:rsidRPr="00F207B9">
        <w:rPr>
          <w:rFonts w:ascii="Arial" w:hAnsi="Arial" w:cs="Arial"/>
          <w:lang w:val="en-US"/>
        </w:rPr>
        <w:t xml:space="preserve"> and the court must, on receipt of the application, have granted it if satisfied as provided in s 17(3).</w:t>
      </w:r>
      <w:r w:rsidR="00F207B9">
        <w:rPr>
          <w:rFonts w:ascii="Arial" w:hAnsi="Arial" w:cs="Arial"/>
          <w:lang w:val="en-US"/>
        </w:rPr>
        <w:t xml:space="preserve"> Th</w:t>
      </w:r>
      <w:r w:rsidR="00AA6273">
        <w:rPr>
          <w:rFonts w:ascii="Arial" w:hAnsi="Arial" w:cs="Arial"/>
          <w:lang w:val="en-US"/>
        </w:rPr>
        <w:t>at</w:t>
      </w:r>
      <w:r w:rsidR="00F207B9">
        <w:rPr>
          <w:rFonts w:ascii="Arial" w:hAnsi="Arial" w:cs="Arial"/>
          <w:lang w:val="en-US"/>
        </w:rPr>
        <w:t xml:space="preserve"> option seem</w:t>
      </w:r>
      <w:r w:rsidR="00AA6273">
        <w:rPr>
          <w:rFonts w:ascii="Arial" w:hAnsi="Arial" w:cs="Arial"/>
          <w:lang w:val="en-US"/>
        </w:rPr>
        <w:t>s</w:t>
      </w:r>
      <w:r w:rsidR="00F207B9">
        <w:rPr>
          <w:rFonts w:ascii="Arial" w:hAnsi="Arial" w:cs="Arial"/>
          <w:lang w:val="en-US"/>
        </w:rPr>
        <w:t xml:space="preserve"> to go against the legislature’s intention referred to in </w:t>
      </w:r>
      <w:r w:rsidR="00F207B9" w:rsidRPr="002348D3">
        <w:rPr>
          <w:rFonts w:ascii="Arial" w:hAnsi="Arial" w:cs="Arial"/>
          <w:lang w:val="en-US"/>
        </w:rPr>
        <w:t>paragraph [</w:t>
      </w:r>
      <w:r w:rsidR="002348D3" w:rsidRPr="002348D3">
        <w:rPr>
          <w:rFonts w:ascii="Arial" w:hAnsi="Arial" w:cs="Arial"/>
          <w:lang w:val="en-US"/>
        </w:rPr>
        <w:t>50</w:t>
      </w:r>
      <w:r w:rsidR="00F207B9" w:rsidRPr="002348D3">
        <w:rPr>
          <w:rFonts w:ascii="Arial" w:hAnsi="Arial" w:cs="Arial"/>
          <w:lang w:val="en-US"/>
        </w:rPr>
        <w:t>] above</w:t>
      </w:r>
      <w:r w:rsidR="00AA6273">
        <w:rPr>
          <w:rFonts w:ascii="Arial" w:hAnsi="Arial" w:cs="Arial"/>
          <w:lang w:val="en-US"/>
        </w:rPr>
        <w:t xml:space="preserve"> because the order is not in David’s </w:t>
      </w:r>
      <w:proofErr w:type="spellStart"/>
      <w:r w:rsidR="00AA6273">
        <w:rPr>
          <w:rFonts w:ascii="Arial" w:hAnsi="Arial" w:cs="Arial"/>
          <w:lang w:val="en-US"/>
        </w:rPr>
        <w:t>favour</w:t>
      </w:r>
      <w:proofErr w:type="spellEnd"/>
      <w:r w:rsidR="00F207B9">
        <w:rPr>
          <w:rFonts w:ascii="Arial" w:hAnsi="Arial" w:cs="Arial"/>
          <w:lang w:val="en-US"/>
        </w:rPr>
        <w:t>.</w:t>
      </w:r>
    </w:p>
    <w:p w14:paraId="0E8301A7" w14:textId="77777777" w:rsidR="00EC2490" w:rsidRPr="00EC2490" w:rsidRDefault="00EC2490" w:rsidP="00EC2490">
      <w:pPr>
        <w:pStyle w:val="ListParagraph"/>
        <w:rPr>
          <w:rFonts w:ascii="Arial" w:hAnsi="Arial" w:cs="Arial"/>
          <w:lang w:val="en-US"/>
        </w:rPr>
      </w:pPr>
    </w:p>
    <w:p w14:paraId="47652681" w14:textId="7B668A47" w:rsidR="00EC2490" w:rsidRPr="008E7CBE" w:rsidRDefault="00EC2490" w:rsidP="008E7CB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Alternatively, </w:t>
      </w:r>
      <w:r w:rsidR="008E7CBE" w:rsidRPr="008E7CBE">
        <w:rPr>
          <w:rFonts w:ascii="Arial" w:hAnsi="Arial" w:cs="Arial"/>
          <w:lang w:val="en-US"/>
        </w:rPr>
        <w:t xml:space="preserve">since the order was made against </w:t>
      </w:r>
      <w:r w:rsidR="008E7CBE">
        <w:rPr>
          <w:rFonts w:ascii="Arial" w:hAnsi="Arial" w:cs="Arial"/>
          <w:lang w:val="en-US"/>
        </w:rPr>
        <w:t>David, David, ‘the complainant’, should, for the purpose of s 17, be</w:t>
      </w:r>
      <w:r w:rsidR="008E7CBE" w:rsidRPr="008E7CBE">
        <w:rPr>
          <w:rFonts w:ascii="Arial" w:hAnsi="Arial" w:cs="Arial"/>
          <w:lang w:val="en-US"/>
        </w:rPr>
        <w:t xml:space="preserve"> regarded as ‘the respondent’</w:t>
      </w:r>
      <w:r w:rsidR="008E7CBE">
        <w:rPr>
          <w:rFonts w:ascii="Arial" w:hAnsi="Arial" w:cs="Arial"/>
          <w:lang w:val="en-US"/>
        </w:rPr>
        <w:t xml:space="preserve">, and as such, David </w:t>
      </w:r>
      <w:r w:rsidR="00AA6273">
        <w:rPr>
          <w:rFonts w:ascii="Arial" w:hAnsi="Arial" w:cs="Arial"/>
          <w:lang w:val="en-US"/>
        </w:rPr>
        <w:t>may</w:t>
      </w:r>
      <w:r w:rsidR="008E7CBE">
        <w:rPr>
          <w:rFonts w:ascii="Arial" w:hAnsi="Arial" w:cs="Arial"/>
          <w:lang w:val="en-US"/>
        </w:rPr>
        <w:t xml:space="preserve">, under s </w:t>
      </w:r>
      <w:r>
        <w:rPr>
          <w:rFonts w:ascii="Arial" w:hAnsi="Arial" w:cs="Arial"/>
          <w:lang w:val="en-US"/>
        </w:rPr>
        <w:t>17(5)</w:t>
      </w:r>
      <w:r w:rsidR="008E7CBE">
        <w:rPr>
          <w:rFonts w:ascii="Arial" w:hAnsi="Arial" w:cs="Arial"/>
          <w:lang w:val="en-US"/>
        </w:rPr>
        <w:t xml:space="preserve">, </w:t>
      </w:r>
      <w:r w:rsidR="00AA6273">
        <w:rPr>
          <w:rFonts w:ascii="Arial" w:hAnsi="Arial" w:cs="Arial"/>
          <w:lang w:val="en-US"/>
        </w:rPr>
        <w:t xml:space="preserve">have </w:t>
      </w:r>
      <w:r w:rsidRPr="008E7CBE">
        <w:rPr>
          <w:rFonts w:ascii="Arial" w:hAnsi="Arial" w:cs="Arial"/>
          <w:lang w:val="en-US"/>
        </w:rPr>
        <w:t>appl</w:t>
      </w:r>
      <w:r w:rsidR="00AA6273">
        <w:rPr>
          <w:rFonts w:ascii="Arial" w:hAnsi="Arial" w:cs="Arial"/>
          <w:lang w:val="en-US"/>
        </w:rPr>
        <w:t>ied</w:t>
      </w:r>
      <w:r w:rsidRPr="008E7CBE">
        <w:rPr>
          <w:rFonts w:ascii="Arial" w:hAnsi="Arial" w:cs="Arial"/>
          <w:lang w:val="en-US"/>
        </w:rPr>
        <w:t xml:space="preserve"> for cancellation of the 7 June 2022 order and the court may have granted it only after an enq</w:t>
      </w:r>
      <w:r w:rsidR="00E44100">
        <w:rPr>
          <w:rFonts w:ascii="Arial" w:hAnsi="Arial" w:cs="Arial"/>
          <w:lang w:val="en-US"/>
        </w:rPr>
        <w:t>uiry under s 12 with at least ten</w:t>
      </w:r>
      <w:r w:rsidRPr="008E7CBE">
        <w:rPr>
          <w:rFonts w:ascii="Arial" w:hAnsi="Arial" w:cs="Arial"/>
          <w:lang w:val="en-US"/>
        </w:rPr>
        <w:t xml:space="preserve"> days prior notice to </w:t>
      </w:r>
      <w:proofErr w:type="spellStart"/>
      <w:r w:rsidRPr="008E7CBE">
        <w:rPr>
          <w:rFonts w:ascii="Arial" w:hAnsi="Arial" w:cs="Arial"/>
          <w:lang w:val="en-US"/>
        </w:rPr>
        <w:t>Siyamba</w:t>
      </w:r>
      <w:proofErr w:type="spellEnd"/>
      <w:r w:rsidRPr="008E7CBE">
        <w:rPr>
          <w:rFonts w:ascii="Arial" w:hAnsi="Arial" w:cs="Arial"/>
          <w:lang w:val="en-US"/>
        </w:rPr>
        <w:t>.</w:t>
      </w:r>
      <w:r w:rsidR="00F207B9" w:rsidRPr="008E7CBE">
        <w:rPr>
          <w:rFonts w:ascii="Arial" w:hAnsi="Arial" w:cs="Arial"/>
          <w:lang w:val="en-US"/>
        </w:rPr>
        <w:t xml:space="preserve"> </w:t>
      </w:r>
    </w:p>
    <w:p w14:paraId="684CA118" w14:textId="77777777" w:rsidR="00EC2490" w:rsidRPr="00EC2490" w:rsidRDefault="00EC2490" w:rsidP="00EC2490">
      <w:pPr>
        <w:pStyle w:val="ListParagraph"/>
        <w:rPr>
          <w:rFonts w:ascii="Arial" w:hAnsi="Arial" w:cs="Arial"/>
          <w:lang w:val="en-US"/>
        </w:rPr>
      </w:pPr>
    </w:p>
    <w:p w14:paraId="2B167C90" w14:textId="40B393DD" w:rsidR="00EC2490" w:rsidRDefault="00AA6273" w:rsidP="0064271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w:t>
      </w:r>
      <w:r w:rsidR="00EC2490">
        <w:rPr>
          <w:rFonts w:ascii="Arial" w:hAnsi="Arial" w:cs="Arial"/>
          <w:lang w:val="en-US"/>
        </w:rPr>
        <w:t xml:space="preserve">he legislature’s intention </w:t>
      </w:r>
      <w:r>
        <w:rPr>
          <w:rFonts w:ascii="Arial" w:hAnsi="Arial" w:cs="Arial"/>
          <w:lang w:val="en-US"/>
        </w:rPr>
        <w:t>is clear. A</w:t>
      </w:r>
      <w:r w:rsidR="00EC2490">
        <w:rPr>
          <w:rFonts w:ascii="Arial" w:hAnsi="Arial" w:cs="Arial"/>
          <w:lang w:val="en-US"/>
        </w:rPr>
        <w:t xml:space="preserve"> person </w:t>
      </w:r>
      <w:r>
        <w:rPr>
          <w:rFonts w:ascii="Arial" w:hAnsi="Arial" w:cs="Arial"/>
          <w:lang w:val="en-US"/>
        </w:rPr>
        <w:t xml:space="preserve">in whose </w:t>
      </w:r>
      <w:proofErr w:type="spellStart"/>
      <w:r>
        <w:rPr>
          <w:rFonts w:ascii="Arial" w:hAnsi="Arial" w:cs="Arial"/>
          <w:lang w:val="en-US"/>
        </w:rPr>
        <w:t>favour</w:t>
      </w:r>
      <w:proofErr w:type="spellEnd"/>
      <w:r>
        <w:rPr>
          <w:rFonts w:ascii="Arial" w:hAnsi="Arial" w:cs="Arial"/>
          <w:lang w:val="en-US"/>
        </w:rPr>
        <w:t xml:space="preserve"> and </w:t>
      </w:r>
      <w:r w:rsidR="00EC2490">
        <w:rPr>
          <w:rFonts w:ascii="Arial" w:hAnsi="Arial" w:cs="Arial"/>
          <w:lang w:val="en-US"/>
        </w:rPr>
        <w:t xml:space="preserve">against whom a protection order </w:t>
      </w:r>
      <w:r>
        <w:rPr>
          <w:rFonts w:ascii="Arial" w:hAnsi="Arial" w:cs="Arial"/>
          <w:lang w:val="en-US"/>
        </w:rPr>
        <w:t>i</w:t>
      </w:r>
      <w:r w:rsidR="00EC2490">
        <w:rPr>
          <w:rFonts w:ascii="Arial" w:hAnsi="Arial" w:cs="Arial"/>
          <w:lang w:val="en-US"/>
        </w:rPr>
        <w:t xml:space="preserve">s made, albeit ‘the complainant’ or ‘the respondent’, </w:t>
      </w:r>
      <w:r>
        <w:rPr>
          <w:rFonts w:ascii="Arial" w:hAnsi="Arial" w:cs="Arial"/>
          <w:lang w:val="en-US"/>
        </w:rPr>
        <w:t>may apply</w:t>
      </w:r>
      <w:r w:rsidR="00EC2490">
        <w:rPr>
          <w:rFonts w:ascii="Arial" w:hAnsi="Arial" w:cs="Arial"/>
          <w:lang w:val="en-US"/>
        </w:rPr>
        <w:t xml:space="preserve"> </w:t>
      </w:r>
      <w:r w:rsidR="006E074F">
        <w:rPr>
          <w:rFonts w:ascii="Arial" w:hAnsi="Arial" w:cs="Arial"/>
          <w:lang w:val="en-US"/>
        </w:rPr>
        <w:t xml:space="preserve">under s 17 </w:t>
      </w:r>
      <w:r>
        <w:rPr>
          <w:rFonts w:ascii="Arial" w:hAnsi="Arial" w:cs="Arial"/>
          <w:lang w:val="en-US"/>
        </w:rPr>
        <w:t>for</w:t>
      </w:r>
      <w:r w:rsidR="00F207B9">
        <w:rPr>
          <w:rFonts w:ascii="Arial" w:hAnsi="Arial" w:cs="Arial"/>
          <w:lang w:val="en-US"/>
        </w:rPr>
        <w:t xml:space="preserve"> its</w:t>
      </w:r>
      <w:r w:rsidR="006E074F">
        <w:rPr>
          <w:rFonts w:ascii="Arial" w:hAnsi="Arial" w:cs="Arial"/>
          <w:lang w:val="en-US"/>
        </w:rPr>
        <w:t xml:space="preserve"> cancellation or modification. To interpret s 17 that David </w:t>
      </w:r>
      <w:r>
        <w:rPr>
          <w:rFonts w:ascii="Arial" w:hAnsi="Arial" w:cs="Arial"/>
          <w:lang w:val="en-US"/>
        </w:rPr>
        <w:t xml:space="preserve">could </w:t>
      </w:r>
      <w:r w:rsidR="006E074F">
        <w:rPr>
          <w:rFonts w:ascii="Arial" w:hAnsi="Arial" w:cs="Arial"/>
          <w:lang w:val="en-US"/>
        </w:rPr>
        <w:t xml:space="preserve">not apply for cancellation </w:t>
      </w:r>
      <w:r>
        <w:rPr>
          <w:rFonts w:ascii="Arial" w:hAnsi="Arial" w:cs="Arial"/>
          <w:lang w:val="en-US"/>
        </w:rPr>
        <w:t xml:space="preserve">of the 7 June 2022 order </w:t>
      </w:r>
      <w:r w:rsidR="0072163B">
        <w:rPr>
          <w:rFonts w:ascii="Arial" w:hAnsi="Arial" w:cs="Arial"/>
          <w:lang w:val="en-US"/>
        </w:rPr>
        <w:t>under</w:t>
      </w:r>
      <w:r w:rsidR="006E074F">
        <w:rPr>
          <w:rFonts w:ascii="Arial" w:hAnsi="Arial" w:cs="Arial"/>
          <w:lang w:val="en-US"/>
        </w:rPr>
        <w:t xml:space="preserve"> s 17 simply because he was ‘the complainant’ and the order was made ‘against him’</w:t>
      </w:r>
      <w:r w:rsidR="009461B7">
        <w:rPr>
          <w:rFonts w:ascii="Arial" w:hAnsi="Arial" w:cs="Arial"/>
          <w:lang w:val="en-US"/>
        </w:rPr>
        <w:t xml:space="preserve"> </w:t>
      </w:r>
      <w:r w:rsidR="006E074F">
        <w:rPr>
          <w:rFonts w:ascii="Arial" w:hAnsi="Arial" w:cs="Arial"/>
          <w:lang w:val="en-US"/>
        </w:rPr>
        <w:t xml:space="preserve">would lead to </w:t>
      </w:r>
      <w:r>
        <w:rPr>
          <w:rFonts w:ascii="Arial" w:hAnsi="Arial" w:cs="Arial"/>
          <w:lang w:val="en-US"/>
        </w:rPr>
        <w:t xml:space="preserve">an </w:t>
      </w:r>
      <w:r w:rsidR="006E074F">
        <w:rPr>
          <w:rFonts w:ascii="Arial" w:hAnsi="Arial" w:cs="Arial"/>
          <w:lang w:val="en-US"/>
        </w:rPr>
        <w:t>absurd result</w:t>
      </w:r>
      <w:r>
        <w:rPr>
          <w:rFonts w:ascii="Arial" w:hAnsi="Arial" w:cs="Arial"/>
          <w:lang w:val="en-US"/>
        </w:rPr>
        <w:t>, and such interpretation is contrary to the legislature’s intention. S</w:t>
      </w:r>
      <w:r w:rsidR="006E074F">
        <w:rPr>
          <w:rFonts w:ascii="Arial" w:hAnsi="Arial" w:cs="Arial"/>
          <w:lang w:val="en-US"/>
        </w:rPr>
        <w:t xml:space="preserve">uch </w:t>
      </w:r>
      <w:r>
        <w:rPr>
          <w:rFonts w:ascii="Arial" w:hAnsi="Arial" w:cs="Arial"/>
          <w:lang w:val="en-US"/>
        </w:rPr>
        <w:t xml:space="preserve">an </w:t>
      </w:r>
      <w:r w:rsidR="006E074F">
        <w:rPr>
          <w:rFonts w:ascii="Arial" w:hAnsi="Arial" w:cs="Arial"/>
          <w:lang w:val="en-US"/>
        </w:rPr>
        <w:t>interpretation is rejected.</w:t>
      </w:r>
      <w:r w:rsidR="00F207B9">
        <w:rPr>
          <w:rFonts w:ascii="Arial" w:hAnsi="Arial" w:cs="Arial"/>
          <w:lang w:val="en-US"/>
        </w:rPr>
        <w:t xml:space="preserve"> The second option in the preceding paragraph </w:t>
      </w:r>
      <w:r>
        <w:rPr>
          <w:rFonts w:ascii="Arial" w:hAnsi="Arial" w:cs="Arial"/>
          <w:lang w:val="en-US"/>
        </w:rPr>
        <w:t>supports</w:t>
      </w:r>
      <w:r w:rsidR="00F207B9">
        <w:rPr>
          <w:rFonts w:ascii="Arial" w:hAnsi="Arial" w:cs="Arial"/>
          <w:lang w:val="en-US"/>
        </w:rPr>
        <w:t xml:space="preserve"> the legislature’s intention </w:t>
      </w:r>
      <w:r>
        <w:rPr>
          <w:rFonts w:ascii="Arial" w:hAnsi="Arial" w:cs="Arial"/>
          <w:lang w:val="en-US"/>
        </w:rPr>
        <w:t>and is accepted.</w:t>
      </w:r>
    </w:p>
    <w:p w14:paraId="18B57B81" w14:textId="77777777" w:rsidR="00EC2490" w:rsidRPr="00EC2490" w:rsidRDefault="00EC2490" w:rsidP="00EC2490">
      <w:pPr>
        <w:pStyle w:val="ListParagraph"/>
        <w:rPr>
          <w:rFonts w:ascii="Arial" w:hAnsi="Arial" w:cs="Arial"/>
          <w:lang w:val="en-US"/>
        </w:rPr>
      </w:pPr>
    </w:p>
    <w:p w14:paraId="5BF1F202" w14:textId="78676E5C" w:rsidR="006E074F" w:rsidRDefault="00DB7967" w:rsidP="003810D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addition to the findings already made, t</w:t>
      </w:r>
      <w:r w:rsidR="003810D8">
        <w:rPr>
          <w:rFonts w:ascii="Arial" w:hAnsi="Arial" w:cs="Arial"/>
          <w:lang w:val="en-US"/>
        </w:rPr>
        <w:t xml:space="preserve">he court </w:t>
      </w:r>
      <w:r>
        <w:rPr>
          <w:rFonts w:ascii="Arial" w:hAnsi="Arial" w:cs="Arial"/>
          <w:lang w:val="en-US"/>
        </w:rPr>
        <w:t xml:space="preserve">further </w:t>
      </w:r>
      <w:r w:rsidR="003810D8">
        <w:rPr>
          <w:rFonts w:ascii="Arial" w:hAnsi="Arial" w:cs="Arial"/>
          <w:lang w:val="en-US"/>
        </w:rPr>
        <w:t>finds that</w:t>
      </w:r>
      <w:r w:rsidR="006E074F">
        <w:rPr>
          <w:rFonts w:ascii="Arial" w:hAnsi="Arial" w:cs="Arial"/>
          <w:lang w:val="en-US"/>
        </w:rPr>
        <w:t>:</w:t>
      </w:r>
    </w:p>
    <w:p w14:paraId="213EA428" w14:textId="77777777" w:rsidR="00D87A30" w:rsidRPr="00D87A30" w:rsidRDefault="00D87A30" w:rsidP="00D87A30">
      <w:pPr>
        <w:pStyle w:val="ListParagraph"/>
        <w:rPr>
          <w:rFonts w:ascii="Arial" w:hAnsi="Arial" w:cs="Arial"/>
          <w:lang w:val="en-US"/>
        </w:rPr>
      </w:pPr>
    </w:p>
    <w:p w14:paraId="5A76649C" w14:textId="75EC1355" w:rsidR="00985953" w:rsidRPr="00985953" w:rsidRDefault="00985953" w:rsidP="00985953">
      <w:pPr>
        <w:pStyle w:val="ListParagraph"/>
        <w:numPr>
          <w:ilvl w:val="0"/>
          <w:numId w:val="12"/>
        </w:numPr>
        <w:spacing w:line="360" w:lineRule="auto"/>
        <w:ind w:left="0" w:firstLine="0"/>
        <w:jc w:val="both"/>
        <w:rPr>
          <w:rFonts w:ascii="Arial" w:hAnsi="Arial" w:cs="Arial"/>
          <w:lang w:val="en-US"/>
        </w:rPr>
      </w:pPr>
      <w:r w:rsidRPr="00985953">
        <w:rPr>
          <w:rFonts w:ascii="Arial" w:hAnsi="Arial" w:cs="Arial"/>
          <w:lang w:val="en-US"/>
        </w:rPr>
        <w:t>The 7 June 2022 order (being a final protection order under s 12(17) having been made under s 12(16)</w:t>
      </w:r>
      <w:r w:rsidRPr="00985953">
        <w:rPr>
          <w:rFonts w:ascii="Arial" w:hAnsi="Arial" w:cs="Arial"/>
          <w:i/>
          <w:iCs/>
          <w:lang w:val="en-US"/>
        </w:rPr>
        <w:t>(d)</w:t>
      </w:r>
      <w:r w:rsidRPr="00985953">
        <w:rPr>
          <w:rFonts w:ascii="Arial" w:hAnsi="Arial" w:cs="Arial"/>
          <w:lang w:val="en-US"/>
        </w:rPr>
        <w:t xml:space="preserve"> and a protection order for the purpose of s 17) could have been cancelled upon application by David, ‘the complainant’, and David’s s 17 application was proper before the court a quo.</w:t>
      </w:r>
    </w:p>
    <w:p w14:paraId="0AFE87FF" w14:textId="77777777" w:rsidR="00985953" w:rsidRPr="00985953" w:rsidRDefault="00985953" w:rsidP="00985953">
      <w:pPr>
        <w:pStyle w:val="ListParagraph"/>
        <w:rPr>
          <w:rFonts w:ascii="Arial" w:hAnsi="Arial" w:cs="Arial"/>
          <w:lang w:val="en-US"/>
        </w:rPr>
      </w:pPr>
    </w:p>
    <w:p w14:paraId="6777C72E" w14:textId="77777777" w:rsidR="00985953" w:rsidRDefault="00D87A30" w:rsidP="00985953">
      <w:pPr>
        <w:pStyle w:val="ListParagraph"/>
        <w:numPr>
          <w:ilvl w:val="0"/>
          <w:numId w:val="12"/>
        </w:numPr>
        <w:spacing w:line="360" w:lineRule="auto"/>
        <w:ind w:left="0" w:firstLine="0"/>
        <w:jc w:val="both"/>
        <w:rPr>
          <w:rFonts w:ascii="Arial" w:hAnsi="Arial" w:cs="Arial"/>
          <w:lang w:val="en-US"/>
        </w:rPr>
      </w:pPr>
      <w:r>
        <w:rPr>
          <w:rFonts w:ascii="Arial" w:hAnsi="Arial" w:cs="Arial"/>
          <w:lang w:val="en-US"/>
        </w:rPr>
        <w:t>The court a quo erred</w:t>
      </w:r>
      <w:r w:rsidR="00AA6273">
        <w:rPr>
          <w:rFonts w:ascii="Arial" w:hAnsi="Arial" w:cs="Arial"/>
          <w:lang w:val="en-US"/>
        </w:rPr>
        <w:t xml:space="preserve"> </w:t>
      </w:r>
      <w:r w:rsidR="00AA6273" w:rsidRPr="00AA6273">
        <w:rPr>
          <w:rFonts w:ascii="Arial" w:hAnsi="Arial" w:cs="Arial"/>
          <w:lang w:val="en-US"/>
        </w:rPr>
        <w:t>in concluding that the 7 June 2022 order does not amount to a protection order capable of cancellation under s 17</w:t>
      </w:r>
      <w:r w:rsidR="00AA6273">
        <w:rPr>
          <w:rFonts w:ascii="Arial" w:hAnsi="Arial" w:cs="Arial"/>
          <w:lang w:val="en-US"/>
        </w:rPr>
        <w:t xml:space="preserve"> and it erred</w:t>
      </w:r>
      <w:r>
        <w:rPr>
          <w:rFonts w:ascii="Arial" w:hAnsi="Arial" w:cs="Arial"/>
          <w:lang w:val="en-US"/>
        </w:rPr>
        <w:t xml:space="preserve"> in refusing to hear </w:t>
      </w:r>
      <w:r w:rsidR="00AA6273">
        <w:rPr>
          <w:rFonts w:ascii="Arial" w:hAnsi="Arial" w:cs="Arial"/>
          <w:lang w:val="en-US"/>
        </w:rPr>
        <w:t xml:space="preserve">and dismissing </w:t>
      </w:r>
      <w:r>
        <w:rPr>
          <w:rFonts w:ascii="Arial" w:hAnsi="Arial" w:cs="Arial"/>
          <w:lang w:val="en-US"/>
        </w:rPr>
        <w:t>David’s s 17 application.</w:t>
      </w:r>
    </w:p>
    <w:p w14:paraId="79212F50" w14:textId="77777777" w:rsidR="00985953" w:rsidRPr="00985953" w:rsidRDefault="00985953" w:rsidP="00985953">
      <w:pPr>
        <w:pStyle w:val="ListParagraph"/>
        <w:rPr>
          <w:rFonts w:ascii="Arial" w:hAnsi="Arial" w:cs="Arial"/>
          <w:lang w:val="en-US"/>
        </w:rPr>
      </w:pPr>
    </w:p>
    <w:p w14:paraId="2F53935B" w14:textId="731E2B80" w:rsidR="00621B32" w:rsidRPr="00985953" w:rsidRDefault="00621B32" w:rsidP="00985953">
      <w:pPr>
        <w:pStyle w:val="ListParagraph"/>
        <w:numPr>
          <w:ilvl w:val="0"/>
          <w:numId w:val="12"/>
        </w:numPr>
        <w:spacing w:line="360" w:lineRule="auto"/>
        <w:ind w:left="0" w:firstLine="0"/>
        <w:jc w:val="both"/>
        <w:rPr>
          <w:rFonts w:ascii="Arial" w:hAnsi="Arial" w:cs="Arial"/>
          <w:lang w:val="en-US"/>
        </w:rPr>
      </w:pPr>
      <w:r w:rsidRPr="00985953">
        <w:rPr>
          <w:rFonts w:ascii="Arial" w:hAnsi="Arial" w:cs="Arial"/>
          <w:lang w:val="en-US"/>
        </w:rPr>
        <w:lastRenderedPageBreak/>
        <w:t xml:space="preserve">The court a quo should have proceeded to hear the merits of David’s s 17 application. </w:t>
      </w:r>
    </w:p>
    <w:p w14:paraId="3448E699" w14:textId="77777777" w:rsidR="00621B32" w:rsidRPr="00FB4C8D" w:rsidRDefault="00621B32" w:rsidP="00621B32">
      <w:pPr>
        <w:pStyle w:val="ListParagraph"/>
        <w:rPr>
          <w:rFonts w:ascii="Arial" w:hAnsi="Arial" w:cs="Arial"/>
          <w:lang w:val="en-US"/>
        </w:rPr>
      </w:pPr>
    </w:p>
    <w:p w14:paraId="27681E1A" w14:textId="584373CE" w:rsidR="00FB4C8D" w:rsidRPr="00621B32" w:rsidRDefault="007D19F2" w:rsidP="00621B32">
      <w:pPr>
        <w:spacing w:line="360" w:lineRule="auto"/>
        <w:jc w:val="both"/>
        <w:rPr>
          <w:rFonts w:ascii="Arial" w:hAnsi="Arial" w:cs="Arial"/>
          <w:lang w:val="en-US"/>
        </w:rPr>
      </w:pPr>
      <w:r w:rsidRPr="00621B32">
        <w:rPr>
          <w:rFonts w:ascii="Arial" w:eastAsia="Calibri" w:hAnsi="Arial" w:cs="Arial"/>
          <w:bCs/>
          <w:u w:val="single"/>
        </w:rPr>
        <w:t>Conclusion</w:t>
      </w:r>
    </w:p>
    <w:p w14:paraId="60578729" w14:textId="77777777" w:rsidR="00FB4C8D" w:rsidRPr="00FB4C8D" w:rsidRDefault="00FB4C8D" w:rsidP="00FB4C8D">
      <w:pPr>
        <w:pStyle w:val="ListParagraph"/>
        <w:rPr>
          <w:rFonts w:ascii="Arial" w:hAnsi="Arial" w:cs="Arial"/>
          <w:lang w:val="en-US"/>
        </w:rPr>
      </w:pPr>
    </w:p>
    <w:p w14:paraId="15E7E37E" w14:textId="28B8CC8E" w:rsidR="00FB4C8D" w:rsidRDefault="00803364" w:rsidP="00FB4C8D">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It follows that the appeal should succeed.</w:t>
      </w:r>
    </w:p>
    <w:p w14:paraId="42E6DD1A" w14:textId="77777777" w:rsidR="00FB4C8D" w:rsidRPr="00FB4C8D" w:rsidRDefault="00FB4C8D" w:rsidP="00FB4C8D">
      <w:pPr>
        <w:pStyle w:val="ListParagraph"/>
        <w:rPr>
          <w:rFonts w:ascii="Arial" w:hAnsi="Arial" w:cs="Arial"/>
          <w:lang w:val="en-US"/>
        </w:rPr>
      </w:pPr>
    </w:p>
    <w:p w14:paraId="5C2C6681" w14:textId="005B9796" w:rsidR="006E5FAB" w:rsidRPr="00FB4C8D" w:rsidRDefault="006E5FAB" w:rsidP="00FB4C8D">
      <w:pPr>
        <w:pStyle w:val="ListParagraph"/>
        <w:numPr>
          <w:ilvl w:val="0"/>
          <w:numId w:val="2"/>
        </w:numPr>
        <w:spacing w:line="360" w:lineRule="auto"/>
        <w:ind w:left="0" w:firstLine="0"/>
        <w:jc w:val="both"/>
        <w:rPr>
          <w:rFonts w:ascii="Arial" w:hAnsi="Arial" w:cs="Arial"/>
          <w:lang w:val="en-US"/>
        </w:rPr>
      </w:pPr>
      <w:r w:rsidRPr="00FB4C8D">
        <w:rPr>
          <w:rFonts w:ascii="Arial" w:hAnsi="Arial" w:cs="Arial"/>
          <w:lang w:val="en-US"/>
        </w:rPr>
        <w:t>It is ordered that:</w:t>
      </w:r>
    </w:p>
    <w:p w14:paraId="2E653ECD" w14:textId="77777777" w:rsidR="006E5FAB" w:rsidRPr="006E5FAB" w:rsidRDefault="006E5FAB" w:rsidP="006E5FAB">
      <w:pPr>
        <w:pStyle w:val="ListParagraph"/>
        <w:ind w:left="0"/>
        <w:rPr>
          <w:rFonts w:ascii="Arial" w:eastAsia="Calibri" w:hAnsi="Arial" w:cs="Arial"/>
          <w:bCs/>
        </w:rPr>
      </w:pPr>
    </w:p>
    <w:p w14:paraId="40BC83FD" w14:textId="77777777" w:rsidR="00B1075B" w:rsidRDefault="00A77B08" w:rsidP="00B1075B">
      <w:pPr>
        <w:pStyle w:val="ListParagraph"/>
        <w:numPr>
          <w:ilvl w:val="0"/>
          <w:numId w:val="16"/>
        </w:numPr>
        <w:spacing w:line="360" w:lineRule="auto"/>
        <w:ind w:left="1134" w:hanging="567"/>
        <w:jc w:val="both"/>
        <w:rPr>
          <w:rFonts w:ascii="Arial" w:hAnsi="Arial" w:cs="Arial"/>
          <w:lang w:val="en-US"/>
        </w:rPr>
      </w:pPr>
      <w:r>
        <w:rPr>
          <w:rFonts w:ascii="Arial" w:eastAsia="Calibri" w:hAnsi="Arial" w:cs="Arial"/>
          <w:bCs/>
        </w:rPr>
        <w:t>The appeal succeeds</w:t>
      </w:r>
      <w:r w:rsidRPr="004E5F07">
        <w:rPr>
          <w:rFonts w:ascii="Arial" w:hAnsi="Arial" w:cs="Arial"/>
          <w:lang w:val="en-US"/>
        </w:rPr>
        <w:t>.</w:t>
      </w:r>
    </w:p>
    <w:p w14:paraId="343B5470" w14:textId="77777777" w:rsidR="00B1075B" w:rsidRDefault="00B1075B" w:rsidP="00B1075B">
      <w:pPr>
        <w:pStyle w:val="ListParagraph"/>
        <w:spacing w:line="360" w:lineRule="auto"/>
        <w:ind w:left="1134" w:hanging="567"/>
        <w:jc w:val="both"/>
        <w:rPr>
          <w:rFonts w:ascii="Arial" w:hAnsi="Arial" w:cs="Arial"/>
          <w:lang w:val="en-US"/>
        </w:rPr>
      </w:pPr>
    </w:p>
    <w:p w14:paraId="5353BFB3" w14:textId="047B26FC" w:rsidR="00B1075B" w:rsidRPr="00B1075B" w:rsidRDefault="00A77B08" w:rsidP="00B1075B">
      <w:pPr>
        <w:pStyle w:val="ListParagraph"/>
        <w:numPr>
          <w:ilvl w:val="0"/>
          <w:numId w:val="16"/>
        </w:numPr>
        <w:spacing w:line="360" w:lineRule="auto"/>
        <w:ind w:left="1134" w:hanging="567"/>
        <w:jc w:val="both"/>
        <w:rPr>
          <w:rFonts w:ascii="Arial" w:hAnsi="Arial" w:cs="Arial"/>
          <w:lang w:val="en-US"/>
        </w:rPr>
      </w:pPr>
      <w:r w:rsidRPr="00B1075B">
        <w:rPr>
          <w:rFonts w:ascii="Arial" w:eastAsia="Calibri" w:hAnsi="Arial" w:cs="Arial"/>
          <w:bCs/>
        </w:rPr>
        <w:t>The order dated 29 August 2023 under case number DV 285/2022 in the magistrate’s court for the district of Windhoek sitting as a court in terms of the Combating of Domestic Violence Act 4 of 2003 (the Act) is set aside</w:t>
      </w:r>
      <w:r w:rsidRPr="00B1075B">
        <w:rPr>
          <w:rFonts w:ascii="Arial" w:hAnsi="Arial" w:cs="Arial"/>
          <w:lang w:val="en-US"/>
        </w:rPr>
        <w:t>.</w:t>
      </w:r>
    </w:p>
    <w:p w14:paraId="63231118" w14:textId="77777777" w:rsidR="00B1075B" w:rsidRDefault="00B1075B" w:rsidP="00B1075B">
      <w:pPr>
        <w:pStyle w:val="ListParagraph"/>
        <w:spacing w:line="360" w:lineRule="auto"/>
        <w:ind w:left="1134" w:hanging="567"/>
        <w:jc w:val="both"/>
        <w:rPr>
          <w:rFonts w:ascii="Arial" w:hAnsi="Arial" w:cs="Arial"/>
          <w:lang w:val="en-US"/>
        </w:rPr>
      </w:pPr>
    </w:p>
    <w:p w14:paraId="518609B8" w14:textId="77777777" w:rsidR="00B1075B" w:rsidRDefault="00A77B08" w:rsidP="00B1075B">
      <w:pPr>
        <w:pStyle w:val="ListParagraph"/>
        <w:numPr>
          <w:ilvl w:val="0"/>
          <w:numId w:val="16"/>
        </w:numPr>
        <w:spacing w:line="360" w:lineRule="auto"/>
        <w:ind w:left="1134" w:hanging="567"/>
        <w:jc w:val="both"/>
        <w:rPr>
          <w:rFonts w:ascii="Arial" w:hAnsi="Arial" w:cs="Arial"/>
          <w:lang w:val="en-US"/>
        </w:rPr>
      </w:pPr>
      <w:r w:rsidRPr="00B1075B">
        <w:rPr>
          <w:rFonts w:ascii="Arial" w:eastAsia="Calibri" w:hAnsi="Arial" w:cs="Arial"/>
          <w:bCs/>
        </w:rPr>
        <w:t>The matter is remitted to the court of first instance</w:t>
      </w:r>
      <w:r w:rsidRPr="00B1075B">
        <w:rPr>
          <w:rFonts w:ascii="Arial" w:hAnsi="Arial" w:cs="Arial"/>
          <w:lang w:val="en-US"/>
        </w:rPr>
        <w:t>.</w:t>
      </w:r>
    </w:p>
    <w:p w14:paraId="25B7E425" w14:textId="77777777" w:rsidR="00B1075B" w:rsidRPr="00B1075B" w:rsidRDefault="00B1075B" w:rsidP="00B1075B">
      <w:pPr>
        <w:pStyle w:val="ListParagraph"/>
        <w:ind w:left="1134" w:hanging="567"/>
        <w:rPr>
          <w:rFonts w:ascii="Arial" w:eastAsia="Calibri" w:hAnsi="Arial" w:cs="Arial"/>
          <w:bCs/>
        </w:rPr>
      </w:pPr>
    </w:p>
    <w:p w14:paraId="1E585330" w14:textId="77777777" w:rsidR="00B1075B" w:rsidRDefault="00A77B08" w:rsidP="00B1075B">
      <w:pPr>
        <w:pStyle w:val="ListParagraph"/>
        <w:numPr>
          <w:ilvl w:val="0"/>
          <w:numId w:val="16"/>
        </w:numPr>
        <w:spacing w:line="360" w:lineRule="auto"/>
        <w:ind w:left="1134" w:hanging="567"/>
        <w:jc w:val="both"/>
        <w:rPr>
          <w:rFonts w:ascii="Arial" w:hAnsi="Arial" w:cs="Arial"/>
          <w:lang w:val="en-US"/>
        </w:rPr>
      </w:pPr>
      <w:r w:rsidRPr="00B1075B">
        <w:rPr>
          <w:rFonts w:ascii="Arial" w:eastAsia="Calibri" w:hAnsi="Arial" w:cs="Arial"/>
          <w:bCs/>
        </w:rPr>
        <w:t>The court a quo is directed to hear the application launched under s 17 of the Act on the merits</w:t>
      </w:r>
      <w:r w:rsidRPr="00B1075B">
        <w:rPr>
          <w:rFonts w:ascii="Arial" w:hAnsi="Arial" w:cs="Arial"/>
          <w:lang w:val="en-US"/>
        </w:rPr>
        <w:t>.</w:t>
      </w:r>
    </w:p>
    <w:p w14:paraId="5EBBD552" w14:textId="77777777" w:rsidR="00B1075B" w:rsidRPr="00B1075B" w:rsidRDefault="00B1075B" w:rsidP="00B1075B">
      <w:pPr>
        <w:pStyle w:val="ListParagraph"/>
        <w:ind w:left="1134" w:hanging="567"/>
        <w:rPr>
          <w:rFonts w:ascii="Arial" w:hAnsi="Arial" w:cs="Arial"/>
          <w:lang w:val="en-US"/>
        </w:rPr>
      </w:pPr>
    </w:p>
    <w:p w14:paraId="109520C2" w14:textId="3D7C259D" w:rsidR="006E5FAB" w:rsidRPr="00B1075B" w:rsidRDefault="00A77B08" w:rsidP="00B1075B">
      <w:pPr>
        <w:pStyle w:val="ListParagraph"/>
        <w:numPr>
          <w:ilvl w:val="0"/>
          <w:numId w:val="16"/>
        </w:numPr>
        <w:spacing w:line="360" w:lineRule="auto"/>
        <w:ind w:left="1134" w:hanging="567"/>
        <w:jc w:val="both"/>
        <w:rPr>
          <w:rFonts w:ascii="Arial" w:hAnsi="Arial" w:cs="Arial"/>
          <w:lang w:val="en-US"/>
        </w:rPr>
      </w:pPr>
      <w:r w:rsidRPr="00B1075B">
        <w:rPr>
          <w:rFonts w:ascii="Arial" w:hAnsi="Arial" w:cs="Arial"/>
          <w:lang w:val="en-US"/>
        </w:rPr>
        <w:t>There is no order as to costs.</w:t>
      </w:r>
    </w:p>
    <w:p w14:paraId="4714D29C" w14:textId="77777777" w:rsidR="00B74401" w:rsidRDefault="00B74401" w:rsidP="005A7B94">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B920E9">
        <w:tc>
          <w:tcPr>
            <w:tcW w:w="8789" w:type="dxa"/>
          </w:tcPr>
          <w:p w14:paraId="2DCDEE19" w14:textId="77777777" w:rsidR="00B1075B" w:rsidRDefault="00B1075B" w:rsidP="005A7B94">
            <w:pPr>
              <w:spacing w:line="360" w:lineRule="auto"/>
              <w:jc w:val="right"/>
              <w:rPr>
                <w:rFonts w:ascii="Arial" w:hAnsi="Arial" w:cs="Arial"/>
                <w:lang w:val="en-US"/>
              </w:rPr>
            </w:pPr>
          </w:p>
          <w:p w14:paraId="50340122" w14:textId="77777777" w:rsidR="00B1075B" w:rsidRDefault="00B1075B" w:rsidP="005A7B94">
            <w:pPr>
              <w:spacing w:line="360" w:lineRule="auto"/>
              <w:jc w:val="right"/>
              <w:rPr>
                <w:rFonts w:ascii="Arial" w:hAnsi="Arial" w:cs="Arial"/>
                <w:lang w:val="en-US"/>
              </w:rPr>
            </w:pPr>
          </w:p>
          <w:p w14:paraId="3976CC82" w14:textId="458E5ACC" w:rsidR="004B062D" w:rsidRPr="004B062D" w:rsidRDefault="00B1075B" w:rsidP="005A7B94">
            <w:pPr>
              <w:spacing w:line="360" w:lineRule="auto"/>
              <w:jc w:val="right"/>
              <w:rPr>
                <w:rFonts w:ascii="Arial" w:hAnsi="Arial" w:cs="Arial"/>
                <w:lang w:val="en-US"/>
              </w:rPr>
            </w:pPr>
            <w:r>
              <w:rPr>
                <w:rFonts w:ascii="Arial" w:hAnsi="Arial" w:cs="Arial"/>
                <w:lang w:val="en-US"/>
              </w:rPr>
              <w:t>____</w:t>
            </w:r>
            <w:r w:rsidR="00D90021">
              <w:rPr>
                <w:rFonts w:ascii="Arial" w:hAnsi="Arial" w:cs="Arial"/>
                <w:lang w:val="en-US"/>
              </w:rPr>
              <w:t>___________</w:t>
            </w:r>
          </w:p>
        </w:tc>
      </w:tr>
      <w:tr w:rsidR="004B062D" w:rsidRPr="00155B26" w14:paraId="40BA4CAC" w14:textId="77777777" w:rsidTr="00B920E9">
        <w:tc>
          <w:tcPr>
            <w:tcW w:w="8789" w:type="dxa"/>
          </w:tcPr>
          <w:p w14:paraId="2980794D" w14:textId="3CBD8558" w:rsidR="004B062D" w:rsidRPr="004B062D" w:rsidRDefault="00B1075B" w:rsidP="005A7B94">
            <w:pPr>
              <w:spacing w:line="360" w:lineRule="auto"/>
              <w:jc w:val="right"/>
              <w:rPr>
                <w:rFonts w:ascii="Arial" w:hAnsi="Arial" w:cs="Arial"/>
                <w:lang w:val="en-US"/>
              </w:rPr>
            </w:pPr>
            <w:r>
              <w:rPr>
                <w:rFonts w:ascii="Arial" w:hAnsi="Arial" w:cs="Arial"/>
                <w:lang w:val="en-US"/>
              </w:rPr>
              <w:t>B DE JAGER</w:t>
            </w:r>
          </w:p>
        </w:tc>
      </w:tr>
      <w:tr w:rsidR="004B062D" w:rsidRPr="00155B26" w14:paraId="56EFA0A1" w14:textId="77777777" w:rsidTr="00B920E9">
        <w:tc>
          <w:tcPr>
            <w:tcW w:w="8789" w:type="dxa"/>
          </w:tcPr>
          <w:p w14:paraId="5676CE2E" w14:textId="77777777" w:rsidR="004B062D" w:rsidRDefault="004B062D" w:rsidP="005A7B94">
            <w:pPr>
              <w:spacing w:line="360" w:lineRule="auto"/>
              <w:jc w:val="right"/>
              <w:rPr>
                <w:rFonts w:ascii="Arial" w:hAnsi="Arial" w:cs="Arial"/>
                <w:lang w:val="en-US"/>
              </w:rPr>
            </w:pPr>
            <w:r>
              <w:rPr>
                <w:rFonts w:ascii="Arial" w:hAnsi="Arial" w:cs="Arial"/>
                <w:lang w:val="en-US"/>
              </w:rPr>
              <w:t>Acting Judge</w:t>
            </w:r>
          </w:p>
          <w:p w14:paraId="2BBA2D11" w14:textId="77777777" w:rsidR="00B920E9" w:rsidRDefault="00B920E9" w:rsidP="005A7B94">
            <w:pPr>
              <w:spacing w:line="360" w:lineRule="auto"/>
              <w:jc w:val="right"/>
              <w:rPr>
                <w:rFonts w:ascii="Arial" w:hAnsi="Arial" w:cs="Arial"/>
                <w:lang w:val="en-US"/>
              </w:rPr>
            </w:pPr>
          </w:p>
          <w:p w14:paraId="13DB1635" w14:textId="32C1FF40" w:rsidR="00B920E9" w:rsidRPr="004B062D" w:rsidRDefault="00B920E9" w:rsidP="005A7B94">
            <w:pPr>
              <w:spacing w:line="360" w:lineRule="auto"/>
              <w:jc w:val="right"/>
              <w:rPr>
                <w:rFonts w:ascii="Arial" w:hAnsi="Arial" w:cs="Arial"/>
                <w:lang w:val="en-US"/>
              </w:rPr>
            </w:pPr>
          </w:p>
        </w:tc>
      </w:tr>
      <w:tr w:rsidR="00791AFD" w:rsidRPr="002348D3" w14:paraId="1C574B20" w14:textId="77777777" w:rsidTr="00B920E9">
        <w:tc>
          <w:tcPr>
            <w:tcW w:w="8789" w:type="dxa"/>
          </w:tcPr>
          <w:p w14:paraId="30007362" w14:textId="746232E1" w:rsidR="00791AFD" w:rsidRPr="002348D3" w:rsidRDefault="00B1075B" w:rsidP="005A7B94">
            <w:pPr>
              <w:spacing w:line="360" w:lineRule="auto"/>
              <w:jc w:val="right"/>
              <w:rPr>
                <w:rFonts w:ascii="Arial" w:hAnsi="Arial" w:cs="Arial"/>
                <w:lang w:val="en-US"/>
              </w:rPr>
            </w:pPr>
            <w:r>
              <w:rPr>
                <w:rFonts w:ascii="Arial" w:hAnsi="Arial" w:cs="Arial"/>
                <w:lang w:val="en-US"/>
              </w:rPr>
              <w:t>___</w:t>
            </w:r>
            <w:r w:rsidRPr="002348D3">
              <w:rPr>
                <w:rFonts w:ascii="Arial" w:hAnsi="Arial" w:cs="Arial"/>
                <w:lang w:val="en-US"/>
              </w:rPr>
              <w:t>__________________</w:t>
            </w:r>
          </w:p>
        </w:tc>
      </w:tr>
      <w:tr w:rsidR="00791AFD" w:rsidRPr="002348D3" w14:paraId="49B2D769" w14:textId="77777777" w:rsidTr="00B920E9">
        <w:tc>
          <w:tcPr>
            <w:tcW w:w="8789" w:type="dxa"/>
          </w:tcPr>
          <w:p w14:paraId="308DC45C" w14:textId="5A6F216D" w:rsidR="00791AFD" w:rsidRPr="002348D3" w:rsidRDefault="00B1075B" w:rsidP="005A7B94">
            <w:pPr>
              <w:spacing w:line="360" w:lineRule="auto"/>
              <w:jc w:val="right"/>
              <w:rPr>
                <w:rFonts w:ascii="Arial" w:hAnsi="Arial" w:cs="Arial"/>
                <w:lang w:val="en-US"/>
              </w:rPr>
            </w:pPr>
            <w:r w:rsidRPr="002348D3">
              <w:rPr>
                <w:rFonts w:ascii="Arial" w:hAnsi="Arial" w:cs="Arial"/>
                <w:lang w:val="en-US"/>
              </w:rPr>
              <w:t xml:space="preserve">E </w:t>
            </w:r>
            <w:r>
              <w:rPr>
                <w:rFonts w:ascii="Arial" w:hAnsi="Arial" w:cs="Arial"/>
                <w:lang w:val="en-US"/>
              </w:rPr>
              <w:t xml:space="preserve">M </w:t>
            </w:r>
            <w:r w:rsidRPr="002348D3">
              <w:rPr>
                <w:rFonts w:ascii="Arial" w:hAnsi="Arial" w:cs="Arial"/>
                <w:lang w:val="en-US"/>
              </w:rPr>
              <w:t>SCHIMMING-CHASE</w:t>
            </w:r>
          </w:p>
        </w:tc>
      </w:tr>
      <w:tr w:rsidR="00791AFD" w:rsidRPr="00155B26" w14:paraId="15A96864" w14:textId="77777777" w:rsidTr="00B920E9">
        <w:tc>
          <w:tcPr>
            <w:tcW w:w="8789" w:type="dxa"/>
          </w:tcPr>
          <w:p w14:paraId="02B5DB44" w14:textId="1120C35B" w:rsidR="00791AFD" w:rsidRDefault="00B920E9" w:rsidP="005A7B94">
            <w:pPr>
              <w:spacing w:line="360" w:lineRule="auto"/>
              <w:jc w:val="right"/>
              <w:rPr>
                <w:rFonts w:ascii="Arial" w:hAnsi="Arial" w:cs="Arial"/>
                <w:lang w:val="en-US"/>
              </w:rPr>
            </w:pPr>
            <w:r w:rsidRPr="002348D3">
              <w:rPr>
                <w:rFonts w:ascii="Arial" w:hAnsi="Arial" w:cs="Arial"/>
                <w:lang w:val="en-US"/>
              </w:rPr>
              <w:t>Judge</w:t>
            </w:r>
          </w:p>
        </w:tc>
      </w:tr>
    </w:tbl>
    <w:p w14:paraId="2C6A303A" w14:textId="77777777" w:rsidR="004B062D" w:rsidRDefault="004B062D" w:rsidP="005A7B94">
      <w:pPr>
        <w:pStyle w:val="ListParagraph"/>
        <w:spacing w:line="360" w:lineRule="auto"/>
        <w:ind w:left="0"/>
        <w:jc w:val="both"/>
        <w:rPr>
          <w:rFonts w:ascii="Arial" w:hAnsi="Arial" w:cs="Arial"/>
          <w:lang w:val="en-US"/>
        </w:rPr>
      </w:pPr>
    </w:p>
    <w:p w14:paraId="5D12321C" w14:textId="77777777" w:rsidR="00B920E9" w:rsidRDefault="00B920E9" w:rsidP="00B920E9">
      <w:pPr>
        <w:pStyle w:val="ListParagraph"/>
        <w:spacing w:line="360" w:lineRule="auto"/>
        <w:ind w:left="0"/>
        <w:jc w:val="both"/>
        <w:rPr>
          <w:rFonts w:ascii="Arial" w:hAnsi="Arial" w:cs="Arial"/>
          <w:lang w:val="en-US"/>
        </w:rPr>
      </w:pPr>
    </w:p>
    <w:p w14:paraId="1C4F6D72" w14:textId="013E1F14" w:rsidR="004B062D" w:rsidRDefault="004B062D">
      <w:bookmarkStart w:id="0" w:name="_GoBack"/>
      <w:bookmarkEnd w:id="0"/>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B062D" w:rsidRPr="004B062D" w14:paraId="7F2E129A" w14:textId="77777777" w:rsidTr="00607061">
        <w:tc>
          <w:tcPr>
            <w:tcW w:w="8789" w:type="dxa"/>
            <w:gridSpan w:val="2"/>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4B062D" w14:paraId="1FAF4FCE" w14:textId="77777777" w:rsidTr="00607061">
        <w:tc>
          <w:tcPr>
            <w:tcW w:w="3544" w:type="dxa"/>
          </w:tcPr>
          <w:p w14:paraId="258C90E3" w14:textId="0C4618B1" w:rsidR="004B062D" w:rsidRPr="004B062D" w:rsidRDefault="00B920E9" w:rsidP="004B062D">
            <w:pPr>
              <w:spacing w:line="360" w:lineRule="auto"/>
              <w:rPr>
                <w:rFonts w:ascii="Arial" w:hAnsi="Arial" w:cs="Arial"/>
                <w:lang w:val="en-US"/>
              </w:rPr>
            </w:pPr>
            <w:r>
              <w:rPr>
                <w:rFonts w:ascii="Arial" w:hAnsi="Arial" w:cs="Arial"/>
                <w:lang w:val="en-US"/>
              </w:rPr>
              <w:t>APPELLANT</w:t>
            </w:r>
            <w:r w:rsidR="009D2854">
              <w:rPr>
                <w:rFonts w:ascii="Arial" w:hAnsi="Arial" w:cs="Arial"/>
                <w:lang w:val="en-US"/>
              </w:rPr>
              <w:t>:</w:t>
            </w:r>
          </w:p>
        </w:tc>
        <w:tc>
          <w:tcPr>
            <w:tcW w:w="5245" w:type="dxa"/>
          </w:tcPr>
          <w:p w14:paraId="46BAECB2" w14:textId="488E55D4" w:rsidR="004B062D" w:rsidRPr="00BB00B5" w:rsidRDefault="00B920E9" w:rsidP="004B062D">
            <w:pPr>
              <w:spacing w:line="360" w:lineRule="auto"/>
              <w:rPr>
                <w:rFonts w:ascii="Arial" w:hAnsi="Arial" w:cs="Arial"/>
                <w:lang w:val="en-US"/>
              </w:rPr>
            </w:pPr>
            <w:r w:rsidRPr="00BB00B5">
              <w:rPr>
                <w:rFonts w:ascii="Arial" w:hAnsi="Arial" w:cs="Arial"/>
                <w:lang w:val="en-US"/>
              </w:rPr>
              <w:t xml:space="preserve">H </w:t>
            </w:r>
            <w:proofErr w:type="spellStart"/>
            <w:r w:rsidRPr="00BB00B5">
              <w:rPr>
                <w:rFonts w:ascii="Arial" w:hAnsi="Arial" w:cs="Arial"/>
                <w:lang w:val="en-US"/>
              </w:rPr>
              <w:t>Ntelamo-Mat</w:t>
            </w:r>
            <w:r w:rsidR="00BB00B5" w:rsidRPr="00BB00B5">
              <w:rPr>
                <w:rFonts w:ascii="Arial" w:hAnsi="Arial" w:cs="Arial"/>
                <w:lang w:val="en-US"/>
              </w:rPr>
              <w:t>s</w:t>
            </w:r>
            <w:r w:rsidRPr="00BB00B5">
              <w:rPr>
                <w:rFonts w:ascii="Arial" w:hAnsi="Arial" w:cs="Arial"/>
                <w:lang w:val="en-US"/>
              </w:rPr>
              <w:t>wetu</w:t>
            </w:r>
            <w:proofErr w:type="spellEnd"/>
          </w:p>
          <w:p w14:paraId="77F28DFA" w14:textId="7495D11B" w:rsidR="004B062D" w:rsidRDefault="00B920E9" w:rsidP="004B062D">
            <w:pPr>
              <w:spacing w:line="360" w:lineRule="auto"/>
              <w:rPr>
                <w:rFonts w:ascii="Arial" w:hAnsi="Arial" w:cs="Arial"/>
                <w:lang w:val="en-US"/>
              </w:rPr>
            </w:pPr>
            <w:r>
              <w:rPr>
                <w:rFonts w:ascii="Arial" w:hAnsi="Arial" w:cs="Arial"/>
                <w:lang w:val="en-US"/>
              </w:rPr>
              <w:t xml:space="preserve">Of </w:t>
            </w:r>
            <w:proofErr w:type="spellStart"/>
            <w:r>
              <w:rPr>
                <w:rFonts w:ascii="Arial" w:hAnsi="Arial" w:cs="Arial"/>
                <w:lang w:val="en-US"/>
              </w:rPr>
              <w:t>Ntelamo-Ma</w:t>
            </w:r>
            <w:r w:rsidR="00BB00B5">
              <w:rPr>
                <w:rFonts w:ascii="Arial" w:hAnsi="Arial" w:cs="Arial"/>
                <w:lang w:val="en-US"/>
              </w:rPr>
              <w:t>tswetu</w:t>
            </w:r>
            <w:proofErr w:type="spellEnd"/>
            <w:r w:rsidR="00BB00B5">
              <w:rPr>
                <w:rFonts w:ascii="Arial" w:hAnsi="Arial" w:cs="Arial"/>
                <w:lang w:val="en-US"/>
              </w:rPr>
              <w:t xml:space="preserve"> &amp; Associates</w:t>
            </w:r>
            <w:r w:rsidR="00290326">
              <w:rPr>
                <w:rFonts w:ascii="Arial" w:hAnsi="Arial" w:cs="Arial"/>
                <w:lang w:val="en-US"/>
              </w:rPr>
              <w:t>, Windhoek</w:t>
            </w:r>
          </w:p>
          <w:p w14:paraId="1C9F2085" w14:textId="1A0B7961" w:rsidR="00607061" w:rsidRPr="004B062D" w:rsidRDefault="00607061" w:rsidP="004B062D">
            <w:pPr>
              <w:spacing w:line="360" w:lineRule="auto"/>
              <w:rPr>
                <w:rFonts w:ascii="Arial" w:hAnsi="Arial" w:cs="Arial"/>
                <w:lang w:val="en-US"/>
              </w:rPr>
            </w:pPr>
          </w:p>
        </w:tc>
      </w:tr>
      <w:tr w:rsidR="004B062D" w:rsidRPr="004B062D" w14:paraId="003F046F" w14:textId="77777777" w:rsidTr="00607061">
        <w:tc>
          <w:tcPr>
            <w:tcW w:w="3544" w:type="dxa"/>
          </w:tcPr>
          <w:p w14:paraId="2395623C" w14:textId="54C66216" w:rsidR="004B062D" w:rsidRPr="00BB00B5" w:rsidRDefault="00BB00B5" w:rsidP="004B062D">
            <w:pPr>
              <w:spacing w:line="360" w:lineRule="auto"/>
              <w:rPr>
                <w:rFonts w:ascii="Arial" w:hAnsi="Arial" w:cs="Arial"/>
                <w:lang w:val="en-US"/>
              </w:rPr>
            </w:pPr>
            <w:r w:rsidRPr="00BB00B5">
              <w:rPr>
                <w:rFonts w:ascii="Arial" w:hAnsi="Arial" w:cs="Arial"/>
                <w:lang w:val="en-US"/>
              </w:rPr>
              <w:t>RESPONDENT</w:t>
            </w:r>
            <w:r w:rsidR="009D2854" w:rsidRPr="00BB00B5">
              <w:rPr>
                <w:rFonts w:ascii="Arial" w:hAnsi="Arial" w:cs="Arial"/>
                <w:lang w:val="en-US"/>
              </w:rPr>
              <w:t>:</w:t>
            </w:r>
          </w:p>
        </w:tc>
        <w:tc>
          <w:tcPr>
            <w:tcW w:w="5245" w:type="dxa"/>
          </w:tcPr>
          <w:p w14:paraId="106A222B" w14:textId="73C927C2" w:rsidR="004B062D" w:rsidRPr="00BB00B5" w:rsidRDefault="00BB00B5" w:rsidP="004B062D">
            <w:pPr>
              <w:spacing w:line="360" w:lineRule="auto"/>
              <w:rPr>
                <w:rFonts w:ascii="Arial" w:hAnsi="Arial" w:cs="Arial"/>
                <w:lang w:val="en-US"/>
              </w:rPr>
            </w:pPr>
            <w:r w:rsidRPr="00BB00B5">
              <w:rPr>
                <w:rFonts w:ascii="Arial" w:hAnsi="Arial" w:cs="Arial"/>
                <w:lang w:val="en-US"/>
              </w:rPr>
              <w:t xml:space="preserve">T </w:t>
            </w:r>
            <w:proofErr w:type="spellStart"/>
            <w:r w:rsidRPr="00BB00B5">
              <w:rPr>
                <w:rFonts w:ascii="Arial" w:hAnsi="Arial" w:cs="Arial"/>
                <w:lang w:val="en-US"/>
              </w:rPr>
              <w:t>Nanhapo</w:t>
            </w:r>
            <w:proofErr w:type="spellEnd"/>
          </w:p>
          <w:p w14:paraId="5DA9BE95" w14:textId="3BBC1D3B" w:rsidR="004B062D" w:rsidRPr="00BB00B5" w:rsidRDefault="004B062D" w:rsidP="004B062D">
            <w:pPr>
              <w:spacing w:line="360" w:lineRule="auto"/>
              <w:rPr>
                <w:rFonts w:ascii="Arial" w:hAnsi="Arial" w:cs="Arial"/>
                <w:lang w:val="en-US"/>
              </w:rPr>
            </w:pPr>
            <w:r w:rsidRPr="00BB00B5">
              <w:rPr>
                <w:rFonts w:ascii="Arial" w:hAnsi="Arial" w:cs="Arial"/>
                <w:lang w:val="en-US"/>
              </w:rPr>
              <w:t xml:space="preserve">Of </w:t>
            </w:r>
            <w:r w:rsidR="00BB00B5">
              <w:rPr>
                <w:rFonts w:ascii="Arial" w:hAnsi="Arial" w:cs="Arial"/>
                <w:lang w:val="en-US"/>
              </w:rPr>
              <w:t xml:space="preserve">T </w:t>
            </w:r>
            <w:proofErr w:type="spellStart"/>
            <w:r w:rsidR="00BB00B5">
              <w:rPr>
                <w:rFonts w:ascii="Arial" w:hAnsi="Arial" w:cs="Arial"/>
                <w:lang w:val="en-US"/>
              </w:rPr>
              <w:t>Nanhapo</w:t>
            </w:r>
            <w:proofErr w:type="spellEnd"/>
            <w:r w:rsidR="00BB00B5">
              <w:rPr>
                <w:rFonts w:ascii="Arial" w:hAnsi="Arial" w:cs="Arial"/>
                <w:lang w:val="en-US"/>
              </w:rPr>
              <w:t xml:space="preserve"> Incorporated</w:t>
            </w:r>
            <w:r w:rsidR="00290326">
              <w:rPr>
                <w:rFonts w:ascii="Arial" w:hAnsi="Arial" w:cs="Arial"/>
                <w:lang w:val="en-US"/>
              </w:rPr>
              <w:t>, Windhoek</w:t>
            </w:r>
          </w:p>
          <w:p w14:paraId="070FB27C" w14:textId="4E86B56A" w:rsidR="004B062D" w:rsidRPr="00BB00B5" w:rsidRDefault="004B062D"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F52D79">
      <w:headerReference w:type="even" r:id="rId9"/>
      <w:headerReference w:type="default" r:id="rId10"/>
      <w:headerReference w:type="first" r:id="rId11"/>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DB4D" w14:textId="77777777" w:rsidR="0018254B" w:rsidRDefault="0018254B" w:rsidP="00155B26">
      <w:r>
        <w:separator/>
      </w:r>
    </w:p>
  </w:endnote>
  <w:endnote w:type="continuationSeparator" w:id="0">
    <w:p w14:paraId="72060C7A" w14:textId="77777777" w:rsidR="0018254B" w:rsidRDefault="0018254B"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278A4" w14:textId="77777777" w:rsidR="0018254B" w:rsidRDefault="0018254B" w:rsidP="00155B26">
      <w:r>
        <w:separator/>
      </w:r>
    </w:p>
  </w:footnote>
  <w:footnote w:type="continuationSeparator" w:id="0">
    <w:p w14:paraId="2F340F18" w14:textId="77777777" w:rsidR="0018254B" w:rsidRDefault="0018254B" w:rsidP="00155B26">
      <w:r>
        <w:continuationSeparator/>
      </w:r>
    </w:p>
  </w:footnote>
  <w:footnote w:id="1">
    <w:p w14:paraId="39F32777" w14:textId="241B8929" w:rsidR="00586484" w:rsidRPr="00D94F82" w:rsidRDefault="00586484" w:rsidP="00D94F82">
      <w:pPr>
        <w:pStyle w:val="FootnoteText"/>
        <w:jc w:val="both"/>
        <w:rPr>
          <w:rFonts w:ascii="Arial" w:hAnsi="Arial" w:cs="Arial"/>
          <w:lang w:val="en-US"/>
        </w:rPr>
      </w:pPr>
      <w:r w:rsidRPr="00D94F82">
        <w:rPr>
          <w:rStyle w:val="FootnoteReference"/>
          <w:rFonts w:ascii="Arial" w:hAnsi="Arial" w:cs="Arial"/>
        </w:rPr>
        <w:footnoteRef/>
      </w:r>
      <w:r w:rsidRPr="00D94F82">
        <w:rPr>
          <w:rFonts w:ascii="Arial" w:hAnsi="Arial" w:cs="Arial"/>
        </w:rPr>
        <w:t xml:space="preserve"> </w:t>
      </w:r>
      <w:r w:rsidRPr="00D94F82">
        <w:rPr>
          <w:rFonts w:ascii="Arial" w:hAnsi="Arial" w:cs="Arial"/>
          <w:lang w:val="en-US"/>
        </w:rPr>
        <w:t xml:space="preserve">There was only one respondent in the court a quo. The reference to ‘respondents’ in the 7 June 2022 order must be a typographical error. So too the third ‘is’ in paragraph 1 of the said order. </w:t>
      </w:r>
    </w:p>
  </w:footnote>
  <w:footnote w:id="2">
    <w:p w14:paraId="7F34B92F" w14:textId="1F470E6C" w:rsidR="00804DF2" w:rsidRPr="00D94F82" w:rsidRDefault="00804DF2" w:rsidP="00D94F82">
      <w:pPr>
        <w:pStyle w:val="FootnoteText"/>
        <w:jc w:val="both"/>
        <w:rPr>
          <w:rFonts w:ascii="Arial" w:hAnsi="Arial" w:cs="Arial"/>
          <w:lang w:val="en-US"/>
        </w:rPr>
      </w:pPr>
      <w:r w:rsidRPr="00D94F82">
        <w:rPr>
          <w:rStyle w:val="FootnoteReference"/>
          <w:rFonts w:ascii="Arial" w:hAnsi="Arial" w:cs="Arial"/>
        </w:rPr>
        <w:footnoteRef/>
      </w:r>
      <w:r w:rsidRPr="00D94F82">
        <w:rPr>
          <w:rFonts w:ascii="Arial" w:hAnsi="Arial" w:cs="Arial"/>
        </w:rPr>
        <w:t xml:space="preserve"> </w:t>
      </w:r>
      <w:r w:rsidRPr="00D94F82">
        <w:rPr>
          <w:rFonts w:ascii="Arial" w:hAnsi="Arial" w:cs="Arial"/>
          <w:i/>
          <w:iCs/>
        </w:rPr>
        <w:t>Tapuch v Aswagen and Others</w:t>
      </w:r>
      <w:r w:rsidRPr="00D94F82">
        <w:rPr>
          <w:rFonts w:ascii="Arial" w:hAnsi="Arial" w:cs="Arial"/>
        </w:rPr>
        <w:t xml:space="preserve"> [2016] ZAGPPHC 572;</w:t>
      </w:r>
      <w:r w:rsidR="00895FB2" w:rsidRPr="00D94F82">
        <w:rPr>
          <w:rFonts w:ascii="Arial" w:hAnsi="Arial" w:cs="Arial"/>
        </w:rPr>
        <w:t xml:space="preserve"> </w:t>
      </w:r>
      <w:r w:rsidRPr="00D94F82">
        <w:rPr>
          <w:rFonts w:ascii="Arial" w:hAnsi="Arial" w:cs="Arial"/>
          <w:i/>
          <w:iCs/>
        </w:rPr>
        <w:t>Southernwind Shipyard (Pty) Ltd v Jacobs and Others</w:t>
      </w:r>
      <w:r w:rsidRPr="00D94F82">
        <w:rPr>
          <w:rFonts w:ascii="Arial" w:hAnsi="Arial" w:cs="Arial"/>
        </w:rPr>
        <w:t xml:space="preserve"> (C 7002008) (2009) 30 ILJ 1369 (LC) (7 November 2008); </w:t>
      </w:r>
      <w:r w:rsidRPr="00D94F82">
        <w:rPr>
          <w:rFonts w:ascii="Arial" w:hAnsi="Arial" w:cs="Arial"/>
          <w:i/>
          <w:iCs/>
        </w:rPr>
        <w:t>S.H.G v T.S.P and Others</w:t>
      </w:r>
      <w:r w:rsidRPr="00D94F82">
        <w:rPr>
          <w:rFonts w:ascii="Arial" w:hAnsi="Arial" w:cs="Arial"/>
        </w:rPr>
        <w:t xml:space="preserve"> (162223P) [2023] ZAKZDHC 82 (31 August 2023).</w:t>
      </w:r>
    </w:p>
  </w:footnote>
  <w:footnote w:id="3">
    <w:p w14:paraId="4AD4F12C" w14:textId="77777777" w:rsidR="00DB6A28" w:rsidRPr="00D94F82" w:rsidRDefault="00DB6A28" w:rsidP="00D94F82">
      <w:pPr>
        <w:pStyle w:val="FootnoteText"/>
        <w:jc w:val="both"/>
        <w:rPr>
          <w:rFonts w:ascii="Arial" w:hAnsi="Arial" w:cs="Arial"/>
          <w:lang w:val="en-US"/>
        </w:rPr>
      </w:pPr>
      <w:r w:rsidRPr="00D94F82">
        <w:rPr>
          <w:rStyle w:val="FootnoteReference"/>
          <w:rFonts w:ascii="Arial" w:hAnsi="Arial" w:cs="Arial"/>
        </w:rPr>
        <w:footnoteRef/>
      </w:r>
      <w:r w:rsidRPr="00D94F82">
        <w:rPr>
          <w:rFonts w:ascii="Arial" w:hAnsi="Arial" w:cs="Arial"/>
        </w:rPr>
        <w:t xml:space="preserve"> </w:t>
      </w:r>
      <w:r w:rsidRPr="00D94F82">
        <w:rPr>
          <w:rFonts w:ascii="Arial" w:hAnsi="Arial" w:cs="Arial"/>
          <w:i/>
          <w:iCs/>
        </w:rPr>
        <w:t>FN v SM</w:t>
      </w:r>
      <w:r w:rsidRPr="00D94F82">
        <w:rPr>
          <w:rFonts w:ascii="Arial" w:hAnsi="Arial" w:cs="Arial"/>
        </w:rPr>
        <w:t xml:space="preserve"> 2012 (2) NR 709 (HC) para 24.</w:t>
      </w:r>
    </w:p>
  </w:footnote>
  <w:footnote w:id="4">
    <w:p w14:paraId="6634F621" w14:textId="5B15BE82" w:rsidR="00DB6A28" w:rsidRPr="00D94F82" w:rsidRDefault="00DB6A28" w:rsidP="00D94F82">
      <w:pPr>
        <w:pStyle w:val="FootnoteText"/>
        <w:jc w:val="both"/>
        <w:rPr>
          <w:rFonts w:ascii="Arial" w:hAnsi="Arial" w:cs="Arial"/>
          <w:lang w:val="en-US"/>
        </w:rPr>
      </w:pPr>
      <w:r w:rsidRPr="00D94F82">
        <w:rPr>
          <w:rStyle w:val="FootnoteReference"/>
          <w:rFonts w:ascii="Arial" w:hAnsi="Arial" w:cs="Arial"/>
        </w:rPr>
        <w:footnoteRef/>
      </w:r>
      <w:r w:rsidRPr="00D94F82">
        <w:rPr>
          <w:rFonts w:ascii="Arial" w:hAnsi="Arial" w:cs="Arial"/>
        </w:rPr>
        <w:t xml:space="preserve"> </w:t>
      </w:r>
      <w:proofErr w:type="gramStart"/>
      <w:r w:rsidR="00671F9E" w:rsidRPr="00D94F82">
        <w:rPr>
          <w:rFonts w:ascii="Arial" w:hAnsi="Arial" w:cs="Arial"/>
          <w:i/>
          <w:iCs/>
        </w:rPr>
        <w:t xml:space="preserve">DVT v Bmt </w:t>
      </w:r>
      <w:r w:rsidR="00671F9E" w:rsidRPr="00E44100">
        <w:rPr>
          <w:rFonts w:ascii="Arial" w:hAnsi="Arial" w:cs="Arial"/>
          <w:iCs/>
        </w:rPr>
        <w:t>2022 (6) SA 93 (SCA)</w:t>
      </w:r>
      <w:r w:rsidR="00F004C9" w:rsidRPr="00D94F82">
        <w:rPr>
          <w:rFonts w:ascii="Arial" w:hAnsi="Arial" w:cs="Arial"/>
          <w:i/>
          <w:iCs/>
        </w:rPr>
        <w:t xml:space="preserve"> </w:t>
      </w:r>
      <w:r w:rsidRPr="00D94F82">
        <w:rPr>
          <w:rFonts w:ascii="Arial" w:hAnsi="Arial" w:cs="Arial"/>
        </w:rPr>
        <w:t>para 1.</w:t>
      </w:r>
      <w:proofErr w:type="gramEnd"/>
    </w:p>
  </w:footnote>
  <w:footnote w:id="5">
    <w:p w14:paraId="6201D2D7" w14:textId="15F21D31" w:rsidR="003F1345" w:rsidRPr="00D94F82" w:rsidRDefault="003F1345" w:rsidP="00D94F82">
      <w:pPr>
        <w:pStyle w:val="FootnoteText"/>
        <w:jc w:val="both"/>
        <w:rPr>
          <w:rFonts w:ascii="Arial" w:hAnsi="Arial" w:cs="Arial"/>
          <w:lang w:val="en-US"/>
        </w:rPr>
      </w:pPr>
      <w:r w:rsidRPr="00D94F82">
        <w:rPr>
          <w:rStyle w:val="FootnoteReference"/>
          <w:rFonts w:ascii="Arial" w:hAnsi="Arial" w:cs="Arial"/>
        </w:rPr>
        <w:footnoteRef/>
      </w:r>
      <w:r w:rsidRPr="00D94F82">
        <w:rPr>
          <w:rFonts w:ascii="Arial" w:hAnsi="Arial" w:cs="Arial"/>
        </w:rPr>
        <w:t xml:space="preserve"> </w:t>
      </w:r>
      <w:r w:rsidRPr="00D94F82">
        <w:rPr>
          <w:rFonts w:ascii="Arial" w:hAnsi="Arial" w:cs="Arial"/>
          <w:i/>
          <w:iCs/>
        </w:rPr>
        <w:t>Supra</w:t>
      </w:r>
      <w:r w:rsidRPr="00D94F82">
        <w:rPr>
          <w:rFonts w:ascii="Arial" w:hAnsi="Arial" w:cs="Arial"/>
        </w:rPr>
        <w:t xml:space="preserve"> para 28.</w:t>
      </w:r>
    </w:p>
  </w:footnote>
  <w:footnote w:id="6">
    <w:p w14:paraId="5320CC52" w14:textId="64B0181F" w:rsidR="00D67D61" w:rsidRPr="00D94F82" w:rsidRDefault="00D67D61" w:rsidP="00D94F82">
      <w:pPr>
        <w:pStyle w:val="FootnoteText"/>
        <w:jc w:val="both"/>
        <w:rPr>
          <w:rFonts w:ascii="Arial" w:hAnsi="Arial" w:cs="Arial"/>
          <w:lang w:val="en-US"/>
        </w:rPr>
      </w:pPr>
      <w:r w:rsidRPr="00D94F82">
        <w:rPr>
          <w:rStyle w:val="FootnoteReference"/>
          <w:rFonts w:ascii="Arial" w:hAnsi="Arial" w:cs="Arial"/>
        </w:rPr>
        <w:footnoteRef/>
      </w:r>
      <w:r w:rsidRPr="00D94F82">
        <w:rPr>
          <w:rFonts w:ascii="Arial" w:hAnsi="Arial" w:cs="Arial"/>
        </w:rPr>
        <w:t xml:space="preserve"> </w:t>
      </w:r>
      <w:r w:rsidRPr="00D94F82">
        <w:rPr>
          <w:rFonts w:ascii="Arial" w:hAnsi="Arial" w:cs="Arial"/>
          <w:i/>
          <w:iCs/>
          <w:lang w:val="en-US"/>
        </w:rPr>
        <w:t>Northbank Diamonds Ltd v FTK Holland BV and Others</w:t>
      </w:r>
      <w:r w:rsidRPr="00D94F82">
        <w:rPr>
          <w:rFonts w:ascii="Arial" w:hAnsi="Arial" w:cs="Arial"/>
          <w:lang w:val="en-US"/>
        </w:rPr>
        <w:t xml:space="preserve"> 2002 NR 284 (SC) at 289F-J.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4864961"/>
      <w:docPartObj>
        <w:docPartGallery w:val="Page Numbers (Top of Page)"/>
        <w:docPartUnique/>
      </w:docPartObj>
    </w:sdtPr>
    <w:sdtEndPr>
      <w:rPr>
        <w:rStyle w:val="PageNumber"/>
      </w:rPr>
    </w:sdtEnd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Cs w:val="20"/>
      </w:rPr>
      <w:id w:val="-1510668225"/>
      <w:docPartObj>
        <w:docPartGallery w:val="Page Numbers (Top of Page)"/>
        <w:docPartUnique/>
      </w:docPartObj>
    </w:sdtPr>
    <w:sdtEndPr>
      <w:rPr>
        <w:rStyle w:val="PageNumber"/>
      </w:rPr>
    </w:sdtEndPr>
    <w:sdtContent>
      <w:p w14:paraId="48559976" w14:textId="2EB1D5D4" w:rsidR="004B062D" w:rsidRPr="00C60EAF" w:rsidRDefault="004B062D" w:rsidP="004B062D">
        <w:pPr>
          <w:pStyle w:val="Header"/>
          <w:framePr w:wrap="none" w:vAnchor="text" w:hAnchor="margin" w:xAlign="right" w:y="1"/>
          <w:jc w:val="both"/>
          <w:rPr>
            <w:rStyle w:val="PageNumber"/>
            <w:rFonts w:ascii="Arial" w:hAnsi="Arial" w:cs="Arial"/>
            <w:szCs w:val="20"/>
          </w:rPr>
        </w:pPr>
        <w:r w:rsidRPr="00C60EAF">
          <w:rPr>
            <w:rStyle w:val="PageNumber"/>
            <w:rFonts w:ascii="Arial" w:hAnsi="Arial" w:cs="Arial"/>
            <w:szCs w:val="20"/>
          </w:rPr>
          <w:fldChar w:fldCharType="begin"/>
        </w:r>
        <w:r w:rsidRPr="00C60EAF">
          <w:rPr>
            <w:rStyle w:val="PageNumber"/>
            <w:rFonts w:ascii="Arial" w:hAnsi="Arial" w:cs="Arial"/>
            <w:szCs w:val="20"/>
          </w:rPr>
          <w:instrText xml:space="preserve"> PAGE </w:instrText>
        </w:r>
        <w:r w:rsidRPr="00C60EAF">
          <w:rPr>
            <w:rStyle w:val="PageNumber"/>
            <w:rFonts w:ascii="Arial" w:hAnsi="Arial" w:cs="Arial"/>
            <w:szCs w:val="20"/>
          </w:rPr>
          <w:fldChar w:fldCharType="separate"/>
        </w:r>
        <w:r w:rsidR="00B1075B">
          <w:rPr>
            <w:rStyle w:val="PageNumber"/>
            <w:rFonts w:ascii="Arial" w:hAnsi="Arial" w:cs="Arial"/>
            <w:noProof/>
            <w:szCs w:val="20"/>
          </w:rPr>
          <w:t>2</w:t>
        </w:r>
        <w:r w:rsidRPr="00C60EAF">
          <w:rPr>
            <w:rStyle w:val="PageNumber"/>
            <w:rFonts w:ascii="Arial" w:hAnsi="Arial" w:cs="Arial"/>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C4D4" w14:textId="5902D400" w:rsidR="00542BAB" w:rsidRPr="00542BAB" w:rsidRDefault="00542BAB" w:rsidP="00542BAB">
    <w:pPr>
      <w:pStyle w:val="Header"/>
      <w:jc w:val="right"/>
      <w:rPr>
        <w:rFonts w:ascii="Arial" w:hAnsi="Arial" w:cs="Arial"/>
        <w:lang w:val="en-US"/>
      </w:rPr>
    </w:pPr>
    <w:r w:rsidRPr="00EF3919">
      <w:rPr>
        <w:rFonts w:ascii="Arial" w:hAnsi="Arial" w:cs="Arial"/>
        <w:lang w:val="en-US"/>
      </w:rPr>
      <w:t>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2F9"/>
    <w:multiLevelType w:val="hybridMultilevel"/>
    <w:tmpl w:val="18001C60"/>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827D8"/>
    <w:multiLevelType w:val="hybridMultilevel"/>
    <w:tmpl w:val="1D3CF7F8"/>
    <w:lvl w:ilvl="0" w:tplc="7E8070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E55E5"/>
    <w:multiLevelType w:val="hybridMultilevel"/>
    <w:tmpl w:val="EF5C3734"/>
    <w:lvl w:ilvl="0" w:tplc="48C2C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97628"/>
    <w:multiLevelType w:val="hybridMultilevel"/>
    <w:tmpl w:val="7A164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25EDF"/>
    <w:multiLevelType w:val="hybridMultilevel"/>
    <w:tmpl w:val="83863590"/>
    <w:lvl w:ilvl="0" w:tplc="48C2C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F5307"/>
    <w:multiLevelType w:val="hybridMultilevel"/>
    <w:tmpl w:val="8536F35A"/>
    <w:lvl w:ilvl="0" w:tplc="56848E1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CE4EBD"/>
    <w:multiLevelType w:val="hybridMultilevel"/>
    <w:tmpl w:val="2AF41D6A"/>
    <w:lvl w:ilvl="0" w:tplc="48C2C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0305B"/>
    <w:multiLevelType w:val="hybridMultilevel"/>
    <w:tmpl w:val="A150E74A"/>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C64869"/>
    <w:multiLevelType w:val="hybridMultilevel"/>
    <w:tmpl w:val="3A0410AA"/>
    <w:lvl w:ilvl="0" w:tplc="B6A08D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9B4F22"/>
    <w:multiLevelType w:val="hybridMultilevel"/>
    <w:tmpl w:val="7896ADC0"/>
    <w:lvl w:ilvl="0" w:tplc="48C2C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EC4B90"/>
    <w:multiLevelType w:val="hybridMultilevel"/>
    <w:tmpl w:val="D7BE3C52"/>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046EF7"/>
    <w:multiLevelType w:val="hybridMultilevel"/>
    <w:tmpl w:val="90A6D78A"/>
    <w:lvl w:ilvl="0" w:tplc="EE0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88656ED"/>
    <w:multiLevelType w:val="hybridMultilevel"/>
    <w:tmpl w:val="FADC5B44"/>
    <w:lvl w:ilvl="0" w:tplc="48C2C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08082B"/>
    <w:multiLevelType w:val="hybridMultilevel"/>
    <w:tmpl w:val="7AD47868"/>
    <w:lvl w:ilvl="0" w:tplc="48C2C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61688"/>
    <w:multiLevelType w:val="hybridMultilevel"/>
    <w:tmpl w:val="5534127E"/>
    <w:lvl w:ilvl="0" w:tplc="40623AE2">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9"/>
  </w:num>
  <w:num w:numId="5">
    <w:abstractNumId w:val="14"/>
  </w:num>
  <w:num w:numId="6">
    <w:abstractNumId w:val="13"/>
  </w:num>
  <w:num w:numId="7">
    <w:abstractNumId w:val="7"/>
  </w:num>
  <w:num w:numId="8">
    <w:abstractNumId w:val="15"/>
  </w:num>
  <w:num w:numId="9">
    <w:abstractNumId w:val="10"/>
  </w:num>
  <w:num w:numId="10">
    <w:abstractNumId w:val="12"/>
  </w:num>
  <w:num w:numId="11">
    <w:abstractNumId w:val="5"/>
  </w:num>
  <w:num w:numId="12">
    <w:abstractNumId w:val="2"/>
  </w:num>
  <w:num w:numId="13">
    <w:abstractNumId w:val="0"/>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79"/>
    <w:rsid w:val="00010077"/>
    <w:rsid w:val="00020AFC"/>
    <w:rsid w:val="00061C47"/>
    <w:rsid w:val="00062C4F"/>
    <w:rsid w:val="00072E3E"/>
    <w:rsid w:val="00085C83"/>
    <w:rsid w:val="000958BF"/>
    <w:rsid w:val="000C4D39"/>
    <w:rsid w:val="000E11AE"/>
    <w:rsid w:val="000E47C3"/>
    <w:rsid w:val="000E708F"/>
    <w:rsid w:val="00120212"/>
    <w:rsid w:val="00124114"/>
    <w:rsid w:val="0014288B"/>
    <w:rsid w:val="00155B26"/>
    <w:rsid w:val="001668B7"/>
    <w:rsid w:val="00175F40"/>
    <w:rsid w:val="0018254B"/>
    <w:rsid w:val="001848DE"/>
    <w:rsid w:val="00187A7E"/>
    <w:rsid w:val="00195DE0"/>
    <w:rsid w:val="001C2F73"/>
    <w:rsid w:val="001C5BB4"/>
    <w:rsid w:val="001E3882"/>
    <w:rsid w:val="001F32A8"/>
    <w:rsid w:val="00203C60"/>
    <w:rsid w:val="0022631C"/>
    <w:rsid w:val="002348D3"/>
    <w:rsid w:val="00262F97"/>
    <w:rsid w:val="002869C2"/>
    <w:rsid w:val="00290326"/>
    <w:rsid w:val="002B1C62"/>
    <w:rsid w:val="002E1757"/>
    <w:rsid w:val="002E42C0"/>
    <w:rsid w:val="00301C52"/>
    <w:rsid w:val="0034384C"/>
    <w:rsid w:val="00357E2D"/>
    <w:rsid w:val="00373417"/>
    <w:rsid w:val="00376C79"/>
    <w:rsid w:val="003810D8"/>
    <w:rsid w:val="0039647F"/>
    <w:rsid w:val="003A71D8"/>
    <w:rsid w:val="003B527D"/>
    <w:rsid w:val="003B6BE9"/>
    <w:rsid w:val="003B7A01"/>
    <w:rsid w:val="003C3F29"/>
    <w:rsid w:val="003F088F"/>
    <w:rsid w:val="003F1345"/>
    <w:rsid w:val="00433D2A"/>
    <w:rsid w:val="00492F1A"/>
    <w:rsid w:val="004A1AC9"/>
    <w:rsid w:val="004B062D"/>
    <w:rsid w:val="004D087C"/>
    <w:rsid w:val="004D345D"/>
    <w:rsid w:val="004E1864"/>
    <w:rsid w:val="004E3437"/>
    <w:rsid w:val="004E5F07"/>
    <w:rsid w:val="004E7A43"/>
    <w:rsid w:val="00530516"/>
    <w:rsid w:val="005313FD"/>
    <w:rsid w:val="00542BAB"/>
    <w:rsid w:val="00573376"/>
    <w:rsid w:val="00586484"/>
    <w:rsid w:val="00596206"/>
    <w:rsid w:val="005A7B94"/>
    <w:rsid w:val="005B05C7"/>
    <w:rsid w:val="005E353F"/>
    <w:rsid w:val="005F5D77"/>
    <w:rsid w:val="00607061"/>
    <w:rsid w:val="006213AA"/>
    <w:rsid w:val="00621B32"/>
    <w:rsid w:val="00636201"/>
    <w:rsid w:val="00642714"/>
    <w:rsid w:val="00655495"/>
    <w:rsid w:val="00663888"/>
    <w:rsid w:val="00671F9E"/>
    <w:rsid w:val="006A0E3D"/>
    <w:rsid w:val="006C150F"/>
    <w:rsid w:val="006C2E63"/>
    <w:rsid w:val="006C46AA"/>
    <w:rsid w:val="006D4511"/>
    <w:rsid w:val="006E074F"/>
    <w:rsid w:val="006E21C3"/>
    <w:rsid w:val="006E5FAB"/>
    <w:rsid w:val="006F4972"/>
    <w:rsid w:val="007047D2"/>
    <w:rsid w:val="0071264C"/>
    <w:rsid w:val="0072163B"/>
    <w:rsid w:val="00725279"/>
    <w:rsid w:val="0073151E"/>
    <w:rsid w:val="00734C48"/>
    <w:rsid w:val="00735BEF"/>
    <w:rsid w:val="0075261B"/>
    <w:rsid w:val="007712CD"/>
    <w:rsid w:val="0078171A"/>
    <w:rsid w:val="00784874"/>
    <w:rsid w:val="00791AFD"/>
    <w:rsid w:val="00792EB6"/>
    <w:rsid w:val="00793F51"/>
    <w:rsid w:val="007A6C4A"/>
    <w:rsid w:val="007B4701"/>
    <w:rsid w:val="007B6B84"/>
    <w:rsid w:val="007D19F2"/>
    <w:rsid w:val="00803364"/>
    <w:rsid w:val="00804DF2"/>
    <w:rsid w:val="00820933"/>
    <w:rsid w:val="00824329"/>
    <w:rsid w:val="008255C8"/>
    <w:rsid w:val="00852B09"/>
    <w:rsid w:val="0085360F"/>
    <w:rsid w:val="008764DD"/>
    <w:rsid w:val="00877692"/>
    <w:rsid w:val="0088665E"/>
    <w:rsid w:val="008920B9"/>
    <w:rsid w:val="00895FB2"/>
    <w:rsid w:val="008A1F8A"/>
    <w:rsid w:val="008E493A"/>
    <w:rsid w:val="008E57B1"/>
    <w:rsid w:val="008E7CBE"/>
    <w:rsid w:val="008F7E37"/>
    <w:rsid w:val="00923FCD"/>
    <w:rsid w:val="00933562"/>
    <w:rsid w:val="00940E0F"/>
    <w:rsid w:val="009461B7"/>
    <w:rsid w:val="0095151E"/>
    <w:rsid w:val="00972458"/>
    <w:rsid w:val="00985953"/>
    <w:rsid w:val="009946E9"/>
    <w:rsid w:val="00994CF8"/>
    <w:rsid w:val="00997249"/>
    <w:rsid w:val="009D2854"/>
    <w:rsid w:val="009D406B"/>
    <w:rsid w:val="00A54A5B"/>
    <w:rsid w:val="00A55321"/>
    <w:rsid w:val="00A77B08"/>
    <w:rsid w:val="00A81C32"/>
    <w:rsid w:val="00AA6273"/>
    <w:rsid w:val="00AC302F"/>
    <w:rsid w:val="00AC331B"/>
    <w:rsid w:val="00AE437D"/>
    <w:rsid w:val="00AE5B2A"/>
    <w:rsid w:val="00AF044A"/>
    <w:rsid w:val="00AF7D5F"/>
    <w:rsid w:val="00B1075B"/>
    <w:rsid w:val="00B132D3"/>
    <w:rsid w:val="00B13979"/>
    <w:rsid w:val="00B25AEF"/>
    <w:rsid w:val="00B26FCD"/>
    <w:rsid w:val="00B3483C"/>
    <w:rsid w:val="00B44D8C"/>
    <w:rsid w:val="00B456F2"/>
    <w:rsid w:val="00B66363"/>
    <w:rsid w:val="00B74401"/>
    <w:rsid w:val="00B828C9"/>
    <w:rsid w:val="00B920E9"/>
    <w:rsid w:val="00BA2723"/>
    <w:rsid w:val="00BB00B5"/>
    <w:rsid w:val="00BC1977"/>
    <w:rsid w:val="00BC46F1"/>
    <w:rsid w:val="00BF0461"/>
    <w:rsid w:val="00BF155D"/>
    <w:rsid w:val="00C026F5"/>
    <w:rsid w:val="00C02EB0"/>
    <w:rsid w:val="00C12C22"/>
    <w:rsid w:val="00C15334"/>
    <w:rsid w:val="00C25087"/>
    <w:rsid w:val="00C60EAF"/>
    <w:rsid w:val="00C65477"/>
    <w:rsid w:val="00C7765D"/>
    <w:rsid w:val="00C93308"/>
    <w:rsid w:val="00C95394"/>
    <w:rsid w:val="00C95F64"/>
    <w:rsid w:val="00CD00F8"/>
    <w:rsid w:val="00CD62DC"/>
    <w:rsid w:val="00D07164"/>
    <w:rsid w:val="00D634C0"/>
    <w:rsid w:val="00D67D61"/>
    <w:rsid w:val="00D87A30"/>
    <w:rsid w:val="00D90021"/>
    <w:rsid w:val="00D94F82"/>
    <w:rsid w:val="00DB6A28"/>
    <w:rsid w:val="00DB7967"/>
    <w:rsid w:val="00DC6327"/>
    <w:rsid w:val="00E13A70"/>
    <w:rsid w:val="00E1645C"/>
    <w:rsid w:val="00E31AF3"/>
    <w:rsid w:val="00E33BBA"/>
    <w:rsid w:val="00E41A5F"/>
    <w:rsid w:val="00E44100"/>
    <w:rsid w:val="00E5226A"/>
    <w:rsid w:val="00E52477"/>
    <w:rsid w:val="00E63CC1"/>
    <w:rsid w:val="00E649FE"/>
    <w:rsid w:val="00E65B68"/>
    <w:rsid w:val="00E94F78"/>
    <w:rsid w:val="00E96B06"/>
    <w:rsid w:val="00EC2490"/>
    <w:rsid w:val="00ED1BD4"/>
    <w:rsid w:val="00EF3919"/>
    <w:rsid w:val="00F004C9"/>
    <w:rsid w:val="00F0551A"/>
    <w:rsid w:val="00F207B9"/>
    <w:rsid w:val="00F52D79"/>
    <w:rsid w:val="00F55516"/>
    <w:rsid w:val="00F577B9"/>
    <w:rsid w:val="00F60122"/>
    <w:rsid w:val="00F7004D"/>
    <w:rsid w:val="00F81777"/>
    <w:rsid w:val="00F8468E"/>
    <w:rsid w:val="00F8486E"/>
    <w:rsid w:val="00F93AF3"/>
    <w:rsid w:val="00F97989"/>
    <w:rsid w:val="00FB4C8D"/>
    <w:rsid w:val="00FC5BB2"/>
    <w:rsid w:val="00FD0452"/>
    <w:rsid w:val="00FE7F68"/>
    <w:rsid w:val="00FF272E"/>
    <w:rsid w:val="00FF374C"/>
    <w:rsid w:val="00FF6E18"/>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N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7">
    <w:name w:val="heading 7"/>
    <w:basedOn w:val="Normal"/>
    <w:next w:val="Normal"/>
    <w:link w:val="Heading7Char"/>
    <w:uiPriority w:val="9"/>
    <w:semiHidden/>
    <w:unhideWhenUsed/>
    <w:qFormat/>
    <w:rsid w:val="007B4701"/>
    <w:pPr>
      <w:keepNext/>
      <w:keepLines/>
      <w:spacing w:before="40"/>
      <w:outlineLvl w:val="6"/>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1C2F73"/>
    <w:rPr>
      <w:sz w:val="20"/>
      <w:szCs w:val="20"/>
    </w:rPr>
  </w:style>
  <w:style w:type="character" w:customStyle="1" w:styleId="FootnoteTextChar">
    <w:name w:val="Footnote Text Char"/>
    <w:basedOn w:val="DefaultParagraphFont"/>
    <w:link w:val="FootnoteText"/>
    <w:uiPriority w:val="99"/>
    <w:semiHidden/>
    <w:rsid w:val="001C2F73"/>
    <w:rPr>
      <w:sz w:val="20"/>
      <w:szCs w:val="20"/>
      <w:lang w:val="en-GB"/>
    </w:rPr>
  </w:style>
  <w:style w:type="character" w:styleId="FootnoteReference">
    <w:name w:val="footnote reference"/>
    <w:basedOn w:val="DefaultParagraphFont"/>
    <w:uiPriority w:val="99"/>
    <w:semiHidden/>
    <w:unhideWhenUsed/>
    <w:rsid w:val="001C2F73"/>
    <w:rPr>
      <w:vertAlign w:val="superscript"/>
    </w:rPr>
  </w:style>
  <w:style w:type="character" w:customStyle="1" w:styleId="Heading7Char">
    <w:name w:val="Heading 7 Char"/>
    <w:basedOn w:val="DefaultParagraphFont"/>
    <w:link w:val="Heading7"/>
    <w:uiPriority w:val="9"/>
    <w:semiHidden/>
    <w:rsid w:val="007B4701"/>
    <w:rPr>
      <w:rFonts w:eastAsiaTheme="majorEastAsia" w:cstheme="majorBidi"/>
      <w:color w:val="595959" w:themeColor="text1" w:themeTint="A6"/>
      <w:lang w:val="en-GB"/>
    </w:rPr>
  </w:style>
  <w:style w:type="paragraph" w:styleId="BalloonText">
    <w:name w:val="Balloon Text"/>
    <w:basedOn w:val="Normal"/>
    <w:link w:val="BalloonTextChar"/>
    <w:uiPriority w:val="99"/>
    <w:semiHidden/>
    <w:unhideWhenUsed/>
    <w:rsid w:val="00C60EAF"/>
    <w:rPr>
      <w:rFonts w:ascii="Tahoma" w:hAnsi="Tahoma" w:cs="Tahoma"/>
      <w:sz w:val="16"/>
      <w:szCs w:val="16"/>
    </w:rPr>
  </w:style>
  <w:style w:type="character" w:customStyle="1" w:styleId="BalloonTextChar">
    <w:name w:val="Balloon Text Char"/>
    <w:basedOn w:val="DefaultParagraphFont"/>
    <w:link w:val="BalloonText"/>
    <w:uiPriority w:val="99"/>
    <w:semiHidden/>
    <w:rsid w:val="00C60EA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N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7">
    <w:name w:val="heading 7"/>
    <w:basedOn w:val="Normal"/>
    <w:next w:val="Normal"/>
    <w:link w:val="Heading7Char"/>
    <w:uiPriority w:val="9"/>
    <w:semiHidden/>
    <w:unhideWhenUsed/>
    <w:qFormat/>
    <w:rsid w:val="007B4701"/>
    <w:pPr>
      <w:keepNext/>
      <w:keepLines/>
      <w:spacing w:before="40"/>
      <w:outlineLvl w:val="6"/>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1C2F73"/>
    <w:rPr>
      <w:sz w:val="20"/>
      <w:szCs w:val="20"/>
    </w:rPr>
  </w:style>
  <w:style w:type="character" w:customStyle="1" w:styleId="FootnoteTextChar">
    <w:name w:val="Footnote Text Char"/>
    <w:basedOn w:val="DefaultParagraphFont"/>
    <w:link w:val="FootnoteText"/>
    <w:uiPriority w:val="99"/>
    <w:semiHidden/>
    <w:rsid w:val="001C2F73"/>
    <w:rPr>
      <w:sz w:val="20"/>
      <w:szCs w:val="20"/>
      <w:lang w:val="en-GB"/>
    </w:rPr>
  </w:style>
  <w:style w:type="character" w:styleId="FootnoteReference">
    <w:name w:val="footnote reference"/>
    <w:basedOn w:val="DefaultParagraphFont"/>
    <w:uiPriority w:val="99"/>
    <w:semiHidden/>
    <w:unhideWhenUsed/>
    <w:rsid w:val="001C2F73"/>
    <w:rPr>
      <w:vertAlign w:val="superscript"/>
    </w:rPr>
  </w:style>
  <w:style w:type="character" w:customStyle="1" w:styleId="Heading7Char">
    <w:name w:val="Heading 7 Char"/>
    <w:basedOn w:val="DefaultParagraphFont"/>
    <w:link w:val="Heading7"/>
    <w:uiPriority w:val="9"/>
    <w:semiHidden/>
    <w:rsid w:val="007B4701"/>
    <w:rPr>
      <w:rFonts w:eastAsiaTheme="majorEastAsia" w:cstheme="majorBidi"/>
      <w:color w:val="595959" w:themeColor="text1" w:themeTint="A6"/>
      <w:lang w:val="en-GB"/>
    </w:rPr>
  </w:style>
  <w:style w:type="paragraph" w:styleId="BalloonText">
    <w:name w:val="Balloon Text"/>
    <w:basedOn w:val="Normal"/>
    <w:link w:val="BalloonTextChar"/>
    <w:uiPriority w:val="99"/>
    <w:semiHidden/>
    <w:unhideWhenUsed/>
    <w:rsid w:val="00C60EAF"/>
    <w:rPr>
      <w:rFonts w:ascii="Tahoma" w:hAnsi="Tahoma" w:cs="Tahoma"/>
      <w:sz w:val="16"/>
      <w:szCs w:val="16"/>
    </w:rPr>
  </w:style>
  <w:style w:type="character" w:customStyle="1" w:styleId="BalloonTextChar">
    <w:name w:val="Balloon Text Char"/>
    <w:basedOn w:val="DefaultParagraphFont"/>
    <w:link w:val="BalloonText"/>
    <w:uiPriority w:val="99"/>
    <w:semiHidden/>
    <w:rsid w:val="00C60E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2736">
      <w:bodyDiv w:val="1"/>
      <w:marLeft w:val="0"/>
      <w:marRight w:val="0"/>
      <w:marTop w:val="0"/>
      <w:marBottom w:val="0"/>
      <w:divBdr>
        <w:top w:val="none" w:sz="0" w:space="0" w:color="auto"/>
        <w:left w:val="none" w:sz="0" w:space="0" w:color="auto"/>
        <w:bottom w:val="none" w:sz="0" w:space="0" w:color="auto"/>
        <w:right w:val="none" w:sz="0" w:space="0" w:color="auto"/>
      </w:divBdr>
      <w:divsChild>
        <w:div w:id="1555385829">
          <w:marLeft w:val="0"/>
          <w:marRight w:val="0"/>
          <w:marTop w:val="0"/>
          <w:marBottom w:val="0"/>
          <w:divBdr>
            <w:top w:val="none" w:sz="0" w:space="0" w:color="auto"/>
            <w:left w:val="none" w:sz="0" w:space="0" w:color="auto"/>
            <w:bottom w:val="none" w:sz="0" w:space="0" w:color="auto"/>
            <w:right w:val="none" w:sz="0" w:space="0" w:color="auto"/>
          </w:divBdr>
          <w:divsChild>
            <w:div w:id="1077242970">
              <w:marLeft w:val="0"/>
              <w:marRight w:val="0"/>
              <w:marTop w:val="0"/>
              <w:marBottom w:val="0"/>
              <w:divBdr>
                <w:top w:val="none" w:sz="0" w:space="0" w:color="auto"/>
                <w:left w:val="none" w:sz="0" w:space="0" w:color="auto"/>
                <w:bottom w:val="none" w:sz="0" w:space="0" w:color="auto"/>
                <w:right w:val="none" w:sz="0" w:space="0" w:color="auto"/>
              </w:divBdr>
              <w:divsChild>
                <w:div w:id="18290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2024-03-24T18:30:00+00:00</Judgment_x0020_Date>
    <Year xmlns="c1afb1bd-f2fb-40fd-9abb-aea55b4d7662">2024</Year>
  </documentManagement>
</p:properties>
</file>

<file path=customXml/itemProps1.xml><?xml version="1.0" encoding="utf-8"?>
<ds:datastoreItem xmlns:ds="http://schemas.openxmlformats.org/officeDocument/2006/customXml" ds:itemID="{DE2D3854-53C1-4EB2-836C-D2B45E74F870}"/>
</file>

<file path=customXml/itemProps2.xml><?xml version="1.0" encoding="utf-8"?>
<ds:datastoreItem xmlns:ds="http://schemas.openxmlformats.org/officeDocument/2006/customXml" ds:itemID="{CA15A3A3-F564-4E9B-9533-4374AFDAD11C}"/>
</file>

<file path=customXml/itemProps3.xml><?xml version="1.0" encoding="utf-8"?>
<ds:datastoreItem xmlns:ds="http://schemas.openxmlformats.org/officeDocument/2006/customXml" ds:itemID="{23623983-ED45-4368-8C02-226CF833A902}"/>
</file>

<file path=docProps/app.xml><?xml version="1.0" encoding="utf-8"?>
<Properties xmlns="http://schemas.openxmlformats.org/officeDocument/2006/extended-properties" xmlns:vt="http://schemas.openxmlformats.org/officeDocument/2006/docPropsVTypes">
  <Template>Normal</Template>
  <TotalTime>0</TotalTime>
  <Pages>18</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v Siyamba (HC-MD-CIV-APP-ATL-2023-00019) [2024] NAHCMD 128 (25 March 2024)</dc:title>
  <dc:creator>Beatrix de Jager</dc:creator>
  <cp:lastModifiedBy>Dean-Marlo Titus</cp:lastModifiedBy>
  <cp:revision>2</cp:revision>
  <cp:lastPrinted>2024-03-25T10:53:00Z</cp:lastPrinted>
  <dcterms:created xsi:type="dcterms:W3CDTF">2024-03-25T12:49:00Z</dcterms:created>
  <dcterms:modified xsi:type="dcterms:W3CDTF">2024-03-25T12:49:00Z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