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9A4B" w14:textId="77777777" w:rsidR="00040470" w:rsidRPr="00D46572" w:rsidRDefault="00040470" w:rsidP="00B67A30">
      <w:pPr>
        <w:pStyle w:val="Title"/>
      </w:pPr>
      <w:r w:rsidRPr="00D46572">
        <w:t>REPUBLIC OF NAMIBIA</w:t>
      </w:r>
    </w:p>
    <w:p w14:paraId="21AA35AB" w14:textId="77777777" w:rsidR="00040470" w:rsidRPr="00D46572" w:rsidRDefault="00040470" w:rsidP="00040470">
      <w:pPr>
        <w:spacing w:after="0" w:line="360" w:lineRule="auto"/>
        <w:jc w:val="center"/>
        <w:rPr>
          <w:rFonts w:ascii="Arial" w:hAnsi="Arial" w:cs="Arial"/>
          <w:b/>
          <w:noProof/>
        </w:rPr>
      </w:pPr>
      <w:r w:rsidRPr="00D46572">
        <w:rPr>
          <w:rFonts w:ascii="Arial" w:hAnsi="Arial" w:cs="Arial"/>
          <w:b/>
          <w:noProof/>
        </w:rPr>
        <w:drawing>
          <wp:inline distT="0" distB="0" distL="0" distR="0" wp14:anchorId="73AF22DD" wp14:editId="20D97425">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9D9B5DE" w14:textId="2B1C916C" w:rsidR="00040470" w:rsidRPr="00040470" w:rsidRDefault="007224B0" w:rsidP="00040470">
      <w:pPr>
        <w:spacing w:after="0" w:line="360" w:lineRule="auto"/>
        <w:jc w:val="center"/>
        <w:rPr>
          <w:rFonts w:ascii="Arial" w:hAnsi="Arial" w:cs="Arial"/>
          <w:b/>
          <w:bCs/>
          <w:sz w:val="24"/>
          <w:szCs w:val="24"/>
        </w:rPr>
      </w:pPr>
      <w:r w:rsidRPr="007224B0">
        <w:rPr>
          <w:rFonts w:ascii="Arial" w:hAnsi="Arial" w:cs="Arial"/>
          <w:b/>
          <w:sz w:val="24"/>
          <w:szCs w:val="24"/>
        </w:rPr>
        <w:t>IN THE</w:t>
      </w:r>
      <w:r>
        <w:rPr>
          <w:rFonts w:ascii="Arial" w:hAnsi="Arial" w:cs="Arial"/>
          <w:b/>
          <w:sz w:val="24"/>
          <w:szCs w:val="24"/>
        </w:rPr>
        <w:t xml:space="preserve"> </w:t>
      </w:r>
      <w:r w:rsidR="00040470" w:rsidRPr="00040470">
        <w:rPr>
          <w:rFonts w:ascii="Arial" w:hAnsi="Arial" w:cs="Arial"/>
          <w:b/>
          <w:sz w:val="24"/>
          <w:szCs w:val="24"/>
        </w:rPr>
        <w:t>HIGH COURT OF NAMIBIA MAIN DIVISION, WINDHOEK</w:t>
      </w:r>
    </w:p>
    <w:p w14:paraId="5022C9D5" w14:textId="77777777" w:rsidR="00040470" w:rsidRPr="00040470" w:rsidRDefault="00040470" w:rsidP="00040470">
      <w:pPr>
        <w:spacing w:after="0" w:line="360" w:lineRule="auto"/>
        <w:jc w:val="center"/>
        <w:rPr>
          <w:rFonts w:ascii="Arial" w:hAnsi="Arial" w:cs="Arial"/>
          <w:b/>
          <w:sz w:val="24"/>
          <w:szCs w:val="24"/>
        </w:rPr>
      </w:pPr>
    </w:p>
    <w:p w14:paraId="61A5D575" w14:textId="77777777" w:rsidR="00040470" w:rsidRPr="00040470" w:rsidRDefault="00040470" w:rsidP="00040470">
      <w:pPr>
        <w:spacing w:after="0" w:line="360" w:lineRule="auto"/>
        <w:jc w:val="center"/>
        <w:rPr>
          <w:rFonts w:ascii="Arial" w:hAnsi="Arial" w:cs="Arial"/>
          <w:b/>
          <w:sz w:val="24"/>
          <w:szCs w:val="24"/>
        </w:rPr>
      </w:pPr>
      <w:r w:rsidRPr="00040470">
        <w:rPr>
          <w:rFonts w:ascii="Arial" w:hAnsi="Arial" w:cs="Arial"/>
          <w:b/>
          <w:sz w:val="24"/>
          <w:szCs w:val="24"/>
        </w:rPr>
        <w:t>JUDGMENT</w:t>
      </w:r>
    </w:p>
    <w:p w14:paraId="31FAC49E" w14:textId="77777777" w:rsidR="00040470" w:rsidRPr="00040470" w:rsidRDefault="00040470" w:rsidP="00040470">
      <w:pPr>
        <w:spacing w:after="0" w:line="360" w:lineRule="auto"/>
        <w:ind w:left="7655" w:hanging="2410"/>
        <w:jc w:val="both"/>
        <w:rPr>
          <w:rFonts w:ascii="Arial" w:hAnsi="Arial" w:cs="Arial"/>
          <w:b/>
          <w:sz w:val="24"/>
          <w:szCs w:val="24"/>
        </w:rPr>
      </w:pPr>
    </w:p>
    <w:p w14:paraId="7C55B670" w14:textId="5B832396" w:rsidR="00040470" w:rsidRPr="00040470" w:rsidRDefault="00040470" w:rsidP="00040470">
      <w:pPr>
        <w:spacing w:after="0" w:line="360" w:lineRule="auto"/>
        <w:jc w:val="right"/>
        <w:rPr>
          <w:rFonts w:ascii="Arial" w:hAnsi="Arial" w:cs="Arial"/>
          <w:sz w:val="24"/>
          <w:szCs w:val="24"/>
        </w:rPr>
      </w:pPr>
      <w:r w:rsidRPr="00040470">
        <w:rPr>
          <w:rFonts w:ascii="Arial" w:hAnsi="Arial" w:cs="Arial"/>
          <w:sz w:val="24"/>
          <w:szCs w:val="24"/>
          <w:lang w:val="en-ZA"/>
        </w:rPr>
        <w:t xml:space="preserve">Case No:  </w:t>
      </w:r>
      <w:r w:rsidR="006926B5" w:rsidRPr="006926B5">
        <w:rPr>
          <w:rFonts w:ascii="Arial" w:hAnsi="Arial" w:cs="Arial"/>
          <w:sz w:val="24"/>
          <w:szCs w:val="24"/>
          <w:lang w:val="en-ZA"/>
        </w:rPr>
        <w:t>HC-MD-CIV-MOT-GEN-2022/00346</w:t>
      </w:r>
    </w:p>
    <w:p w14:paraId="7F44ED1B" w14:textId="77777777" w:rsidR="00040470" w:rsidRPr="00F6681A" w:rsidRDefault="00040470" w:rsidP="00040470">
      <w:pPr>
        <w:spacing w:after="0" w:line="360" w:lineRule="auto"/>
        <w:jc w:val="both"/>
        <w:rPr>
          <w:rFonts w:ascii="Arial" w:hAnsi="Arial" w:cs="Arial"/>
          <w:sz w:val="24"/>
          <w:szCs w:val="24"/>
        </w:rPr>
      </w:pPr>
    </w:p>
    <w:p w14:paraId="12491FEB" w14:textId="77777777" w:rsidR="00040470" w:rsidRPr="00F6681A" w:rsidRDefault="00040470" w:rsidP="00040470">
      <w:pPr>
        <w:spacing w:after="0" w:line="360" w:lineRule="auto"/>
        <w:jc w:val="both"/>
        <w:rPr>
          <w:rFonts w:ascii="Arial" w:hAnsi="Arial" w:cs="Arial"/>
          <w:sz w:val="24"/>
          <w:szCs w:val="24"/>
        </w:rPr>
      </w:pPr>
      <w:r w:rsidRPr="00F6681A">
        <w:rPr>
          <w:rFonts w:ascii="Arial" w:hAnsi="Arial" w:cs="Arial"/>
          <w:sz w:val="24"/>
          <w:szCs w:val="24"/>
        </w:rPr>
        <w:t>In the matter between:</w:t>
      </w:r>
    </w:p>
    <w:p w14:paraId="1A5A3EA2" w14:textId="77777777" w:rsidR="00040470" w:rsidRDefault="00040470" w:rsidP="00040470">
      <w:pPr>
        <w:tabs>
          <w:tab w:val="right" w:pos="9356"/>
        </w:tabs>
        <w:spacing w:after="0" w:line="360" w:lineRule="auto"/>
        <w:jc w:val="both"/>
        <w:rPr>
          <w:rFonts w:ascii="Arial" w:hAnsi="Arial" w:cs="Arial"/>
          <w:b/>
          <w:sz w:val="24"/>
          <w:szCs w:val="24"/>
        </w:rPr>
      </w:pPr>
    </w:p>
    <w:p w14:paraId="38C27E84" w14:textId="28F43E26" w:rsidR="00040470" w:rsidRDefault="006926B5" w:rsidP="00040470">
      <w:pPr>
        <w:tabs>
          <w:tab w:val="right" w:pos="9356"/>
        </w:tabs>
        <w:spacing w:after="0" w:line="360" w:lineRule="auto"/>
        <w:jc w:val="both"/>
        <w:rPr>
          <w:rFonts w:ascii="Arial" w:hAnsi="Arial" w:cs="Arial"/>
          <w:b/>
          <w:sz w:val="24"/>
          <w:szCs w:val="24"/>
        </w:rPr>
      </w:pPr>
      <w:r w:rsidRPr="006926B5">
        <w:rPr>
          <w:rFonts w:ascii="Arial" w:hAnsi="Arial" w:cs="Arial"/>
          <w:b/>
          <w:sz w:val="24"/>
          <w:szCs w:val="24"/>
        </w:rPr>
        <w:t xml:space="preserve">OVAMBANDERU TRADITIONAL COUNCIL </w:t>
      </w:r>
      <w:r w:rsidR="00040470">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1</w:t>
      </w:r>
      <w:r w:rsidRPr="006926B5">
        <w:rPr>
          <w:rFonts w:ascii="Arial" w:hAnsi="Arial" w:cs="Arial"/>
          <w:b/>
          <w:sz w:val="24"/>
          <w:szCs w:val="24"/>
          <w:vertAlign w:val="superscript"/>
        </w:rPr>
        <w:t>ST</w:t>
      </w:r>
      <w:r>
        <w:rPr>
          <w:rFonts w:ascii="Arial" w:hAnsi="Arial" w:cs="Arial"/>
          <w:b/>
          <w:sz w:val="24"/>
          <w:szCs w:val="24"/>
        </w:rPr>
        <w:t xml:space="preserve"> APPLICANT</w:t>
      </w:r>
    </w:p>
    <w:p w14:paraId="0BD959A8" w14:textId="766545E1" w:rsidR="006926B5" w:rsidRDefault="006926B5" w:rsidP="00040470">
      <w:pPr>
        <w:tabs>
          <w:tab w:val="right" w:pos="9356"/>
        </w:tabs>
        <w:spacing w:after="0" w:line="360" w:lineRule="auto"/>
        <w:jc w:val="both"/>
        <w:rPr>
          <w:rFonts w:ascii="Arial" w:hAnsi="Arial" w:cs="Arial"/>
          <w:b/>
          <w:sz w:val="24"/>
          <w:szCs w:val="24"/>
        </w:rPr>
      </w:pPr>
      <w:r w:rsidRPr="006926B5">
        <w:rPr>
          <w:rFonts w:ascii="Arial" w:hAnsi="Arial" w:cs="Arial"/>
          <w:b/>
          <w:sz w:val="24"/>
          <w:szCs w:val="24"/>
        </w:rPr>
        <w:t>ALETHA KARIKONDUA NGUVAUVA</w:t>
      </w:r>
      <w:r>
        <w:rPr>
          <w:rFonts w:ascii="Arial" w:hAnsi="Arial" w:cs="Arial"/>
          <w:b/>
          <w:sz w:val="24"/>
          <w:szCs w:val="24"/>
        </w:rPr>
        <w:t xml:space="preserve">                                                    2</w:t>
      </w:r>
      <w:r w:rsidRPr="006926B5">
        <w:rPr>
          <w:rFonts w:ascii="Arial" w:hAnsi="Arial" w:cs="Arial"/>
          <w:b/>
          <w:sz w:val="24"/>
          <w:szCs w:val="24"/>
          <w:vertAlign w:val="superscript"/>
        </w:rPr>
        <w:t>ND</w:t>
      </w:r>
      <w:r>
        <w:rPr>
          <w:rFonts w:ascii="Arial" w:hAnsi="Arial" w:cs="Arial"/>
          <w:b/>
          <w:sz w:val="24"/>
          <w:szCs w:val="24"/>
        </w:rPr>
        <w:t xml:space="preserve"> APPLICANT</w:t>
      </w:r>
    </w:p>
    <w:p w14:paraId="187C4DF2" w14:textId="77777777" w:rsidR="00040470" w:rsidRDefault="00040470" w:rsidP="00040470">
      <w:pPr>
        <w:spacing w:after="0" w:line="360" w:lineRule="auto"/>
        <w:jc w:val="both"/>
        <w:rPr>
          <w:rFonts w:ascii="Arial" w:hAnsi="Arial" w:cs="Arial"/>
          <w:sz w:val="24"/>
          <w:szCs w:val="24"/>
        </w:rPr>
      </w:pPr>
    </w:p>
    <w:p w14:paraId="73C6F508" w14:textId="77777777" w:rsidR="00040470" w:rsidRPr="00F6681A" w:rsidRDefault="00040470" w:rsidP="00040470">
      <w:pPr>
        <w:spacing w:after="0" w:line="360" w:lineRule="auto"/>
        <w:jc w:val="both"/>
        <w:rPr>
          <w:rFonts w:ascii="Arial" w:hAnsi="Arial" w:cs="Arial"/>
          <w:sz w:val="24"/>
          <w:szCs w:val="24"/>
        </w:rPr>
      </w:pPr>
      <w:r>
        <w:rPr>
          <w:rFonts w:ascii="Arial" w:hAnsi="Arial" w:cs="Arial"/>
          <w:sz w:val="24"/>
          <w:szCs w:val="24"/>
        </w:rPr>
        <w:t>a</w:t>
      </w:r>
      <w:r w:rsidRPr="00F6681A">
        <w:rPr>
          <w:rFonts w:ascii="Arial" w:hAnsi="Arial" w:cs="Arial"/>
          <w:sz w:val="24"/>
          <w:szCs w:val="24"/>
        </w:rPr>
        <w:t>nd</w:t>
      </w:r>
    </w:p>
    <w:p w14:paraId="32B335FC" w14:textId="77777777" w:rsidR="00040470" w:rsidRDefault="00040470" w:rsidP="00040470">
      <w:pPr>
        <w:tabs>
          <w:tab w:val="right" w:pos="9356"/>
        </w:tabs>
        <w:spacing w:after="0" w:line="360" w:lineRule="auto"/>
        <w:jc w:val="both"/>
        <w:rPr>
          <w:rFonts w:ascii="Arial" w:hAnsi="Arial" w:cs="Arial"/>
          <w:b/>
          <w:sz w:val="24"/>
          <w:szCs w:val="24"/>
        </w:rPr>
      </w:pPr>
    </w:p>
    <w:p w14:paraId="650BD74E" w14:textId="15A0C240" w:rsidR="00040470" w:rsidRDefault="006926B5" w:rsidP="00040470">
      <w:pPr>
        <w:pStyle w:val="BodyText"/>
      </w:pPr>
      <w:r>
        <w:t>MINISTER OF URBAN AND RURAL DEVELOPMENT</w:t>
      </w:r>
      <w:r w:rsidR="00040470" w:rsidRPr="00040470">
        <w:t xml:space="preserve"> </w:t>
      </w:r>
      <w:r w:rsidR="00040470">
        <w:tab/>
      </w:r>
      <w:r w:rsidR="00040470" w:rsidRPr="00040470">
        <w:t>1</w:t>
      </w:r>
      <w:r w:rsidR="00040470" w:rsidRPr="00040470">
        <w:rPr>
          <w:vertAlign w:val="superscript"/>
        </w:rPr>
        <w:t>ST</w:t>
      </w:r>
      <w:r w:rsidR="00040470">
        <w:t xml:space="preserve"> </w:t>
      </w:r>
      <w:r>
        <w:t>RESPONDENT</w:t>
      </w:r>
    </w:p>
    <w:p w14:paraId="14EADC3D" w14:textId="607AA0DF" w:rsidR="00040470" w:rsidRDefault="006926B5" w:rsidP="00040470">
      <w:pPr>
        <w:pStyle w:val="BodyText"/>
      </w:pPr>
      <w:r>
        <w:t>THE PRESIDENT OF THE REPUBLIC OF NAMIBIA</w:t>
      </w:r>
      <w:r w:rsidR="00040470">
        <w:tab/>
      </w:r>
      <w:r w:rsidR="00040470" w:rsidRPr="00040470">
        <w:t>2</w:t>
      </w:r>
      <w:r w:rsidR="00040470" w:rsidRPr="00040470">
        <w:rPr>
          <w:vertAlign w:val="superscript"/>
        </w:rPr>
        <w:t>ND</w:t>
      </w:r>
      <w:r w:rsidR="00040470">
        <w:t xml:space="preserve"> </w:t>
      </w:r>
      <w:r>
        <w:t>RESPONDENT</w:t>
      </w:r>
    </w:p>
    <w:p w14:paraId="24E534FC" w14:textId="5C31820F" w:rsidR="00040470" w:rsidRDefault="009953B2" w:rsidP="00040470">
      <w:pPr>
        <w:pStyle w:val="BodyText"/>
      </w:pPr>
      <w:r w:rsidRPr="00012C4D">
        <w:t>COUNCI</w:t>
      </w:r>
      <w:r w:rsidR="006926B5" w:rsidRPr="00012C4D">
        <w:t>L</w:t>
      </w:r>
      <w:r w:rsidR="006926B5">
        <w:t xml:space="preserve"> OF TRADITIONAL LEADERS</w:t>
      </w:r>
      <w:r w:rsidR="00040470">
        <w:tab/>
      </w:r>
      <w:r w:rsidR="00040470" w:rsidRPr="00040470">
        <w:t>3</w:t>
      </w:r>
      <w:r w:rsidR="00040470" w:rsidRPr="00040470">
        <w:rPr>
          <w:vertAlign w:val="superscript"/>
        </w:rPr>
        <w:t>RD</w:t>
      </w:r>
      <w:r w:rsidR="00040470">
        <w:t xml:space="preserve"> </w:t>
      </w:r>
      <w:r w:rsidR="006926B5">
        <w:t>RESPONDENT</w:t>
      </w:r>
    </w:p>
    <w:p w14:paraId="213CA2EB" w14:textId="0FFE710F" w:rsidR="00040470" w:rsidRPr="00040470" w:rsidRDefault="006926B5" w:rsidP="00040470">
      <w:pPr>
        <w:pStyle w:val="BodyText"/>
      </w:pPr>
      <w:r>
        <w:t>OVAMBANDERU TRADITIONAL AUTHORITY</w:t>
      </w:r>
      <w:r w:rsidR="00040470" w:rsidRPr="00040470">
        <w:t xml:space="preserve"> </w:t>
      </w:r>
      <w:r>
        <w:t xml:space="preserve"> </w:t>
      </w:r>
      <w:r>
        <w:tab/>
      </w:r>
      <w:r w:rsidR="00040470" w:rsidRPr="00040470">
        <w:t>4</w:t>
      </w:r>
      <w:r w:rsidR="00040470" w:rsidRPr="00040470">
        <w:rPr>
          <w:vertAlign w:val="superscript"/>
        </w:rPr>
        <w:t>TH</w:t>
      </w:r>
      <w:r>
        <w:t xml:space="preserve"> RESPONDENT</w:t>
      </w:r>
    </w:p>
    <w:p w14:paraId="2E42DAA7" w14:textId="77777777" w:rsidR="00040470" w:rsidRPr="002078FA" w:rsidRDefault="00040470" w:rsidP="00040470">
      <w:pPr>
        <w:spacing w:after="0" w:line="360" w:lineRule="auto"/>
        <w:rPr>
          <w:rFonts w:ascii="Arial" w:hAnsi="Arial" w:cs="Arial"/>
          <w:b/>
          <w:sz w:val="24"/>
          <w:szCs w:val="24"/>
        </w:rPr>
      </w:pPr>
    </w:p>
    <w:p w14:paraId="2257FFB6" w14:textId="77777777" w:rsidR="00012C4D" w:rsidRDefault="00040470" w:rsidP="00012C4D">
      <w:pPr>
        <w:spacing w:after="0" w:line="360" w:lineRule="auto"/>
        <w:ind w:left="720" w:hanging="720"/>
        <w:jc w:val="both"/>
        <w:rPr>
          <w:rFonts w:ascii="Arial" w:hAnsi="Arial" w:cs="Arial"/>
          <w:b/>
          <w:sz w:val="24"/>
          <w:szCs w:val="24"/>
        </w:rPr>
      </w:pPr>
      <w:r w:rsidRPr="00804ADD">
        <w:rPr>
          <w:rFonts w:ascii="Arial" w:hAnsi="Arial" w:cs="Arial"/>
          <w:b/>
          <w:sz w:val="24"/>
          <w:szCs w:val="24"/>
        </w:rPr>
        <w:t>Neutral Citation:</w:t>
      </w:r>
      <w:r w:rsidRPr="002078FA">
        <w:rPr>
          <w:rFonts w:ascii="Arial" w:hAnsi="Arial" w:cs="Arial"/>
          <w:i/>
          <w:sz w:val="24"/>
          <w:szCs w:val="24"/>
        </w:rPr>
        <w:t xml:space="preserve"> </w:t>
      </w:r>
      <w:r w:rsidRPr="002078FA">
        <w:rPr>
          <w:rFonts w:ascii="Arial" w:hAnsi="Arial" w:cs="Arial"/>
          <w:i/>
          <w:sz w:val="24"/>
          <w:szCs w:val="24"/>
        </w:rPr>
        <w:tab/>
      </w:r>
      <w:r w:rsidR="006926B5">
        <w:rPr>
          <w:rFonts w:ascii="Arial" w:hAnsi="Arial" w:cs="Arial"/>
          <w:i/>
          <w:sz w:val="24"/>
          <w:szCs w:val="24"/>
        </w:rPr>
        <w:t>Ovambanderu Traditional Council</w:t>
      </w:r>
      <w:r w:rsidR="00694D49">
        <w:rPr>
          <w:rFonts w:ascii="Arial" w:hAnsi="Arial" w:cs="Arial"/>
          <w:i/>
          <w:sz w:val="24"/>
          <w:szCs w:val="24"/>
        </w:rPr>
        <w:t xml:space="preserve"> </w:t>
      </w:r>
      <w:r w:rsidR="00694D49" w:rsidRPr="003732AF">
        <w:rPr>
          <w:rFonts w:ascii="Arial" w:hAnsi="Arial" w:cs="Arial"/>
          <w:i/>
          <w:sz w:val="24"/>
          <w:szCs w:val="24"/>
        </w:rPr>
        <w:t>v Minist</w:t>
      </w:r>
      <w:r w:rsidR="006926B5">
        <w:rPr>
          <w:rFonts w:ascii="Arial" w:hAnsi="Arial" w:cs="Arial"/>
          <w:i/>
          <w:sz w:val="24"/>
          <w:szCs w:val="24"/>
        </w:rPr>
        <w:t>er</w:t>
      </w:r>
      <w:r>
        <w:rPr>
          <w:rFonts w:ascii="Arial" w:hAnsi="Arial" w:cs="Arial"/>
          <w:i/>
          <w:sz w:val="24"/>
          <w:szCs w:val="24"/>
        </w:rPr>
        <w:t xml:space="preserve"> of </w:t>
      </w:r>
      <w:r w:rsidR="006926B5">
        <w:rPr>
          <w:rFonts w:ascii="Arial" w:hAnsi="Arial" w:cs="Arial"/>
          <w:i/>
          <w:sz w:val="24"/>
          <w:szCs w:val="24"/>
        </w:rPr>
        <w:t xml:space="preserve">Urban and Rural </w:t>
      </w:r>
      <w:r w:rsidR="00012C4D">
        <w:rPr>
          <w:rFonts w:ascii="Arial" w:hAnsi="Arial" w:cs="Arial"/>
          <w:b/>
          <w:sz w:val="24"/>
          <w:szCs w:val="24"/>
        </w:rPr>
        <w:t xml:space="preserve">                                 </w:t>
      </w:r>
    </w:p>
    <w:p w14:paraId="78E6DCF9" w14:textId="77777777" w:rsidR="00012C4D" w:rsidRDefault="00012C4D" w:rsidP="00012C4D">
      <w:pPr>
        <w:spacing w:after="0" w:line="360" w:lineRule="auto"/>
        <w:ind w:left="720" w:hanging="720"/>
        <w:jc w:val="both"/>
        <w:rPr>
          <w:rFonts w:ascii="Arial" w:hAnsi="Arial" w:cs="Arial"/>
          <w:sz w:val="24"/>
          <w:szCs w:val="24"/>
        </w:rPr>
      </w:pPr>
      <w:r>
        <w:rPr>
          <w:rFonts w:ascii="Arial" w:hAnsi="Arial" w:cs="Arial"/>
          <w:b/>
          <w:sz w:val="24"/>
          <w:szCs w:val="24"/>
        </w:rPr>
        <w:t xml:space="preserve">                               </w:t>
      </w:r>
      <w:r w:rsidR="006926B5">
        <w:rPr>
          <w:rFonts w:ascii="Arial" w:hAnsi="Arial" w:cs="Arial"/>
          <w:i/>
          <w:sz w:val="24"/>
          <w:szCs w:val="24"/>
        </w:rPr>
        <w:t>Development</w:t>
      </w:r>
      <w:r>
        <w:rPr>
          <w:rFonts w:ascii="Arial" w:hAnsi="Arial" w:cs="Arial"/>
          <w:i/>
          <w:sz w:val="24"/>
          <w:szCs w:val="24"/>
        </w:rPr>
        <w:t xml:space="preserve"> </w:t>
      </w:r>
      <w:r w:rsidR="00040470" w:rsidRPr="002078FA">
        <w:rPr>
          <w:rFonts w:ascii="Arial" w:hAnsi="Arial" w:cs="Arial"/>
          <w:sz w:val="24"/>
          <w:szCs w:val="24"/>
        </w:rPr>
        <w:t>(</w:t>
      </w:r>
      <w:r w:rsidR="006926B5">
        <w:rPr>
          <w:rFonts w:ascii="Arial" w:hAnsi="Arial" w:cs="Arial"/>
          <w:sz w:val="24"/>
          <w:szCs w:val="24"/>
        </w:rPr>
        <w:t>HC-MD-CIV-MOT-GEN-2022/00346)</w:t>
      </w:r>
      <w:r>
        <w:rPr>
          <w:rFonts w:ascii="Arial" w:hAnsi="Arial" w:cs="Arial"/>
          <w:sz w:val="24"/>
          <w:szCs w:val="24"/>
        </w:rPr>
        <w:t xml:space="preserve"> </w:t>
      </w:r>
      <w:r w:rsidR="00040470" w:rsidRPr="002078FA">
        <w:rPr>
          <w:rFonts w:ascii="Arial" w:hAnsi="Arial" w:cs="Arial"/>
          <w:sz w:val="24"/>
          <w:szCs w:val="24"/>
        </w:rPr>
        <w:t>[20</w:t>
      </w:r>
      <w:r w:rsidR="006926B5">
        <w:rPr>
          <w:rFonts w:ascii="Arial" w:hAnsi="Arial" w:cs="Arial"/>
          <w:sz w:val="24"/>
          <w:szCs w:val="24"/>
        </w:rPr>
        <w:t>24</w:t>
      </w:r>
      <w:r w:rsidR="00040470" w:rsidRPr="002078FA">
        <w:rPr>
          <w:rFonts w:ascii="Arial" w:hAnsi="Arial" w:cs="Arial"/>
          <w:sz w:val="24"/>
          <w:szCs w:val="24"/>
        </w:rPr>
        <w:t xml:space="preserve">] NAHCMD </w:t>
      </w:r>
      <w:r>
        <w:rPr>
          <w:rFonts w:ascii="Arial" w:hAnsi="Arial" w:cs="Arial"/>
          <w:sz w:val="24"/>
          <w:szCs w:val="24"/>
        </w:rPr>
        <w:t xml:space="preserve">     </w:t>
      </w:r>
    </w:p>
    <w:p w14:paraId="55CB105F" w14:textId="4DD09C1F" w:rsidR="00040470" w:rsidRPr="002078FA" w:rsidRDefault="00012C4D" w:rsidP="00012C4D">
      <w:pPr>
        <w:spacing w:after="0" w:line="360" w:lineRule="auto"/>
        <w:ind w:left="720" w:hanging="720"/>
        <w:jc w:val="both"/>
        <w:rPr>
          <w:rFonts w:ascii="Arial" w:hAnsi="Arial" w:cs="Arial"/>
          <w:sz w:val="24"/>
          <w:szCs w:val="24"/>
        </w:rPr>
      </w:pPr>
      <w:r>
        <w:rPr>
          <w:rFonts w:ascii="Arial" w:hAnsi="Arial" w:cs="Arial"/>
          <w:i/>
          <w:sz w:val="24"/>
          <w:szCs w:val="24"/>
        </w:rPr>
        <w:t xml:space="preserve">                               </w:t>
      </w:r>
      <w:r w:rsidR="004219EC" w:rsidRPr="000E4198">
        <w:rPr>
          <w:rFonts w:ascii="Arial" w:hAnsi="Arial" w:cs="Arial"/>
          <w:sz w:val="24"/>
          <w:szCs w:val="24"/>
        </w:rPr>
        <w:t>123</w:t>
      </w:r>
      <w:r w:rsidR="006926B5" w:rsidRPr="000E4198">
        <w:rPr>
          <w:rFonts w:ascii="Arial" w:hAnsi="Arial" w:cs="Arial"/>
          <w:sz w:val="24"/>
          <w:szCs w:val="24"/>
        </w:rPr>
        <w:t xml:space="preserve"> </w:t>
      </w:r>
      <w:r w:rsidR="00040470" w:rsidRPr="000E4198">
        <w:rPr>
          <w:rFonts w:ascii="Arial" w:hAnsi="Arial" w:cs="Arial"/>
          <w:sz w:val="24"/>
          <w:szCs w:val="24"/>
        </w:rPr>
        <w:t>(</w:t>
      </w:r>
      <w:r w:rsidR="00DD49D7" w:rsidRPr="000E4198">
        <w:rPr>
          <w:rFonts w:ascii="Arial" w:hAnsi="Arial" w:cs="Arial"/>
          <w:sz w:val="24"/>
          <w:szCs w:val="24"/>
        </w:rPr>
        <w:t>20</w:t>
      </w:r>
      <w:r w:rsidR="006926B5" w:rsidRPr="000E4198">
        <w:rPr>
          <w:rFonts w:ascii="Arial" w:hAnsi="Arial" w:cs="Arial"/>
          <w:sz w:val="24"/>
          <w:szCs w:val="24"/>
        </w:rPr>
        <w:t xml:space="preserve"> March</w:t>
      </w:r>
      <w:r w:rsidR="006926B5">
        <w:rPr>
          <w:rFonts w:ascii="Arial" w:hAnsi="Arial" w:cs="Arial"/>
          <w:sz w:val="24"/>
          <w:szCs w:val="24"/>
        </w:rPr>
        <w:t xml:space="preserve"> 2024</w:t>
      </w:r>
      <w:r w:rsidR="00040470" w:rsidRPr="002078FA">
        <w:rPr>
          <w:rFonts w:ascii="Arial" w:hAnsi="Arial" w:cs="Arial"/>
          <w:sz w:val="24"/>
          <w:szCs w:val="24"/>
        </w:rPr>
        <w:t>)</w:t>
      </w:r>
    </w:p>
    <w:p w14:paraId="6A3FEA95" w14:textId="77777777" w:rsidR="00040470" w:rsidRPr="002078FA" w:rsidRDefault="00040470" w:rsidP="00040470">
      <w:pPr>
        <w:tabs>
          <w:tab w:val="left" w:pos="6573"/>
        </w:tabs>
        <w:spacing w:after="0" w:line="360" w:lineRule="auto"/>
        <w:jc w:val="both"/>
        <w:rPr>
          <w:rFonts w:ascii="Arial" w:hAnsi="Arial" w:cs="Arial"/>
          <w:i/>
          <w:sz w:val="24"/>
          <w:szCs w:val="24"/>
        </w:rPr>
      </w:pPr>
      <w:r w:rsidRPr="002078FA">
        <w:rPr>
          <w:rFonts w:ascii="Arial" w:hAnsi="Arial" w:cs="Arial"/>
          <w:i/>
          <w:sz w:val="24"/>
          <w:szCs w:val="24"/>
        </w:rPr>
        <w:tab/>
      </w:r>
    </w:p>
    <w:p w14:paraId="31174506" w14:textId="77777777" w:rsidR="00040470" w:rsidRPr="002078FA" w:rsidRDefault="00040470" w:rsidP="00012C4D">
      <w:pPr>
        <w:pStyle w:val="Heading7"/>
      </w:pPr>
      <w:r w:rsidRPr="001D78FE">
        <w:t>CORAM:</w:t>
      </w:r>
      <w:r w:rsidRPr="002078FA">
        <w:t xml:space="preserve"> </w:t>
      </w:r>
      <w:r w:rsidRPr="002078FA">
        <w:tab/>
      </w:r>
      <w:r w:rsidRPr="002078FA">
        <w:tab/>
      </w:r>
      <w:r w:rsidRPr="00B91A24">
        <w:rPr>
          <w:b w:val="0"/>
        </w:rPr>
        <w:t>PRINSLOO J</w:t>
      </w:r>
    </w:p>
    <w:p w14:paraId="64BFCA6C" w14:textId="52BCC1F2" w:rsidR="00040470" w:rsidRPr="00B91A24" w:rsidRDefault="00040470" w:rsidP="007B3E63">
      <w:pPr>
        <w:spacing w:after="0" w:line="360" w:lineRule="auto"/>
        <w:ind w:left="2160" w:hanging="2160"/>
        <w:jc w:val="both"/>
        <w:rPr>
          <w:rFonts w:ascii="Arial" w:hAnsi="Arial" w:cs="Arial"/>
          <w:b/>
          <w:sz w:val="24"/>
          <w:szCs w:val="24"/>
        </w:rPr>
      </w:pPr>
      <w:r w:rsidRPr="001D78FE">
        <w:rPr>
          <w:rFonts w:ascii="Arial" w:hAnsi="Arial" w:cs="Arial"/>
          <w:b/>
          <w:sz w:val="24"/>
          <w:szCs w:val="24"/>
        </w:rPr>
        <w:t>Heard:</w:t>
      </w:r>
      <w:r w:rsidRPr="002078FA">
        <w:rPr>
          <w:rFonts w:ascii="Arial" w:hAnsi="Arial" w:cs="Arial"/>
          <w:sz w:val="24"/>
          <w:szCs w:val="24"/>
        </w:rPr>
        <w:tab/>
      </w:r>
      <w:r w:rsidR="006926B5" w:rsidRPr="00B91A24">
        <w:rPr>
          <w:rFonts w:ascii="Arial" w:hAnsi="Arial" w:cs="Arial"/>
          <w:b/>
          <w:sz w:val="24"/>
          <w:szCs w:val="24"/>
        </w:rPr>
        <w:t>23 November 2023</w:t>
      </w:r>
    </w:p>
    <w:p w14:paraId="0A1BA6DC" w14:textId="2E5C6C51" w:rsidR="00040470" w:rsidRPr="00B91A24" w:rsidRDefault="00040470" w:rsidP="00FF1075">
      <w:pPr>
        <w:spacing w:after="0" w:line="360" w:lineRule="auto"/>
        <w:jc w:val="both"/>
        <w:rPr>
          <w:rFonts w:ascii="Arial" w:hAnsi="Arial" w:cs="Arial"/>
          <w:b/>
          <w:color w:val="FF0000"/>
          <w:sz w:val="24"/>
          <w:szCs w:val="24"/>
        </w:rPr>
      </w:pPr>
      <w:r w:rsidRPr="00B91A24">
        <w:rPr>
          <w:rFonts w:ascii="Arial" w:hAnsi="Arial" w:cs="Arial"/>
          <w:b/>
          <w:sz w:val="24"/>
          <w:szCs w:val="24"/>
        </w:rPr>
        <w:t>Delivered:</w:t>
      </w:r>
      <w:r w:rsidRPr="00B91A24">
        <w:rPr>
          <w:rFonts w:ascii="Arial" w:hAnsi="Arial" w:cs="Arial"/>
          <w:b/>
          <w:sz w:val="24"/>
          <w:szCs w:val="24"/>
        </w:rPr>
        <w:tab/>
      </w:r>
      <w:r w:rsidRPr="00B91A24">
        <w:rPr>
          <w:rFonts w:ascii="Arial" w:hAnsi="Arial" w:cs="Arial"/>
          <w:b/>
          <w:sz w:val="24"/>
          <w:szCs w:val="24"/>
        </w:rPr>
        <w:tab/>
      </w:r>
      <w:r w:rsidR="00012C4D" w:rsidRPr="00B91A24">
        <w:rPr>
          <w:rFonts w:ascii="Arial" w:hAnsi="Arial" w:cs="Arial"/>
          <w:b/>
          <w:sz w:val="24"/>
          <w:szCs w:val="24"/>
        </w:rPr>
        <w:t>20</w:t>
      </w:r>
      <w:r w:rsidR="006926B5" w:rsidRPr="00B91A24">
        <w:rPr>
          <w:rFonts w:ascii="Arial" w:hAnsi="Arial" w:cs="Arial"/>
          <w:b/>
          <w:sz w:val="24"/>
          <w:szCs w:val="24"/>
        </w:rPr>
        <w:t xml:space="preserve"> March 2024</w:t>
      </w:r>
      <w:bookmarkStart w:id="0" w:name="_GoBack"/>
      <w:bookmarkEnd w:id="0"/>
    </w:p>
    <w:p w14:paraId="52322DD3" w14:textId="5FE2F5C6" w:rsidR="001C0047" w:rsidRDefault="00040470" w:rsidP="00040470">
      <w:pPr>
        <w:spacing w:line="360" w:lineRule="auto"/>
        <w:jc w:val="both"/>
        <w:rPr>
          <w:rFonts w:ascii="Arial" w:hAnsi="Arial" w:cs="Arial"/>
          <w:sz w:val="24"/>
          <w:szCs w:val="24"/>
        </w:rPr>
      </w:pPr>
      <w:r w:rsidRPr="00DF2102">
        <w:rPr>
          <w:rFonts w:ascii="Arial" w:hAnsi="Arial" w:cs="Arial"/>
          <w:b/>
          <w:sz w:val="24"/>
          <w:szCs w:val="24"/>
        </w:rPr>
        <w:lastRenderedPageBreak/>
        <w:t>Flynote:</w:t>
      </w:r>
      <w:r w:rsidR="00CC5C24">
        <w:rPr>
          <w:rFonts w:ascii="Arial" w:hAnsi="Arial" w:cs="Arial"/>
          <w:b/>
          <w:sz w:val="24"/>
          <w:szCs w:val="24"/>
        </w:rPr>
        <w:tab/>
      </w:r>
      <w:r w:rsidR="001E1A6A">
        <w:rPr>
          <w:rFonts w:ascii="Arial" w:hAnsi="Arial" w:cs="Arial"/>
          <w:sz w:val="24"/>
          <w:szCs w:val="24"/>
        </w:rPr>
        <w:t>Motion</w:t>
      </w:r>
      <w:r w:rsidR="00795054">
        <w:rPr>
          <w:rFonts w:ascii="Arial" w:hAnsi="Arial" w:cs="Arial"/>
          <w:sz w:val="24"/>
          <w:szCs w:val="24"/>
        </w:rPr>
        <w:t xml:space="preserve"> </w:t>
      </w:r>
      <w:r w:rsidR="00FF1075">
        <w:rPr>
          <w:rFonts w:ascii="Arial" w:hAnsi="Arial" w:cs="Arial"/>
          <w:sz w:val="24"/>
          <w:szCs w:val="24"/>
        </w:rPr>
        <w:t xml:space="preserve">Proceedings </w:t>
      </w:r>
      <w:r w:rsidR="00795054">
        <w:rPr>
          <w:rFonts w:ascii="Arial" w:hAnsi="Arial" w:cs="Arial"/>
          <w:sz w:val="24"/>
          <w:szCs w:val="24"/>
        </w:rPr>
        <w:t>–</w:t>
      </w:r>
      <w:r w:rsidR="00535507">
        <w:rPr>
          <w:rFonts w:ascii="Arial" w:hAnsi="Arial" w:cs="Arial"/>
          <w:sz w:val="24"/>
          <w:szCs w:val="24"/>
        </w:rPr>
        <w:t xml:space="preserve"> </w:t>
      </w:r>
      <w:r w:rsidR="001E1A6A">
        <w:rPr>
          <w:rFonts w:ascii="Arial" w:hAnsi="Arial" w:cs="Arial"/>
          <w:sz w:val="24"/>
          <w:szCs w:val="24"/>
        </w:rPr>
        <w:t>Review</w:t>
      </w:r>
      <w:r w:rsidR="00AF28BE">
        <w:rPr>
          <w:rFonts w:ascii="Arial" w:hAnsi="Arial" w:cs="Arial"/>
          <w:sz w:val="24"/>
          <w:szCs w:val="24"/>
        </w:rPr>
        <w:t xml:space="preserve"> </w:t>
      </w:r>
      <w:r w:rsidR="00535507" w:rsidRPr="00535507">
        <w:rPr>
          <w:rFonts w:ascii="Arial" w:hAnsi="Arial" w:cs="Arial"/>
          <w:sz w:val="24"/>
          <w:szCs w:val="24"/>
        </w:rPr>
        <w:t>–</w:t>
      </w:r>
      <w:r w:rsidR="00535507">
        <w:rPr>
          <w:rFonts w:ascii="Arial" w:hAnsi="Arial" w:cs="Arial"/>
          <w:sz w:val="24"/>
          <w:szCs w:val="24"/>
        </w:rPr>
        <w:t xml:space="preserve"> </w:t>
      </w:r>
      <w:r w:rsidR="00F61C55">
        <w:rPr>
          <w:rFonts w:ascii="Arial" w:hAnsi="Arial" w:cs="Arial"/>
          <w:sz w:val="24"/>
          <w:szCs w:val="24"/>
        </w:rPr>
        <w:t>Audi alteram partem rule ought to ha</w:t>
      </w:r>
      <w:r w:rsidR="00AF28BE">
        <w:rPr>
          <w:rFonts w:ascii="Arial" w:hAnsi="Arial" w:cs="Arial"/>
          <w:sz w:val="24"/>
          <w:szCs w:val="24"/>
        </w:rPr>
        <w:t>ve been invoked by the Minister</w:t>
      </w:r>
      <w:r w:rsidR="00F61C55">
        <w:rPr>
          <w:rFonts w:ascii="Arial" w:hAnsi="Arial" w:cs="Arial"/>
          <w:sz w:val="24"/>
          <w:szCs w:val="24"/>
        </w:rPr>
        <w:t xml:space="preserve"> before making the decision – Article 18 – Breached.</w:t>
      </w:r>
    </w:p>
    <w:p w14:paraId="568BDCF1" w14:textId="1C3220EC" w:rsidR="004E177B" w:rsidRDefault="00DF2102" w:rsidP="002B3D9E">
      <w:pPr>
        <w:spacing w:line="360" w:lineRule="auto"/>
        <w:jc w:val="both"/>
        <w:rPr>
          <w:rFonts w:ascii="Arial" w:hAnsi="Arial" w:cs="Arial"/>
          <w:sz w:val="24"/>
          <w:szCs w:val="24"/>
        </w:rPr>
      </w:pPr>
      <w:r>
        <w:rPr>
          <w:rFonts w:ascii="Arial" w:hAnsi="Arial" w:cs="Arial"/>
          <w:b/>
          <w:sz w:val="24"/>
          <w:szCs w:val="24"/>
        </w:rPr>
        <w:t>Summary:</w:t>
      </w:r>
      <w:r w:rsidR="004E177B">
        <w:rPr>
          <w:rFonts w:ascii="Arial" w:hAnsi="Arial" w:cs="Arial"/>
          <w:b/>
          <w:sz w:val="24"/>
          <w:szCs w:val="24"/>
        </w:rPr>
        <w:tab/>
      </w:r>
      <w:r w:rsidR="004E177B">
        <w:rPr>
          <w:rFonts w:ascii="Arial" w:hAnsi="Arial" w:cs="Arial"/>
          <w:sz w:val="24"/>
          <w:szCs w:val="24"/>
        </w:rPr>
        <w:t xml:space="preserve">The applicants in this matter </w:t>
      </w:r>
      <w:r w:rsidR="00012C4D">
        <w:rPr>
          <w:rFonts w:ascii="Arial" w:hAnsi="Arial" w:cs="Arial"/>
          <w:sz w:val="24"/>
          <w:szCs w:val="24"/>
        </w:rPr>
        <w:t>seek</w:t>
      </w:r>
      <w:r w:rsidR="004E177B">
        <w:rPr>
          <w:rFonts w:ascii="Arial" w:hAnsi="Arial" w:cs="Arial"/>
          <w:sz w:val="24"/>
          <w:szCs w:val="24"/>
        </w:rPr>
        <w:t xml:space="preserve"> to review the decision made by the first respondent on 20 October 2021. They additionally pray that t</w:t>
      </w:r>
      <w:r w:rsidR="004E177B" w:rsidRPr="004E177B">
        <w:rPr>
          <w:rFonts w:ascii="Arial" w:hAnsi="Arial" w:cs="Arial"/>
          <w:sz w:val="24"/>
          <w:szCs w:val="24"/>
        </w:rPr>
        <w:t>he application for the approval of des</w:t>
      </w:r>
      <w:r w:rsidR="000A2699">
        <w:rPr>
          <w:rFonts w:ascii="Arial" w:hAnsi="Arial" w:cs="Arial"/>
          <w:sz w:val="24"/>
          <w:szCs w:val="24"/>
        </w:rPr>
        <w:t>ignation made by them</w:t>
      </w:r>
      <w:r w:rsidR="004E177B" w:rsidRPr="004E177B">
        <w:rPr>
          <w:rFonts w:ascii="Arial" w:hAnsi="Arial" w:cs="Arial"/>
          <w:sz w:val="24"/>
          <w:szCs w:val="24"/>
        </w:rPr>
        <w:t xml:space="preserve"> in terms of section 5 (1) of the Traditional Authorities</w:t>
      </w:r>
      <w:r w:rsidR="004E177B">
        <w:rPr>
          <w:rFonts w:ascii="Arial" w:hAnsi="Arial" w:cs="Arial"/>
          <w:sz w:val="24"/>
          <w:szCs w:val="24"/>
        </w:rPr>
        <w:t xml:space="preserve"> Act 25 of 2000 be</w:t>
      </w:r>
      <w:r w:rsidR="00B602B2">
        <w:rPr>
          <w:rFonts w:ascii="Arial" w:hAnsi="Arial" w:cs="Arial"/>
          <w:sz w:val="24"/>
          <w:szCs w:val="24"/>
        </w:rPr>
        <w:t xml:space="preserve"> remitted to the first r</w:t>
      </w:r>
      <w:r w:rsidR="004E177B" w:rsidRPr="004E177B">
        <w:rPr>
          <w:rFonts w:ascii="Arial" w:hAnsi="Arial" w:cs="Arial"/>
          <w:sz w:val="24"/>
          <w:szCs w:val="24"/>
        </w:rPr>
        <w:t>espondent.</w:t>
      </w:r>
      <w:r w:rsidR="00B602B2">
        <w:rPr>
          <w:rFonts w:ascii="Arial" w:hAnsi="Arial" w:cs="Arial"/>
          <w:sz w:val="24"/>
          <w:szCs w:val="24"/>
        </w:rPr>
        <w:t xml:space="preserve"> </w:t>
      </w:r>
      <w:r w:rsidR="00D75BF0">
        <w:rPr>
          <w:rFonts w:ascii="Arial" w:hAnsi="Arial" w:cs="Arial"/>
          <w:sz w:val="24"/>
          <w:szCs w:val="24"/>
        </w:rPr>
        <w:t xml:space="preserve">The applicants premise their relief on the basis that </w:t>
      </w:r>
      <w:r w:rsidR="002044FB">
        <w:rPr>
          <w:rFonts w:ascii="Arial" w:hAnsi="Arial" w:cs="Arial"/>
          <w:sz w:val="24"/>
          <w:szCs w:val="24"/>
        </w:rPr>
        <w:t>the first respondent did not afford them audi</w:t>
      </w:r>
      <w:r w:rsidR="00D75BF0">
        <w:rPr>
          <w:rFonts w:ascii="Arial" w:hAnsi="Arial" w:cs="Arial"/>
          <w:sz w:val="24"/>
          <w:szCs w:val="24"/>
        </w:rPr>
        <w:t xml:space="preserve"> before he took the purported decision. </w:t>
      </w:r>
      <w:r w:rsidR="00FB74E8">
        <w:rPr>
          <w:rFonts w:ascii="Arial" w:hAnsi="Arial" w:cs="Arial"/>
          <w:sz w:val="24"/>
          <w:szCs w:val="24"/>
        </w:rPr>
        <w:t xml:space="preserve">The respondent / Minister opposed the application and raised a point in limine to the effect that </w:t>
      </w:r>
      <w:r w:rsidR="00FB74E8" w:rsidRPr="00FB74E8">
        <w:rPr>
          <w:rFonts w:ascii="Arial" w:hAnsi="Arial" w:cs="Arial"/>
          <w:sz w:val="24"/>
          <w:szCs w:val="24"/>
        </w:rPr>
        <w:t>the application before the court is a rule 65 (the general applications rule) application and should be struck from the roll because it does not comply with the peremptory provisions of rule 76 (the review rule).</w:t>
      </w:r>
      <w:r w:rsidR="00840985">
        <w:rPr>
          <w:rFonts w:ascii="Arial" w:hAnsi="Arial" w:cs="Arial"/>
          <w:sz w:val="24"/>
          <w:szCs w:val="24"/>
        </w:rPr>
        <w:t xml:space="preserve"> </w:t>
      </w:r>
    </w:p>
    <w:p w14:paraId="5DC4F2E4" w14:textId="6C0A29EE" w:rsidR="00840985" w:rsidRDefault="00840985" w:rsidP="002B3D9E">
      <w:pPr>
        <w:spacing w:line="360" w:lineRule="auto"/>
        <w:jc w:val="both"/>
        <w:rPr>
          <w:rFonts w:ascii="Arial" w:hAnsi="Arial" w:cs="Arial"/>
          <w:sz w:val="24"/>
          <w:szCs w:val="24"/>
        </w:rPr>
      </w:pPr>
      <w:r w:rsidRPr="00840985">
        <w:rPr>
          <w:rFonts w:ascii="Arial" w:hAnsi="Arial" w:cs="Arial"/>
          <w:i/>
          <w:sz w:val="24"/>
          <w:szCs w:val="24"/>
        </w:rPr>
        <w:t>Held that</w:t>
      </w:r>
      <w:r>
        <w:rPr>
          <w:rFonts w:ascii="Arial" w:hAnsi="Arial" w:cs="Arial"/>
          <w:sz w:val="24"/>
          <w:szCs w:val="24"/>
        </w:rPr>
        <w:t xml:space="preserve"> the court associating itself with the sentiments expressed in </w:t>
      </w:r>
      <w:r w:rsidRPr="00840985">
        <w:rPr>
          <w:rFonts w:ascii="Arial" w:hAnsi="Arial" w:cs="Arial"/>
          <w:i/>
          <w:sz w:val="24"/>
          <w:szCs w:val="24"/>
        </w:rPr>
        <w:t>Namibia Financial Exchange (Pty) Ltd v Chief Executive Officer of NAMFISA and Others</w:t>
      </w:r>
      <w:r>
        <w:rPr>
          <w:rFonts w:ascii="Arial" w:hAnsi="Arial" w:cs="Arial"/>
          <w:sz w:val="24"/>
          <w:szCs w:val="24"/>
        </w:rPr>
        <w:t xml:space="preserve"> found that the</w:t>
      </w:r>
      <w:r w:rsidR="00012C4D">
        <w:rPr>
          <w:rFonts w:ascii="Arial" w:hAnsi="Arial" w:cs="Arial"/>
          <w:sz w:val="24"/>
          <w:szCs w:val="24"/>
        </w:rPr>
        <w:t xml:space="preserve"> </w:t>
      </w:r>
      <w:r>
        <w:rPr>
          <w:rFonts w:ascii="Arial" w:hAnsi="Arial" w:cs="Arial"/>
          <w:sz w:val="24"/>
          <w:szCs w:val="24"/>
        </w:rPr>
        <w:t xml:space="preserve">point </w:t>
      </w:r>
      <w:r w:rsidRPr="000E4198">
        <w:rPr>
          <w:rFonts w:ascii="Arial" w:hAnsi="Arial" w:cs="Arial"/>
          <w:sz w:val="24"/>
          <w:szCs w:val="24"/>
        </w:rPr>
        <w:t>in lim</w:t>
      </w:r>
      <w:r w:rsidR="00DD49D7" w:rsidRPr="000E4198">
        <w:rPr>
          <w:rFonts w:ascii="Arial" w:hAnsi="Arial" w:cs="Arial"/>
          <w:sz w:val="24"/>
          <w:szCs w:val="24"/>
        </w:rPr>
        <w:t>in</w:t>
      </w:r>
      <w:r w:rsidRPr="000E4198">
        <w:rPr>
          <w:rFonts w:ascii="Arial" w:hAnsi="Arial" w:cs="Arial"/>
          <w:sz w:val="24"/>
          <w:szCs w:val="24"/>
        </w:rPr>
        <w:t>e</w:t>
      </w:r>
      <w:r>
        <w:rPr>
          <w:rFonts w:ascii="Arial" w:hAnsi="Arial" w:cs="Arial"/>
          <w:sz w:val="24"/>
          <w:szCs w:val="24"/>
        </w:rPr>
        <w:t xml:space="preserve"> must fail.</w:t>
      </w:r>
    </w:p>
    <w:p w14:paraId="311816EF" w14:textId="6327CD9D" w:rsidR="00840985" w:rsidRDefault="00840985" w:rsidP="002B3D9E">
      <w:pPr>
        <w:spacing w:line="360" w:lineRule="auto"/>
        <w:jc w:val="both"/>
        <w:rPr>
          <w:rFonts w:ascii="Arial" w:hAnsi="Arial" w:cs="Arial"/>
          <w:sz w:val="24"/>
          <w:szCs w:val="24"/>
        </w:rPr>
      </w:pPr>
      <w:r w:rsidRPr="004E3FDB">
        <w:rPr>
          <w:rFonts w:ascii="Arial" w:hAnsi="Arial" w:cs="Arial"/>
          <w:i/>
          <w:sz w:val="24"/>
          <w:szCs w:val="24"/>
        </w:rPr>
        <w:t>Held that</w:t>
      </w:r>
      <w:r>
        <w:rPr>
          <w:rFonts w:ascii="Arial" w:hAnsi="Arial" w:cs="Arial"/>
          <w:sz w:val="24"/>
          <w:szCs w:val="24"/>
        </w:rPr>
        <w:t xml:space="preserve"> </w:t>
      </w:r>
      <w:r w:rsidR="004E3FDB">
        <w:rPr>
          <w:rFonts w:ascii="Arial" w:hAnsi="Arial" w:cs="Arial"/>
          <w:sz w:val="24"/>
          <w:szCs w:val="24"/>
        </w:rPr>
        <w:t>if</w:t>
      </w:r>
      <w:r w:rsidR="004E3FDB" w:rsidRPr="004E3FDB">
        <w:rPr>
          <w:rFonts w:ascii="Arial" w:hAnsi="Arial" w:cs="Arial"/>
          <w:sz w:val="24"/>
          <w:szCs w:val="24"/>
        </w:rPr>
        <w:t xml:space="preserve"> the reasons for his recommendation to the President stem from the previous applications, which it appears to do, then the Minister had to determine if the impediments still exist, and the only way to do that is to properly consider the application of the applicants and give them the opportunity to address the issue with him. This inevitably means that he should have heard the applicants before reaching a decision.</w:t>
      </w:r>
    </w:p>
    <w:p w14:paraId="4EA7F3B9" w14:textId="6FF5600D" w:rsidR="004E177B" w:rsidRPr="004E177B" w:rsidRDefault="004E3FDB" w:rsidP="002B3D9E">
      <w:pPr>
        <w:spacing w:line="360" w:lineRule="auto"/>
        <w:jc w:val="both"/>
        <w:rPr>
          <w:rFonts w:ascii="Arial" w:hAnsi="Arial" w:cs="Arial"/>
          <w:sz w:val="24"/>
          <w:szCs w:val="24"/>
        </w:rPr>
      </w:pPr>
      <w:r w:rsidRPr="004E3FDB">
        <w:rPr>
          <w:rFonts w:ascii="Arial" w:hAnsi="Arial" w:cs="Arial"/>
          <w:i/>
          <w:sz w:val="24"/>
          <w:szCs w:val="24"/>
        </w:rPr>
        <w:t>Held that</w:t>
      </w:r>
      <w:r w:rsidRPr="004E3FDB">
        <w:rPr>
          <w:rFonts w:ascii="Arial" w:hAnsi="Arial" w:cs="Arial"/>
          <w:sz w:val="24"/>
          <w:szCs w:val="24"/>
        </w:rPr>
        <w:t xml:space="preserve"> the applicants should have been afforded the opportunity to be heard before the Minister made the decision on 20 October 2021.</w:t>
      </w:r>
      <w:r>
        <w:rPr>
          <w:rFonts w:ascii="Arial" w:hAnsi="Arial" w:cs="Arial"/>
          <w:sz w:val="24"/>
          <w:szCs w:val="24"/>
        </w:rPr>
        <w:t xml:space="preserve"> Accordingly</w:t>
      </w:r>
      <w:r w:rsidR="00012C4D">
        <w:rPr>
          <w:rFonts w:ascii="Arial" w:hAnsi="Arial" w:cs="Arial"/>
          <w:sz w:val="24"/>
          <w:szCs w:val="24"/>
        </w:rPr>
        <w:t>,</w:t>
      </w:r>
      <w:r>
        <w:rPr>
          <w:rFonts w:ascii="Arial" w:hAnsi="Arial" w:cs="Arial"/>
          <w:sz w:val="24"/>
          <w:szCs w:val="24"/>
        </w:rPr>
        <w:t xml:space="preserve"> the review application succeeds. </w:t>
      </w:r>
    </w:p>
    <w:p w14:paraId="299EBF31" w14:textId="77777777" w:rsidR="00DF2102" w:rsidRPr="00452059" w:rsidRDefault="008457B1" w:rsidP="00DF2102">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w14:anchorId="28DCE8A5">
          <v:rect id="_x0000_i1025" style="width:0;height:1.5pt" o:hralign="center" o:hrstd="t" o:hr="t" fillcolor="#a0a0a0" stroked="f"/>
        </w:pict>
      </w:r>
    </w:p>
    <w:p w14:paraId="4A19758B" w14:textId="77777777" w:rsidR="00DF2102" w:rsidRPr="00452059" w:rsidRDefault="00DF2102" w:rsidP="00DF2102">
      <w:pPr>
        <w:spacing w:after="0" w:line="360" w:lineRule="auto"/>
        <w:ind w:left="3600" w:firstLine="720"/>
        <w:jc w:val="both"/>
        <w:rPr>
          <w:rFonts w:ascii="Arial" w:eastAsia="Calibri" w:hAnsi="Arial" w:cs="Arial"/>
          <w:b/>
          <w:bCs/>
          <w:sz w:val="24"/>
          <w:szCs w:val="24"/>
          <w:lang w:val="en-GB"/>
        </w:rPr>
      </w:pPr>
      <w:r w:rsidRPr="00452059">
        <w:rPr>
          <w:rFonts w:ascii="Arial" w:eastAsia="Calibri" w:hAnsi="Arial" w:cs="Arial"/>
          <w:b/>
          <w:bCs/>
          <w:sz w:val="24"/>
          <w:szCs w:val="24"/>
          <w:lang w:val="en-GB"/>
        </w:rPr>
        <w:t>ORDER</w:t>
      </w:r>
    </w:p>
    <w:p w14:paraId="4DBF3EEB" w14:textId="77777777" w:rsidR="00DF2102" w:rsidRPr="00452059" w:rsidRDefault="008457B1" w:rsidP="00DF2102">
      <w:pPr>
        <w:spacing w:after="0" w:line="360" w:lineRule="auto"/>
        <w:jc w:val="both"/>
        <w:rPr>
          <w:rFonts w:ascii="Arial" w:eastAsia="Calibri" w:hAnsi="Arial" w:cs="Arial"/>
          <w:b/>
          <w:bCs/>
          <w:sz w:val="24"/>
          <w:szCs w:val="24"/>
          <w:lang w:val="en-GB"/>
        </w:rPr>
      </w:pPr>
      <w:r>
        <w:rPr>
          <w:rFonts w:ascii="Arial" w:eastAsia="Calibri" w:hAnsi="Arial" w:cs="Arial"/>
          <w:bCs/>
          <w:sz w:val="24"/>
          <w:szCs w:val="24"/>
          <w:lang w:val="en-GB"/>
        </w:rPr>
        <w:pict w14:anchorId="3DD5D32A">
          <v:rect id="_x0000_i1026" style="width:0;height:1.5pt" o:hralign="center" o:hrstd="t" o:hr="t" fillcolor="#a0a0a0" stroked="f"/>
        </w:pict>
      </w:r>
    </w:p>
    <w:p w14:paraId="3CDDAD04" w14:textId="10143CA6" w:rsidR="00DF2102" w:rsidRPr="00452059" w:rsidRDefault="00DF2102" w:rsidP="001C0047">
      <w:pPr>
        <w:pStyle w:val="BodyText2"/>
        <w:tabs>
          <w:tab w:val="left" w:pos="2850"/>
        </w:tabs>
        <w:spacing w:after="0"/>
      </w:pPr>
    </w:p>
    <w:p w14:paraId="21BFE853" w14:textId="06AA4F23" w:rsidR="00A660DF" w:rsidRPr="00A660DF" w:rsidRDefault="00A660DF" w:rsidP="00A660DF">
      <w:pPr>
        <w:pStyle w:val="ListParagraph"/>
        <w:spacing w:after="0" w:line="360" w:lineRule="auto"/>
        <w:ind w:left="0"/>
        <w:jc w:val="both"/>
        <w:rPr>
          <w:rFonts w:ascii="Arial" w:hAnsi="Arial" w:cs="Arial"/>
          <w:sz w:val="24"/>
          <w:szCs w:val="24"/>
        </w:rPr>
      </w:pPr>
      <w:r w:rsidRPr="00A660DF">
        <w:rPr>
          <w:rFonts w:ascii="Arial" w:hAnsi="Arial" w:cs="Arial"/>
          <w:sz w:val="24"/>
          <w:szCs w:val="24"/>
        </w:rPr>
        <w:t>1.</w:t>
      </w:r>
      <w:r w:rsidRPr="00A660DF">
        <w:rPr>
          <w:rFonts w:ascii="Arial" w:hAnsi="Arial" w:cs="Arial"/>
          <w:sz w:val="24"/>
          <w:szCs w:val="24"/>
        </w:rPr>
        <w:tab/>
      </w:r>
      <w:r w:rsidR="00BF61DE">
        <w:rPr>
          <w:rFonts w:ascii="Arial" w:hAnsi="Arial" w:cs="Arial"/>
          <w:sz w:val="24"/>
          <w:szCs w:val="24"/>
        </w:rPr>
        <w:t>The</w:t>
      </w:r>
      <w:r w:rsidRPr="00A660DF">
        <w:rPr>
          <w:rFonts w:ascii="Arial" w:hAnsi="Arial" w:cs="Arial"/>
          <w:sz w:val="24"/>
          <w:szCs w:val="24"/>
        </w:rPr>
        <w:t xml:space="preserve"> decision by the </w:t>
      </w:r>
      <w:r w:rsidR="00BF61DE">
        <w:rPr>
          <w:rFonts w:ascii="Arial" w:hAnsi="Arial" w:cs="Arial"/>
          <w:sz w:val="24"/>
          <w:szCs w:val="24"/>
        </w:rPr>
        <w:t>f</w:t>
      </w:r>
      <w:r w:rsidRPr="00A660DF">
        <w:rPr>
          <w:rFonts w:ascii="Arial" w:hAnsi="Arial" w:cs="Arial"/>
          <w:sz w:val="24"/>
          <w:szCs w:val="24"/>
        </w:rPr>
        <w:t xml:space="preserve">irst </w:t>
      </w:r>
      <w:r w:rsidR="00BF61DE">
        <w:rPr>
          <w:rFonts w:ascii="Arial" w:hAnsi="Arial" w:cs="Arial"/>
          <w:sz w:val="24"/>
          <w:szCs w:val="24"/>
        </w:rPr>
        <w:t>r</w:t>
      </w:r>
      <w:r w:rsidRPr="00A660DF">
        <w:rPr>
          <w:rFonts w:ascii="Arial" w:hAnsi="Arial" w:cs="Arial"/>
          <w:sz w:val="24"/>
          <w:szCs w:val="24"/>
        </w:rPr>
        <w:t xml:space="preserve">espondent dated 20 October 2021 is hereby reviewed and set aside. </w:t>
      </w:r>
    </w:p>
    <w:p w14:paraId="5A4076DE" w14:textId="77777777" w:rsidR="00A660DF" w:rsidRPr="00A660DF" w:rsidRDefault="00A660DF" w:rsidP="00A660DF">
      <w:pPr>
        <w:pStyle w:val="ListParagraph"/>
        <w:spacing w:after="0" w:line="360" w:lineRule="auto"/>
        <w:ind w:left="0"/>
        <w:jc w:val="both"/>
        <w:rPr>
          <w:rFonts w:ascii="Arial" w:hAnsi="Arial" w:cs="Arial"/>
          <w:sz w:val="24"/>
          <w:szCs w:val="24"/>
        </w:rPr>
      </w:pPr>
    </w:p>
    <w:p w14:paraId="72729F26" w14:textId="4EAA953B" w:rsidR="00A660DF" w:rsidRPr="00A660DF" w:rsidRDefault="00A660DF" w:rsidP="00A660DF">
      <w:pPr>
        <w:pStyle w:val="ListParagraph"/>
        <w:spacing w:after="0" w:line="360" w:lineRule="auto"/>
        <w:ind w:left="0"/>
        <w:jc w:val="both"/>
        <w:rPr>
          <w:rFonts w:ascii="Arial" w:hAnsi="Arial" w:cs="Arial"/>
          <w:sz w:val="24"/>
          <w:szCs w:val="24"/>
        </w:rPr>
      </w:pPr>
      <w:r w:rsidRPr="00A660DF">
        <w:rPr>
          <w:rFonts w:ascii="Arial" w:hAnsi="Arial" w:cs="Arial"/>
          <w:sz w:val="24"/>
          <w:szCs w:val="24"/>
        </w:rPr>
        <w:lastRenderedPageBreak/>
        <w:t>2.</w:t>
      </w:r>
      <w:r w:rsidRPr="00A660DF">
        <w:rPr>
          <w:rFonts w:ascii="Arial" w:hAnsi="Arial" w:cs="Arial"/>
          <w:sz w:val="24"/>
          <w:szCs w:val="24"/>
        </w:rPr>
        <w:tab/>
        <w:t xml:space="preserve">The application for the approval of designation made by the first and </w:t>
      </w:r>
      <w:r>
        <w:rPr>
          <w:rFonts w:ascii="Arial" w:hAnsi="Arial" w:cs="Arial"/>
          <w:sz w:val="24"/>
          <w:szCs w:val="24"/>
        </w:rPr>
        <w:t>s</w:t>
      </w:r>
      <w:r w:rsidRPr="00A660DF">
        <w:rPr>
          <w:rFonts w:ascii="Arial" w:hAnsi="Arial" w:cs="Arial"/>
          <w:sz w:val="24"/>
          <w:szCs w:val="24"/>
        </w:rPr>
        <w:t xml:space="preserve">econd </w:t>
      </w:r>
      <w:r>
        <w:rPr>
          <w:rFonts w:ascii="Arial" w:hAnsi="Arial" w:cs="Arial"/>
          <w:sz w:val="24"/>
          <w:szCs w:val="24"/>
        </w:rPr>
        <w:t>a</w:t>
      </w:r>
      <w:r w:rsidRPr="00A660DF">
        <w:rPr>
          <w:rFonts w:ascii="Arial" w:hAnsi="Arial" w:cs="Arial"/>
          <w:sz w:val="24"/>
          <w:szCs w:val="24"/>
        </w:rPr>
        <w:t xml:space="preserve">pplicants in terms of section 5 (1) of the Traditional Authorities Act 25 of 2000 is hereby remitted to the </w:t>
      </w:r>
      <w:r>
        <w:rPr>
          <w:rFonts w:ascii="Arial" w:hAnsi="Arial" w:cs="Arial"/>
          <w:sz w:val="24"/>
          <w:szCs w:val="24"/>
        </w:rPr>
        <w:t>f</w:t>
      </w:r>
      <w:r w:rsidRPr="00A660DF">
        <w:rPr>
          <w:rFonts w:ascii="Arial" w:hAnsi="Arial" w:cs="Arial"/>
          <w:sz w:val="24"/>
          <w:szCs w:val="24"/>
        </w:rPr>
        <w:t xml:space="preserve">irst </w:t>
      </w:r>
      <w:r>
        <w:rPr>
          <w:rFonts w:ascii="Arial" w:hAnsi="Arial" w:cs="Arial"/>
          <w:sz w:val="24"/>
          <w:szCs w:val="24"/>
        </w:rPr>
        <w:t>r</w:t>
      </w:r>
      <w:r w:rsidRPr="00A660DF">
        <w:rPr>
          <w:rFonts w:ascii="Arial" w:hAnsi="Arial" w:cs="Arial"/>
          <w:sz w:val="24"/>
          <w:szCs w:val="24"/>
        </w:rPr>
        <w:t>espondent.</w:t>
      </w:r>
    </w:p>
    <w:p w14:paraId="4F97EE3C" w14:textId="77777777" w:rsidR="00A660DF" w:rsidRPr="00A660DF" w:rsidRDefault="00A660DF" w:rsidP="00A660DF">
      <w:pPr>
        <w:pStyle w:val="ListParagraph"/>
        <w:spacing w:after="0" w:line="360" w:lineRule="auto"/>
        <w:ind w:left="0"/>
        <w:jc w:val="both"/>
        <w:rPr>
          <w:rFonts w:ascii="Arial" w:hAnsi="Arial" w:cs="Arial"/>
          <w:sz w:val="24"/>
          <w:szCs w:val="24"/>
        </w:rPr>
      </w:pPr>
    </w:p>
    <w:p w14:paraId="4E6F8BCA" w14:textId="78EB197C" w:rsidR="00011E47" w:rsidRPr="00A660DF" w:rsidRDefault="00A660DF" w:rsidP="00715576">
      <w:pPr>
        <w:pStyle w:val="ListParagraph"/>
        <w:spacing w:after="0" w:line="360" w:lineRule="auto"/>
        <w:ind w:left="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Pr="00A660DF">
        <w:rPr>
          <w:rFonts w:ascii="Arial" w:hAnsi="Arial" w:cs="Arial"/>
          <w:sz w:val="24"/>
          <w:szCs w:val="24"/>
        </w:rPr>
        <w:t xml:space="preserve">  </w:t>
      </w:r>
      <w:r>
        <w:rPr>
          <w:rFonts w:ascii="Arial" w:hAnsi="Arial" w:cs="Arial"/>
          <w:sz w:val="24"/>
          <w:szCs w:val="24"/>
        </w:rPr>
        <w:t xml:space="preserve">The respondents are ordered to pay the costs of the applicants jointly and severally, the one paying the other to be absolved. Such costs to include the </w:t>
      </w:r>
      <w:r w:rsidRPr="00B67A30">
        <w:rPr>
          <w:rFonts w:ascii="Arial" w:hAnsi="Arial" w:cs="Arial"/>
          <w:sz w:val="24"/>
          <w:szCs w:val="24"/>
        </w:rPr>
        <w:t>cost</w:t>
      </w:r>
      <w:r w:rsidR="00D679C9" w:rsidRPr="00B67A30">
        <w:rPr>
          <w:rFonts w:ascii="Arial" w:hAnsi="Arial" w:cs="Arial"/>
          <w:sz w:val="24"/>
          <w:szCs w:val="24"/>
        </w:rPr>
        <w:t>s</w:t>
      </w:r>
      <w:r>
        <w:rPr>
          <w:rFonts w:ascii="Arial" w:hAnsi="Arial" w:cs="Arial"/>
          <w:sz w:val="24"/>
          <w:szCs w:val="24"/>
        </w:rPr>
        <w:t xml:space="preserve"> </w:t>
      </w:r>
      <w:r w:rsidRPr="00A660DF">
        <w:rPr>
          <w:rFonts w:ascii="Arial" w:hAnsi="Arial" w:cs="Arial"/>
          <w:sz w:val="24"/>
          <w:szCs w:val="24"/>
        </w:rPr>
        <w:t>of one instructing and one instructed counsel.</w:t>
      </w:r>
    </w:p>
    <w:p w14:paraId="163D835C" w14:textId="77777777" w:rsidR="00DF2102" w:rsidRPr="00CA240E" w:rsidRDefault="008457B1" w:rsidP="00DF2102">
      <w:pPr>
        <w:spacing w:after="0" w:line="360" w:lineRule="auto"/>
        <w:jc w:val="both"/>
        <w:rPr>
          <w:rFonts w:ascii="Arial" w:hAnsi="Arial" w:cs="Arial"/>
          <w:bCs/>
          <w:sz w:val="24"/>
          <w:szCs w:val="24"/>
        </w:rPr>
      </w:pPr>
      <w:r>
        <w:rPr>
          <w:rFonts w:ascii="Arial" w:hAnsi="Arial" w:cs="Arial"/>
          <w:bCs/>
          <w:sz w:val="24"/>
          <w:szCs w:val="24"/>
        </w:rPr>
        <w:pict w14:anchorId="4F12C833">
          <v:rect id="_x0000_i1027" style="width:0;height:1.5pt" o:hralign="center" o:hrstd="t" o:hr="t" fillcolor="#a0a0a0" stroked="f"/>
        </w:pict>
      </w:r>
    </w:p>
    <w:p w14:paraId="50E51FA9" w14:textId="77777777" w:rsidR="00DF2102" w:rsidRPr="00CA240E" w:rsidRDefault="00DF2102" w:rsidP="00DF2102">
      <w:pPr>
        <w:pStyle w:val="Caption"/>
      </w:pPr>
      <w:r w:rsidRPr="00CA240E">
        <w:t>JUDGMENT</w:t>
      </w:r>
    </w:p>
    <w:p w14:paraId="00FC7BED" w14:textId="77777777" w:rsidR="00DF2102" w:rsidRPr="00CA240E" w:rsidRDefault="008457B1" w:rsidP="00DF2102">
      <w:pPr>
        <w:spacing w:after="0" w:line="360" w:lineRule="auto"/>
        <w:jc w:val="both"/>
        <w:rPr>
          <w:rFonts w:ascii="Arial" w:hAnsi="Arial" w:cs="Arial"/>
          <w:b/>
          <w:sz w:val="24"/>
          <w:szCs w:val="24"/>
        </w:rPr>
      </w:pPr>
      <w:r>
        <w:rPr>
          <w:rFonts w:ascii="Arial" w:hAnsi="Arial" w:cs="Arial"/>
          <w:bCs/>
          <w:sz w:val="24"/>
          <w:szCs w:val="24"/>
        </w:rPr>
        <w:pict w14:anchorId="1E97337B">
          <v:rect id="_x0000_i1028" style="width:0;height:1.5pt" o:hralign="center" o:hrstd="t" o:hr="t" fillcolor="#a0a0a0" stroked="f"/>
        </w:pict>
      </w:r>
    </w:p>
    <w:p w14:paraId="712AEB4B" w14:textId="77777777" w:rsidR="00DF2102" w:rsidRDefault="00DF2102" w:rsidP="00DF2102">
      <w:pPr>
        <w:spacing w:after="0" w:line="360" w:lineRule="auto"/>
        <w:jc w:val="both"/>
        <w:rPr>
          <w:rFonts w:ascii="Arial" w:hAnsi="Arial" w:cs="Arial"/>
          <w:b/>
          <w:sz w:val="24"/>
          <w:szCs w:val="24"/>
        </w:rPr>
      </w:pPr>
    </w:p>
    <w:p w14:paraId="16917EEE" w14:textId="77777777" w:rsidR="00DF2102" w:rsidRPr="00452059" w:rsidRDefault="00DF2102" w:rsidP="003A71FE">
      <w:pPr>
        <w:spacing w:after="0" w:line="360" w:lineRule="auto"/>
        <w:jc w:val="both"/>
        <w:rPr>
          <w:rFonts w:ascii="Arial" w:hAnsi="Arial" w:cs="Arial"/>
          <w:sz w:val="24"/>
          <w:szCs w:val="24"/>
        </w:rPr>
      </w:pPr>
      <w:r w:rsidRPr="00452059">
        <w:rPr>
          <w:rFonts w:ascii="Arial" w:hAnsi="Arial" w:cs="Arial"/>
          <w:sz w:val="24"/>
          <w:szCs w:val="24"/>
        </w:rPr>
        <w:t>PRINSLOO J</w:t>
      </w:r>
      <w:r>
        <w:rPr>
          <w:rFonts w:ascii="Arial" w:hAnsi="Arial" w:cs="Arial"/>
          <w:sz w:val="24"/>
          <w:szCs w:val="24"/>
        </w:rPr>
        <w:t>:</w:t>
      </w:r>
    </w:p>
    <w:p w14:paraId="42E7CA40" w14:textId="77777777" w:rsidR="003A71FE" w:rsidRDefault="003A71FE" w:rsidP="003A71FE">
      <w:pPr>
        <w:pStyle w:val="Heading3"/>
      </w:pPr>
    </w:p>
    <w:p w14:paraId="47497F68" w14:textId="20BA14E0" w:rsidR="00FA4D29" w:rsidRDefault="00033CFE" w:rsidP="003A71FE">
      <w:pPr>
        <w:pStyle w:val="Heading3"/>
      </w:pPr>
      <w:r w:rsidRPr="00033CFE">
        <w:t>Introduction</w:t>
      </w:r>
    </w:p>
    <w:p w14:paraId="3372B840" w14:textId="77777777" w:rsidR="00012C4D" w:rsidRPr="00012C4D" w:rsidRDefault="00012C4D" w:rsidP="00012C4D"/>
    <w:p w14:paraId="1412EA81" w14:textId="77777777" w:rsidR="00195679" w:rsidRDefault="001E1A6A" w:rsidP="00195679">
      <w:pPr>
        <w:pStyle w:val="ListParagraph"/>
        <w:numPr>
          <w:ilvl w:val="0"/>
          <w:numId w:val="26"/>
        </w:numPr>
        <w:spacing w:after="0" w:line="360" w:lineRule="auto"/>
        <w:ind w:left="0" w:firstLine="0"/>
        <w:jc w:val="both"/>
        <w:rPr>
          <w:rFonts w:ascii="Arial" w:hAnsi="Arial" w:cs="Arial"/>
          <w:sz w:val="24"/>
          <w:szCs w:val="24"/>
        </w:rPr>
      </w:pPr>
      <w:r w:rsidRPr="00195679">
        <w:rPr>
          <w:rFonts w:ascii="Arial" w:hAnsi="Arial" w:cs="Arial"/>
          <w:sz w:val="24"/>
          <w:szCs w:val="24"/>
        </w:rPr>
        <w:t xml:space="preserve">The first applicant is </w:t>
      </w:r>
      <w:r w:rsidR="00F7401C" w:rsidRPr="00195679">
        <w:rPr>
          <w:rFonts w:ascii="Arial" w:hAnsi="Arial" w:cs="Arial"/>
          <w:sz w:val="24"/>
          <w:szCs w:val="24"/>
        </w:rPr>
        <w:t>the Ovambanderu Traditional Council. The first applicant is an association made up of members of the Ovambanderu community. The first applicant’s address of service is Messrs Ueitele &amp; Hans Legal Practitioners, 28 Corner of Beethoven &amp; Wagner Street, Windhoek West, Windhoek.</w:t>
      </w:r>
    </w:p>
    <w:p w14:paraId="2BC6DBB3" w14:textId="77777777" w:rsidR="00195679" w:rsidRDefault="00195679" w:rsidP="00195679">
      <w:pPr>
        <w:pStyle w:val="ListParagraph"/>
        <w:spacing w:after="0" w:line="360" w:lineRule="auto"/>
        <w:ind w:left="0"/>
        <w:jc w:val="both"/>
        <w:rPr>
          <w:rFonts w:ascii="Arial" w:hAnsi="Arial" w:cs="Arial"/>
          <w:sz w:val="24"/>
          <w:szCs w:val="24"/>
        </w:rPr>
      </w:pPr>
    </w:p>
    <w:p w14:paraId="18D1F814" w14:textId="77777777" w:rsidR="00195679" w:rsidRDefault="001E1A6A" w:rsidP="00195679">
      <w:pPr>
        <w:pStyle w:val="ListParagraph"/>
        <w:numPr>
          <w:ilvl w:val="0"/>
          <w:numId w:val="26"/>
        </w:numPr>
        <w:spacing w:after="0" w:line="360" w:lineRule="auto"/>
        <w:ind w:left="0" w:firstLine="0"/>
        <w:jc w:val="both"/>
        <w:rPr>
          <w:rFonts w:ascii="Arial" w:hAnsi="Arial" w:cs="Arial"/>
          <w:sz w:val="24"/>
          <w:szCs w:val="24"/>
        </w:rPr>
      </w:pPr>
      <w:r w:rsidRPr="00195679">
        <w:rPr>
          <w:rFonts w:ascii="Arial" w:hAnsi="Arial" w:cs="Arial"/>
          <w:sz w:val="24"/>
          <w:szCs w:val="24"/>
        </w:rPr>
        <w:t>The second applicant is the appointed head of the Ovambanderu Traditional C</w:t>
      </w:r>
      <w:r w:rsidR="00000E99" w:rsidRPr="00195679">
        <w:rPr>
          <w:rFonts w:ascii="Arial" w:hAnsi="Arial" w:cs="Arial"/>
          <w:sz w:val="24"/>
          <w:szCs w:val="24"/>
        </w:rPr>
        <w:t xml:space="preserve">ouncil, Aletha Karikondua Nguvauva. The second applicant's address for service is </w:t>
      </w:r>
      <w:r w:rsidRPr="00195679">
        <w:rPr>
          <w:rFonts w:ascii="Arial" w:hAnsi="Arial" w:cs="Arial"/>
          <w:sz w:val="24"/>
          <w:szCs w:val="24"/>
        </w:rPr>
        <w:t>Messrs Ueitele &amp; Hans Legal Practitioners, 28 Corner of Beethoven &amp; Wagner Street, Windhoek West, Windhoek.</w:t>
      </w:r>
    </w:p>
    <w:p w14:paraId="6E163AA8" w14:textId="77777777" w:rsidR="00195679" w:rsidRPr="00195679" w:rsidRDefault="00195679" w:rsidP="00195679">
      <w:pPr>
        <w:pStyle w:val="ListParagraph"/>
        <w:rPr>
          <w:rFonts w:ascii="Arial" w:hAnsi="Arial" w:cs="Arial"/>
          <w:sz w:val="24"/>
          <w:szCs w:val="24"/>
        </w:rPr>
      </w:pPr>
    </w:p>
    <w:p w14:paraId="6E353E64" w14:textId="4FBACFFC" w:rsidR="00000E99" w:rsidRPr="00195679" w:rsidRDefault="00000E99" w:rsidP="00195679">
      <w:pPr>
        <w:pStyle w:val="ListParagraph"/>
        <w:numPr>
          <w:ilvl w:val="0"/>
          <w:numId w:val="26"/>
        </w:numPr>
        <w:spacing w:after="0" w:line="360" w:lineRule="auto"/>
        <w:ind w:left="0" w:firstLine="0"/>
        <w:jc w:val="both"/>
        <w:rPr>
          <w:rFonts w:ascii="Arial" w:hAnsi="Arial" w:cs="Arial"/>
          <w:sz w:val="24"/>
          <w:szCs w:val="24"/>
        </w:rPr>
      </w:pPr>
      <w:r w:rsidRPr="00195679">
        <w:rPr>
          <w:rFonts w:ascii="Arial" w:hAnsi="Arial" w:cs="Arial"/>
          <w:sz w:val="24"/>
          <w:szCs w:val="24"/>
        </w:rPr>
        <w:t xml:space="preserve">The respondents are as follows: </w:t>
      </w:r>
    </w:p>
    <w:p w14:paraId="151D560E" w14:textId="77777777" w:rsidR="00000E99" w:rsidRDefault="00000E99" w:rsidP="00FF1075">
      <w:pPr>
        <w:pStyle w:val="ListParagraph"/>
        <w:spacing w:after="0" w:line="360" w:lineRule="auto"/>
        <w:ind w:left="0"/>
        <w:jc w:val="both"/>
        <w:rPr>
          <w:rFonts w:ascii="Arial" w:hAnsi="Arial" w:cs="Arial"/>
          <w:sz w:val="24"/>
          <w:szCs w:val="24"/>
        </w:rPr>
      </w:pPr>
    </w:p>
    <w:p w14:paraId="51F23C84" w14:textId="1200AEFD" w:rsidR="00000E99" w:rsidRPr="00155498" w:rsidRDefault="00000E99" w:rsidP="00597386">
      <w:pPr>
        <w:pStyle w:val="ListParagraph"/>
        <w:numPr>
          <w:ilvl w:val="0"/>
          <w:numId w:val="24"/>
        </w:numPr>
        <w:spacing w:after="0" w:line="360" w:lineRule="auto"/>
        <w:jc w:val="both"/>
        <w:rPr>
          <w:rFonts w:ascii="Arial" w:hAnsi="Arial" w:cs="Arial"/>
          <w:sz w:val="24"/>
          <w:szCs w:val="24"/>
        </w:rPr>
      </w:pPr>
      <w:r w:rsidRPr="00155498">
        <w:rPr>
          <w:rFonts w:ascii="Arial" w:hAnsi="Arial" w:cs="Arial"/>
          <w:sz w:val="24"/>
          <w:szCs w:val="24"/>
        </w:rPr>
        <w:t>The first respondent is the Minister of Urban and Rural Development</w:t>
      </w:r>
      <w:r w:rsidR="0041618C" w:rsidRPr="00155498">
        <w:rPr>
          <w:rFonts w:ascii="Arial" w:hAnsi="Arial" w:cs="Arial"/>
          <w:sz w:val="24"/>
          <w:szCs w:val="24"/>
        </w:rPr>
        <w:t xml:space="preserve"> (the Minister)</w:t>
      </w:r>
      <w:r w:rsidRPr="00155498">
        <w:rPr>
          <w:rFonts w:ascii="Arial" w:hAnsi="Arial" w:cs="Arial"/>
          <w:sz w:val="24"/>
          <w:szCs w:val="24"/>
        </w:rPr>
        <w:t xml:space="preserve"> duly appointed as such in terms of Article 32(3)(</w:t>
      </w:r>
      <w:r w:rsidRPr="00155498">
        <w:rPr>
          <w:rFonts w:ascii="Arial" w:hAnsi="Arial" w:cs="Arial"/>
          <w:i/>
          <w:sz w:val="24"/>
          <w:szCs w:val="24"/>
        </w:rPr>
        <w:t>i</w:t>
      </w:r>
      <w:r w:rsidRPr="00155498">
        <w:rPr>
          <w:rFonts w:ascii="Arial" w:hAnsi="Arial" w:cs="Arial"/>
          <w:sz w:val="24"/>
          <w:szCs w:val="24"/>
        </w:rPr>
        <w:t>)(</w:t>
      </w:r>
      <w:r w:rsidRPr="00155498">
        <w:rPr>
          <w:rFonts w:ascii="Arial" w:hAnsi="Arial" w:cs="Arial"/>
          <w:i/>
          <w:sz w:val="24"/>
          <w:szCs w:val="24"/>
        </w:rPr>
        <w:t>dd</w:t>
      </w:r>
      <w:r w:rsidRPr="00155498">
        <w:rPr>
          <w:rFonts w:ascii="Arial" w:hAnsi="Arial" w:cs="Arial"/>
          <w:sz w:val="24"/>
          <w:szCs w:val="24"/>
        </w:rPr>
        <w:t>) of the Namibian Constitution</w:t>
      </w:r>
      <w:r w:rsidR="00360673" w:rsidRPr="00155498">
        <w:rPr>
          <w:rFonts w:ascii="Arial" w:hAnsi="Arial" w:cs="Arial"/>
          <w:sz w:val="24"/>
          <w:szCs w:val="24"/>
        </w:rPr>
        <w:t>,</w:t>
      </w:r>
      <w:r w:rsidRPr="00155498">
        <w:rPr>
          <w:rFonts w:ascii="Arial" w:hAnsi="Arial" w:cs="Arial"/>
          <w:sz w:val="24"/>
          <w:szCs w:val="24"/>
        </w:rPr>
        <w:t xml:space="preserve"> whose address for service is the office of the Government Attorney, 2nd Floor, Sanlam Centre, Windhoek.</w:t>
      </w:r>
    </w:p>
    <w:p w14:paraId="55086660" w14:textId="6794EA8C" w:rsidR="00000E99" w:rsidRPr="00BA0984" w:rsidRDefault="00000E99" w:rsidP="00BA0984">
      <w:pPr>
        <w:pStyle w:val="ListParagraph"/>
        <w:numPr>
          <w:ilvl w:val="0"/>
          <w:numId w:val="24"/>
        </w:numPr>
        <w:spacing w:after="0" w:line="360" w:lineRule="auto"/>
        <w:jc w:val="both"/>
        <w:rPr>
          <w:rFonts w:ascii="Arial" w:hAnsi="Arial" w:cs="Arial"/>
          <w:sz w:val="24"/>
          <w:szCs w:val="24"/>
        </w:rPr>
      </w:pPr>
      <w:r w:rsidRPr="00BA0984">
        <w:rPr>
          <w:rFonts w:ascii="Arial" w:hAnsi="Arial" w:cs="Arial"/>
          <w:sz w:val="24"/>
          <w:szCs w:val="24"/>
        </w:rPr>
        <w:lastRenderedPageBreak/>
        <w:t>The second respondent is the President of the Republic of Namibia duly elected as such in terms of Article 28(2)(</w:t>
      </w:r>
      <w:r w:rsidRPr="00A9534C">
        <w:rPr>
          <w:rFonts w:ascii="Arial" w:hAnsi="Arial" w:cs="Arial"/>
          <w:i/>
          <w:sz w:val="24"/>
          <w:szCs w:val="24"/>
        </w:rPr>
        <w:t>a</w:t>
      </w:r>
      <w:r w:rsidRPr="00BA0984">
        <w:rPr>
          <w:rFonts w:ascii="Arial" w:hAnsi="Arial" w:cs="Arial"/>
          <w:sz w:val="24"/>
          <w:szCs w:val="24"/>
        </w:rPr>
        <w:t>) and (</w:t>
      </w:r>
      <w:r w:rsidRPr="00A9534C">
        <w:rPr>
          <w:rFonts w:ascii="Arial" w:hAnsi="Arial" w:cs="Arial"/>
          <w:i/>
          <w:sz w:val="24"/>
          <w:szCs w:val="24"/>
        </w:rPr>
        <w:t>b</w:t>
      </w:r>
      <w:r w:rsidRPr="00BA0984">
        <w:rPr>
          <w:rFonts w:ascii="Arial" w:hAnsi="Arial" w:cs="Arial"/>
          <w:sz w:val="24"/>
          <w:szCs w:val="24"/>
        </w:rPr>
        <w:t>) of the Namibian Constitution</w:t>
      </w:r>
      <w:r w:rsidR="00E05DED">
        <w:rPr>
          <w:rFonts w:ascii="Arial" w:hAnsi="Arial" w:cs="Arial"/>
          <w:sz w:val="24"/>
          <w:szCs w:val="24"/>
        </w:rPr>
        <w:t>. The</w:t>
      </w:r>
      <w:r w:rsidRPr="00BA0984">
        <w:rPr>
          <w:rFonts w:ascii="Arial" w:hAnsi="Arial" w:cs="Arial"/>
          <w:sz w:val="24"/>
          <w:szCs w:val="24"/>
        </w:rPr>
        <w:t xml:space="preserve"> second respondent's address for service is the Government Attorney, 2nd Floor</w:t>
      </w:r>
      <w:r w:rsidR="00A83F35" w:rsidRPr="00BA0984">
        <w:rPr>
          <w:rFonts w:ascii="Arial" w:hAnsi="Arial" w:cs="Arial"/>
          <w:sz w:val="24"/>
          <w:szCs w:val="24"/>
        </w:rPr>
        <w:t>, Sanlam Centre, Windhoek. No relief is sought against the second respondent</w:t>
      </w:r>
      <w:r w:rsidR="00E05DED">
        <w:rPr>
          <w:rFonts w:ascii="Arial" w:hAnsi="Arial" w:cs="Arial"/>
          <w:sz w:val="24"/>
          <w:szCs w:val="24"/>
        </w:rPr>
        <w:t>, who</w:t>
      </w:r>
      <w:r w:rsidR="00524D82">
        <w:rPr>
          <w:rFonts w:ascii="Arial" w:hAnsi="Arial" w:cs="Arial"/>
          <w:sz w:val="24"/>
          <w:szCs w:val="24"/>
        </w:rPr>
        <w:t xml:space="preserve"> is </w:t>
      </w:r>
      <w:r w:rsidR="00715576" w:rsidRPr="00B67A30">
        <w:rPr>
          <w:rFonts w:ascii="Arial" w:hAnsi="Arial" w:cs="Arial"/>
          <w:sz w:val="24"/>
          <w:szCs w:val="24"/>
        </w:rPr>
        <w:t>merely</w:t>
      </w:r>
      <w:r w:rsidR="00715576">
        <w:rPr>
          <w:rFonts w:ascii="Arial" w:hAnsi="Arial" w:cs="Arial"/>
          <w:sz w:val="24"/>
          <w:szCs w:val="24"/>
        </w:rPr>
        <w:t xml:space="preserve"> </w:t>
      </w:r>
      <w:r w:rsidR="00524D82">
        <w:rPr>
          <w:rFonts w:ascii="Arial" w:hAnsi="Arial" w:cs="Arial"/>
          <w:sz w:val="24"/>
          <w:szCs w:val="24"/>
        </w:rPr>
        <w:t>cited for the interest h</w:t>
      </w:r>
      <w:r w:rsidRPr="00BA0984">
        <w:rPr>
          <w:rFonts w:ascii="Arial" w:hAnsi="Arial" w:cs="Arial"/>
          <w:sz w:val="24"/>
          <w:szCs w:val="24"/>
        </w:rPr>
        <w:t>e may have in the present application.</w:t>
      </w:r>
    </w:p>
    <w:p w14:paraId="3E4C4339" w14:textId="77777777" w:rsidR="00000E99" w:rsidRPr="00A83F35" w:rsidRDefault="00000E99" w:rsidP="00A83F35">
      <w:pPr>
        <w:spacing w:after="0" w:line="360" w:lineRule="auto"/>
        <w:jc w:val="both"/>
        <w:rPr>
          <w:rFonts w:ascii="Arial" w:hAnsi="Arial" w:cs="Arial"/>
          <w:sz w:val="24"/>
          <w:szCs w:val="24"/>
        </w:rPr>
      </w:pPr>
    </w:p>
    <w:p w14:paraId="0EBBAD17" w14:textId="13FFAE6E" w:rsidR="00000E99" w:rsidRPr="00BA0984" w:rsidRDefault="00A83F35" w:rsidP="00BA0984">
      <w:pPr>
        <w:pStyle w:val="ListParagraph"/>
        <w:numPr>
          <w:ilvl w:val="0"/>
          <w:numId w:val="24"/>
        </w:numPr>
        <w:spacing w:after="0" w:line="360" w:lineRule="auto"/>
        <w:jc w:val="both"/>
        <w:rPr>
          <w:rFonts w:ascii="Arial" w:hAnsi="Arial" w:cs="Arial"/>
          <w:sz w:val="24"/>
          <w:szCs w:val="24"/>
        </w:rPr>
      </w:pPr>
      <w:r w:rsidRPr="00BA0984">
        <w:rPr>
          <w:rFonts w:ascii="Arial" w:hAnsi="Arial" w:cs="Arial"/>
          <w:sz w:val="24"/>
          <w:szCs w:val="24"/>
        </w:rPr>
        <w:t xml:space="preserve">The third respondent is </w:t>
      </w:r>
      <w:r w:rsidR="00F333FA">
        <w:rPr>
          <w:rFonts w:ascii="Arial" w:hAnsi="Arial" w:cs="Arial"/>
          <w:sz w:val="24"/>
          <w:szCs w:val="24"/>
        </w:rPr>
        <w:t xml:space="preserve">the </w:t>
      </w:r>
      <w:r w:rsidRPr="00BA0984">
        <w:rPr>
          <w:rFonts w:ascii="Arial" w:hAnsi="Arial" w:cs="Arial"/>
          <w:sz w:val="24"/>
          <w:szCs w:val="24"/>
        </w:rPr>
        <w:t>Council of Traditional Leaders</w:t>
      </w:r>
      <w:r w:rsidR="00000E99" w:rsidRPr="00BA0984">
        <w:rPr>
          <w:rFonts w:ascii="Arial" w:hAnsi="Arial" w:cs="Arial"/>
          <w:sz w:val="24"/>
          <w:szCs w:val="24"/>
        </w:rPr>
        <w:t>, duly constituted as such in terms of the Council for Traditional Lead</w:t>
      </w:r>
      <w:r w:rsidRPr="00BA0984">
        <w:rPr>
          <w:rFonts w:ascii="Arial" w:hAnsi="Arial" w:cs="Arial"/>
          <w:sz w:val="24"/>
          <w:szCs w:val="24"/>
        </w:rPr>
        <w:t>ers Act 13 of 1997. The third r</w:t>
      </w:r>
      <w:r w:rsidR="00000E99" w:rsidRPr="00BA0984">
        <w:rPr>
          <w:rFonts w:ascii="Arial" w:hAnsi="Arial" w:cs="Arial"/>
          <w:sz w:val="24"/>
          <w:szCs w:val="24"/>
        </w:rPr>
        <w:t xml:space="preserve">espondent's </w:t>
      </w:r>
      <w:r w:rsidRPr="00BA0984">
        <w:rPr>
          <w:rFonts w:ascii="Arial" w:hAnsi="Arial" w:cs="Arial"/>
          <w:sz w:val="24"/>
          <w:szCs w:val="24"/>
        </w:rPr>
        <w:t>address for service is the office of t</w:t>
      </w:r>
      <w:r w:rsidR="00000E99" w:rsidRPr="00BA0984">
        <w:rPr>
          <w:rFonts w:ascii="Arial" w:hAnsi="Arial" w:cs="Arial"/>
          <w:sz w:val="24"/>
          <w:szCs w:val="24"/>
        </w:rPr>
        <w:t xml:space="preserve">he Government Attorney, 2nd Floor, Sanlam Centre, Windhoek. </w:t>
      </w:r>
      <w:r w:rsidRPr="00BA0984">
        <w:rPr>
          <w:rFonts w:ascii="Arial" w:hAnsi="Arial" w:cs="Arial"/>
          <w:sz w:val="24"/>
          <w:szCs w:val="24"/>
        </w:rPr>
        <w:t>No relief is sought against the third resp</w:t>
      </w:r>
      <w:r w:rsidR="00524D82">
        <w:rPr>
          <w:rFonts w:ascii="Arial" w:hAnsi="Arial" w:cs="Arial"/>
          <w:sz w:val="24"/>
          <w:szCs w:val="24"/>
        </w:rPr>
        <w:t xml:space="preserve">ondent and is merely </w:t>
      </w:r>
      <w:r w:rsidR="00524D82" w:rsidRPr="00B67A30">
        <w:rPr>
          <w:rFonts w:ascii="Arial" w:hAnsi="Arial" w:cs="Arial"/>
          <w:sz w:val="24"/>
          <w:szCs w:val="24"/>
        </w:rPr>
        <w:t>cited</w:t>
      </w:r>
      <w:r w:rsidRPr="00B67A30">
        <w:rPr>
          <w:rFonts w:ascii="Arial" w:hAnsi="Arial" w:cs="Arial"/>
          <w:sz w:val="24"/>
          <w:szCs w:val="24"/>
        </w:rPr>
        <w:t xml:space="preserve"> for </w:t>
      </w:r>
      <w:r w:rsidR="00715576" w:rsidRPr="00B67A30">
        <w:rPr>
          <w:rFonts w:ascii="Arial" w:hAnsi="Arial" w:cs="Arial"/>
          <w:sz w:val="24"/>
          <w:szCs w:val="24"/>
        </w:rPr>
        <w:t xml:space="preserve">the interest it may have </w:t>
      </w:r>
      <w:r w:rsidR="00000E99" w:rsidRPr="00B67A30">
        <w:rPr>
          <w:rFonts w:ascii="Arial" w:hAnsi="Arial" w:cs="Arial"/>
          <w:sz w:val="24"/>
          <w:szCs w:val="24"/>
        </w:rPr>
        <w:t>in the present</w:t>
      </w:r>
      <w:r w:rsidR="00000E99" w:rsidRPr="00BA0984">
        <w:rPr>
          <w:rFonts w:ascii="Arial" w:hAnsi="Arial" w:cs="Arial"/>
          <w:sz w:val="24"/>
          <w:szCs w:val="24"/>
        </w:rPr>
        <w:t xml:space="preserve"> application.</w:t>
      </w:r>
    </w:p>
    <w:p w14:paraId="50EBF47E" w14:textId="77777777" w:rsidR="00000E99" w:rsidRPr="00A83F35" w:rsidRDefault="00000E99" w:rsidP="00A83F35">
      <w:pPr>
        <w:spacing w:after="0" w:line="360" w:lineRule="auto"/>
        <w:jc w:val="both"/>
        <w:rPr>
          <w:rFonts w:ascii="Arial" w:hAnsi="Arial" w:cs="Arial"/>
          <w:sz w:val="24"/>
          <w:szCs w:val="24"/>
        </w:rPr>
      </w:pPr>
    </w:p>
    <w:p w14:paraId="070F54E7" w14:textId="2A37123F" w:rsidR="00000E99" w:rsidRPr="00BA0984" w:rsidRDefault="00A83F35" w:rsidP="00BA0984">
      <w:pPr>
        <w:pStyle w:val="ListParagraph"/>
        <w:numPr>
          <w:ilvl w:val="0"/>
          <w:numId w:val="24"/>
        </w:numPr>
        <w:spacing w:after="0" w:line="360" w:lineRule="auto"/>
        <w:jc w:val="both"/>
        <w:rPr>
          <w:rFonts w:ascii="Arial" w:hAnsi="Arial" w:cs="Arial"/>
          <w:sz w:val="24"/>
          <w:szCs w:val="24"/>
        </w:rPr>
      </w:pPr>
      <w:r w:rsidRPr="00BA0984">
        <w:rPr>
          <w:rFonts w:ascii="Arial" w:hAnsi="Arial" w:cs="Arial"/>
          <w:sz w:val="24"/>
          <w:szCs w:val="24"/>
        </w:rPr>
        <w:t>The fourth respondent is the Ovambanderu Traditional Authority</w:t>
      </w:r>
      <w:r w:rsidR="00E05DED">
        <w:rPr>
          <w:rFonts w:ascii="Arial" w:hAnsi="Arial" w:cs="Arial"/>
          <w:sz w:val="24"/>
          <w:szCs w:val="24"/>
        </w:rPr>
        <w:t>,</w:t>
      </w:r>
      <w:r w:rsidR="00000E99" w:rsidRPr="00BA0984">
        <w:rPr>
          <w:rFonts w:ascii="Arial" w:hAnsi="Arial" w:cs="Arial"/>
          <w:sz w:val="24"/>
          <w:szCs w:val="24"/>
        </w:rPr>
        <w:t xml:space="preserve"> constituted as such in terms of the Traditional A</w:t>
      </w:r>
      <w:r w:rsidRPr="00BA0984">
        <w:rPr>
          <w:rFonts w:ascii="Arial" w:hAnsi="Arial" w:cs="Arial"/>
          <w:sz w:val="24"/>
          <w:szCs w:val="24"/>
        </w:rPr>
        <w:t>uthorities Act 25 of 2000. The fourth respondent's address</w:t>
      </w:r>
      <w:r w:rsidR="00000E99" w:rsidRPr="00BA0984">
        <w:rPr>
          <w:rFonts w:ascii="Arial" w:hAnsi="Arial" w:cs="Arial"/>
          <w:sz w:val="24"/>
          <w:szCs w:val="24"/>
        </w:rPr>
        <w:t xml:space="preserve"> is at Omaozonjanda, Epukiro, district of Gobabis, Namibia. </w:t>
      </w:r>
      <w:r w:rsidRPr="00BA0984">
        <w:rPr>
          <w:rFonts w:ascii="Arial" w:hAnsi="Arial" w:cs="Arial"/>
          <w:sz w:val="24"/>
          <w:szCs w:val="24"/>
        </w:rPr>
        <w:t>No relief is sought against the fourth respondent and is merely cited for the</w:t>
      </w:r>
      <w:r w:rsidR="00000E99" w:rsidRPr="00BA0984">
        <w:rPr>
          <w:rFonts w:ascii="Arial" w:hAnsi="Arial" w:cs="Arial"/>
          <w:sz w:val="24"/>
          <w:szCs w:val="24"/>
        </w:rPr>
        <w:t xml:space="preserve"> interest it may have in the present application.</w:t>
      </w:r>
      <w:r w:rsidR="0023302A">
        <w:rPr>
          <w:rFonts w:ascii="Arial" w:hAnsi="Arial" w:cs="Arial"/>
          <w:sz w:val="24"/>
          <w:szCs w:val="24"/>
        </w:rPr>
        <w:t xml:space="preserve"> The fourth respondent did not oppose the application. </w:t>
      </w:r>
    </w:p>
    <w:p w14:paraId="0B6A644B" w14:textId="589B3AF0" w:rsidR="00000E99" w:rsidRPr="00A83F35" w:rsidRDefault="00000E99" w:rsidP="00A83F35">
      <w:pPr>
        <w:spacing w:after="0" w:line="360" w:lineRule="auto"/>
        <w:jc w:val="both"/>
        <w:rPr>
          <w:rFonts w:ascii="Arial" w:hAnsi="Arial" w:cs="Arial"/>
          <w:sz w:val="24"/>
          <w:szCs w:val="24"/>
        </w:rPr>
      </w:pPr>
    </w:p>
    <w:p w14:paraId="0BA7738C" w14:textId="6247244E" w:rsidR="00000E99" w:rsidRDefault="00F55D61" w:rsidP="00195679">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The applicants in this matter seek the following relief: I quote verbatim from the Notice of Motion:</w:t>
      </w:r>
    </w:p>
    <w:p w14:paraId="1AB9D6AE" w14:textId="77777777" w:rsidR="00F55D61" w:rsidRPr="00F55D61" w:rsidRDefault="00F55D61" w:rsidP="00F55D61">
      <w:pPr>
        <w:pStyle w:val="ListParagraph"/>
        <w:spacing w:after="0" w:line="360" w:lineRule="auto"/>
        <w:jc w:val="both"/>
        <w:rPr>
          <w:rFonts w:ascii="Arial" w:hAnsi="Arial" w:cs="Arial"/>
          <w:sz w:val="24"/>
          <w:szCs w:val="24"/>
        </w:rPr>
      </w:pPr>
    </w:p>
    <w:p w14:paraId="666D7F97" w14:textId="1044C67A" w:rsidR="00F55D61" w:rsidRPr="00F55D61" w:rsidRDefault="00F55D61" w:rsidP="00012C4D">
      <w:pPr>
        <w:pStyle w:val="ListParagraph"/>
        <w:spacing w:after="0" w:line="360" w:lineRule="auto"/>
        <w:ind w:left="0" w:firstLine="720"/>
        <w:jc w:val="both"/>
        <w:rPr>
          <w:rFonts w:ascii="Arial" w:hAnsi="Arial" w:cs="Arial"/>
        </w:rPr>
      </w:pPr>
      <w:r>
        <w:rPr>
          <w:rFonts w:ascii="Arial" w:hAnsi="Arial" w:cs="Arial"/>
          <w:sz w:val="24"/>
          <w:szCs w:val="24"/>
        </w:rPr>
        <w:t>‘</w:t>
      </w:r>
      <w:r w:rsidRPr="00F55D61">
        <w:rPr>
          <w:rFonts w:ascii="Arial" w:hAnsi="Arial" w:cs="Arial"/>
        </w:rPr>
        <w:t>1.</w:t>
      </w:r>
      <w:r w:rsidRPr="00F55D61">
        <w:rPr>
          <w:rFonts w:ascii="Arial" w:hAnsi="Arial" w:cs="Arial"/>
        </w:rPr>
        <w:tab/>
        <w:t xml:space="preserve">That the decision by the First Respondent dated 20 October 2021 be and is hereby reviewed, corrected and set aside. </w:t>
      </w:r>
    </w:p>
    <w:p w14:paraId="11C4AE68" w14:textId="77777777" w:rsidR="00F55D61" w:rsidRPr="00F55D61" w:rsidRDefault="00F55D61" w:rsidP="00012C4D">
      <w:pPr>
        <w:pStyle w:val="ListParagraph"/>
        <w:spacing w:after="0" w:line="360" w:lineRule="auto"/>
        <w:ind w:left="0"/>
        <w:jc w:val="both"/>
        <w:rPr>
          <w:rFonts w:ascii="Arial" w:hAnsi="Arial" w:cs="Arial"/>
        </w:rPr>
      </w:pPr>
    </w:p>
    <w:p w14:paraId="41638A7F" w14:textId="77777777" w:rsidR="00F55D61" w:rsidRPr="00F55D61" w:rsidRDefault="00F55D61" w:rsidP="00012C4D">
      <w:pPr>
        <w:pStyle w:val="ListParagraph"/>
        <w:spacing w:after="0" w:line="360" w:lineRule="auto"/>
        <w:ind w:left="0"/>
        <w:jc w:val="both"/>
        <w:rPr>
          <w:rFonts w:ascii="Arial" w:hAnsi="Arial" w:cs="Arial"/>
        </w:rPr>
      </w:pPr>
      <w:r w:rsidRPr="00F55D61">
        <w:rPr>
          <w:rFonts w:ascii="Arial" w:hAnsi="Arial" w:cs="Arial"/>
        </w:rPr>
        <w:t>2.</w:t>
      </w:r>
      <w:r w:rsidRPr="00F55D61">
        <w:rPr>
          <w:rFonts w:ascii="Arial" w:hAnsi="Arial" w:cs="Arial"/>
        </w:rPr>
        <w:tab/>
        <w:t>That the application for the approval of designation made by the first and Second Applicants in terms of section 5 (1) of the Traditional Authorities Act 25 of 2000 be and is hereby remitted to the First Respondent.</w:t>
      </w:r>
    </w:p>
    <w:p w14:paraId="22C50540" w14:textId="77777777" w:rsidR="00F55D61" w:rsidRPr="00F55D61" w:rsidRDefault="00F55D61" w:rsidP="00012C4D">
      <w:pPr>
        <w:pStyle w:val="ListParagraph"/>
        <w:spacing w:after="0" w:line="360" w:lineRule="auto"/>
        <w:ind w:left="0"/>
        <w:jc w:val="both"/>
        <w:rPr>
          <w:rFonts w:ascii="Arial" w:hAnsi="Arial" w:cs="Arial"/>
        </w:rPr>
      </w:pPr>
    </w:p>
    <w:p w14:paraId="08224FE3" w14:textId="6E3DA00E" w:rsidR="00A9534C" w:rsidRDefault="00715576" w:rsidP="00012C4D">
      <w:pPr>
        <w:spacing w:after="0" w:line="360" w:lineRule="auto"/>
        <w:jc w:val="both"/>
        <w:rPr>
          <w:rFonts w:ascii="Arial" w:hAnsi="Arial" w:cs="Arial"/>
        </w:rPr>
      </w:pPr>
      <w:r>
        <w:rPr>
          <w:rFonts w:ascii="Arial" w:hAnsi="Arial" w:cs="Arial"/>
        </w:rPr>
        <w:t>3.</w:t>
      </w:r>
      <w:r w:rsidR="00D679C9">
        <w:rPr>
          <w:rFonts w:ascii="Arial" w:hAnsi="Arial" w:cs="Arial"/>
        </w:rPr>
        <w:tab/>
      </w:r>
      <w:r w:rsidR="00F55D61" w:rsidRPr="00715576">
        <w:rPr>
          <w:rFonts w:ascii="Arial" w:hAnsi="Arial" w:cs="Arial"/>
        </w:rPr>
        <w:t>Further and/ or alternative relief.</w:t>
      </w:r>
    </w:p>
    <w:p w14:paraId="616B5AA9" w14:textId="77777777" w:rsidR="00012C4D" w:rsidRPr="00715576" w:rsidRDefault="00012C4D" w:rsidP="00012C4D">
      <w:pPr>
        <w:spacing w:after="0" w:line="360" w:lineRule="auto"/>
        <w:jc w:val="both"/>
        <w:rPr>
          <w:rFonts w:ascii="Arial" w:hAnsi="Arial" w:cs="Arial"/>
        </w:rPr>
      </w:pPr>
    </w:p>
    <w:p w14:paraId="76895E00" w14:textId="4D323C96" w:rsidR="00F55D61" w:rsidRPr="00715576" w:rsidRDefault="00715576" w:rsidP="00012C4D">
      <w:pPr>
        <w:pStyle w:val="BodyText3"/>
      </w:pPr>
      <w:r>
        <w:t>4.</w:t>
      </w:r>
      <w:r w:rsidR="00D679C9">
        <w:tab/>
      </w:r>
      <w:r w:rsidR="00F55D61" w:rsidRPr="00715576">
        <w:t>Costs of suit of one instructing and one instructed counsel.’</w:t>
      </w:r>
    </w:p>
    <w:p w14:paraId="5CF17B00" w14:textId="77777777" w:rsidR="00522538" w:rsidRDefault="00522538" w:rsidP="00522538">
      <w:pPr>
        <w:spacing w:after="0" w:line="360" w:lineRule="auto"/>
        <w:jc w:val="both"/>
        <w:rPr>
          <w:rFonts w:ascii="Arial" w:hAnsi="Arial" w:cs="Arial"/>
        </w:rPr>
      </w:pPr>
    </w:p>
    <w:p w14:paraId="092FDC32" w14:textId="2A79E662" w:rsidR="00522538" w:rsidRPr="00420493" w:rsidRDefault="00117D06" w:rsidP="00522538">
      <w:pPr>
        <w:spacing w:after="0" w:line="360" w:lineRule="auto"/>
        <w:jc w:val="both"/>
        <w:rPr>
          <w:rFonts w:ascii="Arial" w:hAnsi="Arial" w:cs="Arial"/>
          <w:sz w:val="24"/>
          <w:szCs w:val="24"/>
          <w:u w:val="single"/>
        </w:rPr>
      </w:pPr>
      <w:r w:rsidRPr="00420493">
        <w:rPr>
          <w:rFonts w:ascii="Arial" w:hAnsi="Arial" w:cs="Arial"/>
          <w:sz w:val="24"/>
          <w:szCs w:val="24"/>
          <w:u w:val="single"/>
        </w:rPr>
        <w:t xml:space="preserve">Historical </w:t>
      </w:r>
      <w:r w:rsidR="00522538" w:rsidRPr="00420493">
        <w:rPr>
          <w:rFonts w:ascii="Arial" w:hAnsi="Arial" w:cs="Arial"/>
          <w:sz w:val="24"/>
          <w:szCs w:val="24"/>
          <w:u w:val="single"/>
        </w:rPr>
        <w:t>Background</w:t>
      </w:r>
    </w:p>
    <w:p w14:paraId="2DE1801A" w14:textId="77777777" w:rsidR="00F55D61" w:rsidRDefault="00F55D61" w:rsidP="00FF1075">
      <w:pPr>
        <w:pStyle w:val="ListParagraph"/>
        <w:spacing w:after="0" w:line="360" w:lineRule="auto"/>
        <w:ind w:left="0"/>
        <w:jc w:val="both"/>
        <w:rPr>
          <w:rFonts w:ascii="Arial" w:hAnsi="Arial" w:cs="Arial"/>
          <w:sz w:val="24"/>
          <w:szCs w:val="24"/>
        </w:rPr>
      </w:pPr>
    </w:p>
    <w:p w14:paraId="1975E37F" w14:textId="4A25C78A" w:rsidR="00195679" w:rsidRPr="00195679" w:rsidRDefault="00DD4BBD" w:rsidP="00874C87">
      <w:pPr>
        <w:pStyle w:val="BodyText2"/>
        <w:numPr>
          <w:ilvl w:val="0"/>
          <w:numId w:val="26"/>
        </w:numPr>
        <w:spacing w:after="0"/>
        <w:ind w:left="0" w:firstLine="0"/>
        <w:rPr>
          <w:color w:val="1C1C1C"/>
          <w:shd w:val="clear" w:color="auto" w:fill="FFFFFF"/>
        </w:rPr>
      </w:pPr>
      <w:r>
        <w:t>Right from the onset</w:t>
      </w:r>
      <w:r w:rsidR="00195679">
        <w:t>, I must point out that the current application is just one in a long list of succession dispute cases relating to the Ovambanderu traditional community. When I discuss the historical background that led to the succession dispute</w:t>
      </w:r>
      <w:r w:rsidR="008E382E">
        <w:t>,</w:t>
      </w:r>
      <w:r w:rsidR="00195679">
        <w:t xml:space="preserve"> I will remind myself that this has been the subject of discussion in many cases in this court and the Supreme Court. I will thus endeavour to keep it brief. </w:t>
      </w:r>
    </w:p>
    <w:p w14:paraId="46E92566" w14:textId="77777777" w:rsidR="00195679" w:rsidRPr="00195679" w:rsidRDefault="00195679" w:rsidP="00195679">
      <w:pPr>
        <w:pStyle w:val="BodyText2"/>
        <w:spacing w:after="0"/>
        <w:rPr>
          <w:color w:val="1C1C1C"/>
          <w:shd w:val="clear" w:color="auto" w:fill="FFFFFF"/>
        </w:rPr>
      </w:pPr>
    </w:p>
    <w:p w14:paraId="0DC8514D" w14:textId="1DC3C6B7" w:rsidR="009F0D9F" w:rsidRPr="009F0D9F" w:rsidRDefault="00F333FA" w:rsidP="00874C87">
      <w:pPr>
        <w:pStyle w:val="BodyText2"/>
        <w:numPr>
          <w:ilvl w:val="0"/>
          <w:numId w:val="26"/>
        </w:numPr>
        <w:spacing w:after="0"/>
        <w:ind w:left="0" w:firstLine="0"/>
      </w:pPr>
      <w:r w:rsidRPr="009F0D9F">
        <w:rPr>
          <w:color w:val="1C1C1C"/>
          <w:shd w:val="clear" w:color="auto" w:fill="FFFFFF"/>
        </w:rPr>
        <w:t xml:space="preserve">After the death of Chief Munjuku Nguvauva II </w:t>
      </w:r>
      <w:r w:rsidR="008E382E">
        <w:rPr>
          <w:color w:val="1C1C1C"/>
          <w:shd w:val="clear" w:color="auto" w:fill="FFFFFF"/>
        </w:rPr>
        <w:t>on</w:t>
      </w:r>
      <w:r w:rsidRPr="009F0D9F">
        <w:rPr>
          <w:color w:val="1C1C1C"/>
          <w:shd w:val="clear" w:color="auto" w:fill="FFFFFF"/>
        </w:rPr>
        <w:t xml:space="preserve"> </w:t>
      </w:r>
      <w:r w:rsidR="00195679" w:rsidRPr="009F0D9F">
        <w:rPr>
          <w:color w:val="1C1C1C"/>
          <w:shd w:val="clear" w:color="auto" w:fill="FFFFFF"/>
        </w:rPr>
        <w:t xml:space="preserve">16 </w:t>
      </w:r>
      <w:r w:rsidRPr="009F0D9F">
        <w:rPr>
          <w:color w:val="1C1C1C"/>
          <w:shd w:val="clear" w:color="auto" w:fill="FFFFFF"/>
        </w:rPr>
        <w:t xml:space="preserve">January 2008, the Ovambanderu traditional community was divided into two factions regarding the succession of the late Chief. One faction supported Kilus Karaerua Nguvauva, while the other </w:t>
      </w:r>
      <w:r w:rsidR="00195679" w:rsidRPr="009F0D9F">
        <w:rPr>
          <w:color w:val="1C1C1C"/>
          <w:shd w:val="clear" w:color="auto" w:fill="FFFFFF"/>
        </w:rPr>
        <w:t xml:space="preserve">supported </w:t>
      </w:r>
      <w:r w:rsidRPr="009F0D9F">
        <w:rPr>
          <w:color w:val="1C1C1C"/>
          <w:shd w:val="clear" w:color="auto" w:fill="FFFFFF"/>
        </w:rPr>
        <w:t xml:space="preserve">Keharanjo II Nguvauva. </w:t>
      </w:r>
      <w:r w:rsidR="00195679" w:rsidRPr="009F0D9F">
        <w:rPr>
          <w:color w:val="1C1C1C"/>
          <w:shd w:val="clear" w:color="auto" w:fill="FFFFFF"/>
        </w:rPr>
        <w:t>The half-brothers,</w:t>
      </w:r>
      <w:r w:rsidRPr="009F0D9F">
        <w:rPr>
          <w:color w:val="1C1C1C"/>
          <w:shd w:val="clear" w:color="auto" w:fill="FFFFFF"/>
        </w:rPr>
        <w:t xml:space="preserve"> Kilus and Keharanjo</w:t>
      </w:r>
      <w:r w:rsidR="00E05DED">
        <w:rPr>
          <w:color w:val="1C1C1C"/>
          <w:shd w:val="clear" w:color="auto" w:fill="FFFFFF"/>
        </w:rPr>
        <w:t>,</w:t>
      </w:r>
      <w:r w:rsidRPr="009F0D9F">
        <w:rPr>
          <w:color w:val="1C1C1C"/>
          <w:shd w:val="clear" w:color="auto" w:fill="FFFFFF"/>
        </w:rPr>
        <w:t xml:space="preserve"> were biological sons of the late Chief Munjuku Nguvauva II.</w:t>
      </w:r>
      <w:r w:rsidR="00EE45BD" w:rsidRPr="009F0D9F">
        <w:rPr>
          <w:color w:val="1C1C1C"/>
          <w:shd w:val="clear" w:color="auto" w:fill="FFFFFF"/>
        </w:rPr>
        <w:t xml:space="preserve"> </w:t>
      </w:r>
    </w:p>
    <w:p w14:paraId="2FCCDDEF" w14:textId="77777777" w:rsidR="009F0D9F" w:rsidRDefault="009F0D9F" w:rsidP="009F0D9F">
      <w:pPr>
        <w:pStyle w:val="ListParagraph"/>
        <w:rPr>
          <w:color w:val="1C1C1C"/>
          <w:shd w:val="clear" w:color="auto" w:fill="FFFFFF"/>
        </w:rPr>
      </w:pPr>
    </w:p>
    <w:p w14:paraId="2DD1913F" w14:textId="7C37BD1A" w:rsidR="003E3A6F" w:rsidRPr="003E3A6F" w:rsidRDefault="009F0D9F" w:rsidP="003E3A6F">
      <w:pPr>
        <w:pStyle w:val="BodyText2"/>
        <w:numPr>
          <w:ilvl w:val="0"/>
          <w:numId w:val="26"/>
        </w:numPr>
        <w:shd w:val="clear" w:color="auto" w:fill="FFFFFF"/>
        <w:spacing w:after="0"/>
        <w:ind w:left="0" w:firstLine="0"/>
        <w:rPr>
          <w:color w:val="212529"/>
          <w:lang w:val="en-ZA"/>
        </w:rPr>
      </w:pPr>
      <w:r w:rsidRPr="003E3A6F">
        <w:rPr>
          <w:color w:val="1C1C1C"/>
          <w:shd w:val="clear" w:color="auto" w:fill="FFFFFF"/>
        </w:rPr>
        <w:t xml:space="preserve">The royal family of the Ovambanderu Traditional Community failed to agree on a successor </w:t>
      </w:r>
      <w:r w:rsidR="00874C87" w:rsidRPr="00B67A30">
        <w:rPr>
          <w:color w:val="1C1C1C"/>
          <w:shd w:val="clear" w:color="auto" w:fill="FFFFFF"/>
        </w:rPr>
        <w:t>for</w:t>
      </w:r>
      <w:r w:rsidRPr="00B67A30">
        <w:rPr>
          <w:color w:val="1C1C1C"/>
          <w:shd w:val="clear" w:color="auto" w:fill="FFFFFF"/>
        </w:rPr>
        <w:t xml:space="preserve"> Chief Munjuku Nguvauva</w:t>
      </w:r>
      <w:r w:rsidR="00715576" w:rsidRPr="00B67A30">
        <w:rPr>
          <w:color w:val="1C1C1C"/>
          <w:shd w:val="clear" w:color="auto" w:fill="FFFFFF"/>
        </w:rPr>
        <w:t xml:space="preserve"> II</w:t>
      </w:r>
      <w:r w:rsidRPr="00B67A30">
        <w:rPr>
          <w:color w:val="1C1C1C"/>
          <w:shd w:val="clear" w:color="auto" w:fill="FFFFFF"/>
        </w:rPr>
        <w:t>. This</w:t>
      </w:r>
      <w:r w:rsidRPr="003E3A6F">
        <w:rPr>
          <w:color w:val="1C1C1C"/>
          <w:shd w:val="clear" w:color="auto" w:fill="FFFFFF"/>
        </w:rPr>
        <w:t xml:space="preserve"> resulted in two different factions applying for the same position, each seeking the approval of their respective candidates, Kilus Nguvauva or Keharanjo II Nguvauva. The Minister advised the parties to settle their dispute in accordance with customary law</w:t>
      </w:r>
      <w:r w:rsidR="00874C87" w:rsidRPr="003E3A6F">
        <w:rPr>
          <w:color w:val="1C1C1C"/>
          <w:shd w:val="clear" w:color="auto" w:fill="FFFFFF"/>
        </w:rPr>
        <w:t xml:space="preserve"> or,</w:t>
      </w:r>
      <w:r w:rsidRPr="003E3A6F">
        <w:rPr>
          <w:color w:val="1C1C1C"/>
          <w:shd w:val="clear" w:color="auto" w:fill="FFFFFF"/>
        </w:rPr>
        <w:t xml:space="preserve"> alternativel</w:t>
      </w:r>
      <w:r w:rsidR="00715576">
        <w:rPr>
          <w:color w:val="1C1C1C"/>
          <w:shd w:val="clear" w:color="auto" w:fill="FFFFFF"/>
        </w:rPr>
        <w:t>y, to petition him under s</w:t>
      </w:r>
      <w:r w:rsidRPr="003E3A6F">
        <w:rPr>
          <w:color w:val="1C1C1C"/>
          <w:shd w:val="clear" w:color="auto" w:fill="FFFFFF"/>
        </w:rPr>
        <w:t xml:space="preserve"> 12(1) of the Traditional Authorities Act. However, despite the advice, the parties failed to find a resolution, and in September and December 2008, respectively, the Minister received petitions from both parties through their legal representatives.</w:t>
      </w:r>
      <w:r w:rsidR="00874C87" w:rsidRPr="003E3A6F">
        <w:rPr>
          <w:color w:val="1C1C1C"/>
          <w:shd w:val="clear" w:color="auto" w:fill="FFFFFF"/>
        </w:rPr>
        <w:t xml:space="preserve"> </w:t>
      </w:r>
    </w:p>
    <w:p w14:paraId="2284C45B" w14:textId="77777777" w:rsidR="003E3A6F" w:rsidRDefault="003E3A6F" w:rsidP="003E3A6F">
      <w:pPr>
        <w:pStyle w:val="ListParagraph"/>
        <w:spacing w:after="0" w:line="360" w:lineRule="auto"/>
        <w:ind w:left="0"/>
        <w:jc w:val="both"/>
      </w:pPr>
    </w:p>
    <w:p w14:paraId="2EDF64CF" w14:textId="0DC11D78" w:rsidR="003E3A6F" w:rsidRPr="003E3A6F" w:rsidRDefault="009F0D9F" w:rsidP="00496080">
      <w:pPr>
        <w:pStyle w:val="BodyText2"/>
        <w:numPr>
          <w:ilvl w:val="0"/>
          <w:numId w:val="26"/>
        </w:numPr>
        <w:shd w:val="clear" w:color="auto" w:fill="FFFFFF"/>
        <w:spacing w:after="0"/>
        <w:ind w:left="0" w:right="29" w:firstLine="0"/>
      </w:pPr>
      <w:r w:rsidRPr="003E3A6F">
        <w:t>I</w:t>
      </w:r>
      <w:r w:rsidR="00117D06" w:rsidRPr="003E3A6F">
        <w:t>n June 2009</w:t>
      </w:r>
      <w:r w:rsidR="008E382E">
        <w:t>,</w:t>
      </w:r>
      <w:r w:rsidR="00117D06" w:rsidRPr="003E3A6F">
        <w:t xml:space="preserve"> the Minister appointed an Investigating Committee to investigate the dispute between the two Ovambande</w:t>
      </w:r>
      <w:r w:rsidR="009F21AC" w:rsidRPr="003E3A6F">
        <w:t>ru factions in terms of s</w:t>
      </w:r>
      <w:r w:rsidR="00117D06" w:rsidRPr="003E3A6F">
        <w:t xml:space="preserve"> 12 (2) of the Act. </w:t>
      </w:r>
      <w:r w:rsidR="00874C87" w:rsidRPr="003E3A6F">
        <w:t>Having done the investigation, the Investigation Committee, in its findings,</w:t>
      </w:r>
      <w:r w:rsidR="00743CF7" w:rsidRPr="003E3A6F">
        <w:t xml:space="preserve"> recommended that Keharanjo Nguvauva be designated as Chief succeeding his late father, </w:t>
      </w:r>
      <w:r w:rsidRPr="003E3A6F">
        <w:t xml:space="preserve">Munjuku </w:t>
      </w:r>
      <w:r w:rsidR="00117D06" w:rsidRPr="003E3A6F">
        <w:t xml:space="preserve">Nguvauva II. </w:t>
      </w:r>
      <w:r w:rsidR="00874C87" w:rsidRPr="003E3A6F">
        <w:t xml:space="preserve">The Investigation Committee </w:t>
      </w:r>
      <w:r w:rsidRPr="003E3A6F">
        <w:rPr>
          <w:rFonts w:eastAsia="Gulim"/>
          <w:lang w:val="en-GB"/>
        </w:rPr>
        <w:t xml:space="preserve">concluded that </w:t>
      </w:r>
      <w:r w:rsidR="00874C87" w:rsidRPr="003E3A6F">
        <w:rPr>
          <w:rFonts w:eastAsia="Gulim"/>
          <w:lang w:val="en-GB"/>
        </w:rPr>
        <w:t xml:space="preserve">in accordance with Ovambanderu customs, the son who was born of a Chief’s marriage </w:t>
      </w:r>
      <w:r w:rsidRPr="003E3A6F">
        <w:rPr>
          <w:rFonts w:eastAsia="Gulim"/>
          <w:lang w:val="en-GB"/>
        </w:rPr>
        <w:t>is considered senior for purposes of succession to one born out of wedlock</w:t>
      </w:r>
      <w:r w:rsidR="00E05DED">
        <w:rPr>
          <w:rFonts w:eastAsia="Gulim"/>
          <w:lang w:val="en-GB"/>
        </w:rPr>
        <w:t>,</w:t>
      </w:r>
      <w:r w:rsidR="00874C87" w:rsidRPr="003E3A6F">
        <w:rPr>
          <w:rFonts w:eastAsia="Gulim"/>
          <w:lang w:val="en-GB"/>
        </w:rPr>
        <w:t xml:space="preserve"> and the senior son becomes the </w:t>
      </w:r>
      <w:r w:rsidR="00874C87" w:rsidRPr="003E3A6F">
        <w:rPr>
          <w:rFonts w:eastAsia="Gulim"/>
          <w:lang w:val="en-GB"/>
        </w:rPr>
        <w:lastRenderedPageBreak/>
        <w:t>rightful successor should the chieftainship become vacant.</w:t>
      </w:r>
      <w:r w:rsidR="0068386F" w:rsidRPr="003E3A6F">
        <w:rPr>
          <w:rFonts w:eastAsia="Gulim"/>
          <w:lang w:val="en-GB"/>
        </w:rPr>
        <w:t xml:space="preserve"> </w:t>
      </w:r>
      <w:r w:rsidR="003E3A6F" w:rsidRPr="003E3A6F">
        <w:rPr>
          <w:rFonts w:eastAsia="Gulim"/>
          <w:lang w:val="en-GB"/>
        </w:rPr>
        <w:t>However, t</w:t>
      </w:r>
      <w:r w:rsidR="003E3A6F" w:rsidRPr="003E3A6F">
        <w:rPr>
          <w:color w:val="212529"/>
          <w:lang w:val="en-GB"/>
        </w:rPr>
        <w:t xml:space="preserve">he Investigating Committee recommended in the alternative </w:t>
      </w:r>
      <w:r w:rsidR="00E4104D">
        <w:rPr>
          <w:color w:val="212529"/>
          <w:lang w:val="en-GB"/>
        </w:rPr>
        <w:t xml:space="preserve">that </w:t>
      </w:r>
      <w:r w:rsidR="003E3A6F" w:rsidRPr="003E3A6F">
        <w:rPr>
          <w:color w:val="212529"/>
          <w:lang w:val="en-GB"/>
        </w:rPr>
        <w:t>in the event that there is an objection to the senior son succeeding his father, the dispute be resolved by invoking s 5(10)(</w:t>
      </w:r>
      <w:r w:rsidR="003E3A6F" w:rsidRPr="003E3A6F">
        <w:rPr>
          <w:i/>
          <w:iCs/>
          <w:color w:val="212529"/>
          <w:lang w:val="en-GB"/>
        </w:rPr>
        <w:t>b</w:t>
      </w:r>
      <w:r w:rsidR="003E3A6F" w:rsidRPr="003E3A6F">
        <w:rPr>
          <w:color w:val="212529"/>
          <w:lang w:val="en-GB"/>
        </w:rPr>
        <w:t>) of the Act. This implied that in the event of uncertainty or disagreement amongst the members of a traditional community regarding the applicable customary law, the community members may elect, subject to the approval of the Minister, a chief or head of the community by a majority vote.</w:t>
      </w:r>
    </w:p>
    <w:p w14:paraId="540CAFE6" w14:textId="77777777" w:rsidR="003E3A6F" w:rsidRPr="003E3A6F" w:rsidRDefault="003E3A6F" w:rsidP="003E3A6F">
      <w:pPr>
        <w:pStyle w:val="BodyText2"/>
        <w:shd w:val="clear" w:color="auto" w:fill="FFFFFF"/>
        <w:spacing w:after="0"/>
        <w:ind w:right="29"/>
      </w:pPr>
    </w:p>
    <w:p w14:paraId="5E0FCA66" w14:textId="30F1B8F7" w:rsidR="00677FD4" w:rsidRPr="00677FD4" w:rsidRDefault="00E4104D" w:rsidP="00496080">
      <w:pPr>
        <w:pStyle w:val="BodyText2"/>
        <w:numPr>
          <w:ilvl w:val="0"/>
          <w:numId w:val="26"/>
        </w:numPr>
        <w:shd w:val="clear" w:color="auto" w:fill="FFFFFF"/>
        <w:spacing w:after="0"/>
        <w:ind w:left="0" w:right="29" w:firstLine="0"/>
      </w:pPr>
      <w:r w:rsidRPr="00677FD4">
        <w:rPr>
          <w:color w:val="1C1C1C"/>
          <w:shd w:val="clear" w:color="auto" w:fill="FFFFFF"/>
        </w:rPr>
        <w:t>Initially, the Minister accepted the committee's recommendation that Keharanjo II Nguvauva be appointed Chief of the Ovambanderu Traditional Community. However, the Minister later changed his stance and proposed an election in terms of s 5(10)(</w:t>
      </w:r>
      <w:r w:rsidRPr="00773603">
        <w:rPr>
          <w:i/>
          <w:color w:val="1C1C1C"/>
          <w:shd w:val="clear" w:color="auto" w:fill="FFFFFF"/>
        </w:rPr>
        <w:t>b</w:t>
      </w:r>
      <w:r w:rsidRPr="00677FD4">
        <w:rPr>
          <w:color w:val="1C1C1C"/>
          <w:shd w:val="clear" w:color="auto" w:fill="FFFFFF"/>
        </w:rPr>
        <w:t>) of the Act to determine whether Keharanjo II Nguvauva or Ki</w:t>
      </w:r>
      <w:r w:rsidR="00E05DED">
        <w:rPr>
          <w:color w:val="1C1C1C"/>
          <w:shd w:val="clear" w:color="auto" w:fill="FFFFFF"/>
        </w:rPr>
        <w:t>lu</w:t>
      </w:r>
      <w:r w:rsidRPr="00677FD4">
        <w:rPr>
          <w:color w:val="1C1C1C"/>
          <w:shd w:val="clear" w:color="auto" w:fill="FFFFFF"/>
        </w:rPr>
        <w:t xml:space="preserve">s Nguvauva should be </w:t>
      </w:r>
      <w:r w:rsidR="00E05DED">
        <w:rPr>
          <w:color w:val="1C1C1C"/>
          <w:shd w:val="clear" w:color="auto" w:fill="FFFFFF"/>
        </w:rPr>
        <w:t>recognised</w:t>
      </w:r>
      <w:r w:rsidRPr="00677FD4">
        <w:rPr>
          <w:color w:val="1C1C1C"/>
          <w:shd w:val="clear" w:color="auto" w:fill="FFFFFF"/>
        </w:rPr>
        <w:t xml:space="preserve"> as the Chief of the Ovambanderu Traditional Community</w:t>
      </w:r>
      <w:r w:rsidRPr="00677FD4">
        <w:rPr>
          <w:color w:val="1C1C1C"/>
          <w:sz w:val="21"/>
          <w:szCs w:val="21"/>
          <w:shd w:val="clear" w:color="auto" w:fill="FFFFFF"/>
        </w:rPr>
        <w:t xml:space="preserve">. </w:t>
      </w:r>
    </w:p>
    <w:p w14:paraId="5BF5001A" w14:textId="77777777" w:rsidR="00677FD4" w:rsidRDefault="00677FD4" w:rsidP="00677FD4">
      <w:pPr>
        <w:pStyle w:val="ListParagraph"/>
      </w:pPr>
    </w:p>
    <w:p w14:paraId="0DA4DE75" w14:textId="3E80C2D4" w:rsidR="00677FD4" w:rsidRDefault="00E4104D" w:rsidP="00496080">
      <w:pPr>
        <w:pStyle w:val="BodyText2"/>
        <w:numPr>
          <w:ilvl w:val="0"/>
          <w:numId w:val="26"/>
        </w:numPr>
        <w:shd w:val="clear" w:color="auto" w:fill="FFFFFF"/>
        <w:spacing w:after="0"/>
        <w:ind w:left="0" w:right="29" w:firstLine="0"/>
      </w:pPr>
      <w:r>
        <w:t xml:space="preserve">Both factions were dissatisfied with the Minister’s decision and brought review </w:t>
      </w:r>
      <w:r w:rsidR="005A15B4">
        <w:t xml:space="preserve">and counter-review </w:t>
      </w:r>
      <w:r>
        <w:t>application</w:t>
      </w:r>
      <w:r w:rsidR="005A15B4">
        <w:t>s</w:t>
      </w:r>
      <w:r>
        <w:t xml:space="preserve"> to the High Court for the court to review, correct and/or set aside the decision of the Minister. </w:t>
      </w:r>
    </w:p>
    <w:p w14:paraId="01B2B296" w14:textId="77777777" w:rsidR="00677FD4" w:rsidRDefault="00677FD4" w:rsidP="00677FD4">
      <w:pPr>
        <w:pStyle w:val="ListParagraph"/>
      </w:pPr>
    </w:p>
    <w:p w14:paraId="15959D99" w14:textId="60C4C8ED" w:rsidR="00677FD4" w:rsidRPr="00677FD4" w:rsidRDefault="00E57AD0" w:rsidP="00496080">
      <w:pPr>
        <w:pStyle w:val="BodyText2"/>
        <w:numPr>
          <w:ilvl w:val="0"/>
          <w:numId w:val="26"/>
        </w:numPr>
        <w:shd w:val="clear" w:color="auto" w:fill="FFFFFF"/>
        <w:spacing w:after="0"/>
        <w:ind w:left="0" w:right="29" w:firstLine="0"/>
        <w:rPr>
          <w:rFonts w:eastAsia="Gulim"/>
          <w:lang w:val="en-GB"/>
        </w:rPr>
      </w:pPr>
      <w:r>
        <w:t>Whilst the litigation in the High Court was ongoing</w:t>
      </w:r>
      <w:r w:rsidR="00E05DED">
        <w:t>, Keharanjo II Nguvauva passed away</w:t>
      </w:r>
      <w:r w:rsidR="006F5601">
        <w:t xml:space="preserve">. In light of his passing, the High Court ruled in favour of Kilus Nguvauva as the surviving applicant for the designation </w:t>
      </w:r>
      <w:r w:rsidR="009A3DDF">
        <w:t>of</w:t>
      </w:r>
      <w:r w:rsidR="006F5601">
        <w:t xml:space="preserve"> chief. He</w:t>
      </w:r>
      <w:r w:rsidR="00773603" w:rsidRPr="00B67A30">
        <w:t xml:space="preserve"> was </w:t>
      </w:r>
      <w:r w:rsidRPr="00B67A30">
        <w:t>confirmed as the Chief</w:t>
      </w:r>
      <w:r>
        <w:t xml:space="preserve"> of </w:t>
      </w:r>
      <w:r w:rsidRPr="00677FD4">
        <w:t>the</w:t>
      </w:r>
      <w:r w:rsidRPr="00677FD4">
        <w:rPr>
          <w:color w:val="212529"/>
          <w:shd w:val="clear" w:color="auto" w:fill="FFFFFF"/>
        </w:rPr>
        <w:t xml:space="preserve"> Ovambanderu Community in terms of s 5(2) of the Traditional Authorities</w:t>
      </w:r>
      <w:r w:rsidR="000C1649" w:rsidRPr="00677FD4">
        <w:rPr>
          <w:color w:val="212529"/>
          <w:shd w:val="clear" w:color="auto" w:fill="FFFFFF"/>
        </w:rPr>
        <w:t xml:space="preserve"> Act</w:t>
      </w:r>
      <w:r w:rsidRPr="00677FD4">
        <w:rPr>
          <w:color w:val="212529"/>
          <w:sz w:val="23"/>
          <w:szCs w:val="23"/>
          <w:shd w:val="clear" w:color="auto" w:fill="FFFFFF"/>
        </w:rPr>
        <w:t>.</w:t>
      </w:r>
      <w:r>
        <w:rPr>
          <w:rStyle w:val="FootnoteReference"/>
        </w:rPr>
        <w:footnoteReference w:id="1"/>
      </w:r>
    </w:p>
    <w:p w14:paraId="4CFCBF77" w14:textId="77777777" w:rsidR="00677FD4" w:rsidRDefault="00677FD4" w:rsidP="00677FD4">
      <w:pPr>
        <w:pStyle w:val="ListParagraph"/>
      </w:pPr>
    </w:p>
    <w:p w14:paraId="77356AFF" w14:textId="3B130B49" w:rsidR="00054B6E" w:rsidRDefault="00117D06" w:rsidP="00496080">
      <w:pPr>
        <w:pStyle w:val="BodyText2"/>
        <w:numPr>
          <w:ilvl w:val="0"/>
          <w:numId w:val="26"/>
        </w:numPr>
        <w:shd w:val="clear" w:color="auto" w:fill="FFFFFF"/>
        <w:spacing w:after="0"/>
        <w:ind w:left="0" w:right="29" w:firstLine="0"/>
        <w:rPr>
          <w:rFonts w:eastAsia="Gulim"/>
          <w:lang w:val="en-GB"/>
        </w:rPr>
      </w:pPr>
      <w:r w:rsidRPr="00117D06">
        <w:t xml:space="preserve">In light of </w:t>
      </w:r>
      <w:r w:rsidR="000C1649">
        <w:t xml:space="preserve">the passing </w:t>
      </w:r>
      <w:r w:rsidR="00677FD4">
        <w:t>of the late Keharanjo II Nguvauva, Aletha Nguvauva,</w:t>
      </w:r>
      <w:r w:rsidR="00054B6E">
        <w:t xml:space="preserve"> </w:t>
      </w:r>
      <w:r w:rsidR="000C1649">
        <w:t>his mother</w:t>
      </w:r>
      <w:r w:rsidR="00054B6E">
        <w:t xml:space="preserve"> and wife of the late Chief </w:t>
      </w:r>
      <w:r w:rsidR="00054B6E" w:rsidRPr="00677FD4">
        <w:rPr>
          <w:color w:val="1C1C1C"/>
          <w:shd w:val="clear" w:color="auto" w:fill="FFFFFF"/>
        </w:rPr>
        <w:t>Munjuku Nguvauva II</w:t>
      </w:r>
      <w:r w:rsidRPr="00117D06">
        <w:t xml:space="preserve">, </w:t>
      </w:r>
      <w:r w:rsidR="00054B6E">
        <w:t>stepped into the fray</w:t>
      </w:r>
      <w:r w:rsidR="00054B6E" w:rsidRPr="00677FD4">
        <w:rPr>
          <w:rFonts w:eastAsia="Gulim"/>
          <w:lang w:val="en-GB"/>
        </w:rPr>
        <w:t>. At this point</w:t>
      </w:r>
      <w:r w:rsidR="00E05DED">
        <w:rPr>
          <w:rFonts w:eastAsia="Gulim"/>
          <w:lang w:val="en-GB"/>
        </w:rPr>
        <w:t>, there was a clear rift within the traditional community that cut to the core of its customs, culture, and traditions</w:t>
      </w:r>
      <w:r w:rsidR="00677FD4" w:rsidRPr="00677FD4">
        <w:rPr>
          <w:rFonts w:eastAsia="Gulim"/>
          <w:lang w:val="en-GB"/>
        </w:rPr>
        <w:t xml:space="preserve">. </w:t>
      </w:r>
      <w:r w:rsidR="00677FD4">
        <w:rPr>
          <w:rFonts w:eastAsia="Gulim"/>
          <w:lang w:val="en-GB"/>
        </w:rPr>
        <w:t xml:space="preserve">The faction who supported the late Keharanjo II Nguvauva broke away from the recognised Ovambanderu Traditional Authority and formed their own </w:t>
      </w:r>
      <w:r w:rsidR="00677FD4">
        <w:rPr>
          <w:rFonts w:eastAsia="Gulim"/>
          <w:lang w:val="en-GB"/>
        </w:rPr>
        <w:lastRenderedPageBreak/>
        <w:t xml:space="preserve">traditional authority. </w:t>
      </w:r>
      <w:r w:rsidR="00496080">
        <w:rPr>
          <w:rFonts w:eastAsia="Gulim"/>
          <w:lang w:val="en-GB"/>
        </w:rPr>
        <w:t xml:space="preserve">The members of the first applicant </w:t>
      </w:r>
      <w:r w:rsidR="00E05DED">
        <w:rPr>
          <w:rFonts w:eastAsia="Gulim"/>
          <w:lang w:val="en-GB"/>
        </w:rPr>
        <w:t>were not only disassociated from the fourth respondent,</w:t>
      </w:r>
      <w:r w:rsidR="005A15B4">
        <w:rPr>
          <w:rFonts w:eastAsia="Gulim"/>
          <w:lang w:val="en-GB"/>
        </w:rPr>
        <w:t xml:space="preserve"> but its members </w:t>
      </w:r>
      <w:r w:rsidR="00496080">
        <w:rPr>
          <w:rFonts w:eastAsia="Gulim"/>
          <w:lang w:val="en-GB"/>
        </w:rPr>
        <w:t>moved away from the common communal land inhabited by the Ovambanderu Traditional Authority.</w:t>
      </w:r>
    </w:p>
    <w:p w14:paraId="16622AA2" w14:textId="77777777" w:rsidR="00677FD4" w:rsidRDefault="00677FD4" w:rsidP="00677FD4">
      <w:pPr>
        <w:pStyle w:val="ListParagraph"/>
        <w:rPr>
          <w:rFonts w:eastAsia="Gulim"/>
          <w:lang w:val="en-GB"/>
        </w:rPr>
      </w:pPr>
    </w:p>
    <w:p w14:paraId="45052625" w14:textId="219C96C9" w:rsidR="00B0249F" w:rsidRPr="00B0249F" w:rsidRDefault="00677FD4" w:rsidP="00496080">
      <w:pPr>
        <w:pStyle w:val="BodyText2"/>
        <w:numPr>
          <w:ilvl w:val="0"/>
          <w:numId w:val="26"/>
        </w:numPr>
        <w:shd w:val="clear" w:color="auto" w:fill="FFFFFF"/>
        <w:spacing w:after="0"/>
        <w:ind w:left="0" w:right="29" w:firstLine="0"/>
      </w:pPr>
      <w:r w:rsidRPr="00B0249F">
        <w:rPr>
          <w:rFonts w:eastAsia="Gulim"/>
          <w:lang w:val="en-GB"/>
        </w:rPr>
        <w:t>The Ovambanderu Traditional Council (</w:t>
      </w:r>
      <w:r w:rsidR="00B0249F" w:rsidRPr="00B0249F">
        <w:rPr>
          <w:rFonts w:eastAsia="Gulim"/>
          <w:lang w:val="en-GB"/>
        </w:rPr>
        <w:t xml:space="preserve">the </w:t>
      </w:r>
      <w:r w:rsidRPr="00B0249F">
        <w:rPr>
          <w:rFonts w:eastAsia="Gulim"/>
          <w:lang w:val="en-GB"/>
        </w:rPr>
        <w:t>first applicant) came into existence. The first applicant took the view that Keharanjo II Nguvauva became its first paramount Chief</w:t>
      </w:r>
      <w:r w:rsidR="00E05DED">
        <w:rPr>
          <w:rFonts w:eastAsia="Gulim"/>
          <w:lang w:val="en-GB"/>
        </w:rPr>
        <w:t>, and it decided</w:t>
      </w:r>
      <w:r w:rsidRPr="00B0249F">
        <w:rPr>
          <w:rFonts w:eastAsia="Gulim"/>
          <w:lang w:val="en-GB"/>
        </w:rPr>
        <w:t xml:space="preserve"> to designate the second applicant to succeed the late </w:t>
      </w:r>
      <w:r w:rsidR="00B0249F" w:rsidRPr="00B0249F">
        <w:rPr>
          <w:rFonts w:eastAsia="Gulim"/>
          <w:lang w:val="en-GB"/>
        </w:rPr>
        <w:t xml:space="preserve">Keharanjo II Nguvauva. </w:t>
      </w:r>
    </w:p>
    <w:p w14:paraId="011A02A5" w14:textId="77777777" w:rsidR="00B0249F" w:rsidRDefault="00B0249F" w:rsidP="00B0249F">
      <w:pPr>
        <w:pStyle w:val="ListParagraph"/>
      </w:pPr>
    </w:p>
    <w:p w14:paraId="2995D2DC" w14:textId="482B5C7B" w:rsidR="005A15B4" w:rsidRDefault="00B0249F" w:rsidP="00B36DB2">
      <w:pPr>
        <w:pStyle w:val="BodyText2"/>
        <w:numPr>
          <w:ilvl w:val="0"/>
          <w:numId w:val="26"/>
        </w:numPr>
        <w:shd w:val="clear" w:color="auto" w:fill="FFFFFF"/>
        <w:spacing w:after="0"/>
        <w:ind w:left="0" w:right="29" w:firstLine="0"/>
      </w:pPr>
      <w:r>
        <w:t xml:space="preserve">The first applicant </w:t>
      </w:r>
      <w:r w:rsidR="00B16F60" w:rsidRPr="00B67A30">
        <w:t xml:space="preserve">applied for the approval of Ms. Aletha Nguvauva as the </w:t>
      </w:r>
      <w:r w:rsidRPr="00B67A30">
        <w:t>C</w:t>
      </w:r>
      <w:r w:rsidR="00B16F60" w:rsidRPr="00B67A30">
        <w:t xml:space="preserve">hief of the Ovambanderu Traditional </w:t>
      </w:r>
      <w:r w:rsidR="00773603" w:rsidRPr="00B67A30">
        <w:t>Council</w:t>
      </w:r>
      <w:r w:rsidR="00B16F60" w:rsidRPr="00B67A30">
        <w:t>.</w:t>
      </w:r>
      <w:r w:rsidR="00B16F60" w:rsidRPr="00B16F60">
        <w:t xml:space="preserve"> In 2015, this faction </w:t>
      </w:r>
      <w:r w:rsidR="00496080">
        <w:t>requested</w:t>
      </w:r>
      <w:r w:rsidR="00B16F60" w:rsidRPr="00B16F60">
        <w:t xml:space="preserve"> the Minister to consider her application for recognition and approve her as the Chief of the Ovambanderu Traditional Community. </w:t>
      </w:r>
      <w:r w:rsidR="00B16F60" w:rsidRPr="005A15B4">
        <w:t xml:space="preserve">However, the Minister </w:t>
      </w:r>
      <w:r w:rsidR="005A15B4">
        <w:t xml:space="preserve">apparently </w:t>
      </w:r>
      <w:r w:rsidR="00B16F60" w:rsidRPr="005A15B4">
        <w:t>did not consider her application.</w:t>
      </w:r>
      <w:r w:rsidR="00B16F60" w:rsidRPr="00B16F60">
        <w:t xml:space="preserve"> </w:t>
      </w:r>
    </w:p>
    <w:p w14:paraId="3822EC41" w14:textId="77777777" w:rsidR="00CC153E" w:rsidRDefault="00CC153E" w:rsidP="00CC153E">
      <w:pPr>
        <w:pStyle w:val="ListParagraph"/>
      </w:pPr>
    </w:p>
    <w:p w14:paraId="356A5D14" w14:textId="7013439F" w:rsidR="005A15B4" w:rsidRDefault="00CC153E" w:rsidP="00CC153E">
      <w:pPr>
        <w:pStyle w:val="Heading5"/>
      </w:pPr>
      <w:r w:rsidRPr="00CC153E">
        <w:t>Facts leading to the current review application</w:t>
      </w:r>
    </w:p>
    <w:p w14:paraId="469A0943" w14:textId="77777777" w:rsidR="00CC153E" w:rsidRPr="00CC153E" w:rsidRDefault="00CC153E" w:rsidP="00CC153E"/>
    <w:p w14:paraId="3FB44CEC" w14:textId="785D137F" w:rsidR="00167EC8" w:rsidRDefault="00117D06" w:rsidP="00B36DB2">
      <w:pPr>
        <w:pStyle w:val="BodyText2"/>
        <w:numPr>
          <w:ilvl w:val="0"/>
          <w:numId w:val="26"/>
        </w:numPr>
        <w:shd w:val="clear" w:color="auto" w:fill="FFFFFF"/>
        <w:spacing w:after="0"/>
        <w:ind w:left="0" w:right="29" w:firstLine="0"/>
      </w:pPr>
      <w:r w:rsidRPr="00FC6631">
        <w:t xml:space="preserve">On </w:t>
      </w:r>
      <w:r w:rsidR="00167EC8">
        <w:t>20</w:t>
      </w:r>
      <w:r w:rsidRPr="00FC6631">
        <w:t xml:space="preserve"> January 2017, </w:t>
      </w:r>
      <w:r w:rsidR="00EA7F5E" w:rsidRPr="00FC6631">
        <w:t xml:space="preserve">the </w:t>
      </w:r>
      <w:r w:rsidR="00CC153E">
        <w:t>first applicant</w:t>
      </w:r>
      <w:r w:rsidR="00167EC8">
        <w:t>, led by the second applicant,</w:t>
      </w:r>
      <w:r w:rsidR="00EA7F5E" w:rsidRPr="00FC6631">
        <w:t xml:space="preserve"> lodged another application for approval of the designation of Ms</w:t>
      </w:r>
      <w:r w:rsidRPr="00FC6631">
        <w:t xml:space="preserve"> Aletha Nguvauva as the Chief </w:t>
      </w:r>
      <w:r w:rsidRPr="00B67A30">
        <w:t xml:space="preserve">under </w:t>
      </w:r>
      <w:r w:rsidR="002E63D7" w:rsidRPr="00B67A30">
        <w:t>the</w:t>
      </w:r>
      <w:r w:rsidR="002E63D7">
        <w:t xml:space="preserve"> </w:t>
      </w:r>
      <w:r w:rsidRPr="00FC6631">
        <w:t xml:space="preserve">traditional authority name Ovambanderu Traditional Council. </w:t>
      </w:r>
      <w:r w:rsidR="00167EC8">
        <w:t>On 29 July 2019</w:t>
      </w:r>
      <w:r w:rsidR="00E05DED">
        <w:t>, the Minister responded to the application and indicated that he stood by the decision of his predecessors. He</w:t>
      </w:r>
      <w:r w:rsidR="00167EC8">
        <w:t xml:space="preserve"> indicated that he was of the view that the application by the applicants was in contravention </w:t>
      </w:r>
      <w:r w:rsidR="0081696E">
        <w:t>of</w:t>
      </w:r>
      <w:r w:rsidR="00167EC8">
        <w:t xml:space="preserve"> s 5(3) of the Act</w:t>
      </w:r>
      <w:r w:rsidR="0081696E">
        <w:t>.</w:t>
      </w:r>
    </w:p>
    <w:p w14:paraId="2B7290A0" w14:textId="77777777" w:rsidR="0081696E" w:rsidRDefault="0081696E" w:rsidP="0081696E">
      <w:pPr>
        <w:pStyle w:val="BodyText2"/>
        <w:shd w:val="clear" w:color="auto" w:fill="FFFFFF"/>
        <w:spacing w:after="0"/>
        <w:ind w:right="29"/>
      </w:pPr>
    </w:p>
    <w:p w14:paraId="6E37A245" w14:textId="1A194499" w:rsidR="00FC6631" w:rsidRDefault="0081696E" w:rsidP="00B36DB2">
      <w:pPr>
        <w:pStyle w:val="BodyText2"/>
        <w:numPr>
          <w:ilvl w:val="0"/>
          <w:numId w:val="26"/>
        </w:numPr>
        <w:shd w:val="clear" w:color="auto" w:fill="FFFFFF"/>
        <w:spacing w:after="0"/>
        <w:ind w:left="0" w:right="29" w:firstLine="0"/>
      </w:pPr>
      <w:r>
        <w:t>In response</w:t>
      </w:r>
      <w:r w:rsidR="0023302A">
        <w:t>, Ms Aletha Nguvauva lodged an application for review with the High Court on 19 November 2021</w:t>
      </w:r>
      <w:r w:rsidR="009A3DDF">
        <w:t xml:space="preserve">. She sought the review and set aside </w:t>
      </w:r>
      <w:r w:rsidR="00117D06" w:rsidRPr="00FC6631">
        <w:t xml:space="preserve">the decision by the Minister dated 29 July 2019 </w:t>
      </w:r>
      <w:r>
        <w:t>on the basis that</w:t>
      </w:r>
      <w:r w:rsidR="00117D06" w:rsidRPr="00FC6631">
        <w:t xml:space="preserve"> the Minister dismissed her application. In the same application</w:t>
      </w:r>
      <w:r w:rsidR="00EA7F5E" w:rsidRPr="00FC6631">
        <w:t>,</w:t>
      </w:r>
      <w:r w:rsidR="00117D06" w:rsidRPr="00FC6631">
        <w:t xml:space="preserve"> she asked the High Court to remit the matter to the Minister </w:t>
      </w:r>
      <w:r w:rsidR="00EA7F5E" w:rsidRPr="00FC6631">
        <w:t>for</w:t>
      </w:r>
      <w:r w:rsidR="00117D06" w:rsidRPr="00FC6631">
        <w:t xml:space="preserve"> the Minister to compl</w:t>
      </w:r>
      <w:r w:rsidR="00C61BCE" w:rsidRPr="00FC6631">
        <w:t>y with the provisions of s</w:t>
      </w:r>
      <w:r w:rsidR="00117D06" w:rsidRPr="00FC6631">
        <w:t xml:space="preserve"> 5 of the Act, specifically that the Minister must be directed to provide his ad</w:t>
      </w:r>
      <w:r w:rsidR="00C61BCE" w:rsidRPr="00FC6631">
        <w:t>vice, as contemplated by s</w:t>
      </w:r>
      <w:r w:rsidR="002E63D7">
        <w:t xml:space="preserve"> 5 (3)</w:t>
      </w:r>
      <w:r w:rsidR="00117D06" w:rsidRPr="00FC6631">
        <w:t>(</w:t>
      </w:r>
      <w:r w:rsidR="00117D06" w:rsidRPr="002E63D7">
        <w:rPr>
          <w:i/>
        </w:rPr>
        <w:t>b</w:t>
      </w:r>
      <w:r w:rsidR="00117D06" w:rsidRPr="00FC6631">
        <w:t>) of the Act to the President.</w:t>
      </w:r>
      <w:r w:rsidR="00FC6631">
        <w:t xml:space="preserve"> </w:t>
      </w:r>
    </w:p>
    <w:p w14:paraId="78310702" w14:textId="77777777" w:rsidR="0081696E" w:rsidRDefault="0081696E" w:rsidP="0081696E">
      <w:pPr>
        <w:pStyle w:val="ListParagraph"/>
      </w:pPr>
    </w:p>
    <w:p w14:paraId="069A2A8D" w14:textId="6E9D495F" w:rsidR="00FC6631" w:rsidRPr="00FC6631" w:rsidRDefault="00EA7F5E" w:rsidP="00B36DB2">
      <w:pPr>
        <w:pStyle w:val="BodyText2"/>
        <w:numPr>
          <w:ilvl w:val="0"/>
          <w:numId w:val="26"/>
        </w:numPr>
        <w:shd w:val="clear" w:color="auto" w:fill="FFFFFF"/>
        <w:spacing w:after="0"/>
        <w:ind w:left="0" w:right="29" w:firstLine="0"/>
      </w:pPr>
      <w:r w:rsidRPr="00FC6631">
        <w:lastRenderedPageBreak/>
        <w:t xml:space="preserve">On 22 July 2021, </w:t>
      </w:r>
      <w:r w:rsidR="00FC6631" w:rsidRPr="00FC6631">
        <w:t>t</w:t>
      </w:r>
      <w:r w:rsidRPr="00FC6631">
        <w:t>he High Court delivered its order and reasons on 27 July 2021</w:t>
      </w:r>
      <w:r w:rsidR="00117D06" w:rsidRPr="00FC6631">
        <w:t xml:space="preserve"> and dismissed the points in limine raised on behalf of the respondents with costs.</w:t>
      </w:r>
      <w:r>
        <w:rPr>
          <w:rStyle w:val="FootnoteReference"/>
        </w:rPr>
        <w:footnoteReference w:id="2"/>
      </w:r>
      <w:r w:rsidR="00117D06" w:rsidRPr="00FC6631">
        <w:t xml:space="preserve"> </w:t>
      </w:r>
      <w:r w:rsidR="0023302A">
        <w:t>Hereafter</w:t>
      </w:r>
      <w:r w:rsidR="00E05DED">
        <w:t>,</w:t>
      </w:r>
      <w:r w:rsidR="0023302A">
        <w:t xml:space="preserve"> the matter became settled between the parties, and i</w:t>
      </w:r>
      <w:r w:rsidR="00FC6631" w:rsidRPr="00FC6631">
        <w:t>n its subsequent order dated 10 August 2021</w:t>
      </w:r>
      <w:r w:rsidR="00290AF6">
        <w:t>,</w:t>
      </w:r>
      <w:r w:rsidR="00FC6631" w:rsidRPr="00FC6631">
        <w:t xml:space="preserve"> the Court made the following order:</w:t>
      </w:r>
    </w:p>
    <w:p w14:paraId="51430254" w14:textId="77777777" w:rsidR="00FC6631" w:rsidRDefault="00FC6631" w:rsidP="00117D06">
      <w:pPr>
        <w:spacing w:after="0" w:line="360" w:lineRule="auto"/>
        <w:jc w:val="both"/>
        <w:rPr>
          <w:rFonts w:ascii="Arial" w:hAnsi="Arial" w:cs="Arial"/>
          <w:sz w:val="24"/>
          <w:szCs w:val="24"/>
        </w:rPr>
      </w:pPr>
    </w:p>
    <w:p w14:paraId="2087AB8D" w14:textId="77777777" w:rsidR="0023302A" w:rsidRDefault="00FC6631" w:rsidP="00FC6631">
      <w:pPr>
        <w:pStyle w:val="BodyText3"/>
        <w:ind w:firstLine="720"/>
      </w:pPr>
      <w:r>
        <w:t>‘</w:t>
      </w:r>
      <w:r w:rsidR="0023302A">
        <w:t xml:space="preserve">IT IS HEREBY RECORDED THAT: </w:t>
      </w:r>
    </w:p>
    <w:p w14:paraId="44B68B50" w14:textId="3C4910C3" w:rsidR="0023302A" w:rsidRDefault="0023302A" w:rsidP="0023302A">
      <w:pPr>
        <w:pStyle w:val="BodyText3"/>
      </w:pPr>
      <w:r>
        <w:t>1. The parties, in view of the ruling of the court in respect of the points of law in limine, expressed the view that the matter be referred to the Minister for him to make a decision on the application for designation.</w:t>
      </w:r>
    </w:p>
    <w:p w14:paraId="33DD02D5" w14:textId="77777777" w:rsidR="0023302A" w:rsidRDefault="0023302A" w:rsidP="0023302A">
      <w:pPr>
        <w:pStyle w:val="BodyText3"/>
      </w:pPr>
      <w:r>
        <w:t xml:space="preserve"> IT IS ORDERED THAT:</w:t>
      </w:r>
    </w:p>
    <w:p w14:paraId="12BD21D1" w14:textId="40C2848A" w:rsidR="00FC6631" w:rsidRDefault="0023302A" w:rsidP="0023302A">
      <w:pPr>
        <w:pStyle w:val="BodyText3"/>
      </w:pPr>
      <w:r>
        <w:t xml:space="preserve"> </w:t>
      </w:r>
      <w:r w:rsidR="00FC6631" w:rsidRPr="00FC6631">
        <w:t xml:space="preserve">1. The matter is referred back to the Minister for Urban and Rural Development for him to make a decision on the Applicants' application for designation in terms of the Traditional Authorities Act No. 25 of 2000. </w:t>
      </w:r>
    </w:p>
    <w:p w14:paraId="31FB7057" w14:textId="77777777" w:rsidR="00FC6631" w:rsidRDefault="00FC6631" w:rsidP="00FC6631">
      <w:pPr>
        <w:pStyle w:val="BodyText3"/>
      </w:pPr>
      <w:r w:rsidRPr="00FC6631">
        <w:t>2.  The Minister of Rural and Urban Development is directed to make his decision on the said application within a period of sixty (60) days from the date of this order.</w:t>
      </w:r>
    </w:p>
    <w:p w14:paraId="705D2CDC" w14:textId="57829412" w:rsidR="00FC6631" w:rsidRPr="00FC6631" w:rsidRDefault="00FC6631" w:rsidP="00FC6631">
      <w:pPr>
        <w:pStyle w:val="BodyText3"/>
        <w:rPr>
          <w:sz w:val="24"/>
          <w:szCs w:val="24"/>
        </w:rPr>
      </w:pPr>
      <w:r w:rsidRPr="00FC6631">
        <w:t>3</w:t>
      </w:r>
      <w:r>
        <w:t>.</w:t>
      </w:r>
      <w:r w:rsidRPr="00FC6631">
        <w:t xml:space="preserve"> The matter is removed from the roll: Case Finalised.</w:t>
      </w:r>
      <w:r>
        <w:t>’</w:t>
      </w:r>
    </w:p>
    <w:p w14:paraId="4FDD1AE2" w14:textId="77777777" w:rsidR="00FC6631" w:rsidRDefault="00FC6631" w:rsidP="00117D06">
      <w:pPr>
        <w:spacing w:after="0" w:line="360" w:lineRule="auto"/>
        <w:jc w:val="both"/>
        <w:rPr>
          <w:rFonts w:ascii="Arial" w:hAnsi="Arial" w:cs="Arial"/>
          <w:sz w:val="24"/>
          <w:szCs w:val="24"/>
        </w:rPr>
      </w:pPr>
    </w:p>
    <w:p w14:paraId="6246415A" w14:textId="3AC11F40" w:rsidR="00FA1BE4" w:rsidRDefault="00900892" w:rsidP="00B36DB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On 20 October 2021, t</w:t>
      </w:r>
      <w:r w:rsidR="00FA1BE4" w:rsidRPr="00FA1BE4">
        <w:rPr>
          <w:rFonts w:ascii="Arial" w:hAnsi="Arial" w:cs="Arial"/>
          <w:sz w:val="24"/>
          <w:szCs w:val="24"/>
        </w:rPr>
        <w:t>he Minister</w:t>
      </w:r>
      <w:r w:rsidR="00E72D08">
        <w:rPr>
          <w:rFonts w:ascii="Arial" w:hAnsi="Arial" w:cs="Arial"/>
          <w:sz w:val="24"/>
          <w:szCs w:val="24"/>
        </w:rPr>
        <w:t xml:space="preserve">, by way of a letter, made a decision to act </w:t>
      </w:r>
      <w:r w:rsidR="00FA1BE4" w:rsidRPr="00FA1BE4">
        <w:rPr>
          <w:rFonts w:ascii="Arial" w:hAnsi="Arial" w:cs="Arial"/>
          <w:sz w:val="24"/>
          <w:szCs w:val="24"/>
        </w:rPr>
        <w:t xml:space="preserve">in terms of s </w:t>
      </w:r>
      <w:r w:rsidR="00117D06" w:rsidRPr="00FA1BE4">
        <w:rPr>
          <w:rFonts w:ascii="Arial" w:hAnsi="Arial" w:cs="Arial"/>
          <w:sz w:val="24"/>
          <w:szCs w:val="24"/>
        </w:rPr>
        <w:t>5 (3) of the Traditional Authorities Act</w:t>
      </w:r>
      <w:r w:rsidR="00FA1BE4">
        <w:rPr>
          <w:rFonts w:ascii="Arial" w:hAnsi="Arial" w:cs="Arial"/>
          <w:sz w:val="24"/>
          <w:szCs w:val="24"/>
        </w:rPr>
        <w:t xml:space="preserve"> by </w:t>
      </w:r>
      <w:r w:rsidR="00E72D08">
        <w:rPr>
          <w:rFonts w:ascii="Arial" w:hAnsi="Arial" w:cs="Arial"/>
          <w:sz w:val="24"/>
          <w:szCs w:val="24"/>
        </w:rPr>
        <w:t>referring the application</w:t>
      </w:r>
      <w:r w:rsidR="00117D06" w:rsidRPr="00FA1BE4">
        <w:rPr>
          <w:rFonts w:ascii="Arial" w:hAnsi="Arial" w:cs="Arial"/>
          <w:sz w:val="24"/>
          <w:szCs w:val="24"/>
        </w:rPr>
        <w:t xml:space="preserve"> to </w:t>
      </w:r>
      <w:r w:rsidR="00FA1BE4">
        <w:rPr>
          <w:rFonts w:ascii="Arial" w:hAnsi="Arial" w:cs="Arial"/>
          <w:sz w:val="24"/>
          <w:szCs w:val="24"/>
        </w:rPr>
        <w:t xml:space="preserve">the second respondent, the </w:t>
      </w:r>
      <w:r w:rsidR="00FA1BE4" w:rsidRPr="00197EEA">
        <w:rPr>
          <w:rFonts w:ascii="Arial" w:hAnsi="Arial" w:cs="Arial"/>
          <w:sz w:val="24"/>
          <w:szCs w:val="24"/>
        </w:rPr>
        <w:t xml:space="preserve">President of </w:t>
      </w:r>
      <w:r w:rsidR="00AC175F" w:rsidRPr="00197EEA">
        <w:rPr>
          <w:rFonts w:ascii="Arial" w:hAnsi="Arial" w:cs="Arial"/>
          <w:sz w:val="24"/>
          <w:szCs w:val="24"/>
        </w:rPr>
        <w:t xml:space="preserve">the Republic of </w:t>
      </w:r>
      <w:r w:rsidR="00FA1BE4" w:rsidRPr="00197EEA">
        <w:rPr>
          <w:rFonts w:ascii="Arial" w:hAnsi="Arial" w:cs="Arial"/>
          <w:sz w:val="24"/>
          <w:szCs w:val="24"/>
        </w:rPr>
        <w:t>Namibia</w:t>
      </w:r>
      <w:r w:rsidR="00FA1BE4">
        <w:rPr>
          <w:rFonts w:ascii="Arial" w:hAnsi="Arial" w:cs="Arial"/>
          <w:sz w:val="24"/>
          <w:szCs w:val="24"/>
        </w:rPr>
        <w:t>. On 28 October 2021, the applicants' current legal practitioner directed correspondence to the Minister requesting reasons for the decision to refer the matter in terms of s 5(3) of the Act.</w:t>
      </w:r>
      <w:r w:rsidR="00E72D08">
        <w:rPr>
          <w:rFonts w:ascii="Arial" w:hAnsi="Arial" w:cs="Arial"/>
          <w:sz w:val="24"/>
          <w:szCs w:val="24"/>
        </w:rPr>
        <w:t xml:space="preserve"> </w:t>
      </w:r>
    </w:p>
    <w:p w14:paraId="1FB3ECFB" w14:textId="77777777" w:rsidR="00B36DB2" w:rsidRDefault="00B36DB2" w:rsidP="00B36DB2">
      <w:pPr>
        <w:pStyle w:val="ListParagraph"/>
        <w:spacing w:after="0" w:line="360" w:lineRule="auto"/>
        <w:ind w:left="0"/>
        <w:jc w:val="both"/>
        <w:rPr>
          <w:rFonts w:ascii="Arial" w:hAnsi="Arial" w:cs="Arial"/>
          <w:sz w:val="24"/>
          <w:szCs w:val="24"/>
        </w:rPr>
      </w:pPr>
    </w:p>
    <w:p w14:paraId="2E25A7B8" w14:textId="5ED8322B" w:rsidR="00FA1BE4" w:rsidRDefault="00EA7F5E" w:rsidP="00B36DB2">
      <w:pPr>
        <w:pStyle w:val="ListParagraph"/>
        <w:numPr>
          <w:ilvl w:val="0"/>
          <w:numId w:val="26"/>
        </w:numPr>
        <w:spacing w:after="0" w:line="360" w:lineRule="auto"/>
        <w:ind w:left="0" w:firstLine="0"/>
        <w:jc w:val="both"/>
        <w:rPr>
          <w:rFonts w:ascii="Arial" w:hAnsi="Arial" w:cs="Arial"/>
          <w:sz w:val="24"/>
          <w:szCs w:val="24"/>
        </w:rPr>
      </w:pPr>
      <w:r w:rsidRPr="00FA1BE4">
        <w:rPr>
          <w:rFonts w:ascii="Arial" w:hAnsi="Arial" w:cs="Arial"/>
          <w:sz w:val="24"/>
          <w:szCs w:val="24"/>
        </w:rPr>
        <w:t xml:space="preserve"> </w:t>
      </w:r>
      <w:r w:rsidR="00FA1BE4">
        <w:rPr>
          <w:rFonts w:ascii="Arial" w:hAnsi="Arial" w:cs="Arial"/>
          <w:sz w:val="24"/>
          <w:szCs w:val="24"/>
        </w:rPr>
        <w:t>In response to this request</w:t>
      </w:r>
      <w:r w:rsidR="00E72D08">
        <w:rPr>
          <w:rFonts w:ascii="Arial" w:hAnsi="Arial" w:cs="Arial"/>
          <w:sz w:val="24"/>
          <w:szCs w:val="24"/>
        </w:rPr>
        <w:t>,</w:t>
      </w:r>
      <w:r w:rsidR="00FA1BE4">
        <w:rPr>
          <w:rFonts w:ascii="Arial" w:hAnsi="Arial" w:cs="Arial"/>
          <w:sz w:val="24"/>
          <w:szCs w:val="24"/>
        </w:rPr>
        <w:t xml:space="preserve"> the Minister directed a letter dated 23 October 2022  to the said legal practitioner,  wherein he responded as follows:</w:t>
      </w:r>
    </w:p>
    <w:p w14:paraId="1DD8BB96" w14:textId="77777777" w:rsidR="00AC175F" w:rsidRDefault="00AC175F" w:rsidP="00AC175F">
      <w:pPr>
        <w:pStyle w:val="ListParagraph"/>
        <w:spacing w:after="0" w:line="360" w:lineRule="auto"/>
        <w:ind w:left="0"/>
        <w:jc w:val="both"/>
        <w:rPr>
          <w:rFonts w:ascii="Arial" w:hAnsi="Arial" w:cs="Arial"/>
          <w:sz w:val="24"/>
          <w:szCs w:val="24"/>
        </w:rPr>
      </w:pPr>
    </w:p>
    <w:p w14:paraId="60416035" w14:textId="345967B9" w:rsidR="00117D06" w:rsidRDefault="00FA1BE4" w:rsidP="00FA1BE4">
      <w:pPr>
        <w:pStyle w:val="ListParagraph"/>
        <w:spacing w:after="0" w:line="360" w:lineRule="auto"/>
        <w:ind w:left="0" w:firstLine="720"/>
        <w:jc w:val="both"/>
        <w:rPr>
          <w:rFonts w:ascii="Arial" w:hAnsi="Arial" w:cs="Arial"/>
        </w:rPr>
      </w:pPr>
      <w:r>
        <w:rPr>
          <w:rFonts w:ascii="Arial" w:hAnsi="Arial" w:cs="Arial"/>
          <w:sz w:val="24"/>
          <w:szCs w:val="24"/>
        </w:rPr>
        <w:t>‘</w:t>
      </w:r>
      <w:r w:rsidRPr="00FA1BE4">
        <w:rPr>
          <w:rFonts w:ascii="Arial" w:hAnsi="Arial" w:cs="Arial"/>
        </w:rPr>
        <w:t xml:space="preserve">3.  Subsequent to </w:t>
      </w:r>
      <w:r w:rsidR="002E63D7" w:rsidRPr="00B67A30">
        <w:rPr>
          <w:rFonts w:ascii="Arial" w:hAnsi="Arial" w:cs="Arial"/>
        </w:rPr>
        <w:t>me</w:t>
      </w:r>
      <w:r w:rsidR="002E63D7">
        <w:rPr>
          <w:rFonts w:ascii="Arial" w:hAnsi="Arial" w:cs="Arial"/>
        </w:rPr>
        <w:t xml:space="preserve"> </w:t>
      </w:r>
      <w:r w:rsidRPr="00FA1BE4">
        <w:rPr>
          <w:rFonts w:ascii="Arial" w:hAnsi="Arial" w:cs="Arial"/>
        </w:rPr>
        <w:t xml:space="preserve">having considered the application for approval to designate Ms Aletha </w:t>
      </w:r>
      <w:r w:rsidR="00315F45" w:rsidRPr="00FA1BE4">
        <w:rPr>
          <w:rFonts w:ascii="Arial" w:hAnsi="Arial" w:cs="Arial"/>
        </w:rPr>
        <w:t>Nguvauva</w:t>
      </w:r>
      <w:r>
        <w:rPr>
          <w:rFonts w:ascii="Arial" w:hAnsi="Arial" w:cs="Arial"/>
        </w:rPr>
        <w:t xml:space="preserve"> dated 19 December 2016, I specifically considered and noted that:</w:t>
      </w:r>
    </w:p>
    <w:p w14:paraId="5AA0D401" w14:textId="0B9A0858" w:rsidR="00FA1BE4" w:rsidRDefault="00FA1BE4" w:rsidP="00B36DB2">
      <w:pPr>
        <w:pStyle w:val="ListParagraph"/>
        <w:spacing w:after="0" w:line="360" w:lineRule="auto"/>
        <w:ind w:left="0"/>
        <w:jc w:val="both"/>
        <w:rPr>
          <w:rFonts w:ascii="Arial" w:hAnsi="Arial" w:cs="Arial"/>
        </w:rPr>
      </w:pPr>
      <w:r>
        <w:rPr>
          <w:rFonts w:ascii="Arial" w:hAnsi="Arial" w:cs="Arial"/>
        </w:rPr>
        <w:lastRenderedPageBreak/>
        <w:t>3.1</w:t>
      </w:r>
      <w:r w:rsidR="002E63D7">
        <w:rPr>
          <w:rFonts w:ascii="Arial" w:hAnsi="Arial" w:cs="Arial"/>
        </w:rPr>
        <w:tab/>
      </w:r>
      <w:r>
        <w:rPr>
          <w:rFonts w:ascii="Arial" w:hAnsi="Arial" w:cs="Arial"/>
        </w:rPr>
        <w:t xml:space="preserve"> That the application indicates that the community represented by Ms Aletha Nguvauva as the Ovambanderu Traditional Community (paragraph 3 thereof). This is the same community for which the late Chief Kilus Nguvauva’s designation was approved and recogniz</w:t>
      </w:r>
      <w:r w:rsidR="00315F45">
        <w:rPr>
          <w:rFonts w:ascii="Arial" w:hAnsi="Arial" w:cs="Arial"/>
        </w:rPr>
        <w:t>e</w:t>
      </w:r>
      <w:r>
        <w:rPr>
          <w:rFonts w:ascii="Arial" w:hAnsi="Arial" w:cs="Arial"/>
        </w:rPr>
        <w:t xml:space="preserve">d under the Act, </w:t>
      </w:r>
    </w:p>
    <w:p w14:paraId="66A6A592" w14:textId="2F3ECD52" w:rsidR="00FA1BE4" w:rsidRDefault="00FA1BE4" w:rsidP="00B36DB2">
      <w:pPr>
        <w:pStyle w:val="ListParagraph"/>
        <w:spacing w:after="0" w:line="360" w:lineRule="auto"/>
        <w:ind w:left="0"/>
        <w:jc w:val="both"/>
        <w:rPr>
          <w:rFonts w:ascii="Arial" w:hAnsi="Arial" w:cs="Arial"/>
        </w:rPr>
      </w:pPr>
      <w:r>
        <w:rPr>
          <w:rFonts w:ascii="Arial" w:hAnsi="Arial" w:cs="Arial"/>
        </w:rPr>
        <w:t>3.2</w:t>
      </w:r>
      <w:r w:rsidR="002E63D7">
        <w:rPr>
          <w:rFonts w:ascii="Arial" w:hAnsi="Arial" w:cs="Arial"/>
        </w:rPr>
        <w:tab/>
      </w:r>
      <w:r>
        <w:rPr>
          <w:rFonts w:ascii="Arial" w:hAnsi="Arial" w:cs="Arial"/>
        </w:rPr>
        <w:t xml:space="preserve"> The application further indicates the description of the communal area inhabited by the above Ovambanderu Traditional Community and the number of </w:t>
      </w:r>
      <w:r w:rsidR="00B25DDB">
        <w:rPr>
          <w:rFonts w:ascii="Arial" w:hAnsi="Arial" w:cs="Arial"/>
        </w:rPr>
        <w:t>t</w:t>
      </w:r>
      <w:r>
        <w:rPr>
          <w:rFonts w:ascii="Arial" w:hAnsi="Arial" w:cs="Arial"/>
        </w:rPr>
        <w:t>he members comprising the traditional community</w:t>
      </w:r>
      <w:r w:rsidR="00315F45">
        <w:rPr>
          <w:rFonts w:ascii="Arial" w:hAnsi="Arial" w:cs="Arial"/>
        </w:rPr>
        <w:t>,</w:t>
      </w:r>
      <w:r>
        <w:rPr>
          <w:rFonts w:ascii="Arial" w:hAnsi="Arial" w:cs="Arial"/>
        </w:rPr>
        <w:t xml:space="preserve"> which is indicated as about 30 000. Once again, the areas and the number of members of the community is the same as the one in which the late Chief Kilus Nguvauv</w:t>
      </w:r>
      <w:r w:rsidR="00B36DB2">
        <w:rPr>
          <w:rFonts w:ascii="Arial" w:hAnsi="Arial" w:cs="Arial"/>
        </w:rPr>
        <w:t>a</w:t>
      </w:r>
      <w:r>
        <w:rPr>
          <w:rFonts w:ascii="Arial" w:hAnsi="Arial" w:cs="Arial"/>
        </w:rPr>
        <w:t xml:space="preserve"> was designated and approved as Chief under the Act.</w:t>
      </w:r>
    </w:p>
    <w:p w14:paraId="74CB5C24" w14:textId="1343CAA7" w:rsidR="00FA1BE4" w:rsidRDefault="002E63D7" w:rsidP="00FA1BE4">
      <w:pPr>
        <w:spacing w:after="0" w:line="360" w:lineRule="auto"/>
        <w:jc w:val="both"/>
        <w:rPr>
          <w:rFonts w:ascii="Arial" w:hAnsi="Arial" w:cs="Arial"/>
        </w:rPr>
      </w:pPr>
      <w:r>
        <w:rPr>
          <w:rFonts w:ascii="Arial" w:hAnsi="Arial" w:cs="Arial"/>
        </w:rPr>
        <w:t>4.</w:t>
      </w:r>
      <w:r>
        <w:rPr>
          <w:rFonts w:ascii="Arial" w:hAnsi="Arial" w:cs="Arial"/>
        </w:rPr>
        <w:tab/>
      </w:r>
      <w:r w:rsidR="00FA1BE4">
        <w:rPr>
          <w:rFonts w:ascii="Arial" w:hAnsi="Arial" w:cs="Arial"/>
        </w:rPr>
        <w:t>This suggested to me that Ms Aletha Nguvauva represents a group of</w:t>
      </w:r>
      <w:r w:rsidR="00B36DB2">
        <w:rPr>
          <w:rFonts w:ascii="Arial" w:hAnsi="Arial" w:cs="Arial"/>
        </w:rPr>
        <w:t xml:space="preserve"> </w:t>
      </w:r>
      <w:r w:rsidR="00FA1BE4">
        <w:rPr>
          <w:rFonts w:ascii="Arial" w:hAnsi="Arial" w:cs="Arial"/>
        </w:rPr>
        <w:t xml:space="preserve">persons who are members </w:t>
      </w:r>
      <w:r w:rsidR="00315F45">
        <w:rPr>
          <w:rFonts w:ascii="Arial" w:hAnsi="Arial" w:cs="Arial"/>
        </w:rPr>
        <w:t xml:space="preserve">of a traditional community in respect of a chief or head or a traditional community that </w:t>
      </w:r>
      <w:r w:rsidR="00FA1BE4">
        <w:rPr>
          <w:rFonts w:ascii="Arial" w:hAnsi="Arial" w:cs="Arial"/>
        </w:rPr>
        <w:t xml:space="preserve">has already been designated and recognized under the Act. </w:t>
      </w:r>
    </w:p>
    <w:p w14:paraId="7F8526A5" w14:textId="6668194A" w:rsidR="00FA1BE4" w:rsidRPr="00FA1BE4" w:rsidRDefault="00FA1BE4" w:rsidP="00FA1BE4">
      <w:pPr>
        <w:spacing w:after="0" w:line="360" w:lineRule="auto"/>
        <w:jc w:val="both"/>
        <w:rPr>
          <w:rFonts w:ascii="Arial" w:hAnsi="Arial" w:cs="Arial"/>
        </w:rPr>
      </w:pPr>
      <w:r>
        <w:rPr>
          <w:rFonts w:ascii="Arial" w:hAnsi="Arial" w:cs="Arial"/>
        </w:rPr>
        <w:t>5. It is thus on the above basis the application was in terms of section 5 (3) referred to His Excellency, the President of the Republic for his further action in accordance with the law.’</w:t>
      </w:r>
    </w:p>
    <w:p w14:paraId="263CB9C3" w14:textId="77777777" w:rsidR="00315F45" w:rsidRDefault="00315F45" w:rsidP="00117D06">
      <w:pPr>
        <w:spacing w:after="0" w:line="360" w:lineRule="auto"/>
        <w:jc w:val="both"/>
        <w:rPr>
          <w:rFonts w:ascii="Arial" w:hAnsi="Arial" w:cs="Arial"/>
          <w:sz w:val="24"/>
          <w:szCs w:val="24"/>
          <w:u w:val="single"/>
        </w:rPr>
      </w:pPr>
    </w:p>
    <w:p w14:paraId="109D269B" w14:textId="2B2B5877" w:rsidR="00193841" w:rsidRPr="00193841" w:rsidRDefault="00B25DDB" w:rsidP="00315F45">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 xml:space="preserve">With reference to the aforementioned </w:t>
      </w:r>
      <w:r w:rsidR="002E63D7" w:rsidRPr="00B67A30">
        <w:rPr>
          <w:rFonts w:ascii="Arial" w:hAnsi="Arial" w:cs="Arial"/>
          <w:sz w:val="24"/>
          <w:szCs w:val="24"/>
        </w:rPr>
        <w:t>correspondence</w:t>
      </w:r>
      <w:r w:rsidRPr="00B67A30">
        <w:rPr>
          <w:rFonts w:ascii="Arial" w:hAnsi="Arial" w:cs="Arial"/>
          <w:sz w:val="24"/>
          <w:szCs w:val="24"/>
        </w:rPr>
        <w:t xml:space="preserve"> i</w:t>
      </w:r>
      <w:r w:rsidR="00193841" w:rsidRPr="00B67A30">
        <w:rPr>
          <w:rFonts w:ascii="Arial" w:hAnsi="Arial" w:cs="Arial"/>
          <w:sz w:val="24"/>
          <w:szCs w:val="24"/>
        </w:rPr>
        <w:t xml:space="preserve">t is the </w:t>
      </w:r>
      <w:r w:rsidR="002E63D7" w:rsidRPr="00B67A30">
        <w:rPr>
          <w:rFonts w:ascii="Arial" w:hAnsi="Arial" w:cs="Arial"/>
          <w:sz w:val="24"/>
          <w:szCs w:val="24"/>
        </w:rPr>
        <w:t xml:space="preserve">applicants’ </w:t>
      </w:r>
      <w:r w:rsidR="00193841" w:rsidRPr="00B67A30">
        <w:rPr>
          <w:rFonts w:ascii="Arial" w:hAnsi="Arial" w:cs="Arial"/>
          <w:sz w:val="24"/>
          <w:szCs w:val="24"/>
        </w:rPr>
        <w:t xml:space="preserve">case that </w:t>
      </w:r>
      <w:r w:rsidR="00193841" w:rsidRPr="00B67A30">
        <w:rPr>
          <w:rFonts w:ascii="Arial" w:hAnsi="Arial" w:cs="Arial"/>
          <w:color w:val="1C1C1C"/>
          <w:sz w:val="24"/>
          <w:szCs w:val="24"/>
          <w:shd w:val="clear" w:color="auto" w:fill="FFFFFF"/>
        </w:rPr>
        <w:t xml:space="preserve">the Minister considered information that did not </w:t>
      </w:r>
      <w:r w:rsidR="002E63D7" w:rsidRPr="00B67A30">
        <w:rPr>
          <w:rFonts w:ascii="Arial" w:hAnsi="Arial" w:cs="Arial"/>
          <w:color w:val="1C1C1C"/>
          <w:sz w:val="24"/>
          <w:szCs w:val="24"/>
          <w:shd w:val="clear" w:color="auto" w:fill="FFFFFF"/>
        </w:rPr>
        <w:t xml:space="preserve">stem </w:t>
      </w:r>
      <w:r w:rsidR="00193841" w:rsidRPr="00B67A30">
        <w:rPr>
          <w:rFonts w:ascii="Arial" w:hAnsi="Arial" w:cs="Arial"/>
          <w:color w:val="1C1C1C"/>
          <w:sz w:val="24"/>
          <w:szCs w:val="24"/>
          <w:shd w:val="clear" w:color="auto" w:fill="FFFFFF"/>
        </w:rPr>
        <w:t>from</w:t>
      </w:r>
      <w:r w:rsidR="00193841" w:rsidRPr="00193841">
        <w:rPr>
          <w:rFonts w:ascii="Arial" w:hAnsi="Arial" w:cs="Arial"/>
          <w:color w:val="1C1C1C"/>
          <w:sz w:val="24"/>
          <w:szCs w:val="24"/>
          <w:shd w:val="clear" w:color="auto" w:fill="FFFFFF"/>
        </w:rPr>
        <w:t xml:space="preserve"> their application for the approval of the designation of the second applicant under s 5(1) of the Act in order to make a decision. The Minister seems to have based his decision on the application </w:t>
      </w:r>
      <w:r w:rsidR="00193841">
        <w:rPr>
          <w:rFonts w:ascii="Arial" w:hAnsi="Arial" w:cs="Arial"/>
          <w:color w:val="1C1C1C"/>
          <w:sz w:val="24"/>
          <w:szCs w:val="24"/>
          <w:shd w:val="clear" w:color="auto" w:fill="FFFFFF"/>
        </w:rPr>
        <w:t>that served before him or his predecessors at some stage</w:t>
      </w:r>
      <w:r>
        <w:rPr>
          <w:rFonts w:ascii="Arial" w:hAnsi="Arial" w:cs="Arial"/>
          <w:color w:val="1C1C1C"/>
          <w:sz w:val="24"/>
          <w:szCs w:val="24"/>
          <w:shd w:val="clear" w:color="auto" w:fill="FFFFFF"/>
        </w:rPr>
        <w:t>,</w:t>
      </w:r>
      <w:r w:rsidR="00193841">
        <w:rPr>
          <w:rFonts w:ascii="Arial" w:hAnsi="Arial" w:cs="Arial"/>
          <w:color w:val="1C1C1C"/>
          <w:sz w:val="24"/>
          <w:szCs w:val="24"/>
          <w:shd w:val="clear" w:color="auto" w:fill="FFFFFF"/>
        </w:rPr>
        <w:t xml:space="preserve"> which related to the </w:t>
      </w:r>
      <w:r w:rsidR="00193841" w:rsidRPr="00193841">
        <w:rPr>
          <w:rFonts w:ascii="Arial" w:hAnsi="Arial" w:cs="Arial"/>
          <w:color w:val="1C1C1C"/>
          <w:sz w:val="24"/>
          <w:szCs w:val="24"/>
          <w:shd w:val="clear" w:color="auto" w:fill="FFFFFF"/>
        </w:rPr>
        <w:t xml:space="preserve">approval of the designation of the late Chief Kilus Nguvauva instead. This approach, according to the applicant, is flawed as they were never made aware </w:t>
      </w:r>
      <w:r w:rsidR="00193841">
        <w:rPr>
          <w:rFonts w:ascii="Arial" w:hAnsi="Arial" w:cs="Arial"/>
          <w:color w:val="1C1C1C"/>
          <w:sz w:val="24"/>
          <w:szCs w:val="24"/>
          <w:shd w:val="clear" w:color="auto" w:fill="FFFFFF"/>
        </w:rPr>
        <w:t>that the Minister gave consideration to the latter application</w:t>
      </w:r>
      <w:r w:rsidR="00193841" w:rsidRPr="00193841">
        <w:rPr>
          <w:rFonts w:ascii="Arial" w:hAnsi="Arial" w:cs="Arial"/>
          <w:color w:val="1C1C1C"/>
          <w:sz w:val="24"/>
          <w:szCs w:val="24"/>
          <w:shd w:val="clear" w:color="auto" w:fill="FFFFFF"/>
        </w:rPr>
        <w:t xml:space="preserve"> and were not given the opportunity to provide any input or representation regarding this matter</w:t>
      </w:r>
      <w:r w:rsidR="00BD1FFC">
        <w:rPr>
          <w:rFonts w:ascii="Arial" w:hAnsi="Arial" w:cs="Arial"/>
          <w:color w:val="1C1C1C"/>
          <w:sz w:val="24"/>
          <w:szCs w:val="24"/>
          <w:shd w:val="clear" w:color="auto" w:fill="FFFFFF"/>
        </w:rPr>
        <w:t xml:space="preserve">. This is </w:t>
      </w:r>
      <w:r w:rsidR="00193841">
        <w:rPr>
          <w:rFonts w:ascii="Arial" w:hAnsi="Arial" w:cs="Arial"/>
          <w:color w:val="1C1C1C"/>
          <w:sz w:val="24"/>
          <w:szCs w:val="24"/>
          <w:shd w:val="clear" w:color="auto" w:fill="FFFFFF"/>
        </w:rPr>
        <w:t xml:space="preserve">especially </w:t>
      </w:r>
      <w:r w:rsidR="00BD1FFC">
        <w:rPr>
          <w:rFonts w:ascii="Arial" w:hAnsi="Arial" w:cs="Arial"/>
          <w:color w:val="1C1C1C"/>
          <w:sz w:val="24"/>
          <w:szCs w:val="24"/>
          <w:shd w:val="clear" w:color="auto" w:fill="FFFFFF"/>
        </w:rPr>
        <w:t xml:space="preserve">so </w:t>
      </w:r>
      <w:r w:rsidR="00193841">
        <w:rPr>
          <w:rFonts w:ascii="Arial" w:hAnsi="Arial" w:cs="Arial"/>
          <w:color w:val="1C1C1C"/>
          <w:sz w:val="24"/>
          <w:szCs w:val="24"/>
          <w:shd w:val="clear" w:color="auto" w:fill="FFFFFF"/>
        </w:rPr>
        <w:t>because the applicants did not know what information contained in the</w:t>
      </w:r>
      <w:r w:rsidR="00BD1FFC">
        <w:rPr>
          <w:rFonts w:ascii="Arial" w:hAnsi="Arial" w:cs="Arial"/>
          <w:color w:val="1C1C1C"/>
          <w:sz w:val="24"/>
          <w:szCs w:val="24"/>
          <w:shd w:val="clear" w:color="auto" w:fill="FFFFFF"/>
        </w:rPr>
        <w:t xml:space="preserve"> said</w:t>
      </w:r>
      <w:r w:rsidR="00193841">
        <w:rPr>
          <w:rFonts w:ascii="Arial" w:hAnsi="Arial" w:cs="Arial"/>
          <w:color w:val="1C1C1C"/>
          <w:sz w:val="24"/>
          <w:szCs w:val="24"/>
          <w:shd w:val="clear" w:color="auto" w:fill="FFFFFF"/>
        </w:rPr>
        <w:t xml:space="preserve"> application the Minister relied upon to reach his decision. </w:t>
      </w:r>
    </w:p>
    <w:p w14:paraId="68D1785B" w14:textId="77DEC3F3" w:rsidR="00193841" w:rsidRPr="00193841" w:rsidRDefault="00193841" w:rsidP="00193841">
      <w:pPr>
        <w:pStyle w:val="ListParagraph"/>
        <w:spacing w:after="0" w:line="360" w:lineRule="auto"/>
        <w:ind w:left="0"/>
        <w:jc w:val="both"/>
        <w:rPr>
          <w:rFonts w:ascii="Arial" w:hAnsi="Arial" w:cs="Arial"/>
          <w:sz w:val="24"/>
          <w:szCs w:val="24"/>
        </w:rPr>
      </w:pPr>
      <w:r>
        <w:rPr>
          <w:rFonts w:ascii="Arial" w:hAnsi="Arial" w:cs="Arial"/>
          <w:color w:val="1C1C1C"/>
          <w:sz w:val="24"/>
          <w:szCs w:val="24"/>
          <w:shd w:val="clear" w:color="auto" w:fill="FFFFFF"/>
        </w:rPr>
        <w:t xml:space="preserve"> </w:t>
      </w:r>
    </w:p>
    <w:p w14:paraId="7992990B" w14:textId="38EF5858" w:rsidR="00707ADE" w:rsidRPr="00193841" w:rsidRDefault="00193841" w:rsidP="00315F45">
      <w:pPr>
        <w:pStyle w:val="ListParagraph"/>
        <w:numPr>
          <w:ilvl w:val="0"/>
          <w:numId w:val="26"/>
        </w:numPr>
        <w:spacing w:after="0" w:line="360" w:lineRule="auto"/>
        <w:ind w:left="0" w:firstLine="0"/>
        <w:jc w:val="both"/>
        <w:rPr>
          <w:rFonts w:ascii="Arial" w:hAnsi="Arial" w:cs="Arial"/>
          <w:sz w:val="24"/>
          <w:szCs w:val="24"/>
        </w:rPr>
      </w:pPr>
      <w:r w:rsidRPr="00193841">
        <w:rPr>
          <w:rFonts w:ascii="Arial" w:hAnsi="Arial" w:cs="Arial"/>
          <w:color w:val="1C1C1C"/>
          <w:sz w:val="24"/>
          <w:szCs w:val="24"/>
          <w:shd w:val="clear" w:color="auto" w:fill="FFFFFF"/>
        </w:rPr>
        <w:t>The applicants contend that relying on information that did not emanate from the application by the first applicant</w:t>
      </w:r>
      <w:r>
        <w:rPr>
          <w:rFonts w:ascii="Arial" w:hAnsi="Arial" w:cs="Arial"/>
          <w:color w:val="1C1C1C"/>
          <w:sz w:val="24"/>
          <w:szCs w:val="24"/>
          <w:shd w:val="clear" w:color="auto" w:fill="FFFFFF"/>
        </w:rPr>
        <w:t>,</w:t>
      </w:r>
      <w:r w:rsidRPr="00193841">
        <w:rPr>
          <w:rFonts w:ascii="Arial" w:hAnsi="Arial" w:cs="Arial"/>
          <w:color w:val="1C1C1C"/>
          <w:sz w:val="24"/>
          <w:szCs w:val="24"/>
          <w:shd w:val="clear" w:color="auto" w:fill="FFFFFF"/>
        </w:rPr>
        <w:t xml:space="preserve"> the Minister erroneously arrived at the decision not to approve the designation of the second applicant.</w:t>
      </w:r>
      <w:r>
        <w:rPr>
          <w:rFonts w:ascii="Arial" w:hAnsi="Arial" w:cs="Arial"/>
          <w:color w:val="1C1C1C"/>
          <w:sz w:val="24"/>
          <w:szCs w:val="24"/>
          <w:shd w:val="clear" w:color="auto" w:fill="FFFFFF"/>
        </w:rPr>
        <w:t xml:space="preserve"> </w:t>
      </w:r>
      <w:r w:rsidR="00975EFD">
        <w:rPr>
          <w:rFonts w:ascii="Arial" w:hAnsi="Arial" w:cs="Arial"/>
          <w:color w:val="1C1C1C"/>
          <w:sz w:val="24"/>
          <w:szCs w:val="24"/>
          <w:shd w:val="clear" w:color="auto" w:fill="FFFFFF"/>
        </w:rPr>
        <w:t xml:space="preserve">According to the applicants the application in respect of the late Chief Kilus Nguvauva was not included in their application </w:t>
      </w:r>
      <w:r w:rsidR="00AC175F" w:rsidRPr="00197EEA">
        <w:rPr>
          <w:rFonts w:ascii="Arial" w:hAnsi="Arial" w:cs="Arial"/>
          <w:color w:val="1C1C1C"/>
          <w:sz w:val="24"/>
          <w:szCs w:val="24"/>
          <w:shd w:val="clear" w:color="auto" w:fill="FFFFFF"/>
        </w:rPr>
        <w:t>which was</w:t>
      </w:r>
      <w:r w:rsidR="00AC175F">
        <w:rPr>
          <w:rFonts w:ascii="Arial" w:hAnsi="Arial" w:cs="Arial"/>
          <w:color w:val="1C1C1C"/>
          <w:sz w:val="24"/>
          <w:szCs w:val="24"/>
          <w:shd w:val="clear" w:color="auto" w:fill="FFFFFF"/>
        </w:rPr>
        <w:t xml:space="preserve"> </w:t>
      </w:r>
      <w:r w:rsidR="00975EFD">
        <w:rPr>
          <w:rFonts w:ascii="Arial" w:hAnsi="Arial" w:cs="Arial"/>
          <w:color w:val="1C1C1C"/>
          <w:sz w:val="24"/>
          <w:szCs w:val="24"/>
          <w:shd w:val="clear" w:color="auto" w:fill="FFFFFF"/>
        </w:rPr>
        <w:t xml:space="preserve">submitted to the Minister. </w:t>
      </w:r>
    </w:p>
    <w:p w14:paraId="5F2ADAFD" w14:textId="77777777" w:rsidR="00707ADE" w:rsidRDefault="00707ADE" w:rsidP="00707ADE">
      <w:pPr>
        <w:pStyle w:val="ListParagraph"/>
        <w:spacing w:after="0" w:line="360" w:lineRule="auto"/>
        <w:ind w:left="0"/>
        <w:jc w:val="both"/>
        <w:rPr>
          <w:rFonts w:ascii="Arial" w:hAnsi="Arial" w:cs="Arial"/>
          <w:sz w:val="24"/>
          <w:szCs w:val="24"/>
        </w:rPr>
      </w:pPr>
    </w:p>
    <w:p w14:paraId="4A67F47F" w14:textId="511D0674" w:rsidR="000F604A" w:rsidRPr="000F604A" w:rsidRDefault="000F604A" w:rsidP="00315F45">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The applicant</w:t>
      </w:r>
      <w:r w:rsidR="00975EFD">
        <w:rPr>
          <w:rFonts w:ascii="Arial" w:hAnsi="Arial" w:cs="Arial"/>
          <w:sz w:val="24"/>
          <w:szCs w:val="24"/>
        </w:rPr>
        <w:t xml:space="preserve">s press </w:t>
      </w:r>
      <w:r>
        <w:rPr>
          <w:rFonts w:ascii="Arial" w:hAnsi="Arial" w:cs="Arial"/>
          <w:sz w:val="24"/>
          <w:szCs w:val="24"/>
        </w:rPr>
        <w:t xml:space="preserve">the fact that they were never given the opportunity to make </w:t>
      </w:r>
      <w:r w:rsidRPr="00197EEA">
        <w:rPr>
          <w:rFonts w:ascii="Arial" w:hAnsi="Arial" w:cs="Arial"/>
          <w:sz w:val="24"/>
          <w:szCs w:val="24"/>
        </w:rPr>
        <w:t>representation</w:t>
      </w:r>
      <w:r w:rsidR="00AC175F" w:rsidRPr="00197EEA">
        <w:rPr>
          <w:rFonts w:ascii="Arial" w:hAnsi="Arial" w:cs="Arial"/>
          <w:sz w:val="24"/>
          <w:szCs w:val="24"/>
        </w:rPr>
        <w:t>s</w:t>
      </w:r>
      <w:r>
        <w:rPr>
          <w:rFonts w:ascii="Arial" w:hAnsi="Arial" w:cs="Arial"/>
          <w:sz w:val="24"/>
          <w:szCs w:val="24"/>
        </w:rPr>
        <w:t xml:space="preserve"> and demonstrate that the first applicant and the fourth respondent are two distinct traditional communities. This, in the view of the applicants, is an important factor as the first respondent </w:t>
      </w:r>
      <w:r w:rsidR="00C7304B">
        <w:rPr>
          <w:rFonts w:ascii="Arial" w:hAnsi="Arial" w:cs="Arial"/>
          <w:sz w:val="24"/>
          <w:szCs w:val="24"/>
        </w:rPr>
        <w:t>concluded</w:t>
      </w:r>
      <w:r>
        <w:rPr>
          <w:rFonts w:ascii="Arial" w:hAnsi="Arial" w:cs="Arial"/>
          <w:sz w:val="24"/>
          <w:szCs w:val="24"/>
        </w:rPr>
        <w:t xml:space="preserve"> that the traditional community that the applicants sought approval for the designation of the second applicant was the same traditional community as the members of the fourth respondent. </w:t>
      </w:r>
    </w:p>
    <w:p w14:paraId="111B99E9" w14:textId="77777777" w:rsidR="000F604A" w:rsidRPr="000F604A" w:rsidRDefault="000F604A" w:rsidP="000F604A">
      <w:pPr>
        <w:pStyle w:val="ListParagraph"/>
        <w:rPr>
          <w:rFonts w:ascii="Arial" w:hAnsi="Arial" w:cs="Arial"/>
          <w:color w:val="1C1C1C"/>
          <w:sz w:val="24"/>
          <w:szCs w:val="24"/>
          <w:shd w:val="clear" w:color="auto" w:fill="FFFFFF"/>
        </w:rPr>
      </w:pPr>
    </w:p>
    <w:p w14:paraId="58AC6694" w14:textId="38ED972F" w:rsidR="00707ADE" w:rsidRPr="00066240" w:rsidRDefault="00975EFD" w:rsidP="007C1850">
      <w:pPr>
        <w:pStyle w:val="ListParagraph"/>
        <w:numPr>
          <w:ilvl w:val="0"/>
          <w:numId w:val="26"/>
        </w:numPr>
        <w:spacing w:after="0" w:line="360" w:lineRule="auto"/>
        <w:ind w:left="0" w:firstLine="0"/>
        <w:jc w:val="both"/>
        <w:rPr>
          <w:rFonts w:ascii="Arial" w:hAnsi="Arial" w:cs="Arial"/>
          <w:sz w:val="24"/>
          <w:szCs w:val="24"/>
        </w:rPr>
      </w:pPr>
      <w:r w:rsidRPr="00197EEA">
        <w:rPr>
          <w:rFonts w:ascii="Arial" w:hAnsi="Arial" w:cs="Arial"/>
          <w:color w:val="1C1C1C"/>
          <w:sz w:val="24"/>
          <w:szCs w:val="24"/>
          <w:shd w:val="clear" w:color="auto" w:fill="FFFFFF"/>
        </w:rPr>
        <w:t>In support of their review application</w:t>
      </w:r>
      <w:r w:rsidR="00066240" w:rsidRPr="00197EEA">
        <w:rPr>
          <w:rFonts w:ascii="Arial" w:hAnsi="Arial" w:cs="Arial"/>
          <w:color w:val="1C1C1C"/>
          <w:sz w:val="24"/>
          <w:szCs w:val="24"/>
          <w:shd w:val="clear" w:color="auto" w:fill="FFFFFF"/>
        </w:rPr>
        <w:t xml:space="preserve">, the applicants plead that the Minister carried out his </w:t>
      </w:r>
      <w:r w:rsidR="009D39D3" w:rsidRPr="00197EEA">
        <w:rPr>
          <w:rFonts w:ascii="Arial" w:hAnsi="Arial" w:cs="Arial"/>
          <w:color w:val="1C1C1C"/>
          <w:sz w:val="24"/>
          <w:szCs w:val="24"/>
          <w:shd w:val="clear" w:color="auto" w:fill="FFFFFF"/>
        </w:rPr>
        <w:t>duties</w:t>
      </w:r>
      <w:r w:rsidR="00066240" w:rsidRPr="00197EEA">
        <w:rPr>
          <w:rFonts w:ascii="Arial" w:hAnsi="Arial" w:cs="Arial"/>
          <w:color w:val="1C1C1C"/>
          <w:sz w:val="24"/>
          <w:szCs w:val="24"/>
          <w:shd w:val="clear" w:color="auto" w:fill="FFFFFF"/>
        </w:rPr>
        <w:t xml:space="preserve"> in terms of the Act when he declined to approve the designation of the second applicant. He</w:t>
      </w:r>
      <w:r w:rsidR="00707ADE" w:rsidRPr="00197EEA">
        <w:rPr>
          <w:rFonts w:ascii="Arial" w:hAnsi="Arial" w:cs="Arial"/>
          <w:color w:val="1C1C1C"/>
          <w:sz w:val="24"/>
          <w:szCs w:val="24"/>
          <w:shd w:val="clear" w:color="auto" w:fill="FFFFFF"/>
        </w:rPr>
        <w:t xml:space="preserve"> was acting as an administrative official and exercising public power granted by the Act. Therefore, when the Minister denied the applicants the </w:t>
      </w:r>
      <w:r w:rsidR="00964C6B" w:rsidRPr="00197EEA">
        <w:rPr>
          <w:rFonts w:ascii="Arial" w:hAnsi="Arial" w:cs="Arial"/>
          <w:color w:val="1C1C1C"/>
          <w:sz w:val="24"/>
          <w:szCs w:val="24"/>
          <w:shd w:val="clear" w:color="auto" w:fill="FFFFFF"/>
        </w:rPr>
        <w:t>opportunity</w:t>
      </w:r>
      <w:r w:rsidR="00707ADE" w:rsidRPr="00197EEA">
        <w:rPr>
          <w:rFonts w:ascii="Arial" w:hAnsi="Arial" w:cs="Arial"/>
          <w:color w:val="1C1C1C"/>
          <w:sz w:val="24"/>
          <w:szCs w:val="24"/>
          <w:shd w:val="clear" w:color="auto" w:fill="FFFFFF"/>
        </w:rPr>
        <w:t xml:space="preserve"> to </w:t>
      </w:r>
      <w:r w:rsidR="00964C6B" w:rsidRPr="00197EEA">
        <w:rPr>
          <w:rFonts w:ascii="Arial" w:hAnsi="Arial" w:cs="Arial"/>
          <w:color w:val="1C1C1C"/>
          <w:sz w:val="24"/>
          <w:szCs w:val="24"/>
          <w:shd w:val="clear" w:color="auto" w:fill="FFFFFF"/>
        </w:rPr>
        <w:t>make representation</w:t>
      </w:r>
      <w:r w:rsidR="009D39D3" w:rsidRPr="00197EEA">
        <w:rPr>
          <w:rFonts w:ascii="Arial" w:hAnsi="Arial" w:cs="Arial"/>
          <w:color w:val="1C1C1C"/>
          <w:sz w:val="24"/>
          <w:szCs w:val="24"/>
          <w:shd w:val="clear" w:color="auto" w:fill="FFFFFF"/>
        </w:rPr>
        <w:t>s</w:t>
      </w:r>
      <w:r w:rsidR="00964C6B" w:rsidRPr="00197EEA">
        <w:rPr>
          <w:rFonts w:ascii="Arial" w:hAnsi="Arial" w:cs="Arial"/>
          <w:color w:val="1C1C1C"/>
          <w:sz w:val="24"/>
          <w:szCs w:val="24"/>
          <w:shd w:val="clear" w:color="auto" w:fill="FFFFFF"/>
        </w:rPr>
        <w:t xml:space="preserve"> </w:t>
      </w:r>
      <w:r w:rsidR="00BD1FFC" w:rsidRPr="00197EEA">
        <w:rPr>
          <w:rFonts w:ascii="Arial" w:hAnsi="Arial" w:cs="Arial"/>
          <w:color w:val="1C1C1C"/>
          <w:sz w:val="24"/>
          <w:szCs w:val="24"/>
          <w:shd w:val="clear" w:color="auto" w:fill="FFFFFF"/>
        </w:rPr>
        <w:t>when</w:t>
      </w:r>
      <w:r w:rsidR="00BD1FFC" w:rsidRPr="00066240">
        <w:rPr>
          <w:rFonts w:ascii="Arial" w:hAnsi="Arial" w:cs="Arial"/>
          <w:color w:val="1C1C1C"/>
          <w:sz w:val="24"/>
          <w:szCs w:val="24"/>
          <w:shd w:val="clear" w:color="auto" w:fill="FFFFFF"/>
        </w:rPr>
        <w:t xml:space="preserve"> he considered information </w:t>
      </w:r>
      <w:r w:rsidR="00066240" w:rsidRPr="00066240">
        <w:rPr>
          <w:rFonts w:ascii="Arial" w:hAnsi="Arial" w:cs="Arial"/>
          <w:color w:val="1C1C1C"/>
          <w:sz w:val="24"/>
          <w:szCs w:val="24"/>
          <w:shd w:val="clear" w:color="auto" w:fill="FFFFFF"/>
        </w:rPr>
        <w:t xml:space="preserve">not </w:t>
      </w:r>
      <w:r w:rsidR="00BD1FFC" w:rsidRPr="00066240">
        <w:rPr>
          <w:rFonts w:ascii="Arial" w:hAnsi="Arial" w:cs="Arial"/>
          <w:color w:val="1C1C1C"/>
          <w:sz w:val="24"/>
          <w:szCs w:val="24"/>
          <w:shd w:val="clear" w:color="auto" w:fill="FFFFFF"/>
        </w:rPr>
        <w:t>contained in the</w:t>
      </w:r>
      <w:r w:rsidR="00066240" w:rsidRPr="00066240">
        <w:rPr>
          <w:rFonts w:ascii="Arial" w:hAnsi="Arial" w:cs="Arial"/>
          <w:color w:val="1C1C1C"/>
          <w:sz w:val="24"/>
          <w:szCs w:val="24"/>
          <w:shd w:val="clear" w:color="auto" w:fill="FFFFFF"/>
        </w:rPr>
        <w:t xml:space="preserve">ir application but rather that </w:t>
      </w:r>
      <w:r w:rsidR="00066240">
        <w:rPr>
          <w:rFonts w:ascii="Arial" w:hAnsi="Arial" w:cs="Arial"/>
          <w:color w:val="1C1C1C"/>
          <w:sz w:val="24"/>
          <w:szCs w:val="24"/>
          <w:shd w:val="clear" w:color="auto" w:fill="FFFFFF"/>
        </w:rPr>
        <w:t xml:space="preserve">which was </w:t>
      </w:r>
      <w:r w:rsidR="00066240" w:rsidRPr="00066240">
        <w:rPr>
          <w:rFonts w:ascii="Arial" w:hAnsi="Arial" w:cs="Arial"/>
          <w:color w:val="1C1C1C"/>
          <w:sz w:val="24"/>
          <w:szCs w:val="24"/>
          <w:shd w:val="clear" w:color="auto" w:fill="FFFFFF"/>
        </w:rPr>
        <w:t>contained in the</w:t>
      </w:r>
      <w:r w:rsidR="00BD1FFC" w:rsidRPr="00066240">
        <w:rPr>
          <w:rFonts w:ascii="Arial" w:hAnsi="Arial" w:cs="Arial"/>
          <w:color w:val="1C1C1C"/>
          <w:sz w:val="24"/>
          <w:szCs w:val="24"/>
          <w:shd w:val="clear" w:color="auto" w:fill="FFFFFF"/>
        </w:rPr>
        <w:t xml:space="preserve"> application </w:t>
      </w:r>
      <w:r w:rsidR="00707ADE" w:rsidRPr="00066240">
        <w:rPr>
          <w:rFonts w:ascii="Arial" w:hAnsi="Arial" w:cs="Arial"/>
          <w:color w:val="1C1C1C"/>
          <w:sz w:val="24"/>
          <w:szCs w:val="24"/>
          <w:shd w:val="clear" w:color="auto" w:fill="FFFFFF"/>
        </w:rPr>
        <w:t>regarding the approval of Chief Kilus Nguvauva's designation, he violated Article 18 of the Namibian Constitution.</w:t>
      </w:r>
      <w:r w:rsidR="00BD1FFC" w:rsidRPr="00066240">
        <w:rPr>
          <w:rFonts w:ascii="Arial" w:hAnsi="Arial" w:cs="Arial"/>
          <w:color w:val="1C1C1C"/>
          <w:sz w:val="24"/>
          <w:szCs w:val="24"/>
          <w:shd w:val="clear" w:color="auto" w:fill="FFFFFF"/>
        </w:rPr>
        <w:t xml:space="preserve"> </w:t>
      </w:r>
      <w:r w:rsidR="00066240">
        <w:rPr>
          <w:rFonts w:ascii="Arial" w:hAnsi="Arial" w:cs="Arial"/>
          <w:color w:val="1C1C1C"/>
          <w:sz w:val="24"/>
          <w:szCs w:val="24"/>
          <w:shd w:val="clear" w:color="auto" w:fill="FFFFFF"/>
        </w:rPr>
        <w:t>Therefore</w:t>
      </w:r>
      <w:r w:rsidR="00B25DDB">
        <w:rPr>
          <w:rFonts w:ascii="Arial" w:hAnsi="Arial" w:cs="Arial"/>
          <w:color w:val="1C1C1C"/>
          <w:sz w:val="24"/>
          <w:szCs w:val="24"/>
          <w:shd w:val="clear" w:color="auto" w:fill="FFFFFF"/>
        </w:rPr>
        <w:t>,</w:t>
      </w:r>
      <w:r w:rsidR="00066240">
        <w:rPr>
          <w:rFonts w:ascii="Arial" w:hAnsi="Arial" w:cs="Arial"/>
          <w:color w:val="1C1C1C"/>
          <w:sz w:val="24"/>
          <w:szCs w:val="24"/>
          <w:shd w:val="clear" w:color="auto" w:fill="FFFFFF"/>
        </w:rPr>
        <w:t xml:space="preserve"> the decision made by the Minister on 20 October 2021 to refer the application in terms of s 5(3) of the Act stands to be reviewed and corrected and/or set aside. </w:t>
      </w:r>
    </w:p>
    <w:p w14:paraId="6F43896C" w14:textId="77777777" w:rsidR="00066240" w:rsidRPr="00066240" w:rsidRDefault="00066240" w:rsidP="00066240">
      <w:pPr>
        <w:pStyle w:val="ListParagraph"/>
        <w:rPr>
          <w:rFonts w:ascii="Arial" w:hAnsi="Arial" w:cs="Arial"/>
          <w:sz w:val="24"/>
          <w:szCs w:val="24"/>
        </w:rPr>
      </w:pPr>
    </w:p>
    <w:p w14:paraId="27BE730A" w14:textId="69F5C5FF" w:rsidR="000F25E6" w:rsidRPr="00F92665" w:rsidRDefault="000F25E6" w:rsidP="00117D06">
      <w:pPr>
        <w:spacing w:after="0" w:line="360" w:lineRule="auto"/>
        <w:jc w:val="both"/>
        <w:rPr>
          <w:rFonts w:ascii="Arial" w:hAnsi="Arial" w:cs="Arial"/>
          <w:sz w:val="24"/>
          <w:szCs w:val="24"/>
          <w:u w:val="single"/>
        </w:rPr>
      </w:pPr>
      <w:r w:rsidRPr="00F92665">
        <w:rPr>
          <w:rFonts w:ascii="Arial" w:hAnsi="Arial" w:cs="Arial"/>
          <w:sz w:val="24"/>
          <w:szCs w:val="24"/>
          <w:u w:val="single"/>
        </w:rPr>
        <w:t>Issue</w:t>
      </w:r>
      <w:r w:rsidR="00964C6B">
        <w:rPr>
          <w:rFonts w:ascii="Arial" w:hAnsi="Arial" w:cs="Arial"/>
          <w:sz w:val="24"/>
          <w:szCs w:val="24"/>
          <w:u w:val="single"/>
        </w:rPr>
        <w:t>s</w:t>
      </w:r>
      <w:r w:rsidRPr="00F92665">
        <w:rPr>
          <w:rFonts w:ascii="Arial" w:hAnsi="Arial" w:cs="Arial"/>
          <w:sz w:val="24"/>
          <w:szCs w:val="24"/>
          <w:u w:val="single"/>
        </w:rPr>
        <w:t xml:space="preserve"> for determination by this court</w:t>
      </w:r>
    </w:p>
    <w:p w14:paraId="2B28E895" w14:textId="77777777" w:rsidR="000F25E6" w:rsidRDefault="000F25E6" w:rsidP="00117D06">
      <w:pPr>
        <w:spacing w:after="0" w:line="360" w:lineRule="auto"/>
        <w:jc w:val="both"/>
        <w:rPr>
          <w:rFonts w:ascii="Arial" w:hAnsi="Arial" w:cs="Arial"/>
          <w:sz w:val="24"/>
          <w:szCs w:val="24"/>
        </w:rPr>
      </w:pPr>
    </w:p>
    <w:p w14:paraId="2DB688C5" w14:textId="692B91E8" w:rsidR="00707ADE" w:rsidRDefault="00707ADE" w:rsidP="00964C6B">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 xml:space="preserve">The issues for determination by this court can be </w:t>
      </w:r>
      <w:r w:rsidRPr="00B67A30">
        <w:rPr>
          <w:rFonts w:ascii="Arial" w:hAnsi="Arial" w:cs="Arial"/>
          <w:sz w:val="24"/>
          <w:szCs w:val="24"/>
        </w:rPr>
        <w:t xml:space="preserve">summarised </w:t>
      </w:r>
      <w:r w:rsidR="002E63D7" w:rsidRPr="00B67A30">
        <w:rPr>
          <w:rFonts w:ascii="Arial" w:hAnsi="Arial" w:cs="Arial"/>
          <w:sz w:val="24"/>
          <w:szCs w:val="24"/>
        </w:rPr>
        <w:t>as follows</w:t>
      </w:r>
      <w:r w:rsidRPr="00B67A30">
        <w:rPr>
          <w:rFonts w:ascii="Arial" w:hAnsi="Arial" w:cs="Arial"/>
          <w:sz w:val="24"/>
          <w:szCs w:val="24"/>
        </w:rPr>
        <w:t>:</w:t>
      </w:r>
    </w:p>
    <w:p w14:paraId="4287BBA4" w14:textId="77777777" w:rsidR="00012C4D" w:rsidRPr="00707ADE" w:rsidRDefault="00012C4D" w:rsidP="00012C4D">
      <w:pPr>
        <w:pStyle w:val="ListParagraph"/>
        <w:spacing w:after="0" w:line="360" w:lineRule="auto"/>
        <w:ind w:left="0"/>
        <w:jc w:val="both"/>
        <w:rPr>
          <w:rFonts w:ascii="Arial" w:hAnsi="Arial" w:cs="Arial"/>
          <w:sz w:val="24"/>
          <w:szCs w:val="24"/>
        </w:rPr>
      </w:pPr>
    </w:p>
    <w:p w14:paraId="5A8CA51D" w14:textId="6074D438" w:rsidR="000F25E6" w:rsidRPr="00BA0984" w:rsidRDefault="000F25E6" w:rsidP="00BA0984">
      <w:pPr>
        <w:pStyle w:val="ListParagraph"/>
        <w:numPr>
          <w:ilvl w:val="0"/>
          <w:numId w:val="25"/>
        </w:numPr>
        <w:spacing w:after="0" w:line="360" w:lineRule="auto"/>
        <w:jc w:val="both"/>
        <w:rPr>
          <w:rFonts w:ascii="Arial" w:hAnsi="Arial" w:cs="Arial"/>
          <w:sz w:val="24"/>
          <w:szCs w:val="24"/>
        </w:rPr>
      </w:pPr>
      <w:r w:rsidRPr="00BA0984">
        <w:rPr>
          <w:rFonts w:ascii="Arial" w:hAnsi="Arial" w:cs="Arial"/>
          <w:sz w:val="24"/>
          <w:szCs w:val="24"/>
        </w:rPr>
        <w:t xml:space="preserve">Whether the decision made by the first respondent dated 20 October 2021 stands to be reviewed, corrected and set aside. </w:t>
      </w:r>
    </w:p>
    <w:p w14:paraId="54AD2478" w14:textId="0E56565D" w:rsidR="000F25E6" w:rsidRPr="00BA0984" w:rsidRDefault="000F25E6" w:rsidP="00BA0984">
      <w:pPr>
        <w:pStyle w:val="ListParagraph"/>
        <w:numPr>
          <w:ilvl w:val="0"/>
          <w:numId w:val="25"/>
        </w:numPr>
        <w:spacing w:after="0" w:line="360" w:lineRule="auto"/>
        <w:jc w:val="both"/>
        <w:rPr>
          <w:rFonts w:ascii="Arial" w:hAnsi="Arial" w:cs="Arial"/>
          <w:sz w:val="24"/>
          <w:szCs w:val="24"/>
        </w:rPr>
      </w:pPr>
      <w:r w:rsidRPr="00BA0984">
        <w:rPr>
          <w:rFonts w:ascii="Arial" w:hAnsi="Arial" w:cs="Arial"/>
          <w:sz w:val="24"/>
          <w:szCs w:val="24"/>
        </w:rPr>
        <w:t>Whether the application for approval of designation made by the first and second applicants in terms of s 5(1) of the Traditional Authorities Act should be remitted to the first respondent?</w:t>
      </w:r>
    </w:p>
    <w:p w14:paraId="1FC89776" w14:textId="77777777" w:rsidR="00B44335" w:rsidRDefault="00B44335" w:rsidP="00117D06">
      <w:pPr>
        <w:spacing w:after="0" w:line="360" w:lineRule="auto"/>
        <w:jc w:val="both"/>
        <w:rPr>
          <w:rFonts w:ascii="Arial" w:hAnsi="Arial" w:cs="Arial"/>
          <w:sz w:val="24"/>
          <w:szCs w:val="24"/>
        </w:rPr>
      </w:pPr>
    </w:p>
    <w:p w14:paraId="568A05C2" w14:textId="77777777" w:rsidR="002E63D7" w:rsidRDefault="002E63D7" w:rsidP="00117D06">
      <w:pPr>
        <w:spacing w:after="0" w:line="360" w:lineRule="auto"/>
        <w:jc w:val="both"/>
        <w:rPr>
          <w:rFonts w:ascii="Arial" w:hAnsi="Arial" w:cs="Arial"/>
          <w:sz w:val="24"/>
          <w:szCs w:val="24"/>
        </w:rPr>
      </w:pPr>
    </w:p>
    <w:p w14:paraId="080BCD48" w14:textId="77777777" w:rsidR="002E63D7" w:rsidRDefault="002E63D7" w:rsidP="00117D06">
      <w:pPr>
        <w:spacing w:after="0" w:line="360" w:lineRule="auto"/>
        <w:jc w:val="both"/>
        <w:rPr>
          <w:rFonts w:ascii="Arial" w:hAnsi="Arial" w:cs="Arial"/>
          <w:sz w:val="24"/>
          <w:szCs w:val="24"/>
        </w:rPr>
      </w:pPr>
    </w:p>
    <w:p w14:paraId="3F45D3E9" w14:textId="77777777" w:rsidR="00155498" w:rsidRDefault="00155498" w:rsidP="00117D06">
      <w:pPr>
        <w:spacing w:after="0" w:line="360" w:lineRule="auto"/>
        <w:jc w:val="both"/>
        <w:rPr>
          <w:rFonts w:ascii="Arial" w:hAnsi="Arial" w:cs="Arial"/>
          <w:sz w:val="24"/>
          <w:szCs w:val="24"/>
        </w:rPr>
      </w:pPr>
    </w:p>
    <w:p w14:paraId="74DF6DBA" w14:textId="77777777" w:rsidR="00155498" w:rsidRDefault="00155498" w:rsidP="00117D06">
      <w:pPr>
        <w:spacing w:after="0" w:line="360" w:lineRule="auto"/>
        <w:jc w:val="both"/>
        <w:rPr>
          <w:rFonts w:ascii="Arial" w:hAnsi="Arial" w:cs="Arial"/>
          <w:sz w:val="24"/>
          <w:szCs w:val="24"/>
        </w:rPr>
      </w:pPr>
    </w:p>
    <w:p w14:paraId="3DEFCA1A" w14:textId="16DFC70A" w:rsidR="005D748E" w:rsidRPr="00C61BCE" w:rsidRDefault="005D748E" w:rsidP="00117D06">
      <w:pPr>
        <w:spacing w:after="0" w:line="360" w:lineRule="auto"/>
        <w:jc w:val="both"/>
        <w:rPr>
          <w:rFonts w:ascii="Arial" w:hAnsi="Arial" w:cs="Arial"/>
          <w:sz w:val="24"/>
          <w:szCs w:val="24"/>
          <w:u w:val="single"/>
        </w:rPr>
      </w:pPr>
      <w:r w:rsidRPr="00C61BCE">
        <w:rPr>
          <w:rFonts w:ascii="Arial" w:hAnsi="Arial" w:cs="Arial"/>
          <w:sz w:val="24"/>
          <w:szCs w:val="24"/>
          <w:u w:val="single"/>
        </w:rPr>
        <w:t xml:space="preserve">Point </w:t>
      </w:r>
      <w:r w:rsidRPr="00197EEA">
        <w:rPr>
          <w:rFonts w:ascii="Arial" w:hAnsi="Arial" w:cs="Arial"/>
          <w:sz w:val="24"/>
          <w:szCs w:val="24"/>
          <w:u w:val="single"/>
        </w:rPr>
        <w:t>in limine</w:t>
      </w:r>
      <w:r w:rsidRPr="00C61BCE">
        <w:rPr>
          <w:rFonts w:ascii="Arial" w:hAnsi="Arial" w:cs="Arial"/>
          <w:sz w:val="24"/>
          <w:szCs w:val="24"/>
          <w:u w:val="single"/>
        </w:rPr>
        <w:t xml:space="preserve"> </w:t>
      </w:r>
    </w:p>
    <w:p w14:paraId="60460226" w14:textId="77777777" w:rsidR="009B523A" w:rsidRDefault="009B523A" w:rsidP="00117D06">
      <w:pPr>
        <w:spacing w:after="0" w:line="360" w:lineRule="auto"/>
        <w:jc w:val="both"/>
        <w:rPr>
          <w:rFonts w:ascii="Arial" w:hAnsi="Arial" w:cs="Arial"/>
          <w:sz w:val="24"/>
          <w:szCs w:val="24"/>
        </w:rPr>
      </w:pPr>
    </w:p>
    <w:p w14:paraId="5076C87C" w14:textId="3BD51D22" w:rsidR="00C9730D" w:rsidRDefault="00C7304B" w:rsidP="00C9730D">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 xml:space="preserve">In his answering affidavit, the respondents / Minister contends </w:t>
      </w:r>
      <w:r w:rsidR="005D748E" w:rsidRPr="00C9730D">
        <w:rPr>
          <w:rFonts w:ascii="Arial" w:hAnsi="Arial" w:cs="Arial"/>
          <w:sz w:val="24"/>
          <w:szCs w:val="24"/>
        </w:rPr>
        <w:t xml:space="preserve">that </w:t>
      </w:r>
      <w:r w:rsidR="00E66A16" w:rsidRPr="00C9730D">
        <w:rPr>
          <w:rFonts w:ascii="Arial" w:hAnsi="Arial" w:cs="Arial"/>
          <w:sz w:val="24"/>
          <w:szCs w:val="24"/>
        </w:rPr>
        <w:t xml:space="preserve">the application before </w:t>
      </w:r>
      <w:r w:rsidR="00964C6B" w:rsidRPr="00C9730D">
        <w:rPr>
          <w:rFonts w:ascii="Arial" w:hAnsi="Arial" w:cs="Arial"/>
          <w:sz w:val="24"/>
          <w:szCs w:val="24"/>
        </w:rPr>
        <w:t xml:space="preserve">the </w:t>
      </w:r>
      <w:r w:rsidR="00E66A16" w:rsidRPr="00C9730D">
        <w:rPr>
          <w:rFonts w:ascii="Arial" w:hAnsi="Arial" w:cs="Arial"/>
          <w:sz w:val="24"/>
          <w:szCs w:val="24"/>
        </w:rPr>
        <w:t>court is a rule 65 (</w:t>
      </w:r>
      <w:r w:rsidR="00EA315A" w:rsidRPr="00C9730D">
        <w:rPr>
          <w:rFonts w:ascii="Arial" w:hAnsi="Arial" w:cs="Arial"/>
          <w:sz w:val="24"/>
          <w:szCs w:val="24"/>
        </w:rPr>
        <w:t xml:space="preserve">the </w:t>
      </w:r>
      <w:r w:rsidR="00344A36" w:rsidRPr="00C9730D">
        <w:rPr>
          <w:rFonts w:ascii="Arial" w:hAnsi="Arial" w:cs="Arial"/>
          <w:sz w:val="24"/>
          <w:szCs w:val="24"/>
        </w:rPr>
        <w:t xml:space="preserve">general </w:t>
      </w:r>
      <w:r w:rsidR="00E66A16" w:rsidRPr="00C9730D">
        <w:rPr>
          <w:rFonts w:ascii="Arial" w:hAnsi="Arial" w:cs="Arial"/>
          <w:sz w:val="24"/>
          <w:szCs w:val="24"/>
        </w:rPr>
        <w:t>applications rule) application and should be struck from the roll because it does not comply with the peremptory provisions of rule 76 (the review rule)</w:t>
      </w:r>
      <w:r w:rsidR="00344A36" w:rsidRPr="00C9730D">
        <w:rPr>
          <w:rFonts w:ascii="Arial" w:hAnsi="Arial" w:cs="Arial"/>
          <w:sz w:val="24"/>
          <w:szCs w:val="24"/>
        </w:rPr>
        <w:t xml:space="preserve">. </w:t>
      </w:r>
      <w:r w:rsidR="008B2B7E" w:rsidRPr="00C9730D">
        <w:rPr>
          <w:rFonts w:ascii="Arial" w:hAnsi="Arial" w:cs="Arial"/>
          <w:sz w:val="24"/>
          <w:szCs w:val="24"/>
        </w:rPr>
        <w:t>The applicants</w:t>
      </w:r>
      <w:r w:rsidR="00964C6B" w:rsidRPr="00C9730D">
        <w:rPr>
          <w:rFonts w:ascii="Arial" w:hAnsi="Arial" w:cs="Arial"/>
          <w:sz w:val="24"/>
          <w:szCs w:val="24"/>
        </w:rPr>
        <w:t>, in contrast,</w:t>
      </w:r>
      <w:r w:rsidR="008B2B7E" w:rsidRPr="00C9730D">
        <w:rPr>
          <w:rFonts w:ascii="Arial" w:hAnsi="Arial" w:cs="Arial"/>
          <w:sz w:val="24"/>
          <w:szCs w:val="24"/>
        </w:rPr>
        <w:t xml:space="preserve"> argue that the point in limine is not sustainable in the face of the Supreme Court </w:t>
      </w:r>
      <w:r w:rsidR="008B2B7E" w:rsidRPr="00B67A30">
        <w:rPr>
          <w:rFonts w:ascii="Arial" w:hAnsi="Arial" w:cs="Arial"/>
          <w:sz w:val="24"/>
          <w:szCs w:val="24"/>
        </w:rPr>
        <w:t>decision</w:t>
      </w:r>
      <w:r w:rsidR="00964C6B" w:rsidRPr="00B67A30">
        <w:rPr>
          <w:rFonts w:ascii="Arial" w:hAnsi="Arial" w:cs="Arial"/>
          <w:sz w:val="24"/>
          <w:szCs w:val="24"/>
        </w:rPr>
        <w:t xml:space="preserve"> </w:t>
      </w:r>
      <w:r w:rsidR="002E63D7" w:rsidRPr="00B67A30">
        <w:rPr>
          <w:rFonts w:ascii="Arial" w:hAnsi="Arial" w:cs="Arial"/>
          <w:sz w:val="24"/>
          <w:szCs w:val="24"/>
        </w:rPr>
        <w:t>in</w:t>
      </w:r>
      <w:r w:rsidR="002E63D7">
        <w:rPr>
          <w:rFonts w:ascii="Arial" w:hAnsi="Arial" w:cs="Arial"/>
          <w:sz w:val="24"/>
          <w:szCs w:val="24"/>
        </w:rPr>
        <w:t xml:space="preserve"> </w:t>
      </w:r>
      <w:r w:rsidR="00964C6B" w:rsidRPr="00C9730D">
        <w:rPr>
          <w:rFonts w:ascii="Arial" w:hAnsi="Arial" w:cs="Arial"/>
          <w:i/>
          <w:sz w:val="24"/>
          <w:szCs w:val="24"/>
        </w:rPr>
        <w:t>Namibia Financial Exchange (Pty) Ltd v Chief Executive Officer of NAMFISA and Others</w:t>
      </w:r>
      <w:r w:rsidR="00B25DDB">
        <w:rPr>
          <w:rFonts w:ascii="Arial" w:hAnsi="Arial" w:cs="Arial"/>
          <w:i/>
          <w:sz w:val="24"/>
          <w:szCs w:val="24"/>
        </w:rPr>
        <w:t>,</w:t>
      </w:r>
      <w:r w:rsidR="008B2B7E">
        <w:rPr>
          <w:rStyle w:val="FootnoteReference"/>
          <w:rFonts w:ascii="Arial" w:hAnsi="Arial" w:cs="Arial"/>
          <w:sz w:val="24"/>
          <w:szCs w:val="24"/>
        </w:rPr>
        <w:footnoteReference w:id="3"/>
      </w:r>
      <w:r w:rsidR="008B2B7E" w:rsidRPr="00C9730D">
        <w:rPr>
          <w:rFonts w:ascii="Arial" w:hAnsi="Arial" w:cs="Arial"/>
          <w:sz w:val="24"/>
          <w:szCs w:val="24"/>
        </w:rPr>
        <w:t xml:space="preserve"> and the point in limine should be dismissed.</w:t>
      </w:r>
    </w:p>
    <w:p w14:paraId="51096681" w14:textId="77777777" w:rsidR="00C9730D" w:rsidRPr="00C9730D" w:rsidRDefault="00C9730D" w:rsidP="00C9730D">
      <w:pPr>
        <w:pStyle w:val="ListParagraph"/>
        <w:spacing w:after="0" w:line="360" w:lineRule="auto"/>
        <w:ind w:left="0"/>
        <w:jc w:val="both"/>
        <w:rPr>
          <w:rFonts w:ascii="Arial" w:hAnsi="Arial" w:cs="Arial"/>
          <w:sz w:val="24"/>
          <w:szCs w:val="24"/>
        </w:rPr>
      </w:pPr>
    </w:p>
    <w:p w14:paraId="6E08494E" w14:textId="0F27CE21" w:rsidR="00C9730D" w:rsidRDefault="00344A36" w:rsidP="00193841">
      <w:pPr>
        <w:pStyle w:val="ListParagraph"/>
        <w:numPr>
          <w:ilvl w:val="0"/>
          <w:numId w:val="26"/>
        </w:numPr>
        <w:spacing w:after="0" w:line="360" w:lineRule="auto"/>
        <w:ind w:left="0" w:firstLine="0"/>
        <w:jc w:val="both"/>
        <w:rPr>
          <w:rFonts w:ascii="Arial" w:hAnsi="Arial" w:cs="Arial"/>
          <w:sz w:val="24"/>
          <w:szCs w:val="24"/>
        </w:rPr>
      </w:pPr>
      <w:r w:rsidRPr="00C9730D">
        <w:rPr>
          <w:rFonts w:ascii="Arial" w:hAnsi="Arial" w:cs="Arial"/>
          <w:sz w:val="24"/>
          <w:szCs w:val="24"/>
        </w:rPr>
        <w:t>Before determining the main issues</w:t>
      </w:r>
      <w:r w:rsidR="00B25DDB">
        <w:rPr>
          <w:rFonts w:ascii="Arial" w:hAnsi="Arial" w:cs="Arial"/>
          <w:sz w:val="24"/>
          <w:szCs w:val="24"/>
        </w:rPr>
        <w:t xml:space="preserve">, I will first deal with the point raised by the respondents </w:t>
      </w:r>
      <w:r w:rsidR="00B25DDB" w:rsidRPr="00197EEA">
        <w:rPr>
          <w:rFonts w:ascii="Arial" w:hAnsi="Arial" w:cs="Arial"/>
          <w:sz w:val="24"/>
          <w:szCs w:val="24"/>
        </w:rPr>
        <w:t>in limine</w:t>
      </w:r>
      <w:r w:rsidRPr="00C9730D">
        <w:rPr>
          <w:rFonts w:ascii="Arial" w:hAnsi="Arial" w:cs="Arial"/>
          <w:sz w:val="24"/>
          <w:szCs w:val="24"/>
        </w:rPr>
        <w:t xml:space="preserve">. </w:t>
      </w:r>
    </w:p>
    <w:p w14:paraId="0B9E3C2A" w14:textId="77777777" w:rsidR="00C9730D" w:rsidRDefault="00C9730D" w:rsidP="00C9730D">
      <w:pPr>
        <w:pStyle w:val="ListParagraph"/>
        <w:spacing w:after="0" w:line="360" w:lineRule="auto"/>
        <w:ind w:left="0"/>
        <w:jc w:val="both"/>
        <w:rPr>
          <w:rFonts w:ascii="Arial" w:hAnsi="Arial" w:cs="Arial"/>
          <w:sz w:val="24"/>
          <w:szCs w:val="24"/>
        </w:rPr>
      </w:pPr>
    </w:p>
    <w:p w14:paraId="49100970" w14:textId="0048D5C1" w:rsidR="00C9730D" w:rsidRDefault="00E66A16" w:rsidP="00193841">
      <w:pPr>
        <w:pStyle w:val="ListParagraph"/>
        <w:numPr>
          <w:ilvl w:val="0"/>
          <w:numId w:val="26"/>
        </w:numPr>
        <w:spacing w:after="0" w:line="360" w:lineRule="auto"/>
        <w:ind w:left="0" w:firstLine="0"/>
        <w:jc w:val="both"/>
        <w:rPr>
          <w:rFonts w:ascii="Arial" w:hAnsi="Arial" w:cs="Arial"/>
          <w:sz w:val="24"/>
          <w:szCs w:val="24"/>
        </w:rPr>
      </w:pPr>
      <w:r w:rsidRPr="00C9730D">
        <w:rPr>
          <w:rFonts w:ascii="Arial" w:hAnsi="Arial" w:cs="Arial"/>
          <w:sz w:val="24"/>
          <w:szCs w:val="24"/>
        </w:rPr>
        <w:t xml:space="preserve">The </w:t>
      </w:r>
      <w:r w:rsidR="00C7304B">
        <w:rPr>
          <w:rFonts w:ascii="Arial" w:hAnsi="Arial" w:cs="Arial"/>
          <w:sz w:val="24"/>
          <w:szCs w:val="24"/>
        </w:rPr>
        <w:t>first respondent raised the question</w:t>
      </w:r>
      <w:r w:rsidRPr="00C9730D">
        <w:rPr>
          <w:rFonts w:ascii="Arial" w:hAnsi="Arial" w:cs="Arial"/>
          <w:sz w:val="24"/>
          <w:szCs w:val="24"/>
        </w:rPr>
        <w:t xml:space="preserve"> </w:t>
      </w:r>
      <w:r w:rsidR="00C7304B">
        <w:rPr>
          <w:rFonts w:ascii="Arial" w:hAnsi="Arial" w:cs="Arial"/>
          <w:sz w:val="24"/>
          <w:szCs w:val="24"/>
        </w:rPr>
        <w:t xml:space="preserve">of </w:t>
      </w:r>
      <w:r w:rsidRPr="00C9730D">
        <w:rPr>
          <w:rFonts w:ascii="Arial" w:hAnsi="Arial" w:cs="Arial"/>
          <w:sz w:val="24"/>
          <w:szCs w:val="24"/>
        </w:rPr>
        <w:t>whether a party seeking relief against an administrative body is compelled to proceed under the review rule.</w:t>
      </w:r>
      <w:r w:rsidR="003F18DC" w:rsidRPr="00C9730D">
        <w:rPr>
          <w:rFonts w:ascii="Arial" w:hAnsi="Arial" w:cs="Arial"/>
          <w:sz w:val="24"/>
          <w:szCs w:val="24"/>
        </w:rPr>
        <w:t xml:space="preserve"> </w:t>
      </w:r>
      <w:r w:rsidR="00863D9A" w:rsidRPr="00C9730D">
        <w:rPr>
          <w:rFonts w:ascii="Arial" w:hAnsi="Arial" w:cs="Arial"/>
          <w:sz w:val="24"/>
          <w:szCs w:val="24"/>
        </w:rPr>
        <w:t>In other words</w:t>
      </w:r>
      <w:r w:rsidR="00C7304B">
        <w:rPr>
          <w:rFonts w:ascii="Arial" w:hAnsi="Arial" w:cs="Arial"/>
          <w:sz w:val="24"/>
          <w:szCs w:val="24"/>
        </w:rPr>
        <w:t xml:space="preserve">, when filing this application, whether the applicants </w:t>
      </w:r>
      <w:r w:rsidR="00863D9A" w:rsidRPr="00C9730D">
        <w:rPr>
          <w:rFonts w:ascii="Arial" w:hAnsi="Arial" w:cs="Arial"/>
          <w:sz w:val="24"/>
          <w:szCs w:val="24"/>
        </w:rPr>
        <w:t xml:space="preserve">were compelled to proceed </w:t>
      </w:r>
      <w:r w:rsidR="00C7304B">
        <w:rPr>
          <w:rFonts w:ascii="Arial" w:hAnsi="Arial" w:cs="Arial"/>
          <w:sz w:val="24"/>
          <w:szCs w:val="24"/>
        </w:rPr>
        <w:t>in terms of rule 76</w:t>
      </w:r>
      <w:r w:rsidR="00863D9A" w:rsidRPr="00C9730D">
        <w:rPr>
          <w:rFonts w:ascii="Arial" w:hAnsi="Arial" w:cs="Arial"/>
          <w:sz w:val="24"/>
          <w:szCs w:val="24"/>
        </w:rPr>
        <w:t>.</w:t>
      </w:r>
    </w:p>
    <w:p w14:paraId="47C2457B" w14:textId="77777777" w:rsidR="00C9730D" w:rsidRPr="00C9730D" w:rsidRDefault="00C9730D" w:rsidP="00C9730D">
      <w:pPr>
        <w:pStyle w:val="ListParagraph"/>
        <w:rPr>
          <w:rFonts w:ascii="Arial" w:hAnsi="Arial" w:cs="Arial"/>
          <w:sz w:val="24"/>
          <w:szCs w:val="24"/>
        </w:rPr>
      </w:pPr>
    </w:p>
    <w:p w14:paraId="0AAA4F96" w14:textId="1F7132F6" w:rsidR="00863D9A" w:rsidRPr="00C9730D" w:rsidRDefault="00863D9A" w:rsidP="00193841">
      <w:pPr>
        <w:pStyle w:val="ListParagraph"/>
        <w:numPr>
          <w:ilvl w:val="0"/>
          <w:numId w:val="26"/>
        </w:numPr>
        <w:spacing w:after="0" w:line="360" w:lineRule="auto"/>
        <w:ind w:left="0" w:firstLine="0"/>
        <w:jc w:val="both"/>
        <w:rPr>
          <w:rFonts w:ascii="Arial" w:hAnsi="Arial" w:cs="Arial"/>
          <w:sz w:val="24"/>
          <w:szCs w:val="24"/>
        </w:rPr>
      </w:pPr>
      <w:r w:rsidRPr="00C9730D">
        <w:rPr>
          <w:rFonts w:ascii="Arial" w:hAnsi="Arial" w:cs="Arial"/>
          <w:sz w:val="24"/>
          <w:szCs w:val="24"/>
        </w:rPr>
        <w:t>Rule 65 governs general applications</w:t>
      </w:r>
      <w:r w:rsidR="00B25DDB">
        <w:rPr>
          <w:rFonts w:ascii="Arial" w:hAnsi="Arial" w:cs="Arial"/>
          <w:sz w:val="24"/>
          <w:szCs w:val="24"/>
        </w:rPr>
        <w:t>,</w:t>
      </w:r>
      <w:r w:rsidRPr="00C9730D">
        <w:rPr>
          <w:rFonts w:ascii="Arial" w:hAnsi="Arial" w:cs="Arial"/>
          <w:sz w:val="24"/>
          <w:szCs w:val="24"/>
        </w:rPr>
        <w:t xml:space="preserve"> and it states in</w:t>
      </w:r>
      <w:r w:rsidRPr="00197EEA">
        <w:rPr>
          <w:rFonts w:ascii="Arial" w:hAnsi="Arial" w:cs="Arial"/>
          <w:sz w:val="24"/>
          <w:szCs w:val="24"/>
        </w:rPr>
        <w:t xml:space="preserve"> </w:t>
      </w:r>
      <w:r w:rsidR="00C9730D" w:rsidRPr="00197EEA">
        <w:rPr>
          <w:rFonts w:ascii="Arial" w:hAnsi="Arial" w:cs="Arial"/>
          <w:sz w:val="24"/>
          <w:szCs w:val="24"/>
        </w:rPr>
        <w:t>the</w:t>
      </w:r>
      <w:r w:rsidR="00C9730D" w:rsidRPr="00C9730D">
        <w:rPr>
          <w:rFonts w:ascii="Arial" w:hAnsi="Arial" w:cs="Arial"/>
          <w:sz w:val="24"/>
          <w:szCs w:val="24"/>
        </w:rPr>
        <w:t xml:space="preserve"> </w:t>
      </w:r>
      <w:r w:rsidRPr="00C9730D">
        <w:rPr>
          <w:rFonts w:ascii="Arial" w:hAnsi="Arial" w:cs="Arial"/>
          <w:sz w:val="24"/>
          <w:szCs w:val="24"/>
        </w:rPr>
        <w:t>relevant part as follows:</w:t>
      </w:r>
    </w:p>
    <w:p w14:paraId="42BBF5B9" w14:textId="77777777" w:rsidR="00863D9A" w:rsidRPr="00863D9A" w:rsidRDefault="00863D9A" w:rsidP="00863D9A">
      <w:pPr>
        <w:pStyle w:val="ListParagraph"/>
        <w:spacing w:after="0" w:line="360" w:lineRule="auto"/>
        <w:jc w:val="both"/>
        <w:rPr>
          <w:rFonts w:ascii="Arial" w:hAnsi="Arial" w:cs="Arial"/>
          <w:sz w:val="24"/>
          <w:szCs w:val="24"/>
        </w:rPr>
      </w:pPr>
    </w:p>
    <w:p w14:paraId="3FCE97F1" w14:textId="77777777" w:rsidR="00863D9A" w:rsidRPr="008B2B7E" w:rsidRDefault="00863D9A" w:rsidP="00863D9A">
      <w:pPr>
        <w:pStyle w:val="ListParagraph"/>
        <w:spacing w:after="0" w:line="360" w:lineRule="auto"/>
        <w:jc w:val="both"/>
        <w:rPr>
          <w:rFonts w:ascii="Arial" w:hAnsi="Arial" w:cs="Arial"/>
        </w:rPr>
      </w:pPr>
      <w:r w:rsidRPr="008B2B7E">
        <w:rPr>
          <w:rFonts w:ascii="Arial" w:hAnsi="Arial" w:cs="Arial"/>
        </w:rPr>
        <w:t>‘Requirements in respect of an application</w:t>
      </w:r>
    </w:p>
    <w:p w14:paraId="0995289D" w14:textId="77777777" w:rsidR="00863D9A" w:rsidRPr="008B2B7E" w:rsidRDefault="00863D9A" w:rsidP="00863D9A">
      <w:pPr>
        <w:pStyle w:val="ListParagraph"/>
        <w:spacing w:after="0" w:line="360" w:lineRule="auto"/>
        <w:jc w:val="both"/>
        <w:rPr>
          <w:rFonts w:ascii="Arial" w:hAnsi="Arial" w:cs="Arial"/>
        </w:rPr>
      </w:pPr>
    </w:p>
    <w:p w14:paraId="3A43CA74" w14:textId="77777777" w:rsidR="00863D9A" w:rsidRPr="008B2B7E" w:rsidRDefault="00863D9A" w:rsidP="008B2B7E">
      <w:pPr>
        <w:spacing w:after="0" w:line="360" w:lineRule="auto"/>
        <w:jc w:val="both"/>
        <w:rPr>
          <w:rFonts w:ascii="Arial" w:hAnsi="Arial" w:cs="Arial"/>
        </w:rPr>
      </w:pPr>
      <w:r w:rsidRPr="008B2B7E">
        <w:rPr>
          <w:rFonts w:ascii="Arial" w:hAnsi="Arial" w:cs="Arial"/>
        </w:rPr>
        <w:t>65.</w:t>
      </w:r>
      <w:r w:rsidRPr="008B2B7E">
        <w:rPr>
          <w:rFonts w:ascii="Arial" w:hAnsi="Arial" w:cs="Arial"/>
        </w:rPr>
        <w:tab/>
        <w:t>(1) Every application must be brought on notice of motion supported by affidavit as to the facts on which the applicant relies for relief and every application initiating new proceedings, not forming part of an existing cause or matter, commences with the issue of the notice of motion signed by the registrar, date stamped with the official stamp and uniquely numbered for identification purposes.’</w:t>
      </w:r>
    </w:p>
    <w:p w14:paraId="55BA9F8D" w14:textId="77777777" w:rsidR="00863D9A" w:rsidRPr="008B2B7E" w:rsidRDefault="00863D9A" w:rsidP="00863D9A">
      <w:pPr>
        <w:pStyle w:val="ListParagraph"/>
        <w:spacing w:after="0" w:line="360" w:lineRule="auto"/>
        <w:jc w:val="both"/>
        <w:rPr>
          <w:rFonts w:ascii="Arial" w:hAnsi="Arial" w:cs="Arial"/>
        </w:rPr>
      </w:pPr>
    </w:p>
    <w:p w14:paraId="7387D523" w14:textId="56696DDC" w:rsidR="00863D9A" w:rsidRPr="00C9730D" w:rsidRDefault="00863D9A" w:rsidP="00C9730D">
      <w:pPr>
        <w:pStyle w:val="ListParagraph"/>
        <w:numPr>
          <w:ilvl w:val="0"/>
          <w:numId w:val="26"/>
        </w:numPr>
        <w:spacing w:after="0" w:line="360" w:lineRule="auto"/>
        <w:ind w:left="0" w:firstLine="0"/>
        <w:jc w:val="both"/>
        <w:rPr>
          <w:rFonts w:ascii="Arial" w:hAnsi="Arial" w:cs="Arial"/>
          <w:sz w:val="24"/>
          <w:szCs w:val="24"/>
        </w:rPr>
      </w:pPr>
      <w:r w:rsidRPr="00C9730D">
        <w:rPr>
          <w:rFonts w:ascii="Arial" w:hAnsi="Arial" w:cs="Arial"/>
          <w:sz w:val="24"/>
          <w:szCs w:val="24"/>
        </w:rPr>
        <w:lastRenderedPageBreak/>
        <w:t>Rule 76 governs administrative law reviews</w:t>
      </w:r>
      <w:r w:rsidR="00B25DDB">
        <w:rPr>
          <w:rFonts w:ascii="Arial" w:hAnsi="Arial" w:cs="Arial"/>
          <w:sz w:val="24"/>
          <w:szCs w:val="24"/>
        </w:rPr>
        <w:t>,</w:t>
      </w:r>
      <w:r w:rsidRPr="00C9730D">
        <w:rPr>
          <w:rFonts w:ascii="Arial" w:hAnsi="Arial" w:cs="Arial"/>
          <w:sz w:val="24"/>
          <w:szCs w:val="24"/>
        </w:rPr>
        <w:t xml:space="preserve"> and it states in </w:t>
      </w:r>
      <w:r w:rsidR="009A3DDF" w:rsidRPr="00197EEA">
        <w:rPr>
          <w:rFonts w:ascii="Arial" w:hAnsi="Arial" w:cs="Arial"/>
          <w:sz w:val="24"/>
          <w:szCs w:val="24"/>
        </w:rPr>
        <w:t>the</w:t>
      </w:r>
      <w:r w:rsidR="009A3DDF">
        <w:rPr>
          <w:rFonts w:ascii="Arial" w:hAnsi="Arial" w:cs="Arial"/>
          <w:sz w:val="24"/>
          <w:szCs w:val="24"/>
        </w:rPr>
        <w:t xml:space="preserve"> </w:t>
      </w:r>
      <w:r w:rsidRPr="00C9730D">
        <w:rPr>
          <w:rFonts w:ascii="Arial" w:hAnsi="Arial" w:cs="Arial"/>
          <w:sz w:val="24"/>
          <w:szCs w:val="24"/>
        </w:rPr>
        <w:t xml:space="preserve">relevant part as follows: </w:t>
      </w:r>
    </w:p>
    <w:p w14:paraId="6342F8EF" w14:textId="77777777" w:rsidR="000032BE" w:rsidRDefault="000032BE" w:rsidP="00863D9A">
      <w:pPr>
        <w:pStyle w:val="ListParagraph"/>
        <w:spacing w:after="0" w:line="360" w:lineRule="auto"/>
        <w:jc w:val="both"/>
        <w:rPr>
          <w:rFonts w:ascii="Arial" w:hAnsi="Arial" w:cs="Arial"/>
          <w:sz w:val="24"/>
          <w:szCs w:val="24"/>
        </w:rPr>
      </w:pPr>
    </w:p>
    <w:p w14:paraId="3D0895A7" w14:textId="77777777" w:rsidR="00863D9A" w:rsidRPr="000032BE" w:rsidRDefault="00863D9A" w:rsidP="00863D9A">
      <w:pPr>
        <w:pStyle w:val="ListParagraph"/>
        <w:spacing w:after="0" w:line="360" w:lineRule="auto"/>
        <w:jc w:val="both"/>
        <w:rPr>
          <w:rFonts w:ascii="Arial" w:hAnsi="Arial" w:cs="Arial"/>
        </w:rPr>
      </w:pPr>
      <w:r w:rsidRPr="000032BE">
        <w:rPr>
          <w:rFonts w:ascii="Arial" w:hAnsi="Arial" w:cs="Arial"/>
        </w:rPr>
        <w:t>‘Review application</w:t>
      </w:r>
    </w:p>
    <w:p w14:paraId="0D61FDEA" w14:textId="77777777" w:rsidR="00863D9A" w:rsidRPr="000032BE" w:rsidRDefault="00863D9A" w:rsidP="00863D9A">
      <w:pPr>
        <w:pStyle w:val="ListParagraph"/>
        <w:spacing w:after="0" w:line="360" w:lineRule="auto"/>
        <w:jc w:val="both"/>
        <w:rPr>
          <w:rFonts w:ascii="Arial" w:hAnsi="Arial" w:cs="Arial"/>
        </w:rPr>
      </w:pPr>
    </w:p>
    <w:p w14:paraId="1E9F72AE" w14:textId="228B0E15" w:rsidR="005D748E" w:rsidRPr="008B2B7E" w:rsidRDefault="00863D9A" w:rsidP="008B2B7E">
      <w:pPr>
        <w:spacing w:after="0" w:line="360" w:lineRule="auto"/>
        <w:jc w:val="both"/>
        <w:rPr>
          <w:rFonts w:ascii="Arial" w:hAnsi="Arial" w:cs="Arial"/>
        </w:rPr>
      </w:pPr>
      <w:r w:rsidRPr="008B2B7E">
        <w:rPr>
          <w:rFonts w:ascii="Arial" w:hAnsi="Arial" w:cs="Arial"/>
        </w:rPr>
        <w:t>76.</w:t>
      </w:r>
      <w:r w:rsidRPr="008B2B7E">
        <w:rPr>
          <w:rFonts w:ascii="Arial" w:hAnsi="Arial" w:cs="Arial"/>
        </w:rPr>
        <w:tab/>
        <w:t>(1)</w:t>
      </w:r>
      <w:r w:rsidRPr="008B2B7E">
        <w:rPr>
          <w:rFonts w:ascii="Arial" w:hAnsi="Arial" w:cs="Arial"/>
        </w:rPr>
        <w:tab/>
        <w:t>All proceedings to bring under review the decision or proceedings of an inferior court, a tribunal, an administrative body or administrative official are, unless a law otherwise provides, by way of application directed and delivered by the party seeking to review s</w:t>
      </w:r>
      <w:r w:rsidR="000032BE" w:rsidRPr="008B2B7E">
        <w:rPr>
          <w:rFonts w:ascii="Arial" w:hAnsi="Arial" w:cs="Arial"/>
        </w:rPr>
        <w:t xml:space="preserve">uch decision or proceedings to </w:t>
      </w:r>
      <w:r w:rsidRPr="008B2B7E">
        <w:rPr>
          <w:rFonts w:ascii="Arial" w:hAnsi="Arial" w:cs="Arial"/>
        </w:rPr>
        <w:t>the magistrate or presiding officer of the court, the chairperson of the tribunal, the chairperson of the administrative body or the administrative official and to all other parties affected.’</w:t>
      </w:r>
    </w:p>
    <w:p w14:paraId="2F439F65" w14:textId="77777777" w:rsidR="000032BE" w:rsidRPr="009E6749" w:rsidRDefault="000032BE" w:rsidP="009E6749">
      <w:pPr>
        <w:spacing w:after="0" w:line="360" w:lineRule="auto"/>
        <w:jc w:val="both"/>
        <w:rPr>
          <w:rFonts w:ascii="Arial" w:hAnsi="Arial" w:cs="Arial"/>
          <w:sz w:val="24"/>
          <w:szCs w:val="24"/>
        </w:rPr>
      </w:pPr>
    </w:p>
    <w:p w14:paraId="5046BF3B" w14:textId="75479E51" w:rsidR="000032BE" w:rsidRPr="00C9730D" w:rsidRDefault="00C9730D" w:rsidP="00C9730D">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A</w:t>
      </w:r>
      <w:r w:rsidR="009E6749" w:rsidRPr="00C9730D">
        <w:rPr>
          <w:rFonts w:ascii="Arial" w:hAnsi="Arial" w:cs="Arial"/>
          <w:sz w:val="24"/>
          <w:szCs w:val="24"/>
        </w:rPr>
        <w:t>ssum</w:t>
      </w:r>
      <w:r>
        <w:rPr>
          <w:rFonts w:ascii="Arial" w:hAnsi="Arial" w:cs="Arial"/>
          <w:sz w:val="24"/>
          <w:szCs w:val="24"/>
        </w:rPr>
        <w:t>ing</w:t>
      </w:r>
      <w:r w:rsidR="009E6749" w:rsidRPr="00C9730D">
        <w:rPr>
          <w:rFonts w:ascii="Arial" w:hAnsi="Arial" w:cs="Arial"/>
          <w:sz w:val="24"/>
          <w:szCs w:val="24"/>
        </w:rPr>
        <w:t xml:space="preserve"> for </w:t>
      </w:r>
      <w:r>
        <w:rPr>
          <w:rFonts w:ascii="Arial" w:hAnsi="Arial" w:cs="Arial"/>
          <w:sz w:val="24"/>
          <w:szCs w:val="24"/>
        </w:rPr>
        <w:t xml:space="preserve">the </w:t>
      </w:r>
      <w:r w:rsidR="009E6749" w:rsidRPr="00C9730D">
        <w:rPr>
          <w:rFonts w:ascii="Arial" w:hAnsi="Arial" w:cs="Arial"/>
          <w:sz w:val="24"/>
          <w:szCs w:val="24"/>
        </w:rPr>
        <w:t>present purposes that what the applicants seek is in the nature of a review as contemplated in the review rule</w:t>
      </w:r>
      <w:r>
        <w:rPr>
          <w:rFonts w:ascii="Arial" w:hAnsi="Arial" w:cs="Arial"/>
          <w:sz w:val="24"/>
          <w:szCs w:val="24"/>
        </w:rPr>
        <w:t>,</w:t>
      </w:r>
      <w:r w:rsidR="006B62EC" w:rsidRPr="00C9730D">
        <w:rPr>
          <w:rFonts w:ascii="Arial" w:hAnsi="Arial" w:cs="Arial"/>
          <w:sz w:val="24"/>
          <w:szCs w:val="24"/>
        </w:rPr>
        <w:t xml:space="preserve"> </w:t>
      </w:r>
      <w:r w:rsidR="000D0E1B" w:rsidRPr="00C9730D">
        <w:rPr>
          <w:rFonts w:ascii="Arial" w:hAnsi="Arial" w:cs="Arial"/>
          <w:sz w:val="24"/>
          <w:szCs w:val="24"/>
        </w:rPr>
        <w:t xml:space="preserve">I associate myself with the sentiments expressed by the Apex court in the matter of </w:t>
      </w:r>
      <w:r w:rsidR="000D0E1B" w:rsidRPr="00C9730D">
        <w:rPr>
          <w:rFonts w:ascii="Arial" w:hAnsi="Arial" w:cs="Arial"/>
          <w:i/>
          <w:sz w:val="24"/>
          <w:szCs w:val="24"/>
        </w:rPr>
        <w:t>Namibia Financial Exchange (Pty) Ltd v Chief Executive Officer of NAMFISA and others</w:t>
      </w:r>
      <w:r w:rsidR="000D0E1B">
        <w:rPr>
          <w:rStyle w:val="FootnoteReference"/>
          <w:rFonts w:ascii="Arial" w:hAnsi="Arial" w:cs="Arial"/>
          <w:sz w:val="24"/>
          <w:szCs w:val="24"/>
        </w:rPr>
        <w:footnoteReference w:id="4"/>
      </w:r>
      <w:r w:rsidR="000D0E1B" w:rsidRPr="00C9730D">
        <w:rPr>
          <w:rFonts w:ascii="Arial" w:hAnsi="Arial" w:cs="Arial"/>
          <w:i/>
          <w:sz w:val="24"/>
          <w:szCs w:val="24"/>
        </w:rPr>
        <w:t xml:space="preserve"> </w:t>
      </w:r>
      <w:r w:rsidR="000D0E1B" w:rsidRPr="00C9730D">
        <w:rPr>
          <w:rFonts w:ascii="Arial" w:hAnsi="Arial" w:cs="Arial"/>
          <w:sz w:val="24"/>
          <w:szCs w:val="24"/>
        </w:rPr>
        <w:t xml:space="preserve">where the court held that: </w:t>
      </w:r>
    </w:p>
    <w:p w14:paraId="56BB6F34" w14:textId="77777777" w:rsidR="000D0E1B" w:rsidRDefault="000D0E1B" w:rsidP="00EB1A74">
      <w:pPr>
        <w:spacing w:after="0" w:line="360" w:lineRule="auto"/>
        <w:jc w:val="both"/>
        <w:rPr>
          <w:rFonts w:ascii="Arial" w:hAnsi="Arial" w:cs="Arial"/>
          <w:sz w:val="24"/>
          <w:szCs w:val="24"/>
        </w:rPr>
      </w:pPr>
    </w:p>
    <w:p w14:paraId="577EC2D0" w14:textId="17DF4143" w:rsidR="000D0E1B" w:rsidRPr="00C35242" w:rsidRDefault="00C35242" w:rsidP="00C35242">
      <w:pPr>
        <w:spacing w:after="0" w:line="360" w:lineRule="auto"/>
        <w:ind w:firstLine="720"/>
        <w:jc w:val="both"/>
        <w:rPr>
          <w:rFonts w:ascii="Arial" w:hAnsi="Arial" w:cs="Arial"/>
        </w:rPr>
      </w:pPr>
      <w:r w:rsidRPr="00C35242">
        <w:rPr>
          <w:rFonts w:ascii="Arial" w:hAnsi="Arial" w:cs="Arial"/>
        </w:rPr>
        <w:t>‘[39]</w:t>
      </w:r>
      <w:r w:rsidRPr="00C35242">
        <w:rPr>
          <w:rFonts w:ascii="Arial" w:hAnsi="Arial" w:cs="Arial"/>
        </w:rPr>
        <w:tab/>
      </w:r>
      <w:r w:rsidR="000D0E1B" w:rsidRPr="00C35242">
        <w:rPr>
          <w:rFonts w:ascii="Arial" w:hAnsi="Arial" w:cs="Arial"/>
        </w:rPr>
        <w:t xml:space="preserve">Significantly, and as recognised by the court below, the review rule steers clear of using words ordinarily understood to convey peremptory nuance and nullity for disobedience. One would have assumed, in view of the existing body of case law on the repealed review rule, that the rule maker would have used a language which was stronger and clearer, if what was intended was that all challenges to administrative decision-making must be by means of the review rule. </w:t>
      </w:r>
    </w:p>
    <w:p w14:paraId="35047703" w14:textId="77777777" w:rsidR="000D0E1B" w:rsidRPr="00C35242" w:rsidRDefault="000D0E1B" w:rsidP="000D0E1B">
      <w:pPr>
        <w:spacing w:after="0" w:line="360" w:lineRule="auto"/>
        <w:jc w:val="both"/>
        <w:rPr>
          <w:rFonts w:ascii="Arial" w:hAnsi="Arial" w:cs="Arial"/>
        </w:rPr>
      </w:pPr>
    </w:p>
    <w:p w14:paraId="6D2D1DB5" w14:textId="7DC26000" w:rsidR="000D0E1B" w:rsidRPr="00C35242" w:rsidRDefault="000D0E1B" w:rsidP="000D0E1B">
      <w:pPr>
        <w:spacing w:after="0" w:line="360" w:lineRule="auto"/>
        <w:jc w:val="both"/>
        <w:rPr>
          <w:rFonts w:ascii="Arial" w:hAnsi="Arial" w:cs="Arial"/>
        </w:rPr>
      </w:pPr>
      <w:r w:rsidRPr="00C35242">
        <w:rPr>
          <w:rFonts w:ascii="Arial" w:hAnsi="Arial" w:cs="Arial"/>
        </w:rPr>
        <w:t>[40]</w:t>
      </w:r>
      <w:r w:rsidRPr="00C35242">
        <w:rPr>
          <w:rFonts w:ascii="Arial" w:hAnsi="Arial" w:cs="Arial"/>
        </w:rPr>
        <w:tab/>
        <w:t xml:space="preserve">The review rule as formulated in the new rule 76 has not brought about a significant change as understood by the court a </w:t>
      </w:r>
      <w:r w:rsidRPr="00C35242">
        <w:rPr>
          <w:rFonts w:ascii="Arial" w:hAnsi="Arial" w:cs="Arial"/>
          <w:i/>
          <w:iCs/>
          <w:lang w:val="it-IT"/>
        </w:rPr>
        <w:t>quo</w:t>
      </w:r>
      <w:r w:rsidRPr="00C35242">
        <w:rPr>
          <w:rFonts w:ascii="Arial" w:hAnsi="Arial" w:cs="Arial"/>
        </w:rPr>
        <w:t>. I therefore come to the conclusion that not only is it not a requirement for a review applicant to proceed under rule 76</w:t>
      </w:r>
      <w:r w:rsidR="00C35242" w:rsidRPr="00C35242">
        <w:rPr>
          <w:rFonts w:ascii="Arial" w:hAnsi="Arial" w:cs="Arial"/>
        </w:rPr>
        <w:t xml:space="preserve"> but there is no reason that a principle now firmly embedded in our common law should be changed. The High Court therefore misdirected itself in concluding that an applicant seeking review is compelled to proceed under the review rule and that the failure to do so amounts to a nullity.</w:t>
      </w:r>
      <w:r w:rsidR="002E63D7">
        <w:rPr>
          <w:rFonts w:ascii="Arial" w:hAnsi="Arial" w:cs="Arial"/>
        </w:rPr>
        <w:t xml:space="preserve">’ </w:t>
      </w:r>
    </w:p>
    <w:p w14:paraId="45231698" w14:textId="77777777" w:rsidR="000032BE" w:rsidRDefault="000032BE" w:rsidP="008B2B7E">
      <w:pPr>
        <w:spacing w:after="0" w:line="360" w:lineRule="auto"/>
        <w:jc w:val="both"/>
        <w:rPr>
          <w:rFonts w:ascii="Arial" w:hAnsi="Arial" w:cs="Arial"/>
          <w:sz w:val="24"/>
          <w:szCs w:val="24"/>
        </w:rPr>
      </w:pPr>
    </w:p>
    <w:p w14:paraId="62C346F6" w14:textId="033BA5E1" w:rsidR="002E63D7" w:rsidRDefault="008B2B7E" w:rsidP="002E63D7">
      <w:pPr>
        <w:pStyle w:val="ListParagraph"/>
        <w:numPr>
          <w:ilvl w:val="0"/>
          <w:numId w:val="26"/>
        </w:numPr>
        <w:spacing w:after="0" w:line="360" w:lineRule="auto"/>
        <w:ind w:left="0" w:firstLine="0"/>
        <w:jc w:val="both"/>
        <w:rPr>
          <w:rFonts w:ascii="Arial" w:hAnsi="Arial" w:cs="Arial"/>
          <w:sz w:val="24"/>
          <w:szCs w:val="24"/>
        </w:rPr>
      </w:pPr>
      <w:r w:rsidRPr="00C9730D">
        <w:rPr>
          <w:rFonts w:ascii="Arial" w:hAnsi="Arial" w:cs="Arial"/>
          <w:sz w:val="24"/>
          <w:szCs w:val="24"/>
        </w:rPr>
        <w:t xml:space="preserve">I </w:t>
      </w:r>
      <w:r w:rsidR="009D39D3" w:rsidRPr="00197EEA">
        <w:rPr>
          <w:rFonts w:ascii="Arial" w:hAnsi="Arial" w:cs="Arial"/>
          <w:sz w:val="24"/>
          <w:szCs w:val="24"/>
        </w:rPr>
        <w:t xml:space="preserve">therefore </w:t>
      </w:r>
      <w:r w:rsidRPr="00197EEA">
        <w:rPr>
          <w:rFonts w:ascii="Arial" w:hAnsi="Arial" w:cs="Arial"/>
          <w:sz w:val="24"/>
          <w:szCs w:val="24"/>
        </w:rPr>
        <w:t>find</w:t>
      </w:r>
      <w:r w:rsidRPr="00C9730D">
        <w:rPr>
          <w:rFonts w:ascii="Arial" w:hAnsi="Arial" w:cs="Arial"/>
          <w:sz w:val="24"/>
          <w:szCs w:val="24"/>
        </w:rPr>
        <w:t xml:space="preserve"> that the point </w:t>
      </w:r>
      <w:r w:rsidRPr="00197EEA">
        <w:rPr>
          <w:rFonts w:ascii="Arial" w:hAnsi="Arial" w:cs="Arial"/>
          <w:sz w:val="24"/>
          <w:szCs w:val="24"/>
        </w:rPr>
        <w:t>in limine</w:t>
      </w:r>
      <w:r w:rsidRPr="00C9730D">
        <w:rPr>
          <w:rFonts w:ascii="Arial" w:hAnsi="Arial" w:cs="Arial"/>
          <w:sz w:val="24"/>
          <w:szCs w:val="24"/>
        </w:rPr>
        <w:t xml:space="preserve"> must fail. </w:t>
      </w:r>
    </w:p>
    <w:p w14:paraId="672188A8" w14:textId="6526EDC8" w:rsidR="008175A0" w:rsidRDefault="007C1850" w:rsidP="008175A0">
      <w:pPr>
        <w:pStyle w:val="ListParagraph"/>
        <w:spacing w:after="0" w:line="360" w:lineRule="auto"/>
        <w:ind w:left="0"/>
        <w:jc w:val="both"/>
        <w:rPr>
          <w:rFonts w:ascii="Arial" w:hAnsi="Arial" w:cs="Arial"/>
          <w:sz w:val="24"/>
          <w:szCs w:val="24"/>
          <w:u w:val="single"/>
        </w:rPr>
      </w:pPr>
      <w:r w:rsidRPr="007C1850">
        <w:rPr>
          <w:rFonts w:ascii="Arial" w:hAnsi="Arial" w:cs="Arial"/>
          <w:sz w:val="24"/>
          <w:szCs w:val="24"/>
          <w:u w:val="single"/>
        </w:rPr>
        <w:lastRenderedPageBreak/>
        <w:t>Arguments advanced on behalf of the parties</w:t>
      </w:r>
    </w:p>
    <w:p w14:paraId="7F730B0E" w14:textId="77777777" w:rsidR="00FC664F" w:rsidRDefault="00FC664F" w:rsidP="008175A0">
      <w:pPr>
        <w:pStyle w:val="ListParagraph"/>
        <w:spacing w:after="0" w:line="360" w:lineRule="auto"/>
        <w:ind w:left="0"/>
        <w:jc w:val="both"/>
        <w:rPr>
          <w:rFonts w:ascii="Arial" w:hAnsi="Arial" w:cs="Arial"/>
          <w:sz w:val="24"/>
          <w:szCs w:val="24"/>
          <w:u w:val="single"/>
        </w:rPr>
      </w:pPr>
    </w:p>
    <w:p w14:paraId="37837B75" w14:textId="1ECB6D5F" w:rsidR="00FC664F" w:rsidRDefault="00FC664F" w:rsidP="00FC664F">
      <w:pPr>
        <w:pStyle w:val="western"/>
        <w:numPr>
          <w:ilvl w:val="0"/>
          <w:numId w:val="26"/>
        </w:numPr>
        <w:shd w:val="clear" w:color="auto" w:fill="FFFFFF"/>
        <w:spacing w:before="0" w:beforeAutospacing="0" w:after="0" w:afterAutospacing="0" w:line="360" w:lineRule="auto"/>
        <w:ind w:left="0" w:firstLine="0"/>
        <w:jc w:val="both"/>
        <w:rPr>
          <w:rFonts w:ascii="Arial" w:hAnsi="Arial" w:cs="Arial"/>
          <w:shd w:val="clear" w:color="auto" w:fill="FFFFFF"/>
        </w:rPr>
      </w:pPr>
      <w:r w:rsidRPr="004B5E3E">
        <w:rPr>
          <w:rFonts w:ascii="Arial" w:hAnsi="Arial" w:cs="Arial"/>
          <w:shd w:val="clear" w:color="auto" w:fill="FFFFFF"/>
        </w:rPr>
        <w:t>If</w:t>
      </w:r>
      <w:r>
        <w:rPr>
          <w:rFonts w:ascii="Arial" w:hAnsi="Arial" w:cs="Arial"/>
          <w:shd w:val="clear" w:color="auto" w:fill="FFFFFF"/>
        </w:rPr>
        <w:t>, in the course of this judgment, I use the words ‘submit’ and ‘argue’</w:t>
      </w:r>
      <w:r w:rsidRPr="004B5E3E">
        <w:rPr>
          <w:rFonts w:ascii="Arial" w:hAnsi="Arial" w:cs="Arial"/>
          <w:shd w:val="clear" w:color="auto" w:fill="FFFFFF"/>
        </w:rPr>
        <w:t xml:space="preserve"> and their derivatives, they must be understood to encompass both the heads of arguments and the oral submissions made in court.</w:t>
      </w:r>
    </w:p>
    <w:p w14:paraId="217CF7A3" w14:textId="77777777" w:rsidR="007C1850" w:rsidRDefault="007C1850" w:rsidP="00FF1075">
      <w:pPr>
        <w:pStyle w:val="ListParagraph"/>
        <w:spacing w:after="0" w:line="360" w:lineRule="auto"/>
        <w:ind w:left="0"/>
        <w:jc w:val="both"/>
        <w:rPr>
          <w:rFonts w:ascii="Arial" w:hAnsi="Arial" w:cs="Arial"/>
          <w:sz w:val="24"/>
          <w:szCs w:val="24"/>
          <w:u w:val="single"/>
        </w:rPr>
      </w:pPr>
    </w:p>
    <w:p w14:paraId="3F2CC998" w14:textId="5ADED367" w:rsidR="00000E99" w:rsidRPr="007C1850" w:rsidRDefault="007C1850" w:rsidP="00FF1075">
      <w:pPr>
        <w:pStyle w:val="ListParagraph"/>
        <w:spacing w:after="0" w:line="360" w:lineRule="auto"/>
        <w:ind w:left="0"/>
        <w:jc w:val="both"/>
        <w:rPr>
          <w:rFonts w:ascii="Arial" w:hAnsi="Arial" w:cs="Arial"/>
          <w:i/>
          <w:sz w:val="24"/>
          <w:szCs w:val="24"/>
        </w:rPr>
      </w:pPr>
      <w:r w:rsidRPr="007C1850">
        <w:rPr>
          <w:rFonts w:ascii="Arial" w:hAnsi="Arial" w:cs="Arial"/>
          <w:i/>
          <w:sz w:val="24"/>
          <w:szCs w:val="24"/>
        </w:rPr>
        <w:t>On behalf of the applicants</w:t>
      </w:r>
    </w:p>
    <w:p w14:paraId="3A411438" w14:textId="77777777" w:rsidR="00425B59" w:rsidRDefault="00425B59" w:rsidP="00FF1075">
      <w:pPr>
        <w:pStyle w:val="ListParagraph"/>
        <w:spacing w:after="0" w:line="360" w:lineRule="auto"/>
        <w:ind w:left="0"/>
        <w:jc w:val="both"/>
        <w:rPr>
          <w:rFonts w:ascii="Arial" w:hAnsi="Arial" w:cs="Arial"/>
          <w:sz w:val="24"/>
          <w:szCs w:val="24"/>
        </w:rPr>
      </w:pPr>
    </w:p>
    <w:p w14:paraId="0DFA3426" w14:textId="5B934682" w:rsidR="00DE5103" w:rsidRPr="0044411B" w:rsidRDefault="000310B9" w:rsidP="0044411B">
      <w:pPr>
        <w:pStyle w:val="ListParagraph"/>
        <w:numPr>
          <w:ilvl w:val="0"/>
          <w:numId w:val="26"/>
        </w:numPr>
        <w:spacing w:after="0" w:line="360" w:lineRule="auto"/>
        <w:ind w:left="0" w:firstLine="0"/>
        <w:jc w:val="both"/>
        <w:rPr>
          <w:rFonts w:ascii="Arial" w:hAnsi="Arial" w:cs="Arial"/>
          <w:sz w:val="24"/>
          <w:szCs w:val="24"/>
        </w:rPr>
      </w:pPr>
      <w:r w:rsidRPr="0044411B">
        <w:rPr>
          <w:rFonts w:ascii="Arial" w:hAnsi="Arial" w:cs="Arial"/>
          <w:sz w:val="24"/>
          <w:szCs w:val="24"/>
        </w:rPr>
        <w:t>The argument</w:t>
      </w:r>
      <w:r w:rsidR="004C3E17" w:rsidRPr="0044411B">
        <w:rPr>
          <w:rFonts w:ascii="Arial" w:hAnsi="Arial" w:cs="Arial"/>
          <w:sz w:val="24"/>
          <w:szCs w:val="24"/>
        </w:rPr>
        <w:t xml:space="preserve"> advanced by </w:t>
      </w:r>
      <w:r w:rsidR="00FC664F">
        <w:rPr>
          <w:rFonts w:ascii="Arial" w:hAnsi="Arial" w:cs="Arial"/>
          <w:sz w:val="24"/>
          <w:szCs w:val="24"/>
        </w:rPr>
        <w:t>Mr Chibwana</w:t>
      </w:r>
      <w:r w:rsidR="004C3E17" w:rsidRPr="0044411B">
        <w:rPr>
          <w:rFonts w:ascii="Arial" w:hAnsi="Arial" w:cs="Arial"/>
          <w:sz w:val="24"/>
          <w:szCs w:val="24"/>
        </w:rPr>
        <w:t xml:space="preserve"> </w:t>
      </w:r>
      <w:r w:rsidR="00DE5103" w:rsidRPr="0044411B">
        <w:rPr>
          <w:rFonts w:ascii="Arial" w:hAnsi="Arial" w:cs="Arial"/>
          <w:sz w:val="24"/>
          <w:szCs w:val="24"/>
        </w:rPr>
        <w:t>is that the Minister does not</w:t>
      </w:r>
      <w:r w:rsidR="006F548A">
        <w:rPr>
          <w:rFonts w:ascii="Arial" w:hAnsi="Arial" w:cs="Arial"/>
          <w:sz w:val="24"/>
          <w:szCs w:val="24"/>
        </w:rPr>
        <w:t xml:space="preserve"> </w:t>
      </w:r>
      <w:r w:rsidR="00DE5103" w:rsidRPr="0044411B">
        <w:rPr>
          <w:rFonts w:ascii="Arial" w:hAnsi="Arial" w:cs="Arial"/>
          <w:sz w:val="24"/>
          <w:szCs w:val="24"/>
        </w:rPr>
        <w:t xml:space="preserve">dispute the fact that he utilised the </w:t>
      </w:r>
      <w:r w:rsidR="007C1850">
        <w:rPr>
          <w:rFonts w:ascii="Arial" w:hAnsi="Arial" w:cs="Arial"/>
          <w:sz w:val="24"/>
          <w:szCs w:val="24"/>
        </w:rPr>
        <w:t xml:space="preserve">information contained in </w:t>
      </w:r>
      <w:r w:rsidR="00323864">
        <w:rPr>
          <w:rFonts w:ascii="Arial" w:hAnsi="Arial" w:cs="Arial"/>
          <w:sz w:val="24"/>
          <w:szCs w:val="24"/>
        </w:rPr>
        <w:t>a separate and distinct application of the late Chief Kilus Nguvauva</w:t>
      </w:r>
      <w:r w:rsidR="00DE5103" w:rsidRPr="0044411B">
        <w:rPr>
          <w:rFonts w:ascii="Arial" w:hAnsi="Arial" w:cs="Arial"/>
          <w:sz w:val="24"/>
          <w:szCs w:val="24"/>
        </w:rPr>
        <w:t xml:space="preserve"> when </w:t>
      </w:r>
      <w:r w:rsidR="00323864">
        <w:rPr>
          <w:rFonts w:ascii="Arial" w:hAnsi="Arial" w:cs="Arial"/>
          <w:sz w:val="24"/>
          <w:szCs w:val="24"/>
        </w:rPr>
        <w:t xml:space="preserve">he made </w:t>
      </w:r>
      <w:r w:rsidR="00DE5103" w:rsidRPr="0044411B">
        <w:rPr>
          <w:rFonts w:ascii="Arial" w:hAnsi="Arial" w:cs="Arial"/>
          <w:sz w:val="24"/>
          <w:szCs w:val="24"/>
        </w:rPr>
        <w:t>his decision</w:t>
      </w:r>
      <w:r w:rsidR="006F548A">
        <w:rPr>
          <w:rFonts w:ascii="Arial" w:hAnsi="Arial" w:cs="Arial"/>
          <w:sz w:val="24"/>
          <w:szCs w:val="24"/>
        </w:rPr>
        <w:t>.</w:t>
      </w:r>
      <w:r w:rsidR="00DE5103" w:rsidRPr="0044411B">
        <w:rPr>
          <w:rFonts w:ascii="Arial" w:hAnsi="Arial" w:cs="Arial"/>
          <w:sz w:val="24"/>
          <w:szCs w:val="24"/>
        </w:rPr>
        <w:t xml:space="preserve"> </w:t>
      </w:r>
      <w:r w:rsidR="006F548A">
        <w:rPr>
          <w:rFonts w:ascii="Arial" w:hAnsi="Arial" w:cs="Arial"/>
          <w:sz w:val="24"/>
          <w:szCs w:val="24"/>
        </w:rPr>
        <w:t>He also</w:t>
      </w:r>
      <w:r w:rsidR="00DE5103" w:rsidRPr="0044411B">
        <w:rPr>
          <w:rFonts w:ascii="Arial" w:hAnsi="Arial" w:cs="Arial"/>
          <w:sz w:val="24"/>
          <w:szCs w:val="24"/>
        </w:rPr>
        <w:t xml:space="preserve"> does not dispute that he did not provide the </w:t>
      </w:r>
      <w:r w:rsidR="0044411B">
        <w:rPr>
          <w:rFonts w:ascii="Arial" w:hAnsi="Arial" w:cs="Arial"/>
          <w:sz w:val="24"/>
          <w:szCs w:val="24"/>
        </w:rPr>
        <w:t>a</w:t>
      </w:r>
      <w:r w:rsidR="00DE5103" w:rsidRPr="0044411B">
        <w:rPr>
          <w:rFonts w:ascii="Arial" w:hAnsi="Arial" w:cs="Arial"/>
          <w:sz w:val="24"/>
          <w:szCs w:val="24"/>
        </w:rPr>
        <w:t xml:space="preserve">pplicants with that application </w:t>
      </w:r>
      <w:r w:rsidR="006F548A">
        <w:rPr>
          <w:rFonts w:ascii="Arial" w:hAnsi="Arial" w:cs="Arial"/>
          <w:sz w:val="24"/>
          <w:szCs w:val="24"/>
        </w:rPr>
        <w:t>or</w:t>
      </w:r>
      <w:r w:rsidR="00DE5103" w:rsidRPr="0044411B">
        <w:rPr>
          <w:rFonts w:ascii="Arial" w:hAnsi="Arial" w:cs="Arial"/>
          <w:sz w:val="24"/>
          <w:szCs w:val="24"/>
        </w:rPr>
        <w:t xml:space="preserve"> provide the </w:t>
      </w:r>
      <w:r w:rsidR="0044411B">
        <w:rPr>
          <w:rFonts w:ascii="Arial" w:hAnsi="Arial" w:cs="Arial"/>
          <w:sz w:val="24"/>
          <w:szCs w:val="24"/>
        </w:rPr>
        <w:t>a</w:t>
      </w:r>
      <w:r w:rsidR="00DE5103" w:rsidRPr="0044411B">
        <w:rPr>
          <w:rFonts w:ascii="Arial" w:hAnsi="Arial" w:cs="Arial"/>
          <w:sz w:val="24"/>
          <w:szCs w:val="24"/>
        </w:rPr>
        <w:t>pplicants with an opportunity to make representations in relation to the</w:t>
      </w:r>
      <w:r w:rsidR="00323864">
        <w:rPr>
          <w:rFonts w:ascii="Arial" w:hAnsi="Arial" w:cs="Arial"/>
          <w:sz w:val="24"/>
          <w:szCs w:val="24"/>
        </w:rPr>
        <w:t xml:space="preserve"> averments in the earlier</w:t>
      </w:r>
      <w:r w:rsidR="00DE5103" w:rsidRPr="0044411B">
        <w:rPr>
          <w:rFonts w:ascii="Arial" w:hAnsi="Arial" w:cs="Arial"/>
          <w:sz w:val="24"/>
          <w:szCs w:val="24"/>
        </w:rPr>
        <w:t xml:space="preserve"> application lodged by the late Chief Kilus Nguvauva and any adverse material contained therein.</w:t>
      </w:r>
    </w:p>
    <w:p w14:paraId="52AF3D97" w14:textId="77777777" w:rsidR="00DE5103" w:rsidRPr="00DE5103" w:rsidRDefault="00DE5103" w:rsidP="00DE5103">
      <w:pPr>
        <w:pStyle w:val="ListParagraph"/>
        <w:spacing w:after="0" w:line="360" w:lineRule="auto"/>
        <w:jc w:val="both"/>
        <w:rPr>
          <w:rFonts w:ascii="Arial" w:hAnsi="Arial" w:cs="Arial"/>
          <w:sz w:val="24"/>
          <w:szCs w:val="24"/>
        </w:rPr>
      </w:pPr>
    </w:p>
    <w:p w14:paraId="27DAB501" w14:textId="1F01D60C" w:rsidR="00DE5103" w:rsidRPr="005B0B33" w:rsidRDefault="00FC664F" w:rsidP="005B0B33">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Mr Chibwana</w:t>
      </w:r>
      <w:r w:rsidR="00DE5103" w:rsidRPr="005B0B33">
        <w:rPr>
          <w:rFonts w:ascii="Arial" w:hAnsi="Arial" w:cs="Arial"/>
          <w:sz w:val="24"/>
          <w:szCs w:val="24"/>
        </w:rPr>
        <w:t xml:space="preserve"> </w:t>
      </w:r>
      <w:r w:rsidR="00132871">
        <w:rPr>
          <w:rFonts w:ascii="Arial" w:hAnsi="Arial" w:cs="Arial"/>
          <w:sz w:val="24"/>
          <w:szCs w:val="24"/>
        </w:rPr>
        <w:t>contended</w:t>
      </w:r>
      <w:r w:rsidR="00DE5103" w:rsidRPr="005B0B33">
        <w:rPr>
          <w:rFonts w:ascii="Arial" w:hAnsi="Arial" w:cs="Arial"/>
          <w:sz w:val="24"/>
          <w:szCs w:val="24"/>
        </w:rPr>
        <w:t xml:space="preserve"> </w:t>
      </w:r>
      <w:r w:rsidR="00323864">
        <w:rPr>
          <w:rFonts w:ascii="Arial" w:hAnsi="Arial" w:cs="Arial"/>
          <w:sz w:val="24"/>
          <w:szCs w:val="24"/>
        </w:rPr>
        <w:t xml:space="preserve">that </w:t>
      </w:r>
      <w:r w:rsidR="00DE5103" w:rsidRPr="005B0B33">
        <w:rPr>
          <w:rFonts w:ascii="Arial" w:hAnsi="Arial" w:cs="Arial"/>
          <w:sz w:val="24"/>
          <w:szCs w:val="24"/>
        </w:rPr>
        <w:t>the Minister</w:t>
      </w:r>
      <w:r w:rsidR="006F548A">
        <w:rPr>
          <w:rFonts w:ascii="Arial" w:hAnsi="Arial" w:cs="Arial"/>
          <w:sz w:val="24"/>
          <w:szCs w:val="24"/>
        </w:rPr>
        <w:t>,</w:t>
      </w:r>
      <w:r w:rsidR="00DE5103" w:rsidRPr="005B0B33">
        <w:rPr>
          <w:rFonts w:ascii="Arial" w:hAnsi="Arial" w:cs="Arial"/>
          <w:sz w:val="24"/>
          <w:szCs w:val="24"/>
        </w:rPr>
        <w:t xml:space="preserve"> by way of his answering affidavit</w:t>
      </w:r>
      <w:r w:rsidR="006F548A">
        <w:rPr>
          <w:rFonts w:ascii="Arial" w:hAnsi="Arial" w:cs="Arial"/>
          <w:sz w:val="24"/>
          <w:szCs w:val="24"/>
        </w:rPr>
        <w:t>, had an obligation to dispute the facts that they</w:t>
      </w:r>
      <w:r w:rsidR="00B33239">
        <w:rPr>
          <w:rFonts w:ascii="Arial" w:hAnsi="Arial" w:cs="Arial"/>
          <w:sz w:val="24"/>
          <w:szCs w:val="24"/>
        </w:rPr>
        <w:t xml:space="preserve"> </w:t>
      </w:r>
      <w:r w:rsidR="00B25DDB">
        <w:rPr>
          <w:rFonts w:ascii="Arial" w:hAnsi="Arial" w:cs="Arial"/>
          <w:sz w:val="24"/>
          <w:szCs w:val="24"/>
        </w:rPr>
        <w:t>relied</w:t>
      </w:r>
      <w:r w:rsidR="00DE5103" w:rsidRPr="005B0B33">
        <w:rPr>
          <w:rFonts w:ascii="Arial" w:hAnsi="Arial" w:cs="Arial"/>
          <w:sz w:val="24"/>
          <w:szCs w:val="24"/>
        </w:rPr>
        <w:t xml:space="preserve"> upon</w:t>
      </w:r>
      <w:r w:rsidR="006F548A">
        <w:rPr>
          <w:rFonts w:ascii="Arial" w:hAnsi="Arial" w:cs="Arial"/>
          <w:sz w:val="24"/>
          <w:szCs w:val="24"/>
        </w:rPr>
        <w:t>. In</w:t>
      </w:r>
      <w:r w:rsidR="00DE5103" w:rsidRPr="005B0B33">
        <w:rPr>
          <w:rFonts w:ascii="Arial" w:hAnsi="Arial" w:cs="Arial"/>
          <w:sz w:val="24"/>
          <w:szCs w:val="24"/>
        </w:rPr>
        <w:t xml:space="preserve"> this regard</w:t>
      </w:r>
      <w:r w:rsidR="006F548A">
        <w:rPr>
          <w:rFonts w:ascii="Arial" w:hAnsi="Arial" w:cs="Arial"/>
          <w:sz w:val="24"/>
          <w:szCs w:val="24"/>
        </w:rPr>
        <w:t>,</w:t>
      </w:r>
      <w:r w:rsidR="00DE5103" w:rsidRPr="005B0B33">
        <w:rPr>
          <w:rFonts w:ascii="Arial" w:hAnsi="Arial" w:cs="Arial"/>
          <w:sz w:val="24"/>
          <w:szCs w:val="24"/>
        </w:rPr>
        <w:t xml:space="preserve"> applicants rely on the decision of the Court in </w:t>
      </w:r>
      <w:r w:rsidR="00DE5103" w:rsidRPr="005B0B33">
        <w:rPr>
          <w:rFonts w:ascii="Arial" w:hAnsi="Arial" w:cs="Arial"/>
          <w:i/>
          <w:sz w:val="24"/>
          <w:szCs w:val="24"/>
        </w:rPr>
        <w:t>Wightman t/a JW Construction v Headfour (Pty) Ltd and Another</w:t>
      </w:r>
      <w:r w:rsidR="00DE5103">
        <w:rPr>
          <w:rStyle w:val="FootnoteReference"/>
          <w:rFonts w:ascii="Arial" w:hAnsi="Arial" w:cs="Arial"/>
          <w:i/>
          <w:sz w:val="24"/>
          <w:szCs w:val="24"/>
        </w:rPr>
        <w:footnoteReference w:id="5"/>
      </w:r>
      <w:r w:rsidR="00DE5103" w:rsidRPr="005B0B33">
        <w:rPr>
          <w:rFonts w:ascii="Arial" w:hAnsi="Arial" w:cs="Arial"/>
          <w:i/>
          <w:sz w:val="24"/>
          <w:szCs w:val="24"/>
        </w:rPr>
        <w:t xml:space="preserve"> </w:t>
      </w:r>
      <w:r w:rsidR="00DE5103" w:rsidRPr="005B0B33">
        <w:rPr>
          <w:rFonts w:ascii="Arial" w:hAnsi="Arial" w:cs="Arial"/>
          <w:sz w:val="24"/>
          <w:szCs w:val="24"/>
        </w:rPr>
        <w:t>where the Court held that:</w:t>
      </w:r>
    </w:p>
    <w:p w14:paraId="73938ED2" w14:textId="77777777" w:rsidR="00DE5103" w:rsidRPr="00DE5103" w:rsidRDefault="00DE5103" w:rsidP="00DE5103">
      <w:pPr>
        <w:spacing w:after="0" w:line="360" w:lineRule="auto"/>
        <w:jc w:val="both"/>
        <w:rPr>
          <w:rFonts w:ascii="Arial" w:hAnsi="Arial" w:cs="Arial"/>
          <w:sz w:val="24"/>
          <w:szCs w:val="24"/>
        </w:rPr>
      </w:pPr>
    </w:p>
    <w:p w14:paraId="0C5EB777" w14:textId="6B919ACD" w:rsidR="00DE5103" w:rsidRPr="00DE5103" w:rsidRDefault="00DE5103" w:rsidP="00DE5103">
      <w:pPr>
        <w:spacing w:after="0" w:line="360" w:lineRule="auto"/>
        <w:ind w:firstLine="720"/>
        <w:jc w:val="both"/>
        <w:rPr>
          <w:rFonts w:ascii="Arial" w:hAnsi="Arial" w:cs="Arial"/>
        </w:rPr>
      </w:pPr>
      <w:r w:rsidRPr="00DE5103">
        <w:rPr>
          <w:rFonts w:ascii="Arial" w:hAnsi="Arial" w:cs="Arial"/>
        </w:rPr>
        <w:t xml:space="preserve">‘[13] 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w:t>
      </w:r>
      <w:r w:rsidRPr="00DE5103">
        <w:rPr>
          <w:rFonts w:ascii="Arial" w:hAnsi="Arial" w:cs="Arial"/>
        </w:rPr>
        <w:lastRenderedPageBreak/>
        <w:t>‘generally’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this a serious duty imposed upon a legal adviser who settles an answering affidavit to ascertain and engage with facts which his client disputes and to reflect such disputes dully and accurately in the answering affidavit. If that does not happen it should come as no surprise that the court takes a robust view of the matter.’</w:t>
      </w:r>
    </w:p>
    <w:p w14:paraId="7D27008E" w14:textId="77777777" w:rsidR="00077C88" w:rsidRDefault="00077C88" w:rsidP="00077C88">
      <w:pPr>
        <w:spacing w:after="0" w:line="360" w:lineRule="auto"/>
        <w:jc w:val="both"/>
        <w:rPr>
          <w:rFonts w:ascii="Arial" w:hAnsi="Arial" w:cs="Arial"/>
          <w:sz w:val="24"/>
          <w:szCs w:val="24"/>
        </w:rPr>
      </w:pPr>
    </w:p>
    <w:p w14:paraId="255E6F07" w14:textId="787D3DE0" w:rsidR="00A95D2D" w:rsidRPr="00A95D2D" w:rsidRDefault="00077C88" w:rsidP="00193841">
      <w:pPr>
        <w:pStyle w:val="ListParagraph"/>
        <w:numPr>
          <w:ilvl w:val="0"/>
          <w:numId w:val="26"/>
        </w:numPr>
        <w:spacing w:after="0" w:line="360" w:lineRule="auto"/>
        <w:ind w:left="0" w:firstLine="0"/>
        <w:jc w:val="both"/>
        <w:rPr>
          <w:rFonts w:ascii="Arial" w:hAnsi="Arial" w:cs="Arial"/>
          <w:sz w:val="24"/>
          <w:szCs w:val="24"/>
        </w:rPr>
      </w:pPr>
      <w:r w:rsidRPr="00A95D2D">
        <w:rPr>
          <w:rFonts w:ascii="Arial" w:hAnsi="Arial" w:cs="Arial"/>
          <w:sz w:val="24"/>
          <w:szCs w:val="24"/>
        </w:rPr>
        <w:t xml:space="preserve">In response to the Minister’s argument that applicants were granted audi by way of constant engagements with the </w:t>
      </w:r>
      <w:r w:rsidR="005B0B33" w:rsidRPr="00A95D2D">
        <w:rPr>
          <w:rFonts w:ascii="Arial" w:hAnsi="Arial" w:cs="Arial"/>
          <w:sz w:val="24"/>
          <w:szCs w:val="24"/>
        </w:rPr>
        <w:t>applicants'</w:t>
      </w:r>
      <w:r w:rsidRPr="00A95D2D">
        <w:rPr>
          <w:rFonts w:ascii="Arial" w:hAnsi="Arial" w:cs="Arial"/>
          <w:sz w:val="24"/>
          <w:szCs w:val="24"/>
        </w:rPr>
        <w:t xml:space="preserve"> legal practitioners</w:t>
      </w:r>
      <w:r w:rsidR="00A95D2D" w:rsidRPr="00A95D2D">
        <w:rPr>
          <w:rFonts w:ascii="Arial" w:hAnsi="Arial" w:cs="Arial"/>
          <w:sz w:val="24"/>
          <w:szCs w:val="24"/>
        </w:rPr>
        <w:t>,</w:t>
      </w:r>
      <w:r w:rsidRPr="00A95D2D">
        <w:rPr>
          <w:rFonts w:ascii="Arial" w:hAnsi="Arial" w:cs="Arial"/>
          <w:sz w:val="24"/>
          <w:szCs w:val="24"/>
        </w:rPr>
        <w:t xml:space="preserve"> and this is reflected in two correspondences</w:t>
      </w:r>
      <w:r w:rsidR="006F548A" w:rsidRPr="00A95D2D">
        <w:rPr>
          <w:rFonts w:ascii="Arial" w:hAnsi="Arial" w:cs="Arial"/>
          <w:sz w:val="24"/>
          <w:szCs w:val="24"/>
        </w:rPr>
        <w:t xml:space="preserve"> dated 29 October 2021 and 23 March 2022</w:t>
      </w:r>
      <w:r w:rsidR="00A95D2D" w:rsidRPr="00A95D2D">
        <w:rPr>
          <w:rFonts w:ascii="Arial" w:hAnsi="Arial" w:cs="Arial"/>
          <w:sz w:val="24"/>
          <w:szCs w:val="24"/>
        </w:rPr>
        <w:t>,</w:t>
      </w:r>
      <w:r w:rsidR="006F548A" w:rsidRPr="00A95D2D">
        <w:rPr>
          <w:rFonts w:ascii="Arial" w:hAnsi="Arial" w:cs="Arial"/>
          <w:sz w:val="24"/>
          <w:szCs w:val="24"/>
        </w:rPr>
        <w:t xml:space="preserve"> respectively,</w:t>
      </w:r>
      <w:r w:rsidRPr="00A95D2D">
        <w:rPr>
          <w:rFonts w:ascii="Arial" w:hAnsi="Arial" w:cs="Arial"/>
          <w:sz w:val="24"/>
          <w:szCs w:val="24"/>
        </w:rPr>
        <w:t xml:space="preserve"> </w:t>
      </w:r>
      <w:r w:rsidR="00132871">
        <w:rPr>
          <w:rFonts w:ascii="Arial" w:hAnsi="Arial" w:cs="Arial"/>
          <w:sz w:val="24"/>
          <w:szCs w:val="24"/>
        </w:rPr>
        <w:t>Mr Chibwan</w:t>
      </w:r>
      <w:r w:rsidR="00FC664F">
        <w:rPr>
          <w:rFonts w:ascii="Arial" w:hAnsi="Arial" w:cs="Arial"/>
          <w:sz w:val="24"/>
          <w:szCs w:val="24"/>
        </w:rPr>
        <w:t>a argued</w:t>
      </w:r>
      <w:r w:rsidR="006F548A" w:rsidRPr="00A95D2D">
        <w:rPr>
          <w:rFonts w:ascii="Arial" w:hAnsi="Arial" w:cs="Arial"/>
          <w:color w:val="1C1C1C"/>
          <w:sz w:val="24"/>
          <w:szCs w:val="24"/>
          <w:shd w:val="clear" w:color="auto" w:fill="FFFFFF"/>
        </w:rPr>
        <w:t xml:space="preserve"> that audi should have taken place before a decision was made.</w:t>
      </w:r>
    </w:p>
    <w:p w14:paraId="5EA95EAE" w14:textId="77777777" w:rsidR="00A95D2D" w:rsidRPr="00A95D2D" w:rsidRDefault="00A95D2D" w:rsidP="00A95D2D">
      <w:pPr>
        <w:pStyle w:val="ListParagraph"/>
        <w:spacing w:after="0" w:line="360" w:lineRule="auto"/>
        <w:ind w:left="0"/>
        <w:jc w:val="both"/>
        <w:rPr>
          <w:rFonts w:ascii="Arial" w:hAnsi="Arial" w:cs="Arial"/>
          <w:sz w:val="24"/>
          <w:szCs w:val="24"/>
        </w:rPr>
      </w:pPr>
    </w:p>
    <w:p w14:paraId="6003ADB1" w14:textId="160AF579" w:rsidR="00077C88" w:rsidRPr="00323864" w:rsidRDefault="00FC664F" w:rsidP="0015465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color w:val="1C1C1C"/>
          <w:sz w:val="24"/>
          <w:szCs w:val="24"/>
          <w:shd w:val="clear" w:color="auto" w:fill="FFFFFF"/>
        </w:rPr>
        <w:t>Mr Chibwana</w:t>
      </w:r>
      <w:r w:rsidR="00A95D2D" w:rsidRPr="00323864">
        <w:rPr>
          <w:rFonts w:ascii="Arial" w:hAnsi="Arial" w:cs="Arial"/>
          <w:color w:val="1C1C1C"/>
          <w:sz w:val="24"/>
          <w:szCs w:val="24"/>
          <w:shd w:val="clear" w:color="auto" w:fill="FFFFFF"/>
        </w:rPr>
        <w:t xml:space="preserve"> submit</w:t>
      </w:r>
      <w:r>
        <w:rPr>
          <w:rFonts w:ascii="Arial" w:hAnsi="Arial" w:cs="Arial"/>
          <w:color w:val="1C1C1C"/>
          <w:sz w:val="24"/>
          <w:szCs w:val="24"/>
          <w:shd w:val="clear" w:color="auto" w:fill="FFFFFF"/>
        </w:rPr>
        <w:t>ted</w:t>
      </w:r>
      <w:r w:rsidR="00A95D2D" w:rsidRPr="00323864">
        <w:rPr>
          <w:rFonts w:ascii="Arial" w:hAnsi="Arial" w:cs="Arial"/>
          <w:color w:val="1C1C1C"/>
          <w:sz w:val="24"/>
          <w:szCs w:val="24"/>
          <w:shd w:val="clear" w:color="auto" w:fill="FFFFFF"/>
        </w:rPr>
        <w:t xml:space="preserve"> that it is common cause that the Minister’s </w:t>
      </w:r>
      <w:r w:rsidR="006F548A" w:rsidRPr="00323864">
        <w:rPr>
          <w:rFonts w:ascii="Arial" w:hAnsi="Arial" w:cs="Arial"/>
          <w:color w:val="1C1C1C"/>
          <w:sz w:val="24"/>
          <w:szCs w:val="24"/>
          <w:shd w:val="clear" w:color="auto" w:fill="FFFFFF"/>
        </w:rPr>
        <w:t xml:space="preserve">decision was made on </w:t>
      </w:r>
      <w:r w:rsidR="00A95D2D" w:rsidRPr="00323864">
        <w:rPr>
          <w:rFonts w:ascii="Arial" w:hAnsi="Arial" w:cs="Arial"/>
          <w:color w:val="1C1C1C"/>
          <w:sz w:val="24"/>
          <w:szCs w:val="24"/>
          <w:shd w:val="clear" w:color="auto" w:fill="FFFFFF"/>
        </w:rPr>
        <w:t xml:space="preserve">20 </w:t>
      </w:r>
      <w:r w:rsidR="006F548A" w:rsidRPr="00323864">
        <w:rPr>
          <w:rFonts w:ascii="Arial" w:hAnsi="Arial" w:cs="Arial"/>
          <w:color w:val="1C1C1C"/>
          <w:sz w:val="24"/>
          <w:szCs w:val="24"/>
          <w:shd w:val="clear" w:color="auto" w:fill="FFFFFF"/>
        </w:rPr>
        <w:t>October 2021</w:t>
      </w:r>
      <w:r w:rsidR="00A95D2D" w:rsidRPr="00323864">
        <w:rPr>
          <w:rFonts w:ascii="Arial" w:hAnsi="Arial" w:cs="Arial"/>
          <w:color w:val="1C1C1C"/>
          <w:sz w:val="24"/>
          <w:szCs w:val="24"/>
          <w:shd w:val="clear" w:color="auto" w:fill="FFFFFF"/>
        </w:rPr>
        <w:t xml:space="preserve">. Therefore, </w:t>
      </w:r>
      <w:r w:rsidR="006F548A" w:rsidRPr="00323864">
        <w:rPr>
          <w:rFonts w:ascii="Arial" w:hAnsi="Arial" w:cs="Arial"/>
          <w:color w:val="1C1C1C"/>
          <w:sz w:val="24"/>
          <w:szCs w:val="24"/>
          <w:shd w:val="clear" w:color="auto" w:fill="FFFFFF"/>
        </w:rPr>
        <w:t xml:space="preserve">any opportunity to make representations should have been given before that date. The applicants </w:t>
      </w:r>
      <w:r w:rsidR="00A95D2D" w:rsidRPr="00323864">
        <w:rPr>
          <w:rFonts w:ascii="Arial" w:hAnsi="Arial" w:cs="Arial"/>
          <w:color w:val="1C1C1C"/>
          <w:sz w:val="24"/>
          <w:szCs w:val="24"/>
          <w:shd w:val="clear" w:color="auto" w:fill="FFFFFF"/>
        </w:rPr>
        <w:t>aver</w:t>
      </w:r>
      <w:r w:rsidR="006F548A" w:rsidRPr="00323864">
        <w:rPr>
          <w:rFonts w:ascii="Arial" w:hAnsi="Arial" w:cs="Arial"/>
          <w:color w:val="1C1C1C"/>
          <w:sz w:val="24"/>
          <w:szCs w:val="24"/>
          <w:shd w:val="clear" w:color="auto" w:fill="FFFFFF"/>
        </w:rPr>
        <w:t xml:space="preserve"> that the documents relied upon by the Minister, which supposedly reflect the audi, are actually a request for reasons made by the applicants on </w:t>
      </w:r>
      <w:r w:rsidR="00A95D2D" w:rsidRPr="00323864">
        <w:rPr>
          <w:rFonts w:ascii="Arial" w:hAnsi="Arial" w:cs="Arial"/>
          <w:color w:val="1C1C1C"/>
          <w:sz w:val="24"/>
          <w:szCs w:val="24"/>
          <w:shd w:val="clear" w:color="auto" w:fill="FFFFFF"/>
        </w:rPr>
        <w:t xml:space="preserve">29 </w:t>
      </w:r>
      <w:r w:rsidR="006F548A" w:rsidRPr="00323864">
        <w:rPr>
          <w:rFonts w:ascii="Arial" w:hAnsi="Arial" w:cs="Arial"/>
          <w:color w:val="1C1C1C"/>
          <w:sz w:val="24"/>
          <w:szCs w:val="24"/>
          <w:shd w:val="clear" w:color="auto" w:fill="FFFFFF"/>
        </w:rPr>
        <w:t>October 2021</w:t>
      </w:r>
      <w:r w:rsidR="00A95D2D" w:rsidRPr="00323864">
        <w:rPr>
          <w:rFonts w:ascii="Arial" w:hAnsi="Arial" w:cs="Arial"/>
          <w:color w:val="1C1C1C"/>
          <w:sz w:val="24"/>
          <w:szCs w:val="24"/>
          <w:shd w:val="clear" w:color="auto" w:fill="FFFFFF"/>
        </w:rPr>
        <w:t xml:space="preserve"> and the response thereto on 23 March 2022. This correspondence came well after the Minister’s decision of 20 October 2021.</w:t>
      </w:r>
      <w:r w:rsidR="00A95D2D" w:rsidRPr="00323864">
        <w:rPr>
          <w:rFonts w:ascii="Arial" w:hAnsi="Arial" w:cs="Arial"/>
          <w:color w:val="1C1C1C"/>
          <w:sz w:val="21"/>
          <w:szCs w:val="21"/>
          <w:shd w:val="clear" w:color="auto" w:fill="FFFFFF"/>
        </w:rPr>
        <w:t xml:space="preserve"> </w:t>
      </w:r>
      <w:r w:rsidR="006F548A" w:rsidRPr="00323864">
        <w:rPr>
          <w:rFonts w:ascii="Arial" w:hAnsi="Arial" w:cs="Arial"/>
          <w:color w:val="1C1C1C"/>
          <w:sz w:val="21"/>
          <w:szCs w:val="21"/>
          <w:shd w:val="clear" w:color="auto" w:fill="FFFFFF"/>
        </w:rPr>
        <w:t xml:space="preserve"> </w:t>
      </w:r>
      <w:r w:rsidR="005B0B33" w:rsidRPr="00323864">
        <w:rPr>
          <w:rFonts w:ascii="Arial" w:hAnsi="Arial" w:cs="Arial"/>
          <w:color w:val="1C1C1C"/>
          <w:sz w:val="24"/>
          <w:szCs w:val="24"/>
          <w:shd w:val="clear" w:color="auto" w:fill="FFFFFF"/>
        </w:rPr>
        <w:t xml:space="preserve">The </w:t>
      </w:r>
      <w:r w:rsidR="005B0B33" w:rsidRPr="00B67A30">
        <w:rPr>
          <w:rFonts w:ascii="Arial" w:hAnsi="Arial" w:cs="Arial"/>
          <w:color w:val="1C1C1C"/>
          <w:sz w:val="24"/>
          <w:szCs w:val="24"/>
          <w:shd w:val="clear" w:color="auto" w:fill="FFFFFF"/>
        </w:rPr>
        <w:t xml:space="preserve">applicants claim that this </w:t>
      </w:r>
      <w:r w:rsidR="002E63D7" w:rsidRPr="00B67A30">
        <w:rPr>
          <w:rFonts w:ascii="Arial" w:hAnsi="Arial" w:cs="Arial"/>
          <w:color w:val="1C1C1C"/>
          <w:sz w:val="24"/>
          <w:szCs w:val="24"/>
          <w:shd w:val="clear" w:color="auto" w:fill="FFFFFF"/>
        </w:rPr>
        <w:t xml:space="preserve">is a </w:t>
      </w:r>
      <w:r w:rsidR="005B0B33" w:rsidRPr="00B67A30">
        <w:rPr>
          <w:rFonts w:ascii="Arial" w:hAnsi="Arial" w:cs="Arial"/>
          <w:color w:val="1C1C1C"/>
          <w:sz w:val="24"/>
          <w:szCs w:val="24"/>
          <w:shd w:val="clear" w:color="auto" w:fill="FFFFFF"/>
        </w:rPr>
        <w:t>failure to comply with Article 18</w:t>
      </w:r>
      <w:r w:rsidR="005B0B33" w:rsidRPr="00323864">
        <w:rPr>
          <w:rFonts w:ascii="Arial" w:hAnsi="Arial" w:cs="Arial"/>
          <w:color w:val="1C1C1C"/>
          <w:sz w:val="24"/>
          <w:szCs w:val="24"/>
          <w:shd w:val="clear" w:color="auto" w:fill="FFFFFF"/>
        </w:rPr>
        <w:t xml:space="preserve"> of the Constitution and that the adverse evidence was not provided to them before the decision was made.</w:t>
      </w:r>
    </w:p>
    <w:p w14:paraId="459947B7" w14:textId="77777777" w:rsidR="00452183" w:rsidRDefault="00452183" w:rsidP="00452183">
      <w:pPr>
        <w:spacing w:after="0" w:line="360" w:lineRule="auto"/>
        <w:jc w:val="both"/>
        <w:rPr>
          <w:rFonts w:ascii="Arial" w:hAnsi="Arial" w:cs="Arial"/>
          <w:sz w:val="24"/>
          <w:szCs w:val="24"/>
        </w:rPr>
      </w:pPr>
    </w:p>
    <w:p w14:paraId="632E8021" w14:textId="131556B7" w:rsidR="00452183" w:rsidRPr="00323864" w:rsidRDefault="00452183" w:rsidP="00323864">
      <w:pPr>
        <w:pStyle w:val="ListParagraph"/>
        <w:numPr>
          <w:ilvl w:val="0"/>
          <w:numId w:val="26"/>
        </w:numPr>
        <w:spacing w:after="0" w:line="360" w:lineRule="auto"/>
        <w:ind w:left="0" w:firstLine="0"/>
        <w:jc w:val="both"/>
        <w:rPr>
          <w:rFonts w:ascii="Arial" w:hAnsi="Arial" w:cs="Arial"/>
          <w:sz w:val="24"/>
          <w:szCs w:val="24"/>
        </w:rPr>
      </w:pPr>
      <w:r w:rsidRPr="00323864">
        <w:rPr>
          <w:rFonts w:ascii="Arial" w:hAnsi="Arial" w:cs="Arial"/>
          <w:sz w:val="24"/>
          <w:szCs w:val="24"/>
        </w:rPr>
        <w:t xml:space="preserve">In bolstering </w:t>
      </w:r>
      <w:r w:rsidR="00FC664F">
        <w:rPr>
          <w:rFonts w:ascii="Arial" w:hAnsi="Arial" w:cs="Arial"/>
          <w:sz w:val="24"/>
          <w:szCs w:val="24"/>
        </w:rPr>
        <w:t>his</w:t>
      </w:r>
      <w:r w:rsidRPr="00323864">
        <w:rPr>
          <w:rFonts w:ascii="Arial" w:hAnsi="Arial" w:cs="Arial"/>
          <w:sz w:val="24"/>
          <w:szCs w:val="24"/>
        </w:rPr>
        <w:t xml:space="preserve"> argument</w:t>
      </w:r>
      <w:r w:rsidR="00132871">
        <w:rPr>
          <w:rFonts w:ascii="Arial" w:hAnsi="Arial" w:cs="Arial"/>
          <w:sz w:val="24"/>
          <w:szCs w:val="24"/>
        </w:rPr>
        <w:t>,</w:t>
      </w:r>
      <w:r w:rsidRPr="00323864">
        <w:rPr>
          <w:rFonts w:ascii="Arial" w:hAnsi="Arial" w:cs="Arial"/>
          <w:sz w:val="24"/>
          <w:szCs w:val="24"/>
        </w:rPr>
        <w:t xml:space="preserve"> </w:t>
      </w:r>
      <w:r w:rsidR="00FC664F">
        <w:rPr>
          <w:rFonts w:ascii="Arial" w:hAnsi="Arial" w:cs="Arial"/>
          <w:sz w:val="24"/>
          <w:szCs w:val="24"/>
        </w:rPr>
        <w:t>Mr Chibwana</w:t>
      </w:r>
      <w:r w:rsidRPr="00323864">
        <w:rPr>
          <w:rFonts w:ascii="Arial" w:hAnsi="Arial" w:cs="Arial"/>
          <w:sz w:val="24"/>
          <w:szCs w:val="24"/>
        </w:rPr>
        <w:t xml:space="preserve"> referred the court to the matter of </w:t>
      </w:r>
      <w:r w:rsidRPr="00323864">
        <w:rPr>
          <w:rFonts w:ascii="Arial" w:hAnsi="Arial" w:cs="Arial"/>
          <w:i/>
          <w:sz w:val="24"/>
          <w:szCs w:val="24"/>
        </w:rPr>
        <w:t>Mouse Properties Ninety Eight CC v Minister of Urban and Rural Development and Others</w:t>
      </w:r>
      <w:r w:rsidR="006B21D1">
        <w:rPr>
          <w:rFonts w:ascii="Arial" w:hAnsi="Arial" w:cs="Arial"/>
          <w:i/>
          <w:sz w:val="24"/>
          <w:szCs w:val="24"/>
        </w:rPr>
        <w:t>,</w:t>
      </w:r>
      <w:r>
        <w:rPr>
          <w:rStyle w:val="FootnoteReference"/>
          <w:rFonts w:ascii="Arial" w:hAnsi="Arial" w:cs="Arial"/>
          <w:i/>
          <w:sz w:val="24"/>
          <w:szCs w:val="24"/>
        </w:rPr>
        <w:footnoteReference w:id="6"/>
      </w:r>
      <w:r w:rsidRPr="00323864">
        <w:rPr>
          <w:rFonts w:ascii="Arial" w:hAnsi="Arial" w:cs="Arial"/>
          <w:sz w:val="24"/>
          <w:szCs w:val="24"/>
        </w:rPr>
        <w:t xml:space="preserve"> </w:t>
      </w:r>
      <w:r w:rsidR="002E63D7" w:rsidRPr="00B67A30">
        <w:rPr>
          <w:rFonts w:ascii="Arial" w:hAnsi="Arial" w:cs="Arial"/>
          <w:sz w:val="24"/>
          <w:szCs w:val="24"/>
        </w:rPr>
        <w:t xml:space="preserve">wherein the court </w:t>
      </w:r>
      <w:r w:rsidRPr="00B67A30">
        <w:rPr>
          <w:rFonts w:ascii="Arial" w:hAnsi="Arial" w:cs="Arial"/>
          <w:sz w:val="24"/>
          <w:szCs w:val="24"/>
        </w:rPr>
        <w:t>addressed audi</w:t>
      </w:r>
      <w:r w:rsidRPr="00323864">
        <w:rPr>
          <w:rFonts w:ascii="Arial" w:hAnsi="Arial" w:cs="Arial"/>
          <w:sz w:val="24"/>
          <w:szCs w:val="24"/>
        </w:rPr>
        <w:t xml:space="preserve"> and stated as follows:</w:t>
      </w:r>
    </w:p>
    <w:p w14:paraId="09F64FA7" w14:textId="77777777" w:rsidR="00452183" w:rsidRPr="00452183" w:rsidRDefault="00452183" w:rsidP="00452183">
      <w:pPr>
        <w:pStyle w:val="ListParagraph"/>
        <w:spacing w:after="0" w:line="360" w:lineRule="auto"/>
        <w:jc w:val="both"/>
        <w:rPr>
          <w:rFonts w:ascii="Arial" w:hAnsi="Arial" w:cs="Arial"/>
          <w:sz w:val="24"/>
          <w:szCs w:val="24"/>
        </w:rPr>
      </w:pPr>
    </w:p>
    <w:p w14:paraId="495A6F17" w14:textId="49426861" w:rsidR="00452183" w:rsidRDefault="00452183" w:rsidP="00452183">
      <w:pPr>
        <w:spacing w:after="0" w:line="360" w:lineRule="auto"/>
        <w:ind w:firstLine="720"/>
        <w:jc w:val="both"/>
        <w:rPr>
          <w:rFonts w:ascii="Arial" w:hAnsi="Arial" w:cs="Arial"/>
        </w:rPr>
      </w:pPr>
      <w:r w:rsidRPr="00452183">
        <w:rPr>
          <w:rFonts w:ascii="Arial" w:hAnsi="Arial" w:cs="Arial"/>
        </w:rPr>
        <w:lastRenderedPageBreak/>
        <w:t>‘[34] It is common cause that the appellant was not apprised of the objections to the intended sale. Neither the objections nor a summarised version thereof was provided to the appellant so as to seek the appellant’s response to the matters raised in the objections. Neither was the appellant approached to comment or make representations in respect of information the Minister intended to act on to make findings contrary to the interests of appellant</w:t>
      </w:r>
      <w:r w:rsidR="00350DEF">
        <w:rPr>
          <w:rFonts w:ascii="Arial" w:hAnsi="Arial" w:cs="Arial"/>
        </w:rPr>
        <w:t>.</w:t>
      </w:r>
    </w:p>
    <w:p w14:paraId="26883334" w14:textId="77777777" w:rsidR="00E05DED" w:rsidRPr="00452183" w:rsidRDefault="00E05DED" w:rsidP="00452183">
      <w:pPr>
        <w:spacing w:after="0" w:line="360" w:lineRule="auto"/>
        <w:ind w:firstLine="720"/>
        <w:jc w:val="both"/>
        <w:rPr>
          <w:rFonts w:ascii="Arial" w:hAnsi="Arial" w:cs="Arial"/>
        </w:rPr>
      </w:pPr>
    </w:p>
    <w:p w14:paraId="0B2A5116" w14:textId="0AB1FC7E" w:rsidR="00452183" w:rsidRPr="00452183" w:rsidRDefault="00452183" w:rsidP="00452183">
      <w:pPr>
        <w:spacing w:after="0" w:line="360" w:lineRule="auto"/>
        <w:jc w:val="both"/>
        <w:rPr>
          <w:rFonts w:ascii="Arial" w:hAnsi="Arial" w:cs="Arial"/>
          <w:sz w:val="24"/>
          <w:szCs w:val="24"/>
        </w:rPr>
      </w:pPr>
      <w:r w:rsidRPr="00452183">
        <w:rPr>
          <w:rFonts w:ascii="Arial" w:hAnsi="Arial" w:cs="Arial"/>
        </w:rPr>
        <w:t xml:space="preserve">[35] The fact that the appellant through its legal practitioners engaged with the Town Council and Minister spelling out the stance of the appellant in respect of the interpretation of ss 30(1)(t) and 63 of the Act and exhorting the Minister to make a decision does not assist the Minister in this regard as submitted on the Minister’s behalf. As pointed out by the legal practitioner for appellant, these letters contained legal submissions and did not deal with any factual averments or objections to the sale. It was simply not possible for </w:t>
      </w:r>
      <w:r w:rsidR="00323864">
        <w:rPr>
          <w:rFonts w:ascii="Arial" w:hAnsi="Arial" w:cs="Arial"/>
        </w:rPr>
        <w:t xml:space="preserve">the </w:t>
      </w:r>
      <w:r w:rsidRPr="00452183">
        <w:rPr>
          <w:rFonts w:ascii="Arial" w:hAnsi="Arial" w:cs="Arial"/>
        </w:rPr>
        <w:t>appellant to deal with such factual averments as he was not provided with the information to enable a response to such averments.</w:t>
      </w:r>
      <w:r>
        <w:rPr>
          <w:rFonts w:ascii="Arial" w:hAnsi="Arial" w:cs="Arial"/>
          <w:sz w:val="24"/>
          <w:szCs w:val="24"/>
        </w:rPr>
        <w:t>’</w:t>
      </w:r>
    </w:p>
    <w:p w14:paraId="4FD12705" w14:textId="405676F8" w:rsidR="00DE5103" w:rsidRDefault="00DE5103" w:rsidP="00FF1075">
      <w:pPr>
        <w:pStyle w:val="ListParagraph"/>
        <w:spacing w:after="0" w:line="360" w:lineRule="auto"/>
        <w:ind w:left="0"/>
        <w:jc w:val="both"/>
        <w:rPr>
          <w:rFonts w:ascii="Arial" w:hAnsi="Arial" w:cs="Arial"/>
          <w:sz w:val="24"/>
          <w:szCs w:val="24"/>
        </w:rPr>
      </w:pPr>
    </w:p>
    <w:p w14:paraId="281A5058" w14:textId="5418EC1D" w:rsidR="00350DEF" w:rsidRPr="00323864" w:rsidRDefault="00FC664F" w:rsidP="00323864">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 xml:space="preserve">Counsel </w:t>
      </w:r>
      <w:r w:rsidR="00350DEF" w:rsidRPr="00323864">
        <w:rPr>
          <w:rFonts w:ascii="Arial" w:hAnsi="Arial" w:cs="Arial"/>
          <w:sz w:val="24"/>
          <w:szCs w:val="24"/>
        </w:rPr>
        <w:t xml:space="preserve">further </w:t>
      </w:r>
      <w:r w:rsidR="006B21D1">
        <w:rPr>
          <w:rFonts w:ascii="Arial" w:hAnsi="Arial" w:cs="Arial"/>
          <w:sz w:val="24"/>
          <w:szCs w:val="24"/>
        </w:rPr>
        <w:t>referred</w:t>
      </w:r>
      <w:r w:rsidR="00350DEF" w:rsidRPr="00323864">
        <w:rPr>
          <w:rFonts w:ascii="Arial" w:hAnsi="Arial" w:cs="Arial"/>
          <w:sz w:val="24"/>
          <w:szCs w:val="24"/>
        </w:rPr>
        <w:t xml:space="preserve"> to </w:t>
      </w:r>
      <w:r w:rsidR="00350DEF" w:rsidRPr="00323864">
        <w:rPr>
          <w:rFonts w:ascii="Arial" w:hAnsi="Arial" w:cs="Arial"/>
          <w:i/>
          <w:sz w:val="24"/>
          <w:szCs w:val="24"/>
        </w:rPr>
        <w:t>Auas Valley Residents Association and Others v Minister of Environment and Tourism and Others</w:t>
      </w:r>
      <w:r w:rsidR="00E05DED">
        <w:rPr>
          <w:rFonts w:ascii="Arial" w:hAnsi="Arial" w:cs="Arial"/>
          <w:i/>
          <w:sz w:val="24"/>
          <w:szCs w:val="24"/>
        </w:rPr>
        <w:t>,</w:t>
      </w:r>
      <w:r w:rsidR="00350DEF">
        <w:rPr>
          <w:rStyle w:val="FootnoteReference"/>
          <w:rFonts w:ascii="Arial" w:hAnsi="Arial" w:cs="Arial"/>
          <w:i/>
          <w:sz w:val="24"/>
          <w:szCs w:val="24"/>
        </w:rPr>
        <w:footnoteReference w:id="7"/>
      </w:r>
      <w:r w:rsidR="00350DEF" w:rsidRPr="00323864">
        <w:rPr>
          <w:rFonts w:ascii="Arial" w:hAnsi="Arial" w:cs="Arial"/>
          <w:sz w:val="24"/>
          <w:szCs w:val="24"/>
        </w:rPr>
        <w:t xml:space="preserve"> </w:t>
      </w:r>
      <w:r w:rsidR="00E05DED">
        <w:rPr>
          <w:rFonts w:ascii="Arial" w:hAnsi="Arial" w:cs="Arial"/>
          <w:sz w:val="24"/>
          <w:szCs w:val="24"/>
        </w:rPr>
        <w:t xml:space="preserve">wherein </w:t>
      </w:r>
      <w:r w:rsidR="00350DEF" w:rsidRPr="00323864">
        <w:rPr>
          <w:rFonts w:ascii="Arial" w:hAnsi="Arial" w:cs="Arial"/>
          <w:sz w:val="24"/>
          <w:szCs w:val="24"/>
        </w:rPr>
        <w:t>the court held that:</w:t>
      </w:r>
    </w:p>
    <w:p w14:paraId="14890727" w14:textId="77777777" w:rsidR="00350DEF" w:rsidRPr="00350DEF" w:rsidRDefault="00350DEF" w:rsidP="00350DEF">
      <w:pPr>
        <w:pStyle w:val="ListParagraph"/>
        <w:spacing w:after="0" w:line="360" w:lineRule="auto"/>
        <w:jc w:val="both"/>
        <w:rPr>
          <w:rFonts w:ascii="Arial" w:hAnsi="Arial" w:cs="Arial"/>
          <w:sz w:val="24"/>
          <w:szCs w:val="24"/>
        </w:rPr>
      </w:pPr>
    </w:p>
    <w:p w14:paraId="377BA4A0" w14:textId="60B3CA1A" w:rsidR="00350DEF" w:rsidRPr="00A543E2" w:rsidRDefault="00350DEF" w:rsidP="00350DEF">
      <w:pPr>
        <w:spacing w:after="0" w:line="360" w:lineRule="auto"/>
        <w:ind w:firstLine="720"/>
        <w:jc w:val="both"/>
        <w:rPr>
          <w:rFonts w:ascii="Arial" w:hAnsi="Arial" w:cs="Arial"/>
        </w:rPr>
      </w:pPr>
      <w:r w:rsidRPr="00A543E2">
        <w:rPr>
          <w:rFonts w:ascii="Arial" w:hAnsi="Arial" w:cs="Arial"/>
        </w:rPr>
        <w:t xml:space="preserve">‘[25] The fact that the Minister, as Mr Chibwana submitted so eloquently, had high-level consultations with scientific minds on such highly scientific matter and also had various public consultations cannot whittle away appellants’ common law and constitutional right to audi. It is not the case of appellants that the Minister did no such thing. They have come to court to vindicate their right to audi. With respect, it is not good enough to say that because the Minister exercised discretion he could decide in what way he would comply with audi. The Minister could do so in ‘the absence of any prescription of the Act’ (see </w:t>
      </w:r>
      <w:r w:rsidRPr="00323864">
        <w:rPr>
          <w:rFonts w:ascii="Arial" w:hAnsi="Arial" w:cs="Arial"/>
          <w:i/>
        </w:rPr>
        <w:t>Frank and Another</w:t>
      </w:r>
      <w:r w:rsidRPr="00A543E2">
        <w:rPr>
          <w:rFonts w:ascii="Arial" w:hAnsi="Arial" w:cs="Arial"/>
        </w:rPr>
        <w:t xml:space="preserve"> (SC) loc. cit.)). For a hearing to comply with the natural justice rule of audi, there must truly be a hearing. The nature of the hearing will depend on the facts and circumstances of the particular case; and above all, the procedure must be fair and it must not defeat the purpose of the Act in question. (Frank and Another (SC))’</w:t>
      </w:r>
    </w:p>
    <w:p w14:paraId="1D677228" w14:textId="77777777" w:rsidR="00350DEF" w:rsidRPr="00350DEF" w:rsidRDefault="00350DEF" w:rsidP="00350DEF">
      <w:pPr>
        <w:pStyle w:val="ListParagraph"/>
        <w:spacing w:after="0" w:line="360" w:lineRule="auto"/>
        <w:jc w:val="both"/>
        <w:rPr>
          <w:rFonts w:ascii="Arial" w:hAnsi="Arial" w:cs="Arial"/>
          <w:sz w:val="24"/>
          <w:szCs w:val="24"/>
        </w:rPr>
      </w:pPr>
    </w:p>
    <w:p w14:paraId="24DD0F87" w14:textId="24E9E79F" w:rsidR="00DE5103" w:rsidRDefault="00FC664F" w:rsidP="00323864">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lastRenderedPageBreak/>
        <w:t>Mr Chibwana</w:t>
      </w:r>
      <w:r w:rsidR="00A543E2">
        <w:rPr>
          <w:rFonts w:ascii="Arial" w:hAnsi="Arial" w:cs="Arial"/>
          <w:sz w:val="24"/>
          <w:szCs w:val="24"/>
        </w:rPr>
        <w:t xml:space="preserve"> submit</w:t>
      </w:r>
      <w:r>
        <w:rPr>
          <w:rFonts w:ascii="Arial" w:hAnsi="Arial" w:cs="Arial"/>
          <w:sz w:val="24"/>
          <w:szCs w:val="24"/>
        </w:rPr>
        <w:t>ted</w:t>
      </w:r>
      <w:r w:rsidR="00A543E2">
        <w:rPr>
          <w:rFonts w:ascii="Arial" w:hAnsi="Arial" w:cs="Arial"/>
          <w:sz w:val="24"/>
          <w:szCs w:val="24"/>
        </w:rPr>
        <w:t xml:space="preserve"> that</w:t>
      </w:r>
      <w:r w:rsidR="00350DEF" w:rsidRPr="00350DEF">
        <w:rPr>
          <w:rFonts w:ascii="Arial" w:hAnsi="Arial" w:cs="Arial"/>
          <w:sz w:val="24"/>
          <w:szCs w:val="24"/>
        </w:rPr>
        <w:t xml:space="preserve"> there was no hearing of any kind prior to the</w:t>
      </w:r>
      <w:r w:rsidR="00A543E2">
        <w:rPr>
          <w:rFonts w:ascii="Arial" w:hAnsi="Arial" w:cs="Arial"/>
          <w:sz w:val="24"/>
          <w:szCs w:val="24"/>
        </w:rPr>
        <w:t xml:space="preserve"> Minister making his decision and that the </w:t>
      </w:r>
      <w:r w:rsidR="00350DEF" w:rsidRPr="00350DEF">
        <w:rPr>
          <w:rFonts w:ascii="Arial" w:hAnsi="Arial" w:cs="Arial"/>
          <w:sz w:val="24"/>
          <w:szCs w:val="24"/>
        </w:rPr>
        <w:t xml:space="preserve">review application is instituted to vindicate the </w:t>
      </w:r>
      <w:r w:rsidR="00323864">
        <w:rPr>
          <w:rFonts w:ascii="Arial" w:hAnsi="Arial" w:cs="Arial"/>
          <w:sz w:val="24"/>
          <w:szCs w:val="24"/>
        </w:rPr>
        <w:t>applicants'</w:t>
      </w:r>
      <w:r w:rsidR="00A543E2">
        <w:rPr>
          <w:rFonts w:ascii="Arial" w:hAnsi="Arial" w:cs="Arial"/>
          <w:sz w:val="24"/>
          <w:szCs w:val="24"/>
        </w:rPr>
        <w:t xml:space="preserve"> </w:t>
      </w:r>
      <w:r w:rsidR="00350DEF" w:rsidRPr="00350DEF">
        <w:rPr>
          <w:rFonts w:ascii="Arial" w:hAnsi="Arial" w:cs="Arial"/>
          <w:sz w:val="24"/>
          <w:szCs w:val="24"/>
        </w:rPr>
        <w:t xml:space="preserve">right to make representations and to be </w:t>
      </w:r>
      <w:r w:rsidR="002E63D7" w:rsidRPr="00B67A30">
        <w:rPr>
          <w:rFonts w:ascii="Arial" w:hAnsi="Arial" w:cs="Arial"/>
          <w:sz w:val="24"/>
          <w:szCs w:val="24"/>
        </w:rPr>
        <w:t>afforded</w:t>
      </w:r>
      <w:r w:rsidR="00350DEF" w:rsidRPr="00B67A30">
        <w:rPr>
          <w:rFonts w:ascii="Arial" w:hAnsi="Arial" w:cs="Arial"/>
          <w:sz w:val="24"/>
          <w:szCs w:val="24"/>
        </w:rPr>
        <w:t xml:space="preserve"> audi.</w:t>
      </w:r>
      <w:r w:rsidRPr="00B67A30">
        <w:rPr>
          <w:rFonts w:ascii="Arial" w:hAnsi="Arial" w:cs="Arial"/>
          <w:sz w:val="24"/>
          <w:szCs w:val="24"/>
        </w:rPr>
        <w:t xml:space="preserve"> He further </w:t>
      </w:r>
      <w:r w:rsidR="00132871" w:rsidRPr="00B67A30">
        <w:rPr>
          <w:rFonts w:ascii="Arial" w:hAnsi="Arial" w:cs="Arial"/>
          <w:sz w:val="24"/>
          <w:szCs w:val="24"/>
        </w:rPr>
        <w:t>emphasised</w:t>
      </w:r>
      <w:r w:rsidRPr="00B67A30">
        <w:rPr>
          <w:rFonts w:ascii="Arial" w:hAnsi="Arial" w:cs="Arial"/>
          <w:sz w:val="24"/>
          <w:szCs w:val="24"/>
        </w:rPr>
        <w:t xml:space="preserve"> that the applicants do </w:t>
      </w:r>
      <w:r w:rsidR="00FD3A55" w:rsidRPr="00B67A30">
        <w:rPr>
          <w:rFonts w:ascii="Arial" w:hAnsi="Arial" w:cs="Arial"/>
          <w:sz w:val="24"/>
          <w:szCs w:val="24"/>
        </w:rPr>
        <w:t>not request the court to usurp the authority of the Minister, nor do they request the court to interpret the</w:t>
      </w:r>
      <w:r w:rsidRPr="00B67A30">
        <w:rPr>
          <w:rFonts w:ascii="Arial" w:hAnsi="Arial" w:cs="Arial"/>
          <w:sz w:val="24"/>
          <w:szCs w:val="24"/>
        </w:rPr>
        <w:t xml:space="preserve"> Traditional Authorities Act. Mr Chibwana submitted that the applicants seek to review the decision of the Minister on a limited basis, i.e. that the decision was made in breach of Article 18 of the Constitution by denying the applicants the opportunity to make representation</w:t>
      </w:r>
      <w:r w:rsidR="002E63D7" w:rsidRPr="00B67A30">
        <w:rPr>
          <w:rFonts w:ascii="Arial" w:hAnsi="Arial" w:cs="Arial"/>
          <w:sz w:val="24"/>
          <w:szCs w:val="24"/>
        </w:rPr>
        <w:t>s</w:t>
      </w:r>
      <w:r w:rsidRPr="00B67A30">
        <w:rPr>
          <w:rFonts w:ascii="Arial" w:hAnsi="Arial" w:cs="Arial"/>
          <w:sz w:val="24"/>
          <w:szCs w:val="24"/>
        </w:rPr>
        <w:t>. He contended</w:t>
      </w:r>
      <w:r>
        <w:rPr>
          <w:rFonts w:ascii="Arial" w:hAnsi="Arial" w:cs="Arial"/>
          <w:sz w:val="24"/>
          <w:szCs w:val="24"/>
        </w:rPr>
        <w:t xml:space="preserve"> that the issue of the merits will only arise once the minimum requirements of Article 18 </w:t>
      </w:r>
      <w:r w:rsidR="00FD3A55">
        <w:rPr>
          <w:rFonts w:ascii="Arial" w:hAnsi="Arial" w:cs="Arial"/>
          <w:sz w:val="24"/>
          <w:szCs w:val="24"/>
        </w:rPr>
        <w:t>have</w:t>
      </w:r>
      <w:r>
        <w:rPr>
          <w:rFonts w:ascii="Arial" w:hAnsi="Arial" w:cs="Arial"/>
          <w:sz w:val="24"/>
          <w:szCs w:val="24"/>
        </w:rPr>
        <w:t xml:space="preserve"> been met. </w:t>
      </w:r>
    </w:p>
    <w:p w14:paraId="4B24C9D8" w14:textId="77777777" w:rsidR="00FC664F" w:rsidRDefault="00FC664F" w:rsidP="00FC664F">
      <w:pPr>
        <w:pStyle w:val="ListParagraph"/>
        <w:spacing w:after="0" w:line="360" w:lineRule="auto"/>
        <w:ind w:left="0"/>
        <w:jc w:val="both"/>
        <w:rPr>
          <w:rFonts w:ascii="Arial" w:hAnsi="Arial" w:cs="Arial"/>
          <w:sz w:val="24"/>
          <w:szCs w:val="24"/>
        </w:rPr>
      </w:pPr>
    </w:p>
    <w:p w14:paraId="6C872A6D" w14:textId="09BF32C6" w:rsidR="00000E99" w:rsidRPr="00323864" w:rsidRDefault="00323864" w:rsidP="00FF1075">
      <w:pPr>
        <w:pStyle w:val="ListParagraph"/>
        <w:spacing w:after="0" w:line="360" w:lineRule="auto"/>
        <w:ind w:left="0"/>
        <w:jc w:val="both"/>
        <w:rPr>
          <w:rFonts w:ascii="Arial" w:hAnsi="Arial" w:cs="Arial"/>
          <w:i/>
          <w:sz w:val="24"/>
          <w:szCs w:val="24"/>
        </w:rPr>
      </w:pPr>
      <w:r w:rsidRPr="00323864">
        <w:rPr>
          <w:rFonts w:ascii="Arial" w:hAnsi="Arial" w:cs="Arial"/>
          <w:i/>
          <w:sz w:val="24"/>
          <w:szCs w:val="24"/>
        </w:rPr>
        <w:t>On behalf of the respondents</w:t>
      </w:r>
    </w:p>
    <w:p w14:paraId="19492860" w14:textId="77777777" w:rsidR="00F83E69" w:rsidRDefault="00F83E69" w:rsidP="00F83E69">
      <w:pPr>
        <w:spacing w:after="0" w:line="360" w:lineRule="auto"/>
        <w:jc w:val="both"/>
        <w:rPr>
          <w:rFonts w:ascii="Arial" w:hAnsi="Arial" w:cs="Arial"/>
          <w:sz w:val="24"/>
          <w:szCs w:val="24"/>
        </w:rPr>
      </w:pPr>
    </w:p>
    <w:p w14:paraId="56894476" w14:textId="01B2F21C" w:rsidR="00CD2D6E" w:rsidRPr="00FC664F" w:rsidRDefault="00FD3A55" w:rsidP="00FC664F">
      <w:pPr>
        <w:pStyle w:val="ListParagraph"/>
        <w:numPr>
          <w:ilvl w:val="0"/>
          <w:numId w:val="26"/>
        </w:numPr>
        <w:spacing w:after="0" w:line="360" w:lineRule="auto"/>
        <w:ind w:left="0" w:firstLine="0"/>
        <w:jc w:val="both"/>
        <w:rPr>
          <w:rFonts w:ascii="Arial" w:hAnsi="Arial" w:cs="Arial"/>
          <w:sz w:val="24"/>
          <w:szCs w:val="24"/>
        </w:rPr>
      </w:pPr>
      <w:r w:rsidRPr="00FD3A55">
        <w:rPr>
          <w:rFonts w:ascii="Arial" w:hAnsi="Arial" w:cs="Arial"/>
          <w:color w:val="1C1C1C"/>
          <w:sz w:val="24"/>
          <w:szCs w:val="24"/>
          <w:shd w:val="clear" w:color="auto" w:fill="FFFFFF"/>
        </w:rPr>
        <w:t xml:space="preserve">In contrast with the brief argument made by the applicants, Mr Ncube submitted comprehensive </w:t>
      </w:r>
      <w:r w:rsidRPr="00B67A30">
        <w:rPr>
          <w:rFonts w:ascii="Arial" w:hAnsi="Arial" w:cs="Arial"/>
          <w:color w:val="1C1C1C"/>
          <w:sz w:val="24"/>
          <w:szCs w:val="24"/>
          <w:shd w:val="clear" w:color="auto" w:fill="FFFFFF"/>
        </w:rPr>
        <w:t>heads of argument</w:t>
      </w:r>
      <w:r w:rsidR="002E63D7" w:rsidRPr="00B67A30">
        <w:rPr>
          <w:rFonts w:ascii="Arial" w:hAnsi="Arial" w:cs="Arial"/>
          <w:color w:val="1C1C1C"/>
          <w:sz w:val="24"/>
          <w:szCs w:val="24"/>
          <w:shd w:val="clear" w:color="auto" w:fill="FFFFFF"/>
        </w:rPr>
        <w:t>s</w:t>
      </w:r>
      <w:r w:rsidRPr="00B67A30">
        <w:rPr>
          <w:rFonts w:ascii="Arial" w:hAnsi="Arial" w:cs="Arial"/>
          <w:color w:val="1C1C1C"/>
          <w:sz w:val="24"/>
          <w:szCs w:val="24"/>
          <w:shd w:val="clear" w:color="auto" w:fill="FFFFFF"/>
        </w:rPr>
        <w:t xml:space="preserve"> that primarily focused on the interpretation and application of the Act. He</w:t>
      </w:r>
      <w:r w:rsidRPr="00B67A30">
        <w:rPr>
          <w:rFonts w:ascii="Arial" w:hAnsi="Arial" w:cs="Arial"/>
          <w:color w:val="1C1C1C"/>
          <w:sz w:val="21"/>
          <w:szCs w:val="21"/>
          <w:shd w:val="clear" w:color="auto" w:fill="FFFFFF"/>
        </w:rPr>
        <w:t xml:space="preserve"> </w:t>
      </w:r>
      <w:r w:rsidRPr="00B67A30">
        <w:rPr>
          <w:rFonts w:ascii="Arial" w:hAnsi="Arial" w:cs="Arial"/>
          <w:color w:val="1C1C1C"/>
          <w:sz w:val="24"/>
          <w:szCs w:val="24"/>
          <w:shd w:val="clear" w:color="auto" w:fill="FFFFFF"/>
        </w:rPr>
        <w:t xml:space="preserve">argued that </w:t>
      </w:r>
      <w:r w:rsidR="00E05DED" w:rsidRPr="00B67A30">
        <w:rPr>
          <w:rFonts w:ascii="Arial" w:hAnsi="Arial" w:cs="Arial"/>
          <w:sz w:val="24"/>
          <w:szCs w:val="24"/>
        </w:rPr>
        <w:t>it is not competent for th</w:t>
      </w:r>
      <w:r w:rsidRPr="00B67A30">
        <w:rPr>
          <w:rFonts w:ascii="Arial" w:hAnsi="Arial" w:cs="Arial"/>
          <w:sz w:val="24"/>
          <w:szCs w:val="24"/>
        </w:rPr>
        <w:t>is</w:t>
      </w:r>
      <w:r w:rsidR="00E05DED" w:rsidRPr="00B67A30">
        <w:rPr>
          <w:rFonts w:ascii="Arial" w:hAnsi="Arial" w:cs="Arial"/>
          <w:sz w:val="24"/>
          <w:szCs w:val="24"/>
        </w:rPr>
        <w:t xml:space="preserve"> court to </w:t>
      </w:r>
      <w:r w:rsidR="00132871" w:rsidRPr="00B67A30">
        <w:rPr>
          <w:rFonts w:ascii="Arial" w:hAnsi="Arial" w:cs="Arial"/>
          <w:sz w:val="24"/>
          <w:szCs w:val="24"/>
        </w:rPr>
        <w:t>recognise</w:t>
      </w:r>
      <w:r w:rsidR="00E05DED" w:rsidRPr="00B67A30">
        <w:rPr>
          <w:rFonts w:ascii="Arial" w:hAnsi="Arial" w:cs="Arial"/>
          <w:sz w:val="24"/>
          <w:szCs w:val="24"/>
        </w:rPr>
        <w:t xml:space="preserve"> the applicant</w:t>
      </w:r>
      <w:r w:rsidR="005C6E76" w:rsidRPr="00B67A30">
        <w:rPr>
          <w:rFonts w:ascii="Arial" w:hAnsi="Arial" w:cs="Arial"/>
          <w:sz w:val="24"/>
          <w:szCs w:val="24"/>
        </w:rPr>
        <w:t>s</w:t>
      </w:r>
      <w:r w:rsidR="00E05DED" w:rsidRPr="00B67A30">
        <w:rPr>
          <w:rFonts w:ascii="Arial" w:hAnsi="Arial" w:cs="Arial"/>
          <w:sz w:val="24"/>
          <w:szCs w:val="24"/>
        </w:rPr>
        <w:t xml:space="preserve"> as that is not within the court's</w:t>
      </w:r>
      <w:r w:rsidR="00F83E69" w:rsidRPr="00B67A30">
        <w:rPr>
          <w:rFonts w:ascii="Arial" w:hAnsi="Arial" w:cs="Arial"/>
          <w:sz w:val="24"/>
          <w:szCs w:val="24"/>
        </w:rPr>
        <w:t xml:space="preserve"> power. </w:t>
      </w:r>
      <w:r w:rsidR="005C6E76" w:rsidRPr="00B67A30">
        <w:rPr>
          <w:rFonts w:ascii="Arial" w:hAnsi="Arial" w:cs="Arial"/>
          <w:sz w:val="24"/>
          <w:szCs w:val="24"/>
        </w:rPr>
        <w:t xml:space="preserve">He submitted that </w:t>
      </w:r>
      <w:r w:rsidR="00F83E69" w:rsidRPr="00B67A30">
        <w:rPr>
          <w:rFonts w:ascii="Arial" w:hAnsi="Arial" w:cs="Arial"/>
          <w:sz w:val="24"/>
          <w:szCs w:val="24"/>
        </w:rPr>
        <w:t xml:space="preserve">the court is in a better position to determine whether or not the period within which the </w:t>
      </w:r>
      <w:r w:rsidR="006B21D1">
        <w:rPr>
          <w:rFonts w:ascii="Arial" w:hAnsi="Arial" w:cs="Arial"/>
          <w:sz w:val="24"/>
          <w:szCs w:val="24"/>
        </w:rPr>
        <w:t>President should have arrived at the decision</w:t>
      </w:r>
      <w:r w:rsidR="00F83E69" w:rsidRPr="00B67A30">
        <w:rPr>
          <w:rFonts w:ascii="Arial" w:hAnsi="Arial" w:cs="Arial"/>
          <w:sz w:val="24"/>
          <w:szCs w:val="24"/>
        </w:rPr>
        <w:t xml:space="preserve"> is sufficient. </w:t>
      </w:r>
      <w:r w:rsidR="005C6E76" w:rsidRPr="00B67A30">
        <w:rPr>
          <w:rFonts w:ascii="Arial" w:hAnsi="Arial" w:cs="Arial"/>
          <w:sz w:val="24"/>
          <w:szCs w:val="24"/>
        </w:rPr>
        <w:t xml:space="preserve">Mr Ncube submitted </w:t>
      </w:r>
      <w:r w:rsidR="00F83E69" w:rsidRPr="00B67A30">
        <w:rPr>
          <w:rFonts w:ascii="Arial" w:hAnsi="Arial" w:cs="Arial"/>
          <w:sz w:val="24"/>
          <w:szCs w:val="24"/>
        </w:rPr>
        <w:t>that is a discretion which the court exercise</w:t>
      </w:r>
      <w:r w:rsidR="002E63D7" w:rsidRPr="00B67A30">
        <w:rPr>
          <w:rFonts w:ascii="Arial" w:hAnsi="Arial" w:cs="Arial"/>
          <w:sz w:val="24"/>
          <w:szCs w:val="24"/>
        </w:rPr>
        <w:t>s</w:t>
      </w:r>
      <w:r w:rsidR="00F83E69" w:rsidRPr="00B67A30">
        <w:rPr>
          <w:rFonts w:ascii="Arial" w:hAnsi="Arial" w:cs="Arial"/>
          <w:sz w:val="24"/>
          <w:szCs w:val="24"/>
        </w:rPr>
        <w:t xml:space="preserve"> if</w:t>
      </w:r>
      <w:r w:rsidR="00F83E69" w:rsidRPr="00FC664F">
        <w:rPr>
          <w:rFonts w:ascii="Arial" w:hAnsi="Arial" w:cs="Arial"/>
          <w:sz w:val="24"/>
          <w:szCs w:val="24"/>
        </w:rPr>
        <w:t xml:space="preserve"> it is satisfied by the applicant who bears the onus that there is reason for the court to intervene.</w:t>
      </w:r>
      <w:r w:rsidR="001C2639" w:rsidRPr="00FC664F">
        <w:rPr>
          <w:rFonts w:ascii="Arial" w:hAnsi="Arial" w:cs="Arial"/>
          <w:sz w:val="24"/>
          <w:szCs w:val="24"/>
        </w:rPr>
        <w:t xml:space="preserve"> </w:t>
      </w:r>
    </w:p>
    <w:p w14:paraId="17A51674" w14:textId="77777777" w:rsidR="007C5B9E" w:rsidRDefault="007C5B9E" w:rsidP="00F83E69">
      <w:pPr>
        <w:spacing w:after="0" w:line="360" w:lineRule="auto"/>
        <w:jc w:val="both"/>
        <w:rPr>
          <w:rFonts w:ascii="Arial" w:hAnsi="Arial" w:cs="Arial"/>
          <w:sz w:val="24"/>
          <w:szCs w:val="24"/>
        </w:rPr>
      </w:pPr>
    </w:p>
    <w:p w14:paraId="335B145E" w14:textId="6C08AC9E" w:rsidR="007C5B9E" w:rsidRPr="005C6E76" w:rsidRDefault="005C6E76" w:rsidP="005C6E76">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 xml:space="preserve">Counsel further submitted that </w:t>
      </w:r>
      <w:r w:rsidR="007C5B9E" w:rsidRPr="005C6E76">
        <w:rPr>
          <w:rFonts w:ascii="Arial" w:hAnsi="Arial" w:cs="Arial"/>
          <w:sz w:val="24"/>
          <w:szCs w:val="24"/>
        </w:rPr>
        <w:t>s 5(6)(</w:t>
      </w:r>
      <w:r w:rsidR="007C5B9E" w:rsidRPr="005C6E76">
        <w:rPr>
          <w:rFonts w:ascii="Arial" w:hAnsi="Arial" w:cs="Arial"/>
          <w:i/>
          <w:sz w:val="24"/>
          <w:szCs w:val="24"/>
        </w:rPr>
        <w:t>a</w:t>
      </w:r>
      <w:r w:rsidR="007C5B9E" w:rsidRPr="005C6E76">
        <w:rPr>
          <w:rFonts w:ascii="Arial" w:hAnsi="Arial" w:cs="Arial"/>
          <w:sz w:val="24"/>
          <w:szCs w:val="24"/>
        </w:rPr>
        <w:t>) of the Act provides that where the President receives a recommendation from the Council of Traditional Leaders, he shall</w:t>
      </w:r>
      <w:r w:rsidR="00132871">
        <w:rPr>
          <w:rFonts w:ascii="Arial" w:hAnsi="Arial" w:cs="Arial"/>
          <w:sz w:val="24"/>
          <w:szCs w:val="24"/>
        </w:rPr>
        <w:t>,</w:t>
      </w:r>
      <w:r w:rsidR="007C5B9E" w:rsidRPr="005C6E76">
        <w:rPr>
          <w:rFonts w:ascii="Arial" w:hAnsi="Arial" w:cs="Arial"/>
          <w:sz w:val="24"/>
          <w:szCs w:val="24"/>
        </w:rPr>
        <w:t xml:space="preserve"> in his discretion and in writing</w:t>
      </w:r>
      <w:r>
        <w:rPr>
          <w:rFonts w:ascii="Arial" w:hAnsi="Arial" w:cs="Arial"/>
          <w:sz w:val="24"/>
          <w:szCs w:val="24"/>
        </w:rPr>
        <w:t>,</w:t>
      </w:r>
      <w:r w:rsidR="007C5B9E" w:rsidRPr="005C6E76">
        <w:rPr>
          <w:rFonts w:ascii="Arial" w:hAnsi="Arial" w:cs="Arial"/>
          <w:sz w:val="24"/>
          <w:szCs w:val="24"/>
        </w:rPr>
        <w:t xml:space="preserve"> either reject the proposed designation in terms of the grounds set out in </w:t>
      </w:r>
      <w:r w:rsidR="002E63D7" w:rsidRPr="00B67A30">
        <w:rPr>
          <w:rFonts w:ascii="Arial" w:hAnsi="Arial" w:cs="Arial"/>
          <w:sz w:val="24"/>
          <w:szCs w:val="24"/>
        </w:rPr>
        <w:t xml:space="preserve">ss </w:t>
      </w:r>
      <w:r w:rsidR="007C5B9E" w:rsidRPr="00B67A30">
        <w:rPr>
          <w:rFonts w:ascii="Arial" w:hAnsi="Arial" w:cs="Arial"/>
          <w:sz w:val="24"/>
          <w:szCs w:val="24"/>
        </w:rPr>
        <w:t>3(</w:t>
      </w:r>
      <w:r w:rsidR="007C5B9E" w:rsidRPr="00B67A30">
        <w:rPr>
          <w:rFonts w:ascii="Arial" w:hAnsi="Arial" w:cs="Arial"/>
          <w:i/>
          <w:sz w:val="24"/>
          <w:szCs w:val="24"/>
        </w:rPr>
        <w:t>a</w:t>
      </w:r>
      <w:r w:rsidR="007C5B9E" w:rsidRPr="005C6E76">
        <w:rPr>
          <w:rFonts w:ascii="Arial" w:hAnsi="Arial" w:cs="Arial"/>
          <w:sz w:val="24"/>
          <w:szCs w:val="24"/>
        </w:rPr>
        <w:t>) or (</w:t>
      </w:r>
      <w:r w:rsidR="007C5B9E" w:rsidRPr="005C6E76">
        <w:rPr>
          <w:rFonts w:ascii="Arial" w:hAnsi="Arial" w:cs="Arial"/>
          <w:i/>
          <w:sz w:val="24"/>
          <w:szCs w:val="24"/>
        </w:rPr>
        <w:t>b</w:t>
      </w:r>
      <w:r w:rsidR="007C5B9E" w:rsidRPr="005C6E76">
        <w:rPr>
          <w:rFonts w:ascii="Arial" w:hAnsi="Arial" w:cs="Arial"/>
          <w:sz w:val="24"/>
          <w:szCs w:val="24"/>
        </w:rPr>
        <w:t>). The President may grant or may not grant the approval for such designation to the members of the traditional community in question.</w:t>
      </w:r>
    </w:p>
    <w:p w14:paraId="187395B4" w14:textId="77777777" w:rsidR="00000E99" w:rsidRDefault="00000E99" w:rsidP="00FF1075">
      <w:pPr>
        <w:pStyle w:val="ListParagraph"/>
        <w:spacing w:after="0" w:line="360" w:lineRule="auto"/>
        <w:ind w:left="0"/>
        <w:jc w:val="both"/>
        <w:rPr>
          <w:rFonts w:ascii="Arial" w:hAnsi="Arial" w:cs="Arial"/>
          <w:sz w:val="24"/>
          <w:szCs w:val="24"/>
        </w:rPr>
      </w:pPr>
    </w:p>
    <w:p w14:paraId="2542E8D8" w14:textId="70A219CC" w:rsidR="00000E99" w:rsidRPr="00972162" w:rsidRDefault="005C6E76" w:rsidP="005C6E76">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Mr Ncube</w:t>
      </w:r>
      <w:r w:rsidR="00C809FE" w:rsidRPr="005C6E76">
        <w:rPr>
          <w:rFonts w:ascii="Arial" w:hAnsi="Arial" w:cs="Arial"/>
          <w:sz w:val="24"/>
          <w:szCs w:val="24"/>
        </w:rPr>
        <w:t xml:space="preserve"> submi</w:t>
      </w:r>
      <w:r>
        <w:rPr>
          <w:rFonts w:ascii="Arial" w:hAnsi="Arial" w:cs="Arial"/>
          <w:sz w:val="24"/>
          <w:szCs w:val="24"/>
        </w:rPr>
        <w:t>tted</w:t>
      </w:r>
      <w:r w:rsidR="00C809FE" w:rsidRPr="005C6E76">
        <w:rPr>
          <w:rFonts w:ascii="Arial" w:hAnsi="Arial" w:cs="Arial"/>
          <w:sz w:val="24"/>
          <w:szCs w:val="24"/>
        </w:rPr>
        <w:t xml:space="preserve"> that the Minister</w:t>
      </w:r>
      <w:r w:rsidR="00972162">
        <w:rPr>
          <w:rFonts w:ascii="Arial" w:hAnsi="Arial" w:cs="Arial"/>
          <w:sz w:val="24"/>
          <w:szCs w:val="24"/>
        </w:rPr>
        <w:t>,</w:t>
      </w:r>
      <w:r w:rsidR="00C809FE" w:rsidRPr="005C6E76">
        <w:rPr>
          <w:rFonts w:ascii="Arial" w:hAnsi="Arial" w:cs="Arial"/>
          <w:sz w:val="24"/>
          <w:szCs w:val="24"/>
        </w:rPr>
        <w:t xml:space="preserve"> in arriving at a fair, just, rational and equitable decision, had the application forms and relevant supporting documentation in his possession</w:t>
      </w:r>
      <w:r>
        <w:rPr>
          <w:rFonts w:ascii="Arial" w:hAnsi="Arial" w:cs="Arial"/>
          <w:sz w:val="24"/>
          <w:szCs w:val="24"/>
        </w:rPr>
        <w:t>.</w:t>
      </w:r>
      <w:r w:rsidR="00C809FE" w:rsidRPr="005C6E76">
        <w:rPr>
          <w:rFonts w:ascii="Arial" w:hAnsi="Arial" w:cs="Arial"/>
          <w:sz w:val="24"/>
          <w:szCs w:val="24"/>
        </w:rPr>
        <w:t xml:space="preserve"> </w:t>
      </w:r>
      <w:r w:rsidRPr="00972162">
        <w:rPr>
          <w:rFonts w:ascii="Arial" w:hAnsi="Arial" w:cs="Arial"/>
          <w:sz w:val="24"/>
          <w:szCs w:val="24"/>
        </w:rPr>
        <w:t>Counsel argued that</w:t>
      </w:r>
      <w:r w:rsidR="00C809FE" w:rsidRPr="00972162">
        <w:rPr>
          <w:rFonts w:ascii="Arial" w:hAnsi="Arial" w:cs="Arial"/>
          <w:sz w:val="24"/>
          <w:szCs w:val="24"/>
        </w:rPr>
        <w:t xml:space="preserve"> </w:t>
      </w:r>
      <w:r w:rsidR="00972162" w:rsidRPr="00972162">
        <w:rPr>
          <w:rFonts w:ascii="Arial" w:hAnsi="Arial" w:cs="Arial"/>
          <w:sz w:val="24"/>
          <w:szCs w:val="24"/>
        </w:rPr>
        <w:t xml:space="preserve">the audi alteram partem principle takes various </w:t>
      </w:r>
      <w:r w:rsidR="00972162" w:rsidRPr="00972162">
        <w:rPr>
          <w:rFonts w:ascii="Arial" w:hAnsi="Arial" w:cs="Arial"/>
          <w:sz w:val="24"/>
          <w:szCs w:val="24"/>
        </w:rPr>
        <w:lastRenderedPageBreak/>
        <w:t xml:space="preserve">forms, </w:t>
      </w:r>
      <w:r w:rsidR="00972162">
        <w:rPr>
          <w:rFonts w:ascii="Arial" w:hAnsi="Arial" w:cs="Arial"/>
          <w:sz w:val="24"/>
          <w:szCs w:val="24"/>
        </w:rPr>
        <w:t xml:space="preserve">and </w:t>
      </w:r>
      <w:r w:rsidR="00972162" w:rsidRPr="00972162">
        <w:rPr>
          <w:rFonts w:ascii="Arial" w:hAnsi="Arial" w:cs="Arial"/>
          <w:sz w:val="24"/>
          <w:szCs w:val="24"/>
        </w:rPr>
        <w:t xml:space="preserve">the </w:t>
      </w:r>
      <w:r w:rsidR="00972162" w:rsidRPr="00B67A30">
        <w:rPr>
          <w:rFonts w:ascii="Arial" w:hAnsi="Arial" w:cs="Arial"/>
          <w:sz w:val="24"/>
          <w:szCs w:val="24"/>
        </w:rPr>
        <w:t>written representation</w:t>
      </w:r>
      <w:r w:rsidR="002E63D7" w:rsidRPr="00B67A30">
        <w:rPr>
          <w:rFonts w:ascii="Arial" w:hAnsi="Arial" w:cs="Arial"/>
          <w:sz w:val="24"/>
          <w:szCs w:val="24"/>
        </w:rPr>
        <w:t>s</w:t>
      </w:r>
      <w:r w:rsidR="00972162" w:rsidRPr="00B67A30">
        <w:rPr>
          <w:rFonts w:ascii="Arial" w:hAnsi="Arial" w:cs="Arial"/>
          <w:sz w:val="24"/>
          <w:szCs w:val="24"/>
        </w:rPr>
        <w:t xml:space="preserve"> in the application</w:t>
      </w:r>
      <w:r w:rsidR="00972162" w:rsidRPr="00972162">
        <w:rPr>
          <w:rFonts w:ascii="Arial" w:hAnsi="Arial" w:cs="Arial"/>
          <w:sz w:val="24"/>
          <w:szCs w:val="24"/>
        </w:rPr>
        <w:t xml:space="preserve"> form submitted on 18 September 2020 </w:t>
      </w:r>
      <w:r w:rsidR="006B21D1">
        <w:rPr>
          <w:rFonts w:ascii="Arial" w:hAnsi="Arial" w:cs="Arial"/>
          <w:sz w:val="24"/>
          <w:szCs w:val="24"/>
        </w:rPr>
        <w:t>were</w:t>
      </w:r>
      <w:r w:rsidR="00C809FE" w:rsidRPr="00972162">
        <w:rPr>
          <w:rFonts w:ascii="Arial" w:hAnsi="Arial" w:cs="Arial"/>
          <w:sz w:val="24"/>
          <w:szCs w:val="24"/>
        </w:rPr>
        <w:t xml:space="preserve"> sufficient under the circumstances.</w:t>
      </w:r>
    </w:p>
    <w:p w14:paraId="12EB60C4" w14:textId="77777777" w:rsidR="00000E99" w:rsidRPr="00972162" w:rsidRDefault="00000E99" w:rsidP="00FF1075">
      <w:pPr>
        <w:pStyle w:val="ListParagraph"/>
        <w:spacing w:after="0" w:line="360" w:lineRule="auto"/>
        <w:ind w:left="0"/>
        <w:jc w:val="both"/>
        <w:rPr>
          <w:rFonts w:ascii="Arial" w:hAnsi="Arial" w:cs="Arial"/>
          <w:sz w:val="24"/>
          <w:szCs w:val="24"/>
        </w:rPr>
      </w:pPr>
    </w:p>
    <w:p w14:paraId="65B334A5" w14:textId="6E7E1B7D" w:rsidR="006D25BB" w:rsidRPr="006D25BB" w:rsidRDefault="006D25BB" w:rsidP="0015465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 xml:space="preserve">The court was referred to the matter of </w:t>
      </w:r>
      <w:r w:rsidRPr="006D25BB">
        <w:rPr>
          <w:rFonts w:ascii="Arial" w:hAnsi="Arial" w:cs="Arial"/>
          <w:i/>
          <w:sz w:val="24"/>
          <w:szCs w:val="24"/>
        </w:rPr>
        <w:t>Fire Tech System</w:t>
      </w:r>
      <w:r>
        <w:rPr>
          <w:rFonts w:ascii="Arial" w:hAnsi="Arial" w:cs="Arial"/>
          <w:i/>
          <w:sz w:val="24"/>
          <w:szCs w:val="24"/>
        </w:rPr>
        <w:t xml:space="preserve"> CC v Namibia Airports Company Limited,</w:t>
      </w:r>
      <w:r>
        <w:rPr>
          <w:rStyle w:val="FootnoteReference"/>
          <w:rFonts w:ascii="Arial" w:hAnsi="Arial" w:cs="Arial"/>
          <w:sz w:val="24"/>
          <w:szCs w:val="24"/>
        </w:rPr>
        <w:footnoteReference w:id="8"/>
      </w:r>
      <w:r w:rsidRPr="006D25BB">
        <w:rPr>
          <w:rFonts w:ascii="Arial" w:hAnsi="Arial" w:cs="Arial"/>
          <w:sz w:val="24"/>
          <w:szCs w:val="24"/>
        </w:rPr>
        <w:t xml:space="preserve"> </w:t>
      </w:r>
      <w:r w:rsidR="005C6E76">
        <w:rPr>
          <w:rFonts w:ascii="Arial" w:hAnsi="Arial" w:cs="Arial"/>
          <w:sz w:val="24"/>
          <w:szCs w:val="24"/>
        </w:rPr>
        <w:t xml:space="preserve">where </w:t>
      </w:r>
      <w:r w:rsidRPr="006D25BB">
        <w:rPr>
          <w:rFonts w:ascii="Arial" w:hAnsi="Arial" w:cs="Arial"/>
          <w:sz w:val="24"/>
          <w:szCs w:val="24"/>
        </w:rPr>
        <w:t>the court</w:t>
      </w:r>
      <w:r w:rsidR="00972162">
        <w:rPr>
          <w:rFonts w:ascii="Arial" w:hAnsi="Arial" w:cs="Arial"/>
          <w:sz w:val="24"/>
          <w:szCs w:val="24"/>
        </w:rPr>
        <w:t>,</w:t>
      </w:r>
      <w:r w:rsidRPr="006D25BB">
        <w:rPr>
          <w:rFonts w:ascii="Arial" w:hAnsi="Arial" w:cs="Arial"/>
          <w:sz w:val="24"/>
          <w:szCs w:val="24"/>
        </w:rPr>
        <w:t xml:space="preserve"> in dealing with what constitutes reasonable administrative conduct for the purposes of Article 18</w:t>
      </w:r>
      <w:r w:rsidR="00972162">
        <w:rPr>
          <w:rFonts w:ascii="Arial" w:hAnsi="Arial" w:cs="Arial"/>
          <w:sz w:val="24"/>
          <w:szCs w:val="24"/>
        </w:rPr>
        <w:t>,</w:t>
      </w:r>
      <w:r w:rsidRPr="006D25BB">
        <w:rPr>
          <w:rFonts w:ascii="Arial" w:hAnsi="Arial" w:cs="Arial"/>
          <w:sz w:val="24"/>
          <w:szCs w:val="24"/>
        </w:rPr>
        <w:t xml:space="preserve"> stated the following:</w:t>
      </w:r>
    </w:p>
    <w:p w14:paraId="2BC7A17F" w14:textId="77777777" w:rsidR="006D25BB" w:rsidRDefault="006D25BB" w:rsidP="006D25BB">
      <w:pPr>
        <w:spacing w:after="0" w:line="360" w:lineRule="auto"/>
        <w:jc w:val="both"/>
        <w:rPr>
          <w:rFonts w:ascii="Arial" w:hAnsi="Arial" w:cs="Arial"/>
          <w:sz w:val="24"/>
          <w:szCs w:val="24"/>
        </w:rPr>
      </w:pPr>
    </w:p>
    <w:p w14:paraId="26F77935" w14:textId="6E8EAAD5" w:rsidR="006D25BB" w:rsidRPr="006D25BB" w:rsidRDefault="006D25BB" w:rsidP="006D25BB">
      <w:pPr>
        <w:spacing w:after="0" w:line="360" w:lineRule="auto"/>
        <w:ind w:firstLine="720"/>
        <w:jc w:val="both"/>
        <w:rPr>
          <w:rFonts w:ascii="Arial" w:hAnsi="Arial" w:cs="Arial"/>
        </w:rPr>
      </w:pPr>
      <w:r>
        <w:rPr>
          <w:rFonts w:ascii="Arial" w:hAnsi="Arial" w:cs="Arial"/>
          <w:sz w:val="24"/>
          <w:szCs w:val="24"/>
        </w:rPr>
        <w:t>‘</w:t>
      </w:r>
      <w:r w:rsidRPr="006D25BB">
        <w:rPr>
          <w:rFonts w:ascii="Arial" w:hAnsi="Arial" w:cs="Arial"/>
        </w:rPr>
        <w:t>The Supreme Court of Namibia has expressed itself as follows as regards the scope of Article 18 of the Namibian Constitution:</w:t>
      </w:r>
    </w:p>
    <w:p w14:paraId="7EF1A2DE" w14:textId="77777777" w:rsidR="006D25BB" w:rsidRPr="006D25BB" w:rsidRDefault="006D25BB" w:rsidP="006D25BB">
      <w:pPr>
        <w:pStyle w:val="ListParagraph"/>
        <w:spacing w:after="0" w:line="360" w:lineRule="auto"/>
        <w:jc w:val="both"/>
        <w:rPr>
          <w:rFonts w:ascii="Arial" w:hAnsi="Arial" w:cs="Arial"/>
        </w:rPr>
      </w:pPr>
    </w:p>
    <w:p w14:paraId="17021CD5" w14:textId="296DD996" w:rsidR="006D25BB" w:rsidRPr="00BA0984" w:rsidRDefault="006D25BB" w:rsidP="00BA0984">
      <w:pPr>
        <w:spacing w:after="0" w:line="360" w:lineRule="auto"/>
        <w:jc w:val="both"/>
        <w:rPr>
          <w:rFonts w:ascii="Arial" w:hAnsi="Arial" w:cs="Arial"/>
        </w:rPr>
      </w:pPr>
      <w:r w:rsidRPr="00BA0984">
        <w:rPr>
          <w:rFonts w:ascii="Arial" w:hAnsi="Arial" w:cs="Arial"/>
        </w:rPr>
        <w:t>[131] What will constitute reasonable administrative conduct for the  purposes of art 18 will always be a contextual enquiry and will depend on  the circumstances of each case. A court will need to consider a range of issues including the nature of the administrative conduct, the identity of the decision-maker, the range of factors relevant to the decision and the nature of any competing interests involved, as well as the impact of the relevant conduct on those affected. At the end of the day, the question will be whether, in the light of a careful analysis of the context of the conduct, it is the conduct of a reasonable decision-maker. The concept of reasonableness has at its core, the idea that where many considerations are at play, there will often be more than one course of conduct that is acceptable. It is not for judges to impose the course of conduct they would have chosen. It is for judges to decide whether the course of conduct selected by the decision-maker is one of the courses of conduct within the range of reasonable courses of conduct available.'</w:t>
      </w:r>
    </w:p>
    <w:p w14:paraId="39A18FC7" w14:textId="77777777" w:rsidR="00000E99" w:rsidRPr="006D25BB" w:rsidRDefault="00000E99" w:rsidP="00FF1075">
      <w:pPr>
        <w:pStyle w:val="ListParagraph"/>
        <w:spacing w:after="0" w:line="360" w:lineRule="auto"/>
        <w:ind w:left="0"/>
        <w:jc w:val="both"/>
        <w:rPr>
          <w:rFonts w:ascii="Arial" w:hAnsi="Arial" w:cs="Arial"/>
        </w:rPr>
      </w:pPr>
    </w:p>
    <w:p w14:paraId="0615A9ED" w14:textId="3C233DC4" w:rsidR="00000E99" w:rsidRPr="009C4506" w:rsidRDefault="00F263D6" w:rsidP="0015465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Mr Ncube</w:t>
      </w:r>
      <w:r w:rsidR="009C4506" w:rsidRPr="009C4506">
        <w:rPr>
          <w:rFonts w:ascii="Arial" w:hAnsi="Arial" w:cs="Arial"/>
          <w:sz w:val="24"/>
          <w:szCs w:val="24"/>
        </w:rPr>
        <w:t xml:space="preserve"> further referred </w:t>
      </w:r>
      <w:r>
        <w:rPr>
          <w:rFonts w:ascii="Arial" w:hAnsi="Arial" w:cs="Arial"/>
          <w:sz w:val="24"/>
          <w:szCs w:val="24"/>
        </w:rPr>
        <w:t xml:space="preserve">the court </w:t>
      </w:r>
      <w:r w:rsidR="009C4506" w:rsidRPr="009C4506">
        <w:rPr>
          <w:rFonts w:ascii="Arial" w:hAnsi="Arial" w:cs="Arial"/>
          <w:sz w:val="24"/>
          <w:szCs w:val="24"/>
        </w:rPr>
        <w:t xml:space="preserve">to the matter of </w:t>
      </w:r>
      <w:r w:rsidR="009C4506" w:rsidRPr="009C4506">
        <w:rPr>
          <w:rFonts w:ascii="Arial" w:hAnsi="Arial" w:cs="Arial"/>
          <w:i/>
          <w:sz w:val="24"/>
          <w:szCs w:val="24"/>
        </w:rPr>
        <w:t>New Era Investment (Pty) Ltd v The Roads Authority</w:t>
      </w:r>
      <w:r w:rsidR="00132871">
        <w:rPr>
          <w:rFonts w:ascii="Arial" w:hAnsi="Arial" w:cs="Arial"/>
          <w:i/>
          <w:sz w:val="24"/>
          <w:szCs w:val="24"/>
        </w:rPr>
        <w:t>,</w:t>
      </w:r>
      <w:r w:rsidR="009C4506" w:rsidRPr="009C4506">
        <w:rPr>
          <w:rStyle w:val="FootnoteReference"/>
          <w:rFonts w:ascii="Arial" w:hAnsi="Arial" w:cs="Arial"/>
          <w:sz w:val="24"/>
          <w:szCs w:val="24"/>
        </w:rPr>
        <w:footnoteReference w:id="9"/>
      </w:r>
      <w:r w:rsidR="009C4506" w:rsidRPr="009C4506">
        <w:rPr>
          <w:rFonts w:ascii="Arial" w:hAnsi="Arial" w:cs="Arial"/>
          <w:sz w:val="24"/>
          <w:szCs w:val="24"/>
        </w:rPr>
        <w:t xml:space="preserve"> </w:t>
      </w:r>
      <w:r w:rsidR="0059473B">
        <w:rPr>
          <w:rFonts w:ascii="Arial" w:hAnsi="Arial" w:cs="Arial"/>
          <w:sz w:val="24"/>
          <w:szCs w:val="24"/>
        </w:rPr>
        <w:t xml:space="preserve">wherein </w:t>
      </w:r>
      <w:r>
        <w:rPr>
          <w:rFonts w:ascii="Arial" w:hAnsi="Arial" w:cs="Arial"/>
          <w:sz w:val="24"/>
          <w:szCs w:val="24"/>
        </w:rPr>
        <w:t>it was</w:t>
      </w:r>
      <w:r w:rsidR="0059473B">
        <w:rPr>
          <w:rFonts w:ascii="Arial" w:hAnsi="Arial" w:cs="Arial"/>
          <w:sz w:val="24"/>
          <w:szCs w:val="24"/>
        </w:rPr>
        <w:t xml:space="preserve"> held that: </w:t>
      </w:r>
    </w:p>
    <w:p w14:paraId="08249A67" w14:textId="77777777" w:rsidR="00000E99" w:rsidRPr="009C4506" w:rsidRDefault="00000E99" w:rsidP="00FF1075">
      <w:pPr>
        <w:pStyle w:val="ListParagraph"/>
        <w:spacing w:after="0" w:line="360" w:lineRule="auto"/>
        <w:ind w:left="0"/>
        <w:jc w:val="both"/>
        <w:rPr>
          <w:rFonts w:ascii="Arial" w:hAnsi="Arial" w:cs="Arial"/>
          <w:sz w:val="24"/>
          <w:szCs w:val="24"/>
        </w:rPr>
      </w:pPr>
    </w:p>
    <w:p w14:paraId="5698F594" w14:textId="7522951F" w:rsidR="009C4506" w:rsidRPr="009C4506" w:rsidRDefault="009C4506" w:rsidP="009C4506">
      <w:pPr>
        <w:spacing w:after="0" w:line="360" w:lineRule="auto"/>
        <w:ind w:firstLine="720"/>
        <w:jc w:val="both"/>
        <w:rPr>
          <w:rFonts w:ascii="Arial" w:hAnsi="Arial" w:cs="Arial"/>
        </w:rPr>
      </w:pPr>
      <w:r w:rsidRPr="009C4506">
        <w:rPr>
          <w:rFonts w:ascii="Arial" w:hAnsi="Arial" w:cs="Arial"/>
        </w:rPr>
        <w:t>‘[</w:t>
      </w:r>
      <w:r>
        <w:rPr>
          <w:rFonts w:ascii="Arial" w:hAnsi="Arial" w:cs="Arial"/>
        </w:rPr>
        <w:t>15] T</w:t>
      </w:r>
      <w:r w:rsidRPr="009C4506">
        <w:rPr>
          <w:rFonts w:ascii="Arial" w:hAnsi="Arial" w:cs="Arial"/>
        </w:rPr>
        <w:t xml:space="preserve">here is no onus on the first respondent whose conduct is the subject matter of the review to justify its conduct. On the contrary, the onus rests on the applicant for review to satisfy the court that good, that is cogent and relevant, grounds exist to review the conduct complained of. </w:t>
      </w:r>
    </w:p>
    <w:p w14:paraId="7F4428D2" w14:textId="33DAD48D" w:rsidR="00000E99" w:rsidRPr="009C4506" w:rsidRDefault="009C4506" w:rsidP="009C4506">
      <w:pPr>
        <w:pStyle w:val="ListParagraph"/>
        <w:spacing w:after="0" w:line="360" w:lineRule="auto"/>
        <w:ind w:left="0"/>
        <w:jc w:val="both"/>
        <w:rPr>
          <w:rFonts w:ascii="Arial" w:hAnsi="Arial" w:cs="Arial"/>
        </w:rPr>
      </w:pPr>
      <w:r w:rsidRPr="009C4506">
        <w:rPr>
          <w:rFonts w:ascii="Arial" w:hAnsi="Arial" w:cs="Arial"/>
        </w:rPr>
        <w:lastRenderedPageBreak/>
        <w:t xml:space="preserve">[16] The burden of this court is, therefore, to determine whether the applicant has established that good grounds exist to review the first respondent's decision to reject the applicant's tender...., I should signalize the crucial point that such grounds should have been set out in the founding affidavit because that is the case the applicant has brought to court and which </w:t>
      </w:r>
      <w:r w:rsidR="00B33239">
        <w:rPr>
          <w:rFonts w:ascii="Arial" w:hAnsi="Arial" w:cs="Arial"/>
        </w:rPr>
        <w:t>the opposing parties have been called upon to meet</w:t>
      </w:r>
      <w:r w:rsidRPr="009C4506">
        <w:rPr>
          <w:rFonts w:ascii="Arial" w:hAnsi="Arial" w:cs="Arial"/>
        </w:rPr>
        <w:t xml:space="preserve"> .</w:t>
      </w:r>
      <w:r>
        <w:rPr>
          <w:rFonts w:ascii="Arial" w:hAnsi="Arial" w:cs="Arial"/>
        </w:rPr>
        <w:t xml:space="preserve"> </w:t>
      </w:r>
      <w:r w:rsidRPr="009C4506">
        <w:rPr>
          <w:rFonts w:ascii="Arial" w:hAnsi="Arial" w:cs="Arial"/>
        </w:rPr>
        <w:t>.</w:t>
      </w:r>
      <w:r>
        <w:rPr>
          <w:rFonts w:ascii="Arial" w:hAnsi="Arial" w:cs="Arial"/>
        </w:rPr>
        <w:t xml:space="preserve"> </w:t>
      </w:r>
      <w:r w:rsidRPr="009C4506">
        <w:rPr>
          <w:rFonts w:ascii="Arial" w:hAnsi="Arial" w:cs="Arial"/>
        </w:rPr>
        <w:t>.</w:t>
      </w:r>
      <w:r>
        <w:rPr>
          <w:rFonts w:ascii="Arial" w:hAnsi="Arial" w:cs="Arial"/>
        </w:rPr>
        <w:t xml:space="preserve"> </w:t>
      </w:r>
      <w:r w:rsidRPr="009C4506">
        <w:rPr>
          <w:rFonts w:ascii="Arial" w:hAnsi="Arial" w:cs="Arial"/>
        </w:rPr>
        <w:t>. ’</w:t>
      </w:r>
    </w:p>
    <w:p w14:paraId="74DF0476" w14:textId="77777777" w:rsidR="00000E99" w:rsidRDefault="00000E99" w:rsidP="00FF1075">
      <w:pPr>
        <w:pStyle w:val="ListParagraph"/>
        <w:spacing w:after="0" w:line="360" w:lineRule="auto"/>
        <w:ind w:left="0"/>
        <w:jc w:val="both"/>
        <w:rPr>
          <w:rFonts w:ascii="Arial" w:hAnsi="Arial" w:cs="Arial"/>
          <w:sz w:val="24"/>
          <w:szCs w:val="24"/>
        </w:rPr>
      </w:pPr>
    </w:p>
    <w:p w14:paraId="22B53E35" w14:textId="23D31479" w:rsidR="009C4506" w:rsidRPr="00154652" w:rsidRDefault="009C4506" w:rsidP="00154652">
      <w:pPr>
        <w:pStyle w:val="ListParagraph"/>
        <w:numPr>
          <w:ilvl w:val="0"/>
          <w:numId w:val="26"/>
        </w:numPr>
        <w:spacing w:after="0" w:line="360" w:lineRule="auto"/>
        <w:ind w:left="0" w:firstLine="0"/>
        <w:jc w:val="both"/>
        <w:rPr>
          <w:rFonts w:ascii="Arial" w:hAnsi="Arial" w:cs="Arial"/>
          <w:sz w:val="24"/>
          <w:szCs w:val="24"/>
        </w:rPr>
      </w:pPr>
      <w:r w:rsidRPr="00154652">
        <w:rPr>
          <w:rFonts w:ascii="Arial" w:hAnsi="Arial" w:cs="Arial"/>
          <w:sz w:val="24"/>
          <w:szCs w:val="24"/>
        </w:rPr>
        <w:t xml:space="preserve">On the </w:t>
      </w:r>
      <w:r w:rsidR="00972162" w:rsidRPr="00154652">
        <w:rPr>
          <w:rFonts w:ascii="Arial" w:hAnsi="Arial" w:cs="Arial"/>
          <w:sz w:val="24"/>
          <w:szCs w:val="24"/>
        </w:rPr>
        <w:t>principle</w:t>
      </w:r>
      <w:r w:rsidRPr="00154652">
        <w:rPr>
          <w:rFonts w:ascii="Arial" w:hAnsi="Arial" w:cs="Arial"/>
          <w:sz w:val="24"/>
          <w:szCs w:val="24"/>
        </w:rPr>
        <w:t xml:space="preserve"> of </w:t>
      </w:r>
      <w:r w:rsidRPr="00154652">
        <w:rPr>
          <w:rFonts w:ascii="Arial" w:hAnsi="Arial" w:cs="Arial"/>
          <w:i/>
          <w:sz w:val="24"/>
          <w:szCs w:val="24"/>
        </w:rPr>
        <w:t>audi alteram partem</w:t>
      </w:r>
      <w:r w:rsidRPr="00154652">
        <w:rPr>
          <w:rFonts w:ascii="Arial" w:hAnsi="Arial" w:cs="Arial"/>
          <w:sz w:val="24"/>
          <w:szCs w:val="24"/>
        </w:rPr>
        <w:t xml:space="preserve">, </w:t>
      </w:r>
      <w:r w:rsidR="00972162" w:rsidRPr="00154652">
        <w:rPr>
          <w:rFonts w:ascii="Arial" w:hAnsi="Arial" w:cs="Arial"/>
          <w:sz w:val="24"/>
          <w:szCs w:val="24"/>
        </w:rPr>
        <w:t>Mr Ncube directed the court to para 31 i</w:t>
      </w:r>
      <w:r w:rsidRPr="00154652">
        <w:rPr>
          <w:rFonts w:ascii="Arial" w:hAnsi="Arial" w:cs="Arial"/>
          <w:sz w:val="24"/>
          <w:szCs w:val="24"/>
        </w:rPr>
        <w:t xml:space="preserve">n the </w:t>
      </w:r>
      <w:r w:rsidRPr="00154652">
        <w:rPr>
          <w:rFonts w:ascii="Arial" w:hAnsi="Arial" w:cs="Arial"/>
          <w:i/>
          <w:sz w:val="24"/>
          <w:szCs w:val="24"/>
        </w:rPr>
        <w:t>New Era</w:t>
      </w:r>
      <w:r w:rsidRPr="00154652">
        <w:rPr>
          <w:rFonts w:ascii="Arial" w:hAnsi="Arial" w:cs="Arial"/>
          <w:sz w:val="24"/>
          <w:szCs w:val="24"/>
        </w:rPr>
        <w:t xml:space="preserve"> matter</w:t>
      </w:r>
      <w:r w:rsidR="00132871">
        <w:rPr>
          <w:rFonts w:ascii="Arial" w:hAnsi="Arial" w:cs="Arial"/>
          <w:sz w:val="24"/>
          <w:szCs w:val="24"/>
        </w:rPr>
        <w:t>,</w:t>
      </w:r>
      <w:r w:rsidRPr="00154652">
        <w:rPr>
          <w:rFonts w:ascii="Arial" w:hAnsi="Arial" w:cs="Arial"/>
          <w:sz w:val="24"/>
          <w:szCs w:val="24"/>
        </w:rPr>
        <w:t xml:space="preserve"> </w:t>
      </w:r>
      <w:r w:rsidR="00972162" w:rsidRPr="00154652">
        <w:rPr>
          <w:rFonts w:ascii="Arial" w:hAnsi="Arial" w:cs="Arial"/>
          <w:sz w:val="24"/>
          <w:szCs w:val="24"/>
        </w:rPr>
        <w:t xml:space="preserve">where </w:t>
      </w:r>
      <w:r w:rsidR="00972162" w:rsidRPr="00B67A30">
        <w:rPr>
          <w:rFonts w:ascii="Arial" w:hAnsi="Arial" w:cs="Arial"/>
          <w:sz w:val="24"/>
          <w:szCs w:val="24"/>
        </w:rPr>
        <w:t xml:space="preserve">the court </w:t>
      </w:r>
      <w:r w:rsidR="003D074F" w:rsidRPr="00B67A30">
        <w:rPr>
          <w:rFonts w:ascii="Arial" w:hAnsi="Arial" w:cs="Arial"/>
          <w:sz w:val="24"/>
          <w:szCs w:val="24"/>
        </w:rPr>
        <w:t xml:space="preserve">further </w:t>
      </w:r>
      <w:r w:rsidRPr="00B67A30">
        <w:rPr>
          <w:rFonts w:ascii="Arial" w:hAnsi="Arial" w:cs="Arial"/>
          <w:sz w:val="24"/>
          <w:szCs w:val="24"/>
        </w:rPr>
        <w:t>state</w:t>
      </w:r>
      <w:r w:rsidR="003D074F" w:rsidRPr="00B67A30">
        <w:rPr>
          <w:rFonts w:ascii="Arial" w:hAnsi="Arial" w:cs="Arial"/>
          <w:sz w:val="24"/>
          <w:szCs w:val="24"/>
        </w:rPr>
        <w:t>d</w:t>
      </w:r>
      <w:r w:rsidRPr="00B67A30">
        <w:rPr>
          <w:rFonts w:ascii="Arial" w:hAnsi="Arial" w:cs="Arial"/>
          <w:sz w:val="24"/>
          <w:szCs w:val="24"/>
        </w:rPr>
        <w:t xml:space="preserve"> that:</w:t>
      </w:r>
    </w:p>
    <w:p w14:paraId="1E204BDA" w14:textId="77777777" w:rsidR="009C4506" w:rsidRPr="009C4506" w:rsidRDefault="009C4506" w:rsidP="009C4506">
      <w:pPr>
        <w:pStyle w:val="ListParagraph"/>
        <w:spacing w:after="0" w:line="360" w:lineRule="auto"/>
        <w:jc w:val="both"/>
        <w:rPr>
          <w:rFonts w:ascii="Arial" w:hAnsi="Arial" w:cs="Arial"/>
          <w:sz w:val="24"/>
          <w:szCs w:val="24"/>
        </w:rPr>
      </w:pPr>
    </w:p>
    <w:p w14:paraId="2AB9FC5F" w14:textId="2A0C0C0D" w:rsidR="009C4506" w:rsidRPr="00BA0984" w:rsidRDefault="009C4506" w:rsidP="009C4506">
      <w:pPr>
        <w:spacing w:after="0" w:line="360" w:lineRule="auto"/>
        <w:ind w:firstLine="720"/>
        <w:jc w:val="both"/>
        <w:rPr>
          <w:rFonts w:ascii="Arial" w:hAnsi="Arial" w:cs="Arial"/>
        </w:rPr>
      </w:pPr>
      <w:r w:rsidRPr="00BA0984">
        <w:rPr>
          <w:rFonts w:ascii="Arial" w:hAnsi="Arial" w:cs="Arial"/>
        </w:rPr>
        <w:t xml:space="preserve">‘[31] </w:t>
      </w:r>
      <w:r w:rsidRPr="00BA0984">
        <w:rPr>
          <w:rFonts w:ascii="Arial" w:hAnsi="Arial" w:cs="Arial"/>
        </w:rPr>
        <w:tab/>
        <w:t>It must be remembered that natural justice (of which audi alteram partem is one of the rules) is a flexible doctrine whose content may vary according to the nature of the power exercised and the circumstances of the case. (</w:t>
      </w:r>
      <w:r w:rsidRPr="00F263D6">
        <w:rPr>
          <w:rFonts w:ascii="Arial" w:hAnsi="Arial" w:cs="Arial"/>
          <w:i/>
        </w:rPr>
        <w:t>Re Pergamon Press</w:t>
      </w:r>
      <w:r w:rsidRPr="00BA0984">
        <w:rPr>
          <w:rFonts w:ascii="Arial" w:hAnsi="Arial" w:cs="Arial"/>
        </w:rPr>
        <w:t xml:space="preserve"> Ltd 1971 Ch 388 at 399) In the words of Lord Denning MR, The rules of natural justice — or of fairness — are not cut and dried. They vary infinitely'. (</w:t>
      </w:r>
      <w:r w:rsidRPr="00BA0984">
        <w:rPr>
          <w:rFonts w:ascii="Arial" w:hAnsi="Arial" w:cs="Arial"/>
          <w:i/>
        </w:rPr>
        <w:t>R v Home Secretary ex parte Santillo</w:t>
      </w:r>
      <w:r w:rsidRPr="00BA0984">
        <w:rPr>
          <w:rFonts w:ascii="Arial" w:hAnsi="Arial" w:cs="Arial"/>
        </w:rPr>
        <w:t xml:space="preserve"> [1981] QB 778) Baxter throws in his authoritative statement thus: The principles of natural justice are flexible. The range and variety of situations to which they apply is extensive. If the principles are to serve efficiently the purposes for which they exist, it would be counterproductive to attempt to prescribe rigidly the form the principles should take in all cases'. Baxter refers to the dictum of Tucker LJ in </w:t>
      </w:r>
      <w:r w:rsidRPr="00BA0984">
        <w:rPr>
          <w:rFonts w:ascii="Arial" w:hAnsi="Arial" w:cs="Arial"/>
          <w:i/>
        </w:rPr>
        <w:t>Russel v Duke of Norfolk</w:t>
      </w:r>
      <w:r w:rsidRPr="00BA0984">
        <w:rPr>
          <w:rFonts w:ascii="Arial" w:hAnsi="Arial" w:cs="Arial"/>
        </w:rPr>
        <w:t xml:space="preserve"> [1949] 1 All ER 109 at 118 for support where the Lord Justice stated:</w:t>
      </w:r>
    </w:p>
    <w:p w14:paraId="086E53F0" w14:textId="77777777" w:rsidR="009C4506" w:rsidRPr="00BA0984" w:rsidRDefault="009C4506" w:rsidP="009C4506">
      <w:pPr>
        <w:pStyle w:val="ListParagraph"/>
        <w:spacing w:after="0" w:line="360" w:lineRule="auto"/>
        <w:jc w:val="both"/>
        <w:rPr>
          <w:rFonts w:ascii="Arial" w:hAnsi="Arial" w:cs="Arial"/>
        </w:rPr>
      </w:pPr>
    </w:p>
    <w:p w14:paraId="3C13A2E0" w14:textId="3A5D3414" w:rsidR="009C4506" w:rsidRPr="00BA0984" w:rsidRDefault="009C4506" w:rsidP="009C4506">
      <w:pPr>
        <w:pStyle w:val="ListParagraph"/>
        <w:spacing w:after="0" w:line="360" w:lineRule="auto"/>
        <w:jc w:val="both"/>
        <w:rPr>
          <w:rFonts w:ascii="Arial" w:hAnsi="Arial" w:cs="Arial"/>
        </w:rPr>
      </w:pPr>
      <w:r w:rsidRPr="00BA0984">
        <w:rPr>
          <w:rFonts w:ascii="Arial" w:hAnsi="Arial" w:cs="Arial"/>
        </w:rPr>
        <w:t xml:space="preserve">“[32] Generally, it conduces to fairness for the administrative body or administrative official to give a person affected by information it has at its or his or her disposal a fair opportunity to correct or contradict any relevant statement or information prejudicial to the case he is seeking to establish by bringing such information to that person. But a careful distinction should be drawn between the information and evaluation thereof during the process of the decision itself. . . </w:t>
      </w:r>
    </w:p>
    <w:p w14:paraId="585C4776" w14:textId="43279A84" w:rsidR="009C4506" w:rsidRPr="00BA0984" w:rsidRDefault="009C4506" w:rsidP="009C4506">
      <w:pPr>
        <w:pStyle w:val="ListParagraph"/>
        <w:spacing w:after="0" w:line="360" w:lineRule="auto"/>
        <w:jc w:val="both"/>
        <w:rPr>
          <w:rFonts w:ascii="Arial" w:hAnsi="Arial" w:cs="Arial"/>
        </w:rPr>
      </w:pPr>
      <w:r w:rsidRPr="00BA0984">
        <w:rPr>
          <w:rFonts w:ascii="Arial" w:hAnsi="Arial" w:cs="Arial"/>
        </w:rPr>
        <w:t>[36] I have observed previously that fairness in the shape of the audi principle (or the bias principle) is a variable concept. It would, therefore, not be in the interest of justice to prescribe a one-size-fit-all formula for it. (See Cora Hoexter, Administrative Law in South Africa (2007): p 328, and the cases there cited.)’</w:t>
      </w:r>
    </w:p>
    <w:p w14:paraId="7A3C3A99" w14:textId="77777777" w:rsidR="009C4506" w:rsidRPr="00BA0984" w:rsidRDefault="009C4506" w:rsidP="009C4506">
      <w:pPr>
        <w:pStyle w:val="ListParagraph"/>
        <w:spacing w:after="0" w:line="360" w:lineRule="auto"/>
        <w:ind w:left="0"/>
        <w:jc w:val="both"/>
        <w:rPr>
          <w:rFonts w:ascii="Arial" w:hAnsi="Arial" w:cs="Arial"/>
        </w:rPr>
      </w:pPr>
    </w:p>
    <w:p w14:paraId="2ABB0C98" w14:textId="28F4091E" w:rsidR="00000E99" w:rsidRDefault="00F263D6" w:rsidP="0015465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Mr Ncube </w:t>
      </w:r>
      <w:r w:rsidR="00FD3A55">
        <w:rPr>
          <w:rFonts w:ascii="Arial" w:hAnsi="Arial" w:cs="Arial"/>
          <w:sz w:val="24"/>
          <w:szCs w:val="24"/>
        </w:rPr>
        <w:t>submitted</w:t>
      </w:r>
      <w:r w:rsidR="009C4506">
        <w:rPr>
          <w:rFonts w:ascii="Arial" w:hAnsi="Arial" w:cs="Arial"/>
          <w:sz w:val="24"/>
          <w:szCs w:val="24"/>
        </w:rPr>
        <w:t xml:space="preserve"> </w:t>
      </w:r>
      <w:r w:rsidR="009C4506" w:rsidRPr="009C4506">
        <w:rPr>
          <w:rFonts w:ascii="Arial" w:hAnsi="Arial" w:cs="Arial"/>
          <w:sz w:val="24"/>
          <w:szCs w:val="24"/>
        </w:rPr>
        <w:t xml:space="preserve">that the Minister incorporated the relevant information from the applications after the </w:t>
      </w:r>
      <w:r w:rsidR="006B21D1">
        <w:rPr>
          <w:rFonts w:ascii="Arial" w:hAnsi="Arial" w:cs="Arial"/>
          <w:sz w:val="24"/>
          <w:szCs w:val="24"/>
        </w:rPr>
        <w:t>parties concluded the settlement agreement</w:t>
      </w:r>
      <w:r w:rsidR="003D074F">
        <w:rPr>
          <w:rFonts w:ascii="Arial" w:hAnsi="Arial" w:cs="Arial"/>
          <w:sz w:val="24"/>
          <w:szCs w:val="24"/>
        </w:rPr>
        <w:t>.</w:t>
      </w:r>
      <w:r w:rsidR="00154652">
        <w:rPr>
          <w:rStyle w:val="FootnoteReference"/>
          <w:rFonts w:ascii="Arial" w:hAnsi="Arial" w:cs="Arial"/>
          <w:sz w:val="24"/>
          <w:szCs w:val="24"/>
        </w:rPr>
        <w:footnoteReference w:id="10"/>
      </w:r>
      <w:r w:rsidR="009C4506" w:rsidRPr="009C4506">
        <w:rPr>
          <w:rFonts w:ascii="Arial" w:hAnsi="Arial" w:cs="Arial"/>
          <w:sz w:val="24"/>
          <w:szCs w:val="24"/>
        </w:rPr>
        <w:t xml:space="preserve"> It is</w:t>
      </w:r>
      <w:r w:rsidR="00972162">
        <w:rPr>
          <w:rFonts w:ascii="Arial" w:hAnsi="Arial" w:cs="Arial"/>
          <w:sz w:val="24"/>
          <w:szCs w:val="24"/>
        </w:rPr>
        <w:t xml:space="preserve"> thus</w:t>
      </w:r>
      <w:r w:rsidR="009C4506" w:rsidRPr="009C4506">
        <w:rPr>
          <w:rFonts w:ascii="Arial" w:hAnsi="Arial" w:cs="Arial"/>
          <w:sz w:val="24"/>
          <w:szCs w:val="24"/>
        </w:rPr>
        <w:t xml:space="preserve"> inconceivable that the applicant would raise the issue of audi in her papers when the Minister considered the new information</w:t>
      </w:r>
      <w:r w:rsidR="00FA7B7D">
        <w:rPr>
          <w:rFonts w:ascii="Arial" w:hAnsi="Arial" w:cs="Arial"/>
          <w:sz w:val="24"/>
          <w:szCs w:val="24"/>
        </w:rPr>
        <w:t xml:space="preserve"> in her applications. </w:t>
      </w:r>
    </w:p>
    <w:p w14:paraId="133F6085" w14:textId="77777777" w:rsidR="00D34C7C" w:rsidRDefault="00D34C7C" w:rsidP="009C4506">
      <w:pPr>
        <w:pStyle w:val="ListParagraph"/>
        <w:spacing w:after="0" w:line="360" w:lineRule="auto"/>
        <w:ind w:left="0"/>
        <w:jc w:val="both"/>
        <w:rPr>
          <w:rFonts w:ascii="Arial" w:hAnsi="Arial" w:cs="Arial"/>
          <w:sz w:val="24"/>
          <w:szCs w:val="24"/>
        </w:rPr>
      </w:pPr>
    </w:p>
    <w:p w14:paraId="016690C8" w14:textId="141C51FC" w:rsidR="00D34C7C" w:rsidRDefault="00D34C7C" w:rsidP="0015465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In conclusion</w:t>
      </w:r>
      <w:r w:rsidR="00154652">
        <w:rPr>
          <w:rFonts w:ascii="Arial" w:hAnsi="Arial" w:cs="Arial"/>
          <w:sz w:val="24"/>
          <w:szCs w:val="24"/>
        </w:rPr>
        <w:t>,</w:t>
      </w:r>
      <w:r>
        <w:rPr>
          <w:rFonts w:ascii="Arial" w:hAnsi="Arial" w:cs="Arial"/>
          <w:sz w:val="24"/>
          <w:szCs w:val="24"/>
        </w:rPr>
        <w:t xml:space="preserve"> </w:t>
      </w:r>
      <w:r w:rsidR="00154652">
        <w:rPr>
          <w:rFonts w:ascii="Arial" w:hAnsi="Arial" w:cs="Arial"/>
          <w:sz w:val="24"/>
          <w:szCs w:val="24"/>
        </w:rPr>
        <w:t>Mr Ncube was</w:t>
      </w:r>
      <w:r>
        <w:rPr>
          <w:rFonts w:ascii="Arial" w:hAnsi="Arial" w:cs="Arial"/>
          <w:sz w:val="24"/>
          <w:szCs w:val="24"/>
        </w:rPr>
        <w:t xml:space="preserve"> of the view that t</w:t>
      </w:r>
      <w:r w:rsidRPr="00D34C7C">
        <w:rPr>
          <w:rFonts w:ascii="Arial" w:hAnsi="Arial" w:cs="Arial"/>
          <w:sz w:val="24"/>
          <w:szCs w:val="24"/>
        </w:rPr>
        <w:t xml:space="preserve">he broader scheme of the Act does not permit the existence of two traditional authorities within the same area for the same homogenous </w:t>
      </w:r>
      <w:r w:rsidRPr="00197EEA">
        <w:rPr>
          <w:rFonts w:ascii="Arial" w:hAnsi="Arial" w:cs="Arial"/>
          <w:sz w:val="24"/>
          <w:szCs w:val="24"/>
        </w:rPr>
        <w:t xml:space="preserve">group. </w:t>
      </w:r>
      <w:r w:rsidR="00B33239" w:rsidRPr="00197EEA">
        <w:rPr>
          <w:rFonts w:ascii="Arial" w:hAnsi="Arial" w:cs="Arial"/>
          <w:sz w:val="24"/>
          <w:szCs w:val="24"/>
        </w:rPr>
        <w:t>According to Mr Ncube, t</w:t>
      </w:r>
      <w:r w:rsidRPr="00197EEA">
        <w:rPr>
          <w:rFonts w:ascii="Arial" w:hAnsi="Arial" w:cs="Arial"/>
          <w:sz w:val="24"/>
          <w:szCs w:val="24"/>
        </w:rPr>
        <w:t>he</w:t>
      </w:r>
      <w:r w:rsidRPr="00D34C7C">
        <w:rPr>
          <w:rFonts w:ascii="Arial" w:hAnsi="Arial" w:cs="Arial"/>
          <w:sz w:val="24"/>
          <w:szCs w:val="24"/>
        </w:rPr>
        <w:t xml:space="preserve"> President and the Counc</w:t>
      </w:r>
      <w:r w:rsidR="001132EC">
        <w:rPr>
          <w:rFonts w:ascii="Arial" w:hAnsi="Arial" w:cs="Arial"/>
          <w:sz w:val="24"/>
          <w:szCs w:val="24"/>
        </w:rPr>
        <w:t>i</w:t>
      </w:r>
      <w:r w:rsidRPr="00D34C7C">
        <w:rPr>
          <w:rFonts w:ascii="Arial" w:hAnsi="Arial" w:cs="Arial"/>
          <w:sz w:val="24"/>
          <w:szCs w:val="24"/>
        </w:rPr>
        <w:t>l of Traditional Leaders are statutorily empowered to adjudicate upon this dispute.</w:t>
      </w:r>
    </w:p>
    <w:p w14:paraId="22F551B1" w14:textId="77777777" w:rsidR="00154652" w:rsidRPr="00154652" w:rsidRDefault="00154652" w:rsidP="00154652">
      <w:pPr>
        <w:pStyle w:val="ListParagraph"/>
        <w:rPr>
          <w:rFonts w:ascii="Arial" w:hAnsi="Arial" w:cs="Arial"/>
          <w:sz w:val="24"/>
          <w:szCs w:val="24"/>
        </w:rPr>
      </w:pPr>
    </w:p>
    <w:p w14:paraId="717B5192" w14:textId="6D573E49" w:rsidR="00154652" w:rsidRPr="00154652" w:rsidRDefault="00154652" w:rsidP="00154652">
      <w:pPr>
        <w:pStyle w:val="ListParagraph"/>
        <w:spacing w:after="0" w:line="360" w:lineRule="auto"/>
        <w:ind w:left="0"/>
        <w:jc w:val="both"/>
        <w:rPr>
          <w:rFonts w:ascii="Arial" w:hAnsi="Arial" w:cs="Arial"/>
          <w:sz w:val="24"/>
          <w:szCs w:val="24"/>
          <w:u w:val="single"/>
        </w:rPr>
      </w:pPr>
      <w:r w:rsidRPr="00154652">
        <w:rPr>
          <w:rFonts w:ascii="Arial" w:hAnsi="Arial" w:cs="Arial"/>
          <w:sz w:val="24"/>
          <w:szCs w:val="24"/>
          <w:u w:val="single"/>
        </w:rPr>
        <w:t>Relevant legal principles and discussion</w:t>
      </w:r>
    </w:p>
    <w:p w14:paraId="482E8D12" w14:textId="77777777" w:rsidR="00154652" w:rsidRPr="00154652" w:rsidRDefault="00154652" w:rsidP="00154652">
      <w:pPr>
        <w:pStyle w:val="ListParagraph"/>
        <w:rPr>
          <w:rFonts w:ascii="Arial" w:hAnsi="Arial" w:cs="Arial"/>
          <w:sz w:val="24"/>
          <w:szCs w:val="24"/>
        </w:rPr>
      </w:pPr>
    </w:p>
    <w:p w14:paraId="44F90CD9" w14:textId="5E896113" w:rsidR="001F0919" w:rsidRDefault="00D274CF" w:rsidP="0015465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As stated earlier in this judgment</w:t>
      </w:r>
      <w:r w:rsidR="001F0919">
        <w:rPr>
          <w:rFonts w:ascii="Arial" w:hAnsi="Arial" w:cs="Arial"/>
          <w:sz w:val="24"/>
          <w:szCs w:val="24"/>
        </w:rPr>
        <w:t>, the applicants seek to review and set aside the decision of the Minister dated 20 October 2021 on the premise that they were not afforded an opportunity to make representations prior to the decision being made. Coupled</w:t>
      </w:r>
      <w:r w:rsidR="0041618C">
        <w:rPr>
          <w:rFonts w:ascii="Arial" w:hAnsi="Arial" w:cs="Arial"/>
          <w:sz w:val="24"/>
          <w:szCs w:val="24"/>
        </w:rPr>
        <w:t xml:space="preserve"> with this </w:t>
      </w:r>
      <w:r w:rsidR="003D074F">
        <w:rPr>
          <w:rFonts w:ascii="Arial" w:hAnsi="Arial" w:cs="Arial"/>
          <w:sz w:val="24"/>
          <w:szCs w:val="24"/>
        </w:rPr>
        <w:t xml:space="preserve">relief is that </w:t>
      </w:r>
      <w:r w:rsidR="003D074F" w:rsidRPr="00B67A30">
        <w:rPr>
          <w:rFonts w:ascii="Arial" w:hAnsi="Arial" w:cs="Arial"/>
          <w:sz w:val="24"/>
          <w:szCs w:val="24"/>
        </w:rPr>
        <w:t>this court remit</w:t>
      </w:r>
      <w:r w:rsidR="0041618C" w:rsidRPr="00B67A30">
        <w:rPr>
          <w:rFonts w:ascii="Arial" w:hAnsi="Arial" w:cs="Arial"/>
          <w:sz w:val="24"/>
          <w:szCs w:val="24"/>
        </w:rPr>
        <w:t xml:space="preserve"> to</w:t>
      </w:r>
      <w:r w:rsidR="0041618C">
        <w:rPr>
          <w:rFonts w:ascii="Arial" w:hAnsi="Arial" w:cs="Arial"/>
          <w:sz w:val="24"/>
          <w:szCs w:val="24"/>
        </w:rPr>
        <w:t xml:space="preserve"> the Minister the applicants’ application for approval of the designation of the</w:t>
      </w:r>
      <w:r w:rsidR="00DC649E">
        <w:rPr>
          <w:rFonts w:ascii="Arial" w:hAnsi="Arial" w:cs="Arial"/>
          <w:sz w:val="24"/>
          <w:szCs w:val="24"/>
        </w:rPr>
        <w:t xml:space="preserve"> second </w:t>
      </w:r>
      <w:r w:rsidR="006734ED">
        <w:rPr>
          <w:rFonts w:ascii="Arial" w:hAnsi="Arial" w:cs="Arial"/>
          <w:sz w:val="24"/>
          <w:szCs w:val="24"/>
        </w:rPr>
        <w:t>applicant</w:t>
      </w:r>
      <w:r w:rsidR="00DC649E">
        <w:rPr>
          <w:rFonts w:ascii="Arial" w:hAnsi="Arial" w:cs="Arial"/>
          <w:sz w:val="24"/>
          <w:szCs w:val="24"/>
        </w:rPr>
        <w:t xml:space="preserve"> in terms of s 5(1) of the Act</w:t>
      </w:r>
      <w:r w:rsidR="0041618C">
        <w:rPr>
          <w:rFonts w:ascii="Arial" w:hAnsi="Arial" w:cs="Arial"/>
          <w:sz w:val="24"/>
          <w:szCs w:val="24"/>
        </w:rPr>
        <w:t xml:space="preserve">. </w:t>
      </w:r>
      <w:r w:rsidR="00DC649E">
        <w:rPr>
          <w:rFonts w:ascii="Arial" w:hAnsi="Arial" w:cs="Arial"/>
          <w:sz w:val="24"/>
          <w:szCs w:val="24"/>
        </w:rPr>
        <w:t xml:space="preserve"> </w:t>
      </w:r>
    </w:p>
    <w:p w14:paraId="15AB2F3F" w14:textId="77777777" w:rsidR="0041618C" w:rsidRDefault="0041618C" w:rsidP="0041618C">
      <w:pPr>
        <w:pStyle w:val="ListParagraph"/>
        <w:spacing w:after="0" w:line="360" w:lineRule="auto"/>
        <w:ind w:left="0"/>
        <w:jc w:val="both"/>
        <w:rPr>
          <w:rFonts w:ascii="Arial" w:hAnsi="Arial" w:cs="Arial"/>
          <w:sz w:val="24"/>
          <w:szCs w:val="24"/>
        </w:rPr>
      </w:pPr>
    </w:p>
    <w:p w14:paraId="0F0AD96B" w14:textId="117E96B7" w:rsidR="0098648E" w:rsidRPr="0098648E" w:rsidRDefault="006734ED" w:rsidP="0098648E">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 xml:space="preserve">The relevant portion of the </w:t>
      </w:r>
      <w:r w:rsidR="005B0F5F">
        <w:rPr>
          <w:rFonts w:ascii="Arial" w:hAnsi="Arial" w:cs="Arial"/>
          <w:sz w:val="24"/>
          <w:szCs w:val="24"/>
        </w:rPr>
        <w:t>Traditional</w:t>
      </w:r>
      <w:r>
        <w:rPr>
          <w:rFonts w:ascii="Arial" w:hAnsi="Arial" w:cs="Arial"/>
          <w:sz w:val="24"/>
          <w:szCs w:val="24"/>
        </w:rPr>
        <w:t xml:space="preserve"> Authorities Act for purposes of this judgment is s 5 of the Act, </w:t>
      </w:r>
      <w:r w:rsidR="0098648E" w:rsidRPr="0098648E">
        <w:rPr>
          <w:rFonts w:ascii="Arial" w:hAnsi="Arial" w:cs="Arial"/>
          <w:sz w:val="24"/>
          <w:szCs w:val="24"/>
        </w:rPr>
        <w:t xml:space="preserve"> which reads as follows:</w:t>
      </w:r>
    </w:p>
    <w:p w14:paraId="2E439BD7" w14:textId="77777777" w:rsidR="0098648E" w:rsidRPr="00586558" w:rsidRDefault="0098648E" w:rsidP="0098648E">
      <w:pPr>
        <w:spacing w:after="0" w:line="360" w:lineRule="auto"/>
        <w:jc w:val="both"/>
        <w:rPr>
          <w:rFonts w:ascii="Arial" w:hAnsi="Arial" w:cs="Arial"/>
          <w:sz w:val="24"/>
          <w:szCs w:val="24"/>
        </w:rPr>
      </w:pPr>
    </w:p>
    <w:p w14:paraId="4188215A" w14:textId="287B433B" w:rsidR="003A71FE" w:rsidRPr="00012C4D" w:rsidRDefault="003A71FE" w:rsidP="003A71FE">
      <w:pPr>
        <w:pStyle w:val="Heading6"/>
        <w:rPr>
          <w:b w:val="0"/>
        </w:rPr>
      </w:pPr>
      <w:r>
        <w:t>‘</w:t>
      </w:r>
      <w:r w:rsidRPr="00012C4D">
        <w:rPr>
          <w:b w:val="0"/>
        </w:rPr>
        <w:t>Prior notification of designation of chief or head of traditional community</w:t>
      </w:r>
    </w:p>
    <w:p w14:paraId="1E74435A" w14:textId="77777777" w:rsidR="003A71FE" w:rsidRPr="003A71FE" w:rsidRDefault="003A71FE" w:rsidP="003A71FE">
      <w:pPr>
        <w:spacing w:after="0" w:line="360" w:lineRule="auto"/>
        <w:jc w:val="both"/>
        <w:rPr>
          <w:rFonts w:ascii="Arial" w:hAnsi="Arial" w:cs="Arial"/>
        </w:rPr>
      </w:pPr>
      <w:r w:rsidRPr="003A71FE">
        <w:rPr>
          <w:rFonts w:ascii="Arial" w:hAnsi="Arial" w:cs="Arial"/>
          <w:b/>
        </w:rPr>
        <w:tab/>
      </w:r>
      <w:r w:rsidRPr="003A71FE">
        <w:rPr>
          <w:rFonts w:ascii="Arial" w:hAnsi="Arial" w:cs="Arial"/>
        </w:rPr>
        <w:t>(1) If a traditional community intends to designate a chief or head of a traditional community in terms of this Act-</w:t>
      </w:r>
    </w:p>
    <w:p w14:paraId="6D489C60" w14:textId="579ADF0D" w:rsidR="003A71FE" w:rsidRPr="003A71FE" w:rsidRDefault="003A71FE" w:rsidP="003A71FE">
      <w:pPr>
        <w:spacing w:after="0" w:line="360" w:lineRule="auto"/>
        <w:jc w:val="both"/>
        <w:rPr>
          <w:rFonts w:ascii="Arial" w:hAnsi="Arial" w:cs="Arial"/>
        </w:rPr>
      </w:pPr>
      <w:r w:rsidRPr="003A71FE">
        <w:rPr>
          <w:rFonts w:ascii="Arial" w:hAnsi="Arial" w:cs="Arial"/>
        </w:rPr>
        <w:t>(a)</w:t>
      </w:r>
      <w:r w:rsidRPr="003A71FE">
        <w:rPr>
          <w:rFonts w:ascii="Arial" w:hAnsi="Arial" w:cs="Arial"/>
        </w:rPr>
        <w:tab/>
        <w:t>the Chief's Council or the Traditional Council of that community, as the case may be; or</w:t>
      </w:r>
    </w:p>
    <w:p w14:paraId="15A3F00F" w14:textId="6B6BE9DC" w:rsidR="003A71FE" w:rsidRPr="003A71FE" w:rsidRDefault="003A71FE" w:rsidP="003A71FE">
      <w:pPr>
        <w:spacing w:after="0" w:line="360" w:lineRule="auto"/>
        <w:jc w:val="both"/>
        <w:rPr>
          <w:rFonts w:ascii="Arial" w:hAnsi="Arial" w:cs="Arial"/>
        </w:rPr>
      </w:pPr>
      <w:r w:rsidRPr="003A71FE">
        <w:rPr>
          <w:rFonts w:ascii="Arial" w:hAnsi="Arial" w:cs="Arial"/>
        </w:rPr>
        <w:t>(b)</w:t>
      </w:r>
      <w:r w:rsidRPr="003A71FE">
        <w:rPr>
          <w:rFonts w:ascii="Arial" w:hAnsi="Arial" w:cs="Arial"/>
        </w:rPr>
        <w:tab/>
        <w:t>if no Chief's Council or Traditional Council for that community exists, the members of that community who are authorised thereto by the customary law of that community,</w:t>
      </w:r>
    </w:p>
    <w:p w14:paraId="4D3D398E" w14:textId="77777777" w:rsidR="003A71FE" w:rsidRPr="003A71FE" w:rsidRDefault="003A71FE" w:rsidP="003A71FE">
      <w:pPr>
        <w:spacing w:after="0" w:line="360" w:lineRule="auto"/>
        <w:jc w:val="both"/>
        <w:rPr>
          <w:rFonts w:ascii="Arial" w:hAnsi="Arial" w:cs="Arial"/>
        </w:rPr>
      </w:pPr>
      <w:r w:rsidRPr="003A71FE">
        <w:rPr>
          <w:rFonts w:ascii="Arial" w:hAnsi="Arial" w:cs="Arial"/>
        </w:rPr>
        <w:t>shall apply on the prescribed form to the Minister for approval to make such designation, and the application shall state the following particulars:</w:t>
      </w:r>
    </w:p>
    <w:p w14:paraId="40D5C8B7" w14:textId="77777777" w:rsidR="003A71FE" w:rsidRPr="003A71FE" w:rsidRDefault="003A71FE" w:rsidP="003A71FE">
      <w:pPr>
        <w:spacing w:after="0" w:line="360" w:lineRule="auto"/>
        <w:jc w:val="both"/>
        <w:rPr>
          <w:rFonts w:ascii="Arial" w:hAnsi="Arial" w:cs="Arial"/>
        </w:rPr>
      </w:pPr>
      <w:r w:rsidRPr="003A71FE">
        <w:rPr>
          <w:rFonts w:ascii="Arial" w:hAnsi="Arial" w:cs="Arial"/>
        </w:rPr>
        <w:tab/>
        <w:t>(i)</w:t>
      </w:r>
      <w:r w:rsidRPr="003A71FE">
        <w:rPr>
          <w:rFonts w:ascii="Arial" w:hAnsi="Arial" w:cs="Arial"/>
        </w:rPr>
        <w:tab/>
        <w:t>The name of the traditional community in question;</w:t>
      </w:r>
    </w:p>
    <w:p w14:paraId="6481DCEF" w14:textId="77777777" w:rsidR="003A71FE" w:rsidRPr="003A71FE" w:rsidRDefault="003A71FE" w:rsidP="003A71FE">
      <w:pPr>
        <w:spacing w:after="0" w:line="360" w:lineRule="auto"/>
        <w:jc w:val="both"/>
        <w:rPr>
          <w:rFonts w:ascii="Arial" w:hAnsi="Arial" w:cs="Arial"/>
        </w:rPr>
      </w:pPr>
      <w:r w:rsidRPr="003A71FE">
        <w:rPr>
          <w:rFonts w:ascii="Arial" w:hAnsi="Arial" w:cs="Arial"/>
        </w:rPr>
        <w:tab/>
        <w:t>(ii)</w:t>
      </w:r>
      <w:r w:rsidRPr="003A71FE">
        <w:rPr>
          <w:rFonts w:ascii="Arial" w:hAnsi="Arial" w:cs="Arial"/>
        </w:rPr>
        <w:tab/>
        <w:t>the communal area inhabited by that community;</w:t>
      </w:r>
    </w:p>
    <w:p w14:paraId="6505AF76" w14:textId="77777777" w:rsidR="003A71FE" w:rsidRPr="003A71FE" w:rsidRDefault="003A71FE" w:rsidP="003A71FE">
      <w:pPr>
        <w:spacing w:after="0" w:line="360" w:lineRule="auto"/>
        <w:jc w:val="both"/>
        <w:rPr>
          <w:rFonts w:ascii="Arial" w:hAnsi="Arial" w:cs="Arial"/>
        </w:rPr>
      </w:pPr>
      <w:r w:rsidRPr="003A71FE">
        <w:rPr>
          <w:rFonts w:ascii="Arial" w:hAnsi="Arial" w:cs="Arial"/>
        </w:rPr>
        <w:lastRenderedPageBreak/>
        <w:tab/>
        <w:t>(iii)</w:t>
      </w:r>
      <w:r w:rsidRPr="003A71FE">
        <w:rPr>
          <w:rFonts w:ascii="Arial" w:hAnsi="Arial" w:cs="Arial"/>
        </w:rPr>
        <w:tab/>
        <w:t>the estimated number of members comprising such community;</w:t>
      </w:r>
    </w:p>
    <w:p w14:paraId="26293EA0" w14:textId="77777777" w:rsidR="003A71FE" w:rsidRPr="003A71FE" w:rsidRDefault="003A71FE" w:rsidP="003A71FE">
      <w:pPr>
        <w:spacing w:after="0" w:line="360" w:lineRule="auto"/>
        <w:jc w:val="both"/>
        <w:rPr>
          <w:rFonts w:ascii="Arial" w:hAnsi="Arial" w:cs="Arial"/>
        </w:rPr>
      </w:pPr>
      <w:r w:rsidRPr="003A71FE">
        <w:rPr>
          <w:rFonts w:ascii="Arial" w:hAnsi="Arial" w:cs="Arial"/>
        </w:rPr>
        <w:tab/>
        <w:t>(iv)</w:t>
      </w:r>
      <w:r w:rsidRPr="003A71FE">
        <w:rPr>
          <w:rFonts w:ascii="Arial" w:hAnsi="Arial" w:cs="Arial"/>
        </w:rPr>
        <w:tab/>
        <w:t>the reasons for the proposed designation;</w:t>
      </w:r>
    </w:p>
    <w:p w14:paraId="1754442A" w14:textId="77777777" w:rsidR="003A71FE" w:rsidRPr="003A71FE" w:rsidRDefault="003A71FE" w:rsidP="003A71FE">
      <w:pPr>
        <w:spacing w:after="0" w:line="360" w:lineRule="auto"/>
        <w:jc w:val="both"/>
        <w:rPr>
          <w:rFonts w:ascii="Arial" w:hAnsi="Arial" w:cs="Arial"/>
        </w:rPr>
      </w:pPr>
      <w:r w:rsidRPr="003A71FE">
        <w:rPr>
          <w:rFonts w:ascii="Arial" w:hAnsi="Arial" w:cs="Arial"/>
        </w:rPr>
        <w:tab/>
        <w:t>(v)</w:t>
      </w:r>
      <w:r w:rsidRPr="003A71FE">
        <w:rPr>
          <w:rFonts w:ascii="Arial" w:hAnsi="Arial" w:cs="Arial"/>
        </w:rPr>
        <w:tab/>
        <w:t>the name, office and traditional title, if any, of the candidate to be designated as chief or head of the traditional community;</w:t>
      </w:r>
    </w:p>
    <w:p w14:paraId="16C7B00A" w14:textId="77777777" w:rsidR="003A71FE" w:rsidRPr="003A71FE" w:rsidRDefault="003A71FE" w:rsidP="003A71FE">
      <w:pPr>
        <w:spacing w:after="0" w:line="360" w:lineRule="auto"/>
        <w:jc w:val="both"/>
        <w:rPr>
          <w:rFonts w:ascii="Arial" w:hAnsi="Arial" w:cs="Arial"/>
        </w:rPr>
      </w:pPr>
      <w:r w:rsidRPr="003A71FE">
        <w:rPr>
          <w:rFonts w:ascii="Arial" w:hAnsi="Arial" w:cs="Arial"/>
        </w:rPr>
        <w:tab/>
        <w:t>(vi)</w:t>
      </w:r>
      <w:r w:rsidRPr="003A71FE">
        <w:rPr>
          <w:rFonts w:ascii="Arial" w:hAnsi="Arial" w:cs="Arial"/>
        </w:rPr>
        <w:tab/>
        <w:t>the customary law applicable in that community in respect of such designation; and</w:t>
      </w:r>
    </w:p>
    <w:p w14:paraId="05B92CA1" w14:textId="77777777" w:rsidR="003A71FE" w:rsidRPr="003A71FE" w:rsidRDefault="003A71FE" w:rsidP="003A71FE">
      <w:pPr>
        <w:spacing w:after="0" w:line="360" w:lineRule="auto"/>
        <w:jc w:val="both"/>
        <w:rPr>
          <w:rFonts w:ascii="Arial" w:hAnsi="Arial" w:cs="Arial"/>
        </w:rPr>
      </w:pPr>
      <w:r w:rsidRPr="003A71FE">
        <w:rPr>
          <w:rFonts w:ascii="Arial" w:hAnsi="Arial" w:cs="Arial"/>
        </w:rPr>
        <w:tab/>
        <w:t>(vii)</w:t>
      </w:r>
      <w:r w:rsidRPr="003A71FE">
        <w:rPr>
          <w:rFonts w:ascii="Arial" w:hAnsi="Arial" w:cs="Arial"/>
        </w:rPr>
        <w:tab/>
        <w:t>such other information as may be prescribed or the Minister may require.</w:t>
      </w:r>
    </w:p>
    <w:p w14:paraId="0B741447" w14:textId="77777777" w:rsidR="003A71FE" w:rsidRDefault="003A71FE" w:rsidP="003A71FE">
      <w:pPr>
        <w:spacing w:after="0" w:line="360" w:lineRule="auto"/>
        <w:jc w:val="both"/>
        <w:rPr>
          <w:rFonts w:ascii="Arial" w:hAnsi="Arial" w:cs="Arial"/>
        </w:rPr>
      </w:pPr>
    </w:p>
    <w:p w14:paraId="2BF1CA6C" w14:textId="25F78B98" w:rsidR="003A71FE" w:rsidRPr="003A71FE" w:rsidRDefault="003A71FE" w:rsidP="003A71FE">
      <w:pPr>
        <w:spacing w:after="0" w:line="360" w:lineRule="auto"/>
        <w:jc w:val="both"/>
        <w:rPr>
          <w:rFonts w:ascii="Arial" w:hAnsi="Arial" w:cs="Arial"/>
        </w:rPr>
      </w:pPr>
      <w:r w:rsidRPr="003A71FE">
        <w:rPr>
          <w:rFonts w:ascii="Arial" w:hAnsi="Arial" w:cs="Arial"/>
        </w:rPr>
        <w:t>(2) On receipt of an application complying with subsection (1), the Minister shall, subject to subsection (3), in writing approve the proposed designation set out in such application.</w:t>
      </w:r>
    </w:p>
    <w:p w14:paraId="13A3BC1B" w14:textId="77777777" w:rsidR="003A71FE" w:rsidRDefault="003A71FE" w:rsidP="003A71FE">
      <w:pPr>
        <w:spacing w:after="0" w:line="360" w:lineRule="auto"/>
        <w:jc w:val="both"/>
        <w:rPr>
          <w:rFonts w:ascii="Arial" w:hAnsi="Arial" w:cs="Arial"/>
        </w:rPr>
      </w:pPr>
    </w:p>
    <w:p w14:paraId="75EF51F8" w14:textId="24B304A3" w:rsidR="003A71FE" w:rsidRPr="003A71FE" w:rsidRDefault="003A71FE" w:rsidP="003A71FE">
      <w:pPr>
        <w:spacing w:after="0" w:line="360" w:lineRule="auto"/>
        <w:jc w:val="both"/>
        <w:rPr>
          <w:rFonts w:ascii="Arial" w:hAnsi="Arial" w:cs="Arial"/>
        </w:rPr>
      </w:pPr>
      <w:r w:rsidRPr="003A71FE">
        <w:rPr>
          <w:rFonts w:ascii="Arial" w:hAnsi="Arial" w:cs="Arial"/>
        </w:rPr>
        <w:t>(3) Notwithstanding subsection (2), if in respect of an application referred to in subsection (1) the Minister is of the opinion that-</w:t>
      </w:r>
    </w:p>
    <w:p w14:paraId="792894E5" w14:textId="77777777" w:rsidR="003A71FE" w:rsidRPr="003A71FE" w:rsidRDefault="003A71FE" w:rsidP="003A71FE">
      <w:pPr>
        <w:spacing w:after="0" w:line="360" w:lineRule="auto"/>
        <w:jc w:val="both"/>
        <w:rPr>
          <w:rFonts w:ascii="Arial" w:hAnsi="Arial" w:cs="Arial"/>
        </w:rPr>
      </w:pPr>
      <w:r w:rsidRPr="003A71FE">
        <w:rPr>
          <w:rFonts w:ascii="Arial" w:hAnsi="Arial" w:cs="Arial"/>
        </w:rPr>
        <w:tab/>
        <w:t>(a)</w:t>
      </w:r>
      <w:r w:rsidRPr="003A71FE">
        <w:rPr>
          <w:rFonts w:ascii="Arial" w:hAnsi="Arial" w:cs="Arial"/>
        </w:rPr>
        <w:tab/>
        <w:t>(i)</w:t>
      </w:r>
      <w:r w:rsidRPr="003A71FE">
        <w:rPr>
          <w:rFonts w:ascii="Arial" w:hAnsi="Arial" w:cs="Arial"/>
        </w:rPr>
        <w:tab/>
        <w:t>the person sought to be designated as a chief or head of a traditional community represents a group of persons who are members of a traditional community in respect of which a chief or head of a traditional community has been designated and recognised under this Act; or</w:t>
      </w:r>
    </w:p>
    <w:p w14:paraId="24E5147F" w14:textId="77777777" w:rsidR="003A71FE" w:rsidRPr="003A71FE" w:rsidRDefault="003A71FE" w:rsidP="003A71FE">
      <w:pPr>
        <w:spacing w:after="0" w:line="360" w:lineRule="auto"/>
        <w:jc w:val="both"/>
        <w:rPr>
          <w:rFonts w:ascii="Arial" w:hAnsi="Arial" w:cs="Arial"/>
        </w:rPr>
      </w:pPr>
      <w:r w:rsidRPr="003A71FE">
        <w:rPr>
          <w:rFonts w:ascii="Arial" w:hAnsi="Arial" w:cs="Arial"/>
        </w:rPr>
        <w:tab/>
      </w:r>
      <w:r w:rsidRPr="003A71FE">
        <w:rPr>
          <w:rFonts w:ascii="Arial" w:hAnsi="Arial" w:cs="Arial"/>
        </w:rPr>
        <w:tab/>
        <w:t>(ii)</w:t>
      </w:r>
      <w:r w:rsidRPr="003A71FE">
        <w:rPr>
          <w:rFonts w:ascii="Arial" w:hAnsi="Arial" w:cs="Arial"/>
        </w:rPr>
        <w:tab/>
        <w:t>such group of persons do not constitute an independent traditional community inhabiting a common communal area detached from another traditional community; or</w:t>
      </w:r>
    </w:p>
    <w:p w14:paraId="035016FE" w14:textId="77777777" w:rsidR="003A71FE" w:rsidRPr="003A71FE" w:rsidRDefault="003A71FE" w:rsidP="003A71FE">
      <w:pPr>
        <w:spacing w:after="0" w:line="360" w:lineRule="auto"/>
        <w:jc w:val="both"/>
        <w:rPr>
          <w:rFonts w:ascii="Arial" w:hAnsi="Arial" w:cs="Arial"/>
        </w:rPr>
      </w:pPr>
      <w:r w:rsidRPr="003A71FE">
        <w:rPr>
          <w:rFonts w:ascii="Arial" w:hAnsi="Arial" w:cs="Arial"/>
        </w:rPr>
        <w:tab/>
      </w:r>
      <w:r w:rsidRPr="003A71FE">
        <w:rPr>
          <w:rFonts w:ascii="Arial" w:hAnsi="Arial" w:cs="Arial"/>
        </w:rPr>
        <w:tab/>
        <w:t>(iii)</w:t>
      </w:r>
      <w:r w:rsidRPr="003A71FE">
        <w:rPr>
          <w:rFonts w:ascii="Arial" w:hAnsi="Arial" w:cs="Arial"/>
        </w:rPr>
        <w:tab/>
        <w:t>such group of persons do not comprise a sufficient number of members to warrant a traditional authority to be established in respect thereof; and</w:t>
      </w:r>
    </w:p>
    <w:p w14:paraId="328ED35C" w14:textId="77777777" w:rsidR="003A71FE" w:rsidRPr="003A71FE" w:rsidRDefault="003A71FE" w:rsidP="003A71FE">
      <w:pPr>
        <w:spacing w:after="0" w:line="360" w:lineRule="auto"/>
        <w:jc w:val="both"/>
        <w:rPr>
          <w:rFonts w:ascii="Arial" w:hAnsi="Arial" w:cs="Arial"/>
        </w:rPr>
      </w:pPr>
      <w:r w:rsidRPr="003A71FE">
        <w:rPr>
          <w:rFonts w:ascii="Arial" w:hAnsi="Arial" w:cs="Arial"/>
        </w:rPr>
        <w:tab/>
        <w:t>(b)</w:t>
      </w:r>
      <w:r w:rsidRPr="003A71FE">
        <w:rPr>
          <w:rFonts w:ascii="Arial" w:hAnsi="Arial" w:cs="Arial"/>
        </w:rPr>
        <w:tab/>
        <w:t>that there are no reasonable grounds for recognizing such group of persons as a separate traditional community, the Minister shall advise the President accordingly.</w:t>
      </w:r>
    </w:p>
    <w:p w14:paraId="6DCE0506" w14:textId="77777777" w:rsidR="003A71FE" w:rsidRDefault="003A71FE" w:rsidP="003A71FE">
      <w:pPr>
        <w:spacing w:after="0" w:line="360" w:lineRule="auto"/>
        <w:jc w:val="both"/>
        <w:rPr>
          <w:rFonts w:ascii="Arial" w:hAnsi="Arial" w:cs="Arial"/>
        </w:rPr>
      </w:pPr>
    </w:p>
    <w:p w14:paraId="2C4F3609" w14:textId="02C5A075" w:rsidR="003A71FE" w:rsidRDefault="003A71FE" w:rsidP="003A71FE">
      <w:pPr>
        <w:spacing w:after="0" w:line="360" w:lineRule="auto"/>
        <w:jc w:val="both"/>
        <w:rPr>
          <w:rFonts w:ascii="Arial" w:hAnsi="Arial" w:cs="Arial"/>
        </w:rPr>
      </w:pPr>
      <w:r w:rsidRPr="003A71FE">
        <w:rPr>
          <w:rFonts w:ascii="Arial" w:hAnsi="Arial" w:cs="Arial"/>
        </w:rPr>
        <w:t>(4) The President shall on receipt of the Minister's advice under subsection (3) refer the matter to the Council of Traditional Leaders for its consideration and recommendation.</w:t>
      </w:r>
    </w:p>
    <w:p w14:paraId="1A84A581" w14:textId="77777777" w:rsidR="003A71FE" w:rsidRPr="003A71FE" w:rsidRDefault="003A71FE" w:rsidP="003A71FE">
      <w:pPr>
        <w:spacing w:after="0" w:line="360" w:lineRule="auto"/>
        <w:jc w:val="both"/>
        <w:rPr>
          <w:rFonts w:ascii="Arial" w:hAnsi="Arial" w:cs="Arial"/>
        </w:rPr>
      </w:pPr>
    </w:p>
    <w:p w14:paraId="75D8B7EE" w14:textId="72A967AA" w:rsidR="003A71FE" w:rsidRDefault="003A71FE" w:rsidP="003A71FE">
      <w:pPr>
        <w:spacing w:after="0" w:line="360" w:lineRule="auto"/>
        <w:jc w:val="both"/>
        <w:rPr>
          <w:rFonts w:ascii="Arial" w:hAnsi="Arial" w:cs="Arial"/>
        </w:rPr>
      </w:pPr>
      <w:r w:rsidRPr="003A71FE">
        <w:rPr>
          <w:rFonts w:ascii="Arial" w:hAnsi="Arial" w:cs="Arial"/>
        </w:rPr>
        <w:t>(5) The Council of Traditional Leaders shall submit to the President any recommendation it may wish to make in respect of any matter referred to it in terms of subsection (4) not later than 12 months after the date of referral of that matter to it.</w:t>
      </w:r>
    </w:p>
    <w:p w14:paraId="7F3AB1AB" w14:textId="77777777" w:rsidR="003A71FE" w:rsidRDefault="003A71FE" w:rsidP="003A71FE">
      <w:pPr>
        <w:spacing w:after="0" w:line="360" w:lineRule="auto"/>
        <w:jc w:val="both"/>
        <w:rPr>
          <w:rFonts w:ascii="Arial" w:hAnsi="Arial" w:cs="Arial"/>
        </w:rPr>
      </w:pPr>
    </w:p>
    <w:p w14:paraId="67FAE9AE" w14:textId="7640442F" w:rsidR="003A71FE" w:rsidRPr="003A71FE" w:rsidRDefault="003A71FE" w:rsidP="003A71FE">
      <w:pPr>
        <w:spacing w:after="0" w:line="360" w:lineRule="auto"/>
        <w:jc w:val="both"/>
        <w:rPr>
          <w:rFonts w:ascii="Arial" w:hAnsi="Arial" w:cs="Arial"/>
        </w:rPr>
      </w:pPr>
      <w:r>
        <w:rPr>
          <w:rFonts w:ascii="Arial" w:hAnsi="Arial" w:cs="Arial"/>
        </w:rPr>
        <w:t>(6) to (9)…’</w:t>
      </w:r>
    </w:p>
    <w:p w14:paraId="0D6B725C" w14:textId="0A947A39" w:rsidR="003A71FE" w:rsidRPr="003A71FE" w:rsidRDefault="003A71FE" w:rsidP="003A71FE">
      <w:pPr>
        <w:spacing w:after="0" w:line="360" w:lineRule="auto"/>
        <w:jc w:val="both"/>
        <w:rPr>
          <w:rFonts w:ascii="Arial" w:hAnsi="Arial" w:cs="Arial"/>
        </w:rPr>
      </w:pPr>
      <w:r w:rsidRPr="003A71FE">
        <w:rPr>
          <w:rFonts w:ascii="Arial" w:hAnsi="Arial" w:cs="Arial"/>
        </w:rPr>
        <w:tab/>
      </w:r>
    </w:p>
    <w:p w14:paraId="1970C110" w14:textId="06C5E599" w:rsidR="0041618C" w:rsidRDefault="006734ED" w:rsidP="0015465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first applicant applied repeatedly for the approval of the designation of the second applicant, which has continuously been met with opposition, resulting in drawn-out litigation. There is a long history involving the second applicant, dating back to the death of her son, the late </w:t>
      </w:r>
      <w:r w:rsidR="005B0F5F">
        <w:rPr>
          <w:rFonts w:ascii="Arial" w:hAnsi="Arial" w:cs="Arial"/>
          <w:sz w:val="24"/>
          <w:szCs w:val="24"/>
        </w:rPr>
        <w:t>Keharanjo</w:t>
      </w:r>
      <w:r>
        <w:rPr>
          <w:rFonts w:ascii="Arial" w:hAnsi="Arial" w:cs="Arial"/>
          <w:sz w:val="24"/>
          <w:szCs w:val="24"/>
        </w:rPr>
        <w:t xml:space="preserve"> II Nguvauva, in 2011 and the matter remains unresolved to date.</w:t>
      </w:r>
    </w:p>
    <w:p w14:paraId="0218F4D3" w14:textId="77777777" w:rsidR="006734ED" w:rsidRDefault="006734ED" w:rsidP="006734ED">
      <w:pPr>
        <w:pStyle w:val="ListParagraph"/>
        <w:spacing w:after="0" w:line="360" w:lineRule="auto"/>
        <w:ind w:left="0"/>
        <w:jc w:val="both"/>
        <w:rPr>
          <w:rFonts w:ascii="Arial" w:hAnsi="Arial" w:cs="Arial"/>
          <w:sz w:val="24"/>
          <w:szCs w:val="24"/>
        </w:rPr>
      </w:pPr>
    </w:p>
    <w:p w14:paraId="2186EC74" w14:textId="59984C52" w:rsidR="00AB6325" w:rsidRDefault="006734ED" w:rsidP="00154652">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The latest attempt by the first applicant to gain approval for the designation of the second applicant appears to be, for now, the latest chapter in this saga. I emphasise ‘the latest’ because</w:t>
      </w:r>
      <w:r w:rsidR="008D1DA3">
        <w:rPr>
          <w:rFonts w:ascii="Arial" w:hAnsi="Arial" w:cs="Arial"/>
          <w:sz w:val="24"/>
          <w:szCs w:val="24"/>
        </w:rPr>
        <w:t>, in</w:t>
      </w:r>
      <w:r w:rsidR="00AB6325">
        <w:rPr>
          <w:rFonts w:ascii="Arial" w:hAnsi="Arial" w:cs="Arial"/>
          <w:sz w:val="24"/>
          <w:szCs w:val="24"/>
        </w:rPr>
        <w:t xml:space="preserve"> my view</w:t>
      </w:r>
      <w:r>
        <w:rPr>
          <w:rFonts w:ascii="Arial" w:hAnsi="Arial" w:cs="Arial"/>
          <w:sz w:val="24"/>
          <w:szCs w:val="24"/>
        </w:rPr>
        <w:t>, it will not be the last. It is merely a pause in the litigation.</w:t>
      </w:r>
    </w:p>
    <w:p w14:paraId="723B4AF6" w14:textId="77777777" w:rsidR="00AB6325" w:rsidRPr="00AB6325" w:rsidRDefault="00AB6325" w:rsidP="00AB6325">
      <w:pPr>
        <w:pStyle w:val="ListParagraph"/>
        <w:rPr>
          <w:rFonts w:ascii="Arial" w:hAnsi="Arial" w:cs="Arial"/>
          <w:sz w:val="24"/>
          <w:szCs w:val="24"/>
        </w:rPr>
      </w:pPr>
    </w:p>
    <w:p w14:paraId="7105C013" w14:textId="496D147A" w:rsidR="005B0F5F" w:rsidRPr="00FD2040" w:rsidRDefault="00AB6325" w:rsidP="00886C2B">
      <w:pPr>
        <w:pStyle w:val="ListParagraph"/>
        <w:numPr>
          <w:ilvl w:val="0"/>
          <w:numId w:val="26"/>
        </w:numPr>
        <w:spacing w:after="0" w:line="360" w:lineRule="auto"/>
        <w:ind w:left="0" w:firstLine="0"/>
        <w:jc w:val="both"/>
        <w:rPr>
          <w:rFonts w:ascii="Arial" w:hAnsi="Arial" w:cs="Arial"/>
          <w:sz w:val="24"/>
          <w:szCs w:val="24"/>
        </w:rPr>
      </w:pPr>
      <w:r w:rsidRPr="00FD2040">
        <w:rPr>
          <w:rFonts w:ascii="Arial" w:hAnsi="Arial" w:cs="Arial"/>
          <w:sz w:val="24"/>
          <w:szCs w:val="24"/>
        </w:rPr>
        <w:t>The central theme of the current review application</w:t>
      </w:r>
      <w:r w:rsidR="005B0F5F" w:rsidRPr="00FD2040">
        <w:rPr>
          <w:rFonts w:ascii="Arial" w:hAnsi="Arial" w:cs="Arial"/>
          <w:sz w:val="24"/>
          <w:szCs w:val="24"/>
        </w:rPr>
        <w:t xml:space="preserve"> is a narrow one, namely </w:t>
      </w:r>
      <w:r w:rsidRPr="00FD2040">
        <w:rPr>
          <w:rFonts w:ascii="Arial" w:hAnsi="Arial" w:cs="Arial"/>
          <w:sz w:val="24"/>
          <w:szCs w:val="24"/>
        </w:rPr>
        <w:t xml:space="preserve">that </w:t>
      </w:r>
      <w:r w:rsidR="008D1DA3" w:rsidRPr="00FD2040">
        <w:rPr>
          <w:rFonts w:ascii="Arial" w:hAnsi="Arial" w:cs="Arial"/>
          <w:sz w:val="24"/>
          <w:szCs w:val="24"/>
        </w:rPr>
        <w:t xml:space="preserve">the Minister, as an administrative official, made a decision without complying with a cardinal requirement of the common law and natural justice, i.e. the </w:t>
      </w:r>
      <w:r w:rsidR="008D1DA3" w:rsidRPr="00FD2040">
        <w:rPr>
          <w:rFonts w:ascii="Arial" w:hAnsi="Arial" w:cs="Arial"/>
          <w:i/>
          <w:sz w:val="24"/>
          <w:szCs w:val="24"/>
        </w:rPr>
        <w:t>audi alteram partem</w:t>
      </w:r>
      <w:r w:rsidR="008D1DA3" w:rsidRPr="00FD2040">
        <w:rPr>
          <w:rFonts w:ascii="Arial" w:hAnsi="Arial" w:cs="Arial"/>
          <w:sz w:val="24"/>
          <w:szCs w:val="24"/>
        </w:rPr>
        <w:t xml:space="preserve"> rule. </w:t>
      </w:r>
      <w:r w:rsidR="005B0F5F" w:rsidRPr="00FD2040">
        <w:rPr>
          <w:rFonts w:ascii="Arial" w:hAnsi="Arial" w:cs="Arial"/>
          <w:sz w:val="24"/>
          <w:szCs w:val="24"/>
        </w:rPr>
        <w:t>As a result</w:t>
      </w:r>
      <w:r w:rsidR="00FD2040">
        <w:rPr>
          <w:rFonts w:ascii="Arial" w:hAnsi="Arial" w:cs="Arial"/>
          <w:sz w:val="24"/>
          <w:szCs w:val="24"/>
        </w:rPr>
        <w:t>,</w:t>
      </w:r>
      <w:r w:rsidR="005B0F5F" w:rsidRPr="00FD2040">
        <w:rPr>
          <w:rFonts w:ascii="Arial" w:hAnsi="Arial" w:cs="Arial"/>
          <w:sz w:val="24"/>
          <w:szCs w:val="24"/>
        </w:rPr>
        <w:t xml:space="preserve"> I do not intend </w:t>
      </w:r>
      <w:r w:rsidR="00FD2040" w:rsidRPr="00FD2040">
        <w:rPr>
          <w:rFonts w:ascii="Arial" w:hAnsi="Arial" w:cs="Arial"/>
          <w:sz w:val="24"/>
          <w:szCs w:val="24"/>
        </w:rPr>
        <w:t>to concern myself with the interpretation of the Act</w:t>
      </w:r>
      <w:r w:rsidR="00FD2040">
        <w:rPr>
          <w:rFonts w:ascii="Arial" w:hAnsi="Arial" w:cs="Arial"/>
          <w:sz w:val="24"/>
          <w:szCs w:val="24"/>
        </w:rPr>
        <w:t xml:space="preserve"> as I do not deem it necessary for purposes of the current proceedings.</w:t>
      </w:r>
    </w:p>
    <w:p w14:paraId="04A67A2A" w14:textId="77777777" w:rsidR="005B0F5F" w:rsidRPr="005B0F5F" w:rsidRDefault="005B0F5F" w:rsidP="005B0F5F">
      <w:pPr>
        <w:pStyle w:val="ListParagraph"/>
        <w:rPr>
          <w:rFonts w:ascii="Arial" w:hAnsi="Arial" w:cs="Arial"/>
          <w:sz w:val="24"/>
          <w:szCs w:val="24"/>
        </w:rPr>
      </w:pPr>
    </w:p>
    <w:p w14:paraId="7BA67FEB" w14:textId="575E082B" w:rsidR="008D1DA3" w:rsidRPr="00B67A30" w:rsidRDefault="008D1DA3" w:rsidP="008D1DA3">
      <w:pPr>
        <w:pStyle w:val="ListParagraph"/>
        <w:numPr>
          <w:ilvl w:val="0"/>
          <w:numId w:val="26"/>
        </w:numPr>
        <w:spacing w:after="0" w:line="360" w:lineRule="auto"/>
        <w:ind w:left="0" w:firstLine="0"/>
        <w:jc w:val="both"/>
        <w:rPr>
          <w:rFonts w:ascii="Arial" w:hAnsi="Arial" w:cs="Arial"/>
          <w:sz w:val="24"/>
          <w:szCs w:val="24"/>
        </w:rPr>
      </w:pPr>
      <w:r w:rsidRPr="00B67A30">
        <w:rPr>
          <w:rFonts w:ascii="Arial" w:hAnsi="Arial" w:cs="Arial"/>
          <w:sz w:val="24"/>
          <w:szCs w:val="24"/>
        </w:rPr>
        <w:t xml:space="preserve">The applicants made strong </w:t>
      </w:r>
      <w:r w:rsidR="007474D9" w:rsidRPr="00B67A30">
        <w:rPr>
          <w:rFonts w:ascii="Arial" w:hAnsi="Arial" w:cs="Arial"/>
          <w:sz w:val="24"/>
          <w:szCs w:val="24"/>
        </w:rPr>
        <w:t>allegations</w:t>
      </w:r>
      <w:r w:rsidRPr="00B67A30">
        <w:rPr>
          <w:rFonts w:ascii="Arial" w:hAnsi="Arial" w:cs="Arial"/>
          <w:sz w:val="24"/>
          <w:szCs w:val="24"/>
        </w:rPr>
        <w:t xml:space="preserve"> </w:t>
      </w:r>
      <w:r w:rsidR="007474D9" w:rsidRPr="00B67A30">
        <w:rPr>
          <w:rFonts w:ascii="Arial" w:hAnsi="Arial" w:cs="Arial"/>
          <w:sz w:val="24"/>
          <w:szCs w:val="24"/>
        </w:rPr>
        <w:t>in their paper</w:t>
      </w:r>
      <w:r w:rsidR="003D074F" w:rsidRPr="00B67A30">
        <w:rPr>
          <w:rFonts w:ascii="Arial" w:hAnsi="Arial" w:cs="Arial"/>
          <w:sz w:val="24"/>
          <w:szCs w:val="24"/>
        </w:rPr>
        <w:t>s</w:t>
      </w:r>
      <w:r w:rsidRPr="00B67A30">
        <w:rPr>
          <w:rFonts w:ascii="Arial" w:hAnsi="Arial" w:cs="Arial"/>
          <w:sz w:val="24"/>
          <w:szCs w:val="24"/>
        </w:rPr>
        <w:t xml:space="preserve"> that the Minister did not consider their application but</w:t>
      </w:r>
      <w:r w:rsidR="005008E5" w:rsidRPr="00B67A30">
        <w:rPr>
          <w:rFonts w:ascii="Arial" w:hAnsi="Arial" w:cs="Arial"/>
          <w:sz w:val="24"/>
          <w:szCs w:val="24"/>
        </w:rPr>
        <w:t>, in fact,</w:t>
      </w:r>
      <w:r w:rsidRPr="00B67A30">
        <w:rPr>
          <w:rFonts w:ascii="Arial" w:hAnsi="Arial" w:cs="Arial"/>
          <w:sz w:val="24"/>
          <w:szCs w:val="24"/>
        </w:rPr>
        <w:t xml:space="preserve"> made a decision </w:t>
      </w:r>
      <w:r w:rsidR="003A71FE" w:rsidRPr="00B67A30">
        <w:rPr>
          <w:rFonts w:ascii="Arial" w:hAnsi="Arial" w:cs="Arial"/>
          <w:sz w:val="24"/>
          <w:szCs w:val="24"/>
        </w:rPr>
        <w:t xml:space="preserve">based </w:t>
      </w:r>
      <w:r w:rsidRPr="00B67A30">
        <w:rPr>
          <w:rFonts w:ascii="Arial" w:hAnsi="Arial" w:cs="Arial"/>
          <w:sz w:val="24"/>
          <w:szCs w:val="24"/>
        </w:rPr>
        <w:t>on facts set out in an unrelated application, which did not form part of the first applicant’s application</w:t>
      </w:r>
      <w:r w:rsidR="007474D9" w:rsidRPr="00B67A30">
        <w:rPr>
          <w:rFonts w:ascii="Arial" w:hAnsi="Arial" w:cs="Arial"/>
          <w:sz w:val="24"/>
          <w:szCs w:val="24"/>
        </w:rPr>
        <w:t>.</w:t>
      </w:r>
      <w:r w:rsidRPr="00B67A30">
        <w:rPr>
          <w:rFonts w:ascii="Arial" w:hAnsi="Arial" w:cs="Arial"/>
          <w:sz w:val="24"/>
          <w:szCs w:val="24"/>
        </w:rPr>
        <w:t xml:space="preserve"> </w:t>
      </w:r>
      <w:r w:rsidR="007474D9" w:rsidRPr="00B67A30">
        <w:rPr>
          <w:rFonts w:ascii="Arial" w:hAnsi="Arial" w:cs="Arial"/>
          <w:sz w:val="24"/>
          <w:szCs w:val="24"/>
        </w:rPr>
        <w:t>T</w:t>
      </w:r>
      <w:r w:rsidRPr="00B67A30">
        <w:rPr>
          <w:rFonts w:ascii="Arial" w:hAnsi="Arial" w:cs="Arial"/>
          <w:sz w:val="24"/>
          <w:szCs w:val="24"/>
        </w:rPr>
        <w:t>he Minister chose</w:t>
      </w:r>
      <w:r w:rsidR="007474D9" w:rsidRPr="00B67A30">
        <w:rPr>
          <w:rFonts w:ascii="Arial" w:hAnsi="Arial" w:cs="Arial"/>
          <w:sz w:val="24"/>
          <w:szCs w:val="24"/>
        </w:rPr>
        <w:t xml:space="preserve"> not to </w:t>
      </w:r>
      <w:r w:rsidR="005008E5" w:rsidRPr="00B67A30">
        <w:rPr>
          <w:rFonts w:ascii="Arial" w:hAnsi="Arial" w:cs="Arial"/>
          <w:sz w:val="24"/>
          <w:szCs w:val="24"/>
        </w:rPr>
        <w:t xml:space="preserve">deal with these </w:t>
      </w:r>
      <w:r w:rsidR="007474D9" w:rsidRPr="00B67A30">
        <w:rPr>
          <w:rFonts w:ascii="Arial" w:hAnsi="Arial" w:cs="Arial"/>
          <w:sz w:val="24"/>
          <w:szCs w:val="24"/>
        </w:rPr>
        <w:t xml:space="preserve">allegations </w:t>
      </w:r>
      <w:r w:rsidR="005008E5" w:rsidRPr="00B67A30">
        <w:rPr>
          <w:rFonts w:ascii="Arial" w:hAnsi="Arial" w:cs="Arial"/>
          <w:sz w:val="24"/>
          <w:szCs w:val="24"/>
        </w:rPr>
        <w:t>in his answering affidavit. The extent of the Minister’s response  to the allegation was the following:</w:t>
      </w:r>
    </w:p>
    <w:p w14:paraId="2182FE2D" w14:textId="77777777" w:rsidR="005008E5" w:rsidRPr="00B67A30" w:rsidRDefault="005008E5" w:rsidP="005008E5">
      <w:pPr>
        <w:pStyle w:val="ListParagraph"/>
        <w:rPr>
          <w:rFonts w:ascii="Arial" w:hAnsi="Arial" w:cs="Arial"/>
          <w:sz w:val="24"/>
          <w:szCs w:val="24"/>
        </w:rPr>
      </w:pPr>
    </w:p>
    <w:p w14:paraId="7A22BB93" w14:textId="4D6C3389" w:rsidR="005008E5" w:rsidRDefault="005008E5" w:rsidP="005008E5">
      <w:pPr>
        <w:pStyle w:val="ListParagraph"/>
        <w:spacing w:after="0" w:line="360" w:lineRule="auto"/>
        <w:ind w:left="0" w:firstLine="720"/>
        <w:jc w:val="both"/>
        <w:rPr>
          <w:rFonts w:ascii="Arial" w:hAnsi="Arial" w:cs="Arial"/>
        </w:rPr>
      </w:pPr>
      <w:r w:rsidRPr="00B67A30">
        <w:rPr>
          <w:rFonts w:ascii="Arial" w:hAnsi="Arial" w:cs="Arial"/>
        </w:rPr>
        <w:t>‘The applicant was provided with full reason</w:t>
      </w:r>
      <w:r w:rsidR="003D074F" w:rsidRPr="00B67A30">
        <w:rPr>
          <w:rFonts w:ascii="Arial" w:hAnsi="Arial" w:cs="Arial"/>
        </w:rPr>
        <w:t>s</w:t>
      </w:r>
      <w:r w:rsidRPr="00B67A30">
        <w:rPr>
          <w:rFonts w:ascii="Arial" w:hAnsi="Arial" w:cs="Arial"/>
        </w:rPr>
        <w:t xml:space="preserve"> for my</w:t>
      </w:r>
      <w:r w:rsidRPr="005008E5">
        <w:rPr>
          <w:rFonts w:ascii="Arial" w:hAnsi="Arial" w:cs="Arial"/>
        </w:rPr>
        <w:t xml:space="preserve"> decision which constitutes part of her right to be heard.</w:t>
      </w:r>
    </w:p>
    <w:p w14:paraId="409AB79F" w14:textId="77777777" w:rsidR="005008E5" w:rsidRPr="005008E5" w:rsidRDefault="005008E5" w:rsidP="005008E5">
      <w:pPr>
        <w:pStyle w:val="ListParagraph"/>
        <w:spacing w:after="0" w:line="360" w:lineRule="auto"/>
        <w:ind w:left="0" w:firstLine="720"/>
        <w:jc w:val="both"/>
        <w:rPr>
          <w:rFonts w:ascii="Arial" w:hAnsi="Arial" w:cs="Arial"/>
        </w:rPr>
      </w:pPr>
    </w:p>
    <w:p w14:paraId="50644202" w14:textId="6BD7606A" w:rsidR="005008E5" w:rsidRDefault="005008E5" w:rsidP="005008E5">
      <w:pPr>
        <w:pStyle w:val="ListParagraph"/>
        <w:spacing w:after="0" w:line="360" w:lineRule="auto"/>
        <w:ind w:left="0"/>
        <w:jc w:val="both"/>
        <w:rPr>
          <w:rFonts w:ascii="Arial" w:hAnsi="Arial" w:cs="Arial"/>
        </w:rPr>
      </w:pPr>
      <w:r w:rsidRPr="005008E5">
        <w:rPr>
          <w:rFonts w:ascii="Arial" w:hAnsi="Arial" w:cs="Arial"/>
        </w:rPr>
        <w:t>I am advised that the audi alteram parte</w:t>
      </w:r>
      <w:r>
        <w:rPr>
          <w:rFonts w:ascii="Arial" w:hAnsi="Arial" w:cs="Arial"/>
        </w:rPr>
        <w:t>m</w:t>
      </w:r>
      <w:r w:rsidRPr="005008E5">
        <w:rPr>
          <w:rFonts w:ascii="Arial" w:hAnsi="Arial" w:cs="Arial"/>
        </w:rPr>
        <w:t xml:space="preserve"> takes various forms and there was constant engagement with the legal practitioners of the applicant </w:t>
      </w:r>
      <w:r>
        <w:rPr>
          <w:rFonts w:ascii="Arial" w:hAnsi="Arial" w:cs="Arial"/>
        </w:rPr>
        <w:t xml:space="preserve">as </w:t>
      </w:r>
      <w:r w:rsidRPr="005008E5">
        <w:rPr>
          <w:rFonts w:ascii="Arial" w:hAnsi="Arial" w:cs="Arial"/>
        </w:rPr>
        <w:t xml:space="preserve">epitomized in my letter dated 29 October 2021 and the reasons of 23 March 2022. Under those circumstances referral to the </w:t>
      </w:r>
      <w:r>
        <w:rPr>
          <w:rFonts w:ascii="Arial" w:hAnsi="Arial" w:cs="Arial"/>
        </w:rPr>
        <w:t>P</w:t>
      </w:r>
      <w:r w:rsidRPr="005008E5">
        <w:rPr>
          <w:rFonts w:ascii="Arial" w:hAnsi="Arial" w:cs="Arial"/>
        </w:rPr>
        <w:t>resident is peremptory as I formed an opinion that there were no reasonable grounds for the recognition of a separate traditional authority in the same community. Further argument on this point will be made at the hearing of the application. The Presiden</w:t>
      </w:r>
      <w:r>
        <w:rPr>
          <w:rFonts w:ascii="Arial" w:hAnsi="Arial" w:cs="Arial"/>
        </w:rPr>
        <w:t>t</w:t>
      </w:r>
      <w:r w:rsidRPr="005008E5">
        <w:rPr>
          <w:rFonts w:ascii="Arial" w:hAnsi="Arial" w:cs="Arial"/>
        </w:rPr>
        <w:t xml:space="preserve"> will in return refer the dispute to the Council of Traditional Leaders to adjudicate upon the matter.’</w:t>
      </w:r>
    </w:p>
    <w:p w14:paraId="13CB000B" w14:textId="77777777" w:rsidR="00CD1151" w:rsidRDefault="00CD1151" w:rsidP="005008E5">
      <w:pPr>
        <w:pStyle w:val="ListParagraph"/>
        <w:spacing w:after="0" w:line="360" w:lineRule="auto"/>
        <w:ind w:left="0"/>
        <w:jc w:val="both"/>
        <w:rPr>
          <w:rFonts w:ascii="Arial" w:hAnsi="Arial" w:cs="Arial"/>
        </w:rPr>
      </w:pPr>
    </w:p>
    <w:p w14:paraId="1CA95F72" w14:textId="48905276" w:rsidR="002D2ACB" w:rsidRDefault="00CD1151" w:rsidP="00832DAD">
      <w:pPr>
        <w:pStyle w:val="ListParagraph"/>
        <w:numPr>
          <w:ilvl w:val="0"/>
          <w:numId w:val="26"/>
        </w:numPr>
        <w:spacing w:after="0" w:line="360" w:lineRule="auto"/>
        <w:ind w:left="0" w:firstLine="0"/>
        <w:jc w:val="both"/>
        <w:rPr>
          <w:rFonts w:ascii="Arial" w:hAnsi="Arial" w:cs="Arial"/>
          <w:sz w:val="24"/>
          <w:szCs w:val="24"/>
        </w:rPr>
      </w:pPr>
      <w:r w:rsidRPr="00B67A30">
        <w:rPr>
          <w:rFonts w:ascii="Arial" w:hAnsi="Arial" w:cs="Arial"/>
          <w:sz w:val="24"/>
          <w:szCs w:val="24"/>
        </w:rPr>
        <w:lastRenderedPageBreak/>
        <w:t>The letters ‘</w:t>
      </w:r>
      <w:r w:rsidR="003A71FE" w:rsidRPr="00B67A30">
        <w:rPr>
          <w:rFonts w:ascii="Arial" w:hAnsi="Arial" w:cs="Arial"/>
          <w:sz w:val="24"/>
          <w:szCs w:val="24"/>
        </w:rPr>
        <w:t>epitomising</w:t>
      </w:r>
      <w:r w:rsidRPr="00B67A30">
        <w:rPr>
          <w:rFonts w:ascii="Arial" w:hAnsi="Arial" w:cs="Arial"/>
          <w:sz w:val="24"/>
          <w:szCs w:val="24"/>
        </w:rPr>
        <w:t>’ the engagement is indeed</w:t>
      </w:r>
      <w:r w:rsidR="002D2ACB" w:rsidRPr="00B67A30">
        <w:rPr>
          <w:rFonts w:ascii="Arial" w:hAnsi="Arial" w:cs="Arial"/>
          <w:sz w:val="24"/>
          <w:szCs w:val="24"/>
        </w:rPr>
        <w:t>, as argued by the applicants,</w:t>
      </w:r>
      <w:r w:rsidRPr="00B67A30">
        <w:rPr>
          <w:rFonts w:ascii="Arial" w:hAnsi="Arial" w:cs="Arial"/>
          <w:sz w:val="24"/>
          <w:szCs w:val="24"/>
        </w:rPr>
        <w:t xml:space="preserve"> the request for reasons for the decision to refer the application in terms of s  5(3) of the Act to the President and the response to that letter from the Minister wherein he provided very cryptic reasons. </w:t>
      </w:r>
      <w:r w:rsidRPr="00012C4D">
        <w:rPr>
          <w:rFonts w:ascii="Arial" w:hAnsi="Arial" w:cs="Arial"/>
          <w:sz w:val="24"/>
          <w:szCs w:val="24"/>
        </w:rPr>
        <w:t>I</w:t>
      </w:r>
      <w:r w:rsidRPr="00B67A30">
        <w:rPr>
          <w:rFonts w:ascii="Arial" w:hAnsi="Arial" w:cs="Arial"/>
          <w:sz w:val="24"/>
          <w:szCs w:val="24"/>
        </w:rPr>
        <w:t>nterestingly</w:t>
      </w:r>
      <w:r w:rsidR="002D2ACB" w:rsidRPr="00B67A30">
        <w:rPr>
          <w:rFonts w:ascii="Arial" w:hAnsi="Arial" w:cs="Arial"/>
          <w:sz w:val="24"/>
          <w:szCs w:val="24"/>
        </w:rPr>
        <w:t>, the reasons</w:t>
      </w:r>
      <w:r w:rsidR="00B67A30" w:rsidRPr="00B67A30">
        <w:rPr>
          <w:rFonts w:ascii="Arial" w:hAnsi="Arial" w:cs="Arial"/>
          <w:sz w:val="24"/>
          <w:szCs w:val="24"/>
        </w:rPr>
        <w:t xml:space="preserve"> advanced by the Minister for his recommendation</w:t>
      </w:r>
      <w:r w:rsidR="002D2ACB" w:rsidRPr="00B67A30">
        <w:rPr>
          <w:rFonts w:ascii="Arial" w:hAnsi="Arial" w:cs="Arial"/>
          <w:sz w:val="24"/>
          <w:szCs w:val="24"/>
        </w:rPr>
        <w:t xml:space="preserve">, which are quoted verbatim in para 19 above, </w:t>
      </w:r>
      <w:r w:rsidR="00B67A30" w:rsidRPr="00B67A30">
        <w:rPr>
          <w:rFonts w:ascii="Arial" w:hAnsi="Arial" w:cs="Arial"/>
          <w:sz w:val="24"/>
          <w:szCs w:val="24"/>
        </w:rPr>
        <w:t xml:space="preserve">stand in direct </w:t>
      </w:r>
      <w:r w:rsidR="00012C4D" w:rsidRPr="00B67A30">
        <w:rPr>
          <w:rFonts w:ascii="Arial" w:hAnsi="Arial" w:cs="Arial"/>
          <w:sz w:val="24"/>
          <w:szCs w:val="24"/>
        </w:rPr>
        <w:t xml:space="preserve">contrast </w:t>
      </w:r>
      <w:r w:rsidR="009A3DDF">
        <w:rPr>
          <w:rFonts w:ascii="Arial" w:hAnsi="Arial" w:cs="Arial"/>
          <w:sz w:val="24"/>
          <w:szCs w:val="24"/>
        </w:rPr>
        <w:t>to</w:t>
      </w:r>
      <w:r w:rsidRPr="00B67A30">
        <w:rPr>
          <w:rFonts w:ascii="Arial" w:hAnsi="Arial" w:cs="Arial"/>
          <w:sz w:val="24"/>
          <w:szCs w:val="24"/>
        </w:rPr>
        <w:t xml:space="preserve"> </w:t>
      </w:r>
      <w:r w:rsidR="00B67A30" w:rsidRPr="00B67A30">
        <w:rPr>
          <w:rFonts w:ascii="Arial" w:hAnsi="Arial" w:cs="Arial"/>
          <w:sz w:val="24"/>
          <w:szCs w:val="24"/>
        </w:rPr>
        <w:t xml:space="preserve">facts contained in the applicant’s </w:t>
      </w:r>
      <w:r w:rsidRPr="00B67A30">
        <w:rPr>
          <w:rFonts w:ascii="Arial" w:hAnsi="Arial" w:cs="Arial"/>
          <w:sz w:val="24"/>
          <w:szCs w:val="24"/>
        </w:rPr>
        <w:t xml:space="preserve">application, both in fact and in substance. </w:t>
      </w:r>
    </w:p>
    <w:p w14:paraId="51BF8C95" w14:textId="77777777" w:rsidR="00B67A30" w:rsidRPr="00B67A30" w:rsidRDefault="00B67A30" w:rsidP="00B67A30">
      <w:pPr>
        <w:pStyle w:val="ListParagraph"/>
        <w:spacing w:after="0" w:line="360" w:lineRule="auto"/>
        <w:ind w:left="0"/>
        <w:jc w:val="both"/>
        <w:rPr>
          <w:rFonts w:ascii="Arial" w:hAnsi="Arial" w:cs="Arial"/>
          <w:sz w:val="24"/>
          <w:szCs w:val="24"/>
        </w:rPr>
      </w:pPr>
    </w:p>
    <w:p w14:paraId="358907E8" w14:textId="59E40954" w:rsidR="00CD1151" w:rsidRDefault="00CD1151" w:rsidP="00CD1151">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In the letter dated 22 March 2022</w:t>
      </w:r>
      <w:r w:rsidR="002D2ACB">
        <w:rPr>
          <w:rFonts w:ascii="Arial" w:hAnsi="Arial" w:cs="Arial"/>
          <w:sz w:val="24"/>
          <w:szCs w:val="24"/>
        </w:rPr>
        <w:t>, the Minister refers to an application dated 19 December 2016,</w:t>
      </w:r>
      <w:r>
        <w:rPr>
          <w:rFonts w:ascii="Arial" w:hAnsi="Arial" w:cs="Arial"/>
          <w:sz w:val="24"/>
          <w:szCs w:val="24"/>
        </w:rPr>
        <w:t xml:space="preserve"> whereas the applicants aver</w:t>
      </w:r>
      <w:r w:rsidR="002D2ACB">
        <w:rPr>
          <w:rFonts w:ascii="Arial" w:hAnsi="Arial" w:cs="Arial"/>
          <w:sz w:val="24"/>
          <w:szCs w:val="24"/>
        </w:rPr>
        <w:t xml:space="preserve"> that their application was dated January 2017. However, even if the application was dated </w:t>
      </w:r>
      <w:r w:rsidR="003D074F" w:rsidRPr="00B67A30">
        <w:rPr>
          <w:rFonts w:ascii="Arial" w:hAnsi="Arial" w:cs="Arial"/>
          <w:sz w:val="24"/>
          <w:szCs w:val="24"/>
        </w:rPr>
        <w:t>19</w:t>
      </w:r>
      <w:r w:rsidR="003D074F">
        <w:rPr>
          <w:rFonts w:ascii="Arial" w:hAnsi="Arial" w:cs="Arial"/>
          <w:sz w:val="24"/>
          <w:szCs w:val="24"/>
        </w:rPr>
        <w:t xml:space="preserve"> </w:t>
      </w:r>
      <w:r w:rsidR="002D2ACB">
        <w:rPr>
          <w:rFonts w:ascii="Arial" w:hAnsi="Arial" w:cs="Arial"/>
          <w:sz w:val="24"/>
          <w:szCs w:val="24"/>
        </w:rPr>
        <w:t xml:space="preserve">December 2016, it could not have been the same one the Minister purportedly considered. Nowhere in the application filed on behalf of the applicants are any of the facts set out in paras 3.1 and 3.2 of that letter. In fact, the first applicant’s application explains how its headquarters were established in Tallismanus in </w:t>
      </w:r>
      <w:r w:rsidR="002D2ACB" w:rsidRPr="00694155">
        <w:rPr>
          <w:rFonts w:ascii="Arial" w:hAnsi="Arial" w:cs="Arial"/>
          <w:sz w:val="24"/>
          <w:szCs w:val="24"/>
        </w:rPr>
        <w:t>the Otjombinde</w:t>
      </w:r>
      <w:r w:rsidR="002D2ACB">
        <w:rPr>
          <w:rFonts w:ascii="Arial" w:hAnsi="Arial" w:cs="Arial"/>
          <w:sz w:val="24"/>
          <w:szCs w:val="24"/>
        </w:rPr>
        <w:t xml:space="preserve"> Constituency, where there is no other traditional authority, Otjiherero speaking or other, and that the first applicant’s community consists of 6000 people. No mention is made of </w:t>
      </w:r>
      <w:r w:rsidR="003A71FE">
        <w:rPr>
          <w:rFonts w:ascii="Arial" w:hAnsi="Arial" w:cs="Arial"/>
          <w:sz w:val="24"/>
          <w:szCs w:val="24"/>
        </w:rPr>
        <w:t xml:space="preserve">30 000 people, and no reference has been </w:t>
      </w:r>
      <w:r w:rsidR="002D2ACB">
        <w:rPr>
          <w:rFonts w:ascii="Arial" w:hAnsi="Arial" w:cs="Arial"/>
          <w:sz w:val="24"/>
          <w:szCs w:val="24"/>
        </w:rPr>
        <w:t>made to the late Chief Kilus Nguvauva.</w:t>
      </w:r>
    </w:p>
    <w:p w14:paraId="41F80D0B" w14:textId="77777777" w:rsidR="002D2ACB" w:rsidRPr="002D2ACB" w:rsidRDefault="002D2ACB" w:rsidP="002D2ACB">
      <w:pPr>
        <w:pStyle w:val="ListParagraph"/>
        <w:rPr>
          <w:rFonts w:ascii="Arial" w:hAnsi="Arial" w:cs="Arial"/>
          <w:sz w:val="24"/>
          <w:szCs w:val="24"/>
        </w:rPr>
      </w:pPr>
    </w:p>
    <w:p w14:paraId="36A3B8DF" w14:textId="11567329" w:rsidR="002D2ACB" w:rsidRPr="00CD1151" w:rsidRDefault="002D2ACB" w:rsidP="00CD1151">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 xml:space="preserve">It is not clear where the Minister </w:t>
      </w:r>
      <w:r w:rsidR="003D074F" w:rsidRPr="00B67A30">
        <w:rPr>
          <w:rFonts w:ascii="Arial" w:hAnsi="Arial" w:cs="Arial"/>
          <w:sz w:val="24"/>
          <w:szCs w:val="24"/>
        </w:rPr>
        <w:t xml:space="preserve">obtained </w:t>
      </w:r>
      <w:r w:rsidRPr="00B67A30">
        <w:rPr>
          <w:rFonts w:ascii="Arial" w:hAnsi="Arial" w:cs="Arial"/>
          <w:sz w:val="24"/>
          <w:szCs w:val="24"/>
        </w:rPr>
        <w:t>this information</w:t>
      </w:r>
      <w:r>
        <w:rPr>
          <w:rFonts w:ascii="Arial" w:hAnsi="Arial" w:cs="Arial"/>
          <w:sz w:val="24"/>
          <w:szCs w:val="24"/>
        </w:rPr>
        <w:t xml:space="preserve"> that he considered for purposes of making a decision. </w:t>
      </w:r>
      <w:r w:rsidR="00D451CD">
        <w:rPr>
          <w:rFonts w:ascii="Arial" w:hAnsi="Arial" w:cs="Arial"/>
          <w:sz w:val="24"/>
          <w:szCs w:val="24"/>
        </w:rPr>
        <w:t xml:space="preserve">It is common cause that a number of similar applications </w:t>
      </w:r>
      <w:r w:rsidR="003A71FE">
        <w:rPr>
          <w:rFonts w:ascii="Arial" w:hAnsi="Arial" w:cs="Arial"/>
          <w:sz w:val="24"/>
          <w:szCs w:val="24"/>
        </w:rPr>
        <w:t>have been launched since 2011, and they</w:t>
      </w:r>
      <w:r w:rsidR="00D451CD">
        <w:rPr>
          <w:rFonts w:ascii="Arial" w:hAnsi="Arial" w:cs="Arial"/>
          <w:sz w:val="24"/>
          <w:szCs w:val="24"/>
        </w:rPr>
        <w:t xml:space="preserve"> either served before the current minister or his predecessors. </w:t>
      </w:r>
      <w:r w:rsidR="00D451CD" w:rsidRPr="00D451CD">
        <w:rPr>
          <w:rFonts w:ascii="Arial" w:hAnsi="Arial" w:cs="Arial"/>
          <w:sz w:val="24"/>
          <w:szCs w:val="24"/>
        </w:rPr>
        <w:t xml:space="preserve">In </w:t>
      </w:r>
      <w:r w:rsidR="00D451CD" w:rsidRPr="00D451CD">
        <w:rPr>
          <w:rFonts w:ascii="Arial" w:hAnsi="Arial"/>
          <w:i/>
          <w:sz w:val="24"/>
          <w:szCs w:val="24"/>
        </w:rPr>
        <w:t>Ovambanderu Traditional Authority v Minister of Urban and Rural Development</w:t>
      </w:r>
      <w:r w:rsidR="00D451CD">
        <w:rPr>
          <w:rFonts w:ascii="Arial" w:hAnsi="Arial"/>
          <w:i/>
          <w:sz w:val="24"/>
          <w:szCs w:val="24"/>
        </w:rPr>
        <w:t>,</w:t>
      </w:r>
      <w:r w:rsidR="00D451CD" w:rsidRPr="00A4375F">
        <w:rPr>
          <w:rStyle w:val="FootnoteReference"/>
          <w:rFonts w:ascii="Arial" w:hAnsi="Arial"/>
          <w:sz w:val="24"/>
          <w:szCs w:val="24"/>
        </w:rPr>
        <w:footnoteReference w:id="11"/>
      </w:r>
      <w:r w:rsidR="00D451CD" w:rsidRPr="00D451CD">
        <w:rPr>
          <w:rFonts w:ascii="Arial" w:hAnsi="Arial"/>
          <w:i/>
          <w:sz w:val="24"/>
          <w:szCs w:val="24"/>
        </w:rPr>
        <w:t xml:space="preserve"> </w:t>
      </w:r>
      <w:r w:rsidR="00D451CD" w:rsidRPr="00D451CD">
        <w:rPr>
          <w:rFonts w:ascii="Arial" w:hAnsi="Arial"/>
          <w:sz w:val="24"/>
          <w:szCs w:val="24"/>
        </w:rPr>
        <w:t>wh</w:t>
      </w:r>
      <w:r w:rsidR="00D451CD">
        <w:rPr>
          <w:rFonts w:ascii="Arial" w:hAnsi="Arial"/>
          <w:sz w:val="24"/>
          <w:szCs w:val="24"/>
        </w:rPr>
        <w:t>ere the court was also faced with a matter where there were a number of prior unsuccessful applications for recognition, Masuku J said the following:</w:t>
      </w:r>
    </w:p>
    <w:p w14:paraId="6267FC48" w14:textId="77777777" w:rsidR="008D1DA3" w:rsidRPr="008D1DA3" w:rsidRDefault="008D1DA3" w:rsidP="008D1DA3">
      <w:pPr>
        <w:pStyle w:val="ListParagraph"/>
        <w:rPr>
          <w:rFonts w:ascii="Arial" w:hAnsi="Arial" w:cs="Arial"/>
          <w:sz w:val="24"/>
          <w:szCs w:val="24"/>
        </w:rPr>
      </w:pPr>
    </w:p>
    <w:p w14:paraId="551EDFF9" w14:textId="4C42C80A" w:rsidR="00BC5774" w:rsidRDefault="00D451CD" w:rsidP="00D451CD">
      <w:pPr>
        <w:pStyle w:val="ListParagraph"/>
        <w:spacing w:line="360" w:lineRule="auto"/>
        <w:ind w:left="0" w:firstLine="720"/>
        <w:jc w:val="both"/>
        <w:rPr>
          <w:rFonts w:ascii="Arial" w:hAnsi="Arial"/>
        </w:rPr>
      </w:pPr>
      <w:r>
        <w:rPr>
          <w:rFonts w:ascii="Arial" w:hAnsi="Arial"/>
        </w:rPr>
        <w:t>‘[82]..[</w:t>
      </w:r>
      <w:r w:rsidR="00BC5774">
        <w:rPr>
          <w:rFonts w:ascii="Arial" w:hAnsi="Arial"/>
        </w:rPr>
        <w:t>T</w:t>
      </w:r>
      <w:r>
        <w:rPr>
          <w:rFonts w:ascii="Arial" w:hAnsi="Arial"/>
        </w:rPr>
        <w:t>]</w:t>
      </w:r>
      <w:r w:rsidR="00BC5774">
        <w:rPr>
          <w:rFonts w:ascii="Arial" w:hAnsi="Arial"/>
        </w:rPr>
        <w:t xml:space="preserve">here are matters, which might serve before him or her, which might have served before his or her predecessors. Where applications had been made previously and were similar to one placed before him or her, </w:t>
      </w:r>
      <w:r w:rsidR="00BC5774" w:rsidRPr="00322951">
        <w:rPr>
          <w:rFonts w:ascii="Arial" w:hAnsi="Arial"/>
          <w:u w:val="single"/>
        </w:rPr>
        <w:t xml:space="preserve">he is required to engage the institutional memory at his disposal </w:t>
      </w:r>
      <w:r w:rsidR="00BC5774" w:rsidRPr="00322951">
        <w:rPr>
          <w:rFonts w:ascii="Arial" w:hAnsi="Arial"/>
          <w:u w:val="single"/>
        </w:rPr>
        <w:lastRenderedPageBreak/>
        <w:t>and inform himself of the reasons of previous refusals and consider those in the light of the new information placed before him or her</w:t>
      </w:r>
      <w:r w:rsidR="00BC5774">
        <w:rPr>
          <w:rFonts w:ascii="Arial" w:hAnsi="Arial"/>
        </w:rPr>
        <w:t>.</w:t>
      </w:r>
    </w:p>
    <w:p w14:paraId="1C8334B7" w14:textId="77777777" w:rsidR="00BC5774" w:rsidRDefault="00BC5774" w:rsidP="00BC5774">
      <w:pPr>
        <w:pStyle w:val="ListParagraph"/>
        <w:spacing w:line="360" w:lineRule="auto"/>
        <w:ind w:left="0"/>
        <w:jc w:val="both"/>
        <w:rPr>
          <w:rFonts w:ascii="Arial" w:hAnsi="Arial"/>
        </w:rPr>
      </w:pPr>
    </w:p>
    <w:p w14:paraId="708A217A" w14:textId="11BEFA41" w:rsidR="00BC5774" w:rsidRDefault="00BC5774" w:rsidP="00BC5774">
      <w:pPr>
        <w:pStyle w:val="ListParagraph"/>
        <w:spacing w:line="360" w:lineRule="auto"/>
        <w:ind w:left="0"/>
        <w:jc w:val="both"/>
        <w:rPr>
          <w:rFonts w:ascii="Arial" w:hAnsi="Arial"/>
        </w:rPr>
      </w:pPr>
      <w:r>
        <w:rPr>
          <w:rFonts w:ascii="Arial" w:hAnsi="Arial"/>
        </w:rPr>
        <w:t>[83]</w:t>
      </w:r>
      <w:r>
        <w:rPr>
          <w:rFonts w:ascii="Arial" w:hAnsi="Arial"/>
        </w:rPr>
        <w:tab/>
        <w:t xml:space="preserve">In the instant case, it is clear that the HTA had filed previous applications for recognition, which had failed. </w:t>
      </w:r>
      <w:r w:rsidRPr="00D451CD">
        <w:rPr>
          <w:rFonts w:ascii="Arial" w:hAnsi="Arial"/>
          <w:u w:val="single"/>
        </w:rPr>
        <w:t>It was incumbent upon the Minister, in that regard, to consider the reasons for the previous refusals and inform himself accordingly as to whether or not, those previous impediments still exist. He cannot adopt the position, which he appears to, that he is not required to consider previous relevant information and decisions which are, in any event, not binding on him.</w:t>
      </w:r>
      <w:r>
        <w:rPr>
          <w:rFonts w:ascii="Arial" w:hAnsi="Arial"/>
        </w:rPr>
        <w:t xml:space="preserve"> One of the reasons previously given for refusal, was that the OTA was part of the applicant.</w:t>
      </w:r>
      <w:r w:rsidR="00012C4D">
        <w:rPr>
          <w:rFonts w:ascii="Arial" w:hAnsi="Arial"/>
        </w:rPr>
        <w:t>’</w:t>
      </w:r>
      <w:r w:rsidR="00FD0886">
        <w:rPr>
          <w:rFonts w:ascii="Arial" w:hAnsi="Arial"/>
        </w:rPr>
        <w:t xml:space="preserve"> (my emphasis)</w:t>
      </w:r>
    </w:p>
    <w:p w14:paraId="7E332CB8" w14:textId="77777777" w:rsidR="00BC5774" w:rsidRDefault="00BC5774" w:rsidP="00BC5774">
      <w:pPr>
        <w:pStyle w:val="ListParagraph"/>
        <w:spacing w:line="360" w:lineRule="auto"/>
        <w:ind w:left="0"/>
        <w:jc w:val="both"/>
        <w:rPr>
          <w:rFonts w:ascii="Arial" w:hAnsi="Arial"/>
        </w:rPr>
      </w:pPr>
    </w:p>
    <w:p w14:paraId="5CF7843B" w14:textId="0D9D7171" w:rsidR="00322951" w:rsidRDefault="00322951" w:rsidP="00322951">
      <w:pPr>
        <w:pStyle w:val="ListParagraph"/>
        <w:numPr>
          <w:ilvl w:val="0"/>
          <w:numId w:val="26"/>
        </w:numPr>
        <w:spacing w:after="0" w:line="360" w:lineRule="auto"/>
        <w:ind w:left="0" w:firstLine="0"/>
        <w:jc w:val="both"/>
        <w:rPr>
          <w:rFonts w:ascii="Arial" w:hAnsi="Arial"/>
          <w:sz w:val="24"/>
          <w:szCs w:val="24"/>
        </w:rPr>
      </w:pPr>
      <w:r>
        <w:rPr>
          <w:rFonts w:ascii="Arial" w:hAnsi="Arial"/>
          <w:sz w:val="24"/>
          <w:szCs w:val="24"/>
        </w:rPr>
        <w:t>If the reasons for his recommendation to the President stem from the previous applications,</w:t>
      </w:r>
      <w:r w:rsidR="00FD0886">
        <w:rPr>
          <w:rFonts w:ascii="Arial" w:hAnsi="Arial"/>
          <w:sz w:val="24"/>
          <w:szCs w:val="24"/>
        </w:rPr>
        <w:t xml:space="preserve"> which</w:t>
      </w:r>
      <w:r>
        <w:rPr>
          <w:rFonts w:ascii="Arial" w:hAnsi="Arial"/>
          <w:sz w:val="24"/>
          <w:szCs w:val="24"/>
        </w:rPr>
        <w:t xml:space="preserve"> it appears to do, then the Minister had to determine if the impediments still exist</w:t>
      </w:r>
      <w:r w:rsidR="00C7304B">
        <w:rPr>
          <w:rFonts w:ascii="Arial" w:hAnsi="Arial"/>
          <w:sz w:val="24"/>
          <w:szCs w:val="24"/>
        </w:rPr>
        <w:t>. The</w:t>
      </w:r>
      <w:r>
        <w:rPr>
          <w:rFonts w:ascii="Arial" w:hAnsi="Arial"/>
          <w:sz w:val="24"/>
          <w:szCs w:val="24"/>
        </w:rPr>
        <w:t xml:space="preserve"> only way to do that is to properly consider the application of the applicants and give them the opportunity to address the issue with him. This inevitably means that he should have heard the applicants </w:t>
      </w:r>
      <w:r w:rsidRPr="00322951">
        <w:rPr>
          <w:rFonts w:ascii="Arial" w:hAnsi="Arial"/>
          <w:sz w:val="24"/>
          <w:szCs w:val="24"/>
          <w:u w:val="single"/>
        </w:rPr>
        <w:t xml:space="preserve">before </w:t>
      </w:r>
      <w:r w:rsidRPr="00322951">
        <w:rPr>
          <w:rFonts w:ascii="Arial" w:hAnsi="Arial"/>
          <w:sz w:val="24"/>
          <w:szCs w:val="24"/>
        </w:rPr>
        <w:t xml:space="preserve">reaching </w:t>
      </w:r>
      <w:r>
        <w:rPr>
          <w:rFonts w:ascii="Arial" w:hAnsi="Arial"/>
          <w:sz w:val="24"/>
          <w:szCs w:val="24"/>
        </w:rPr>
        <w:t xml:space="preserve">a decision. </w:t>
      </w:r>
    </w:p>
    <w:p w14:paraId="71D95FC6" w14:textId="77777777" w:rsidR="00322951" w:rsidRDefault="00322951" w:rsidP="00322951">
      <w:pPr>
        <w:pStyle w:val="ListParagraph"/>
        <w:spacing w:after="0" w:line="360" w:lineRule="auto"/>
        <w:ind w:left="0"/>
        <w:jc w:val="both"/>
        <w:rPr>
          <w:rFonts w:ascii="Arial" w:hAnsi="Arial"/>
          <w:sz w:val="24"/>
          <w:szCs w:val="24"/>
        </w:rPr>
      </w:pPr>
    </w:p>
    <w:p w14:paraId="20E44FE2" w14:textId="3D52F739" w:rsidR="00322951" w:rsidRPr="00322951" w:rsidRDefault="00322951" w:rsidP="00322951">
      <w:pPr>
        <w:pStyle w:val="ListParagraph"/>
        <w:numPr>
          <w:ilvl w:val="0"/>
          <w:numId w:val="26"/>
        </w:numPr>
        <w:spacing w:after="0" w:line="360" w:lineRule="auto"/>
        <w:ind w:left="0" w:firstLine="0"/>
        <w:jc w:val="both"/>
        <w:rPr>
          <w:rFonts w:ascii="Arial" w:hAnsi="Arial"/>
          <w:sz w:val="24"/>
          <w:szCs w:val="24"/>
        </w:rPr>
      </w:pPr>
      <w:r>
        <w:rPr>
          <w:rFonts w:ascii="Arial" w:hAnsi="Arial"/>
          <w:sz w:val="24"/>
          <w:szCs w:val="24"/>
        </w:rPr>
        <w:t>Masuku J</w:t>
      </w:r>
      <w:r w:rsidR="0031281E">
        <w:rPr>
          <w:rFonts w:ascii="Arial" w:hAnsi="Arial"/>
          <w:sz w:val="24"/>
          <w:szCs w:val="24"/>
        </w:rPr>
        <w:t>,</w:t>
      </w:r>
      <w:r>
        <w:rPr>
          <w:rFonts w:ascii="Arial" w:hAnsi="Arial"/>
          <w:sz w:val="24"/>
          <w:szCs w:val="24"/>
        </w:rPr>
        <w:t xml:space="preserve"> in deciding the aforementioned </w:t>
      </w:r>
      <w:r w:rsidRPr="00322951">
        <w:rPr>
          <w:rFonts w:ascii="Arial" w:hAnsi="Arial"/>
          <w:i/>
          <w:sz w:val="24"/>
          <w:szCs w:val="24"/>
        </w:rPr>
        <w:t>Ovambanderu</w:t>
      </w:r>
      <w:r>
        <w:rPr>
          <w:rFonts w:ascii="Arial" w:hAnsi="Arial"/>
          <w:sz w:val="24"/>
          <w:szCs w:val="24"/>
        </w:rPr>
        <w:t xml:space="preserve"> matter</w:t>
      </w:r>
      <w:r w:rsidR="0031281E">
        <w:rPr>
          <w:rFonts w:ascii="Arial" w:hAnsi="Arial"/>
          <w:sz w:val="24"/>
          <w:szCs w:val="24"/>
        </w:rPr>
        <w:t>,</w:t>
      </w:r>
      <w:r>
        <w:rPr>
          <w:rFonts w:ascii="Arial" w:hAnsi="Arial"/>
          <w:sz w:val="24"/>
          <w:szCs w:val="24"/>
        </w:rPr>
        <w:t xml:space="preserve"> dealt with the audi principle with reference to </w:t>
      </w:r>
      <w:r w:rsidRPr="00322951">
        <w:rPr>
          <w:rFonts w:ascii="Arial" w:hAnsi="Arial" w:cs="Arial"/>
          <w:bCs/>
          <w:i/>
          <w:sz w:val="24"/>
          <w:szCs w:val="24"/>
        </w:rPr>
        <w:t>Matador Enterprises (Pty) Limited v Minister of Trade And Industry and Others</w:t>
      </w:r>
      <w:r w:rsidR="0031281E">
        <w:rPr>
          <w:rFonts w:ascii="Arial" w:hAnsi="Arial" w:cs="Arial"/>
          <w:bCs/>
          <w:i/>
          <w:sz w:val="24"/>
          <w:szCs w:val="24"/>
        </w:rPr>
        <w:t>,</w:t>
      </w:r>
      <w:r>
        <w:rPr>
          <w:rStyle w:val="FootnoteReference"/>
          <w:rFonts w:ascii="Arial" w:hAnsi="Arial" w:cs="Arial"/>
          <w:bCs/>
          <w:i/>
          <w:sz w:val="24"/>
          <w:szCs w:val="24"/>
        </w:rPr>
        <w:footnoteReference w:id="12"/>
      </w:r>
      <w:r>
        <w:rPr>
          <w:rFonts w:ascii="Arial" w:hAnsi="Arial" w:cs="Arial"/>
          <w:bCs/>
          <w:sz w:val="24"/>
          <w:szCs w:val="24"/>
        </w:rPr>
        <w:t xml:space="preserve"> wherein Smuts J stated the following:</w:t>
      </w:r>
    </w:p>
    <w:p w14:paraId="6D84B25D" w14:textId="77777777" w:rsidR="00AB6325" w:rsidRDefault="00AB6325" w:rsidP="00AB6325">
      <w:pPr>
        <w:tabs>
          <w:tab w:val="left" w:pos="6237"/>
        </w:tabs>
        <w:spacing w:line="360" w:lineRule="auto"/>
        <w:jc w:val="both"/>
        <w:rPr>
          <w:rFonts w:ascii="Arial" w:hAnsi="Arial"/>
        </w:rPr>
      </w:pPr>
    </w:p>
    <w:p w14:paraId="16BB93EC" w14:textId="77777777" w:rsidR="00AB6325" w:rsidRDefault="00AB6325" w:rsidP="00AB6325">
      <w:pPr>
        <w:spacing w:line="360" w:lineRule="auto"/>
        <w:jc w:val="both"/>
        <w:rPr>
          <w:rFonts w:ascii="Arial" w:hAnsi="Arial"/>
        </w:rPr>
      </w:pPr>
      <w:r>
        <w:rPr>
          <w:rFonts w:ascii="Arial" w:hAnsi="Arial"/>
        </w:rPr>
        <w:tab/>
        <w:t xml:space="preserve">‘The right to be heard after all contemplates that those affected by a decision should be in a position to address relevant material which is adverse to them. This did not occur by not disclosing the cabinet decision to them. This certainly lacked transparency and adversely impacted upon the right to be heard. </w:t>
      </w:r>
      <w:r w:rsidRPr="00FD0886">
        <w:rPr>
          <w:rFonts w:ascii="Arial" w:hAnsi="Arial"/>
          <w:u w:val="single"/>
        </w:rPr>
        <w:t xml:space="preserve">The right to be heard and fairness demand that persons adversely affected by a decision be afforded the opportunity to be heard with a view to producing </w:t>
      </w:r>
      <w:r w:rsidRPr="00FD0886">
        <w:rPr>
          <w:rFonts w:ascii="Arial" w:hAnsi="Arial"/>
          <w:u w:val="single"/>
        </w:rPr>
        <w:lastRenderedPageBreak/>
        <w:t>a favourable result and require that they are apprised of factors which they need to address</w:t>
      </w:r>
      <w:r>
        <w:rPr>
          <w:rFonts w:ascii="Arial" w:hAnsi="Arial"/>
        </w:rPr>
        <w:t>. As was stressed by this court –</w:t>
      </w:r>
    </w:p>
    <w:p w14:paraId="35267B35" w14:textId="1F16E672" w:rsidR="00AB6325" w:rsidRDefault="00AB6325" w:rsidP="00AB6325">
      <w:pPr>
        <w:tabs>
          <w:tab w:val="left" w:pos="6237"/>
        </w:tabs>
        <w:spacing w:line="360" w:lineRule="auto"/>
        <w:jc w:val="both"/>
        <w:rPr>
          <w:rFonts w:ascii="Arial" w:hAnsi="Arial"/>
        </w:rPr>
      </w:pPr>
      <w:r>
        <w:rPr>
          <w:rFonts w:ascii="Arial" w:hAnsi="Arial"/>
        </w:rPr>
        <w:t>“art 18 of the Constitution of Namibia pertaining to a</w:t>
      </w:r>
      <w:r w:rsidR="00322951">
        <w:rPr>
          <w:rFonts w:ascii="Arial" w:hAnsi="Arial"/>
        </w:rPr>
        <w:t>n</w:t>
      </w:r>
      <w:r>
        <w:rPr>
          <w:rFonts w:ascii="Arial" w:hAnsi="Arial"/>
        </w:rPr>
        <w:t xml:space="preserve"> administrative justice requires not only reasonable and fair decisions based on reasonable grounds, but inherent in that requirement, fair and transparent procedures which are transparent.’ </w:t>
      </w:r>
      <w:r w:rsidR="00FD0886">
        <w:rPr>
          <w:rFonts w:ascii="Arial" w:hAnsi="Arial"/>
        </w:rPr>
        <w:t>(my emphasis)</w:t>
      </w:r>
    </w:p>
    <w:p w14:paraId="5B0C3A81" w14:textId="77777777" w:rsidR="003A0A7C" w:rsidRPr="003A0A7C" w:rsidRDefault="0031281E" w:rsidP="00854F39">
      <w:pPr>
        <w:pStyle w:val="ListParagraph"/>
        <w:numPr>
          <w:ilvl w:val="0"/>
          <w:numId w:val="26"/>
        </w:numPr>
        <w:spacing w:after="0" w:line="360" w:lineRule="auto"/>
        <w:ind w:left="0" w:firstLine="0"/>
        <w:jc w:val="both"/>
        <w:rPr>
          <w:rFonts w:ascii="Arial" w:hAnsi="Arial"/>
        </w:rPr>
      </w:pPr>
      <w:r w:rsidRPr="003A0A7C">
        <w:rPr>
          <w:rFonts w:ascii="Arial" w:hAnsi="Arial"/>
          <w:sz w:val="24"/>
          <w:szCs w:val="24"/>
        </w:rPr>
        <w:t xml:space="preserve">I can do no better and unequivocally associate myself with the remarks expressed by Smuts J and agree with my Brother Masuku J that these remarks </w:t>
      </w:r>
      <w:r w:rsidR="00FD0886" w:rsidRPr="003A0A7C">
        <w:rPr>
          <w:rFonts w:ascii="Arial" w:hAnsi="Arial"/>
          <w:sz w:val="24"/>
          <w:szCs w:val="24"/>
        </w:rPr>
        <w:t>are</w:t>
      </w:r>
      <w:r w:rsidRPr="003A0A7C">
        <w:rPr>
          <w:rFonts w:ascii="Arial" w:hAnsi="Arial"/>
          <w:sz w:val="24"/>
          <w:szCs w:val="24"/>
        </w:rPr>
        <w:t xml:space="preserve"> an accurate reflection of the proper approach to administrative justice in Namibia.</w:t>
      </w:r>
      <w:r w:rsidR="003A0A7C" w:rsidRPr="003A0A7C">
        <w:rPr>
          <w:rFonts w:ascii="Arial" w:hAnsi="Arial"/>
          <w:sz w:val="24"/>
          <w:szCs w:val="24"/>
        </w:rPr>
        <w:t xml:space="preserve"> </w:t>
      </w:r>
    </w:p>
    <w:p w14:paraId="052F358B" w14:textId="77777777" w:rsidR="003A0A7C" w:rsidRPr="003A0A7C" w:rsidRDefault="003A0A7C" w:rsidP="003A0A7C">
      <w:pPr>
        <w:pStyle w:val="ListParagraph"/>
        <w:spacing w:after="0" w:line="360" w:lineRule="auto"/>
        <w:ind w:left="0"/>
        <w:jc w:val="both"/>
        <w:rPr>
          <w:rFonts w:ascii="Arial" w:hAnsi="Arial"/>
        </w:rPr>
      </w:pPr>
    </w:p>
    <w:p w14:paraId="6BB9D085" w14:textId="68B782FB" w:rsidR="00733569" w:rsidRPr="003A0A7C" w:rsidRDefault="008A3614" w:rsidP="00854F39">
      <w:pPr>
        <w:pStyle w:val="ListParagraph"/>
        <w:numPr>
          <w:ilvl w:val="0"/>
          <w:numId w:val="26"/>
        </w:numPr>
        <w:spacing w:after="0" w:line="360" w:lineRule="auto"/>
        <w:ind w:left="0" w:firstLine="0"/>
        <w:jc w:val="both"/>
        <w:rPr>
          <w:rFonts w:ascii="Arial" w:hAnsi="Arial"/>
        </w:rPr>
      </w:pPr>
      <w:r w:rsidRPr="003A0A7C">
        <w:rPr>
          <w:rFonts w:ascii="Arial" w:hAnsi="Arial"/>
          <w:sz w:val="24"/>
          <w:szCs w:val="24"/>
        </w:rPr>
        <w:t>Having considered the facts before me</w:t>
      </w:r>
      <w:r w:rsidR="00733569" w:rsidRPr="003A0A7C">
        <w:rPr>
          <w:rFonts w:ascii="Arial" w:hAnsi="Arial"/>
          <w:sz w:val="24"/>
          <w:szCs w:val="24"/>
        </w:rPr>
        <w:t>,</w:t>
      </w:r>
      <w:r w:rsidRPr="003A0A7C">
        <w:rPr>
          <w:rFonts w:ascii="Arial" w:hAnsi="Arial"/>
          <w:sz w:val="24"/>
          <w:szCs w:val="24"/>
        </w:rPr>
        <w:t xml:space="preserve"> I am of the view that the applicants should have been afforded the opportunity to be heard before the Minister made the decision on 20 October 2021.  </w:t>
      </w:r>
      <w:r w:rsidR="00C7304B">
        <w:rPr>
          <w:rFonts w:ascii="Arial" w:hAnsi="Arial"/>
          <w:sz w:val="24"/>
          <w:szCs w:val="24"/>
        </w:rPr>
        <w:t>In my view, the argument advanced by Mr Ncube that it is inconceivable that applicants can argue that they were not afforded audi in light of the litigation history</w:t>
      </w:r>
      <w:r w:rsidRPr="003A0A7C">
        <w:rPr>
          <w:rFonts w:ascii="Arial" w:hAnsi="Arial"/>
          <w:sz w:val="24"/>
          <w:szCs w:val="24"/>
        </w:rPr>
        <w:t xml:space="preserve"> </w:t>
      </w:r>
      <w:r w:rsidR="00733569" w:rsidRPr="003A0A7C">
        <w:rPr>
          <w:rFonts w:ascii="Arial" w:hAnsi="Arial"/>
          <w:sz w:val="24"/>
          <w:szCs w:val="24"/>
        </w:rPr>
        <w:t>holds</w:t>
      </w:r>
      <w:r w:rsidRPr="003A0A7C">
        <w:rPr>
          <w:rFonts w:ascii="Arial" w:hAnsi="Arial"/>
          <w:sz w:val="24"/>
          <w:szCs w:val="24"/>
        </w:rPr>
        <w:t xml:space="preserve"> no merit. </w:t>
      </w:r>
      <w:r w:rsidR="00733569" w:rsidRPr="003A0A7C">
        <w:rPr>
          <w:rFonts w:ascii="Arial" w:hAnsi="Arial"/>
          <w:sz w:val="24"/>
          <w:szCs w:val="24"/>
        </w:rPr>
        <w:t>The circumstances</w:t>
      </w:r>
      <w:r w:rsidRPr="003A0A7C">
        <w:rPr>
          <w:rFonts w:ascii="Arial" w:hAnsi="Arial"/>
          <w:sz w:val="24"/>
          <w:szCs w:val="24"/>
        </w:rPr>
        <w:t xml:space="preserve"> changed since </w:t>
      </w:r>
      <w:r w:rsidR="003A71FE">
        <w:rPr>
          <w:rFonts w:ascii="Arial" w:hAnsi="Arial"/>
          <w:sz w:val="24"/>
          <w:szCs w:val="24"/>
        </w:rPr>
        <w:t xml:space="preserve">the initial litigation was instituted </w:t>
      </w:r>
      <w:r w:rsidRPr="003A0A7C">
        <w:rPr>
          <w:rFonts w:ascii="Arial" w:hAnsi="Arial"/>
          <w:sz w:val="24"/>
          <w:szCs w:val="24"/>
        </w:rPr>
        <w:t xml:space="preserve">way back when the succession dispute arose. </w:t>
      </w:r>
      <w:r w:rsidR="00733569" w:rsidRPr="003A0A7C">
        <w:rPr>
          <w:rFonts w:ascii="Arial" w:hAnsi="Arial"/>
          <w:sz w:val="24"/>
          <w:szCs w:val="24"/>
        </w:rPr>
        <w:t xml:space="preserve">Failure by the </w:t>
      </w:r>
      <w:r w:rsidRPr="003A0A7C">
        <w:rPr>
          <w:rFonts w:ascii="Arial" w:hAnsi="Arial"/>
          <w:sz w:val="24"/>
          <w:szCs w:val="24"/>
        </w:rPr>
        <w:t xml:space="preserve">Minister </w:t>
      </w:r>
      <w:r w:rsidR="00733569" w:rsidRPr="003A0A7C">
        <w:rPr>
          <w:rFonts w:ascii="Arial" w:hAnsi="Arial"/>
          <w:sz w:val="24"/>
          <w:szCs w:val="24"/>
        </w:rPr>
        <w:t xml:space="preserve">to hear </w:t>
      </w:r>
      <w:r w:rsidRPr="003A0A7C">
        <w:rPr>
          <w:rFonts w:ascii="Arial" w:hAnsi="Arial"/>
          <w:sz w:val="24"/>
          <w:szCs w:val="24"/>
        </w:rPr>
        <w:t>the applicants</w:t>
      </w:r>
      <w:r w:rsidR="00733569" w:rsidRPr="003A0A7C">
        <w:rPr>
          <w:rFonts w:ascii="Arial" w:hAnsi="Arial"/>
          <w:sz w:val="24"/>
          <w:szCs w:val="24"/>
        </w:rPr>
        <w:t>,</w:t>
      </w:r>
      <w:r w:rsidRPr="003A0A7C">
        <w:rPr>
          <w:rFonts w:ascii="Arial" w:hAnsi="Arial"/>
          <w:sz w:val="24"/>
          <w:szCs w:val="24"/>
        </w:rPr>
        <w:t xml:space="preserve"> who would be adversely affected</w:t>
      </w:r>
      <w:r w:rsidR="003A0A7C" w:rsidRPr="003A0A7C">
        <w:rPr>
          <w:rFonts w:ascii="Arial" w:hAnsi="Arial"/>
          <w:sz w:val="24"/>
          <w:szCs w:val="24"/>
        </w:rPr>
        <w:t xml:space="preserve"> by his decision</w:t>
      </w:r>
      <w:r w:rsidR="00733569" w:rsidRPr="003A0A7C">
        <w:rPr>
          <w:rFonts w:ascii="Arial" w:hAnsi="Arial"/>
          <w:sz w:val="24"/>
          <w:szCs w:val="24"/>
        </w:rPr>
        <w:t>, in my view</w:t>
      </w:r>
      <w:r w:rsidR="003A71FE">
        <w:rPr>
          <w:rFonts w:ascii="Arial" w:hAnsi="Arial"/>
          <w:sz w:val="24"/>
          <w:szCs w:val="24"/>
        </w:rPr>
        <w:t>, is a violation of Article 18 of the Constitution, and for that reason,</w:t>
      </w:r>
      <w:r w:rsidRPr="003A0A7C">
        <w:rPr>
          <w:rFonts w:ascii="Arial" w:hAnsi="Arial"/>
          <w:sz w:val="24"/>
          <w:szCs w:val="24"/>
        </w:rPr>
        <w:t xml:space="preserve"> the decision of 20 October 2021 stands to be reviewed as set aside. </w:t>
      </w:r>
    </w:p>
    <w:p w14:paraId="1CF53F0B" w14:textId="77777777" w:rsidR="003A0A7C" w:rsidRPr="003A0A7C" w:rsidRDefault="003A0A7C" w:rsidP="003A0A7C">
      <w:pPr>
        <w:pStyle w:val="ListParagraph"/>
        <w:rPr>
          <w:rFonts w:ascii="Arial" w:hAnsi="Arial"/>
        </w:rPr>
      </w:pPr>
    </w:p>
    <w:p w14:paraId="13382D14" w14:textId="0DE49923" w:rsidR="00025CD0" w:rsidRDefault="00FD0886" w:rsidP="0031281E">
      <w:pPr>
        <w:pStyle w:val="ListParagraph"/>
        <w:numPr>
          <w:ilvl w:val="0"/>
          <w:numId w:val="26"/>
        </w:numPr>
        <w:spacing w:after="0" w:line="360" w:lineRule="auto"/>
        <w:ind w:left="0" w:firstLine="0"/>
        <w:jc w:val="both"/>
        <w:rPr>
          <w:rFonts w:ascii="Arial" w:hAnsi="Arial"/>
          <w:sz w:val="24"/>
          <w:szCs w:val="24"/>
        </w:rPr>
      </w:pPr>
      <w:r>
        <w:rPr>
          <w:rFonts w:ascii="Arial" w:hAnsi="Arial"/>
          <w:sz w:val="24"/>
          <w:szCs w:val="24"/>
        </w:rPr>
        <w:t xml:space="preserve">During </w:t>
      </w:r>
      <w:r w:rsidR="003A71FE">
        <w:rPr>
          <w:rFonts w:ascii="Arial" w:hAnsi="Arial"/>
          <w:sz w:val="24"/>
          <w:szCs w:val="24"/>
        </w:rPr>
        <w:t xml:space="preserve">the </w:t>
      </w:r>
      <w:r>
        <w:rPr>
          <w:rFonts w:ascii="Arial" w:hAnsi="Arial"/>
          <w:sz w:val="24"/>
          <w:szCs w:val="24"/>
        </w:rPr>
        <w:t>argument</w:t>
      </w:r>
      <w:r w:rsidR="00025CD0">
        <w:rPr>
          <w:rFonts w:ascii="Arial" w:hAnsi="Arial"/>
          <w:sz w:val="24"/>
          <w:szCs w:val="24"/>
        </w:rPr>
        <w:t>,</w:t>
      </w:r>
      <w:r>
        <w:rPr>
          <w:rFonts w:ascii="Arial" w:hAnsi="Arial"/>
          <w:sz w:val="24"/>
          <w:szCs w:val="24"/>
        </w:rPr>
        <w:t xml:space="preserve"> Mr Ncube </w:t>
      </w:r>
      <w:r w:rsidR="00025CD0">
        <w:rPr>
          <w:rFonts w:ascii="Arial" w:hAnsi="Arial"/>
          <w:sz w:val="24"/>
          <w:szCs w:val="24"/>
        </w:rPr>
        <w:t>raised several new issues that were neither in line with the first respondent’s answering affidavit nor his written heads of argument. The first issue that he raised is that the applicants appear to seek a mandamus. Having carefully considered the papers before me, I am of the view that there is no merit in this argument.</w:t>
      </w:r>
    </w:p>
    <w:p w14:paraId="2BED2CF1" w14:textId="77777777" w:rsidR="00025CD0" w:rsidRPr="00025CD0" w:rsidRDefault="00025CD0" w:rsidP="00025CD0">
      <w:pPr>
        <w:pStyle w:val="ListParagraph"/>
        <w:rPr>
          <w:rFonts w:ascii="Arial" w:hAnsi="Arial"/>
          <w:sz w:val="24"/>
          <w:szCs w:val="24"/>
        </w:rPr>
      </w:pPr>
    </w:p>
    <w:p w14:paraId="1D6AF95D" w14:textId="4C0BD653" w:rsidR="00025CD0" w:rsidRPr="00197EEA" w:rsidRDefault="00025CD0" w:rsidP="0031281E">
      <w:pPr>
        <w:pStyle w:val="ListParagraph"/>
        <w:numPr>
          <w:ilvl w:val="0"/>
          <w:numId w:val="26"/>
        </w:numPr>
        <w:spacing w:after="0" w:line="360" w:lineRule="auto"/>
        <w:ind w:left="0" w:firstLine="0"/>
        <w:jc w:val="both"/>
        <w:rPr>
          <w:rFonts w:ascii="Arial" w:hAnsi="Arial"/>
          <w:sz w:val="24"/>
          <w:szCs w:val="24"/>
        </w:rPr>
      </w:pPr>
      <w:r>
        <w:rPr>
          <w:rFonts w:ascii="Arial" w:hAnsi="Arial"/>
          <w:sz w:val="24"/>
          <w:szCs w:val="24"/>
        </w:rPr>
        <w:t>Secondly Mr Ncube raised an issue of ripeness or prematurity of the review application.</w:t>
      </w:r>
      <w:r w:rsidR="008A3614">
        <w:rPr>
          <w:rFonts w:ascii="Arial" w:hAnsi="Arial"/>
          <w:sz w:val="24"/>
          <w:szCs w:val="24"/>
        </w:rPr>
        <w:t xml:space="preserve"> Mr Ncube submitted that </w:t>
      </w:r>
      <w:r w:rsidR="006E4C4C">
        <w:rPr>
          <w:rFonts w:ascii="Arial" w:hAnsi="Arial"/>
          <w:sz w:val="24"/>
          <w:szCs w:val="24"/>
        </w:rPr>
        <w:t>the matter no longer lies for decision in the hands of the Minister</w:t>
      </w:r>
      <w:r w:rsidR="003A71FE">
        <w:rPr>
          <w:rFonts w:ascii="Arial" w:hAnsi="Arial"/>
          <w:sz w:val="24"/>
          <w:szCs w:val="24"/>
        </w:rPr>
        <w:t>. The</w:t>
      </w:r>
      <w:r w:rsidR="006E4C4C">
        <w:rPr>
          <w:rFonts w:ascii="Arial" w:hAnsi="Arial"/>
          <w:sz w:val="24"/>
          <w:szCs w:val="24"/>
        </w:rPr>
        <w:t xml:space="preserve"> application was directed to the President in terms of s 5(3) of the Act, who in turn would direct the application to the Council of Traditional Leaders in terms of s 5(5). He argued that the court should allow the decision of the Minister to stand as th</w:t>
      </w:r>
      <w:r w:rsidR="00733569">
        <w:rPr>
          <w:rFonts w:ascii="Arial" w:hAnsi="Arial"/>
          <w:sz w:val="24"/>
          <w:szCs w:val="24"/>
        </w:rPr>
        <w:t>e decision by the Minister</w:t>
      </w:r>
      <w:r w:rsidR="006E4C4C">
        <w:rPr>
          <w:rFonts w:ascii="Arial" w:hAnsi="Arial"/>
          <w:sz w:val="24"/>
          <w:szCs w:val="24"/>
        </w:rPr>
        <w:t xml:space="preserve"> is not a final decision. </w:t>
      </w:r>
      <w:r w:rsidR="00155498">
        <w:rPr>
          <w:rFonts w:ascii="Arial" w:hAnsi="Arial"/>
          <w:sz w:val="24"/>
          <w:szCs w:val="24"/>
        </w:rPr>
        <w:t xml:space="preserve"> I have taken this issue up with the parties</w:t>
      </w:r>
      <w:r w:rsidR="00A05F41">
        <w:rPr>
          <w:rFonts w:ascii="Arial" w:hAnsi="Arial"/>
          <w:sz w:val="24"/>
          <w:szCs w:val="24"/>
        </w:rPr>
        <w:t>, and it would appear that three years later,</w:t>
      </w:r>
      <w:r w:rsidR="00155498">
        <w:rPr>
          <w:rFonts w:ascii="Arial" w:hAnsi="Arial"/>
          <w:sz w:val="24"/>
          <w:szCs w:val="24"/>
        </w:rPr>
        <w:t xml:space="preserve"> this matter still remains in limbo as no further </w:t>
      </w:r>
      <w:r w:rsidR="00155498">
        <w:rPr>
          <w:rFonts w:ascii="Arial" w:hAnsi="Arial"/>
          <w:sz w:val="24"/>
          <w:szCs w:val="24"/>
        </w:rPr>
        <w:lastRenderedPageBreak/>
        <w:t>decisions were made pursuant to the referral in terms of</w:t>
      </w:r>
      <w:r w:rsidR="00A05F41">
        <w:rPr>
          <w:rFonts w:ascii="Arial" w:hAnsi="Arial"/>
          <w:sz w:val="24"/>
          <w:szCs w:val="24"/>
        </w:rPr>
        <w:t xml:space="preserve"> </w:t>
      </w:r>
      <w:r w:rsidR="00155498">
        <w:rPr>
          <w:rFonts w:ascii="Arial" w:hAnsi="Arial"/>
          <w:sz w:val="24"/>
          <w:szCs w:val="24"/>
        </w:rPr>
        <w:t xml:space="preserve">s 5(3) of the Act. </w:t>
      </w:r>
      <w:r w:rsidR="00A05F41">
        <w:rPr>
          <w:rFonts w:ascii="Arial" w:hAnsi="Arial"/>
          <w:sz w:val="24"/>
          <w:szCs w:val="24"/>
        </w:rPr>
        <w:t>The argument of ripeness or prematurity, therefore, does not find application</w:t>
      </w:r>
      <w:r w:rsidR="00A4375F">
        <w:rPr>
          <w:rFonts w:ascii="Arial" w:hAnsi="Arial"/>
          <w:sz w:val="24"/>
          <w:szCs w:val="24"/>
        </w:rPr>
        <w:t xml:space="preserve"> </w:t>
      </w:r>
      <w:r w:rsidR="00A4375F" w:rsidRPr="00197EEA">
        <w:rPr>
          <w:rFonts w:ascii="Arial" w:hAnsi="Arial"/>
          <w:sz w:val="24"/>
          <w:szCs w:val="24"/>
        </w:rPr>
        <w:t>herein</w:t>
      </w:r>
      <w:r w:rsidR="00A05F41" w:rsidRPr="00197EEA">
        <w:rPr>
          <w:rFonts w:ascii="Arial" w:hAnsi="Arial"/>
          <w:sz w:val="24"/>
          <w:szCs w:val="24"/>
        </w:rPr>
        <w:t>.</w:t>
      </w:r>
    </w:p>
    <w:p w14:paraId="2D17B419" w14:textId="77777777" w:rsidR="006E4C4C" w:rsidRPr="00197EEA" w:rsidRDefault="006E4C4C" w:rsidP="006E4C4C">
      <w:pPr>
        <w:pStyle w:val="ListParagraph"/>
        <w:rPr>
          <w:rFonts w:ascii="Arial" w:hAnsi="Arial"/>
          <w:sz w:val="24"/>
          <w:szCs w:val="24"/>
        </w:rPr>
      </w:pPr>
    </w:p>
    <w:p w14:paraId="3A8E4B07" w14:textId="7D2A1985" w:rsidR="00BF61DE" w:rsidRDefault="00733569" w:rsidP="00EE562F">
      <w:pPr>
        <w:pStyle w:val="ListParagraph"/>
        <w:numPr>
          <w:ilvl w:val="0"/>
          <w:numId w:val="26"/>
        </w:numPr>
        <w:spacing w:after="0" w:line="360" w:lineRule="auto"/>
        <w:ind w:left="0" w:firstLine="0"/>
        <w:jc w:val="both"/>
        <w:rPr>
          <w:rFonts w:ascii="Arial" w:hAnsi="Arial"/>
          <w:sz w:val="24"/>
          <w:szCs w:val="24"/>
        </w:rPr>
      </w:pPr>
      <w:r w:rsidRPr="00197EEA">
        <w:rPr>
          <w:rFonts w:ascii="Arial" w:hAnsi="Arial"/>
          <w:sz w:val="24"/>
          <w:szCs w:val="24"/>
        </w:rPr>
        <w:t>What is of importance in my view</w:t>
      </w:r>
      <w:r w:rsidR="006E4C4C" w:rsidRPr="00197EEA">
        <w:rPr>
          <w:rFonts w:ascii="Arial" w:hAnsi="Arial"/>
          <w:sz w:val="24"/>
          <w:szCs w:val="24"/>
        </w:rPr>
        <w:t xml:space="preserve"> is </w:t>
      </w:r>
      <w:r w:rsidRPr="00197EEA">
        <w:rPr>
          <w:rFonts w:ascii="Arial" w:hAnsi="Arial"/>
          <w:sz w:val="24"/>
          <w:szCs w:val="24"/>
        </w:rPr>
        <w:t xml:space="preserve">the fact </w:t>
      </w:r>
      <w:r w:rsidR="006E4C4C" w:rsidRPr="00197EEA">
        <w:rPr>
          <w:rFonts w:ascii="Arial" w:hAnsi="Arial"/>
          <w:sz w:val="24"/>
          <w:szCs w:val="24"/>
        </w:rPr>
        <w:t>that in terms of s 5(3)</w:t>
      </w:r>
      <w:r w:rsidR="003A71FE" w:rsidRPr="00197EEA">
        <w:rPr>
          <w:rFonts w:ascii="Arial" w:hAnsi="Arial"/>
          <w:sz w:val="24"/>
          <w:szCs w:val="24"/>
        </w:rPr>
        <w:t>, the Minister made a recommendation to the President,</w:t>
      </w:r>
      <w:r w:rsidR="006E4C4C" w:rsidRPr="00197EEA">
        <w:rPr>
          <w:rFonts w:ascii="Arial" w:hAnsi="Arial"/>
          <w:sz w:val="24"/>
          <w:szCs w:val="24"/>
        </w:rPr>
        <w:t xml:space="preserve"> which is not </w:t>
      </w:r>
      <w:r w:rsidR="00155498" w:rsidRPr="00197EEA">
        <w:rPr>
          <w:rFonts w:ascii="Arial" w:hAnsi="Arial"/>
          <w:sz w:val="24"/>
          <w:szCs w:val="24"/>
        </w:rPr>
        <w:t>borne</w:t>
      </w:r>
      <w:r w:rsidR="006E4C4C" w:rsidRPr="00197EEA">
        <w:rPr>
          <w:rFonts w:ascii="Arial" w:hAnsi="Arial"/>
          <w:sz w:val="24"/>
          <w:szCs w:val="24"/>
        </w:rPr>
        <w:t xml:space="preserve"> out by the facts</w:t>
      </w:r>
      <w:r w:rsidRPr="00197EEA">
        <w:rPr>
          <w:rFonts w:ascii="Arial" w:hAnsi="Arial"/>
          <w:sz w:val="24"/>
          <w:szCs w:val="24"/>
        </w:rPr>
        <w:t xml:space="preserve"> as the Minister failed to afford the parties </w:t>
      </w:r>
      <w:r w:rsidR="00A4375F" w:rsidRPr="00197EEA">
        <w:rPr>
          <w:rFonts w:ascii="Arial" w:hAnsi="Arial"/>
          <w:sz w:val="24"/>
          <w:szCs w:val="24"/>
        </w:rPr>
        <w:t xml:space="preserve">a </w:t>
      </w:r>
      <w:r w:rsidRPr="00197EEA">
        <w:rPr>
          <w:rFonts w:ascii="Arial" w:hAnsi="Arial"/>
          <w:sz w:val="24"/>
          <w:szCs w:val="24"/>
        </w:rPr>
        <w:t xml:space="preserve">hearing in accordance with </w:t>
      </w:r>
      <w:r w:rsidR="00BF61DE" w:rsidRPr="00197EEA">
        <w:rPr>
          <w:rFonts w:ascii="Arial" w:hAnsi="Arial"/>
          <w:sz w:val="24"/>
          <w:szCs w:val="24"/>
        </w:rPr>
        <w:t xml:space="preserve">the </w:t>
      </w:r>
      <w:r w:rsidRPr="00197EEA">
        <w:rPr>
          <w:rFonts w:ascii="Arial" w:hAnsi="Arial"/>
          <w:sz w:val="24"/>
          <w:szCs w:val="24"/>
        </w:rPr>
        <w:t>rules</w:t>
      </w:r>
      <w:r w:rsidRPr="00BF61DE">
        <w:rPr>
          <w:rFonts w:ascii="Arial" w:hAnsi="Arial"/>
          <w:sz w:val="24"/>
          <w:szCs w:val="24"/>
        </w:rPr>
        <w:t xml:space="preserve"> of natural justice</w:t>
      </w:r>
      <w:r w:rsidR="00BF61DE" w:rsidRPr="00BF61DE">
        <w:rPr>
          <w:rFonts w:ascii="Arial" w:hAnsi="Arial"/>
          <w:sz w:val="24"/>
          <w:szCs w:val="24"/>
        </w:rPr>
        <w:t xml:space="preserve">. </w:t>
      </w:r>
      <w:r w:rsidRPr="00BF61DE">
        <w:rPr>
          <w:rFonts w:ascii="Arial" w:hAnsi="Arial"/>
          <w:sz w:val="24"/>
          <w:szCs w:val="24"/>
        </w:rPr>
        <w:t xml:space="preserve"> </w:t>
      </w:r>
      <w:r w:rsidR="00A05F41">
        <w:rPr>
          <w:rFonts w:ascii="Arial" w:hAnsi="Arial"/>
          <w:sz w:val="24"/>
          <w:szCs w:val="24"/>
        </w:rPr>
        <w:t>The applicants’ application must thus succeed.</w:t>
      </w:r>
    </w:p>
    <w:p w14:paraId="3E5112E1" w14:textId="77777777" w:rsidR="00BF61DE" w:rsidRPr="00BF61DE" w:rsidRDefault="00BF61DE" w:rsidP="00BF61DE">
      <w:pPr>
        <w:pStyle w:val="ListParagraph"/>
        <w:spacing w:after="0" w:line="360" w:lineRule="auto"/>
        <w:ind w:left="0"/>
        <w:jc w:val="both"/>
        <w:rPr>
          <w:rFonts w:ascii="Arial" w:hAnsi="Arial"/>
          <w:sz w:val="24"/>
          <w:szCs w:val="24"/>
        </w:rPr>
      </w:pPr>
    </w:p>
    <w:p w14:paraId="42510DE1" w14:textId="6224EDBF" w:rsidR="00BF61DE" w:rsidRPr="00BF61DE" w:rsidRDefault="00BF61DE" w:rsidP="00BF61DE">
      <w:pPr>
        <w:pStyle w:val="ListParagraph"/>
        <w:spacing w:after="0" w:line="360" w:lineRule="auto"/>
        <w:ind w:left="0"/>
        <w:jc w:val="both"/>
        <w:rPr>
          <w:rFonts w:ascii="Arial" w:hAnsi="Arial"/>
          <w:sz w:val="24"/>
          <w:szCs w:val="24"/>
          <w:u w:val="single"/>
        </w:rPr>
      </w:pPr>
      <w:r w:rsidRPr="00BF61DE">
        <w:rPr>
          <w:rFonts w:ascii="Arial" w:hAnsi="Arial"/>
          <w:sz w:val="24"/>
          <w:szCs w:val="24"/>
          <w:u w:val="single"/>
        </w:rPr>
        <w:t>Cost</w:t>
      </w:r>
    </w:p>
    <w:p w14:paraId="5F832D97" w14:textId="77777777" w:rsidR="00BF61DE" w:rsidRPr="00BF61DE" w:rsidRDefault="00BF61DE" w:rsidP="00BF61DE">
      <w:pPr>
        <w:pStyle w:val="ListParagraph"/>
        <w:rPr>
          <w:rFonts w:ascii="Arial" w:hAnsi="Arial"/>
          <w:sz w:val="24"/>
          <w:szCs w:val="24"/>
        </w:rPr>
      </w:pPr>
    </w:p>
    <w:p w14:paraId="087D7725" w14:textId="01EADFE0" w:rsidR="00BF61DE" w:rsidRDefault="003D074F" w:rsidP="0031281E">
      <w:pPr>
        <w:pStyle w:val="ListParagraph"/>
        <w:numPr>
          <w:ilvl w:val="0"/>
          <w:numId w:val="26"/>
        </w:numPr>
        <w:spacing w:after="0" w:line="360" w:lineRule="auto"/>
        <w:ind w:left="0" w:firstLine="0"/>
        <w:jc w:val="both"/>
        <w:rPr>
          <w:rFonts w:ascii="Arial" w:hAnsi="Arial"/>
          <w:sz w:val="24"/>
          <w:szCs w:val="24"/>
        </w:rPr>
      </w:pPr>
      <w:r>
        <w:rPr>
          <w:rFonts w:ascii="Arial" w:hAnsi="Arial"/>
          <w:sz w:val="24"/>
          <w:szCs w:val="24"/>
        </w:rPr>
        <w:t xml:space="preserve">I am of the view that the </w:t>
      </w:r>
      <w:r w:rsidRPr="00B67A30">
        <w:rPr>
          <w:rFonts w:ascii="Arial" w:hAnsi="Arial"/>
          <w:sz w:val="24"/>
          <w:szCs w:val="24"/>
        </w:rPr>
        <w:t>costs</w:t>
      </w:r>
      <w:r>
        <w:rPr>
          <w:rFonts w:ascii="Arial" w:hAnsi="Arial"/>
          <w:sz w:val="24"/>
          <w:szCs w:val="24"/>
        </w:rPr>
        <w:t xml:space="preserve"> </w:t>
      </w:r>
      <w:r w:rsidR="00BF61DE">
        <w:rPr>
          <w:rFonts w:ascii="Arial" w:hAnsi="Arial"/>
          <w:sz w:val="24"/>
          <w:szCs w:val="24"/>
        </w:rPr>
        <w:t>should follow the event.</w:t>
      </w:r>
    </w:p>
    <w:p w14:paraId="3A1D0126" w14:textId="77777777" w:rsidR="00BF61DE" w:rsidRDefault="00BF61DE" w:rsidP="00BF61DE">
      <w:pPr>
        <w:pStyle w:val="ListParagraph"/>
        <w:spacing w:after="0" w:line="360" w:lineRule="auto"/>
        <w:ind w:left="0"/>
        <w:jc w:val="both"/>
        <w:rPr>
          <w:rFonts w:ascii="Arial" w:hAnsi="Arial"/>
          <w:sz w:val="24"/>
          <w:szCs w:val="24"/>
        </w:rPr>
      </w:pPr>
    </w:p>
    <w:p w14:paraId="05C1D803" w14:textId="4377E66B" w:rsidR="00BF61DE" w:rsidRDefault="00BF61DE" w:rsidP="00BF61DE">
      <w:pPr>
        <w:pStyle w:val="ListParagraph"/>
        <w:spacing w:after="0" w:line="360" w:lineRule="auto"/>
        <w:ind w:left="0"/>
        <w:jc w:val="both"/>
        <w:rPr>
          <w:rFonts w:ascii="Arial" w:hAnsi="Arial"/>
          <w:sz w:val="24"/>
          <w:szCs w:val="24"/>
          <w:u w:val="single"/>
        </w:rPr>
      </w:pPr>
      <w:r w:rsidRPr="00BF61DE">
        <w:rPr>
          <w:rFonts w:ascii="Arial" w:hAnsi="Arial"/>
          <w:sz w:val="24"/>
          <w:szCs w:val="24"/>
          <w:u w:val="single"/>
        </w:rPr>
        <w:t>Order</w:t>
      </w:r>
    </w:p>
    <w:p w14:paraId="26D61B10" w14:textId="77777777" w:rsidR="0014004D" w:rsidRPr="00BF61DE" w:rsidRDefault="0014004D" w:rsidP="00BF61DE">
      <w:pPr>
        <w:pStyle w:val="ListParagraph"/>
        <w:spacing w:after="0" w:line="360" w:lineRule="auto"/>
        <w:ind w:left="0"/>
        <w:jc w:val="both"/>
        <w:rPr>
          <w:rFonts w:ascii="Arial" w:hAnsi="Arial"/>
          <w:sz w:val="24"/>
          <w:szCs w:val="24"/>
          <w:u w:val="single"/>
        </w:rPr>
      </w:pPr>
    </w:p>
    <w:p w14:paraId="536B2633" w14:textId="13B79EC4" w:rsidR="00E566BE" w:rsidRPr="00BF61DE" w:rsidRDefault="00BF61DE" w:rsidP="00C17000">
      <w:pPr>
        <w:pStyle w:val="ListParagraph"/>
        <w:numPr>
          <w:ilvl w:val="0"/>
          <w:numId w:val="26"/>
        </w:numPr>
        <w:spacing w:after="0" w:line="360" w:lineRule="auto"/>
        <w:ind w:left="0" w:firstLine="0"/>
        <w:jc w:val="both"/>
        <w:rPr>
          <w:rFonts w:ascii="Arial" w:hAnsi="Arial" w:cs="Arial"/>
          <w:sz w:val="24"/>
          <w:szCs w:val="24"/>
        </w:rPr>
      </w:pPr>
      <w:r w:rsidRPr="00BF61DE">
        <w:rPr>
          <w:rFonts w:ascii="Arial" w:hAnsi="Arial"/>
          <w:sz w:val="24"/>
          <w:szCs w:val="24"/>
        </w:rPr>
        <w:t xml:space="preserve"> </w:t>
      </w:r>
      <w:r w:rsidR="00E566BE" w:rsidRPr="00BF61DE">
        <w:rPr>
          <w:rFonts w:ascii="Arial" w:hAnsi="Arial" w:cs="Arial"/>
          <w:sz w:val="24"/>
          <w:szCs w:val="24"/>
        </w:rPr>
        <w:t>My order is</w:t>
      </w:r>
      <w:r w:rsidR="00011E47" w:rsidRPr="00BF61DE">
        <w:rPr>
          <w:rFonts w:ascii="Arial" w:hAnsi="Arial" w:cs="Arial"/>
          <w:sz w:val="24"/>
          <w:szCs w:val="24"/>
        </w:rPr>
        <w:t>,</w:t>
      </w:r>
      <w:r w:rsidR="00E566BE" w:rsidRPr="00BF61DE">
        <w:rPr>
          <w:rFonts w:ascii="Arial" w:hAnsi="Arial" w:cs="Arial"/>
          <w:sz w:val="24"/>
          <w:szCs w:val="24"/>
        </w:rPr>
        <w:t xml:space="preserve"> therefore</w:t>
      </w:r>
      <w:r w:rsidR="00011E47" w:rsidRPr="00BF61DE">
        <w:rPr>
          <w:rFonts w:ascii="Arial" w:hAnsi="Arial" w:cs="Arial"/>
          <w:sz w:val="24"/>
          <w:szCs w:val="24"/>
        </w:rPr>
        <w:t>,</w:t>
      </w:r>
      <w:r w:rsidR="00E566BE" w:rsidRPr="00BF61DE">
        <w:rPr>
          <w:rFonts w:ascii="Arial" w:hAnsi="Arial" w:cs="Arial"/>
          <w:sz w:val="24"/>
          <w:szCs w:val="24"/>
        </w:rPr>
        <w:t xml:space="preserve"> as follows:</w:t>
      </w:r>
    </w:p>
    <w:p w14:paraId="7B3C0C88" w14:textId="7F52CE7C" w:rsidR="00D121F8" w:rsidRDefault="00D121F8" w:rsidP="00D121F8">
      <w:pPr>
        <w:spacing w:after="0" w:line="360" w:lineRule="auto"/>
        <w:jc w:val="both"/>
        <w:rPr>
          <w:rFonts w:ascii="Arial" w:hAnsi="Arial" w:cs="Arial"/>
          <w:color w:val="000000"/>
        </w:rPr>
      </w:pPr>
    </w:p>
    <w:p w14:paraId="161D276A" w14:textId="77777777" w:rsidR="00BF61DE" w:rsidRPr="00A660DF" w:rsidRDefault="00BF61DE" w:rsidP="00BF61DE">
      <w:pPr>
        <w:pStyle w:val="ListParagraph"/>
        <w:spacing w:after="0" w:line="360" w:lineRule="auto"/>
        <w:ind w:left="0"/>
        <w:jc w:val="both"/>
        <w:rPr>
          <w:rFonts w:ascii="Arial" w:hAnsi="Arial" w:cs="Arial"/>
          <w:sz w:val="24"/>
          <w:szCs w:val="24"/>
        </w:rPr>
      </w:pPr>
      <w:r w:rsidRPr="00A660DF">
        <w:rPr>
          <w:rFonts w:ascii="Arial" w:hAnsi="Arial" w:cs="Arial"/>
          <w:sz w:val="24"/>
          <w:szCs w:val="24"/>
        </w:rPr>
        <w:t>1.</w:t>
      </w:r>
      <w:r w:rsidRPr="00A660DF">
        <w:rPr>
          <w:rFonts w:ascii="Arial" w:hAnsi="Arial" w:cs="Arial"/>
          <w:sz w:val="24"/>
          <w:szCs w:val="24"/>
        </w:rPr>
        <w:tab/>
      </w:r>
      <w:r>
        <w:rPr>
          <w:rFonts w:ascii="Arial" w:hAnsi="Arial" w:cs="Arial"/>
          <w:sz w:val="24"/>
          <w:szCs w:val="24"/>
        </w:rPr>
        <w:t>The</w:t>
      </w:r>
      <w:r w:rsidRPr="00A660DF">
        <w:rPr>
          <w:rFonts w:ascii="Arial" w:hAnsi="Arial" w:cs="Arial"/>
          <w:sz w:val="24"/>
          <w:szCs w:val="24"/>
        </w:rPr>
        <w:t xml:space="preserve"> decision by the </w:t>
      </w:r>
      <w:r>
        <w:rPr>
          <w:rFonts w:ascii="Arial" w:hAnsi="Arial" w:cs="Arial"/>
          <w:sz w:val="24"/>
          <w:szCs w:val="24"/>
        </w:rPr>
        <w:t>f</w:t>
      </w:r>
      <w:r w:rsidRPr="00A660DF">
        <w:rPr>
          <w:rFonts w:ascii="Arial" w:hAnsi="Arial" w:cs="Arial"/>
          <w:sz w:val="24"/>
          <w:szCs w:val="24"/>
        </w:rPr>
        <w:t xml:space="preserve">irst </w:t>
      </w:r>
      <w:r>
        <w:rPr>
          <w:rFonts w:ascii="Arial" w:hAnsi="Arial" w:cs="Arial"/>
          <w:sz w:val="24"/>
          <w:szCs w:val="24"/>
        </w:rPr>
        <w:t>r</w:t>
      </w:r>
      <w:r w:rsidRPr="00A660DF">
        <w:rPr>
          <w:rFonts w:ascii="Arial" w:hAnsi="Arial" w:cs="Arial"/>
          <w:sz w:val="24"/>
          <w:szCs w:val="24"/>
        </w:rPr>
        <w:t xml:space="preserve">espondent dated 20 October 2021 is hereby reviewed and set aside. </w:t>
      </w:r>
    </w:p>
    <w:p w14:paraId="777DDB0E" w14:textId="77777777" w:rsidR="00BF61DE" w:rsidRPr="00A660DF" w:rsidRDefault="00BF61DE" w:rsidP="00BF61DE">
      <w:pPr>
        <w:pStyle w:val="ListParagraph"/>
        <w:spacing w:after="0" w:line="360" w:lineRule="auto"/>
        <w:ind w:left="0"/>
        <w:jc w:val="both"/>
        <w:rPr>
          <w:rFonts w:ascii="Arial" w:hAnsi="Arial" w:cs="Arial"/>
          <w:sz w:val="24"/>
          <w:szCs w:val="24"/>
        </w:rPr>
      </w:pPr>
    </w:p>
    <w:p w14:paraId="3249A837" w14:textId="77777777" w:rsidR="00BF61DE" w:rsidRPr="00A660DF" w:rsidRDefault="00BF61DE" w:rsidP="00BF61DE">
      <w:pPr>
        <w:pStyle w:val="ListParagraph"/>
        <w:spacing w:after="0" w:line="360" w:lineRule="auto"/>
        <w:ind w:left="0"/>
        <w:jc w:val="both"/>
        <w:rPr>
          <w:rFonts w:ascii="Arial" w:hAnsi="Arial" w:cs="Arial"/>
          <w:sz w:val="24"/>
          <w:szCs w:val="24"/>
        </w:rPr>
      </w:pPr>
      <w:r w:rsidRPr="00A660DF">
        <w:rPr>
          <w:rFonts w:ascii="Arial" w:hAnsi="Arial" w:cs="Arial"/>
          <w:sz w:val="24"/>
          <w:szCs w:val="24"/>
        </w:rPr>
        <w:t>2.</w:t>
      </w:r>
      <w:r w:rsidRPr="00A660DF">
        <w:rPr>
          <w:rFonts w:ascii="Arial" w:hAnsi="Arial" w:cs="Arial"/>
          <w:sz w:val="24"/>
          <w:szCs w:val="24"/>
        </w:rPr>
        <w:tab/>
        <w:t xml:space="preserve">The application for the approval of designation made by the first and </w:t>
      </w:r>
      <w:r>
        <w:rPr>
          <w:rFonts w:ascii="Arial" w:hAnsi="Arial" w:cs="Arial"/>
          <w:sz w:val="24"/>
          <w:szCs w:val="24"/>
        </w:rPr>
        <w:t>s</w:t>
      </w:r>
      <w:r w:rsidRPr="00A660DF">
        <w:rPr>
          <w:rFonts w:ascii="Arial" w:hAnsi="Arial" w:cs="Arial"/>
          <w:sz w:val="24"/>
          <w:szCs w:val="24"/>
        </w:rPr>
        <w:t xml:space="preserve">econd </w:t>
      </w:r>
      <w:r>
        <w:rPr>
          <w:rFonts w:ascii="Arial" w:hAnsi="Arial" w:cs="Arial"/>
          <w:sz w:val="24"/>
          <w:szCs w:val="24"/>
        </w:rPr>
        <w:t>a</w:t>
      </w:r>
      <w:r w:rsidRPr="00A660DF">
        <w:rPr>
          <w:rFonts w:ascii="Arial" w:hAnsi="Arial" w:cs="Arial"/>
          <w:sz w:val="24"/>
          <w:szCs w:val="24"/>
        </w:rPr>
        <w:t xml:space="preserve">pplicants in terms of section 5 (1) of the Traditional Authorities Act 25 of 2000 is hereby remitted to the </w:t>
      </w:r>
      <w:r>
        <w:rPr>
          <w:rFonts w:ascii="Arial" w:hAnsi="Arial" w:cs="Arial"/>
          <w:sz w:val="24"/>
          <w:szCs w:val="24"/>
        </w:rPr>
        <w:t>f</w:t>
      </w:r>
      <w:r w:rsidRPr="00A660DF">
        <w:rPr>
          <w:rFonts w:ascii="Arial" w:hAnsi="Arial" w:cs="Arial"/>
          <w:sz w:val="24"/>
          <w:szCs w:val="24"/>
        </w:rPr>
        <w:t xml:space="preserve">irst </w:t>
      </w:r>
      <w:r>
        <w:rPr>
          <w:rFonts w:ascii="Arial" w:hAnsi="Arial" w:cs="Arial"/>
          <w:sz w:val="24"/>
          <w:szCs w:val="24"/>
        </w:rPr>
        <w:t>r</w:t>
      </w:r>
      <w:r w:rsidRPr="00A660DF">
        <w:rPr>
          <w:rFonts w:ascii="Arial" w:hAnsi="Arial" w:cs="Arial"/>
          <w:sz w:val="24"/>
          <w:szCs w:val="24"/>
        </w:rPr>
        <w:t>espondent.</w:t>
      </w:r>
    </w:p>
    <w:p w14:paraId="4EC710D5" w14:textId="77777777" w:rsidR="00BF61DE" w:rsidRPr="00A660DF" w:rsidRDefault="00BF61DE" w:rsidP="00BF61DE">
      <w:pPr>
        <w:pStyle w:val="ListParagraph"/>
        <w:spacing w:after="0" w:line="360" w:lineRule="auto"/>
        <w:ind w:left="0"/>
        <w:jc w:val="both"/>
        <w:rPr>
          <w:rFonts w:ascii="Arial" w:hAnsi="Arial" w:cs="Arial"/>
          <w:sz w:val="24"/>
          <w:szCs w:val="24"/>
        </w:rPr>
      </w:pPr>
    </w:p>
    <w:p w14:paraId="45DDA6D3" w14:textId="2A9B5317" w:rsidR="00BF61DE" w:rsidRPr="00A660DF" w:rsidRDefault="00BF61DE" w:rsidP="00BF61DE">
      <w:pPr>
        <w:pStyle w:val="ListParagraph"/>
        <w:spacing w:after="0" w:line="360" w:lineRule="auto"/>
        <w:ind w:left="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Pr="00A660DF">
        <w:rPr>
          <w:rFonts w:ascii="Arial" w:hAnsi="Arial" w:cs="Arial"/>
          <w:sz w:val="24"/>
          <w:szCs w:val="24"/>
        </w:rPr>
        <w:t xml:space="preserve">  </w:t>
      </w:r>
      <w:r>
        <w:rPr>
          <w:rFonts w:ascii="Arial" w:hAnsi="Arial" w:cs="Arial"/>
          <w:sz w:val="24"/>
          <w:szCs w:val="24"/>
        </w:rPr>
        <w:t xml:space="preserve">The respondents are ordered to pay the costs of the applicants jointly and severally, the one paying the other to be absolved. Such costs to include </w:t>
      </w:r>
      <w:r w:rsidRPr="00012C4D">
        <w:rPr>
          <w:rFonts w:ascii="Arial" w:hAnsi="Arial" w:cs="Arial"/>
          <w:sz w:val="24"/>
          <w:szCs w:val="24"/>
        </w:rPr>
        <w:t>the cost</w:t>
      </w:r>
      <w:r w:rsidR="003D074F" w:rsidRPr="00012C4D">
        <w:rPr>
          <w:rFonts w:ascii="Arial" w:hAnsi="Arial" w:cs="Arial"/>
          <w:sz w:val="24"/>
          <w:szCs w:val="24"/>
        </w:rPr>
        <w:t>s</w:t>
      </w:r>
      <w:r w:rsidRPr="00012C4D">
        <w:rPr>
          <w:rFonts w:ascii="Arial" w:hAnsi="Arial" w:cs="Arial"/>
          <w:sz w:val="24"/>
          <w:szCs w:val="24"/>
        </w:rPr>
        <w:t xml:space="preserve"> of</w:t>
      </w:r>
      <w:r w:rsidRPr="00A660DF">
        <w:rPr>
          <w:rFonts w:ascii="Arial" w:hAnsi="Arial" w:cs="Arial"/>
          <w:sz w:val="24"/>
          <w:szCs w:val="24"/>
        </w:rPr>
        <w:t xml:space="preserve"> one instructing and one instructed counsel.</w:t>
      </w:r>
    </w:p>
    <w:p w14:paraId="26C86D6D" w14:textId="77777777" w:rsidR="00FE488B" w:rsidRDefault="00FE488B" w:rsidP="00D121F8">
      <w:pPr>
        <w:spacing w:after="0" w:line="360" w:lineRule="auto"/>
        <w:jc w:val="both"/>
        <w:rPr>
          <w:rFonts w:ascii="Arial" w:hAnsi="Arial" w:cs="Arial"/>
          <w:sz w:val="24"/>
          <w:szCs w:val="24"/>
        </w:rPr>
      </w:pPr>
    </w:p>
    <w:p w14:paraId="4867B512" w14:textId="77777777" w:rsidR="00FF1075" w:rsidRDefault="00FF1075" w:rsidP="00D121F8">
      <w:pPr>
        <w:spacing w:after="0" w:line="360" w:lineRule="auto"/>
        <w:jc w:val="both"/>
        <w:rPr>
          <w:rFonts w:ascii="Arial" w:hAnsi="Arial" w:cs="Arial"/>
          <w:sz w:val="24"/>
          <w:szCs w:val="24"/>
        </w:rPr>
      </w:pPr>
    </w:p>
    <w:p w14:paraId="4D9A5E03" w14:textId="77777777" w:rsidR="00FF1075" w:rsidRDefault="00FF1075" w:rsidP="00D121F8">
      <w:pPr>
        <w:spacing w:after="0" w:line="360" w:lineRule="auto"/>
        <w:jc w:val="both"/>
        <w:rPr>
          <w:rFonts w:ascii="Arial" w:hAnsi="Arial" w:cs="Arial"/>
          <w:sz w:val="24"/>
          <w:szCs w:val="24"/>
        </w:rPr>
      </w:pPr>
    </w:p>
    <w:p w14:paraId="5225B172" w14:textId="1CDDD5CE" w:rsidR="00FE488B" w:rsidRDefault="00FE488B" w:rsidP="00FE488B">
      <w:pPr>
        <w:spacing w:after="0" w:line="360" w:lineRule="auto"/>
        <w:ind w:left="5760"/>
        <w:jc w:val="both"/>
        <w:rPr>
          <w:rFonts w:ascii="Arial" w:hAnsi="Arial" w:cs="Arial"/>
          <w:sz w:val="24"/>
          <w:szCs w:val="24"/>
        </w:rPr>
      </w:pPr>
      <w:r>
        <w:rPr>
          <w:rFonts w:ascii="Arial" w:hAnsi="Arial" w:cs="Arial"/>
          <w:sz w:val="24"/>
          <w:szCs w:val="24"/>
        </w:rPr>
        <w:t>______________________</w:t>
      </w:r>
    </w:p>
    <w:p w14:paraId="056009DE" w14:textId="5036CFA3" w:rsidR="00FE488B" w:rsidRDefault="00FE488B" w:rsidP="00FE488B">
      <w:pPr>
        <w:spacing w:after="0" w:line="360" w:lineRule="auto"/>
        <w:ind w:left="5760"/>
        <w:jc w:val="both"/>
        <w:rPr>
          <w:rFonts w:ascii="Arial" w:hAnsi="Arial" w:cs="Arial"/>
          <w:sz w:val="24"/>
          <w:szCs w:val="24"/>
        </w:rPr>
      </w:pPr>
      <w:r>
        <w:rPr>
          <w:rFonts w:ascii="Arial" w:hAnsi="Arial" w:cs="Arial"/>
          <w:sz w:val="24"/>
          <w:szCs w:val="24"/>
        </w:rPr>
        <w:t>JS Prinsloo</w:t>
      </w:r>
    </w:p>
    <w:p w14:paraId="2AA090D4" w14:textId="53220EAF" w:rsidR="00012C4D" w:rsidRDefault="00FE488B" w:rsidP="00A4375F">
      <w:pPr>
        <w:spacing w:after="0" w:line="360" w:lineRule="auto"/>
        <w:ind w:left="5760"/>
        <w:jc w:val="both"/>
        <w:rPr>
          <w:rFonts w:ascii="Arial" w:hAnsi="Arial" w:cs="Arial"/>
          <w:sz w:val="24"/>
          <w:szCs w:val="24"/>
        </w:rPr>
      </w:pPr>
      <w:r>
        <w:rPr>
          <w:rFonts w:ascii="Arial" w:hAnsi="Arial" w:cs="Arial"/>
          <w:sz w:val="24"/>
          <w:szCs w:val="24"/>
        </w:rPr>
        <w:t>Judge</w:t>
      </w:r>
    </w:p>
    <w:p w14:paraId="22D9E6A4" w14:textId="77777777" w:rsidR="00430392" w:rsidRDefault="00430392" w:rsidP="000323D6">
      <w:pPr>
        <w:spacing w:after="0" w:line="360" w:lineRule="auto"/>
        <w:ind w:left="4320" w:hanging="4320"/>
        <w:jc w:val="both"/>
        <w:rPr>
          <w:rFonts w:ascii="Arial" w:hAnsi="Arial" w:cs="Arial"/>
          <w:sz w:val="24"/>
          <w:szCs w:val="24"/>
        </w:rPr>
      </w:pPr>
    </w:p>
    <w:p w14:paraId="476869B8" w14:textId="00903928" w:rsidR="00FE488B" w:rsidRDefault="00FE488B" w:rsidP="000323D6">
      <w:pPr>
        <w:spacing w:after="0" w:line="360" w:lineRule="auto"/>
        <w:ind w:left="4320" w:hanging="4320"/>
        <w:jc w:val="both"/>
        <w:rPr>
          <w:rFonts w:ascii="Arial" w:hAnsi="Arial" w:cs="Arial"/>
          <w:sz w:val="24"/>
          <w:szCs w:val="24"/>
        </w:rPr>
      </w:pPr>
      <w:r>
        <w:rPr>
          <w:rFonts w:ascii="Arial" w:hAnsi="Arial" w:cs="Arial"/>
          <w:sz w:val="24"/>
          <w:szCs w:val="24"/>
        </w:rPr>
        <w:t xml:space="preserve">For the </w:t>
      </w:r>
      <w:r w:rsidR="000323D6">
        <w:rPr>
          <w:rFonts w:ascii="Arial" w:hAnsi="Arial" w:cs="Arial"/>
          <w:sz w:val="24"/>
          <w:szCs w:val="24"/>
        </w:rPr>
        <w:t>1</w:t>
      </w:r>
      <w:r w:rsidR="000323D6" w:rsidRPr="000323D6">
        <w:rPr>
          <w:rFonts w:ascii="Arial" w:hAnsi="Arial" w:cs="Arial"/>
          <w:sz w:val="24"/>
          <w:szCs w:val="24"/>
          <w:vertAlign w:val="superscript"/>
        </w:rPr>
        <w:t>st</w:t>
      </w:r>
      <w:r w:rsidR="000323D6">
        <w:rPr>
          <w:rFonts w:ascii="Arial" w:hAnsi="Arial" w:cs="Arial"/>
          <w:sz w:val="24"/>
          <w:szCs w:val="24"/>
        </w:rPr>
        <w:t xml:space="preserve"> and 2</w:t>
      </w:r>
      <w:r w:rsidR="000323D6" w:rsidRPr="000323D6">
        <w:rPr>
          <w:rFonts w:ascii="Arial" w:hAnsi="Arial" w:cs="Arial"/>
          <w:sz w:val="24"/>
          <w:szCs w:val="24"/>
          <w:vertAlign w:val="superscript"/>
        </w:rPr>
        <w:t>nd</w:t>
      </w:r>
      <w:r w:rsidR="000323D6">
        <w:rPr>
          <w:rFonts w:ascii="Arial" w:hAnsi="Arial" w:cs="Arial"/>
          <w:sz w:val="24"/>
          <w:szCs w:val="24"/>
        </w:rPr>
        <w:t xml:space="preserve"> applicants</w:t>
      </w:r>
      <w:r>
        <w:rPr>
          <w:rFonts w:ascii="Arial" w:hAnsi="Arial" w:cs="Arial"/>
          <w:sz w:val="24"/>
          <w:szCs w:val="24"/>
        </w:rPr>
        <w:t xml:space="preserve">: </w:t>
      </w:r>
      <w:r w:rsidR="000323D6">
        <w:rPr>
          <w:rFonts w:ascii="Arial" w:hAnsi="Arial" w:cs="Arial"/>
          <w:sz w:val="24"/>
          <w:szCs w:val="24"/>
        </w:rPr>
        <w:tab/>
        <w:t>T Chibwana (assisted by D Ann-Kaumbi)</w:t>
      </w:r>
    </w:p>
    <w:p w14:paraId="24581B70" w14:textId="1C88C5D4" w:rsidR="00FE488B" w:rsidRDefault="000323D6" w:rsidP="000323D6">
      <w:pPr>
        <w:spacing w:after="0" w:line="360" w:lineRule="auto"/>
        <w:ind w:left="3600" w:firstLine="720"/>
        <w:jc w:val="both"/>
        <w:rPr>
          <w:rFonts w:ascii="Arial" w:hAnsi="Arial" w:cs="Arial"/>
          <w:sz w:val="24"/>
          <w:szCs w:val="24"/>
        </w:rPr>
      </w:pPr>
      <w:r>
        <w:rPr>
          <w:rFonts w:ascii="Arial" w:hAnsi="Arial" w:cs="Arial"/>
          <w:sz w:val="24"/>
          <w:szCs w:val="24"/>
        </w:rPr>
        <w:t>Of Ueitele &amp; Hans Inc.</w:t>
      </w:r>
    </w:p>
    <w:p w14:paraId="415590D6" w14:textId="3E857CDD" w:rsidR="00FE488B" w:rsidRDefault="00FE488B" w:rsidP="000323D6">
      <w:pPr>
        <w:spacing w:after="0" w:line="360" w:lineRule="auto"/>
        <w:ind w:left="3600" w:firstLine="720"/>
        <w:jc w:val="both"/>
        <w:rPr>
          <w:rFonts w:ascii="Arial" w:hAnsi="Arial" w:cs="Arial"/>
          <w:sz w:val="24"/>
          <w:szCs w:val="24"/>
        </w:rPr>
      </w:pPr>
      <w:r>
        <w:rPr>
          <w:rFonts w:ascii="Arial" w:hAnsi="Arial" w:cs="Arial"/>
          <w:sz w:val="24"/>
          <w:szCs w:val="24"/>
        </w:rPr>
        <w:t>Windhoek</w:t>
      </w:r>
    </w:p>
    <w:p w14:paraId="726B2E43" w14:textId="77777777" w:rsidR="00FE488B" w:rsidRDefault="00FE488B" w:rsidP="00FE488B">
      <w:pPr>
        <w:spacing w:after="0" w:line="360" w:lineRule="auto"/>
        <w:jc w:val="both"/>
        <w:rPr>
          <w:rFonts w:ascii="Arial" w:hAnsi="Arial" w:cs="Arial"/>
          <w:sz w:val="24"/>
          <w:szCs w:val="24"/>
        </w:rPr>
      </w:pPr>
    </w:p>
    <w:p w14:paraId="14DAC27E" w14:textId="21C3A30D" w:rsidR="00FE488B" w:rsidRDefault="000323D6" w:rsidP="00FE488B">
      <w:pPr>
        <w:spacing w:after="0" w:line="360" w:lineRule="auto"/>
        <w:jc w:val="both"/>
        <w:rPr>
          <w:rFonts w:ascii="Arial" w:hAnsi="Arial" w:cs="Arial"/>
          <w:sz w:val="24"/>
          <w:szCs w:val="24"/>
        </w:rPr>
      </w:pPr>
      <w:r>
        <w:rPr>
          <w:rFonts w:ascii="Arial" w:hAnsi="Arial" w:cs="Arial"/>
          <w:sz w:val="24"/>
          <w:szCs w:val="24"/>
        </w:rPr>
        <w:t>For the respondents</w:t>
      </w:r>
      <w:r w:rsidR="00FE488B">
        <w:rPr>
          <w:rFonts w:ascii="Arial" w:hAnsi="Arial" w:cs="Arial"/>
          <w:sz w:val="24"/>
          <w:szCs w:val="24"/>
        </w:rPr>
        <w:t xml:space="preserve">: </w:t>
      </w:r>
      <w:r w:rsidR="00FE488B">
        <w:rPr>
          <w:rFonts w:ascii="Arial" w:hAnsi="Arial" w:cs="Arial"/>
          <w:sz w:val="24"/>
          <w:szCs w:val="24"/>
        </w:rPr>
        <w:tab/>
      </w:r>
      <w:r w:rsidR="00FE488B">
        <w:rPr>
          <w:rFonts w:ascii="Arial" w:hAnsi="Arial" w:cs="Arial"/>
          <w:sz w:val="24"/>
          <w:szCs w:val="24"/>
        </w:rPr>
        <w:tab/>
      </w:r>
      <w:r w:rsidR="00FE488B">
        <w:rPr>
          <w:rFonts w:ascii="Arial" w:hAnsi="Arial" w:cs="Arial"/>
          <w:sz w:val="24"/>
          <w:szCs w:val="24"/>
        </w:rPr>
        <w:tab/>
      </w:r>
      <w:r>
        <w:rPr>
          <w:rFonts w:ascii="Arial" w:hAnsi="Arial" w:cs="Arial"/>
          <w:sz w:val="24"/>
          <w:szCs w:val="24"/>
        </w:rPr>
        <w:t>J Ncube</w:t>
      </w:r>
    </w:p>
    <w:p w14:paraId="2F22344F" w14:textId="2DD11E9C" w:rsidR="00FE488B" w:rsidRDefault="00FE488B" w:rsidP="00FE48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5C24">
        <w:rPr>
          <w:rFonts w:ascii="Arial" w:hAnsi="Arial" w:cs="Arial"/>
          <w:sz w:val="24"/>
          <w:szCs w:val="24"/>
        </w:rPr>
        <w:t xml:space="preserve">Office of the </w:t>
      </w:r>
      <w:r>
        <w:rPr>
          <w:rFonts w:ascii="Arial" w:hAnsi="Arial" w:cs="Arial"/>
          <w:sz w:val="24"/>
          <w:szCs w:val="24"/>
        </w:rPr>
        <w:t>Government Attorneys</w:t>
      </w:r>
    </w:p>
    <w:p w14:paraId="22F32CE0" w14:textId="022E6B53" w:rsidR="00FE488B" w:rsidRPr="00D121F8" w:rsidRDefault="00FE488B" w:rsidP="00FE48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323D6">
        <w:rPr>
          <w:rFonts w:ascii="Arial" w:hAnsi="Arial" w:cs="Arial"/>
          <w:sz w:val="24"/>
          <w:szCs w:val="24"/>
        </w:rPr>
        <w:tab/>
      </w:r>
      <w:r w:rsidR="00CC5C24">
        <w:rPr>
          <w:rFonts w:ascii="Arial" w:hAnsi="Arial" w:cs="Arial"/>
          <w:sz w:val="24"/>
          <w:szCs w:val="24"/>
        </w:rPr>
        <w:t>Windhoek</w:t>
      </w:r>
    </w:p>
    <w:sectPr w:rsidR="00FE488B" w:rsidRPr="00D121F8" w:rsidSect="007F5C2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5DA34" w14:textId="77777777" w:rsidR="008457B1" w:rsidRDefault="008457B1" w:rsidP="00F20511">
      <w:pPr>
        <w:spacing w:after="0" w:line="240" w:lineRule="auto"/>
      </w:pPr>
      <w:r>
        <w:separator/>
      </w:r>
    </w:p>
  </w:endnote>
  <w:endnote w:type="continuationSeparator" w:id="0">
    <w:p w14:paraId="461D8434" w14:textId="77777777" w:rsidR="008457B1" w:rsidRDefault="008457B1" w:rsidP="00F2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F4C6E" w14:textId="77777777" w:rsidR="008457B1" w:rsidRDefault="008457B1" w:rsidP="00F20511">
      <w:pPr>
        <w:spacing w:after="0" w:line="240" w:lineRule="auto"/>
      </w:pPr>
      <w:r>
        <w:separator/>
      </w:r>
    </w:p>
  </w:footnote>
  <w:footnote w:type="continuationSeparator" w:id="0">
    <w:p w14:paraId="2CE3C444" w14:textId="77777777" w:rsidR="008457B1" w:rsidRDefault="008457B1" w:rsidP="00F20511">
      <w:pPr>
        <w:spacing w:after="0" w:line="240" w:lineRule="auto"/>
      </w:pPr>
      <w:r>
        <w:continuationSeparator/>
      </w:r>
    </w:p>
  </w:footnote>
  <w:footnote w:id="1">
    <w:p w14:paraId="42BB9CA0" w14:textId="4BA230A2" w:rsidR="00733569" w:rsidRDefault="00733569" w:rsidP="000C1649">
      <w:pPr>
        <w:pStyle w:val="FootnoteText"/>
        <w:spacing w:line="360" w:lineRule="auto"/>
      </w:pPr>
      <w:r w:rsidRPr="00054B6E">
        <w:rPr>
          <w:rStyle w:val="FootnoteReference"/>
          <w:rFonts w:ascii="Arial" w:hAnsi="Arial" w:cs="Arial"/>
        </w:rPr>
        <w:footnoteRef/>
      </w:r>
      <w:r w:rsidRPr="00054B6E">
        <w:rPr>
          <w:rFonts w:ascii="Arial" w:hAnsi="Arial" w:cs="Arial"/>
        </w:rPr>
        <w:t xml:space="preserve"> </w:t>
      </w:r>
      <w:r w:rsidRPr="00054B6E">
        <w:rPr>
          <w:rFonts w:ascii="Arial" w:hAnsi="Arial" w:cs="Arial"/>
          <w:i/>
          <w:iCs/>
          <w:color w:val="212529"/>
          <w:shd w:val="clear" w:color="auto" w:fill="FFFFFF"/>
        </w:rPr>
        <w:t>Nguvauva v Minister of Regional and Local Government Housing </w:t>
      </w:r>
      <w:r w:rsidRPr="00054B6E">
        <w:rPr>
          <w:rFonts w:ascii="Arial" w:hAnsi="Arial" w:cs="Arial"/>
          <w:color w:val="212529"/>
          <w:shd w:val="clear" w:color="auto" w:fill="FFFFFF"/>
        </w:rPr>
        <w:t>(A 254/2010) [2014] NAHCMD 290 (2 October 2014).</w:t>
      </w:r>
    </w:p>
  </w:footnote>
  <w:footnote w:id="2">
    <w:p w14:paraId="183ABB21" w14:textId="63C351C7" w:rsidR="00733569" w:rsidRPr="0076323F" w:rsidRDefault="00733569" w:rsidP="00CC153E">
      <w:pPr>
        <w:spacing w:after="0" w:line="360" w:lineRule="auto"/>
        <w:jc w:val="both"/>
        <w:rPr>
          <w:rFonts w:ascii="Arial" w:hAnsi="Arial" w:cs="Arial"/>
          <w:sz w:val="20"/>
          <w:szCs w:val="20"/>
        </w:rPr>
      </w:pPr>
      <w:r>
        <w:rPr>
          <w:rStyle w:val="FootnoteReference"/>
        </w:rPr>
        <w:footnoteRef/>
      </w:r>
      <w:r>
        <w:t xml:space="preserve"> </w:t>
      </w:r>
      <w:r w:rsidRPr="0076323F">
        <w:rPr>
          <w:rFonts w:ascii="Arial" w:hAnsi="Arial" w:cs="Arial"/>
          <w:i/>
          <w:sz w:val="20"/>
          <w:szCs w:val="20"/>
        </w:rPr>
        <w:t xml:space="preserve">Ovambanderu Traditional Council v Minister of Urban and Rural Development </w:t>
      </w:r>
      <w:r w:rsidRPr="0076323F">
        <w:rPr>
          <w:rFonts w:ascii="Arial" w:hAnsi="Arial" w:cs="Arial"/>
          <w:sz w:val="20"/>
          <w:szCs w:val="20"/>
        </w:rPr>
        <w:t>(HC-MD-CIV-MOT-REV-2019/00475) [2021] NAHCMD 343 (22 July 2021)</w:t>
      </w:r>
      <w:r>
        <w:rPr>
          <w:rFonts w:ascii="Arial" w:hAnsi="Arial" w:cs="Arial"/>
          <w:sz w:val="20"/>
          <w:szCs w:val="20"/>
        </w:rPr>
        <w:t>.</w:t>
      </w:r>
    </w:p>
    <w:p w14:paraId="6AB9CD05" w14:textId="60DEF37E" w:rsidR="00733569" w:rsidRDefault="00733569">
      <w:pPr>
        <w:pStyle w:val="FootnoteText"/>
      </w:pPr>
    </w:p>
  </w:footnote>
  <w:footnote w:id="3">
    <w:p w14:paraId="652B99D8" w14:textId="360698D9" w:rsidR="00733569" w:rsidRPr="008B2B7E" w:rsidRDefault="00733569" w:rsidP="00012C4D">
      <w:pPr>
        <w:pStyle w:val="FootnoteText"/>
        <w:spacing w:line="360" w:lineRule="auto"/>
        <w:rPr>
          <w:rFonts w:ascii="Arial" w:hAnsi="Arial" w:cs="Arial"/>
        </w:rPr>
      </w:pPr>
      <w:r>
        <w:rPr>
          <w:rStyle w:val="FootnoteReference"/>
        </w:rPr>
        <w:footnoteRef/>
      </w:r>
      <w:r>
        <w:t xml:space="preserve"> </w:t>
      </w:r>
      <w:r w:rsidRPr="008B2B7E">
        <w:rPr>
          <w:rFonts w:ascii="Arial" w:hAnsi="Arial" w:cs="Arial"/>
          <w:i/>
        </w:rPr>
        <w:t>Namibia Financial Exchange (Pty) Ltd v Chief Executive Officer of NAMFISA and others</w:t>
      </w:r>
      <w:r w:rsidRPr="008B2B7E">
        <w:rPr>
          <w:rFonts w:ascii="Arial" w:hAnsi="Arial" w:cs="Arial"/>
        </w:rPr>
        <w:t xml:space="preserve"> (SA 43 of 2017) [2019] NASC 590 (31 July 2019).</w:t>
      </w:r>
    </w:p>
  </w:footnote>
  <w:footnote w:id="4">
    <w:p w14:paraId="6583AB1F" w14:textId="14A2A3DD" w:rsidR="00733569" w:rsidRPr="000D0E1B" w:rsidRDefault="00733569">
      <w:pPr>
        <w:pStyle w:val="FootnoteText"/>
        <w:rPr>
          <w:rFonts w:ascii="Arial" w:hAnsi="Arial" w:cs="Arial"/>
        </w:rPr>
      </w:pPr>
      <w:r>
        <w:rPr>
          <w:rStyle w:val="FootnoteReference"/>
        </w:rPr>
        <w:footnoteRef/>
      </w:r>
      <w:r>
        <w:t xml:space="preserve"> </w:t>
      </w:r>
      <w:r w:rsidRPr="000D0E1B">
        <w:rPr>
          <w:rFonts w:ascii="Arial" w:hAnsi="Arial" w:cs="Arial"/>
          <w:i/>
        </w:rPr>
        <w:t>Namibia Financial Exchange (Pty) Ltd v Chief Executive Officer of NAMFISA and others</w:t>
      </w:r>
      <w:r w:rsidRPr="000D0E1B">
        <w:rPr>
          <w:rFonts w:ascii="Arial" w:hAnsi="Arial" w:cs="Arial"/>
        </w:rPr>
        <w:t xml:space="preserve"> (SA 43 of 2017) [2019] NASC 590 (31 July 2019)</w:t>
      </w:r>
      <w:r>
        <w:rPr>
          <w:rFonts w:ascii="Arial" w:hAnsi="Arial" w:cs="Arial"/>
        </w:rPr>
        <w:t xml:space="preserve">. </w:t>
      </w:r>
    </w:p>
  </w:footnote>
  <w:footnote w:id="5">
    <w:p w14:paraId="163EA5BF" w14:textId="5BB99E90" w:rsidR="00733569" w:rsidRPr="00DE5103" w:rsidRDefault="00733569">
      <w:pPr>
        <w:pStyle w:val="FootnoteText"/>
        <w:rPr>
          <w:rFonts w:ascii="Arial" w:hAnsi="Arial" w:cs="Arial"/>
        </w:rPr>
      </w:pPr>
      <w:r>
        <w:rPr>
          <w:rStyle w:val="FootnoteReference"/>
        </w:rPr>
        <w:footnoteRef/>
      </w:r>
      <w:r>
        <w:t xml:space="preserve"> </w:t>
      </w:r>
      <w:r w:rsidRPr="00DE5103">
        <w:rPr>
          <w:rFonts w:ascii="Arial" w:hAnsi="Arial" w:cs="Arial"/>
          <w:i/>
        </w:rPr>
        <w:t>Wightman t/a JW Construction v Headfour (Pty) Ltd and Another</w:t>
      </w:r>
      <w:r w:rsidRPr="00DE5103">
        <w:rPr>
          <w:rFonts w:ascii="Arial" w:hAnsi="Arial" w:cs="Arial"/>
        </w:rPr>
        <w:t xml:space="preserve"> 2008 (3) SA 371 (SCA). </w:t>
      </w:r>
    </w:p>
  </w:footnote>
  <w:footnote w:id="6">
    <w:p w14:paraId="07115345" w14:textId="3DCBF81F" w:rsidR="00733569" w:rsidRPr="00452183" w:rsidRDefault="00733569" w:rsidP="00452183">
      <w:pPr>
        <w:pStyle w:val="FootnoteText"/>
        <w:spacing w:line="360" w:lineRule="auto"/>
        <w:rPr>
          <w:rFonts w:ascii="Arial" w:hAnsi="Arial" w:cs="Arial"/>
        </w:rPr>
      </w:pPr>
      <w:r>
        <w:rPr>
          <w:rStyle w:val="FootnoteReference"/>
        </w:rPr>
        <w:footnoteRef/>
      </w:r>
      <w:r>
        <w:t xml:space="preserve"> </w:t>
      </w:r>
      <w:r w:rsidRPr="00452183">
        <w:rPr>
          <w:rFonts w:ascii="Arial" w:hAnsi="Arial" w:cs="Arial"/>
          <w:i/>
        </w:rPr>
        <w:t>Mouse Properties Ninety Eight CC v Minister of Urban and Rural Development and Others</w:t>
      </w:r>
      <w:r w:rsidRPr="00452183">
        <w:rPr>
          <w:rFonts w:ascii="Arial" w:hAnsi="Arial" w:cs="Arial"/>
        </w:rPr>
        <w:t xml:space="preserve"> (SA 14 of 2020) [2022] NASC 13 (11 April 2022)</w:t>
      </w:r>
      <w:r>
        <w:rPr>
          <w:rFonts w:ascii="Arial" w:hAnsi="Arial" w:cs="Arial"/>
        </w:rPr>
        <w:t xml:space="preserve">. </w:t>
      </w:r>
    </w:p>
  </w:footnote>
  <w:footnote w:id="7">
    <w:p w14:paraId="7D1B7C4F" w14:textId="14D7E3EA" w:rsidR="00733569" w:rsidRPr="00350DEF" w:rsidRDefault="00733569" w:rsidP="00350DEF">
      <w:pPr>
        <w:pStyle w:val="FootnoteText"/>
        <w:spacing w:line="360" w:lineRule="auto"/>
        <w:rPr>
          <w:rFonts w:ascii="Arial" w:hAnsi="Arial" w:cs="Arial"/>
        </w:rPr>
      </w:pPr>
      <w:r>
        <w:rPr>
          <w:rStyle w:val="FootnoteReference"/>
        </w:rPr>
        <w:footnoteRef/>
      </w:r>
      <w:r>
        <w:t xml:space="preserve"> </w:t>
      </w:r>
      <w:r w:rsidRPr="00350DEF">
        <w:rPr>
          <w:rFonts w:ascii="Arial" w:hAnsi="Arial" w:cs="Arial"/>
          <w:i/>
        </w:rPr>
        <w:t xml:space="preserve">Auas Valley Residents Association and Others v Minister of Environment and Tourism and Others </w:t>
      </w:r>
      <w:r w:rsidRPr="00350DEF">
        <w:rPr>
          <w:rFonts w:ascii="Arial" w:hAnsi="Arial" w:cs="Arial"/>
        </w:rPr>
        <w:t>(HC-MD-CIV-APP-ATL 3 of 2018) [2018] NAHCMD 267 (4 September 2018)</w:t>
      </w:r>
      <w:r>
        <w:rPr>
          <w:rFonts w:ascii="Arial" w:hAnsi="Arial" w:cs="Arial"/>
        </w:rPr>
        <w:t xml:space="preserve">. </w:t>
      </w:r>
    </w:p>
  </w:footnote>
  <w:footnote w:id="8">
    <w:p w14:paraId="65284448" w14:textId="1B9A0C7B" w:rsidR="00733569" w:rsidRPr="006D25BB" w:rsidRDefault="00733569" w:rsidP="00A10FC0">
      <w:pPr>
        <w:pStyle w:val="FootnoteText"/>
        <w:spacing w:line="360" w:lineRule="auto"/>
        <w:jc w:val="both"/>
        <w:rPr>
          <w:rFonts w:ascii="Arial" w:hAnsi="Arial" w:cs="Arial"/>
        </w:rPr>
      </w:pPr>
      <w:r>
        <w:rPr>
          <w:rStyle w:val="FootnoteReference"/>
        </w:rPr>
        <w:footnoteRef/>
      </w:r>
      <w:r>
        <w:t xml:space="preserve"> </w:t>
      </w:r>
      <w:r w:rsidRPr="006D25BB">
        <w:rPr>
          <w:rFonts w:ascii="Arial" w:hAnsi="Arial" w:cs="Arial"/>
          <w:i/>
        </w:rPr>
        <w:t>Fire Tech Systems CC v Namibia Airports Company Limited</w:t>
      </w:r>
      <w:r w:rsidRPr="006D25BB">
        <w:rPr>
          <w:rFonts w:ascii="Arial" w:hAnsi="Arial" w:cs="Arial"/>
        </w:rPr>
        <w:t xml:space="preserve"> (A 330-2014) [2016] NAHCMD 220 (22 July 2016)</w:t>
      </w:r>
      <w:r>
        <w:rPr>
          <w:rFonts w:ascii="Arial" w:hAnsi="Arial" w:cs="Arial"/>
        </w:rPr>
        <w:t xml:space="preserve"> para 40</w:t>
      </w:r>
      <w:r w:rsidRPr="006D25BB">
        <w:rPr>
          <w:rFonts w:ascii="Arial" w:hAnsi="Arial" w:cs="Arial"/>
        </w:rPr>
        <w:t>.</w:t>
      </w:r>
    </w:p>
  </w:footnote>
  <w:footnote w:id="9">
    <w:p w14:paraId="547B8C3A" w14:textId="7EAEC098" w:rsidR="00733569" w:rsidRPr="00A10FC0" w:rsidRDefault="00733569" w:rsidP="00A10FC0">
      <w:pPr>
        <w:pStyle w:val="FootnoteText"/>
        <w:jc w:val="both"/>
        <w:rPr>
          <w:rFonts w:ascii="Arial" w:hAnsi="Arial" w:cs="Arial"/>
        </w:rPr>
      </w:pPr>
      <w:r>
        <w:rPr>
          <w:rStyle w:val="FootnoteReference"/>
        </w:rPr>
        <w:footnoteRef/>
      </w:r>
      <w:r>
        <w:t xml:space="preserve"> </w:t>
      </w:r>
      <w:r w:rsidRPr="00A10FC0">
        <w:rPr>
          <w:rFonts w:ascii="Arial" w:hAnsi="Arial" w:cs="Arial"/>
          <w:i/>
        </w:rPr>
        <w:t>New Era Investment (Pty) Ltd v The Roads Authority</w:t>
      </w:r>
      <w:r w:rsidRPr="00A10FC0">
        <w:rPr>
          <w:rFonts w:ascii="Arial" w:hAnsi="Arial" w:cs="Arial"/>
        </w:rPr>
        <w:t xml:space="preserve"> (A 05/2014) [2014] NAHCMD 56 (20 February 2014).</w:t>
      </w:r>
    </w:p>
  </w:footnote>
  <w:footnote w:id="10">
    <w:p w14:paraId="205A5315" w14:textId="5DCA55BC" w:rsidR="00733569" w:rsidRDefault="00733569">
      <w:pPr>
        <w:pStyle w:val="FootnoteText"/>
      </w:pPr>
      <w:r>
        <w:rPr>
          <w:rStyle w:val="FootnoteReference"/>
        </w:rPr>
        <w:footnoteRef/>
      </w:r>
      <w:r>
        <w:t xml:space="preserve"> </w:t>
      </w:r>
      <w:r>
        <w:rPr>
          <w:rFonts w:ascii="Arial" w:hAnsi="Arial" w:cs="Arial"/>
        </w:rPr>
        <w:t>P</w:t>
      </w:r>
      <w:r w:rsidRPr="00154652">
        <w:rPr>
          <w:rFonts w:ascii="Arial" w:hAnsi="Arial" w:cs="Arial"/>
        </w:rPr>
        <w:t>resumably under case HC-MD-CIV-MOT-REV-2019/00475</w:t>
      </w:r>
      <w:r>
        <w:rPr>
          <w:rFonts w:ascii="Arial" w:hAnsi="Arial" w:cs="Arial"/>
        </w:rPr>
        <w:t>.</w:t>
      </w:r>
    </w:p>
  </w:footnote>
  <w:footnote w:id="11">
    <w:p w14:paraId="383325C2" w14:textId="713D817C" w:rsidR="00733569" w:rsidRDefault="00733569" w:rsidP="00A4375F">
      <w:pPr>
        <w:pStyle w:val="FootnoteText"/>
        <w:spacing w:line="360" w:lineRule="auto"/>
      </w:pPr>
      <w:r>
        <w:rPr>
          <w:rStyle w:val="FootnoteReference"/>
        </w:rPr>
        <w:footnoteRef/>
      </w:r>
      <w:r>
        <w:t xml:space="preserve"> </w:t>
      </w:r>
      <w:r>
        <w:rPr>
          <w:rFonts w:ascii="Arial" w:hAnsi="Arial"/>
          <w:i/>
        </w:rPr>
        <w:t xml:space="preserve">Ovambanderu Traditional Authority v Minister of Urban and Rural Development </w:t>
      </w:r>
      <w:r>
        <w:rPr>
          <w:rFonts w:ascii="Arial" w:hAnsi="Arial"/>
        </w:rPr>
        <w:t>(HC-MD-CIV-MOT-REV-2019/00239) [2023] NAHCMD 525 (25 August 2023).</w:t>
      </w:r>
    </w:p>
  </w:footnote>
  <w:footnote w:id="12">
    <w:p w14:paraId="3079B38B" w14:textId="12E09048" w:rsidR="00733569" w:rsidRPr="006435B0" w:rsidRDefault="00733569" w:rsidP="00322951">
      <w:pPr>
        <w:pStyle w:val="Heading2"/>
        <w:shd w:val="clear" w:color="auto" w:fill="FFFFFF"/>
        <w:spacing w:before="240" w:after="180" w:line="288" w:lineRule="atLeast"/>
        <w:rPr>
          <w:sz w:val="20"/>
          <w:szCs w:val="20"/>
        </w:rPr>
      </w:pPr>
      <w:r>
        <w:rPr>
          <w:rStyle w:val="FootnoteReference"/>
        </w:rPr>
        <w:footnoteRef/>
      </w:r>
      <w:r>
        <w:t xml:space="preserve"> </w:t>
      </w:r>
      <w:r w:rsidRPr="00322951">
        <w:rPr>
          <w:bCs/>
          <w:sz w:val="20"/>
          <w:szCs w:val="20"/>
        </w:rPr>
        <w:t>Matador Enterprises (Pt</w:t>
      </w:r>
      <w:r w:rsidR="00A4375F">
        <w:rPr>
          <w:bCs/>
          <w:sz w:val="20"/>
          <w:szCs w:val="20"/>
        </w:rPr>
        <w:t xml:space="preserve">y) Limited v Minister of </w:t>
      </w:r>
      <w:r w:rsidR="00A4375F" w:rsidRPr="00197EEA">
        <w:rPr>
          <w:bCs/>
          <w:sz w:val="20"/>
          <w:szCs w:val="20"/>
        </w:rPr>
        <w:t>Trade a</w:t>
      </w:r>
      <w:r w:rsidRPr="00197EEA">
        <w:rPr>
          <w:bCs/>
          <w:sz w:val="20"/>
          <w:szCs w:val="20"/>
        </w:rPr>
        <w:t>nd Industry and Others; In Re: Clover Dairy Namibia (Pty) Ltd a</w:t>
      </w:r>
      <w:r w:rsidR="00A4375F" w:rsidRPr="00197EEA">
        <w:rPr>
          <w:bCs/>
          <w:sz w:val="20"/>
          <w:szCs w:val="20"/>
        </w:rPr>
        <w:t>nd Another v Minister of Trade a</w:t>
      </w:r>
      <w:r w:rsidRPr="00197EEA">
        <w:rPr>
          <w:bCs/>
          <w:sz w:val="20"/>
          <w:szCs w:val="20"/>
        </w:rPr>
        <w:t xml:space="preserve">nd Industry and Others </w:t>
      </w:r>
      <w:r w:rsidRPr="00197EEA">
        <w:rPr>
          <w:bCs/>
          <w:i w:val="0"/>
          <w:sz w:val="20"/>
          <w:szCs w:val="20"/>
        </w:rPr>
        <w:t>(A 352/2013, A 386/2013) [2014] NAHCMD 156 (16 May 2014).</w:t>
      </w:r>
    </w:p>
    <w:p w14:paraId="24CBC5D6" w14:textId="730A85B7" w:rsidR="00733569" w:rsidRDefault="0073356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17656"/>
      <w:docPartObj>
        <w:docPartGallery w:val="Page Numbers (Top of Page)"/>
        <w:docPartUnique/>
      </w:docPartObj>
    </w:sdtPr>
    <w:sdtEndPr>
      <w:rPr>
        <w:noProof/>
      </w:rPr>
    </w:sdtEndPr>
    <w:sdtContent>
      <w:p w14:paraId="20F34459" w14:textId="071FA95F" w:rsidR="00733569" w:rsidRDefault="00733569">
        <w:pPr>
          <w:pStyle w:val="Header"/>
          <w:jc w:val="right"/>
        </w:pPr>
        <w:r>
          <w:fldChar w:fldCharType="begin"/>
        </w:r>
        <w:r>
          <w:instrText xml:space="preserve"> PAGE   \* MERGEFORMAT </w:instrText>
        </w:r>
        <w:r>
          <w:fldChar w:fldCharType="separate"/>
        </w:r>
        <w:r w:rsidR="00B91A24">
          <w:rPr>
            <w:noProof/>
          </w:rPr>
          <w:t>21</w:t>
        </w:r>
        <w:r>
          <w:rPr>
            <w:noProof/>
          </w:rPr>
          <w:fldChar w:fldCharType="end"/>
        </w:r>
      </w:p>
    </w:sdtContent>
  </w:sdt>
  <w:p w14:paraId="65A6866B" w14:textId="77777777" w:rsidR="00733569" w:rsidRDefault="00733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21FC"/>
    <w:multiLevelType w:val="hybridMultilevel"/>
    <w:tmpl w:val="3DB47A7A"/>
    <w:lvl w:ilvl="0" w:tplc="F5DEE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154F2"/>
    <w:multiLevelType w:val="hybridMultilevel"/>
    <w:tmpl w:val="1D64D948"/>
    <w:lvl w:ilvl="0" w:tplc="8B20D7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7FF61E3"/>
    <w:multiLevelType w:val="hybridMultilevel"/>
    <w:tmpl w:val="3EF480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E2702"/>
    <w:multiLevelType w:val="hybridMultilevel"/>
    <w:tmpl w:val="62C0C23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2B5C"/>
    <w:multiLevelType w:val="hybridMultilevel"/>
    <w:tmpl w:val="487ACD9A"/>
    <w:lvl w:ilvl="0" w:tplc="8B20D74C">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5">
    <w:nsid w:val="161C6310"/>
    <w:multiLevelType w:val="hybridMultilevel"/>
    <w:tmpl w:val="45D69FE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21D6D"/>
    <w:multiLevelType w:val="hybridMultilevel"/>
    <w:tmpl w:val="D11A79AE"/>
    <w:lvl w:ilvl="0" w:tplc="90908E5E">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01336"/>
    <w:multiLevelType w:val="hybridMultilevel"/>
    <w:tmpl w:val="51D4A7E4"/>
    <w:lvl w:ilvl="0" w:tplc="C47EA04E">
      <w:start w:val="17"/>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128F5"/>
    <w:multiLevelType w:val="hybridMultilevel"/>
    <w:tmpl w:val="F33AB330"/>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269A09D2"/>
    <w:multiLevelType w:val="multilevel"/>
    <w:tmpl w:val="FBB63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F5187A"/>
    <w:multiLevelType w:val="hybridMultilevel"/>
    <w:tmpl w:val="4772766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670EC"/>
    <w:multiLevelType w:val="hybridMultilevel"/>
    <w:tmpl w:val="DC5A1AAA"/>
    <w:lvl w:ilvl="0" w:tplc="F5BE3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1B22FE"/>
    <w:multiLevelType w:val="hybridMultilevel"/>
    <w:tmpl w:val="3CE6CA70"/>
    <w:lvl w:ilvl="0" w:tplc="21BEE210">
      <w:start w:val="60"/>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55598"/>
    <w:multiLevelType w:val="hybridMultilevel"/>
    <w:tmpl w:val="DB444A7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4170D"/>
    <w:multiLevelType w:val="hybridMultilevel"/>
    <w:tmpl w:val="09869F54"/>
    <w:lvl w:ilvl="0" w:tplc="028E64B2">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74659"/>
    <w:multiLevelType w:val="hybridMultilevel"/>
    <w:tmpl w:val="FF3C2FBA"/>
    <w:lvl w:ilvl="0" w:tplc="662AF6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92C39"/>
    <w:multiLevelType w:val="hybridMultilevel"/>
    <w:tmpl w:val="1C1843E4"/>
    <w:lvl w:ilvl="0" w:tplc="70DE7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E2275"/>
    <w:multiLevelType w:val="hybridMultilevel"/>
    <w:tmpl w:val="10248D24"/>
    <w:lvl w:ilvl="0" w:tplc="D1927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0577E"/>
    <w:multiLevelType w:val="hybridMultilevel"/>
    <w:tmpl w:val="2474DC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524B6"/>
    <w:multiLevelType w:val="hybridMultilevel"/>
    <w:tmpl w:val="4B2C44FE"/>
    <w:lvl w:ilvl="0" w:tplc="31001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937C9"/>
    <w:multiLevelType w:val="hybridMultilevel"/>
    <w:tmpl w:val="3D60FCC0"/>
    <w:lvl w:ilvl="0" w:tplc="283A7D14">
      <w:start w:val="1"/>
      <w:numFmt w:val="decimal"/>
      <w:lvlText w:val="[%1]"/>
      <w:lvlJc w:val="left"/>
      <w:pPr>
        <w:ind w:left="720" w:hanging="360"/>
      </w:pPr>
      <w:rPr>
        <w:rFonts w:hint="default"/>
        <w:b w:val="0"/>
        <w:i w:val="0"/>
        <w:color w:val="auto"/>
        <w:sz w:val="24"/>
        <w:szCs w:val="24"/>
      </w:rPr>
    </w:lvl>
    <w:lvl w:ilvl="1" w:tplc="70388A86">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47F"/>
    <w:multiLevelType w:val="hybridMultilevel"/>
    <w:tmpl w:val="38DCA73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1362D"/>
    <w:multiLevelType w:val="hybridMultilevel"/>
    <w:tmpl w:val="AA5050AA"/>
    <w:lvl w:ilvl="0" w:tplc="5628D54E">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3">
    <w:nsid w:val="4BEA091D"/>
    <w:multiLevelType w:val="hybridMultilevel"/>
    <w:tmpl w:val="AF224D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2A6D98"/>
    <w:multiLevelType w:val="hybridMultilevel"/>
    <w:tmpl w:val="957097FE"/>
    <w:lvl w:ilvl="0" w:tplc="57BA13A2">
      <w:start w:val="1"/>
      <w:numFmt w:val="lowerRoman"/>
      <w:lvlText w:val="%1)"/>
      <w:lvlJc w:val="left"/>
      <w:pPr>
        <w:ind w:left="1287"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EE65CF"/>
    <w:multiLevelType w:val="hybridMultilevel"/>
    <w:tmpl w:val="98F8CC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F5D4A"/>
    <w:multiLevelType w:val="hybridMultilevel"/>
    <w:tmpl w:val="79B44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66F96"/>
    <w:multiLevelType w:val="hybridMultilevel"/>
    <w:tmpl w:val="5C2C8B2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02D8D"/>
    <w:multiLevelType w:val="hybridMultilevel"/>
    <w:tmpl w:val="19E47E18"/>
    <w:lvl w:ilvl="0" w:tplc="DE12FBF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A3101"/>
    <w:multiLevelType w:val="hybridMultilevel"/>
    <w:tmpl w:val="5A02788A"/>
    <w:lvl w:ilvl="0" w:tplc="5DFC114A">
      <w:start w:val="6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05B6A"/>
    <w:multiLevelType w:val="hybridMultilevel"/>
    <w:tmpl w:val="88268DC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B29425A"/>
    <w:multiLevelType w:val="hybridMultilevel"/>
    <w:tmpl w:val="79122B9E"/>
    <w:lvl w:ilvl="0" w:tplc="0B3AEE7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045D6"/>
    <w:multiLevelType w:val="hybridMultilevel"/>
    <w:tmpl w:val="AA86804A"/>
    <w:lvl w:ilvl="0" w:tplc="E68E9AE6">
      <w:start w:val="23"/>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1C3DC1"/>
    <w:multiLevelType w:val="hybridMultilevel"/>
    <w:tmpl w:val="D10899EA"/>
    <w:lvl w:ilvl="0" w:tplc="8B0277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F6EA2"/>
    <w:multiLevelType w:val="hybridMultilevel"/>
    <w:tmpl w:val="041E2E58"/>
    <w:lvl w:ilvl="0" w:tplc="8B20D74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71B02"/>
    <w:multiLevelType w:val="hybridMultilevel"/>
    <w:tmpl w:val="C3E4772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03670"/>
    <w:multiLevelType w:val="hybridMultilevel"/>
    <w:tmpl w:val="6D745BF8"/>
    <w:lvl w:ilvl="0" w:tplc="ED243C60">
      <w:start w:val="44"/>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D41B3"/>
    <w:multiLevelType w:val="hybridMultilevel"/>
    <w:tmpl w:val="1398FB40"/>
    <w:lvl w:ilvl="0" w:tplc="77E2A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74118"/>
    <w:multiLevelType w:val="hybridMultilevel"/>
    <w:tmpl w:val="D3BEBC8A"/>
    <w:lvl w:ilvl="0" w:tplc="21BEE210">
      <w:start w:val="60"/>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30"/>
  </w:num>
  <w:num w:numId="4">
    <w:abstractNumId w:val="34"/>
  </w:num>
  <w:num w:numId="5">
    <w:abstractNumId w:val="5"/>
  </w:num>
  <w:num w:numId="6">
    <w:abstractNumId w:val="4"/>
  </w:num>
  <w:num w:numId="7">
    <w:abstractNumId w:val="21"/>
  </w:num>
  <w:num w:numId="8">
    <w:abstractNumId w:val="6"/>
  </w:num>
  <w:num w:numId="9">
    <w:abstractNumId w:val="27"/>
  </w:num>
  <w:num w:numId="10">
    <w:abstractNumId w:val="15"/>
  </w:num>
  <w:num w:numId="11">
    <w:abstractNumId w:val="31"/>
  </w:num>
  <w:num w:numId="12">
    <w:abstractNumId w:val="7"/>
  </w:num>
  <w:num w:numId="13">
    <w:abstractNumId w:val="23"/>
  </w:num>
  <w:num w:numId="14">
    <w:abstractNumId w:val="32"/>
  </w:num>
  <w:num w:numId="15">
    <w:abstractNumId w:val="14"/>
  </w:num>
  <w:num w:numId="16">
    <w:abstractNumId w:val="19"/>
  </w:num>
  <w:num w:numId="17">
    <w:abstractNumId w:val="10"/>
  </w:num>
  <w:num w:numId="18">
    <w:abstractNumId w:val="38"/>
  </w:num>
  <w:num w:numId="19">
    <w:abstractNumId w:val="12"/>
  </w:num>
  <w:num w:numId="20">
    <w:abstractNumId w:val="29"/>
  </w:num>
  <w:num w:numId="21">
    <w:abstractNumId w:val="8"/>
  </w:num>
  <w:num w:numId="22">
    <w:abstractNumId w:val="33"/>
  </w:num>
  <w:num w:numId="23">
    <w:abstractNumId w:val="28"/>
  </w:num>
  <w:num w:numId="24">
    <w:abstractNumId w:val="0"/>
  </w:num>
  <w:num w:numId="25">
    <w:abstractNumId w:val="37"/>
  </w:num>
  <w:num w:numId="26">
    <w:abstractNumId w:val="16"/>
  </w:num>
  <w:num w:numId="27">
    <w:abstractNumId w:val="3"/>
  </w:num>
  <w:num w:numId="28">
    <w:abstractNumId w:val="20"/>
  </w:num>
  <w:num w:numId="29">
    <w:abstractNumId w:val="9"/>
  </w:num>
  <w:num w:numId="30">
    <w:abstractNumId w:val="35"/>
  </w:num>
  <w:num w:numId="31">
    <w:abstractNumId w:val="17"/>
  </w:num>
  <w:num w:numId="32">
    <w:abstractNumId w:val="11"/>
  </w:num>
  <w:num w:numId="33">
    <w:abstractNumId w:val="26"/>
  </w:num>
  <w:num w:numId="34">
    <w:abstractNumId w:val="13"/>
  </w:num>
  <w:num w:numId="35">
    <w:abstractNumId w:val="36"/>
  </w:num>
  <w:num w:numId="36">
    <w:abstractNumId w:val="1"/>
  </w:num>
  <w:num w:numId="37">
    <w:abstractNumId w:val="25"/>
  </w:num>
  <w:num w:numId="38">
    <w:abstractNumId w:val="1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9B"/>
    <w:rsid w:val="00000E99"/>
    <w:rsid w:val="000032BE"/>
    <w:rsid w:val="00004E9E"/>
    <w:rsid w:val="00011E47"/>
    <w:rsid w:val="00012C4D"/>
    <w:rsid w:val="00025B51"/>
    <w:rsid w:val="00025CD0"/>
    <w:rsid w:val="000267EE"/>
    <w:rsid w:val="000274FA"/>
    <w:rsid w:val="000310B9"/>
    <w:rsid w:val="000323D6"/>
    <w:rsid w:val="00032AFF"/>
    <w:rsid w:val="00033CFE"/>
    <w:rsid w:val="00037117"/>
    <w:rsid w:val="00040470"/>
    <w:rsid w:val="00042360"/>
    <w:rsid w:val="00050C70"/>
    <w:rsid w:val="00054219"/>
    <w:rsid w:val="00054B6E"/>
    <w:rsid w:val="00066240"/>
    <w:rsid w:val="0007484A"/>
    <w:rsid w:val="00077C88"/>
    <w:rsid w:val="00081433"/>
    <w:rsid w:val="00081711"/>
    <w:rsid w:val="000833AA"/>
    <w:rsid w:val="000837C3"/>
    <w:rsid w:val="00087356"/>
    <w:rsid w:val="00094FB5"/>
    <w:rsid w:val="000966ED"/>
    <w:rsid w:val="0009679D"/>
    <w:rsid w:val="000A1871"/>
    <w:rsid w:val="000A2699"/>
    <w:rsid w:val="000C0BFE"/>
    <w:rsid w:val="000C1649"/>
    <w:rsid w:val="000C32E4"/>
    <w:rsid w:val="000D0E1B"/>
    <w:rsid w:val="000E4198"/>
    <w:rsid w:val="000F22C4"/>
    <w:rsid w:val="000F25E6"/>
    <w:rsid w:val="000F3668"/>
    <w:rsid w:val="000F604A"/>
    <w:rsid w:val="001054C1"/>
    <w:rsid w:val="001059E6"/>
    <w:rsid w:val="001071BA"/>
    <w:rsid w:val="00110D5F"/>
    <w:rsid w:val="001114C7"/>
    <w:rsid w:val="001132EC"/>
    <w:rsid w:val="00116342"/>
    <w:rsid w:val="00117D06"/>
    <w:rsid w:val="00132871"/>
    <w:rsid w:val="00133289"/>
    <w:rsid w:val="0014004D"/>
    <w:rsid w:val="00154652"/>
    <w:rsid w:val="00155498"/>
    <w:rsid w:val="0016500E"/>
    <w:rsid w:val="00167EC8"/>
    <w:rsid w:val="00170259"/>
    <w:rsid w:val="00177330"/>
    <w:rsid w:val="00182384"/>
    <w:rsid w:val="00183669"/>
    <w:rsid w:val="00193841"/>
    <w:rsid w:val="001953C3"/>
    <w:rsid w:val="00195679"/>
    <w:rsid w:val="00197EEA"/>
    <w:rsid w:val="001A45E1"/>
    <w:rsid w:val="001A5B8E"/>
    <w:rsid w:val="001B2A01"/>
    <w:rsid w:val="001B5B5E"/>
    <w:rsid w:val="001C0047"/>
    <w:rsid w:val="001C085D"/>
    <w:rsid w:val="001C2639"/>
    <w:rsid w:val="001C7178"/>
    <w:rsid w:val="001D57C1"/>
    <w:rsid w:val="001E1A6A"/>
    <w:rsid w:val="001F0919"/>
    <w:rsid w:val="001F5F07"/>
    <w:rsid w:val="00200354"/>
    <w:rsid w:val="002044FB"/>
    <w:rsid w:val="002107F8"/>
    <w:rsid w:val="00210A9B"/>
    <w:rsid w:val="0021545B"/>
    <w:rsid w:val="0023302A"/>
    <w:rsid w:val="00233A8E"/>
    <w:rsid w:val="002409A0"/>
    <w:rsid w:val="002477A0"/>
    <w:rsid w:val="002567EE"/>
    <w:rsid w:val="002570CE"/>
    <w:rsid w:val="0026707D"/>
    <w:rsid w:val="00290AF6"/>
    <w:rsid w:val="00292604"/>
    <w:rsid w:val="00293263"/>
    <w:rsid w:val="002A04AB"/>
    <w:rsid w:val="002A192B"/>
    <w:rsid w:val="002B3D9E"/>
    <w:rsid w:val="002D2ACB"/>
    <w:rsid w:val="002D5A5F"/>
    <w:rsid w:val="002D5BD9"/>
    <w:rsid w:val="002E0B7B"/>
    <w:rsid w:val="002E11D1"/>
    <w:rsid w:val="002E569B"/>
    <w:rsid w:val="002E63D7"/>
    <w:rsid w:val="002E7948"/>
    <w:rsid w:val="002F7880"/>
    <w:rsid w:val="0030634A"/>
    <w:rsid w:val="003117F0"/>
    <w:rsid w:val="0031281E"/>
    <w:rsid w:val="00315F45"/>
    <w:rsid w:val="00317835"/>
    <w:rsid w:val="00322951"/>
    <w:rsid w:val="00323864"/>
    <w:rsid w:val="0032555E"/>
    <w:rsid w:val="0032583D"/>
    <w:rsid w:val="00327AA9"/>
    <w:rsid w:val="00344A36"/>
    <w:rsid w:val="0035014F"/>
    <w:rsid w:val="00350DEF"/>
    <w:rsid w:val="00357288"/>
    <w:rsid w:val="00360673"/>
    <w:rsid w:val="00370D6E"/>
    <w:rsid w:val="003732AF"/>
    <w:rsid w:val="00381528"/>
    <w:rsid w:val="003A0A7C"/>
    <w:rsid w:val="003A15A3"/>
    <w:rsid w:val="003A18AA"/>
    <w:rsid w:val="003A71FE"/>
    <w:rsid w:val="003B1445"/>
    <w:rsid w:val="003B5CC5"/>
    <w:rsid w:val="003C0AC1"/>
    <w:rsid w:val="003D074F"/>
    <w:rsid w:val="003D272A"/>
    <w:rsid w:val="003D4C62"/>
    <w:rsid w:val="003D4E1E"/>
    <w:rsid w:val="003E3A6F"/>
    <w:rsid w:val="003F18DC"/>
    <w:rsid w:val="0040656F"/>
    <w:rsid w:val="00415955"/>
    <w:rsid w:val="0041618C"/>
    <w:rsid w:val="00420493"/>
    <w:rsid w:val="004219EC"/>
    <w:rsid w:val="00425B59"/>
    <w:rsid w:val="00430392"/>
    <w:rsid w:val="0044411B"/>
    <w:rsid w:val="00452183"/>
    <w:rsid w:val="00453E78"/>
    <w:rsid w:val="00473EF2"/>
    <w:rsid w:val="0048243A"/>
    <w:rsid w:val="00485A17"/>
    <w:rsid w:val="00496080"/>
    <w:rsid w:val="004A6258"/>
    <w:rsid w:val="004B49CA"/>
    <w:rsid w:val="004B5E7A"/>
    <w:rsid w:val="004C3E17"/>
    <w:rsid w:val="004E177B"/>
    <w:rsid w:val="004E3FDB"/>
    <w:rsid w:val="004E5566"/>
    <w:rsid w:val="004F0B5D"/>
    <w:rsid w:val="005008E5"/>
    <w:rsid w:val="0051513E"/>
    <w:rsid w:val="00517B7A"/>
    <w:rsid w:val="00522538"/>
    <w:rsid w:val="00524D82"/>
    <w:rsid w:val="0052766D"/>
    <w:rsid w:val="00534023"/>
    <w:rsid w:val="005349CB"/>
    <w:rsid w:val="00535507"/>
    <w:rsid w:val="00561ECC"/>
    <w:rsid w:val="0056780F"/>
    <w:rsid w:val="005721D7"/>
    <w:rsid w:val="005735A5"/>
    <w:rsid w:val="0057772E"/>
    <w:rsid w:val="0058582C"/>
    <w:rsid w:val="005865E8"/>
    <w:rsid w:val="00587FCF"/>
    <w:rsid w:val="005903FA"/>
    <w:rsid w:val="0059473B"/>
    <w:rsid w:val="00595521"/>
    <w:rsid w:val="0059602D"/>
    <w:rsid w:val="005A15B4"/>
    <w:rsid w:val="005A3A09"/>
    <w:rsid w:val="005B0B33"/>
    <w:rsid w:val="005B0F5F"/>
    <w:rsid w:val="005C6E76"/>
    <w:rsid w:val="005D748E"/>
    <w:rsid w:val="005F19A7"/>
    <w:rsid w:val="005F2649"/>
    <w:rsid w:val="005F267C"/>
    <w:rsid w:val="005F4C74"/>
    <w:rsid w:val="00610F7F"/>
    <w:rsid w:val="006174C0"/>
    <w:rsid w:val="006379ED"/>
    <w:rsid w:val="006734ED"/>
    <w:rsid w:val="00677FD4"/>
    <w:rsid w:val="00681B12"/>
    <w:rsid w:val="0068386F"/>
    <w:rsid w:val="006926B5"/>
    <w:rsid w:val="00694155"/>
    <w:rsid w:val="00694D49"/>
    <w:rsid w:val="006963DD"/>
    <w:rsid w:val="006B00B5"/>
    <w:rsid w:val="006B21D1"/>
    <w:rsid w:val="006B62EC"/>
    <w:rsid w:val="006B6AF9"/>
    <w:rsid w:val="006C15BD"/>
    <w:rsid w:val="006C65A7"/>
    <w:rsid w:val="006D25BB"/>
    <w:rsid w:val="006E1374"/>
    <w:rsid w:val="006E4C4C"/>
    <w:rsid w:val="006F1E74"/>
    <w:rsid w:val="006F2C17"/>
    <w:rsid w:val="006F548A"/>
    <w:rsid w:val="006F5601"/>
    <w:rsid w:val="00700392"/>
    <w:rsid w:val="00707ADE"/>
    <w:rsid w:val="0071384E"/>
    <w:rsid w:val="00715576"/>
    <w:rsid w:val="007155C6"/>
    <w:rsid w:val="0071630A"/>
    <w:rsid w:val="00716490"/>
    <w:rsid w:val="00717402"/>
    <w:rsid w:val="00721A10"/>
    <w:rsid w:val="007224B0"/>
    <w:rsid w:val="00724467"/>
    <w:rsid w:val="00733569"/>
    <w:rsid w:val="00734AAA"/>
    <w:rsid w:val="00743CF7"/>
    <w:rsid w:val="00744B4D"/>
    <w:rsid w:val="00746C72"/>
    <w:rsid w:val="007474D9"/>
    <w:rsid w:val="0076391C"/>
    <w:rsid w:val="00764FAF"/>
    <w:rsid w:val="007677AF"/>
    <w:rsid w:val="00773603"/>
    <w:rsid w:val="00777B4A"/>
    <w:rsid w:val="00782ECE"/>
    <w:rsid w:val="00787E05"/>
    <w:rsid w:val="00787F32"/>
    <w:rsid w:val="007903A3"/>
    <w:rsid w:val="00790FDF"/>
    <w:rsid w:val="00791938"/>
    <w:rsid w:val="00795054"/>
    <w:rsid w:val="007A37CC"/>
    <w:rsid w:val="007B3E63"/>
    <w:rsid w:val="007C1850"/>
    <w:rsid w:val="007C1D8F"/>
    <w:rsid w:val="007C5B9E"/>
    <w:rsid w:val="007D700A"/>
    <w:rsid w:val="007E12D9"/>
    <w:rsid w:val="007E5317"/>
    <w:rsid w:val="007F5C21"/>
    <w:rsid w:val="007F6681"/>
    <w:rsid w:val="008127D6"/>
    <w:rsid w:val="008150AD"/>
    <w:rsid w:val="0081553E"/>
    <w:rsid w:val="008157E5"/>
    <w:rsid w:val="0081696E"/>
    <w:rsid w:val="008175A0"/>
    <w:rsid w:val="00823765"/>
    <w:rsid w:val="008345AD"/>
    <w:rsid w:val="00840985"/>
    <w:rsid w:val="008457B1"/>
    <w:rsid w:val="00847E2F"/>
    <w:rsid w:val="00850E0E"/>
    <w:rsid w:val="00863D9A"/>
    <w:rsid w:val="0086472B"/>
    <w:rsid w:val="00874C87"/>
    <w:rsid w:val="00876363"/>
    <w:rsid w:val="00876B4C"/>
    <w:rsid w:val="00886C3B"/>
    <w:rsid w:val="00890D5F"/>
    <w:rsid w:val="008A3614"/>
    <w:rsid w:val="008B2B7E"/>
    <w:rsid w:val="008B5ECD"/>
    <w:rsid w:val="008B6665"/>
    <w:rsid w:val="008C0BE2"/>
    <w:rsid w:val="008C158B"/>
    <w:rsid w:val="008C34F3"/>
    <w:rsid w:val="008C66B2"/>
    <w:rsid w:val="008D1DA3"/>
    <w:rsid w:val="008D299D"/>
    <w:rsid w:val="008E0DAA"/>
    <w:rsid w:val="008E382E"/>
    <w:rsid w:val="008E6638"/>
    <w:rsid w:val="008F4292"/>
    <w:rsid w:val="00900892"/>
    <w:rsid w:val="00907FC5"/>
    <w:rsid w:val="00912F05"/>
    <w:rsid w:val="0091504D"/>
    <w:rsid w:val="009218DF"/>
    <w:rsid w:val="009343DA"/>
    <w:rsid w:val="00935E86"/>
    <w:rsid w:val="00945C11"/>
    <w:rsid w:val="00952FB9"/>
    <w:rsid w:val="00964C6B"/>
    <w:rsid w:val="009661B1"/>
    <w:rsid w:val="00972162"/>
    <w:rsid w:val="00974BFD"/>
    <w:rsid w:val="00975997"/>
    <w:rsid w:val="00975EFD"/>
    <w:rsid w:val="00982B13"/>
    <w:rsid w:val="0098648E"/>
    <w:rsid w:val="009953B2"/>
    <w:rsid w:val="0099638A"/>
    <w:rsid w:val="009A3DDF"/>
    <w:rsid w:val="009A3F5A"/>
    <w:rsid w:val="009A56E3"/>
    <w:rsid w:val="009A627E"/>
    <w:rsid w:val="009A6F36"/>
    <w:rsid w:val="009B2188"/>
    <w:rsid w:val="009B523A"/>
    <w:rsid w:val="009B5B0E"/>
    <w:rsid w:val="009C4506"/>
    <w:rsid w:val="009C6211"/>
    <w:rsid w:val="009D39D3"/>
    <w:rsid w:val="009D4B11"/>
    <w:rsid w:val="009E6749"/>
    <w:rsid w:val="009F0D9F"/>
    <w:rsid w:val="009F21AC"/>
    <w:rsid w:val="009F459B"/>
    <w:rsid w:val="00A03106"/>
    <w:rsid w:val="00A055F2"/>
    <w:rsid w:val="00A05F41"/>
    <w:rsid w:val="00A066F3"/>
    <w:rsid w:val="00A10FC0"/>
    <w:rsid w:val="00A11D73"/>
    <w:rsid w:val="00A16E87"/>
    <w:rsid w:val="00A23EA3"/>
    <w:rsid w:val="00A4375F"/>
    <w:rsid w:val="00A43A17"/>
    <w:rsid w:val="00A5105F"/>
    <w:rsid w:val="00A5221E"/>
    <w:rsid w:val="00A543E2"/>
    <w:rsid w:val="00A6170D"/>
    <w:rsid w:val="00A660DF"/>
    <w:rsid w:val="00A70099"/>
    <w:rsid w:val="00A77F46"/>
    <w:rsid w:val="00A808D4"/>
    <w:rsid w:val="00A83186"/>
    <w:rsid w:val="00A83F35"/>
    <w:rsid w:val="00A87B67"/>
    <w:rsid w:val="00A9534C"/>
    <w:rsid w:val="00A95D2D"/>
    <w:rsid w:val="00A96ECF"/>
    <w:rsid w:val="00AA0715"/>
    <w:rsid w:val="00AA0B1E"/>
    <w:rsid w:val="00AB1314"/>
    <w:rsid w:val="00AB16A9"/>
    <w:rsid w:val="00AB4EE8"/>
    <w:rsid w:val="00AB6325"/>
    <w:rsid w:val="00AB658C"/>
    <w:rsid w:val="00AB7168"/>
    <w:rsid w:val="00AC175F"/>
    <w:rsid w:val="00AC1A3C"/>
    <w:rsid w:val="00AD224F"/>
    <w:rsid w:val="00AD6070"/>
    <w:rsid w:val="00AE3819"/>
    <w:rsid w:val="00AE443C"/>
    <w:rsid w:val="00AF28BE"/>
    <w:rsid w:val="00AF41C1"/>
    <w:rsid w:val="00AF5860"/>
    <w:rsid w:val="00B0249F"/>
    <w:rsid w:val="00B0746F"/>
    <w:rsid w:val="00B07E5E"/>
    <w:rsid w:val="00B16F60"/>
    <w:rsid w:val="00B20C7A"/>
    <w:rsid w:val="00B22DFF"/>
    <w:rsid w:val="00B25DDB"/>
    <w:rsid w:val="00B279FE"/>
    <w:rsid w:val="00B33239"/>
    <w:rsid w:val="00B36DB2"/>
    <w:rsid w:val="00B44335"/>
    <w:rsid w:val="00B4605C"/>
    <w:rsid w:val="00B57002"/>
    <w:rsid w:val="00B57D71"/>
    <w:rsid w:val="00B602B2"/>
    <w:rsid w:val="00B63CD5"/>
    <w:rsid w:val="00B67A30"/>
    <w:rsid w:val="00B845D5"/>
    <w:rsid w:val="00B91A24"/>
    <w:rsid w:val="00BA0984"/>
    <w:rsid w:val="00BA0A6D"/>
    <w:rsid w:val="00BA3C47"/>
    <w:rsid w:val="00BA63C5"/>
    <w:rsid w:val="00BA6ABC"/>
    <w:rsid w:val="00BB4792"/>
    <w:rsid w:val="00BC5774"/>
    <w:rsid w:val="00BC675A"/>
    <w:rsid w:val="00BD1FFC"/>
    <w:rsid w:val="00BD304C"/>
    <w:rsid w:val="00BD31F2"/>
    <w:rsid w:val="00BF61DE"/>
    <w:rsid w:val="00C02383"/>
    <w:rsid w:val="00C07A37"/>
    <w:rsid w:val="00C2169D"/>
    <w:rsid w:val="00C3404A"/>
    <w:rsid w:val="00C34090"/>
    <w:rsid w:val="00C35242"/>
    <w:rsid w:val="00C4649A"/>
    <w:rsid w:val="00C61BCE"/>
    <w:rsid w:val="00C649C0"/>
    <w:rsid w:val="00C6695F"/>
    <w:rsid w:val="00C716E5"/>
    <w:rsid w:val="00C72C3E"/>
    <w:rsid w:val="00C7304B"/>
    <w:rsid w:val="00C76FB9"/>
    <w:rsid w:val="00C809FE"/>
    <w:rsid w:val="00C869DE"/>
    <w:rsid w:val="00C92886"/>
    <w:rsid w:val="00C9730D"/>
    <w:rsid w:val="00CA4100"/>
    <w:rsid w:val="00CA4A55"/>
    <w:rsid w:val="00CB5083"/>
    <w:rsid w:val="00CC153E"/>
    <w:rsid w:val="00CC5C24"/>
    <w:rsid w:val="00CD1151"/>
    <w:rsid w:val="00CD2D6E"/>
    <w:rsid w:val="00CD6D33"/>
    <w:rsid w:val="00CE0C91"/>
    <w:rsid w:val="00CE4A45"/>
    <w:rsid w:val="00CE7591"/>
    <w:rsid w:val="00CF52CC"/>
    <w:rsid w:val="00D038BD"/>
    <w:rsid w:val="00D053CF"/>
    <w:rsid w:val="00D0731C"/>
    <w:rsid w:val="00D121F8"/>
    <w:rsid w:val="00D274CF"/>
    <w:rsid w:val="00D34C7C"/>
    <w:rsid w:val="00D353AC"/>
    <w:rsid w:val="00D410A7"/>
    <w:rsid w:val="00D413C4"/>
    <w:rsid w:val="00D45093"/>
    <w:rsid w:val="00D451CD"/>
    <w:rsid w:val="00D46097"/>
    <w:rsid w:val="00D60D5B"/>
    <w:rsid w:val="00D6118C"/>
    <w:rsid w:val="00D679C9"/>
    <w:rsid w:val="00D75BF0"/>
    <w:rsid w:val="00D775EB"/>
    <w:rsid w:val="00D9581C"/>
    <w:rsid w:val="00DA291F"/>
    <w:rsid w:val="00DA684A"/>
    <w:rsid w:val="00DA702C"/>
    <w:rsid w:val="00DB4E89"/>
    <w:rsid w:val="00DC0130"/>
    <w:rsid w:val="00DC20B9"/>
    <w:rsid w:val="00DC366F"/>
    <w:rsid w:val="00DC649E"/>
    <w:rsid w:val="00DD49D7"/>
    <w:rsid w:val="00DD4BBD"/>
    <w:rsid w:val="00DE5103"/>
    <w:rsid w:val="00DE7F5B"/>
    <w:rsid w:val="00DF1CF6"/>
    <w:rsid w:val="00DF2102"/>
    <w:rsid w:val="00DF226B"/>
    <w:rsid w:val="00E05DED"/>
    <w:rsid w:val="00E165E6"/>
    <w:rsid w:val="00E22658"/>
    <w:rsid w:val="00E26982"/>
    <w:rsid w:val="00E328C2"/>
    <w:rsid w:val="00E4104D"/>
    <w:rsid w:val="00E41E60"/>
    <w:rsid w:val="00E42EF7"/>
    <w:rsid w:val="00E5072E"/>
    <w:rsid w:val="00E566BE"/>
    <w:rsid w:val="00E57AD0"/>
    <w:rsid w:val="00E66A16"/>
    <w:rsid w:val="00E70CFB"/>
    <w:rsid w:val="00E72D08"/>
    <w:rsid w:val="00E7521F"/>
    <w:rsid w:val="00E81AFB"/>
    <w:rsid w:val="00EA26ED"/>
    <w:rsid w:val="00EA315A"/>
    <w:rsid w:val="00EA4C35"/>
    <w:rsid w:val="00EA7F5E"/>
    <w:rsid w:val="00EB1A74"/>
    <w:rsid w:val="00EB599B"/>
    <w:rsid w:val="00EC4FC8"/>
    <w:rsid w:val="00EC664F"/>
    <w:rsid w:val="00EC7073"/>
    <w:rsid w:val="00ED6825"/>
    <w:rsid w:val="00EE3EFD"/>
    <w:rsid w:val="00EE45BD"/>
    <w:rsid w:val="00EF6448"/>
    <w:rsid w:val="00EF75A4"/>
    <w:rsid w:val="00F1017F"/>
    <w:rsid w:val="00F101FD"/>
    <w:rsid w:val="00F126F7"/>
    <w:rsid w:val="00F20511"/>
    <w:rsid w:val="00F21C62"/>
    <w:rsid w:val="00F263B5"/>
    <w:rsid w:val="00F263D6"/>
    <w:rsid w:val="00F26696"/>
    <w:rsid w:val="00F333FA"/>
    <w:rsid w:val="00F43B34"/>
    <w:rsid w:val="00F450DA"/>
    <w:rsid w:val="00F5040A"/>
    <w:rsid w:val="00F505AC"/>
    <w:rsid w:val="00F55D61"/>
    <w:rsid w:val="00F611FA"/>
    <w:rsid w:val="00F61C55"/>
    <w:rsid w:val="00F6613C"/>
    <w:rsid w:val="00F7401C"/>
    <w:rsid w:val="00F75B6D"/>
    <w:rsid w:val="00F83E69"/>
    <w:rsid w:val="00F92665"/>
    <w:rsid w:val="00FA1BE4"/>
    <w:rsid w:val="00FA4D29"/>
    <w:rsid w:val="00FA7B7D"/>
    <w:rsid w:val="00FB1152"/>
    <w:rsid w:val="00FB13B7"/>
    <w:rsid w:val="00FB74E8"/>
    <w:rsid w:val="00FC6631"/>
    <w:rsid w:val="00FC664F"/>
    <w:rsid w:val="00FD0886"/>
    <w:rsid w:val="00FD2040"/>
    <w:rsid w:val="00FD24B1"/>
    <w:rsid w:val="00FD3A55"/>
    <w:rsid w:val="00FE1D9D"/>
    <w:rsid w:val="00FE488B"/>
    <w:rsid w:val="00FE7139"/>
    <w:rsid w:val="00FF1075"/>
    <w:rsid w:val="00FF152B"/>
    <w:rsid w:val="00FF3F67"/>
    <w:rsid w:val="00FF454F"/>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6949D"/>
  <w15:chartTrackingRefBased/>
  <w15:docId w15:val="{19AD13EC-DCDF-4BDB-9371-DFE8D0FA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470"/>
    <w:pPr>
      <w:keepNext/>
      <w:shd w:val="clear" w:color="auto" w:fill="FFFFFF"/>
      <w:spacing w:after="0" w:line="360" w:lineRule="auto"/>
      <w:jc w:val="both"/>
      <w:outlineLvl w:val="0"/>
    </w:pPr>
    <w:rPr>
      <w:rFonts w:ascii="Arial" w:eastAsia="Times New Roman" w:hAnsi="Arial" w:cs="Arial"/>
      <w:color w:val="333333"/>
      <w:sz w:val="24"/>
      <w:szCs w:val="24"/>
      <w:u w:val="single"/>
    </w:rPr>
  </w:style>
  <w:style w:type="paragraph" w:styleId="Heading2">
    <w:name w:val="heading 2"/>
    <w:basedOn w:val="Normal"/>
    <w:next w:val="Normal"/>
    <w:link w:val="Heading2Char"/>
    <w:uiPriority w:val="9"/>
    <w:unhideWhenUsed/>
    <w:qFormat/>
    <w:rsid w:val="00DB4E89"/>
    <w:pPr>
      <w:keepNext/>
      <w:spacing w:line="360" w:lineRule="auto"/>
      <w:jc w:val="both"/>
      <w:outlineLvl w:val="1"/>
    </w:pPr>
    <w:rPr>
      <w:rFonts w:ascii="Arial" w:hAnsi="Arial" w:cs="Arial"/>
      <w:i/>
      <w:sz w:val="24"/>
      <w:szCs w:val="24"/>
    </w:rPr>
  </w:style>
  <w:style w:type="paragraph" w:styleId="Heading3">
    <w:name w:val="heading 3"/>
    <w:basedOn w:val="Normal"/>
    <w:next w:val="Normal"/>
    <w:link w:val="Heading3Char"/>
    <w:uiPriority w:val="9"/>
    <w:unhideWhenUsed/>
    <w:qFormat/>
    <w:rsid w:val="00FF152B"/>
    <w:pPr>
      <w:keepNext/>
      <w:spacing w:after="0" w:line="360" w:lineRule="auto"/>
      <w:jc w:val="both"/>
      <w:outlineLvl w:val="2"/>
    </w:pPr>
    <w:rPr>
      <w:rFonts w:ascii="Arial" w:hAnsi="Arial" w:cs="Arial"/>
      <w:sz w:val="24"/>
      <w:szCs w:val="24"/>
      <w:u w:val="single"/>
    </w:rPr>
  </w:style>
  <w:style w:type="paragraph" w:styleId="Heading4">
    <w:name w:val="heading 4"/>
    <w:basedOn w:val="Normal"/>
    <w:next w:val="Normal"/>
    <w:link w:val="Heading4Char"/>
    <w:uiPriority w:val="9"/>
    <w:unhideWhenUsed/>
    <w:qFormat/>
    <w:rsid w:val="00081711"/>
    <w:pPr>
      <w:keepNext/>
      <w:outlineLvl w:val="3"/>
    </w:pPr>
    <w:rPr>
      <w:rFonts w:ascii="Arial" w:hAnsi="Arial" w:cs="Arial"/>
      <w:i/>
      <w:sz w:val="24"/>
      <w:szCs w:val="24"/>
    </w:rPr>
  </w:style>
  <w:style w:type="paragraph" w:styleId="Heading5">
    <w:name w:val="heading 5"/>
    <w:basedOn w:val="Normal"/>
    <w:next w:val="Normal"/>
    <w:link w:val="Heading5Char"/>
    <w:uiPriority w:val="9"/>
    <w:unhideWhenUsed/>
    <w:qFormat/>
    <w:rsid w:val="00CC153E"/>
    <w:pPr>
      <w:keepNext/>
      <w:outlineLvl w:val="4"/>
    </w:pPr>
    <w:rPr>
      <w:rFonts w:ascii="Arial" w:hAnsi="Arial" w:cs="Arial"/>
      <w:sz w:val="24"/>
      <w:szCs w:val="24"/>
      <w:u w:val="single"/>
    </w:rPr>
  </w:style>
  <w:style w:type="paragraph" w:styleId="Heading6">
    <w:name w:val="heading 6"/>
    <w:basedOn w:val="Normal"/>
    <w:next w:val="Normal"/>
    <w:link w:val="Heading6Char"/>
    <w:uiPriority w:val="9"/>
    <w:unhideWhenUsed/>
    <w:qFormat/>
    <w:rsid w:val="003A71FE"/>
    <w:pPr>
      <w:keepNext/>
      <w:spacing w:after="0" w:line="360" w:lineRule="auto"/>
      <w:ind w:firstLine="720"/>
      <w:jc w:val="both"/>
      <w:outlineLvl w:val="5"/>
    </w:pPr>
    <w:rPr>
      <w:rFonts w:ascii="Arial" w:hAnsi="Arial" w:cs="Arial"/>
      <w:b/>
    </w:rPr>
  </w:style>
  <w:style w:type="paragraph" w:styleId="Heading7">
    <w:name w:val="heading 7"/>
    <w:basedOn w:val="Normal"/>
    <w:next w:val="Normal"/>
    <w:link w:val="Heading7Char"/>
    <w:uiPriority w:val="9"/>
    <w:unhideWhenUsed/>
    <w:qFormat/>
    <w:rsid w:val="00012C4D"/>
    <w:pPr>
      <w:keepNext/>
      <w:spacing w:after="0" w:line="360" w:lineRule="auto"/>
      <w:jc w:val="both"/>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8F"/>
    <w:pPr>
      <w:ind w:left="720"/>
      <w:contextualSpacing/>
    </w:pPr>
  </w:style>
  <w:style w:type="character" w:customStyle="1" w:styleId="Heading1Char">
    <w:name w:val="Heading 1 Char"/>
    <w:basedOn w:val="DefaultParagraphFont"/>
    <w:link w:val="Heading1"/>
    <w:uiPriority w:val="9"/>
    <w:rsid w:val="00040470"/>
    <w:rPr>
      <w:rFonts w:ascii="Arial" w:eastAsia="Times New Roman" w:hAnsi="Arial" w:cs="Arial"/>
      <w:color w:val="333333"/>
      <w:sz w:val="24"/>
      <w:szCs w:val="24"/>
      <w:u w:val="single"/>
      <w:shd w:val="clear" w:color="auto" w:fill="FFFFFF"/>
    </w:rPr>
  </w:style>
  <w:style w:type="paragraph" w:styleId="BodyText">
    <w:name w:val="Body Text"/>
    <w:basedOn w:val="Normal"/>
    <w:link w:val="BodyTextChar"/>
    <w:uiPriority w:val="99"/>
    <w:unhideWhenUsed/>
    <w:rsid w:val="00040470"/>
    <w:pPr>
      <w:tabs>
        <w:tab w:val="right" w:pos="9356"/>
      </w:tabs>
      <w:spacing w:after="0" w:line="360" w:lineRule="auto"/>
    </w:pPr>
    <w:rPr>
      <w:rFonts w:ascii="Arial" w:hAnsi="Arial" w:cs="Arial"/>
      <w:b/>
      <w:sz w:val="24"/>
      <w:szCs w:val="24"/>
    </w:rPr>
  </w:style>
  <w:style w:type="character" w:customStyle="1" w:styleId="BodyTextChar">
    <w:name w:val="Body Text Char"/>
    <w:basedOn w:val="DefaultParagraphFont"/>
    <w:link w:val="BodyText"/>
    <w:uiPriority w:val="99"/>
    <w:rsid w:val="00040470"/>
    <w:rPr>
      <w:rFonts w:ascii="Arial" w:hAnsi="Arial" w:cs="Arial"/>
      <w:b/>
      <w:sz w:val="24"/>
      <w:szCs w:val="24"/>
    </w:rPr>
  </w:style>
  <w:style w:type="paragraph" w:styleId="Caption">
    <w:name w:val="caption"/>
    <w:basedOn w:val="Normal"/>
    <w:next w:val="Normal"/>
    <w:uiPriority w:val="35"/>
    <w:unhideWhenUsed/>
    <w:qFormat/>
    <w:rsid w:val="00DF2102"/>
    <w:pPr>
      <w:spacing w:after="0" w:line="360" w:lineRule="auto"/>
      <w:ind w:left="3600" w:firstLine="720"/>
      <w:jc w:val="both"/>
    </w:pPr>
    <w:rPr>
      <w:rFonts w:ascii="Arial" w:hAnsi="Arial" w:cs="Arial"/>
      <w:b/>
      <w:sz w:val="24"/>
      <w:szCs w:val="24"/>
    </w:rPr>
  </w:style>
  <w:style w:type="paragraph" w:styleId="BodyTextIndent">
    <w:name w:val="Body Text Indent"/>
    <w:basedOn w:val="Normal"/>
    <w:link w:val="BodyTextIndentChar"/>
    <w:uiPriority w:val="99"/>
    <w:unhideWhenUsed/>
    <w:rsid w:val="00EC4FC8"/>
    <w:pPr>
      <w:spacing w:line="360" w:lineRule="auto"/>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EC4FC8"/>
    <w:rPr>
      <w:rFonts w:ascii="Arial" w:hAnsi="Arial" w:cs="Arial"/>
      <w:sz w:val="24"/>
      <w:szCs w:val="24"/>
    </w:rPr>
  </w:style>
  <w:style w:type="paragraph" w:styleId="BodyText2">
    <w:name w:val="Body Text 2"/>
    <w:basedOn w:val="Normal"/>
    <w:link w:val="BodyText2Char"/>
    <w:uiPriority w:val="99"/>
    <w:unhideWhenUsed/>
    <w:rsid w:val="002567EE"/>
    <w:pPr>
      <w:spacing w:line="36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2567EE"/>
    <w:rPr>
      <w:rFonts w:ascii="Arial" w:hAnsi="Arial" w:cs="Arial"/>
      <w:sz w:val="24"/>
      <w:szCs w:val="24"/>
    </w:rPr>
  </w:style>
  <w:style w:type="character" w:customStyle="1" w:styleId="Heading2Char">
    <w:name w:val="Heading 2 Char"/>
    <w:basedOn w:val="DefaultParagraphFont"/>
    <w:link w:val="Heading2"/>
    <w:uiPriority w:val="9"/>
    <w:rsid w:val="00DB4E89"/>
    <w:rPr>
      <w:rFonts w:ascii="Arial" w:hAnsi="Arial" w:cs="Arial"/>
      <w:i/>
      <w:sz w:val="24"/>
      <w:szCs w:val="24"/>
    </w:rPr>
  </w:style>
  <w:style w:type="character" w:customStyle="1" w:styleId="Heading3Char">
    <w:name w:val="Heading 3 Char"/>
    <w:basedOn w:val="DefaultParagraphFont"/>
    <w:link w:val="Heading3"/>
    <w:uiPriority w:val="9"/>
    <w:rsid w:val="00FF152B"/>
    <w:rPr>
      <w:rFonts w:ascii="Arial" w:hAnsi="Arial" w:cs="Arial"/>
      <w:sz w:val="24"/>
      <w:szCs w:val="24"/>
      <w:u w:val="single"/>
    </w:rPr>
  </w:style>
  <w:style w:type="character" w:styleId="Hyperlink">
    <w:name w:val="Hyperlink"/>
    <w:basedOn w:val="DefaultParagraphFont"/>
    <w:uiPriority w:val="99"/>
    <w:semiHidden/>
    <w:unhideWhenUsed/>
    <w:rsid w:val="00233A8E"/>
    <w:rPr>
      <w:color w:val="0000FF"/>
      <w:u w:val="single"/>
    </w:rPr>
  </w:style>
  <w:style w:type="paragraph" w:styleId="FootnoteText">
    <w:name w:val="footnote text"/>
    <w:basedOn w:val="Normal"/>
    <w:link w:val="FootnoteTextChar"/>
    <w:uiPriority w:val="99"/>
    <w:semiHidden/>
    <w:unhideWhenUsed/>
    <w:rsid w:val="00F20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11"/>
    <w:rPr>
      <w:sz w:val="20"/>
      <w:szCs w:val="20"/>
    </w:rPr>
  </w:style>
  <w:style w:type="character" w:styleId="FootnoteReference">
    <w:name w:val="footnote reference"/>
    <w:basedOn w:val="DefaultParagraphFont"/>
    <w:uiPriority w:val="99"/>
    <w:semiHidden/>
    <w:unhideWhenUsed/>
    <w:rsid w:val="00F20511"/>
    <w:rPr>
      <w:vertAlign w:val="superscript"/>
    </w:rPr>
  </w:style>
  <w:style w:type="character" w:customStyle="1" w:styleId="Heading4Char">
    <w:name w:val="Heading 4 Char"/>
    <w:basedOn w:val="DefaultParagraphFont"/>
    <w:link w:val="Heading4"/>
    <w:uiPriority w:val="9"/>
    <w:rsid w:val="00081711"/>
    <w:rPr>
      <w:rFonts w:ascii="Arial" w:hAnsi="Arial" w:cs="Arial"/>
      <w:i/>
      <w:sz w:val="24"/>
      <w:szCs w:val="24"/>
    </w:rPr>
  </w:style>
  <w:style w:type="paragraph" w:customStyle="1" w:styleId="western">
    <w:name w:val="western"/>
    <w:basedOn w:val="Normal"/>
    <w:rsid w:val="00D073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12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450DA"/>
    <w:pPr>
      <w:spacing w:line="360" w:lineRule="auto"/>
      <w:ind w:firstLine="720"/>
      <w:jc w:val="both"/>
    </w:pPr>
    <w:rPr>
      <w:rFonts w:ascii="Arial" w:hAnsi="Arial" w:cs="Arial"/>
    </w:rPr>
  </w:style>
  <w:style w:type="character" w:customStyle="1" w:styleId="BodyTextIndent2Char">
    <w:name w:val="Body Text Indent 2 Char"/>
    <w:basedOn w:val="DefaultParagraphFont"/>
    <w:link w:val="BodyTextIndent2"/>
    <w:uiPriority w:val="99"/>
    <w:rsid w:val="00F450DA"/>
    <w:rPr>
      <w:rFonts w:ascii="Arial" w:hAnsi="Arial" w:cs="Arial"/>
    </w:rPr>
  </w:style>
  <w:style w:type="paragraph" w:styleId="Header">
    <w:name w:val="header"/>
    <w:basedOn w:val="Normal"/>
    <w:link w:val="HeaderChar"/>
    <w:uiPriority w:val="99"/>
    <w:unhideWhenUsed/>
    <w:rsid w:val="007F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21"/>
  </w:style>
  <w:style w:type="paragraph" w:styleId="Footer">
    <w:name w:val="footer"/>
    <w:basedOn w:val="Normal"/>
    <w:link w:val="FooterChar"/>
    <w:uiPriority w:val="99"/>
    <w:unhideWhenUsed/>
    <w:rsid w:val="007F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21"/>
  </w:style>
  <w:style w:type="paragraph" w:styleId="BalloonText">
    <w:name w:val="Balloon Text"/>
    <w:basedOn w:val="Normal"/>
    <w:link w:val="BalloonTextChar"/>
    <w:uiPriority w:val="99"/>
    <w:semiHidden/>
    <w:unhideWhenUsed/>
    <w:rsid w:val="007F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21"/>
    <w:rPr>
      <w:rFonts w:ascii="Segoe UI" w:hAnsi="Segoe UI" w:cs="Segoe UI"/>
      <w:sz w:val="18"/>
      <w:szCs w:val="18"/>
    </w:rPr>
  </w:style>
  <w:style w:type="paragraph" w:styleId="BodyTextIndent3">
    <w:name w:val="Body Text Indent 3"/>
    <w:basedOn w:val="Normal"/>
    <w:link w:val="BodyTextIndent3Char"/>
    <w:uiPriority w:val="99"/>
    <w:unhideWhenUsed/>
    <w:rsid w:val="00A77F46"/>
    <w:pPr>
      <w:spacing w:line="360" w:lineRule="auto"/>
      <w:ind w:left="567"/>
      <w:jc w:val="both"/>
    </w:pPr>
    <w:rPr>
      <w:rFonts w:ascii="Arial" w:hAnsi="Arial" w:cs="Arial"/>
      <w:sz w:val="24"/>
      <w:szCs w:val="24"/>
    </w:rPr>
  </w:style>
  <w:style w:type="character" w:customStyle="1" w:styleId="BodyTextIndent3Char">
    <w:name w:val="Body Text Indent 3 Char"/>
    <w:basedOn w:val="DefaultParagraphFont"/>
    <w:link w:val="BodyTextIndent3"/>
    <w:uiPriority w:val="99"/>
    <w:rsid w:val="00A77F46"/>
    <w:rPr>
      <w:rFonts w:ascii="Arial" w:hAnsi="Arial" w:cs="Arial"/>
      <w:sz w:val="24"/>
      <w:szCs w:val="24"/>
    </w:rPr>
  </w:style>
  <w:style w:type="paragraph" w:styleId="PlainText">
    <w:name w:val="Plain Text"/>
    <w:basedOn w:val="Normal"/>
    <w:link w:val="PlainTextChar"/>
    <w:uiPriority w:val="99"/>
    <w:unhideWhenUsed/>
    <w:rsid w:val="009F0D9F"/>
    <w:pPr>
      <w:spacing w:after="0" w:line="240" w:lineRule="auto"/>
    </w:pPr>
    <w:rPr>
      <w:rFonts w:ascii="Comic Sans MS" w:eastAsiaTheme="minorEastAsia" w:hAnsi="Comic Sans MS" w:cs="Times New Roman"/>
      <w:sz w:val="21"/>
      <w:szCs w:val="21"/>
      <w:lang w:val="en-ZA" w:eastAsia="en-ZA"/>
    </w:rPr>
  </w:style>
  <w:style w:type="character" w:customStyle="1" w:styleId="PlainTextChar">
    <w:name w:val="Plain Text Char"/>
    <w:basedOn w:val="DefaultParagraphFont"/>
    <w:link w:val="PlainText"/>
    <w:uiPriority w:val="99"/>
    <w:rsid w:val="009F0D9F"/>
    <w:rPr>
      <w:rFonts w:ascii="Comic Sans MS" w:eastAsiaTheme="minorEastAsia" w:hAnsi="Comic Sans MS" w:cs="Times New Roman"/>
      <w:sz w:val="21"/>
      <w:szCs w:val="21"/>
      <w:lang w:val="en-ZA" w:eastAsia="en-ZA"/>
    </w:rPr>
  </w:style>
  <w:style w:type="character" w:customStyle="1" w:styleId="Heading5Char">
    <w:name w:val="Heading 5 Char"/>
    <w:basedOn w:val="DefaultParagraphFont"/>
    <w:link w:val="Heading5"/>
    <w:uiPriority w:val="9"/>
    <w:rsid w:val="00CC153E"/>
    <w:rPr>
      <w:rFonts w:ascii="Arial" w:hAnsi="Arial" w:cs="Arial"/>
      <w:sz w:val="24"/>
      <w:szCs w:val="24"/>
      <w:u w:val="single"/>
    </w:rPr>
  </w:style>
  <w:style w:type="paragraph" w:styleId="BodyText3">
    <w:name w:val="Body Text 3"/>
    <w:basedOn w:val="Normal"/>
    <w:link w:val="BodyText3Char"/>
    <w:uiPriority w:val="99"/>
    <w:unhideWhenUsed/>
    <w:rsid w:val="00FC6631"/>
    <w:pPr>
      <w:spacing w:after="0" w:line="360" w:lineRule="auto"/>
      <w:jc w:val="both"/>
    </w:pPr>
    <w:rPr>
      <w:rFonts w:ascii="Arial" w:hAnsi="Arial" w:cs="Arial"/>
    </w:rPr>
  </w:style>
  <w:style w:type="character" w:customStyle="1" w:styleId="BodyText3Char">
    <w:name w:val="Body Text 3 Char"/>
    <w:basedOn w:val="DefaultParagraphFont"/>
    <w:link w:val="BodyText3"/>
    <w:uiPriority w:val="99"/>
    <w:rsid w:val="00FC6631"/>
    <w:rPr>
      <w:rFonts w:ascii="Arial" w:hAnsi="Arial" w:cs="Arial"/>
    </w:rPr>
  </w:style>
  <w:style w:type="character" w:customStyle="1" w:styleId="Heading6Char">
    <w:name w:val="Heading 6 Char"/>
    <w:basedOn w:val="DefaultParagraphFont"/>
    <w:link w:val="Heading6"/>
    <w:uiPriority w:val="9"/>
    <w:rsid w:val="003A71FE"/>
    <w:rPr>
      <w:rFonts w:ascii="Arial" w:hAnsi="Arial" w:cs="Arial"/>
      <w:b/>
    </w:rPr>
  </w:style>
  <w:style w:type="paragraph" w:styleId="Title">
    <w:name w:val="Title"/>
    <w:basedOn w:val="Normal"/>
    <w:next w:val="Normal"/>
    <w:link w:val="TitleChar"/>
    <w:uiPriority w:val="10"/>
    <w:qFormat/>
    <w:rsid w:val="00B67A30"/>
    <w:pPr>
      <w:spacing w:after="0" w:line="360" w:lineRule="auto"/>
      <w:jc w:val="center"/>
    </w:pPr>
    <w:rPr>
      <w:rFonts w:ascii="Arial" w:hAnsi="Arial" w:cs="Arial"/>
      <w:b/>
    </w:rPr>
  </w:style>
  <w:style w:type="character" w:customStyle="1" w:styleId="TitleChar">
    <w:name w:val="Title Char"/>
    <w:basedOn w:val="DefaultParagraphFont"/>
    <w:link w:val="Title"/>
    <w:uiPriority w:val="10"/>
    <w:rsid w:val="00B67A30"/>
    <w:rPr>
      <w:rFonts w:ascii="Arial" w:hAnsi="Arial" w:cs="Arial"/>
      <w:b/>
    </w:rPr>
  </w:style>
  <w:style w:type="character" w:customStyle="1" w:styleId="Heading7Char">
    <w:name w:val="Heading 7 Char"/>
    <w:basedOn w:val="DefaultParagraphFont"/>
    <w:link w:val="Heading7"/>
    <w:uiPriority w:val="9"/>
    <w:rsid w:val="00012C4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1096">
      <w:bodyDiv w:val="1"/>
      <w:marLeft w:val="0"/>
      <w:marRight w:val="0"/>
      <w:marTop w:val="0"/>
      <w:marBottom w:val="0"/>
      <w:divBdr>
        <w:top w:val="none" w:sz="0" w:space="0" w:color="auto"/>
        <w:left w:val="none" w:sz="0" w:space="0" w:color="auto"/>
        <w:bottom w:val="none" w:sz="0" w:space="0" w:color="auto"/>
        <w:right w:val="none" w:sz="0" w:space="0" w:color="auto"/>
      </w:divBdr>
    </w:div>
    <w:div w:id="196235737">
      <w:bodyDiv w:val="1"/>
      <w:marLeft w:val="0"/>
      <w:marRight w:val="0"/>
      <w:marTop w:val="0"/>
      <w:marBottom w:val="0"/>
      <w:divBdr>
        <w:top w:val="none" w:sz="0" w:space="0" w:color="auto"/>
        <w:left w:val="none" w:sz="0" w:space="0" w:color="auto"/>
        <w:bottom w:val="none" w:sz="0" w:space="0" w:color="auto"/>
        <w:right w:val="none" w:sz="0" w:space="0" w:color="auto"/>
      </w:divBdr>
    </w:div>
    <w:div w:id="376705542">
      <w:bodyDiv w:val="1"/>
      <w:marLeft w:val="0"/>
      <w:marRight w:val="0"/>
      <w:marTop w:val="0"/>
      <w:marBottom w:val="0"/>
      <w:divBdr>
        <w:top w:val="none" w:sz="0" w:space="0" w:color="auto"/>
        <w:left w:val="none" w:sz="0" w:space="0" w:color="auto"/>
        <w:bottom w:val="none" w:sz="0" w:space="0" w:color="auto"/>
        <w:right w:val="none" w:sz="0" w:space="0" w:color="auto"/>
      </w:divBdr>
    </w:div>
    <w:div w:id="732701125">
      <w:bodyDiv w:val="1"/>
      <w:marLeft w:val="0"/>
      <w:marRight w:val="0"/>
      <w:marTop w:val="0"/>
      <w:marBottom w:val="0"/>
      <w:divBdr>
        <w:top w:val="none" w:sz="0" w:space="0" w:color="auto"/>
        <w:left w:val="none" w:sz="0" w:space="0" w:color="auto"/>
        <w:bottom w:val="none" w:sz="0" w:space="0" w:color="auto"/>
        <w:right w:val="none" w:sz="0" w:space="0" w:color="auto"/>
      </w:divBdr>
    </w:div>
    <w:div w:id="1009679374">
      <w:bodyDiv w:val="1"/>
      <w:marLeft w:val="0"/>
      <w:marRight w:val="0"/>
      <w:marTop w:val="0"/>
      <w:marBottom w:val="0"/>
      <w:divBdr>
        <w:top w:val="none" w:sz="0" w:space="0" w:color="auto"/>
        <w:left w:val="none" w:sz="0" w:space="0" w:color="auto"/>
        <w:bottom w:val="none" w:sz="0" w:space="0" w:color="auto"/>
        <w:right w:val="none" w:sz="0" w:space="0" w:color="auto"/>
      </w:divBdr>
    </w:div>
    <w:div w:id="1114904703">
      <w:bodyDiv w:val="1"/>
      <w:marLeft w:val="0"/>
      <w:marRight w:val="0"/>
      <w:marTop w:val="0"/>
      <w:marBottom w:val="0"/>
      <w:divBdr>
        <w:top w:val="none" w:sz="0" w:space="0" w:color="auto"/>
        <w:left w:val="none" w:sz="0" w:space="0" w:color="auto"/>
        <w:bottom w:val="none" w:sz="0" w:space="0" w:color="auto"/>
        <w:right w:val="none" w:sz="0" w:space="0" w:color="auto"/>
      </w:divBdr>
    </w:div>
    <w:div w:id="1324746992">
      <w:bodyDiv w:val="1"/>
      <w:marLeft w:val="0"/>
      <w:marRight w:val="0"/>
      <w:marTop w:val="0"/>
      <w:marBottom w:val="0"/>
      <w:divBdr>
        <w:top w:val="none" w:sz="0" w:space="0" w:color="auto"/>
        <w:left w:val="none" w:sz="0" w:space="0" w:color="auto"/>
        <w:bottom w:val="none" w:sz="0" w:space="0" w:color="auto"/>
        <w:right w:val="none" w:sz="0" w:space="0" w:color="auto"/>
      </w:divBdr>
    </w:div>
    <w:div w:id="1349287867">
      <w:bodyDiv w:val="1"/>
      <w:marLeft w:val="0"/>
      <w:marRight w:val="0"/>
      <w:marTop w:val="0"/>
      <w:marBottom w:val="0"/>
      <w:divBdr>
        <w:top w:val="none" w:sz="0" w:space="0" w:color="auto"/>
        <w:left w:val="none" w:sz="0" w:space="0" w:color="auto"/>
        <w:bottom w:val="none" w:sz="0" w:space="0" w:color="auto"/>
        <w:right w:val="none" w:sz="0" w:space="0" w:color="auto"/>
      </w:divBdr>
    </w:div>
    <w:div w:id="1391348922">
      <w:bodyDiv w:val="1"/>
      <w:marLeft w:val="0"/>
      <w:marRight w:val="0"/>
      <w:marTop w:val="0"/>
      <w:marBottom w:val="0"/>
      <w:divBdr>
        <w:top w:val="none" w:sz="0" w:space="0" w:color="auto"/>
        <w:left w:val="none" w:sz="0" w:space="0" w:color="auto"/>
        <w:bottom w:val="none" w:sz="0" w:space="0" w:color="auto"/>
        <w:right w:val="none" w:sz="0" w:space="0" w:color="auto"/>
      </w:divBdr>
    </w:div>
    <w:div w:id="1436484267">
      <w:bodyDiv w:val="1"/>
      <w:marLeft w:val="0"/>
      <w:marRight w:val="0"/>
      <w:marTop w:val="0"/>
      <w:marBottom w:val="0"/>
      <w:divBdr>
        <w:top w:val="none" w:sz="0" w:space="0" w:color="auto"/>
        <w:left w:val="none" w:sz="0" w:space="0" w:color="auto"/>
        <w:bottom w:val="none" w:sz="0" w:space="0" w:color="auto"/>
        <w:right w:val="none" w:sz="0" w:space="0" w:color="auto"/>
      </w:divBdr>
    </w:div>
    <w:div w:id="21268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2024-03-19T18:30:00+00:00</Judgment_x0020_Date>
    <Year xmlns="c1afb1bd-f2fb-40fd-9abb-aea55b4d7662">2024</Year>
  </documentManagement>
</p:properties>
</file>

<file path=customXml/itemProps1.xml><?xml version="1.0" encoding="utf-8"?>
<ds:datastoreItem xmlns:ds="http://schemas.openxmlformats.org/officeDocument/2006/customXml" ds:itemID="{9774C8EE-A85A-499F-AF6F-E14ADE2F582B}"/>
</file>

<file path=customXml/itemProps2.xml><?xml version="1.0" encoding="utf-8"?>
<ds:datastoreItem xmlns:ds="http://schemas.openxmlformats.org/officeDocument/2006/customXml" ds:itemID="{BE255256-3232-418B-B877-758B03E97173}"/>
</file>

<file path=customXml/itemProps3.xml><?xml version="1.0" encoding="utf-8"?>
<ds:datastoreItem xmlns:ds="http://schemas.openxmlformats.org/officeDocument/2006/customXml" ds:itemID="{1D63AC2F-03DF-4483-83CC-7D87A4ED5E00}"/>
</file>

<file path=customXml/itemProps4.xml><?xml version="1.0" encoding="utf-8"?>
<ds:datastoreItem xmlns:ds="http://schemas.openxmlformats.org/officeDocument/2006/customXml" ds:itemID="{83DF8CF0-7B9D-47FA-B40D-E38663D33E51}"/>
</file>

<file path=docProps/app.xml><?xml version="1.0" encoding="utf-8"?>
<Properties xmlns="http://schemas.openxmlformats.org/officeDocument/2006/extended-properties" xmlns:vt="http://schemas.openxmlformats.org/officeDocument/2006/docPropsVTypes">
  <Template>Normal</Template>
  <TotalTime>2</TotalTime>
  <Pages>1</Pages>
  <Words>7119</Words>
  <Characters>40583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Ovambanderu Traditional Council v Minister of Urban (HC-MD-CIV-MOT-GEN-2022-00346) [2024] NAHCMD 123 (20 March 2024)</dc:title>
  <dc:subject/>
  <dc:creator>Deon</dc:creator>
  <cp:keywords/>
  <dc:description/>
  <cp:lastModifiedBy>Bregitha Coetzee</cp:lastModifiedBy>
  <cp:revision>4</cp:revision>
  <cp:lastPrinted>2024-03-20T07:54:00Z</cp:lastPrinted>
  <dcterms:created xsi:type="dcterms:W3CDTF">2024-03-20T08:56:00Z</dcterms:created>
  <dcterms:modified xsi:type="dcterms:W3CDTF">2024-03-25T07:34:00Z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2e59e17a49d05eac0919083c9ce44a8465226dde68644ba0a7b91be34c2fe8b9</vt:lpwstr>
  </property>
  <property fmtid="{D5CDD505-2E9C-101B-9397-08002B2CF9AE}" pid="3" name="ContentTypeId">
    <vt:lpwstr>0x0101000ECE0F99B3F8644397ECB0C536651393</vt:lpwstr>
  </property>
</Properties>
</file>