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827"/>
        <w:gridCol w:w="2835"/>
      </w:tblGrid>
      <w:tr w:rsidR="00AF7D5F" w:rsidRPr="00FE7F68" w14:paraId="229DB763" w14:textId="77777777" w:rsidTr="00155B26">
        <w:tc>
          <w:tcPr>
            <w:tcW w:w="8789" w:type="dxa"/>
            <w:gridSpan w:val="4"/>
          </w:tcPr>
          <w:p w14:paraId="0C4BB454" w14:textId="3D2253A4" w:rsidR="00AF7D5F" w:rsidRDefault="00AF7D5F" w:rsidP="00AF7D5F">
            <w:pPr>
              <w:spacing w:line="360" w:lineRule="auto"/>
              <w:jc w:val="center"/>
              <w:rPr>
                <w:rFonts w:ascii="Arial" w:hAnsi="Arial" w:cs="Arial"/>
                <w:b/>
                <w:bCs/>
                <w:lang w:val="en-US"/>
              </w:rPr>
            </w:pPr>
            <w:r>
              <w:rPr>
                <w:rFonts w:ascii="Arial" w:hAnsi="Arial" w:cs="Arial"/>
                <w:b/>
                <w:bCs/>
                <w:lang w:val="en-US"/>
              </w:rPr>
              <w:t>HIGH COURT OF NAMIBIA</w:t>
            </w:r>
            <w:r w:rsidR="00A81C32">
              <w:rPr>
                <w:rFonts w:ascii="Arial" w:hAnsi="Arial" w:cs="Arial"/>
                <w:b/>
                <w:bCs/>
                <w:lang w:val="en-US"/>
              </w:rPr>
              <w:t>,</w:t>
            </w:r>
            <w:r>
              <w:rPr>
                <w:rFonts w:ascii="Arial" w:hAnsi="Arial" w:cs="Arial"/>
                <w:b/>
                <w:bCs/>
                <w:lang w:val="en-US"/>
              </w:rPr>
              <w:t xml:space="preserve"> MAIN </w:t>
            </w:r>
            <w:r w:rsidRPr="005031B9">
              <w:rPr>
                <w:rFonts w:ascii="Arial" w:hAnsi="Arial" w:cs="Arial"/>
                <w:b/>
                <w:bCs/>
              </w:rPr>
              <w:t>DIVISION</w:t>
            </w:r>
            <w:r>
              <w:rPr>
                <w:rFonts w:ascii="Arial" w:hAnsi="Arial" w:cs="Arial"/>
                <w:b/>
                <w:bCs/>
                <w:lang w:val="en-US"/>
              </w:rPr>
              <w:t>, WIN</w:t>
            </w:r>
            <w:r w:rsidR="003B6BE9">
              <w:rPr>
                <w:rFonts w:ascii="Arial" w:hAnsi="Arial" w:cs="Arial"/>
                <w:b/>
                <w:bCs/>
                <w:lang w:val="en-US"/>
              </w:rPr>
              <w:t>D</w:t>
            </w:r>
            <w:r>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155B26">
        <w:tc>
          <w:tcPr>
            <w:tcW w:w="8789" w:type="dxa"/>
            <w:gridSpan w:val="4"/>
          </w:tcPr>
          <w:p w14:paraId="279F5FEF" w14:textId="77777777" w:rsidR="00AF7D5F" w:rsidRDefault="00AF7D5F" w:rsidP="00AF7D5F">
            <w:pPr>
              <w:spacing w:line="360" w:lineRule="auto"/>
              <w:jc w:val="center"/>
              <w:rPr>
                <w:rFonts w:ascii="Arial" w:hAnsi="Arial" w:cs="Arial"/>
                <w:b/>
                <w:bCs/>
                <w:lang w:val="en-US"/>
              </w:rPr>
            </w:pPr>
            <w:r w:rsidRPr="002D416A">
              <w:rPr>
                <w:rFonts w:ascii="Arial" w:hAnsi="Arial" w:cs="Arial"/>
                <w:b/>
                <w:bCs/>
                <w:lang w:val="en-US"/>
              </w:rPr>
              <w:t>JUDGMENT</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155B26">
        <w:tc>
          <w:tcPr>
            <w:tcW w:w="8789" w:type="dxa"/>
            <w:gridSpan w:val="4"/>
          </w:tcPr>
          <w:p w14:paraId="11B37741" w14:textId="2A526200" w:rsidR="00AF7D5F" w:rsidRDefault="00AF7D5F" w:rsidP="00AF7D5F">
            <w:pPr>
              <w:spacing w:line="360" w:lineRule="auto"/>
              <w:jc w:val="right"/>
              <w:rPr>
                <w:rFonts w:ascii="Arial" w:hAnsi="Arial" w:cs="Arial"/>
                <w:lang w:val="en-US"/>
              </w:rPr>
            </w:pPr>
            <w:r>
              <w:rPr>
                <w:rFonts w:ascii="Arial" w:hAnsi="Arial" w:cs="Arial"/>
                <w:lang w:val="en-US"/>
              </w:rPr>
              <w:t>Case number: HC-MD-</w:t>
            </w:r>
            <w:r w:rsidRPr="00751A7F">
              <w:rPr>
                <w:rFonts w:ascii="Arial" w:hAnsi="Arial" w:cs="Arial"/>
                <w:lang w:val="en-US"/>
              </w:rPr>
              <w:t>CIV-ACT-</w:t>
            </w:r>
            <w:r w:rsidR="00751A7F" w:rsidRPr="00751A7F">
              <w:rPr>
                <w:rFonts w:ascii="Arial" w:hAnsi="Arial" w:cs="Arial"/>
                <w:lang w:val="en-US"/>
              </w:rPr>
              <w:t>CON</w:t>
            </w:r>
            <w:r w:rsidRPr="00751A7F">
              <w:rPr>
                <w:rFonts w:ascii="Arial" w:hAnsi="Arial" w:cs="Arial"/>
                <w:lang w:val="en-US"/>
              </w:rPr>
              <w:t>-202</w:t>
            </w:r>
            <w:r w:rsidR="00751A7F" w:rsidRPr="00751A7F">
              <w:rPr>
                <w:rFonts w:ascii="Arial" w:hAnsi="Arial" w:cs="Arial"/>
                <w:lang w:val="en-US"/>
              </w:rPr>
              <w:t>3</w:t>
            </w:r>
            <w:r w:rsidRPr="00751A7F">
              <w:rPr>
                <w:rFonts w:ascii="Arial" w:hAnsi="Arial" w:cs="Arial"/>
                <w:lang w:val="en-US"/>
              </w:rPr>
              <w:t>/0</w:t>
            </w:r>
            <w:r w:rsidR="00751A7F" w:rsidRPr="00751A7F">
              <w:rPr>
                <w:rFonts w:ascii="Arial" w:hAnsi="Arial" w:cs="Arial"/>
                <w:lang w:val="en-US"/>
              </w:rPr>
              <w:t>3285</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155B26">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751A7F" w14:paraId="34CCEAD3" w14:textId="77777777" w:rsidTr="00155B26">
        <w:tc>
          <w:tcPr>
            <w:tcW w:w="5954" w:type="dxa"/>
            <w:gridSpan w:val="3"/>
          </w:tcPr>
          <w:p w14:paraId="4FA6D740" w14:textId="31D6359E" w:rsidR="00FE7F68" w:rsidRPr="00751A7F" w:rsidRDefault="00751A7F" w:rsidP="00FE7F68">
            <w:pPr>
              <w:spacing w:line="360" w:lineRule="auto"/>
              <w:rPr>
                <w:rFonts w:ascii="Arial" w:hAnsi="Arial" w:cs="Arial"/>
                <w:b/>
                <w:bCs/>
                <w:lang w:val="en-US"/>
              </w:rPr>
            </w:pPr>
            <w:r w:rsidRPr="00751A7F">
              <w:rPr>
                <w:rFonts w:ascii="Arial" w:hAnsi="Arial" w:cs="Arial"/>
                <w:b/>
                <w:bCs/>
                <w:lang w:val="en-US"/>
              </w:rPr>
              <w:t>ENGEN NAMIBIA (PTY) LTD</w:t>
            </w:r>
          </w:p>
          <w:p w14:paraId="5D832CEA" w14:textId="4D15504D" w:rsidR="00751A7F" w:rsidRPr="00751A7F" w:rsidRDefault="00751A7F" w:rsidP="00FE7F68">
            <w:pPr>
              <w:spacing w:line="360" w:lineRule="auto"/>
              <w:rPr>
                <w:rFonts w:ascii="Arial" w:hAnsi="Arial" w:cs="Arial"/>
                <w:b/>
                <w:bCs/>
                <w:lang w:val="en-US"/>
              </w:rPr>
            </w:pPr>
          </w:p>
        </w:tc>
        <w:tc>
          <w:tcPr>
            <w:tcW w:w="2835" w:type="dxa"/>
          </w:tcPr>
          <w:p w14:paraId="0C5F0845" w14:textId="32B50323" w:rsidR="00FE7F68" w:rsidRPr="00751A7F" w:rsidRDefault="00FE7F68" w:rsidP="00FE7F68">
            <w:pPr>
              <w:spacing w:line="360" w:lineRule="auto"/>
              <w:jc w:val="right"/>
              <w:rPr>
                <w:rFonts w:ascii="Arial" w:hAnsi="Arial" w:cs="Arial"/>
                <w:b/>
                <w:bCs/>
                <w:lang w:val="en-US"/>
              </w:rPr>
            </w:pPr>
            <w:r w:rsidRPr="00751A7F">
              <w:rPr>
                <w:rFonts w:ascii="Arial" w:hAnsi="Arial" w:cs="Arial"/>
                <w:b/>
                <w:bCs/>
                <w:lang w:val="en-US"/>
              </w:rPr>
              <w:t>PLAINTIFF</w:t>
            </w:r>
          </w:p>
        </w:tc>
      </w:tr>
      <w:tr w:rsidR="00FE7F68" w:rsidRPr="00751A7F" w14:paraId="0E075A5C" w14:textId="77777777" w:rsidTr="00155B26">
        <w:tc>
          <w:tcPr>
            <w:tcW w:w="8789" w:type="dxa"/>
            <w:gridSpan w:val="4"/>
          </w:tcPr>
          <w:p w14:paraId="67667823" w14:textId="77777777" w:rsidR="00FE7F68" w:rsidRPr="00751A7F" w:rsidRDefault="00FE7F68" w:rsidP="00FE7F68">
            <w:pPr>
              <w:spacing w:line="360" w:lineRule="auto"/>
              <w:jc w:val="both"/>
              <w:rPr>
                <w:rFonts w:ascii="Arial" w:hAnsi="Arial" w:cs="Arial"/>
                <w:lang w:val="en-US"/>
              </w:rPr>
            </w:pPr>
            <w:r w:rsidRPr="00751A7F">
              <w:rPr>
                <w:rFonts w:ascii="Arial" w:hAnsi="Arial" w:cs="Arial"/>
                <w:lang w:val="en-US"/>
              </w:rPr>
              <w:t>and</w:t>
            </w:r>
          </w:p>
          <w:p w14:paraId="7105FEA8" w14:textId="5A938592" w:rsidR="00751A7F" w:rsidRPr="00751A7F" w:rsidRDefault="00751A7F" w:rsidP="00FE7F68">
            <w:pPr>
              <w:spacing w:line="360" w:lineRule="auto"/>
              <w:jc w:val="both"/>
              <w:rPr>
                <w:rFonts w:ascii="Arial" w:hAnsi="Arial" w:cs="Arial"/>
                <w:lang w:val="en-US"/>
              </w:rPr>
            </w:pPr>
            <w:bookmarkStart w:id="0" w:name="_GoBack"/>
            <w:bookmarkEnd w:id="0"/>
          </w:p>
        </w:tc>
      </w:tr>
      <w:tr w:rsidR="00FE7F68" w:rsidRPr="00751A7F" w14:paraId="04F81E39" w14:textId="77777777" w:rsidTr="00155B26">
        <w:tc>
          <w:tcPr>
            <w:tcW w:w="5954" w:type="dxa"/>
            <w:gridSpan w:val="3"/>
          </w:tcPr>
          <w:p w14:paraId="00D8DE7D" w14:textId="59DB7520" w:rsidR="00FE7F68" w:rsidRPr="00751A7F" w:rsidRDefault="00751A7F" w:rsidP="00FE7F68">
            <w:pPr>
              <w:spacing w:line="360" w:lineRule="auto"/>
              <w:rPr>
                <w:rFonts w:ascii="Arial" w:hAnsi="Arial" w:cs="Arial"/>
                <w:b/>
                <w:bCs/>
                <w:lang w:val="en-US"/>
              </w:rPr>
            </w:pPr>
            <w:r w:rsidRPr="00751A7F">
              <w:rPr>
                <w:rFonts w:ascii="Arial" w:hAnsi="Arial" w:cs="Arial"/>
                <w:b/>
                <w:bCs/>
                <w:lang w:val="en-US"/>
              </w:rPr>
              <w:t>DENISE CARMEN JENNIFER BILLY</w:t>
            </w:r>
          </w:p>
        </w:tc>
        <w:tc>
          <w:tcPr>
            <w:tcW w:w="2835" w:type="dxa"/>
          </w:tcPr>
          <w:p w14:paraId="1ADBFFFC" w14:textId="0EB93BA6" w:rsidR="00FE7F68" w:rsidRPr="00751A7F" w:rsidRDefault="00FE7F68" w:rsidP="00FE7F68">
            <w:pPr>
              <w:spacing w:line="360" w:lineRule="auto"/>
              <w:jc w:val="right"/>
              <w:rPr>
                <w:rFonts w:ascii="Arial" w:hAnsi="Arial" w:cs="Arial"/>
                <w:b/>
                <w:bCs/>
                <w:lang w:val="en-US"/>
              </w:rPr>
            </w:pPr>
            <w:r w:rsidRPr="00751A7F">
              <w:rPr>
                <w:rFonts w:ascii="Arial" w:hAnsi="Arial" w:cs="Arial"/>
                <w:b/>
                <w:bCs/>
                <w:lang w:val="en-US"/>
              </w:rPr>
              <w:t xml:space="preserve">FIRST </w:t>
            </w:r>
            <w:r w:rsidR="00972458" w:rsidRPr="00751A7F">
              <w:rPr>
                <w:rFonts w:ascii="Arial" w:hAnsi="Arial" w:cs="Arial"/>
                <w:b/>
                <w:bCs/>
                <w:lang w:val="en-US"/>
              </w:rPr>
              <w:t>DEFENDANT</w:t>
            </w:r>
          </w:p>
        </w:tc>
      </w:tr>
      <w:tr w:rsidR="00FE7F68" w:rsidRPr="00FE7F68" w14:paraId="601BC258" w14:textId="77777777" w:rsidTr="00155B26">
        <w:tc>
          <w:tcPr>
            <w:tcW w:w="5954" w:type="dxa"/>
            <w:gridSpan w:val="3"/>
          </w:tcPr>
          <w:p w14:paraId="44EA80CC" w14:textId="1FFA56A1" w:rsidR="00FE7F68" w:rsidRPr="00751A7F" w:rsidRDefault="00751A7F" w:rsidP="00FE7F68">
            <w:pPr>
              <w:spacing w:line="360" w:lineRule="auto"/>
              <w:rPr>
                <w:rFonts w:ascii="Arial" w:hAnsi="Arial" w:cs="Arial"/>
                <w:b/>
                <w:bCs/>
                <w:lang w:val="en-US"/>
              </w:rPr>
            </w:pPr>
            <w:r w:rsidRPr="00751A7F">
              <w:rPr>
                <w:rFonts w:ascii="Arial" w:hAnsi="Arial" w:cs="Arial"/>
                <w:b/>
                <w:bCs/>
                <w:lang w:val="en-US"/>
              </w:rPr>
              <w:t>QUERIDA'S TRADING ENTERPRISES (PTY) LTD</w:t>
            </w:r>
          </w:p>
          <w:p w14:paraId="4B22417B" w14:textId="64F5D429" w:rsidR="00AF7D5F" w:rsidRPr="00751A7F" w:rsidRDefault="00AF7D5F" w:rsidP="00FE7F68">
            <w:pPr>
              <w:spacing w:line="360" w:lineRule="auto"/>
              <w:rPr>
                <w:rFonts w:ascii="Arial" w:hAnsi="Arial" w:cs="Arial"/>
                <w:b/>
                <w:bCs/>
                <w:lang w:val="en-US"/>
              </w:rPr>
            </w:pPr>
          </w:p>
        </w:tc>
        <w:tc>
          <w:tcPr>
            <w:tcW w:w="2835" w:type="dxa"/>
          </w:tcPr>
          <w:p w14:paraId="7C36DF26" w14:textId="45D9195D" w:rsidR="00FE7F68" w:rsidRPr="00FE7F68" w:rsidRDefault="00FE7F68" w:rsidP="00FE7F68">
            <w:pPr>
              <w:spacing w:line="360" w:lineRule="auto"/>
              <w:jc w:val="right"/>
              <w:rPr>
                <w:rFonts w:ascii="Arial" w:hAnsi="Arial" w:cs="Arial"/>
                <w:b/>
                <w:bCs/>
                <w:lang w:val="en-US"/>
              </w:rPr>
            </w:pPr>
            <w:r w:rsidRPr="00751A7F">
              <w:rPr>
                <w:rFonts w:ascii="Arial" w:hAnsi="Arial" w:cs="Arial"/>
                <w:b/>
                <w:bCs/>
                <w:lang w:val="en-US"/>
              </w:rPr>
              <w:t>SECOND DEFENDANT</w:t>
            </w:r>
          </w:p>
        </w:tc>
      </w:tr>
      <w:tr w:rsidR="00AF7D5F" w:rsidRPr="00FE7F68" w14:paraId="41CF2B70" w14:textId="77777777" w:rsidTr="00155B26">
        <w:tc>
          <w:tcPr>
            <w:tcW w:w="2127" w:type="dxa"/>
            <w:gridSpan w:val="2"/>
          </w:tcPr>
          <w:p w14:paraId="487AC033" w14:textId="3EB28DE0" w:rsidR="00AF7D5F" w:rsidRPr="00AF7D5F" w:rsidRDefault="00AF7D5F" w:rsidP="00AF7D5F">
            <w:pPr>
              <w:spacing w:line="360" w:lineRule="auto"/>
              <w:jc w:val="both"/>
              <w:rPr>
                <w:rFonts w:ascii="Arial" w:hAnsi="Arial" w:cs="Arial"/>
                <w:b/>
                <w:bCs/>
                <w:highlight w:val="yellow"/>
                <w:lang w:val="en-US"/>
              </w:rPr>
            </w:pPr>
            <w:r w:rsidRPr="00AF7D5F">
              <w:rPr>
                <w:rFonts w:ascii="Arial" w:hAnsi="Arial" w:cs="Arial"/>
                <w:b/>
                <w:bCs/>
                <w:lang w:val="en-US"/>
              </w:rPr>
              <w:t>Neutral citation:</w:t>
            </w:r>
          </w:p>
        </w:tc>
        <w:tc>
          <w:tcPr>
            <w:tcW w:w="6662" w:type="dxa"/>
            <w:gridSpan w:val="2"/>
          </w:tcPr>
          <w:p w14:paraId="251DFA2E" w14:textId="35B1630E" w:rsidR="00AF7D5F" w:rsidRPr="00751A7F" w:rsidRDefault="00751A7F" w:rsidP="00AF7D5F">
            <w:pPr>
              <w:spacing w:line="360" w:lineRule="auto"/>
              <w:jc w:val="both"/>
              <w:rPr>
                <w:rFonts w:ascii="Arial" w:hAnsi="Arial" w:cs="Arial"/>
                <w:lang w:val="en-US"/>
              </w:rPr>
            </w:pPr>
            <w:r>
              <w:rPr>
                <w:rFonts w:ascii="Arial" w:hAnsi="Arial" w:cs="Arial"/>
                <w:i/>
                <w:iCs/>
                <w:lang w:val="en-US"/>
              </w:rPr>
              <w:t>Engen Namibia (Pty) Ltd v Billy</w:t>
            </w:r>
            <w:r w:rsidR="00AF7D5F" w:rsidRPr="00751A7F">
              <w:rPr>
                <w:rFonts w:ascii="Arial" w:hAnsi="Arial" w:cs="Arial"/>
                <w:lang w:val="en-US"/>
              </w:rPr>
              <w:t xml:space="preserve"> </w:t>
            </w:r>
            <w:r w:rsidR="00AF7D5F" w:rsidRPr="008C4616">
              <w:rPr>
                <w:rFonts w:ascii="Arial" w:hAnsi="Arial" w:cs="Arial"/>
                <w:lang w:val="en-US"/>
              </w:rPr>
              <w:t>(</w:t>
            </w:r>
            <w:r w:rsidRPr="008C4616">
              <w:rPr>
                <w:rFonts w:ascii="Arial" w:hAnsi="Arial" w:cs="Arial"/>
                <w:lang w:val="en-US"/>
              </w:rPr>
              <w:t>HC</w:t>
            </w:r>
            <w:r w:rsidRPr="00751A7F">
              <w:rPr>
                <w:rFonts w:ascii="Arial" w:hAnsi="Arial" w:cs="Arial"/>
                <w:lang w:val="en-US"/>
              </w:rPr>
              <w:t>-MD-CIV-ACT-CON-2023/03285</w:t>
            </w:r>
            <w:r w:rsidR="00AF7D5F" w:rsidRPr="00751A7F">
              <w:rPr>
                <w:rFonts w:ascii="Arial" w:hAnsi="Arial" w:cs="Arial"/>
                <w:lang w:val="en-US"/>
              </w:rPr>
              <w:t>) [2024]</w:t>
            </w:r>
            <w:r w:rsidR="00DC6327" w:rsidRPr="00751A7F">
              <w:rPr>
                <w:rFonts w:ascii="Arial" w:hAnsi="Arial" w:cs="Arial"/>
                <w:lang w:val="en-US"/>
              </w:rPr>
              <w:t xml:space="preserve"> NAHCMD</w:t>
            </w:r>
            <w:r w:rsidR="00AF7D5F" w:rsidRPr="00751A7F">
              <w:rPr>
                <w:rFonts w:ascii="Arial" w:hAnsi="Arial" w:cs="Arial"/>
                <w:lang w:val="en-US"/>
              </w:rPr>
              <w:t xml:space="preserve"> </w:t>
            </w:r>
            <w:r w:rsidR="00AD1745">
              <w:rPr>
                <w:rFonts w:ascii="Arial" w:hAnsi="Arial" w:cs="Arial"/>
                <w:lang w:val="en-US"/>
              </w:rPr>
              <w:t>135</w:t>
            </w:r>
            <w:r w:rsidR="00AF7D5F" w:rsidRPr="00751A7F">
              <w:rPr>
                <w:rFonts w:ascii="Arial" w:hAnsi="Arial" w:cs="Arial"/>
                <w:lang w:val="en-US"/>
              </w:rPr>
              <w:t xml:space="preserve"> </w:t>
            </w:r>
            <w:r w:rsidR="00AF7D5F" w:rsidRPr="005B3C3B">
              <w:rPr>
                <w:rFonts w:ascii="Arial" w:hAnsi="Arial" w:cs="Arial"/>
                <w:lang w:val="en-US"/>
              </w:rPr>
              <w:t>(</w:t>
            </w:r>
            <w:r w:rsidRPr="005B3C3B">
              <w:rPr>
                <w:rFonts w:ascii="Arial" w:hAnsi="Arial" w:cs="Arial"/>
                <w:lang w:val="en-US"/>
              </w:rPr>
              <w:t>2</w:t>
            </w:r>
            <w:r w:rsidR="005B3C3B" w:rsidRPr="005B3C3B">
              <w:rPr>
                <w:rFonts w:ascii="Arial" w:hAnsi="Arial" w:cs="Arial"/>
                <w:lang w:val="en-US"/>
              </w:rPr>
              <w:t>7</w:t>
            </w:r>
            <w:r w:rsidRPr="005B3C3B">
              <w:rPr>
                <w:rFonts w:ascii="Arial" w:hAnsi="Arial" w:cs="Arial"/>
                <w:lang w:val="en-US"/>
              </w:rPr>
              <w:t xml:space="preserve"> March</w:t>
            </w:r>
            <w:r w:rsidR="00AF7D5F" w:rsidRPr="005B3C3B">
              <w:rPr>
                <w:rFonts w:ascii="Arial" w:hAnsi="Arial" w:cs="Arial"/>
                <w:lang w:val="en-US"/>
              </w:rPr>
              <w:t xml:space="preserve"> 2024)</w:t>
            </w:r>
          </w:p>
          <w:p w14:paraId="282C2D36" w14:textId="5C4EF553" w:rsidR="00AF7D5F" w:rsidRPr="00AF7D5F" w:rsidRDefault="00AF7D5F" w:rsidP="00AF7D5F">
            <w:pPr>
              <w:spacing w:line="360" w:lineRule="auto"/>
              <w:jc w:val="both"/>
              <w:rPr>
                <w:rFonts w:ascii="Arial" w:hAnsi="Arial" w:cs="Arial"/>
                <w:highlight w:val="yellow"/>
                <w:lang w:val="en-US"/>
              </w:rPr>
            </w:pPr>
          </w:p>
        </w:tc>
      </w:tr>
      <w:tr w:rsidR="00AF7D5F" w:rsidRPr="00155B26" w14:paraId="27AE6A1D" w14:textId="77777777" w:rsidTr="00155B26">
        <w:tc>
          <w:tcPr>
            <w:tcW w:w="1418" w:type="dxa"/>
          </w:tcPr>
          <w:p w14:paraId="6BF613A4" w14:textId="39079173"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Coram:</w:t>
            </w:r>
          </w:p>
        </w:tc>
        <w:tc>
          <w:tcPr>
            <w:tcW w:w="7371" w:type="dxa"/>
            <w:gridSpan w:val="3"/>
          </w:tcPr>
          <w:p w14:paraId="5A5C72D6" w14:textId="21306A88" w:rsidR="00AF7D5F" w:rsidRPr="00155B26" w:rsidRDefault="00155B26" w:rsidP="00AF7D5F">
            <w:pPr>
              <w:spacing w:line="360" w:lineRule="auto"/>
              <w:jc w:val="both"/>
              <w:rPr>
                <w:rFonts w:ascii="Arial" w:hAnsi="Arial" w:cs="Arial"/>
                <w:lang w:val="en-US"/>
              </w:rPr>
            </w:pPr>
            <w:r>
              <w:rPr>
                <w:rFonts w:ascii="Arial" w:hAnsi="Arial" w:cs="Arial"/>
                <w:lang w:val="en-US"/>
              </w:rPr>
              <w:t>DE JAGER AJ</w:t>
            </w:r>
          </w:p>
        </w:tc>
      </w:tr>
      <w:tr w:rsidR="00AF7D5F" w:rsidRPr="00155B26" w14:paraId="6AA370E6" w14:textId="77777777" w:rsidTr="00155B26">
        <w:tc>
          <w:tcPr>
            <w:tcW w:w="1418" w:type="dxa"/>
          </w:tcPr>
          <w:p w14:paraId="0FD33D8F" w14:textId="392CB1F0"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Heard:</w:t>
            </w:r>
          </w:p>
        </w:tc>
        <w:tc>
          <w:tcPr>
            <w:tcW w:w="7371" w:type="dxa"/>
            <w:gridSpan w:val="3"/>
          </w:tcPr>
          <w:p w14:paraId="35ED4601" w14:textId="4CAF6E63" w:rsidR="00AF7D5F" w:rsidRPr="00751A7F" w:rsidRDefault="00751A7F" w:rsidP="00AF7D5F">
            <w:pPr>
              <w:spacing w:line="360" w:lineRule="auto"/>
              <w:jc w:val="both"/>
              <w:rPr>
                <w:rFonts w:ascii="Arial" w:hAnsi="Arial" w:cs="Arial"/>
                <w:b/>
                <w:bCs/>
                <w:lang w:val="en-US"/>
              </w:rPr>
            </w:pPr>
            <w:r w:rsidRPr="00751A7F">
              <w:rPr>
                <w:rFonts w:ascii="Arial" w:hAnsi="Arial" w:cs="Arial"/>
                <w:b/>
                <w:bCs/>
                <w:lang w:val="en-US"/>
              </w:rPr>
              <w:t>5 March</w:t>
            </w:r>
            <w:r w:rsidR="00155B26" w:rsidRPr="00751A7F">
              <w:rPr>
                <w:rFonts w:ascii="Arial" w:hAnsi="Arial" w:cs="Arial"/>
                <w:b/>
                <w:bCs/>
                <w:lang w:val="en-US"/>
              </w:rPr>
              <w:t xml:space="preserve"> 2024</w:t>
            </w:r>
          </w:p>
        </w:tc>
      </w:tr>
      <w:tr w:rsidR="00AF7D5F" w:rsidRPr="00AF7D5F" w14:paraId="655093C6" w14:textId="77777777" w:rsidTr="00155B26">
        <w:tc>
          <w:tcPr>
            <w:tcW w:w="1418" w:type="dxa"/>
          </w:tcPr>
          <w:p w14:paraId="550E49EA" w14:textId="221779FF"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Delivered:</w:t>
            </w:r>
          </w:p>
        </w:tc>
        <w:tc>
          <w:tcPr>
            <w:tcW w:w="7371" w:type="dxa"/>
            <w:gridSpan w:val="3"/>
          </w:tcPr>
          <w:p w14:paraId="3BB7DE40" w14:textId="57F5C2D1" w:rsidR="00AF7D5F" w:rsidRPr="00751A7F" w:rsidRDefault="00751A7F" w:rsidP="00AF7D5F">
            <w:pPr>
              <w:spacing w:line="360" w:lineRule="auto"/>
              <w:jc w:val="both"/>
              <w:rPr>
                <w:rFonts w:ascii="Arial" w:hAnsi="Arial" w:cs="Arial"/>
                <w:b/>
                <w:bCs/>
                <w:lang w:val="en-US"/>
              </w:rPr>
            </w:pPr>
            <w:r w:rsidRPr="005B3C3B">
              <w:rPr>
                <w:rFonts w:ascii="Arial" w:hAnsi="Arial" w:cs="Arial"/>
                <w:b/>
                <w:bCs/>
                <w:lang w:val="en-US"/>
              </w:rPr>
              <w:t>2</w:t>
            </w:r>
            <w:r w:rsidR="005B3C3B" w:rsidRPr="005B3C3B">
              <w:rPr>
                <w:rFonts w:ascii="Arial" w:hAnsi="Arial" w:cs="Arial"/>
                <w:b/>
                <w:bCs/>
                <w:lang w:val="en-US"/>
              </w:rPr>
              <w:t>7</w:t>
            </w:r>
            <w:r w:rsidRPr="005B3C3B">
              <w:rPr>
                <w:rFonts w:ascii="Arial" w:hAnsi="Arial" w:cs="Arial"/>
                <w:b/>
                <w:bCs/>
                <w:lang w:val="en-US"/>
              </w:rPr>
              <w:t xml:space="preserve"> March</w:t>
            </w:r>
            <w:r w:rsidR="00155B26" w:rsidRPr="005B3C3B">
              <w:rPr>
                <w:rFonts w:ascii="Arial" w:hAnsi="Arial" w:cs="Arial"/>
                <w:b/>
                <w:bCs/>
                <w:lang w:val="en-US"/>
              </w:rPr>
              <w:t xml:space="preserve"> 2024</w:t>
            </w:r>
          </w:p>
          <w:p w14:paraId="20367C70" w14:textId="78A3FD94" w:rsidR="00155B26" w:rsidRPr="00751A7F" w:rsidRDefault="00155B26" w:rsidP="00AF7D5F">
            <w:pPr>
              <w:spacing w:line="360" w:lineRule="auto"/>
              <w:jc w:val="both"/>
              <w:rPr>
                <w:rFonts w:ascii="Arial" w:hAnsi="Arial" w:cs="Arial"/>
                <w:lang w:val="en-US"/>
              </w:rPr>
            </w:pPr>
          </w:p>
        </w:tc>
      </w:tr>
    </w:tbl>
    <w:p w14:paraId="09786279" w14:textId="4482E868" w:rsidR="00492514" w:rsidRDefault="00155B26" w:rsidP="00492514">
      <w:pPr>
        <w:pStyle w:val="ListParagraph"/>
        <w:spacing w:line="360" w:lineRule="auto"/>
        <w:ind w:left="0"/>
        <w:jc w:val="both"/>
        <w:rPr>
          <w:rFonts w:ascii="Arial" w:hAnsi="Arial" w:cs="Arial"/>
          <w:lang w:val="en-US"/>
        </w:rPr>
      </w:pPr>
      <w:r>
        <w:rPr>
          <w:rFonts w:ascii="Arial" w:hAnsi="Arial" w:cs="Arial"/>
          <w:b/>
          <w:bCs/>
          <w:lang w:val="en-US"/>
        </w:rPr>
        <w:t>Flynote:</w:t>
      </w:r>
      <w:r>
        <w:rPr>
          <w:rFonts w:ascii="Arial" w:hAnsi="Arial" w:cs="Arial"/>
          <w:b/>
          <w:bCs/>
          <w:lang w:val="en-US"/>
        </w:rPr>
        <w:tab/>
      </w:r>
      <w:r w:rsidR="00912F35">
        <w:rPr>
          <w:rFonts w:ascii="Arial" w:hAnsi="Arial" w:cs="Arial"/>
          <w:lang w:val="en-US"/>
        </w:rPr>
        <w:t>Practice – Summary judgment – Principles restated</w:t>
      </w:r>
      <w:r w:rsidR="00D25C33">
        <w:rPr>
          <w:rFonts w:ascii="Arial" w:hAnsi="Arial" w:cs="Arial"/>
          <w:lang w:val="en-US"/>
        </w:rPr>
        <w:t xml:space="preserve"> – </w:t>
      </w:r>
      <w:r w:rsidR="000D7ED6">
        <w:rPr>
          <w:rFonts w:ascii="Arial" w:hAnsi="Arial" w:cs="Arial"/>
          <w:lang w:val="en-US"/>
        </w:rPr>
        <w:t xml:space="preserve">First claim </w:t>
      </w:r>
      <w:r w:rsidR="006B1F6A">
        <w:rPr>
          <w:rFonts w:ascii="Arial" w:hAnsi="Arial" w:cs="Arial"/>
          <w:lang w:val="en-US"/>
        </w:rPr>
        <w:t xml:space="preserve">for payment of goods sold and delivered and levies payable under </w:t>
      </w:r>
      <w:r w:rsidR="00031472">
        <w:rPr>
          <w:rFonts w:ascii="Arial" w:hAnsi="Arial" w:cs="Arial"/>
          <w:lang w:val="en-US"/>
        </w:rPr>
        <w:t xml:space="preserve">a </w:t>
      </w:r>
      <w:r w:rsidR="006B1F6A">
        <w:rPr>
          <w:rFonts w:ascii="Arial" w:hAnsi="Arial" w:cs="Arial"/>
          <w:lang w:val="en-US"/>
        </w:rPr>
        <w:t>marketing licen</w:t>
      </w:r>
      <w:r w:rsidR="004B57A0">
        <w:rPr>
          <w:rFonts w:ascii="Arial" w:hAnsi="Arial" w:cs="Arial"/>
          <w:lang w:val="en-US"/>
        </w:rPr>
        <w:t>c</w:t>
      </w:r>
      <w:r w:rsidR="006B1F6A">
        <w:rPr>
          <w:rFonts w:ascii="Arial" w:hAnsi="Arial" w:cs="Arial"/>
          <w:lang w:val="en-US"/>
        </w:rPr>
        <w:t>e agreement</w:t>
      </w:r>
      <w:r w:rsidR="00031472">
        <w:rPr>
          <w:rFonts w:ascii="Arial" w:hAnsi="Arial" w:cs="Arial"/>
          <w:lang w:val="en-US"/>
        </w:rPr>
        <w:t xml:space="preserve"> </w:t>
      </w:r>
      <w:r w:rsidR="00432BF2">
        <w:rPr>
          <w:rFonts w:ascii="Arial" w:hAnsi="Arial" w:cs="Arial"/>
          <w:lang w:val="en-US"/>
        </w:rPr>
        <w:t>which first defendant breached</w:t>
      </w:r>
      <w:r w:rsidR="006B1F6A">
        <w:rPr>
          <w:rFonts w:ascii="Arial" w:hAnsi="Arial" w:cs="Arial"/>
          <w:lang w:val="en-US"/>
        </w:rPr>
        <w:t xml:space="preserve"> – </w:t>
      </w:r>
      <w:r w:rsidR="000D7ED6">
        <w:rPr>
          <w:rFonts w:ascii="Arial" w:hAnsi="Arial" w:cs="Arial"/>
          <w:lang w:val="en-US"/>
        </w:rPr>
        <w:t>Second</w:t>
      </w:r>
      <w:r w:rsidR="006B1F6A">
        <w:rPr>
          <w:rFonts w:ascii="Arial" w:hAnsi="Arial" w:cs="Arial"/>
          <w:lang w:val="en-US"/>
        </w:rPr>
        <w:t xml:space="preserve"> </w:t>
      </w:r>
      <w:r w:rsidR="000D7ED6">
        <w:rPr>
          <w:rFonts w:ascii="Arial" w:hAnsi="Arial" w:cs="Arial"/>
          <w:lang w:val="en-US"/>
        </w:rPr>
        <w:t xml:space="preserve">claim </w:t>
      </w:r>
      <w:r w:rsidR="006B1F6A">
        <w:rPr>
          <w:rFonts w:ascii="Arial" w:hAnsi="Arial" w:cs="Arial"/>
          <w:lang w:val="en-US"/>
        </w:rPr>
        <w:t xml:space="preserve">for </w:t>
      </w:r>
      <w:r w:rsidR="00432BF2">
        <w:rPr>
          <w:rFonts w:ascii="Arial" w:hAnsi="Arial" w:cs="Arial"/>
          <w:lang w:val="en-US"/>
        </w:rPr>
        <w:t>reimburs</w:t>
      </w:r>
      <w:r w:rsidR="003250C2">
        <w:rPr>
          <w:rFonts w:ascii="Arial" w:hAnsi="Arial" w:cs="Arial"/>
          <w:lang w:val="en-US"/>
        </w:rPr>
        <w:t>ing</w:t>
      </w:r>
      <w:r w:rsidR="00432BF2">
        <w:rPr>
          <w:rFonts w:ascii="Arial" w:hAnsi="Arial" w:cs="Arial"/>
          <w:lang w:val="en-US"/>
        </w:rPr>
        <w:t xml:space="preserve"> </w:t>
      </w:r>
      <w:r w:rsidR="004B57A0">
        <w:rPr>
          <w:rFonts w:ascii="Arial" w:hAnsi="Arial" w:cs="Arial"/>
          <w:lang w:val="en-US"/>
        </w:rPr>
        <w:t xml:space="preserve">plaintiff </w:t>
      </w:r>
      <w:r w:rsidR="003250C2">
        <w:rPr>
          <w:rFonts w:ascii="Arial" w:hAnsi="Arial" w:cs="Arial"/>
          <w:lang w:val="en-US"/>
        </w:rPr>
        <w:t xml:space="preserve">for </w:t>
      </w:r>
      <w:r w:rsidR="00432BF2">
        <w:rPr>
          <w:rFonts w:ascii="Arial" w:hAnsi="Arial" w:cs="Arial"/>
          <w:lang w:val="en-US"/>
        </w:rPr>
        <w:t xml:space="preserve">discharging </w:t>
      </w:r>
      <w:r w:rsidR="00C24B0A">
        <w:rPr>
          <w:rFonts w:ascii="Arial" w:hAnsi="Arial" w:cs="Arial"/>
          <w:lang w:val="en-US"/>
        </w:rPr>
        <w:t xml:space="preserve">first defendant’s </w:t>
      </w:r>
      <w:r w:rsidR="006B1F6A">
        <w:rPr>
          <w:rFonts w:ascii="Arial" w:hAnsi="Arial" w:cs="Arial"/>
          <w:lang w:val="en-US"/>
        </w:rPr>
        <w:t>debt</w:t>
      </w:r>
      <w:r w:rsidR="00801F6C">
        <w:rPr>
          <w:rFonts w:ascii="Arial" w:hAnsi="Arial" w:cs="Arial"/>
          <w:lang w:val="en-US"/>
        </w:rPr>
        <w:t xml:space="preserve"> to </w:t>
      </w:r>
      <w:r w:rsidR="00031472">
        <w:rPr>
          <w:rFonts w:ascii="Arial" w:hAnsi="Arial" w:cs="Arial"/>
          <w:lang w:val="en-US"/>
        </w:rPr>
        <w:t xml:space="preserve">a </w:t>
      </w:r>
      <w:r w:rsidR="00801F6C">
        <w:rPr>
          <w:rFonts w:ascii="Arial" w:hAnsi="Arial" w:cs="Arial"/>
          <w:lang w:val="en-US"/>
        </w:rPr>
        <w:t>third party</w:t>
      </w:r>
      <w:r w:rsidR="006B1F6A">
        <w:rPr>
          <w:rFonts w:ascii="Arial" w:hAnsi="Arial" w:cs="Arial"/>
          <w:lang w:val="en-US"/>
        </w:rPr>
        <w:t xml:space="preserve"> – </w:t>
      </w:r>
      <w:r w:rsidR="00604906">
        <w:rPr>
          <w:rFonts w:ascii="Arial" w:hAnsi="Arial" w:cs="Arial"/>
          <w:lang w:val="en-US"/>
        </w:rPr>
        <w:t>Third c</w:t>
      </w:r>
      <w:r w:rsidR="006B1F6A">
        <w:rPr>
          <w:rFonts w:ascii="Arial" w:hAnsi="Arial" w:cs="Arial"/>
          <w:lang w:val="en-US"/>
        </w:rPr>
        <w:t xml:space="preserve">laim </w:t>
      </w:r>
      <w:r w:rsidR="00C24B0A">
        <w:rPr>
          <w:rFonts w:ascii="Arial" w:hAnsi="Arial" w:cs="Arial"/>
          <w:lang w:val="en-US"/>
        </w:rPr>
        <w:t>for</w:t>
      </w:r>
      <w:r w:rsidR="006B1F6A">
        <w:rPr>
          <w:rFonts w:ascii="Arial" w:hAnsi="Arial" w:cs="Arial"/>
          <w:lang w:val="en-US"/>
        </w:rPr>
        <w:t xml:space="preserve"> declar</w:t>
      </w:r>
      <w:r w:rsidR="00C24B0A">
        <w:rPr>
          <w:rFonts w:ascii="Arial" w:hAnsi="Arial" w:cs="Arial"/>
          <w:lang w:val="en-US"/>
        </w:rPr>
        <w:t>ing</w:t>
      </w:r>
      <w:r w:rsidR="006B1F6A">
        <w:rPr>
          <w:rFonts w:ascii="Arial" w:hAnsi="Arial" w:cs="Arial"/>
          <w:lang w:val="en-US"/>
        </w:rPr>
        <w:t xml:space="preserve"> </w:t>
      </w:r>
      <w:r w:rsidR="008A27EB">
        <w:rPr>
          <w:rFonts w:ascii="Arial" w:hAnsi="Arial" w:cs="Arial"/>
          <w:lang w:val="en-US"/>
        </w:rPr>
        <w:t xml:space="preserve">immovable </w:t>
      </w:r>
      <w:r w:rsidR="006B1F6A">
        <w:rPr>
          <w:rFonts w:ascii="Arial" w:hAnsi="Arial" w:cs="Arial"/>
          <w:lang w:val="en-US"/>
        </w:rPr>
        <w:t xml:space="preserve">property executable under </w:t>
      </w:r>
      <w:r w:rsidR="00031472">
        <w:rPr>
          <w:rFonts w:ascii="Arial" w:hAnsi="Arial" w:cs="Arial"/>
          <w:lang w:val="en-US"/>
        </w:rPr>
        <w:t xml:space="preserve">a </w:t>
      </w:r>
      <w:r w:rsidR="006B1F6A">
        <w:rPr>
          <w:rFonts w:ascii="Arial" w:hAnsi="Arial" w:cs="Arial"/>
          <w:lang w:val="en-US"/>
        </w:rPr>
        <w:t>mortgage bond</w:t>
      </w:r>
      <w:r w:rsidR="0057370C">
        <w:rPr>
          <w:rFonts w:ascii="Arial" w:hAnsi="Arial" w:cs="Arial"/>
          <w:lang w:val="en-US"/>
        </w:rPr>
        <w:t xml:space="preserve"> passed by first </w:t>
      </w:r>
      <w:r w:rsidR="0057370C">
        <w:rPr>
          <w:rFonts w:ascii="Arial" w:hAnsi="Arial" w:cs="Arial"/>
          <w:lang w:val="en-US"/>
        </w:rPr>
        <w:lastRenderedPageBreak/>
        <w:t xml:space="preserve">defendant in favour of plaintiff over property as security for </w:t>
      </w:r>
      <w:r w:rsidR="00BB6FC4">
        <w:rPr>
          <w:rFonts w:ascii="Arial" w:hAnsi="Arial" w:cs="Arial"/>
          <w:lang w:val="en-US"/>
        </w:rPr>
        <w:t>payment of money that may at any time be or become due and owing to plaintiff arising from any cause whatsoever</w:t>
      </w:r>
      <w:r w:rsidR="004B57A0">
        <w:rPr>
          <w:rFonts w:ascii="Arial" w:hAnsi="Arial" w:cs="Arial"/>
          <w:lang w:val="en-US"/>
        </w:rPr>
        <w:t xml:space="preserve"> </w:t>
      </w:r>
      <w:r w:rsidR="00D25C33">
        <w:rPr>
          <w:rFonts w:ascii="Arial" w:hAnsi="Arial" w:cs="Arial"/>
          <w:lang w:val="en-US"/>
        </w:rPr>
        <w:t xml:space="preserve">– Defence that part of claim one prescribed is a bona fide defence – Defence that </w:t>
      </w:r>
      <w:r w:rsidR="0057370C">
        <w:rPr>
          <w:rFonts w:ascii="Arial" w:hAnsi="Arial" w:cs="Arial"/>
          <w:lang w:val="en-US"/>
        </w:rPr>
        <w:t>a</w:t>
      </w:r>
      <w:r w:rsidR="00D25C33">
        <w:rPr>
          <w:rFonts w:ascii="Arial" w:hAnsi="Arial" w:cs="Arial"/>
          <w:lang w:val="en-US"/>
        </w:rPr>
        <w:t xml:space="preserve"> notarial deed of lease concluded prior to, and leading to</w:t>
      </w:r>
      <w:r w:rsidR="00492514">
        <w:rPr>
          <w:rFonts w:ascii="Arial" w:hAnsi="Arial" w:cs="Arial"/>
          <w:lang w:val="en-US"/>
        </w:rPr>
        <w:t>,</w:t>
      </w:r>
      <w:r w:rsidR="00D25C33">
        <w:rPr>
          <w:rFonts w:ascii="Arial" w:hAnsi="Arial" w:cs="Arial"/>
          <w:lang w:val="en-US"/>
        </w:rPr>
        <w:t xml:space="preserve"> conclusion of the marketing licence agreement is an agreement contrary to s 23 or 26 of the Competition Act 2 of 2003 and therefore unenforceable considered.</w:t>
      </w:r>
    </w:p>
    <w:p w14:paraId="6A667EDE" w14:textId="77777777" w:rsidR="00492514" w:rsidRPr="00DB45DA" w:rsidRDefault="00492514" w:rsidP="00492514">
      <w:pPr>
        <w:pStyle w:val="ListParagraph"/>
        <w:rPr>
          <w:rFonts w:ascii="Arial" w:hAnsi="Arial" w:cs="Arial"/>
          <w:lang w:val="en-US"/>
        </w:rPr>
      </w:pPr>
    </w:p>
    <w:p w14:paraId="2521AA9D" w14:textId="3BDA2ECE" w:rsidR="00492514" w:rsidRDefault="00D25C33" w:rsidP="00492514">
      <w:pPr>
        <w:pStyle w:val="ListParagraph"/>
        <w:spacing w:line="360" w:lineRule="auto"/>
        <w:ind w:left="0"/>
        <w:jc w:val="both"/>
        <w:rPr>
          <w:rFonts w:ascii="Arial" w:hAnsi="Arial" w:cs="Arial"/>
          <w:lang w:val="en-US"/>
        </w:rPr>
      </w:pPr>
      <w:r>
        <w:rPr>
          <w:rFonts w:ascii="Arial" w:hAnsi="Arial" w:cs="Arial"/>
          <w:lang w:val="en-US"/>
        </w:rPr>
        <w:t xml:space="preserve">Jurisdiction – </w:t>
      </w:r>
      <w:r w:rsidR="0057370C">
        <w:rPr>
          <w:rFonts w:ascii="Arial" w:hAnsi="Arial" w:cs="Arial"/>
          <w:lang w:val="en-US"/>
        </w:rPr>
        <w:t xml:space="preserve">Court – </w:t>
      </w:r>
      <w:r>
        <w:rPr>
          <w:rFonts w:ascii="Arial" w:hAnsi="Arial" w:cs="Arial"/>
          <w:lang w:val="en-US"/>
        </w:rPr>
        <w:t xml:space="preserve">Over private law disputes for contraventions of the Act – Depends upon proper construction of the Act </w:t>
      </w:r>
      <w:r w:rsidR="00492514">
        <w:rPr>
          <w:rFonts w:ascii="Arial" w:hAnsi="Arial" w:cs="Arial"/>
          <w:lang w:val="en-US"/>
        </w:rPr>
        <w:t>–</w:t>
      </w:r>
      <w:r>
        <w:rPr>
          <w:rFonts w:ascii="Arial" w:hAnsi="Arial" w:cs="Arial"/>
          <w:lang w:val="en-US"/>
        </w:rPr>
        <w:t xml:space="preserve"> </w:t>
      </w:r>
      <w:r w:rsidR="00492514">
        <w:rPr>
          <w:rFonts w:ascii="Arial" w:hAnsi="Arial" w:cs="Arial"/>
          <w:lang w:val="en-US"/>
        </w:rPr>
        <w:t>S</w:t>
      </w:r>
      <w:r>
        <w:rPr>
          <w:rFonts w:ascii="Arial" w:hAnsi="Arial" w:cs="Arial"/>
          <w:lang w:val="en-US"/>
        </w:rPr>
        <w:t>ection 52 does not oust court’s jurisdiction, nor reserve jurisdiction exclusively to Competition Commission –Court arguabl</w:t>
      </w:r>
      <w:r w:rsidR="0057370C">
        <w:rPr>
          <w:rFonts w:ascii="Arial" w:hAnsi="Arial" w:cs="Arial"/>
          <w:lang w:val="en-US"/>
        </w:rPr>
        <w:t>y</w:t>
      </w:r>
      <w:r>
        <w:rPr>
          <w:rFonts w:ascii="Arial" w:hAnsi="Arial" w:cs="Arial"/>
          <w:lang w:val="en-US"/>
        </w:rPr>
        <w:t xml:space="preserve"> retained original jurisdiction</w:t>
      </w:r>
      <w:r w:rsidR="0057370C">
        <w:rPr>
          <w:rFonts w:ascii="Arial" w:hAnsi="Arial" w:cs="Arial"/>
          <w:lang w:val="en-US"/>
        </w:rPr>
        <w:t xml:space="preserve"> for such disputes</w:t>
      </w:r>
      <w:r>
        <w:rPr>
          <w:rFonts w:ascii="Arial" w:hAnsi="Arial" w:cs="Arial"/>
          <w:lang w:val="en-US"/>
        </w:rPr>
        <w:t xml:space="preserve"> – If procedures under the Act are inadequate, </w:t>
      </w:r>
      <w:r w:rsidR="0057370C">
        <w:rPr>
          <w:rFonts w:ascii="Arial" w:hAnsi="Arial" w:cs="Arial"/>
          <w:lang w:val="en-US"/>
        </w:rPr>
        <w:t xml:space="preserve">affected </w:t>
      </w:r>
      <w:r w:rsidRPr="00463AA7">
        <w:rPr>
          <w:rFonts w:ascii="Arial" w:hAnsi="Arial" w:cs="Arial"/>
          <w:lang w:val="en-US"/>
        </w:rPr>
        <w:t xml:space="preserve">person </w:t>
      </w:r>
      <w:r w:rsidR="0057370C">
        <w:rPr>
          <w:rFonts w:ascii="Arial" w:hAnsi="Arial" w:cs="Arial"/>
          <w:lang w:val="en-US"/>
        </w:rPr>
        <w:t>c</w:t>
      </w:r>
      <w:r>
        <w:rPr>
          <w:rFonts w:ascii="Arial" w:hAnsi="Arial" w:cs="Arial"/>
          <w:lang w:val="en-US"/>
        </w:rPr>
        <w:t>ould</w:t>
      </w:r>
      <w:r w:rsidRPr="00463AA7">
        <w:rPr>
          <w:rFonts w:ascii="Arial" w:hAnsi="Arial" w:cs="Arial"/>
          <w:lang w:val="en-US"/>
        </w:rPr>
        <w:t xml:space="preserve"> </w:t>
      </w:r>
      <w:r>
        <w:rPr>
          <w:rFonts w:ascii="Arial" w:hAnsi="Arial" w:cs="Arial"/>
          <w:lang w:val="en-US"/>
        </w:rPr>
        <w:t xml:space="preserve">arguably be allowed </w:t>
      </w:r>
      <w:r w:rsidR="0057370C">
        <w:rPr>
          <w:rFonts w:ascii="Arial" w:hAnsi="Arial" w:cs="Arial"/>
          <w:lang w:val="en-US"/>
        </w:rPr>
        <w:t xml:space="preserve">to </w:t>
      </w:r>
      <w:r w:rsidRPr="00463AA7">
        <w:rPr>
          <w:rFonts w:ascii="Arial" w:hAnsi="Arial" w:cs="Arial"/>
          <w:lang w:val="en-US"/>
        </w:rPr>
        <w:t xml:space="preserve">approach court </w:t>
      </w:r>
      <w:r w:rsidR="0057370C">
        <w:rPr>
          <w:rFonts w:ascii="Arial" w:hAnsi="Arial" w:cs="Arial"/>
          <w:lang w:val="en-US"/>
        </w:rPr>
        <w:t xml:space="preserve">directly </w:t>
      </w:r>
      <w:r>
        <w:rPr>
          <w:rFonts w:ascii="Arial" w:hAnsi="Arial" w:cs="Arial"/>
          <w:lang w:val="en-US"/>
        </w:rPr>
        <w:t>d</w:t>
      </w:r>
      <w:r w:rsidRPr="00463AA7">
        <w:rPr>
          <w:rFonts w:ascii="Arial" w:hAnsi="Arial" w:cs="Arial"/>
          <w:lang w:val="en-US"/>
        </w:rPr>
        <w:t>epen</w:t>
      </w:r>
      <w:r>
        <w:rPr>
          <w:rFonts w:ascii="Arial" w:hAnsi="Arial" w:cs="Arial"/>
          <w:lang w:val="en-US"/>
        </w:rPr>
        <w:t>dent o</w:t>
      </w:r>
      <w:r w:rsidRPr="00463AA7">
        <w:rPr>
          <w:rFonts w:ascii="Arial" w:hAnsi="Arial" w:cs="Arial"/>
          <w:lang w:val="en-US"/>
        </w:rPr>
        <w:t xml:space="preserve">n facts and circumstances of </w:t>
      </w:r>
      <w:r>
        <w:rPr>
          <w:rFonts w:ascii="Arial" w:hAnsi="Arial" w:cs="Arial"/>
          <w:lang w:val="en-US"/>
        </w:rPr>
        <w:t xml:space="preserve">case and </w:t>
      </w:r>
      <w:r w:rsidRPr="00463AA7">
        <w:rPr>
          <w:rFonts w:ascii="Arial" w:hAnsi="Arial" w:cs="Arial"/>
          <w:lang w:val="en-US"/>
        </w:rPr>
        <w:t xml:space="preserve">nature of dispute </w:t>
      </w:r>
      <w:r>
        <w:rPr>
          <w:rFonts w:ascii="Arial" w:hAnsi="Arial" w:cs="Arial"/>
          <w:lang w:val="en-US"/>
        </w:rPr>
        <w:t>and</w:t>
      </w:r>
      <w:r w:rsidRPr="00463AA7">
        <w:rPr>
          <w:rFonts w:ascii="Arial" w:hAnsi="Arial" w:cs="Arial"/>
          <w:lang w:val="en-US"/>
        </w:rPr>
        <w:t xml:space="preserve"> relief</w:t>
      </w:r>
      <w:r>
        <w:rPr>
          <w:rFonts w:ascii="Arial" w:hAnsi="Arial" w:cs="Arial"/>
          <w:lang w:val="en-US"/>
        </w:rPr>
        <w:t xml:space="preserve"> </w:t>
      </w:r>
      <w:r w:rsidR="00492514">
        <w:rPr>
          <w:rFonts w:ascii="Arial" w:hAnsi="Arial" w:cs="Arial"/>
          <w:lang w:val="en-US"/>
        </w:rPr>
        <w:t>–</w:t>
      </w:r>
      <w:r>
        <w:rPr>
          <w:rFonts w:ascii="Arial" w:hAnsi="Arial" w:cs="Arial"/>
          <w:lang w:val="en-US"/>
        </w:rPr>
        <w:t xml:space="preserve"> C</w:t>
      </w:r>
      <w:r w:rsidRPr="00463AA7">
        <w:rPr>
          <w:rFonts w:ascii="Arial" w:hAnsi="Arial" w:cs="Arial"/>
          <w:lang w:val="en-US"/>
        </w:rPr>
        <w:t>ourt</w:t>
      </w:r>
      <w:r>
        <w:rPr>
          <w:rFonts w:ascii="Arial" w:hAnsi="Arial" w:cs="Arial"/>
          <w:lang w:val="en-US"/>
        </w:rPr>
        <w:t xml:space="preserve"> </w:t>
      </w:r>
      <w:r w:rsidR="0057370C">
        <w:rPr>
          <w:rFonts w:ascii="Arial" w:hAnsi="Arial" w:cs="Arial"/>
          <w:lang w:val="en-US"/>
        </w:rPr>
        <w:t>c</w:t>
      </w:r>
      <w:r>
        <w:rPr>
          <w:rFonts w:ascii="Arial" w:hAnsi="Arial" w:cs="Arial"/>
          <w:lang w:val="en-US"/>
        </w:rPr>
        <w:t>ould</w:t>
      </w:r>
      <w:r w:rsidRPr="00463AA7">
        <w:rPr>
          <w:rFonts w:ascii="Arial" w:hAnsi="Arial" w:cs="Arial"/>
          <w:lang w:val="en-US"/>
        </w:rPr>
        <w:t xml:space="preserve"> </w:t>
      </w:r>
      <w:r>
        <w:rPr>
          <w:rFonts w:ascii="Arial" w:hAnsi="Arial" w:cs="Arial"/>
          <w:lang w:val="en-US"/>
        </w:rPr>
        <w:t xml:space="preserve">arguably </w:t>
      </w:r>
      <w:r w:rsidRPr="00463AA7">
        <w:rPr>
          <w:rFonts w:ascii="Arial" w:hAnsi="Arial" w:cs="Arial"/>
          <w:lang w:val="en-US"/>
        </w:rPr>
        <w:t>hear</w:t>
      </w:r>
      <w:r w:rsidR="0057370C">
        <w:rPr>
          <w:rFonts w:ascii="Arial" w:hAnsi="Arial" w:cs="Arial"/>
          <w:lang w:val="en-US"/>
        </w:rPr>
        <w:t xml:space="preserve"> </w:t>
      </w:r>
      <w:r w:rsidRPr="00463AA7">
        <w:rPr>
          <w:rFonts w:ascii="Arial" w:hAnsi="Arial" w:cs="Arial"/>
          <w:lang w:val="en-US"/>
        </w:rPr>
        <w:t xml:space="preserve">matter </w:t>
      </w:r>
      <w:r>
        <w:rPr>
          <w:rFonts w:ascii="Arial" w:hAnsi="Arial" w:cs="Arial"/>
          <w:lang w:val="en-US"/>
        </w:rPr>
        <w:t xml:space="preserve">as </w:t>
      </w:r>
      <w:r w:rsidR="0057370C">
        <w:rPr>
          <w:rFonts w:ascii="Arial" w:hAnsi="Arial" w:cs="Arial"/>
          <w:lang w:val="en-US"/>
        </w:rPr>
        <w:t xml:space="preserve">first instance </w:t>
      </w:r>
      <w:r>
        <w:rPr>
          <w:rFonts w:ascii="Arial" w:hAnsi="Arial" w:cs="Arial"/>
          <w:lang w:val="en-US"/>
        </w:rPr>
        <w:t xml:space="preserve">court even though </w:t>
      </w:r>
      <w:r w:rsidRPr="00463AA7">
        <w:rPr>
          <w:rFonts w:ascii="Arial" w:hAnsi="Arial" w:cs="Arial"/>
          <w:lang w:val="en-US"/>
        </w:rPr>
        <w:t>Commission</w:t>
      </w:r>
      <w:r>
        <w:rPr>
          <w:rFonts w:ascii="Arial" w:hAnsi="Arial" w:cs="Arial"/>
          <w:lang w:val="en-US"/>
        </w:rPr>
        <w:t xml:space="preserve"> not approached and Commission did not decide the </w:t>
      </w:r>
      <w:r w:rsidR="00BB6FC4">
        <w:rPr>
          <w:rFonts w:ascii="Arial" w:hAnsi="Arial" w:cs="Arial"/>
          <w:lang w:val="en-US"/>
        </w:rPr>
        <w:t>prohibition was infringed</w:t>
      </w:r>
      <w:r>
        <w:rPr>
          <w:rFonts w:ascii="Arial" w:hAnsi="Arial" w:cs="Arial"/>
          <w:lang w:val="en-US"/>
        </w:rPr>
        <w:t xml:space="preserve"> –</w:t>
      </w:r>
      <w:r w:rsidR="0057370C">
        <w:rPr>
          <w:rFonts w:ascii="Arial" w:hAnsi="Arial" w:cs="Arial"/>
          <w:lang w:val="en-US"/>
        </w:rPr>
        <w:t xml:space="preserve"> C</w:t>
      </w:r>
      <w:r>
        <w:rPr>
          <w:rFonts w:ascii="Arial" w:hAnsi="Arial" w:cs="Arial"/>
          <w:lang w:val="en-US"/>
        </w:rPr>
        <w:t xml:space="preserve">ourt arguably </w:t>
      </w:r>
      <w:r w:rsidR="00492514">
        <w:rPr>
          <w:rFonts w:ascii="Arial" w:hAnsi="Arial" w:cs="Arial"/>
          <w:lang w:val="en-US"/>
        </w:rPr>
        <w:t>ha</w:t>
      </w:r>
      <w:r w:rsidR="0057370C">
        <w:rPr>
          <w:rFonts w:ascii="Arial" w:hAnsi="Arial" w:cs="Arial"/>
          <w:lang w:val="en-US"/>
        </w:rPr>
        <w:t>s</w:t>
      </w:r>
      <w:r w:rsidR="00492514">
        <w:rPr>
          <w:rFonts w:ascii="Arial" w:hAnsi="Arial" w:cs="Arial"/>
          <w:lang w:val="en-US"/>
        </w:rPr>
        <w:t xml:space="preserve"> </w:t>
      </w:r>
      <w:r w:rsidRPr="00E93BE5">
        <w:rPr>
          <w:rFonts w:ascii="Arial" w:hAnsi="Arial" w:cs="Arial"/>
          <w:lang w:val="en-US"/>
        </w:rPr>
        <w:t xml:space="preserve">jurisdiction to declare agreement infringing the </w:t>
      </w:r>
      <w:r w:rsidR="0057370C">
        <w:rPr>
          <w:rFonts w:ascii="Arial" w:hAnsi="Arial" w:cs="Arial"/>
          <w:lang w:val="en-US"/>
        </w:rPr>
        <w:t>Act</w:t>
      </w:r>
      <w:r w:rsidRPr="00E93BE5">
        <w:rPr>
          <w:rFonts w:ascii="Arial" w:hAnsi="Arial" w:cs="Arial"/>
          <w:lang w:val="en-US"/>
        </w:rPr>
        <w:t xml:space="preserve"> unenforceable</w:t>
      </w:r>
      <w:r w:rsidR="0057370C">
        <w:rPr>
          <w:rFonts w:ascii="Arial" w:hAnsi="Arial" w:cs="Arial"/>
          <w:lang w:val="en-US"/>
        </w:rPr>
        <w:t xml:space="preserve"> if procedures under the Act are inadequate</w:t>
      </w:r>
      <w:r w:rsidR="00492514">
        <w:rPr>
          <w:rFonts w:ascii="Arial" w:hAnsi="Arial" w:cs="Arial"/>
          <w:lang w:val="en-US"/>
        </w:rPr>
        <w:t xml:space="preserve"> – Court c</w:t>
      </w:r>
      <w:r w:rsidRPr="00E93BE5">
        <w:rPr>
          <w:rFonts w:ascii="Arial" w:hAnsi="Arial" w:cs="Arial"/>
          <w:lang w:val="en-US"/>
        </w:rPr>
        <w:t>annot find claim for N$7 556 029</w:t>
      </w:r>
      <w:r w:rsidR="00CB5A84">
        <w:rPr>
          <w:rFonts w:ascii="Arial" w:hAnsi="Arial" w:cs="Arial"/>
          <w:lang w:val="en-US"/>
        </w:rPr>
        <w:t>,</w:t>
      </w:r>
      <w:r w:rsidRPr="00E93BE5">
        <w:rPr>
          <w:rFonts w:ascii="Arial" w:hAnsi="Arial" w:cs="Arial"/>
          <w:lang w:val="en-US"/>
        </w:rPr>
        <w:t xml:space="preserve">74 is unanswerable – On papers before court, if first defendant is correct that </w:t>
      </w:r>
      <w:r w:rsidR="00492514">
        <w:rPr>
          <w:rFonts w:ascii="Arial" w:hAnsi="Arial" w:cs="Arial"/>
          <w:lang w:val="en-US"/>
        </w:rPr>
        <w:t xml:space="preserve">the </w:t>
      </w:r>
      <w:r w:rsidRPr="00E93BE5">
        <w:rPr>
          <w:rFonts w:ascii="Arial" w:hAnsi="Arial" w:cs="Arial"/>
          <w:lang w:val="en-US"/>
        </w:rPr>
        <w:t>lease contravenes the Act, that could constitute a bona fide defence to the claim for N$7 556 029</w:t>
      </w:r>
      <w:r w:rsidR="00CB5A84">
        <w:rPr>
          <w:rFonts w:ascii="Arial" w:hAnsi="Arial" w:cs="Arial"/>
          <w:lang w:val="en-US"/>
        </w:rPr>
        <w:t>,</w:t>
      </w:r>
      <w:r w:rsidRPr="00E93BE5">
        <w:rPr>
          <w:rFonts w:ascii="Arial" w:hAnsi="Arial" w:cs="Arial"/>
          <w:lang w:val="en-US"/>
        </w:rPr>
        <w:t>74</w:t>
      </w:r>
      <w:r w:rsidR="00492514">
        <w:rPr>
          <w:rFonts w:ascii="Arial" w:hAnsi="Arial" w:cs="Arial"/>
          <w:lang w:val="en-US"/>
        </w:rPr>
        <w:t xml:space="preserve"> – U</w:t>
      </w:r>
      <w:r>
        <w:rPr>
          <w:rFonts w:ascii="Arial" w:hAnsi="Arial" w:cs="Arial"/>
          <w:lang w:val="en-US"/>
        </w:rPr>
        <w:t>nnecessary to decide defence that the particulars of claim are possibly technically defective</w:t>
      </w:r>
      <w:r w:rsidR="00492514">
        <w:rPr>
          <w:rFonts w:ascii="Arial" w:hAnsi="Arial" w:cs="Arial"/>
          <w:lang w:val="en-US"/>
        </w:rPr>
        <w:t>.</w:t>
      </w:r>
    </w:p>
    <w:p w14:paraId="179B1F35" w14:textId="77777777" w:rsidR="00492514" w:rsidRPr="00DB45DA" w:rsidRDefault="00492514" w:rsidP="00492514">
      <w:pPr>
        <w:pStyle w:val="ListParagraph"/>
        <w:rPr>
          <w:rFonts w:ascii="Arial" w:hAnsi="Arial" w:cs="Arial"/>
          <w:lang w:val="en-US"/>
        </w:rPr>
      </w:pPr>
    </w:p>
    <w:p w14:paraId="7C2138C1" w14:textId="6681F3D9" w:rsidR="00492514" w:rsidRDefault="00492514" w:rsidP="00492514">
      <w:pPr>
        <w:pStyle w:val="ListParagraph"/>
        <w:spacing w:line="360" w:lineRule="auto"/>
        <w:ind w:left="0"/>
        <w:jc w:val="both"/>
        <w:rPr>
          <w:rFonts w:ascii="Arial" w:hAnsi="Arial" w:cs="Arial"/>
          <w:lang w:val="en-US"/>
        </w:rPr>
      </w:pPr>
      <w:r w:rsidRPr="00E93BE5">
        <w:rPr>
          <w:rFonts w:ascii="Arial" w:hAnsi="Arial" w:cs="Arial"/>
          <w:lang w:val="en-US"/>
        </w:rPr>
        <w:t xml:space="preserve">No defence against claim for reimbursement </w:t>
      </w:r>
      <w:r>
        <w:rPr>
          <w:rFonts w:ascii="Arial" w:hAnsi="Arial" w:cs="Arial"/>
          <w:lang w:val="en-US"/>
        </w:rPr>
        <w:t>– Case made</w:t>
      </w:r>
      <w:r w:rsidRPr="005532F5">
        <w:rPr>
          <w:rFonts w:ascii="Arial" w:hAnsi="Arial" w:cs="Arial"/>
          <w:lang w:val="en-US"/>
        </w:rPr>
        <w:t xml:space="preserve"> </w:t>
      </w:r>
      <w:r>
        <w:rPr>
          <w:rFonts w:ascii="Arial" w:hAnsi="Arial" w:cs="Arial"/>
          <w:lang w:val="en-US"/>
        </w:rPr>
        <w:t xml:space="preserve">on </w:t>
      </w:r>
      <w:r w:rsidRPr="005105E8">
        <w:rPr>
          <w:rFonts w:ascii="Arial" w:hAnsi="Arial" w:cs="Arial"/>
          <w:i/>
          <w:iCs/>
          <w:lang w:val="en-US"/>
        </w:rPr>
        <w:t>negotiorum gestor</w:t>
      </w:r>
      <w:r>
        <w:rPr>
          <w:rFonts w:ascii="Arial" w:hAnsi="Arial" w:cs="Arial"/>
          <w:lang w:val="en-US"/>
        </w:rPr>
        <w:t xml:space="preserve"> or extended </w:t>
      </w:r>
      <w:r w:rsidRPr="005105E8">
        <w:rPr>
          <w:rFonts w:ascii="Arial" w:hAnsi="Arial" w:cs="Arial"/>
          <w:i/>
          <w:iCs/>
          <w:lang w:val="en-US"/>
        </w:rPr>
        <w:t>negotiorum gestor</w:t>
      </w:r>
      <w:r>
        <w:rPr>
          <w:rFonts w:ascii="Arial" w:hAnsi="Arial" w:cs="Arial"/>
          <w:lang w:val="en-US"/>
        </w:rPr>
        <w:t xml:space="preserve"> for liquidated amount in money –</w:t>
      </w:r>
      <w:r w:rsidR="006615A2">
        <w:rPr>
          <w:rFonts w:ascii="Arial" w:hAnsi="Arial" w:cs="Arial"/>
          <w:lang w:val="en-US"/>
        </w:rPr>
        <w:t xml:space="preserve"> R</w:t>
      </w:r>
      <w:r>
        <w:rPr>
          <w:rFonts w:ascii="Arial" w:hAnsi="Arial" w:cs="Arial"/>
          <w:lang w:val="en-US"/>
        </w:rPr>
        <w:t xml:space="preserve">eimbursement </w:t>
      </w:r>
      <w:r w:rsidR="006615A2">
        <w:rPr>
          <w:rFonts w:ascii="Arial" w:hAnsi="Arial" w:cs="Arial"/>
          <w:lang w:val="en-US"/>
        </w:rPr>
        <w:t xml:space="preserve">claim </w:t>
      </w:r>
      <w:r>
        <w:rPr>
          <w:rFonts w:ascii="Arial" w:hAnsi="Arial" w:cs="Arial"/>
          <w:lang w:val="en-US"/>
        </w:rPr>
        <w:t>valid and secured by bond – No defence to claim declaring property executable following undisputed reimbursement claim – Plaintiff occupies property – P</w:t>
      </w:r>
      <w:r w:rsidRPr="00F132CF">
        <w:rPr>
          <w:rFonts w:ascii="Arial" w:hAnsi="Arial" w:cs="Arial"/>
          <w:lang w:val="en-US"/>
        </w:rPr>
        <w:t>roperty not first defendant’s primary home</w:t>
      </w:r>
      <w:r>
        <w:rPr>
          <w:rFonts w:ascii="Arial" w:hAnsi="Arial" w:cs="Arial"/>
          <w:lang w:val="en-US"/>
        </w:rPr>
        <w:t xml:space="preserve"> or </w:t>
      </w:r>
      <w:r w:rsidRPr="00F132CF">
        <w:rPr>
          <w:rFonts w:ascii="Arial" w:hAnsi="Arial" w:cs="Arial"/>
          <w:lang w:val="en-US"/>
        </w:rPr>
        <w:t>leased to</w:t>
      </w:r>
      <w:r>
        <w:rPr>
          <w:rFonts w:ascii="Arial" w:hAnsi="Arial" w:cs="Arial"/>
          <w:lang w:val="en-US"/>
        </w:rPr>
        <w:t xml:space="preserve"> </w:t>
      </w:r>
      <w:r w:rsidRPr="00F132CF">
        <w:rPr>
          <w:rFonts w:ascii="Arial" w:hAnsi="Arial" w:cs="Arial"/>
          <w:lang w:val="en-US"/>
        </w:rPr>
        <w:t>third party as home</w:t>
      </w:r>
      <w:r>
        <w:rPr>
          <w:rFonts w:ascii="Arial" w:hAnsi="Arial" w:cs="Arial"/>
          <w:lang w:val="en-US"/>
        </w:rPr>
        <w:t xml:space="preserve"> – Summary judgment granted in part.</w:t>
      </w:r>
    </w:p>
    <w:p w14:paraId="218B2F6A" w14:textId="77777777" w:rsidR="00492514" w:rsidRPr="00DB45DA" w:rsidRDefault="00492514" w:rsidP="00492514">
      <w:pPr>
        <w:pStyle w:val="ListParagraph"/>
        <w:rPr>
          <w:rFonts w:ascii="Arial" w:hAnsi="Arial" w:cs="Arial"/>
          <w:lang w:val="en-US"/>
        </w:rPr>
      </w:pPr>
    </w:p>
    <w:p w14:paraId="40963DB6" w14:textId="59DC6A65" w:rsidR="00B05078" w:rsidRDefault="00155B26" w:rsidP="00B05078">
      <w:pPr>
        <w:pStyle w:val="ListParagraph"/>
        <w:spacing w:line="360" w:lineRule="auto"/>
        <w:ind w:left="0"/>
        <w:jc w:val="both"/>
        <w:rPr>
          <w:rFonts w:ascii="Arial" w:hAnsi="Arial" w:cs="Arial"/>
          <w:lang w:val="en-US"/>
        </w:rPr>
      </w:pPr>
      <w:r>
        <w:rPr>
          <w:rFonts w:ascii="Arial" w:hAnsi="Arial" w:cs="Arial"/>
          <w:b/>
          <w:bCs/>
          <w:lang w:val="en-US"/>
        </w:rPr>
        <w:t>Summary:</w:t>
      </w:r>
      <w:r>
        <w:rPr>
          <w:rFonts w:ascii="Arial" w:hAnsi="Arial" w:cs="Arial"/>
          <w:b/>
          <w:bCs/>
          <w:lang w:val="en-US"/>
        </w:rPr>
        <w:tab/>
      </w:r>
      <w:r w:rsidR="00C24B0A">
        <w:rPr>
          <w:rFonts w:ascii="Arial" w:hAnsi="Arial" w:cs="Arial"/>
          <w:lang w:val="en-US"/>
        </w:rPr>
        <w:t>The plaintiff claim</w:t>
      </w:r>
      <w:r w:rsidR="00AA69D4">
        <w:rPr>
          <w:rFonts w:ascii="Arial" w:hAnsi="Arial" w:cs="Arial"/>
          <w:lang w:val="en-US"/>
        </w:rPr>
        <w:t>s</w:t>
      </w:r>
      <w:r w:rsidR="00C24B0A">
        <w:rPr>
          <w:rFonts w:ascii="Arial" w:hAnsi="Arial" w:cs="Arial"/>
          <w:lang w:val="en-US"/>
        </w:rPr>
        <w:t xml:space="preserve"> </w:t>
      </w:r>
      <w:r w:rsidR="00B05078">
        <w:rPr>
          <w:rFonts w:ascii="Arial" w:hAnsi="Arial" w:cs="Arial"/>
          <w:lang w:val="en-US"/>
        </w:rPr>
        <w:t xml:space="preserve">for </w:t>
      </w:r>
      <w:r w:rsidR="00C24B0A">
        <w:rPr>
          <w:rFonts w:ascii="Arial" w:hAnsi="Arial" w:cs="Arial"/>
          <w:lang w:val="en-US"/>
        </w:rPr>
        <w:t>summary judgment against the first defendant</w:t>
      </w:r>
      <w:r w:rsidR="00AA69D4">
        <w:rPr>
          <w:rFonts w:ascii="Arial" w:hAnsi="Arial" w:cs="Arial"/>
          <w:lang w:val="en-US"/>
        </w:rPr>
        <w:t xml:space="preserve">. The plaintiff’s claim is </w:t>
      </w:r>
      <w:r w:rsidR="008A27EB">
        <w:rPr>
          <w:rFonts w:ascii="Arial" w:hAnsi="Arial" w:cs="Arial"/>
          <w:lang w:val="en-US"/>
        </w:rPr>
        <w:t>threefold based on</w:t>
      </w:r>
      <w:r w:rsidR="00AA69D4">
        <w:rPr>
          <w:rFonts w:ascii="Arial" w:hAnsi="Arial" w:cs="Arial"/>
          <w:lang w:val="en-US"/>
        </w:rPr>
        <w:t xml:space="preserve"> three c</w:t>
      </w:r>
      <w:r w:rsidR="008A27EB">
        <w:rPr>
          <w:rFonts w:ascii="Arial" w:hAnsi="Arial" w:cs="Arial"/>
          <w:lang w:val="en-US"/>
        </w:rPr>
        <w:t>auses of action</w:t>
      </w:r>
      <w:r w:rsidR="00AA69D4">
        <w:rPr>
          <w:rFonts w:ascii="Arial" w:hAnsi="Arial" w:cs="Arial"/>
          <w:lang w:val="en-US"/>
        </w:rPr>
        <w:t>. The first</w:t>
      </w:r>
      <w:r w:rsidR="008E0045">
        <w:rPr>
          <w:rFonts w:ascii="Arial" w:hAnsi="Arial" w:cs="Arial"/>
          <w:lang w:val="en-US"/>
        </w:rPr>
        <w:t xml:space="preserve"> claim</w:t>
      </w:r>
      <w:r w:rsidR="00C24B0A">
        <w:rPr>
          <w:rFonts w:ascii="Arial" w:hAnsi="Arial" w:cs="Arial"/>
          <w:lang w:val="en-US"/>
        </w:rPr>
        <w:t xml:space="preserve"> is for </w:t>
      </w:r>
      <w:r w:rsidR="008A27EB">
        <w:rPr>
          <w:rFonts w:ascii="Arial" w:hAnsi="Arial" w:cs="Arial"/>
          <w:lang w:val="en-US"/>
        </w:rPr>
        <w:t xml:space="preserve">payment of several million Namibian dollars for </w:t>
      </w:r>
      <w:r w:rsidR="00C24B0A">
        <w:rPr>
          <w:rFonts w:ascii="Arial" w:hAnsi="Arial" w:cs="Arial"/>
          <w:lang w:val="en-US"/>
        </w:rPr>
        <w:t xml:space="preserve">goods sold and delivered and </w:t>
      </w:r>
      <w:r w:rsidR="00AA69D4">
        <w:rPr>
          <w:rFonts w:ascii="Arial" w:hAnsi="Arial" w:cs="Arial"/>
          <w:lang w:val="en-US"/>
        </w:rPr>
        <w:t xml:space="preserve">for </w:t>
      </w:r>
      <w:r w:rsidR="00C24B0A">
        <w:rPr>
          <w:rFonts w:ascii="Arial" w:hAnsi="Arial" w:cs="Arial"/>
          <w:lang w:val="en-US"/>
        </w:rPr>
        <w:t>forecourt levies and quick shop gross monthly turnover levies</w:t>
      </w:r>
      <w:r w:rsidR="008A27EB">
        <w:rPr>
          <w:rFonts w:ascii="Arial" w:hAnsi="Arial" w:cs="Arial"/>
          <w:lang w:val="en-US"/>
        </w:rPr>
        <w:t xml:space="preserve"> payable under a </w:t>
      </w:r>
      <w:r w:rsidR="00AA69D4">
        <w:rPr>
          <w:rFonts w:ascii="Arial" w:hAnsi="Arial" w:cs="Arial"/>
          <w:lang w:val="en-US"/>
        </w:rPr>
        <w:t>written marketing licen</w:t>
      </w:r>
      <w:r w:rsidR="004B57A0">
        <w:rPr>
          <w:rFonts w:ascii="Arial" w:hAnsi="Arial" w:cs="Arial"/>
          <w:lang w:val="en-US"/>
        </w:rPr>
        <w:t>c</w:t>
      </w:r>
      <w:r w:rsidR="00AA69D4">
        <w:rPr>
          <w:rFonts w:ascii="Arial" w:hAnsi="Arial" w:cs="Arial"/>
          <w:lang w:val="en-US"/>
        </w:rPr>
        <w:t xml:space="preserve">e agreement concluded between the </w:t>
      </w:r>
      <w:r w:rsidR="004B57A0">
        <w:rPr>
          <w:rFonts w:ascii="Arial" w:hAnsi="Arial" w:cs="Arial"/>
          <w:lang w:val="en-US"/>
        </w:rPr>
        <w:lastRenderedPageBreak/>
        <w:t>plaintiff and the first defendant</w:t>
      </w:r>
      <w:r w:rsidR="00B0752D">
        <w:rPr>
          <w:rFonts w:ascii="Arial" w:hAnsi="Arial" w:cs="Arial"/>
          <w:lang w:val="en-US"/>
        </w:rPr>
        <w:t xml:space="preserve"> (the MLA),</w:t>
      </w:r>
      <w:r w:rsidR="008A27EB">
        <w:rPr>
          <w:rFonts w:ascii="Arial" w:hAnsi="Arial" w:cs="Arial"/>
          <w:lang w:val="en-US"/>
        </w:rPr>
        <w:t xml:space="preserve"> </w:t>
      </w:r>
      <w:r w:rsidR="00B0752D">
        <w:rPr>
          <w:rFonts w:ascii="Arial" w:hAnsi="Arial" w:cs="Arial"/>
          <w:lang w:val="en-US"/>
        </w:rPr>
        <w:t>which the first defendant</w:t>
      </w:r>
      <w:r w:rsidR="008A27EB">
        <w:rPr>
          <w:rFonts w:ascii="Arial" w:hAnsi="Arial" w:cs="Arial"/>
          <w:lang w:val="en-US"/>
        </w:rPr>
        <w:t xml:space="preserve"> breached</w:t>
      </w:r>
      <w:r w:rsidR="00AA69D4">
        <w:rPr>
          <w:rFonts w:ascii="Arial" w:hAnsi="Arial" w:cs="Arial"/>
          <w:lang w:val="en-US"/>
        </w:rPr>
        <w:t>. The second</w:t>
      </w:r>
      <w:r w:rsidR="008E0045">
        <w:rPr>
          <w:rFonts w:ascii="Arial" w:hAnsi="Arial" w:cs="Arial"/>
          <w:lang w:val="en-US"/>
        </w:rPr>
        <w:t xml:space="preserve"> claim</w:t>
      </w:r>
      <w:r w:rsidR="00AA69D4">
        <w:rPr>
          <w:rFonts w:ascii="Arial" w:hAnsi="Arial" w:cs="Arial"/>
          <w:lang w:val="en-US"/>
        </w:rPr>
        <w:t xml:space="preserve"> is for </w:t>
      </w:r>
      <w:r w:rsidR="008A27EB">
        <w:rPr>
          <w:rFonts w:ascii="Arial" w:hAnsi="Arial" w:cs="Arial"/>
          <w:lang w:val="en-US"/>
        </w:rPr>
        <w:t xml:space="preserve">the </w:t>
      </w:r>
      <w:r w:rsidR="00AA69D4">
        <w:rPr>
          <w:rFonts w:ascii="Arial" w:hAnsi="Arial" w:cs="Arial"/>
          <w:lang w:val="en-US"/>
        </w:rPr>
        <w:t xml:space="preserve">reimbursement of </w:t>
      </w:r>
      <w:r w:rsidR="00832187" w:rsidRPr="008D6959">
        <w:rPr>
          <w:rFonts w:ascii="Arial" w:hAnsi="Arial" w:cs="Arial"/>
          <w:lang w:val="en-US"/>
        </w:rPr>
        <w:t>N$133 969</w:t>
      </w:r>
      <w:r w:rsidR="00832187">
        <w:rPr>
          <w:rFonts w:ascii="Arial" w:hAnsi="Arial" w:cs="Arial"/>
          <w:lang w:val="en-US"/>
        </w:rPr>
        <w:t xml:space="preserve"> </w:t>
      </w:r>
      <w:r w:rsidR="00AA69D4">
        <w:rPr>
          <w:rFonts w:ascii="Arial" w:hAnsi="Arial" w:cs="Arial"/>
          <w:lang w:val="en-US"/>
        </w:rPr>
        <w:t>paid by the plaintiff to a third party</w:t>
      </w:r>
      <w:r w:rsidR="004B57A0">
        <w:rPr>
          <w:rFonts w:ascii="Arial" w:hAnsi="Arial" w:cs="Arial"/>
          <w:lang w:val="en-US"/>
        </w:rPr>
        <w:t xml:space="preserve"> in respect of the first defendant’s debt to NORED for arrear electricity charges incurred by the first defendant at </w:t>
      </w:r>
      <w:r w:rsidR="00B05078">
        <w:rPr>
          <w:rFonts w:ascii="Arial" w:hAnsi="Arial" w:cs="Arial"/>
          <w:lang w:val="en-US"/>
        </w:rPr>
        <w:t>certain</w:t>
      </w:r>
      <w:r w:rsidR="004B57A0">
        <w:rPr>
          <w:rFonts w:ascii="Arial" w:hAnsi="Arial" w:cs="Arial"/>
          <w:lang w:val="en-US"/>
        </w:rPr>
        <w:t xml:space="preserve"> </w:t>
      </w:r>
      <w:r w:rsidR="00B05078">
        <w:rPr>
          <w:rFonts w:ascii="Arial" w:hAnsi="Arial" w:cs="Arial"/>
          <w:lang w:val="en-US"/>
        </w:rPr>
        <w:t xml:space="preserve">immovable </w:t>
      </w:r>
      <w:r w:rsidR="004B57A0">
        <w:rPr>
          <w:rFonts w:ascii="Arial" w:hAnsi="Arial" w:cs="Arial"/>
          <w:lang w:val="en-US"/>
        </w:rPr>
        <w:t>property</w:t>
      </w:r>
      <w:r w:rsidR="00B05078">
        <w:rPr>
          <w:rFonts w:ascii="Arial" w:hAnsi="Arial" w:cs="Arial"/>
          <w:lang w:val="en-US"/>
        </w:rPr>
        <w:t xml:space="preserve"> (the property),</w:t>
      </w:r>
      <w:r w:rsidR="004B57A0">
        <w:rPr>
          <w:rFonts w:ascii="Arial" w:hAnsi="Arial" w:cs="Arial"/>
          <w:lang w:val="en-US"/>
        </w:rPr>
        <w:t xml:space="preserve"> </w:t>
      </w:r>
      <w:r w:rsidR="00F366C9">
        <w:rPr>
          <w:rFonts w:ascii="Arial" w:hAnsi="Arial" w:cs="Arial"/>
          <w:lang w:val="en-US"/>
        </w:rPr>
        <w:t xml:space="preserve">thereby </w:t>
      </w:r>
      <w:r w:rsidR="00801F6C">
        <w:rPr>
          <w:rFonts w:ascii="Arial" w:hAnsi="Arial" w:cs="Arial"/>
          <w:lang w:val="en-US"/>
        </w:rPr>
        <w:t>discharging</w:t>
      </w:r>
      <w:r w:rsidR="00AA69D4">
        <w:rPr>
          <w:rFonts w:ascii="Arial" w:hAnsi="Arial" w:cs="Arial"/>
          <w:lang w:val="en-US"/>
        </w:rPr>
        <w:t xml:space="preserve"> the first defendant’s debt</w:t>
      </w:r>
      <w:r w:rsidR="004B57A0">
        <w:rPr>
          <w:rFonts w:ascii="Arial" w:hAnsi="Arial" w:cs="Arial"/>
          <w:lang w:val="en-US"/>
        </w:rPr>
        <w:t xml:space="preserve"> to NORED</w:t>
      </w:r>
      <w:r w:rsidR="00AA69D4">
        <w:rPr>
          <w:rFonts w:ascii="Arial" w:hAnsi="Arial" w:cs="Arial"/>
          <w:lang w:val="en-US"/>
        </w:rPr>
        <w:t>. The third</w:t>
      </w:r>
      <w:r w:rsidR="008E0045">
        <w:rPr>
          <w:rFonts w:ascii="Arial" w:hAnsi="Arial" w:cs="Arial"/>
          <w:lang w:val="en-US"/>
        </w:rPr>
        <w:t xml:space="preserve"> claim</w:t>
      </w:r>
      <w:r w:rsidR="00AA69D4">
        <w:rPr>
          <w:rFonts w:ascii="Arial" w:hAnsi="Arial" w:cs="Arial"/>
          <w:lang w:val="en-US"/>
        </w:rPr>
        <w:t xml:space="preserve"> is for an order declaring </w:t>
      </w:r>
      <w:r w:rsidR="00B05078">
        <w:rPr>
          <w:rFonts w:ascii="Arial" w:hAnsi="Arial" w:cs="Arial"/>
          <w:lang w:val="en-US"/>
        </w:rPr>
        <w:t>the</w:t>
      </w:r>
      <w:r w:rsidR="00AA69D4">
        <w:rPr>
          <w:rFonts w:ascii="Arial" w:hAnsi="Arial" w:cs="Arial"/>
          <w:lang w:val="en-US"/>
        </w:rPr>
        <w:t xml:space="preserve"> property executable </w:t>
      </w:r>
      <w:r w:rsidR="00E90C82">
        <w:rPr>
          <w:rFonts w:ascii="Arial" w:hAnsi="Arial" w:cs="Arial"/>
          <w:lang w:val="en-US"/>
        </w:rPr>
        <w:t>under</w:t>
      </w:r>
      <w:r w:rsidR="00AA69D4">
        <w:rPr>
          <w:rFonts w:ascii="Arial" w:hAnsi="Arial" w:cs="Arial"/>
          <w:lang w:val="en-US"/>
        </w:rPr>
        <w:t xml:space="preserve"> a mortgage bond</w:t>
      </w:r>
      <w:r w:rsidR="00D22DD0">
        <w:rPr>
          <w:rFonts w:ascii="Arial" w:hAnsi="Arial" w:cs="Arial"/>
          <w:lang w:val="en-US"/>
        </w:rPr>
        <w:t xml:space="preserve"> (the bond)</w:t>
      </w:r>
      <w:r w:rsidR="00AA69D4">
        <w:rPr>
          <w:rFonts w:ascii="Arial" w:hAnsi="Arial" w:cs="Arial"/>
          <w:lang w:val="en-US"/>
        </w:rPr>
        <w:t xml:space="preserve"> executed by the first defendant </w:t>
      </w:r>
      <w:r w:rsidR="00E90C82">
        <w:rPr>
          <w:rFonts w:ascii="Arial" w:hAnsi="Arial" w:cs="Arial"/>
          <w:lang w:val="en-US"/>
        </w:rPr>
        <w:t xml:space="preserve">in favour of the plaintiff </w:t>
      </w:r>
      <w:r w:rsidR="00AA69D4">
        <w:rPr>
          <w:rFonts w:ascii="Arial" w:hAnsi="Arial" w:cs="Arial"/>
          <w:lang w:val="en-US"/>
        </w:rPr>
        <w:t xml:space="preserve">over the property as security </w:t>
      </w:r>
      <w:r w:rsidR="00E022DC">
        <w:rPr>
          <w:rFonts w:ascii="Arial" w:hAnsi="Arial" w:cs="Arial"/>
          <w:lang w:val="en-US"/>
        </w:rPr>
        <w:t xml:space="preserve">for the </w:t>
      </w:r>
      <w:r w:rsidR="00BB6FC4">
        <w:rPr>
          <w:rFonts w:ascii="Arial" w:hAnsi="Arial" w:cs="Arial"/>
          <w:lang w:val="en-US"/>
        </w:rPr>
        <w:t>payment of money that may at any time be or become due and owing to the plaintiff arising from any cause whatsoever</w:t>
      </w:r>
      <w:r w:rsidR="00AA69D4">
        <w:rPr>
          <w:rFonts w:ascii="Arial" w:hAnsi="Arial" w:cs="Arial"/>
          <w:lang w:val="en-US"/>
        </w:rPr>
        <w:t xml:space="preserve">. A prescription defence is raised </w:t>
      </w:r>
      <w:r w:rsidR="005D2DEE">
        <w:rPr>
          <w:rFonts w:ascii="Arial" w:hAnsi="Arial" w:cs="Arial"/>
          <w:lang w:val="en-US"/>
        </w:rPr>
        <w:t>against part</w:t>
      </w:r>
      <w:r w:rsidR="00AA69D4">
        <w:rPr>
          <w:rFonts w:ascii="Arial" w:hAnsi="Arial" w:cs="Arial"/>
          <w:lang w:val="en-US"/>
        </w:rPr>
        <w:t xml:space="preserve"> of claim </w:t>
      </w:r>
      <w:r w:rsidR="006615A2">
        <w:rPr>
          <w:rFonts w:ascii="Arial" w:hAnsi="Arial" w:cs="Arial"/>
          <w:lang w:val="en-US"/>
        </w:rPr>
        <w:t xml:space="preserve">one </w:t>
      </w:r>
      <w:r w:rsidR="00AA69D4">
        <w:rPr>
          <w:rFonts w:ascii="Arial" w:hAnsi="Arial" w:cs="Arial"/>
          <w:lang w:val="en-US"/>
        </w:rPr>
        <w:t xml:space="preserve">and the plaintiff reduced the amount claimed </w:t>
      </w:r>
      <w:r w:rsidR="00832187">
        <w:rPr>
          <w:rFonts w:ascii="Arial" w:hAnsi="Arial" w:cs="Arial"/>
          <w:lang w:val="en-US"/>
        </w:rPr>
        <w:t xml:space="preserve">from </w:t>
      </w:r>
      <w:r w:rsidR="00832187" w:rsidRPr="002B3F98">
        <w:rPr>
          <w:rFonts w:ascii="Arial" w:hAnsi="Arial" w:cs="Arial"/>
          <w:lang w:val="en-US"/>
        </w:rPr>
        <w:t>N$</w:t>
      </w:r>
      <w:r w:rsidR="00832187">
        <w:rPr>
          <w:rFonts w:ascii="Arial" w:hAnsi="Arial" w:cs="Arial"/>
          <w:lang w:val="en-US"/>
        </w:rPr>
        <w:t>9 161 373,28 to N$7 556 029,74. No defence is raised against the second claim. T</w:t>
      </w:r>
      <w:r w:rsidR="00E90C82">
        <w:rPr>
          <w:rFonts w:ascii="Arial" w:hAnsi="Arial" w:cs="Arial"/>
          <w:lang w:val="en-US"/>
        </w:rPr>
        <w:t>wo</w:t>
      </w:r>
      <w:r w:rsidR="00832187">
        <w:rPr>
          <w:rFonts w:ascii="Arial" w:hAnsi="Arial" w:cs="Arial"/>
          <w:lang w:val="en-US"/>
        </w:rPr>
        <w:t xml:space="preserve"> </w:t>
      </w:r>
      <w:r w:rsidR="00944297">
        <w:rPr>
          <w:rFonts w:ascii="Arial" w:hAnsi="Arial" w:cs="Arial"/>
          <w:lang w:val="en-US"/>
        </w:rPr>
        <w:t xml:space="preserve">further </w:t>
      </w:r>
      <w:r w:rsidR="00832187">
        <w:rPr>
          <w:rFonts w:ascii="Arial" w:hAnsi="Arial" w:cs="Arial"/>
          <w:lang w:val="en-US"/>
        </w:rPr>
        <w:t xml:space="preserve">defences </w:t>
      </w:r>
      <w:r w:rsidR="00E90C82">
        <w:rPr>
          <w:rFonts w:ascii="Arial" w:hAnsi="Arial" w:cs="Arial"/>
          <w:lang w:val="en-US"/>
        </w:rPr>
        <w:t xml:space="preserve">are </w:t>
      </w:r>
      <w:r w:rsidR="00832187">
        <w:rPr>
          <w:rFonts w:ascii="Arial" w:hAnsi="Arial" w:cs="Arial"/>
          <w:lang w:val="en-US"/>
        </w:rPr>
        <w:t>raised against the first and third claims</w:t>
      </w:r>
      <w:r w:rsidR="00E90C82">
        <w:rPr>
          <w:rFonts w:ascii="Arial" w:hAnsi="Arial" w:cs="Arial"/>
          <w:lang w:val="en-US"/>
        </w:rPr>
        <w:t>. The first defence is that</w:t>
      </w:r>
      <w:r w:rsidR="00832187">
        <w:rPr>
          <w:rFonts w:ascii="Arial" w:hAnsi="Arial" w:cs="Arial"/>
          <w:lang w:val="en-US"/>
        </w:rPr>
        <w:t xml:space="preserve"> </w:t>
      </w:r>
      <w:r w:rsidR="00A4477D">
        <w:rPr>
          <w:rFonts w:ascii="Arial" w:hAnsi="Arial" w:cs="Arial"/>
          <w:lang w:val="en-US"/>
        </w:rPr>
        <w:t>a</w:t>
      </w:r>
      <w:r w:rsidR="00832187">
        <w:rPr>
          <w:rFonts w:ascii="Arial" w:hAnsi="Arial" w:cs="Arial"/>
          <w:lang w:val="en-US"/>
        </w:rPr>
        <w:t xml:space="preserve"> notarial </w:t>
      </w:r>
      <w:r w:rsidR="00944297">
        <w:rPr>
          <w:rFonts w:ascii="Arial" w:hAnsi="Arial" w:cs="Arial"/>
          <w:lang w:val="en-US"/>
        </w:rPr>
        <w:t xml:space="preserve">deed of </w:t>
      </w:r>
      <w:r w:rsidR="00832187">
        <w:rPr>
          <w:rFonts w:ascii="Arial" w:hAnsi="Arial" w:cs="Arial"/>
          <w:lang w:val="en-US"/>
        </w:rPr>
        <w:t xml:space="preserve">lease </w:t>
      </w:r>
      <w:r w:rsidR="00D22DD0">
        <w:rPr>
          <w:rFonts w:ascii="Arial" w:hAnsi="Arial" w:cs="Arial"/>
          <w:lang w:val="en-US"/>
        </w:rPr>
        <w:t>(the lease)</w:t>
      </w:r>
      <w:r w:rsidR="00832187">
        <w:rPr>
          <w:rFonts w:ascii="Arial" w:hAnsi="Arial" w:cs="Arial"/>
          <w:lang w:val="en-US"/>
        </w:rPr>
        <w:t xml:space="preserve"> concluded between the </w:t>
      </w:r>
      <w:r w:rsidR="00944297">
        <w:rPr>
          <w:rFonts w:ascii="Arial" w:hAnsi="Arial" w:cs="Arial"/>
          <w:lang w:val="en-US"/>
        </w:rPr>
        <w:t>plaintiff and the first defendant</w:t>
      </w:r>
      <w:r w:rsidR="00832187">
        <w:rPr>
          <w:rFonts w:ascii="Arial" w:hAnsi="Arial" w:cs="Arial"/>
          <w:lang w:val="en-US"/>
        </w:rPr>
        <w:t xml:space="preserve"> </w:t>
      </w:r>
      <w:r w:rsidR="00E90C82">
        <w:rPr>
          <w:rFonts w:ascii="Arial" w:hAnsi="Arial" w:cs="Arial"/>
          <w:lang w:val="en-US"/>
        </w:rPr>
        <w:t>prior to</w:t>
      </w:r>
      <w:r w:rsidR="00B30D3D">
        <w:rPr>
          <w:rFonts w:ascii="Arial" w:hAnsi="Arial" w:cs="Arial"/>
          <w:lang w:val="en-US"/>
        </w:rPr>
        <w:t>, and leading to,</w:t>
      </w:r>
      <w:r w:rsidR="00832187">
        <w:rPr>
          <w:rFonts w:ascii="Arial" w:hAnsi="Arial" w:cs="Arial"/>
          <w:lang w:val="en-US"/>
        </w:rPr>
        <w:t xml:space="preserve"> the </w:t>
      </w:r>
      <w:r w:rsidR="00B0752D">
        <w:rPr>
          <w:rFonts w:ascii="Arial" w:hAnsi="Arial" w:cs="Arial"/>
          <w:lang w:val="en-US"/>
        </w:rPr>
        <w:t>MLA</w:t>
      </w:r>
      <w:r w:rsidR="00832187">
        <w:rPr>
          <w:rFonts w:ascii="Arial" w:hAnsi="Arial" w:cs="Arial"/>
          <w:lang w:val="en-US"/>
        </w:rPr>
        <w:t xml:space="preserve"> is an agreement contrary to ss 23 and 26 of the Competition Act 2 of 2003</w:t>
      </w:r>
      <w:r w:rsidR="00D22DD0">
        <w:rPr>
          <w:rFonts w:ascii="Arial" w:hAnsi="Arial" w:cs="Arial"/>
          <w:lang w:val="en-US"/>
        </w:rPr>
        <w:t xml:space="preserve"> (the Act)</w:t>
      </w:r>
      <w:r w:rsidR="00E90C82">
        <w:rPr>
          <w:rFonts w:ascii="Arial" w:hAnsi="Arial" w:cs="Arial"/>
          <w:lang w:val="en-US"/>
        </w:rPr>
        <w:t>,</w:t>
      </w:r>
      <w:r w:rsidR="00832187">
        <w:rPr>
          <w:rFonts w:ascii="Arial" w:hAnsi="Arial" w:cs="Arial"/>
          <w:lang w:val="en-US"/>
        </w:rPr>
        <w:t xml:space="preserve"> an</w:t>
      </w:r>
      <w:r w:rsidR="00E90C82">
        <w:rPr>
          <w:rFonts w:ascii="Arial" w:hAnsi="Arial" w:cs="Arial"/>
          <w:lang w:val="en-US"/>
        </w:rPr>
        <w:t xml:space="preserve">d </w:t>
      </w:r>
      <w:r w:rsidR="00832187">
        <w:rPr>
          <w:rFonts w:ascii="Arial" w:hAnsi="Arial" w:cs="Arial"/>
          <w:lang w:val="en-US"/>
        </w:rPr>
        <w:t>therefore unenforceable</w:t>
      </w:r>
      <w:r w:rsidR="00E90C82">
        <w:rPr>
          <w:rFonts w:ascii="Arial" w:hAnsi="Arial" w:cs="Arial"/>
          <w:lang w:val="en-US"/>
        </w:rPr>
        <w:t>. The second defence is that t</w:t>
      </w:r>
      <w:r w:rsidR="00832187">
        <w:rPr>
          <w:rFonts w:ascii="Arial" w:hAnsi="Arial" w:cs="Arial"/>
          <w:lang w:val="en-US"/>
        </w:rPr>
        <w:t xml:space="preserve">here is a possible technical defect in the particulars of claim as the plaintiff </w:t>
      </w:r>
      <w:r w:rsidR="005D2DEE">
        <w:rPr>
          <w:rFonts w:ascii="Arial" w:hAnsi="Arial" w:cs="Arial"/>
          <w:lang w:val="en-US"/>
        </w:rPr>
        <w:t>failed</w:t>
      </w:r>
      <w:r w:rsidR="00832187">
        <w:rPr>
          <w:rFonts w:ascii="Arial" w:hAnsi="Arial" w:cs="Arial"/>
          <w:lang w:val="en-US"/>
        </w:rPr>
        <w:t xml:space="preserve"> </w:t>
      </w:r>
      <w:r w:rsidR="00F366C9">
        <w:rPr>
          <w:rFonts w:ascii="Arial" w:hAnsi="Arial" w:cs="Arial"/>
          <w:lang w:val="en-US"/>
        </w:rPr>
        <w:t>t</w:t>
      </w:r>
      <w:r w:rsidR="005D2DEE">
        <w:rPr>
          <w:rFonts w:ascii="Arial" w:hAnsi="Arial" w:cs="Arial"/>
          <w:lang w:val="en-US"/>
        </w:rPr>
        <w:t>o</w:t>
      </w:r>
      <w:r w:rsidR="00F366C9">
        <w:rPr>
          <w:rFonts w:ascii="Arial" w:hAnsi="Arial" w:cs="Arial"/>
          <w:lang w:val="en-US"/>
        </w:rPr>
        <w:t xml:space="preserve"> annex to it</w:t>
      </w:r>
      <w:r w:rsidR="00801F6C">
        <w:rPr>
          <w:rFonts w:ascii="Arial" w:hAnsi="Arial" w:cs="Arial"/>
          <w:lang w:val="en-US"/>
        </w:rPr>
        <w:t xml:space="preserve"> </w:t>
      </w:r>
      <w:r w:rsidR="00E90C82">
        <w:rPr>
          <w:rFonts w:ascii="Arial" w:hAnsi="Arial" w:cs="Arial"/>
          <w:lang w:val="en-US"/>
        </w:rPr>
        <w:t>a</w:t>
      </w:r>
      <w:r w:rsidR="00832187">
        <w:rPr>
          <w:rFonts w:ascii="Arial" w:hAnsi="Arial" w:cs="Arial"/>
          <w:lang w:val="en-US"/>
        </w:rPr>
        <w:t>n interest sheet and interest calculations</w:t>
      </w:r>
      <w:r w:rsidR="00E90C82">
        <w:rPr>
          <w:rFonts w:ascii="Arial" w:hAnsi="Arial" w:cs="Arial"/>
          <w:lang w:val="en-US"/>
        </w:rPr>
        <w:t xml:space="preserve"> for the</w:t>
      </w:r>
      <w:r w:rsidR="00801F6C">
        <w:rPr>
          <w:rFonts w:ascii="Arial" w:hAnsi="Arial" w:cs="Arial"/>
          <w:lang w:val="en-US"/>
        </w:rPr>
        <w:t xml:space="preserve"> plaintiff’s</w:t>
      </w:r>
      <w:r w:rsidR="00E90C82">
        <w:rPr>
          <w:rFonts w:ascii="Arial" w:hAnsi="Arial" w:cs="Arial"/>
          <w:lang w:val="en-US"/>
        </w:rPr>
        <w:t xml:space="preserve"> compound interest claim</w:t>
      </w:r>
      <w:r w:rsidR="00237F43">
        <w:rPr>
          <w:rFonts w:ascii="Arial" w:hAnsi="Arial" w:cs="Arial"/>
          <w:lang w:val="en-US"/>
        </w:rPr>
        <w:t xml:space="preserve"> following claim one</w:t>
      </w:r>
      <w:r w:rsidR="00832187">
        <w:rPr>
          <w:rFonts w:ascii="Arial" w:hAnsi="Arial" w:cs="Arial"/>
          <w:lang w:val="en-US"/>
        </w:rPr>
        <w:t>.</w:t>
      </w:r>
    </w:p>
    <w:p w14:paraId="5ECA4090" w14:textId="77777777" w:rsidR="00B05078" w:rsidRPr="00DB45DA" w:rsidRDefault="00B05078" w:rsidP="00B05078">
      <w:pPr>
        <w:pStyle w:val="ListParagraph"/>
        <w:rPr>
          <w:rFonts w:ascii="Arial" w:hAnsi="Arial" w:cs="Arial"/>
          <w:lang w:val="en-US"/>
        </w:rPr>
      </w:pPr>
    </w:p>
    <w:p w14:paraId="536E15C7" w14:textId="11963865" w:rsidR="001E1AFC" w:rsidRDefault="001E1AFC" w:rsidP="001E1AFC">
      <w:pPr>
        <w:pStyle w:val="ListParagraph"/>
        <w:spacing w:line="360" w:lineRule="auto"/>
        <w:ind w:left="0"/>
        <w:jc w:val="both"/>
        <w:rPr>
          <w:rFonts w:ascii="Arial" w:hAnsi="Arial" w:cs="Arial"/>
          <w:lang w:val="en-US"/>
        </w:rPr>
      </w:pPr>
      <w:r>
        <w:rPr>
          <w:rFonts w:ascii="Arial" w:hAnsi="Arial" w:cs="Arial"/>
          <w:i/>
          <w:iCs/>
          <w:lang w:val="en-US"/>
        </w:rPr>
        <w:t xml:space="preserve">Held that </w:t>
      </w:r>
      <w:r>
        <w:rPr>
          <w:rFonts w:ascii="Arial" w:hAnsi="Arial" w:cs="Arial"/>
          <w:lang w:val="en-US"/>
        </w:rPr>
        <w:t>t</w:t>
      </w:r>
      <w:r w:rsidRPr="00F366C9">
        <w:rPr>
          <w:rFonts w:ascii="Arial" w:hAnsi="Arial" w:cs="Arial"/>
          <w:lang w:val="en-US"/>
        </w:rPr>
        <w:t>o</w:t>
      </w:r>
      <w:r>
        <w:rPr>
          <w:rFonts w:ascii="Arial" w:hAnsi="Arial" w:cs="Arial"/>
          <w:lang w:val="en-US"/>
        </w:rPr>
        <w:t xml:space="preserve"> determine the summary judgment application, the court should consider whether, if the lease amounts to ‘a prohibition’ under s 23 (the Part I prohibition) or s 26 (the Part II prohibition) of the Act, could that constitute a bona fide defence.</w:t>
      </w:r>
    </w:p>
    <w:p w14:paraId="4146512E" w14:textId="77777777" w:rsidR="001E1AFC" w:rsidRPr="00DB45DA" w:rsidRDefault="001E1AFC" w:rsidP="001E1AFC">
      <w:pPr>
        <w:pStyle w:val="ListParagraph"/>
        <w:rPr>
          <w:rFonts w:ascii="Arial" w:hAnsi="Arial" w:cs="Arial"/>
          <w:lang w:val="en-US"/>
        </w:rPr>
      </w:pPr>
    </w:p>
    <w:p w14:paraId="06EF5FF2" w14:textId="2AA0A5D6" w:rsidR="00A6755D" w:rsidRDefault="001E1AFC" w:rsidP="00A6755D">
      <w:pPr>
        <w:pStyle w:val="ListParagraph"/>
        <w:spacing w:line="360" w:lineRule="auto"/>
        <w:ind w:left="0"/>
        <w:jc w:val="both"/>
        <w:rPr>
          <w:rFonts w:ascii="Arial" w:hAnsi="Arial" w:cs="Arial"/>
          <w:lang w:val="en-US"/>
        </w:rPr>
      </w:pPr>
      <w:r w:rsidRPr="00730B8E">
        <w:rPr>
          <w:rFonts w:ascii="Arial" w:hAnsi="Arial" w:cs="Arial"/>
          <w:i/>
          <w:iCs/>
          <w:lang w:val="en-US"/>
        </w:rPr>
        <w:t>Held that</w:t>
      </w:r>
      <w:r>
        <w:rPr>
          <w:rFonts w:ascii="Arial" w:hAnsi="Arial" w:cs="Arial"/>
          <w:lang w:val="en-US"/>
        </w:rPr>
        <w:t xml:space="preserve"> </w:t>
      </w:r>
      <w:r w:rsidR="001643D9">
        <w:rPr>
          <w:rFonts w:ascii="Arial" w:hAnsi="Arial" w:cs="Arial"/>
          <w:lang w:val="en-US"/>
        </w:rPr>
        <w:t xml:space="preserve">in principle, where a statute </w:t>
      </w:r>
      <w:r w:rsidR="005D2DEE">
        <w:rPr>
          <w:rFonts w:ascii="Arial" w:hAnsi="Arial" w:cs="Arial"/>
          <w:lang w:val="en-US"/>
        </w:rPr>
        <w:t xml:space="preserve">provides remedies for </w:t>
      </w:r>
      <w:r w:rsidR="001643D9">
        <w:rPr>
          <w:rFonts w:ascii="Arial" w:hAnsi="Arial" w:cs="Arial"/>
          <w:lang w:val="en-US"/>
        </w:rPr>
        <w:t xml:space="preserve">duties </w:t>
      </w:r>
      <w:r w:rsidR="005D2DEE">
        <w:rPr>
          <w:rFonts w:ascii="Arial" w:hAnsi="Arial" w:cs="Arial"/>
          <w:lang w:val="en-US"/>
        </w:rPr>
        <w:t xml:space="preserve">created in the statute </w:t>
      </w:r>
      <w:r w:rsidR="001643D9">
        <w:rPr>
          <w:rFonts w:ascii="Arial" w:hAnsi="Arial" w:cs="Arial"/>
          <w:lang w:val="en-US"/>
        </w:rPr>
        <w:t xml:space="preserve">not existing under the common law, a person is limited to those remedies and may not seek common law remedies in the court, but </w:t>
      </w:r>
      <w:r w:rsidR="005D2DEE">
        <w:rPr>
          <w:rFonts w:ascii="Arial" w:hAnsi="Arial" w:cs="Arial"/>
          <w:lang w:val="en-US"/>
        </w:rPr>
        <w:t xml:space="preserve">whether the court </w:t>
      </w:r>
      <w:r w:rsidR="00500229">
        <w:rPr>
          <w:rFonts w:ascii="Arial" w:hAnsi="Arial" w:cs="Arial"/>
          <w:lang w:val="en-US"/>
        </w:rPr>
        <w:t>has</w:t>
      </w:r>
      <w:r w:rsidR="005D2DEE">
        <w:rPr>
          <w:rFonts w:ascii="Arial" w:hAnsi="Arial" w:cs="Arial"/>
          <w:lang w:val="en-US"/>
        </w:rPr>
        <w:t xml:space="preserve"> jurisdiction </w:t>
      </w:r>
      <w:r w:rsidR="00A6755D">
        <w:rPr>
          <w:rFonts w:ascii="Arial" w:hAnsi="Arial" w:cs="Arial"/>
          <w:lang w:val="en-US"/>
        </w:rPr>
        <w:t xml:space="preserve">over private law disputes </w:t>
      </w:r>
      <w:r w:rsidR="005D2DEE">
        <w:rPr>
          <w:rFonts w:ascii="Arial" w:hAnsi="Arial" w:cs="Arial"/>
          <w:lang w:val="en-US"/>
        </w:rPr>
        <w:t xml:space="preserve">for contraventions of </w:t>
      </w:r>
      <w:r w:rsidR="00A6755D">
        <w:rPr>
          <w:rFonts w:ascii="Arial" w:hAnsi="Arial" w:cs="Arial"/>
          <w:lang w:val="en-US"/>
        </w:rPr>
        <w:t xml:space="preserve">the Act would depend upon a proper construction of the Act. </w:t>
      </w:r>
    </w:p>
    <w:p w14:paraId="284069C2" w14:textId="77777777" w:rsidR="00A6755D" w:rsidRPr="00DB45DA" w:rsidRDefault="00A6755D" w:rsidP="00A6755D">
      <w:pPr>
        <w:pStyle w:val="ListParagraph"/>
        <w:rPr>
          <w:rFonts w:ascii="Arial" w:hAnsi="Arial" w:cs="Arial"/>
          <w:lang w:val="en-US"/>
        </w:rPr>
      </w:pPr>
    </w:p>
    <w:p w14:paraId="65EE3836" w14:textId="4D2A085E" w:rsidR="001E1AFC" w:rsidRDefault="00A6755D" w:rsidP="001E1AFC">
      <w:pPr>
        <w:pStyle w:val="ListParagraph"/>
        <w:spacing w:line="360" w:lineRule="auto"/>
        <w:ind w:left="0"/>
        <w:jc w:val="both"/>
        <w:rPr>
          <w:rFonts w:ascii="Arial" w:hAnsi="Arial" w:cs="Arial"/>
          <w:lang w:val="en-US"/>
        </w:rPr>
      </w:pPr>
      <w:r>
        <w:rPr>
          <w:rFonts w:ascii="Arial" w:hAnsi="Arial" w:cs="Arial"/>
          <w:i/>
          <w:iCs/>
          <w:lang w:val="en-US"/>
        </w:rPr>
        <w:t xml:space="preserve">Held that </w:t>
      </w:r>
      <w:r w:rsidR="001E1AFC">
        <w:rPr>
          <w:rFonts w:ascii="Arial" w:hAnsi="Arial" w:cs="Arial"/>
          <w:lang w:val="en-US"/>
        </w:rPr>
        <w:t xml:space="preserve">s 52 of the Act does not oust the court’s jurisdiction to hear </w:t>
      </w:r>
      <w:r w:rsidR="002E79D0">
        <w:rPr>
          <w:rFonts w:ascii="Arial" w:hAnsi="Arial" w:cs="Arial"/>
          <w:lang w:val="en-US"/>
        </w:rPr>
        <w:t xml:space="preserve">private law </w:t>
      </w:r>
      <w:r w:rsidR="001E1AFC">
        <w:rPr>
          <w:rFonts w:ascii="Arial" w:hAnsi="Arial" w:cs="Arial"/>
          <w:lang w:val="en-US"/>
        </w:rPr>
        <w:t xml:space="preserve">disputes </w:t>
      </w:r>
      <w:r w:rsidR="005D2DEE">
        <w:rPr>
          <w:rFonts w:ascii="Arial" w:hAnsi="Arial" w:cs="Arial"/>
          <w:lang w:val="en-US"/>
        </w:rPr>
        <w:t>for contraventions of</w:t>
      </w:r>
      <w:r w:rsidR="001E1AFC">
        <w:rPr>
          <w:rFonts w:ascii="Arial" w:hAnsi="Arial" w:cs="Arial"/>
          <w:lang w:val="en-US"/>
        </w:rPr>
        <w:t xml:space="preserve"> the Act,</w:t>
      </w:r>
      <w:r w:rsidR="002E79D0">
        <w:rPr>
          <w:rFonts w:ascii="Arial" w:hAnsi="Arial" w:cs="Arial"/>
          <w:lang w:val="en-US"/>
        </w:rPr>
        <w:t xml:space="preserve"> nor does it reserve jurisdiction over such disputes </w:t>
      </w:r>
      <w:r w:rsidR="005D2DEE">
        <w:rPr>
          <w:rFonts w:ascii="Arial" w:hAnsi="Arial" w:cs="Arial"/>
          <w:lang w:val="en-US"/>
        </w:rPr>
        <w:t xml:space="preserve">exclusively </w:t>
      </w:r>
      <w:r w:rsidR="002E79D0">
        <w:rPr>
          <w:rFonts w:ascii="Arial" w:hAnsi="Arial" w:cs="Arial"/>
          <w:lang w:val="en-US"/>
        </w:rPr>
        <w:t>to the Commission</w:t>
      </w:r>
      <w:r w:rsidR="00427313">
        <w:rPr>
          <w:rFonts w:ascii="Arial" w:hAnsi="Arial" w:cs="Arial"/>
          <w:lang w:val="en-US"/>
        </w:rPr>
        <w:t xml:space="preserve">, </w:t>
      </w:r>
      <w:r w:rsidR="00711653">
        <w:rPr>
          <w:rFonts w:ascii="Arial" w:hAnsi="Arial" w:cs="Arial"/>
          <w:lang w:val="en-US"/>
        </w:rPr>
        <w:t>and t</w:t>
      </w:r>
      <w:r w:rsidR="00711653" w:rsidRPr="009A6ECA">
        <w:rPr>
          <w:rFonts w:ascii="Arial" w:hAnsi="Arial" w:cs="Arial"/>
          <w:lang w:val="en-US"/>
        </w:rPr>
        <w:t xml:space="preserve">he Act does not say that </w:t>
      </w:r>
      <w:r w:rsidR="00711653">
        <w:rPr>
          <w:rFonts w:ascii="Arial" w:hAnsi="Arial" w:cs="Arial"/>
          <w:lang w:val="en-US"/>
        </w:rPr>
        <w:t xml:space="preserve">such </w:t>
      </w:r>
      <w:r w:rsidR="00711653" w:rsidRPr="009A6ECA">
        <w:rPr>
          <w:rFonts w:ascii="Arial" w:hAnsi="Arial" w:cs="Arial"/>
          <w:lang w:val="en-US"/>
        </w:rPr>
        <w:t>an affected person may not approach the court directly for relief</w:t>
      </w:r>
      <w:r w:rsidR="00711653">
        <w:rPr>
          <w:rFonts w:ascii="Arial" w:hAnsi="Arial" w:cs="Arial"/>
          <w:lang w:val="en-US"/>
        </w:rPr>
        <w:t>. A</w:t>
      </w:r>
      <w:r w:rsidR="00427313">
        <w:rPr>
          <w:rFonts w:ascii="Arial" w:hAnsi="Arial" w:cs="Arial"/>
          <w:lang w:val="en-US"/>
        </w:rPr>
        <w:t>rguabl</w:t>
      </w:r>
      <w:r w:rsidR="006615A2">
        <w:rPr>
          <w:rFonts w:ascii="Arial" w:hAnsi="Arial" w:cs="Arial"/>
          <w:lang w:val="en-US"/>
        </w:rPr>
        <w:t>y</w:t>
      </w:r>
      <w:r w:rsidR="00427313">
        <w:rPr>
          <w:rFonts w:ascii="Arial" w:hAnsi="Arial" w:cs="Arial"/>
          <w:lang w:val="en-US"/>
        </w:rPr>
        <w:t xml:space="preserve"> </w:t>
      </w:r>
      <w:r w:rsidR="00711653">
        <w:rPr>
          <w:rFonts w:ascii="Arial" w:hAnsi="Arial" w:cs="Arial"/>
          <w:lang w:val="en-US"/>
        </w:rPr>
        <w:t xml:space="preserve">the court </w:t>
      </w:r>
      <w:r w:rsidR="00427313">
        <w:rPr>
          <w:rFonts w:ascii="Arial" w:hAnsi="Arial" w:cs="Arial"/>
          <w:lang w:val="en-US"/>
        </w:rPr>
        <w:lastRenderedPageBreak/>
        <w:t>retained its original jurisdiction</w:t>
      </w:r>
      <w:r w:rsidR="00711653">
        <w:rPr>
          <w:rFonts w:ascii="Arial" w:hAnsi="Arial" w:cs="Arial"/>
          <w:lang w:val="en-US"/>
        </w:rPr>
        <w:t xml:space="preserve"> over such disputes</w:t>
      </w:r>
      <w:r w:rsidR="001E1AFC" w:rsidRPr="009A6ECA">
        <w:rPr>
          <w:rFonts w:ascii="Arial" w:hAnsi="Arial" w:cs="Arial"/>
          <w:lang w:val="en-US"/>
        </w:rPr>
        <w:t xml:space="preserve">. The only restriction in the Act </w:t>
      </w:r>
      <w:r w:rsidR="00711653">
        <w:rPr>
          <w:rFonts w:ascii="Arial" w:hAnsi="Arial" w:cs="Arial"/>
          <w:lang w:val="en-US"/>
        </w:rPr>
        <w:t>for</w:t>
      </w:r>
      <w:r w:rsidR="001E1AFC" w:rsidRPr="009A6ECA">
        <w:rPr>
          <w:rFonts w:ascii="Arial" w:hAnsi="Arial" w:cs="Arial"/>
          <w:lang w:val="en-US"/>
        </w:rPr>
        <w:t xml:space="preserve"> a person to approach the court</w:t>
      </w:r>
      <w:r w:rsidR="001E1AFC">
        <w:rPr>
          <w:rFonts w:ascii="Arial" w:hAnsi="Arial" w:cs="Arial"/>
          <w:lang w:val="en-US"/>
        </w:rPr>
        <w:t xml:space="preserve"> directly</w:t>
      </w:r>
      <w:r w:rsidR="001E1AFC" w:rsidRPr="009A6ECA">
        <w:rPr>
          <w:rFonts w:ascii="Arial" w:hAnsi="Arial" w:cs="Arial"/>
          <w:lang w:val="en-US"/>
        </w:rPr>
        <w:t xml:space="preserve"> is under s 54 if a person suffered damages due to an infringement of the Part I or Part II prohibition and such </w:t>
      </w:r>
      <w:r w:rsidR="00B17665">
        <w:rPr>
          <w:rFonts w:ascii="Arial" w:hAnsi="Arial" w:cs="Arial"/>
          <w:lang w:val="en-US"/>
        </w:rPr>
        <w:t xml:space="preserve">a </w:t>
      </w:r>
      <w:r w:rsidR="001E1AFC" w:rsidRPr="009A6ECA">
        <w:rPr>
          <w:rFonts w:ascii="Arial" w:hAnsi="Arial" w:cs="Arial"/>
          <w:lang w:val="en-US"/>
        </w:rPr>
        <w:t xml:space="preserve">person was awarded damages in a consent agreement or if such </w:t>
      </w:r>
      <w:r w:rsidR="00B17665">
        <w:rPr>
          <w:rFonts w:ascii="Arial" w:hAnsi="Arial" w:cs="Arial"/>
          <w:lang w:val="en-US"/>
        </w:rPr>
        <w:t xml:space="preserve">a </w:t>
      </w:r>
      <w:r w:rsidR="001E1AFC" w:rsidRPr="009A6ECA">
        <w:rPr>
          <w:rFonts w:ascii="Arial" w:hAnsi="Arial" w:cs="Arial"/>
          <w:lang w:val="en-US"/>
        </w:rPr>
        <w:t>person was not awarded damages in a consent agreement</w:t>
      </w:r>
      <w:r w:rsidR="00427313">
        <w:rPr>
          <w:rFonts w:ascii="Arial" w:hAnsi="Arial" w:cs="Arial"/>
          <w:lang w:val="en-US"/>
        </w:rPr>
        <w:t>, but t</w:t>
      </w:r>
      <w:r w:rsidR="001E1AFC" w:rsidRPr="009A6ECA">
        <w:rPr>
          <w:rFonts w:ascii="Arial" w:hAnsi="Arial" w:cs="Arial"/>
          <w:lang w:val="en-US"/>
        </w:rPr>
        <w:t xml:space="preserve">he Act is silent on what the position would be if </w:t>
      </w:r>
      <w:r w:rsidR="00B17665">
        <w:rPr>
          <w:rFonts w:ascii="Arial" w:hAnsi="Arial" w:cs="Arial"/>
          <w:lang w:val="en-US"/>
        </w:rPr>
        <w:t xml:space="preserve">such </w:t>
      </w:r>
      <w:r w:rsidR="001E1AFC" w:rsidRPr="009A6ECA">
        <w:rPr>
          <w:rFonts w:ascii="Arial" w:hAnsi="Arial" w:cs="Arial"/>
          <w:lang w:val="en-US"/>
        </w:rPr>
        <w:t>a</w:t>
      </w:r>
      <w:r w:rsidR="006615A2">
        <w:rPr>
          <w:rFonts w:ascii="Arial" w:hAnsi="Arial" w:cs="Arial"/>
          <w:lang w:val="en-US"/>
        </w:rPr>
        <w:t xml:space="preserve"> </w:t>
      </w:r>
      <w:r w:rsidR="001E1AFC" w:rsidRPr="009A6ECA">
        <w:rPr>
          <w:rFonts w:ascii="Arial" w:hAnsi="Arial" w:cs="Arial"/>
          <w:lang w:val="en-US"/>
        </w:rPr>
        <w:t>person did not approach the Commission at all</w:t>
      </w:r>
      <w:r w:rsidR="00AF1128">
        <w:rPr>
          <w:rFonts w:ascii="Arial" w:hAnsi="Arial" w:cs="Arial"/>
          <w:lang w:val="en-US"/>
        </w:rPr>
        <w:t>.</w:t>
      </w:r>
      <w:r w:rsidR="0064702F">
        <w:rPr>
          <w:rFonts w:ascii="Arial" w:hAnsi="Arial" w:cs="Arial"/>
          <w:lang w:val="en-US"/>
        </w:rPr>
        <w:t xml:space="preserve"> Arguably the restriction under s 54 does not apply to the first defendant. </w:t>
      </w:r>
    </w:p>
    <w:p w14:paraId="7EEF6387" w14:textId="77777777" w:rsidR="001E1AFC" w:rsidRPr="00DB45DA" w:rsidRDefault="001E1AFC" w:rsidP="001E1AFC">
      <w:pPr>
        <w:pStyle w:val="ListParagraph"/>
        <w:rPr>
          <w:rFonts w:ascii="Arial" w:hAnsi="Arial" w:cs="Arial"/>
          <w:lang w:val="en-US"/>
        </w:rPr>
      </w:pPr>
    </w:p>
    <w:p w14:paraId="456ED930" w14:textId="587D24B0" w:rsidR="001E1AFC" w:rsidRDefault="001E1AFC" w:rsidP="001E1AFC">
      <w:pPr>
        <w:pStyle w:val="ListParagraph"/>
        <w:spacing w:line="360" w:lineRule="auto"/>
        <w:ind w:left="0"/>
        <w:jc w:val="both"/>
        <w:rPr>
          <w:rFonts w:ascii="Arial" w:hAnsi="Arial" w:cs="Arial"/>
          <w:lang w:val="en-US"/>
        </w:rPr>
      </w:pPr>
      <w:r w:rsidRPr="00F366C9">
        <w:rPr>
          <w:rFonts w:ascii="Arial" w:hAnsi="Arial" w:cs="Arial"/>
          <w:i/>
          <w:iCs/>
          <w:lang w:val="en-US"/>
        </w:rPr>
        <w:t>Held that</w:t>
      </w:r>
      <w:r>
        <w:rPr>
          <w:rFonts w:ascii="Arial" w:hAnsi="Arial" w:cs="Arial"/>
          <w:lang w:val="en-US"/>
        </w:rPr>
        <w:t xml:space="preserve"> a</w:t>
      </w:r>
      <w:r w:rsidRPr="00463AA7">
        <w:rPr>
          <w:rFonts w:ascii="Arial" w:hAnsi="Arial" w:cs="Arial"/>
          <w:lang w:val="en-US"/>
        </w:rPr>
        <w:t xml:space="preserve"> person affected by </w:t>
      </w:r>
      <w:r>
        <w:rPr>
          <w:rFonts w:ascii="Arial" w:hAnsi="Arial" w:cs="Arial"/>
          <w:lang w:val="en-US"/>
        </w:rPr>
        <w:t>the</w:t>
      </w:r>
      <w:r w:rsidRPr="00463AA7">
        <w:rPr>
          <w:rFonts w:ascii="Arial" w:hAnsi="Arial" w:cs="Arial"/>
          <w:lang w:val="en-US"/>
        </w:rPr>
        <w:t xml:space="preserve"> Part I or Part II prohibition may lodge a complaint with the Commission,</w:t>
      </w:r>
      <w:r>
        <w:rPr>
          <w:rFonts w:ascii="Arial" w:hAnsi="Arial" w:cs="Arial"/>
          <w:lang w:val="en-US"/>
        </w:rPr>
        <w:t xml:space="preserve"> and in circumstances where the procedures under the Act are inadequate for the relief required, arguably like in the matter at hand,</w:t>
      </w:r>
      <w:r w:rsidRPr="00463AA7">
        <w:rPr>
          <w:rFonts w:ascii="Arial" w:hAnsi="Arial" w:cs="Arial"/>
          <w:lang w:val="en-US"/>
        </w:rPr>
        <w:t xml:space="preserve"> such a person </w:t>
      </w:r>
      <w:r w:rsidR="006615A2">
        <w:rPr>
          <w:rFonts w:ascii="Arial" w:hAnsi="Arial" w:cs="Arial"/>
          <w:lang w:val="en-US"/>
        </w:rPr>
        <w:t>c</w:t>
      </w:r>
      <w:r w:rsidR="00427313">
        <w:rPr>
          <w:rFonts w:ascii="Arial" w:hAnsi="Arial" w:cs="Arial"/>
          <w:lang w:val="en-US"/>
        </w:rPr>
        <w:t>ould</w:t>
      </w:r>
      <w:r w:rsidRPr="00463AA7">
        <w:rPr>
          <w:rFonts w:ascii="Arial" w:hAnsi="Arial" w:cs="Arial"/>
          <w:lang w:val="en-US"/>
        </w:rPr>
        <w:t xml:space="preserve"> arguably</w:t>
      </w:r>
      <w:r w:rsidR="00427313">
        <w:rPr>
          <w:rFonts w:ascii="Arial" w:hAnsi="Arial" w:cs="Arial"/>
          <w:lang w:val="en-US"/>
        </w:rPr>
        <w:t xml:space="preserve"> be allowed to </w:t>
      </w:r>
      <w:r w:rsidRPr="00463AA7">
        <w:rPr>
          <w:rFonts w:ascii="Arial" w:hAnsi="Arial" w:cs="Arial"/>
          <w:lang w:val="en-US"/>
        </w:rPr>
        <w:t xml:space="preserve">approach the court </w:t>
      </w:r>
      <w:r w:rsidR="006615A2">
        <w:rPr>
          <w:rFonts w:ascii="Arial" w:hAnsi="Arial" w:cs="Arial"/>
          <w:lang w:val="en-US"/>
        </w:rPr>
        <w:t xml:space="preserve">directly </w:t>
      </w:r>
      <w:r w:rsidRPr="00463AA7">
        <w:rPr>
          <w:rFonts w:ascii="Arial" w:hAnsi="Arial" w:cs="Arial"/>
          <w:lang w:val="en-US"/>
        </w:rPr>
        <w:t>for appropriate relief</w:t>
      </w:r>
      <w:r>
        <w:rPr>
          <w:rFonts w:ascii="Arial" w:hAnsi="Arial" w:cs="Arial"/>
          <w:lang w:val="en-US"/>
        </w:rPr>
        <w:t xml:space="preserve"> and that </w:t>
      </w:r>
      <w:r w:rsidR="006615A2">
        <w:rPr>
          <w:rFonts w:ascii="Arial" w:hAnsi="Arial" w:cs="Arial"/>
          <w:lang w:val="en-US"/>
        </w:rPr>
        <w:t>c</w:t>
      </w:r>
      <w:r>
        <w:rPr>
          <w:rFonts w:ascii="Arial" w:hAnsi="Arial" w:cs="Arial"/>
          <w:lang w:val="en-US"/>
        </w:rPr>
        <w:t>ould arguably d</w:t>
      </w:r>
      <w:r w:rsidRPr="00463AA7">
        <w:rPr>
          <w:rFonts w:ascii="Arial" w:hAnsi="Arial" w:cs="Arial"/>
          <w:lang w:val="en-US"/>
        </w:rPr>
        <w:t>epen</w:t>
      </w:r>
      <w:r>
        <w:rPr>
          <w:rFonts w:ascii="Arial" w:hAnsi="Arial" w:cs="Arial"/>
          <w:lang w:val="en-US"/>
        </w:rPr>
        <w:t>d o</w:t>
      </w:r>
      <w:r w:rsidRPr="00463AA7">
        <w:rPr>
          <w:rFonts w:ascii="Arial" w:hAnsi="Arial" w:cs="Arial"/>
          <w:lang w:val="en-US"/>
        </w:rPr>
        <w:t xml:space="preserve">n the facts and circumstances of the </w:t>
      </w:r>
      <w:r>
        <w:rPr>
          <w:rFonts w:ascii="Arial" w:hAnsi="Arial" w:cs="Arial"/>
          <w:lang w:val="en-US"/>
        </w:rPr>
        <w:t>case</w:t>
      </w:r>
      <w:r w:rsidRPr="00463AA7">
        <w:rPr>
          <w:rFonts w:ascii="Arial" w:hAnsi="Arial" w:cs="Arial"/>
          <w:lang w:val="en-US"/>
        </w:rPr>
        <w:t>, the nature of the dispute, and the nature of the relief sought</w:t>
      </w:r>
      <w:r>
        <w:rPr>
          <w:rFonts w:ascii="Arial" w:hAnsi="Arial" w:cs="Arial"/>
          <w:lang w:val="en-US"/>
        </w:rPr>
        <w:t xml:space="preserve">. </w:t>
      </w:r>
    </w:p>
    <w:p w14:paraId="488EF269" w14:textId="77777777" w:rsidR="001E1AFC" w:rsidRPr="00DB45DA" w:rsidRDefault="001E1AFC" w:rsidP="001E1AFC">
      <w:pPr>
        <w:pStyle w:val="ListParagraph"/>
        <w:rPr>
          <w:rFonts w:ascii="Arial" w:hAnsi="Arial" w:cs="Arial"/>
          <w:lang w:val="en-US"/>
        </w:rPr>
      </w:pPr>
    </w:p>
    <w:p w14:paraId="2CD7E60F" w14:textId="41A9628A" w:rsidR="001E1AFC" w:rsidRDefault="001E1AFC" w:rsidP="001E1AFC">
      <w:pPr>
        <w:pStyle w:val="ListParagraph"/>
        <w:spacing w:line="360" w:lineRule="auto"/>
        <w:ind w:left="0"/>
        <w:jc w:val="both"/>
        <w:rPr>
          <w:rFonts w:ascii="Arial" w:hAnsi="Arial" w:cs="Arial"/>
          <w:lang w:val="en-US"/>
        </w:rPr>
      </w:pPr>
      <w:r w:rsidRPr="00F366C9">
        <w:rPr>
          <w:rFonts w:ascii="Arial" w:hAnsi="Arial" w:cs="Arial"/>
          <w:i/>
          <w:iCs/>
          <w:lang w:val="en-US"/>
        </w:rPr>
        <w:t>Held that</w:t>
      </w:r>
      <w:r>
        <w:rPr>
          <w:rFonts w:ascii="Arial" w:hAnsi="Arial" w:cs="Arial"/>
          <w:lang w:val="en-US"/>
        </w:rPr>
        <w:t xml:space="preserve"> i</w:t>
      </w:r>
      <w:r w:rsidRPr="00463AA7">
        <w:rPr>
          <w:rFonts w:ascii="Arial" w:hAnsi="Arial" w:cs="Arial"/>
          <w:lang w:val="en-US"/>
        </w:rPr>
        <w:t>n a</w:t>
      </w:r>
      <w:r>
        <w:rPr>
          <w:rFonts w:ascii="Arial" w:hAnsi="Arial" w:cs="Arial"/>
          <w:lang w:val="en-US"/>
        </w:rPr>
        <w:t xml:space="preserve">n unlawful </w:t>
      </w:r>
      <w:r w:rsidRPr="00463AA7">
        <w:rPr>
          <w:rFonts w:ascii="Arial" w:hAnsi="Arial" w:cs="Arial"/>
          <w:lang w:val="en-US"/>
        </w:rPr>
        <w:t xml:space="preserve">competition </w:t>
      </w:r>
      <w:r>
        <w:rPr>
          <w:rFonts w:ascii="Arial" w:hAnsi="Arial" w:cs="Arial"/>
          <w:lang w:val="en-US"/>
        </w:rPr>
        <w:t xml:space="preserve">(private law) </w:t>
      </w:r>
      <w:r w:rsidRPr="00463AA7">
        <w:rPr>
          <w:rFonts w:ascii="Arial" w:hAnsi="Arial" w:cs="Arial"/>
          <w:lang w:val="en-US"/>
        </w:rPr>
        <w:t>dispute</w:t>
      </w:r>
      <w:r>
        <w:rPr>
          <w:rFonts w:ascii="Arial" w:hAnsi="Arial" w:cs="Arial"/>
          <w:lang w:val="en-US"/>
        </w:rPr>
        <w:t xml:space="preserve"> based on contravention</w:t>
      </w:r>
      <w:r w:rsidR="00B17665">
        <w:rPr>
          <w:rFonts w:ascii="Arial" w:hAnsi="Arial" w:cs="Arial"/>
          <w:lang w:val="en-US"/>
        </w:rPr>
        <w:t>s</w:t>
      </w:r>
      <w:r>
        <w:rPr>
          <w:rFonts w:ascii="Arial" w:hAnsi="Arial" w:cs="Arial"/>
          <w:lang w:val="en-US"/>
        </w:rPr>
        <w:t xml:space="preserve"> of the Act</w:t>
      </w:r>
      <w:r w:rsidRPr="00463AA7">
        <w:rPr>
          <w:rFonts w:ascii="Arial" w:hAnsi="Arial" w:cs="Arial"/>
          <w:lang w:val="en-US"/>
        </w:rPr>
        <w:t>, as in the matter at hand, it is arguable that the court</w:t>
      </w:r>
      <w:r w:rsidR="000C0524">
        <w:rPr>
          <w:rFonts w:ascii="Arial" w:hAnsi="Arial" w:cs="Arial"/>
          <w:lang w:val="en-US"/>
        </w:rPr>
        <w:t xml:space="preserve"> </w:t>
      </w:r>
      <w:r w:rsidR="006615A2">
        <w:rPr>
          <w:rFonts w:ascii="Arial" w:hAnsi="Arial" w:cs="Arial"/>
          <w:lang w:val="en-US"/>
        </w:rPr>
        <w:t>c</w:t>
      </w:r>
      <w:r w:rsidR="000C0524">
        <w:rPr>
          <w:rFonts w:ascii="Arial" w:hAnsi="Arial" w:cs="Arial"/>
          <w:lang w:val="en-US"/>
        </w:rPr>
        <w:t>ould</w:t>
      </w:r>
      <w:r w:rsidRPr="00463AA7">
        <w:rPr>
          <w:rFonts w:ascii="Arial" w:hAnsi="Arial" w:cs="Arial"/>
          <w:lang w:val="en-US"/>
        </w:rPr>
        <w:t xml:space="preserve"> hear the matter </w:t>
      </w:r>
      <w:r>
        <w:rPr>
          <w:rFonts w:ascii="Arial" w:hAnsi="Arial" w:cs="Arial"/>
          <w:lang w:val="en-US"/>
        </w:rPr>
        <w:t xml:space="preserve">as a </w:t>
      </w:r>
      <w:r w:rsidR="006615A2">
        <w:rPr>
          <w:rFonts w:ascii="Arial" w:hAnsi="Arial" w:cs="Arial"/>
          <w:lang w:val="en-US"/>
        </w:rPr>
        <w:t xml:space="preserve">first instance </w:t>
      </w:r>
      <w:r>
        <w:rPr>
          <w:rFonts w:ascii="Arial" w:hAnsi="Arial" w:cs="Arial"/>
          <w:lang w:val="en-US"/>
        </w:rPr>
        <w:t xml:space="preserve">court </w:t>
      </w:r>
      <w:r w:rsidR="00B17665">
        <w:rPr>
          <w:rFonts w:ascii="Arial" w:hAnsi="Arial" w:cs="Arial"/>
          <w:lang w:val="en-US"/>
        </w:rPr>
        <w:t xml:space="preserve">even though </w:t>
      </w:r>
      <w:r w:rsidRPr="00463AA7">
        <w:rPr>
          <w:rFonts w:ascii="Arial" w:hAnsi="Arial" w:cs="Arial"/>
          <w:lang w:val="en-US"/>
        </w:rPr>
        <w:t xml:space="preserve">the </w:t>
      </w:r>
      <w:r w:rsidR="000C0524">
        <w:rPr>
          <w:rFonts w:ascii="Arial" w:hAnsi="Arial" w:cs="Arial"/>
          <w:lang w:val="en-US"/>
        </w:rPr>
        <w:t xml:space="preserve">affected </w:t>
      </w:r>
      <w:r>
        <w:rPr>
          <w:rFonts w:ascii="Arial" w:hAnsi="Arial" w:cs="Arial"/>
          <w:lang w:val="en-US"/>
        </w:rPr>
        <w:t xml:space="preserve">person, like the </w:t>
      </w:r>
      <w:r w:rsidRPr="00463AA7">
        <w:rPr>
          <w:rFonts w:ascii="Arial" w:hAnsi="Arial" w:cs="Arial"/>
          <w:lang w:val="en-US"/>
        </w:rPr>
        <w:t>first defendant</w:t>
      </w:r>
      <w:r>
        <w:rPr>
          <w:rFonts w:ascii="Arial" w:hAnsi="Arial" w:cs="Arial"/>
          <w:lang w:val="en-US"/>
        </w:rPr>
        <w:t xml:space="preserve"> in the matter at hand,</w:t>
      </w:r>
      <w:r w:rsidRPr="00463AA7">
        <w:rPr>
          <w:rFonts w:ascii="Arial" w:hAnsi="Arial" w:cs="Arial"/>
          <w:lang w:val="en-US"/>
        </w:rPr>
        <w:t xml:space="preserve"> did not approach the Commission</w:t>
      </w:r>
      <w:r>
        <w:rPr>
          <w:rFonts w:ascii="Arial" w:hAnsi="Arial" w:cs="Arial"/>
          <w:lang w:val="en-US"/>
        </w:rPr>
        <w:t xml:space="preserve"> for relief</w:t>
      </w:r>
      <w:r w:rsidR="00B17665">
        <w:rPr>
          <w:rFonts w:ascii="Arial" w:hAnsi="Arial" w:cs="Arial"/>
          <w:lang w:val="en-US"/>
        </w:rPr>
        <w:t xml:space="preserve"> </w:t>
      </w:r>
      <w:r>
        <w:rPr>
          <w:rFonts w:ascii="Arial" w:hAnsi="Arial" w:cs="Arial"/>
          <w:lang w:val="en-US"/>
        </w:rPr>
        <w:t xml:space="preserve">and the Commission </w:t>
      </w:r>
      <w:r w:rsidR="00B17665">
        <w:rPr>
          <w:rFonts w:ascii="Arial" w:hAnsi="Arial" w:cs="Arial"/>
          <w:lang w:val="en-US"/>
        </w:rPr>
        <w:t xml:space="preserve">did not </w:t>
      </w:r>
      <w:r w:rsidR="00BB6FC4">
        <w:rPr>
          <w:rFonts w:ascii="Arial" w:hAnsi="Arial" w:cs="Arial"/>
          <w:lang w:val="en-US"/>
        </w:rPr>
        <w:t xml:space="preserve">decide </w:t>
      </w:r>
      <w:r>
        <w:rPr>
          <w:rFonts w:ascii="Arial" w:hAnsi="Arial" w:cs="Arial"/>
          <w:lang w:val="en-US"/>
        </w:rPr>
        <w:t xml:space="preserve">that the Part I or Part II prohibition </w:t>
      </w:r>
      <w:r w:rsidR="00B17665">
        <w:rPr>
          <w:rFonts w:ascii="Arial" w:hAnsi="Arial" w:cs="Arial"/>
          <w:lang w:val="en-US"/>
        </w:rPr>
        <w:t>was</w:t>
      </w:r>
      <w:r>
        <w:rPr>
          <w:rFonts w:ascii="Arial" w:hAnsi="Arial" w:cs="Arial"/>
          <w:lang w:val="en-US"/>
        </w:rPr>
        <w:t xml:space="preserve"> infringed.</w:t>
      </w:r>
    </w:p>
    <w:p w14:paraId="71A190F5" w14:textId="77777777" w:rsidR="001E1AFC" w:rsidRPr="00DB45DA" w:rsidRDefault="001E1AFC" w:rsidP="001E1AFC">
      <w:pPr>
        <w:pStyle w:val="ListParagraph"/>
        <w:rPr>
          <w:rFonts w:ascii="Arial" w:hAnsi="Arial" w:cs="Arial"/>
          <w:lang w:val="en-US"/>
        </w:rPr>
      </w:pPr>
    </w:p>
    <w:p w14:paraId="5C2FF39F" w14:textId="33138CF2" w:rsidR="001E1AFC" w:rsidRDefault="001E1AFC" w:rsidP="001E1AFC">
      <w:pPr>
        <w:pStyle w:val="ListParagraph"/>
        <w:spacing w:line="360" w:lineRule="auto"/>
        <w:ind w:left="0"/>
        <w:jc w:val="both"/>
        <w:rPr>
          <w:rFonts w:ascii="Arial" w:hAnsi="Arial" w:cs="Arial"/>
          <w:lang w:val="en-US"/>
        </w:rPr>
      </w:pPr>
      <w:r w:rsidRPr="00052701">
        <w:rPr>
          <w:rFonts w:ascii="Arial" w:hAnsi="Arial" w:cs="Arial"/>
          <w:i/>
          <w:iCs/>
          <w:lang w:val="en-US"/>
        </w:rPr>
        <w:t>Held that</w:t>
      </w:r>
      <w:r>
        <w:rPr>
          <w:rFonts w:ascii="Arial" w:hAnsi="Arial" w:cs="Arial"/>
          <w:lang w:val="en-US"/>
        </w:rPr>
        <w:t xml:space="preserve"> </w:t>
      </w:r>
      <w:r w:rsidR="008033E9">
        <w:rPr>
          <w:rFonts w:ascii="Arial" w:hAnsi="Arial" w:cs="Arial"/>
          <w:lang w:val="en-US"/>
        </w:rPr>
        <w:t>if the procedures under the Act are inadequate for the relief required</w:t>
      </w:r>
      <w:r w:rsidR="00A90D3B">
        <w:rPr>
          <w:rFonts w:ascii="Arial" w:hAnsi="Arial" w:cs="Arial"/>
          <w:lang w:val="en-US"/>
        </w:rPr>
        <w:t>, as arguably in the matter at hand</w:t>
      </w:r>
      <w:r w:rsidR="008033E9">
        <w:rPr>
          <w:rFonts w:ascii="Arial" w:hAnsi="Arial" w:cs="Arial"/>
          <w:lang w:val="en-US"/>
        </w:rPr>
        <w:t xml:space="preserve">, and </w:t>
      </w:r>
      <w:r>
        <w:rPr>
          <w:rFonts w:ascii="Arial" w:hAnsi="Arial" w:cs="Arial"/>
          <w:lang w:val="en-US"/>
        </w:rPr>
        <w:t xml:space="preserve">even though the </w:t>
      </w:r>
      <w:r w:rsidRPr="002846FB">
        <w:rPr>
          <w:rFonts w:ascii="Arial" w:hAnsi="Arial" w:cs="Arial"/>
          <w:lang w:val="en-US"/>
        </w:rPr>
        <w:t xml:space="preserve">Act does not </w:t>
      </w:r>
      <w:r>
        <w:rPr>
          <w:rFonts w:ascii="Arial" w:hAnsi="Arial" w:cs="Arial"/>
          <w:lang w:val="en-US"/>
        </w:rPr>
        <w:t xml:space="preserve">expressly </w:t>
      </w:r>
      <w:r w:rsidRPr="002846FB">
        <w:rPr>
          <w:rFonts w:ascii="Arial" w:hAnsi="Arial" w:cs="Arial"/>
          <w:lang w:val="en-US"/>
        </w:rPr>
        <w:t xml:space="preserve">say that </w:t>
      </w:r>
      <w:r>
        <w:rPr>
          <w:rFonts w:ascii="Arial" w:hAnsi="Arial" w:cs="Arial"/>
          <w:lang w:val="en-US"/>
        </w:rPr>
        <w:t>the</w:t>
      </w:r>
      <w:r w:rsidRPr="002846FB">
        <w:rPr>
          <w:rFonts w:ascii="Arial" w:hAnsi="Arial" w:cs="Arial"/>
          <w:lang w:val="en-US"/>
        </w:rPr>
        <w:t xml:space="preserve"> Part I or Part II prohibition results in unenforceability</w:t>
      </w:r>
      <w:r>
        <w:rPr>
          <w:rFonts w:ascii="Arial" w:hAnsi="Arial" w:cs="Arial"/>
          <w:lang w:val="en-US"/>
        </w:rPr>
        <w:t xml:space="preserve"> or that such agreement is void or can be declared void, it is arguable that the court </w:t>
      </w:r>
      <w:r w:rsidR="00BB6FC4">
        <w:rPr>
          <w:rFonts w:ascii="Arial" w:hAnsi="Arial" w:cs="Arial"/>
          <w:lang w:val="en-US"/>
        </w:rPr>
        <w:t>c</w:t>
      </w:r>
      <w:r w:rsidR="00AF1128">
        <w:rPr>
          <w:rFonts w:ascii="Arial" w:hAnsi="Arial" w:cs="Arial"/>
          <w:lang w:val="en-US"/>
        </w:rPr>
        <w:t>ould have</w:t>
      </w:r>
      <w:r>
        <w:rPr>
          <w:rFonts w:ascii="Arial" w:hAnsi="Arial" w:cs="Arial"/>
          <w:lang w:val="en-US"/>
        </w:rPr>
        <w:t xml:space="preserve"> jurisdiction to declare </w:t>
      </w:r>
      <w:r w:rsidR="0064702F">
        <w:rPr>
          <w:rFonts w:ascii="Arial" w:hAnsi="Arial" w:cs="Arial"/>
          <w:lang w:val="en-US"/>
        </w:rPr>
        <w:t>the lease</w:t>
      </w:r>
      <w:r w:rsidR="00A90D3B">
        <w:rPr>
          <w:rFonts w:ascii="Arial" w:hAnsi="Arial" w:cs="Arial"/>
          <w:lang w:val="en-US"/>
        </w:rPr>
        <w:t xml:space="preserve"> an</w:t>
      </w:r>
      <w:r>
        <w:rPr>
          <w:rFonts w:ascii="Arial" w:hAnsi="Arial" w:cs="Arial"/>
          <w:lang w:val="en-US"/>
        </w:rPr>
        <w:t xml:space="preserve"> infring</w:t>
      </w:r>
      <w:r w:rsidR="00A90D3B">
        <w:rPr>
          <w:rFonts w:ascii="Arial" w:hAnsi="Arial" w:cs="Arial"/>
          <w:lang w:val="en-US"/>
        </w:rPr>
        <w:t>ement of</w:t>
      </w:r>
      <w:r>
        <w:rPr>
          <w:rFonts w:ascii="Arial" w:hAnsi="Arial" w:cs="Arial"/>
          <w:lang w:val="en-US"/>
        </w:rPr>
        <w:t xml:space="preserve"> the </w:t>
      </w:r>
      <w:r w:rsidRPr="00463AA7">
        <w:rPr>
          <w:rFonts w:ascii="Arial" w:hAnsi="Arial" w:cs="Arial"/>
          <w:lang w:val="en-US"/>
        </w:rPr>
        <w:t>Part I or Part II prohibition</w:t>
      </w:r>
      <w:r>
        <w:rPr>
          <w:rFonts w:ascii="Arial" w:hAnsi="Arial" w:cs="Arial"/>
          <w:lang w:val="en-US"/>
        </w:rPr>
        <w:t xml:space="preserve"> </w:t>
      </w:r>
      <w:r w:rsidR="00A90D3B">
        <w:rPr>
          <w:rFonts w:ascii="Arial" w:hAnsi="Arial" w:cs="Arial"/>
          <w:lang w:val="en-US"/>
        </w:rPr>
        <w:t xml:space="preserve">and </w:t>
      </w:r>
      <w:r>
        <w:rPr>
          <w:rFonts w:ascii="Arial" w:hAnsi="Arial" w:cs="Arial"/>
          <w:lang w:val="en-US"/>
        </w:rPr>
        <w:t>unenforceable</w:t>
      </w:r>
      <w:r w:rsidRPr="002846FB">
        <w:rPr>
          <w:rFonts w:ascii="Arial" w:hAnsi="Arial" w:cs="Arial"/>
          <w:lang w:val="en-US"/>
        </w:rPr>
        <w:t>.</w:t>
      </w:r>
    </w:p>
    <w:p w14:paraId="36A1F427" w14:textId="77777777" w:rsidR="001E1AFC" w:rsidRPr="00DB45DA" w:rsidRDefault="001E1AFC" w:rsidP="001E1AFC">
      <w:pPr>
        <w:pStyle w:val="ListParagraph"/>
        <w:rPr>
          <w:rFonts w:ascii="Arial" w:hAnsi="Arial" w:cs="Arial"/>
          <w:lang w:val="en-US"/>
        </w:rPr>
      </w:pPr>
    </w:p>
    <w:p w14:paraId="2D937178" w14:textId="5070C679" w:rsidR="001E1AFC" w:rsidRDefault="001E1AFC" w:rsidP="001E1AFC">
      <w:pPr>
        <w:pStyle w:val="ListParagraph"/>
        <w:spacing w:line="360" w:lineRule="auto"/>
        <w:ind w:left="0"/>
        <w:jc w:val="both"/>
        <w:rPr>
          <w:rFonts w:ascii="Arial" w:hAnsi="Arial" w:cs="Arial"/>
          <w:lang w:val="en-US"/>
        </w:rPr>
      </w:pPr>
      <w:r w:rsidRPr="00052701">
        <w:rPr>
          <w:rFonts w:ascii="Arial" w:hAnsi="Arial" w:cs="Arial"/>
          <w:i/>
          <w:iCs/>
          <w:lang w:val="en-US"/>
        </w:rPr>
        <w:t>Held that</w:t>
      </w:r>
      <w:r>
        <w:rPr>
          <w:rFonts w:ascii="Arial" w:hAnsi="Arial" w:cs="Arial"/>
          <w:lang w:val="en-US"/>
        </w:rPr>
        <w:t xml:space="preserve"> if the lease is threatened </w:t>
      </w:r>
      <w:r w:rsidR="000C0524">
        <w:rPr>
          <w:rFonts w:ascii="Arial" w:hAnsi="Arial" w:cs="Arial"/>
          <w:lang w:val="en-US"/>
        </w:rPr>
        <w:t xml:space="preserve">due to </w:t>
      </w:r>
      <w:r w:rsidR="00A90D3B">
        <w:rPr>
          <w:rFonts w:ascii="Arial" w:hAnsi="Arial" w:cs="Arial"/>
          <w:lang w:val="en-US"/>
        </w:rPr>
        <w:t xml:space="preserve">the alleged </w:t>
      </w:r>
      <w:r w:rsidR="000C0524">
        <w:rPr>
          <w:rFonts w:ascii="Arial" w:hAnsi="Arial" w:cs="Arial"/>
          <w:lang w:val="en-US"/>
        </w:rPr>
        <w:t xml:space="preserve">contraventions of the Act </w:t>
      </w:r>
      <w:r>
        <w:rPr>
          <w:rFonts w:ascii="Arial" w:hAnsi="Arial" w:cs="Arial"/>
          <w:lang w:val="en-US"/>
        </w:rPr>
        <w:t xml:space="preserve">and the MLA which flows from it is </w:t>
      </w:r>
      <w:r w:rsidR="00A90D3B">
        <w:rPr>
          <w:rFonts w:ascii="Arial" w:hAnsi="Arial" w:cs="Arial"/>
          <w:lang w:val="en-US"/>
        </w:rPr>
        <w:t xml:space="preserve">arguably </w:t>
      </w:r>
      <w:r>
        <w:rPr>
          <w:rFonts w:ascii="Arial" w:hAnsi="Arial" w:cs="Arial"/>
          <w:lang w:val="en-US"/>
        </w:rPr>
        <w:t>threatened in turn, the first defendant’s indebtedness to the plaintiff for N$7 556 029</w:t>
      </w:r>
      <w:r w:rsidR="00CB5A84">
        <w:rPr>
          <w:rFonts w:ascii="Arial" w:hAnsi="Arial" w:cs="Arial"/>
          <w:lang w:val="en-US"/>
        </w:rPr>
        <w:t>,</w:t>
      </w:r>
      <w:r>
        <w:rPr>
          <w:rFonts w:ascii="Arial" w:hAnsi="Arial" w:cs="Arial"/>
          <w:lang w:val="en-US"/>
        </w:rPr>
        <w:t xml:space="preserve">74 </w:t>
      </w:r>
      <w:r w:rsidR="00A90D3B">
        <w:rPr>
          <w:rFonts w:ascii="Arial" w:hAnsi="Arial" w:cs="Arial"/>
          <w:lang w:val="en-US"/>
        </w:rPr>
        <w:t>w</w:t>
      </w:r>
      <w:r>
        <w:rPr>
          <w:rFonts w:ascii="Arial" w:hAnsi="Arial" w:cs="Arial"/>
          <w:lang w:val="en-US"/>
        </w:rPr>
        <w:t xml:space="preserve">ould not </w:t>
      </w:r>
      <w:r w:rsidR="00A90D3B">
        <w:rPr>
          <w:rFonts w:ascii="Arial" w:hAnsi="Arial" w:cs="Arial"/>
          <w:lang w:val="en-US"/>
        </w:rPr>
        <w:t xml:space="preserve">necessarily </w:t>
      </w:r>
      <w:r>
        <w:rPr>
          <w:rFonts w:ascii="Arial" w:hAnsi="Arial" w:cs="Arial"/>
          <w:lang w:val="en-US"/>
        </w:rPr>
        <w:t xml:space="preserve">be extinguished </w:t>
      </w:r>
      <w:r w:rsidR="00AF1128">
        <w:rPr>
          <w:rFonts w:ascii="Arial" w:hAnsi="Arial" w:cs="Arial"/>
          <w:lang w:val="en-US"/>
        </w:rPr>
        <w:t xml:space="preserve">thereby, </w:t>
      </w:r>
      <w:r>
        <w:rPr>
          <w:rFonts w:ascii="Arial" w:hAnsi="Arial" w:cs="Arial"/>
          <w:lang w:val="en-US"/>
        </w:rPr>
        <w:t>but if the first defendant is correct</w:t>
      </w:r>
      <w:r w:rsidR="00BB6FC4">
        <w:rPr>
          <w:rFonts w:ascii="Arial" w:hAnsi="Arial" w:cs="Arial"/>
          <w:lang w:val="en-US"/>
        </w:rPr>
        <w:t xml:space="preserve"> that the lease contravenes the Act</w:t>
      </w:r>
      <w:r>
        <w:rPr>
          <w:rFonts w:ascii="Arial" w:hAnsi="Arial" w:cs="Arial"/>
          <w:lang w:val="en-US"/>
        </w:rPr>
        <w:t>, it is arguable that</w:t>
      </w:r>
      <w:r w:rsidR="00A90D3B">
        <w:rPr>
          <w:rFonts w:ascii="Arial" w:hAnsi="Arial" w:cs="Arial"/>
          <w:lang w:val="en-US"/>
        </w:rPr>
        <w:t>,</w:t>
      </w:r>
      <w:r>
        <w:rPr>
          <w:rFonts w:ascii="Arial" w:hAnsi="Arial" w:cs="Arial"/>
          <w:lang w:val="en-US"/>
        </w:rPr>
        <w:t xml:space="preserve"> on the plaintiff’s papers now before the court, the plaintiff </w:t>
      </w:r>
      <w:r w:rsidR="003C17D8">
        <w:rPr>
          <w:rFonts w:ascii="Arial" w:hAnsi="Arial" w:cs="Arial"/>
          <w:lang w:val="en-US"/>
        </w:rPr>
        <w:t>would</w:t>
      </w:r>
      <w:r>
        <w:rPr>
          <w:rFonts w:ascii="Arial" w:hAnsi="Arial" w:cs="Arial"/>
          <w:lang w:val="en-US"/>
        </w:rPr>
        <w:t xml:space="preserve"> not succeed with its claim for N$7 556 029</w:t>
      </w:r>
      <w:r w:rsidR="00CB5A84">
        <w:rPr>
          <w:rFonts w:ascii="Arial" w:hAnsi="Arial" w:cs="Arial"/>
          <w:lang w:val="en-US"/>
        </w:rPr>
        <w:t>,</w:t>
      </w:r>
      <w:r>
        <w:rPr>
          <w:rFonts w:ascii="Arial" w:hAnsi="Arial" w:cs="Arial"/>
          <w:lang w:val="en-US"/>
        </w:rPr>
        <w:t>74.</w:t>
      </w:r>
    </w:p>
    <w:p w14:paraId="0C74CA16" w14:textId="77777777" w:rsidR="001E1AFC" w:rsidRPr="00DB45DA" w:rsidRDefault="001E1AFC" w:rsidP="001E1AFC">
      <w:pPr>
        <w:pStyle w:val="ListParagraph"/>
        <w:rPr>
          <w:rFonts w:ascii="Arial" w:hAnsi="Arial" w:cs="Arial"/>
          <w:lang w:val="en-US"/>
        </w:rPr>
      </w:pPr>
    </w:p>
    <w:p w14:paraId="131026E0" w14:textId="48266E61" w:rsidR="00B05078" w:rsidRDefault="001E1AFC" w:rsidP="001E1AFC">
      <w:pPr>
        <w:pStyle w:val="ListParagraph"/>
        <w:spacing w:line="360" w:lineRule="auto"/>
        <w:ind w:left="0"/>
        <w:jc w:val="both"/>
        <w:rPr>
          <w:rFonts w:ascii="Arial" w:hAnsi="Arial" w:cs="Arial"/>
          <w:lang w:val="en-US"/>
        </w:rPr>
      </w:pPr>
      <w:r w:rsidRPr="00052701">
        <w:rPr>
          <w:rFonts w:ascii="Arial" w:hAnsi="Arial" w:cs="Arial"/>
          <w:i/>
          <w:iCs/>
          <w:lang w:val="en-US"/>
        </w:rPr>
        <w:lastRenderedPageBreak/>
        <w:t>Held that</w:t>
      </w:r>
      <w:r>
        <w:rPr>
          <w:rFonts w:ascii="Arial" w:hAnsi="Arial" w:cs="Arial"/>
          <w:lang w:val="en-US"/>
        </w:rPr>
        <w:t xml:space="preserve"> the court cannot</w:t>
      </w:r>
      <w:r w:rsidR="000C0524">
        <w:rPr>
          <w:rFonts w:ascii="Arial" w:hAnsi="Arial" w:cs="Arial"/>
          <w:lang w:val="en-US"/>
        </w:rPr>
        <w:t>,</w:t>
      </w:r>
      <w:r>
        <w:rPr>
          <w:rFonts w:ascii="Arial" w:hAnsi="Arial" w:cs="Arial"/>
          <w:lang w:val="en-US"/>
        </w:rPr>
        <w:t xml:space="preserve"> at this stage of the proceedings, find that the plaintiff’s claim for N$7 556 029</w:t>
      </w:r>
      <w:r w:rsidR="00CB5A84">
        <w:rPr>
          <w:rFonts w:ascii="Arial" w:hAnsi="Arial" w:cs="Arial"/>
          <w:lang w:val="en-US"/>
        </w:rPr>
        <w:t>,</w:t>
      </w:r>
      <w:r>
        <w:rPr>
          <w:rFonts w:ascii="Arial" w:hAnsi="Arial" w:cs="Arial"/>
          <w:lang w:val="en-US"/>
        </w:rPr>
        <w:t>74 is unanswerable, and th</w:t>
      </w:r>
      <w:r w:rsidRPr="00F132CF">
        <w:rPr>
          <w:rFonts w:ascii="Arial" w:hAnsi="Arial" w:cs="Arial"/>
          <w:lang w:val="en-US"/>
        </w:rPr>
        <w:t>e court finds</w:t>
      </w:r>
      <w:r>
        <w:rPr>
          <w:rFonts w:ascii="Arial" w:hAnsi="Arial" w:cs="Arial"/>
          <w:lang w:val="en-US"/>
        </w:rPr>
        <w:t xml:space="preserve"> </w:t>
      </w:r>
      <w:r w:rsidRPr="00F132CF">
        <w:rPr>
          <w:rFonts w:ascii="Arial" w:hAnsi="Arial" w:cs="Arial"/>
          <w:lang w:val="en-US"/>
        </w:rPr>
        <w:t>that</w:t>
      </w:r>
      <w:r w:rsidR="00B05078">
        <w:rPr>
          <w:rFonts w:ascii="Arial" w:hAnsi="Arial" w:cs="Arial"/>
          <w:lang w:val="en-US"/>
        </w:rPr>
        <w:t xml:space="preserve">, on the papers now before </w:t>
      </w:r>
      <w:r w:rsidR="000C0524">
        <w:rPr>
          <w:rFonts w:ascii="Arial" w:hAnsi="Arial" w:cs="Arial"/>
          <w:lang w:val="en-US"/>
        </w:rPr>
        <w:t>it</w:t>
      </w:r>
      <w:r w:rsidR="00B05078">
        <w:rPr>
          <w:rFonts w:ascii="Arial" w:hAnsi="Arial" w:cs="Arial"/>
          <w:lang w:val="en-US"/>
        </w:rPr>
        <w:t xml:space="preserve">, if the first defendant is correct that the lease </w:t>
      </w:r>
      <w:r w:rsidR="00BB6FC4">
        <w:rPr>
          <w:rFonts w:ascii="Arial" w:hAnsi="Arial" w:cs="Arial"/>
          <w:lang w:val="en-US"/>
        </w:rPr>
        <w:t xml:space="preserve">contravenes </w:t>
      </w:r>
      <w:r w:rsidR="00B05078">
        <w:rPr>
          <w:rFonts w:ascii="Arial" w:hAnsi="Arial" w:cs="Arial"/>
          <w:lang w:val="en-US"/>
        </w:rPr>
        <w:t>the Act,</w:t>
      </w:r>
      <w:r>
        <w:rPr>
          <w:rFonts w:ascii="Arial" w:hAnsi="Arial" w:cs="Arial"/>
          <w:lang w:val="en-US"/>
        </w:rPr>
        <w:t xml:space="preserve"> </w:t>
      </w:r>
      <w:r w:rsidR="00B05078">
        <w:rPr>
          <w:rFonts w:ascii="Arial" w:hAnsi="Arial" w:cs="Arial"/>
          <w:lang w:val="en-US"/>
        </w:rPr>
        <w:t xml:space="preserve">that could constitute </w:t>
      </w:r>
      <w:r w:rsidRPr="00F132CF">
        <w:rPr>
          <w:rFonts w:ascii="Arial" w:hAnsi="Arial" w:cs="Arial"/>
          <w:lang w:val="en-US"/>
        </w:rPr>
        <w:t>a bona fide defence</w:t>
      </w:r>
      <w:r w:rsidR="00B05078">
        <w:rPr>
          <w:rFonts w:ascii="Arial" w:hAnsi="Arial" w:cs="Arial"/>
          <w:lang w:val="en-US"/>
        </w:rPr>
        <w:t xml:space="preserve"> to the claim for N$7 556 029</w:t>
      </w:r>
      <w:r w:rsidR="00CB5A84">
        <w:rPr>
          <w:rFonts w:ascii="Arial" w:hAnsi="Arial" w:cs="Arial"/>
          <w:lang w:val="en-US"/>
        </w:rPr>
        <w:t>,</w:t>
      </w:r>
      <w:r w:rsidR="00B05078">
        <w:rPr>
          <w:rFonts w:ascii="Arial" w:hAnsi="Arial" w:cs="Arial"/>
          <w:lang w:val="en-US"/>
        </w:rPr>
        <w:t>74</w:t>
      </w:r>
      <w:r>
        <w:rPr>
          <w:rFonts w:ascii="Arial" w:hAnsi="Arial" w:cs="Arial"/>
          <w:lang w:val="en-US"/>
        </w:rPr>
        <w:t>, and whereas the compound interest claim follows the claim for N$7 556 029</w:t>
      </w:r>
      <w:r w:rsidR="00CB5A84">
        <w:rPr>
          <w:rFonts w:ascii="Arial" w:hAnsi="Arial" w:cs="Arial"/>
          <w:lang w:val="en-US"/>
        </w:rPr>
        <w:t>,</w:t>
      </w:r>
      <w:r>
        <w:rPr>
          <w:rFonts w:ascii="Arial" w:hAnsi="Arial" w:cs="Arial"/>
          <w:lang w:val="en-US"/>
        </w:rPr>
        <w:t>74, the court does not consider the defence that the particulars of claim are possibly technically defective.</w:t>
      </w:r>
    </w:p>
    <w:p w14:paraId="560A6965" w14:textId="77777777" w:rsidR="001E1AFC" w:rsidRPr="00DB45DA" w:rsidRDefault="001E1AFC" w:rsidP="001E1AFC">
      <w:pPr>
        <w:pStyle w:val="ListParagraph"/>
        <w:rPr>
          <w:rFonts w:ascii="Arial" w:hAnsi="Arial" w:cs="Arial"/>
          <w:lang w:val="en-US"/>
        </w:rPr>
      </w:pPr>
    </w:p>
    <w:p w14:paraId="25007981" w14:textId="6CD13AB3" w:rsidR="001E1AFC" w:rsidRDefault="001E1AFC" w:rsidP="001E1AFC">
      <w:pPr>
        <w:pStyle w:val="ListParagraph"/>
        <w:spacing w:line="360" w:lineRule="auto"/>
        <w:ind w:left="0"/>
        <w:jc w:val="both"/>
        <w:rPr>
          <w:rFonts w:ascii="Arial" w:hAnsi="Arial" w:cs="Arial"/>
          <w:lang w:val="en-US"/>
        </w:rPr>
      </w:pPr>
      <w:r w:rsidRPr="00052701">
        <w:rPr>
          <w:rFonts w:ascii="Arial" w:hAnsi="Arial" w:cs="Arial"/>
          <w:i/>
          <w:iCs/>
          <w:lang w:val="en-US"/>
        </w:rPr>
        <w:t>Held that</w:t>
      </w:r>
      <w:r>
        <w:rPr>
          <w:rFonts w:ascii="Arial" w:hAnsi="Arial" w:cs="Arial"/>
          <w:lang w:val="en-US"/>
        </w:rPr>
        <w:t xml:space="preserve"> </w:t>
      </w:r>
      <w:r w:rsidR="000C0524">
        <w:rPr>
          <w:rFonts w:ascii="Arial" w:hAnsi="Arial" w:cs="Arial"/>
          <w:lang w:val="en-US"/>
        </w:rPr>
        <w:t>no</w:t>
      </w:r>
      <w:r>
        <w:rPr>
          <w:rFonts w:ascii="Arial" w:hAnsi="Arial" w:cs="Arial"/>
          <w:lang w:val="en-US"/>
        </w:rPr>
        <w:t xml:space="preserve"> defence </w:t>
      </w:r>
      <w:r w:rsidR="000C0524">
        <w:rPr>
          <w:rFonts w:ascii="Arial" w:hAnsi="Arial" w:cs="Arial"/>
          <w:lang w:val="en-US"/>
        </w:rPr>
        <w:t xml:space="preserve">is raised against </w:t>
      </w:r>
      <w:r>
        <w:rPr>
          <w:rFonts w:ascii="Arial" w:hAnsi="Arial" w:cs="Arial"/>
          <w:lang w:val="en-US"/>
        </w:rPr>
        <w:t>the claim for reimbursement of the payment made by the plaintiff to a third party discharging the first defendant’s debt to NORED, and t</w:t>
      </w:r>
      <w:r w:rsidRPr="005532F5">
        <w:rPr>
          <w:rFonts w:ascii="Arial" w:hAnsi="Arial" w:cs="Arial"/>
          <w:lang w:val="en-US"/>
        </w:rPr>
        <w:t xml:space="preserve">he particulars of claim make a case for </w:t>
      </w:r>
      <w:r>
        <w:rPr>
          <w:rFonts w:ascii="Arial" w:hAnsi="Arial" w:cs="Arial"/>
          <w:lang w:val="en-US"/>
        </w:rPr>
        <w:t xml:space="preserve">that claim on the </w:t>
      </w:r>
      <w:r w:rsidRPr="005105E8">
        <w:rPr>
          <w:rFonts w:ascii="Arial" w:hAnsi="Arial" w:cs="Arial"/>
          <w:i/>
          <w:iCs/>
          <w:lang w:val="en-US"/>
        </w:rPr>
        <w:t>negotiorum gestor</w:t>
      </w:r>
      <w:r>
        <w:rPr>
          <w:rFonts w:ascii="Arial" w:hAnsi="Arial" w:cs="Arial"/>
          <w:lang w:val="en-US"/>
        </w:rPr>
        <w:t xml:space="preserve"> or the extended </w:t>
      </w:r>
      <w:r w:rsidRPr="005105E8">
        <w:rPr>
          <w:rFonts w:ascii="Arial" w:hAnsi="Arial" w:cs="Arial"/>
          <w:i/>
          <w:iCs/>
          <w:lang w:val="en-US"/>
        </w:rPr>
        <w:t>negotiorum gestor</w:t>
      </w:r>
      <w:r>
        <w:rPr>
          <w:rFonts w:ascii="Arial" w:hAnsi="Arial" w:cs="Arial"/>
          <w:lang w:val="en-US"/>
        </w:rPr>
        <w:t xml:space="preserve"> for a liquidated amount in money.</w:t>
      </w:r>
    </w:p>
    <w:p w14:paraId="1E4217F1" w14:textId="77777777" w:rsidR="001E1AFC" w:rsidRPr="00DB45DA" w:rsidRDefault="001E1AFC" w:rsidP="001E1AFC">
      <w:pPr>
        <w:pStyle w:val="ListParagraph"/>
        <w:rPr>
          <w:rFonts w:ascii="Arial" w:hAnsi="Arial" w:cs="Arial"/>
          <w:lang w:val="en-US"/>
        </w:rPr>
      </w:pPr>
    </w:p>
    <w:p w14:paraId="70EB5E47" w14:textId="182F4E1D" w:rsidR="001E1AFC" w:rsidRDefault="001E1AFC" w:rsidP="001E1AFC">
      <w:pPr>
        <w:pStyle w:val="ListParagraph"/>
        <w:spacing w:line="360" w:lineRule="auto"/>
        <w:ind w:left="0"/>
        <w:jc w:val="both"/>
        <w:rPr>
          <w:rFonts w:ascii="Arial" w:hAnsi="Arial" w:cs="Arial"/>
          <w:lang w:val="en-US"/>
        </w:rPr>
      </w:pPr>
      <w:r w:rsidRPr="00262C07">
        <w:rPr>
          <w:rFonts w:ascii="Arial" w:hAnsi="Arial" w:cs="Arial"/>
          <w:i/>
          <w:iCs/>
          <w:lang w:val="en-US"/>
        </w:rPr>
        <w:t>Held that</w:t>
      </w:r>
      <w:r>
        <w:rPr>
          <w:rFonts w:ascii="Arial" w:hAnsi="Arial" w:cs="Arial"/>
          <w:lang w:val="en-US"/>
        </w:rPr>
        <w:t xml:space="preserve"> the first defendant, who is the registered owner of the property, passed the bond in favour of the plaintiff</w:t>
      </w:r>
      <w:r w:rsidR="003C17D8">
        <w:rPr>
          <w:rFonts w:ascii="Arial" w:hAnsi="Arial" w:cs="Arial"/>
          <w:lang w:val="en-US"/>
        </w:rPr>
        <w:t xml:space="preserve"> over the property</w:t>
      </w:r>
      <w:r w:rsidR="000C0524">
        <w:rPr>
          <w:rFonts w:ascii="Arial" w:hAnsi="Arial" w:cs="Arial"/>
          <w:lang w:val="en-US"/>
        </w:rPr>
        <w:t>, and u</w:t>
      </w:r>
      <w:r>
        <w:rPr>
          <w:rFonts w:ascii="Arial" w:hAnsi="Arial" w:cs="Arial"/>
          <w:lang w:val="en-US"/>
        </w:rPr>
        <w:t xml:space="preserve">nder the bond, the first defendant bound herself for the due and punctual payment to the plaintiff of all monies as </w:t>
      </w:r>
      <w:r w:rsidR="000C0524">
        <w:rPr>
          <w:rFonts w:ascii="Arial" w:hAnsi="Arial" w:cs="Arial"/>
          <w:lang w:val="en-US"/>
        </w:rPr>
        <w:t>were at the time of its execution</w:t>
      </w:r>
      <w:r>
        <w:rPr>
          <w:rFonts w:ascii="Arial" w:hAnsi="Arial" w:cs="Arial"/>
          <w:lang w:val="en-US"/>
        </w:rPr>
        <w:t xml:space="preserve"> or may hereafter be owing by the first defendant to the plaintiff from any cause howsoever arising</w:t>
      </w:r>
      <w:r w:rsidR="000C0524">
        <w:rPr>
          <w:rFonts w:ascii="Arial" w:hAnsi="Arial" w:cs="Arial"/>
          <w:lang w:val="en-US"/>
        </w:rPr>
        <w:t xml:space="preserve">, and </w:t>
      </w:r>
      <w:r>
        <w:rPr>
          <w:rFonts w:ascii="Arial" w:hAnsi="Arial" w:cs="Arial"/>
          <w:lang w:val="en-US"/>
        </w:rPr>
        <w:t xml:space="preserve">as security for the payment of sums of </w:t>
      </w:r>
      <w:r w:rsidR="00BB6FC4">
        <w:rPr>
          <w:rFonts w:ascii="Arial" w:hAnsi="Arial" w:cs="Arial"/>
          <w:lang w:val="en-US"/>
        </w:rPr>
        <w:t>money</w:t>
      </w:r>
      <w:r>
        <w:rPr>
          <w:rFonts w:ascii="Arial" w:hAnsi="Arial" w:cs="Arial"/>
          <w:lang w:val="en-US"/>
        </w:rPr>
        <w:t xml:space="preserve"> that may at any time be or become due and owing to the plaintiff arising from any cause whatsoever, the first defendant bound the property as a first mortgage.</w:t>
      </w:r>
    </w:p>
    <w:p w14:paraId="108CCBCC" w14:textId="77777777" w:rsidR="001E1AFC" w:rsidRPr="00DB45DA" w:rsidRDefault="001E1AFC" w:rsidP="001E1AFC">
      <w:pPr>
        <w:pStyle w:val="ListParagraph"/>
        <w:rPr>
          <w:rFonts w:ascii="Arial" w:hAnsi="Arial" w:cs="Arial"/>
          <w:lang w:val="en-US"/>
        </w:rPr>
      </w:pPr>
    </w:p>
    <w:p w14:paraId="74A44C40" w14:textId="085C565F" w:rsidR="000C0524" w:rsidRDefault="001E1AFC" w:rsidP="000C0524">
      <w:pPr>
        <w:pStyle w:val="ListParagraph"/>
        <w:spacing w:line="360" w:lineRule="auto"/>
        <w:ind w:left="0"/>
        <w:jc w:val="both"/>
        <w:rPr>
          <w:rFonts w:ascii="Arial" w:hAnsi="Arial" w:cs="Arial"/>
          <w:lang w:val="en-US"/>
        </w:rPr>
      </w:pPr>
      <w:r w:rsidRPr="00052701">
        <w:rPr>
          <w:rFonts w:ascii="Arial" w:hAnsi="Arial" w:cs="Arial"/>
          <w:i/>
          <w:iCs/>
          <w:lang w:val="en-US"/>
        </w:rPr>
        <w:t>Held that</w:t>
      </w:r>
      <w:r>
        <w:rPr>
          <w:rFonts w:ascii="Arial" w:hAnsi="Arial" w:cs="Arial"/>
          <w:lang w:val="en-US"/>
        </w:rPr>
        <w:t xml:space="preserve"> the plaintiff’s claim for reimbursement for having discharged the first defendant’s debt to NORED is a valid claim secured under the bond, and the first defendant did not raise any defence to the claim for an order declaring the property executable following the plaintiff’s undisputed reimbursement claim</w:t>
      </w:r>
      <w:r w:rsidR="00D55FB9">
        <w:rPr>
          <w:rFonts w:ascii="Arial" w:hAnsi="Arial" w:cs="Arial"/>
          <w:lang w:val="en-US"/>
        </w:rPr>
        <w:t>.</w:t>
      </w:r>
    </w:p>
    <w:p w14:paraId="5E0E2B22" w14:textId="77777777" w:rsidR="000C0524" w:rsidRPr="00DB45DA" w:rsidRDefault="000C0524" w:rsidP="000C0524">
      <w:pPr>
        <w:pStyle w:val="ListParagraph"/>
        <w:rPr>
          <w:rFonts w:ascii="Arial" w:hAnsi="Arial" w:cs="Arial"/>
          <w:lang w:val="en-US"/>
        </w:rPr>
      </w:pPr>
    </w:p>
    <w:p w14:paraId="55575456" w14:textId="7B6B135F" w:rsidR="001E1AFC" w:rsidRDefault="00D55FB9" w:rsidP="001E1AFC">
      <w:pPr>
        <w:pStyle w:val="ListParagraph"/>
        <w:spacing w:line="360" w:lineRule="auto"/>
        <w:ind w:left="0"/>
        <w:jc w:val="both"/>
        <w:rPr>
          <w:rFonts w:ascii="Arial" w:hAnsi="Arial" w:cs="Arial"/>
          <w:lang w:val="en-US"/>
        </w:rPr>
      </w:pPr>
      <w:r w:rsidRPr="000C0524">
        <w:rPr>
          <w:rFonts w:ascii="Arial" w:hAnsi="Arial" w:cs="Arial"/>
          <w:i/>
          <w:iCs/>
          <w:lang w:val="en-US"/>
        </w:rPr>
        <w:t>Held that</w:t>
      </w:r>
      <w:r>
        <w:rPr>
          <w:rFonts w:ascii="Arial" w:hAnsi="Arial" w:cs="Arial"/>
          <w:lang w:val="en-US"/>
        </w:rPr>
        <w:t xml:space="preserve"> whereas the plaintiff is the bondholder, a nulla bona return is not required, and the first defendant did not present facts </w:t>
      </w:r>
      <w:r w:rsidRPr="00F132CF">
        <w:rPr>
          <w:rFonts w:ascii="Arial" w:hAnsi="Arial" w:cs="Arial"/>
          <w:lang w:val="en-US"/>
        </w:rPr>
        <w:t>and or circumstances in the context of r 108 why the property should not be declared executable. The relevant circumstances presented by the plaintiff in that regard are undisputed</w:t>
      </w:r>
      <w:r>
        <w:rPr>
          <w:rFonts w:ascii="Arial" w:hAnsi="Arial" w:cs="Arial"/>
          <w:lang w:val="en-US"/>
        </w:rPr>
        <w:t xml:space="preserve">. Moreover, the plaintiff occupies the property, and </w:t>
      </w:r>
      <w:r w:rsidRPr="00F132CF">
        <w:rPr>
          <w:rFonts w:ascii="Arial" w:hAnsi="Arial" w:cs="Arial"/>
          <w:lang w:val="en-US"/>
        </w:rPr>
        <w:t>the property is not the first defendant’s primary home, nor is it leased to a third party as a home.</w:t>
      </w:r>
    </w:p>
    <w:p w14:paraId="124B51F1" w14:textId="77777777" w:rsidR="001E1AFC" w:rsidRPr="00DB45DA" w:rsidRDefault="001E1AFC" w:rsidP="001E1AFC">
      <w:pPr>
        <w:pStyle w:val="ListParagraph"/>
        <w:rPr>
          <w:rFonts w:ascii="Arial" w:hAnsi="Arial" w:cs="Arial"/>
          <w:lang w:val="en-US"/>
        </w:rPr>
      </w:pPr>
    </w:p>
    <w:p w14:paraId="2D2095B9" w14:textId="2119F9F9" w:rsidR="003D7CC1" w:rsidRPr="003D7CC1" w:rsidRDefault="003D7CC1" w:rsidP="00052701">
      <w:pPr>
        <w:pStyle w:val="ListParagraph"/>
        <w:spacing w:line="360" w:lineRule="auto"/>
        <w:ind w:left="0"/>
        <w:jc w:val="both"/>
        <w:rPr>
          <w:rFonts w:ascii="Arial" w:hAnsi="Arial" w:cs="Arial"/>
          <w:lang w:val="en-US"/>
        </w:rPr>
      </w:pPr>
      <w:r w:rsidRPr="003D7CC1">
        <w:rPr>
          <w:rFonts w:ascii="Arial" w:hAnsi="Arial" w:cs="Arial"/>
          <w:i/>
          <w:iCs/>
          <w:lang w:val="en-US"/>
        </w:rPr>
        <w:t>Held tha</w:t>
      </w:r>
      <w:r>
        <w:rPr>
          <w:rFonts w:ascii="Arial" w:hAnsi="Arial" w:cs="Arial"/>
          <w:i/>
          <w:iCs/>
          <w:lang w:val="en-US"/>
        </w:rPr>
        <w:t xml:space="preserve">t </w:t>
      </w:r>
      <w:r w:rsidR="00533F7D">
        <w:rPr>
          <w:rFonts w:ascii="Arial" w:hAnsi="Arial" w:cs="Arial"/>
          <w:lang w:val="en-US"/>
        </w:rPr>
        <w:t xml:space="preserve">the </w:t>
      </w:r>
      <w:r>
        <w:rPr>
          <w:rFonts w:ascii="Arial" w:hAnsi="Arial" w:cs="Arial"/>
          <w:lang w:val="en-US"/>
        </w:rPr>
        <w:t xml:space="preserve">summary judgment </w:t>
      </w:r>
      <w:r w:rsidR="00533F7D">
        <w:rPr>
          <w:rFonts w:ascii="Arial" w:hAnsi="Arial" w:cs="Arial"/>
          <w:lang w:val="en-US"/>
        </w:rPr>
        <w:t xml:space="preserve">application </w:t>
      </w:r>
      <w:r>
        <w:rPr>
          <w:rFonts w:ascii="Arial" w:hAnsi="Arial" w:cs="Arial"/>
          <w:lang w:val="en-US"/>
        </w:rPr>
        <w:t>should succeed in part.</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lastRenderedPageBreak/>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2F536A90" w14:textId="5EE90548" w:rsidR="002D416A" w:rsidRPr="002D416A" w:rsidRDefault="002D416A" w:rsidP="002D416A">
      <w:pPr>
        <w:pStyle w:val="ListParagraph"/>
        <w:numPr>
          <w:ilvl w:val="0"/>
          <w:numId w:val="1"/>
        </w:numPr>
        <w:spacing w:line="360" w:lineRule="auto"/>
        <w:ind w:left="0" w:firstLine="0"/>
        <w:jc w:val="both"/>
        <w:rPr>
          <w:rFonts w:ascii="Arial" w:hAnsi="Arial" w:cs="Arial"/>
          <w:lang w:val="en-US"/>
        </w:rPr>
      </w:pPr>
      <w:r w:rsidRPr="002D416A">
        <w:rPr>
          <w:rFonts w:ascii="Arial" w:hAnsi="Arial" w:cs="Arial"/>
          <w:lang w:val="en-US"/>
        </w:rPr>
        <w:t xml:space="preserve">Summary judgment is granted </w:t>
      </w:r>
      <w:r>
        <w:rPr>
          <w:rFonts w:ascii="Arial" w:hAnsi="Arial" w:cs="Arial"/>
          <w:lang w:val="en-US"/>
        </w:rPr>
        <w:t xml:space="preserve">in favour of the plaintiff </w:t>
      </w:r>
      <w:r w:rsidRPr="002D416A">
        <w:rPr>
          <w:rFonts w:ascii="Arial" w:hAnsi="Arial" w:cs="Arial"/>
          <w:lang w:val="en-US"/>
        </w:rPr>
        <w:t xml:space="preserve">against the first defendant </w:t>
      </w:r>
      <w:r>
        <w:rPr>
          <w:rFonts w:ascii="Arial" w:hAnsi="Arial" w:cs="Arial"/>
          <w:lang w:val="en-US"/>
        </w:rPr>
        <w:t>for an order in the following terms</w:t>
      </w:r>
      <w:r w:rsidRPr="002D416A">
        <w:rPr>
          <w:rFonts w:ascii="Arial" w:hAnsi="Arial" w:cs="Arial"/>
          <w:lang w:val="en-US"/>
        </w:rPr>
        <w:t>:</w:t>
      </w:r>
    </w:p>
    <w:p w14:paraId="407B5EFE" w14:textId="77777777" w:rsidR="008D6959" w:rsidRPr="000D7ED6" w:rsidRDefault="008D6959" w:rsidP="000D7ED6">
      <w:pPr>
        <w:rPr>
          <w:rFonts w:ascii="Arial" w:hAnsi="Arial" w:cs="Arial"/>
          <w:lang w:val="en-US"/>
        </w:rPr>
      </w:pPr>
    </w:p>
    <w:p w14:paraId="5D48238A" w14:textId="19495040" w:rsidR="008D6959" w:rsidRDefault="002D416A" w:rsidP="008D6959">
      <w:pPr>
        <w:pStyle w:val="ListParagraph"/>
        <w:numPr>
          <w:ilvl w:val="0"/>
          <w:numId w:val="8"/>
        </w:numPr>
        <w:spacing w:line="360" w:lineRule="auto"/>
        <w:ind w:left="0" w:firstLine="0"/>
        <w:jc w:val="both"/>
        <w:rPr>
          <w:rFonts w:ascii="Arial" w:hAnsi="Arial" w:cs="Arial"/>
          <w:lang w:val="en-US"/>
        </w:rPr>
      </w:pPr>
      <w:r w:rsidRPr="008D6959">
        <w:rPr>
          <w:rFonts w:ascii="Arial" w:hAnsi="Arial" w:cs="Arial"/>
          <w:lang w:val="en-US"/>
        </w:rPr>
        <w:t>Payment in the amount of N$133 969.</w:t>
      </w:r>
    </w:p>
    <w:p w14:paraId="3388517B" w14:textId="77777777" w:rsidR="008D6959" w:rsidRPr="008D6959" w:rsidRDefault="008D6959" w:rsidP="008D6959">
      <w:pPr>
        <w:pStyle w:val="ListParagraph"/>
        <w:rPr>
          <w:rFonts w:ascii="Arial" w:hAnsi="Arial" w:cs="Arial"/>
          <w:lang w:val="en-US"/>
        </w:rPr>
      </w:pPr>
    </w:p>
    <w:p w14:paraId="7B8377CA" w14:textId="645AC4D1" w:rsidR="008D6959" w:rsidRDefault="002D416A" w:rsidP="008D6959">
      <w:pPr>
        <w:pStyle w:val="ListParagraph"/>
        <w:numPr>
          <w:ilvl w:val="0"/>
          <w:numId w:val="8"/>
        </w:numPr>
        <w:spacing w:line="360" w:lineRule="auto"/>
        <w:ind w:left="0" w:firstLine="0"/>
        <w:jc w:val="both"/>
        <w:rPr>
          <w:rFonts w:ascii="Arial" w:hAnsi="Arial" w:cs="Arial"/>
          <w:lang w:val="en-US"/>
        </w:rPr>
      </w:pPr>
      <w:r w:rsidRPr="008D6959">
        <w:rPr>
          <w:rFonts w:ascii="Arial" w:hAnsi="Arial" w:cs="Arial"/>
          <w:lang w:val="en-US"/>
        </w:rPr>
        <w:t xml:space="preserve">Payment of simple interest </w:t>
      </w:r>
      <w:r w:rsidR="00567803" w:rsidRPr="008D6959">
        <w:rPr>
          <w:rFonts w:ascii="Arial" w:hAnsi="Arial" w:cs="Arial"/>
          <w:lang w:val="en-US"/>
        </w:rPr>
        <w:t>on the amount of N$133 969</w:t>
      </w:r>
      <w:r w:rsidR="00567803">
        <w:rPr>
          <w:rFonts w:ascii="Arial" w:hAnsi="Arial" w:cs="Arial"/>
          <w:lang w:val="en-US"/>
        </w:rPr>
        <w:t xml:space="preserve"> </w:t>
      </w:r>
      <w:r w:rsidRPr="008D6959">
        <w:rPr>
          <w:rFonts w:ascii="Arial" w:hAnsi="Arial" w:cs="Arial"/>
          <w:lang w:val="en-US"/>
        </w:rPr>
        <w:t xml:space="preserve">at the prescribed mora rate of 20% per annum from the date of service of the summons (18 July 2020) until </w:t>
      </w:r>
      <w:r w:rsidR="00567803">
        <w:rPr>
          <w:rFonts w:ascii="Arial" w:hAnsi="Arial" w:cs="Arial"/>
          <w:lang w:val="en-US"/>
        </w:rPr>
        <w:t xml:space="preserve">the </w:t>
      </w:r>
      <w:r w:rsidRPr="008D6959">
        <w:rPr>
          <w:rFonts w:ascii="Arial" w:hAnsi="Arial" w:cs="Arial"/>
          <w:lang w:val="en-US"/>
        </w:rPr>
        <w:t>date of payment.</w:t>
      </w:r>
    </w:p>
    <w:p w14:paraId="7D978A2C" w14:textId="77777777" w:rsidR="008D6959" w:rsidRPr="008D6959" w:rsidRDefault="008D6959" w:rsidP="008D6959">
      <w:pPr>
        <w:pStyle w:val="ListParagraph"/>
        <w:rPr>
          <w:rFonts w:ascii="Arial" w:hAnsi="Arial" w:cs="Arial"/>
          <w:lang w:val="en-US"/>
        </w:rPr>
      </w:pPr>
    </w:p>
    <w:p w14:paraId="2F4CCA5A" w14:textId="3528DBC2" w:rsidR="002D416A" w:rsidRPr="008D6959" w:rsidRDefault="002D416A" w:rsidP="008D6959">
      <w:pPr>
        <w:pStyle w:val="ListParagraph"/>
        <w:numPr>
          <w:ilvl w:val="0"/>
          <w:numId w:val="8"/>
        </w:numPr>
        <w:spacing w:line="360" w:lineRule="auto"/>
        <w:ind w:left="0" w:firstLine="0"/>
        <w:jc w:val="both"/>
        <w:rPr>
          <w:rFonts w:ascii="Arial" w:hAnsi="Arial" w:cs="Arial"/>
          <w:lang w:val="en-US"/>
        </w:rPr>
      </w:pPr>
      <w:r w:rsidRPr="008D6959">
        <w:rPr>
          <w:rFonts w:ascii="Arial" w:hAnsi="Arial" w:cs="Arial"/>
          <w:lang w:val="en-US"/>
        </w:rPr>
        <w:t xml:space="preserve">The following immovable property is declared executable: </w:t>
      </w:r>
    </w:p>
    <w:p w14:paraId="2FFBB191" w14:textId="77777777" w:rsidR="002D416A" w:rsidRPr="00EB5D13" w:rsidRDefault="002D416A" w:rsidP="002D416A">
      <w:pPr>
        <w:pStyle w:val="ListParagraph"/>
        <w:rPr>
          <w:rFonts w:ascii="Arial" w:hAnsi="Arial" w:cs="Arial"/>
          <w:lang w:val="en-US"/>
        </w:rPr>
      </w:pPr>
    </w:p>
    <w:p w14:paraId="65D7DD77" w14:textId="6A860733" w:rsidR="002D416A" w:rsidRDefault="002D416A" w:rsidP="002D416A">
      <w:pPr>
        <w:pStyle w:val="ListParagraph"/>
        <w:spacing w:line="360" w:lineRule="auto"/>
        <w:ind w:left="0"/>
        <w:jc w:val="both"/>
        <w:rPr>
          <w:rFonts w:ascii="Arial" w:hAnsi="Arial" w:cs="Arial"/>
          <w:lang w:val="en-US"/>
        </w:rPr>
      </w:pPr>
      <w:r w:rsidRPr="00EB5D13">
        <w:rPr>
          <w:rFonts w:ascii="Arial" w:hAnsi="Arial" w:cs="Arial"/>
          <w:lang w:val="en-US"/>
        </w:rPr>
        <w:t>CERTAIN</w:t>
      </w:r>
      <w:r>
        <w:rPr>
          <w:rFonts w:ascii="Arial" w:hAnsi="Arial" w:cs="Arial"/>
          <w:lang w:val="en-US"/>
        </w:rPr>
        <w:tab/>
      </w:r>
      <w:r w:rsidR="008D6959">
        <w:rPr>
          <w:rFonts w:ascii="Arial" w:hAnsi="Arial" w:cs="Arial"/>
          <w:lang w:val="en-US"/>
        </w:rPr>
        <w:tab/>
      </w:r>
      <w:r w:rsidRPr="00EB5D13">
        <w:rPr>
          <w:rFonts w:ascii="Arial" w:hAnsi="Arial" w:cs="Arial"/>
          <w:lang w:val="en-US"/>
        </w:rPr>
        <w:t>Erf No 7502 (Portion of Erf 5679)</w:t>
      </w:r>
      <w:r>
        <w:rPr>
          <w:rFonts w:ascii="Arial" w:hAnsi="Arial" w:cs="Arial"/>
          <w:lang w:val="en-US"/>
        </w:rPr>
        <w:t xml:space="preserve"> </w:t>
      </w:r>
    </w:p>
    <w:p w14:paraId="25581D9C" w14:textId="77777777" w:rsidR="002D416A" w:rsidRPr="00EB5D13" w:rsidRDefault="002D416A" w:rsidP="008D6959">
      <w:pPr>
        <w:pStyle w:val="ListParagraph"/>
        <w:spacing w:line="360" w:lineRule="auto"/>
        <w:ind w:left="1440" w:firstLine="720"/>
        <w:jc w:val="both"/>
        <w:rPr>
          <w:rFonts w:ascii="Arial" w:hAnsi="Arial" w:cs="Arial"/>
          <w:lang w:val="en-US"/>
        </w:rPr>
      </w:pPr>
      <w:r w:rsidRPr="00EB5D13">
        <w:rPr>
          <w:rFonts w:ascii="Arial" w:hAnsi="Arial" w:cs="Arial"/>
          <w:lang w:val="en-US"/>
        </w:rPr>
        <w:t>Ongwediva Extension 13</w:t>
      </w:r>
    </w:p>
    <w:p w14:paraId="4074BB6B" w14:textId="2732FFA4" w:rsidR="002D416A" w:rsidRPr="00EB5D13" w:rsidRDefault="002D416A" w:rsidP="002D416A">
      <w:pPr>
        <w:pStyle w:val="ListParagraph"/>
        <w:spacing w:line="360" w:lineRule="auto"/>
        <w:ind w:left="0"/>
        <w:jc w:val="both"/>
        <w:rPr>
          <w:rFonts w:ascii="Arial" w:hAnsi="Arial" w:cs="Arial"/>
          <w:lang w:val="en-US"/>
        </w:rPr>
      </w:pPr>
      <w:r w:rsidRPr="00EB5D13">
        <w:rPr>
          <w:rFonts w:ascii="Arial" w:hAnsi="Arial" w:cs="Arial"/>
          <w:lang w:val="en-US"/>
        </w:rPr>
        <w:t xml:space="preserve">SITUATE </w:t>
      </w:r>
      <w:r>
        <w:rPr>
          <w:rFonts w:ascii="Arial" w:hAnsi="Arial" w:cs="Arial"/>
          <w:lang w:val="en-US"/>
        </w:rPr>
        <w:tab/>
      </w:r>
      <w:r w:rsidR="008D6959">
        <w:rPr>
          <w:rFonts w:ascii="Arial" w:hAnsi="Arial" w:cs="Arial"/>
          <w:lang w:val="en-US"/>
        </w:rPr>
        <w:tab/>
      </w:r>
      <w:r w:rsidRPr="00EB5D13">
        <w:rPr>
          <w:rFonts w:ascii="Arial" w:hAnsi="Arial" w:cs="Arial"/>
          <w:lang w:val="en-US"/>
        </w:rPr>
        <w:t>In the Town of Ongwediva</w:t>
      </w:r>
    </w:p>
    <w:p w14:paraId="5946D83A" w14:textId="5C84692C" w:rsidR="002D416A" w:rsidRPr="00EB5D13" w:rsidRDefault="002D416A" w:rsidP="008D6959">
      <w:pPr>
        <w:pStyle w:val="ListParagraph"/>
        <w:spacing w:line="360" w:lineRule="auto"/>
        <w:ind w:left="1440" w:firstLine="720"/>
        <w:jc w:val="both"/>
        <w:rPr>
          <w:rFonts w:ascii="Arial" w:hAnsi="Arial" w:cs="Arial"/>
          <w:lang w:val="en-US"/>
        </w:rPr>
      </w:pPr>
      <w:r w:rsidRPr="00EB5D13">
        <w:rPr>
          <w:rFonts w:ascii="Arial" w:hAnsi="Arial" w:cs="Arial"/>
          <w:lang w:val="en-US"/>
        </w:rPr>
        <w:t xml:space="preserve">Registration Division </w:t>
      </w:r>
      <w:r w:rsidR="008F3BA8">
        <w:rPr>
          <w:rFonts w:ascii="Arial" w:hAnsi="Arial" w:cs="Arial"/>
          <w:lang w:val="en-US"/>
        </w:rPr>
        <w:t>‘</w:t>
      </w:r>
      <w:r w:rsidRPr="00EB5D13">
        <w:rPr>
          <w:rFonts w:ascii="Arial" w:hAnsi="Arial" w:cs="Arial"/>
          <w:lang w:val="en-US"/>
        </w:rPr>
        <w:t>A</w:t>
      </w:r>
      <w:r w:rsidR="008F3BA8">
        <w:rPr>
          <w:rFonts w:ascii="Arial" w:hAnsi="Arial" w:cs="Arial"/>
          <w:lang w:val="en-US"/>
        </w:rPr>
        <w:t>’</w:t>
      </w:r>
    </w:p>
    <w:p w14:paraId="0DE2198B" w14:textId="77777777" w:rsidR="002D416A" w:rsidRPr="00EB5D13" w:rsidRDefault="002D416A" w:rsidP="008D6959">
      <w:pPr>
        <w:pStyle w:val="ListParagraph"/>
        <w:spacing w:line="360" w:lineRule="auto"/>
        <w:ind w:left="1440" w:firstLine="720"/>
        <w:jc w:val="both"/>
        <w:rPr>
          <w:rFonts w:ascii="Arial" w:hAnsi="Arial" w:cs="Arial"/>
          <w:lang w:val="en-US"/>
        </w:rPr>
      </w:pPr>
      <w:r w:rsidRPr="00EB5D13">
        <w:rPr>
          <w:rFonts w:ascii="Arial" w:hAnsi="Arial" w:cs="Arial"/>
          <w:lang w:val="en-US"/>
        </w:rPr>
        <w:t>Oshana Region</w:t>
      </w:r>
    </w:p>
    <w:p w14:paraId="35FA8F43" w14:textId="17CA9D6C" w:rsidR="002D416A" w:rsidRPr="00EB5D13" w:rsidRDefault="002D416A" w:rsidP="002D416A">
      <w:pPr>
        <w:pStyle w:val="ListParagraph"/>
        <w:spacing w:line="360" w:lineRule="auto"/>
        <w:ind w:left="0"/>
        <w:jc w:val="both"/>
        <w:rPr>
          <w:rFonts w:ascii="Arial" w:hAnsi="Arial" w:cs="Arial"/>
          <w:lang w:val="en-US"/>
        </w:rPr>
      </w:pPr>
      <w:r w:rsidRPr="00EB5D13">
        <w:rPr>
          <w:rFonts w:ascii="Arial" w:hAnsi="Arial" w:cs="Arial"/>
          <w:lang w:val="en-US"/>
        </w:rPr>
        <w:t>MEASURING</w:t>
      </w:r>
      <w:r w:rsidR="008D6959">
        <w:rPr>
          <w:rFonts w:ascii="Arial" w:hAnsi="Arial" w:cs="Arial"/>
          <w:lang w:val="en-US"/>
        </w:rPr>
        <w:tab/>
      </w:r>
      <w:r w:rsidRPr="00EB5D13">
        <w:rPr>
          <w:rFonts w:ascii="Arial" w:hAnsi="Arial" w:cs="Arial"/>
          <w:lang w:val="en-US"/>
        </w:rPr>
        <w:t>4220 (four two two zero) square metres</w:t>
      </w:r>
    </w:p>
    <w:p w14:paraId="6856C5CB" w14:textId="5305F91F" w:rsidR="002D416A" w:rsidRDefault="002D416A" w:rsidP="002D416A">
      <w:pPr>
        <w:pStyle w:val="ListParagraph"/>
        <w:spacing w:line="360" w:lineRule="auto"/>
        <w:ind w:left="0"/>
        <w:jc w:val="both"/>
        <w:rPr>
          <w:rFonts w:ascii="Arial" w:hAnsi="Arial" w:cs="Arial"/>
          <w:lang w:val="en-US"/>
        </w:rPr>
      </w:pPr>
      <w:r w:rsidRPr="00EB5D13">
        <w:rPr>
          <w:rFonts w:ascii="Arial" w:hAnsi="Arial" w:cs="Arial"/>
          <w:lang w:val="en-US"/>
        </w:rPr>
        <w:t xml:space="preserve">HELD </w:t>
      </w:r>
      <w:r>
        <w:rPr>
          <w:rFonts w:ascii="Arial" w:hAnsi="Arial" w:cs="Arial"/>
          <w:lang w:val="en-US"/>
        </w:rPr>
        <w:tab/>
      </w:r>
      <w:r>
        <w:rPr>
          <w:rFonts w:ascii="Arial" w:hAnsi="Arial" w:cs="Arial"/>
          <w:lang w:val="en-US"/>
        </w:rPr>
        <w:tab/>
      </w:r>
      <w:r w:rsidR="008D6959">
        <w:rPr>
          <w:rFonts w:ascii="Arial" w:hAnsi="Arial" w:cs="Arial"/>
          <w:lang w:val="en-US"/>
        </w:rPr>
        <w:tab/>
      </w:r>
      <w:r w:rsidRPr="00EB5D13">
        <w:rPr>
          <w:rFonts w:ascii="Arial" w:hAnsi="Arial" w:cs="Arial"/>
          <w:lang w:val="en-US"/>
        </w:rPr>
        <w:t>Under Certificate of Registered Title T2375/2010</w:t>
      </w:r>
    </w:p>
    <w:p w14:paraId="63EEEF62" w14:textId="77777777" w:rsidR="002D416A" w:rsidRPr="00EB5D13" w:rsidRDefault="002D416A" w:rsidP="002D416A">
      <w:pPr>
        <w:pStyle w:val="ListParagraph"/>
        <w:rPr>
          <w:rFonts w:ascii="Arial" w:hAnsi="Arial" w:cs="Arial"/>
          <w:lang w:val="en-US"/>
        </w:rPr>
      </w:pPr>
    </w:p>
    <w:p w14:paraId="60627F5B" w14:textId="26B9A455" w:rsidR="002D416A" w:rsidRDefault="002D416A" w:rsidP="008D6959">
      <w:pPr>
        <w:pStyle w:val="ListParagraph"/>
        <w:numPr>
          <w:ilvl w:val="0"/>
          <w:numId w:val="8"/>
        </w:numPr>
        <w:spacing w:line="360" w:lineRule="auto"/>
        <w:ind w:left="0" w:firstLine="0"/>
        <w:jc w:val="both"/>
        <w:rPr>
          <w:rFonts w:ascii="Arial" w:hAnsi="Arial" w:cs="Arial"/>
          <w:lang w:val="en-US"/>
        </w:rPr>
      </w:pPr>
      <w:r>
        <w:rPr>
          <w:rFonts w:ascii="Arial" w:hAnsi="Arial" w:cs="Arial"/>
          <w:lang w:val="en-US"/>
        </w:rPr>
        <w:t>Payment of costs of suit</w:t>
      </w:r>
      <w:r w:rsidR="00E65CF4">
        <w:rPr>
          <w:rFonts w:ascii="Arial" w:hAnsi="Arial" w:cs="Arial"/>
          <w:lang w:val="en-US"/>
        </w:rPr>
        <w:t xml:space="preserve"> as between attorney and client </w:t>
      </w:r>
      <w:r>
        <w:rPr>
          <w:rFonts w:ascii="Arial" w:hAnsi="Arial" w:cs="Arial"/>
          <w:lang w:val="en-US"/>
        </w:rPr>
        <w:t xml:space="preserve">such costs to include the costs of one instructing and one instructed counsel, </w:t>
      </w:r>
      <w:r w:rsidR="00CB289B">
        <w:rPr>
          <w:rFonts w:ascii="Arial" w:hAnsi="Arial" w:cs="Arial"/>
          <w:lang w:val="en-US"/>
        </w:rPr>
        <w:t>but for the summary judgment application</w:t>
      </w:r>
      <w:r w:rsidR="008F3BA8">
        <w:rPr>
          <w:rFonts w:ascii="Arial" w:hAnsi="Arial" w:cs="Arial"/>
          <w:lang w:val="en-US"/>
        </w:rPr>
        <w:t xml:space="preserve"> </w:t>
      </w:r>
      <w:r w:rsidR="00CB289B">
        <w:rPr>
          <w:rFonts w:ascii="Arial" w:hAnsi="Arial" w:cs="Arial"/>
          <w:lang w:val="en-US"/>
        </w:rPr>
        <w:t xml:space="preserve">costs are </w:t>
      </w:r>
      <w:r>
        <w:rPr>
          <w:rFonts w:ascii="Arial" w:hAnsi="Arial" w:cs="Arial"/>
          <w:lang w:val="en-US"/>
        </w:rPr>
        <w:t>capped under r 32(11).</w:t>
      </w:r>
    </w:p>
    <w:p w14:paraId="3DBCB075" w14:textId="77777777" w:rsidR="002D416A" w:rsidRPr="00EB5D13" w:rsidRDefault="002D416A" w:rsidP="002D416A">
      <w:pPr>
        <w:pStyle w:val="ListParagraph"/>
        <w:rPr>
          <w:rFonts w:ascii="Arial" w:hAnsi="Arial" w:cs="Arial"/>
          <w:lang w:val="en-US"/>
        </w:rPr>
      </w:pPr>
    </w:p>
    <w:p w14:paraId="0ACA4FA6" w14:textId="41D80A99" w:rsidR="002D416A" w:rsidRDefault="002D416A" w:rsidP="008D6959">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first defendant is given leave to defend the remainder of the plaintiff’s claim</w:t>
      </w:r>
      <w:r w:rsidR="00ED06E4">
        <w:rPr>
          <w:rFonts w:ascii="Arial" w:hAnsi="Arial" w:cs="Arial"/>
          <w:lang w:val="en-US"/>
        </w:rPr>
        <w:t>s</w:t>
      </w:r>
      <w:r w:rsidR="006F2B3F">
        <w:rPr>
          <w:rFonts w:ascii="Arial" w:hAnsi="Arial" w:cs="Arial"/>
          <w:lang w:val="en-US"/>
        </w:rPr>
        <w:t xml:space="preserve">, </w:t>
      </w:r>
      <w:r>
        <w:rPr>
          <w:rFonts w:ascii="Arial" w:hAnsi="Arial" w:cs="Arial"/>
          <w:lang w:val="en-US"/>
        </w:rPr>
        <w:t xml:space="preserve">interest </w:t>
      </w:r>
      <w:r w:rsidR="006F2B3F">
        <w:rPr>
          <w:rFonts w:ascii="Arial" w:hAnsi="Arial" w:cs="Arial"/>
          <w:lang w:val="en-US"/>
        </w:rPr>
        <w:t xml:space="preserve">and costs </w:t>
      </w:r>
      <w:r>
        <w:rPr>
          <w:rFonts w:ascii="Arial" w:hAnsi="Arial" w:cs="Arial"/>
          <w:lang w:val="en-US"/>
        </w:rPr>
        <w:t>thereon.</w:t>
      </w:r>
    </w:p>
    <w:p w14:paraId="0E5E504D" w14:textId="77777777" w:rsidR="002D416A" w:rsidRPr="003424E1" w:rsidRDefault="002D416A" w:rsidP="002D416A">
      <w:pPr>
        <w:pStyle w:val="ListParagraph"/>
        <w:rPr>
          <w:rFonts w:ascii="Arial" w:hAnsi="Arial" w:cs="Arial"/>
          <w:lang w:val="en-US"/>
        </w:rPr>
      </w:pPr>
    </w:p>
    <w:p w14:paraId="533B47E7" w14:textId="77777777" w:rsidR="002D416A" w:rsidRDefault="002D416A" w:rsidP="008D6959">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parties shall file a further case plan on or before 11 April 2024.</w:t>
      </w:r>
    </w:p>
    <w:p w14:paraId="24425005" w14:textId="77777777" w:rsidR="002D416A" w:rsidRPr="00EB5D13" w:rsidRDefault="002D416A" w:rsidP="002D416A">
      <w:pPr>
        <w:pStyle w:val="ListParagraph"/>
        <w:rPr>
          <w:rFonts w:ascii="Arial" w:hAnsi="Arial" w:cs="Arial"/>
          <w:lang w:val="en-US"/>
        </w:rPr>
      </w:pPr>
    </w:p>
    <w:p w14:paraId="479CACFE" w14:textId="327B0DB0" w:rsidR="006F2B3F" w:rsidRDefault="002D416A" w:rsidP="006F2B3F">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matter is postponed to 17 April 2024 at 08:30 for a further case planning conference</w:t>
      </w:r>
      <w:r w:rsidR="003B4713">
        <w:rPr>
          <w:rFonts w:ascii="Arial" w:hAnsi="Arial" w:cs="Arial"/>
          <w:lang w:val="en-US"/>
        </w:rPr>
        <w:t>.</w:t>
      </w:r>
    </w:p>
    <w:p w14:paraId="508732E9" w14:textId="77777777" w:rsidR="00BB6FC4" w:rsidRDefault="00BB6FC4" w:rsidP="00BB6FC4">
      <w:pPr>
        <w:pStyle w:val="ListParagraph"/>
        <w:spacing w:line="360" w:lineRule="auto"/>
        <w:ind w:left="0"/>
        <w:jc w:val="both"/>
        <w:rPr>
          <w:rFonts w:ascii="Arial" w:hAnsi="Arial" w:cs="Arial"/>
          <w:lang w:val="en-US"/>
        </w:rPr>
      </w:pPr>
    </w:p>
    <w:p w14:paraId="3922F6BE" w14:textId="77777777" w:rsidR="00D55FB9" w:rsidRPr="003B4713" w:rsidRDefault="00D55FB9" w:rsidP="00BB6FC4">
      <w:pPr>
        <w:pStyle w:val="ListParagraph"/>
        <w:spacing w:line="360" w:lineRule="auto"/>
        <w:ind w:left="0"/>
        <w:jc w:val="both"/>
        <w:rPr>
          <w:rFonts w:ascii="Arial" w:hAnsi="Arial" w:cs="Arial"/>
          <w:lang w:val="en-US"/>
        </w:rPr>
      </w:pP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lastRenderedPageBreak/>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4FA4534B" w:rsidR="00010077" w:rsidRDefault="00010077" w:rsidP="00010077">
      <w:pPr>
        <w:spacing w:line="360" w:lineRule="auto"/>
        <w:jc w:val="center"/>
        <w:rPr>
          <w:rFonts w:ascii="Arial" w:hAnsi="Arial" w:cs="Arial"/>
          <w:b/>
          <w:bCs/>
          <w:lang w:val="en-US"/>
        </w:rPr>
      </w:pPr>
      <w:r w:rsidRPr="008D6959">
        <w:rPr>
          <w:rFonts w:ascii="Arial" w:hAnsi="Arial" w:cs="Arial"/>
          <w:b/>
          <w:bCs/>
          <w:lang w:val="en-US"/>
        </w:rPr>
        <w:t>JUDGMENT</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05325D21" w14:textId="77777777" w:rsidR="00732411" w:rsidRDefault="004E5F07" w:rsidP="00732411">
      <w:pPr>
        <w:pStyle w:val="ListParagraph"/>
        <w:spacing w:line="360" w:lineRule="auto"/>
        <w:ind w:left="0"/>
        <w:jc w:val="both"/>
        <w:rPr>
          <w:rFonts w:ascii="Arial" w:hAnsi="Arial" w:cs="Arial"/>
          <w:lang w:val="en-US"/>
        </w:rPr>
      </w:pPr>
      <w:r>
        <w:rPr>
          <w:rFonts w:ascii="Arial" w:hAnsi="Arial" w:cs="Arial"/>
          <w:lang w:val="en-US"/>
        </w:rPr>
        <w:t>DE JAGER AJ:</w:t>
      </w:r>
    </w:p>
    <w:p w14:paraId="782B5C2E" w14:textId="77777777" w:rsidR="00732411" w:rsidRPr="00732411" w:rsidRDefault="00732411" w:rsidP="00732411">
      <w:pPr>
        <w:pStyle w:val="ListParagraph"/>
        <w:rPr>
          <w:rFonts w:ascii="Arial" w:eastAsia="Calibri" w:hAnsi="Arial" w:cs="Arial"/>
          <w:bCs/>
        </w:rPr>
      </w:pPr>
    </w:p>
    <w:p w14:paraId="0B248D0F" w14:textId="327C3C76" w:rsidR="00732411" w:rsidRDefault="008322BD" w:rsidP="00732411">
      <w:pPr>
        <w:pStyle w:val="ListParagraph"/>
        <w:spacing w:line="360" w:lineRule="auto"/>
        <w:ind w:left="0"/>
        <w:jc w:val="both"/>
        <w:rPr>
          <w:rFonts w:ascii="Arial" w:hAnsi="Arial" w:cs="Arial"/>
          <w:lang w:val="en-US"/>
        </w:rPr>
      </w:pPr>
      <w:r w:rsidRPr="00732411">
        <w:rPr>
          <w:rFonts w:ascii="Arial" w:hAnsi="Arial" w:cs="Arial"/>
          <w:u w:val="single"/>
          <w:lang w:val="en-US"/>
        </w:rPr>
        <w:t>Introduction</w:t>
      </w:r>
    </w:p>
    <w:p w14:paraId="1444215D" w14:textId="77777777" w:rsidR="00732411" w:rsidRPr="00732411" w:rsidRDefault="00732411" w:rsidP="00732411">
      <w:pPr>
        <w:pStyle w:val="ListParagraph"/>
        <w:rPr>
          <w:rFonts w:ascii="Arial" w:eastAsia="Calibri" w:hAnsi="Arial" w:cs="Arial"/>
          <w:bCs/>
        </w:rPr>
      </w:pPr>
    </w:p>
    <w:p w14:paraId="5D44FD17" w14:textId="77777777" w:rsidR="0098304F" w:rsidRPr="00300CC3" w:rsidRDefault="00FE31BC" w:rsidP="0098304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plaintiff seeks summary judgment against the first defendant. </w:t>
      </w:r>
      <w:r w:rsidR="00D54C1B" w:rsidRPr="00730509">
        <w:rPr>
          <w:rFonts w:ascii="Arial" w:hAnsi="Arial" w:cs="Arial"/>
          <w:lang w:val="en-US"/>
        </w:rPr>
        <w:t xml:space="preserve">The </w:t>
      </w:r>
      <w:r>
        <w:rPr>
          <w:rFonts w:ascii="Arial" w:hAnsi="Arial" w:cs="Arial"/>
          <w:lang w:val="en-US"/>
        </w:rPr>
        <w:t>summary judgment application filed of record is for</w:t>
      </w:r>
      <w:r w:rsidR="00300CC3">
        <w:rPr>
          <w:rFonts w:ascii="Arial" w:hAnsi="Arial" w:cs="Arial"/>
          <w:lang w:val="en-US"/>
        </w:rPr>
        <w:t>:</w:t>
      </w:r>
    </w:p>
    <w:p w14:paraId="3AAE3F9C" w14:textId="77777777" w:rsidR="0098304F" w:rsidRPr="00D54C1B" w:rsidRDefault="0098304F" w:rsidP="0098304F">
      <w:pPr>
        <w:pStyle w:val="ListParagraph"/>
        <w:rPr>
          <w:rFonts w:ascii="Arial" w:hAnsi="Arial" w:cs="Arial"/>
          <w:lang w:val="en-US"/>
        </w:rPr>
      </w:pPr>
    </w:p>
    <w:p w14:paraId="2B04136F" w14:textId="1628D825" w:rsidR="00ED06E4" w:rsidRPr="00ED06E4" w:rsidRDefault="00ED06E4" w:rsidP="00ED06E4">
      <w:pPr>
        <w:pStyle w:val="ListParagraph"/>
        <w:numPr>
          <w:ilvl w:val="0"/>
          <w:numId w:val="16"/>
        </w:numPr>
        <w:spacing w:line="360" w:lineRule="auto"/>
        <w:ind w:left="0" w:firstLine="0"/>
        <w:jc w:val="both"/>
        <w:rPr>
          <w:rFonts w:ascii="Arial" w:hAnsi="Arial" w:cs="Arial"/>
          <w:lang w:val="en-US"/>
        </w:rPr>
      </w:pPr>
      <w:r>
        <w:rPr>
          <w:rFonts w:ascii="Arial" w:hAnsi="Arial" w:cs="Arial"/>
          <w:lang w:val="en-US"/>
        </w:rPr>
        <w:t xml:space="preserve">Payment of </w:t>
      </w:r>
      <w:r w:rsidR="00D54C1B" w:rsidRPr="00300CC3">
        <w:rPr>
          <w:rFonts w:ascii="Arial" w:hAnsi="Arial" w:cs="Arial"/>
          <w:lang w:val="en-US"/>
        </w:rPr>
        <w:t>N$</w:t>
      </w:r>
      <w:r w:rsidR="00FE31BC" w:rsidRPr="00300CC3">
        <w:rPr>
          <w:rFonts w:ascii="Arial" w:hAnsi="Arial" w:cs="Arial"/>
          <w:lang w:val="en-US"/>
        </w:rPr>
        <w:t>9 161 373,28</w:t>
      </w:r>
      <w:r>
        <w:rPr>
          <w:rFonts w:ascii="Arial" w:hAnsi="Arial" w:cs="Arial"/>
          <w:lang w:val="en-US"/>
        </w:rPr>
        <w:t xml:space="preserve"> together with c</w:t>
      </w:r>
      <w:r w:rsidR="00D54C1B" w:rsidRPr="00ED06E4">
        <w:rPr>
          <w:rFonts w:ascii="Arial" w:hAnsi="Arial" w:cs="Arial"/>
          <w:lang w:val="en-US"/>
        </w:rPr>
        <w:t xml:space="preserve">ompound interest on each </w:t>
      </w:r>
      <w:r w:rsidR="00300CC3" w:rsidRPr="00ED06E4">
        <w:rPr>
          <w:rFonts w:ascii="Arial" w:hAnsi="Arial" w:cs="Arial"/>
          <w:lang w:val="en-US"/>
        </w:rPr>
        <w:t xml:space="preserve">constituent </w:t>
      </w:r>
      <w:r w:rsidR="00D54C1B" w:rsidRPr="00ED06E4">
        <w:rPr>
          <w:rFonts w:ascii="Arial" w:hAnsi="Arial" w:cs="Arial"/>
          <w:lang w:val="en-US"/>
        </w:rPr>
        <w:t xml:space="preserve">amount contained in POC3 to the particulars of claim at the prime lending rate from time to time plus 4% per </w:t>
      </w:r>
      <w:r w:rsidR="00300CC3" w:rsidRPr="00ED06E4">
        <w:rPr>
          <w:rFonts w:ascii="Arial" w:hAnsi="Arial" w:cs="Arial"/>
          <w:lang w:val="en-US"/>
        </w:rPr>
        <w:t>annum</w:t>
      </w:r>
      <w:r w:rsidR="00D54C1B" w:rsidRPr="00ED06E4">
        <w:rPr>
          <w:rFonts w:ascii="Arial" w:hAnsi="Arial" w:cs="Arial"/>
          <w:lang w:val="en-US"/>
        </w:rPr>
        <w:t xml:space="preserve"> from </w:t>
      </w:r>
      <w:r w:rsidR="00300CC3" w:rsidRPr="00ED06E4">
        <w:rPr>
          <w:rFonts w:ascii="Arial" w:hAnsi="Arial" w:cs="Arial"/>
          <w:lang w:val="en-US"/>
        </w:rPr>
        <w:t xml:space="preserve">when </w:t>
      </w:r>
      <w:r w:rsidR="00567803">
        <w:rPr>
          <w:rFonts w:ascii="Arial" w:hAnsi="Arial" w:cs="Arial"/>
          <w:lang w:val="en-US"/>
        </w:rPr>
        <w:t>each constituent</w:t>
      </w:r>
      <w:r w:rsidR="00300CC3" w:rsidRPr="00ED06E4">
        <w:rPr>
          <w:rFonts w:ascii="Arial" w:hAnsi="Arial" w:cs="Arial"/>
          <w:lang w:val="en-US"/>
        </w:rPr>
        <w:t xml:space="preserve"> </w:t>
      </w:r>
      <w:r w:rsidR="00D54C1B" w:rsidRPr="00ED06E4">
        <w:rPr>
          <w:rFonts w:ascii="Arial" w:hAnsi="Arial" w:cs="Arial"/>
          <w:lang w:val="en-US"/>
        </w:rPr>
        <w:t>amount became due until</w:t>
      </w:r>
      <w:r w:rsidR="00300CC3" w:rsidRPr="00ED06E4">
        <w:rPr>
          <w:rFonts w:ascii="Arial" w:hAnsi="Arial" w:cs="Arial"/>
          <w:lang w:val="en-US"/>
        </w:rPr>
        <w:t xml:space="preserve"> </w:t>
      </w:r>
      <w:r w:rsidR="00567803">
        <w:rPr>
          <w:rFonts w:ascii="Arial" w:hAnsi="Arial" w:cs="Arial"/>
          <w:lang w:val="en-US"/>
        </w:rPr>
        <w:t xml:space="preserve">the </w:t>
      </w:r>
      <w:r w:rsidR="00D54C1B" w:rsidRPr="00ED06E4">
        <w:rPr>
          <w:rFonts w:ascii="Arial" w:hAnsi="Arial" w:cs="Arial"/>
          <w:lang w:val="en-US"/>
        </w:rPr>
        <w:t>date of payment (including interest exceeding N$75</w:t>
      </w:r>
      <w:r w:rsidR="00FE31BC" w:rsidRPr="00ED06E4">
        <w:rPr>
          <w:rFonts w:ascii="Arial" w:hAnsi="Arial" w:cs="Arial"/>
          <w:lang w:val="en-US"/>
        </w:rPr>
        <w:t xml:space="preserve"> </w:t>
      </w:r>
      <w:r w:rsidR="00D54C1B" w:rsidRPr="00ED06E4">
        <w:rPr>
          <w:rFonts w:ascii="Arial" w:hAnsi="Arial" w:cs="Arial"/>
          <w:lang w:val="en-US"/>
        </w:rPr>
        <w:t xml:space="preserve">000 per month </w:t>
      </w:r>
      <w:r w:rsidR="00300CC3" w:rsidRPr="00ED06E4">
        <w:rPr>
          <w:rFonts w:ascii="Arial" w:hAnsi="Arial" w:cs="Arial"/>
          <w:lang w:val="en-US"/>
        </w:rPr>
        <w:t>for</w:t>
      </w:r>
      <w:r w:rsidR="00D54C1B" w:rsidRPr="00ED06E4">
        <w:rPr>
          <w:rFonts w:ascii="Arial" w:hAnsi="Arial" w:cs="Arial"/>
          <w:lang w:val="en-US"/>
        </w:rPr>
        <w:t xml:space="preserve"> 21 May 2022 to 21 November 2022</w:t>
      </w:r>
      <w:r w:rsidR="00300CC3" w:rsidRPr="00ED06E4">
        <w:rPr>
          <w:rFonts w:ascii="Arial" w:hAnsi="Arial" w:cs="Arial"/>
          <w:lang w:val="en-US"/>
        </w:rPr>
        <w:t>)</w:t>
      </w:r>
      <w:r w:rsidRPr="00ED06E4">
        <w:rPr>
          <w:rFonts w:ascii="Arial" w:hAnsi="Arial" w:cs="Arial"/>
          <w:lang w:val="en-US"/>
        </w:rPr>
        <w:t>.</w:t>
      </w:r>
    </w:p>
    <w:p w14:paraId="566A5740" w14:textId="77777777" w:rsidR="00ED06E4" w:rsidRPr="00ED06E4" w:rsidRDefault="00ED06E4" w:rsidP="00ED06E4">
      <w:pPr>
        <w:pStyle w:val="ListParagraph"/>
        <w:ind w:left="0"/>
        <w:rPr>
          <w:rFonts w:ascii="Arial" w:hAnsi="Arial" w:cs="Arial"/>
          <w:lang w:val="en-US"/>
        </w:rPr>
      </w:pPr>
    </w:p>
    <w:p w14:paraId="0082C884" w14:textId="3BE08D3A" w:rsidR="00ED06E4" w:rsidRDefault="00ED06E4" w:rsidP="00ED06E4">
      <w:pPr>
        <w:pStyle w:val="ListParagraph"/>
        <w:numPr>
          <w:ilvl w:val="0"/>
          <w:numId w:val="16"/>
        </w:numPr>
        <w:spacing w:line="360" w:lineRule="auto"/>
        <w:ind w:left="0" w:firstLine="0"/>
        <w:jc w:val="both"/>
        <w:rPr>
          <w:rFonts w:ascii="Arial" w:hAnsi="Arial" w:cs="Arial"/>
          <w:lang w:val="en-US"/>
        </w:rPr>
      </w:pPr>
      <w:r>
        <w:rPr>
          <w:rFonts w:ascii="Arial" w:hAnsi="Arial" w:cs="Arial"/>
          <w:lang w:val="en-US"/>
        </w:rPr>
        <w:t xml:space="preserve">Payment of </w:t>
      </w:r>
      <w:r w:rsidR="00D54C1B" w:rsidRPr="00300CC3">
        <w:rPr>
          <w:rFonts w:ascii="Arial" w:hAnsi="Arial" w:cs="Arial"/>
          <w:lang w:val="en-US"/>
        </w:rPr>
        <w:t>N$133</w:t>
      </w:r>
      <w:r w:rsidR="00FE31BC" w:rsidRPr="00300CC3">
        <w:rPr>
          <w:rFonts w:ascii="Arial" w:hAnsi="Arial" w:cs="Arial"/>
          <w:lang w:val="en-US"/>
        </w:rPr>
        <w:t xml:space="preserve"> </w:t>
      </w:r>
      <w:r w:rsidR="00D54C1B" w:rsidRPr="00300CC3">
        <w:rPr>
          <w:rFonts w:ascii="Arial" w:hAnsi="Arial" w:cs="Arial"/>
          <w:lang w:val="en-US"/>
        </w:rPr>
        <w:t>969</w:t>
      </w:r>
      <w:r>
        <w:rPr>
          <w:rFonts w:ascii="Arial" w:hAnsi="Arial" w:cs="Arial"/>
          <w:lang w:val="en-US"/>
        </w:rPr>
        <w:t xml:space="preserve"> together with </w:t>
      </w:r>
      <w:r w:rsidR="00300CC3">
        <w:rPr>
          <w:rFonts w:ascii="Arial" w:hAnsi="Arial" w:cs="Arial"/>
          <w:lang w:val="en-US"/>
        </w:rPr>
        <w:t>s</w:t>
      </w:r>
      <w:r w:rsidR="00D54C1B" w:rsidRPr="00300CC3">
        <w:rPr>
          <w:rFonts w:ascii="Arial" w:hAnsi="Arial" w:cs="Arial"/>
          <w:lang w:val="en-US"/>
        </w:rPr>
        <w:t xml:space="preserve">imple interest </w:t>
      </w:r>
      <w:r w:rsidR="00300CC3">
        <w:rPr>
          <w:rFonts w:ascii="Arial" w:hAnsi="Arial" w:cs="Arial"/>
          <w:lang w:val="en-US"/>
        </w:rPr>
        <w:t xml:space="preserve">thereon </w:t>
      </w:r>
      <w:r w:rsidR="00D54C1B" w:rsidRPr="00300CC3">
        <w:rPr>
          <w:rFonts w:ascii="Arial" w:hAnsi="Arial" w:cs="Arial"/>
          <w:lang w:val="en-US"/>
        </w:rPr>
        <w:t xml:space="preserve">at 20% per annum from service of </w:t>
      </w:r>
      <w:r w:rsidR="00567803">
        <w:rPr>
          <w:rFonts w:ascii="Arial" w:hAnsi="Arial" w:cs="Arial"/>
          <w:lang w:val="en-US"/>
        </w:rPr>
        <w:t xml:space="preserve">the </w:t>
      </w:r>
      <w:r w:rsidR="00D54C1B" w:rsidRPr="00300CC3">
        <w:rPr>
          <w:rFonts w:ascii="Arial" w:hAnsi="Arial" w:cs="Arial"/>
          <w:lang w:val="en-US"/>
        </w:rPr>
        <w:t xml:space="preserve">summons </w:t>
      </w:r>
      <w:r w:rsidR="00300CC3">
        <w:rPr>
          <w:rFonts w:ascii="Arial" w:hAnsi="Arial" w:cs="Arial"/>
          <w:lang w:val="en-US"/>
        </w:rPr>
        <w:t>to</w:t>
      </w:r>
      <w:r w:rsidR="00D54C1B" w:rsidRPr="00300CC3">
        <w:rPr>
          <w:rFonts w:ascii="Arial" w:hAnsi="Arial" w:cs="Arial"/>
          <w:lang w:val="en-US"/>
        </w:rPr>
        <w:t xml:space="preserve"> date of payment</w:t>
      </w:r>
      <w:r>
        <w:rPr>
          <w:rFonts w:ascii="Arial" w:hAnsi="Arial" w:cs="Arial"/>
          <w:lang w:val="en-US"/>
        </w:rPr>
        <w:t>.</w:t>
      </w:r>
    </w:p>
    <w:p w14:paraId="34531232" w14:textId="77777777" w:rsidR="00ED06E4" w:rsidRPr="00ED06E4" w:rsidRDefault="00ED06E4" w:rsidP="00ED06E4">
      <w:pPr>
        <w:pStyle w:val="ListParagraph"/>
        <w:rPr>
          <w:rFonts w:ascii="Arial" w:hAnsi="Arial" w:cs="Arial"/>
          <w:lang w:val="en-US"/>
        </w:rPr>
      </w:pPr>
    </w:p>
    <w:p w14:paraId="0A7888B8" w14:textId="385BC04E" w:rsidR="00ED06E4" w:rsidRDefault="00ED06E4" w:rsidP="00ED06E4">
      <w:pPr>
        <w:pStyle w:val="ListParagraph"/>
        <w:numPr>
          <w:ilvl w:val="0"/>
          <w:numId w:val="16"/>
        </w:numPr>
        <w:spacing w:line="360" w:lineRule="auto"/>
        <w:ind w:left="0" w:firstLine="0"/>
        <w:jc w:val="both"/>
        <w:rPr>
          <w:rFonts w:ascii="Arial" w:hAnsi="Arial" w:cs="Arial"/>
          <w:lang w:val="en-US"/>
        </w:rPr>
      </w:pPr>
      <w:r>
        <w:rPr>
          <w:rFonts w:ascii="Arial" w:hAnsi="Arial" w:cs="Arial"/>
          <w:lang w:val="en-US"/>
        </w:rPr>
        <w:t>Declaring</w:t>
      </w:r>
      <w:r w:rsidR="00567803">
        <w:rPr>
          <w:rFonts w:ascii="Arial" w:hAnsi="Arial" w:cs="Arial"/>
          <w:lang w:val="en-US"/>
        </w:rPr>
        <w:t xml:space="preserve"> certain</w:t>
      </w:r>
      <w:r>
        <w:rPr>
          <w:rFonts w:ascii="Arial" w:hAnsi="Arial" w:cs="Arial"/>
          <w:lang w:val="en-US"/>
        </w:rPr>
        <w:t xml:space="preserve"> </w:t>
      </w:r>
      <w:r w:rsidR="00D54C1B" w:rsidRPr="00300CC3">
        <w:rPr>
          <w:rFonts w:ascii="Arial" w:hAnsi="Arial" w:cs="Arial"/>
          <w:lang w:val="en-US"/>
        </w:rPr>
        <w:t>immovable property executable</w:t>
      </w:r>
      <w:r>
        <w:rPr>
          <w:rFonts w:ascii="Arial" w:hAnsi="Arial" w:cs="Arial"/>
          <w:lang w:val="en-US"/>
        </w:rPr>
        <w:t>.</w:t>
      </w:r>
    </w:p>
    <w:p w14:paraId="4D219F1C" w14:textId="77777777" w:rsidR="00ED06E4" w:rsidRPr="00ED06E4" w:rsidRDefault="00ED06E4" w:rsidP="00ED06E4">
      <w:pPr>
        <w:pStyle w:val="ListParagraph"/>
        <w:rPr>
          <w:rFonts w:ascii="Arial" w:hAnsi="Arial" w:cs="Arial"/>
          <w:lang w:val="en-US"/>
        </w:rPr>
      </w:pPr>
    </w:p>
    <w:p w14:paraId="70C0D032" w14:textId="6BC68C0F" w:rsidR="00D54C1B" w:rsidRPr="00300CC3" w:rsidRDefault="00ED06E4" w:rsidP="00ED06E4">
      <w:pPr>
        <w:pStyle w:val="ListParagraph"/>
        <w:numPr>
          <w:ilvl w:val="0"/>
          <w:numId w:val="16"/>
        </w:numPr>
        <w:spacing w:line="360" w:lineRule="auto"/>
        <w:ind w:left="0" w:firstLine="0"/>
        <w:jc w:val="both"/>
        <w:rPr>
          <w:rFonts w:ascii="Arial" w:hAnsi="Arial" w:cs="Arial"/>
          <w:lang w:val="en-US"/>
        </w:rPr>
      </w:pPr>
      <w:r>
        <w:rPr>
          <w:rFonts w:ascii="Arial" w:hAnsi="Arial" w:cs="Arial"/>
          <w:lang w:val="en-US"/>
        </w:rPr>
        <w:t>C</w:t>
      </w:r>
      <w:r w:rsidR="00D54C1B" w:rsidRPr="00300CC3">
        <w:rPr>
          <w:rFonts w:ascii="Arial" w:hAnsi="Arial" w:cs="Arial"/>
          <w:lang w:val="en-US"/>
        </w:rPr>
        <w:t xml:space="preserve">osts on </w:t>
      </w:r>
      <w:r w:rsidR="00300CC3">
        <w:rPr>
          <w:rFonts w:ascii="Arial" w:hAnsi="Arial" w:cs="Arial"/>
          <w:lang w:val="en-US"/>
        </w:rPr>
        <w:t>an</w:t>
      </w:r>
      <w:r w:rsidR="00D54C1B" w:rsidRPr="00300CC3">
        <w:rPr>
          <w:rFonts w:ascii="Arial" w:hAnsi="Arial" w:cs="Arial"/>
          <w:lang w:val="en-US"/>
        </w:rPr>
        <w:t xml:space="preserve"> attorney</w:t>
      </w:r>
      <w:r w:rsidR="00300CC3">
        <w:rPr>
          <w:rFonts w:ascii="Arial" w:hAnsi="Arial" w:cs="Arial"/>
          <w:lang w:val="en-US"/>
        </w:rPr>
        <w:t xml:space="preserve"> </w:t>
      </w:r>
      <w:r w:rsidR="00D54C1B" w:rsidRPr="00300CC3">
        <w:rPr>
          <w:rFonts w:ascii="Arial" w:hAnsi="Arial" w:cs="Arial"/>
          <w:lang w:val="en-US"/>
        </w:rPr>
        <w:t>own client</w:t>
      </w:r>
      <w:r w:rsidR="00300CC3">
        <w:rPr>
          <w:rFonts w:ascii="Arial" w:hAnsi="Arial" w:cs="Arial"/>
          <w:lang w:val="en-US"/>
        </w:rPr>
        <w:t xml:space="preserve"> scale</w:t>
      </w:r>
      <w:r w:rsidR="00567803">
        <w:rPr>
          <w:rFonts w:ascii="Arial" w:hAnsi="Arial" w:cs="Arial"/>
          <w:lang w:val="en-US"/>
        </w:rPr>
        <w:t>,</w:t>
      </w:r>
      <w:r w:rsidR="00300CC3">
        <w:rPr>
          <w:rFonts w:ascii="Arial" w:hAnsi="Arial" w:cs="Arial"/>
          <w:lang w:val="en-US"/>
        </w:rPr>
        <w:t xml:space="preserve"> </w:t>
      </w:r>
      <w:r w:rsidR="00D54C1B" w:rsidRPr="00300CC3">
        <w:rPr>
          <w:rFonts w:ascii="Arial" w:hAnsi="Arial" w:cs="Arial"/>
          <w:lang w:val="en-US"/>
        </w:rPr>
        <w:t>includ</w:t>
      </w:r>
      <w:r w:rsidR="00300CC3">
        <w:rPr>
          <w:rFonts w:ascii="Arial" w:hAnsi="Arial" w:cs="Arial"/>
          <w:lang w:val="en-US"/>
        </w:rPr>
        <w:t>ing</w:t>
      </w:r>
      <w:r w:rsidR="00D54C1B" w:rsidRPr="00300CC3">
        <w:rPr>
          <w:rFonts w:ascii="Arial" w:hAnsi="Arial" w:cs="Arial"/>
          <w:lang w:val="en-US"/>
        </w:rPr>
        <w:t xml:space="preserve"> </w:t>
      </w:r>
      <w:r>
        <w:rPr>
          <w:rFonts w:ascii="Arial" w:hAnsi="Arial" w:cs="Arial"/>
          <w:lang w:val="en-US"/>
        </w:rPr>
        <w:t xml:space="preserve">costs of </w:t>
      </w:r>
      <w:r w:rsidR="00D54C1B" w:rsidRPr="00300CC3">
        <w:rPr>
          <w:rFonts w:ascii="Arial" w:hAnsi="Arial" w:cs="Arial"/>
          <w:lang w:val="en-US"/>
        </w:rPr>
        <w:t>one instructing and one instructed counsel.</w:t>
      </w:r>
    </w:p>
    <w:p w14:paraId="30000F44" w14:textId="77777777" w:rsidR="00D54C1B" w:rsidRPr="00D54C1B" w:rsidRDefault="00D54C1B" w:rsidP="00D54C1B">
      <w:pPr>
        <w:pStyle w:val="ListParagraph"/>
        <w:rPr>
          <w:rFonts w:ascii="Arial" w:hAnsi="Arial" w:cs="Arial"/>
          <w:lang w:val="en-US"/>
        </w:rPr>
      </w:pPr>
    </w:p>
    <w:p w14:paraId="52D0C33F" w14:textId="6E324643" w:rsidR="00ED06E4" w:rsidRPr="00D54C1B" w:rsidRDefault="00D54C1B" w:rsidP="00ED06E4">
      <w:pPr>
        <w:pStyle w:val="ListParagraph"/>
        <w:numPr>
          <w:ilvl w:val="0"/>
          <w:numId w:val="2"/>
        </w:numPr>
        <w:spacing w:line="360" w:lineRule="auto"/>
        <w:ind w:left="0" w:firstLine="0"/>
        <w:jc w:val="both"/>
        <w:rPr>
          <w:rFonts w:ascii="Arial" w:hAnsi="Arial" w:cs="Arial"/>
          <w:lang w:val="en-US"/>
        </w:rPr>
      </w:pPr>
      <w:r w:rsidRPr="00732411">
        <w:rPr>
          <w:rFonts w:ascii="Arial" w:hAnsi="Arial" w:cs="Arial"/>
          <w:lang w:val="en-US"/>
        </w:rPr>
        <w:t>No relief is sought against the second defendant</w:t>
      </w:r>
      <w:r w:rsidR="00567803">
        <w:rPr>
          <w:rFonts w:ascii="Arial" w:hAnsi="Arial" w:cs="Arial"/>
          <w:lang w:val="en-US"/>
        </w:rPr>
        <w:t>, who was cited in so</w:t>
      </w:r>
      <w:r w:rsidRPr="00732411">
        <w:rPr>
          <w:rFonts w:ascii="Arial" w:hAnsi="Arial" w:cs="Arial"/>
          <w:lang w:val="en-US"/>
        </w:rPr>
        <w:t xml:space="preserve"> far as it may have an interest in the matter</w:t>
      </w:r>
      <w:r w:rsidR="00D437D0">
        <w:rPr>
          <w:rFonts w:ascii="Arial" w:hAnsi="Arial" w:cs="Arial"/>
          <w:lang w:val="en-US"/>
        </w:rPr>
        <w:t xml:space="preserve">. </w:t>
      </w:r>
    </w:p>
    <w:p w14:paraId="2DDF312A" w14:textId="77777777" w:rsidR="00ED06E4" w:rsidRPr="004E5F07" w:rsidRDefault="00ED06E4" w:rsidP="00ED06E4">
      <w:pPr>
        <w:pStyle w:val="ListParagraph"/>
        <w:rPr>
          <w:rFonts w:ascii="Arial" w:hAnsi="Arial" w:cs="Arial"/>
          <w:lang w:val="en-US"/>
        </w:rPr>
      </w:pPr>
    </w:p>
    <w:p w14:paraId="01ED4D65" w14:textId="77777777" w:rsidR="00ED06E4" w:rsidRDefault="006F2B3F" w:rsidP="00ED06E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For the summary judgment application, c</w:t>
      </w:r>
      <w:r w:rsidR="00D54C1B">
        <w:rPr>
          <w:rFonts w:ascii="Arial" w:hAnsi="Arial" w:cs="Arial"/>
          <w:lang w:val="en-US"/>
        </w:rPr>
        <w:t xml:space="preserve">osts </w:t>
      </w:r>
      <w:r w:rsidR="00A273EC">
        <w:rPr>
          <w:rFonts w:ascii="Arial" w:hAnsi="Arial" w:cs="Arial"/>
          <w:lang w:val="en-US"/>
        </w:rPr>
        <w:t>more than</w:t>
      </w:r>
      <w:r w:rsidR="00D54C1B">
        <w:rPr>
          <w:rFonts w:ascii="Arial" w:hAnsi="Arial" w:cs="Arial"/>
          <w:lang w:val="en-US"/>
        </w:rPr>
        <w:t xml:space="preserve"> that provided in High Court r 32(11) are </w:t>
      </w:r>
      <w:r>
        <w:rPr>
          <w:rFonts w:ascii="Arial" w:hAnsi="Arial" w:cs="Arial"/>
          <w:lang w:val="en-US"/>
        </w:rPr>
        <w:t xml:space="preserve">not </w:t>
      </w:r>
      <w:r w:rsidR="00D54C1B">
        <w:rPr>
          <w:rFonts w:ascii="Arial" w:hAnsi="Arial" w:cs="Arial"/>
          <w:lang w:val="en-US"/>
        </w:rPr>
        <w:t>sought.</w:t>
      </w:r>
    </w:p>
    <w:p w14:paraId="07BED098" w14:textId="77777777" w:rsidR="00ED06E4" w:rsidRPr="00ED06E4" w:rsidRDefault="00ED06E4" w:rsidP="00ED06E4">
      <w:pPr>
        <w:pStyle w:val="ListParagraph"/>
        <w:rPr>
          <w:rFonts w:ascii="Arial" w:eastAsia="Calibri" w:hAnsi="Arial" w:cs="Arial"/>
          <w:bCs/>
        </w:rPr>
      </w:pPr>
    </w:p>
    <w:p w14:paraId="6052CFBD" w14:textId="77777777" w:rsidR="00ED06E4" w:rsidRDefault="00363C45" w:rsidP="00D54C1B">
      <w:pPr>
        <w:pStyle w:val="ListParagraph"/>
        <w:numPr>
          <w:ilvl w:val="0"/>
          <w:numId w:val="2"/>
        </w:numPr>
        <w:spacing w:line="360" w:lineRule="auto"/>
        <w:ind w:left="0" w:firstLine="0"/>
        <w:jc w:val="both"/>
        <w:rPr>
          <w:rFonts w:ascii="Arial" w:hAnsi="Arial" w:cs="Arial"/>
          <w:lang w:val="en-US"/>
        </w:rPr>
      </w:pPr>
      <w:r w:rsidRPr="00ED06E4">
        <w:rPr>
          <w:rFonts w:ascii="Arial" w:eastAsia="Calibri" w:hAnsi="Arial" w:cs="Arial"/>
          <w:bCs/>
        </w:rPr>
        <w:t>The summary judgment application is opposed</w:t>
      </w:r>
      <w:r w:rsidR="00730509" w:rsidRPr="00ED06E4">
        <w:rPr>
          <w:rFonts w:ascii="Arial" w:eastAsia="Calibri" w:hAnsi="Arial" w:cs="Arial"/>
          <w:bCs/>
        </w:rPr>
        <w:t xml:space="preserve"> on t</w:t>
      </w:r>
      <w:r w:rsidRPr="00ED06E4">
        <w:rPr>
          <w:rFonts w:ascii="Arial" w:eastAsia="Calibri" w:hAnsi="Arial" w:cs="Arial"/>
          <w:bCs/>
        </w:rPr>
        <w:t xml:space="preserve">he basis that the first defendant has </w:t>
      </w:r>
      <w:r w:rsidR="00D030AA" w:rsidRPr="00ED06E4">
        <w:rPr>
          <w:rFonts w:ascii="Arial" w:eastAsia="Calibri" w:hAnsi="Arial" w:cs="Arial"/>
          <w:bCs/>
        </w:rPr>
        <w:t xml:space="preserve">a </w:t>
      </w:r>
      <w:r w:rsidRPr="00ED06E4">
        <w:rPr>
          <w:rFonts w:ascii="Arial" w:eastAsia="Calibri" w:hAnsi="Arial" w:cs="Arial"/>
          <w:bCs/>
        </w:rPr>
        <w:t>bona fide defence</w:t>
      </w:r>
      <w:r w:rsidR="004E5F07" w:rsidRPr="00ED06E4">
        <w:rPr>
          <w:rFonts w:ascii="Arial" w:hAnsi="Arial" w:cs="Arial"/>
          <w:lang w:val="en-US"/>
        </w:rPr>
        <w:t>.</w:t>
      </w:r>
      <w:r w:rsidR="00ED06E4">
        <w:rPr>
          <w:rFonts w:ascii="Arial" w:hAnsi="Arial" w:cs="Arial"/>
          <w:lang w:val="en-US"/>
        </w:rPr>
        <w:t xml:space="preserve"> </w:t>
      </w:r>
      <w:r w:rsidR="00730509" w:rsidRPr="00ED06E4">
        <w:rPr>
          <w:rFonts w:ascii="Arial" w:eastAsia="Calibri" w:hAnsi="Arial" w:cs="Arial"/>
          <w:bCs/>
        </w:rPr>
        <w:t>There are no procedural issues</w:t>
      </w:r>
      <w:r w:rsidR="00200DDE" w:rsidRPr="00ED06E4">
        <w:rPr>
          <w:rFonts w:ascii="Arial" w:eastAsia="Calibri" w:hAnsi="Arial" w:cs="Arial"/>
          <w:bCs/>
        </w:rPr>
        <w:t xml:space="preserve"> (technical defences)</w:t>
      </w:r>
      <w:r w:rsidR="00730509" w:rsidRPr="00ED06E4">
        <w:rPr>
          <w:rFonts w:ascii="Arial" w:eastAsia="Calibri" w:hAnsi="Arial" w:cs="Arial"/>
          <w:bCs/>
        </w:rPr>
        <w:t xml:space="preserve"> regarding the summary judgment application</w:t>
      </w:r>
      <w:r w:rsidR="00730509" w:rsidRPr="00ED06E4">
        <w:rPr>
          <w:rFonts w:ascii="Arial" w:hAnsi="Arial" w:cs="Arial"/>
          <w:lang w:val="en-US"/>
        </w:rPr>
        <w:t>.</w:t>
      </w:r>
    </w:p>
    <w:p w14:paraId="50E3E62A" w14:textId="77777777" w:rsidR="00D55FB9" w:rsidRDefault="00D55FB9" w:rsidP="00ED06E4">
      <w:pPr>
        <w:pStyle w:val="ListParagraph"/>
        <w:spacing w:line="360" w:lineRule="auto"/>
        <w:ind w:left="0"/>
        <w:jc w:val="both"/>
        <w:rPr>
          <w:rFonts w:ascii="Arial" w:eastAsia="Calibri" w:hAnsi="Arial" w:cs="Arial"/>
          <w:bCs/>
          <w:u w:val="single"/>
        </w:rPr>
      </w:pPr>
    </w:p>
    <w:p w14:paraId="27154E30" w14:textId="77777777" w:rsidR="00D55FB9" w:rsidRDefault="00D55FB9" w:rsidP="00ED06E4">
      <w:pPr>
        <w:pStyle w:val="ListParagraph"/>
        <w:spacing w:line="360" w:lineRule="auto"/>
        <w:ind w:left="0"/>
        <w:jc w:val="both"/>
        <w:rPr>
          <w:rFonts w:ascii="Arial" w:eastAsia="Calibri" w:hAnsi="Arial" w:cs="Arial"/>
          <w:bCs/>
          <w:u w:val="single"/>
        </w:rPr>
      </w:pPr>
    </w:p>
    <w:p w14:paraId="0F7C42FF" w14:textId="5201B8A4" w:rsidR="00ED06E4" w:rsidRDefault="000C6C79" w:rsidP="00ED06E4">
      <w:pPr>
        <w:pStyle w:val="ListParagraph"/>
        <w:spacing w:line="360" w:lineRule="auto"/>
        <w:ind w:left="0"/>
        <w:jc w:val="both"/>
        <w:rPr>
          <w:rFonts w:ascii="Arial" w:hAnsi="Arial" w:cs="Arial"/>
          <w:lang w:val="en-US"/>
        </w:rPr>
      </w:pPr>
      <w:r w:rsidRPr="00ED06E4">
        <w:rPr>
          <w:rFonts w:ascii="Arial" w:eastAsia="Calibri" w:hAnsi="Arial" w:cs="Arial"/>
          <w:bCs/>
          <w:u w:val="single"/>
        </w:rPr>
        <w:lastRenderedPageBreak/>
        <w:t>The claims</w:t>
      </w:r>
    </w:p>
    <w:p w14:paraId="2D22D8E0" w14:textId="77777777" w:rsidR="00ED06E4" w:rsidRPr="00ED06E4" w:rsidRDefault="00ED06E4" w:rsidP="00ED06E4">
      <w:pPr>
        <w:pStyle w:val="ListParagraph"/>
        <w:rPr>
          <w:rFonts w:ascii="Arial" w:eastAsia="Calibri" w:hAnsi="Arial" w:cs="Arial"/>
          <w:bCs/>
        </w:rPr>
      </w:pPr>
    </w:p>
    <w:p w14:paraId="0AF9DE07" w14:textId="6D845CE5" w:rsidR="000C6C79" w:rsidRPr="00ED06E4" w:rsidRDefault="00D030AA" w:rsidP="00ED06E4">
      <w:pPr>
        <w:pStyle w:val="ListParagraph"/>
        <w:numPr>
          <w:ilvl w:val="0"/>
          <w:numId w:val="2"/>
        </w:numPr>
        <w:spacing w:line="360" w:lineRule="auto"/>
        <w:ind w:left="0" w:firstLine="0"/>
        <w:jc w:val="both"/>
        <w:rPr>
          <w:rFonts w:ascii="Arial" w:hAnsi="Arial" w:cs="Arial"/>
          <w:lang w:val="en-US"/>
        </w:rPr>
      </w:pPr>
      <w:r w:rsidRPr="00ED06E4">
        <w:rPr>
          <w:rFonts w:ascii="Arial" w:eastAsia="Calibri" w:hAnsi="Arial" w:cs="Arial"/>
          <w:bCs/>
        </w:rPr>
        <w:t>Apart from interest and costs, t</w:t>
      </w:r>
      <w:r w:rsidR="000C6C79" w:rsidRPr="00ED06E4">
        <w:rPr>
          <w:rFonts w:ascii="Arial" w:eastAsia="Calibri" w:hAnsi="Arial" w:cs="Arial"/>
          <w:bCs/>
        </w:rPr>
        <w:t xml:space="preserve">he </w:t>
      </w:r>
      <w:r w:rsidRPr="00ED06E4">
        <w:rPr>
          <w:rFonts w:ascii="Arial" w:eastAsia="Calibri" w:hAnsi="Arial" w:cs="Arial"/>
          <w:bCs/>
        </w:rPr>
        <w:t>plaintiff has three claims based on three causes of action. The first</w:t>
      </w:r>
      <w:r w:rsidR="00E65CF4">
        <w:rPr>
          <w:rFonts w:ascii="Arial" w:eastAsia="Calibri" w:hAnsi="Arial" w:cs="Arial"/>
          <w:bCs/>
        </w:rPr>
        <w:t xml:space="preserve"> claim</w:t>
      </w:r>
      <w:r w:rsidRPr="00ED06E4">
        <w:rPr>
          <w:rFonts w:ascii="Arial" w:eastAsia="Calibri" w:hAnsi="Arial" w:cs="Arial"/>
          <w:bCs/>
        </w:rPr>
        <w:t xml:space="preserve"> for N$9 161 373,28 </w:t>
      </w:r>
      <w:r w:rsidR="00E65CF4">
        <w:rPr>
          <w:rFonts w:ascii="Arial" w:eastAsia="Calibri" w:hAnsi="Arial" w:cs="Arial"/>
          <w:bCs/>
        </w:rPr>
        <w:t xml:space="preserve">is </w:t>
      </w:r>
      <w:r w:rsidRPr="00ED06E4">
        <w:rPr>
          <w:rFonts w:ascii="Arial" w:eastAsia="Calibri" w:hAnsi="Arial" w:cs="Arial"/>
          <w:bCs/>
        </w:rPr>
        <w:t xml:space="preserve">based </w:t>
      </w:r>
      <w:r w:rsidR="00B50590">
        <w:rPr>
          <w:rFonts w:ascii="Arial" w:eastAsia="Calibri" w:hAnsi="Arial" w:cs="Arial"/>
          <w:bCs/>
        </w:rPr>
        <w:t>o</w:t>
      </w:r>
      <w:r w:rsidRPr="00ED06E4">
        <w:rPr>
          <w:rFonts w:ascii="Arial" w:eastAsia="Calibri" w:hAnsi="Arial" w:cs="Arial"/>
          <w:bCs/>
        </w:rPr>
        <w:t xml:space="preserve">n </w:t>
      </w:r>
      <w:r w:rsidR="00E65CF4">
        <w:rPr>
          <w:rFonts w:ascii="Arial" w:eastAsia="Calibri" w:hAnsi="Arial" w:cs="Arial"/>
          <w:bCs/>
        </w:rPr>
        <w:t>breach of contract</w:t>
      </w:r>
      <w:r w:rsidRPr="00ED06E4">
        <w:rPr>
          <w:rFonts w:ascii="Arial" w:eastAsia="Calibri" w:hAnsi="Arial" w:cs="Arial"/>
          <w:bCs/>
        </w:rPr>
        <w:t xml:space="preserve">. The second </w:t>
      </w:r>
      <w:r w:rsidR="00E65CF4">
        <w:rPr>
          <w:rFonts w:ascii="Arial" w:eastAsia="Calibri" w:hAnsi="Arial" w:cs="Arial"/>
          <w:bCs/>
        </w:rPr>
        <w:t>claim</w:t>
      </w:r>
      <w:r w:rsidRPr="00ED06E4">
        <w:rPr>
          <w:rFonts w:ascii="Arial" w:eastAsia="Calibri" w:hAnsi="Arial" w:cs="Arial"/>
          <w:bCs/>
        </w:rPr>
        <w:t xml:space="preserve"> for N$133 969</w:t>
      </w:r>
      <w:r w:rsidR="00E65CF4">
        <w:rPr>
          <w:rFonts w:ascii="Arial" w:eastAsia="Calibri" w:hAnsi="Arial" w:cs="Arial"/>
          <w:bCs/>
        </w:rPr>
        <w:t xml:space="preserve">, </w:t>
      </w:r>
      <w:r w:rsidR="00E65CF4" w:rsidRPr="00ED06E4">
        <w:rPr>
          <w:rFonts w:ascii="Arial" w:eastAsia="Calibri" w:hAnsi="Arial" w:cs="Arial"/>
          <w:bCs/>
        </w:rPr>
        <w:t>a liquidated amount in money</w:t>
      </w:r>
      <w:r w:rsidR="00B50590">
        <w:rPr>
          <w:rFonts w:ascii="Arial" w:eastAsia="Calibri" w:hAnsi="Arial" w:cs="Arial"/>
          <w:bCs/>
        </w:rPr>
        <w:t>,</w:t>
      </w:r>
      <w:r w:rsidRPr="00ED06E4">
        <w:rPr>
          <w:rFonts w:ascii="Arial" w:eastAsia="Calibri" w:hAnsi="Arial" w:cs="Arial"/>
          <w:bCs/>
        </w:rPr>
        <w:t xml:space="preserve"> </w:t>
      </w:r>
      <w:r w:rsidR="00E65CF4">
        <w:rPr>
          <w:rFonts w:ascii="Arial" w:eastAsia="Calibri" w:hAnsi="Arial" w:cs="Arial"/>
          <w:bCs/>
        </w:rPr>
        <w:t xml:space="preserve">is </w:t>
      </w:r>
      <w:r w:rsidRPr="00ED06E4">
        <w:rPr>
          <w:rFonts w:ascii="Arial" w:eastAsia="Calibri" w:hAnsi="Arial" w:cs="Arial"/>
          <w:bCs/>
        </w:rPr>
        <w:t xml:space="preserve">based </w:t>
      </w:r>
      <w:r w:rsidR="00B50590">
        <w:rPr>
          <w:rFonts w:ascii="Arial" w:eastAsia="Calibri" w:hAnsi="Arial" w:cs="Arial"/>
          <w:bCs/>
        </w:rPr>
        <w:t>o</w:t>
      </w:r>
      <w:r w:rsidRPr="00ED06E4">
        <w:rPr>
          <w:rFonts w:ascii="Arial" w:eastAsia="Calibri" w:hAnsi="Arial" w:cs="Arial"/>
          <w:bCs/>
        </w:rPr>
        <w:t>n</w:t>
      </w:r>
      <w:r w:rsidR="00E65CF4">
        <w:rPr>
          <w:rFonts w:ascii="Arial" w:eastAsia="Calibri" w:hAnsi="Arial" w:cs="Arial"/>
          <w:bCs/>
        </w:rPr>
        <w:t xml:space="preserve"> </w:t>
      </w:r>
      <w:r w:rsidRPr="00ED06E4">
        <w:rPr>
          <w:rFonts w:ascii="Arial" w:eastAsia="Calibri" w:hAnsi="Arial" w:cs="Arial"/>
          <w:bCs/>
        </w:rPr>
        <w:t>delict</w:t>
      </w:r>
      <w:r w:rsidR="00E65CF4">
        <w:rPr>
          <w:rFonts w:ascii="Arial" w:eastAsia="Calibri" w:hAnsi="Arial" w:cs="Arial"/>
          <w:bCs/>
        </w:rPr>
        <w:t xml:space="preserve">, the </w:t>
      </w:r>
      <w:r w:rsidR="00E65CF4" w:rsidRPr="0064383A">
        <w:rPr>
          <w:rFonts w:ascii="Arial" w:hAnsi="Arial" w:cs="Arial"/>
          <w:i/>
          <w:iCs/>
          <w:lang w:val="en-US"/>
        </w:rPr>
        <w:t>negotiorum gestor</w:t>
      </w:r>
      <w:r w:rsidR="00E65CF4">
        <w:rPr>
          <w:rFonts w:ascii="Arial" w:hAnsi="Arial" w:cs="Arial"/>
          <w:lang w:val="en-US"/>
        </w:rPr>
        <w:t xml:space="preserve"> or extended </w:t>
      </w:r>
      <w:r w:rsidR="00E65CF4" w:rsidRPr="0064383A">
        <w:rPr>
          <w:rFonts w:ascii="Arial" w:hAnsi="Arial" w:cs="Arial"/>
          <w:i/>
          <w:iCs/>
          <w:lang w:val="en-US"/>
        </w:rPr>
        <w:t>negotiorum gestor</w:t>
      </w:r>
      <w:r w:rsidRPr="00ED06E4">
        <w:rPr>
          <w:rFonts w:ascii="Arial" w:eastAsia="Calibri" w:hAnsi="Arial" w:cs="Arial"/>
          <w:bCs/>
        </w:rPr>
        <w:t>. The third</w:t>
      </w:r>
      <w:r w:rsidR="00E65CF4">
        <w:rPr>
          <w:rFonts w:ascii="Arial" w:eastAsia="Calibri" w:hAnsi="Arial" w:cs="Arial"/>
          <w:bCs/>
        </w:rPr>
        <w:t xml:space="preserve"> claim for </w:t>
      </w:r>
      <w:r w:rsidRPr="00ED06E4">
        <w:rPr>
          <w:rFonts w:ascii="Arial" w:eastAsia="Calibri" w:hAnsi="Arial" w:cs="Arial"/>
          <w:bCs/>
        </w:rPr>
        <w:t>declar</w:t>
      </w:r>
      <w:r w:rsidR="00E65CF4">
        <w:rPr>
          <w:rFonts w:ascii="Arial" w:eastAsia="Calibri" w:hAnsi="Arial" w:cs="Arial"/>
          <w:bCs/>
        </w:rPr>
        <w:t>ing</w:t>
      </w:r>
      <w:r w:rsidRPr="00ED06E4">
        <w:rPr>
          <w:rFonts w:ascii="Arial" w:eastAsia="Calibri" w:hAnsi="Arial" w:cs="Arial"/>
          <w:bCs/>
        </w:rPr>
        <w:t xml:space="preserve"> </w:t>
      </w:r>
      <w:r w:rsidR="00567803">
        <w:rPr>
          <w:rFonts w:ascii="Arial" w:eastAsia="Calibri" w:hAnsi="Arial" w:cs="Arial"/>
          <w:bCs/>
        </w:rPr>
        <w:t xml:space="preserve">certain </w:t>
      </w:r>
      <w:r w:rsidRPr="00ED06E4">
        <w:rPr>
          <w:rFonts w:ascii="Arial" w:eastAsia="Calibri" w:hAnsi="Arial" w:cs="Arial"/>
          <w:bCs/>
        </w:rPr>
        <w:t xml:space="preserve">immovable property executable </w:t>
      </w:r>
      <w:r w:rsidR="00E65CF4">
        <w:rPr>
          <w:rFonts w:ascii="Arial" w:eastAsia="Calibri" w:hAnsi="Arial" w:cs="Arial"/>
          <w:bCs/>
        </w:rPr>
        <w:t xml:space="preserve">is based </w:t>
      </w:r>
      <w:r w:rsidR="00567803">
        <w:rPr>
          <w:rFonts w:ascii="Arial" w:eastAsia="Calibri" w:hAnsi="Arial" w:cs="Arial"/>
          <w:bCs/>
        </w:rPr>
        <w:t>on a mortgage bond</w:t>
      </w:r>
      <w:r w:rsidRPr="00ED06E4">
        <w:rPr>
          <w:rFonts w:ascii="Arial" w:eastAsia="Calibri" w:hAnsi="Arial" w:cs="Arial"/>
          <w:bCs/>
        </w:rPr>
        <w:t>. The particulars of the claims are as follows</w:t>
      </w:r>
      <w:r w:rsidR="00B50590">
        <w:rPr>
          <w:rFonts w:ascii="Arial" w:eastAsia="Calibri" w:hAnsi="Arial" w:cs="Arial"/>
          <w:bCs/>
        </w:rPr>
        <w:t>, most of which are not disputed in the affidavit resisting summary judgment</w:t>
      </w:r>
      <w:r w:rsidR="004E5F07" w:rsidRPr="00ED06E4">
        <w:rPr>
          <w:rFonts w:ascii="Arial" w:hAnsi="Arial" w:cs="Arial"/>
          <w:lang w:val="en-US"/>
        </w:rPr>
        <w:t>.</w:t>
      </w:r>
    </w:p>
    <w:p w14:paraId="2EC75A42" w14:textId="77777777" w:rsidR="000C6C79" w:rsidRPr="000C6C79" w:rsidRDefault="000C6C79" w:rsidP="000C6C79">
      <w:pPr>
        <w:pStyle w:val="ListParagraph"/>
        <w:rPr>
          <w:rFonts w:ascii="Arial" w:hAnsi="Arial" w:cs="Arial"/>
          <w:lang w:val="en-US"/>
        </w:rPr>
      </w:pPr>
    </w:p>
    <w:p w14:paraId="74BB894E" w14:textId="77777777" w:rsidR="00B50590" w:rsidRDefault="00DB45DA" w:rsidP="00B50590">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The first defendant is the registered owner of the immovable property sought to be declared executable (the property)</w:t>
      </w:r>
      <w:r>
        <w:rPr>
          <w:rFonts w:ascii="Arial" w:hAnsi="Arial" w:cs="Arial"/>
          <w:lang w:val="en-US"/>
        </w:rPr>
        <w:t>.</w:t>
      </w:r>
    </w:p>
    <w:p w14:paraId="598F58FD" w14:textId="77777777" w:rsidR="00B50590" w:rsidRPr="00B50590" w:rsidRDefault="00B50590" w:rsidP="00B50590">
      <w:pPr>
        <w:pStyle w:val="ListParagraph"/>
        <w:rPr>
          <w:rFonts w:ascii="Arial" w:hAnsi="Arial" w:cs="Arial"/>
          <w:lang w:val="en-US"/>
        </w:rPr>
      </w:pPr>
    </w:p>
    <w:p w14:paraId="0BF4F4F1" w14:textId="101B1D02" w:rsidR="00DB45DA" w:rsidRPr="00B50590" w:rsidRDefault="00B50590" w:rsidP="00B5059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In November 2011, the plaintiff and the first defendant concluded a notarial deed of lease over the property </w:t>
      </w:r>
      <w:r w:rsidR="00C74449" w:rsidRPr="00B50590">
        <w:rPr>
          <w:rFonts w:ascii="Arial" w:hAnsi="Arial" w:cs="Arial"/>
          <w:lang w:val="en-US"/>
        </w:rPr>
        <w:t>(the lease)</w:t>
      </w:r>
      <w:r>
        <w:rPr>
          <w:rFonts w:ascii="Arial" w:hAnsi="Arial" w:cs="Arial"/>
          <w:lang w:val="en-US"/>
        </w:rPr>
        <w:t xml:space="preserve">, which </w:t>
      </w:r>
      <w:r w:rsidR="00C74449" w:rsidRPr="00B50590">
        <w:rPr>
          <w:rFonts w:ascii="Arial" w:hAnsi="Arial" w:cs="Arial"/>
          <w:lang w:val="en-US"/>
        </w:rPr>
        <w:t xml:space="preserve">was registered against the property's title </w:t>
      </w:r>
      <w:r>
        <w:rPr>
          <w:rFonts w:ascii="Arial" w:hAnsi="Arial" w:cs="Arial"/>
          <w:lang w:val="en-US"/>
        </w:rPr>
        <w:t>in</w:t>
      </w:r>
      <w:r w:rsidR="00C74449" w:rsidRPr="00B50590">
        <w:rPr>
          <w:rFonts w:ascii="Arial" w:hAnsi="Arial" w:cs="Arial"/>
          <w:lang w:val="en-US"/>
        </w:rPr>
        <w:t xml:space="preserve"> December 2011. </w:t>
      </w:r>
    </w:p>
    <w:p w14:paraId="4F65836A" w14:textId="77777777" w:rsidR="00DB45DA" w:rsidRPr="00DB45DA" w:rsidRDefault="00DB45DA" w:rsidP="00DB45DA">
      <w:pPr>
        <w:pStyle w:val="ListParagraph"/>
        <w:rPr>
          <w:rFonts w:ascii="Arial" w:hAnsi="Arial" w:cs="Arial"/>
          <w:lang w:val="en-US"/>
        </w:rPr>
      </w:pPr>
    </w:p>
    <w:p w14:paraId="1C6D3C6C" w14:textId="6DD4C9F3" w:rsidR="00B50590" w:rsidRDefault="00361E50" w:rsidP="00B5059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Some of </w:t>
      </w:r>
      <w:r w:rsidR="00814CD6">
        <w:rPr>
          <w:rFonts w:ascii="Arial" w:hAnsi="Arial" w:cs="Arial"/>
          <w:lang w:val="en-US"/>
        </w:rPr>
        <w:t xml:space="preserve">the </w:t>
      </w:r>
      <w:r w:rsidR="00DB45DA">
        <w:rPr>
          <w:rFonts w:ascii="Arial" w:hAnsi="Arial" w:cs="Arial"/>
          <w:lang w:val="en-US"/>
        </w:rPr>
        <w:t xml:space="preserve">terms of the lease </w:t>
      </w:r>
      <w:r w:rsidR="004320AE">
        <w:rPr>
          <w:rFonts w:ascii="Arial" w:hAnsi="Arial" w:cs="Arial"/>
          <w:lang w:val="en-US"/>
        </w:rPr>
        <w:t xml:space="preserve">relied on </w:t>
      </w:r>
      <w:r w:rsidR="00200DDE">
        <w:rPr>
          <w:rFonts w:ascii="Arial" w:hAnsi="Arial" w:cs="Arial"/>
          <w:lang w:val="en-US"/>
        </w:rPr>
        <w:t>are</w:t>
      </w:r>
      <w:r w:rsidR="00DB45DA">
        <w:rPr>
          <w:rFonts w:ascii="Arial" w:hAnsi="Arial" w:cs="Arial"/>
          <w:lang w:val="en-US"/>
        </w:rPr>
        <w:t xml:space="preserve"> as follows. </w:t>
      </w:r>
      <w:r w:rsidR="00B50590">
        <w:rPr>
          <w:rFonts w:ascii="Arial" w:hAnsi="Arial" w:cs="Arial"/>
          <w:lang w:val="en-US"/>
        </w:rPr>
        <w:t>T</w:t>
      </w:r>
      <w:r w:rsidR="00C74449">
        <w:rPr>
          <w:rFonts w:ascii="Arial" w:hAnsi="Arial" w:cs="Arial"/>
          <w:lang w:val="en-US"/>
        </w:rPr>
        <w:t xml:space="preserve">he first defendant </w:t>
      </w:r>
      <w:r w:rsidR="00B50590">
        <w:rPr>
          <w:rFonts w:ascii="Arial" w:hAnsi="Arial" w:cs="Arial"/>
          <w:lang w:val="en-US"/>
        </w:rPr>
        <w:t xml:space="preserve">lets the property </w:t>
      </w:r>
      <w:r w:rsidR="00C74449">
        <w:rPr>
          <w:rFonts w:ascii="Arial" w:hAnsi="Arial" w:cs="Arial"/>
          <w:lang w:val="en-US"/>
        </w:rPr>
        <w:t xml:space="preserve">to the plaintiff. The lease </w:t>
      </w:r>
      <w:r w:rsidR="00DB45DA">
        <w:rPr>
          <w:rFonts w:ascii="Arial" w:hAnsi="Arial" w:cs="Arial"/>
          <w:lang w:val="en-US"/>
        </w:rPr>
        <w:t xml:space="preserve">shall </w:t>
      </w:r>
      <w:r w:rsidR="00C74449">
        <w:rPr>
          <w:rFonts w:ascii="Arial" w:hAnsi="Arial" w:cs="Arial"/>
          <w:lang w:val="en-US"/>
        </w:rPr>
        <w:t>comme</w:t>
      </w:r>
      <w:r w:rsidR="00DB45DA">
        <w:rPr>
          <w:rFonts w:ascii="Arial" w:hAnsi="Arial" w:cs="Arial"/>
          <w:lang w:val="en-US"/>
        </w:rPr>
        <w:t>nce</w:t>
      </w:r>
      <w:r w:rsidR="00C74449">
        <w:rPr>
          <w:rFonts w:ascii="Arial" w:hAnsi="Arial" w:cs="Arial"/>
          <w:lang w:val="en-US"/>
        </w:rPr>
        <w:t xml:space="preserve"> on 14 December 2011. The tenancy </w:t>
      </w:r>
      <w:r w:rsidR="00DB45DA">
        <w:rPr>
          <w:rFonts w:ascii="Arial" w:hAnsi="Arial" w:cs="Arial"/>
          <w:lang w:val="en-US"/>
        </w:rPr>
        <w:t>shall</w:t>
      </w:r>
      <w:r w:rsidR="00C74449">
        <w:rPr>
          <w:rFonts w:ascii="Arial" w:hAnsi="Arial" w:cs="Arial"/>
          <w:lang w:val="en-US"/>
        </w:rPr>
        <w:t xml:space="preserve"> remain in force for a period</w:t>
      </w:r>
      <w:r w:rsidR="00A273EC">
        <w:rPr>
          <w:rFonts w:ascii="Arial" w:hAnsi="Arial" w:cs="Arial"/>
          <w:lang w:val="en-US"/>
        </w:rPr>
        <w:t>,</w:t>
      </w:r>
      <w:r w:rsidR="00DB45DA">
        <w:rPr>
          <w:rFonts w:ascii="Arial" w:hAnsi="Arial" w:cs="Arial"/>
          <w:lang w:val="en-US"/>
        </w:rPr>
        <w:t xml:space="preserve"> </w:t>
      </w:r>
      <w:r w:rsidR="00A273EC">
        <w:rPr>
          <w:rFonts w:ascii="Arial" w:hAnsi="Arial" w:cs="Arial"/>
          <w:lang w:val="en-US"/>
        </w:rPr>
        <w:t>including</w:t>
      </w:r>
      <w:r w:rsidR="00DB45DA">
        <w:rPr>
          <w:rFonts w:ascii="Arial" w:hAnsi="Arial" w:cs="Arial"/>
          <w:lang w:val="en-US"/>
        </w:rPr>
        <w:t xml:space="preserve"> </w:t>
      </w:r>
      <w:r w:rsidR="00C74449">
        <w:rPr>
          <w:rFonts w:ascii="Arial" w:hAnsi="Arial" w:cs="Arial"/>
          <w:lang w:val="en-US"/>
        </w:rPr>
        <w:t>the initial period of 15 years from the streaming date</w:t>
      </w:r>
      <w:r w:rsidR="00A273EC">
        <w:rPr>
          <w:rFonts w:ascii="Arial" w:hAnsi="Arial" w:cs="Arial"/>
          <w:lang w:val="en-US"/>
        </w:rPr>
        <w:t>,</w:t>
      </w:r>
      <w:r w:rsidR="00C74449">
        <w:rPr>
          <w:rFonts w:ascii="Arial" w:hAnsi="Arial" w:cs="Arial"/>
          <w:lang w:val="en-US"/>
        </w:rPr>
        <w:t xml:space="preserve"> and expire upon </w:t>
      </w:r>
      <w:r w:rsidR="00DB45DA">
        <w:rPr>
          <w:rFonts w:ascii="Arial" w:hAnsi="Arial" w:cs="Arial"/>
          <w:lang w:val="en-US"/>
        </w:rPr>
        <w:t xml:space="preserve">the </w:t>
      </w:r>
      <w:r w:rsidR="00C74449">
        <w:rPr>
          <w:rFonts w:ascii="Arial" w:hAnsi="Arial" w:cs="Arial"/>
          <w:lang w:val="en-US"/>
        </w:rPr>
        <w:t xml:space="preserve">expiry </w:t>
      </w:r>
      <w:r w:rsidR="00DB45DA">
        <w:rPr>
          <w:rFonts w:ascii="Arial" w:hAnsi="Arial" w:cs="Arial"/>
          <w:lang w:val="en-US"/>
        </w:rPr>
        <w:t xml:space="preserve">date </w:t>
      </w:r>
      <w:r w:rsidR="00C74449">
        <w:rPr>
          <w:rFonts w:ascii="Arial" w:hAnsi="Arial" w:cs="Arial"/>
          <w:lang w:val="en-US"/>
        </w:rPr>
        <w:t xml:space="preserve">of the initial period. The plaintiff </w:t>
      </w:r>
      <w:r w:rsidR="00DB45DA">
        <w:rPr>
          <w:rFonts w:ascii="Arial" w:hAnsi="Arial" w:cs="Arial"/>
          <w:lang w:val="en-US"/>
        </w:rPr>
        <w:t>i</w:t>
      </w:r>
      <w:r w:rsidR="00C74449">
        <w:rPr>
          <w:rFonts w:ascii="Arial" w:hAnsi="Arial" w:cs="Arial"/>
          <w:lang w:val="en-US"/>
        </w:rPr>
        <w:t>s entitled to sublet the property</w:t>
      </w:r>
      <w:r w:rsidR="00DB45DA">
        <w:rPr>
          <w:rFonts w:ascii="Arial" w:hAnsi="Arial" w:cs="Arial"/>
          <w:lang w:val="en-US"/>
        </w:rPr>
        <w:t xml:space="preserve">, </w:t>
      </w:r>
      <w:r w:rsidR="00C74449">
        <w:rPr>
          <w:rFonts w:ascii="Arial" w:hAnsi="Arial" w:cs="Arial"/>
          <w:lang w:val="en-US"/>
        </w:rPr>
        <w:t>give up occupation</w:t>
      </w:r>
      <w:r w:rsidR="00DB45DA">
        <w:rPr>
          <w:rFonts w:ascii="Arial" w:hAnsi="Arial" w:cs="Arial"/>
          <w:lang w:val="en-US"/>
        </w:rPr>
        <w:t>,</w:t>
      </w:r>
      <w:r w:rsidR="00C74449">
        <w:rPr>
          <w:rFonts w:ascii="Arial" w:hAnsi="Arial" w:cs="Arial"/>
          <w:lang w:val="en-US"/>
        </w:rPr>
        <w:t xml:space="preserve"> or appoint a licen</w:t>
      </w:r>
      <w:r w:rsidR="009E4B9B">
        <w:rPr>
          <w:rFonts w:ascii="Arial" w:hAnsi="Arial" w:cs="Arial"/>
          <w:lang w:val="en-US"/>
        </w:rPr>
        <w:t>s</w:t>
      </w:r>
      <w:r w:rsidR="00C74449">
        <w:rPr>
          <w:rFonts w:ascii="Arial" w:hAnsi="Arial" w:cs="Arial"/>
          <w:lang w:val="en-US"/>
        </w:rPr>
        <w:t xml:space="preserve">ee to conduct </w:t>
      </w:r>
      <w:r w:rsidR="00D030AA">
        <w:rPr>
          <w:rFonts w:ascii="Arial" w:hAnsi="Arial" w:cs="Arial"/>
          <w:lang w:val="en-US"/>
        </w:rPr>
        <w:t>certain</w:t>
      </w:r>
      <w:r w:rsidR="00C74449">
        <w:rPr>
          <w:rFonts w:ascii="Arial" w:hAnsi="Arial" w:cs="Arial"/>
          <w:lang w:val="en-US"/>
        </w:rPr>
        <w:t xml:space="preserve"> business </w:t>
      </w:r>
      <w:r w:rsidR="00D030AA">
        <w:rPr>
          <w:rFonts w:ascii="Arial" w:hAnsi="Arial" w:cs="Arial"/>
          <w:lang w:val="en-US"/>
        </w:rPr>
        <w:t>at</w:t>
      </w:r>
      <w:r w:rsidR="00200DDE">
        <w:rPr>
          <w:rFonts w:ascii="Arial" w:hAnsi="Arial" w:cs="Arial"/>
          <w:lang w:val="en-US"/>
        </w:rPr>
        <w:t xml:space="preserve"> the property </w:t>
      </w:r>
      <w:r w:rsidR="00C74449">
        <w:rPr>
          <w:rFonts w:ascii="Arial" w:hAnsi="Arial" w:cs="Arial"/>
          <w:lang w:val="en-US"/>
        </w:rPr>
        <w:t>with</w:t>
      </w:r>
      <w:r w:rsidR="00DB45DA">
        <w:rPr>
          <w:rFonts w:ascii="Arial" w:hAnsi="Arial" w:cs="Arial"/>
          <w:lang w:val="en-US"/>
        </w:rPr>
        <w:t>out</w:t>
      </w:r>
      <w:r w:rsidR="00C74449">
        <w:rPr>
          <w:rFonts w:ascii="Arial" w:hAnsi="Arial" w:cs="Arial"/>
          <w:lang w:val="en-US"/>
        </w:rPr>
        <w:t xml:space="preserve"> the first defendant’s consent</w:t>
      </w:r>
      <w:r w:rsidR="00DB45DA">
        <w:rPr>
          <w:rFonts w:ascii="Arial" w:hAnsi="Arial" w:cs="Arial"/>
          <w:lang w:val="en-US"/>
        </w:rPr>
        <w:t xml:space="preserve"> and</w:t>
      </w:r>
      <w:r w:rsidR="00A273EC">
        <w:rPr>
          <w:rFonts w:ascii="Arial" w:hAnsi="Arial" w:cs="Arial"/>
          <w:lang w:val="en-US"/>
        </w:rPr>
        <w:t xml:space="preserve"> without</w:t>
      </w:r>
      <w:r w:rsidR="00DB45DA">
        <w:rPr>
          <w:rFonts w:ascii="Arial" w:hAnsi="Arial" w:cs="Arial"/>
          <w:lang w:val="en-US"/>
        </w:rPr>
        <w:t xml:space="preserve"> reference to </w:t>
      </w:r>
      <w:r w:rsidR="00200DDE">
        <w:rPr>
          <w:rFonts w:ascii="Arial" w:hAnsi="Arial" w:cs="Arial"/>
          <w:lang w:val="en-US"/>
        </w:rPr>
        <w:t>her</w:t>
      </w:r>
      <w:r w:rsidR="00DB45DA">
        <w:rPr>
          <w:rFonts w:ascii="Arial" w:hAnsi="Arial" w:cs="Arial"/>
          <w:lang w:val="en-US"/>
        </w:rPr>
        <w:t>. T</w:t>
      </w:r>
      <w:r w:rsidR="00C74449">
        <w:rPr>
          <w:rFonts w:ascii="Arial" w:hAnsi="Arial" w:cs="Arial"/>
          <w:lang w:val="en-US"/>
        </w:rPr>
        <w:t xml:space="preserve">he plaintiff shall remain liable to the first defendant for </w:t>
      </w:r>
      <w:r w:rsidR="00A273EC">
        <w:rPr>
          <w:rFonts w:ascii="Arial" w:hAnsi="Arial" w:cs="Arial"/>
          <w:lang w:val="en-US"/>
        </w:rPr>
        <w:t>its obligations</w:t>
      </w:r>
      <w:r w:rsidR="00DB45DA">
        <w:rPr>
          <w:rFonts w:ascii="Arial" w:hAnsi="Arial" w:cs="Arial"/>
          <w:lang w:val="en-US"/>
        </w:rPr>
        <w:t>. T</w:t>
      </w:r>
      <w:r w:rsidR="00C74449">
        <w:rPr>
          <w:rFonts w:ascii="Arial" w:hAnsi="Arial" w:cs="Arial"/>
          <w:lang w:val="en-US"/>
        </w:rPr>
        <w:t>he plaintiff shall offer the first defendant the first opportunity</w:t>
      </w:r>
      <w:r w:rsidR="00B50590">
        <w:rPr>
          <w:rFonts w:ascii="Arial" w:hAnsi="Arial" w:cs="Arial"/>
          <w:lang w:val="en-US"/>
        </w:rPr>
        <w:t xml:space="preserve"> </w:t>
      </w:r>
      <w:r w:rsidR="00C74449">
        <w:rPr>
          <w:rFonts w:ascii="Arial" w:hAnsi="Arial" w:cs="Arial"/>
          <w:lang w:val="en-US"/>
        </w:rPr>
        <w:t xml:space="preserve">either </w:t>
      </w:r>
      <w:r w:rsidR="00B50590">
        <w:rPr>
          <w:rFonts w:ascii="Arial" w:hAnsi="Arial" w:cs="Arial"/>
          <w:lang w:val="en-US"/>
        </w:rPr>
        <w:t xml:space="preserve">to </w:t>
      </w:r>
      <w:r w:rsidR="00C74449">
        <w:rPr>
          <w:rFonts w:ascii="Arial" w:hAnsi="Arial" w:cs="Arial"/>
          <w:lang w:val="en-US"/>
        </w:rPr>
        <w:t>be appointed as the licen</w:t>
      </w:r>
      <w:r w:rsidR="009E4B9B">
        <w:rPr>
          <w:rFonts w:ascii="Arial" w:hAnsi="Arial" w:cs="Arial"/>
          <w:lang w:val="en-US"/>
        </w:rPr>
        <w:t>s</w:t>
      </w:r>
      <w:r w:rsidR="00C74449">
        <w:rPr>
          <w:rFonts w:ascii="Arial" w:hAnsi="Arial" w:cs="Arial"/>
          <w:lang w:val="en-US"/>
        </w:rPr>
        <w:t xml:space="preserve">ee or to nominate </w:t>
      </w:r>
      <w:r w:rsidR="00D437D0">
        <w:rPr>
          <w:rFonts w:ascii="Arial" w:hAnsi="Arial" w:cs="Arial"/>
          <w:lang w:val="en-US"/>
        </w:rPr>
        <w:t>a</w:t>
      </w:r>
      <w:r w:rsidR="007B78AA">
        <w:rPr>
          <w:rFonts w:ascii="Arial" w:hAnsi="Arial" w:cs="Arial"/>
          <w:lang w:val="en-US"/>
        </w:rPr>
        <w:t xml:space="preserve"> proposed dealer to be appointed as the licen</w:t>
      </w:r>
      <w:r w:rsidR="009E4B9B">
        <w:rPr>
          <w:rFonts w:ascii="Arial" w:hAnsi="Arial" w:cs="Arial"/>
          <w:lang w:val="en-US"/>
        </w:rPr>
        <w:t>s</w:t>
      </w:r>
      <w:r w:rsidR="007B78AA">
        <w:rPr>
          <w:rFonts w:ascii="Arial" w:hAnsi="Arial" w:cs="Arial"/>
          <w:lang w:val="en-US"/>
        </w:rPr>
        <w:t>ee who shall comply with the plaintiff’s standard appointment criteria, agree to pay the rental and licen</w:t>
      </w:r>
      <w:r w:rsidR="009E4B9B">
        <w:rPr>
          <w:rFonts w:ascii="Arial" w:hAnsi="Arial" w:cs="Arial"/>
          <w:lang w:val="en-US"/>
        </w:rPr>
        <w:t>c</w:t>
      </w:r>
      <w:r w:rsidR="007B78AA">
        <w:rPr>
          <w:rFonts w:ascii="Arial" w:hAnsi="Arial" w:cs="Arial"/>
          <w:lang w:val="en-US"/>
        </w:rPr>
        <w:t>e fees under the plaintiff’s policies and enter into the plaintiff’s standard marketing licen</w:t>
      </w:r>
      <w:r w:rsidR="009E4B9B">
        <w:rPr>
          <w:rFonts w:ascii="Arial" w:hAnsi="Arial" w:cs="Arial"/>
          <w:lang w:val="en-US"/>
        </w:rPr>
        <w:t>c</w:t>
      </w:r>
      <w:r w:rsidR="007B78AA">
        <w:rPr>
          <w:rFonts w:ascii="Arial" w:hAnsi="Arial" w:cs="Arial"/>
          <w:lang w:val="en-US"/>
        </w:rPr>
        <w:t>e agreement and/or other standard documentation required in the plaintiff’s sole discretion.</w:t>
      </w:r>
    </w:p>
    <w:p w14:paraId="25B3C6B0" w14:textId="77777777" w:rsidR="00B50590" w:rsidRPr="00B50590" w:rsidRDefault="00B50590" w:rsidP="00B50590">
      <w:pPr>
        <w:pStyle w:val="ListParagraph"/>
        <w:rPr>
          <w:rFonts w:ascii="Arial" w:eastAsia="Calibri" w:hAnsi="Arial" w:cs="Arial"/>
          <w:bCs/>
        </w:rPr>
      </w:pPr>
    </w:p>
    <w:p w14:paraId="27FD0B25" w14:textId="77777777" w:rsidR="00B50590" w:rsidRDefault="007B78AA" w:rsidP="00B50590">
      <w:pPr>
        <w:pStyle w:val="ListParagraph"/>
        <w:numPr>
          <w:ilvl w:val="0"/>
          <w:numId w:val="2"/>
        </w:numPr>
        <w:spacing w:line="360" w:lineRule="auto"/>
        <w:ind w:left="0" w:firstLine="0"/>
        <w:jc w:val="both"/>
        <w:rPr>
          <w:rFonts w:ascii="Arial" w:hAnsi="Arial" w:cs="Arial"/>
          <w:lang w:val="en-US"/>
        </w:rPr>
      </w:pPr>
      <w:r w:rsidRPr="00B50590">
        <w:rPr>
          <w:rFonts w:ascii="Arial" w:eastAsia="Calibri" w:hAnsi="Arial" w:cs="Arial"/>
          <w:bCs/>
        </w:rPr>
        <w:t xml:space="preserve">The plaintiff </w:t>
      </w:r>
      <w:r w:rsidR="006F2B3F" w:rsidRPr="00B50590">
        <w:rPr>
          <w:rFonts w:ascii="Arial" w:eastAsia="Calibri" w:hAnsi="Arial" w:cs="Arial"/>
          <w:bCs/>
        </w:rPr>
        <w:t xml:space="preserve">complied with its obligations under the lease. The plaintiff currently </w:t>
      </w:r>
      <w:r w:rsidRPr="00B50590">
        <w:rPr>
          <w:rFonts w:ascii="Arial" w:eastAsia="Calibri" w:hAnsi="Arial" w:cs="Arial"/>
          <w:bCs/>
        </w:rPr>
        <w:t>occupies the property</w:t>
      </w:r>
      <w:r w:rsidR="00711E90" w:rsidRPr="00B50590">
        <w:rPr>
          <w:rFonts w:ascii="Arial" w:eastAsia="Calibri" w:hAnsi="Arial" w:cs="Arial"/>
          <w:bCs/>
        </w:rPr>
        <w:t>,</w:t>
      </w:r>
      <w:r w:rsidRPr="00B50590">
        <w:rPr>
          <w:rFonts w:ascii="Arial" w:hAnsi="Arial" w:cs="Arial"/>
          <w:lang w:val="en-US"/>
        </w:rPr>
        <w:t xml:space="preserve"> and </w:t>
      </w:r>
      <w:r w:rsidR="00711E90" w:rsidRPr="00B50590">
        <w:rPr>
          <w:rFonts w:ascii="Arial" w:hAnsi="Arial" w:cs="Arial"/>
          <w:lang w:val="en-US"/>
        </w:rPr>
        <w:t xml:space="preserve">it </w:t>
      </w:r>
      <w:r w:rsidRPr="00B50590">
        <w:rPr>
          <w:rFonts w:ascii="Arial" w:hAnsi="Arial" w:cs="Arial"/>
          <w:lang w:val="en-US"/>
        </w:rPr>
        <w:t>offered the first defendant the first opportunity to be appointed as the licen</w:t>
      </w:r>
      <w:r w:rsidR="009E4B9B" w:rsidRPr="00B50590">
        <w:rPr>
          <w:rFonts w:ascii="Arial" w:hAnsi="Arial" w:cs="Arial"/>
          <w:lang w:val="en-US"/>
        </w:rPr>
        <w:t>s</w:t>
      </w:r>
      <w:r w:rsidRPr="00B50590">
        <w:rPr>
          <w:rFonts w:ascii="Arial" w:hAnsi="Arial" w:cs="Arial"/>
          <w:lang w:val="en-US"/>
        </w:rPr>
        <w:t>ee</w:t>
      </w:r>
      <w:r w:rsidR="00711E90" w:rsidRPr="00B50590">
        <w:rPr>
          <w:rFonts w:ascii="Arial" w:hAnsi="Arial" w:cs="Arial"/>
          <w:lang w:val="en-US"/>
        </w:rPr>
        <w:t xml:space="preserve"> for the business </w:t>
      </w:r>
      <w:r w:rsidR="00B50590">
        <w:rPr>
          <w:rFonts w:ascii="Arial" w:hAnsi="Arial" w:cs="Arial"/>
          <w:lang w:val="en-US"/>
        </w:rPr>
        <w:t>at</w:t>
      </w:r>
      <w:r w:rsidR="00711E90" w:rsidRPr="00B50590">
        <w:rPr>
          <w:rFonts w:ascii="Arial" w:hAnsi="Arial" w:cs="Arial"/>
          <w:lang w:val="en-US"/>
        </w:rPr>
        <w:t xml:space="preserve"> the property</w:t>
      </w:r>
      <w:r w:rsidRPr="00B50590">
        <w:rPr>
          <w:rFonts w:ascii="Arial" w:hAnsi="Arial" w:cs="Arial"/>
          <w:lang w:val="en-US"/>
        </w:rPr>
        <w:t>.</w:t>
      </w:r>
    </w:p>
    <w:p w14:paraId="31A1567F" w14:textId="77777777" w:rsidR="00B50590" w:rsidRPr="00B50590" w:rsidRDefault="00B50590" w:rsidP="00B50590">
      <w:pPr>
        <w:pStyle w:val="ListParagraph"/>
        <w:rPr>
          <w:rFonts w:ascii="Arial" w:eastAsia="Calibri" w:hAnsi="Arial" w:cs="Arial"/>
          <w:bCs/>
        </w:rPr>
      </w:pPr>
    </w:p>
    <w:p w14:paraId="47BE2EC1" w14:textId="2856B191" w:rsidR="00200DDE" w:rsidRPr="00B50590" w:rsidRDefault="00971649" w:rsidP="00B50590">
      <w:pPr>
        <w:pStyle w:val="ListParagraph"/>
        <w:numPr>
          <w:ilvl w:val="0"/>
          <w:numId w:val="2"/>
        </w:numPr>
        <w:spacing w:line="360" w:lineRule="auto"/>
        <w:ind w:left="0" w:firstLine="0"/>
        <w:jc w:val="both"/>
        <w:rPr>
          <w:rFonts w:ascii="Arial" w:hAnsi="Arial" w:cs="Arial"/>
          <w:lang w:val="en-US"/>
        </w:rPr>
      </w:pPr>
      <w:r w:rsidRPr="00B50590">
        <w:rPr>
          <w:rFonts w:ascii="Arial" w:eastAsia="Calibri" w:hAnsi="Arial" w:cs="Arial"/>
          <w:bCs/>
        </w:rPr>
        <w:t xml:space="preserve">In </w:t>
      </w:r>
      <w:r w:rsidR="00B50590">
        <w:rPr>
          <w:rFonts w:ascii="Arial" w:eastAsia="Calibri" w:hAnsi="Arial" w:cs="Arial"/>
          <w:bCs/>
        </w:rPr>
        <w:t xml:space="preserve">November 2012, and in </w:t>
      </w:r>
      <w:r w:rsidRPr="00B50590">
        <w:rPr>
          <w:rFonts w:ascii="Arial" w:eastAsia="Calibri" w:hAnsi="Arial" w:cs="Arial"/>
          <w:bCs/>
        </w:rPr>
        <w:t>accordance with clause 10.3 of the lease</w:t>
      </w:r>
      <w:r w:rsidR="00B50590">
        <w:rPr>
          <w:rFonts w:ascii="Arial" w:eastAsia="Calibri" w:hAnsi="Arial" w:cs="Arial"/>
          <w:bCs/>
        </w:rPr>
        <w:t>,</w:t>
      </w:r>
      <w:r>
        <w:rPr>
          <w:rStyle w:val="FootnoteReference"/>
          <w:rFonts w:ascii="Arial" w:eastAsia="Calibri" w:hAnsi="Arial" w:cs="Arial"/>
          <w:bCs/>
        </w:rPr>
        <w:footnoteReference w:id="1"/>
      </w:r>
      <w:r w:rsidR="00B50590">
        <w:rPr>
          <w:rFonts w:ascii="Arial" w:eastAsia="Calibri" w:hAnsi="Arial" w:cs="Arial"/>
          <w:bCs/>
        </w:rPr>
        <w:t xml:space="preserve"> </w:t>
      </w:r>
      <w:r w:rsidR="007B78AA" w:rsidRPr="00B50590">
        <w:rPr>
          <w:rFonts w:ascii="Arial" w:eastAsia="Calibri" w:hAnsi="Arial" w:cs="Arial"/>
          <w:bCs/>
        </w:rPr>
        <w:t xml:space="preserve">the plaintiff and the first defendant </w:t>
      </w:r>
      <w:r w:rsidR="00B50590">
        <w:rPr>
          <w:rFonts w:ascii="Arial" w:eastAsia="Calibri" w:hAnsi="Arial" w:cs="Arial"/>
          <w:bCs/>
        </w:rPr>
        <w:t>concluded</w:t>
      </w:r>
      <w:r w:rsidR="007B78AA" w:rsidRPr="00B50590">
        <w:rPr>
          <w:rFonts w:ascii="Arial" w:eastAsia="Calibri" w:hAnsi="Arial" w:cs="Arial"/>
          <w:bCs/>
        </w:rPr>
        <w:t xml:space="preserve"> a </w:t>
      </w:r>
      <w:r w:rsidR="00B50590">
        <w:rPr>
          <w:rFonts w:ascii="Arial" w:eastAsia="Calibri" w:hAnsi="Arial" w:cs="Arial"/>
          <w:bCs/>
        </w:rPr>
        <w:t xml:space="preserve">written </w:t>
      </w:r>
      <w:r w:rsidR="007B78AA" w:rsidRPr="00B50590">
        <w:rPr>
          <w:rFonts w:ascii="Arial" w:eastAsia="Calibri" w:hAnsi="Arial" w:cs="Arial"/>
          <w:bCs/>
        </w:rPr>
        <w:t>marketing licen</w:t>
      </w:r>
      <w:r w:rsidR="009E4B9B" w:rsidRPr="00B50590">
        <w:rPr>
          <w:rFonts w:ascii="Arial" w:eastAsia="Calibri" w:hAnsi="Arial" w:cs="Arial"/>
          <w:bCs/>
        </w:rPr>
        <w:t>c</w:t>
      </w:r>
      <w:r w:rsidR="007B78AA" w:rsidRPr="00B50590">
        <w:rPr>
          <w:rFonts w:ascii="Arial" w:eastAsia="Calibri" w:hAnsi="Arial" w:cs="Arial"/>
          <w:bCs/>
        </w:rPr>
        <w:t>e agreement</w:t>
      </w:r>
      <w:r w:rsidR="00B50590">
        <w:rPr>
          <w:rFonts w:ascii="Arial" w:eastAsia="Calibri" w:hAnsi="Arial" w:cs="Arial"/>
          <w:bCs/>
        </w:rPr>
        <w:t xml:space="preserve"> </w:t>
      </w:r>
      <w:r w:rsidR="007B78AA" w:rsidRPr="00B50590">
        <w:rPr>
          <w:rFonts w:ascii="Arial" w:eastAsia="Calibri" w:hAnsi="Arial" w:cs="Arial"/>
          <w:bCs/>
        </w:rPr>
        <w:t>(the MLA)</w:t>
      </w:r>
      <w:r w:rsidR="004E5F07" w:rsidRPr="00B50590">
        <w:rPr>
          <w:rFonts w:ascii="Arial" w:hAnsi="Arial" w:cs="Arial"/>
          <w:lang w:val="en-US"/>
        </w:rPr>
        <w:t>.</w:t>
      </w:r>
      <w:r w:rsidRPr="00B50590">
        <w:rPr>
          <w:rFonts w:ascii="Arial" w:hAnsi="Arial" w:cs="Arial"/>
          <w:lang w:val="en-US"/>
        </w:rPr>
        <w:t xml:space="preserve"> The court concludes </w:t>
      </w:r>
      <w:r w:rsidR="00361E50">
        <w:rPr>
          <w:rFonts w:ascii="Arial" w:hAnsi="Arial" w:cs="Arial"/>
          <w:lang w:val="en-US"/>
        </w:rPr>
        <w:t xml:space="preserve">from the undisputed facts </w:t>
      </w:r>
      <w:r w:rsidRPr="00B50590">
        <w:rPr>
          <w:rFonts w:ascii="Arial" w:hAnsi="Arial" w:cs="Arial"/>
          <w:lang w:val="en-US"/>
        </w:rPr>
        <w:t>that the first defendant accepted the plaintiff’s offer to be appointed as the licensee, hence the conclusion of the MLA</w:t>
      </w:r>
      <w:r w:rsidR="004B6288" w:rsidRPr="00B50590">
        <w:rPr>
          <w:rFonts w:ascii="Arial" w:hAnsi="Arial" w:cs="Arial"/>
          <w:lang w:val="en-US"/>
        </w:rPr>
        <w:t>.</w:t>
      </w:r>
    </w:p>
    <w:p w14:paraId="66148F22" w14:textId="77777777" w:rsidR="00200DDE" w:rsidRPr="00200DDE" w:rsidRDefault="00200DDE" w:rsidP="00200DDE">
      <w:pPr>
        <w:pStyle w:val="ListParagraph"/>
        <w:rPr>
          <w:rFonts w:ascii="Arial" w:hAnsi="Arial" w:cs="Arial"/>
          <w:lang w:val="en-US"/>
        </w:rPr>
      </w:pPr>
    </w:p>
    <w:p w14:paraId="3D620DE0" w14:textId="6ABAA743" w:rsidR="00C65354" w:rsidRPr="00200DDE" w:rsidRDefault="004320AE" w:rsidP="00200DD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Some of the terms of the MLA relied on are as follows</w:t>
      </w:r>
      <w:r w:rsidR="00200DDE" w:rsidRPr="00200DDE">
        <w:rPr>
          <w:rFonts w:ascii="Arial" w:hAnsi="Arial" w:cs="Arial"/>
          <w:lang w:val="en-US"/>
        </w:rPr>
        <w:t xml:space="preserve">. </w:t>
      </w:r>
      <w:r w:rsidR="007B78AA" w:rsidRPr="00200DDE">
        <w:rPr>
          <w:rFonts w:ascii="Arial" w:hAnsi="Arial" w:cs="Arial"/>
          <w:lang w:val="en-US"/>
        </w:rPr>
        <w:t>The plaintiff granted the first defendant a licence to market and sell the plaintiff’s products under its licen</w:t>
      </w:r>
      <w:r w:rsidR="009E4B9B">
        <w:rPr>
          <w:rFonts w:ascii="Arial" w:hAnsi="Arial" w:cs="Arial"/>
          <w:lang w:val="en-US"/>
        </w:rPr>
        <w:t>c</w:t>
      </w:r>
      <w:r w:rsidR="007B78AA" w:rsidRPr="00200DDE">
        <w:rPr>
          <w:rFonts w:ascii="Arial" w:hAnsi="Arial" w:cs="Arial"/>
          <w:lang w:val="en-US"/>
        </w:rPr>
        <w:t>e at the property subject to the MLA. In consideration for the licen</w:t>
      </w:r>
      <w:r w:rsidR="00201332">
        <w:rPr>
          <w:rFonts w:ascii="Arial" w:hAnsi="Arial" w:cs="Arial"/>
          <w:lang w:val="en-US"/>
        </w:rPr>
        <w:t>c</w:t>
      </w:r>
      <w:r w:rsidR="007B78AA" w:rsidRPr="00200DDE">
        <w:rPr>
          <w:rFonts w:ascii="Arial" w:hAnsi="Arial" w:cs="Arial"/>
          <w:lang w:val="en-US"/>
        </w:rPr>
        <w:t>e, the first defendant agreed to pay the plaintiff a monthly licen</w:t>
      </w:r>
      <w:r w:rsidR="00201332">
        <w:rPr>
          <w:rFonts w:ascii="Arial" w:hAnsi="Arial" w:cs="Arial"/>
          <w:lang w:val="en-US"/>
        </w:rPr>
        <w:t>c</w:t>
      </w:r>
      <w:r w:rsidR="007B78AA" w:rsidRPr="00200DDE">
        <w:rPr>
          <w:rFonts w:ascii="Arial" w:hAnsi="Arial" w:cs="Arial"/>
          <w:lang w:val="en-US"/>
        </w:rPr>
        <w:t xml:space="preserve">e fee comprising a forecourt levy and a quick shop gross monthly turnover levy payable on or before the fifth business day of the following month. </w:t>
      </w:r>
      <w:r w:rsidR="00A16411" w:rsidRPr="00200DDE">
        <w:rPr>
          <w:rFonts w:ascii="Arial" w:hAnsi="Arial" w:cs="Arial"/>
          <w:lang w:val="en-US"/>
        </w:rPr>
        <w:t xml:space="preserve">The first defendant shall always maintain adequate stock of the plaintiff’s products at the property. </w:t>
      </w:r>
      <w:r w:rsidR="007B78AA" w:rsidRPr="00200DDE">
        <w:rPr>
          <w:rFonts w:ascii="Arial" w:hAnsi="Arial" w:cs="Arial"/>
          <w:lang w:val="en-US"/>
        </w:rPr>
        <w:t xml:space="preserve">The first defendant shall purchase </w:t>
      </w:r>
      <w:r w:rsidR="00A273EC">
        <w:rPr>
          <w:rFonts w:ascii="Arial" w:hAnsi="Arial" w:cs="Arial"/>
          <w:lang w:val="en-US"/>
        </w:rPr>
        <w:t xml:space="preserve">the plaintiff's products </w:t>
      </w:r>
      <w:r w:rsidR="007B78AA" w:rsidRPr="00200DDE">
        <w:rPr>
          <w:rFonts w:ascii="Arial" w:hAnsi="Arial" w:cs="Arial"/>
          <w:lang w:val="en-US"/>
        </w:rPr>
        <w:t xml:space="preserve">from the plaintiff in cash </w:t>
      </w:r>
      <w:r w:rsidR="00C65354" w:rsidRPr="00200DDE">
        <w:rPr>
          <w:rFonts w:ascii="Arial" w:hAnsi="Arial" w:cs="Arial"/>
          <w:lang w:val="en-US"/>
        </w:rPr>
        <w:t xml:space="preserve">or </w:t>
      </w:r>
      <w:r w:rsidR="00A273EC">
        <w:rPr>
          <w:rFonts w:ascii="Arial" w:hAnsi="Arial" w:cs="Arial"/>
          <w:lang w:val="en-US"/>
        </w:rPr>
        <w:t>an</w:t>
      </w:r>
      <w:r w:rsidR="00C65354" w:rsidRPr="00200DDE">
        <w:rPr>
          <w:rFonts w:ascii="Arial" w:hAnsi="Arial" w:cs="Arial"/>
          <w:lang w:val="en-US"/>
        </w:rPr>
        <w:t>other method as the plaintiff may agree in writing</w:t>
      </w:r>
      <w:r w:rsidR="00A273EC">
        <w:rPr>
          <w:rFonts w:ascii="Arial" w:hAnsi="Arial" w:cs="Arial"/>
          <w:lang w:val="en-US"/>
        </w:rPr>
        <w:t>.</w:t>
      </w:r>
      <w:r w:rsidR="00C65354" w:rsidRPr="00200DDE">
        <w:rPr>
          <w:rFonts w:ascii="Arial" w:hAnsi="Arial" w:cs="Arial"/>
          <w:lang w:val="en-US"/>
        </w:rPr>
        <w:t xml:space="preserve"> Failure to pay for delivered products shall entitle the plaintiff to cease making deliveries until outstanding amounts </w:t>
      </w:r>
      <w:r w:rsidR="00361E50">
        <w:rPr>
          <w:rFonts w:ascii="Arial" w:hAnsi="Arial" w:cs="Arial"/>
          <w:lang w:val="en-US"/>
        </w:rPr>
        <w:t xml:space="preserve">are </w:t>
      </w:r>
      <w:r w:rsidR="00C65354" w:rsidRPr="00200DDE">
        <w:rPr>
          <w:rFonts w:ascii="Arial" w:hAnsi="Arial" w:cs="Arial"/>
          <w:lang w:val="en-US"/>
        </w:rPr>
        <w:t xml:space="preserve">paid or arrangements for deferred payments </w:t>
      </w:r>
      <w:r w:rsidR="00361E50">
        <w:rPr>
          <w:rFonts w:ascii="Arial" w:hAnsi="Arial" w:cs="Arial"/>
          <w:lang w:val="en-US"/>
        </w:rPr>
        <w:t>are</w:t>
      </w:r>
      <w:r w:rsidR="00C65354" w:rsidRPr="00200DDE">
        <w:rPr>
          <w:rFonts w:ascii="Arial" w:hAnsi="Arial" w:cs="Arial"/>
          <w:lang w:val="en-US"/>
        </w:rPr>
        <w:t xml:space="preserve"> </w:t>
      </w:r>
      <w:r w:rsidR="00361E50">
        <w:rPr>
          <w:rFonts w:ascii="Arial" w:hAnsi="Arial" w:cs="Arial"/>
          <w:lang w:val="en-US"/>
        </w:rPr>
        <w:t>concluded</w:t>
      </w:r>
      <w:r w:rsidR="00C65354" w:rsidRPr="00200DDE">
        <w:rPr>
          <w:rFonts w:ascii="Arial" w:hAnsi="Arial" w:cs="Arial"/>
          <w:lang w:val="en-US"/>
        </w:rPr>
        <w:t>, and failure to comply with any provision of that subclause shall entitle the plaintiff to cancel the ML</w:t>
      </w:r>
      <w:r w:rsidR="00201332">
        <w:rPr>
          <w:rFonts w:ascii="Arial" w:hAnsi="Arial" w:cs="Arial"/>
          <w:lang w:val="en-US"/>
        </w:rPr>
        <w:t>A</w:t>
      </w:r>
      <w:r w:rsidR="00C65354" w:rsidRPr="00200DDE">
        <w:rPr>
          <w:rFonts w:ascii="Arial" w:hAnsi="Arial" w:cs="Arial"/>
          <w:lang w:val="en-US"/>
        </w:rPr>
        <w:t xml:space="preserve"> forthwith. If the MLA is terminated under clause 16 thereof, the first defendant shall immediately repay any outstanding amount on which interest at 4% above the ruling prime bank overdraft rate of a leading commercial bank in the country</w:t>
      </w:r>
      <w:r w:rsidR="00A273EC">
        <w:rPr>
          <w:rFonts w:ascii="Arial" w:hAnsi="Arial" w:cs="Arial"/>
          <w:lang w:val="en-US"/>
        </w:rPr>
        <w:t xml:space="preserve">, as published from time to time, shall be recoverable without </w:t>
      </w:r>
      <w:r w:rsidR="00C65354" w:rsidRPr="00200DDE">
        <w:rPr>
          <w:rFonts w:ascii="Arial" w:hAnsi="Arial" w:cs="Arial"/>
          <w:lang w:val="en-US"/>
        </w:rPr>
        <w:t>demand. A certificate on the plaintiff’s stationery, signed by a director or senior manager of the plaintiff, constitutes prima facie proof of the existence of the debt and the amount of the first defendant’s indebtedness. Amongst other</w:t>
      </w:r>
      <w:r w:rsidR="00201332">
        <w:rPr>
          <w:rFonts w:ascii="Arial" w:hAnsi="Arial" w:cs="Arial"/>
          <w:lang w:val="en-US"/>
        </w:rPr>
        <w:t>s</w:t>
      </w:r>
      <w:r w:rsidR="00C65354" w:rsidRPr="00200DDE">
        <w:rPr>
          <w:rFonts w:ascii="Arial" w:hAnsi="Arial" w:cs="Arial"/>
          <w:lang w:val="en-US"/>
        </w:rPr>
        <w:t xml:space="preserve">, if the first </w:t>
      </w:r>
      <w:r w:rsidR="00C65354" w:rsidRPr="00200DDE">
        <w:rPr>
          <w:rFonts w:ascii="Arial" w:hAnsi="Arial" w:cs="Arial"/>
          <w:lang w:val="en-US"/>
        </w:rPr>
        <w:lastRenderedPageBreak/>
        <w:t xml:space="preserve">defendant fails to pay any amount due under the MLA on </w:t>
      </w:r>
      <w:r w:rsidR="00A273EC">
        <w:rPr>
          <w:rFonts w:ascii="Arial" w:hAnsi="Arial" w:cs="Arial"/>
          <w:lang w:val="en-US"/>
        </w:rPr>
        <w:t xml:space="preserve">the </w:t>
      </w:r>
      <w:r w:rsidR="00C65354" w:rsidRPr="00200DDE">
        <w:rPr>
          <w:rFonts w:ascii="Arial" w:hAnsi="Arial" w:cs="Arial"/>
          <w:lang w:val="en-US"/>
        </w:rPr>
        <w:t xml:space="preserve">due date and if the first defendant breaches any material term of the MLA, the plaintiff shall be entitled to forthwith terminate the MLA by notice in writing. </w:t>
      </w:r>
    </w:p>
    <w:p w14:paraId="75BB0EC8" w14:textId="77777777" w:rsidR="00C65354" w:rsidRPr="004E5F07" w:rsidRDefault="00C65354" w:rsidP="00C65354">
      <w:pPr>
        <w:pStyle w:val="ListParagraph"/>
        <w:rPr>
          <w:rFonts w:ascii="Arial" w:hAnsi="Arial" w:cs="Arial"/>
          <w:lang w:val="en-US"/>
        </w:rPr>
      </w:pPr>
    </w:p>
    <w:p w14:paraId="79F0337A" w14:textId="2B201C40" w:rsidR="00C65354" w:rsidRDefault="00241370"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plaintiff supplied the first defendant with products. The first defendant breached the MLA as she failed to timely pay various amounts due </w:t>
      </w:r>
      <w:r w:rsidR="00F862F6">
        <w:rPr>
          <w:rFonts w:ascii="Arial" w:hAnsi="Arial" w:cs="Arial"/>
          <w:lang w:val="en-US"/>
        </w:rPr>
        <w:t>there</w:t>
      </w:r>
      <w:r>
        <w:rPr>
          <w:rFonts w:ascii="Arial" w:hAnsi="Arial" w:cs="Arial"/>
          <w:lang w:val="en-US"/>
        </w:rPr>
        <w:t xml:space="preserve">under on their due dates. The amount of </w:t>
      </w:r>
      <w:r w:rsidR="00201332" w:rsidRPr="002B3F98">
        <w:rPr>
          <w:rFonts w:ascii="Arial" w:hAnsi="Arial" w:cs="Arial"/>
          <w:lang w:val="en-US"/>
        </w:rPr>
        <w:t>N$</w:t>
      </w:r>
      <w:r w:rsidR="00201332">
        <w:rPr>
          <w:rFonts w:ascii="Arial" w:hAnsi="Arial" w:cs="Arial"/>
          <w:lang w:val="en-US"/>
        </w:rPr>
        <w:t>9 161 373,28</w:t>
      </w:r>
      <w:r>
        <w:rPr>
          <w:rFonts w:ascii="Arial" w:hAnsi="Arial" w:cs="Arial"/>
          <w:lang w:val="en-US"/>
        </w:rPr>
        <w:t xml:space="preserve"> consists of petrol, lubricants and diesel sold and delivered by the plaintiff to the first defendant, forecourt levies and quick shop gross monthly turnover </w:t>
      </w:r>
      <w:r w:rsidR="00201332">
        <w:rPr>
          <w:rFonts w:ascii="Arial" w:hAnsi="Arial" w:cs="Arial"/>
          <w:lang w:val="en-US"/>
        </w:rPr>
        <w:t xml:space="preserve">levies </w:t>
      </w:r>
      <w:r>
        <w:rPr>
          <w:rFonts w:ascii="Arial" w:hAnsi="Arial" w:cs="Arial"/>
          <w:lang w:val="en-US"/>
        </w:rPr>
        <w:t xml:space="preserve">due and payable by the first defendant to the plaintiff. POC3 to the particulars of claim lists the invoices issued </w:t>
      </w:r>
      <w:r w:rsidR="00376D49">
        <w:rPr>
          <w:rFonts w:ascii="Arial" w:hAnsi="Arial" w:cs="Arial"/>
          <w:lang w:val="en-US"/>
        </w:rPr>
        <w:t xml:space="preserve">to the first defendant </w:t>
      </w:r>
      <w:r>
        <w:rPr>
          <w:rFonts w:ascii="Arial" w:hAnsi="Arial" w:cs="Arial"/>
          <w:lang w:val="en-US"/>
        </w:rPr>
        <w:t xml:space="preserve">and their respective due dates in the </w:t>
      </w:r>
      <w:r w:rsidR="00A273EC">
        <w:rPr>
          <w:rFonts w:ascii="Arial" w:hAnsi="Arial" w:cs="Arial"/>
          <w:lang w:val="en-US"/>
        </w:rPr>
        <w:t xml:space="preserve">grand total of </w:t>
      </w:r>
      <w:r>
        <w:rPr>
          <w:rFonts w:ascii="Arial" w:hAnsi="Arial" w:cs="Arial"/>
          <w:lang w:val="en-US"/>
        </w:rPr>
        <w:t xml:space="preserve">N$9 161 373,28. POC4 to the particulars of claim is a copy of a certificate </w:t>
      </w:r>
      <w:r w:rsidR="00376D49">
        <w:rPr>
          <w:rFonts w:ascii="Arial" w:hAnsi="Arial" w:cs="Arial"/>
          <w:lang w:val="en-US"/>
        </w:rPr>
        <w:t xml:space="preserve">of indebtedness </w:t>
      </w:r>
      <w:r>
        <w:rPr>
          <w:rFonts w:ascii="Arial" w:hAnsi="Arial" w:cs="Arial"/>
          <w:lang w:val="en-US"/>
        </w:rPr>
        <w:t>on the plaintiff’s stationery signed by the plaintiff’s managing director confirming th</w:t>
      </w:r>
      <w:r w:rsidR="0038756F">
        <w:rPr>
          <w:rFonts w:ascii="Arial" w:hAnsi="Arial" w:cs="Arial"/>
          <w:lang w:val="en-US"/>
        </w:rPr>
        <w:t>e</w:t>
      </w:r>
      <w:r>
        <w:rPr>
          <w:rFonts w:ascii="Arial" w:hAnsi="Arial" w:cs="Arial"/>
          <w:lang w:val="en-US"/>
        </w:rPr>
        <w:t xml:space="preserve"> </w:t>
      </w:r>
      <w:r w:rsidR="00376D49">
        <w:rPr>
          <w:rFonts w:ascii="Arial" w:hAnsi="Arial" w:cs="Arial"/>
          <w:lang w:val="en-US"/>
        </w:rPr>
        <w:t>grand total amount</w:t>
      </w:r>
      <w:r>
        <w:rPr>
          <w:rFonts w:ascii="Arial" w:hAnsi="Arial" w:cs="Arial"/>
          <w:lang w:val="en-US"/>
        </w:rPr>
        <w:t xml:space="preserve">. The first defendant furthermore breached the MLA as she failed to </w:t>
      </w:r>
      <w:r w:rsidR="00A273EC">
        <w:rPr>
          <w:rFonts w:ascii="Arial" w:hAnsi="Arial" w:cs="Arial"/>
          <w:lang w:val="en-US"/>
        </w:rPr>
        <w:t>continuously</w:t>
      </w:r>
      <w:r w:rsidR="00A16411">
        <w:rPr>
          <w:rFonts w:ascii="Arial" w:hAnsi="Arial" w:cs="Arial"/>
          <w:lang w:val="en-US"/>
        </w:rPr>
        <w:t xml:space="preserve"> maintain adequate stock of the plaintiff’s products at the property</w:t>
      </w:r>
      <w:r>
        <w:rPr>
          <w:rFonts w:ascii="Arial" w:hAnsi="Arial" w:cs="Arial"/>
          <w:lang w:val="en-US"/>
        </w:rPr>
        <w:t>.</w:t>
      </w:r>
    </w:p>
    <w:p w14:paraId="41A788AB" w14:textId="77777777" w:rsidR="00A16411" w:rsidRPr="00A16411" w:rsidRDefault="00A16411" w:rsidP="00A16411">
      <w:pPr>
        <w:pStyle w:val="ListParagraph"/>
        <w:rPr>
          <w:rFonts w:ascii="Arial" w:hAnsi="Arial" w:cs="Arial"/>
          <w:lang w:val="en-US"/>
        </w:rPr>
      </w:pPr>
    </w:p>
    <w:p w14:paraId="28A64F2E" w14:textId="71B2F60D" w:rsidR="00A16411" w:rsidRDefault="00A16411"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cancelled the MLA on</w:t>
      </w:r>
      <w:r w:rsidR="00201332">
        <w:rPr>
          <w:rFonts w:ascii="Arial" w:hAnsi="Arial" w:cs="Arial"/>
          <w:lang w:val="en-US"/>
        </w:rPr>
        <w:t xml:space="preserve"> </w:t>
      </w:r>
      <w:r>
        <w:rPr>
          <w:rFonts w:ascii="Arial" w:hAnsi="Arial" w:cs="Arial"/>
          <w:lang w:val="en-US"/>
        </w:rPr>
        <w:t xml:space="preserve">13 April 2022 due to the first defendant’s continued breaches. Despite demand, </w:t>
      </w:r>
      <w:r w:rsidR="00A273EC">
        <w:rPr>
          <w:rFonts w:ascii="Arial" w:hAnsi="Arial" w:cs="Arial"/>
          <w:lang w:val="en-US"/>
        </w:rPr>
        <w:t>N$9 161 373,28 remains due and owing, and the first defendant is indebted to the plaintiff in that amount which</w:t>
      </w:r>
      <w:r>
        <w:rPr>
          <w:rFonts w:ascii="Arial" w:hAnsi="Arial" w:cs="Arial"/>
          <w:lang w:val="en-US"/>
        </w:rPr>
        <w:t xml:space="preserve"> she fails</w:t>
      </w:r>
      <w:r w:rsidR="0064383A">
        <w:rPr>
          <w:rFonts w:ascii="Arial" w:hAnsi="Arial" w:cs="Arial"/>
          <w:lang w:val="en-US"/>
        </w:rPr>
        <w:t xml:space="preserve">, </w:t>
      </w:r>
      <w:r>
        <w:rPr>
          <w:rFonts w:ascii="Arial" w:hAnsi="Arial" w:cs="Arial"/>
          <w:lang w:val="en-US"/>
        </w:rPr>
        <w:t>neglects and/or refuses to pay.</w:t>
      </w:r>
    </w:p>
    <w:p w14:paraId="0F386E7B" w14:textId="77777777" w:rsidR="00A16411" w:rsidRPr="00A16411" w:rsidRDefault="00A16411" w:rsidP="00A16411">
      <w:pPr>
        <w:pStyle w:val="ListParagraph"/>
        <w:rPr>
          <w:rFonts w:ascii="Arial" w:hAnsi="Arial" w:cs="Arial"/>
          <w:lang w:val="en-US"/>
        </w:rPr>
      </w:pPr>
    </w:p>
    <w:p w14:paraId="26064438" w14:textId="27F0AA57" w:rsidR="00A16411" w:rsidRPr="00421D33" w:rsidRDefault="00F862F6" w:rsidP="00421D3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In May 2022, t</w:t>
      </w:r>
      <w:r w:rsidR="00A16411">
        <w:rPr>
          <w:rFonts w:ascii="Arial" w:hAnsi="Arial" w:cs="Arial"/>
          <w:lang w:val="en-US"/>
        </w:rPr>
        <w:t>he parties</w:t>
      </w:r>
      <w:r w:rsidR="00A273EC">
        <w:rPr>
          <w:rFonts w:ascii="Arial" w:hAnsi="Arial" w:cs="Arial"/>
          <w:lang w:val="en-US"/>
        </w:rPr>
        <w:t xml:space="preserve"> </w:t>
      </w:r>
      <w:r w:rsidR="0064383A">
        <w:rPr>
          <w:rFonts w:ascii="Arial" w:hAnsi="Arial" w:cs="Arial"/>
          <w:lang w:val="en-US"/>
        </w:rPr>
        <w:t>concluded</w:t>
      </w:r>
      <w:r w:rsidR="00A273EC">
        <w:rPr>
          <w:rFonts w:ascii="Arial" w:hAnsi="Arial" w:cs="Arial"/>
          <w:lang w:val="en-US"/>
        </w:rPr>
        <w:t xml:space="preserve"> a written deed of settlement under another case number</w:t>
      </w:r>
      <w:r>
        <w:rPr>
          <w:rFonts w:ascii="Arial" w:hAnsi="Arial" w:cs="Arial"/>
          <w:lang w:val="en-US"/>
        </w:rPr>
        <w:t>,</w:t>
      </w:r>
      <w:r w:rsidR="00A273EC">
        <w:rPr>
          <w:rFonts w:ascii="Arial" w:hAnsi="Arial" w:cs="Arial"/>
          <w:lang w:val="en-US"/>
        </w:rPr>
        <w:t xml:space="preserve"> </w:t>
      </w:r>
      <w:r>
        <w:rPr>
          <w:rFonts w:ascii="Arial" w:hAnsi="Arial" w:cs="Arial"/>
          <w:lang w:val="en-US"/>
        </w:rPr>
        <w:t>whereby, amongst others,</w:t>
      </w:r>
      <w:r w:rsidR="00A273EC">
        <w:rPr>
          <w:rFonts w:ascii="Arial" w:hAnsi="Arial" w:cs="Arial"/>
          <w:lang w:val="en-US"/>
        </w:rPr>
        <w:t xml:space="preserve"> the plaintiff waived its claim for interest to the value of N$75 000 per month from</w:t>
      </w:r>
      <w:r w:rsidR="00A16411">
        <w:rPr>
          <w:rFonts w:ascii="Arial" w:hAnsi="Arial" w:cs="Arial"/>
          <w:lang w:val="en-US"/>
        </w:rPr>
        <w:t xml:space="preserve"> 21 May 2022 to 21 November 2022.  </w:t>
      </w:r>
    </w:p>
    <w:p w14:paraId="55ABE258" w14:textId="77777777" w:rsidR="00A16411" w:rsidRPr="00A16411" w:rsidRDefault="00A16411" w:rsidP="00A16411">
      <w:pPr>
        <w:pStyle w:val="ListParagraph"/>
        <w:rPr>
          <w:rFonts w:ascii="Arial" w:hAnsi="Arial" w:cs="Arial"/>
          <w:lang w:val="en-US"/>
        </w:rPr>
      </w:pPr>
    </w:p>
    <w:p w14:paraId="15334EB0" w14:textId="41E47A7A" w:rsidR="00C65354" w:rsidRDefault="00A16411"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Under the MLA, the first defendant is liable for the electricity </w:t>
      </w:r>
      <w:r w:rsidR="00A273EC">
        <w:rPr>
          <w:rFonts w:ascii="Arial" w:hAnsi="Arial" w:cs="Arial"/>
          <w:lang w:val="en-US"/>
        </w:rPr>
        <w:t>she consume</w:t>
      </w:r>
      <w:r w:rsidR="00F862F6">
        <w:rPr>
          <w:rFonts w:ascii="Arial" w:hAnsi="Arial" w:cs="Arial"/>
          <w:lang w:val="en-US"/>
        </w:rPr>
        <w:t>s</w:t>
      </w:r>
      <w:r w:rsidR="00A273EC">
        <w:rPr>
          <w:rFonts w:ascii="Arial" w:hAnsi="Arial" w:cs="Arial"/>
          <w:lang w:val="en-US"/>
        </w:rPr>
        <w:t xml:space="preserve"> at the property. As of 7 May 2022, the arrear electricity charges owed to NORED on the property </w:t>
      </w:r>
      <w:r w:rsidR="00F862F6">
        <w:rPr>
          <w:rFonts w:ascii="Arial" w:hAnsi="Arial" w:cs="Arial"/>
          <w:lang w:val="en-US"/>
        </w:rPr>
        <w:t>are</w:t>
      </w:r>
      <w:r w:rsidR="00A273EC">
        <w:rPr>
          <w:rFonts w:ascii="Arial" w:hAnsi="Arial" w:cs="Arial"/>
          <w:lang w:val="en-US"/>
        </w:rPr>
        <w:t xml:space="preserve"> N$133 </w:t>
      </w:r>
      <w:r w:rsidR="00000228">
        <w:rPr>
          <w:rFonts w:ascii="Arial" w:hAnsi="Arial" w:cs="Arial"/>
          <w:lang w:val="en-US"/>
        </w:rPr>
        <w:t>969</w:t>
      </w:r>
      <w:r w:rsidR="00A273EC">
        <w:rPr>
          <w:rFonts w:ascii="Arial" w:hAnsi="Arial" w:cs="Arial"/>
          <w:lang w:val="en-US"/>
        </w:rPr>
        <w:t>. POC6 to the particulars of</w:t>
      </w:r>
      <w:r w:rsidR="00CE6957">
        <w:rPr>
          <w:rFonts w:ascii="Arial" w:hAnsi="Arial" w:cs="Arial"/>
          <w:lang w:val="en-US"/>
        </w:rPr>
        <w:t xml:space="preserve"> claim reflects those outstanding electricity charges.</w:t>
      </w:r>
    </w:p>
    <w:p w14:paraId="22799EBF" w14:textId="77777777" w:rsidR="00CE6957" w:rsidRPr="00CE6957" w:rsidRDefault="00CE6957" w:rsidP="00CE6957">
      <w:pPr>
        <w:pStyle w:val="ListParagraph"/>
        <w:rPr>
          <w:rFonts w:ascii="Arial" w:hAnsi="Arial" w:cs="Arial"/>
          <w:lang w:val="en-US"/>
        </w:rPr>
      </w:pPr>
    </w:p>
    <w:p w14:paraId="0F96AD0E" w14:textId="5A580133" w:rsidR="00CE6957" w:rsidRDefault="00CE6957"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On 20 May 2023, and in line with the deed of settlement</w:t>
      </w:r>
      <w:r w:rsidR="00A273EC">
        <w:rPr>
          <w:rFonts w:ascii="Arial" w:hAnsi="Arial" w:cs="Arial"/>
          <w:lang w:val="en-US"/>
        </w:rPr>
        <w:t xml:space="preserve"> referred to above</w:t>
      </w:r>
      <w:r>
        <w:rPr>
          <w:rFonts w:ascii="Arial" w:hAnsi="Arial" w:cs="Arial"/>
          <w:lang w:val="en-US"/>
        </w:rPr>
        <w:t xml:space="preserve">, the plaintiff handed the property over to a third party for it to conduct </w:t>
      </w:r>
      <w:r w:rsidR="0096706C">
        <w:rPr>
          <w:rFonts w:ascii="Arial" w:hAnsi="Arial" w:cs="Arial"/>
          <w:lang w:val="en-US"/>
        </w:rPr>
        <w:t xml:space="preserve">the </w:t>
      </w:r>
      <w:r>
        <w:rPr>
          <w:rFonts w:ascii="Arial" w:hAnsi="Arial" w:cs="Arial"/>
          <w:lang w:val="en-US"/>
        </w:rPr>
        <w:t xml:space="preserve">business </w:t>
      </w:r>
      <w:r w:rsidR="0096706C">
        <w:rPr>
          <w:rFonts w:ascii="Arial" w:hAnsi="Arial" w:cs="Arial"/>
          <w:lang w:val="en-US"/>
        </w:rPr>
        <w:t>at</w:t>
      </w:r>
      <w:r>
        <w:rPr>
          <w:rFonts w:ascii="Arial" w:hAnsi="Arial" w:cs="Arial"/>
          <w:lang w:val="en-US"/>
        </w:rPr>
        <w:t xml:space="preserve"> the property. The third party settled the outstanding electricity charges </w:t>
      </w:r>
      <w:r w:rsidR="003E3382">
        <w:rPr>
          <w:rFonts w:ascii="Arial" w:hAnsi="Arial" w:cs="Arial"/>
          <w:lang w:val="en-US"/>
        </w:rPr>
        <w:t xml:space="preserve">to </w:t>
      </w:r>
      <w:r w:rsidR="003E3382">
        <w:rPr>
          <w:rFonts w:ascii="Arial" w:hAnsi="Arial" w:cs="Arial"/>
          <w:lang w:val="en-US"/>
        </w:rPr>
        <w:lastRenderedPageBreak/>
        <w:t xml:space="preserve">NORED </w:t>
      </w:r>
      <w:r>
        <w:rPr>
          <w:rFonts w:ascii="Arial" w:hAnsi="Arial" w:cs="Arial"/>
          <w:lang w:val="en-US"/>
        </w:rPr>
        <w:t xml:space="preserve">as the electricity to the property was cut and the third party required electricity to trade from the property. </w:t>
      </w:r>
    </w:p>
    <w:p w14:paraId="5AF4209D" w14:textId="77777777" w:rsidR="00CE6957" w:rsidRPr="00CE6957" w:rsidRDefault="00CE6957" w:rsidP="00CE6957">
      <w:pPr>
        <w:pStyle w:val="ListParagraph"/>
        <w:rPr>
          <w:rFonts w:ascii="Arial" w:hAnsi="Arial" w:cs="Arial"/>
          <w:lang w:val="en-US"/>
        </w:rPr>
      </w:pPr>
    </w:p>
    <w:p w14:paraId="2B51561E" w14:textId="6F793A8D" w:rsidR="00D54C1B" w:rsidRPr="00DB45DA" w:rsidRDefault="00CE6957" w:rsidP="00DB45D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On 7 June 2023, the plaintiff reimbursed the third party for the electricity paid by </w:t>
      </w:r>
      <w:r w:rsidR="00F82ED8">
        <w:rPr>
          <w:rFonts w:ascii="Arial" w:hAnsi="Arial" w:cs="Arial"/>
          <w:lang w:val="en-US"/>
        </w:rPr>
        <w:t>it</w:t>
      </w:r>
      <w:r w:rsidR="0031536C">
        <w:rPr>
          <w:rFonts w:ascii="Arial" w:hAnsi="Arial" w:cs="Arial"/>
          <w:lang w:val="en-US"/>
        </w:rPr>
        <w:t xml:space="preserve"> to NORED</w:t>
      </w:r>
      <w:r>
        <w:rPr>
          <w:rFonts w:ascii="Arial" w:hAnsi="Arial" w:cs="Arial"/>
          <w:lang w:val="en-US"/>
        </w:rPr>
        <w:t>. Proof of the reimbursement is annexed to the particulars of claim as POC7A</w:t>
      </w:r>
      <w:r w:rsidR="003E3382">
        <w:rPr>
          <w:rFonts w:ascii="Arial" w:hAnsi="Arial" w:cs="Arial"/>
          <w:lang w:val="en-US"/>
        </w:rPr>
        <w:t>,</w:t>
      </w:r>
      <w:r>
        <w:rPr>
          <w:rFonts w:ascii="Arial" w:hAnsi="Arial" w:cs="Arial"/>
          <w:lang w:val="en-US"/>
        </w:rPr>
        <w:t xml:space="preserve"> and the subsequent invoice by the third party </w:t>
      </w:r>
      <w:r w:rsidR="00F862F6">
        <w:rPr>
          <w:rFonts w:ascii="Arial" w:hAnsi="Arial" w:cs="Arial"/>
          <w:lang w:val="en-US"/>
        </w:rPr>
        <w:t xml:space="preserve">to the plaintiff </w:t>
      </w:r>
      <w:r>
        <w:rPr>
          <w:rFonts w:ascii="Arial" w:hAnsi="Arial" w:cs="Arial"/>
          <w:lang w:val="en-US"/>
        </w:rPr>
        <w:t xml:space="preserve">for the payment </w:t>
      </w:r>
      <w:r w:rsidR="00F82ED8">
        <w:rPr>
          <w:rFonts w:ascii="Arial" w:hAnsi="Arial" w:cs="Arial"/>
          <w:lang w:val="en-US"/>
        </w:rPr>
        <w:t xml:space="preserve">is annexed </w:t>
      </w:r>
      <w:r>
        <w:rPr>
          <w:rFonts w:ascii="Arial" w:hAnsi="Arial" w:cs="Arial"/>
          <w:lang w:val="en-US"/>
        </w:rPr>
        <w:t xml:space="preserve">as POC7B. In so paying, the plaintiff had the bona fide intention to benefit the first defendant, </w:t>
      </w:r>
      <w:r w:rsidR="00F82ED8">
        <w:rPr>
          <w:rFonts w:ascii="Arial" w:hAnsi="Arial" w:cs="Arial"/>
          <w:lang w:val="en-US"/>
        </w:rPr>
        <w:t>unaware of the payment</w:t>
      </w:r>
      <w:r>
        <w:rPr>
          <w:rFonts w:ascii="Arial" w:hAnsi="Arial" w:cs="Arial"/>
          <w:lang w:val="en-US"/>
        </w:rPr>
        <w:t xml:space="preserve">. </w:t>
      </w:r>
      <w:r w:rsidR="00F82ED8">
        <w:rPr>
          <w:rFonts w:ascii="Arial" w:hAnsi="Arial" w:cs="Arial"/>
          <w:lang w:val="en-US"/>
        </w:rPr>
        <w:t>T</w:t>
      </w:r>
      <w:r>
        <w:rPr>
          <w:rFonts w:ascii="Arial" w:hAnsi="Arial" w:cs="Arial"/>
          <w:lang w:val="en-US"/>
        </w:rPr>
        <w:t>he payment benefitted</w:t>
      </w:r>
      <w:r w:rsidR="00F82ED8">
        <w:rPr>
          <w:rFonts w:ascii="Arial" w:hAnsi="Arial" w:cs="Arial"/>
          <w:lang w:val="en-US"/>
        </w:rPr>
        <w:t xml:space="preserve"> the first defendant</w:t>
      </w:r>
      <w:r>
        <w:rPr>
          <w:rFonts w:ascii="Arial" w:hAnsi="Arial" w:cs="Arial"/>
          <w:lang w:val="en-US"/>
        </w:rPr>
        <w:t xml:space="preserve"> as her debt to NORED became discharged, and the plaintiff always intended to be recompensated for its payment. Through that payment, the first defendant was unduly enriched at the plaintiff’s expense </w:t>
      </w:r>
      <w:r w:rsidR="00F82ED8">
        <w:rPr>
          <w:rFonts w:ascii="Arial" w:hAnsi="Arial" w:cs="Arial"/>
          <w:lang w:val="en-US"/>
        </w:rPr>
        <w:t>for</w:t>
      </w:r>
      <w:r>
        <w:rPr>
          <w:rFonts w:ascii="Arial" w:hAnsi="Arial" w:cs="Arial"/>
          <w:lang w:val="en-US"/>
        </w:rPr>
        <w:t xml:space="preserve"> N$133 </w:t>
      </w:r>
      <w:r w:rsidR="00000228">
        <w:rPr>
          <w:rFonts w:ascii="Arial" w:hAnsi="Arial" w:cs="Arial"/>
          <w:lang w:val="en-US"/>
        </w:rPr>
        <w:t>969</w:t>
      </w:r>
      <w:r>
        <w:rPr>
          <w:rFonts w:ascii="Arial" w:hAnsi="Arial" w:cs="Arial"/>
          <w:lang w:val="en-US"/>
        </w:rPr>
        <w:t>.</w:t>
      </w:r>
    </w:p>
    <w:p w14:paraId="6A619144" w14:textId="77777777" w:rsidR="00D54C1B" w:rsidRPr="00D54C1B" w:rsidRDefault="00D54C1B" w:rsidP="00D54C1B">
      <w:pPr>
        <w:pStyle w:val="ListParagraph"/>
        <w:rPr>
          <w:rFonts w:ascii="Arial" w:hAnsi="Arial" w:cs="Arial"/>
          <w:lang w:val="en-US"/>
        </w:rPr>
      </w:pPr>
    </w:p>
    <w:p w14:paraId="11251E80" w14:textId="758D1089" w:rsidR="00C933BF" w:rsidRDefault="00CE6957" w:rsidP="0069504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is the holder of a mortgage bond</w:t>
      </w:r>
      <w:r w:rsidR="000D7EE4">
        <w:rPr>
          <w:rFonts w:ascii="Arial" w:hAnsi="Arial" w:cs="Arial"/>
          <w:lang w:val="en-US"/>
        </w:rPr>
        <w:t xml:space="preserve"> executed by the first defendant in favour of the plaintiff</w:t>
      </w:r>
      <w:r w:rsidR="00392A50">
        <w:rPr>
          <w:rFonts w:ascii="Arial" w:hAnsi="Arial" w:cs="Arial"/>
          <w:lang w:val="en-US"/>
        </w:rPr>
        <w:t xml:space="preserve"> (the bond). T</w:t>
      </w:r>
      <w:r w:rsidR="000D7EE4">
        <w:rPr>
          <w:rFonts w:ascii="Arial" w:hAnsi="Arial" w:cs="Arial"/>
          <w:lang w:val="en-US"/>
        </w:rPr>
        <w:t xml:space="preserve">he first defendant bound herself for the due and punctual payment </w:t>
      </w:r>
      <w:r w:rsidR="00392A50">
        <w:rPr>
          <w:rFonts w:ascii="Arial" w:hAnsi="Arial" w:cs="Arial"/>
          <w:lang w:val="en-US"/>
        </w:rPr>
        <w:t xml:space="preserve">to the plaintiff </w:t>
      </w:r>
      <w:r w:rsidR="000D7EE4">
        <w:rPr>
          <w:rFonts w:ascii="Arial" w:hAnsi="Arial" w:cs="Arial"/>
          <w:lang w:val="en-US"/>
        </w:rPr>
        <w:t xml:space="preserve">of all monies </w:t>
      </w:r>
      <w:r w:rsidR="00392A50">
        <w:rPr>
          <w:rFonts w:ascii="Arial" w:hAnsi="Arial" w:cs="Arial"/>
          <w:lang w:val="en-US"/>
        </w:rPr>
        <w:t xml:space="preserve">as were </w:t>
      </w:r>
      <w:r w:rsidR="000D7EE4">
        <w:rPr>
          <w:rFonts w:ascii="Arial" w:hAnsi="Arial" w:cs="Arial"/>
          <w:lang w:val="en-US"/>
        </w:rPr>
        <w:t xml:space="preserve">at the time of </w:t>
      </w:r>
      <w:r w:rsidR="00392A50">
        <w:rPr>
          <w:rFonts w:ascii="Arial" w:hAnsi="Arial" w:cs="Arial"/>
          <w:lang w:val="en-US"/>
        </w:rPr>
        <w:t xml:space="preserve">the bond’s </w:t>
      </w:r>
      <w:r w:rsidR="0031536C">
        <w:rPr>
          <w:rFonts w:ascii="Arial" w:hAnsi="Arial" w:cs="Arial"/>
          <w:lang w:val="en-US"/>
        </w:rPr>
        <w:t>execution</w:t>
      </w:r>
      <w:r w:rsidR="000D7EE4">
        <w:rPr>
          <w:rFonts w:ascii="Arial" w:hAnsi="Arial" w:cs="Arial"/>
          <w:lang w:val="en-US"/>
        </w:rPr>
        <w:t xml:space="preserve"> or </w:t>
      </w:r>
      <w:r w:rsidR="00392A50">
        <w:rPr>
          <w:rFonts w:ascii="Arial" w:hAnsi="Arial" w:cs="Arial"/>
          <w:lang w:val="en-US"/>
        </w:rPr>
        <w:t xml:space="preserve">may </w:t>
      </w:r>
      <w:r w:rsidR="000D7EE4">
        <w:rPr>
          <w:rFonts w:ascii="Arial" w:hAnsi="Arial" w:cs="Arial"/>
          <w:lang w:val="en-US"/>
        </w:rPr>
        <w:t xml:space="preserve">thereafter </w:t>
      </w:r>
      <w:r w:rsidR="00392A50">
        <w:rPr>
          <w:rFonts w:ascii="Arial" w:hAnsi="Arial" w:cs="Arial"/>
          <w:lang w:val="en-US"/>
        </w:rPr>
        <w:t>be</w:t>
      </w:r>
      <w:r w:rsidR="004320AE">
        <w:rPr>
          <w:rFonts w:ascii="Arial" w:hAnsi="Arial" w:cs="Arial"/>
          <w:lang w:val="en-US"/>
        </w:rPr>
        <w:t>come</w:t>
      </w:r>
      <w:r w:rsidR="00392A50">
        <w:rPr>
          <w:rFonts w:ascii="Arial" w:hAnsi="Arial" w:cs="Arial"/>
          <w:lang w:val="en-US"/>
        </w:rPr>
        <w:t xml:space="preserve"> owing by the first defendant </w:t>
      </w:r>
      <w:r w:rsidR="000D7EE4">
        <w:rPr>
          <w:rFonts w:ascii="Arial" w:hAnsi="Arial" w:cs="Arial"/>
          <w:lang w:val="en-US"/>
        </w:rPr>
        <w:t>to the plaintiff from any cause</w:t>
      </w:r>
      <w:r w:rsidR="004320AE">
        <w:rPr>
          <w:rFonts w:ascii="Arial" w:hAnsi="Arial" w:cs="Arial"/>
          <w:lang w:val="en-US"/>
        </w:rPr>
        <w:t>,</w:t>
      </w:r>
      <w:r w:rsidR="000D7EE4">
        <w:rPr>
          <w:rFonts w:ascii="Arial" w:hAnsi="Arial" w:cs="Arial"/>
          <w:lang w:val="en-US"/>
        </w:rPr>
        <w:t xml:space="preserve"> howsoever arising. </w:t>
      </w:r>
    </w:p>
    <w:p w14:paraId="580FCB6C" w14:textId="77777777" w:rsidR="00C933BF" w:rsidRPr="00C933BF" w:rsidRDefault="00C933BF" w:rsidP="00C933BF">
      <w:pPr>
        <w:pStyle w:val="ListParagraph"/>
        <w:rPr>
          <w:rFonts w:ascii="Arial" w:hAnsi="Arial" w:cs="Arial"/>
          <w:lang w:val="en-US"/>
        </w:rPr>
      </w:pPr>
    </w:p>
    <w:p w14:paraId="66019759" w14:textId="27FB5342" w:rsidR="00695048" w:rsidRDefault="004320AE" w:rsidP="0069504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Some of the terms of the bond relied on are as follows</w:t>
      </w:r>
      <w:r w:rsidR="00C933BF">
        <w:rPr>
          <w:rFonts w:ascii="Arial" w:hAnsi="Arial" w:cs="Arial"/>
          <w:lang w:val="en-US"/>
        </w:rPr>
        <w:t xml:space="preserve">. </w:t>
      </w:r>
      <w:r>
        <w:rPr>
          <w:rFonts w:ascii="Arial" w:hAnsi="Arial" w:cs="Arial"/>
          <w:lang w:val="en-US"/>
        </w:rPr>
        <w:t>A</w:t>
      </w:r>
      <w:r w:rsidR="000D7EE4" w:rsidRPr="000D7EE4">
        <w:rPr>
          <w:rFonts w:ascii="Arial" w:hAnsi="Arial" w:cs="Arial"/>
          <w:lang w:val="en-US"/>
        </w:rPr>
        <w:t xml:space="preserve">s security for </w:t>
      </w:r>
      <w:r>
        <w:rPr>
          <w:rFonts w:ascii="Arial" w:hAnsi="Arial" w:cs="Arial"/>
          <w:lang w:val="en-US"/>
        </w:rPr>
        <w:t xml:space="preserve">the </w:t>
      </w:r>
      <w:r w:rsidR="000D7EE4" w:rsidRPr="000D7EE4">
        <w:rPr>
          <w:rFonts w:ascii="Arial" w:hAnsi="Arial" w:cs="Arial"/>
          <w:lang w:val="en-US"/>
        </w:rPr>
        <w:t>payment of</w:t>
      </w:r>
      <w:r>
        <w:rPr>
          <w:rFonts w:ascii="Arial" w:hAnsi="Arial" w:cs="Arial"/>
          <w:lang w:val="en-US"/>
        </w:rPr>
        <w:t xml:space="preserve"> the capital amount and additional sum </w:t>
      </w:r>
      <w:r w:rsidR="0031536C">
        <w:rPr>
          <w:rFonts w:ascii="Arial" w:hAnsi="Arial" w:cs="Arial"/>
          <w:lang w:val="en-US"/>
        </w:rPr>
        <w:t xml:space="preserve">contained </w:t>
      </w:r>
      <w:r>
        <w:rPr>
          <w:rFonts w:ascii="Arial" w:hAnsi="Arial" w:cs="Arial"/>
          <w:lang w:val="en-US"/>
        </w:rPr>
        <w:t>in the bond and</w:t>
      </w:r>
      <w:r w:rsidR="000D7EE4" w:rsidRPr="000D7EE4">
        <w:rPr>
          <w:rFonts w:ascii="Arial" w:hAnsi="Arial" w:cs="Arial"/>
          <w:lang w:val="en-US"/>
        </w:rPr>
        <w:t xml:space="preserve"> all </w:t>
      </w:r>
      <w:r>
        <w:rPr>
          <w:rFonts w:ascii="Arial" w:hAnsi="Arial" w:cs="Arial"/>
          <w:lang w:val="en-US"/>
        </w:rPr>
        <w:t xml:space="preserve">other </w:t>
      </w:r>
      <w:r w:rsidR="000D7EE4" w:rsidRPr="000D7EE4">
        <w:rPr>
          <w:rFonts w:ascii="Arial" w:hAnsi="Arial" w:cs="Arial"/>
          <w:lang w:val="en-US"/>
        </w:rPr>
        <w:t>sums of mo</w:t>
      </w:r>
      <w:r>
        <w:rPr>
          <w:rFonts w:ascii="Arial" w:hAnsi="Arial" w:cs="Arial"/>
          <w:lang w:val="en-US"/>
        </w:rPr>
        <w:t xml:space="preserve">ney claimable under the bond or that may </w:t>
      </w:r>
      <w:r w:rsidR="000D7EE4" w:rsidRPr="000D7EE4">
        <w:rPr>
          <w:rFonts w:ascii="Arial" w:hAnsi="Arial" w:cs="Arial"/>
          <w:lang w:val="en-US"/>
        </w:rPr>
        <w:t>at any time be or become due and owing to the plaintiff arising from any cause whatsoever and for the due performance of the conditions of the bond</w:t>
      </w:r>
      <w:r>
        <w:rPr>
          <w:rFonts w:ascii="Arial" w:hAnsi="Arial" w:cs="Arial"/>
          <w:lang w:val="en-US"/>
        </w:rPr>
        <w:t xml:space="preserve">, the </w:t>
      </w:r>
      <w:r w:rsidR="00142B2F">
        <w:rPr>
          <w:rFonts w:ascii="Arial" w:hAnsi="Arial" w:cs="Arial"/>
          <w:lang w:val="en-US"/>
        </w:rPr>
        <w:t>first defendant bound the property as a first mortgage</w:t>
      </w:r>
      <w:r w:rsidR="00C933BF">
        <w:rPr>
          <w:rFonts w:ascii="Arial" w:hAnsi="Arial" w:cs="Arial"/>
          <w:lang w:val="en-US"/>
        </w:rPr>
        <w:t>. A</w:t>
      </w:r>
      <w:r w:rsidR="000D7EE4" w:rsidRPr="000D7EE4">
        <w:rPr>
          <w:rFonts w:ascii="Arial" w:hAnsi="Arial" w:cs="Arial"/>
          <w:lang w:val="en-US"/>
        </w:rPr>
        <w:t>ll amount</w:t>
      </w:r>
      <w:r w:rsidR="003E3382">
        <w:rPr>
          <w:rFonts w:ascii="Arial" w:hAnsi="Arial" w:cs="Arial"/>
          <w:lang w:val="en-US"/>
        </w:rPr>
        <w:t>s</w:t>
      </w:r>
      <w:r w:rsidR="000D7EE4" w:rsidRPr="000D7EE4">
        <w:rPr>
          <w:rFonts w:ascii="Arial" w:hAnsi="Arial" w:cs="Arial"/>
          <w:lang w:val="en-US"/>
        </w:rPr>
        <w:t xml:space="preserve"> payable under the bond shall be paid on demand.</w:t>
      </w:r>
      <w:r w:rsidR="000D7EE4">
        <w:rPr>
          <w:rFonts w:ascii="Arial" w:hAnsi="Arial" w:cs="Arial"/>
          <w:lang w:val="en-US"/>
        </w:rPr>
        <w:t xml:space="preserve"> The plaintiff may charge interest on any amount not paid at the maximum permissible rate in Namibia. The first defendant shall pay all legal expenses in suing for recovery of any money claimable under the bond</w:t>
      </w:r>
      <w:r w:rsidR="0064383A">
        <w:rPr>
          <w:rFonts w:ascii="Arial" w:hAnsi="Arial" w:cs="Arial"/>
          <w:lang w:val="en-US"/>
        </w:rPr>
        <w:t>,</w:t>
      </w:r>
      <w:r w:rsidR="000D7EE4">
        <w:rPr>
          <w:rFonts w:ascii="Arial" w:hAnsi="Arial" w:cs="Arial"/>
          <w:lang w:val="en-US"/>
        </w:rPr>
        <w:t xml:space="preserve"> including costs between attorney and client. In the event of a default stipulated in the bond, including failing punctually to pay, at the option of the plaintiff, any sum whatsoever owing by the first defendant to the plaintiff shall be considered as legally claimable and due forthwith without notice and without having been specially placed in default by reason of such failure. A certificate signed by any manager or accountant of the plaintiff or any person acting in any such capacity </w:t>
      </w:r>
      <w:r w:rsidR="00695048">
        <w:rPr>
          <w:rFonts w:ascii="Arial" w:hAnsi="Arial" w:cs="Arial"/>
          <w:lang w:val="en-US"/>
        </w:rPr>
        <w:t xml:space="preserve">showing the amount owing shall be sufficient and satisfactory proof for the </w:t>
      </w:r>
      <w:r w:rsidR="00695048">
        <w:rPr>
          <w:rFonts w:ascii="Arial" w:hAnsi="Arial" w:cs="Arial"/>
          <w:lang w:val="en-US"/>
        </w:rPr>
        <w:lastRenderedPageBreak/>
        <w:t>purpose of obtaining summary judgment under the bond and it shall rest with the first defendant to prove that such amount is not owing.</w:t>
      </w:r>
    </w:p>
    <w:p w14:paraId="66181D60" w14:textId="77777777" w:rsidR="00695048" w:rsidRPr="00CE6957" w:rsidRDefault="00695048" w:rsidP="00695048">
      <w:pPr>
        <w:pStyle w:val="ListParagraph"/>
        <w:rPr>
          <w:rFonts w:ascii="Arial" w:hAnsi="Arial" w:cs="Arial"/>
          <w:lang w:val="en-US"/>
        </w:rPr>
      </w:pPr>
    </w:p>
    <w:p w14:paraId="16C7961F" w14:textId="6FB5C03F" w:rsidR="00142B2F" w:rsidRDefault="00695048"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first defendant was </w:t>
      </w:r>
      <w:r w:rsidR="00142B2F">
        <w:rPr>
          <w:rFonts w:ascii="Arial" w:hAnsi="Arial" w:cs="Arial"/>
          <w:lang w:val="en-US"/>
        </w:rPr>
        <w:t>informed</w:t>
      </w:r>
      <w:r>
        <w:rPr>
          <w:rFonts w:ascii="Arial" w:hAnsi="Arial" w:cs="Arial"/>
          <w:lang w:val="en-US"/>
        </w:rPr>
        <w:t xml:space="preserve"> of the plaintiff’s intention to seek an order declaring the property executable under r 108(2)</w:t>
      </w:r>
      <w:r w:rsidR="003E3382">
        <w:rPr>
          <w:rFonts w:ascii="Arial" w:hAnsi="Arial" w:cs="Arial"/>
          <w:lang w:val="en-US"/>
        </w:rPr>
        <w:t>,</w:t>
      </w:r>
      <w:r>
        <w:rPr>
          <w:rFonts w:ascii="Arial" w:hAnsi="Arial" w:cs="Arial"/>
          <w:lang w:val="en-US"/>
        </w:rPr>
        <w:t xml:space="preserve"> and the plaintiff’s notice under r 108(2)(a) is annexed to the particulars of claim. The first defendant was invited to place relevant facts and/or circumstances before the court to show why the property should not be declared executable simultaneously with judgment.</w:t>
      </w:r>
      <w:r w:rsidR="00376D49">
        <w:rPr>
          <w:rFonts w:ascii="Arial" w:hAnsi="Arial" w:cs="Arial"/>
          <w:lang w:val="en-US"/>
        </w:rPr>
        <w:t xml:space="preserve"> </w:t>
      </w:r>
      <w:r w:rsidRPr="00376D49">
        <w:rPr>
          <w:rFonts w:ascii="Arial" w:hAnsi="Arial" w:cs="Arial"/>
          <w:lang w:val="en-US"/>
        </w:rPr>
        <w:t xml:space="preserve">The relevant circumstances </w:t>
      </w:r>
      <w:r w:rsidR="00C933BF" w:rsidRPr="00376D49">
        <w:rPr>
          <w:rFonts w:ascii="Arial" w:hAnsi="Arial" w:cs="Arial"/>
          <w:lang w:val="en-US"/>
        </w:rPr>
        <w:t xml:space="preserve">provided by the plaintiff </w:t>
      </w:r>
      <w:r w:rsidRPr="00376D49">
        <w:rPr>
          <w:rFonts w:ascii="Arial" w:hAnsi="Arial" w:cs="Arial"/>
          <w:lang w:val="en-US"/>
        </w:rPr>
        <w:t xml:space="preserve">are </w:t>
      </w:r>
      <w:r w:rsidR="00C51946" w:rsidRPr="00376D49">
        <w:rPr>
          <w:rFonts w:ascii="Arial" w:hAnsi="Arial" w:cs="Arial"/>
          <w:lang w:val="en-US"/>
        </w:rPr>
        <w:t>as follows.</w:t>
      </w:r>
      <w:r w:rsidRPr="00376D49">
        <w:rPr>
          <w:rFonts w:ascii="Arial" w:hAnsi="Arial" w:cs="Arial"/>
          <w:lang w:val="en-US"/>
        </w:rPr>
        <w:t xml:space="preserve"> </w:t>
      </w:r>
      <w:r w:rsidR="00C51946" w:rsidRPr="00376D49">
        <w:rPr>
          <w:rFonts w:ascii="Arial" w:hAnsi="Arial" w:cs="Arial"/>
          <w:lang w:val="en-US"/>
        </w:rPr>
        <w:t>T</w:t>
      </w:r>
      <w:r w:rsidRPr="00376D49">
        <w:rPr>
          <w:rFonts w:ascii="Arial" w:hAnsi="Arial" w:cs="Arial"/>
          <w:lang w:val="en-US"/>
        </w:rPr>
        <w:t>he first defendant’s indebtedness to the plaintiff is substantial</w:t>
      </w:r>
      <w:r w:rsidR="00C51946" w:rsidRPr="00376D49">
        <w:rPr>
          <w:rFonts w:ascii="Arial" w:hAnsi="Arial" w:cs="Arial"/>
          <w:lang w:val="en-US"/>
        </w:rPr>
        <w:t>. N</w:t>
      </w:r>
      <w:r w:rsidRPr="00376D49">
        <w:rPr>
          <w:rFonts w:ascii="Arial" w:hAnsi="Arial" w:cs="Arial"/>
          <w:lang w:val="en-US"/>
        </w:rPr>
        <w:t>o alternative reasonable means exist through which the first defendant can satisfy the debt other than declaring the property executable</w:t>
      </w:r>
      <w:r w:rsidR="00C51946" w:rsidRPr="00376D49">
        <w:rPr>
          <w:rFonts w:ascii="Arial" w:hAnsi="Arial" w:cs="Arial"/>
          <w:lang w:val="en-US"/>
        </w:rPr>
        <w:t>. T</w:t>
      </w:r>
      <w:r w:rsidRPr="00376D49">
        <w:rPr>
          <w:rFonts w:ascii="Arial" w:hAnsi="Arial" w:cs="Arial"/>
          <w:lang w:val="en-US"/>
        </w:rPr>
        <w:t>he first defendant specifically hypothecated the property to the plaintiff as security for her indebtedness</w:t>
      </w:r>
      <w:r w:rsidR="00C51946" w:rsidRPr="00376D49">
        <w:rPr>
          <w:rFonts w:ascii="Arial" w:hAnsi="Arial" w:cs="Arial"/>
          <w:lang w:val="en-US"/>
        </w:rPr>
        <w:t>. T</w:t>
      </w:r>
      <w:r w:rsidRPr="00376D49">
        <w:rPr>
          <w:rFonts w:ascii="Arial" w:hAnsi="Arial" w:cs="Arial"/>
          <w:lang w:val="en-US"/>
        </w:rPr>
        <w:t>he property is a commercial premises occupied by the plaintiff</w:t>
      </w:r>
      <w:r w:rsidR="00C51946" w:rsidRPr="00376D49">
        <w:rPr>
          <w:rFonts w:ascii="Arial" w:hAnsi="Arial" w:cs="Arial"/>
          <w:lang w:val="en-US"/>
        </w:rPr>
        <w:t>. T</w:t>
      </w:r>
      <w:r w:rsidRPr="00376D49">
        <w:rPr>
          <w:rFonts w:ascii="Arial" w:hAnsi="Arial" w:cs="Arial"/>
          <w:lang w:val="en-US"/>
        </w:rPr>
        <w:t>he property is not the primary home of the first defendant</w:t>
      </w:r>
      <w:r w:rsidR="00C51946" w:rsidRPr="00376D49">
        <w:rPr>
          <w:rFonts w:ascii="Arial" w:hAnsi="Arial" w:cs="Arial"/>
          <w:lang w:val="en-US"/>
        </w:rPr>
        <w:t>,</w:t>
      </w:r>
      <w:r w:rsidRPr="00376D49">
        <w:rPr>
          <w:rFonts w:ascii="Arial" w:hAnsi="Arial" w:cs="Arial"/>
          <w:lang w:val="en-US"/>
        </w:rPr>
        <w:t xml:space="preserve"> nor is it leased to a third party as a home.</w:t>
      </w:r>
    </w:p>
    <w:p w14:paraId="01D6DC70" w14:textId="77777777" w:rsidR="00142B2F" w:rsidRPr="00142B2F" w:rsidRDefault="00142B2F" w:rsidP="00142B2F">
      <w:pPr>
        <w:pStyle w:val="ListParagraph"/>
        <w:rPr>
          <w:rFonts w:ascii="Arial" w:eastAsia="Calibri" w:hAnsi="Arial" w:cs="Arial"/>
          <w:bCs/>
          <w:u w:val="single"/>
        </w:rPr>
      </w:pPr>
    </w:p>
    <w:p w14:paraId="3830273D" w14:textId="77777777" w:rsidR="00142B2F" w:rsidRDefault="002B3F98" w:rsidP="00142B2F">
      <w:pPr>
        <w:pStyle w:val="ListParagraph"/>
        <w:spacing w:line="360" w:lineRule="auto"/>
        <w:ind w:left="0"/>
        <w:jc w:val="both"/>
        <w:rPr>
          <w:rFonts w:ascii="Arial" w:hAnsi="Arial" w:cs="Arial"/>
          <w:lang w:val="en-US"/>
        </w:rPr>
      </w:pPr>
      <w:r w:rsidRPr="00142B2F">
        <w:rPr>
          <w:rFonts w:ascii="Arial" w:eastAsia="Calibri" w:hAnsi="Arial" w:cs="Arial"/>
          <w:bCs/>
          <w:u w:val="single"/>
        </w:rPr>
        <w:t>The defences</w:t>
      </w:r>
    </w:p>
    <w:p w14:paraId="2A5E2B53" w14:textId="77777777" w:rsidR="00142B2F" w:rsidRPr="00142B2F" w:rsidRDefault="00142B2F" w:rsidP="00142B2F">
      <w:pPr>
        <w:pStyle w:val="ListParagraph"/>
        <w:rPr>
          <w:rFonts w:ascii="Arial" w:hAnsi="Arial" w:cs="Arial"/>
          <w:lang w:val="en-US"/>
        </w:rPr>
      </w:pPr>
    </w:p>
    <w:p w14:paraId="6881D1E7" w14:textId="302FE34F" w:rsidR="00C933BF" w:rsidRPr="00142B2F" w:rsidRDefault="00C933BF" w:rsidP="00142B2F">
      <w:pPr>
        <w:pStyle w:val="ListParagraph"/>
        <w:numPr>
          <w:ilvl w:val="0"/>
          <w:numId w:val="2"/>
        </w:numPr>
        <w:spacing w:line="360" w:lineRule="auto"/>
        <w:ind w:left="0" w:firstLine="0"/>
        <w:jc w:val="both"/>
        <w:rPr>
          <w:rFonts w:ascii="Arial" w:hAnsi="Arial" w:cs="Arial"/>
          <w:lang w:val="en-US"/>
        </w:rPr>
      </w:pPr>
      <w:r w:rsidRPr="00142B2F">
        <w:rPr>
          <w:rFonts w:ascii="Arial" w:hAnsi="Arial" w:cs="Arial"/>
          <w:lang w:val="en-US"/>
        </w:rPr>
        <w:t>The court now turns to the defences</w:t>
      </w:r>
      <w:r w:rsidR="00407554" w:rsidRPr="00142B2F">
        <w:rPr>
          <w:rFonts w:ascii="Arial" w:hAnsi="Arial" w:cs="Arial"/>
          <w:lang w:val="en-US"/>
        </w:rPr>
        <w:t xml:space="preserve"> raised in the affidavit resisting summary judgment</w:t>
      </w:r>
      <w:r w:rsidRPr="00142B2F">
        <w:rPr>
          <w:rFonts w:ascii="Arial" w:hAnsi="Arial" w:cs="Arial"/>
          <w:lang w:val="en-US"/>
        </w:rPr>
        <w:t>.</w:t>
      </w:r>
    </w:p>
    <w:p w14:paraId="575E8B45" w14:textId="77777777" w:rsidR="00C933BF" w:rsidRPr="00695048" w:rsidRDefault="00C933BF" w:rsidP="00C933BF">
      <w:pPr>
        <w:pStyle w:val="ListParagraph"/>
        <w:rPr>
          <w:rFonts w:ascii="Arial" w:hAnsi="Arial" w:cs="Arial"/>
          <w:lang w:val="en-US"/>
        </w:rPr>
      </w:pPr>
    </w:p>
    <w:p w14:paraId="48392479" w14:textId="4C1439D5" w:rsidR="00D702A4" w:rsidRPr="00D71CA4" w:rsidRDefault="0031536C" w:rsidP="00D702A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For the claim</w:t>
      </w:r>
      <w:r w:rsidR="00421D33">
        <w:rPr>
          <w:rFonts w:ascii="Arial" w:hAnsi="Arial" w:cs="Arial"/>
          <w:lang w:val="en-US"/>
        </w:rPr>
        <w:t xml:space="preserve"> </w:t>
      </w:r>
      <w:r w:rsidR="00142B2F">
        <w:rPr>
          <w:rFonts w:ascii="Arial" w:hAnsi="Arial" w:cs="Arial"/>
          <w:lang w:val="en-US"/>
        </w:rPr>
        <w:t xml:space="preserve">of </w:t>
      </w:r>
      <w:r w:rsidR="00421D33">
        <w:rPr>
          <w:rFonts w:ascii="Arial" w:hAnsi="Arial" w:cs="Arial"/>
          <w:lang w:val="en-US"/>
        </w:rPr>
        <w:t>N$9 161 373,28,</w:t>
      </w:r>
      <w:r w:rsidR="00D702A4">
        <w:rPr>
          <w:rFonts w:ascii="Arial" w:hAnsi="Arial" w:cs="Arial"/>
          <w:lang w:val="en-US"/>
        </w:rPr>
        <w:t xml:space="preserve"> the first defendant says </w:t>
      </w:r>
      <w:r w:rsidR="00421D33">
        <w:rPr>
          <w:rFonts w:ascii="Arial" w:hAnsi="Arial" w:cs="Arial"/>
          <w:lang w:val="en-US"/>
        </w:rPr>
        <w:t>all claims prior to 18 July 2020, when the summons was served, prescribed. The plaintiff, in response, prays that the amount of N$9 161 373,28 be substituted with the amount of N$7 556 029,74. POC3 to the particulars of claim, which is a statement setting out, amongst others, the invoice</w:t>
      </w:r>
      <w:r w:rsidR="00C51946">
        <w:rPr>
          <w:rFonts w:ascii="Arial" w:hAnsi="Arial" w:cs="Arial"/>
          <w:lang w:val="en-US"/>
        </w:rPr>
        <w:t>s issued to the first defendant, the invoice</w:t>
      </w:r>
      <w:r w:rsidR="00421D33">
        <w:rPr>
          <w:rFonts w:ascii="Arial" w:hAnsi="Arial" w:cs="Arial"/>
          <w:lang w:val="en-US"/>
        </w:rPr>
        <w:t xml:space="preserve"> numbers, </w:t>
      </w:r>
      <w:r w:rsidR="00C51946">
        <w:rPr>
          <w:rFonts w:ascii="Arial" w:hAnsi="Arial" w:cs="Arial"/>
          <w:lang w:val="en-US"/>
        </w:rPr>
        <w:t xml:space="preserve">the </w:t>
      </w:r>
      <w:r w:rsidR="00421D33">
        <w:rPr>
          <w:rFonts w:ascii="Arial" w:hAnsi="Arial" w:cs="Arial"/>
          <w:lang w:val="en-US"/>
        </w:rPr>
        <w:t>invoice dates and amounts due by the first defendant, was reproduced as an attachment to the plaintiff’s heads of argument with the alleged prescribed amounts to be subtracted from the grand total of N$9 161 373,28 highlighted</w:t>
      </w:r>
      <w:r w:rsidR="00D702A4">
        <w:rPr>
          <w:rFonts w:ascii="Arial" w:hAnsi="Arial" w:cs="Arial"/>
          <w:lang w:val="en-US"/>
        </w:rPr>
        <w:t xml:space="preserve"> in colour</w:t>
      </w:r>
      <w:r w:rsidR="00421D33">
        <w:rPr>
          <w:rFonts w:ascii="Arial" w:hAnsi="Arial" w:cs="Arial"/>
          <w:lang w:val="en-US"/>
        </w:rPr>
        <w:t>, showing a substitute grand total of N$7 556 029</w:t>
      </w:r>
      <w:r w:rsidR="00CB5A84">
        <w:rPr>
          <w:rFonts w:ascii="Arial" w:hAnsi="Arial" w:cs="Arial"/>
          <w:lang w:val="en-US"/>
        </w:rPr>
        <w:t>,</w:t>
      </w:r>
      <w:r w:rsidR="00421D33">
        <w:rPr>
          <w:rFonts w:ascii="Arial" w:hAnsi="Arial" w:cs="Arial"/>
          <w:lang w:val="en-US"/>
        </w:rPr>
        <w:t xml:space="preserve">74. The defendant did not take issue with the </w:t>
      </w:r>
      <w:r w:rsidR="00C51946">
        <w:rPr>
          <w:rFonts w:ascii="Arial" w:hAnsi="Arial" w:cs="Arial"/>
          <w:lang w:val="en-US"/>
        </w:rPr>
        <w:t>reproduced POC3</w:t>
      </w:r>
      <w:r w:rsidR="00407554">
        <w:rPr>
          <w:rFonts w:ascii="Arial" w:hAnsi="Arial" w:cs="Arial"/>
          <w:lang w:val="en-US"/>
        </w:rPr>
        <w:t xml:space="preserve"> or</w:t>
      </w:r>
      <w:r w:rsidR="00C51946">
        <w:rPr>
          <w:rFonts w:ascii="Arial" w:hAnsi="Arial" w:cs="Arial"/>
          <w:lang w:val="en-US"/>
        </w:rPr>
        <w:t xml:space="preserve"> the </w:t>
      </w:r>
      <w:r w:rsidR="00421D33">
        <w:rPr>
          <w:rFonts w:ascii="Arial" w:hAnsi="Arial" w:cs="Arial"/>
          <w:lang w:val="en-US"/>
        </w:rPr>
        <w:t xml:space="preserve">substituted amount but </w:t>
      </w:r>
      <w:r w:rsidR="00D702A4">
        <w:rPr>
          <w:rFonts w:ascii="Arial" w:hAnsi="Arial" w:cs="Arial"/>
          <w:lang w:val="en-US"/>
        </w:rPr>
        <w:t xml:space="preserve">says </w:t>
      </w:r>
      <w:r w:rsidR="00421D33">
        <w:rPr>
          <w:rFonts w:ascii="Arial" w:hAnsi="Arial" w:cs="Arial"/>
          <w:lang w:val="en-US"/>
        </w:rPr>
        <w:t xml:space="preserve">the question remains whether </w:t>
      </w:r>
      <w:r w:rsidR="00142B2F">
        <w:rPr>
          <w:rFonts w:ascii="Arial" w:hAnsi="Arial" w:cs="Arial"/>
          <w:lang w:val="en-US"/>
        </w:rPr>
        <w:t>she has a bona fide</w:t>
      </w:r>
      <w:r w:rsidR="00421D33">
        <w:rPr>
          <w:rFonts w:ascii="Arial" w:hAnsi="Arial" w:cs="Arial"/>
          <w:lang w:val="en-US"/>
        </w:rPr>
        <w:t xml:space="preserve"> defence </w:t>
      </w:r>
      <w:r w:rsidR="00142B2F">
        <w:rPr>
          <w:rFonts w:ascii="Arial" w:hAnsi="Arial" w:cs="Arial"/>
          <w:lang w:val="en-US"/>
        </w:rPr>
        <w:t>to</w:t>
      </w:r>
      <w:r w:rsidR="00421D33">
        <w:rPr>
          <w:rFonts w:ascii="Arial" w:hAnsi="Arial" w:cs="Arial"/>
          <w:lang w:val="en-US"/>
        </w:rPr>
        <w:t xml:space="preserve"> the remaining </w:t>
      </w:r>
      <w:r w:rsidR="00A0405C">
        <w:rPr>
          <w:rFonts w:ascii="Arial" w:hAnsi="Arial" w:cs="Arial"/>
          <w:lang w:val="en-US"/>
        </w:rPr>
        <w:t>claim for N$7 556 029</w:t>
      </w:r>
      <w:r w:rsidR="00CB5A84">
        <w:rPr>
          <w:rFonts w:ascii="Arial" w:hAnsi="Arial" w:cs="Arial"/>
          <w:lang w:val="en-US"/>
        </w:rPr>
        <w:t>,</w:t>
      </w:r>
      <w:r w:rsidR="00A0405C">
        <w:rPr>
          <w:rFonts w:ascii="Arial" w:hAnsi="Arial" w:cs="Arial"/>
          <w:lang w:val="en-US"/>
        </w:rPr>
        <w:t>74</w:t>
      </w:r>
      <w:r w:rsidR="00421D33">
        <w:rPr>
          <w:rFonts w:ascii="Arial" w:hAnsi="Arial" w:cs="Arial"/>
          <w:lang w:val="en-US"/>
        </w:rPr>
        <w:t>.</w:t>
      </w:r>
    </w:p>
    <w:p w14:paraId="53390501" w14:textId="77777777" w:rsidR="00D702A4" w:rsidRPr="00D71CA4" w:rsidRDefault="00D702A4" w:rsidP="00D702A4">
      <w:pPr>
        <w:pStyle w:val="ListParagraph"/>
        <w:rPr>
          <w:rFonts w:ascii="Arial" w:eastAsia="Calibri" w:hAnsi="Arial" w:cs="Arial"/>
          <w:bCs/>
        </w:rPr>
      </w:pPr>
    </w:p>
    <w:p w14:paraId="44368B0D" w14:textId="426C1F28" w:rsidR="00D71CA4" w:rsidRPr="00D71CA4" w:rsidRDefault="00F93E9D"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Apart from the prescription defence, t</w:t>
      </w:r>
      <w:r w:rsidR="00D71CA4">
        <w:rPr>
          <w:rFonts w:ascii="Arial" w:hAnsi="Arial" w:cs="Arial"/>
          <w:lang w:val="en-US"/>
        </w:rPr>
        <w:t xml:space="preserve">he </w:t>
      </w:r>
      <w:r w:rsidR="00AC3E6B">
        <w:rPr>
          <w:rFonts w:ascii="Arial" w:hAnsi="Arial" w:cs="Arial"/>
          <w:lang w:val="en-US"/>
        </w:rPr>
        <w:t xml:space="preserve">affidavit resisting summary judgment raises the following two </w:t>
      </w:r>
      <w:r w:rsidR="00142B2F">
        <w:rPr>
          <w:rFonts w:ascii="Arial" w:hAnsi="Arial" w:cs="Arial"/>
          <w:lang w:val="en-US"/>
        </w:rPr>
        <w:t>further</w:t>
      </w:r>
      <w:r w:rsidR="00A0405C">
        <w:rPr>
          <w:rFonts w:ascii="Arial" w:hAnsi="Arial" w:cs="Arial"/>
          <w:lang w:val="en-US"/>
        </w:rPr>
        <w:t xml:space="preserve"> </w:t>
      </w:r>
      <w:r w:rsidR="00AC3E6B">
        <w:rPr>
          <w:rFonts w:ascii="Arial" w:hAnsi="Arial" w:cs="Arial"/>
          <w:lang w:val="en-US"/>
        </w:rPr>
        <w:t>defences</w:t>
      </w:r>
      <w:r w:rsidR="00D71CA4">
        <w:rPr>
          <w:rFonts w:ascii="Arial" w:hAnsi="Arial" w:cs="Arial"/>
          <w:lang w:val="en-US"/>
        </w:rPr>
        <w:t>.</w:t>
      </w:r>
    </w:p>
    <w:p w14:paraId="7B814B42" w14:textId="77777777" w:rsidR="00D71CA4" w:rsidRPr="00D71CA4" w:rsidRDefault="00D71CA4" w:rsidP="00D71CA4">
      <w:pPr>
        <w:pStyle w:val="ListParagraph"/>
        <w:rPr>
          <w:rFonts w:ascii="Arial" w:eastAsia="Calibri" w:hAnsi="Arial" w:cs="Arial"/>
          <w:bCs/>
        </w:rPr>
      </w:pPr>
    </w:p>
    <w:p w14:paraId="48C00D8E" w14:textId="2317AE0B" w:rsidR="003F3F61" w:rsidRDefault="00AC3E6B"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Firstly, t</w:t>
      </w:r>
      <w:r w:rsidR="00C06078">
        <w:rPr>
          <w:rFonts w:ascii="Arial" w:hAnsi="Arial" w:cs="Arial"/>
          <w:lang w:val="en-US"/>
        </w:rPr>
        <w:t>he lease</w:t>
      </w:r>
      <w:r w:rsidR="00142B2F">
        <w:rPr>
          <w:rFonts w:ascii="Arial" w:hAnsi="Arial" w:cs="Arial"/>
          <w:lang w:val="en-US"/>
        </w:rPr>
        <w:t xml:space="preserve"> </w:t>
      </w:r>
      <w:r w:rsidR="00C06078">
        <w:rPr>
          <w:rFonts w:ascii="Arial" w:hAnsi="Arial" w:cs="Arial"/>
          <w:lang w:val="en-US"/>
        </w:rPr>
        <w:t>is an agreement contrary to s 23 of the Competition Act 2 of 2003</w:t>
      </w:r>
      <w:r w:rsidR="00F93E9D">
        <w:rPr>
          <w:rFonts w:ascii="Arial" w:hAnsi="Arial" w:cs="Arial"/>
          <w:lang w:val="en-US"/>
        </w:rPr>
        <w:t xml:space="preserve"> (the Act)</w:t>
      </w:r>
      <w:r w:rsidR="00C06078">
        <w:rPr>
          <w:rFonts w:ascii="Arial" w:hAnsi="Arial" w:cs="Arial"/>
          <w:lang w:val="en-US"/>
        </w:rPr>
        <w:t>.</w:t>
      </w:r>
      <w:r>
        <w:rPr>
          <w:rFonts w:ascii="Arial" w:hAnsi="Arial" w:cs="Arial"/>
          <w:lang w:val="en-US"/>
        </w:rPr>
        <w:t xml:space="preserve"> For that defence, the </w:t>
      </w:r>
      <w:r w:rsidR="00407554">
        <w:rPr>
          <w:rFonts w:ascii="Arial" w:hAnsi="Arial" w:cs="Arial"/>
          <w:lang w:val="en-US"/>
        </w:rPr>
        <w:t xml:space="preserve">affidavit resisting summary judgment provides the following </w:t>
      </w:r>
      <w:r w:rsidR="00142B2F">
        <w:rPr>
          <w:rFonts w:ascii="Arial" w:hAnsi="Arial" w:cs="Arial"/>
          <w:lang w:val="en-US"/>
        </w:rPr>
        <w:t>particulars</w:t>
      </w:r>
      <w:r>
        <w:rPr>
          <w:rFonts w:ascii="Arial" w:hAnsi="Arial" w:cs="Arial"/>
          <w:lang w:val="en-US"/>
        </w:rPr>
        <w:t xml:space="preserve">. </w:t>
      </w:r>
    </w:p>
    <w:p w14:paraId="0AD4E3DF" w14:textId="77777777" w:rsidR="003F3F61" w:rsidRPr="003F3F61" w:rsidRDefault="003F3F61" w:rsidP="003F3F61">
      <w:pPr>
        <w:pStyle w:val="ListParagraph"/>
        <w:rPr>
          <w:rFonts w:ascii="Arial" w:hAnsi="Arial" w:cs="Arial"/>
          <w:lang w:val="en-US"/>
        </w:rPr>
      </w:pPr>
    </w:p>
    <w:p w14:paraId="2A4168D2" w14:textId="559D52DF" w:rsidR="007C5146" w:rsidRDefault="00C06078" w:rsidP="007C5146">
      <w:pPr>
        <w:pStyle w:val="ListParagraph"/>
        <w:numPr>
          <w:ilvl w:val="0"/>
          <w:numId w:val="11"/>
        </w:numPr>
        <w:spacing w:line="360" w:lineRule="auto"/>
        <w:ind w:left="0" w:firstLine="0"/>
        <w:jc w:val="both"/>
        <w:rPr>
          <w:rFonts w:ascii="Arial" w:hAnsi="Arial" w:cs="Arial"/>
          <w:lang w:val="en-US"/>
        </w:rPr>
      </w:pPr>
      <w:r>
        <w:rPr>
          <w:rFonts w:ascii="Arial" w:hAnsi="Arial" w:cs="Arial"/>
          <w:lang w:val="en-US"/>
        </w:rPr>
        <w:t>The lease is an agreement between parties in a vertical relationship</w:t>
      </w:r>
      <w:r w:rsidR="007C5146">
        <w:rPr>
          <w:rFonts w:ascii="Arial" w:hAnsi="Arial" w:cs="Arial"/>
          <w:lang w:val="en-US"/>
        </w:rPr>
        <w:t>. T</w:t>
      </w:r>
      <w:r>
        <w:rPr>
          <w:rFonts w:ascii="Arial" w:hAnsi="Arial" w:cs="Arial"/>
          <w:lang w:val="en-US"/>
        </w:rPr>
        <w:t>he plaintiff is a supplier of the first defendant. The lease</w:t>
      </w:r>
      <w:r w:rsidR="007C5146">
        <w:rPr>
          <w:rFonts w:ascii="Arial" w:hAnsi="Arial" w:cs="Arial"/>
          <w:lang w:val="en-US"/>
        </w:rPr>
        <w:t>'s object was</w:t>
      </w:r>
      <w:r>
        <w:rPr>
          <w:rFonts w:ascii="Arial" w:hAnsi="Arial" w:cs="Arial"/>
          <w:lang w:val="en-US"/>
        </w:rPr>
        <w:t xml:space="preserve"> to prevent and substantially lessen competition in the trade of fuel and related products in the north of Namibia and </w:t>
      </w:r>
      <w:r w:rsidR="007C5146">
        <w:rPr>
          <w:rFonts w:ascii="Arial" w:hAnsi="Arial" w:cs="Arial"/>
          <w:lang w:val="en-US"/>
        </w:rPr>
        <w:t xml:space="preserve">to </w:t>
      </w:r>
      <w:r>
        <w:rPr>
          <w:rFonts w:ascii="Arial" w:hAnsi="Arial" w:cs="Arial"/>
          <w:lang w:val="en-US"/>
        </w:rPr>
        <w:t>prevent new entrants in the property</w:t>
      </w:r>
      <w:r w:rsidR="007C5146">
        <w:rPr>
          <w:rFonts w:ascii="Arial" w:hAnsi="Arial" w:cs="Arial"/>
          <w:lang w:val="en-US"/>
        </w:rPr>
        <w:t>,</w:t>
      </w:r>
      <w:r>
        <w:rPr>
          <w:rFonts w:ascii="Arial" w:hAnsi="Arial" w:cs="Arial"/>
          <w:lang w:val="en-US"/>
        </w:rPr>
        <w:t xml:space="preserve"> not only under the </w:t>
      </w:r>
      <w:r w:rsidR="007C5146">
        <w:rPr>
          <w:rFonts w:ascii="Arial" w:hAnsi="Arial" w:cs="Arial"/>
          <w:lang w:val="en-US"/>
        </w:rPr>
        <w:t>Engen</w:t>
      </w:r>
      <w:r>
        <w:rPr>
          <w:rFonts w:ascii="Arial" w:hAnsi="Arial" w:cs="Arial"/>
          <w:lang w:val="en-US"/>
        </w:rPr>
        <w:t xml:space="preserve"> brand but also other brands. </w:t>
      </w:r>
    </w:p>
    <w:p w14:paraId="2A5F084C" w14:textId="77777777" w:rsidR="007C5146" w:rsidRPr="007C5146" w:rsidRDefault="007C5146" w:rsidP="007C5146">
      <w:pPr>
        <w:pStyle w:val="ListParagraph"/>
        <w:ind w:left="0"/>
        <w:rPr>
          <w:rFonts w:ascii="Arial" w:hAnsi="Arial" w:cs="Arial"/>
          <w:lang w:val="en-US"/>
        </w:rPr>
      </w:pPr>
    </w:p>
    <w:p w14:paraId="02484EEA" w14:textId="6003B064" w:rsidR="007C5146" w:rsidRDefault="00C06078" w:rsidP="007C5146">
      <w:pPr>
        <w:pStyle w:val="ListParagraph"/>
        <w:numPr>
          <w:ilvl w:val="0"/>
          <w:numId w:val="11"/>
        </w:numPr>
        <w:spacing w:line="360" w:lineRule="auto"/>
        <w:ind w:left="0" w:firstLine="0"/>
        <w:jc w:val="both"/>
        <w:rPr>
          <w:rFonts w:ascii="Arial" w:hAnsi="Arial" w:cs="Arial"/>
          <w:lang w:val="en-US"/>
        </w:rPr>
      </w:pPr>
      <w:r>
        <w:rPr>
          <w:rFonts w:ascii="Arial" w:hAnsi="Arial" w:cs="Arial"/>
          <w:lang w:val="en-US"/>
        </w:rPr>
        <w:t xml:space="preserve">The lease directly fixed the trading conditions for the sale of the property. </w:t>
      </w:r>
      <w:r w:rsidR="007C5146">
        <w:rPr>
          <w:rFonts w:ascii="Arial" w:hAnsi="Arial" w:cs="Arial"/>
          <w:lang w:val="en-US"/>
        </w:rPr>
        <w:t>The lease limited the first defendant's ability to voluntarily sell her property to other players in the market, limited or controlled</w:t>
      </w:r>
      <w:r>
        <w:rPr>
          <w:rFonts w:ascii="Arial" w:hAnsi="Arial" w:cs="Arial"/>
          <w:lang w:val="en-US"/>
        </w:rPr>
        <w:t xml:space="preserve"> the free property market, and hamper</w:t>
      </w:r>
      <w:r w:rsidR="007C5146">
        <w:rPr>
          <w:rFonts w:ascii="Arial" w:hAnsi="Arial" w:cs="Arial"/>
          <w:lang w:val="en-US"/>
        </w:rPr>
        <w:t>ed</w:t>
      </w:r>
      <w:r>
        <w:rPr>
          <w:rFonts w:ascii="Arial" w:hAnsi="Arial" w:cs="Arial"/>
          <w:lang w:val="en-US"/>
        </w:rPr>
        <w:t xml:space="preserve"> development and investment in the area. </w:t>
      </w:r>
    </w:p>
    <w:p w14:paraId="2B081CE2" w14:textId="77777777" w:rsidR="007C5146" w:rsidRPr="007C5146" w:rsidRDefault="007C5146" w:rsidP="007C5146">
      <w:pPr>
        <w:pStyle w:val="ListParagraph"/>
        <w:ind w:left="0"/>
        <w:rPr>
          <w:rFonts w:ascii="Arial" w:hAnsi="Arial" w:cs="Arial"/>
          <w:lang w:val="en-US"/>
        </w:rPr>
      </w:pPr>
    </w:p>
    <w:p w14:paraId="16C4BCDD" w14:textId="77777777" w:rsidR="009E4B9B" w:rsidRDefault="00C06078" w:rsidP="009E4B9B">
      <w:pPr>
        <w:pStyle w:val="ListParagraph"/>
        <w:numPr>
          <w:ilvl w:val="0"/>
          <w:numId w:val="11"/>
        </w:numPr>
        <w:spacing w:line="360" w:lineRule="auto"/>
        <w:ind w:left="0" w:firstLine="0"/>
        <w:jc w:val="both"/>
        <w:rPr>
          <w:rFonts w:ascii="Arial" w:hAnsi="Arial" w:cs="Arial"/>
          <w:lang w:val="en-US"/>
        </w:rPr>
      </w:pPr>
      <w:r w:rsidRPr="007C5146">
        <w:rPr>
          <w:rFonts w:ascii="Arial" w:hAnsi="Arial" w:cs="Arial"/>
          <w:lang w:val="en-US"/>
        </w:rPr>
        <w:t>The plaintiff, specifically and with design, applied dissimilar conditions to equivalent transactions to the first defendant than to its other retail outlets</w:t>
      </w:r>
      <w:r w:rsidR="007C5146">
        <w:rPr>
          <w:rFonts w:ascii="Arial" w:hAnsi="Arial" w:cs="Arial"/>
          <w:lang w:val="en-US"/>
        </w:rPr>
        <w:t xml:space="preserve">. </w:t>
      </w:r>
      <w:r w:rsidR="007C5146" w:rsidRPr="007C5146">
        <w:rPr>
          <w:rFonts w:ascii="Arial" w:hAnsi="Arial" w:cs="Arial"/>
          <w:lang w:val="en-US"/>
        </w:rPr>
        <w:t>Other traders are only afforded 24 hours to pay for fuel and diesel</w:t>
      </w:r>
      <w:r w:rsidR="009E4B9B">
        <w:rPr>
          <w:rFonts w:ascii="Arial" w:hAnsi="Arial" w:cs="Arial"/>
          <w:lang w:val="en-US"/>
        </w:rPr>
        <w:t>, and they are not granted credit for</w:t>
      </w:r>
      <w:r w:rsidR="003F3F61" w:rsidRPr="007C5146">
        <w:rPr>
          <w:rFonts w:ascii="Arial" w:hAnsi="Arial" w:cs="Arial"/>
          <w:lang w:val="en-US"/>
        </w:rPr>
        <w:t xml:space="preserve"> </w:t>
      </w:r>
      <w:r w:rsidR="007C5146">
        <w:rPr>
          <w:rFonts w:ascii="Arial" w:hAnsi="Arial" w:cs="Arial"/>
          <w:lang w:val="en-US"/>
        </w:rPr>
        <w:t xml:space="preserve">such </w:t>
      </w:r>
      <w:r w:rsidR="003F3F61" w:rsidRPr="007C5146">
        <w:rPr>
          <w:rFonts w:ascii="Arial" w:hAnsi="Arial" w:cs="Arial"/>
          <w:lang w:val="en-US"/>
        </w:rPr>
        <w:t>extensive and substantial amount</w:t>
      </w:r>
      <w:r w:rsidR="007C5146">
        <w:rPr>
          <w:rFonts w:ascii="Arial" w:hAnsi="Arial" w:cs="Arial"/>
          <w:lang w:val="en-US"/>
        </w:rPr>
        <w:t>s</w:t>
      </w:r>
      <w:r w:rsidR="003F3F61" w:rsidRPr="007C5146">
        <w:rPr>
          <w:rFonts w:ascii="Arial" w:hAnsi="Arial" w:cs="Arial"/>
          <w:lang w:val="en-US"/>
        </w:rPr>
        <w:t xml:space="preserve"> before </w:t>
      </w:r>
      <w:r w:rsidR="007C5146">
        <w:rPr>
          <w:rFonts w:ascii="Arial" w:hAnsi="Arial" w:cs="Arial"/>
          <w:lang w:val="en-US"/>
        </w:rPr>
        <w:t>a</w:t>
      </w:r>
      <w:r w:rsidR="003F3F61" w:rsidRPr="007C5146">
        <w:rPr>
          <w:rFonts w:ascii="Arial" w:hAnsi="Arial" w:cs="Arial"/>
          <w:lang w:val="en-US"/>
        </w:rPr>
        <w:t xml:space="preserve"> service station</w:t>
      </w:r>
      <w:r w:rsidR="007C5146">
        <w:rPr>
          <w:rFonts w:ascii="Arial" w:hAnsi="Arial" w:cs="Arial"/>
          <w:lang w:val="en-US"/>
        </w:rPr>
        <w:t xml:space="preserve"> </w:t>
      </w:r>
      <w:r w:rsidR="003F3F61" w:rsidRPr="007C5146">
        <w:rPr>
          <w:rFonts w:ascii="Arial" w:hAnsi="Arial" w:cs="Arial"/>
          <w:lang w:val="en-US"/>
        </w:rPr>
        <w:t xml:space="preserve">is closed. </w:t>
      </w:r>
    </w:p>
    <w:p w14:paraId="148E27F4" w14:textId="77777777" w:rsidR="009E4B9B" w:rsidRPr="009E4B9B" w:rsidRDefault="009E4B9B" w:rsidP="009E4B9B">
      <w:pPr>
        <w:pStyle w:val="ListParagraph"/>
        <w:rPr>
          <w:rFonts w:ascii="Arial" w:hAnsi="Arial" w:cs="Arial"/>
          <w:lang w:val="en-US"/>
        </w:rPr>
      </w:pPr>
    </w:p>
    <w:p w14:paraId="45ECF304" w14:textId="1E06FBE0" w:rsidR="009E4B9B" w:rsidRDefault="003F3F61" w:rsidP="009E4B9B">
      <w:pPr>
        <w:pStyle w:val="ListParagraph"/>
        <w:numPr>
          <w:ilvl w:val="0"/>
          <w:numId w:val="11"/>
        </w:numPr>
        <w:spacing w:line="360" w:lineRule="auto"/>
        <w:ind w:left="0" w:firstLine="0"/>
        <w:jc w:val="both"/>
        <w:rPr>
          <w:rFonts w:ascii="Arial" w:hAnsi="Arial" w:cs="Arial"/>
          <w:lang w:val="en-US"/>
        </w:rPr>
      </w:pPr>
      <w:r w:rsidRPr="009E4B9B">
        <w:rPr>
          <w:rFonts w:ascii="Arial" w:hAnsi="Arial" w:cs="Arial"/>
          <w:lang w:val="en-US"/>
        </w:rPr>
        <w:t>The plaintiff kept supplying the first defendant until October 2021</w:t>
      </w:r>
      <w:r w:rsidR="0050318E">
        <w:rPr>
          <w:rFonts w:ascii="Arial" w:hAnsi="Arial" w:cs="Arial"/>
          <w:lang w:val="en-US"/>
        </w:rPr>
        <w:t>,</w:t>
      </w:r>
      <w:r w:rsidRPr="009E4B9B">
        <w:rPr>
          <w:rFonts w:ascii="Arial" w:hAnsi="Arial" w:cs="Arial"/>
          <w:lang w:val="en-US"/>
        </w:rPr>
        <w:t xml:space="preserve"> when she already defaulted on daily payments for petrol and diesel. The reason is that the plaintiff had a hold over the </w:t>
      </w:r>
      <w:r w:rsidR="009E4B9B">
        <w:rPr>
          <w:rFonts w:ascii="Arial" w:hAnsi="Arial" w:cs="Arial"/>
          <w:lang w:val="en-US"/>
        </w:rPr>
        <w:t>property</w:t>
      </w:r>
      <w:r w:rsidRPr="009E4B9B">
        <w:rPr>
          <w:rFonts w:ascii="Arial" w:hAnsi="Arial" w:cs="Arial"/>
          <w:lang w:val="en-US"/>
        </w:rPr>
        <w:t xml:space="preserve"> under the lease</w:t>
      </w:r>
      <w:r w:rsidR="009E4B9B">
        <w:rPr>
          <w:rFonts w:ascii="Arial" w:hAnsi="Arial" w:cs="Arial"/>
          <w:lang w:val="en-US"/>
        </w:rPr>
        <w:t>,</w:t>
      </w:r>
      <w:r w:rsidRPr="009E4B9B">
        <w:rPr>
          <w:rFonts w:ascii="Arial" w:hAnsi="Arial" w:cs="Arial"/>
          <w:lang w:val="en-US"/>
        </w:rPr>
        <w:t xml:space="preserve"> and </w:t>
      </w:r>
      <w:r w:rsidR="009E4B9B">
        <w:rPr>
          <w:rFonts w:ascii="Arial" w:hAnsi="Arial" w:cs="Arial"/>
          <w:lang w:val="en-US"/>
        </w:rPr>
        <w:t xml:space="preserve">the plaintiff </w:t>
      </w:r>
      <w:r w:rsidRPr="009E4B9B">
        <w:rPr>
          <w:rFonts w:ascii="Arial" w:hAnsi="Arial" w:cs="Arial"/>
          <w:lang w:val="en-US"/>
        </w:rPr>
        <w:t xml:space="preserve">wanted to accumulate debt so </w:t>
      </w:r>
      <w:r w:rsidR="009E4B9B">
        <w:rPr>
          <w:rFonts w:ascii="Arial" w:hAnsi="Arial" w:cs="Arial"/>
          <w:lang w:val="en-US"/>
        </w:rPr>
        <w:t>it</w:t>
      </w:r>
      <w:r w:rsidRPr="009E4B9B">
        <w:rPr>
          <w:rFonts w:ascii="Arial" w:hAnsi="Arial" w:cs="Arial"/>
          <w:lang w:val="en-US"/>
        </w:rPr>
        <w:t xml:space="preserve"> could force the first defendant into a sale and sell her property in execution only to </w:t>
      </w:r>
      <w:r w:rsidR="00C51946">
        <w:rPr>
          <w:rFonts w:ascii="Arial" w:hAnsi="Arial" w:cs="Arial"/>
          <w:lang w:val="en-US"/>
        </w:rPr>
        <w:t>‘</w:t>
      </w:r>
      <w:r w:rsidRPr="009E4B9B">
        <w:rPr>
          <w:rFonts w:ascii="Arial" w:hAnsi="Arial" w:cs="Arial"/>
          <w:lang w:val="en-US"/>
        </w:rPr>
        <w:t>cover</w:t>
      </w:r>
      <w:r w:rsidR="00C51946">
        <w:rPr>
          <w:rFonts w:ascii="Arial" w:hAnsi="Arial" w:cs="Arial"/>
          <w:lang w:val="en-US"/>
        </w:rPr>
        <w:t>’</w:t>
      </w:r>
      <w:r w:rsidRPr="009E4B9B">
        <w:rPr>
          <w:rFonts w:ascii="Arial" w:hAnsi="Arial" w:cs="Arial"/>
          <w:lang w:val="en-US"/>
        </w:rPr>
        <w:t xml:space="preserve"> the debt. </w:t>
      </w:r>
    </w:p>
    <w:p w14:paraId="2E33B952" w14:textId="77777777" w:rsidR="009E4B9B" w:rsidRPr="009E4B9B" w:rsidRDefault="009E4B9B" w:rsidP="009E4B9B">
      <w:pPr>
        <w:pStyle w:val="ListParagraph"/>
        <w:rPr>
          <w:rFonts w:ascii="Arial" w:hAnsi="Arial" w:cs="Arial"/>
          <w:lang w:val="en-US"/>
        </w:rPr>
      </w:pPr>
    </w:p>
    <w:p w14:paraId="07A7F125" w14:textId="1DE92355" w:rsidR="009E4B9B" w:rsidRDefault="003F3F61" w:rsidP="009E4B9B">
      <w:pPr>
        <w:pStyle w:val="ListParagraph"/>
        <w:numPr>
          <w:ilvl w:val="0"/>
          <w:numId w:val="11"/>
        </w:numPr>
        <w:spacing w:line="360" w:lineRule="auto"/>
        <w:ind w:left="0" w:firstLine="0"/>
        <w:jc w:val="both"/>
        <w:rPr>
          <w:rFonts w:ascii="Arial" w:hAnsi="Arial" w:cs="Arial"/>
          <w:lang w:val="en-US"/>
        </w:rPr>
      </w:pPr>
      <w:r w:rsidRPr="009E4B9B">
        <w:rPr>
          <w:rFonts w:ascii="Arial" w:hAnsi="Arial" w:cs="Arial"/>
          <w:lang w:val="en-US"/>
        </w:rPr>
        <w:t>The lease placed the first defendant at a competitive disadvantage in the following ways. In October 2021, the plaintiff terminated the fuel supply. In May 2022, a court order confirmed the deed of settlement to hold back on a sale in execution and allow the first defendant an opportunity to sell the property and pay the debt. During the six months</w:t>
      </w:r>
      <w:r w:rsidR="009E4B9B" w:rsidRPr="009E4B9B">
        <w:rPr>
          <w:rFonts w:ascii="Arial" w:hAnsi="Arial" w:cs="Arial"/>
          <w:lang w:val="en-US"/>
        </w:rPr>
        <w:t xml:space="preserve"> that followed</w:t>
      </w:r>
      <w:r w:rsidRPr="009E4B9B">
        <w:rPr>
          <w:rFonts w:ascii="Arial" w:hAnsi="Arial" w:cs="Arial"/>
          <w:lang w:val="en-US"/>
        </w:rPr>
        <w:t xml:space="preserve">, three bona fide offers were made and none of them materialised. The </w:t>
      </w:r>
      <w:r w:rsidR="0050318E">
        <w:rPr>
          <w:rFonts w:ascii="Arial" w:hAnsi="Arial" w:cs="Arial"/>
          <w:lang w:val="en-US"/>
        </w:rPr>
        <w:t>‘</w:t>
      </w:r>
      <w:r w:rsidRPr="009E4B9B">
        <w:rPr>
          <w:rFonts w:ascii="Arial" w:hAnsi="Arial" w:cs="Arial"/>
          <w:lang w:val="en-US"/>
        </w:rPr>
        <w:t>Simon offer</w:t>
      </w:r>
      <w:r w:rsidR="0050318E">
        <w:rPr>
          <w:rFonts w:ascii="Arial" w:hAnsi="Arial" w:cs="Arial"/>
          <w:lang w:val="en-US"/>
        </w:rPr>
        <w:t>’</w:t>
      </w:r>
      <w:r w:rsidRPr="009E4B9B">
        <w:rPr>
          <w:rFonts w:ascii="Arial" w:hAnsi="Arial" w:cs="Arial"/>
          <w:lang w:val="en-US"/>
        </w:rPr>
        <w:t xml:space="preserve"> did not materialise despite the </w:t>
      </w:r>
      <w:r w:rsidRPr="009E4B9B">
        <w:rPr>
          <w:rFonts w:ascii="Arial" w:hAnsi="Arial" w:cs="Arial"/>
          <w:lang w:val="en-US"/>
        </w:rPr>
        <w:lastRenderedPageBreak/>
        <w:t>offeror proving to be in funds for N$16 000 000, and the offer was retracted after months of negotiation</w:t>
      </w:r>
      <w:r w:rsidR="00E40DFB" w:rsidRPr="009E4B9B">
        <w:rPr>
          <w:rFonts w:ascii="Arial" w:hAnsi="Arial" w:cs="Arial"/>
          <w:lang w:val="en-US"/>
        </w:rPr>
        <w:t xml:space="preserve">s due to restrictions caused by the lease. The </w:t>
      </w:r>
      <w:r w:rsidR="0050318E">
        <w:rPr>
          <w:rFonts w:ascii="Arial" w:hAnsi="Arial" w:cs="Arial"/>
          <w:lang w:val="en-US"/>
        </w:rPr>
        <w:t>‘</w:t>
      </w:r>
      <w:r w:rsidR="00E40DFB" w:rsidRPr="009E4B9B">
        <w:rPr>
          <w:rFonts w:ascii="Arial" w:hAnsi="Arial" w:cs="Arial"/>
          <w:lang w:val="en-US"/>
        </w:rPr>
        <w:t>Agrippa offer</w:t>
      </w:r>
      <w:r w:rsidR="0050318E">
        <w:rPr>
          <w:rFonts w:ascii="Arial" w:hAnsi="Arial" w:cs="Arial"/>
          <w:lang w:val="en-US"/>
        </w:rPr>
        <w:t>’</w:t>
      </w:r>
      <w:r w:rsidR="00E40DFB" w:rsidRPr="009E4B9B">
        <w:rPr>
          <w:rFonts w:ascii="Arial" w:hAnsi="Arial" w:cs="Arial"/>
          <w:lang w:val="en-US"/>
        </w:rPr>
        <w:t xml:space="preserve"> for N$14 000 000 followed the same road after months of negotiations as the plaintiff ignored approaches from the first defendant’s counsel and the offeror to discuss the terms of a marketing licen</w:t>
      </w:r>
      <w:r w:rsidR="009E4B9B" w:rsidRPr="009E4B9B">
        <w:rPr>
          <w:rFonts w:ascii="Arial" w:hAnsi="Arial" w:cs="Arial"/>
          <w:lang w:val="en-US"/>
        </w:rPr>
        <w:t>c</w:t>
      </w:r>
      <w:r w:rsidR="00E40DFB" w:rsidRPr="009E4B9B">
        <w:rPr>
          <w:rFonts w:ascii="Arial" w:hAnsi="Arial" w:cs="Arial"/>
          <w:lang w:val="en-US"/>
        </w:rPr>
        <w:t xml:space="preserve">e agreement. The </w:t>
      </w:r>
      <w:r w:rsidR="0050318E">
        <w:rPr>
          <w:rFonts w:ascii="Arial" w:hAnsi="Arial" w:cs="Arial"/>
          <w:lang w:val="en-US"/>
        </w:rPr>
        <w:t>‘</w:t>
      </w:r>
      <w:r w:rsidR="00E40DFB" w:rsidRPr="009E4B9B">
        <w:rPr>
          <w:rFonts w:ascii="Arial" w:hAnsi="Arial" w:cs="Arial"/>
          <w:lang w:val="en-US"/>
        </w:rPr>
        <w:t>Lucien offer</w:t>
      </w:r>
      <w:r w:rsidR="0050318E">
        <w:rPr>
          <w:rFonts w:ascii="Arial" w:hAnsi="Arial" w:cs="Arial"/>
          <w:lang w:val="en-US"/>
        </w:rPr>
        <w:t>’</w:t>
      </w:r>
      <w:r w:rsidR="00E40DFB" w:rsidRPr="009E4B9B">
        <w:rPr>
          <w:rFonts w:ascii="Arial" w:hAnsi="Arial" w:cs="Arial"/>
          <w:lang w:val="en-US"/>
        </w:rPr>
        <w:t xml:space="preserve">, nominated by the first defendant, was equally not receiving any attention from the plaintiff. Agrippa, having one other Engen service station, and Lucien, being a former Engen finance manager, are both reputable players in the fuel industry and well-known to the plaintiff.  </w:t>
      </w:r>
    </w:p>
    <w:p w14:paraId="50DACACB" w14:textId="77777777" w:rsidR="009E4B9B" w:rsidRPr="009E4B9B" w:rsidRDefault="009E4B9B" w:rsidP="009E4B9B">
      <w:pPr>
        <w:pStyle w:val="ListParagraph"/>
        <w:rPr>
          <w:rFonts w:ascii="Arial" w:hAnsi="Arial" w:cs="Arial"/>
          <w:lang w:val="en-US"/>
        </w:rPr>
      </w:pPr>
    </w:p>
    <w:p w14:paraId="0E811D56" w14:textId="77777777" w:rsidR="0059741F" w:rsidRDefault="00E40DFB" w:rsidP="0059741F">
      <w:pPr>
        <w:pStyle w:val="ListParagraph"/>
        <w:numPr>
          <w:ilvl w:val="0"/>
          <w:numId w:val="11"/>
        </w:numPr>
        <w:spacing w:line="360" w:lineRule="auto"/>
        <w:ind w:left="0" w:firstLine="0"/>
        <w:jc w:val="both"/>
        <w:rPr>
          <w:rFonts w:ascii="Arial" w:hAnsi="Arial" w:cs="Arial"/>
          <w:lang w:val="en-US"/>
        </w:rPr>
      </w:pPr>
      <w:r w:rsidRPr="009E4B9B">
        <w:rPr>
          <w:rFonts w:ascii="Arial" w:hAnsi="Arial" w:cs="Arial"/>
          <w:lang w:val="en-US"/>
        </w:rPr>
        <w:t>Seeing that, under the lease, the plaintiff remained the lessee for fifteen years and, thereafter, the lease is renewable at the plaintiff’s instance for a further five years, during which period the plaintiff still has a right to occupy the property</w:t>
      </w:r>
      <w:r w:rsidR="00F93E9D" w:rsidRPr="009E4B9B">
        <w:rPr>
          <w:rFonts w:ascii="Arial" w:hAnsi="Arial" w:cs="Arial"/>
          <w:lang w:val="en-US"/>
        </w:rPr>
        <w:t xml:space="preserve"> at a market-related rent</w:t>
      </w:r>
      <w:r w:rsidRPr="009E4B9B">
        <w:rPr>
          <w:rFonts w:ascii="Arial" w:hAnsi="Arial" w:cs="Arial"/>
          <w:lang w:val="en-US"/>
        </w:rPr>
        <w:t>, any prospective buyer w</w:t>
      </w:r>
      <w:r w:rsidR="009E4B9B">
        <w:rPr>
          <w:rFonts w:ascii="Arial" w:hAnsi="Arial" w:cs="Arial"/>
          <w:lang w:val="en-US"/>
        </w:rPr>
        <w:t>ould have</w:t>
      </w:r>
      <w:r w:rsidRPr="009E4B9B">
        <w:rPr>
          <w:rFonts w:ascii="Arial" w:hAnsi="Arial" w:cs="Arial"/>
          <w:lang w:val="en-US"/>
        </w:rPr>
        <w:t xml:space="preserve"> an empty shell of the property until 2026 as </w:t>
      </w:r>
      <w:r w:rsidR="0059741F">
        <w:rPr>
          <w:rFonts w:ascii="Arial" w:hAnsi="Arial" w:cs="Arial"/>
          <w:lang w:val="en-US"/>
        </w:rPr>
        <w:t>such buyer</w:t>
      </w:r>
      <w:r w:rsidRPr="009E4B9B">
        <w:rPr>
          <w:rFonts w:ascii="Arial" w:hAnsi="Arial" w:cs="Arial"/>
          <w:lang w:val="en-US"/>
        </w:rPr>
        <w:t xml:space="preserve"> w</w:t>
      </w:r>
      <w:r w:rsidR="0059741F">
        <w:rPr>
          <w:rFonts w:ascii="Arial" w:hAnsi="Arial" w:cs="Arial"/>
          <w:lang w:val="en-US"/>
        </w:rPr>
        <w:t>ould</w:t>
      </w:r>
      <w:r w:rsidRPr="009E4B9B">
        <w:rPr>
          <w:rFonts w:ascii="Arial" w:hAnsi="Arial" w:cs="Arial"/>
          <w:lang w:val="en-US"/>
        </w:rPr>
        <w:t xml:space="preserve"> have ownership but </w:t>
      </w:r>
      <w:r w:rsidR="0059741F">
        <w:rPr>
          <w:rFonts w:ascii="Arial" w:hAnsi="Arial" w:cs="Arial"/>
          <w:lang w:val="en-US"/>
        </w:rPr>
        <w:t xml:space="preserve">would not be able to </w:t>
      </w:r>
      <w:r w:rsidRPr="009E4B9B">
        <w:rPr>
          <w:rFonts w:ascii="Arial" w:hAnsi="Arial" w:cs="Arial"/>
          <w:lang w:val="en-US"/>
        </w:rPr>
        <w:t xml:space="preserve">occupy it without a marketing licence agreement from the plaintiff. </w:t>
      </w:r>
    </w:p>
    <w:p w14:paraId="0A4F1262" w14:textId="77777777" w:rsidR="0059741F" w:rsidRPr="0059741F" w:rsidRDefault="0059741F" w:rsidP="0059741F">
      <w:pPr>
        <w:pStyle w:val="ListParagraph"/>
        <w:rPr>
          <w:rFonts w:ascii="Arial" w:hAnsi="Arial" w:cs="Arial"/>
          <w:lang w:val="en-US"/>
        </w:rPr>
      </w:pPr>
    </w:p>
    <w:p w14:paraId="3242DFE5" w14:textId="77777777" w:rsidR="0059741F" w:rsidRDefault="00F93E9D" w:rsidP="0059741F">
      <w:pPr>
        <w:pStyle w:val="ListParagraph"/>
        <w:numPr>
          <w:ilvl w:val="0"/>
          <w:numId w:val="11"/>
        </w:numPr>
        <w:spacing w:line="360" w:lineRule="auto"/>
        <w:ind w:left="0" w:firstLine="0"/>
        <w:jc w:val="both"/>
        <w:rPr>
          <w:rFonts w:ascii="Arial" w:hAnsi="Arial" w:cs="Arial"/>
          <w:lang w:val="en-US"/>
        </w:rPr>
      </w:pPr>
      <w:r w:rsidRPr="0059741F">
        <w:rPr>
          <w:rFonts w:ascii="Arial" w:hAnsi="Arial" w:cs="Arial"/>
          <w:lang w:val="en-US"/>
        </w:rPr>
        <w:t>The conclusion of the lease bars other players, including players interested in renting from the plaintiff, from ‘commercially’ buying the property from the first defendant. All three offerors were satisfied to trade under the Engen brand. The plaintiff held the voluntary sale of the property hostage. If the plaintiff had agreed to enter into a marketing licen</w:t>
      </w:r>
      <w:r w:rsidR="009E4B9B" w:rsidRPr="0059741F">
        <w:rPr>
          <w:rFonts w:ascii="Arial" w:hAnsi="Arial" w:cs="Arial"/>
          <w:lang w:val="en-US"/>
        </w:rPr>
        <w:t>c</w:t>
      </w:r>
      <w:r w:rsidRPr="0059741F">
        <w:rPr>
          <w:rFonts w:ascii="Arial" w:hAnsi="Arial" w:cs="Arial"/>
          <w:lang w:val="en-US"/>
        </w:rPr>
        <w:t xml:space="preserve">e agreement with one of the two ‘serious buyers’, the first defendant would have been able to sell the property and settle the debt by November 2022. </w:t>
      </w:r>
    </w:p>
    <w:p w14:paraId="4A9415D4" w14:textId="77777777" w:rsidR="0059741F" w:rsidRPr="0059741F" w:rsidRDefault="0059741F" w:rsidP="0059741F">
      <w:pPr>
        <w:pStyle w:val="ListParagraph"/>
        <w:rPr>
          <w:rFonts w:ascii="Arial" w:hAnsi="Arial" w:cs="Arial"/>
          <w:lang w:val="en-US"/>
        </w:rPr>
      </w:pPr>
    </w:p>
    <w:p w14:paraId="5130B08F" w14:textId="77777777" w:rsidR="0059741F" w:rsidRDefault="00F93E9D" w:rsidP="0059741F">
      <w:pPr>
        <w:pStyle w:val="ListParagraph"/>
        <w:numPr>
          <w:ilvl w:val="0"/>
          <w:numId w:val="11"/>
        </w:numPr>
        <w:spacing w:line="360" w:lineRule="auto"/>
        <w:ind w:left="0" w:firstLine="0"/>
        <w:jc w:val="both"/>
        <w:rPr>
          <w:rFonts w:ascii="Arial" w:hAnsi="Arial" w:cs="Arial"/>
          <w:lang w:val="en-US"/>
        </w:rPr>
      </w:pPr>
      <w:r w:rsidRPr="0059741F">
        <w:rPr>
          <w:rFonts w:ascii="Arial" w:hAnsi="Arial" w:cs="Arial"/>
          <w:lang w:val="en-US"/>
        </w:rPr>
        <w:t xml:space="preserve">There </w:t>
      </w:r>
      <w:r w:rsidR="0059741F">
        <w:rPr>
          <w:rFonts w:ascii="Arial" w:hAnsi="Arial" w:cs="Arial"/>
          <w:lang w:val="en-US"/>
        </w:rPr>
        <w:t>wa</w:t>
      </w:r>
      <w:r w:rsidRPr="0059741F">
        <w:rPr>
          <w:rFonts w:ascii="Arial" w:hAnsi="Arial" w:cs="Arial"/>
          <w:lang w:val="en-US"/>
        </w:rPr>
        <w:t xml:space="preserve">s no ‘commercial’ reason for the plaintiff to refuse the offers other than </w:t>
      </w:r>
      <w:r w:rsidR="0059741F">
        <w:rPr>
          <w:rFonts w:ascii="Arial" w:hAnsi="Arial" w:cs="Arial"/>
          <w:lang w:val="en-US"/>
        </w:rPr>
        <w:t>to have their own buyers line up and get the property at forced sale value,</w:t>
      </w:r>
      <w:r w:rsidRPr="0059741F">
        <w:rPr>
          <w:rFonts w:ascii="Arial" w:hAnsi="Arial" w:cs="Arial"/>
          <w:lang w:val="en-US"/>
        </w:rPr>
        <w:t xml:space="preserve"> which practice fits the provisions of the Act.</w:t>
      </w:r>
    </w:p>
    <w:p w14:paraId="53F23E28" w14:textId="77777777" w:rsidR="0059741F" w:rsidRPr="0059741F" w:rsidRDefault="0059741F" w:rsidP="0059741F">
      <w:pPr>
        <w:pStyle w:val="ListParagraph"/>
        <w:rPr>
          <w:rFonts w:ascii="Arial" w:hAnsi="Arial" w:cs="Arial"/>
          <w:lang w:val="en-US"/>
        </w:rPr>
      </w:pPr>
    </w:p>
    <w:p w14:paraId="0D25D4ED" w14:textId="4629EB32" w:rsidR="00F93E9D" w:rsidRPr="0059741F" w:rsidRDefault="00F93E9D" w:rsidP="0059741F">
      <w:pPr>
        <w:pStyle w:val="ListParagraph"/>
        <w:numPr>
          <w:ilvl w:val="0"/>
          <w:numId w:val="11"/>
        </w:numPr>
        <w:spacing w:line="360" w:lineRule="auto"/>
        <w:ind w:left="0" w:firstLine="0"/>
        <w:jc w:val="both"/>
        <w:rPr>
          <w:rFonts w:ascii="Arial" w:hAnsi="Arial" w:cs="Arial"/>
          <w:lang w:val="en-US"/>
        </w:rPr>
      </w:pPr>
      <w:r w:rsidRPr="0059741F">
        <w:rPr>
          <w:rFonts w:ascii="Arial" w:hAnsi="Arial" w:cs="Arial"/>
          <w:lang w:val="en-US"/>
        </w:rPr>
        <w:t>The plaintiff does not have a retail petroleum licen</w:t>
      </w:r>
      <w:r w:rsidR="009E4B9B" w:rsidRPr="0059741F">
        <w:rPr>
          <w:rFonts w:ascii="Arial" w:hAnsi="Arial" w:cs="Arial"/>
          <w:lang w:val="en-US"/>
        </w:rPr>
        <w:t>c</w:t>
      </w:r>
      <w:r w:rsidRPr="0059741F">
        <w:rPr>
          <w:rFonts w:ascii="Arial" w:hAnsi="Arial" w:cs="Arial"/>
          <w:lang w:val="en-US"/>
        </w:rPr>
        <w:t>e and cannot occupy the property itself. If the plaintiff want</w:t>
      </w:r>
      <w:r w:rsidR="00AC3E6B" w:rsidRPr="0059741F">
        <w:rPr>
          <w:rFonts w:ascii="Arial" w:hAnsi="Arial" w:cs="Arial"/>
          <w:lang w:val="en-US"/>
        </w:rPr>
        <w:t>s</w:t>
      </w:r>
      <w:r w:rsidRPr="0059741F">
        <w:rPr>
          <w:rFonts w:ascii="Arial" w:hAnsi="Arial" w:cs="Arial"/>
          <w:lang w:val="en-US"/>
        </w:rPr>
        <w:t xml:space="preserve"> the outlet to trade, it must find someone with a licen</w:t>
      </w:r>
      <w:r w:rsidR="009E4B9B" w:rsidRPr="0059741F">
        <w:rPr>
          <w:rFonts w:ascii="Arial" w:hAnsi="Arial" w:cs="Arial"/>
          <w:lang w:val="en-US"/>
        </w:rPr>
        <w:t>c</w:t>
      </w:r>
      <w:r w:rsidRPr="0059741F">
        <w:rPr>
          <w:rFonts w:ascii="Arial" w:hAnsi="Arial" w:cs="Arial"/>
          <w:lang w:val="en-US"/>
        </w:rPr>
        <w:t xml:space="preserve">e and allow such </w:t>
      </w:r>
      <w:r w:rsidR="00AC3E6B" w:rsidRPr="0059741F">
        <w:rPr>
          <w:rFonts w:ascii="Arial" w:hAnsi="Arial" w:cs="Arial"/>
          <w:lang w:val="en-US"/>
        </w:rPr>
        <w:t xml:space="preserve">a </w:t>
      </w:r>
      <w:r w:rsidRPr="0059741F">
        <w:rPr>
          <w:rFonts w:ascii="Arial" w:hAnsi="Arial" w:cs="Arial"/>
          <w:lang w:val="en-US"/>
        </w:rPr>
        <w:t xml:space="preserve">person to rent from it. </w:t>
      </w:r>
    </w:p>
    <w:p w14:paraId="14B4F470" w14:textId="77777777" w:rsidR="00F93E9D" w:rsidRPr="00F93E9D" w:rsidRDefault="00F93E9D" w:rsidP="00F93E9D">
      <w:pPr>
        <w:pStyle w:val="ListParagraph"/>
        <w:rPr>
          <w:rFonts w:ascii="Arial" w:hAnsi="Arial" w:cs="Arial"/>
          <w:lang w:val="en-US"/>
        </w:rPr>
      </w:pPr>
    </w:p>
    <w:p w14:paraId="40E7B91A" w14:textId="3E327FB2" w:rsidR="00F93E9D" w:rsidRDefault="00AC3E6B"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second defence</w:t>
      </w:r>
      <w:r w:rsidR="00EF048C">
        <w:rPr>
          <w:rFonts w:ascii="Arial" w:hAnsi="Arial" w:cs="Arial"/>
          <w:lang w:val="en-US"/>
        </w:rPr>
        <w:t>, apart from the prescription defence,</w:t>
      </w:r>
      <w:r>
        <w:rPr>
          <w:rFonts w:ascii="Arial" w:hAnsi="Arial" w:cs="Arial"/>
          <w:lang w:val="en-US"/>
        </w:rPr>
        <w:t xml:space="preserve"> relates to the claim for compound interest</w:t>
      </w:r>
      <w:r w:rsidR="00376D49">
        <w:rPr>
          <w:rFonts w:ascii="Arial" w:hAnsi="Arial" w:cs="Arial"/>
          <w:lang w:val="en-US"/>
        </w:rPr>
        <w:t xml:space="preserve"> following the </w:t>
      </w:r>
      <w:r w:rsidR="00C86ED5">
        <w:rPr>
          <w:rFonts w:ascii="Arial" w:hAnsi="Arial" w:cs="Arial"/>
          <w:lang w:val="en-US"/>
        </w:rPr>
        <w:t xml:space="preserve">claim for </w:t>
      </w:r>
      <w:r w:rsidR="0050318E">
        <w:rPr>
          <w:rFonts w:ascii="Arial" w:hAnsi="Arial" w:cs="Arial"/>
          <w:lang w:val="en-US"/>
        </w:rPr>
        <w:t>N$9 161 373,28</w:t>
      </w:r>
      <w:r>
        <w:rPr>
          <w:rFonts w:ascii="Arial" w:hAnsi="Arial" w:cs="Arial"/>
          <w:lang w:val="en-US"/>
        </w:rPr>
        <w:t xml:space="preserve">. The first </w:t>
      </w:r>
      <w:r>
        <w:rPr>
          <w:rFonts w:ascii="Arial" w:hAnsi="Arial" w:cs="Arial"/>
          <w:lang w:val="en-US"/>
        </w:rPr>
        <w:lastRenderedPageBreak/>
        <w:t>defendant contends th</w:t>
      </w:r>
      <w:r w:rsidR="0059741F">
        <w:rPr>
          <w:rFonts w:ascii="Arial" w:hAnsi="Arial" w:cs="Arial"/>
          <w:lang w:val="en-US"/>
        </w:rPr>
        <w:t>e</w:t>
      </w:r>
      <w:r>
        <w:rPr>
          <w:rFonts w:ascii="Arial" w:hAnsi="Arial" w:cs="Arial"/>
          <w:lang w:val="en-US"/>
        </w:rPr>
        <w:t xml:space="preserve"> claim</w:t>
      </w:r>
      <w:r w:rsidR="0059741F">
        <w:rPr>
          <w:rFonts w:ascii="Arial" w:hAnsi="Arial" w:cs="Arial"/>
          <w:lang w:val="en-US"/>
        </w:rPr>
        <w:t xml:space="preserve"> for compound interest</w:t>
      </w:r>
      <w:r>
        <w:rPr>
          <w:rFonts w:ascii="Arial" w:hAnsi="Arial" w:cs="Arial"/>
          <w:lang w:val="en-US"/>
        </w:rPr>
        <w:t xml:space="preserve"> is contrary to </w:t>
      </w:r>
      <w:r w:rsidR="006D6158">
        <w:rPr>
          <w:rFonts w:ascii="Arial" w:hAnsi="Arial" w:cs="Arial"/>
          <w:lang w:val="en-US"/>
        </w:rPr>
        <w:t xml:space="preserve">High Court </w:t>
      </w:r>
      <w:r>
        <w:rPr>
          <w:rFonts w:ascii="Arial" w:hAnsi="Arial" w:cs="Arial"/>
          <w:lang w:val="en-US"/>
        </w:rPr>
        <w:t>r 45(5)</w:t>
      </w:r>
      <w:r w:rsidRPr="006D6158">
        <w:rPr>
          <w:rFonts w:ascii="Arial" w:hAnsi="Arial" w:cs="Arial"/>
          <w:i/>
          <w:iCs/>
          <w:lang w:val="en-US"/>
        </w:rPr>
        <w:t>(c)</w:t>
      </w:r>
      <w:r>
        <w:rPr>
          <w:rFonts w:ascii="Arial" w:hAnsi="Arial" w:cs="Arial"/>
          <w:lang w:val="en-US"/>
        </w:rPr>
        <w:t xml:space="preserve"> and (6). </w:t>
      </w:r>
      <w:r w:rsidR="00EF048C">
        <w:rPr>
          <w:rFonts w:ascii="Arial" w:hAnsi="Arial" w:cs="Arial"/>
          <w:lang w:val="en-US"/>
        </w:rPr>
        <w:t>The firs</w:t>
      </w:r>
      <w:r w:rsidR="00D702A4">
        <w:rPr>
          <w:rFonts w:ascii="Arial" w:hAnsi="Arial" w:cs="Arial"/>
          <w:lang w:val="en-US"/>
        </w:rPr>
        <w:t>t</w:t>
      </w:r>
      <w:r w:rsidR="00EF048C">
        <w:rPr>
          <w:rFonts w:ascii="Arial" w:hAnsi="Arial" w:cs="Arial"/>
          <w:lang w:val="en-US"/>
        </w:rPr>
        <w:t xml:space="preserve"> defendant</w:t>
      </w:r>
      <w:r>
        <w:rPr>
          <w:rFonts w:ascii="Arial" w:hAnsi="Arial" w:cs="Arial"/>
          <w:lang w:val="en-US"/>
        </w:rPr>
        <w:t xml:space="preserve"> argues that it should have been set out in an interest sheet annexed to the particulars of claim and the calculations would have been clear to </w:t>
      </w:r>
      <w:r w:rsidR="00EF048C">
        <w:rPr>
          <w:rFonts w:ascii="Arial" w:hAnsi="Arial" w:cs="Arial"/>
          <w:lang w:val="en-US"/>
        </w:rPr>
        <w:t>her</w:t>
      </w:r>
      <w:r>
        <w:rPr>
          <w:rFonts w:ascii="Arial" w:hAnsi="Arial" w:cs="Arial"/>
          <w:lang w:val="en-US"/>
        </w:rPr>
        <w:t xml:space="preserve"> and the court</w:t>
      </w:r>
      <w:r w:rsidR="00EF048C">
        <w:rPr>
          <w:rFonts w:ascii="Arial" w:hAnsi="Arial" w:cs="Arial"/>
          <w:lang w:val="en-US"/>
        </w:rPr>
        <w:t>,</w:t>
      </w:r>
      <w:r>
        <w:rPr>
          <w:rFonts w:ascii="Arial" w:hAnsi="Arial" w:cs="Arial"/>
          <w:lang w:val="en-US"/>
        </w:rPr>
        <w:t xml:space="preserve"> and it would have assisted her in</w:t>
      </w:r>
      <w:r w:rsidR="0059741F">
        <w:rPr>
          <w:rFonts w:ascii="Arial" w:hAnsi="Arial" w:cs="Arial"/>
          <w:lang w:val="en-US"/>
        </w:rPr>
        <w:t xml:space="preserve"> </w:t>
      </w:r>
      <w:r>
        <w:rPr>
          <w:rFonts w:ascii="Arial" w:hAnsi="Arial" w:cs="Arial"/>
          <w:lang w:val="en-US"/>
        </w:rPr>
        <w:t xml:space="preserve">pleading </w:t>
      </w:r>
      <w:r w:rsidR="0059741F">
        <w:rPr>
          <w:rFonts w:ascii="Arial" w:hAnsi="Arial" w:cs="Arial"/>
          <w:lang w:val="en-US"/>
        </w:rPr>
        <w:t>to</w:t>
      </w:r>
      <w:r>
        <w:rPr>
          <w:rFonts w:ascii="Arial" w:hAnsi="Arial" w:cs="Arial"/>
          <w:lang w:val="en-US"/>
        </w:rPr>
        <w:t xml:space="preserve"> the interest claim. She contends it would have enabled her to better understand the case she must </w:t>
      </w:r>
      <w:r w:rsidR="00EF048C">
        <w:rPr>
          <w:rFonts w:ascii="Arial" w:hAnsi="Arial" w:cs="Arial"/>
          <w:lang w:val="en-US"/>
        </w:rPr>
        <w:t>meet,</w:t>
      </w:r>
      <w:r>
        <w:rPr>
          <w:rFonts w:ascii="Arial" w:hAnsi="Arial" w:cs="Arial"/>
          <w:lang w:val="en-US"/>
        </w:rPr>
        <w:t xml:space="preserve"> and it would have given ‘her judicial oversight’ on the interest calculations until </w:t>
      </w:r>
      <w:r w:rsidR="0059741F">
        <w:rPr>
          <w:rFonts w:ascii="Arial" w:hAnsi="Arial" w:cs="Arial"/>
          <w:lang w:val="en-US"/>
        </w:rPr>
        <w:t xml:space="preserve">the </w:t>
      </w:r>
      <w:r>
        <w:rPr>
          <w:rFonts w:ascii="Arial" w:hAnsi="Arial" w:cs="Arial"/>
          <w:lang w:val="en-US"/>
        </w:rPr>
        <w:t xml:space="preserve">date of summons. The first defendant </w:t>
      </w:r>
      <w:r w:rsidR="00EF048C">
        <w:rPr>
          <w:rFonts w:ascii="Arial" w:hAnsi="Arial" w:cs="Arial"/>
          <w:lang w:val="en-US"/>
        </w:rPr>
        <w:t>is considering her position therein as she is advised that she can raise a notice to except as to why the pleading does not contain interest calculation</w:t>
      </w:r>
      <w:r w:rsidR="006D6158">
        <w:rPr>
          <w:rFonts w:ascii="Arial" w:hAnsi="Arial" w:cs="Arial"/>
          <w:lang w:val="en-US"/>
        </w:rPr>
        <w:t>s</w:t>
      </w:r>
      <w:r w:rsidR="00EF048C">
        <w:rPr>
          <w:rFonts w:ascii="Arial" w:hAnsi="Arial" w:cs="Arial"/>
          <w:lang w:val="en-US"/>
        </w:rPr>
        <w:t xml:space="preserve"> to the date of summons. </w:t>
      </w:r>
      <w:r>
        <w:rPr>
          <w:rFonts w:ascii="Arial" w:hAnsi="Arial" w:cs="Arial"/>
          <w:lang w:val="en-US"/>
        </w:rPr>
        <w:t xml:space="preserve"> </w:t>
      </w:r>
    </w:p>
    <w:p w14:paraId="017B6575" w14:textId="77777777" w:rsidR="00672E00" w:rsidRPr="00672E00" w:rsidRDefault="00672E00" w:rsidP="00672E00">
      <w:pPr>
        <w:pStyle w:val="ListParagraph"/>
        <w:rPr>
          <w:rFonts w:ascii="Arial" w:hAnsi="Arial" w:cs="Arial"/>
          <w:lang w:val="en-US"/>
        </w:rPr>
      </w:pPr>
    </w:p>
    <w:p w14:paraId="610B16ED" w14:textId="5C341D04" w:rsidR="00672E00" w:rsidRDefault="00672E00"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first defendant prays that the summary judgment application be dismissed with costs on an attorney </w:t>
      </w:r>
      <w:r w:rsidR="0059741F">
        <w:rPr>
          <w:rFonts w:ascii="Arial" w:hAnsi="Arial" w:cs="Arial"/>
          <w:lang w:val="en-US"/>
        </w:rPr>
        <w:t xml:space="preserve">and </w:t>
      </w:r>
      <w:r>
        <w:rPr>
          <w:rFonts w:ascii="Arial" w:hAnsi="Arial" w:cs="Arial"/>
          <w:lang w:val="en-US"/>
        </w:rPr>
        <w:t>own client scale under r 32(11) and that the first defendant be granted leave to defend.</w:t>
      </w:r>
      <w:r w:rsidR="00732411">
        <w:rPr>
          <w:rFonts w:ascii="Arial" w:hAnsi="Arial" w:cs="Arial"/>
          <w:lang w:val="en-US"/>
        </w:rPr>
        <w:t xml:space="preserve"> </w:t>
      </w:r>
    </w:p>
    <w:p w14:paraId="61BD7499" w14:textId="77777777" w:rsidR="00045C18" w:rsidRPr="00045C18" w:rsidRDefault="00045C18" w:rsidP="00045C18">
      <w:pPr>
        <w:pStyle w:val="ListParagraph"/>
        <w:rPr>
          <w:rFonts w:ascii="Arial" w:hAnsi="Arial" w:cs="Arial"/>
          <w:lang w:val="en-US"/>
        </w:rPr>
      </w:pPr>
    </w:p>
    <w:p w14:paraId="543A7593" w14:textId="54BC8488" w:rsidR="00045C18" w:rsidRPr="00045C18" w:rsidRDefault="00FF7A3F" w:rsidP="00045C18">
      <w:pPr>
        <w:pStyle w:val="ListParagraph"/>
        <w:spacing w:line="360" w:lineRule="auto"/>
        <w:ind w:left="0"/>
        <w:jc w:val="both"/>
        <w:rPr>
          <w:rFonts w:ascii="Arial" w:hAnsi="Arial" w:cs="Arial"/>
          <w:u w:val="single"/>
          <w:lang w:val="en-US"/>
        </w:rPr>
      </w:pPr>
      <w:r>
        <w:rPr>
          <w:rFonts w:ascii="Arial" w:hAnsi="Arial" w:cs="Arial"/>
          <w:u w:val="single"/>
          <w:lang w:val="en-US"/>
        </w:rPr>
        <w:t>Principles of s</w:t>
      </w:r>
      <w:r w:rsidR="00045C18" w:rsidRPr="00045C18">
        <w:rPr>
          <w:rFonts w:ascii="Arial" w:hAnsi="Arial" w:cs="Arial"/>
          <w:u w:val="single"/>
          <w:lang w:val="en-US"/>
        </w:rPr>
        <w:t xml:space="preserve">ummary judgment </w:t>
      </w:r>
      <w:r>
        <w:rPr>
          <w:rFonts w:ascii="Arial" w:hAnsi="Arial" w:cs="Arial"/>
          <w:u w:val="single"/>
          <w:lang w:val="en-US"/>
        </w:rPr>
        <w:t>proceedings</w:t>
      </w:r>
    </w:p>
    <w:p w14:paraId="5329A0CA" w14:textId="77777777" w:rsidR="00045C18" w:rsidRPr="00045C18" w:rsidRDefault="00045C18" w:rsidP="00045C18">
      <w:pPr>
        <w:pStyle w:val="ListParagraph"/>
        <w:rPr>
          <w:rFonts w:ascii="Arial" w:hAnsi="Arial" w:cs="Arial"/>
          <w:lang w:val="en-US"/>
        </w:rPr>
      </w:pPr>
    </w:p>
    <w:p w14:paraId="4FF6375E" w14:textId="744A2EB1" w:rsidR="00045C18" w:rsidRPr="00147CB9" w:rsidRDefault="00045C18" w:rsidP="00045C18">
      <w:pPr>
        <w:pStyle w:val="ListParagraph"/>
        <w:numPr>
          <w:ilvl w:val="0"/>
          <w:numId w:val="2"/>
        </w:numPr>
        <w:spacing w:line="360" w:lineRule="auto"/>
        <w:ind w:left="0" w:firstLine="0"/>
        <w:jc w:val="both"/>
        <w:rPr>
          <w:rFonts w:ascii="Arial" w:hAnsi="Arial" w:cs="Arial"/>
          <w:lang w:val="en-US"/>
        </w:rPr>
      </w:pPr>
      <w:r w:rsidRPr="00147CB9">
        <w:rPr>
          <w:rFonts w:ascii="Arial" w:hAnsi="Arial" w:cs="Arial"/>
          <w:lang w:val="en-US"/>
        </w:rPr>
        <w:t xml:space="preserve">The </w:t>
      </w:r>
      <w:r w:rsidR="00FF7A3F">
        <w:rPr>
          <w:rFonts w:ascii="Arial" w:hAnsi="Arial" w:cs="Arial"/>
          <w:lang w:val="en-US"/>
        </w:rPr>
        <w:t xml:space="preserve">parties </w:t>
      </w:r>
      <w:r w:rsidRPr="00147CB9">
        <w:rPr>
          <w:rFonts w:ascii="Arial" w:hAnsi="Arial" w:cs="Arial"/>
          <w:lang w:val="en-US"/>
        </w:rPr>
        <w:t>referred to</w:t>
      </w:r>
      <w:r w:rsidR="009C73D7">
        <w:rPr>
          <w:rFonts w:ascii="Arial" w:hAnsi="Arial" w:cs="Arial"/>
          <w:lang w:val="en-US"/>
        </w:rPr>
        <w:t xml:space="preserve"> </w:t>
      </w:r>
      <w:r w:rsidRPr="00147CB9">
        <w:rPr>
          <w:rFonts w:ascii="Arial" w:hAnsi="Arial" w:cs="Arial"/>
          <w:lang w:val="en-US"/>
        </w:rPr>
        <w:t>cases on the principles of summary judgment</w:t>
      </w:r>
      <w:r>
        <w:rPr>
          <w:rFonts w:ascii="Arial" w:hAnsi="Arial" w:cs="Arial"/>
          <w:lang w:val="en-US"/>
        </w:rPr>
        <w:t xml:space="preserve"> proceedings</w:t>
      </w:r>
      <w:r w:rsidRPr="00147CB9">
        <w:rPr>
          <w:rFonts w:ascii="Arial" w:hAnsi="Arial" w:cs="Arial"/>
          <w:lang w:val="en-US"/>
        </w:rPr>
        <w:t xml:space="preserve">. </w:t>
      </w:r>
      <w:r w:rsidR="00C86ED5">
        <w:rPr>
          <w:rFonts w:ascii="Arial" w:hAnsi="Arial" w:cs="Arial"/>
          <w:lang w:val="en-US"/>
        </w:rPr>
        <w:t>T</w:t>
      </w:r>
      <w:r w:rsidRPr="00147CB9">
        <w:rPr>
          <w:rFonts w:ascii="Arial" w:hAnsi="Arial" w:cs="Arial"/>
          <w:lang w:val="en-US"/>
        </w:rPr>
        <w:t>h</w:t>
      </w:r>
      <w:r>
        <w:rPr>
          <w:rFonts w:ascii="Arial" w:hAnsi="Arial" w:cs="Arial"/>
          <w:lang w:val="en-US"/>
        </w:rPr>
        <w:t>ose</w:t>
      </w:r>
      <w:r w:rsidRPr="00147CB9">
        <w:rPr>
          <w:rFonts w:ascii="Arial" w:hAnsi="Arial" w:cs="Arial"/>
          <w:lang w:val="en-US"/>
        </w:rPr>
        <w:t xml:space="preserve"> principles</w:t>
      </w:r>
      <w:r w:rsidR="00C86ED5">
        <w:rPr>
          <w:rFonts w:ascii="Arial" w:hAnsi="Arial" w:cs="Arial"/>
          <w:lang w:val="en-US"/>
        </w:rPr>
        <w:t xml:space="preserve"> are undisputed</w:t>
      </w:r>
      <w:r w:rsidRPr="00147CB9">
        <w:rPr>
          <w:rFonts w:ascii="Arial" w:hAnsi="Arial" w:cs="Arial"/>
          <w:lang w:val="en-US"/>
        </w:rPr>
        <w:t>. The court highlights the following principles discerned from those cas</w:t>
      </w:r>
      <w:r w:rsidR="004E377D">
        <w:rPr>
          <w:rFonts w:ascii="Arial" w:hAnsi="Arial" w:cs="Arial"/>
          <w:lang w:val="en-US"/>
        </w:rPr>
        <w:t>es</w:t>
      </w:r>
      <w:r>
        <w:rPr>
          <w:rFonts w:ascii="Arial" w:hAnsi="Arial" w:cs="Arial"/>
          <w:lang w:val="en-US"/>
        </w:rPr>
        <w:t xml:space="preserve"> and from </w:t>
      </w:r>
      <w:r w:rsidRPr="00045C18">
        <w:rPr>
          <w:rFonts w:ascii="Arial" w:hAnsi="Arial" w:cs="Arial"/>
          <w:i/>
          <w:iCs/>
          <w:lang w:val="en-US"/>
        </w:rPr>
        <w:t>DI Savino v Nedbank Namibia Ltd</w:t>
      </w:r>
      <w:r w:rsidR="004E377D">
        <w:rPr>
          <w:rFonts w:ascii="Arial" w:hAnsi="Arial" w:cs="Arial"/>
          <w:lang w:val="en-US"/>
        </w:rPr>
        <w:t>:</w:t>
      </w:r>
      <w:r w:rsidRPr="00FF7A3F">
        <w:rPr>
          <w:rStyle w:val="FootnoteReference"/>
          <w:rFonts w:ascii="Arial" w:hAnsi="Arial" w:cs="Arial"/>
          <w:lang w:val="en-US"/>
        </w:rPr>
        <w:footnoteReference w:id="2"/>
      </w:r>
    </w:p>
    <w:p w14:paraId="33B6FAF3" w14:textId="77777777" w:rsidR="00045C18" w:rsidRPr="00777B22" w:rsidRDefault="00045C18" w:rsidP="00045C18">
      <w:pPr>
        <w:pStyle w:val="ListParagraph"/>
        <w:rPr>
          <w:rFonts w:ascii="Arial" w:hAnsi="Arial" w:cs="Arial"/>
          <w:lang w:val="en-US"/>
        </w:rPr>
      </w:pPr>
    </w:p>
    <w:p w14:paraId="445106AD" w14:textId="152F20F0" w:rsidR="00045C18" w:rsidRPr="00043D07" w:rsidRDefault="00045C18" w:rsidP="00043D07">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Summary judgment is an extraordinary remedy</w:t>
      </w:r>
      <w:r w:rsidR="009C73D7">
        <w:rPr>
          <w:rFonts w:ascii="Arial" w:hAnsi="Arial" w:cs="Arial"/>
          <w:lang w:val="en-US"/>
        </w:rPr>
        <w:t>. It results i</w:t>
      </w:r>
      <w:r>
        <w:rPr>
          <w:rFonts w:ascii="Arial" w:hAnsi="Arial" w:cs="Arial"/>
          <w:lang w:val="en-US"/>
        </w:rPr>
        <w:t>n a final judgment without affording a party the opportunity to be heard at a trial.</w:t>
      </w:r>
      <w:r w:rsidR="00043D07">
        <w:rPr>
          <w:rFonts w:ascii="Arial" w:hAnsi="Arial" w:cs="Arial"/>
          <w:lang w:val="en-US"/>
        </w:rPr>
        <w:t xml:space="preserve"> </w:t>
      </w:r>
      <w:r w:rsidRPr="00043D07">
        <w:rPr>
          <w:rFonts w:ascii="Arial" w:hAnsi="Arial" w:cs="Arial"/>
          <w:lang w:val="en-US"/>
        </w:rPr>
        <w:t>The court require</w:t>
      </w:r>
      <w:r w:rsidR="00043D07" w:rsidRPr="00043D07">
        <w:rPr>
          <w:rFonts w:ascii="Arial" w:hAnsi="Arial" w:cs="Arial"/>
          <w:lang w:val="en-US"/>
        </w:rPr>
        <w:t>s</w:t>
      </w:r>
      <w:r w:rsidRPr="00043D07">
        <w:rPr>
          <w:rFonts w:ascii="Arial" w:hAnsi="Arial" w:cs="Arial"/>
          <w:lang w:val="en-US"/>
        </w:rPr>
        <w:t xml:space="preserve"> strict compliance with the rules.</w:t>
      </w:r>
      <w:r w:rsidR="00043D07">
        <w:rPr>
          <w:rFonts w:ascii="Arial" w:hAnsi="Arial" w:cs="Arial"/>
          <w:lang w:val="en-US"/>
        </w:rPr>
        <w:t xml:space="preserve"> </w:t>
      </w:r>
      <w:r w:rsidRPr="00043D07">
        <w:rPr>
          <w:rFonts w:ascii="Arial" w:hAnsi="Arial" w:cs="Arial"/>
          <w:lang w:val="en-US"/>
        </w:rPr>
        <w:t>The court grant</w:t>
      </w:r>
      <w:r w:rsidR="00043D07" w:rsidRPr="00043D07">
        <w:rPr>
          <w:rFonts w:ascii="Arial" w:hAnsi="Arial" w:cs="Arial"/>
          <w:lang w:val="en-US"/>
        </w:rPr>
        <w:t>s</w:t>
      </w:r>
      <w:r w:rsidRPr="00043D07">
        <w:rPr>
          <w:rFonts w:ascii="Arial" w:hAnsi="Arial" w:cs="Arial"/>
          <w:lang w:val="en-US"/>
        </w:rPr>
        <w:t xml:space="preserve"> summary judgment </w:t>
      </w:r>
      <w:r w:rsidR="009C73D7">
        <w:rPr>
          <w:rFonts w:ascii="Arial" w:hAnsi="Arial" w:cs="Arial"/>
          <w:lang w:val="en-US"/>
        </w:rPr>
        <w:t xml:space="preserve">only </w:t>
      </w:r>
      <w:r w:rsidRPr="00043D07">
        <w:rPr>
          <w:rFonts w:ascii="Arial" w:hAnsi="Arial" w:cs="Arial"/>
          <w:lang w:val="en-US"/>
        </w:rPr>
        <w:t>where the claim i</w:t>
      </w:r>
      <w:r w:rsidR="00311A62" w:rsidRPr="00043D07">
        <w:rPr>
          <w:rFonts w:ascii="Arial" w:hAnsi="Arial" w:cs="Arial"/>
          <w:lang w:val="en-US"/>
        </w:rPr>
        <w:t xml:space="preserve">s </w:t>
      </w:r>
      <w:r w:rsidRPr="00043D07">
        <w:rPr>
          <w:rFonts w:ascii="Arial" w:hAnsi="Arial" w:cs="Arial"/>
          <w:lang w:val="en-US"/>
        </w:rPr>
        <w:t>unanswerable.</w:t>
      </w:r>
      <w:r w:rsidR="00043D07">
        <w:rPr>
          <w:rStyle w:val="FootnoteReference"/>
          <w:rFonts w:ascii="Arial" w:hAnsi="Arial" w:cs="Arial"/>
          <w:lang w:val="en-US"/>
        </w:rPr>
        <w:footnoteReference w:id="3"/>
      </w:r>
      <w:r w:rsidRPr="00043D07">
        <w:rPr>
          <w:rFonts w:ascii="Arial" w:hAnsi="Arial" w:cs="Arial"/>
          <w:lang w:val="en-US"/>
        </w:rPr>
        <w:t xml:space="preserve"> </w:t>
      </w:r>
    </w:p>
    <w:p w14:paraId="7379F709" w14:textId="77777777" w:rsidR="00045C18" w:rsidRPr="003C53AA" w:rsidRDefault="00045C18" w:rsidP="00045C18">
      <w:pPr>
        <w:pStyle w:val="ListParagraph"/>
        <w:rPr>
          <w:rFonts w:ascii="Arial" w:hAnsi="Arial" w:cs="Arial"/>
          <w:lang w:val="en-US"/>
        </w:rPr>
      </w:pPr>
    </w:p>
    <w:p w14:paraId="57A4ADBE" w14:textId="332D7D22" w:rsidR="00EB1417" w:rsidRDefault="00045C18" w:rsidP="00EB1417">
      <w:pPr>
        <w:pStyle w:val="ListParagraph"/>
        <w:numPr>
          <w:ilvl w:val="0"/>
          <w:numId w:val="5"/>
        </w:numPr>
        <w:spacing w:line="360" w:lineRule="auto"/>
        <w:ind w:left="0" w:firstLine="0"/>
        <w:jc w:val="both"/>
        <w:rPr>
          <w:rFonts w:ascii="Arial" w:hAnsi="Arial" w:cs="Arial"/>
          <w:lang w:val="en-US"/>
        </w:rPr>
      </w:pPr>
      <w:r w:rsidRPr="00D95AC4">
        <w:rPr>
          <w:rFonts w:ascii="Arial" w:hAnsi="Arial" w:cs="Arial"/>
          <w:lang w:val="en-US"/>
        </w:rPr>
        <w:t>The defendant must set out a bona fide defence.</w:t>
      </w:r>
      <w:r w:rsidR="00D95AC4">
        <w:rPr>
          <w:rFonts w:ascii="Arial" w:hAnsi="Arial" w:cs="Arial"/>
          <w:lang w:val="en-US"/>
        </w:rPr>
        <w:t xml:space="preserve"> Where </w:t>
      </w:r>
      <w:r w:rsidR="00EB1417">
        <w:rPr>
          <w:rFonts w:ascii="Arial" w:hAnsi="Arial" w:cs="Arial"/>
          <w:lang w:val="en-US"/>
        </w:rPr>
        <w:t>the</w:t>
      </w:r>
      <w:r w:rsidR="00D95AC4">
        <w:rPr>
          <w:rFonts w:ascii="Arial" w:hAnsi="Arial" w:cs="Arial"/>
          <w:lang w:val="en-US"/>
        </w:rPr>
        <w:t xml:space="preserve"> defence is based upon facts </w:t>
      </w:r>
      <w:r w:rsidR="009C73D7">
        <w:rPr>
          <w:rFonts w:ascii="Arial" w:hAnsi="Arial" w:cs="Arial"/>
          <w:lang w:val="en-US"/>
        </w:rPr>
        <w:t>whereby</w:t>
      </w:r>
      <w:r w:rsidR="00D95AC4">
        <w:rPr>
          <w:rFonts w:ascii="Arial" w:hAnsi="Arial" w:cs="Arial"/>
          <w:lang w:val="en-US"/>
        </w:rPr>
        <w:t xml:space="preserve"> material facts in the particulars of claim are disputed or new facts are alleged, the court does not decide those issues to determine </w:t>
      </w:r>
      <w:r w:rsidR="009C73D7">
        <w:rPr>
          <w:rFonts w:ascii="Arial" w:hAnsi="Arial" w:cs="Arial"/>
          <w:lang w:val="en-US"/>
        </w:rPr>
        <w:t xml:space="preserve">where the </w:t>
      </w:r>
      <w:r w:rsidR="00D95AC4">
        <w:rPr>
          <w:rFonts w:ascii="Arial" w:hAnsi="Arial" w:cs="Arial"/>
          <w:lang w:val="en-US"/>
        </w:rPr>
        <w:t>balance of probabilities</w:t>
      </w:r>
      <w:r w:rsidR="009C73D7">
        <w:rPr>
          <w:rFonts w:ascii="Arial" w:hAnsi="Arial" w:cs="Arial"/>
          <w:lang w:val="en-US"/>
        </w:rPr>
        <w:t xml:space="preserve"> lies</w:t>
      </w:r>
      <w:r w:rsidR="00D95AC4">
        <w:rPr>
          <w:rFonts w:ascii="Arial" w:hAnsi="Arial" w:cs="Arial"/>
          <w:lang w:val="en-US"/>
        </w:rPr>
        <w:t>.</w:t>
      </w:r>
      <w:r w:rsidR="004E377D">
        <w:rPr>
          <w:rFonts w:ascii="Arial" w:hAnsi="Arial" w:cs="Arial"/>
          <w:lang w:val="en-US"/>
        </w:rPr>
        <w:t xml:space="preserve"> T</w:t>
      </w:r>
      <w:r w:rsidRPr="004E377D">
        <w:rPr>
          <w:rFonts w:ascii="Arial" w:hAnsi="Arial" w:cs="Arial"/>
          <w:lang w:val="en-US"/>
        </w:rPr>
        <w:t xml:space="preserve">he defendant must fully disclose the nature and grounds of the defence and the material facts </w:t>
      </w:r>
      <w:r w:rsidR="00EB1417">
        <w:rPr>
          <w:rFonts w:ascii="Arial" w:hAnsi="Arial" w:cs="Arial"/>
          <w:lang w:val="en-US"/>
        </w:rPr>
        <w:t>where</w:t>
      </w:r>
      <w:r w:rsidRPr="004E377D">
        <w:rPr>
          <w:rFonts w:ascii="Arial" w:hAnsi="Arial" w:cs="Arial"/>
          <w:lang w:val="en-US"/>
        </w:rPr>
        <w:t>upon it is founded</w:t>
      </w:r>
      <w:r w:rsidR="009C73D7">
        <w:rPr>
          <w:rFonts w:ascii="Arial" w:hAnsi="Arial" w:cs="Arial"/>
          <w:lang w:val="en-US"/>
        </w:rPr>
        <w:t>. O</w:t>
      </w:r>
      <w:r w:rsidRPr="004E377D">
        <w:rPr>
          <w:rFonts w:ascii="Arial" w:hAnsi="Arial" w:cs="Arial"/>
          <w:lang w:val="en-US"/>
        </w:rPr>
        <w:t>n the facts disclosed in the affidavit, the defendant must have a defence which is bona fide and good in law</w:t>
      </w:r>
      <w:r w:rsidR="00EB1417">
        <w:rPr>
          <w:rFonts w:ascii="Arial" w:hAnsi="Arial" w:cs="Arial"/>
          <w:lang w:val="en-US"/>
        </w:rPr>
        <w:t>. If</w:t>
      </w:r>
      <w:r w:rsidRPr="004E377D">
        <w:rPr>
          <w:rFonts w:ascii="Arial" w:hAnsi="Arial" w:cs="Arial"/>
          <w:lang w:val="en-US"/>
        </w:rPr>
        <w:t xml:space="preserve"> the court is satisfied </w:t>
      </w:r>
      <w:r w:rsidR="006D6158">
        <w:rPr>
          <w:rFonts w:ascii="Arial" w:hAnsi="Arial" w:cs="Arial"/>
          <w:lang w:val="en-US"/>
        </w:rPr>
        <w:t>with</w:t>
      </w:r>
      <w:r w:rsidRPr="004E377D">
        <w:rPr>
          <w:rFonts w:ascii="Arial" w:hAnsi="Arial" w:cs="Arial"/>
          <w:lang w:val="en-US"/>
        </w:rPr>
        <w:t xml:space="preserve"> those matter</w:t>
      </w:r>
      <w:r w:rsidR="00D95AC4" w:rsidRPr="004E377D">
        <w:rPr>
          <w:rFonts w:ascii="Arial" w:hAnsi="Arial" w:cs="Arial"/>
          <w:lang w:val="en-US"/>
        </w:rPr>
        <w:t>s</w:t>
      </w:r>
      <w:r w:rsidRPr="004E377D">
        <w:rPr>
          <w:rFonts w:ascii="Arial" w:hAnsi="Arial" w:cs="Arial"/>
          <w:lang w:val="en-US"/>
        </w:rPr>
        <w:t xml:space="preserve">, it must </w:t>
      </w:r>
      <w:r w:rsidRPr="004E377D">
        <w:rPr>
          <w:rFonts w:ascii="Arial" w:hAnsi="Arial" w:cs="Arial"/>
          <w:lang w:val="en-US"/>
        </w:rPr>
        <w:lastRenderedPageBreak/>
        <w:t>refuse summary judgment.</w:t>
      </w:r>
      <w:r w:rsidR="00D95AC4" w:rsidRPr="004E377D">
        <w:rPr>
          <w:rFonts w:ascii="Arial" w:hAnsi="Arial" w:cs="Arial"/>
          <w:lang w:val="en-US"/>
        </w:rPr>
        <w:t xml:space="preserve"> </w:t>
      </w:r>
      <w:r w:rsidRPr="004E377D">
        <w:rPr>
          <w:rFonts w:ascii="Arial" w:hAnsi="Arial" w:cs="Arial"/>
          <w:lang w:val="en-US"/>
        </w:rPr>
        <w:t xml:space="preserve">While </w:t>
      </w:r>
      <w:r w:rsidR="00EB1417">
        <w:rPr>
          <w:rFonts w:ascii="Arial" w:hAnsi="Arial" w:cs="Arial"/>
          <w:lang w:val="en-US"/>
        </w:rPr>
        <w:t xml:space="preserve">it is not required of </w:t>
      </w:r>
      <w:r w:rsidRPr="004E377D">
        <w:rPr>
          <w:rFonts w:ascii="Arial" w:hAnsi="Arial" w:cs="Arial"/>
          <w:lang w:val="en-US"/>
        </w:rPr>
        <w:t xml:space="preserve">a defendant </w:t>
      </w:r>
      <w:r w:rsidR="00EB1417">
        <w:rPr>
          <w:rFonts w:ascii="Arial" w:hAnsi="Arial" w:cs="Arial"/>
          <w:lang w:val="en-US"/>
        </w:rPr>
        <w:t>to</w:t>
      </w:r>
      <w:r w:rsidRPr="004E377D">
        <w:rPr>
          <w:rFonts w:ascii="Arial" w:hAnsi="Arial" w:cs="Arial"/>
          <w:lang w:val="en-US"/>
        </w:rPr>
        <w:t xml:space="preserve"> exhaustively </w:t>
      </w:r>
      <w:r w:rsidR="00EB1417">
        <w:rPr>
          <w:rFonts w:ascii="Arial" w:hAnsi="Arial" w:cs="Arial"/>
          <w:lang w:val="en-US"/>
        </w:rPr>
        <w:t xml:space="preserve">deal </w:t>
      </w:r>
      <w:r w:rsidRPr="004E377D">
        <w:rPr>
          <w:rFonts w:ascii="Arial" w:hAnsi="Arial" w:cs="Arial"/>
          <w:lang w:val="en-US"/>
        </w:rPr>
        <w:t>with the facts and the evidence relied upon to substantiate the</w:t>
      </w:r>
      <w:r w:rsidR="00EB1417">
        <w:rPr>
          <w:rFonts w:ascii="Arial" w:hAnsi="Arial" w:cs="Arial"/>
          <w:lang w:val="en-US"/>
        </w:rPr>
        <w:t xml:space="preserve"> defence</w:t>
      </w:r>
      <w:r w:rsidRPr="004E377D">
        <w:rPr>
          <w:rFonts w:ascii="Arial" w:hAnsi="Arial" w:cs="Arial"/>
          <w:lang w:val="en-US"/>
        </w:rPr>
        <w:t xml:space="preserve">, a defendant must at least disclose </w:t>
      </w:r>
      <w:r w:rsidR="00EB1417">
        <w:rPr>
          <w:rFonts w:ascii="Arial" w:hAnsi="Arial" w:cs="Arial"/>
          <w:lang w:val="en-US"/>
        </w:rPr>
        <w:t xml:space="preserve">a </w:t>
      </w:r>
      <w:r w:rsidRPr="004E377D">
        <w:rPr>
          <w:rFonts w:ascii="Arial" w:hAnsi="Arial" w:cs="Arial"/>
          <w:lang w:val="en-US"/>
        </w:rPr>
        <w:t xml:space="preserve">defence and the material facts </w:t>
      </w:r>
      <w:r w:rsidR="00EB1417">
        <w:rPr>
          <w:rFonts w:ascii="Arial" w:hAnsi="Arial" w:cs="Arial"/>
          <w:lang w:val="en-US"/>
        </w:rPr>
        <w:t>where</w:t>
      </w:r>
      <w:r w:rsidRPr="004E377D">
        <w:rPr>
          <w:rFonts w:ascii="Arial" w:hAnsi="Arial" w:cs="Arial"/>
          <w:lang w:val="en-US"/>
        </w:rPr>
        <w:t>upon it is based with sufficient particularity and completeness to enable the court to decide whether</w:t>
      </w:r>
      <w:r w:rsidR="00EB1417">
        <w:rPr>
          <w:rFonts w:ascii="Arial" w:hAnsi="Arial" w:cs="Arial"/>
          <w:lang w:val="en-US"/>
        </w:rPr>
        <w:t xml:space="preserve"> </w:t>
      </w:r>
      <w:r w:rsidRPr="004E377D">
        <w:rPr>
          <w:rFonts w:ascii="Arial" w:hAnsi="Arial" w:cs="Arial"/>
          <w:lang w:val="en-US"/>
        </w:rPr>
        <w:t>a bona fide defence</w:t>
      </w:r>
      <w:r w:rsidR="00EB1417">
        <w:rPr>
          <w:rFonts w:ascii="Arial" w:hAnsi="Arial" w:cs="Arial"/>
          <w:lang w:val="en-US"/>
        </w:rPr>
        <w:t xml:space="preserve"> was disclosed</w:t>
      </w:r>
      <w:r w:rsidRPr="004E377D">
        <w:rPr>
          <w:rFonts w:ascii="Arial" w:hAnsi="Arial" w:cs="Arial"/>
          <w:lang w:val="en-US"/>
        </w:rPr>
        <w:t>.</w:t>
      </w:r>
      <w:r w:rsidR="00D95AC4" w:rsidRPr="004E377D">
        <w:rPr>
          <w:rFonts w:ascii="Arial" w:hAnsi="Arial" w:cs="Arial"/>
          <w:lang w:val="en-US"/>
        </w:rPr>
        <w:t xml:space="preserve"> If an affidavit resisting summary judgment do</w:t>
      </w:r>
      <w:r w:rsidR="00EB1417">
        <w:rPr>
          <w:rFonts w:ascii="Arial" w:hAnsi="Arial" w:cs="Arial"/>
          <w:lang w:val="en-US"/>
        </w:rPr>
        <w:t>es</w:t>
      </w:r>
      <w:r w:rsidR="00D95AC4" w:rsidRPr="004E377D">
        <w:rPr>
          <w:rFonts w:ascii="Arial" w:hAnsi="Arial" w:cs="Arial"/>
          <w:lang w:val="en-US"/>
        </w:rPr>
        <w:t xml:space="preserve"> not </w:t>
      </w:r>
      <w:r w:rsidR="00EB1417">
        <w:rPr>
          <w:rFonts w:ascii="Arial" w:hAnsi="Arial" w:cs="Arial"/>
          <w:lang w:val="en-US"/>
        </w:rPr>
        <w:t xml:space="preserve">meet </w:t>
      </w:r>
      <w:r w:rsidR="00D95AC4" w:rsidRPr="004E377D">
        <w:rPr>
          <w:rFonts w:ascii="Arial" w:hAnsi="Arial" w:cs="Arial"/>
          <w:lang w:val="en-US"/>
        </w:rPr>
        <w:t>the requirements of r 60(5), the defect may be cured by reference to other documents proper</w:t>
      </w:r>
      <w:r w:rsidR="006D6158">
        <w:rPr>
          <w:rFonts w:ascii="Arial" w:hAnsi="Arial" w:cs="Arial"/>
          <w:lang w:val="en-US"/>
        </w:rPr>
        <w:t>l</w:t>
      </w:r>
      <w:r w:rsidR="00D95AC4" w:rsidRPr="004E377D">
        <w:rPr>
          <w:rFonts w:ascii="Arial" w:hAnsi="Arial" w:cs="Arial"/>
          <w:lang w:val="en-US"/>
        </w:rPr>
        <w:t xml:space="preserve">y before the court. </w:t>
      </w:r>
      <w:r w:rsidR="00EB1417">
        <w:rPr>
          <w:rFonts w:ascii="Arial" w:hAnsi="Arial" w:cs="Arial"/>
          <w:lang w:val="en-US"/>
        </w:rPr>
        <w:t>T</w:t>
      </w:r>
      <w:r w:rsidR="00D95AC4" w:rsidRPr="004E377D">
        <w:rPr>
          <w:rFonts w:ascii="Arial" w:hAnsi="Arial" w:cs="Arial"/>
          <w:lang w:val="en-US"/>
        </w:rPr>
        <w:t>he court looks at the matter on all the documents properly before it.</w:t>
      </w:r>
      <w:r w:rsidR="00D95AC4">
        <w:rPr>
          <w:rStyle w:val="FootnoteReference"/>
          <w:rFonts w:ascii="Arial" w:hAnsi="Arial" w:cs="Arial"/>
          <w:lang w:val="en-US"/>
        </w:rPr>
        <w:footnoteReference w:id="4"/>
      </w:r>
    </w:p>
    <w:p w14:paraId="63AA4722" w14:textId="77777777" w:rsidR="00EB1417" w:rsidRPr="00EB1417" w:rsidRDefault="00EB1417" w:rsidP="00EB1417">
      <w:pPr>
        <w:pStyle w:val="ListParagraph"/>
        <w:rPr>
          <w:rFonts w:ascii="Arial" w:hAnsi="Arial" w:cs="Arial"/>
          <w:lang w:val="en-US"/>
        </w:rPr>
      </w:pPr>
    </w:p>
    <w:p w14:paraId="646C7D94" w14:textId="77777777" w:rsidR="007F5B4F" w:rsidRDefault="007F5B4F" w:rsidP="007F5B4F">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Apart from the foregoing, t</w:t>
      </w:r>
      <w:r w:rsidR="00045C18" w:rsidRPr="00EB1417">
        <w:rPr>
          <w:rFonts w:ascii="Arial" w:hAnsi="Arial" w:cs="Arial"/>
          <w:lang w:val="en-US"/>
        </w:rPr>
        <w:t>here is no onus on a defendant.</w:t>
      </w:r>
      <w:r w:rsidR="0020104B">
        <w:rPr>
          <w:rStyle w:val="FootnoteReference"/>
          <w:rFonts w:ascii="Arial" w:hAnsi="Arial" w:cs="Arial"/>
          <w:lang w:val="en-US"/>
        </w:rPr>
        <w:footnoteReference w:id="5"/>
      </w:r>
      <w:r w:rsidR="00045C18" w:rsidRPr="00EB1417">
        <w:rPr>
          <w:rFonts w:ascii="Arial" w:hAnsi="Arial" w:cs="Arial"/>
          <w:lang w:val="en-US"/>
        </w:rPr>
        <w:t xml:space="preserve"> </w:t>
      </w:r>
    </w:p>
    <w:p w14:paraId="311A8AFB" w14:textId="77777777" w:rsidR="007F5B4F" w:rsidRPr="007F5B4F" w:rsidRDefault="007F5B4F" w:rsidP="007F5B4F">
      <w:pPr>
        <w:pStyle w:val="ListParagraph"/>
        <w:rPr>
          <w:rFonts w:ascii="Arial" w:hAnsi="Arial" w:cs="Arial"/>
          <w:lang w:val="en-US"/>
        </w:rPr>
      </w:pPr>
    </w:p>
    <w:p w14:paraId="742E7ACD" w14:textId="1DC243CD" w:rsidR="007F5B4F" w:rsidRDefault="00045C18" w:rsidP="007F5B4F">
      <w:pPr>
        <w:pStyle w:val="ListParagraph"/>
        <w:numPr>
          <w:ilvl w:val="0"/>
          <w:numId w:val="5"/>
        </w:numPr>
        <w:spacing w:line="360" w:lineRule="auto"/>
        <w:ind w:left="0" w:firstLine="0"/>
        <w:jc w:val="both"/>
        <w:rPr>
          <w:rFonts w:ascii="Arial" w:hAnsi="Arial" w:cs="Arial"/>
          <w:lang w:val="en-US"/>
        </w:rPr>
      </w:pPr>
      <w:r w:rsidRPr="007F5B4F">
        <w:rPr>
          <w:rFonts w:ascii="Arial" w:hAnsi="Arial" w:cs="Arial"/>
          <w:lang w:val="en-US"/>
        </w:rPr>
        <w:t xml:space="preserve">The court does not determine whether the defendant is correct. </w:t>
      </w:r>
      <w:r w:rsidR="007F5B4F" w:rsidRPr="007F5B4F">
        <w:rPr>
          <w:rFonts w:ascii="Arial" w:hAnsi="Arial" w:cs="Arial"/>
          <w:lang w:val="en-US"/>
        </w:rPr>
        <w:t>It</w:t>
      </w:r>
      <w:r w:rsidRPr="007F5B4F">
        <w:rPr>
          <w:rFonts w:ascii="Arial" w:hAnsi="Arial" w:cs="Arial"/>
          <w:lang w:val="en-US"/>
        </w:rPr>
        <w:t xml:space="preserve"> enquires whether a triable and arguable issue</w:t>
      </w:r>
      <w:r w:rsidR="007F5B4F" w:rsidRPr="007F5B4F">
        <w:rPr>
          <w:rFonts w:ascii="Arial" w:hAnsi="Arial" w:cs="Arial"/>
          <w:lang w:val="en-US"/>
        </w:rPr>
        <w:t xml:space="preserve"> with a </w:t>
      </w:r>
      <w:r w:rsidRPr="007F5B4F">
        <w:rPr>
          <w:rFonts w:ascii="Arial" w:hAnsi="Arial" w:cs="Arial"/>
          <w:lang w:val="en-US"/>
        </w:rPr>
        <w:t>reasonable possibility that the defendant may succeed at trial</w:t>
      </w:r>
      <w:r w:rsidR="007F5B4F" w:rsidRPr="007F5B4F">
        <w:rPr>
          <w:rFonts w:ascii="Arial" w:hAnsi="Arial" w:cs="Arial"/>
          <w:lang w:val="en-US"/>
        </w:rPr>
        <w:t xml:space="preserve"> was put forward</w:t>
      </w:r>
      <w:r w:rsidR="004E377D" w:rsidRPr="007F5B4F">
        <w:rPr>
          <w:rFonts w:ascii="Arial" w:hAnsi="Arial" w:cs="Arial"/>
          <w:lang w:val="en-US"/>
        </w:rPr>
        <w:t>.</w:t>
      </w:r>
      <w:r w:rsidR="00EB1417" w:rsidRPr="007F5B4F">
        <w:rPr>
          <w:rFonts w:ascii="Arial" w:hAnsi="Arial" w:cs="Arial"/>
          <w:lang w:val="en-US"/>
        </w:rPr>
        <w:t xml:space="preserve"> </w:t>
      </w:r>
      <w:r w:rsidR="007F5B4F" w:rsidRPr="007F5B4F">
        <w:rPr>
          <w:rFonts w:ascii="Arial" w:hAnsi="Arial" w:cs="Arial"/>
          <w:lang w:val="en-US"/>
        </w:rPr>
        <w:t>In other words</w:t>
      </w:r>
      <w:r w:rsidR="00EB1417" w:rsidRPr="007F5B4F">
        <w:rPr>
          <w:rFonts w:ascii="Arial" w:hAnsi="Arial" w:cs="Arial"/>
          <w:lang w:val="en-US"/>
        </w:rPr>
        <w:t>, if those fact</w:t>
      </w:r>
      <w:r w:rsidR="007F5B4F" w:rsidRPr="007F5B4F">
        <w:rPr>
          <w:rFonts w:ascii="Arial" w:hAnsi="Arial" w:cs="Arial"/>
          <w:lang w:val="en-US"/>
        </w:rPr>
        <w:t>s</w:t>
      </w:r>
      <w:r w:rsidR="00EB1417" w:rsidRPr="007F5B4F">
        <w:rPr>
          <w:rFonts w:ascii="Arial" w:hAnsi="Arial" w:cs="Arial"/>
          <w:lang w:val="en-US"/>
        </w:rPr>
        <w:t xml:space="preserve"> are true, would a defence</w:t>
      </w:r>
      <w:r w:rsidR="007F5B4F" w:rsidRPr="007F5B4F">
        <w:rPr>
          <w:rFonts w:ascii="Arial" w:hAnsi="Arial" w:cs="Arial"/>
          <w:lang w:val="en-US"/>
        </w:rPr>
        <w:t xml:space="preserve"> be established</w:t>
      </w:r>
      <w:r w:rsidR="006D6158">
        <w:rPr>
          <w:rFonts w:ascii="Arial" w:hAnsi="Arial" w:cs="Arial"/>
          <w:lang w:val="en-US"/>
        </w:rPr>
        <w:t>?</w:t>
      </w:r>
      <w:r w:rsidR="004E377D">
        <w:rPr>
          <w:rStyle w:val="FootnoteReference"/>
          <w:rFonts w:ascii="Arial" w:hAnsi="Arial" w:cs="Arial"/>
          <w:lang w:val="en-US"/>
        </w:rPr>
        <w:footnoteReference w:id="6"/>
      </w:r>
    </w:p>
    <w:p w14:paraId="362A10E5" w14:textId="77777777" w:rsidR="007F5B4F" w:rsidRPr="007F5B4F" w:rsidRDefault="007F5B4F" w:rsidP="007F5B4F">
      <w:pPr>
        <w:pStyle w:val="ListParagraph"/>
        <w:rPr>
          <w:rFonts w:ascii="Arial" w:hAnsi="Arial" w:cs="Arial"/>
          <w:lang w:val="en-US"/>
        </w:rPr>
      </w:pPr>
    </w:p>
    <w:p w14:paraId="79581DB9" w14:textId="77777777" w:rsidR="007F5B4F" w:rsidRDefault="00045C18" w:rsidP="007F5B4F">
      <w:pPr>
        <w:pStyle w:val="ListParagraph"/>
        <w:numPr>
          <w:ilvl w:val="0"/>
          <w:numId w:val="5"/>
        </w:numPr>
        <w:spacing w:line="360" w:lineRule="auto"/>
        <w:ind w:left="0" w:firstLine="0"/>
        <w:jc w:val="both"/>
        <w:rPr>
          <w:rFonts w:ascii="Arial" w:hAnsi="Arial" w:cs="Arial"/>
          <w:lang w:val="en-US"/>
        </w:rPr>
      </w:pPr>
      <w:r w:rsidRPr="007F5B4F">
        <w:rPr>
          <w:rFonts w:ascii="Arial" w:hAnsi="Arial" w:cs="Arial"/>
          <w:lang w:val="en-US"/>
        </w:rPr>
        <w:t>Summary judgment is a drastic remedy</w:t>
      </w:r>
      <w:r w:rsidR="007F5B4F" w:rsidRPr="007F5B4F">
        <w:rPr>
          <w:rFonts w:ascii="Arial" w:hAnsi="Arial" w:cs="Arial"/>
          <w:lang w:val="en-US"/>
        </w:rPr>
        <w:t>. The</w:t>
      </w:r>
      <w:r w:rsidRPr="007F5B4F">
        <w:rPr>
          <w:rFonts w:ascii="Arial" w:hAnsi="Arial" w:cs="Arial"/>
          <w:lang w:val="en-US"/>
        </w:rPr>
        <w:t xml:space="preserve"> court should be slow </w:t>
      </w:r>
      <w:r w:rsidR="007F5B4F" w:rsidRPr="007F5B4F">
        <w:rPr>
          <w:rFonts w:ascii="Arial" w:hAnsi="Arial" w:cs="Arial"/>
          <w:lang w:val="en-US"/>
        </w:rPr>
        <w:t>to</w:t>
      </w:r>
      <w:r w:rsidRPr="007F5B4F">
        <w:rPr>
          <w:rFonts w:ascii="Arial" w:hAnsi="Arial" w:cs="Arial"/>
          <w:lang w:val="en-US"/>
        </w:rPr>
        <w:t xml:space="preserve"> disallow a new point</w:t>
      </w:r>
      <w:r w:rsidR="007F5B4F" w:rsidRPr="007F5B4F">
        <w:rPr>
          <w:rFonts w:ascii="Arial" w:hAnsi="Arial" w:cs="Arial"/>
          <w:lang w:val="en-US"/>
        </w:rPr>
        <w:t>. The</w:t>
      </w:r>
      <w:r w:rsidRPr="007F5B4F">
        <w:rPr>
          <w:rFonts w:ascii="Arial" w:hAnsi="Arial" w:cs="Arial"/>
          <w:lang w:val="en-US"/>
        </w:rPr>
        <w:t xml:space="preserve"> defendant may attack the validity of summary judgment on any aspect.</w:t>
      </w:r>
      <w:r w:rsidR="0020104B">
        <w:rPr>
          <w:rStyle w:val="FootnoteReference"/>
          <w:rFonts w:ascii="Arial" w:hAnsi="Arial" w:cs="Arial"/>
          <w:lang w:val="en-US"/>
        </w:rPr>
        <w:footnoteReference w:id="7"/>
      </w:r>
    </w:p>
    <w:p w14:paraId="4479446F" w14:textId="77777777" w:rsidR="007F5B4F" w:rsidRPr="007F5B4F" w:rsidRDefault="007F5B4F" w:rsidP="007F5B4F">
      <w:pPr>
        <w:pStyle w:val="ListParagraph"/>
        <w:rPr>
          <w:rFonts w:ascii="Arial" w:hAnsi="Arial" w:cs="Arial"/>
          <w:lang w:val="en-US"/>
        </w:rPr>
      </w:pPr>
    </w:p>
    <w:p w14:paraId="7889A270" w14:textId="56BA3E8D" w:rsidR="00045C18" w:rsidRPr="007F5B4F" w:rsidRDefault="00045C18" w:rsidP="007F5B4F">
      <w:pPr>
        <w:pStyle w:val="ListParagraph"/>
        <w:numPr>
          <w:ilvl w:val="0"/>
          <w:numId w:val="5"/>
        </w:numPr>
        <w:spacing w:line="360" w:lineRule="auto"/>
        <w:ind w:left="0" w:firstLine="0"/>
        <w:jc w:val="both"/>
        <w:rPr>
          <w:rFonts w:ascii="Arial" w:hAnsi="Arial" w:cs="Arial"/>
          <w:lang w:val="en-US"/>
        </w:rPr>
      </w:pPr>
      <w:r w:rsidRPr="007F5B4F">
        <w:rPr>
          <w:rFonts w:ascii="Arial" w:hAnsi="Arial" w:cs="Arial"/>
          <w:lang w:val="en-US"/>
        </w:rPr>
        <w:t xml:space="preserve">The court cannot exercise its discretion and refuse summary judgment on a hunch that a </w:t>
      </w:r>
      <w:r w:rsidRPr="007F5B4F">
        <w:rPr>
          <w:rFonts w:ascii="Arial" w:hAnsi="Arial" w:cs="Arial"/>
        </w:rPr>
        <w:t>defence</w:t>
      </w:r>
      <w:r w:rsidRPr="007F5B4F">
        <w:rPr>
          <w:rFonts w:ascii="Arial" w:hAnsi="Arial" w:cs="Arial"/>
          <w:lang w:val="en-US"/>
        </w:rPr>
        <w:t xml:space="preserve"> may lurk somewhere in the defendant’s allegations. The discretion must be exercised on fact</w:t>
      </w:r>
      <w:r w:rsidR="007F5B4F">
        <w:rPr>
          <w:rFonts w:ascii="Arial" w:hAnsi="Arial" w:cs="Arial"/>
          <w:lang w:val="en-US"/>
        </w:rPr>
        <w:t>s</w:t>
      </w:r>
      <w:r w:rsidRPr="007F5B4F">
        <w:rPr>
          <w:rFonts w:ascii="Arial" w:hAnsi="Arial" w:cs="Arial"/>
          <w:lang w:val="en-US"/>
        </w:rPr>
        <w:t xml:space="preserve"> placed before </w:t>
      </w:r>
      <w:r w:rsidR="007F5B4F">
        <w:rPr>
          <w:rFonts w:ascii="Arial" w:hAnsi="Arial" w:cs="Arial"/>
          <w:lang w:val="en-US"/>
        </w:rPr>
        <w:t>the court</w:t>
      </w:r>
      <w:r w:rsidRPr="007F5B4F">
        <w:rPr>
          <w:rFonts w:ascii="Arial" w:hAnsi="Arial" w:cs="Arial"/>
          <w:lang w:val="en-US"/>
        </w:rPr>
        <w:t>.</w:t>
      </w:r>
      <w:r w:rsidR="0020104B">
        <w:rPr>
          <w:rStyle w:val="FootnoteReference"/>
          <w:rFonts w:ascii="Arial" w:hAnsi="Arial" w:cs="Arial"/>
          <w:lang w:val="en-US"/>
        </w:rPr>
        <w:footnoteReference w:id="8"/>
      </w:r>
    </w:p>
    <w:p w14:paraId="29E1E37B" w14:textId="77777777" w:rsidR="00D71CA4" w:rsidRPr="00D71CA4" w:rsidRDefault="00D71CA4" w:rsidP="00D71CA4">
      <w:pPr>
        <w:pStyle w:val="ListParagraph"/>
        <w:rPr>
          <w:rFonts w:ascii="Arial" w:hAnsi="Arial" w:cs="Arial"/>
          <w:lang w:val="en-US"/>
        </w:rPr>
      </w:pPr>
    </w:p>
    <w:p w14:paraId="1341BB1E" w14:textId="310A1F56" w:rsidR="0093209A" w:rsidRPr="00120036" w:rsidRDefault="00120036" w:rsidP="00120036">
      <w:pPr>
        <w:pStyle w:val="ListParagraph"/>
        <w:spacing w:line="360" w:lineRule="auto"/>
        <w:ind w:left="0"/>
        <w:jc w:val="both"/>
        <w:rPr>
          <w:rFonts w:ascii="Arial" w:hAnsi="Arial" w:cs="Arial"/>
          <w:u w:val="single"/>
          <w:lang w:val="en-US"/>
        </w:rPr>
      </w:pPr>
      <w:r>
        <w:rPr>
          <w:rFonts w:ascii="Arial" w:hAnsi="Arial" w:cs="Arial"/>
          <w:u w:val="single"/>
          <w:lang w:val="en-US"/>
        </w:rPr>
        <w:t>The arguments</w:t>
      </w:r>
      <w:r w:rsidR="0093209A">
        <w:rPr>
          <w:rFonts w:ascii="Arial" w:hAnsi="Arial" w:cs="Arial"/>
          <w:lang w:val="en-US"/>
        </w:rPr>
        <w:t xml:space="preserve"> </w:t>
      </w:r>
    </w:p>
    <w:p w14:paraId="72DF69F1" w14:textId="77777777" w:rsidR="00C50E6C" w:rsidRPr="00C50E6C" w:rsidRDefault="00C50E6C" w:rsidP="00C50E6C">
      <w:pPr>
        <w:pStyle w:val="ListParagraph"/>
        <w:rPr>
          <w:rFonts w:ascii="Arial" w:hAnsi="Arial" w:cs="Arial"/>
          <w:lang w:val="en-US"/>
        </w:rPr>
      </w:pPr>
    </w:p>
    <w:p w14:paraId="3622DF5B" w14:textId="6DB577E4" w:rsidR="00C50E6C" w:rsidRDefault="00C50E6C" w:rsidP="00F12D7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first defendant argues that the plaintiff’s claim is based on an unenforceable lease as it is an agreement contrary to ss 23 and 26 of the Act</w:t>
      </w:r>
      <w:r w:rsidR="00480CEB">
        <w:rPr>
          <w:rFonts w:ascii="Arial" w:hAnsi="Arial" w:cs="Arial"/>
          <w:lang w:val="en-US"/>
        </w:rPr>
        <w:t>.</w:t>
      </w:r>
      <w:r w:rsidR="006D4820">
        <w:rPr>
          <w:rFonts w:ascii="Arial" w:hAnsi="Arial" w:cs="Arial"/>
          <w:lang w:val="en-US"/>
        </w:rPr>
        <w:t xml:space="preserve"> According to the first defendant, the </w:t>
      </w:r>
      <w:r w:rsidR="00CF52BD">
        <w:rPr>
          <w:rFonts w:ascii="Arial" w:hAnsi="Arial" w:cs="Arial"/>
          <w:lang w:val="en-US"/>
        </w:rPr>
        <w:t>lease may have</w:t>
      </w:r>
      <w:r w:rsidR="00AC725B">
        <w:rPr>
          <w:rFonts w:ascii="Arial" w:hAnsi="Arial" w:cs="Arial"/>
          <w:lang w:val="en-US"/>
        </w:rPr>
        <w:t xml:space="preserve"> an</w:t>
      </w:r>
      <w:r w:rsidR="006D4820">
        <w:rPr>
          <w:rFonts w:ascii="Arial" w:hAnsi="Arial" w:cs="Arial"/>
          <w:lang w:val="en-US"/>
        </w:rPr>
        <w:t xml:space="preserve"> illegal substratum and</w:t>
      </w:r>
      <w:r w:rsidR="00CF52BD">
        <w:rPr>
          <w:rFonts w:ascii="Arial" w:hAnsi="Arial" w:cs="Arial"/>
          <w:lang w:val="en-US"/>
        </w:rPr>
        <w:t xml:space="preserve"> be void ab initio</w:t>
      </w:r>
      <w:r w:rsidR="006D4820">
        <w:rPr>
          <w:rFonts w:ascii="Arial" w:hAnsi="Arial" w:cs="Arial"/>
          <w:lang w:val="en-US"/>
        </w:rPr>
        <w:t xml:space="preserve">. </w:t>
      </w:r>
      <w:r w:rsidR="00AE6F85">
        <w:rPr>
          <w:rFonts w:ascii="Arial" w:hAnsi="Arial" w:cs="Arial"/>
          <w:lang w:val="en-US"/>
        </w:rPr>
        <w:t xml:space="preserve">She says she can raise a counterclaim which may prevent the sale of her property. </w:t>
      </w:r>
      <w:r w:rsidR="006D4820">
        <w:rPr>
          <w:rFonts w:ascii="Arial" w:hAnsi="Arial" w:cs="Arial"/>
          <w:lang w:val="en-US"/>
        </w:rPr>
        <w:t xml:space="preserve">In </w:t>
      </w:r>
      <w:r w:rsidR="00CF52BD">
        <w:rPr>
          <w:rFonts w:ascii="Arial" w:hAnsi="Arial" w:cs="Arial"/>
          <w:lang w:val="en-US"/>
        </w:rPr>
        <w:t xml:space="preserve">response to the plaintiff’s heads of argument, </w:t>
      </w:r>
      <w:r w:rsidR="006D4820">
        <w:rPr>
          <w:rFonts w:ascii="Arial" w:hAnsi="Arial" w:cs="Arial"/>
          <w:lang w:val="en-US"/>
        </w:rPr>
        <w:t xml:space="preserve">she </w:t>
      </w:r>
      <w:r w:rsidR="00744709">
        <w:rPr>
          <w:rFonts w:ascii="Arial" w:hAnsi="Arial" w:cs="Arial"/>
          <w:lang w:val="en-US"/>
        </w:rPr>
        <w:t xml:space="preserve">says </w:t>
      </w:r>
      <w:r w:rsidR="006D4820">
        <w:rPr>
          <w:rFonts w:ascii="Arial" w:hAnsi="Arial" w:cs="Arial"/>
          <w:lang w:val="en-US"/>
        </w:rPr>
        <w:t xml:space="preserve">public </w:t>
      </w:r>
      <w:r w:rsidR="006D4820">
        <w:rPr>
          <w:rFonts w:ascii="Arial" w:hAnsi="Arial" w:cs="Arial"/>
          <w:lang w:val="en-US"/>
        </w:rPr>
        <w:lastRenderedPageBreak/>
        <w:t>policy encompass</w:t>
      </w:r>
      <w:r w:rsidR="00744709">
        <w:rPr>
          <w:rFonts w:ascii="Arial" w:hAnsi="Arial" w:cs="Arial"/>
          <w:lang w:val="en-US"/>
        </w:rPr>
        <w:t>es</w:t>
      </w:r>
      <w:r w:rsidR="006D4820">
        <w:rPr>
          <w:rFonts w:ascii="Arial" w:hAnsi="Arial" w:cs="Arial"/>
          <w:lang w:val="en-US"/>
        </w:rPr>
        <w:t xml:space="preserve"> the notion of doing simple justice between individuals and </w:t>
      </w:r>
      <w:r w:rsidR="00744709">
        <w:rPr>
          <w:rFonts w:ascii="Arial" w:hAnsi="Arial" w:cs="Arial"/>
          <w:lang w:val="en-US"/>
        </w:rPr>
        <w:t>therefore</w:t>
      </w:r>
      <w:r w:rsidR="00CF52BD">
        <w:rPr>
          <w:rFonts w:ascii="Arial" w:hAnsi="Arial" w:cs="Arial"/>
          <w:lang w:val="en-US"/>
        </w:rPr>
        <w:t>,</w:t>
      </w:r>
      <w:r w:rsidR="00744709">
        <w:rPr>
          <w:rFonts w:ascii="Arial" w:hAnsi="Arial" w:cs="Arial"/>
          <w:lang w:val="en-US"/>
        </w:rPr>
        <w:t xml:space="preserve"> </w:t>
      </w:r>
      <w:r w:rsidR="006D4820">
        <w:rPr>
          <w:rFonts w:ascii="Arial" w:hAnsi="Arial" w:cs="Arial"/>
          <w:lang w:val="en-US"/>
        </w:rPr>
        <w:t xml:space="preserve">a court is to declare a contract contrary to public policy only where its enforcement would lead to an improper result and the manifestation of </w:t>
      </w:r>
      <w:r w:rsidR="00F42C4F">
        <w:rPr>
          <w:rFonts w:ascii="Arial" w:hAnsi="Arial" w:cs="Arial"/>
          <w:lang w:val="en-US"/>
        </w:rPr>
        <w:t>an</w:t>
      </w:r>
      <w:r w:rsidR="006D4820">
        <w:rPr>
          <w:rFonts w:ascii="Arial" w:hAnsi="Arial" w:cs="Arial"/>
          <w:lang w:val="en-US"/>
        </w:rPr>
        <w:t xml:space="preserve"> </w:t>
      </w:r>
      <w:r w:rsidR="003303B0">
        <w:rPr>
          <w:rFonts w:ascii="Arial" w:hAnsi="Arial" w:cs="Arial"/>
          <w:lang w:val="en-US"/>
        </w:rPr>
        <w:t xml:space="preserve">element of </w:t>
      </w:r>
      <w:r w:rsidR="006D4820">
        <w:rPr>
          <w:rFonts w:ascii="Arial" w:hAnsi="Arial" w:cs="Arial"/>
          <w:lang w:val="en-US"/>
        </w:rPr>
        <w:t>public harm</w:t>
      </w:r>
      <w:r w:rsidR="00CF52BD">
        <w:rPr>
          <w:rFonts w:ascii="Arial" w:hAnsi="Arial" w:cs="Arial"/>
          <w:lang w:val="en-US"/>
        </w:rPr>
        <w:t>. She, however, does not say that the lease is contrary to public policy</w:t>
      </w:r>
      <w:r w:rsidR="00F42C4F">
        <w:rPr>
          <w:rFonts w:ascii="Arial" w:hAnsi="Arial" w:cs="Arial"/>
          <w:lang w:val="en-US"/>
        </w:rPr>
        <w:t xml:space="preserve">, nor does she say so in </w:t>
      </w:r>
      <w:r w:rsidR="00965516">
        <w:rPr>
          <w:rFonts w:ascii="Arial" w:hAnsi="Arial" w:cs="Arial"/>
          <w:lang w:val="en-US"/>
        </w:rPr>
        <w:t>the affidavit resisting summary judgment</w:t>
      </w:r>
      <w:r w:rsidR="006D4820">
        <w:rPr>
          <w:rFonts w:ascii="Arial" w:hAnsi="Arial" w:cs="Arial"/>
          <w:lang w:val="en-US"/>
        </w:rPr>
        <w:t xml:space="preserve">. The first defendant’s view is that </w:t>
      </w:r>
      <w:r w:rsidR="004D39C0">
        <w:rPr>
          <w:rFonts w:ascii="Arial" w:hAnsi="Arial" w:cs="Arial"/>
          <w:lang w:val="en-US"/>
        </w:rPr>
        <w:t>it</w:t>
      </w:r>
      <w:r w:rsidR="006D4820">
        <w:rPr>
          <w:rFonts w:ascii="Arial" w:hAnsi="Arial" w:cs="Arial"/>
          <w:lang w:val="en-US"/>
        </w:rPr>
        <w:t xml:space="preserve"> </w:t>
      </w:r>
      <w:r w:rsidR="00965516">
        <w:rPr>
          <w:rFonts w:ascii="Arial" w:hAnsi="Arial" w:cs="Arial"/>
          <w:lang w:val="en-US"/>
        </w:rPr>
        <w:t xml:space="preserve">is </w:t>
      </w:r>
      <w:r w:rsidR="006D4820">
        <w:rPr>
          <w:rFonts w:ascii="Arial" w:hAnsi="Arial" w:cs="Arial"/>
          <w:lang w:val="en-US"/>
        </w:rPr>
        <w:t xml:space="preserve">not required </w:t>
      </w:r>
      <w:r w:rsidR="00965516">
        <w:rPr>
          <w:rFonts w:ascii="Arial" w:hAnsi="Arial" w:cs="Arial"/>
          <w:lang w:val="en-US"/>
        </w:rPr>
        <w:t xml:space="preserve">of her </w:t>
      </w:r>
      <w:r w:rsidR="006D4820">
        <w:rPr>
          <w:rFonts w:ascii="Arial" w:hAnsi="Arial" w:cs="Arial"/>
          <w:lang w:val="en-US"/>
        </w:rPr>
        <w:t xml:space="preserve">in summary judgment proceedings </w:t>
      </w:r>
      <w:r w:rsidR="004D39C0">
        <w:rPr>
          <w:rFonts w:ascii="Arial" w:hAnsi="Arial" w:cs="Arial"/>
          <w:lang w:val="en-US"/>
        </w:rPr>
        <w:t xml:space="preserve">to do so. She says </w:t>
      </w:r>
      <w:r w:rsidR="006D4820">
        <w:rPr>
          <w:rFonts w:ascii="Arial" w:hAnsi="Arial" w:cs="Arial"/>
          <w:lang w:val="en-US"/>
        </w:rPr>
        <w:t>the depth of the dispute remains to be pleaded.</w:t>
      </w:r>
      <w:r w:rsidR="008526A5">
        <w:rPr>
          <w:rFonts w:ascii="Arial" w:hAnsi="Arial" w:cs="Arial"/>
          <w:lang w:val="en-US"/>
        </w:rPr>
        <w:t xml:space="preserve"> The first defendant argue</w:t>
      </w:r>
      <w:r w:rsidR="00777B22">
        <w:rPr>
          <w:rFonts w:ascii="Arial" w:hAnsi="Arial" w:cs="Arial"/>
          <w:lang w:val="en-US"/>
        </w:rPr>
        <w:t>s</w:t>
      </w:r>
      <w:r w:rsidR="008526A5">
        <w:rPr>
          <w:rFonts w:ascii="Arial" w:hAnsi="Arial" w:cs="Arial"/>
          <w:lang w:val="en-US"/>
        </w:rPr>
        <w:t xml:space="preserve"> that the princip</w:t>
      </w:r>
      <w:r w:rsidR="00965516">
        <w:rPr>
          <w:rFonts w:ascii="Arial" w:hAnsi="Arial" w:cs="Arial"/>
          <w:lang w:val="en-US"/>
        </w:rPr>
        <w:t>le</w:t>
      </w:r>
      <w:r w:rsidR="008526A5">
        <w:rPr>
          <w:rFonts w:ascii="Arial" w:hAnsi="Arial" w:cs="Arial"/>
          <w:lang w:val="en-US"/>
        </w:rPr>
        <w:t xml:space="preserve"> </w:t>
      </w:r>
      <w:r w:rsidR="008526A5" w:rsidRPr="008526A5">
        <w:rPr>
          <w:rFonts w:ascii="Arial" w:hAnsi="Arial" w:cs="Arial"/>
          <w:i/>
          <w:iCs/>
          <w:lang w:val="en-US"/>
        </w:rPr>
        <w:t>pacta sunt servanda</w:t>
      </w:r>
      <w:r w:rsidR="008526A5">
        <w:rPr>
          <w:rFonts w:ascii="Arial" w:hAnsi="Arial" w:cs="Arial"/>
          <w:lang w:val="en-US"/>
        </w:rPr>
        <w:t xml:space="preserve"> should bow to the Act as it did, so she says, to Labour </w:t>
      </w:r>
      <w:r w:rsidR="004D39C0">
        <w:rPr>
          <w:rFonts w:ascii="Arial" w:hAnsi="Arial" w:cs="Arial"/>
          <w:lang w:val="en-US"/>
        </w:rPr>
        <w:t xml:space="preserve">and consumer protection </w:t>
      </w:r>
      <w:r w:rsidR="008526A5">
        <w:rPr>
          <w:rFonts w:ascii="Arial" w:hAnsi="Arial" w:cs="Arial"/>
          <w:lang w:val="en-US"/>
        </w:rPr>
        <w:t>legislation</w:t>
      </w:r>
      <w:r w:rsidR="00777B22">
        <w:rPr>
          <w:rFonts w:ascii="Arial" w:hAnsi="Arial" w:cs="Arial"/>
          <w:lang w:val="en-US"/>
        </w:rPr>
        <w:t>, and th</w:t>
      </w:r>
      <w:r w:rsidR="004D39C0">
        <w:rPr>
          <w:rFonts w:ascii="Arial" w:hAnsi="Arial" w:cs="Arial"/>
          <w:lang w:val="en-US"/>
        </w:rPr>
        <w:t>ose</w:t>
      </w:r>
      <w:r w:rsidR="00777B22">
        <w:rPr>
          <w:rFonts w:ascii="Arial" w:hAnsi="Arial" w:cs="Arial"/>
          <w:lang w:val="en-US"/>
        </w:rPr>
        <w:t xml:space="preserve"> modern-day limitation</w:t>
      </w:r>
      <w:r w:rsidR="004D39C0">
        <w:rPr>
          <w:rFonts w:ascii="Arial" w:hAnsi="Arial" w:cs="Arial"/>
          <w:lang w:val="en-US"/>
        </w:rPr>
        <w:t>s</w:t>
      </w:r>
      <w:r w:rsidR="00777B22">
        <w:rPr>
          <w:rFonts w:ascii="Arial" w:hAnsi="Arial" w:cs="Arial"/>
          <w:lang w:val="en-US"/>
        </w:rPr>
        <w:t xml:space="preserve"> on the</w:t>
      </w:r>
      <w:r w:rsidR="00965516">
        <w:rPr>
          <w:rFonts w:ascii="Arial" w:hAnsi="Arial" w:cs="Arial"/>
          <w:lang w:val="en-US"/>
        </w:rPr>
        <w:t xml:space="preserve"> </w:t>
      </w:r>
      <w:r w:rsidR="00777B22">
        <w:rPr>
          <w:rFonts w:ascii="Arial" w:hAnsi="Arial" w:cs="Arial"/>
          <w:lang w:val="en-US"/>
        </w:rPr>
        <w:t>principle, a new era of law, setting a new public moral, must be ventilated in courts to set precedents for new modern-day values</w:t>
      </w:r>
      <w:r w:rsidR="008526A5">
        <w:rPr>
          <w:rFonts w:ascii="Arial" w:hAnsi="Arial" w:cs="Arial"/>
          <w:lang w:val="en-US"/>
        </w:rPr>
        <w:t xml:space="preserve">. </w:t>
      </w:r>
    </w:p>
    <w:p w14:paraId="1010A8C9" w14:textId="77777777" w:rsidR="006D4820" w:rsidRPr="006D4820" w:rsidRDefault="006D4820" w:rsidP="006D4820">
      <w:pPr>
        <w:pStyle w:val="ListParagraph"/>
        <w:rPr>
          <w:rFonts w:ascii="Arial" w:hAnsi="Arial" w:cs="Arial"/>
          <w:lang w:val="en-US"/>
        </w:rPr>
      </w:pPr>
    </w:p>
    <w:p w14:paraId="107D8CB7" w14:textId="0A3FBC66" w:rsidR="004D39C0" w:rsidRDefault="004D39C0" w:rsidP="00A53A7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Sections 23 and 26 of the Act read as follows:</w:t>
      </w:r>
    </w:p>
    <w:p w14:paraId="014AD967" w14:textId="77777777" w:rsidR="004D39C0" w:rsidRPr="004D39C0" w:rsidRDefault="004D39C0" w:rsidP="004D39C0">
      <w:pPr>
        <w:pStyle w:val="ListParagraph"/>
        <w:rPr>
          <w:rFonts w:ascii="Arial" w:hAnsi="Arial" w:cs="Arial"/>
          <w:lang w:val="en-US"/>
        </w:rPr>
      </w:pPr>
    </w:p>
    <w:p w14:paraId="0DE8B2E8" w14:textId="0E2DDE3B" w:rsidR="004D39C0" w:rsidRPr="004D39C0" w:rsidRDefault="004D39C0" w:rsidP="004D39C0">
      <w:pPr>
        <w:pStyle w:val="ListParagraph"/>
        <w:spacing w:line="360" w:lineRule="auto"/>
        <w:ind w:left="0" w:firstLine="720"/>
        <w:jc w:val="both"/>
        <w:rPr>
          <w:rFonts w:ascii="Arial" w:hAnsi="Arial" w:cs="Arial"/>
          <w:sz w:val="22"/>
          <w:szCs w:val="22"/>
          <w:lang w:val="en-US"/>
        </w:rPr>
      </w:pPr>
      <w:r w:rsidRPr="004D39C0">
        <w:rPr>
          <w:rFonts w:ascii="Arial" w:hAnsi="Arial" w:cs="Arial"/>
          <w:sz w:val="22"/>
          <w:szCs w:val="22"/>
          <w:lang w:val="en-US"/>
        </w:rPr>
        <w:t>‘Restrictive practices prohibited</w:t>
      </w:r>
    </w:p>
    <w:p w14:paraId="5A0DE205" w14:textId="77777777" w:rsidR="004D39C0" w:rsidRDefault="004D39C0" w:rsidP="004D39C0">
      <w:pPr>
        <w:pStyle w:val="ListParagraph"/>
        <w:spacing w:line="360" w:lineRule="auto"/>
        <w:ind w:left="0"/>
        <w:jc w:val="both"/>
        <w:rPr>
          <w:rFonts w:ascii="Arial" w:hAnsi="Arial" w:cs="Arial"/>
          <w:sz w:val="22"/>
          <w:szCs w:val="22"/>
          <w:lang w:val="en-US"/>
        </w:rPr>
      </w:pPr>
    </w:p>
    <w:p w14:paraId="33242175" w14:textId="369700FE"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23. (1) Agreements between undertakings, decisions by associations of undertakings or concerted practices by undertakings which have as their object or effect the prevention or substantial lessening of competition in trade in any goods or services in Namibia, or a part of Namibia, are prohibited, unless they are exempt in accordance with the provisions of Part III of this Chapter.</w:t>
      </w:r>
    </w:p>
    <w:p w14:paraId="07871A75" w14:textId="77777777" w:rsidR="004D39C0" w:rsidRDefault="004D39C0" w:rsidP="004D39C0">
      <w:pPr>
        <w:pStyle w:val="ListParagraph"/>
        <w:spacing w:line="360" w:lineRule="auto"/>
        <w:ind w:left="0"/>
        <w:jc w:val="both"/>
        <w:rPr>
          <w:rFonts w:ascii="Arial" w:hAnsi="Arial" w:cs="Arial"/>
          <w:sz w:val="22"/>
          <w:szCs w:val="22"/>
          <w:lang w:val="en-US"/>
        </w:rPr>
      </w:pPr>
    </w:p>
    <w:p w14:paraId="0C2461AB" w14:textId="61A4BA2C"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(2) Agreements and concerted practices contemplated in subsection (1), include agreements concluded between -</w:t>
      </w:r>
    </w:p>
    <w:p w14:paraId="6AC3A0A1"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 parties in a horizontal relationship, being undertakings trading in competition; or</w:t>
      </w:r>
    </w:p>
    <w:p w14:paraId="6DF63393"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(b) parties in a vertical relationship, being an undertaking and its suppliers or customers or both.</w:t>
      </w:r>
    </w:p>
    <w:p w14:paraId="7D273F85" w14:textId="77777777" w:rsidR="004D39C0" w:rsidRDefault="004D39C0" w:rsidP="004D39C0">
      <w:pPr>
        <w:pStyle w:val="ListParagraph"/>
        <w:spacing w:line="360" w:lineRule="auto"/>
        <w:ind w:left="0"/>
        <w:jc w:val="both"/>
        <w:rPr>
          <w:rFonts w:ascii="Arial" w:hAnsi="Arial" w:cs="Arial"/>
          <w:sz w:val="22"/>
          <w:szCs w:val="22"/>
          <w:lang w:val="en-US"/>
        </w:rPr>
      </w:pPr>
    </w:p>
    <w:p w14:paraId="19258E9B" w14:textId="650EA044"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(3) Without prejudice to the generality of the provisions of subsection (1), that subsection applies in particular to any agreement, decision or concerted practice which -</w:t>
      </w:r>
    </w:p>
    <w:p w14:paraId="50DCA20E"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 directly or indirectly fixes purchase or selling prices or any other trading conditions;</w:t>
      </w:r>
    </w:p>
    <w:p w14:paraId="3B41D372"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(b) divides markets by allocating customers, suppliers, areas or specific types of goods or services;</w:t>
      </w:r>
    </w:p>
    <w:p w14:paraId="67598684"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(c) involves collusive tendering;</w:t>
      </w:r>
    </w:p>
    <w:p w14:paraId="708A6871"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(d) involves a practice of minimum resale price maintenance;</w:t>
      </w:r>
    </w:p>
    <w:p w14:paraId="08D5A5E0"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lastRenderedPageBreak/>
        <w:t>(e) limits or controls production, market outlets or access, technical development or investment;</w:t>
      </w:r>
    </w:p>
    <w:p w14:paraId="0749285E"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(f) applies dissimilar conditions to equivalent transactions with other trading parties, thereby placing them at a competitive disadvantage;</w:t>
      </w:r>
    </w:p>
    <w:p w14:paraId="1C9E5526"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(g) makes the conclusion of contracts subject to acceptance by other parties of supplementary conditions which by their nature or according to commercial usage have no connection with the subject of the contracts.</w:t>
      </w:r>
    </w:p>
    <w:p w14:paraId="15B6648D" w14:textId="77777777" w:rsidR="004D39C0" w:rsidRDefault="004D39C0" w:rsidP="004D39C0">
      <w:pPr>
        <w:pStyle w:val="ListParagraph"/>
        <w:spacing w:line="360" w:lineRule="auto"/>
        <w:ind w:left="0"/>
        <w:jc w:val="both"/>
        <w:rPr>
          <w:rFonts w:ascii="Arial" w:hAnsi="Arial" w:cs="Arial"/>
          <w:sz w:val="22"/>
          <w:szCs w:val="22"/>
          <w:lang w:val="en-US"/>
        </w:rPr>
      </w:pPr>
    </w:p>
    <w:p w14:paraId="013552B9" w14:textId="65BCC3F4"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(4) Paragraph (d) of subsection (3) does not prevent a supplier or producer of goods or services from recommending a resale price to a reseller of the goods or a provider of the service, provided -</w:t>
      </w:r>
    </w:p>
    <w:p w14:paraId="75B3345B"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 it is expressly stipulated by the supplier or producer to the reseller or provider that the recommended price is not binding; and</w:t>
      </w:r>
    </w:p>
    <w:p w14:paraId="76EC8D41"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(b) if any product, or any document or thing relating to any product or service, bears a price affixed or applied by the supplier or producer, the words “recommended price” appear next to the price so affixed or applied.</w:t>
      </w:r>
    </w:p>
    <w:p w14:paraId="4AC45A47" w14:textId="77777777" w:rsidR="004D39C0" w:rsidRDefault="004D39C0" w:rsidP="004D39C0">
      <w:pPr>
        <w:pStyle w:val="ListParagraph"/>
        <w:spacing w:line="360" w:lineRule="auto"/>
        <w:ind w:left="0"/>
        <w:jc w:val="both"/>
        <w:rPr>
          <w:rFonts w:ascii="Arial" w:hAnsi="Arial" w:cs="Arial"/>
          <w:sz w:val="22"/>
          <w:szCs w:val="22"/>
          <w:lang w:val="en-US"/>
        </w:rPr>
      </w:pPr>
    </w:p>
    <w:p w14:paraId="6BF3E847" w14:textId="113C20D6"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(5) It is presumed that an agreement or a concerted practice of the nature prohibited by subsection (1) exists between two or more undertakings if -</w:t>
      </w:r>
    </w:p>
    <w:p w14:paraId="1F259ED3" w14:textId="0722DAC4"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 any one of the undertakings owns a significant interest in the other or they have at least one director or one substantial shareholder in common; and</w:t>
      </w:r>
    </w:p>
    <w:p w14:paraId="0F6CCFAC"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(b) any combination of the undertakings engages in any of the practices mentioned in subsection (3).</w:t>
      </w:r>
    </w:p>
    <w:p w14:paraId="4161F9CE" w14:textId="77777777" w:rsidR="004D39C0" w:rsidRDefault="004D39C0" w:rsidP="004D39C0">
      <w:pPr>
        <w:pStyle w:val="ListParagraph"/>
        <w:spacing w:line="360" w:lineRule="auto"/>
        <w:ind w:left="0"/>
        <w:jc w:val="both"/>
        <w:rPr>
          <w:rFonts w:ascii="Arial" w:hAnsi="Arial" w:cs="Arial"/>
          <w:sz w:val="22"/>
          <w:szCs w:val="22"/>
          <w:lang w:val="en-US"/>
        </w:rPr>
      </w:pPr>
    </w:p>
    <w:p w14:paraId="5C67B87F" w14:textId="69C839E5"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(6) The presumption created by subsection (5) may be rebutted if an undertaking or a director or shareholder concerned establishes that a reasonable basis exists to conclude that any practice in which any of the undertakings engaged was a normal commercial response to conditions prevailing in the market.</w:t>
      </w:r>
    </w:p>
    <w:p w14:paraId="6AA9A58A" w14:textId="77777777" w:rsidR="004D39C0" w:rsidRDefault="004D39C0" w:rsidP="004D39C0">
      <w:pPr>
        <w:pStyle w:val="ListParagraph"/>
        <w:spacing w:line="360" w:lineRule="auto"/>
        <w:ind w:left="0"/>
        <w:jc w:val="both"/>
        <w:rPr>
          <w:rFonts w:ascii="Arial" w:hAnsi="Arial" w:cs="Arial"/>
          <w:sz w:val="22"/>
          <w:szCs w:val="22"/>
          <w:lang w:val="en-US"/>
        </w:rPr>
      </w:pPr>
    </w:p>
    <w:p w14:paraId="121DD720" w14:textId="66B9381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(7) For the purposes of subsection (5), “director” includes -</w:t>
      </w:r>
    </w:p>
    <w:p w14:paraId="1DD2AB30"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 a director of a company as defined in the Companies Act, 1973 (Act No. 61 of 1973);</w:t>
      </w:r>
    </w:p>
    <w:p w14:paraId="6E110C5B"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(b) a member of a close corporation as defined in the Close Corporations Act, 1988 (Act No. 26 of 1988);</w:t>
      </w:r>
    </w:p>
    <w:p w14:paraId="1F13FC57"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(c) a trustee of a trust; or</w:t>
      </w:r>
    </w:p>
    <w:p w14:paraId="5CC4640E"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(d) in relation to an undertaking conducted by an individual or a partnership, the owner of the undertaking or a partner of the partnership.</w:t>
      </w:r>
    </w:p>
    <w:p w14:paraId="0F80D42B" w14:textId="77777777" w:rsidR="004D39C0" w:rsidRDefault="004D39C0" w:rsidP="004D39C0">
      <w:pPr>
        <w:pStyle w:val="ListParagraph"/>
        <w:spacing w:line="360" w:lineRule="auto"/>
        <w:ind w:left="0"/>
        <w:jc w:val="both"/>
        <w:rPr>
          <w:rFonts w:ascii="Arial" w:hAnsi="Arial" w:cs="Arial"/>
          <w:sz w:val="22"/>
          <w:szCs w:val="22"/>
          <w:lang w:val="en-US"/>
        </w:rPr>
      </w:pPr>
    </w:p>
    <w:p w14:paraId="753F4DBE" w14:textId="0940A183"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lastRenderedPageBreak/>
        <w:t>(8) Subsection (1) does not apply in respect of an agreement entered into between, or a practice engaged in by -</w:t>
      </w:r>
    </w:p>
    <w:p w14:paraId="18965801"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 a company and its wholly owned subsidiary, as contemplated in section 1 of the Companies Act, 1973, or a wholly owned subsidiary of that subsidiary company; or</w:t>
      </w:r>
    </w:p>
    <w:p w14:paraId="337BD81C" w14:textId="02C2C31C"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(b) undertakings other than companies, each of which is owned or controlled by the same person or persons.’</w:t>
      </w:r>
    </w:p>
    <w:p w14:paraId="43E6FDA5" w14:textId="77777777" w:rsidR="004D39C0" w:rsidRPr="004D39C0" w:rsidRDefault="004D39C0" w:rsidP="004D39C0">
      <w:pPr>
        <w:pStyle w:val="ListParagraph"/>
        <w:spacing w:line="360" w:lineRule="auto"/>
        <w:ind w:left="0"/>
        <w:jc w:val="both"/>
        <w:rPr>
          <w:rFonts w:ascii="Arial" w:hAnsi="Arial" w:cs="Arial"/>
          <w:sz w:val="22"/>
          <w:szCs w:val="22"/>
          <w:lang w:val="en-US"/>
        </w:rPr>
      </w:pPr>
    </w:p>
    <w:p w14:paraId="29FC3CFB" w14:textId="368F3BE1"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‘Abuse of dominant position</w:t>
      </w:r>
    </w:p>
    <w:p w14:paraId="159F0960" w14:textId="77777777" w:rsidR="002A0A5D" w:rsidRDefault="002A0A5D" w:rsidP="004D39C0">
      <w:pPr>
        <w:pStyle w:val="ListParagraph"/>
        <w:spacing w:line="360" w:lineRule="auto"/>
        <w:ind w:left="0"/>
        <w:jc w:val="both"/>
        <w:rPr>
          <w:rFonts w:ascii="Arial" w:hAnsi="Arial" w:cs="Arial"/>
          <w:sz w:val="22"/>
          <w:szCs w:val="22"/>
          <w:lang w:val="en-US"/>
        </w:rPr>
      </w:pPr>
    </w:p>
    <w:p w14:paraId="0B785794" w14:textId="41B9F2A9" w:rsidR="004D39C0" w:rsidRPr="004D39C0" w:rsidRDefault="002A0A5D" w:rsidP="004D39C0">
      <w:pPr>
        <w:pStyle w:val="ListParagraph"/>
        <w:spacing w:line="360" w:lineRule="auto"/>
        <w:ind w:left="0"/>
        <w:jc w:val="both"/>
        <w:rPr>
          <w:rFonts w:ascii="Arial" w:hAnsi="Arial" w:cs="Arial"/>
          <w:sz w:val="22"/>
          <w:szCs w:val="22"/>
          <w:lang w:val="en-US"/>
        </w:rPr>
      </w:pPr>
      <w:r w:rsidRPr="002A0A5D">
        <w:rPr>
          <w:rFonts w:ascii="Arial" w:hAnsi="Arial" w:cs="Arial"/>
          <w:sz w:val="22"/>
          <w:szCs w:val="22"/>
          <w:lang w:val="en-US"/>
        </w:rPr>
        <w:t>26. (1) Any conduct on the part of one or more undertakings which amounts to the abuse of a dominant position in a market in Namibia, or a part of Namibia, is prohibited.</w:t>
      </w:r>
    </w:p>
    <w:p w14:paraId="68348407" w14:textId="77777777" w:rsidR="002A0A5D" w:rsidRDefault="002A0A5D" w:rsidP="004D39C0">
      <w:pPr>
        <w:pStyle w:val="ListParagraph"/>
        <w:spacing w:line="360" w:lineRule="auto"/>
        <w:ind w:left="0"/>
        <w:jc w:val="both"/>
        <w:rPr>
          <w:rFonts w:ascii="Arial" w:hAnsi="Arial" w:cs="Arial"/>
          <w:sz w:val="22"/>
          <w:szCs w:val="22"/>
          <w:lang w:val="en-US"/>
        </w:rPr>
      </w:pPr>
    </w:p>
    <w:p w14:paraId="22C478A6" w14:textId="3301D426"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(2) Without prejudice to the generality of subsection (1), abuse of a dominant position includes -</w:t>
      </w:r>
    </w:p>
    <w:p w14:paraId="66552E67"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(a) directly or indirectly imposing unfair purchase or selling prices or other unfair trading conditions;</w:t>
      </w:r>
    </w:p>
    <w:p w14:paraId="6CE204CD"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(b) limiting or restricting production, market outlets or market access, investment, technical development or technological progress;</w:t>
      </w:r>
    </w:p>
    <w:p w14:paraId="35DF0F14" w14:textId="77777777" w:rsidR="004D39C0" w:rsidRPr="004D39C0" w:rsidRDefault="004D39C0" w:rsidP="004D39C0">
      <w:pPr>
        <w:pStyle w:val="ListParagraph"/>
        <w:spacing w:line="360" w:lineRule="auto"/>
        <w:ind w:left="0"/>
        <w:jc w:val="both"/>
        <w:rPr>
          <w:rFonts w:ascii="Arial" w:hAnsi="Arial" w:cs="Arial"/>
          <w:sz w:val="22"/>
          <w:szCs w:val="22"/>
          <w:lang w:val="en-US"/>
        </w:rPr>
      </w:pPr>
      <w:r w:rsidRPr="004D39C0">
        <w:rPr>
          <w:rFonts w:ascii="Arial" w:hAnsi="Arial" w:cs="Arial"/>
          <w:sz w:val="22"/>
          <w:szCs w:val="22"/>
          <w:lang w:val="en-US"/>
        </w:rPr>
        <w:t>(c) applying dissimilar conditions to equivalent transactions with other trading parties; and</w:t>
      </w:r>
    </w:p>
    <w:p w14:paraId="7B5944CF" w14:textId="50751442" w:rsidR="004D39C0" w:rsidRDefault="004D39C0" w:rsidP="004D39C0">
      <w:pPr>
        <w:pStyle w:val="ListParagraph"/>
        <w:spacing w:line="360" w:lineRule="auto"/>
        <w:ind w:left="0"/>
        <w:jc w:val="both"/>
        <w:rPr>
          <w:rFonts w:ascii="Arial" w:hAnsi="Arial" w:cs="Arial"/>
          <w:lang w:val="en-US"/>
        </w:rPr>
      </w:pPr>
      <w:r w:rsidRPr="004D39C0">
        <w:rPr>
          <w:rFonts w:ascii="Arial" w:hAnsi="Arial" w:cs="Arial"/>
          <w:sz w:val="22"/>
          <w:szCs w:val="22"/>
          <w:lang w:val="en-US"/>
        </w:rPr>
        <w:t>(d) making the conclusion of contracts subject to acceptance by other parties of supplementary conditions which by their nature or according to commercial usage have no connection with the subject-matter of the contracts.’</w:t>
      </w:r>
    </w:p>
    <w:p w14:paraId="3B8BFB5B" w14:textId="77777777" w:rsidR="004D39C0" w:rsidRPr="004D39C0" w:rsidRDefault="004D39C0" w:rsidP="004D39C0">
      <w:pPr>
        <w:pStyle w:val="ListParagraph"/>
        <w:rPr>
          <w:rFonts w:ascii="Arial" w:hAnsi="Arial" w:cs="Arial"/>
          <w:lang w:val="en-US"/>
        </w:rPr>
      </w:pPr>
    </w:p>
    <w:p w14:paraId="14C69137" w14:textId="3FCF5043" w:rsidR="002A0A5D" w:rsidRDefault="00965516" w:rsidP="00A53A7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w:t>
      </w:r>
      <w:r w:rsidR="004D39C0">
        <w:rPr>
          <w:rFonts w:ascii="Arial" w:hAnsi="Arial" w:cs="Arial"/>
          <w:lang w:val="en-US"/>
        </w:rPr>
        <w:t xml:space="preserve">he plaintiff argues that </w:t>
      </w:r>
      <w:r w:rsidR="004B69D9">
        <w:rPr>
          <w:rFonts w:ascii="Arial" w:hAnsi="Arial" w:cs="Arial"/>
          <w:lang w:val="en-US"/>
        </w:rPr>
        <w:t>the first defendant makes sweeping, vague and unsubstantiated allegations, she is grasping at straws, and the defence is contrived and raised as an afterthought to avoid summary judgment. It argues</w:t>
      </w:r>
      <w:r w:rsidR="00000228">
        <w:rPr>
          <w:rFonts w:ascii="Arial" w:hAnsi="Arial" w:cs="Arial"/>
          <w:lang w:val="en-US"/>
        </w:rPr>
        <w:t xml:space="preserve"> that</w:t>
      </w:r>
      <w:r w:rsidR="004B69D9">
        <w:rPr>
          <w:rFonts w:ascii="Arial" w:hAnsi="Arial" w:cs="Arial"/>
          <w:lang w:val="en-US"/>
        </w:rPr>
        <w:t xml:space="preserve"> for the period 2011</w:t>
      </w:r>
      <w:r w:rsidR="00C86ED5">
        <w:rPr>
          <w:rFonts w:ascii="Arial" w:hAnsi="Arial" w:cs="Arial"/>
          <w:lang w:val="en-US"/>
        </w:rPr>
        <w:t xml:space="preserve"> (</w:t>
      </w:r>
      <w:r w:rsidR="004D39C0">
        <w:rPr>
          <w:rFonts w:ascii="Arial" w:hAnsi="Arial" w:cs="Arial"/>
          <w:lang w:val="en-US"/>
        </w:rPr>
        <w:t>when the lease was concluded</w:t>
      </w:r>
      <w:r w:rsidR="00C86ED5">
        <w:rPr>
          <w:rFonts w:ascii="Arial" w:hAnsi="Arial" w:cs="Arial"/>
          <w:lang w:val="en-US"/>
        </w:rPr>
        <w:t>)</w:t>
      </w:r>
      <w:r w:rsidR="004B69D9">
        <w:rPr>
          <w:rFonts w:ascii="Arial" w:hAnsi="Arial" w:cs="Arial"/>
          <w:lang w:val="en-US"/>
        </w:rPr>
        <w:t xml:space="preserve"> to December 2023</w:t>
      </w:r>
      <w:r w:rsidR="00C86ED5">
        <w:rPr>
          <w:rFonts w:ascii="Arial" w:hAnsi="Arial" w:cs="Arial"/>
          <w:lang w:val="en-US"/>
        </w:rPr>
        <w:t xml:space="preserve"> (</w:t>
      </w:r>
      <w:r w:rsidR="004B69D9">
        <w:rPr>
          <w:rFonts w:ascii="Arial" w:hAnsi="Arial" w:cs="Arial"/>
          <w:lang w:val="en-US"/>
        </w:rPr>
        <w:t>when the affidavit resisting summary judgment was filed</w:t>
      </w:r>
      <w:r w:rsidR="00C86ED5">
        <w:rPr>
          <w:rFonts w:ascii="Arial" w:hAnsi="Arial" w:cs="Arial"/>
          <w:lang w:val="en-US"/>
        </w:rPr>
        <w:t>),</w:t>
      </w:r>
      <w:r w:rsidR="004B69D9">
        <w:rPr>
          <w:rFonts w:ascii="Arial" w:hAnsi="Arial" w:cs="Arial"/>
          <w:lang w:val="en-US"/>
        </w:rPr>
        <w:t xml:space="preserve"> </w:t>
      </w:r>
      <w:r w:rsidR="00000228">
        <w:rPr>
          <w:rFonts w:ascii="Arial" w:hAnsi="Arial" w:cs="Arial"/>
          <w:lang w:val="en-US"/>
        </w:rPr>
        <w:t>the first defendant</w:t>
      </w:r>
      <w:r w:rsidR="004B69D9">
        <w:rPr>
          <w:rFonts w:ascii="Arial" w:hAnsi="Arial" w:cs="Arial"/>
          <w:lang w:val="en-US"/>
        </w:rPr>
        <w:t xml:space="preserve"> never alleged that the lease contravened the Ac</w:t>
      </w:r>
      <w:r w:rsidR="00A53A7F">
        <w:rPr>
          <w:rFonts w:ascii="Arial" w:hAnsi="Arial" w:cs="Arial"/>
          <w:lang w:val="en-US"/>
        </w:rPr>
        <w:t>t</w:t>
      </w:r>
      <w:r w:rsidR="004D39C0">
        <w:rPr>
          <w:rFonts w:ascii="Arial" w:hAnsi="Arial" w:cs="Arial"/>
          <w:lang w:val="en-US"/>
        </w:rPr>
        <w:t>,</w:t>
      </w:r>
      <w:r w:rsidR="00A53A7F">
        <w:rPr>
          <w:rFonts w:ascii="Arial" w:hAnsi="Arial" w:cs="Arial"/>
          <w:lang w:val="en-US"/>
        </w:rPr>
        <w:t xml:space="preserve"> and she never submitted a complaint to the Competition Commission</w:t>
      </w:r>
      <w:r w:rsidR="004D39C0">
        <w:rPr>
          <w:rFonts w:ascii="Arial" w:hAnsi="Arial" w:cs="Arial"/>
          <w:lang w:val="en-US"/>
        </w:rPr>
        <w:t xml:space="preserve"> (the Commission)</w:t>
      </w:r>
      <w:r w:rsidR="00A53A7F">
        <w:rPr>
          <w:rFonts w:ascii="Arial" w:hAnsi="Arial" w:cs="Arial"/>
          <w:lang w:val="en-US"/>
        </w:rPr>
        <w:t xml:space="preserve">. The plaintiff contends </w:t>
      </w:r>
      <w:r>
        <w:rPr>
          <w:rFonts w:ascii="Arial" w:hAnsi="Arial" w:cs="Arial"/>
          <w:lang w:val="en-US"/>
        </w:rPr>
        <w:t>t</w:t>
      </w:r>
      <w:r w:rsidR="00A53A7F">
        <w:rPr>
          <w:rFonts w:ascii="Arial" w:hAnsi="Arial" w:cs="Arial"/>
          <w:lang w:val="en-US"/>
        </w:rPr>
        <w:t>he first defendant failed to state</w:t>
      </w:r>
      <w:r w:rsidR="004D39C0">
        <w:rPr>
          <w:rFonts w:ascii="Arial" w:hAnsi="Arial" w:cs="Arial"/>
          <w:lang w:val="en-US"/>
        </w:rPr>
        <w:t xml:space="preserve"> in the affidavit resisting summary judgment</w:t>
      </w:r>
      <w:r w:rsidR="00A53A7F">
        <w:rPr>
          <w:rFonts w:ascii="Arial" w:hAnsi="Arial" w:cs="Arial"/>
          <w:lang w:val="en-US"/>
        </w:rPr>
        <w:t xml:space="preserve"> what the effect of the </w:t>
      </w:r>
      <w:r w:rsidR="00C86ED5">
        <w:rPr>
          <w:rFonts w:ascii="Arial" w:hAnsi="Arial" w:cs="Arial"/>
          <w:lang w:val="en-US"/>
        </w:rPr>
        <w:t xml:space="preserve">alleged </w:t>
      </w:r>
      <w:r w:rsidR="00A53A7F">
        <w:rPr>
          <w:rFonts w:ascii="Arial" w:hAnsi="Arial" w:cs="Arial"/>
          <w:lang w:val="en-US"/>
        </w:rPr>
        <w:t xml:space="preserve">contravention would be on the plaintiff’s claim for payment. According to the plaintiff, there would be no effect as the Act does not provide that such agreement is void or </w:t>
      </w:r>
      <w:r w:rsidR="004D39C0">
        <w:rPr>
          <w:rFonts w:ascii="Arial" w:hAnsi="Arial" w:cs="Arial"/>
          <w:lang w:val="en-US"/>
        </w:rPr>
        <w:t xml:space="preserve">that it </w:t>
      </w:r>
      <w:r w:rsidR="00A53A7F">
        <w:rPr>
          <w:rFonts w:ascii="Arial" w:hAnsi="Arial" w:cs="Arial"/>
          <w:lang w:val="en-US"/>
        </w:rPr>
        <w:t>can be declared void</w:t>
      </w:r>
      <w:r w:rsidR="004D39C0">
        <w:rPr>
          <w:rFonts w:ascii="Arial" w:hAnsi="Arial" w:cs="Arial"/>
          <w:lang w:val="en-US"/>
        </w:rPr>
        <w:t>,</w:t>
      </w:r>
      <w:r w:rsidR="00A53A7F">
        <w:rPr>
          <w:rFonts w:ascii="Arial" w:hAnsi="Arial" w:cs="Arial"/>
          <w:lang w:val="en-US"/>
        </w:rPr>
        <w:t xml:space="preserve"> and it certainly does not provide that debts incurred under such agreement need not be paid. The </w:t>
      </w:r>
      <w:r w:rsidR="00A53A7F">
        <w:rPr>
          <w:rFonts w:ascii="Arial" w:hAnsi="Arial" w:cs="Arial"/>
          <w:lang w:val="en-US"/>
        </w:rPr>
        <w:lastRenderedPageBreak/>
        <w:t xml:space="preserve">plaintiff argues that after an investigation under ss 33 to 35 of the Act, the Commission may propose to make a decision under s 36, and following representations under ss 36 and 37, the Commission may institute proceedings in the court for the relief set out in s 38, </w:t>
      </w:r>
      <w:r>
        <w:rPr>
          <w:rFonts w:ascii="Arial" w:hAnsi="Arial" w:cs="Arial"/>
          <w:lang w:val="en-US"/>
        </w:rPr>
        <w:t xml:space="preserve">and </w:t>
      </w:r>
      <w:r w:rsidR="00A53A7F">
        <w:rPr>
          <w:rFonts w:ascii="Arial" w:hAnsi="Arial" w:cs="Arial"/>
          <w:lang w:val="en-US"/>
        </w:rPr>
        <w:t xml:space="preserve">none of </w:t>
      </w:r>
      <w:r>
        <w:rPr>
          <w:rFonts w:ascii="Arial" w:hAnsi="Arial" w:cs="Arial"/>
          <w:lang w:val="en-US"/>
        </w:rPr>
        <w:t>that relief</w:t>
      </w:r>
      <w:r w:rsidR="00A53A7F">
        <w:rPr>
          <w:rFonts w:ascii="Arial" w:hAnsi="Arial" w:cs="Arial"/>
          <w:lang w:val="en-US"/>
        </w:rPr>
        <w:t xml:space="preserve"> would extinguish the first defendant’s indebtedness to the plaintiff. </w:t>
      </w:r>
    </w:p>
    <w:p w14:paraId="24D3C76C" w14:textId="77777777" w:rsidR="002A0A5D" w:rsidRDefault="002A0A5D" w:rsidP="002A0A5D">
      <w:pPr>
        <w:pStyle w:val="ListParagraph"/>
        <w:spacing w:line="360" w:lineRule="auto"/>
        <w:ind w:left="0"/>
        <w:jc w:val="both"/>
        <w:rPr>
          <w:rFonts w:ascii="Arial" w:hAnsi="Arial" w:cs="Arial"/>
          <w:lang w:val="en-US"/>
        </w:rPr>
      </w:pPr>
    </w:p>
    <w:p w14:paraId="5FC1FFEE" w14:textId="20BD9A43" w:rsidR="00A53A7F" w:rsidRPr="00A53A7F" w:rsidRDefault="00A53A7F" w:rsidP="00A53A7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Section 38 of the Act reads as follows:</w:t>
      </w:r>
    </w:p>
    <w:p w14:paraId="4F2145B4" w14:textId="77777777" w:rsidR="004B69D9" w:rsidRPr="004B69D9" w:rsidRDefault="004B69D9" w:rsidP="004B69D9">
      <w:pPr>
        <w:pStyle w:val="ListParagraph"/>
        <w:rPr>
          <w:rFonts w:ascii="Arial" w:hAnsi="Arial" w:cs="Arial"/>
          <w:lang w:val="en-US"/>
        </w:rPr>
      </w:pPr>
    </w:p>
    <w:p w14:paraId="7B6A3087" w14:textId="19C7D09D" w:rsidR="002A0A5D" w:rsidRDefault="00A53A7F" w:rsidP="00A53A7F">
      <w:pPr>
        <w:pStyle w:val="ListParagraph"/>
        <w:spacing w:line="360" w:lineRule="auto"/>
        <w:ind w:left="0" w:firstLine="720"/>
        <w:jc w:val="both"/>
        <w:rPr>
          <w:rFonts w:ascii="Arial" w:hAnsi="Arial" w:cs="Arial"/>
          <w:sz w:val="22"/>
          <w:szCs w:val="22"/>
          <w:lang w:val="en-US"/>
        </w:rPr>
      </w:pPr>
      <w:r w:rsidRPr="00A53A7F">
        <w:rPr>
          <w:rFonts w:ascii="Arial" w:hAnsi="Arial" w:cs="Arial"/>
          <w:sz w:val="22"/>
          <w:szCs w:val="22"/>
          <w:lang w:val="en-US"/>
        </w:rPr>
        <w:t>‘</w:t>
      </w:r>
      <w:r w:rsidR="002A0A5D">
        <w:rPr>
          <w:rFonts w:ascii="Arial" w:hAnsi="Arial" w:cs="Arial"/>
          <w:sz w:val="22"/>
          <w:szCs w:val="22"/>
          <w:lang w:val="en-US"/>
        </w:rPr>
        <w:t>Action following investigation</w:t>
      </w:r>
    </w:p>
    <w:p w14:paraId="07BCDE5B" w14:textId="77777777" w:rsidR="002A0A5D" w:rsidRDefault="002A0A5D" w:rsidP="002A0A5D">
      <w:pPr>
        <w:pStyle w:val="ListParagraph"/>
        <w:spacing w:line="360" w:lineRule="auto"/>
        <w:ind w:left="0"/>
        <w:jc w:val="both"/>
        <w:rPr>
          <w:rFonts w:ascii="Arial" w:hAnsi="Arial" w:cs="Arial"/>
          <w:sz w:val="22"/>
          <w:szCs w:val="22"/>
          <w:lang w:val="en-US"/>
        </w:rPr>
      </w:pPr>
    </w:p>
    <w:p w14:paraId="1ED4CE63" w14:textId="115868E5" w:rsidR="00A53A7F" w:rsidRPr="00A53A7F" w:rsidRDefault="00A53A7F" w:rsidP="002A0A5D">
      <w:pPr>
        <w:pStyle w:val="ListParagraph"/>
        <w:spacing w:line="360" w:lineRule="auto"/>
        <w:ind w:left="0"/>
        <w:jc w:val="both"/>
        <w:rPr>
          <w:rFonts w:ascii="Arial" w:hAnsi="Arial" w:cs="Arial"/>
          <w:sz w:val="22"/>
          <w:szCs w:val="22"/>
          <w:lang w:val="en-US"/>
        </w:rPr>
      </w:pPr>
      <w:r w:rsidRPr="00A53A7F">
        <w:rPr>
          <w:rFonts w:ascii="Arial" w:hAnsi="Arial" w:cs="Arial"/>
          <w:sz w:val="22"/>
          <w:szCs w:val="22"/>
          <w:lang w:val="en-US"/>
        </w:rPr>
        <w:t>38. After consideration of any written representations made in terms of section 36(2)(c)(i) and of any matters raised at a conference held in accordance with section 37, the Commission may institute proceedings in the Court against the undertaking or undertakings concerned for an order –</w:t>
      </w:r>
    </w:p>
    <w:p w14:paraId="64FE65E2" w14:textId="35D08783" w:rsidR="00A53A7F" w:rsidRPr="00A53A7F" w:rsidRDefault="00A53A7F" w:rsidP="00A53A7F">
      <w:pPr>
        <w:pStyle w:val="ListParagraph"/>
        <w:spacing w:line="360" w:lineRule="auto"/>
        <w:ind w:left="0"/>
        <w:jc w:val="both"/>
        <w:rPr>
          <w:rFonts w:ascii="Arial" w:hAnsi="Arial" w:cs="Arial"/>
          <w:sz w:val="22"/>
          <w:szCs w:val="22"/>
          <w:lang w:val="en-US"/>
        </w:rPr>
      </w:pPr>
      <w:r w:rsidRPr="00A53A7F">
        <w:rPr>
          <w:rFonts w:ascii="Arial" w:hAnsi="Arial" w:cs="Arial"/>
          <w:sz w:val="22"/>
          <w:szCs w:val="22"/>
          <w:lang w:val="en-US"/>
        </w:rPr>
        <w:t>(a) declaring the conduct which is the subject matter of the Commission’s investigation,</w:t>
      </w:r>
      <w:r>
        <w:rPr>
          <w:rFonts w:ascii="Arial" w:hAnsi="Arial" w:cs="Arial"/>
          <w:sz w:val="22"/>
          <w:szCs w:val="22"/>
          <w:lang w:val="en-US"/>
        </w:rPr>
        <w:t xml:space="preserve"> </w:t>
      </w:r>
      <w:r w:rsidRPr="00A53A7F">
        <w:rPr>
          <w:rFonts w:ascii="Arial" w:hAnsi="Arial" w:cs="Arial"/>
          <w:sz w:val="22"/>
          <w:szCs w:val="22"/>
          <w:lang w:val="en-US"/>
        </w:rPr>
        <w:t>to constitute an infringement of the Part I or the Part II prohibition;</w:t>
      </w:r>
    </w:p>
    <w:p w14:paraId="0E97789B" w14:textId="77777777" w:rsidR="00A53A7F" w:rsidRPr="00A53A7F" w:rsidRDefault="00A53A7F" w:rsidP="00A53A7F">
      <w:pPr>
        <w:pStyle w:val="ListParagraph"/>
        <w:spacing w:line="360" w:lineRule="auto"/>
        <w:ind w:left="0"/>
        <w:jc w:val="both"/>
        <w:rPr>
          <w:rFonts w:ascii="Arial" w:hAnsi="Arial" w:cs="Arial"/>
          <w:sz w:val="22"/>
          <w:szCs w:val="22"/>
          <w:lang w:val="en-US"/>
        </w:rPr>
      </w:pPr>
      <w:r w:rsidRPr="00A53A7F">
        <w:rPr>
          <w:rFonts w:ascii="Arial" w:hAnsi="Arial" w:cs="Arial"/>
          <w:sz w:val="22"/>
          <w:szCs w:val="22"/>
          <w:lang w:val="en-US"/>
        </w:rPr>
        <w:t>(b) restraining the undertaking or undertakings from engaging in that conduct;</w:t>
      </w:r>
    </w:p>
    <w:p w14:paraId="63FA7C31" w14:textId="77777777" w:rsidR="00A53A7F" w:rsidRPr="00A53A7F" w:rsidRDefault="00A53A7F" w:rsidP="00A53A7F">
      <w:pPr>
        <w:pStyle w:val="ListParagraph"/>
        <w:spacing w:line="360" w:lineRule="auto"/>
        <w:ind w:left="0"/>
        <w:jc w:val="both"/>
        <w:rPr>
          <w:rFonts w:ascii="Arial" w:hAnsi="Arial" w:cs="Arial"/>
          <w:sz w:val="22"/>
          <w:szCs w:val="22"/>
          <w:lang w:val="en-US"/>
        </w:rPr>
      </w:pPr>
      <w:r w:rsidRPr="00A53A7F">
        <w:rPr>
          <w:rFonts w:ascii="Arial" w:hAnsi="Arial" w:cs="Arial"/>
          <w:sz w:val="22"/>
          <w:szCs w:val="22"/>
          <w:lang w:val="en-US"/>
        </w:rPr>
        <w:t>(c) directing any action to be taken by the undertaking or undertakings concerned to remedy or reverse the infringement or the effects thereof;</w:t>
      </w:r>
    </w:p>
    <w:p w14:paraId="1B7B523F" w14:textId="77777777" w:rsidR="00A53A7F" w:rsidRPr="00A53A7F" w:rsidRDefault="00A53A7F" w:rsidP="00A53A7F">
      <w:pPr>
        <w:pStyle w:val="ListParagraph"/>
        <w:spacing w:line="360" w:lineRule="auto"/>
        <w:ind w:left="0"/>
        <w:jc w:val="both"/>
        <w:rPr>
          <w:rFonts w:ascii="Arial" w:hAnsi="Arial" w:cs="Arial"/>
          <w:sz w:val="22"/>
          <w:szCs w:val="22"/>
          <w:lang w:val="en-US"/>
        </w:rPr>
      </w:pPr>
      <w:r w:rsidRPr="00A53A7F">
        <w:rPr>
          <w:rFonts w:ascii="Arial" w:hAnsi="Arial" w:cs="Arial"/>
          <w:sz w:val="22"/>
          <w:szCs w:val="22"/>
          <w:lang w:val="en-US"/>
        </w:rPr>
        <w:t>(d) imposing a pecuniary penalty; or</w:t>
      </w:r>
    </w:p>
    <w:p w14:paraId="2F549684" w14:textId="34580017" w:rsidR="00A53A7F" w:rsidRDefault="00A53A7F" w:rsidP="00A53A7F">
      <w:pPr>
        <w:pStyle w:val="ListParagraph"/>
        <w:spacing w:line="360" w:lineRule="auto"/>
        <w:ind w:left="0"/>
        <w:jc w:val="both"/>
        <w:rPr>
          <w:rFonts w:ascii="Arial" w:hAnsi="Arial" w:cs="Arial"/>
          <w:lang w:val="en-US"/>
        </w:rPr>
      </w:pPr>
      <w:r w:rsidRPr="00A53A7F">
        <w:rPr>
          <w:rFonts w:ascii="Arial" w:hAnsi="Arial" w:cs="Arial"/>
          <w:sz w:val="22"/>
          <w:szCs w:val="22"/>
          <w:lang w:val="en-US"/>
        </w:rPr>
        <w:t>(e) granting any other appropriate relief.’</w:t>
      </w:r>
    </w:p>
    <w:p w14:paraId="4EE89A05" w14:textId="77777777" w:rsidR="00A53A7F" w:rsidRPr="00A53A7F" w:rsidRDefault="00A53A7F" w:rsidP="00A53A7F">
      <w:pPr>
        <w:pStyle w:val="ListParagraph"/>
        <w:rPr>
          <w:rFonts w:ascii="Arial" w:hAnsi="Arial" w:cs="Arial"/>
          <w:lang w:val="en-US"/>
        </w:rPr>
      </w:pPr>
    </w:p>
    <w:p w14:paraId="1F801660" w14:textId="22ACE327" w:rsidR="00A53A7F" w:rsidRDefault="00060FEE" w:rsidP="00F12D7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further argue</w:t>
      </w:r>
      <w:r w:rsidR="002A0A5D">
        <w:rPr>
          <w:rFonts w:ascii="Arial" w:hAnsi="Arial" w:cs="Arial"/>
          <w:lang w:val="en-US"/>
        </w:rPr>
        <w:t>s</w:t>
      </w:r>
      <w:r>
        <w:rPr>
          <w:rFonts w:ascii="Arial" w:hAnsi="Arial" w:cs="Arial"/>
          <w:lang w:val="en-US"/>
        </w:rPr>
        <w:t xml:space="preserve"> that under s 52 of the Act, the court </w:t>
      </w:r>
      <w:r w:rsidR="00965516">
        <w:rPr>
          <w:rFonts w:ascii="Arial" w:hAnsi="Arial" w:cs="Arial"/>
          <w:lang w:val="en-US"/>
        </w:rPr>
        <w:t>‘</w:t>
      </w:r>
      <w:r>
        <w:rPr>
          <w:rFonts w:ascii="Arial" w:hAnsi="Arial" w:cs="Arial"/>
          <w:lang w:val="en-US"/>
        </w:rPr>
        <w:t>only</w:t>
      </w:r>
      <w:r w:rsidR="00965516">
        <w:rPr>
          <w:rFonts w:ascii="Arial" w:hAnsi="Arial" w:cs="Arial"/>
          <w:lang w:val="en-US"/>
        </w:rPr>
        <w:t>’</w:t>
      </w:r>
      <w:r>
        <w:rPr>
          <w:rFonts w:ascii="Arial" w:hAnsi="Arial" w:cs="Arial"/>
          <w:lang w:val="en-US"/>
        </w:rPr>
        <w:t xml:space="preserve"> has jurisdiction to hear and determine any matter arising from the proceedings instituted in terms of the Act. As a result, </w:t>
      </w:r>
      <w:r w:rsidR="002A0A5D">
        <w:rPr>
          <w:rFonts w:ascii="Arial" w:hAnsi="Arial" w:cs="Arial"/>
          <w:lang w:val="en-US"/>
        </w:rPr>
        <w:t xml:space="preserve">so it says, </w:t>
      </w:r>
      <w:r>
        <w:rPr>
          <w:rFonts w:ascii="Arial" w:hAnsi="Arial" w:cs="Arial"/>
          <w:lang w:val="en-US"/>
        </w:rPr>
        <w:t>the court cannot grant any relief pursuant to th</w:t>
      </w:r>
      <w:r w:rsidR="002A0A5D">
        <w:rPr>
          <w:rFonts w:ascii="Arial" w:hAnsi="Arial" w:cs="Arial"/>
          <w:lang w:val="en-US"/>
        </w:rPr>
        <w:t>e</w:t>
      </w:r>
      <w:r>
        <w:rPr>
          <w:rFonts w:ascii="Arial" w:hAnsi="Arial" w:cs="Arial"/>
          <w:lang w:val="en-US"/>
        </w:rPr>
        <w:t xml:space="preserve"> defence </w:t>
      </w:r>
      <w:r w:rsidR="002A0A5D">
        <w:rPr>
          <w:rFonts w:ascii="Arial" w:hAnsi="Arial" w:cs="Arial"/>
          <w:lang w:val="en-US"/>
        </w:rPr>
        <w:t xml:space="preserve">raised </w:t>
      </w:r>
      <w:r>
        <w:rPr>
          <w:rFonts w:ascii="Arial" w:hAnsi="Arial" w:cs="Arial"/>
          <w:lang w:val="en-US"/>
        </w:rPr>
        <w:t xml:space="preserve">even if the matter is referred to trial. </w:t>
      </w:r>
    </w:p>
    <w:p w14:paraId="48F7B47F" w14:textId="77777777" w:rsidR="00A53A7F" w:rsidRPr="00A53A7F" w:rsidRDefault="00A53A7F" w:rsidP="00A53A7F">
      <w:pPr>
        <w:pStyle w:val="ListParagraph"/>
        <w:rPr>
          <w:rFonts w:ascii="Arial" w:hAnsi="Arial" w:cs="Arial"/>
          <w:lang w:val="en-US"/>
        </w:rPr>
      </w:pPr>
    </w:p>
    <w:p w14:paraId="4EF16CEB" w14:textId="2EDA0385" w:rsidR="002A0A5D" w:rsidRDefault="002A0A5D" w:rsidP="00F12D7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Section 52 of the Act reads as follows:</w:t>
      </w:r>
    </w:p>
    <w:p w14:paraId="048E582F" w14:textId="77777777" w:rsidR="002A0A5D" w:rsidRPr="002A0A5D" w:rsidRDefault="002A0A5D" w:rsidP="002A0A5D">
      <w:pPr>
        <w:pStyle w:val="ListParagraph"/>
        <w:rPr>
          <w:rFonts w:ascii="Arial" w:hAnsi="Arial" w:cs="Arial"/>
          <w:lang w:val="en-US"/>
        </w:rPr>
      </w:pPr>
    </w:p>
    <w:p w14:paraId="29F24014" w14:textId="0AA1E3B5" w:rsidR="002A0A5D" w:rsidRDefault="002A0A5D" w:rsidP="002A0A5D">
      <w:pPr>
        <w:spacing w:line="360" w:lineRule="auto"/>
        <w:ind w:firstLine="720"/>
        <w:jc w:val="both"/>
        <w:rPr>
          <w:rFonts w:ascii="Arial" w:hAnsi="Arial" w:cs="Arial"/>
          <w:sz w:val="22"/>
          <w:szCs w:val="22"/>
          <w:lang w:val="en-US"/>
        </w:rPr>
      </w:pPr>
      <w:r w:rsidRPr="002A0A5D">
        <w:rPr>
          <w:rFonts w:ascii="Arial" w:hAnsi="Arial" w:cs="Arial"/>
          <w:sz w:val="22"/>
          <w:szCs w:val="22"/>
          <w:lang w:val="en-US"/>
        </w:rPr>
        <w:t>‘Jurisdiction of court</w:t>
      </w:r>
    </w:p>
    <w:p w14:paraId="002E3A58" w14:textId="77777777" w:rsidR="002A0A5D" w:rsidRPr="002A0A5D" w:rsidRDefault="002A0A5D" w:rsidP="002A0A5D">
      <w:pPr>
        <w:spacing w:line="360" w:lineRule="auto"/>
        <w:ind w:firstLine="720"/>
        <w:jc w:val="both"/>
        <w:rPr>
          <w:rFonts w:ascii="Arial" w:hAnsi="Arial" w:cs="Arial"/>
          <w:sz w:val="22"/>
          <w:szCs w:val="22"/>
          <w:lang w:val="en-US"/>
        </w:rPr>
      </w:pPr>
    </w:p>
    <w:p w14:paraId="4CF24002" w14:textId="20CF8729" w:rsidR="002A0A5D" w:rsidRDefault="002A0A5D" w:rsidP="002A0A5D">
      <w:pPr>
        <w:pStyle w:val="ListParagraph"/>
        <w:spacing w:line="360" w:lineRule="auto"/>
        <w:ind w:left="0"/>
        <w:jc w:val="both"/>
        <w:rPr>
          <w:rFonts w:ascii="Arial" w:hAnsi="Arial" w:cs="Arial"/>
          <w:lang w:val="en-US"/>
        </w:rPr>
      </w:pPr>
      <w:r w:rsidRPr="002A0A5D">
        <w:rPr>
          <w:rFonts w:ascii="Arial" w:hAnsi="Arial" w:cs="Arial"/>
          <w:sz w:val="22"/>
          <w:szCs w:val="22"/>
          <w:lang w:val="en-US"/>
        </w:rPr>
        <w:t>52. Without prejudice to the powers vested in the Court, the Court has jurisdiction to hear and determine any matter arising from proceedings instituted in terms of this Act.’</w:t>
      </w:r>
    </w:p>
    <w:p w14:paraId="1EEC4CFD" w14:textId="77777777" w:rsidR="002A0A5D" w:rsidRPr="002A0A5D" w:rsidRDefault="002A0A5D" w:rsidP="002A0A5D">
      <w:pPr>
        <w:pStyle w:val="ListParagraph"/>
        <w:rPr>
          <w:rFonts w:ascii="Arial" w:hAnsi="Arial" w:cs="Arial"/>
          <w:lang w:val="en-US"/>
        </w:rPr>
      </w:pPr>
    </w:p>
    <w:p w14:paraId="0843AE74" w14:textId="7D72BDDC" w:rsidR="00B02B74" w:rsidRDefault="00060FEE" w:rsidP="00B02B7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According to the plaintiff, the fact that </w:t>
      </w:r>
      <w:r w:rsidR="0018177A">
        <w:rPr>
          <w:rFonts w:ascii="Arial" w:hAnsi="Arial" w:cs="Arial"/>
          <w:lang w:val="en-US"/>
        </w:rPr>
        <w:t>it</w:t>
      </w:r>
      <w:r>
        <w:rPr>
          <w:rFonts w:ascii="Arial" w:hAnsi="Arial" w:cs="Arial"/>
          <w:lang w:val="en-US"/>
        </w:rPr>
        <w:t xml:space="preserve"> received three offers but </w:t>
      </w:r>
      <w:r w:rsidR="0018177A">
        <w:rPr>
          <w:rFonts w:ascii="Arial" w:hAnsi="Arial" w:cs="Arial"/>
          <w:lang w:val="en-US"/>
        </w:rPr>
        <w:t>could not</w:t>
      </w:r>
      <w:r>
        <w:rPr>
          <w:rFonts w:ascii="Arial" w:hAnsi="Arial" w:cs="Arial"/>
          <w:lang w:val="en-US"/>
        </w:rPr>
        <w:t xml:space="preserve"> clinch a sale does not constitute a defence to the claim for payment. It says there is no authority that </w:t>
      </w:r>
      <w:r w:rsidR="0018177A">
        <w:rPr>
          <w:rFonts w:ascii="Arial" w:hAnsi="Arial" w:cs="Arial"/>
          <w:lang w:val="en-US"/>
        </w:rPr>
        <w:t>the</w:t>
      </w:r>
      <w:r w:rsidR="002A0A5D">
        <w:rPr>
          <w:rFonts w:ascii="Arial" w:hAnsi="Arial" w:cs="Arial"/>
          <w:lang w:val="en-US"/>
        </w:rPr>
        <w:t xml:space="preserve"> </w:t>
      </w:r>
      <w:r>
        <w:rPr>
          <w:rFonts w:ascii="Arial" w:hAnsi="Arial" w:cs="Arial"/>
          <w:lang w:val="en-US"/>
        </w:rPr>
        <w:t xml:space="preserve">lease is anti-competitive, unlawfully limits her rights or </w:t>
      </w:r>
      <w:r>
        <w:rPr>
          <w:rFonts w:ascii="Arial" w:hAnsi="Arial" w:cs="Arial"/>
          <w:lang w:val="en-US"/>
        </w:rPr>
        <w:lastRenderedPageBreak/>
        <w:t>contravenes the Act. It argues that the first defendant could sell the property to whomever she chooses should the plaintiff not exercise its right of pre-emption and provided the third party is bona fide</w:t>
      </w:r>
      <w:r w:rsidR="00B02B74">
        <w:rPr>
          <w:rFonts w:ascii="Arial" w:hAnsi="Arial" w:cs="Arial"/>
          <w:lang w:val="en-US"/>
        </w:rPr>
        <w:t xml:space="preserve"> and, if</w:t>
      </w:r>
      <w:r w:rsidR="00BD3DD4">
        <w:rPr>
          <w:rFonts w:ascii="Arial" w:hAnsi="Arial" w:cs="Arial"/>
          <w:lang w:val="en-US"/>
        </w:rPr>
        <w:t xml:space="preserve"> it is </w:t>
      </w:r>
      <w:r>
        <w:rPr>
          <w:rFonts w:ascii="Arial" w:hAnsi="Arial" w:cs="Arial"/>
          <w:lang w:val="en-US"/>
        </w:rPr>
        <w:t xml:space="preserve">sold, ‘huur gaat voor koop’ and the plaintiff is entitled to exercise its existing rights under the lease. </w:t>
      </w:r>
      <w:r w:rsidR="0018177A">
        <w:rPr>
          <w:rFonts w:ascii="Arial" w:hAnsi="Arial" w:cs="Arial"/>
          <w:lang w:val="en-US"/>
        </w:rPr>
        <w:t>It says it</w:t>
      </w:r>
      <w:r w:rsidR="00B02B74">
        <w:rPr>
          <w:rFonts w:ascii="Arial" w:hAnsi="Arial" w:cs="Arial"/>
          <w:lang w:val="en-US"/>
        </w:rPr>
        <w:t xml:space="preserve"> is thus no defence that the purchaser will acquire an empty shell. The first defendant freely and voluntarily agreed to the terms of the lease, and </w:t>
      </w:r>
      <w:r w:rsidR="00B02B74" w:rsidRPr="00060FEE">
        <w:rPr>
          <w:rFonts w:ascii="Arial" w:hAnsi="Arial" w:cs="Arial"/>
          <w:i/>
          <w:iCs/>
          <w:lang w:val="en-US"/>
        </w:rPr>
        <w:t>pacta sunt servanda</w:t>
      </w:r>
      <w:r w:rsidR="00B02B74">
        <w:rPr>
          <w:rFonts w:ascii="Arial" w:hAnsi="Arial" w:cs="Arial"/>
          <w:lang w:val="en-US"/>
        </w:rPr>
        <w:t xml:space="preserve"> applies</w:t>
      </w:r>
      <w:r w:rsidR="0018177A">
        <w:rPr>
          <w:rFonts w:ascii="Arial" w:hAnsi="Arial" w:cs="Arial"/>
          <w:lang w:val="en-US"/>
        </w:rPr>
        <w:t>, so it says</w:t>
      </w:r>
      <w:r w:rsidR="00B02B74">
        <w:rPr>
          <w:rFonts w:ascii="Arial" w:hAnsi="Arial" w:cs="Arial"/>
          <w:lang w:val="en-US"/>
        </w:rPr>
        <w:t>.</w:t>
      </w:r>
    </w:p>
    <w:p w14:paraId="27884C4B" w14:textId="77777777" w:rsidR="00B02B74" w:rsidRPr="00A53A7F" w:rsidRDefault="00B02B74" w:rsidP="00B02B74">
      <w:pPr>
        <w:pStyle w:val="ListParagraph"/>
        <w:rPr>
          <w:rFonts w:ascii="Arial" w:hAnsi="Arial" w:cs="Arial"/>
          <w:lang w:val="en-US"/>
        </w:rPr>
      </w:pPr>
    </w:p>
    <w:p w14:paraId="6429BEA1" w14:textId="67C0AC5A" w:rsidR="00A53A7F" w:rsidRDefault="0018177A" w:rsidP="00F12D7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w:t>
      </w:r>
      <w:r w:rsidR="00BD3DD4">
        <w:rPr>
          <w:rFonts w:ascii="Arial" w:hAnsi="Arial" w:cs="Arial"/>
          <w:lang w:val="en-US"/>
        </w:rPr>
        <w:t>he plaintiff</w:t>
      </w:r>
      <w:r w:rsidR="00C86ED5">
        <w:rPr>
          <w:rFonts w:ascii="Arial" w:hAnsi="Arial" w:cs="Arial"/>
          <w:lang w:val="en-US"/>
        </w:rPr>
        <w:t xml:space="preserve"> points out that</w:t>
      </w:r>
      <w:r w:rsidR="00BD3DD4">
        <w:rPr>
          <w:rFonts w:ascii="Arial" w:hAnsi="Arial" w:cs="Arial"/>
          <w:lang w:val="en-US"/>
        </w:rPr>
        <w:t xml:space="preserve"> the </w:t>
      </w:r>
      <w:r w:rsidR="00000228">
        <w:rPr>
          <w:rFonts w:ascii="Arial" w:hAnsi="Arial" w:cs="Arial"/>
          <w:lang w:val="en-US"/>
        </w:rPr>
        <w:t>first defendant received the full rental of N$1 620 000 in November 2011 for the initial fifteen-year period of the lease</w:t>
      </w:r>
      <w:r>
        <w:rPr>
          <w:rFonts w:ascii="Arial" w:hAnsi="Arial" w:cs="Arial"/>
          <w:lang w:val="en-US"/>
        </w:rPr>
        <w:t xml:space="preserve">. It further points out that </w:t>
      </w:r>
      <w:r w:rsidR="00C875F7">
        <w:rPr>
          <w:rFonts w:ascii="Arial" w:hAnsi="Arial" w:cs="Arial"/>
          <w:lang w:val="en-US"/>
        </w:rPr>
        <w:t>the plaintiff settled the second defendant’s loan</w:t>
      </w:r>
      <w:r w:rsidR="00BD3DD4">
        <w:rPr>
          <w:rFonts w:ascii="Arial" w:hAnsi="Arial" w:cs="Arial"/>
          <w:lang w:val="en-US"/>
        </w:rPr>
        <w:t xml:space="preserve"> in the amount of N$6 888 000</w:t>
      </w:r>
      <w:r w:rsidR="00C875F7">
        <w:rPr>
          <w:rFonts w:ascii="Arial" w:hAnsi="Arial" w:cs="Arial"/>
          <w:lang w:val="en-US"/>
        </w:rPr>
        <w:t xml:space="preserve"> with the Development Bank of Namibia for the development costs of the structures erected on the property when the lease was concluded</w:t>
      </w:r>
      <w:r w:rsidR="00000228">
        <w:rPr>
          <w:rFonts w:ascii="Arial" w:hAnsi="Arial" w:cs="Arial"/>
          <w:lang w:val="en-US"/>
        </w:rPr>
        <w:t xml:space="preserve">. </w:t>
      </w:r>
      <w:r w:rsidR="00BD3DD4">
        <w:rPr>
          <w:rFonts w:ascii="Arial" w:hAnsi="Arial" w:cs="Arial"/>
          <w:lang w:val="en-US"/>
        </w:rPr>
        <w:t xml:space="preserve">It says that, under the bond, the first defendant acknowledged her indebtedness to the plaintiff for those two </w:t>
      </w:r>
      <w:r w:rsidR="00B02B74">
        <w:rPr>
          <w:rFonts w:ascii="Arial" w:hAnsi="Arial" w:cs="Arial"/>
          <w:lang w:val="en-US"/>
        </w:rPr>
        <w:t>amounts</w:t>
      </w:r>
      <w:r w:rsidR="00BD3DD4">
        <w:rPr>
          <w:rFonts w:ascii="Arial" w:hAnsi="Arial" w:cs="Arial"/>
          <w:lang w:val="en-US"/>
        </w:rPr>
        <w:t xml:space="preserve"> of money</w:t>
      </w:r>
      <w:r w:rsidR="00196436">
        <w:rPr>
          <w:rFonts w:ascii="Arial" w:hAnsi="Arial" w:cs="Arial"/>
          <w:lang w:val="en-US"/>
        </w:rPr>
        <w:t>,</w:t>
      </w:r>
      <w:r w:rsidR="00B02B74">
        <w:rPr>
          <w:rFonts w:ascii="Arial" w:hAnsi="Arial" w:cs="Arial"/>
          <w:lang w:val="en-US"/>
        </w:rPr>
        <w:t xml:space="preserve"> but those amounts are not the subject matter of the</w:t>
      </w:r>
      <w:r>
        <w:rPr>
          <w:rFonts w:ascii="Arial" w:hAnsi="Arial" w:cs="Arial"/>
          <w:lang w:val="en-US"/>
        </w:rPr>
        <w:t xml:space="preserve"> plaintiff’s</w:t>
      </w:r>
      <w:r w:rsidR="00B02B74">
        <w:rPr>
          <w:rFonts w:ascii="Arial" w:hAnsi="Arial" w:cs="Arial"/>
          <w:lang w:val="en-US"/>
        </w:rPr>
        <w:t xml:space="preserve"> current claims</w:t>
      </w:r>
      <w:r w:rsidR="00196436">
        <w:rPr>
          <w:rFonts w:ascii="Arial" w:hAnsi="Arial" w:cs="Arial"/>
          <w:lang w:val="en-US"/>
        </w:rPr>
        <w:t xml:space="preserve">. The current claims </w:t>
      </w:r>
      <w:r w:rsidR="00B02B74">
        <w:rPr>
          <w:rFonts w:ascii="Arial" w:hAnsi="Arial" w:cs="Arial"/>
          <w:lang w:val="en-US"/>
        </w:rPr>
        <w:t xml:space="preserve">are for </w:t>
      </w:r>
      <w:r w:rsidR="00196436">
        <w:rPr>
          <w:rFonts w:ascii="Arial" w:hAnsi="Arial" w:cs="Arial"/>
          <w:lang w:val="en-US"/>
        </w:rPr>
        <w:t xml:space="preserve">the </w:t>
      </w:r>
      <w:r w:rsidR="00B02B74">
        <w:rPr>
          <w:rFonts w:ascii="Arial" w:hAnsi="Arial" w:cs="Arial"/>
          <w:lang w:val="en-US"/>
        </w:rPr>
        <w:t xml:space="preserve">goods sold and delivered and levies payable under the MLA </w:t>
      </w:r>
      <w:r w:rsidR="00196436">
        <w:rPr>
          <w:rFonts w:ascii="Arial" w:hAnsi="Arial" w:cs="Arial"/>
          <w:lang w:val="en-US"/>
        </w:rPr>
        <w:t xml:space="preserve">and for reimbursement of the plaintiff discharging the first defendant’s debt to </w:t>
      </w:r>
      <w:r>
        <w:rPr>
          <w:rFonts w:ascii="Arial" w:hAnsi="Arial" w:cs="Arial"/>
          <w:lang w:val="en-US"/>
        </w:rPr>
        <w:t>NORED</w:t>
      </w:r>
      <w:r w:rsidR="00196436">
        <w:rPr>
          <w:rFonts w:ascii="Arial" w:hAnsi="Arial" w:cs="Arial"/>
          <w:lang w:val="en-US"/>
        </w:rPr>
        <w:t>, all of which</w:t>
      </w:r>
      <w:r w:rsidR="00B02B74">
        <w:rPr>
          <w:rFonts w:ascii="Arial" w:hAnsi="Arial" w:cs="Arial"/>
          <w:lang w:val="en-US"/>
        </w:rPr>
        <w:t xml:space="preserve"> are </w:t>
      </w:r>
      <w:r>
        <w:rPr>
          <w:rFonts w:ascii="Arial" w:hAnsi="Arial" w:cs="Arial"/>
          <w:lang w:val="en-US"/>
        </w:rPr>
        <w:t xml:space="preserve">also </w:t>
      </w:r>
      <w:r w:rsidR="00B02B74">
        <w:rPr>
          <w:rFonts w:ascii="Arial" w:hAnsi="Arial" w:cs="Arial"/>
          <w:lang w:val="en-US"/>
        </w:rPr>
        <w:t xml:space="preserve">covered by the bond.  </w:t>
      </w:r>
    </w:p>
    <w:p w14:paraId="3DA4F24F" w14:textId="77777777" w:rsidR="00A53A7F" w:rsidRPr="00A53A7F" w:rsidRDefault="00A53A7F" w:rsidP="00A53A7F">
      <w:pPr>
        <w:pStyle w:val="ListParagraph"/>
        <w:rPr>
          <w:rFonts w:ascii="Arial" w:hAnsi="Arial" w:cs="Arial"/>
          <w:lang w:val="en-US"/>
        </w:rPr>
      </w:pPr>
    </w:p>
    <w:p w14:paraId="47AD74E4" w14:textId="6E7FDA63" w:rsidR="00A53A7F" w:rsidRDefault="00196436" w:rsidP="00345E5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According to the</w:t>
      </w:r>
      <w:r w:rsidR="00D237EA">
        <w:rPr>
          <w:rFonts w:ascii="Arial" w:hAnsi="Arial" w:cs="Arial"/>
          <w:lang w:val="en-US"/>
        </w:rPr>
        <w:t xml:space="preserve"> plaintiff</w:t>
      </w:r>
      <w:r>
        <w:rPr>
          <w:rFonts w:ascii="Arial" w:hAnsi="Arial" w:cs="Arial"/>
          <w:lang w:val="en-US"/>
        </w:rPr>
        <w:t xml:space="preserve">, the </w:t>
      </w:r>
      <w:r w:rsidR="00C875F7">
        <w:rPr>
          <w:rFonts w:ascii="Arial" w:hAnsi="Arial" w:cs="Arial"/>
          <w:lang w:val="en-US"/>
        </w:rPr>
        <w:t>complain</w:t>
      </w:r>
      <w:r>
        <w:rPr>
          <w:rFonts w:ascii="Arial" w:hAnsi="Arial" w:cs="Arial"/>
          <w:lang w:val="en-US"/>
        </w:rPr>
        <w:t>t</w:t>
      </w:r>
      <w:r w:rsidR="00C875F7">
        <w:rPr>
          <w:rFonts w:ascii="Arial" w:hAnsi="Arial" w:cs="Arial"/>
          <w:lang w:val="en-US"/>
        </w:rPr>
        <w:t xml:space="preserve"> that the </w:t>
      </w:r>
      <w:r>
        <w:rPr>
          <w:rFonts w:ascii="Arial" w:hAnsi="Arial" w:cs="Arial"/>
          <w:lang w:val="en-US"/>
        </w:rPr>
        <w:t>first defendant</w:t>
      </w:r>
      <w:r w:rsidR="00C875F7">
        <w:rPr>
          <w:rFonts w:ascii="Arial" w:hAnsi="Arial" w:cs="Arial"/>
          <w:lang w:val="en-US"/>
        </w:rPr>
        <w:t xml:space="preserve"> was treated too leniently or more favourably than others is no defence to an admitted indebtednes</w:t>
      </w:r>
      <w:r w:rsidR="00D237EA">
        <w:rPr>
          <w:rFonts w:ascii="Arial" w:hAnsi="Arial" w:cs="Arial"/>
          <w:lang w:val="en-US"/>
        </w:rPr>
        <w:t>s.</w:t>
      </w:r>
    </w:p>
    <w:p w14:paraId="5072402C" w14:textId="77777777" w:rsidR="00120036" w:rsidRPr="00120036" w:rsidRDefault="00120036" w:rsidP="00120036">
      <w:pPr>
        <w:pStyle w:val="ListParagraph"/>
        <w:rPr>
          <w:rFonts w:ascii="Arial" w:hAnsi="Arial" w:cs="Arial"/>
          <w:lang w:val="en-US"/>
        </w:rPr>
      </w:pPr>
    </w:p>
    <w:p w14:paraId="60BD1241" w14:textId="0340DA52" w:rsidR="00120036" w:rsidRPr="00120036" w:rsidRDefault="00120036" w:rsidP="00120036">
      <w:pPr>
        <w:pStyle w:val="ListParagraph"/>
        <w:spacing w:line="360" w:lineRule="auto"/>
        <w:ind w:left="0"/>
        <w:jc w:val="both"/>
        <w:rPr>
          <w:rFonts w:ascii="Arial" w:hAnsi="Arial" w:cs="Arial"/>
          <w:u w:val="single"/>
          <w:lang w:val="en-US"/>
        </w:rPr>
      </w:pPr>
      <w:r>
        <w:rPr>
          <w:rFonts w:ascii="Arial" w:hAnsi="Arial" w:cs="Arial"/>
          <w:u w:val="single"/>
          <w:lang w:val="en-US"/>
        </w:rPr>
        <w:t>The determination</w:t>
      </w:r>
    </w:p>
    <w:p w14:paraId="6860960B" w14:textId="77777777" w:rsidR="00120036" w:rsidRPr="00120036" w:rsidRDefault="00120036" w:rsidP="00120036">
      <w:pPr>
        <w:pStyle w:val="ListParagraph"/>
        <w:rPr>
          <w:rFonts w:ascii="Arial" w:hAnsi="Arial" w:cs="Arial"/>
          <w:lang w:val="en-US"/>
        </w:rPr>
      </w:pPr>
    </w:p>
    <w:p w14:paraId="2575F894" w14:textId="77777777" w:rsidR="00120036" w:rsidRDefault="00120036" w:rsidP="00120036">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Other than what is set out above under the heading ‘the defences’, the allegations in the particulars of claim are undisputed.</w:t>
      </w:r>
    </w:p>
    <w:p w14:paraId="39CE0EE5" w14:textId="77777777" w:rsidR="00120036" w:rsidRPr="00C50E6C" w:rsidRDefault="00120036" w:rsidP="00120036">
      <w:pPr>
        <w:pStyle w:val="ListParagraph"/>
        <w:rPr>
          <w:rFonts w:ascii="Arial" w:hAnsi="Arial" w:cs="Arial"/>
          <w:lang w:val="en-US"/>
        </w:rPr>
      </w:pPr>
    </w:p>
    <w:p w14:paraId="311E4BD2" w14:textId="70ACD33B" w:rsidR="00120036" w:rsidRDefault="00120036" w:rsidP="0012003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Against that undisputed backdrop and the principles of summary judgment proceedings, the court now deals with the defences raised in the affidavit resisting summary judgment, but it also considers new defences raised in the first defendant’s heads of argument.</w:t>
      </w:r>
      <w:r w:rsidRPr="00F42C4F">
        <w:rPr>
          <w:rStyle w:val="FootnoteReference"/>
          <w:rFonts w:ascii="Arial" w:hAnsi="Arial" w:cs="Arial"/>
          <w:lang w:val="en-US"/>
        </w:rPr>
        <w:footnoteReference w:id="9"/>
      </w:r>
      <w:r>
        <w:rPr>
          <w:rFonts w:ascii="Arial" w:hAnsi="Arial" w:cs="Arial"/>
          <w:lang w:val="en-US"/>
        </w:rPr>
        <w:t xml:space="preserve"> </w:t>
      </w:r>
      <w:r w:rsidRPr="00F42C4F">
        <w:rPr>
          <w:rFonts w:ascii="Arial" w:hAnsi="Arial" w:cs="Arial"/>
          <w:lang w:val="en-US"/>
        </w:rPr>
        <w:t xml:space="preserve"> </w:t>
      </w:r>
    </w:p>
    <w:p w14:paraId="724F8EF4" w14:textId="77777777" w:rsidR="00120036" w:rsidRPr="00C50E6C" w:rsidRDefault="00120036" w:rsidP="00120036">
      <w:pPr>
        <w:pStyle w:val="ListParagraph"/>
        <w:rPr>
          <w:rFonts w:ascii="Arial" w:hAnsi="Arial" w:cs="Arial"/>
          <w:lang w:val="en-US"/>
        </w:rPr>
      </w:pPr>
    </w:p>
    <w:p w14:paraId="02B7053D" w14:textId="5C332D2D" w:rsidR="00120036" w:rsidRDefault="00120036" w:rsidP="0012003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The court firstly deals with the defence </w:t>
      </w:r>
      <w:r w:rsidR="000B785E">
        <w:rPr>
          <w:rFonts w:ascii="Arial" w:hAnsi="Arial" w:cs="Arial"/>
          <w:lang w:val="en-US"/>
        </w:rPr>
        <w:t xml:space="preserve">that the lease agreement contravenes </w:t>
      </w:r>
      <w:r>
        <w:rPr>
          <w:rFonts w:ascii="Arial" w:hAnsi="Arial" w:cs="Arial"/>
          <w:lang w:val="en-US"/>
        </w:rPr>
        <w:t>the Act.</w:t>
      </w:r>
    </w:p>
    <w:p w14:paraId="5740B7EA" w14:textId="77777777" w:rsidR="00345E55" w:rsidRPr="00345E55" w:rsidRDefault="00345E55" w:rsidP="00345E55">
      <w:pPr>
        <w:pStyle w:val="ListParagraph"/>
        <w:rPr>
          <w:rFonts w:ascii="Arial" w:hAnsi="Arial" w:cs="Arial"/>
          <w:lang w:val="en-US"/>
        </w:rPr>
      </w:pPr>
    </w:p>
    <w:p w14:paraId="32AD2A0B" w14:textId="5007C209" w:rsidR="00431F2F" w:rsidRDefault="00431F2F" w:rsidP="00431F2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To determine the summary judgment application, the court should consider whether, if the first defendant’s allegations are true, could they constitute a bona fide defence. In other words, if the lease amounts to ‘a prohibition’ under s 23 (the Part I prohibition) or s 26 (the Part II prohibition) of the Act,</w:t>
      </w:r>
      <w:r w:rsidR="00E8020A">
        <w:rPr>
          <w:rFonts w:ascii="Arial" w:hAnsi="Arial" w:cs="Arial"/>
          <w:lang w:val="en-US"/>
        </w:rPr>
        <w:t xml:space="preserve"> could</w:t>
      </w:r>
      <w:r>
        <w:rPr>
          <w:rFonts w:ascii="Arial" w:hAnsi="Arial" w:cs="Arial"/>
          <w:lang w:val="en-US"/>
        </w:rPr>
        <w:t xml:space="preserve"> that constitute a bona fide defence?</w:t>
      </w:r>
    </w:p>
    <w:p w14:paraId="3832AE0E" w14:textId="77777777" w:rsidR="00431F2F" w:rsidRPr="00431F2F" w:rsidRDefault="00431F2F" w:rsidP="00431F2F">
      <w:pPr>
        <w:pStyle w:val="ListParagraph"/>
        <w:rPr>
          <w:rFonts w:ascii="Arial" w:hAnsi="Arial" w:cs="Arial"/>
          <w:lang w:val="en-US"/>
        </w:rPr>
      </w:pPr>
    </w:p>
    <w:p w14:paraId="6F2CAB2C" w14:textId="52C8F72E" w:rsidR="00431F2F" w:rsidRPr="00431F2F" w:rsidRDefault="00DF68F5" w:rsidP="00431F2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Neither of the parties provided authority</w:t>
      </w:r>
      <w:r w:rsidR="00C875F7">
        <w:rPr>
          <w:rFonts w:ascii="Arial" w:hAnsi="Arial" w:cs="Arial"/>
          <w:lang w:val="en-US"/>
        </w:rPr>
        <w:t xml:space="preserve"> </w:t>
      </w:r>
      <w:r w:rsidR="00D62443">
        <w:rPr>
          <w:rFonts w:ascii="Arial" w:hAnsi="Arial" w:cs="Arial"/>
          <w:lang w:val="en-US"/>
        </w:rPr>
        <w:t>to</w:t>
      </w:r>
      <w:r w:rsidR="00C875F7">
        <w:rPr>
          <w:rFonts w:ascii="Arial" w:hAnsi="Arial" w:cs="Arial"/>
          <w:lang w:val="en-US"/>
        </w:rPr>
        <w:t xml:space="preserve"> support or oppose</w:t>
      </w:r>
      <w:r>
        <w:rPr>
          <w:rFonts w:ascii="Arial" w:hAnsi="Arial" w:cs="Arial"/>
          <w:lang w:val="en-US"/>
        </w:rPr>
        <w:t xml:space="preserve"> the defence </w:t>
      </w:r>
      <w:r w:rsidR="000B785E">
        <w:rPr>
          <w:rFonts w:ascii="Arial" w:hAnsi="Arial" w:cs="Arial"/>
          <w:lang w:val="en-US"/>
        </w:rPr>
        <w:t>that the lease contravenes</w:t>
      </w:r>
      <w:r>
        <w:rPr>
          <w:rFonts w:ascii="Arial" w:hAnsi="Arial" w:cs="Arial"/>
          <w:lang w:val="en-US"/>
        </w:rPr>
        <w:t xml:space="preserve"> the Act. The parties’ arguments </w:t>
      </w:r>
      <w:r w:rsidR="00D8015E">
        <w:rPr>
          <w:rFonts w:ascii="Arial" w:hAnsi="Arial" w:cs="Arial"/>
          <w:lang w:val="en-US"/>
        </w:rPr>
        <w:t>to</w:t>
      </w:r>
      <w:r>
        <w:rPr>
          <w:rFonts w:ascii="Arial" w:hAnsi="Arial" w:cs="Arial"/>
          <w:lang w:val="en-US"/>
        </w:rPr>
        <w:t xml:space="preserve"> support </w:t>
      </w:r>
      <w:r w:rsidR="00D8015E">
        <w:rPr>
          <w:rFonts w:ascii="Arial" w:hAnsi="Arial" w:cs="Arial"/>
          <w:lang w:val="en-US"/>
        </w:rPr>
        <w:t>or oppos</w:t>
      </w:r>
      <w:r w:rsidR="00D62443">
        <w:rPr>
          <w:rFonts w:ascii="Arial" w:hAnsi="Arial" w:cs="Arial"/>
          <w:lang w:val="en-US"/>
        </w:rPr>
        <w:t>e</w:t>
      </w:r>
      <w:r>
        <w:rPr>
          <w:rFonts w:ascii="Arial" w:hAnsi="Arial" w:cs="Arial"/>
          <w:lang w:val="en-US"/>
        </w:rPr>
        <w:t xml:space="preserve"> that defence are based on their own </w:t>
      </w:r>
      <w:r w:rsidR="00D8015E">
        <w:rPr>
          <w:rFonts w:ascii="Arial" w:hAnsi="Arial" w:cs="Arial"/>
          <w:lang w:val="en-US"/>
        </w:rPr>
        <w:t>submissions</w:t>
      </w:r>
      <w:r>
        <w:rPr>
          <w:rFonts w:ascii="Arial" w:hAnsi="Arial" w:cs="Arial"/>
          <w:lang w:val="en-US"/>
        </w:rPr>
        <w:t xml:space="preserve"> in light of the Act's provisions</w:t>
      </w:r>
      <w:r w:rsidR="00B02B74">
        <w:rPr>
          <w:rFonts w:ascii="Arial" w:hAnsi="Arial" w:cs="Arial"/>
          <w:lang w:val="en-US"/>
        </w:rPr>
        <w:t xml:space="preserve"> and the documents before the court</w:t>
      </w:r>
      <w:r>
        <w:rPr>
          <w:rFonts w:ascii="Arial" w:hAnsi="Arial" w:cs="Arial"/>
          <w:lang w:val="en-US"/>
        </w:rPr>
        <w:t>.</w:t>
      </w:r>
    </w:p>
    <w:p w14:paraId="0ACDAFB0" w14:textId="77777777" w:rsidR="00DF68F5" w:rsidRPr="00DF68F5" w:rsidRDefault="00DF68F5" w:rsidP="00DF68F5">
      <w:pPr>
        <w:pStyle w:val="ListParagraph"/>
        <w:rPr>
          <w:rFonts w:ascii="Arial" w:hAnsi="Arial" w:cs="Arial"/>
          <w:lang w:val="en-US"/>
        </w:rPr>
      </w:pPr>
    </w:p>
    <w:p w14:paraId="6450A269" w14:textId="071DF8D1" w:rsidR="004408CC" w:rsidRDefault="00DF68F5" w:rsidP="00345E5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Neethling </w:t>
      </w:r>
      <w:r w:rsidRPr="00DF68F5">
        <w:rPr>
          <w:rFonts w:ascii="Arial" w:hAnsi="Arial" w:cs="Arial"/>
          <w:i/>
          <w:iCs/>
          <w:lang w:val="en-US"/>
        </w:rPr>
        <w:t>Van Heerden-Neethling Unlawful Competition</w:t>
      </w:r>
      <w:r>
        <w:rPr>
          <w:rFonts w:ascii="Arial" w:hAnsi="Arial" w:cs="Arial"/>
          <w:lang w:val="en-US"/>
        </w:rPr>
        <w:t xml:space="preserve"> 2 ed </w:t>
      </w:r>
      <w:r w:rsidR="00A80E2A">
        <w:rPr>
          <w:rFonts w:ascii="Arial" w:hAnsi="Arial" w:cs="Arial"/>
          <w:lang w:val="en-US"/>
        </w:rPr>
        <w:t>at</w:t>
      </w:r>
      <w:r>
        <w:rPr>
          <w:rFonts w:ascii="Arial" w:hAnsi="Arial" w:cs="Arial"/>
          <w:lang w:val="en-US"/>
        </w:rPr>
        <w:t xml:space="preserve"> 15</w:t>
      </w:r>
      <w:r w:rsidR="00A80E2A">
        <w:rPr>
          <w:rFonts w:ascii="Arial" w:hAnsi="Arial" w:cs="Arial"/>
          <w:lang w:val="en-US"/>
        </w:rPr>
        <w:t xml:space="preserve"> </w:t>
      </w:r>
      <w:r w:rsidR="002A0A5D">
        <w:rPr>
          <w:rFonts w:ascii="Arial" w:hAnsi="Arial" w:cs="Arial"/>
          <w:lang w:val="en-US"/>
        </w:rPr>
        <w:t>to</w:t>
      </w:r>
      <w:r w:rsidR="00A80E2A">
        <w:rPr>
          <w:rFonts w:ascii="Arial" w:hAnsi="Arial" w:cs="Arial"/>
          <w:lang w:val="en-US"/>
        </w:rPr>
        <w:t xml:space="preserve"> 16 deals with the interface between public and private competition law and states that there is ‘cohesion or interaction between those two areas of competition law’. Their common object is ‘the existence of free and lawful competition’</w:t>
      </w:r>
      <w:r w:rsidR="00C875F7">
        <w:rPr>
          <w:rFonts w:ascii="Arial" w:hAnsi="Arial" w:cs="Arial"/>
          <w:lang w:val="en-US"/>
        </w:rPr>
        <w:t>. It is stated that</w:t>
      </w:r>
      <w:r w:rsidR="00A80E2A">
        <w:rPr>
          <w:rFonts w:ascii="Arial" w:hAnsi="Arial" w:cs="Arial"/>
          <w:lang w:val="en-US"/>
        </w:rPr>
        <w:t xml:space="preserve"> ‘one and the same competitive act may in a suitable </w:t>
      </w:r>
      <w:r w:rsidR="00AB269D">
        <w:rPr>
          <w:rFonts w:ascii="Arial" w:hAnsi="Arial" w:cs="Arial"/>
          <w:lang w:val="en-US"/>
        </w:rPr>
        <w:t>c</w:t>
      </w:r>
      <w:r w:rsidR="00A80E2A">
        <w:rPr>
          <w:rFonts w:ascii="Arial" w:hAnsi="Arial" w:cs="Arial"/>
          <w:lang w:val="en-US"/>
        </w:rPr>
        <w:t>ase give rise to a remedy under both the law of unlawful competition</w:t>
      </w:r>
      <w:r w:rsidR="002A0A5D">
        <w:rPr>
          <w:rFonts w:ascii="Arial" w:hAnsi="Arial" w:cs="Arial"/>
          <w:lang w:val="en-US"/>
        </w:rPr>
        <w:t xml:space="preserve"> [private law]</w:t>
      </w:r>
      <w:r w:rsidR="00A80E2A">
        <w:rPr>
          <w:rFonts w:ascii="Arial" w:hAnsi="Arial" w:cs="Arial"/>
          <w:lang w:val="en-US"/>
        </w:rPr>
        <w:t xml:space="preserve"> and the law regarding the maintenance and promotion of competition</w:t>
      </w:r>
      <w:r w:rsidR="002A0A5D">
        <w:rPr>
          <w:rFonts w:ascii="Arial" w:hAnsi="Arial" w:cs="Arial"/>
          <w:lang w:val="en-US"/>
        </w:rPr>
        <w:t xml:space="preserve"> [public law]</w:t>
      </w:r>
      <w:r w:rsidR="00A80E2A">
        <w:rPr>
          <w:rFonts w:ascii="Arial" w:hAnsi="Arial" w:cs="Arial"/>
          <w:lang w:val="en-US"/>
        </w:rPr>
        <w:t>’.</w:t>
      </w:r>
      <w:r w:rsidR="004408CC">
        <w:rPr>
          <w:rFonts w:ascii="Arial" w:hAnsi="Arial" w:cs="Arial"/>
          <w:lang w:val="en-US"/>
        </w:rPr>
        <w:t xml:space="preserve"> </w:t>
      </w:r>
      <w:r w:rsidR="00D8015E">
        <w:rPr>
          <w:rFonts w:ascii="Arial" w:hAnsi="Arial" w:cs="Arial"/>
          <w:lang w:val="en-US"/>
        </w:rPr>
        <w:t>In a footnote to</w:t>
      </w:r>
      <w:r w:rsidR="008B6FD7">
        <w:rPr>
          <w:rFonts w:ascii="Arial" w:hAnsi="Arial" w:cs="Arial"/>
          <w:lang w:val="en-US"/>
        </w:rPr>
        <w:t xml:space="preserve"> that statement</w:t>
      </w:r>
      <w:r w:rsidR="00D8015E">
        <w:rPr>
          <w:rFonts w:ascii="Arial" w:hAnsi="Arial" w:cs="Arial"/>
          <w:lang w:val="en-US"/>
        </w:rPr>
        <w:t>, it is stated</w:t>
      </w:r>
      <w:r w:rsidR="004408CC">
        <w:rPr>
          <w:rFonts w:ascii="Arial" w:hAnsi="Arial" w:cs="Arial"/>
          <w:lang w:val="en-US"/>
        </w:rPr>
        <w:t>:</w:t>
      </w:r>
    </w:p>
    <w:p w14:paraId="2F0428BE" w14:textId="77777777" w:rsidR="004408CC" w:rsidRPr="004408CC" w:rsidRDefault="004408CC" w:rsidP="004408CC">
      <w:pPr>
        <w:pStyle w:val="ListParagraph"/>
        <w:rPr>
          <w:rFonts w:ascii="Arial" w:hAnsi="Arial" w:cs="Arial"/>
          <w:lang w:val="en-US"/>
        </w:rPr>
      </w:pPr>
    </w:p>
    <w:p w14:paraId="5AB77C4B" w14:textId="08819FA0" w:rsidR="004408CC" w:rsidRPr="004408CC" w:rsidRDefault="004408CC" w:rsidP="004408CC">
      <w:pPr>
        <w:pStyle w:val="ListParagraph"/>
        <w:spacing w:line="360" w:lineRule="auto"/>
        <w:ind w:left="0" w:firstLine="720"/>
        <w:jc w:val="both"/>
        <w:rPr>
          <w:rFonts w:ascii="Arial" w:hAnsi="Arial" w:cs="Arial"/>
          <w:lang w:val="en-US"/>
        </w:rPr>
      </w:pPr>
      <w:r w:rsidRPr="004408CC">
        <w:rPr>
          <w:rFonts w:ascii="Arial" w:hAnsi="Arial" w:cs="Arial"/>
          <w:sz w:val="22"/>
          <w:szCs w:val="22"/>
          <w:lang w:val="en-US"/>
        </w:rPr>
        <w:t>‘. . . . The respective remedies may, of course, be different. In the case of unlawful competition the remedies are the Aquilian action and the interdict . . . In the case of an infringement of the Competition Act 90 of 1998, an interdict may be granted (a civil court lacks jurisdiction to grant an interdict in competition matters:</w:t>
      </w:r>
      <w:r w:rsidR="00D8015E">
        <w:rPr>
          <w:rFonts w:ascii="Arial" w:hAnsi="Arial" w:cs="Arial"/>
          <w:sz w:val="22"/>
          <w:szCs w:val="22"/>
          <w:lang w:val="en-US"/>
        </w:rPr>
        <w:t xml:space="preserve"> see s 65(2)</w:t>
      </w:r>
      <w:r w:rsidR="00D8015E">
        <w:rPr>
          <w:rFonts w:ascii="Arial" w:hAnsi="Arial" w:cs="Arial"/>
          <w:i/>
          <w:iCs/>
          <w:sz w:val="22"/>
          <w:szCs w:val="22"/>
          <w:lang w:val="en-US"/>
        </w:rPr>
        <w:t>(b)</w:t>
      </w:r>
      <w:r w:rsidR="00D8015E">
        <w:rPr>
          <w:rFonts w:ascii="Arial" w:hAnsi="Arial" w:cs="Arial"/>
          <w:sz w:val="22"/>
          <w:szCs w:val="22"/>
          <w:lang w:val="en-US"/>
        </w:rPr>
        <w:t xml:space="preserve"> of the Act</w:t>
      </w:r>
      <w:r w:rsidR="000B785E">
        <w:rPr>
          <w:rStyle w:val="FootnoteReference"/>
          <w:rFonts w:ascii="Arial" w:hAnsi="Arial" w:cs="Arial"/>
          <w:sz w:val="22"/>
          <w:szCs w:val="22"/>
          <w:lang w:val="en-US"/>
        </w:rPr>
        <w:footnoteReference w:id="10"/>
      </w:r>
      <w:r w:rsidR="00D8015E">
        <w:rPr>
          <w:rFonts w:ascii="Arial" w:hAnsi="Arial" w:cs="Arial"/>
          <w:sz w:val="22"/>
          <w:szCs w:val="22"/>
          <w:lang w:val="en-US"/>
        </w:rPr>
        <w:t>),</w:t>
      </w:r>
      <w:r w:rsidRPr="004408CC">
        <w:rPr>
          <w:rFonts w:ascii="Arial" w:hAnsi="Arial" w:cs="Arial"/>
          <w:sz w:val="22"/>
          <w:szCs w:val="22"/>
          <w:lang w:val="en-US"/>
        </w:rPr>
        <w:t xml:space="preserve"> but the competition authorities are, except for damages awarded in accordance with a consent order . . . not empowered to award damages to persons prejudiced as a result of anti-competitive conduct . . . B</w:t>
      </w:r>
      <w:r w:rsidR="00A20BF0">
        <w:rPr>
          <w:rFonts w:ascii="Arial" w:hAnsi="Arial" w:cs="Arial"/>
          <w:sz w:val="22"/>
          <w:szCs w:val="22"/>
          <w:lang w:val="en-US"/>
        </w:rPr>
        <w:t>e</w:t>
      </w:r>
      <w:r w:rsidRPr="004408CC">
        <w:rPr>
          <w:rFonts w:ascii="Arial" w:hAnsi="Arial" w:cs="Arial"/>
          <w:sz w:val="22"/>
          <w:szCs w:val="22"/>
          <w:lang w:val="en-US"/>
        </w:rPr>
        <w:t xml:space="preserve"> that as it may, a person who has suffered damage as a result of an alleged prohibited practice is only entitled to commence an action for damages in a civil court once the Competition Tribunal or the Competition Appeal Court has found the conduct to be a prohibited practice</w:t>
      </w:r>
      <w:r w:rsidR="002C6FE6">
        <w:rPr>
          <w:rFonts w:ascii="Arial" w:hAnsi="Arial" w:cs="Arial"/>
          <w:sz w:val="22"/>
          <w:szCs w:val="22"/>
          <w:lang w:val="en-US"/>
        </w:rPr>
        <w:t xml:space="preserve"> (s 65(6)(b) of the Act; infra 58-59)</w:t>
      </w:r>
      <w:r w:rsidR="000B785E">
        <w:rPr>
          <w:rStyle w:val="FootnoteReference"/>
          <w:rFonts w:ascii="Arial" w:hAnsi="Arial" w:cs="Arial"/>
          <w:sz w:val="22"/>
          <w:szCs w:val="22"/>
          <w:lang w:val="en-US"/>
        </w:rPr>
        <w:footnoteReference w:id="11"/>
      </w:r>
      <w:r w:rsidRPr="004408CC">
        <w:rPr>
          <w:rFonts w:ascii="Arial" w:hAnsi="Arial" w:cs="Arial"/>
          <w:sz w:val="22"/>
          <w:szCs w:val="22"/>
          <w:lang w:val="en-US"/>
        </w:rPr>
        <w:t>’</w:t>
      </w:r>
    </w:p>
    <w:p w14:paraId="4C2832AB" w14:textId="77777777" w:rsidR="004408CC" w:rsidRPr="004408CC" w:rsidRDefault="004408CC" w:rsidP="004408CC">
      <w:pPr>
        <w:pStyle w:val="ListParagraph"/>
        <w:rPr>
          <w:rFonts w:ascii="Arial" w:hAnsi="Arial" w:cs="Arial"/>
          <w:lang w:val="en-US"/>
        </w:rPr>
      </w:pPr>
    </w:p>
    <w:p w14:paraId="7D99A7F7" w14:textId="002CF528" w:rsidR="00DF68F5" w:rsidRPr="004408CC" w:rsidRDefault="004408CC" w:rsidP="004408CC">
      <w:pPr>
        <w:pStyle w:val="ListParagraph"/>
        <w:numPr>
          <w:ilvl w:val="0"/>
          <w:numId w:val="2"/>
        </w:numPr>
        <w:spacing w:line="360" w:lineRule="auto"/>
        <w:ind w:left="0" w:firstLine="0"/>
        <w:jc w:val="both"/>
        <w:rPr>
          <w:rFonts w:ascii="Arial" w:hAnsi="Arial" w:cs="Arial"/>
          <w:lang w:val="en-US"/>
        </w:rPr>
      </w:pPr>
      <w:r w:rsidRPr="004408CC">
        <w:rPr>
          <w:rFonts w:ascii="Arial" w:hAnsi="Arial" w:cs="Arial"/>
          <w:lang w:val="en-US"/>
        </w:rPr>
        <w:t xml:space="preserve">Two examples are provided of that concurrence of remedies, and </w:t>
      </w:r>
      <w:r w:rsidR="00603712">
        <w:rPr>
          <w:rFonts w:ascii="Arial" w:hAnsi="Arial" w:cs="Arial"/>
          <w:lang w:val="en-US"/>
        </w:rPr>
        <w:t xml:space="preserve">it is stated that </w:t>
      </w:r>
      <w:r w:rsidRPr="004408CC">
        <w:rPr>
          <w:rFonts w:ascii="Arial" w:hAnsi="Arial" w:cs="Arial"/>
          <w:lang w:val="en-US"/>
        </w:rPr>
        <w:t>s</w:t>
      </w:r>
      <w:r w:rsidR="00AB269D" w:rsidRPr="004408CC">
        <w:rPr>
          <w:rFonts w:ascii="Arial" w:hAnsi="Arial" w:cs="Arial"/>
          <w:lang w:val="en-US"/>
        </w:rPr>
        <w:t>imilarly:</w:t>
      </w:r>
    </w:p>
    <w:p w14:paraId="7AEA39E6" w14:textId="77777777" w:rsidR="00AB269D" w:rsidRPr="00AB269D" w:rsidRDefault="00AB269D" w:rsidP="00AB269D">
      <w:pPr>
        <w:pStyle w:val="ListParagraph"/>
        <w:rPr>
          <w:rFonts w:ascii="Arial" w:hAnsi="Arial" w:cs="Arial"/>
          <w:lang w:val="en-US"/>
        </w:rPr>
      </w:pPr>
    </w:p>
    <w:p w14:paraId="52E3741C" w14:textId="6D6B5D61" w:rsidR="00AB269D" w:rsidRPr="004408CC" w:rsidRDefault="00AB269D" w:rsidP="004408CC">
      <w:pPr>
        <w:pStyle w:val="ListParagraph"/>
        <w:spacing w:line="360" w:lineRule="auto"/>
        <w:ind w:left="0" w:firstLine="720"/>
        <w:jc w:val="both"/>
        <w:rPr>
          <w:rFonts w:ascii="Arial" w:hAnsi="Arial" w:cs="Arial"/>
          <w:sz w:val="22"/>
          <w:szCs w:val="22"/>
          <w:lang w:val="en-US"/>
        </w:rPr>
      </w:pPr>
      <w:r w:rsidRPr="004408CC">
        <w:rPr>
          <w:rFonts w:ascii="Arial" w:hAnsi="Arial" w:cs="Arial"/>
          <w:sz w:val="22"/>
          <w:szCs w:val="22"/>
          <w:lang w:val="en-US"/>
        </w:rPr>
        <w:t>‘the transgression of provisions of the Competition Act may simultaneously lead to a remedy in terms of the Act, and to a delictual action for unlawful competition in the form of competition in breach of a statutory duty. Seen in this light, the law regarding the maintenance and promotion of competition may, under certain circumstances, play an important role in the application of the law of unlawful competition.’</w:t>
      </w:r>
    </w:p>
    <w:p w14:paraId="5B1F0AF6" w14:textId="77777777" w:rsidR="00A53A7F" w:rsidRPr="00A53A7F" w:rsidRDefault="00A53A7F" w:rsidP="00A53A7F">
      <w:pPr>
        <w:pStyle w:val="ListParagraph"/>
        <w:rPr>
          <w:rFonts w:ascii="Arial" w:hAnsi="Arial" w:cs="Arial"/>
          <w:lang w:val="en-US"/>
        </w:rPr>
      </w:pPr>
    </w:p>
    <w:p w14:paraId="7A18BBA1" w14:textId="77777777" w:rsidR="00C95D1B" w:rsidRDefault="00C95D1B" w:rsidP="00C95D1B">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author, amongst others, refers to:</w:t>
      </w:r>
    </w:p>
    <w:p w14:paraId="21E30A73" w14:textId="77777777" w:rsidR="00C95D1B" w:rsidRPr="00345E55" w:rsidRDefault="00C95D1B" w:rsidP="00C95D1B">
      <w:pPr>
        <w:pStyle w:val="ListParagraph"/>
        <w:rPr>
          <w:rFonts w:ascii="Arial" w:hAnsi="Arial" w:cs="Arial"/>
          <w:lang w:val="en-US"/>
        </w:rPr>
      </w:pPr>
    </w:p>
    <w:p w14:paraId="0107F69A" w14:textId="512345F6" w:rsidR="00C95D1B" w:rsidRPr="00C95D1B" w:rsidRDefault="00C95D1B" w:rsidP="00C95D1B">
      <w:pPr>
        <w:pStyle w:val="ListParagraph"/>
        <w:spacing w:line="360" w:lineRule="auto"/>
        <w:ind w:left="0" w:firstLine="720"/>
        <w:jc w:val="both"/>
        <w:rPr>
          <w:rFonts w:ascii="Arial" w:hAnsi="Arial" w:cs="Arial"/>
          <w:sz w:val="22"/>
          <w:szCs w:val="22"/>
          <w:lang w:val="en-US"/>
        </w:rPr>
      </w:pPr>
      <w:r w:rsidRPr="00C95D1B">
        <w:rPr>
          <w:rFonts w:ascii="Arial" w:hAnsi="Arial" w:cs="Arial"/>
          <w:sz w:val="22"/>
          <w:szCs w:val="22"/>
          <w:lang w:val="en-US"/>
        </w:rPr>
        <w:t xml:space="preserve">‘Loubser 2000 </w:t>
      </w:r>
      <w:r w:rsidRPr="00C95D1B">
        <w:rPr>
          <w:rFonts w:ascii="Arial" w:hAnsi="Arial" w:cs="Arial"/>
          <w:i/>
          <w:iCs/>
          <w:sz w:val="22"/>
          <w:szCs w:val="22"/>
          <w:lang w:val="en-US"/>
        </w:rPr>
        <w:t>Acta Juridica</w:t>
      </w:r>
      <w:r w:rsidRPr="00C95D1B">
        <w:rPr>
          <w:rFonts w:ascii="Arial" w:hAnsi="Arial" w:cs="Arial"/>
          <w:sz w:val="22"/>
          <w:szCs w:val="22"/>
          <w:lang w:val="en-US"/>
        </w:rPr>
        <w:t xml:space="preserve"> 191 indeed suggests that the provisions of the Competition Act 89 of 1998 provide a policy framework not only for public competition law, but also for delictual competition actions. Vice versa, Brooks in Neethling (ed) </w:t>
      </w:r>
      <w:r w:rsidRPr="00C95D1B">
        <w:rPr>
          <w:rFonts w:ascii="Arial" w:hAnsi="Arial" w:cs="Arial"/>
          <w:i/>
          <w:iCs/>
          <w:sz w:val="22"/>
          <w:szCs w:val="22"/>
          <w:lang w:val="en-US"/>
        </w:rPr>
        <w:t xml:space="preserve">Unlawful Competition </w:t>
      </w:r>
      <w:r w:rsidRPr="00C95D1B">
        <w:rPr>
          <w:rFonts w:ascii="Arial" w:hAnsi="Arial" w:cs="Arial"/>
          <w:sz w:val="22"/>
          <w:szCs w:val="22"/>
          <w:lang w:val="en-US"/>
        </w:rPr>
        <w:t>134-135 opines that a prior decision by a court that certain conduct constitutes unlawful competition, could serve to convince the relevant administrative body . . . that this anti-competitive conduct should be declared unlawful.’</w:t>
      </w:r>
    </w:p>
    <w:p w14:paraId="298C1E61" w14:textId="77777777" w:rsidR="00C95D1B" w:rsidRPr="00345E55" w:rsidRDefault="00C95D1B" w:rsidP="00C95D1B">
      <w:pPr>
        <w:pStyle w:val="ListParagraph"/>
        <w:rPr>
          <w:rFonts w:ascii="Arial" w:hAnsi="Arial" w:cs="Arial"/>
          <w:lang w:val="en-US"/>
        </w:rPr>
      </w:pPr>
    </w:p>
    <w:p w14:paraId="3905B5E2" w14:textId="0F2D0F8C" w:rsidR="00113A2F" w:rsidRPr="008B6FD7" w:rsidRDefault="00C95D1B" w:rsidP="008B6FD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author also refers to </w:t>
      </w:r>
      <w:r w:rsidRPr="00C95D1B">
        <w:rPr>
          <w:rFonts w:ascii="Arial" w:hAnsi="Arial" w:cs="Arial"/>
          <w:i/>
          <w:iCs/>
          <w:lang w:val="en-US"/>
        </w:rPr>
        <w:t>Silver Crystal Trading (Pty) Ltd v Namibia Diamond Corporation (Pty) Ltd</w:t>
      </w:r>
      <w:r>
        <w:rPr>
          <w:rStyle w:val="FootnoteReference"/>
          <w:rFonts w:ascii="Arial" w:hAnsi="Arial" w:cs="Arial"/>
          <w:lang w:val="en-US"/>
        </w:rPr>
        <w:footnoteReference w:id="12"/>
      </w:r>
      <w:r>
        <w:rPr>
          <w:rFonts w:ascii="Arial" w:hAnsi="Arial" w:cs="Arial"/>
          <w:i/>
          <w:iCs/>
          <w:lang w:val="en-US"/>
        </w:rPr>
        <w:t xml:space="preserve"> </w:t>
      </w:r>
      <w:r>
        <w:rPr>
          <w:rFonts w:ascii="Arial" w:hAnsi="Arial" w:cs="Arial"/>
          <w:lang w:val="en-US"/>
        </w:rPr>
        <w:t>regarding the previous South African Maintenance and Promotion of Competition Act 96 of 1979</w:t>
      </w:r>
      <w:r w:rsidR="00A20BF0">
        <w:rPr>
          <w:rFonts w:ascii="Arial" w:hAnsi="Arial" w:cs="Arial"/>
          <w:lang w:val="en-US"/>
        </w:rPr>
        <w:t>,</w:t>
      </w:r>
      <w:r>
        <w:rPr>
          <w:rFonts w:ascii="Arial" w:hAnsi="Arial" w:cs="Arial"/>
          <w:lang w:val="en-US"/>
        </w:rPr>
        <w:t xml:space="preserve"> </w:t>
      </w:r>
      <w:r w:rsidR="006B4872">
        <w:rPr>
          <w:rFonts w:ascii="Arial" w:hAnsi="Arial" w:cs="Arial"/>
          <w:lang w:val="en-US"/>
        </w:rPr>
        <w:t xml:space="preserve">where the plaintiff sought summary judgment against a defendant </w:t>
      </w:r>
      <w:r w:rsidR="00EA38A0">
        <w:rPr>
          <w:rFonts w:ascii="Arial" w:hAnsi="Arial" w:cs="Arial"/>
          <w:lang w:val="en-US"/>
        </w:rPr>
        <w:t>for goods sold and delivered and services rendered</w:t>
      </w:r>
      <w:r w:rsidR="006B4872">
        <w:rPr>
          <w:rFonts w:ascii="Arial" w:hAnsi="Arial" w:cs="Arial"/>
          <w:lang w:val="en-US"/>
        </w:rPr>
        <w:t>.</w:t>
      </w:r>
      <w:r w:rsidR="00EA38A0">
        <w:rPr>
          <w:rFonts w:ascii="Arial" w:hAnsi="Arial" w:cs="Arial"/>
          <w:lang w:val="en-US"/>
        </w:rPr>
        <w:t xml:space="preserve"> In opposition, the defendant averred that it had a counterclaim as the plaintiff’s act in refusing to supply </w:t>
      </w:r>
      <w:r w:rsidR="0099364C">
        <w:rPr>
          <w:rFonts w:ascii="Arial" w:hAnsi="Arial" w:cs="Arial"/>
          <w:lang w:val="en-US"/>
        </w:rPr>
        <w:t>the defendant goods save on a certain condition contravened the provisions of that Act. The court held the act complained of had the effect of interfering with the free conduct of the defendant’s trade which impaired its right to attract trade in consequence whereof it suffered damages. The act by which that right was impaired was an act which parliament declared a criminal offence and</w:t>
      </w:r>
      <w:r w:rsidR="00147CB9">
        <w:rPr>
          <w:rFonts w:ascii="Arial" w:hAnsi="Arial" w:cs="Arial"/>
          <w:lang w:val="en-US"/>
        </w:rPr>
        <w:t>, therefore,</w:t>
      </w:r>
      <w:r w:rsidR="0099364C">
        <w:rPr>
          <w:rFonts w:ascii="Arial" w:hAnsi="Arial" w:cs="Arial"/>
          <w:lang w:val="en-US"/>
        </w:rPr>
        <w:t xml:space="preserve"> unlawful. In those circumstances, summary judgment was refused</w:t>
      </w:r>
      <w:r w:rsidR="00C875F7">
        <w:rPr>
          <w:rFonts w:ascii="Arial" w:hAnsi="Arial" w:cs="Arial"/>
          <w:lang w:val="en-US"/>
        </w:rPr>
        <w:t>.</w:t>
      </w:r>
    </w:p>
    <w:p w14:paraId="22CC0989" w14:textId="77777777" w:rsidR="002C6FE6" w:rsidRPr="002C6FE6" w:rsidRDefault="002C6FE6" w:rsidP="002C6FE6">
      <w:pPr>
        <w:pStyle w:val="ListParagraph"/>
        <w:rPr>
          <w:rFonts w:ascii="Arial" w:hAnsi="Arial" w:cs="Arial"/>
          <w:lang w:val="en-US"/>
        </w:rPr>
      </w:pPr>
    </w:p>
    <w:p w14:paraId="34119D4B" w14:textId="53E5217A" w:rsidR="002C6FE6" w:rsidRDefault="002C6FE6" w:rsidP="00147CB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Considering the Act, what it says and does not say, the book and case law referred to above (in a Namibian context)</w:t>
      </w:r>
      <w:r w:rsidR="00DF3011">
        <w:rPr>
          <w:rFonts w:ascii="Arial" w:hAnsi="Arial" w:cs="Arial"/>
          <w:lang w:val="en-US"/>
        </w:rPr>
        <w:t>, and on the papers now before the court,</w:t>
      </w:r>
      <w:r>
        <w:rPr>
          <w:rFonts w:ascii="Arial" w:hAnsi="Arial" w:cs="Arial"/>
          <w:lang w:val="en-US"/>
        </w:rPr>
        <w:t xml:space="preserve"> </w:t>
      </w:r>
      <w:r w:rsidR="00120036">
        <w:rPr>
          <w:rFonts w:ascii="Arial" w:hAnsi="Arial" w:cs="Arial"/>
          <w:lang w:val="en-US"/>
        </w:rPr>
        <w:t xml:space="preserve">the court finds that, </w:t>
      </w:r>
      <w:r>
        <w:rPr>
          <w:rFonts w:ascii="Arial" w:hAnsi="Arial" w:cs="Arial"/>
          <w:lang w:val="en-US"/>
        </w:rPr>
        <w:t xml:space="preserve">if the lease constitutes ‘a prohibition’ under s 23 (the </w:t>
      </w:r>
      <w:r>
        <w:rPr>
          <w:rFonts w:ascii="Arial" w:hAnsi="Arial" w:cs="Arial"/>
          <w:lang w:val="en-US"/>
        </w:rPr>
        <w:lastRenderedPageBreak/>
        <w:t xml:space="preserve">Part I prohibition) or s 26 (the Part II prohibition) of the Act, it </w:t>
      </w:r>
      <w:r w:rsidR="00E8020A">
        <w:rPr>
          <w:rFonts w:ascii="Arial" w:hAnsi="Arial" w:cs="Arial"/>
          <w:lang w:val="en-US"/>
        </w:rPr>
        <w:t xml:space="preserve">could </w:t>
      </w:r>
      <w:r>
        <w:rPr>
          <w:rFonts w:ascii="Arial" w:hAnsi="Arial" w:cs="Arial"/>
          <w:lang w:val="en-US"/>
        </w:rPr>
        <w:t>constitute a bona fide defence to the</w:t>
      </w:r>
      <w:r w:rsidR="008B6FD7">
        <w:rPr>
          <w:rFonts w:ascii="Arial" w:hAnsi="Arial" w:cs="Arial"/>
          <w:lang w:val="en-US"/>
        </w:rPr>
        <w:t xml:space="preserve"> claim for payment of </w:t>
      </w:r>
      <w:r w:rsidR="00A0405C">
        <w:rPr>
          <w:rFonts w:ascii="Arial" w:hAnsi="Arial" w:cs="Arial"/>
          <w:lang w:val="en-US"/>
        </w:rPr>
        <w:t>N$7 556 029</w:t>
      </w:r>
      <w:r w:rsidR="00CB5A84">
        <w:rPr>
          <w:rFonts w:ascii="Arial" w:hAnsi="Arial" w:cs="Arial"/>
          <w:lang w:val="en-US"/>
        </w:rPr>
        <w:t>,</w:t>
      </w:r>
      <w:r w:rsidR="00A0405C">
        <w:rPr>
          <w:rFonts w:ascii="Arial" w:hAnsi="Arial" w:cs="Arial"/>
          <w:lang w:val="en-US"/>
        </w:rPr>
        <w:t>74</w:t>
      </w:r>
      <w:r>
        <w:rPr>
          <w:rFonts w:ascii="Arial" w:hAnsi="Arial" w:cs="Arial"/>
          <w:lang w:val="en-US"/>
        </w:rPr>
        <w:t>.</w:t>
      </w:r>
    </w:p>
    <w:p w14:paraId="5717192C" w14:textId="77777777" w:rsidR="008B6FD7" w:rsidRPr="008B6FD7" w:rsidRDefault="008B6FD7" w:rsidP="008B6FD7">
      <w:pPr>
        <w:pStyle w:val="ListParagraph"/>
        <w:rPr>
          <w:rFonts w:ascii="Arial" w:hAnsi="Arial" w:cs="Arial"/>
          <w:lang w:val="en-US"/>
        </w:rPr>
      </w:pPr>
    </w:p>
    <w:p w14:paraId="54338235" w14:textId="21913724" w:rsidR="008B6FD7" w:rsidRDefault="008B6FD7" w:rsidP="00147CB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court is a</w:t>
      </w:r>
      <w:r w:rsidR="00120036">
        <w:rPr>
          <w:rFonts w:ascii="Arial" w:hAnsi="Arial" w:cs="Arial"/>
          <w:lang w:val="en-US"/>
        </w:rPr>
        <w:t>ware</w:t>
      </w:r>
      <w:r>
        <w:rPr>
          <w:rFonts w:ascii="Arial" w:hAnsi="Arial" w:cs="Arial"/>
          <w:lang w:val="en-US"/>
        </w:rPr>
        <w:t xml:space="preserve"> that the Namibian Competition Act 2 of 2003 differs from its South African counterparts referenced in the book above. The court is also </w:t>
      </w:r>
      <w:r w:rsidR="00120036">
        <w:rPr>
          <w:rFonts w:ascii="Arial" w:hAnsi="Arial" w:cs="Arial"/>
          <w:lang w:val="en-US"/>
        </w:rPr>
        <w:t>mindful</w:t>
      </w:r>
      <w:r>
        <w:rPr>
          <w:rFonts w:ascii="Arial" w:hAnsi="Arial" w:cs="Arial"/>
          <w:lang w:val="en-US"/>
        </w:rPr>
        <w:t xml:space="preserve"> that the preceding authority was decided on the basis that the right</w:t>
      </w:r>
      <w:r w:rsidR="00120036">
        <w:rPr>
          <w:rFonts w:ascii="Arial" w:hAnsi="Arial" w:cs="Arial"/>
          <w:lang w:val="en-US"/>
        </w:rPr>
        <w:t>-impeding act was an act which parliament declared a criminal offence</w:t>
      </w:r>
      <w:r>
        <w:rPr>
          <w:rFonts w:ascii="Arial" w:hAnsi="Arial" w:cs="Arial"/>
          <w:lang w:val="en-US"/>
        </w:rPr>
        <w:t xml:space="preserve">. Therefore, the book and preceding authority are considered with caution and </w:t>
      </w:r>
      <w:r w:rsidR="00120036">
        <w:rPr>
          <w:rFonts w:ascii="Arial" w:hAnsi="Arial" w:cs="Arial"/>
          <w:lang w:val="en-US"/>
        </w:rPr>
        <w:t xml:space="preserve">applied </w:t>
      </w:r>
      <w:r>
        <w:rPr>
          <w:rFonts w:ascii="Arial" w:hAnsi="Arial" w:cs="Arial"/>
          <w:lang w:val="en-US"/>
        </w:rPr>
        <w:t>only to the extent not precluded by Namibian law.</w:t>
      </w:r>
    </w:p>
    <w:p w14:paraId="3E2A6D99" w14:textId="77777777" w:rsidR="002C6FE6" w:rsidRPr="002C6FE6" w:rsidRDefault="002C6FE6" w:rsidP="002C6FE6">
      <w:pPr>
        <w:pStyle w:val="ListParagraph"/>
        <w:rPr>
          <w:rFonts w:ascii="Arial" w:hAnsi="Arial" w:cs="Arial"/>
          <w:lang w:val="en-US"/>
        </w:rPr>
      </w:pPr>
    </w:p>
    <w:p w14:paraId="743E4374" w14:textId="72113467" w:rsidR="00DF3011" w:rsidRPr="00DF3011" w:rsidRDefault="00463AA7" w:rsidP="00DF301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With that in mind, t</w:t>
      </w:r>
      <w:r w:rsidR="002C6FE6">
        <w:rPr>
          <w:rFonts w:ascii="Arial" w:hAnsi="Arial" w:cs="Arial"/>
          <w:lang w:val="en-US"/>
        </w:rPr>
        <w:t>he court’s finding is supported by the following.</w:t>
      </w:r>
    </w:p>
    <w:p w14:paraId="0E7DF913" w14:textId="77777777" w:rsidR="00DF3011" w:rsidRPr="00DF3011" w:rsidRDefault="00DF3011" w:rsidP="00DF3011">
      <w:pPr>
        <w:pStyle w:val="ListParagraph"/>
        <w:rPr>
          <w:rFonts w:ascii="Arial" w:hAnsi="Arial" w:cs="Arial"/>
          <w:lang w:val="en-US"/>
        </w:rPr>
      </w:pPr>
    </w:p>
    <w:p w14:paraId="1A7F5284" w14:textId="38F5940E" w:rsidR="00DF3011" w:rsidRDefault="00DF3011" w:rsidP="00DF301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court does not agree with the plaintiff’s submission</w:t>
      </w:r>
      <w:r w:rsidR="00463AA7">
        <w:rPr>
          <w:rFonts w:ascii="Arial" w:hAnsi="Arial" w:cs="Arial"/>
          <w:lang w:val="en-US"/>
        </w:rPr>
        <w:t>s</w:t>
      </w:r>
      <w:r>
        <w:rPr>
          <w:rFonts w:ascii="Arial" w:hAnsi="Arial" w:cs="Arial"/>
          <w:lang w:val="en-US"/>
        </w:rPr>
        <w:t xml:space="preserve"> that under s 52</w:t>
      </w:r>
      <w:r w:rsidR="001643D9">
        <w:rPr>
          <w:rFonts w:ascii="Arial" w:hAnsi="Arial" w:cs="Arial"/>
          <w:lang w:val="en-US"/>
        </w:rPr>
        <w:t>,</w:t>
      </w:r>
      <w:r>
        <w:rPr>
          <w:rFonts w:ascii="Arial" w:hAnsi="Arial" w:cs="Arial"/>
          <w:lang w:val="en-US"/>
        </w:rPr>
        <w:t xml:space="preserve"> the court:</w:t>
      </w:r>
    </w:p>
    <w:p w14:paraId="218D53AB" w14:textId="77777777" w:rsidR="00DF3011" w:rsidRPr="00A01344" w:rsidRDefault="00DF3011" w:rsidP="00DF3011">
      <w:pPr>
        <w:pStyle w:val="ListParagraph"/>
        <w:rPr>
          <w:rFonts w:ascii="Arial" w:hAnsi="Arial" w:cs="Arial"/>
          <w:lang w:val="en-US"/>
        </w:rPr>
      </w:pPr>
    </w:p>
    <w:p w14:paraId="45CF8610" w14:textId="77777777" w:rsidR="00DF3011" w:rsidRPr="00A01344" w:rsidRDefault="00DF3011" w:rsidP="00DF3011">
      <w:pPr>
        <w:spacing w:line="360" w:lineRule="auto"/>
        <w:ind w:firstLine="720"/>
        <w:jc w:val="both"/>
        <w:rPr>
          <w:rFonts w:ascii="Arial" w:hAnsi="Arial" w:cs="Arial"/>
          <w:sz w:val="22"/>
          <w:szCs w:val="22"/>
          <w:lang w:val="en-US"/>
        </w:rPr>
      </w:pPr>
      <w:r w:rsidRPr="00A01344">
        <w:rPr>
          <w:rFonts w:ascii="Arial" w:hAnsi="Arial" w:cs="Arial"/>
          <w:lang w:val="en-US"/>
        </w:rPr>
        <w:t>‘</w:t>
      </w:r>
      <w:r w:rsidRPr="00A01344">
        <w:rPr>
          <w:rFonts w:ascii="Arial" w:hAnsi="Arial" w:cs="Arial"/>
          <w:sz w:val="22"/>
          <w:szCs w:val="22"/>
          <w:lang w:val="en-US"/>
        </w:rPr>
        <w:t>only has jurisdiction to hear and determine any matter arising from the proceedings instituted in terms of this Act, i.e. instituted by the Commission in terms of section 38, after having followed all the preceding procedures.</w:t>
      </w:r>
    </w:p>
    <w:p w14:paraId="4556DD78" w14:textId="77777777" w:rsidR="00DF3011" w:rsidRPr="00A01344" w:rsidRDefault="00DF3011" w:rsidP="00DF3011">
      <w:pPr>
        <w:spacing w:line="360" w:lineRule="auto"/>
        <w:jc w:val="both"/>
        <w:rPr>
          <w:rFonts w:ascii="Arial" w:hAnsi="Arial" w:cs="Arial"/>
          <w:sz w:val="22"/>
          <w:szCs w:val="22"/>
          <w:lang w:val="en-US"/>
        </w:rPr>
      </w:pPr>
    </w:p>
    <w:p w14:paraId="5CF553C2" w14:textId="77777777" w:rsidR="001643D9" w:rsidRPr="00DF3011" w:rsidRDefault="00DF3011" w:rsidP="001643D9">
      <w:pPr>
        <w:pStyle w:val="ListParagraph"/>
        <w:spacing w:line="360" w:lineRule="auto"/>
        <w:ind w:left="0"/>
        <w:jc w:val="both"/>
        <w:rPr>
          <w:rFonts w:ascii="Arial" w:hAnsi="Arial" w:cs="Arial"/>
          <w:lang w:val="en-US"/>
        </w:rPr>
      </w:pPr>
      <w:r w:rsidRPr="00A01344">
        <w:rPr>
          <w:rFonts w:ascii="Arial" w:hAnsi="Arial" w:cs="Arial"/>
          <w:sz w:val="22"/>
          <w:szCs w:val="22"/>
          <w:lang w:val="en-US"/>
        </w:rPr>
        <w:t>This Court therefore cannot grant any relief pursuant to this ‘defence’, even if the matter were referred to trial. This Court is not empowered to embark upon an investigation under the Competition Act.</w:t>
      </w:r>
      <w:r>
        <w:rPr>
          <w:rFonts w:ascii="Arial" w:hAnsi="Arial" w:cs="Arial"/>
          <w:lang w:val="en-US"/>
        </w:rPr>
        <w:t>’</w:t>
      </w:r>
    </w:p>
    <w:p w14:paraId="4A9B2AEB" w14:textId="77777777" w:rsidR="001643D9" w:rsidRPr="00DF3011" w:rsidRDefault="001643D9" w:rsidP="001643D9">
      <w:pPr>
        <w:pStyle w:val="ListParagraph"/>
        <w:rPr>
          <w:rFonts w:ascii="Arial" w:hAnsi="Arial" w:cs="Arial"/>
          <w:lang w:val="en-US"/>
        </w:rPr>
      </w:pPr>
    </w:p>
    <w:p w14:paraId="3B5A8300" w14:textId="2ADBD80F" w:rsidR="00A6755D" w:rsidRPr="001643D9" w:rsidRDefault="00A4218D" w:rsidP="001643D9">
      <w:pPr>
        <w:pStyle w:val="ListParagraph"/>
        <w:numPr>
          <w:ilvl w:val="0"/>
          <w:numId w:val="2"/>
        </w:numPr>
        <w:spacing w:line="360" w:lineRule="auto"/>
        <w:ind w:left="0" w:firstLine="0"/>
        <w:jc w:val="both"/>
        <w:rPr>
          <w:rFonts w:ascii="Arial" w:hAnsi="Arial" w:cs="Arial"/>
          <w:lang w:val="en-US"/>
        </w:rPr>
      </w:pPr>
      <w:r w:rsidRPr="001643D9">
        <w:rPr>
          <w:rFonts w:ascii="Arial" w:hAnsi="Arial" w:cs="Arial"/>
          <w:lang w:val="en-US"/>
        </w:rPr>
        <w:t xml:space="preserve">In principle, </w:t>
      </w:r>
      <w:r w:rsidR="00500229">
        <w:rPr>
          <w:rFonts w:ascii="Arial" w:hAnsi="Arial" w:cs="Arial"/>
          <w:lang w:val="en-US"/>
        </w:rPr>
        <w:t>where a statute provides remedies for duties created in the statute not existing under the common law</w:t>
      </w:r>
      <w:r w:rsidRPr="001643D9">
        <w:rPr>
          <w:rFonts w:ascii="Arial" w:hAnsi="Arial" w:cs="Arial"/>
          <w:lang w:val="en-US"/>
        </w:rPr>
        <w:t>, a person is limited to those remedies and may not seek common law remedies in the court.</w:t>
      </w:r>
      <w:r>
        <w:rPr>
          <w:rStyle w:val="FootnoteReference"/>
          <w:rFonts w:ascii="Arial" w:hAnsi="Arial" w:cs="Arial"/>
          <w:lang w:val="en-US"/>
        </w:rPr>
        <w:footnoteReference w:id="13"/>
      </w:r>
      <w:r w:rsidRPr="001643D9">
        <w:rPr>
          <w:rFonts w:ascii="Arial" w:hAnsi="Arial" w:cs="Arial"/>
          <w:lang w:val="en-US"/>
        </w:rPr>
        <w:t xml:space="preserve"> </w:t>
      </w:r>
      <w:r w:rsidR="00500229">
        <w:rPr>
          <w:rFonts w:ascii="Arial" w:hAnsi="Arial" w:cs="Arial"/>
          <w:lang w:val="en-US"/>
        </w:rPr>
        <w:t>However,</w:t>
      </w:r>
      <w:r w:rsidR="00A6755D" w:rsidRPr="001643D9">
        <w:rPr>
          <w:rFonts w:ascii="Arial" w:hAnsi="Arial" w:cs="Arial"/>
          <w:lang w:val="en-US"/>
        </w:rPr>
        <w:t xml:space="preserve"> whether the court has jurisdiction over private law disputes </w:t>
      </w:r>
      <w:r w:rsidR="00934F69">
        <w:rPr>
          <w:rFonts w:ascii="Arial" w:hAnsi="Arial" w:cs="Arial"/>
          <w:lang w:val="en-US"/>
        </w:rPr>
        <w:t>for contraventions of</w:t>
      </w:r>
      <w:r w:rsidR="00A6755D" w:rsidRPr="001643D9">
        <w:rPr>
          <w:rFonts w:ascii="Arial" w:hAnsi="Arial" w:cs="Arial"/>
          <w:lang w:val="en-US"/>
        </w:rPr>
        <w:t xml:space="preserve"> the Act would depend upon a proper construction of the Act. </w:t>
      </w:r>
    </w:p>
    <w:p w14:paraId="1A606AFF" w14:textId="77777777" w:rsidR="00A6755D" w:rsidRPr="00DF3011" w:rsidRDefault="00A6755D" w:rsidP="00A6755D">
      <w:pPr>
        <w:pStyle w:val="ListParagraph"/>
        <w:rPr>
          <w:rFonts w:ascii="Arial" w:hAnsi="Arial" w:cs="Arial"/>
          <w:lang w:val="en-US"/>
        </w:rPr>
      </w:pPr>
    </w:p>
    <w:p w14:paraId="06CBAC11" w14:textId="4C40FE9C" w:rsidR="00DF3011" w:rsidRPr="00A01344" w:rsidRDefault="00DF3011" w:rsidP="00DF3011">
      <w:pPr>
        <w:pStyle w:val="ListParagraph"/>
        <w:numPr>
          <w:ilvl w:val="0"/>
          <w:numId w:val="2"/>
        </w:numPr>
        <w:spacing w:line="360" w:lineRule="auto"/>
        <w:ind w:left="0" w:firstLine="0"/>
        <w:jc w:val="both"/>
        <w:rPr>
          <w:rFonts w:ascii="Arial" w:hAnsi="Arial" w:cs="Arial"/>
          <w:lang w:val="en-US"/>
        </w:rPr>
      </w:pPr>
      <w:r w:rsidRPr="00A01344">
        <w:rPr>
          <w:rFonts w:ascii="Arial" w:hAnsi="Arial" w:cs="Arial"/>
          <w:lang w:val="en-US"/>
        </w:rPr>
        <w:t>Section 52 of the Act provides that ‘without prejudice to the powers vested’ in the court, it has jurisdiction to hear and determine any matter arising from proceedings instituted in terms of the Act.</w:t>
      </w:r>
      <w:r>
        <w:rPr>
          <w:rFonts w:ascii="Arial" w:hAnsi="Arial" w:cs="Arial"/>
          <w:lang w:val="en-US"/>
        </w:rPr>
        <w:t xml:space="preserve"> </w:t>
      </w:r>
      <w:r w:rsidR="00500229">
        <w:rPr>
          <w:rFonts w:ascii="Arial" w:hAnsi="Arial" w:cs="Arial"/>
          <w:lang w:val="en-US"/>
        </w:rPr>
        <w:t xml:space="preserve">It does not say ‘only’ as argued by the plaintiff. </w:t>
      </w:r>
      <w:r w:rsidRPr="00A01344">
        <w:rPr>
          <w:rFonts w:ascii="Arial" w:hAnsi="Arial" w:cs="Arial"/>
          <w:lang w:val="en-US"/>
        </w:rPr>
        <w:t>Article 80(2) of the Namibian Constitution</w:t>
      </w:r>
      <w:r w:rsidR="00500229">
        <w:rPr>
          <w:rFonts w:ascii="Arial" w:hAnsi="Arial" w:cs="Arial"/>
          <w:lang w:val="en-US"/>
        </w:rPr>
        <w:t xml:space="preserve"> vested the court with original jurisdiction. It states</w:t>
      </w:r>
      <w:r w:rsidRPr="00A01344">
        <w:rPr>
          <w:rFonts w:ascii="Arial" w:hAnsi="Arial" w:cs="Arial"/>
          <w:lang w:val="en-US"/>
        </w:rPr>
        <w:t>:</w:t>
      </w:r>
    </w:p>
    <w:p w14:paraId="4E94CD56" w14:textId="77777777" w:rsidR="00DF3011" w:rsidRPr="00054E0F" w:rsidRDefault="00DF3011" w:rsidP="00DF3011">
      <w:pPr>
        <w:pStyle w:val="ListParagraph"/>
        <w:rPr>
          <w:rFonts w:ascii="Arial" w:hAnsi="Arial" w:cs="Arial"/>
          <w:lang w:val="en-US"/>
        </w:rPr>
      </w:pPr>
    </w:p>
    <w:p w14:paraId="3D9628D2" w14:textId="77777777" w:rsidR="00DF3011" w:rsidRPr="00054E0F" w:rsidRDefault="00DF3011" w:rsidP="00DF3011">
      <w:pPr>
        <w:pStyle w:val="ListParagraph"/>
        <w:spacing w:line="360" w:lineRule="auto"/>
        <w:ind w:left="0" w:firstLine="720"/>
        <w:jc w:val="both"/>
        <w:rPr>
          <w:rFonts w:ascii="Arial" w:hAnsi="Arial" w:cs="Arial"/>
          <w:sz w:val="22"/>
          <w:szCs w:val="22"/>
          <w:lang w:val="en-US"/>
        </w:rPr>
      </w:pPr>
      <w:r w:rsidRPr="00054E0F">
        <w:rPr>
          <w:rFonts w:ascii="Arial" w:hAnsi="Arial" w:cs="Arial"/>
          <w:sz w:val="22"/>
          <w:szCs w:val="22"/>
          <w:lang w:val="en-US"/>
        </w:rPr>
        <w:lastRenderedPageBreak/>
        <w:t>‘The High Court shall have original jurisdiction to hear and adjudicate upon all civil disputes and criminal prosecutions, including cases which involve the interpretation, implementation and upholding of this Constitution and the fundamental rights and freedoms guaranteed thereunder. The High Court shall also have jurisdiction to hear and adjudicate upon appeals from Lower Courts.’</w:t>
      </w:r>
    </w:p>
    <w:p w14:paraId="44A8CC31" w14:textId="77777777" w:rsidR="00DF3011" w:rsidRPr="00CF62D2" w:rsidRDefault="00DF3011" w:rsidP="00DF3011">
      <w:pPr>
        <w:pStyle w:val="ListParagraph"/>
        <w:rPr>
          <w:rFonts w:ascii="Arial" w:hAnsi="Arial" w:cs="Arial"/>
          <w:lang w:val="en-US"/>
        </w:rPr>
      </w:pPr>
    </w:p>
    <w:p w14:paraId="1AAE4DB8" w14:textId="7820B58C" w:rsidR="00DF3011" w:rsidRDefault="00DF3011" w:rsidP="00DF3011">
      <w:pPr>
        <w:pStyle w:val="ListParagraph"/>
        <w:numPr>
          <w:ilvl w:val="0"/>
          <w:numId w:val="2"/>
        </w:numPr>
        <w:spacing w:line="360" w:lineRule="auto"/>
        <w:ind w:left="0" w:firstLine="0"/>
        <w:jc w:val="both"/>
        <w:rPr>
          <w:rFonts w:ascii="Arial" w:hAnsi="Arial" w:cs="Arial"/>
          <w:lang w:val="en-US"/>
        </w:rPr>
      </w:pPr>
      <w:r w:rsidRPr="00BC795B">
        <w:rPr>
          <w:rFonts w:ascii="Arial" w:hAnsi="Arial" w:cs="Arial"/>
          <w:lang w:val="en-US"/>
        </w:rPr>
        <w:t>The principle of subsidiarity</w:t>
      </w:r>
      <w:r w:rsidR="00500229">
        <w:rPr>
          <w:rFonts w:ascii="Arial" w:hAnsi="Arial" w:cs="Arial"/>
          <w:lang w:val="en-US"/>
        </w:rPr>
        <w:t xml:space="preserve"> requires consideration and</w:t>
      </w:r>
      <w:r w:rsidRPr="00BC795B">
        <w:rPr>
          <w:rFonts w:ascii="Arial" w:hAnsi="Arial" w:cs="Arial"/>
          <w:lang w:val="en-US"/>
        </w:rPr>
        <w:t xml:space="preserve"> was dealt with in</w:t>
      </w:r>
      <w:r>
        <w:rPr>
          <w:rFonts w:ascii="Arial" w:hAnsi="Arial" w:cs="Arial"/>
          <w:lang w:val="en-US"/>
        </w:rPr>
        <w:t xml:space="preserve"> the majority judgment of</w:t>
      </w:r>
      <w:r w:rsidRPr="00BC795B">
        <w:rPr>
          <w:rFonts w:ascii="Arial" w:hAnsi="Arial" w:cs="Arial"/>
          <w:lang w:val="en-US"/>
        </w:rPr>
        <w:t xml:space="preserve"> </w:t>
      </w:r>
      <w:r w:rsidRPr="00BC795B">
        <w:rPr>
          <w:rFonts w:ascii="Arial" w:hAnsi="Arial" w:cs="Arial"/>
          <w:i/>
          <w:iCs/>
          <w:lang w:val="en-US"/>
        </w:rPr>
        <w:t>Masule v Prime Minister of the Republic of Namibia and Others</w:t>
      </w:r>
      <w:r w:rsidRPr="00BC795B">
        <w:rPr>
          <w:rStyle w:val="FootnoteReference"/>
          <w:rFonts w:ascii="Arial" w:hAnsi="Arial" w:cs="Arial"/>
          <w:lang w:val="en-US"/>
        </w:rPr>
        <w:footnoteReference w:id="14"/>
      </w:r>
      <w:r w:rsidRPr="00BC795B">
        <w:rPr>
          <w:rFonts w:ascii="Arial" w:hAnsi="Arial" w:cs="Arial"/>
          <w:lang w:val="en-US"/>
        </w:rPr>
        <w:t xml:space="preserve"> as follows:</w:t>
      </w:r>
    </w:p>
    <w:p w14:paraId="2BE83E1F" w14:textId="77777777" w:rsidR="00DF3011" w:rsidRPr="00BC795B" w:rsidRDefault="00DF3011" w:rsidP="00DF3011">
      <w:pPr>
        <w:pStyle w:val="ListParagraph"/>
        <w:rPr>
          <w:rFonts w:ascii="Arial" w:hAnsi="Arial" w:cs="Arial"/>
          <w:lang w:val="en-US"/>
        </w:rPr>
      </w:pPr>
    </w:p>
    <w:p w14:paraId="07A40089" w14:textId="77777777" w:rsidR="00DF3011" w:rsidRPr="009B43ED" w:rsidRDefault="00DF3011" w:rsidP="00DF3011">
      <w:pPr>
        <w:pStyle w:val="ListParagraph"/>
        <w:spacing w:line="360" w:lineRule="auto"/>
        <w:ind w:left="0" w:firstLine="720"/>
        <w:jc w:val="both"/>
        <w:rPr>
          <w:rFonts w:ascii="Arial" w:hAnsi="Arial" w:cs="Arial"/>
          <w:sz w:val="22"/>
          <w:szCs w:val="22"/>
          <w:lang w:val="en-US"/>
        </w:rPr>
      </w:pPr>
      <w:r w:rsidRPr="009B43ED">
        <w:rPr>
          <w:rFonts w:ascii="Arial" w:hAnsi="Arial" w:cs="Arial"/>
          <w:sz w:val="22"/>
          <w:szCs w:val="22"/>
          <w:lang w:val="en-US"/>
        </w:rPr>
        <w:t>‘[34]</w:t>
      </w:r>
      <w:r w:rsidRPr="009B43ED">
        <w:rPr>
          <w:rFonts w:ascii="Arial" w:hAnsi="Arial" w:cs="Arial"/>
          <w:sz w:val="22"/>
          <w:szCs w:val="22"/>
          <w:lang w:val="en-US"/>
        </w:rPr>
        <w:tab/>
        <w:t xml:space="preserve">The principle has been stated as follows by the South African Constitutional Court in </w:t>
      </w:r>
      <w:r w:rsidRPr="009B43ED">
        <w:rPr>
          <w:rFonts w:ascii="Arial" w:hAnsi="Arial" w:cs="Arial"/>
          <w:i/>
          <w:iCs/>
          <w:sz w:val="22"/>
          <w:szCs w:val="22"/>
          <w:lang w:val="en-US"/>
        </w:rPr>
        <w:t>My Vote Counts NPC v Speaker of the National Assembly and Others</w:t>
      </w:r>
      <w:r w:rsidRPr="009B43ED">
        <w:rPr>
          <w:rFonts w:ascii="Arial" w:hAnsi="Arial" w:cs="Arial"/>
          <w:sz w:val="22"/>
          <w:szCs w:val="22"/>
          <w:lang w:val="en-US"/>
        </w:rPr>
        <w:t xml:space="preserve"> 2016 (1) SA 132 (CC) (2015 (12) BCLR 1407; [2015] ZACC 31) para 54 –</w:t>
      </w:r>
    </w:p>
    <w:p w14:paraId="39B53002" w14:textId="77777777" w:rsidR="00DF3011" w:rsidRPr="009B43ED" w:rsidRDefault="00DF3011" w:rsidP="00DF3011">
      <w:pPr>
        <w:pStyle w:val="ListParagraph"/>
        <w:spacing w:line="360" w:lineRule="auto"/>
        <w:ind w:left="0"/>
        <w:jc w:val="both"/>
        <w:rPr>
          <w:rFonts w:ascii="Arial" w:hAnsi="Arial" w:cs="Arial"/>
          <w:sz w:val="22"/>
          <w:szCs w:val="22"/>
          <w:lang w:val="en-US"/>
        </w:rPr>
      </w:pPr>
      <w:r w:rsidRPr="009B43ED">
        <w:rPr>
          <w:rFonts w:ascii="Arial" w:hAnsi="Arial" w:cs="Arial"/>
          <w:sz w:val="22"/>
          <w:szCs w:val="22"/>
          <w:lang w:val="en-US"/>
        </w:rPr>
        <w:t>'where legislation has been enacted to give effect to a right, a litigant should rely on that legislation in order to give effect to the right or alternatively challenge the legislation as being inconsistent with the Constitution'.</w:t>
      </w:r>
    </w:p>
    <w:p w14:paraId="76FF84F4" w14:textId="77777777" w:rsidR="00DF3011" w:rsidRDefault="00DF3011" w:rsidP="00DF3011">
      <w:pPr>
        <w:pStyle w:val="ListParagraph"/>
        <w:spacing w:line="360" w:lineRule="auto"/>
        <w:ind w:left="0"/>
        <w:jc w:val="both"/>
        <w:rPr>
          <w:rFonts w:ascii="Arial" w:hAnsi="Arial" w:cs="Arial"/>
          <w:sz w:val="22"/>
          <w:szCs w:val="22"/>
          <w:lang w:val="en-US"/>
        </w:rPr>
      </w:pPr>
      <w:r w:rsidRPr="009B43ED">
        <w:rPr>
          <w:rFonts w:ascii="Arial" w:hAnsi="Arial" w:cs="Arial"/>
          <w:sz w:val="22"/>
          <w:szCs w:val="22"/>
          <w:lang w:val="en-US"/>
        </w:rPr>
        <w:t xml:space="preserve">. . . . </w:t>
      </w:r>
    </w:p>
    <w:p w14:paraId="56C4FBF8" w14:textId="24A25CB9" w:rsidR="00884860" w:rsidRPr="009B43ED" w:rsidRDefault="00884860" w:rsidP="00DF3011">
      <w:pPr>
        <w:pStyle w:val="ListParagraph"/>
        <w:spacing w:line="360" w:lineRule="auto"/>
        <w:ind w:left="0"/>
        <w:jc w:val="both"/>
        <w:rPr>
          <w:rFonts w:ascii="Arial" w:hAnsi="Arial" w:cs="Arial"/>
          <w:sz w:val="22"/>
          <w:szCs w:val="22"/>
          <w:lang w:val="en-US"/>
        </w:rPr>
      </w:pPr>
      <w:r w:rsidRPr="00884860">
        <w:rPr>
          <w:rFonts w:ascii="Arial" w:hAnsi="Arial" w:cs="Arial"/>
          <w:sz w:val="22"/>
          <w:szCs w:val="22"/>
          <w:lang w:val="en-US"/>
        </w:rPr>
        <w:t>[38] I will further demonstrate why the Onesmus dictum should be approached with caution. In Namibia, challenges to unfair dismissals must in the first instance be ventilated through the conciliation and arbitration machinery created by the Labour Act, with only review and appeal jurisdiction vesting in the Labour Court.</w:t>
      </w:r>
      <w:r>
        <w:rPr>
          <w:rFonts w:ascii="Arial" w:hAnsi="Arial" w:cs="Arial"/>
          <w:sz w:val="22"/>
          <w:szCs w:val="22"/>
          <w:lang w:val="en-US"/>
        </w:rPr>
        <w:t xml:space="preserve"> </w:t>
      </w:r>
      <w:r w:rsidRPr="00884860">
        <w:rPr>
          <w:rFonts w:ascii="Arial" w:hAnsi="Arial" w:cs="Arial"/>
          <w:sz w:val="22"/>
          <w:szCs w:val="22"/>
          <w:lang w:val="en-US"/>
        </w:rPr>
        <w:t>Similarly, in electoral disputes, the High Court is not the first instance forum in those disputes that the legislature has reserved for magistrates' courts, styled electoral tribunals.</w:t>
      </w:r>
      <w:r>
        <w:rPr>
          <w:rFonts w:ascii="Arial" w:hAnsi="Arial" w:cs="Arial"/>
          <w:sz w:val="22"/>
          <w:szCs w:val="22"/>
          <w:lang w:val="en-US"/>
        </w:rPr>
        <w:t xml:space="preserve"> </w:t>
      </w:r>
      <w:r w:rsidRPr="00884860">
        <w:rPr>
          <w:rFonts w:ascii="Arial" w:hAnsi="Arial" w:cs="Arial"/>
          <w:sz w:val="22"/>
          <w:szCs w:val="22"/>
          <w:lang w:val="en-US"/>
        </w:rPr>
        <w:t>Is it implied that since those legislative measures were not the result of a constitutional amendment, the High Court retains original jurisdiction?</w:t>
      </w:r>
    </w:p>
    <w:p w14:paraId="05B68CEB" w14:textId="77777777" w:rsidR="00CB5A84" w:rsidRDefault="00CB5A84" w:rsidP="00DF3011">
      <w:pPr>
        <w:pStyle w:val="ListParagraph"/>
        <w:spacing w:line="360" w:lineRule="auto"/>
        <w:ind w:left="0"/>
        <w:jc w:val="both"/>
        <w:rPr>
          <w:rFonts w:ascii="Arial" w:hAnsi="Arial" w:cs="Arial"/>
          <w:sz w:val="22"/>
          <w:szCs w:val="22"/>
          <w:lang w:val="en-US"/>
        </w:rPr>
      </w:pPr>
    </w:p>
    <w:p w14:paraId="439C88BD" w14:textId="7C167C96" w:rsidR="00DF3011" w:rsidRPr="005959B2" w:rsidRDefault="00DF3011" w:rsidP="00DF3011">
      <w:pPr>
        <w:pStyle w:val="ListParagraph"/>
        <w:spacing w:line="360" w:lineRule="auto"/>
        <w:ind w:left="0"/>
        <w:jc w:val="both"/>
        <w:rPr>
          <w:rFonts w:ascii="Arial" w:hAnsi="Arial" w:cs="Arial"/>
          <w:lang w:val="en-US"/>
        </w:rPr>
      </w:pPr>
      <w:r w:rsidRPr="009B43ED">
        <w:rPr>
          <w:rFonts w:ascii="Arial" w:hAnsi="Arial" w:cs="Arial"/>
          <w:sz w:val="22"/>
          <w:szCs w:val="22"/>
          <w:lang w:val="en-US"/>
        </w:rPr>
        <w:t>[39] Therefore, unlike Mainga JA, I am not prepared to endorse the view expressed in Onesmus without subjecting it to the scrutiny of the subsidiarity principle. In my view, there can be circumstances where the legislature may design dispute resolution mechanisms that litigants must have resort to without approaching the High Court as the first instance forum. Where the legislature makes provision for a dispute resolution machinery which restricts the right of access to the High Court in the first instance, the true test in my view is whether it curtails the right to such extent that it in effect denies the right of access to a competent court guaranteed under art 12(1) of the Constitution.’</w:t>
      </w:r>
    </w:p>
    <w:p w14:paraId="67369D7D" w14:textId="77777777" w:rsidR="00DF3011" w:rsidRPr="009B43ED" w:rsidRDefault="00DF3011" w:rsidP="00DF3011">
      <w:pPr>
        <w:rPr>
          <w:rFonts w:ascii="Arial" w:hAnsi="Arial" w:cs="Arial"/>
          <w:lang w:val="en-US"/>
        </w:rPr>
      </w:pPr>
    </w:p>
    <w:p w14:paraId="49C7382D" w14:textId="77777777" w:rsidR="008749AF" w:rsidRPr="009A6ECA" w:rsidRDefault="00934F69" w:rsidP="008749A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Where does that leave the matter at hand? </w:t>
      </w:r>
    </w:p>
    <w:p w14:paraId="7AC305EA" w14:textId="77777777" w:rsidR="008749AF" w:rsidRPr="00113A2F" w:rsidRDefault="008749AF" w:rsidP="008749AF">
      <w:pPr>
        <w:pStyle w:val="ListParagraph"/>
        <w:rPr>
          <w:rFonts w:ascii="Arial" w:hAnsi="Arial" w:cs="Arial"/>
          <w:lang w:val="en-US"/>
        </w:rPr>
      </w:pPr>
    </w:p>
    <w:p w14:paraId="47959683" w14:textId="30AA1EE9" w:rsidR="00147CB9" w:rsidRPr="008749AF" w:rsidRDefault="00DF3011" w:rsidP="008749AF">
      <w:pPr>
        <w:pStyle w:val="ListParagraph"/>
        <w:numPr>
          <w:ilvl w:val="0"/>
          <w:numId w:val="2"/>
        </w:numPr>
        <w:spacing w:line="360" w:lineRule="auto"/>
        <w:ind w:left="0" w:firstLine="0"/>
        <w:jc w:val="both"/>
        <w:rPr>
          <w:rFonts w:ascii="Arial" w:hAnsi="Arial" w:cs="Arial"/>
          <w:lang w:val="en-US"/>
        </w:rPr>
      </w:pPr>
      <w:r w:rsidRPr="00BC795B">
        <w:rPr>
          <w:rFonts w:ascii="Arial" w:hAnsi="Arial" w:cs="Arial"/>
          <w:lang w:val="en-US"/>
        </w:rPr>
        <w:t>Section</w:t>
      </w:r>
      <w:r>
        <w:rPr>
          <w:rFonts w:ascii="Arial" w:hAnsi="Arial" w:cs="Arial"/>
          <w:lang w:val="en-US"/>
        </w:rPr>
        <w:t xml:space="preserve"> 52 of the Act does not expressly or otherwise oust the court’s jurisdiction to hear </w:t>
      </w:r>
      <w:r w:rsidR="002E79D0">
        <w:rPr>
          <w:rFonts w:ascii="Arial" w:hAnsi="Arial" w:cs="Arial"/>
          <w:lang w:val="en-US"/>
        </w:rPr>
        <w:t xml:space="preserve">private law </w:t>
      </w:r>
      <w:r>
        <w:rPr>
          <w:rFonts w:ascii="Arial" w:hAnsi="Arial" w:cs="Arial"/>
          <w:lang w:val="en-US"/>
        </w:rPr>
        <w:t xml:space="preserve">disputes </w:t>
      </w:r>
      <w:r w:rsidR="00934F69">
        <w:rPr>
          <w:rFonts w:ascii="Arial" w:hAnsi="Arial" w:cs="Arial"/>
          <w:lang w:val="en-US"/>
        </w:rPr>
        <w:t>for contraventions of the</w:t>
      </w:r>
      <w:r>
        <w:rPr>
          <w:rFonts w:ascii="Arial" w:hAnsi="Arial" w:cs="Arial"/>
          <w:lang w:val="en-US"/>
        </w:rPr>
        <w:t xml:space="preserve"> Act</w:t>
      </w:r>
      <w:r w:rsidR="002E79D0">
        <w:rPr>
          <w:rFonts w:ascii="Arial" w:hAnsi="Arial" w:cs="Arial"/>
          <w:lang w:val="en-US"/>
        </w:rPr>
        <w:t xml:space="preserve">, nor does it reserve jurisdiction over such disputes </w:t>
      </w:r>
      <w:r w:rsidR="00711653">
        <w:rPr>
          <w:rFonts w:ascii="Arial" w:hAnsi="Arial" w:cs="Arial"/>
          <w:lang w:val="en-US"/>
        </w:rPr>
        <w:t>for</w:t>
      </w:r>
      <w:r w:rsidR="002E79D0">
        <w:rPr>
          <w:rFonts w:ascii="Arial" w:hAnsi="Arial" w:cs="Arial"/>
          <w:lang w:val="en-US"/>
        </w:rPr>
        <w:t xml:space="preserve"> the Commission</w:t>
      </w:r>
      <w:r>
        <w:rPr>
          <w:rFonts w:ascii="Arial" w:hAnsi="Arial" w:cs="Arial"/>
          <w:lang w:val="en-US"/>
        </w:rPr>
        <w:t>.</w:t>
      </w:r>
      <w:r w:rsidR="009A6ECA">
        <w:rPr>
          <w:rFonts w:ascii="Arial" w:hAnsi="Arial" w:cs="Arial"/>
          <w:lang w:val="en-US"/>
        </w:rPr>
        <w:t xml:space="preserve"> </w:t>
      </w:r>
      <w:r w:rsidR="002C6FE6" w:rsidRPr="009A6ECA">
        <w:rPr>
          <w:rFonts w:ascii="Arial" w:hAnsi="Arial" w:cs="Arial"/>
          <w:lang w:val="en-US"/>
        </w:rPr>
        <w:t xml:space="preserve">The Act does not say that </w:t>
      </w:r>
      <w:r w:rsidR="00711653">
        <w:rPr>
          <w:rFonts w:ascii="Arial" w:hAnsi="Arial" w:cs="Arial"/>
          <w:lang w:val="en-US"/>
        </w:rPr>
        <w:t xml:space="preserve">such </w:t>
      </w:r>
      <w:r w:rsidR="000A1AD7" w:rsidRPr="009A6ECA">
        <w:rPr>
          <w:rFonts w:ascii="Arial" w:hAnsi="Arial" w:cs="Arial"/>
          <w:lang w:val="en-US"/>
        </w:rPr>
        <w:t>an affected</w:t>
      </w:r>
      <w:r w:rsidR="00E022DC" w:rsidRPr="009A6ECA">
        <w:rPr>
          <w:rFonts w:ascii="Arial" w:hAnsi="Arial" w:cs="Arial"/>
          <w:lang w:val="en-US"/>
        </w:rPr>
        <w:t xml:space="preserve"> </w:t>
      </w:r>
      <w:r w:rsidR="002C6FE6" w:rsidRPr="009A6ECA">
        <w:rPr>
          <w:rFonts w:ascii="Arial" w:hAnsi="Arial" w:cs="Arial"/>
          <w:lang w:val="en-US"/>
        </w:rPr>
        <w:t xml:space="preserve">person may not approach the court </w:t>
      </w:r>
      <w:r w:rsidR="00742BC6" w:rsidRPr="009A6ECA">
        <w:rPr>
          <w:rFonts w:ascii="Arial" w:hAnsi="Arial" w:cs="Arial"/>
          <w:lang w:val="en-US"/>
        </w:rPr>
        <w:t xml:space="preserve">directly </w:t>
      </w:r>
      <w:r w:rsidR="002C6FE6" w:rsidRPr="009A6ECA">
        <w:rPr>
          <w:rFonts w:ascii="Arial" w:hAnsi="Arial" w:cs="Arial"/>
          <w:lang w:val="en-US"/>
        </w:rPr>
        <w:t xml:space="preserve">for relief. </w:t>
      </w:r>
      <w:r w:rsidR="00711653">
        <w:rPr>
          <w:rFonts w:ascii="Arial" w:hAnsi="Arial" w:cs="Arial"/>
          <w:lang w:val="en-US"/>
        </w:rPr>
        <w:t xml:space="preserve">Arguably the court retained its original jurisdiction over such disputes.  </w:t>
      </w:r>
      <w:r w:rsidR="00934F69">
        <w:rPr>
          <w:rFonts w:ascii="Arial" w:hAnsi="Arial" w:cs="Arial"/>
          <w:lang w:val="en-US"/>
        </w:rPr>
        <w:t xml:space="preserve">If it was the legislature’s intention </w:t>
      </w:r>
      <w:r w:rsidR="00711653">
        <w:rPr>
          <w:rFonts w:ascii="Arial" w:hAnsi="Arial" w:cs="Arial"/>
          <w:lang w:val="en-US"/>
        </w:rPr>
        <w:t>to oust the court’s jurisdiction over such disputes</w:t>
      </w:r>
      <w:r w:rsidR="00934F69">
        <w:rPr>
          <w:rFonts w:ascii="Arial" w:hAnsi="Arial" w:cs="Arial"/>
          <w:lang w:val="en-US"/>
        </w:rPr>
        <w:t xml:space="preserve">, it </w:t>
      </w:r>
      <w:r w:rsidR="00711653">
        <w:rPr>
          <w:rFonts w:ascii="Arial" w:hAnsi="Arial" w:cs="Arial"/>
          <w:lang w:val="en-US"/>
        </w:rPr>
        <w:t>w</w:t>
      </w:r>
      <w:r w:rsidR="00934F69">
        <w:rPr>
          <w:rFonts w:ascii="Arial" w:hAnsi="Arial" w:cs="Arial"/>
          <w:lang w:val="en-US"/>
        </w:rPr>
        <w:t xml:space="preserve">ould have done so. </w:t>
      </w:r>
      <w:r w:rsidR="002C6FE6" w:rsidRPr="009A6ECA">
        <w:rPr>
          <w:rFonts w:ascii="Arial" w:hAnsi="Arial" w:cs="Arial"/>
          <w:lang w:val="en-US"/>
        </w:rPr>
        <w:t>Th</w:t>
      </w:r>
      <w:r w:rsidR="00884860">
        <w:rPr>
          <w:rFonts w:ascii="Arial" w:hAnsi="Arial" w:cs="Arial"/>
          <w:lang w:val="en-US"/>
        </w:rPr>
        <w:t>e</w:t>
      </w:r>
      <w:r w:rsidR="002C6FE6" w:rsidRPr="009A6ECA">
        <w:rPr>
          <w:rFonts w:ascii="Arial" w:hAnsi="Arial" w:cs="Arial"/>
          <w:lang w:val="en-US"/>
        </w:rPr>
        <w:t xml:space="preserve"> only restriction in the Act </w:t>
      </w:r>
      <w:r w:rsidR="00711653">
        <w:rPr>
          <w:rFonts w:ascii="Arial" w:hAnsi="Arial" w:cs="Arial"/>
          <w:lang w:val="en-US"/>
        </w:rPr>
        <w:t>for</w:t>
      </w:r>
      <w:r w:rsidR="002C6FE6" w:rsidRPr="009A6ECA">
        <w:rPr>
          <w:rFonts w:ascii="Arial" w:hAnsi="Arial" w:cs="Arial"/>
          <w:lang w:val="en-US"/>
        </w:rPr>
        <w:t xml:space="preserve"> a person to approach the court </w:t>
      </w:r>
      <w:r w:rsidR="001E1AFC">
        <w:rPr>
          <w:rFonts w:ascii="Arial" w:hAnsi="Arial" w:cs="Arial"/>
          <w:lang w:val="en-US"/>
        </w:rPr>
        <w:t xml:space="preserve">directly </w:t>
      </w:r>
      <w:r w:rsidR="002C6FE6" w:rsidRPr="009A6ECA">
        <w:rPr>
          <w:rFonts w:ascii="Arial" w:hAnsi="Arial" w:cs="Arial"/>
          <w:lang w:val="en-US"/>
        </w:rPr>
        <w:t xml:space="preserve">is under s 54 if a person suffered damages due to an infringement of the Part I or Part II prohibition and such </w:t>
      </w:r>
      <w:r w:rsidR="00711653">
        <w:rPr>
          <w:rFonts w:ascii="Arial" w:hAnsi="Arial" w:cs="Arial"/>
          <w:lang w:val="en-US"/>
        </w:rPr>
        <w:t xml:space="preserve">a </w:t>
      </w:r>
      <w:r w:rsidR="002C6FE6" w:rsidRPr="009A6ECA">
        <w:rPr>
          <w:rFonts w:ascii="Arial" w:hAnsi="Arial" w:cs="Arial"/>
          <w:lang w:val="en-US"/>
        </w:rPr>
        <w:t xml:space="preserve">person was awarded damages in a consent agreement or if such </w:t>
      </w:r>
      <w:r w:rsidR="00711653">
        <w:rPr>
          <w:rFonts w:ascii="Arial" w:hAnsi="Arial" w:cs="Arial"/>
          <w:lang w:val="en-US"/>
        </w:rPr>
        <w:t xml:space="preserve">a </w:t>
      </w:r>
      <w:r w:rsidR="002C6FE6" w:rsidRPr="009A6ECA">
        <w:rPr>
          <w:rFonts w:ascii="Arial" w:hAnsi="Arial" w:cs="Arial"/>
          <w:lang w:val="en-US"/>
        </w:rPr>
        <w:t>person was not awarded damages in a consent agreement.</w:t>
      </w:r>
      <w:r w:rsidR="000A1AD7" w:rsidRPr="009A6ECA">
        <w:rPr>
          <w:rFonts w:ascii="Arial" w:hAnsi="Arial" w:cs="Arial"/>
          <w:lang w:val="en-US"/>
        </w:rPr>
        <w:t xml:space="preserve"> The Act is</w:t>
      </w:r>
      <w:r w:rsidR="0064702F">
        <w:rPr>
          <w:rFonts w:ascii="Arial" w:hAnsi="Arial" w:cs="Arial"/>
          <w:lang w:val="en-US"/>
        </w:rPr>
        <w:t>, however,</w:t>
      </w:r>
      <w:r w:rsidR="000A1AD7" w:rsidRPr="009A6ECA">
        <w:rPr>
          <w:rFonts w:ascii="Arial" w:hAnsi="Arial" w:cs="Arial"/>
          <w:lang w:val="en-US"/>
        </w:rPr>
        <w:t xml:space="preserve"> silent on what the position would be if </w:t>
      </w:r>
      <w:r w:rsidR="0064702F">
        <w:rPr>
          <w:rFonts w:ascii="Arial" w:hAnsi="Arial" w:cs="Arial"/>
          <w:lang w:val="en-US"/>
        </w:rPr>
        <w:t xml:space="preserve">such </w:t>
      </w:r>
      <w:r w:rsidR="00711653">
        <w:rPr>
          <w:rFonts w:ascii="Arial" w:hAnsi="Arial" w:cs="Arial"/>
          <w:lang w:val="en-US"/>
        </w:rPr>
        <w:t>a</w:t>
      </w:r>
      <w:r w:rsidR="000A1AD7" w:rsidRPr="009A6ECA">
        <w:rPr>
          <w:rFonts w:ascii="Arial" w:hAnsi="Arial" w:cs="Arial"/>
          <w:lang w:val="en-US"/>
        </w:rPr>
        <w:t xml:space="preserve"> person did not approach the Commission at all.</w:t>
      </w:r>
      <w:r w:rsidR="008749AF">
        <w:rPr>
          <w:rFonts w:ascii="Arial" w:hAnsi="Arial" w:cs="Arial"/>
          <w:lang w:val="en-US"/>
        </w:rPr>
        <w:t xml:space="preserve"> </w:t>
      </w:r>
      <w:r w:rsidR="00147CB9" w:rsidRPr="008749AF">
        <w:rPr>
          <w:rFonts w:ascii="Arial" w:hAnsi="Arial" w:cs="Arial"/>
          <w:lang w:val="en-US"/>
        </w:rPr>
        <w:t>Section 54 of the Act, dealing with civil actions and jurisdiction, provides as follows:</w:t>
      </w:r>
    </w:p>
    <w:p w14:paraId="50BBF8D4" w14:textId="77777777" w:rsidR="00147CB9" w:rsidRPr="00147CB9" w:rsidRDefault="00147CB9" w:rsidP="00147CB9">
      <w:pPr>
        <w:pStyle w:val="ListParagraph"/>
        <w:rPr>
          <w:rFonts w:ascii="Arial" w:hAnsi="Arial" w:cs="Arial"/>
          <w:lang w:val="en-US"/>
        </w:rPr>
      </w:pPr>
    </w:p>
    <w:p w14:paraId="0B2496A2" w14:textId="6390097E" w:rsidR="00A20BF0" w:rsidRDefault="00147CB9" w:rsidP="00147CB9">
      <w:pPr>
        <w:pStyle w:val="ListParagraph"/>
        <w:spacing w:line="360" w:lineRule="auto"/>
        <w:ind w:left="0" w:firstLine="720"/>
        <w:jc w:val="both"/>
        <w:rPr>
          <w:rFonts w:ascii="Arial" w:hAnsi="Arial" w:cs="Arial"/>
          <w:sz w:val="22"/>
          <w:szCs w:val="22"/>
          <w:lang w:val="en-US"/>
        </w:rPr>
      </w:pPr>
      <w:r w:rsidRPr="00147CB9">
        <w:rPr>
          <w:rFonts w:ascii="Arial" w:hAnsi="Arial" w:cs="Arial"/>
          <w:sz w:val="22"/>
          <w:szCs w:val="22"/>
          <w:lang w:val="en-US"/>
        </w:rPr>
        <w:t>‘</w:t>
      </w:r>
      <w:r w:rsidR="00A20BF0" w:rsidRPr="00A20BF0">
        <w:rPr>
          <w:rFonts w:ascii="Arial" w:hAnsi="Arial" w:cs="Arial"/>
          <w:sz w:val="22"/>
          <w:szCs w:val="22"/>
          <w:lang w:val="en-US"/>
        </w:rPr>
        <w:t>Civil actions and jurisdiction</w:t>
      </w:r>
    </w:p>
    <w:p w14:paraId="69A724F9" w14:textId="77777777" w:rsidR="00A20BF0" w:rsidRDefault="00A20BF0" w:rsidP="00147CB9">
      <w:pPr>
        <w:pStyle w:val="ListParagraph"/>
        <w:spacing w:line="360" w:lineRule="auto"/>
        <w:ind w:left="0" w:firstLine="720"/>
        <w:jc w:val="both"/>
        <w:rPr>
          <w:rFonts w:ascii="Arial" w:hAnsi="Arial" w:cs="Arial"/>
          <w:sz w:val="22"/>
          <w:szCs w:val="22"/>
          <w:lang w:val="en-US"/>
        </w:rPr>
      </w:pPr>
    </w:p>
    <w:p w14:paraId="3CABEBDA" w14:textId="0BB71EC8" w:rsidR="00147CB9" w:rsidRDefault="00147CB9" w:rsidP="00A20BF0">
      <w:pPr>
        <w:pStyle w:val="ListParagraph"/>
        <w:spacing w:line="360" w:lineRule="auto"/>
        <w:ind w:left="0"/>
        <w:jc w:val="both"/>
        <w:rPr>
          <w:rFonts w:ascii="Arial" w:hAnsi="Arial" w:cs="Arial"/>
          <w:sz w:val="22"/>
          <w:szCs w:val="22"/>
          <w:lang w:val="en-US"/>
        </w:rPr>
      </w:pPr>
      <w:r w:rsidRPr="00147CB9">
        <w:rPr>
          <w:rFonts w:ascii="Arial" w:hAnsi="Arial" w:cs="Arial"/>
          <w:sz w:val="22"/>
          <w:szCs w:val="22"/>
          <w:lang w:val="en-US"/>
        </w:rPr>
        <w:t>54. (1) A person who has suffered damage as a result of an infringement of the Part I or the Part II prohibition may not commence an action in any court for an award of damages or for the assessment of damages if that person has been awarded damages in a consent agreement confirmed in accordance with section 40.</w:t>
      </w:r>
    </w:p>
    <w:p w14:paraId="1A1E8FFC" w14:textId="77777777" w:rsidR="00147CB9" w:rsidRPr="00147CB9" w:rsidRDefault="00147CB9" w:rsidP="00147CB9">
      <w:pPr>
        <w:pStyle w:val="ListParagraph"/>
        <w:spacing w:line="360" w:lineRule="auto"/>
        <w:ind w:left="0" w:firstLine="720"/>
        <w:jc w:val="both"/>
        <w:rPr>
          <w:rFonts w:ascii="Arial" w:hAnsi="Arial" w:cs="Arial"/>
          <w:sz w:val="22"/>
          <w:szCs w:val="22"/>
          <w:lang w:val="en-US"/>
        </w:rPr>
      </w:pPr>
    </w:p>
    <w:p w14:paraId="3E58E5F0" w14:textId="3CDE84FC" w:rsidR="00147CB9" w:rsidRPr="00147CB9" w:rsidRDefault="00147CB9" w:rsidP="00147CB9">
      <w:pPr>
        <w:pStyle w:val="ListParagraph"/>
        <w:spacing w:line="360" w:lineRule="auto"/>
        <w:ind w:left="0"/>
        <w:jc w:val="both"/>
        <w:rPr>
          <w:rFonts w:ascii="Arial" w:hAnsi="Arial" w:cs="Arial"/>
          <w:sz w:val="22"/>
          <w:szCs w:val="22"/>
          <w:lang w:val="en-US"/>
        </w:rPr>
      </w:pPr>
      <w:r w:rsidRPr="00147CB9">
        <w:rPr>
          <w:rFonts w:ascii="Arial" w:hAnsi="Arial" w:cs="Arial"/>
          <w:sz w:val="22"/>
          <w:szCs w:val="22"/>
          <w:lang w:val="en-US"/>
        </w:rPr>
        <w:t xml:space="preserve">(2) If a person who has not been awarded damages in a consent agreement contemplated in subsection (1) institutes proceedings in a court for an award of damages allegedly suffered as a result of an infringement of the Part I or the Part II prohibition, that person must file with the Registrar of the Court or the Clerk of the Court a notice from the chairperson of the Commission in the prescribed form certifying, either </w:t>
      </w:r>
      <w:r>
        <w:rPr>
          <w:rFonts w:ascii="Arial" w:hAnsi="Arial" w:cs="Arial"/>
          <w:sz w:val="22"/>
          <w:szCs w:val="22"/>
          <w:lang w:val="en-US"/>
        </w:rPr>
        <w:t>–</w:t>
      </w:r>
    </w:p>
    <w:p w14:paraId="404683E5" w14:textId="3FA0791C" w:rsidR="00147CB9" w:rsidRPr="00147CB9" w:rsidRDefault="00147CB9" w:rsidP="00147CB9">
      <w:pPr>
        <w:pStyle w:val="ListParagraph"/>
        <w:spacing w:line="360" w:lineRule="auto"/>
        <w:ind w:left="0"/>
        <w:jc w:val="both"/>
        <w:rPr>
          <w:rFonts w:ascii="Arial" w:hAnsi="Arial" w:cs="Arial"/>
          <w:sz w:val="22"/>
          <w:szCs w:val="22"/>
          <w:lang w:val="en-US"/>
        </w:rPr>
      </w:pPr>
      <w:r w:rsidRPr="00147CB9">
        <w:rPr>
          <w:rFonts w:ascii="Arial" w:hAnsi="Arial" w:cs="Arial"/>
          <w:sz w:val="22"/>
          <w:szCs w:val="22"/>
          <w:lang w:val="en-US"/>
        </w:rPr>
        <w:t>(a) that the conduct on which the action is based has been found by the Court, following proceedings instituted by the Commission in terms of section 38, to be an infringement of the Part I or the Part II prohibition, and stating the date of that finding; or</w:t>
      </w:r>
    </w:p>
    <w:p w14:paraId="4AF5DF10" w14:textId="0A52FE8B" w:rsidR="00147CB9" w:rsidRPr="00147CB9" w:rsidRDefault="00147CB9" w:rsidP="00147CB9">
      <w:pPr>
        <w:pStyle w:val="ListParagraph"/>
        <w:spacing w:line="360" w:lineRule="auto"/>
        <w:ind w:left="0"/>
        <w:jc w:val="both"/>
        <w:rPr>
          <w:rFonts w:ascii="Arial" w:hAnsi="Arial" w:cs="Arial"/>
          <w:sz w:val="22"/>
          <w:szCs w:val="22"/>
          <w:lang w:val="en-US"/>
        </w:rPr>
      </w:pPr>
      <w:r w:rsidRPr="00147CB9">
        <w:rPr>
          <w:rFonts w:ascii="Arial" w:hAnsi="Arial" w:cs="Arial"/>
          <w:sz w:val="22"/>
          <w:szCs w:val="22"/>
          <w:lang w:val="en-US"/>
        </w:rPr>
        <w:t>(b) that a consent agreement was confirmed in accordance with section 40 in relation to the conduct on which the action is based, and that no award for damages is provided for in that agreement for the benefit of the plaintiff, and stating the reasons therefor; or</w:t>
      </w:r>
    </w:p>
    <w:p w14:paraId="75626AB5" w14:textId="2CFBC608" w:rsidR="00147CB9" w:rsidRPr="00147CB9" w:rsidRDefault="00147CB9" w:rsidP="00147CB9">
      <w:pPr>
        <w:pStyle w:val="ListParagraph"/>
        <w:spacing w:line="360" w:lineRule="auto"/>
        <w:ind w:left="0"/>
        <w:jc w:val="both"/>
        <w:rPr>
          <w:rFonts w:ascii="Arial" w:hAnsi="Arial" w:cs="Arial"/>
          <w:sz w:val="22"/>
          <w:szCs w:val="22"/>
          <w:lang w:val="en-US"/>
        </w:rPr>
      </w:pPr>
      <w:r w:rsidRPr="00147CB9">
        <w:rPr>
          <w:rFonts w:ascii="Arial" w:hAnsi="Arial" w:cs="Arial"/>
          <w:sz w:val="22"/>
          <w:szCs w:val="22"/>
          <w:lang w:val="en-US"/>
        </w:rPr>
        <w:t xml:space="preserve">(c) that, following an investigation by the Commission in accordance with Part IV of Chapter 3 into the conduct on which the action is based, the Commission has decided </w:t>
      </w:r>
      <w:r w:rsidRPr="00147CB9">
        <w:rPr>
          <w:rFonts w:ascii="Arial" w:hAnsi="Arial" w:cs="Arial"/>
          <w:sz w:val="22"/>
          <w:szCs w:val="22"/>
          <w:lang w:val="en-US"/>
        </w:rPr>
        <w:lastRenderedPageBreak/>
        <w:t>not to take any action contemplated in section 38, and stating the reasons for the Commission’s decision; or</w:t>
      </w:r>
    </w:p>
    <w:p w14:paraId="5F1ED5AE" w14:textId="4C987A2B" w:rsidR="005B3C3B" w:rsidRDefault="00147CB9" w:rsidP="006663DD">
      <w:pPr>
        <w:pStyle w:val="ListParagraph"/>
        <w:spacing w:line="360" w:lineRule="auto"/>
        <w:ind w:left="0"/>
        <w:jc w:val="both"/>
        <w:rPr>
          <w:rFonts w:ascii="Arial" w:hAnsi="Arial" w:cs="Arial"/>
          <w:lang w:val="en-US"/>
        </w:rPr>
      </w:pPr>
      <w:r w:rsidRPr="00147CB9">
        <w:rPr>
          <w:rFonts w:ascii="Arial" w:hAnsi="Arial" w:cs="Arial"/>
          <w:sz w:val="22"/>
          <w:szCs w:val="22"/>
          <w:lang w:val="en-US"/>
        </w:rPr>
        <w:t>(d) that the Commission, having received a complaint or a request to investigate an alleged infringement of the Part I or the Part II prohibition in respect of the conduct on which the action is based, has in terms of section 33(2) decided not to conduct an investigation, and stating the reasons for the Commission’s decision.’</w:t>
      </w:r>
    </w:p>
    <w:p w14:paraId="3CF84F66" w14:textId="77777777" w:rsidR="005B3C3B" w:rsidRPr="00147CB9" w:rsidRDefault="005B3C3B" w:rsidP="005B3C3B">
      <w:pPr>
        <w:pStyle w:val="ListParagraph"/>
        <w:rPr>
          <w:rFonts w:ascii="Arial" w:hAnsi="Arial" w:cs="Arial"/>
          <w:lang w:val="en-US"/>
        </w:rPr>
      </w:pPr>
    </w:p>
    <w:p w14:paraId="06754539" w14:textId="682ABFA0" w:rsidR="005A1BC8" w:rsidRPr="000A1AD7" w:rsidRDefault="00A03ADD" w:rsidP="000A1AD7">
      <w:pPr>
        <w:pStyle w:val="ListParagraph"/>
        <w:numPr>
          <w:ilvl w:val="0"/>
          <w:numId w:val="2"/>
        </w:numPr>
        <w:spacing w:line="360" w:lineRule="auto"/>
        <w:ind w:left="0" w:firstLine="0"/>
        <w:jc w:val="both"/>
        <w:rPr>
          <w:rFonts w:ascii="Arial" w:hAnsi="Arial" w:cs="Arial"/>
          <w:lang w:val="en-US"/>
        </w:rPr>
      </w:pPr>
      <w:r w:rsidRPr="000A1AD7">
        <w:rPr>
          <w:rFonts w:ascii="Arial" w:hAnsi="Arial" w:cs="Arial"/>
          <w:lang w:val="en-US"/>
        </w:rPr>
        <w:t>There is no allegation that the first defendant lodged a complaint with the Commission</w:t>
      </w:r>
      <w:r w:rsidR="00A43620" w:rsidRPr="000A1AD7">
        <w:rPr>
          <w:rFonts w:ascii="Arial" w:hAnsi="Arial" w:cs="Arial"/>
          <w:lang w:val="en-US"/>
        </w:rPr>
        <w:t>, and i</w:t>
      </w:r>
      <w:r w:rsidRPr="000A1AD7">
        <w:rPr>
          <w:rFonts w:ascii="Arial" w:hAnsi="Arial" w:cs="Arial"/>
          <w:lang w:val="en-US"/>
        </w:rPr>
        <w:t>t is not the first defendant’s case that she suffered damages. Therefore,</w:t>
      </w:r>
      <w:r w:rsidR="00742BC6">
        <w:rPr>
          <w:rFonts w:ascii="Arial" w:hAnsi="Arial" w:cs="Arial"/>
          <w:lang w:val="en-US"/>
        </w:rPr>
        <w:t xml:space="preserve"> arguably,</w:t>
      </w:r>
      <w:r w:rsidRPr="000A1AD7">
        <w:rPr>
          <w:rFonts w:ascii="Arial" w:hAnsi="Arial" w:cs="Arial"/>
          <w:lang w:val="en-US"/>
        </w:rPr>
        <w:t xml:space="preserve"> the restriction under s 54 does not apply</w:t>
      </w:r>
      <w:r w:rsidR="00A01344" w:rsidRPr="000A1AD7">
        <w:rPr>
          <w:rFonts w:ascii="Arial" w:hAnsi="Arial" w:cs="Arial"/>
          <w:lang w:val="en-US"/>
        </w:rPr>
        <w:t xml:space="preserve"> to the </w:t>
      </w:r>
      <w:r w:rsidR="00711653">
        <w:rPr>
          <w:rFonts w:ascii="Arial" w:hAnsi="Arial" w:cs="Arial"/>
          <w:lang w:val="en-US"/>
        </w:rPr>
        <w:t>first defendant</w:t>
      </w:r>
      <w:r w:rsidRPr="000A1AD7">
        <w:rPr>
          <w:rFonts w:ascii="Arial" w:hAnsi="Arial" w:cs="Arial"/>
          <w:lang w:val="en-US"/>
        </w:rPr>
        <w:t>.</w:t>
      </w:r>
    </w:p>
    <w:p w14:paraId="5BED5BEB" w14:textId="77777777" w:rsidR="005A1BC8" w:rsidRPr="005A1BC8" w:rsidRDefault="005A1BC8" w:rsidP="005A1BC8">
      <w:pPr>
        <w:pStyle w:val="ListParagraph"/>
        <w:rPr>
          <w:rFonts w:ascii="Arial" w:hAnsi="Arial" w:cs="Arial"/>
          <w:lang w:val="en-US"/>
        </w:rPr>
      </w:pPr>
    </w:p>
    <w:p w14:paraId="4CA864EC" w14:textId="77777777" w:rsidR="0064702F" w:rsidRDefault="009A6ECA" w:rsidP="005A1BC8">
      <w:pPr>
        <w:pStyle w:val="ListParagraph"/>
        <w:numPr>
          <w:ilvl w:val="0"/>
          <w:numId w:val="2"/>
        </w:numPr>
        <w:spacing w:line="360" w:lineRule="auto"/>
        <w:ind w:left="0" w:firstLine="0"/>
        <w:jc w:val="both"/>
        <w:rPr>
          <w:rFonts w:ascii="Arial" w:hAnsi="Arial" w:cs="Arial"/>
          <w:lang w:val="en-US"/>
        </w:rPr>
      </w:pPr>
      <w:r w:rsidRPr="00463AA7">
        <w:rPr>
          <w:rFonts w:ascii="Arial" w:hAnsi="Arial" w:cs="Arial"/>
          <w:lang w:val="en-US"/>
        </w:rPr>
        <w:t xml:space="preserve">A person affected by </w:t>
      </w:r>
      <w:r w:rsidR="002A2409">
        <w:rPr>
          <w:rFonts w:ascii="Arial" w:hAnsi="Arial" w:cs="Arial"/>
          <w:lang w:val="en-US"/>
        </w:rPr>
        <w:t>the</w:t>
      </w:r>
      <w:r w:rsidRPr="00463AA7">
        <w:rPr>
          <w:rFonts w:ascii="Arial" w:hAnsi="Arial" w:cs="Arial"/>
          <w:lang w:val="en-US"/>
        </w:rPr>
        <w:t xml:space="preserve"> Part I or Part II prohibition may lodge a complaint with the Commission, </w:t>
      </w:r>
      <w:r w:rsidR="00E8020A">
        <w:rPr>
          <w:rFonts w:ascii="Arial" w:hAnsi="Arial" w:cs="Arial"/>
          <w:lang w:val="en-US"/>
        </w:rPr>
        <w:t>and in circumstances where the procedures under the Act are inadequate for the relief required, arguably like in the matter at hand,</w:t>
      </w:r>
      <w:r w:rsidR="00E8020A" w:rsidRPr="00463AA7">
        <w:rPr>
          <w:rFonts w:ascii="Arial" w:hAnsi="Arial" w:cs="Arial"/>
          <w:lang w:val="en-US"/>
        </w:rPr>
        <w:t xml:space="preserve"> </w:t>
      </w:r>
      <w:r w:rsidRPr="00463AA7">
        <w:rPr>
          <w:rFonts w:ascii="Arial" w:hAnsi="Arial" w:cs="Arial"/>
          <w:lang w:val="en-US"/>
        </w:rPr>
        <w:t xml:space="preserve">such a person </w:t>
      </w:r>
      <w:r w:rsidR="0064702F">
        <w:rPr>
          <w:rFonts w:ascii="Arial" w:hAnsi="Arial" w:cs="Arial"/>
          <w:lang w:val="en-US"/>
        </w:rPr>
        <w:t>could</w:t>
      </w:r>
      <w:r w:rsidRPr="00463AA7">
        <w:rPr>
          <w:rFonts w:ascii="Arial" w:hAnsi="Arial" w:cs="Arial"/>
          <w:lang w:val="en-US"/>
        </w:rPr>
        <w:t xml:space="preserve"> arguably</w:t>
      </w:r>
      <w:r w:rsidR="0064702F">
        <w:rPr>
          <w:rFonts w:ascii="Arial" w:hAnsi="Arial" w:cs="Arial"/>
          <w:lang w:val="en-US"/>
        </w:rPr>
        <w:t xml:space="preserve"> be allowed to </w:t>
      </w:r>
      <w:r w:rsidRPr="00463AA7">
        <w:rPr>
          <w:rFonts w:ascii="Arial" w:hAnsi="Arial" w:cs="Arial"/>
          <w:lang w:val="en-US"/>
        </w:rPr>
        <w:t xml:space="preserve">approach the court </w:t>
      </w:r>
      <w:r w:rsidR="0064702F">
        <w:rPr>
          <w:rFonts w:ascii="Arial" w:hAnsi="Arial" w:cs="Arial"/>
          <w:lang w:val="en-US"/>
        </w:rPr>
        <w:t xml:space="preserve">directly </w:t>
      </w:r>
      <w:r w:rsidRPr="00463AA7">
        <w:rPr>
          <w:rFonts w:ascii="Arial" w:hAnsi="Arial" w:cs="Arial"/>
          <w:lang w:val="en-US"/>
        </w:rPr>
        <w:t>for appropriate relief.</w:t>
      </w:r>
      <w:r>
        <w:rPr>
          <w:rFonts w:ascii="Arial" w:hAnsi="Arial" w:cs="Arial"/>
          <w:lang w:val="en-US"/>
        </w:rPr>
        <w:t xml:space="preserve"> Whether a person</w:t>
      </w:r>
      <w:r w:rsidR="0064702F">
        <w:rPr>
          <w:rFonts w:ascii="Arial" w:hAnsi="Arial" w:cs="Arial"/>
          <w:lang w:val="en-US"/>
        </w:rPr>
        <w:t xml:space="preserve"> could be allowed to do so</w:t>
      </w:r>
      <w:r>
        <w:rPr>
          <w:rFonts w:ascii="Arial" w:hAnsi="Arial" w:cs="Arial"/>
          <w:lang w:val="en-US"/>
        </w:rPr>
        <w:t xml:space="preserve"> </w:t>
      </w:r>
      <w:r w:rsidR="0064702F">
        <w:rPr>
          <w:rFonts w:ascii="Arial" w:hAnsi="Arial" w:cs="Arial"/>
          <w:lang w:val="en-US"/>
        </w:rPr>
        <w:t>c</w:t>
      </w:r>
      <w:r>
        <w:rPr>
          <w:rFonts w:ascii="Arial" w:hAnsi="Arial" w:cs="Arial"/>
          <w:lang w:val="en-US"/>
        </w:rPr>
        <w:t>ould arguably d</w:t>
      </w:r>
      <w:r w:rsidRPr="00463AA7">
        <w:rPr>
          <w:rFonts w:ascii="Arial" w:hAnsi="Arial" w:cs="Arial"/>
          <w:lang w:val="en-US"/>
        </w:rPr>
        <w:t>epen</w:t>
      </w:r>
      <w:r>
        <w:rPr>
          <w:rFonts w:ascii="Arial" w:hAnsi="Arial" w:cs="Arial"/>
          <w:lang w:val="en-US"/>
        </w:rPr>
        <w:t>d o</w:t>
      </w:r>
      <w:r w:rsidRPr="00463AA7">
        <w:rPr>
          <w:rFonts w:ascii="Arial" w:hAnsi="Arial" w:cs="Arial"/>
          <w:lang w:val="en-US"/>
        </w:rPr>
        <w:t xml:space="preserve">n the facts and circumstances of the </w:t>
      </w:r>
      <w:r>
        <w:rPr>
          <w:rFonts w:ascii="Arial" w:hAnsi="Arial" w:cs="Arial"/>
          <w:lang w:val="en-US"/>
        </w:rPr>
        <w:t>case</w:t>
      </w:r>
      <w:r w:rsidRPr="00463AA7">
        <w:rPr>
          <w:rFonts w:ascii="Arial" w:hAnsi="Arial" w:cs="Arial"/>
          <w:lang w:val="en-US"/>
        </w:rPr>
        <w:t>, the nature of the dispute, and the nature of the relief sought</w:t>
      </w:r>
      <w:r w:rsidR="002E79D0">
        <w:rPr>
          <w:rFonts w:ascii="Arial" w:hAnsi="Arial" w:cs="Arial"/>
          <w:lang w:val="en-US"/>
        </w:rPr>
        <w:t>.</w:t>
      </w:r>
      <w:r w:rsidR="00BD4779">
        <w:rPr>
          <w:rFonts w:ascii="Arial" w:hAnsi="Arial" w:cs="Arial"/>
          <w:lang w:val="en-US"/>
        </w:rPr>
        <w:t xml:space="preserve"> </w:t>
      </w:r>
    </w:p>
    <w:p w14:paraId="73349E27" w14:textId="77777777" w:rsidR="0064702F" w:rsidRPr="0064702F" w:rsidRDefault="0064702F" w:rsidP="0064702F">
      <w:pPr>
        <w:pStyle w:val="ListParagraph"/>
        <w:rPr>
          <w:rFonts w:ascii="Arial" w:hAnsi="Arial" w:cs="Arial"/>
          <w:lang w:val="en-US"/>
        </w:rPr>
      </w:pPr>
    </w:p>
    <w:p w14:paraId="665138CD" w14:textId="11FB53D9" w:rsidR="009A6ECA" w:rsidRDefault="009A6ECA" w:rsidP="005A1BC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w:t>
      </w:r>
      <w:r w:rsidRPr="00463AA7">
        <w:rPr>
          <w:rFonts w:ascii="Arial" w:hAnsi="Arial" w:cs="Arial"/>
          <w:lang w:val="en-US"/>
        </w:rPr>
        <w:t>n a</w:t>
      </w:r>
      <w:r>
        <w:rPr>
          <w:rFonts w:ascii="Arial" w:hAnsi="Arial" w:cs="Arial"/>
          <w:lang w:val="en-US"/>
        </w:rPr>
        <w:t xml:space="preserve">n unlawful </w:t>
      </w:r>
      <w:r w:rsidRPr="00463AA7">
        <w:rPr>
          <w:rFonts w:ascii="Arial" w:hAnsi="Arial" w:cs="Arial"/>
          <w:lang w:val="en-US"/>
        </w:rPr>
        <w:t xml:space="preserve">competition </w:t>
      </w:r>
      <w:r>
        <w:rPr>
          <w:rFonts w:ascii="Arial" w:hAnsi="Arial" w:cs="Arial"/>
          <w:lang w:val="en-US"/>
        </w:rPr>
        <w:t xml:space="preserve">(private law) </w:t>
      </w:r>
      <w:r w:rsidRPr="00463AA7">
        <w:rPr>
          <w:rFonts w:ascii="Arial" w:hAnsi="Arial" w:cs="Arial"/>
          <w:lang w:val="en-US"/>
        </w:rPr>
        <w:t>dispute</w:t>
      </w:r>
      <w:r>
        <w:rPr>
          <w:rFonts w:ascii="Arial" w:hAnsi="Arial" w:cs="Arial"/>
          <w:lang w:val="en-US"/>
        </w:rPr>
        <w:t xml:space="preserve"> based on a contravention of the Act</w:t>
      </w:r>
      <w:r w:rsidRPr="00463AA7">
        <w:rPr>
          <w:rFonts w:ascii="Arial" w:hAnsi="Arial" w:cs="Arial"/>
          <w:lang w:val="en-US"/>
        </w:rPr>
        <w:t xml:space="preserve">, as in the matter at hand, it is arguable that the court </w:t>
      </w:r>
      <w:r w:rsidR="0064702F">
        <w:rPr>
          <w:rFonts w:ascii="Arial" w:hAnsi="Arial" w:cs="Arial"/>
          <w:lang w:val="en-US"/>
        </w:rPr>
        <w:t>could</w:t>
      </w:r>
      <w:r w:rsidRPr="00463AA7">
        <w:rPr>
          <w:rFonts w:ascii="Arial" w:hAnsi="Arial" w:cs="Arial"/>
          <w:lang w:val="en-US"/>
        </w:rPr>
        <w:t xml:space="preserve"> hear the matter </w:t>
      </w:r>
      <w:r>
        <w:rPr>
          <w:rFonts w:ascii="Arial" w:hAnsi="Arial" w:cs="Arial"/>
          <w:lang w:val="en-US"/>
        </w:rPr>
        <w:t xml:space="preserve">as a court of first instance </w:t>
      </w:r>
      <w:r w:rsidR="008749AF">
        <w:rPr>
          <w:rFonts w:ascii="Arial" w:hAnsi="Arial" w:cs="Arial"/>
          <w:lang w:val="en-US"/>
        </w:rPr>
        <w:t>even though</w:t>
      </w:r>
      <w:r w:rsidRPr="00463AA7">
        <w:rPr>
          <w:rFonts w:ascii="Arial" w:hAnsi="Arial" w:cs="Arial"/>
          <w:lang w:val="en-US"/>
        </w:rPr>
        <w:t xml:space="preserve"> the </w:t>
      </w:r>
      <w:r w:rsidR="0064702F">
        <w:rPr>
          <w:rFonts w:ascii="Arial" w:hAnsi="Arial" w:cs="Arial"/>
          <w:lang w:val="en-US"/>
        </w:rPr>
        <w:t xml:space="preserve">affected </w:t>
      </w:r>
      <w:r>
        <w:rPr>
          <w:rFonts w:ascii="Arial" w:hAnsi="Arial" w:cs="Arial"/>
          <w:lang w:val="en-US"/>
        </w:rPr>
        <w:t xml:space="preserve">person, like the </w:t>
      </w:r>
      <w:r w:rsidRPr="00463AA7">
        <w:rPr>
          <w:rFonts w:ascii="Arial" w:hAnsi="Arial" w:cs="Arial"/>
          <w:lang w:val="en-US"/>
        </w:rPr>
        <w:t>first defendant</w:t>
      </w:r>
      <w:r>
        <w:rPr>
          <w:rFonts w:ascii="Arial" w:hAnsi="Arial" w:cs="Arial"/>
          <w:lang w:val="en-US"/>
        </w:rPr>
        <w:t xml:space="preserve"> in the matter at hand,</w:t>
      </w:r>
      <w:r w:rsidRPr="00463AA7">
        <w:rPr>
          <w:rFonts w:ascii="Arial" w:hAnsi="Arial" w:cs="Arial"/>
          <w:lang w:val="en-US"/>
        </w:rPr>
        <w:t xml:space="preserve"> did not approach the Commission</w:t>
      </w:r>
      <w:r>
        <w:rPr>
          <w:rFonts w:ascii="Arial" w:hAnsi="Arial" w:cs="Arial"/>
          <w:lang w:val="en-US"/>
        </w:rPr>
        <w:t xml:space="preserve"> for relief</w:t>
      </w:r>
      <w:r w:rsidR="0064702F">
        <w:rPr>
          <w:rFonts w:ascii="Arial" w:hAnsi="Arial" w:cs="Arial"/>
          <w:lang w:val="en-US"/>
        </w:rPr>
        <w:t xml:space="preserve"> and </w:t>
      </w:r>
      <w:r w:rsidRPr="00463AA7">
        <w:rPr>
          <w:rFonts w:ascii="Arial" w:hAnsi="Arial" w:cs="Arial"/>
          <w:lang w:val="en-US"/>
        </w:rPr>
        <w:t xml:space="preserve">the Commission </w:t>
      </w:r>
      <w:r w:rsidR="0064702F">
        <w:rPr>
          <w:rFonts w:ascii="Arial" w:hAnsi="Arial" w:cs="Arial"/>
          <w:lang w:val="en-US"/>
        </w:rPr>
        <w:t>did not</w:t>
      </w:r>
      <w:r w:rsidRPr="00463AA7">
        <w:rPr>
          <w:rFonts w:ascii="Arial" w:hAnsi="Arial" w:cs="Arial"/>
          <w:lang w:val="en-US"/>
        </w:rPr>
        <w:t xml:space="preserve"> decide </w:t>
      </w:r>
      <w:r w:rsidR="0064702F">
        <w:rPr>
          <w:rFonts w:ascii="Arial" w:hAnsi="Arial" w:cs="Arial"/>
          <w:lang w:val="en-US"/>
        </w:rPr>
        <w:t>that</w:t>
      </w:r>
      <w:r w:rsidRPr="00463AA7">
        <w:rPr>
          <w:rFonts w:ascii="Arial" w:hAnsi="Arial" w:cs="Arial"/>
          <w:lang w:val="en-US"/>
        </w:rPr>
        <w:t xml:space="preserve"> the Part I or Part II prohibition </w:t>
      </w:r>
      <w:r w:rsidR="008749AF">
        <w:rPr>
          <w:rFonts w:ascii="Arial" w:hAnsi="Arial" w:cs="Arial"/>
          <w:lang w:val="en-US"/>
        </w:rPr>
        <w:t>was</w:t>
      </w:r>
      <w:r w:rsidRPr="00463AA7">
        <w:rPr>
          <w:rFonts w:ascii="Arial" w:hAnsi="Arial" w:cs="Arial"/>
          <w:lang w:val="en-US"/>
        </w:rPr>
        <w:t xml:space="preserve"> infringed.</w:t>
      </w:r>
    </w:p>
    <w:p w14:paraId="54FD0104" w14:textId="77777777" w:rsidR="009A6ECA" w:rsidRPr="009A6ECA" w:rsidRDefault="009A6ECA" w:rsidP="009A6ECA">
      <w:pPr>
        <w:pStyle w:val="ListParagraph"/>
        <w:rPr>
          <w:rFonts w:ascii="Arial" w:hAnsi="Arial" w:cs="Arial"/>
          <w:lang w:val="en-US"/>
        </w:rPr>
      </w:pPr>
    </w:p>
    <w:p w14:paraId="1100923E" w14:textId="253EC429" w:rsidR="005A1BC8" w:rsidRPr="00BD4779" w:rsidRDefault="0064702F" w:rsidP="00BD477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w:t>
      </w:r>
      <w:r w:rsidR="00DF3011">
        <w:rPr>
          <w:rFonts w:ascii="Arial" w:hAnsi="Arial" w:cs="Arial"/>
          <w:lang w:val="en-US"/>
        </w:rPr>
        <w:t xml:space="preserve"> restrictive practice under s 23 (the Part I prohibition) and an abuse of a dominant position under s 26 (the Part II prohibition) are both ‘prohibited’</w:t>
      </w:r>
      <w:r>
        <w:rPr>
          <w:rFonts w:ascii="Arial" w:hAnsi="Arial" w:cs="Arial"/>
          <w:lang w:val="en-US"/>
        </w:rPr>
        <w:t xml:space="preserve"> under the Act</w:t>
      </w:r>
      <w:r w:rsidR="00DF3011">
        <w:rPr>
          <w:rFonts w:ascii="Arial" w:hAnsi="Arial" w:cs="Arial"/>
          <w:lang w:val="en-US"/>
        </w:rPr>
        <w:t>.</w:t>
      </w:r>
      <w:r w:rsidR="000A1AD7">
        <w:rPr>
          <w:rFonts w:ascii="Arial" w:hAnsi="Arial" w:cs="Arial"/>
          <w:lang w:val="en-US"/>
        </w:rPr>
        <w:t xml:space="preserve"> </w:t>
      </w:r>
      <w:r w:rsidR="00BD4779">
        <w:rPr>
          <w:rFonts w:ascii="Arial" w:hAnsi="Arial" w:cs="Arial"/>
          <w:lang w:val="en-US"/>
        </w:rPr>
        <w:t>The first defendant argues the lease is unenforceable and void ab initio because it contravenes ss 23 and 26.</w:t>
      </w:r>
      <w:r w:rsidR="00687F83">
        <w:rPr>
          <w:rFonts w:ascii="Arial" w:hAnsi="Arial" w:cs="Arial"/>
          <w:lang w:val="en-US"/>
        </w:rPr>
        <w:t xml:space="preserve"> </w:t>
      </w:r>
      <w:r w:rsidR="00742BC6">
        <w:rPr>
          <w:rFonts w:ascii="Arial" w:hAnsi="Arial" w:cs="Arial"/>
          <w:lang w:val="en-US"/>
        </w:rPr>
        <w:t>T</w:t>
      </w:r>
      <w:r w:rsidR="005A1BC8">
        <w:rPr>
          <w:rFonts w:ascii="Arial" w:hAnsi="Arial" w:cs="Arial"/>
          <w:lang w:val="en-US"/>
        </w:rPr>
        <w:t xml:space="preserve">he first defendant contends she ‘can raise a counterclaim, which may prevent the sale of her property’. </w:t>
      </w:r>
      <w:r w:rsidR="00742BC6">
        <w:rPr>
          <w:rFonts w:ascii="Arial" w:hAnsi="Arial" w:cs="Arial"/>
          <w:lang w:val="en-US"/>
        </w:rPr>
        <w:t>She</w:t>
      </w:r>
      <w:r w:rsidR="005A1BC8">
        <w:rPr>
          <w:rFonts w:ascii="Arial" w:hAnsi="Arial" w:cs="Arial"/>
          <w:lang w:val="en-US"/>
        </w:rPr>
        <w:t xml:space="preserve"> </w:t>
      </w:r>
      <w:r w:rsidR="00742BC6">
        <w:rPr>
          <w:rFonts w:ascii="Arial" w:hAnsi="Arial" w:cs="Arial"/>
          <w:lang w:val="en-US"/>
        </w:rPr>
        <w:t>says</w:t>
      </w:r>
      <w:r w:rsidR="005A1BC8">
        <w:rPr>
          <w:rFonts w:ascii="Arial" w:hAnsi="Arial" w:cs="Arial"/>
          <w:lang w:val="en-US"/>
        </w:rPr>
        <w:t xml:space="preserve"> she might succeed in setting the lease aside and getting a restitution order ‘against her’.</w:t>
      </w:r>
      <w:r w:rsidR="00BD4779">
        <w:rPr>
          <w:rFonts w:ascii="Arial" w:hAnsi="Arial" w:cs="Arial"/>
          <w:lang w:val="en-US"/>
        </w:rPr>
        <w:t xml:space="preserve"> </w:t>
      </w:r>
      <w:r w:rsidR="009A6ECA">
        <w:rPr>
          <w:rFonts w:ascii="Arial" w:hAnsi="Arial" w:cs="Arial"/>
          <w:lang w:val="en-US"/>
        </w:rPr>
        <w:t>The particulars on which she bases those conclusions are set out in the affidavit resisting summary judgment.</w:t>
      </w:r>
      <w:r w:rsidR="005A1BC8">
        <w:rPr>
          <w:rFonts w:ascii="Arial" w:hAnsi="Arial" w:cs="Arial"/>
          <w:lang w:val="en-US"/>
        </w:rPr>
        <w:t xml:space="preserve"> </w:t>
      </w:r>
      <w:r w:rsidR="00BD4779">
        <w:rPr>
          <w:rFonts w:ascii="Arial" w:hAnsi="Arial" w:cs="Arial"/>
          <w:lang w:val="en-US"/>
        </w:rPr>
        <w:t xml:space="preserve">The plaintiff says the Act does not say that the Part I or Part I prohibition results in unenforceability and s 38 </w:t>
      </w:r>
      <w:r w:rsidR="00687F83">
        <w:rPr>
          <w:rFonts w:ascii="Arial" w:hAnsi="Arial" w:cs="Arial"/>
          <w:lang w:val="en-US"/>
        </w:rPr>
        <w:t xml:space="preserve">does not make provision </w:t>
      </w:r>
      <w:r w:rsidR="00687F83">
        <w:rPr>
          <w:rFonts w:ascii="Arial" w:hAnsi="Arial" w:cs="Arial"/>
          <w:lang w:val="en-US"/>
        </w:rPr>
        <w:lastRenderedPageBreak/>
        <w:t xml:space="preserve">for an order declaring such </w:t>
      </w:r>
      <w:r>
        <w:rPr>
          <w:rFonts w:ascii="Arial" w:hAnsi="Arial" w:cs="Arial"/>
          <w:lang w:val="en-US"/>
        </w:rPr>
        <w:t xml:space="preserve">an </w:t>
      </w:r>
      <w:r w:rsidR="00687F83">
        <w:rPr>
          <w:rFonts w:ascii="Arial" w:hAnsi="Arial" w:cs="Arial"/>
          <w:lang w:val="en-US"/>
        </w:rPr>
        <w:t>agreement void</w:t>
      </w:r>
      <w:r w:rsidR="00BD4779">
        <w:rPr>
          <w:rFonts w:ascii="Arial" w:hAnsi="Arial" w:cs="Arial"/>
          <w:lang w:val="en-US"/>
        </w:rPr>
        <w:t>.</w:t>
      </w:r>
      <w:r w:rsidR="00687F83">
        <w:rPr>
          <w:rFonts w:ascii="Arial" w:hAnsi="Arial" w:cs="Arial"/>
          <w:lang w:val="en-US"/>
        </w:rPr>
        <w:t xml:space="preserve"> The effect of th</w:t>
      </w:r>
      <w:r>
        <w:rPr>
          <w:rFonts w:ascii="Arial" w:hAnsi="Arial" w:cs="Arial"/>
          <w:lang w:val="en-US"/>
        </w:rPr>
        <w:t>e plaintiff’s</w:t>
      </w:r>
      <w:r w:rsidR="00687F83">
        <w:rPr>
          <w:rFonts w:ascii="Arial" w:hAnsi="Arial" w:cs="Arial"/>
          <w:lang w:val="en-US"/>
        </w:rPr>
        <w:t xml:space="preserve"> argument is that the procedures under the Act are inadequate for the relief required by the first defendant. Therefore, e</w:t>
      </w:r>
      <w:r w:rsidR="007437EE" w:rsidRPr="00BD4779">
        <w:rPr>
          <w:rFonts w:ascii="Arial" w:hAnsi="Arial" w:cs="Arial"/>
          <w:lang w:val="en-US"/>
        </w:rPr>
        <w:t xml:space="preserve">ven though the </w:t>
      </w:r>
      <w:r w:rsidR="008B0660" w:rsidRPr="00BD4779">
        <w:rPr>
          <w:rFonts w:ascii="Arial" w:hAnsi="Arial" w:cs="Arial"/>
          <w:lang w:val="en-US"/>
        </w:rPr>
        <w:t xml:space="preserve">Act does not </w:t>
      </w:r>
      <w:r w:rsidR="007437EE" w:rsidRPr="00BD4779">
        <w:rPr>
          <w:rFonts w:ascii="Arial" w:hAnsi="Arial" w:cs="Arial"/>
          <w:lang w:val="en-US"/>
        </w:rPr>
        <w:t xml:space="preserve">expressly </w:t>
      </w:r>
      <w:r w:rsidR="008B0660" w:rsidRPr="00BD4779">
        <w:rPr>
          <w:rFonts w:ascii="Arial" w:hAnsi="Arial" w:cs="Arial"/>
          <w:lang w:val="en-US"/>
        </w:rPr>
        <w:t xml:space="preserve">say that </w:t>
      </w:r>
      <w:r w:rsidR="002A2409" w:rsidRPr="00BD4779">
        <w:rPr>
          <w:rFonts w:ascii="Arial" w:hAnsi="Arial" w:cs="Arial"/>
          <w:lang w:val="en-US"/>
        </w:rPr>
        <w:t>the</w:t>
      </w:r>
      <w:r w:rsidR="008B0660" w:rsidRPr="00BD4779">
        <w:rPr>
          <w:rFonts w:ascii="Arial" w:hAnsi="Arial" w:cs="Arial"/>
          <w:lang w:val="en-US"/>
        </w:rPr>
        <w:t xml:space="preserve"> </w:t>
      </w:r>
      <w:r w:rsidR="005B3C3B" w:rsidRPr="00BD4779">
        <w:rPr>
          <w:rFonts w:ascii="Arial" w:hAnsi="Arial" w:cs="Arial"/>
          <w:lang w:val="en-US"/>
        </w:rPr>
        <w:t>P</w:t>
      </w:r>
      <w:r w:rsidR="008B0660" w:rsidRPr="00BD4779">
        <w:rPr>
          <w:rFonts w:ascii="Arial" w:hAnsi="Arial" w:cs="Arial"/>
          <w:lang w:val="en-US"/>
        </w:rPr>
        <w:t xml:space="preserve">art I or </w:t>
      </w:r>
      <w:r w:rsidR="005B3C3B" w:rsidRPr="00BD4779">
        <w:rPr>
          <w:rFonts w:ascii="Arial" w:hAnsi="Arial" w:cs="Arial"/>
          <w:lang w:val="en-US"/>
        </w:rPr>
        <w:t>P</w:t>
      </w:r>
      <w:r w:rsidR="008B0660" w:rsidRPr="00BD4779">
        <w:rPr>
          <w:rFonts w:ascii="Arial" w:hAnsi="Arial" w:cs="Arial"/>
          <w:lang w:val="en-US"/>
        </w:rPr>
        <w:t>art II prohibition result</w:t>
      </w:r>
      <w:r w:rsidR="000102D5" w:rsidRPr="00BD4779">
        <w:rPr>
          <w:rFonts w:ascii="Arial" w:hAnsi="Arial" w:cs="Arial"/>
          <w:lang w:val="en-US"/>
        </w:rPr>
        <w:t>s</w:t>
      </w:r>
      <w:r w:rsidR="008B0660" w:rsidRPr="00BD4779">
        <w:rPr>
          <w:rFonts w:ascii="Arial" w:hAnsi="Arial" w:cs="Arial"/>
          <w:lang w:val="en-US"/>
        </w:rPr>
        <w:t xml:space="preserve"> in unenforceability</w:t>
      </w:r>
      <w:r w:rsidR="007437EE" w:rsidRPr="00BD4779">
        <w:rPr>
          <w:rFonts w:ascii="Arial" w:hAnsi="Arial" w:cs="Arial"/>
          <w:lang w:val="en-US"/>
        </w:rPr>
        <w:t xml:space="preserve"> or that such </w:t>
      </w:r>
      <w:r>
        <w:rPr>
          <w:rFonts w:ascii="Arial" w:hAnsi="Arial" w:cs="Arial"/>
          <w:lang w:val="en-US"/>
        </w:rPr>
        <w:t xml:space="preserve">an </w:t>
      </w:r>
      <w:r w:rsidR="007437EE" w:rsidRPr="00BD4779">
        <w:rPr>
          <w:rFonts w:ascii="Arial" w:hAnsi="Arial" w:cs="Arial"/>
          <w:lang w:val="en-US"/>
        </w:rPr>
        <w:t xml:space="preserve">agreement is void or can be declared void, it is arguable that the court </w:t>
      </w:r>
      <w:r>
        <w:rPr>
          <w:rFonts w:ascii="Arial" w:hAnsi="Arial" w:cs="Arial"/>
          <w:lang w:val="en-US"/>
        </w:rPr>
        <w:t>could have</w:t>
      </w:r>
      <w:r w:rsidR="007437EE" w:rsidRPr="00BD4779">
        <w:rPr>
          <w:rFonts w:ascii="Arial" w:hAnsi="Arial" w:cs="Arial"/>
          <w:lang w:val="en-US"/>
        </w:rPr>
        <w:t xml:space="preserve"> jurisdiction to declare </w:t>
      </w:r>
      <w:r>
        <w:rPr>
          <w:rFonts w:ascii="Arial" w:hAnsi="Arial" w:cs="Arial"/>
          <w:lang w:val="en-US"/>
        </w:rPr>
        <w:t>the lease</w:t>
      </w:r>
      <w:r w:rsidR="007437EE" w:rsidRPr="00BD4779">
        <w:rPr>
          <w:rFonts w:ascii="Arial" w:hAnsi="Arial" w:cs="Arial"/>
          <w:lang w:val="en-US"/>
        </w:rPr>
        <w:t xml:space="preserve"> </w:t>
      </w:r>
      <w:r w:rsidR="00A90D3B">
        <w:rPr>
          <w:rFonts w:ascii="Arial" w:hAnsi="Arial" w:cs="Arial"/>
          <w:lang w:val="en-US"/>
        </w:rPr>
        <w:t xml:space="preserve">an </w:t>
      </w:r>
      <w:r w:rsidR="00E8020A" w:rsidRPr="00BD4779">
        <w:rPr>
          <w:rFonts w:ascii="Arial" w:hAnsi="Arial" w:cs="Arial"/>
          <w:lang w:val="en-US"/>
        </w:rPr>
        <w:t>infring</w:t>
      </w:r>
      <w:r w:rsidR="00A90D3B">
        <w:rPr>
          <w:rFonts w:ascii="Arial" w:hAnsi="Arial" w:cs="Arial"/>
          <w:lang w:val="en-US"/>
        </w:rPr>
        <w:t>ement of</w:t>
      </w:r>
      <w:r w:rsidR="00E8020A" w:rsidRPr="00BD4779">
        <w:rPr>
          <w:rFonts w:ascii="Arial" w:hAnsi="Arial" w:cs="Arial"/>
          <w:lang w:val="en-US"/>
        </w:rPr>
        <w:t xml:space="preserve"> </w:t>
      </w:r>
      <w:r w:rsidR="002A2409" w:rsidRPr="00BD4779">
        <w:rPr>
          <w:rFonts w:ascii="Arial" w:hAnsi="Arial" w:cs="Arial"/>
          <w:lang w:val="en-US"/>
        </w:rPr>
        <w:t>the</w:t>
      </w:r>
      <w:r w:rsidR="00E8020A" w:rsidRPr="00BD4779">
        <w:rPr>
          <w:rFonts w:ascii="Arial" w:hAnsi="Arial" w:cs="Arial"/>
          <w:lang w:val="en-US"/>
        </w:rPr>
        <w:t xml:space="preserve"> Part I or Part II prohibition</w:t>
      </w:r>
      <w:r w:rsidR="007437EE" w:rsidRPr="00BD4779">
        <w:rPr>
          <w:rFonts w:ascii="Arial" w:hAnsi="Arial" w:cs="Arial"/>
          <w:lang w:val="en-US"/>
        </w:rPr>
        <w:t xml:space="preserve"> </w:t>
      </w:r>
      <w:r w:rsidR="00A90D3B">
        <w:rPr>
          <w:rFonts w:ascii="Arial" w:hAnsi="Arial" w:cs="Arial"/>
          <w:lang w:val="en-US"/>
        </w:rPr>
        <w:t xml:space="preserve">and </w:t>
      </w:r>
      <w:r w:rsidR="007437EE" w:rsidRPr="00BD4779">
        <w:rPr>
          <w:rFonts w:ascii="Arial" w:hAnsi="Arial" w:cs="Arial"/>
          <w:lang w:val="en-US"/>
        </w:rPr>
        <w:t>unenforceable</w:t>
      </w:r>
      <w:r w:rsidR="008B0660" w:rsidRPr="00BD4779">
        <w:rPr>
          <w:rFonts w:ascii="Arial" w:hAnsi="Arial" w:cs="Arial"/>
          <w:lang w:val="en-US"/>
        </w:rPr>
        <w:t>.</w:t>
      </w:r>
    </w:p>
    <w:p w14:paraId="5DF70719" w14:textId="77777777" w:rsidR="005A1BC8" w:rsidRPr="005A1BC8" w:rsidRDefault="005A1BC8" w:rsidP="005A1BC8">
      <w:pPr>
        <w:pStyle w:val="ListParagraph"/>
        <w:rPr>
          <w:rFonts w:ascii="Arial" w:hAnsi="Arial" w:cs="Arial"/>
          <w:lang w:val="en-US"/>
        </w:rPr>
      </w:pPr>
    </w:p>
    <w:p w14:paraId="14B790C1" w14:textId="1703FAED" w:rsidR="00F26573" w:rsidRDefault="009A6ECA" w:rsidP="00D759B2">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According to</w:t>
      </w:r>
      <w:r w:rsidR="005A1BC8">
        <w:rPr>
          <w:rFonts w:ascii="Arial" w:hAnsi="Arial" w:cs="Arial"/>
          <w:lang w:val="en-US"/>
        </w:rPr>
        <w:t xml:space="preserve"> the particulars of claim,</w:t>
      </w:r>
      <w:r w:rsidR="00A90D3B">
        <w:rPr>
          <w:rFonts w:ascii="Arial" w:hAnsi="Arial" w:cs="Arial"/>
          <w:lang w:val="en-US"/>
        </w:rPr>
        <w:t xml:space="preserve"> </w:t>
      </w:r>
      <w:r w:rsidR="005A1BC8">
        <w:rPr>
          <w:rFonts w:ascii="Arial" w:hAnsi="Arial" w:cs="Arial"/>
          <w:lang w:val="en-US"/>
        </w:rPr>
        <w:t xml:space="preserve">the MLA was concluded ‘in accordance with the provisions of clause 10.3 of the’ lease. </w:t>
      </w:r>
      <w:r w:rsidR="00A0405C">
        <w:rPr>
          <w:rFonts w:ascii="Arial" w:hAnsi="Arial" w:cs="Arial"/>
          <w:lang w:val="en-US"/>
        </w:rPr>
        <w:t>T</w:t>
      </w:r>
      <w:r w:rsidR="000A1AD7">
        <w:rPr>
          <w:rFonts w:ascii="Arial" w:hAnsi="Arial" w:cs="Arial"/>
          <w:lang w:val="en-US"/>
        </w:rPr>
        <w:t>he plaintiff</w:t>
      </w:r>
      <w:r w:rsidR="00A0405C">
        <w:rPr>
          <w:rFonts w:ascii="Arial" w:hAnsi="Arial" w:cs="Arial"/>
          <w:lang w:val="en-US"/>
        </w:rPr>
        <w:t xml:space="preserve"> says</w:t>
      </w:r>
      <w:r w:rsidR="000A1AD7">
        <w:rPr>
          <w:rFonts w:ascii="Arial" w:hAnsi="Arial" w:cs="Arial"/>
          <w:lang w:val="en-US"/>
        </w:rPr>
        <w:t xml:space="preserve"> its claim</w:t>
      </w:r>
      <w:r w:rsidR="00A0405C">
        <w:rPr>
          <w:rFonts w:ascii="Arial" w:hAnsi="Arial" w:cs="Arial"/>
          <w:lang w:val="en-US"/>
        </w:rPr>
        <w:t xml:space="preserve"> for N$7 556 029</w:t>
      </w:r>
      <w:r w:rsidR="00CB5A84">
        <w:rPr>
          <w:rFonts w:ascii="Arial" w:hAnsi="Arial" w:cs="Arial"/>
          <w:lang w:val="en-US"/>
        </w:rPr>
        <w:t>,</w:t>
      </w:r>
      <w:r w:rsidR="00A0405C">
        <w:rPr>
          <w:rFonts w:ascii="Arial" w:hAnsi="Arial" w:cs="Arial"/>
          <w:lang w:val="en-US"/>
        </w:rPr>
        <w:t>74</w:t>
      </w:r>
      <w:r w:rsidR="000A1AD7">
        <w:rPr>
          <w:rFonts w:ascii="Arial" w:hAnsi="Arial" w:cs="Arial"/>
          <w:lang w:val="en-US"/>
        </w:rPr>
        <w:t xml:space="preserve"> </w:t>
      </w:r>
      <w:r w:rsidR="00A0405C">
        <w:rPr>
          <w:rFonts w:ascii="Arial" w:hAnsi="Arial" w:cs="Arial"/>
          <w:lang w:val="en-US"/>
        </w:rPr>
        <w:t>is</w:t>
      </w:r>
      <w:r w:rsidR="000A1AD7">
        <w:rPr>
          <w:rFonts w:ascii="Arial" w:hAnsi="Arial" w:cs="Arial"/>
          <w:lang w:val="en-US"/>
        </w:rPr>
        <w:t xml:space="preserve"> based on the lease and the MLA. </w:t>
      </w:r>
      <w:r w:rsidR="005A1BC8">
        <w:rPr>
          <w:rFonts w:ascii="Arial" w:hAnsi="Arial" w:cs="Arial"/>
          <w:lang w:val="en-US"/>
        </w:rPr>
        <w:t>The MLA flows from the lease</w:t>
      </w:r>
      <w:r w:rsidR="000A1AD7">
        <w:rPr>
          <w:rFonts w:ascii="Arial" w:hAnsi="Arial" w:cs="Arial"/>
          <w:lang w:val="en-US"/>
        </w:rPr>
        <w:t>.</w:t>
      </w:r>
      <w:r w:rsidR="005A1BC8">
        <w:rPr>
          <w:rFonts w:ascii="Arial" w:hAnsi="Arial" w:cs="Arial"/>
          <w:lang w:val="en-US"/>
        </w:rPr>
        <w:t xml:space="preserve"> </w:t>
      </w:r>
      <w:r w:rsidR="00A0405C">
        <w:rPr>
          <w:rFonts w:ascii="Arial" w:hAnsi="Arial" w:cs="Arial"/>
          <w:lang w:val="en-US"/>
        </w:rPr>
        <w:t>In other words, h</w:t>
      </w:r>
      <w:r>
        <w:rPr>
          <w:rFonts w:ascii="Arial" w:hAnsi="Arial" w:cs="Arial"/>
          <w:lang w:val="en-US"/>
        </w:rPr>
        <w:t xml:space="preserve">ad it not been for the lease, the MLA would arguably not exist. </w:t>
      </w:r>
      <w:r w:rsidR="005A1BC8">
        <w:rPr>
          <w:rFonts w:ascii="Arial" w:hAnsi="Arial" w:cs="Arial"/>
          <w:lang w:val="en-US"/>
        </w:rPr>
        <w:t xml:space="preserve">If the lease is </w:t>
      </w:r>
      <w:r w:rsidR="00A0405C">
        <w:rPr>
          <w:rFonts w:ascii="Arial" w:hAnsi="Arial" w:cs="Arial"/>
          <w:lang w:val="en-US"/>
        </w:rPr>
        <w:t>threatened</w:t>
      </w:r>
      <w:r w:rsidR="00A90D3B">
        <w:rPr>
          <w:rFonts w:ascii="Arial" w:hAnsi="Arial" w:cs="Arial"/>
          <w:lang w:val="en-US"/>
        </w:rPr>
        <w:t xml:space="preserve"> due to the alleged contraventions of the Act</w:t>
      </w:r>
      <w:r w:rsidR="005A1BC8">
        <w:rPr>
          <w:rFonts w:ascii="Arial" w:hAnsi="Arial" w:cs="Arial"/>
          <w:lang w:val="en-US"/>
        </w:rPr>
        <w:t>, the existence of the MLA is</w:t>
      </w:r>
      <w:r w:rsidR="00D759B2">
        <w:rPr>
          <w:rFonts w:ascii="Arial" w:hAnsi="Arial" w:cs="Arial"/>
          <w:lang w:val="en-US"/>
        </w:rPr>
        <w:t xml:space="preserve"> </w:t>
      </w:r>
      <w:r w:rsidR="005A1BC8">
        <w:rPr>
          <w:rFonts w:ascii="Arial" w:hAnsi="Arial" w:cs="Arial"/>
          <w:lang w:val="en-US"/>
        </w:rPr>
        <w:t xml:space="preserve">arguably </w:t>
      </w:r>
      <w:r w:rsidR="00A0405C">
        <w:rPr>
          <w:rFonts w:ascii="Arial" w:hAnsi="Arial" w:cs="Arial"/>
          <w:lang w:val="en-US"/>
        </w:rPr>
        <w:t xml:space="preserve">also </w:t>
      </w:r>
      <w:r w:rsidR="005A1BC8">
        <w:rPr>
          <w:rFonts w:ascii="Arial" w:hAnsi="Arial" w:cs="Arial"/>
          <w:lang w:val="en-US"/>
        </w:rPr>
        <w:t>threatened.</w:t>
      </w:r>
      <w:r w:rsidR="00D759B2">
        <w:rPr>
          <w:rFonts w:ascii="Arial" w:hAnsi="Arial" w:cs="Arial"/>
          <w:lang w:val="en-US"/>
        </w:rPr>
        <w:t xml:space="preserve"> I</w:t>
      </w:r>
      <w:r w:rsidR="000A1AD7">
        <w:rPr>
          <w:rFonts w:ascii="Arial" w:hAnsi="Arial" w:cs="Arial"/>
          <w:lang w:val="en-US"/>
        </w:rPr>
        <w:t>f the MLA is threatened</w:t>
      </w:r>
      <w:r w:rsidR="00D759B2">
        <w:rPr>
          <w:rFonts w:ascii="Arial" w:hAnsi="Arial" w:cs="Arial"/>
          <w:lang w:val="en-US"/>
        </w:rPr>
        <w:t xml:space="preserve">, the first defendant’s indebtedness to the plaintiff </w:t>
      </w:r>
      <w:r w:rsidR="00A0405C">
        <w:rPr>
          <w:rFonts w:ascii="Arial" w:hAnsi="Arial" w:cs="Arial"/>
          <w:lang w:val="en-US"/>
        </w:rPr>
        <w:t>for N$7 556 029</w:t>
      </w:r>
      <w:r w:rsidR="00CB5A84">
        <w:rPr>
          <w:rFonts w:ascii="Arial" w:hAnsi="Arial" w:cs="Arial"/>
          <w:lang w:val="en-US"/>
        </w:rPr>
        <w:t>,</w:t>
      </w:r>
      <w:r w:rsidR="00A0405C">
        <w:rPr>
          <w:rFonts w:ascii="Arial" w:hAnsi="Arial" w:cs="Arial"/>
          <w:lang w:val="en-US"/>
        </w:rPr>
        <w:t xml:space="preserve">74 </w:t>
      </w:r>
      <w:r w:rsidR="008749AF">
        <w:rPr>
          <w:rFonts w:ascii="Arial" w:hAnsi="Arial" w:cs="Arial"/>
          <w:lang w:val="en-US"/>
        </w:rPr>
        <w:t>would</w:t>
      </w:r>
      <w:r w:rsidR="00A0405C">
        <w:rPr>
          <w:rFonts w:ascii="Arial" w:hAnsi="Arial" w:cs="Arial"/>
          <w:lang w:val="en-US"/>
        </w:rPr>
        <w:t xml:space="preserve"> </w:t>
      </w:r>
      <w:r w:rsidR="00D759B2">
        <w:rPr>
          <w:rFonts w:ascii="Arial" w:hAnsi="Arial" w:cs="Arial"/>
          <w:lang w:val="en-US"/>
        </w:rPr>
        <w:t xml:space="preserve">not </w:t>
      </w:r>
      <w:r w:rsidR="008749AF">
        <w:rPr>
          <w:rFonts w:ascii="Arial" w:hAnsi="Arial" w:cs="Arial"/>
          <w:lang w:val="en-US"/>
        </w:rPr>
        <w:t xml:space="preserve">necessarily </w:t>
      </w:r>
      <w:r w:rsidR="00D759B2">
        <w:rPr>
          <w:rFonts w:ascii="Arial" w:hAnsi="Arial" w:cs="Arial"/>
          <w:lang w:val="en-US"/>
        </w:rPr>
        <w:t>be extinguished</w:t>
      </w:r>
      <w:r w:rsidR="003C17D8">
        <w:rPr>
          <w:rFonts w:ascii="Arial" w:hAnsi="Arial" w:cs="Arial"/>
          <w:lang w:val="en-US"/>
        </w:rPr>
        <w:t xml:space="preserve"> thereby</w:t>
      </w:r>
      <w:r w:rsidR="00BD4779">
        <w:rPr>
          <w:rFonts w:ascii="Arial" w:hAnsi="Arial" w:cs="Arial"/>
          <w:lang w:val="en-US"/>
        </w:rPr>
        <w:t xml:space="preserve">, </w:t>
      </w:r>
      <w:r w:rsidR="00D759B2">
        <w:rPr>
          <w:rFonts w:ascii="Arial" w:hAnsi="Arial" w:cs="Arial"/>
          <w:lang w:val="en-US"/>
        </w:rPr>
        <w:t>but</w:t>
      </w:r>
      <w:r w:rsidR="00A0405C">
        <w:rPr>
          <w:rFonts w:ascii="Arial" w:hAnsi="Arial" w:cs="Arial"/>
          <w:lang w:val="en-US"/>
        </w:rPr>
        <w:t xml:space="preserve"> </w:t>
      </w:r>
      <w:r w:rsidR="00F61801">
        <w:rPr>
          <w:rFonts w:ascii="Arial" w:hAnsi="Arial" w:cs="Arial"/>
          <w:lang w:val="en-US"/>
        </w:rPr>
        <w:t>if the first defendant is correct</w:t>
      </w:r>
      <w:r w:rsidR="003C17D8">
        <w:rPr>
          <w:rFonts w:ascii="Arial" w:hAnsi="Arial" w:cs="Arial"/>
          <w:lang w:val="en-US"/>
        </w:rPr>
        <w:t xml:space="preserve"> that the lease contravenes the Act</w:t>
      </w:r>
      <w:r w:rsidR="00F61801">
        <w:rPr>
          <w:rFonts w:ascii="Arial" w:hAnsi="Arial" w:cs="Arial"/>
          <w:lang w:val="en-US"/>
        </w:rPr>
        <w:t>, it is arguable that</w:t>
      </w:r>
      <w:r w:rsidR="003C17D8">
        <w:rPr>
          <w:rFonts w:ascii="Arial" w:hAnsi="Arial" w:cs="Arial"/>
          <w:lang w:val="en-US"/>
        </w:rPr>
        <w:t>,</w:t>
      </w:r>
      <w:r w:rsidR="00BD4779">
        <w:rPr>
          <w:rFonts w:ascii="Arial" w:hAnsi="Arial" w:cs="Arial"/>
          <w:lang w:val="en-US"/>
        </w:rPr>
        <w:t xml:space="preserve"> </w:t>
      </w:r>
      <w:r w:rsidR="003C17D8">
        <w:rPr>
          <w:rFonts w:ascii="Arial" w:hAnsi="Arial" w:cs="Arial"/>
          <w:lang w:val="en-US"/>
        </w:rPr>
        <w:t>on the plaintiff’s papers now before the court, the plaintiff would not succeed with its claim for N$7 556 029</w:t>
      </w:r>
      <w:r w:rsidR="00CB5A84">
        <w:rPr>
          <w:rFonts w:ascii="Arial" w:hAnsi="Arial" w:cs="Arial"/>
          <w:lang w:val="en-US"/>
        </w:rPr>
        <w:t>,</w:t>
      </w:r>
      <w:r w:rsidR="003C17D8">
        <w:rPr>
          <w:rFonts w:ascii="Arial" w:hAnsi="Arial" w:cs="Arial"/>
          <w:lang w:val="en-US"/>
        </w:rPr>
        <w:t>74.</w:t>
      </w:r>
    </w:p>
    <w:p w14:paraId="19554681" w14:textId="77777777" w:rsidR="00D759B2" w:rsidRPr="00D759B2" w:rsidRDefault="00D759B2" w:rsidP="00D759B2">
      <w:pPr>
        <w:pStyle w:val="ListParagraph"/>
        <w:rPr>
          <w:rFonts w:ascii="Arial" w:hAnsi="Arial" w:cs="Arial"/>
          <w:lang w:val="en-US"/>
        </w:rPr>
      </w:pPr>
    </w:p>
    <w:p w14:paraId="50FE9414" w14:textId="7004D47C" w:rsidR="00007B48" w:rsidRPr="00F132CF" w:rsidRDefault="00D759B2" w:rsidP="00F132C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Yes, the affidavit resisting summary judgment is not a model example affidavit of its sort, but summary judgment remains an extraordinary and drastic remedy reserved for unanswerable cases. The court does not, in the summary judgment application, determine whether the first defendant is correct, but triable and arguable issues are raised.</w:t>
      </w:r>
      <w:r w:rsidR="00F61801">
        <w:rPr>
          <w:rFonts w:ascii="Arial" w:hAnsi="Arial" w:cs="Arial"/>
          <w:lang w:val="en-US"/>
        </w:rPr>
        <w:t xml:space="preserve"> T</w:t>
      </w:r>
      <w:r w:rsidR="00F132CF">
        <w:rPr>
          <w:rFonts w:ascii="Arial" w:hAnsi="Arial" w:cs="Arial"/>
          <w:lang w:val="en-US"/>
        </w:rPr>
        <w:t xml:space="preserve">he court cannot, at this stage of the proceedings, find that the </w:t>
      </w:r>
      <w:r w:rsidR="00F61801">
        <w:rPr>
          <w:rFonts w:ascii="Arial" w:hAnsi="Arial" w:cs="Arial"/>
          <w:lang w:val="en-US"/>
        </w:rPr>
        <w:t>plaintiff’s claim for N$7 556 029</w:t>
      </w:r>
      <w:r w:rsidR="00CB5A84">
        <w:rPr>
          <w:rFonts w:ascii="Arial" w:hAnsi="Arial" w:cs="Arial"/>
          <w:lang w:val="en-US"/>
        </w:rPr>
        <w:t>,</w:t>
      </w:r>
      <w:r w:rsidR="00F61801">
        <w:rPr>
          <w:rFonts w:ascii="Arial" w:hAnsi="Arial" w:cs="Arial"/>
          <w:lang w:val="en-US"/>
        </w:rPr>
        <w:t xml:space="preserve">74 </w:t>
      </w:r>
      <w:r w:rsidR="00F132CF">
        <w:rPr>
          <w:rFonts w:ascii="Arial" w:hAnsi="Arial" w:cs="Arial"/>
          <w:lang w:val="en-US"/>
        </w:rPr>
        <w:t>is unanswerabl</w:t>
      </w:r>
      <w:r w:rsidR="00F61801">
        <w:rPr>
          <w:rFonts w:ascii="Arial" w:hAnsi="Arial" w:cs="Arial"/>
          <w:lang w:val="en-US"/>
        </w:rPr>
        <w:t>e</w:t>
      </w:r>
      <w:r w:rsidR="003C17D8">
        <w:rPr>
          <w:rFonts w:ascii="Arial" w:hAnsi="Arial" w:cs="Arial"/>
          <w:lang w:val="en-US"/>
        </w:rPr>
        <w:t xml:space="preserve"> and t</w:t>
      </w:r>
      <w:r w:rsidR="00F61801">
        <w:rPr>
          <w:rFonts w:ascii="Arial" w:hAnsi="Arial" w:cs="Arial"/>
          <w:lang w:val="en-US"/>
        </w:rPr>
        <w:t>h</w:t>
      </w:r>
      <w:r w:rsidR="00F26573" w:rsidRPr="00F132CF">
        <w:rPr>
          <w:rFonts w:ascii="Arial" w:hAnsi="Arial" w:cs="Arial"/>
          <w:lang w:val="en-US"/>
        </w:rPr>
        <w:t>e court finds</w:t>
      </w:r>
      <w:r w:rsidR="00F61801">
        <w:rPr>
          <w:rFonts w:ascii="Arial" w:hAnsi="Arial" w:cs="Arial"/>
          <w:lang w:val="en-US"/>
        </w:rPr>
        <w:t xml:space="preserve"> </w:t>
      </w:r>
      <w:r w:rsidR="00F26573" w:rsidRPr="00F132CF">
        <w:rPr>
          <w:rFonts w:ascii="Arial" w:hAnsi="Arial" w:cs="Arial"/>
          <w:lang w:val="en-US"/>
        </w:rPr>
        <w:t>that</w:t>
      </w:r>
      <w:r w:rsidR="003C17D8">
        <w:rPr>
          <w:rFonts w:ascii="Arial" w:hAnsi="Arial" w:cs="Arial"/>
          <w:lang w:val="en-US"/>
        </w:rPr>
        <w:t xml:space="preserve">, on the papers now before it, if the first defendant is correct that the lease contravenes the Act, that could constitute </w:t>
      </w:r>
      <w:r w:rsidR="00F26573" w:rsidRPr="00F132CF">
        <w:rPr>
          <w:rFonts w:ascii="Arial" w:hAnsi="Arial" w:cs="Arial"/>
          <w:lang w:val="en-US"/>
        </w:rPr>
        <w:t xml:space="preserve">a bona fide defence </w:t>
      </w:r>
      <w:r w:rsidR="003C17D8">
        <w:rPr>
          <w:rFonts w:ascii="Arial" w:hAnsi="Arial" w:cs="Arial"/>
          <w:lang w:val="en-US"/>
        </w:rPr>
        <w:t>to the claim for N$7 556 029</w:t>
      </w:r>
      <w:r w:rsidR="00CB5A84">
        <w:rPr>
          <w:rFonts w:ascii="Arial" w:hAnsi="Arial" w:cs="Arial"/>
          <w:lang w:val="en-US"/>
        </w:rPr>
        <w:t>,</w:t>
      </w:r>
      <w:r w:rsidR="003C17D8">
        <w:rPr>
          <w:rFonts w:ascii="Arial" w:hAnsi="Arial" w:cs="Arial"/>
          <w:lang w:val="en-US"/>
        </w:rPr>
        <w:t>74</w:t>
      </w:r>
      <w:r w:rsidR="00F26573" w:rsidRPr="00F132CF">
        <w:rPr>
          <w:rFonts w:ascii="Arial" w:hAnsi="Arial" w:cs="Arial"/>
          <w:lang w:val="en-US"/>
        </w:rPr>
        <w:t>.</w:t>
      </w:r>
      <w:r w:rsidR="00F132CF">
        <w:rPr>
          <w:rFonts w:ascii="Arial" w:hAnsi="Arial" w:cs="Arial"/>
          <w:lang w:val="en-US"/>
        </w:rPr>
        <w:t xml:space="preserve"> </w:t>
      </w:r>
    </w:p>
    <w:p w14:paraId="5183A13A" w14:textId="77777777" w:rsidR="00007B48" w:rsidRPr="00007B48" w:rsidRDefault="00007B48" w:rsidP="00007B48">
      <w:pPr>
        <w:pStyle w:val="ListParagraph"/>
        <w:rPr>
          <w:rFonts w:ascii="Arial" w:hAnsi="Arial" w:cs="Arial"/>
          <w:lang w:val="en-US"/>
        </w:rPr>
      </w:pPr>
    </w:p>
    <w:p w14:paraId="7A593BBA" w14:textId="513C14A0" w:rsidR="0093209A" w:rsidRPr="00F132CF" w:rsidRDefault="00F132CF" w:rsidP="00F132C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Whereas the compound interest claim follows the </w:t>
      </w:r>
      <w:r w:rsidR="00F61801">
        <w:rPr>
          <w:rFonts w:ascii="Arial" w:hAnsi="Arial" w:cs="Arial"/>
          <w:lang w:val="en-US"/>
        </w:rPr>
        <w:t>claim for N$7 556 029</w:t>
      </w:r>
      <w:r w:rsidR="00CB5A84">
        <w:rPr>
          <w:rFonts w:ascii="Arial" w:hAnsi="Arial" w:cs="Arial"/>
          <w:lang w:val="en-US"/>
        </w:rPr>
        <w:t>,</w:t>
      </w:r>
      <w:r w:rsidR="00F61801">
        <w:rPr>
          <w:rFonts w:ascii="Arial" w:hAnsi="Arial" w:cs="Arial"/>
          <w:lang w:val="en-US"/>
        </w:rPr>
        <w:t>74</w:t>
      </w:r>
      <w:r>
        <w:rPr>
          <w:rFonts w:ascii="Arial" w:hAnsi="Arial" w:cs="Arial"/>
          <w:lang w:val="en-US"/>
        </w:rPr>
        <w:t xml:space="preserve">, the court </w:t>
      </w:r>
      <w:r w:rsidR="00254777">
        <w:rPr>
          <w:rFonts w:ascii="Arial" w:hAnsi="Arial" w:cs="Arial"/>
          <w:lang w:val="en-US"/>
        </w:rPr>
        <w:t>does</w:t>
      </w:r>
      <w:r>
        <w:rPr>
          <w:rFonts w:ascii="Arial" w:hAnsi="Arial" w:cs="Arial"/>
          <w:lang w:val="en-US"/>
        </w:rPr>
        <w:t xml:space="preserve"> not consider the defence that the particulars of claim are possibly technically defective.</w:t>
      </w:r>
      <w:r w:rsidR="00F409E4" w:rsidRPr="00F132CF">
        <w:rPr>
          <w:rFonts w:ascii="Arial" w:hAnsi="Arial" w:cs="Arial"/>
          <w:lang w:val="en-US"/>
        </w:rPr>
        <w:t xml:space="preserve"> </w:t>
      </w:r>
    </w:p>
    <w:p w14:paraId="4C555AD6" w14:textId="77777777" w:rsidR="0093209A" w:rsidRPr="0093209A" w:rsidRDefault="0093209A" w:rsidP="0093209A">
      <w:pPr>
        <w:pStyle w:val="ListParagraph"/>
        <w:rPr>
          <w:rFonts w:ascii="Arial" w:hAnsi="Arial" w:cs="Arial"/>
          <w:lang w:val="en-US"/>
        </w:rPr>
      </w:pPr>
    </w:p>
    <w:p w14:paraId="5051F97D" w14:textId="4A7791A2" w:rsidR="002D0433" w:rsidRPr="005532F5" w:rsidRDefault="003C17D8" w:rsidP="005532F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No defence is raised against the</w:t>
      </w:r>
      <w:r w:rsidR="002D0433">
        <w:rPr>
          <w:rFonts w:ascii="Arial" w:hAnsi="Arial" w:cs="Arial"/>
          <w:lang w:val="en-US"/>
        </w:rPr>
        <w:t xml:space="preserve"> claim for </w:t>
      </w:r>
      <w:r w:rsidR="00D738B3">
        <w:rPr>
          <w:rFonts w:ascii="Arial" w:hAnsi="Arial" w:cs="Arial"/>
          <w:lang w:val="en-US"/>
        </w:rPr>
        <w:t>reimbursement of the</w:t>
      </w:r>
      <w:r w:rsidR="009A6677">
        <w:rPr>
          <w:rFonts w:ascii="Arial" w:hAnsi="Arial" w:cs="Arial"/>
          <w:lang w:val="en-US"/>
        </w:rPr>
        <w:t xml:space="preserve"> payment made by the plaintiff to a third party discharging the</w:t>
      </w:r>
      <w:r w:rsidR="00D738B3">
        <w:rPr>
          <w:rFonts w:ascii="Arial" w:hAnsi="Arial" w:cs="Arial"/>
          <w:lang w:val="en-US"/>
        </w:rPr>
        <w:t xml:space="preserve"> first defendant’s debt to </w:t>
      </w:r>
      <w:r w:rsidR="00EF40A0">
        <w:rPr>
          <w:rFonts w:ascii="Arial" w:hAnsi="Arial" w:cs="Arial"/>
          <w:lang w:val="en-US"/>
        </w:rPr>
        <w:lastRenderedPageBreak/>
        <w:t>NORED</w:t>
      </w:r>
      <w:r w:rsidR="002D0433">
        <w:rPr>
          <w:rFonts w:ascii="Arial" w:hAnsi="Arial" w:cs="Arial"/>
          <w:lang w:val="en-US"/>
        </w:rPr>
        <w:t>.</w:t>
      </w:r>
      <w:r w:rsidR="005532F5">
        <w:rPr>
          <w:rFonts w:ascii="Arial" w:hAnsi="Arial" w:cs="Arial"/>
          <w:lang w:val="en-US"/>
        </w:rPr>
        <w:t xml:space="preserve"> </w:t>
      </w:r>
      <w:r w:rsidR="002D0433" w:rsidRPr="005532F5">
        <w:rPr>
          <w:rFonts w:ascii="Arial" w:hAnsi="Arial" w:cs="Arial"/>
          <w:lang w:val="en-US"/>
        </w:rPr>
        <w:t xml:space="preserve">The particulars of claim make a case for </w:t>
      </w:r>
      <w:r w:rsidR="00D738B3">
        <w:rPr>
          <w:rFonts w:ascii="Arial" w:hAnsi="Arial" w:cs="Arial"/>
          <w:lang w:val="en-US"/>
        </w:rPr>
        <w:t>that claim</w:t>
      </w:r>
      <w:r w:rsidR="005105E8">
        <w:rPr>
          <w:rFonts w:ascii="Arial" w:hAnsi="Arial" w:cs="Arial"/>
          <w:lang w:val="en-US"/>
        </w:rPr>
        <w:t xml:space="preserve"> on the </w:t>
      </w:r>
      <w:r w:rsidR="005105E8" w:rsidRPr="005105E8">
        <w:rPr>
          <w:rFonts w:ascii="Arial" w:hAnsi="Arial" w:cs="Arial"/>
          <w:i/>
          <w:iCs/>
          <w:lang w:val="en-US"/>
        </w:rPr>
        <w:t>negotiorum gestor</w:t>
      </w:r>
      <w:r w:rsidR="005105E8">
        <w:rPr>
          <w:rFonts w:ascii="Arial" w:hAnsi="Arial" w:cs="Arial"/>
          <w:lang w:val="en-US"/>
        </w:rPr>
        <w:t xml:space="preserve"> or the extended </w:t>
      </w:r>
      <w:r w:rsidR="005105E8" w:rsidRPr="005105E8">
        <w:rPr>
          <w:rFonts w:ascii="Arial" w:hAnsi="Arial" w:cs="Arial"/>
          <w:i/>
          <w:iCs/>
          <w:lang w:val="en-US"/>
        </w:rPr>
        <w:t>negotiorum gestor</w:t>
      </w:r>
      <w:r w:rsidR="00D22B38">
        <w:rPr>
          <w:rFonts w:ascii="Arial" w:hAnsi="Arial" w:cs="Arial"/>
          <w:lang w:val="en-US"/>
        </w:rPr>
        <w:t xml:space="preserve"> for a liquidated amount in money.</w:t>
      </w:r>
      <w:r w:rsidR="00F132CF">
        <w:rPr>
          <w:rFonts w:ascii="Arial" w:hAnsi="Arial" w:cs="Arial"/>
          <w:lang w:val="en-US"/>
        </w:rPr>
        <w:t xml:space="preserve"> </w:t>
      </w:r>
    </w:p>
    <w:p w14:paraId="73DD09DF" w14:textId="77777777" w:rsidR="002D0433" w:rsidRPr="002D0433" w:rsidRDefault="002D0433" w:rsidP="002D0433">
      <w:pPr>
        <w:pStyle w:val="ListParagraph"/>
        <w:rPr>
          <w:rFonts w:ascii="Arial" w:hAnsi="Arial" w:cs="Arial"/>
          <w:lang w:val="en-US"/>
        </w:rPr>
      </w:pPr>
    </w:p>
    <w:p w14:paraId="770984EE" w14:textId="778CF550" w:rsidR="00F132CF" w:rsidRPr="00F132CF" w:rsidRDefault="00B242AB" w:rsidP="00F132C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court now deals with </w:t>
      </w:r>
      <w:r w:rsidR="002D0433" w:rsidRPr="005532F5">
        <w:rPr>
          <w:rFonts w:ascii="Arial" w:hAnsi="Arial" w:cs="Arial"/>
          <w:lang w:val="en-US"/>
        </w:rPr>
        <w:t xml:space="preserve">the </w:t>
      </w:r>
      <w:r w:rsidR="00F132CF">
        <w:rPr>
          <w:rFonts w:ascii="Arial" w:hAnsi="Arial" w:cs="Arial"/>
          <w:lang w:val="en-US"/>
        </w:rPr>
        <w:t>claim</w:t>
      </w:r>
      <w:r w:rsidR="002D0433" w:rsidRPr="005532F5">
        <w:rPr>
          <w:rFonts w:ascii="Arial" w:hAnsi="Arial" w:cs="Arial"/>
          <w:lang w:val="en-US"/>
        </w:rPr>
        <w:t xml:space="preserve"> to have the property declared executable</w:t>
      </w:r>
      <w:r w:rsidR="00F132CF">
        <w:rPr>
          <w:rFonts w:ascii="Arial" w:hAnsi="Arial" w:cs="Arial"/>
          <w:lang w:val="en-US"/>
        </w:rPr>
        <w:t>.</w:t>
      </w:r>
    </w:p>
    <w:p w14:paraId="74669C50" w14:textId="77777777" w:rsidR="005532F5" w:rsidRPr="005532F5" w:rsidRDefault="005532F5" w:rsidP="005532F5">
      <w:pPr>
        <w:pStyle w:val="ListParagraph"/>
        <w:rPr>
          <w:rFonts w:ascii="Arial" w:hAnsi="Arial" w:cs="Arial"/>
          <w:lang w:val="en-US"/>
        </w:rPr>
      </w:pPr>
    </w:p>
    <w:p w14:paraId="4CB23EF7" w14:textId="7CF13BAD" w:rsidR="00F132CF" w:rsidRDefault="006057EA" w:rsidP="00F132C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first defendant, who is the registered owner of the property, passed the bond in favour of the plaintiff</w:t>
      </w:r>
      <w:r w:rsidR="003C17D8">
        <w:rPr>
          <w:rFonts w:ascii="Arial" w:hAnsi="Arial" w:cs="Arial"/>
          <w:lang w:val="en-US"/>
        </w:rPr>
        <w:t xml:space="preserve"> over the property</w:t>
      </w:r>
      <w:r>
        <w:rPr>
          <w:rFonts w:ascii="Arial" w:hAnsi="Arial" w:cs="Arial"/>
          <w:lang w:val="en-US"/>
        </w:rPr>
        <w:t xml:space="preserve">. </w:t>
      </w:r>
      <w:r w:rsidR="00F61801">
        <w:rPr>
          <w:rFonts w:ascii="Arial" w:hAnsi="Arial" w:cs="Arial"/>
          <w:lang w:val="en-US"/>
        </w:rPr>
        <w:t>Under the bond, t</w:t>
      </w:r>
      <w:r w:rsidR="00F132CF">
        <w:rPr>
          <w:rFonts w:ascii="Arial" w:hAnsi="Arial" w:cs="Arial"/>
          <w:lang w:val="en-US"/>
        </w:rPr>
        <w:t>he first defendant bound herself for the due and punctual payment to the plaintiff ‘of all monies as are now or may hereafter be owing by’ the first defendant to the plaintiff</w:t>
      </w:r>
      <w:r w:rsidR="00B06C8A">
        <w:rPr>
          <w:rFonts w:ascii="Arial" w:hAnsi="Arial" w:cs="Arial"/>
          <w:lang w:val="en-US"/>
        </w:rPr>
        <w:t xml:space="preserve"> </w:t>
      </w:r>
      <w:r w:rsidR="00F132CF">
        <w:rPr>
          <w:rFonts w:ascii="Arial" w:hAnsi="Arial" w:cs="Arial"/>
          <w:lang w:val="en-US"/>
        </w:rPr>
        <w:t>‘from any cause howsoever arising</w:t>
      </w:r>
      <w:r w:rsidR="00F61801">
        <w:rPr>
          <w:rFonts w:ascii="Arial" w:hAnsi="Arial" w:cs="Arial"/>
          <w:lang w:val="en-US"/>
        </w:rPr>
        <w:t>’</w:t>
      </w:r>
      <w:r w:rsidR="00F132CF">
        <w:rPr>
          <w:rFonts w:ascii="Arial" w:hAnsi="Arial" w:cs="Arial"/>
          <w:lang w:val="en-US"/>
        </w:rPr>
        <w:t>.</w:t>
      </w:r>
      <w:r w:rsidR="00B06C8A">
        <w:rPr>
          <w:rFonts w:ascii="Arial" w:hAnsi="Arial" w:cs="Arial"/>
          <w:lang w:val="en-US"/>
        </w:rPr>
        <w:t xml:space="preserve"> </w:t>
      </w:r>
      <w:r w:rsidR="00F61801">
        <w:rPr>
          <w:rFonts w:ascii="Arial" w:hAnsi="Arial" w:cs="Arial"/>
          <w:lang w:val="en-US"/>
        </w:rPr>
        <w:t>Furthermore, a</w:t>
      </w:r>
      <w:r w:rsidR="00B06C8A">
        <w:rPr>
          <w:rFonts w:ascii="Arial" w:hAnsi="Arial" w:cs="Arial"/>
          <w:lang w:val="en-US"/>
        </w:rPr>
        <w:t>s security for the payment of ‘. . . all other sums of money . . . that may at any time be or become due and owing’ to the plaintiff ‘arising from any cause whatsoever’, the first defendant b</w:t>
      </w:r>
      <w:r w:rsidR="00F61801">
        <w:rPr>
          <w:rFonts w:ascii="Arial" w:hAnsi="Arial" w:cs="Arial"/>
          <w:lang w:val="en-US"/>
        </w:rPr>
        <w:t>ound the property</w:t>
      </w:r>
      <w:r w:rsidR="00B06C8A">
        <w:rPr>
          <w:rFonts w:ascii="Arial" w:hAnsi="Arial" w:cs="Arial"/>
          <w:lang w:val="en-US"/>
        </w:rPr>
        <w:t xml:space="preserve"> as a first mortgage. </w:t>
      </w:r>
      <w:r w:rsidR="00F132CF">
        <w:rPr>
          <w:rFonts w:ascii="Arial" w:hAnsi="Arial" w:cs="Arial"/>
          <w:lang w:val="en-US"/>
        </w:rPr>
        <w:t xml:space="preserve"> </w:t>
      </w:r>
    </w:p>
    <w:p w14:paraId="6D266E82" w14:textId="77777777" w:rsidR="00F132CF" w:rsidRPr="00F132CF" w:rsidRDefault="00F132CF" w:rsidP="00F132CF">
      <w:pPr>
        <w:pStyle w:val="ListParagraph"/>
        <w:rPr>
          <w:rFonts w:ascii="Arial" w:hAnsi="Arial" w:cs="Arial"/>
          <w:lang w:val="en-US"/>
        </w:rPr>
      </w:pPr>
    </w:p>
    <w:p w14:paraId="0827468D" w14:textId="4807D678" w:rsidR="00F61801" w:rsidRDefault="00B06C8A" w:rsidP="00F132C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w:t>
      </w:r>
      <w:r w:rsidR="007D3C34">
        <w:rPr>
          <w:rFonts w:ascii="Arial" w:hAnsi="Arial" w:cs="Arial"/>
          <w:lang w:val="en-US"/>
        </w:rPr>
        <w:t xml:space="preserve">plaintiff’s claim for reimbursement for having discharged the first defendant’s debt to NORED is </w:t>
      </w:r>
      <w:r w:rsidR="00F61801">
        <w:rPr>
          <w:rFonts w:ascii="Arial" w:hAnsi="Arial" w:cs="Arial"/>
          <w:lang w:val="en-US"/>
        </w:rPr>
        <w:t xml:space="preserve">a </w:t>
      </w:r>
      <w:r w:rsidR="007D3C34">
        <w:rPr>
          <w:rFonts w:ascii="Arial" w:hAnsi="Arial" w:cs="Arial"/>
          <w:lang w:val="en-US"/>
        </w:rPr>
        <w:t xml:space="preserve">valid </w:t>
      </w:r>
      <w:r w:rsidR="00F61801">
        <w:rPr>
          <w:rFonts w:ascii="Arial" w:hAnsi="Arial" w:cs="Arial"/>
          <w:lang w:val="en-US"/>
        </w:rPr>
        <w:t xml:space="preserve">claim </w:t>
      </w:r>
      <w:r w:rsidR="007D3C34">
        <w:rPr>
          <w:rFonts w:ascii="Arial" w:hAnsi="Arial" w:cs="Arial"/>
          <w:lang w:val="en-US"/>
        </w:rPr>
        <w:t xml:space="preserve">secured under the bond. </w:t>
      </w:r>
    </w:p>
    <w:p w14:paraId="65CA391B" w14:textId="77777777" w:rsidR="00F61801" w:rsidRPr="00F61801" w:rsidRDefault="00F61801" w:rsidP="00F61801">
      <w:pPr>
        <w:pStyle w:val="ListParagraph"/>
        <w:rPr>
          <w:rFonts w:ascii="Arial" w:hAnsi="Arial" w:cs="Arial"/>
          <w:lang w:val="en-US"/>
        </w:rPr>
      </w:pPr>
    </w:p>
    <w:p w14:paraId="4732DAB7" w14:textId="4DEE67BD" w:rsidR="00B06C8A" w:rsidRDefault="007D3C34" w:rsidP="00F132C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first defendant did not raise any defence to the claim to have the property declared executable under the plaintiff’s </w:t>
      </w:r>
      <w:r w:rsidR="003C17D8">
        <w:rPr>
          <w:rFonts w:ascii="Arial" w:hAnsi="Arial" w:cs="Arial"/>
          <w:lang w:val="en-US"/>
        </w:rPr>
        <w:t xml:space="preserve">undisputed </w:t>
      </w:r>
      <w:r>
        <w:rPr>
          <w:rFonts w:ascii="Arial" w:hAnsi="Arial" w:cs="Arial"/>
          <w:lang w:val="en-US"/>
        </w:rPr>
        <w:t>reimbursement</w:t>
      </w:r>
      <w:r w:rsidR="00604906">
        <w:rPr>
          <w:rFonts w:ascii="Arial" w:hAnsi="Arial" w:cs="Arial"/>
          <w:lang w:val="en-US"/>
        </w:rPr>
        <w:t xml:space="preserve"> claim</w:t>
      </w:r>
      <w:r>
        <w:rPr>
          <w:rFonts w:ascii="Arial" w:hAnsi="Arial" w:cs="Arial"/>
          <w:lang w:val="en-US"/>
        </w:rPr>
        <w:t xml:space="preserve">. </w:t>
      </w:r>
    </w:p>
    <w:p w14:paraId="04FD6D3C" w14:textId="77777777" w:rsidR="00B06C8A" w:rsidRPr="00B06C8A" w:rsidRDefault="00B06C8A" w:rsidP="00B06C8A">
      <w:pPr>
        <w:pStyle w:val="ListParagraph"/>
        <w:rPr>
          <w:rFonts w:ascii="Arial" w:hAnsi="Arial" w:cs="Arial"/>
          <w:lang w:val="en-US"/>
        </w:rPr>
      </w:pPr>
    </w:p>
    <w:p w14:paraId="7C03560F" w14:textId="06FD1A8B" w:rsidR="007D3C34" w:rsidRDefault="002D0433" w:rsidP="00F132CF">
      <w:pPr>
        <w:pStyle w:val="ListParagraph"/>
        <w:numPr>
          <w:ilvl w:val="0"/>
          <w:numId w:val="2"/>
        </w:numPr>
        <w:spacing w:line="360" w:lineRule="auto"/>
        <w:ind w:left="0" w:firstLine="0"/>
        <w:jc w:val="both"/>
        <w:rPr>
          <w:rFonts w:ascii="Arial" w:hAnsi="Arial" w:cs="Arial"/>
          <w:lang w:val="en-US"/>
        </w:rPr>
      </w:pPr>
      <w:r w:rsidRPr="00F132CF">
        <w:rPr>
          <w:rFonts w:ascii="Arial" w:hAnsi="Arial" w:cs="Arial"/>
          <w:lang w:val="en-US"/>
        </w:rPr>
        <w:t>The plaintiff is the bondholder. As such, the plaintiff does not require a return of any process which may have been issued against the first defendant’s movable property from which it appears that she has insufficient movable property to satisfy the debt as envisaged in r 108(1</w:t>
      </w:r>
      <w:r w:rsidRPr="00F132CF">
        <w:rPr>
          <w:rFonts w:ascii="Arial" w:hAnsi="Arial" w:cs="Arial"/>
          <w:i/>
          <w:iCs/>
          <w:lang w:val="en-US"/>
        </w:rPr>
        <w:t>(a)</w:t>
      </w:r>
      <w:r w:rsidRPr="00F132CF">
        <w:rPr>
          <w:rFonts w:ascii="Arial" w:hAnsi="Arial" w:cs="Arial"/>
          <w:lang w:val="en-US"/>
        </w:rPr>
        <w:t xml:space="preserve">. </w:t>
      </w:r>
    </w:p>
    <w:p w14:paraId="270967C6" w14:textId="77777777" w:rsidR="007D3C34" w:rsidRPr="007D3C34" w:rsidRDefault="007D3C34" w:rsidP="007D3C34">
      <w:pPr>
        <w:pStyle w:val="ListParagraph"/>
        <w:rPr>
          <w:rFonts w:ascii="Arial" w:hAnsi="Arial" w:cs="Arial"/>
          <w:lang w:val="en-US"/>
        </w:rPr>
      </w:pPr>
    </w:p>
    <w:p w14:paraId="5476AC73" w14:textId="77777777" w:rsidR="007D3C34" w:rsidRDefault="003424E1" w:rsidP="00F132CF">
      <w:pPr>
        <w:pStyle w:val="ListParagraph"/>
        <w:numPr>
          <w:ilvl w:val="0"/>
          <w:numId w:val="2"/>
        </w:numPr>
        <w:spacing w:line="360" w:lineRule="auto"/>
        <w:ind w:left="0" w:firstLine="0"/>
        <w:jc w:val="both"/>
        <w:rPr>
          <w:rFonts w:ascii="Arial" w:hAnsi="Arial" w:cs="Arial"/>
          <w:lang w:val="en-US"/>
        </w:rPr>
      </w:pPr>
      <w:r w:rsidRPr="00F132CF">
        <w:rPr>
          <w:rFonts w:ascii="Arial" w:hAnsi="Arial" w:cs="Arial"/>
          <w:lang w:val="en-US"/>
        </w:rPr>
        <w:t>Despite having been invited to do so, t</w:t>
      </w:r>
      <w:r w:rsidR="002D0433" w:rsidRPr="00F132CF">
        <w:rPr>
          <w:rFonts w:ascii="Arial" w:hAnsi="Arial" w:cs="Arial"/>
          <w:lang w:val="en-US"/>
        </w:rPr>
        <w:t>he first defendant did not present fact</w:t>
      </w:r>
      <w:r w:rsidRPr="00F132CF">
        <w:rPr>
          <w:rFonts w:ascii="Arial" w:hAnsi="Arial" w:cs="Arial"/>
          <w:lang w:val="en-US"/>
        </w:rPr>
        <w:t>s</w:t>
      </w:r>
      <w:r w:rsidR="002D0433" w:rsidRPr="00F132CF">
        <w:rPr>
          <w:rFonts w:ascii="Arial" w:hAnsi="Arial" w:cs="Arial"/>
          <w:lang w:val="en-US"/>
        </w:rPr>
        <w:t xml:space="preserve"> and or circumstances</w:t>
      </w:r>
      <w:r w:rsidR="000D51FF" w:rsidRPr="00F132CF">
        <w:rPr>
          <w:rFonts w:ascii="Arial" w:hAnsi="Arial" w:cs="Arial"/>
          <w:lang w:val="en-US"/>
        </w:rPr>
        <w:t>, in the context of r 108,</w:t>
      </w:r>
      <w:r w:rsidR="002D0433" w:rsidRPr="00F132CF">
        <w:rPr>
          <w:rFonts w:ascii="Arial" w:hAnsi="Arial" w:cs="Arial"/>
          <w:lang w:val="en-US"/>
        </w:rPr>
        <w:t xml:space="preserve"> </w:t>
      </w:r>
      <w:r w:rsidRPr="00F132CF">
        <w:rPr>
          <w:rFonts w:ascii="Arial" w:hAnsi="Arial" w:cs="Arial"/>
          <w:lang w:val="en-US"/>
        </w:rPr>
        <w:t xml:space="preserve">why the property should not be declared executable. The relevant circumstances presented by the plaintiff </w:t>
      </w:r>
      <w:r w:rsidR="000D51FF" w:rsidRPr="00F132CF">
        <w:rPr>
          <w:rFonts w:ascii="Arial" w:hAnsi="Arial" w:cs="Arial"/>
          <w:lang w:val="en-US"/>
        </w:rPr>
        <w:t xml:space="preserve">in that regard </w:t>
      </w:r>
      <w:r w:rsidRPr="00F132CF">
        <w:rPr>
          <w:rFonts w:ascii="Arial" w:hAnsi="Arial" w:cs="Arial"/>
          <w:lang w:val="en-US"/>
        </w:rPr>
        <w:t xml:space="preserve">are undisputed. </w:t>
      </w:r>
    </w:p>
    <w:p w14:paraId="67C29237" w14:textId="77777777" w:rsidR="007D3C34" w:rsidRPr="007D3C34" w:rsidRDefault="007D3C34" w:rsidP="007D3C34">
      <w:pPr>
        <w:pStyle w:val="ListParagraph"/>
        <w:rPr>
          <w:rFonts w:ascii="Arial" w:hAnsi="Arial" w:cs="Arial"/>
          <w:lang w:val="en-US"/>
        </w:rPr>
      </w:pPr>
    </w:p>
    <w:p w14:paraId="2860AD5C" w14:textId="32AEDBB3" w:rsidR="003424E1" w:rsidRPr="00F132CF" w:rsidRDefault="007A3D8F" w:rsidP="00F132CF">
      <w:pPr>
        <w:pStyle w:val="ListParagraph"/>
        <w:numPr>
          <w:ilvl w:val="0"/>
          <w:numId w:val="2"/>
        </w:numPr>
        <w:spacing w:line="360" w:lineRule="auto"/>
        <w:ind w:left="0" w:firstLine="0"/>
        <w:jc w:val="both"/>
        <w:rPr>
          <w:rFonts w:ascii="Arial" w:hAnsi="Arial" w:cs="Arial"/>
          <w:lang w:val="en-US"/>
        </w:rPr>
      </w:pPr>
      <w:r w:rsidRPr="00F132CF">
        <w:rPr>
          <w:rFonts w:ascii="Arial" w:hAnsi="Arial" w:cs="Arial"/>
          <w:lang w:val="en-US"/>
        </w:rPr>
        <w:t xml:space="preserve">Moreover, </w:t>
      </w:r>
      <w:r w:rsidR="006057EA">
        <w:rPr>
          <w:rFonts w:ascii="Arial" w:hAnsi="Arial" w:cs="Arial"/>
          <w:lang w:val="en-US"/>
        </w:rPr>
        <w:t xml:space="preserve">the plaintiff occupies the property, </w:t>
      </w:r>
      <w:r w:rsidRPr="00F132CF">
        <w:rPr>
          <w:rFonts w:ascii="Arial" w:hAnsi="Arial" w:cs="Arial"/>
          <w:lang w:val="en-US"/>
        </w:rPr>
        <w:t>t</w:t>
      </w:r>
      <w:r w:rsidR="003424E1" w:rsidRPr="00F132CF">
        <w:rPr>
          <w:rFonts w:ascii="Arial" w:hAnsi="Arial" w:cs="Arial"/>
          <w:lang w:val="en-US"/>
        </w:rPr>
        <w:t>he property is not the first defendant’s primary home</w:t>
      </w:r>
      <w:r w:rsidR="000D51FF" w:rsidRPr="00F132CF">
        <w:rPr>
          <w:rFonts w:ascii="Arial" w:hAnsi="Arial" w:cs="Arial"/>
          <w:lang w:val="en-US"/>
        </w:rPr>
        <w:t>,</w:t>
      </w:r>
      <w:r w:rsidR="003424E1" w:rsidRPr="00F132CF">
        <w:rPr>
          <w:rFonts w:ascii="Arial" w:hAnsi="Arial" w:cs="Arial"/>
          <w:lang w:val="en-US"/>
        </w:rPr>
        <w:t xml:space="preserve"> nor is it leased to a third party as </w:t>
      </w:r>
      <w:r w:rsidR="000D51FF" w:rsidRPr="00F132CF">
        <w:rPr>
          <w:rFonts w:ascii="Arial" w:hAnsi="Arial" w:cs="Arial"/>
          <w:lang w:val="en-US"/>
        </w:rPr>
        <w:t xml:space="preserve">a </w:t>
      </w:r>
      <w:r w:rsidR="003424E1" w:rsidRPr="00F132CF">
        <w:rPr>
          <w:rFonts w:ascii="Arial" w:hAnsi="Arial" w:cs="Arial"/>
          <w:lang w:val="en-US"/>
        </w:rPr>
        <w:t xml:space="preserve">home. </w:t>
      </w:r>
    </w:p>
    <w:p w14:paraId="617FEF7A" w14:textId="77777777" w:rsidR="0059741F" w:rsidRPr="0059741F" w:rsidRDefault="0059741F" w:rsidP="0059741F">
      <w:pPr>
        <w:pStyle w:val="ListParagraph"/>
        <w:rPr>
          <w:rFonts w:ascii="Arial" w:hAnsi="Arial" w:cs="Arial"/>
          <w:lang w:val="en-US"/>
        </w:rPr>
      </w:pPr>
    </w:p>
    <w:p w14:paraId="3E9EA58C" w14:textId="77777777" w:rsidR="006057EA" w:rsidRDefault="0059741F" w:rsidP="006057E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The court alerted the plaintiff that </w:t>
      </w:r>
      <w:r w:rsidR="000D51FF">
        <w:rPr>
          <w:rFonts w:ascii="Arial" w:hAnsi="Arial" w:cs="Arial"/>
          <w:lang w:val="en-US"/>
        </w:rPr>
        <w:t>the bond refer</w:t>
      </w:r>
      <w:r w:rsidR="007D3C34">
        <w:rPr>
          <w:rFonts w:ascii="Arial" w:hAnsi="Arial" w:cs="Arial"/>
          <w:lang w:val="en-US"/>
        </w:rPr>
        <w:t>s</w:t>
      </w:r>
      <w:r w:rsidR="000D51FF">
        <w:rPr>
          <w:rFonts w:ascii="Arial" w:hAnsi="Arial" w:cs="Arial"/>
          <w:lang w:val="en-US"/>
        </w:rPr>
        <w:t xml:space="preserve"> to ‘attorney and client costs’, not ‘attorney and own client costs’, as claimed</w:t>
      </w:r>
      <w:r>
        <w:rPr>
          <w:rFonts w:ascii="Arial" w:hAnsi="Arial" w:cs="Arial"/>
          <w:lang w:val="en-US"/>
        </w:rPr>
        <w:t>. The plaintiff accepted that.</w:t>
      </w:r>
      <w:r w:rsidR="00604906">
        <w:rPr>
          <w:rFonts w:ascii="Arial" w:hAnsi="Arial" w:cs="Arial"/>
          <w:lang w:val="en-US"/>
        </w:rPr>
        <w:t xml:space="preserve">   </w:t>
      </w:r>
    </w:p>
    <w:p w14:paraId="6741C52C" w14:textId="77777777" w:rsidR="006057EA" w:rsidRPr="0058125C" w:rsidRDefault="006057EA" w:rsidP="0058125C">
      <w:pPr>
        <w:rPr>
          <w:rFonts w:ascii="Arial" w:hAnsi="Arial" w:cs="Arial"/>
          <w:u w:val="single"/>
          <w:lang w:val="en-US"/>
        </w:rPr>
      </w:pPr>
    </w:p>
    <w:p w14:paraId="220F6CD9" w14:textId="77777777" w:rsidR="006057EA" w:rsidRDefault="003424E1" w:rsidP="006057EA">
      <w:pPr>
        <w:pStyle w:val="ListParagraph"/>
        <w:spacing w:line="360" w:lineRule="auto"/>
        <w:ind w:left="0"/>
        <w:jc w:val="both"/>
        <w:rPr>
          <w:rFonts w:ascii="Arial" w:hAnsi="Arial" w:cs="Arial"/>
          <w:lang w:val="en-US"/>
        </w:rPr>
      </w:pPr>
      <w:r w:rsidRPr="006057EA">
        <w:rPr>
          <w:rFonts w:ascii="Arial" w:hAnsi="Arial" w:cs="Arial"/>
          <w:u w:val="single"/>
          <w:lang w:val="en-US"/>
        </w:rPr>
        <w:t>Conclusion</w:t>
      </w:r>
    </w:p>
    <w:p w14:paraId="44CF8E9C" w14:textId="77777777" w:rsidR="006057EA" w:rsidRPr="006057EA" w:rsidRDefault="006057EA" w:rsidP="006057EA">
      <w:pPr>
        <w:pStyle w:val="ListParagraph"/>
        <w:rPr>
          <w:rFonts w:ascii="Arial" w:hAnsi="Arial" w:cs="Arial"/>
          <w:lang w:val="en-US"/>
        </w:rPr>
      </w:pPr>
    </w:p>
    <w:p w14:paraId="4148D002" w14:textId="249C7A60" w:rsidR="008D6959" w:rsidRPr="006057EA" w:rsidRDefault="003424E1" w:rsidP="006057EA">
      <w:pPr>
        <w:pStyle w:val="ListParagraph"/>
        <w:numPr>
          <w:ilvl w:val="0"/>
          <w:numId w:val="2"/>
        </w:numPr>
        <w:spacing w:line="360" w:lineRule="auto"/>
        <w:ind w:left="0" w:firstLine="0"/>
        <w:jc w:val="both"/>
        <w:rPr>
          <w:rFonts w:ascii="Arial" w:hAnsi="Arial" w:cs="Arial"/>
          <w:lang w:val="en-US"/>
        </w:rPr>
      </w:pPr>
      <w:r w:rsidRPr="006057EA">
        <w:rPr>
          <w:rFonts w:ascii="Arial" w:hAnsi="Arial" w:cs="Arial"/>
          <w:lang w:val="en-US"/>
        </w:rPr>
        <w:t xml:space="preserve">It follows that the summary judgment </w:t>
      </w:r>
      <w:r w:rsidR="008D6959" w:rsidRPr="006057EA">
        <w:rPr>
          <w:rFonts w:ascii="Arial" w:hAnsi="Arial" w:cs="Arial"/>
          <w:lang w:val="en-US"/>
        </w:rPr>
        <w:t xml:space="preserve">application </w:t>
      </w:r>
      <w:r w:rsidRPr="006057EA">
        <w:rPr>
          <w:rFonts w:ascii="Arial" w:hAnsi="Arial" w:cs="Arial"/>
          <w:lang w:val="en-US"/>
        </w:rPr>
        <w:t>should succeed in part.</w:t>
      </w:r>
    </w:p>
    <w:p w14:paraId="2160B9CA" w14:textId="77777777" w:rsidR="008D6959" w:rsidRPr="00CF04F4" w:rsidRDefault="008D6959" w:rsidP="008D6959">
      <w:pPr>
        <w:pStyle w:val="ListParagraph"/>
        <w:rPr>
          <w:rFonts w:ascii="Arial" w:hAnsi="Arial" w:cs="Arial"/>
          <w:lang w:val="en-US"/>
        </w:rPr>
      </w:pPr>
    </w:p>
    <w:p w14:paraId="17DE6B59" w14:textId="77777777" w:rsidR="008D6959" w:rsidRDefault="003424E1" w:rsidP="008D695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It is ordered that</w:t>
      </w:r>
      <w:r w:rsidR="008D6959">
        <w:rPr>
          <w:rFonts w:ascii="Arial" w:hAnsi="Arial" w:cs="Arial"/>
          <w:lang w:val="en-US"/>
        </w:rPr>
        <w:t>:</w:t>
      </w:r>
    </w:p>
    <w:p w14:paraId="4AC8EE6D" w14:textId="77777777" w:rsidR="008D6959" w:rsidRPr="008D6959" w:rsidRDefault="008D6959" w:rsidP="008D6959">
      <w:pPr>
        <w:pStyle w:val="ListParagraph"/>
        <w:rPr>
          <w:rFonts w:ascii="Arial" w:hAnsi="Arial" w:cs="Arial"/>
          <w:lang w:val="en-US"/>
        </w:rPr>
      </w:pPr>
    </w:p>
    <w:p w14:paraId="73B15301" w14:textId="2CC44D83" w:rsidR="003B4713" w:rsidRDefault="003B4713" w:rsidP="00CB5A84">
      <w:pPr>
        <w:pStyle w:val="ListParagraph"/>
        <w:numPr>
          <w:ilvl w:val="0"/>
          <w:numId w:val="17"/>
        </w:numPr>
        <w:spacing w:line="360" w:lineRule="auto"/>
        <w:ind w:left="0" w:firstLine="0"/>
        <w:jc w:val="both"/>
        <w:rPr>
          <w:rFonts w:ascii="Arial" w:hAnsi="Arial" w:cs="Arial"/>
          <w:lang w:val="en-US"/>
        </w:rPr>
      </w:pPr>
      <w:r w:rsidRPr="002D416A">
        <w:rPr>
          <w:rFonts w:ascii="Arial" w:hAnsi="Arial" w:cs="Arial"/>
          <w:lang w:val="en-US"/>
        </w:rPr>
        <w:t xml:space="preserve">Summary judgment is granted </w:t>
      </w:r>
      <w:r>
        <w:rPr>
          <w:rFonts w:ascii="Arial" w:hAnsi="Arial" w:cs="Arial"/>
          <w:lang w:val="en-US"/>
        </w:rPr>
        <w:t xml:space="preserve">in favour of the plaintiff </w:t>
      </w:r>
      <w:r w:rsidRPr="002D416A">
        <w:rPr>
          <w:rFonts w:ascii="Arial" w:hAnsi="Arial" w:cs="Arial"/>
          <w:lang w:val="en-US"/>
        </w:rPr>
        <w:t xml:space="preserve">against the first defendant </w:t>
      </w:r>
      <w:r>
        <w:rPr>
          <w:rFonts w:ascii="Arial" w:hAnsi="Arial" w:cs="Arial"/>
          <w:lang w:val="en-US"/>
        </w:rPr>
        <w:t>for an order in the following terms</w:t>
      </w:r>
      <w:r w:rsidRPr="002D416A">
        <w:rPr>
          <w:rFonts w:ascii="Arial" w:hAnsi="Arial" w:cs="Arial"/>
          <w:lang w:val="en-US"/>
        </w:rPr>
        <w:t>:</w:t>
      </w:r>
    </w:p>
    <w:p w14:paraId="74CA3E0D" w14:textId="77777777" w:rsidR="003B4713" w:rsidRPr="003B4713" w:rsidRDefault="003B4713" w:rsidP="00CB5A84">
      <w:pPr>
        <w:pStyle w:val="ListParagraph"/>
        <w:ind w:left="0"/>
        <w:rPr>
          <w:rFonts w:ascii="Arial" w:hAnsi="Arial" w:cs="Arial"/>
          <w:lang w:val="en-US"/>
        </w:rPr>
      </w:pPr>
    </w:p>
    <w:p w14:paraId="051E9FFF" w14:textId="02A876DE" w:rsidR="003B4713" w:rsidRPr="003B4713" w:rsidRDefault="003B4713" w:rsidP="00CB5A84">
      <w:pPr>
        <w:pStyle w:val="ListParagraph"/>
        <w:numPr>
          <w:ilvl w:val="0"/>
          <w:numId w:val="18"/>
        </w:numPr>
        <w:spacing w:line="360" w:lineRule="auto"/>
        <w:ind w:left="0" w:firstLine="0"/>
        <w:jc w:val="both"/>
        <w:rPr>
          <w:rFonts w:ascii="Arial" w:hAnsi="Arial" w:cs="Arial"/>
          <w:lang w:val="en-US"/>
        </w:rPr>
      </w:pPr>
      <w:r w:rsidRPr="003B4713">
        <w:rPr>
          <w:rFonts w:ascii="Arial" w:hAnsi="Arial" w:cs="Arial"/>
          <w:lang w:val="en-US"/>
        </w:rPr>
        <w:t>Payment in the amount of N$133 969.</w:t>
      </w:r>
    </w:p>
    <w:p w14:paraId="02ECA686" w14:textId="77777777" w:rsidR="003B4713" w:rsidRPr="003B4713" w:rsidRDefault="003B4713" w:rsidP="00CB5A84">
      <w:pPr>
        <w:pStyle w:val="ListParagraph"/>
        <w:ind w:left="0"/>
        <w:rPr>
          <w:rFonts w:ascii="Arial" w:hAnsi="Arial" w:cs="Arial"/>
          <w:lang w:val="en-US"/>
        </w:rPr>
      </w:pPr>
    </w:p>
    <w:p w14:paraId="64300C1B" w14:textId="59734D06" w:rsidR="003B4713" w:rsidRDefault="00567803" w:rsidP="00CB5A84">
      <w:pPr>
        <w:pStyle w:val="ListParagraph"/>
        <w:numPr>
          <w:ilvl w:val="0"/>
          <w:numId w:val="18"/>
        </w:numPr>
        <w:spacing w:line="360" w:lineRule="auto"/>
        <w:ind w:left="0" w:firstLine="0"/>
        <w:jc w:val="both"/>
        <w:rPr>
          <w:rFonts w:ascii="Arial" w:hAnsi="Arial" w:cs="Arial"/>
          <w:lang w:val="en-US"/>
        </w:rPr>
      </w:pPr>
      <w:r w:rsidRPr="00567803">
        <w:rPr>
          <w:rFonts w:ascii="Arial" w:hAnsi="Arial" w:cs="Arial"/>
          <w:lang w:val="en-US"/>
        </w:rPr>
        <w:t>Payment of simple interest on the amount of N$133 969 at the prescribed mora rate of 20% per annum from the date of service of the summons (18 July 2020) until the date of payment</w:t>
      </w:r>
      <w:r w:rsidR="003B4713" w:rsidRPr="003B4713">
        <w:rPr>
          <w:rFonts w:ascii="Arial" w:hAnsi="Arial" w:cs="Arial"/>
          <w:lang w:val="en-US"/>
        </w:rPr>
        <w:t>.</w:t>
      </w:r>
    </w:p>
    <w:p w14:paraId="224D4685" w14:textId="77777777" w:rsidR="003B4713" w:rsidRPr="003B4713" w:rsidRDefault="003B4713" w:rsidP="00CB5A84">
      <w:pPr>
        <w:pStyle w:val="ListParagraph"/>
        <w:ind w:left="0"/>
        <w:rPr>
          <w:rFonts w:ascii="Arial" w:hAnsi="Arial" w:cs="Arial"/>
          <w:lang w:val="en-US"/>
        </w:rPr>
      </w:pPr>
    </w:p>
    <w:p w14:paraId="7A0895C8" w14:textId="01599183" w:rsidR="003B4713" w:rsidRPr="003B4713" w:rsidRDefault="003B4713" w:rsidP="00CB5A84">
      <w:pPr>
        <w:pStyle w:val="ListParagraph"/>
        <w:numPr>
          <w:ilvl w:val="0"/>
          <w:numId w:val="18"/>
        </w:numPr>
        <w:spacing w:line="360" w:lineRule="auto"/>
        <w:ind w:left="0" w:firstLine="0"/>
        <w:jc w:val="both"/>
        <w:rPr>
          <w:rFonts w:ascii="Arial" w:hAnsi="Arial" w:cs="Arial"/>
          <w:lang w:val="en-US"/>
        </w:rPr>
      </w:pPr>
      <w:r w:rsidRPr="003B4713">
        <w:rPr>
          <w:rFonts w:ascii="Arial" w:hAnsi="Arial" w:cs="Arial"/>
          <w:lang w:val="en-US"/>
        </w:rPr>
        <w:t xml:space="preserve">The following immovable property is declared executable: </w:t>
      </w:r>
    </w:p>
    <w:p w14:paraId="366700FC" w14:textId="77777777" w:rsidR="003B4713" w:rsidRPr="00EB5D13" w:rsidRDefault="003B4713" w:rsidP="00CB5A84">
      <w:pPr>
        <w:pStyle w:val="ListParagraph"/>
        <w:ind w:left="0"/>
        <w:rPr>
          <w:rFonts w:ascii="Arial" w:hAnsi="Arial" w:cs="Arial"/>
          <w:lang w:val="en-US"/>
        </w:rPr>
      </w:pPr>
    </w:p>
    <w:p w14:paraId="289D899B" w14:textId="77777777" w:rsidR="003B4713" w:rsidRDefault="003B4713" w:rsidP="00CB5A84">
      <w:pPr>
        <w:pStyle w:val="ListParagraph"/>
        <w:spacing w:line="360" w:lineRule="auto"/>
        <w:ind w:left="0"/>
        <w:jc w:val="both"/>
        <w:rPr>
          <w:rFonts w:ascii="Arial" w:hAnsi="Arial" w:cs="Arial"/>
          <w:lang w:val="en-US"/>
        </w:rPr>
      </w:pPr>
      <w:r w:rsidRPr="00EB5D13">
        <w:rPr>
          <w:rFonts w:ascii="Arial" w:hAnsi="Arial" w:cs="Arial"/>
          <w:lang w:val="en-US"/>
        </w:rPr>
        <w:t>CERTAIN</w:t>
      </w:r>
      <w:r>
        <w:rPr>
          <w:rFonts w:ascii="Arial" w:hAnsi="Arial" w:cs="Arial"/>
          <w:lang w:val="en-US"/>
        </w:rPr>
        <w:tab/>
      </w:r>
      <w:r>
        <w:rPr>
          <w:rFonts w:ascii="Arial" w:hAnsi="Arial" w:cs="Arial"/>
          <w:lang w:val="en-US"/>
        </w:rPr>
        <w:tab/>
      </w:r>
      <w:r w:rsidRPr="00EB5D13">
        <w:rPr>
          <w:rFonts w:ascii="Arial" w:hAnsi="Arial" w:cs="Arial"/>
          <w:lang w:val="en-US"/>
        </w:rPr>
        <w:t>Erf No 7502 (Portion of Erf 5679)</w:t>
      </w:r>
      <w:r>
        <w:rPr>
          <w:rFonts w:ascii="Arial" w:hAnsi="Arial" w:cs="Arial"/>
          <w:lang w:val="en-US"/>
        </w:rPr>
        <w:t xml:space="preserve"> </w:t>
      </w:r>
    </w:p>
    <w:p w14:paraId="3EB4D2C7" w14:textId="77777777" w:rsidR="003B4713" w:rsidRPr="00EB5D13" w:rsidRDefault="003B4713" w:rsidP="00CB5A84">
      <w:pPr>
        <w:pStyle w:val="ListParagraph"/>
        <w:spacing w:line="360" w:lineRule="auto"/>
        <w:ind w:left="1440" w:firstLine="720"/>
        <w:jc w:val="both"/>
        <w:rPr>
          <w:rFonts w:ascii="Arial" w:hAnsi="Arial" w:cs="Arial"/>
          <w:lang w:val="en-US"/>
        </w:rPr>
      </w:pPr>
      <w:r w:rsidRPr="00EB5D13">
        <w:rPr>
          <w:rFonts w:ascii="Arial" w:hAnsi="Arial" w:cs="Arial"/>
          <w:lang w:val="en-US"/>
        </w:rPr>
        <w:t>Ongwediva Extension 13</w:t>
      </w:r>
    </w:p>
    <w:p w14:paraId="3A070378" w14:textId="77777777" w:rsidR="003B4713" w:rsidRPr="00EB5D13" w:rsidRDefault="003B4713" w:rsidP="00CB5A84">
      <w:pPr>
        <w:pStyle w:val="ListParagraph"/>
        <w:spacing w:line="360" w:lineRule="auto"/>
        <w:ind w:left="0"/>
        <w:jc w:val="both"/>
        <w:rPr>
          <w:rFonts w:ascii="Arial" w:hAnsi="Arial" w:cs="Arial"/>
          <w:lang w:val="en-US"/>
        </w:rPr>
      </w:pPr>
      <w:r w:rsidRPr="00EB5D13">
        <w:rPr>
          <w:rFonts w:ascii="Arial" w:hAnsi="Arial" w:cs="Arial"/>
          <w:lang w:val="en-US"/>
        </w:rPr>
        <w:t xml:space="preserve">SITUATE </w:t>
      </w:r>
      <w:r>
        <w:rPr>
          <w:rFonts w:ascii="Arial" w:hAnsi="Arial" w:cs="Arial"/>
          <w:lang w:val="en-US"/>
        </w:rPr>
        <w:tab/>
      </w:r>
      <w:r>
        <w:rPr>
          <w:rFonts w:ascii="Arial" w:hAnsi="Arial" w:cs="Arial"/>
          <w:lang w:val="en-US"/>
        </w:rPr>
        <w:tab/>
      </w:r>
      <w:r w:rsidRPr="00EB5D13">
        <w:rPr>
          <w:rFonts w:ascii="Arial" w:hAnsi="Arial" w:cs="Arial"/>
          <w:lang w:val="en-US"/>
        </w:rPr>
        <w:t>In the Town of Ongwediva</w:t>
      </w:r>
    </w:p>
    <w:p w14:paraId="3A1CF101" w14:textId="2E505743" w:rsidR="003B4713" w:rsidRPr="00EB5D13" w:rsidRDefault="003B4713" w:rsidP="00CB5A84">
      <w:pPr>
        <w:pStyle w:val="ListParagraph"/>
        <w:spacing w:line="360" w:lineRule="auto"/>
        <w:ind w:left="1440" w:firstLine="720"/>
        <w:jc w:val="both"/>
        <w:rPr>
          <w:rFonts w:ascii="Arial" w:hAnsi="Arial" w:cs="Arial"/>
          <w:lang w:val="en-US"/>
        </w:rPr>
      </w:pPr>
      <w:r w:rsidRPr="00EB5D13">
        <w:rPr>
          <w:rFonts w:ascii="Arial" w:hAnsi="Arial" w:cs="Arial"/>
          <w:lang w:val="en-US"/>
        </w:rPr>
        <w:t xml:space="preserve">Registration Division </w:t>
      </w:r>
      <w:r w:rsidR="008F3BA8">
        <w:rPr>
          <w:rFonts w:ascii="Arial" w:hAnsi="Arial" w:cs="Arial"/>
          <w:lang w:val="en-US"/>
        </w:rPr>
        <w:t>‘</w:t>
      </w:r>
      <w:r w:rsidRPr="00EB5D13">
        <w:rPr>
          <w:rFonts w:ascii="Arial" w:hAnsi="Arial" w:cs="Arial"/>
          <w:lang w:val="en-US"/>
        </w:rPr>
        <w:t>A</w:t>
      </w:r>
      <w:r w:rsidR="008F3BA8">
        <w:rPr>
          <w:rFonts w:ascii="Arial" w:hAnsi="Arial" w:cs="Arial"/>
          <w:lang w:val="en-US"/>
        </w:rPr>
        <w:t>’</w:t>
      </w:r>
    </w:p>
    <w:p w14:paraId="0356881C" w14:textId="77777777" w:rsidR="003B4713" w:rsidRPr="00EB5D13" w:rsidRDefault="003B4713" w:rsidP="00CB5A84">
      <w:pPr>
        <w:pStyle w:val="ListParagraph"/>
        <w:spacing w:line="360" w:lineRule="auto"/>
        <w:ind w:left="1440" w:firstLine="720"/>
        <w:jc w:val="both"/>
        <w:rPr>
          <w:rFonts w:ascii="Arial" w:hAnsi="Arial" w:cs="Arial"/>
          <w:lang w:val="en-US"/>
        </w:rPr>
      </w:pPr>
      <w:r w:rsidRPr="00EB5D13">
        <w:rPr>
          <w:rFonts w:ascii="Arial" w:hAnsi="Arial" w:cs="Arial"/>
          <w:lang w:val="en-US"/>
        </w:rPr>
        <w:t>Oshana Region</w:t>
      </w:r>
    </w:p>
    <w:p w14:paraId="29B05E5C" w14:textId="77777777" w:rsidR="003B4713" w:rsidRPr="00EB5D13" w:rsidRDefault="003B4713" w:rsidP="00CB5A84">
      <w:pPr>
        <w:pStyle w:val="ListParagraph"/>
        <w:spacing w:line="360" w:lineRule="auto"/>
        <w:ind w:left="0"/>
        <w:jc w:val="both"/>
        <w:rPr>
          <w:rFonts w:ascii="Arial" w:hAnsi="Arial" w:cs="Arial"/>
          <w:lang w:val="en-US"/>
        </w:rPr>
      </w:pPr>
      <w:r w:rsidRPr="00EB5D13">
        <w:rPr>
          <w:rFonts w:ascii="Arial" w:hAnsi="Arial" w:cs="Arial"/>
          <w:lang w:val="en-US"/>
        </w:rPr>
        <w:t>MEASURING</w:t>
      </w:r>
      <w:r>
        <w:rPr>
          <w:rFonts w:ascii="Arial" w:hAnsi="Arial" w:cs="Arial"/>
          <w:lang w:val="en-US"/>
        </w:rPr>
        <w:tab/>
      </w:r>
      <w:r w:rsidRPr="00EB5D13">
        <w:rPr>
          <w:rFonts w:ascii="Arial" w:hAnsi="Arial" w:cs="Arial"/>
          <w:lang w:val="en-US"/>
        </w:rPr>
        <w:t>4220 (four two two zero) square metres</w:t>
      </w:r>
    </w:p>
    <w:p w14:paraId="6E20AE22" w14:textId="77777777" w:rsidR="003B4713" w:rsidRDefault="003B4713" w:rsidP="00CB5A84">
      <w:pPr>
        <w:pStyle w:val="ListParagraph"/>
        <w:spacing w:line="360" w:lineRule="auto"/>
        <w:ind w:left="0"/>
        <w:jc w:val="both"/>
        <w:rPr>
          <w:rFonts w:ascii="Arial" w:hAnsi="Arial" w:cs="Arial"/>
          <w:lang w:val="en-US"/>
        </w:rPr>
      </w:pPr>
      <w:r w:rsidRPr="00EB5D13">
        <w:rPr>
          <w:rFonts w:ascii="Arial" w:hAnsi="Arial" w:cs="Arial"/>
          <w:lang w:val="en-US"/>
        </w:rPr>
        <w:t xml:space="preserve">HELD </w:t>
      </w:r>
      <w:r>
        <w:rPr>
          <w:rFonts w:ascii="Arial" w:hAnsi="Arial" w:cs="Arial"/>
          <w:lang w:val="en-US"/>
        </w:rPr>
        <w:tab/>
      </w:r>
      <w:r>
        <w:rPr>
          <w:rFonts w:ascii="Arial" w:hAnsi="Arial" w:cs="Arial"/>
          <w:lang w:val="en-US"/>
        </w:rPr>
        <w:tab/>
      </w:r>
      <w:r>
        <w:rPr>
          <w:rFonts w:ascii="Arial" w:hAnsi="Arial" w:cs="Arial"/>
          <w:lang w:val="en-US"/>
        </w:rPr>
        <w:tab/>
      </w:r>
      <w:r w:rsidRPr="00EB5D13">
        <w:rPr>
          <w:rFonts w:ascii="Arial" w:hAnsi="Arial" w:cs="Arial"/>
          <w:lang w:val="en-US"/>
        </w:rPr>
        <w:t>Under Certificate of Registered Title T2375/2010</w:t>
      </w:r>
    </w:p>
    <w:p w14:paraId="76C54FD3" w14:textId="77777777" w:rsidR="003B4713" w:rsidRPr="00EB5D13" w:rsidRDefault="003B4713" w:rsidP="00CB5A84">
      <w:pPr>
        <w:pStyle w:val="ListParagraph"/>
        <w:ind w:left="0"/>
        <w:rPr>
          <w:rFonts w:ascii="Arial" w:hAnsi="Arial" w:cs="Arial"/>
          <w:lang w:val="en-US"/>
        </w:rPr>
      </w:pPr>
    </w:p>
    <w:p w14:paraId="0A944D10" w14:textId="797E9059" w:rsidR="003B4713" w:rsidRDefault="00567803" w:rsidP="00CB5A84">
      <w:pPr>
        <w:pStyle w:val="ListParagraph"/>
        <w:numPr>
          <w:ilvl w:val="0"/>
          <w:numId w:val="18"/>
        </w:numPr>
        <w:spacing w:line="360" w:lineRule="auto"/>
        <w:ind w:left="0" w:firstLine="0"/>
        <w:jc w:val="both"/>
        <w:rPr>
          <w:rFonts w:ascii="Arial" w:hAnsi="Arial" w:cs="Arial"/>
          <w:lang w:val="en-US"/>
        </w:rPr>
      </w:pPr>
      <w:r w:rsidRPr="00567803">
        <w:rPr>
          <w:rFonts w:ascii="Arial" w:hAnsi="Arial" w:cs="Arial"/>
          <w:lang w:val="en-US"/>
        </w:rPr>
        <w:t>Payment of costs of suit as between attorney and client such costs to include the costs of one instructing and one instructed counsel, but for the summary judgment application costs are capped under r 32(11)</w:t>
      </w:r>
      <w:r w:rsidR="003B4713">
        <w:rPr>
          <w:rFonts w:ascii="Arial" w:hAnsi="Arial" w:cs="Arial"/>
          <w:lang w:val="en-US"/>
        </w:rPr>
        <w:t>.</w:t>
      </w:r>
    </w:p>
    <w:p w14:paraId="765D1894" w14:textId="77777777" w:rsidR="003B4713" w:rsidRPr="00EB5D13" w:rsidRDefault="003B4713" w:rsidP="00CB5A84">
      <w:pPr>
        <w:pStyle w:val="ListParagraph"/>
        <w:ind w:left="0"/>
        <w:rPr>
          <w:rFonts w:ascii="Arial" w:hAnsi="Arial" w:cs="Arial"/>
          <w:lang w:val="en-US"/>
        </w:rPr>
      </w:pPr>
    </w:p>
    <w:p w14:paraId="6C84E7B0" w14:textId="2172262D" w:rsidR="003B4713" w:rsidRDefault="003B4713" w:rsidP="00CB5A84">
      <w:pPr>
        <w:pStyle w:val="ListParagraph"/>
        <w:numPr>
          <w:ilvl w:val="0"/>
          <w:numId w:val="17"/>
        </w:numPr>
        <w:spacing w:line="360" w:lineRule="auto"/>
        <w:ind w:left="0" w:firstLine="0"/>
        <w:jc w:val="both"/>
        <w:rPr>
          <w:rFonts w:ascii="Arial" w:hAnsi="Arial" w:cs="Arial"/>
          <w:lang w:val="en-US"/>
        </w:rPr>
      </w:pPr>
      <w:r>
        <w:rPr>
          <w:rFonts w:ascii="Arial" w:hAnsi="Arial" w:cs="Arial"/>
          <w:lang w:val="en-US"/>
        </w:rPr>
        <w:t>The first defendant is given leave to defend the remainder of the plaintiff’s claim</w:t>
      </w:r>
      <w:r w:rsidR="00ED06E4">
        <w:rPr>
          <w:rFonts w:ascii="Arial" w:hAnsi="Arial" w:cs="Arial"/>
          <w:lang w:val="en-US"/>
        </w:rPr>
        <w:t>s</w:t>
      </w:r>
      <w:r>
        <w:rPr>
          <w:rFonts w:ascii="Arial" w:hAnsi="Arial" w:cs="Arial"/>
          <w:lang w:val="en-US"/>
        </w:rPr>
        <w:t>, interest and costs thereon.</w:t>
      </w:r>
    </w:p>
    <w:p w14:paraId="41B949F1" w14:textId="77777777" w:rsidR="003B4713" w:rsidRPr="003424E1" w:rsidRDefault="003B4713" w:rsidP="00CB5A84">
      <w:pPr>
        <w:pStyle w:val="ListParagraph"/>
        <w:ind w:left="0"/>
        <w:rPr>
          <w:rFonts w:ascii="Arial" w:hAnsi="Arial" w:cs="Arial"/>
          <w:lang w:val="en-US"/>
        </w:rPr>
      </w:pPr>
    </w:p>
    <w:p w14:paraId="52FD132A" w14:textId="77777777" w:rsidR="003B4713" w:rsidRDefault="003B4713" w:rsidP="00CB5A84">
      <w:pPr>
        <w:pStyle w:val="ListParagraph"/>
        <w:numPr>
          <w:ilvl w:val="0"/>
          <w:numId w:val="17"/>
        </w:numPr>
        <w:spacing w:line="360" w:lineRule="auto"/>
        <w:ind w:left="0" w:firstLine="0"/>
        <w:jc w:val="both"/>
        <w:rPr>
          <w:rFonts w:ascii="Arial" w:hAnsi="Arial" w:cs="Arial"/>
          <w:lang w:val="en-US"/>
        </w:rPr>
      </w:pPr>
      <w:r>
        <w:rPr>
          <w:rFonts w:ascii="Arial" w:hAnsi="Arial" w:cs="Arial"/>
          <w:lang w:val="en-US"/>
        </w:rPr>
        <w:t>The parties shall file a further case plan on or before 11 April 2024.</w:t>
      </w:r>
    </w:p>
    <w:p w14:paraId="51D5055A" w14:textId="77777777" w:rsidR="003B4713" w:rsidRPr="003B4713" w:rsidRDefault="003B4713" w:rsidP="00CB5A84">
      <w:pPr>
        <w:pStyle w:val="ListParagraph"/>
        <w:ind w:left="0"/>
        <w:rPr>
          <w:rFonts w:ascii="Arial" w:hAnsi="Arial" w:cs="Arial"/>
          <w:lang w:val="en-US"/>
        </w:rPr>
      </w:pPr>
    </w:p>
    <w:p w14:paraId="195B00E1" w14:textId="5173652B" w:rsidR="00EB5D13" w:rsidRPr="003B4713" w:rsidRDefault="003B4713" w:rsidP="00CB5A84">
      <w:pPr>
        <w:pStyle w:val="ListParagraph"/>
        <w:numPr>
          <w:ilvl w:val="0"/>
          <w:numId w:val="17"/>
        </w:numPr>
        <w:spacing w:line="360" w:lineRule="auto"/>
        <w:ind w:left="0" w:firstLine="0"/>
        <w:jc w:val="both"/>
        <w:rPr>
          <w:rFonts w:ascii="Arial" w:hAnsi="Arial" w:cs="Arial"/>
          <w:lang w:val="en-US"/>
        </w:rPr>
      </w:pPr>
      <w:r w:rsidRPr="003B4713">
        <w:rPr>
          <w:rFonts w:ascii="Arial" w:hAnsi="Arial" w:cs="Arial"/>
          <w:lang w:val="en-US"/>
        </w:rPr>
        <w:lastRenderedPageBreak/>
        <w:t>The matter is postponed to 17 April 2024 at 08:30 for a further case planning conference.</w:t>
      </w:r>
    </w:p>
    <w:p w14:paraId="4BFEB232" w14:textId="77777777" w:rsidR="00EB5D13" w:rsidRPr="00EB5D13" w:rsidRDefault="00EB5D13" w:rsidP="00EB5D13">
      <w:pPr>
        <w:pStyle w:val="ListParagraph"/>
        <w:rPr>
          <w:rFonts w:ascii="Arial" w:hAnsi="Arial" w:cs="Arial"/>
          <w:lang w:val="en-US"/>
        </w:rPr>
      </w:pPr>
    </w:p>
    <w:p w14:paraId="4DA19C86" w14:textId="77777777" w:rsidR="00EB5D13" w:rsidRPr="00EB5D13" w:rsidRDefault="00EB5D13" w:rsidP="00EB5D13">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4B062D">
        <w:tc>
          <w:tcPr>
            <w:tcW w:w="8789" w:type="dxa"/>
          </w:tcPr>
          <w:p w14:paraId="3976CC82" w14:textId="3367F703" w:rsidR="004B062D" w:rsidRPr="004B062D" w:rsidRDefault="00D90021" w:rsidP="004B062D">
            <w:pPr>
              <w:spacing w:line="360" w:lineRule="auto"/>
              <w:jc w:val="right"/>
              <w:rPr>
                <w:rFonts w:ascii="Arial" w:hAnsi="Arial" w:cs="Arial"/>
                <w:lang w:val="en-US"/>
              </w:rPr>
            </w:pPr>
            <w:r>
              <w:rPr>
                <w:rFonts w:ascii="Arial" w:hAnsi="Arial" w:cs="Arial"/>
                <w:lang w:val="en-US"/>
              </w:rPr>
              <w:t>__________________</w:t>
            </w:r>
          </w:p>
        </w:tc>
      </w:tr>
      <w:tr w:rsidR="004B062D" w:rsidRPr="00155B26" w14:paraId="40BA4CAC" w14:textId="77777777" w:rsidTr="004B062D">
        <w:tc>
          <w:tcPr>
            <w:tcW w:w="8789" w:type="dxa"/>
          </w:tcPr>
          <w:p w14:paraId="2980794D" w14:textId="2DED80D1" w:rsidR="004B062D" w:rsidRPr="004B062D" w:rsidRDefault="004B062D" w:rsidP="004B062D">
            <w:pPr>
              <w:spacing w:line="360" w:lineRule="auto"/>
              <w:jc w:val="right"/>
              <w:rPr>
                <w:rFonts w:ascii="Arial" w:hAnsi="Arial" w:cs="Arial"/>
                <w:lang w:val="en-US"/>
              </w:rPr>
            </w:pPr>
            <w:r>
              <w:rPr>
                <w:rFonts w:ascii="Arial" w:hAnsi="Arial" w:cs="Arial"/>
                <w:lang w:val="en-US"/>
              </w:rPr>
              <w:t>B de Jager</w:t>
            </w:r>
          </w:p>
        </w:tc>
      </w:tr>
      <w:tr w:rsidR="004B062D" w:rsidRPr="00155B26" w14:paraId="56EFA0A1" w14:textId="77777777" w:rsidTr="004B062D">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2C6A303A" w14:textId="77777777" w:rsidR="004B062D" w:rsidRDefault="004B062D" w:rsidP="00B74401">
      <w:pPr>
        <w:pStyle w:val="ListParagraph"/>
        <w:spacing w:line="360" w:lineRule="auto"/>
        <w:ind w:left="0"/>
        <w:jc w:val="both"/>
        <w:rPr>
          <w:rFonts w:ascii="Arial" w:hAnsi="Arial" w:cs="Arial"/>
          <w:lang w:val="en-US"/>
        </w:rPr>
      </w:pPr>
    </w:p>
    <w:p w14:paraId="1C4F6D72" w14:textId="0404C1F5" w:rsidR="004B062D" w:rsidRDefault="004B062D">
      <w:r>
        <w:br w:type="page"/>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386"/>
      </w:tblGrid>
      <w:tr w:rsidR="004B062D" w:rsidRPr="004B062D" w14:paraId="7F2E129A" w14:textId="77777777" w:rsidTr="00B242AB">
        <w:tc>
          <w:tcPr>
            <w:tcW w:w="8789" w:type="dxa"/>
            <w:gridSpan w:val="2"/>
          </w:tcPr>
          <w:p w14:paraId="33CD2DCB" w14:textId="77777777"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751A7F" w14:paraId="1FAF4FCE" w14:textId="77777777" w:rsidTr="00B242AB">
        <w:tc>
          <w:tcPr>
            <w:tcW w:w="3403" w:type="dxa"/>
          </w:tcPr>
          <w:p w14:paraId="258C90E3" w14:textId="0F162EE0" w:rsidR="004B062D" w:rsidRPr="00751A7F" w:rsidRDefault="004B062D" w:rsidP="004B062D">
            <w:pPr>
              <w:spacing w:line="360" w:lineRule="auto"/>
              <w:rPr>
                <w:rFonts w:ascii="Arial" w:hAnsi="Arial" w:cs="Arial"/>
                <w:lang w:val="en-US"/>
              </w:rPr>
            </w:pPr>
            <w:r w:rsidRPr="00751A7F">
              <w:rPr>
                <w:rFonts w:ascii="Arial" w:hAnsi="Arial" w:cs="Arial"/>
                <w:lang w:val="en-US"/>
              </w:rPr>
              <w:t>PLAINTIFF</w:t>
            </w:r>
            <w:r w:rsidR="009D2854" w:rsidRPr="00751A7F">
              <w:rPr>
                <w:rFonts w:ascii="Arial" w:hAnsi="Arial" w:cs="Arial"/>
                <w:lang w:val="en-US"/>
              </w:rPr>
              <w:t>:</w:t>
            </w:r>
          </w:p>
        </w:tc>
        <w:tc>
          <w:tcPr>
            <w:tcW w:w="5386" w:type="dxa"/>
          </w:tcPr>
          <w:p w14:paraId="46BAECB2" w14:textId="284BDFD3" w:rsidR="004B062D" w:rsidRPr="00751A7F" w:rsidRDefault="00751A7F" w:rsidP="004B062D">
            <w:pPr>
              <w:spacing w:line="360" w:lineRule="auto"/>
              <w:rPr>
                <w:rFonts w:ascii="Arial" w:hAnsi="Arial" w:cs="Arial"/>
                <w:lang w:val="en-US"/>
              </w:rPr>
            </w:pPr>
            <w:r>
              <w:rPr>
                <w:rFonts w:ascii="Arial" w:hAnsi="Arial" w:cs="Arial"/>
                <w:lang w:val="en-US"/>
              </w:rPr>
              <w:t>G Dicks</w:t>
            </w:r>
          </w:p>
          <w:p w14:paraId="77F28DFA" w14:textId="633D7D53" w:rsidR="004B062D" w:rsidRDefault="004B062D" w:rsidP="004B062D">
            <w:pPr>
              <w:spacing w:line="360" w:lineRule="auto"/>
              <w:rPr>
                <w:rFonts w:ascii="Arial" w:hAnsi="Arial" w:cs="Arial"/>
                <w:lang w:val="en-US"/>
              </w:rPr>
            </w:pPr>
            <w:r w:rsidRPr="00751A7F">
              <w:rPr>
                <w:rFonts w:ascii="Arial" w:hAnsi="Arial" w:cs="Arial"/>
                <w:lang w:val="en-US"/>
              </w:rPr>
              <w:t xml:space="preserve">Instructed by </w:t>
            </w:r>
            <w:r w:rsidR="00751A7F">
              <w:rPr>
                <w:rFonts w:ascii="Arial" w:hAnsi="Arial" w:cs="Arial"/>
                <w:lang w:val="en-US"/>
              </w:rPr>
              <w:t>Ellis &amp; Partners Legal</w:t>
            </w:r>
            <w:r w:rsidR="00B242AB">
              <w:rPr>
                <w:rFonts w:ascii="Arial" w:hAnsi="Arial" w:cs="Arial"/>
                <w:lang w:val="en-US"/>
              </w:rPr>
              <w:t xml:space="preserve"> </w:t>
            </w:r>
            <w:r w:rsidR="00751A7F">
              <w:rPr>
                <w:rFonts w:ascii="Arial" w:hAnsi="Arial" w:cs="Arial"/>
                <w:lang w:val="en-US"/>
              </w:rPr>
              <w:t>Practitioners</w:t>
            </w:r>
          </w:p>
          <w:p w14:paraId="21DD8269" w14:textId="533B59AE" w:rsidR="00751A7F" w:rsidRPr="00751A7F" w:rsidRDefault="00751A7F" w:rsidP="004B062D">
            <w:pPr>
              <w:spacing w:line="360" w:lineRule="auto"/>
              <w:rPr>
                <w:rFonts w:ascii="Arial" w:hAnsi="Arial" w:cs="Arial"/>
                <w:lang w:val="en-US"/>
              </w:rPr>
            </w:pPr>
            <w:r>
              <w:rPr>
                <w:rFonts w:ascii="Arial" w:hAnsi="Arial" w:cs="Arial"/>
                <w:lang w:val="en-US"/>
              </w:rPr>
              <w:t>Windhoek</w:t>
            </w:r>
          </w:p>
          <w:p w14:paraId="1C9F2085" w14:textId="1A0B7961" w:rsidR="00607061" w:rsidRPr="00751A7F" w:rsidRDefault="00607061" w:rsidP="004B062D">
            <w:pPr>
              <w:spacing w:line="360" w:lineRule="auto"/>
              <w:rPr>
                <w:rFonts w:ascii="Arial" w:hAnsi="Arial" w:cs="Arial"/>
                <w:lang w:val="en-US"/>
              </w:rPr>
            </w:pPr>
          </w:p>
        </w:tc>
      </w:tr>
      <w:tr w:rsidR="004B062D" w:rsidRPr="00751A7F" w14:paraId="54D051F7" w14:textId="77777777" w:rsidTr="00B242AB">
        <w:tc>
          <w:tcPr>
            <w:tcW w:w="3403" w:type="dxa"/>
          </w:tcPr>
          <w:p w14:paraId="7E23B9E0" w14:textId="7D7B0064" w:rsidR="004B062D" w:rsidRPr="00751A7F" w:rsidRDefault="004B062D" w:rsidP="004B062D">
            <w:pPr>
              <w:spacing w:line="360" w:lineRule="auto"/>
              <w:rPr>
                <w:rFonts w:ascii="Arial" w:hAnsi="Arial" w:cs="Arial"/>
                <w:lang w:val="en-US"/>
              </w:rPr>
            </w:pPr>
            <w:r w:rsidRPr="00751A7F">
              <w:rPr>
                <w:rFonts w:ascii="Arial" w:hAnsi="Arial" w:cs="Arial"/>
                <w:lang w:val="en-US"/>
              </w:rPr>
              <w:t>DEFENDANT</w:t>
            </w:r>
            <w:r w:rsidR="00751A7F">
              <w:rPr>
                <w:rFonts w:ascii="Arial" w:hAnsi="Arial" w:cs="Arial"/>
                <w:lang w:val="en-US"/>
              </w:rPr>
              <w:t>S</w:t>
            </w:r>
            <w:r w:rsidR="009D2854" w:rsidRPr="00751A7F">
              <w:rPr>
                <w:rFonts w:ascii="Arial" w:hAnsi="Arial" w:cs="Arial"/>
                <w:lang w:val="en-US"/>
              </w:rPr>
              <w:t>:</w:t>
            </w:r>
          </w:p>
        </w:tc>
        <w:tc>
          <w:tcPr>
            <w:tcW w:w="5386" w:type="dxa"/>
          </w:tcPr>
          <w:p w14:paraId="2E804C08" w14:textId="33141379" w:rsidR="004B062D" w:rsidRPr="00751A7F" w:rsidRDefault="00751A7F" w:rsidP="004B062D">
            <w:pPr>
              <w:spacing w:line="360" w:lineRule="auto"/>
              <w:rPr>
                <w:rFonts w:ascii="Arial" w:hAnsi="Arial" w:cs="Arial"/>
                <w:lang w:val="en-US"/>
              </w:rPr>
            </w:pPr>
            <w:r>
              <w:rPr>
                <w:rFonts w:ascii="Arial" w:hAnsi="Arial" w:cs="Arial"/>
                <w:lang w:val="en-US"/>
              </w:rPr>
              <w:t>L S von Bach</w:t>
            </w:r>
          </w:p>
          <w:p w14:paraId="6C9F479C" w14:textId="363B5A2A" w:rsidR="004B062D" w:rsidRDefault="00751A7F" w:rsidP="004B062D">
            <w:pPr>
              <w:spacing w:line="360" w:lineRule="auto"/>
              <w:rPr>
                <w:rFonts w:ascii="Arial" w:hAnsi="Arial" w:cs="Arial"/>
                <w:lang w:val="en-US"/>
              </w:rPr>
            </w:pPr>
            <w:r>
              <w:rPr>
                <w:rFonts w:ascii="Arial" w:hAnsi="Arial" w:cs="Arial"/>
                <w:lang w:val="en-US"/>
              </w:rPr>
              <w:t>Of Leezhel Mouton &amp; Associates Incorporated</w:t>
            </w:r>
          </w:p>
          <w:p w14:paraId="5540E3BC" w14:textId="7452B95B" w:rsidR="00751A7F" w:rsidRPr="00751A7F" w:rsidRDefault="00751A7F" w:rsidP="004B062D">
            <w:pPr>
              <w:spacing w:line="360" w:lineRule="auto"/>
              <w:rPr>
                <w:rFonts w:ascii="Arial" w:hAnsi="Arial" w:cs="Arial"/>
                <w:lang w:val="en-US"/>
              </w:rPr>
            </w:pPr>
            <w:r>
              <w:rPr>
                <w:rFonts w:ascii="Arial" w:hAnsi="Arial" w:cs="Arial"/>
                <w:lang w:val="en-US"/>
              </w:rPr>
              <w:t>Windhoek</w:t>
            </w:r>
          </w:p>
          <w:p w14:paraId="3B9EC3F5" w14:textId="0AF1A66D" w:rsidR="00607061" w:rsidRPr="00751A7F" w:rsidRDefault="00607061"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A3652F">
      <w:headerReference w:type="even" r:id="rId8"/>
      <w:headerReference w:type="default" r:id="rId9"/>
      <w:headerReference w:type="first" r:id="rId10"/>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A2AE" w14:textId="77777777" w:rsidR="00520BF9" w:rsidRDefault="00520BF9" w:rsidP="00155B26">
      <w:r>
        <w:separator/>
      </w:r>
    </w:p>
  </w:endnote>
  <w:endnote w:type="continuationSeparator" w:id="0">
    <w:p w14:paraId="2BDEACD3" w14:textId="77777777" w:rsidR="00520BF9" w:rsidRDefault="00520BF9"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9D0F" w14:textId="77777777" w:rsidR="00520BF9" w:rsidRDefault="00520BF9" w:rsidP="00155B26">
      <w:r>
        <w:separator/>
      </w:r>
    </w:p>
  </w:footnote>
  <w:footnote w:type="continuationSeparator" w:id="0">
    <w:p w14:paraId="18056293" w14:textId="77777777" w:rsidR="00520BF9" w:rsidRDefault="00520BF9" w:rsidP="00155B26">
      <w:r>
        <w:continuationSeparator/>
      </w:r>
    </w:p>
  </w:footnote>
  <w:footnote w:id="1">
    <w:p w14:paraId="09B6AC35" w14:textId="3736F03A" w:rsidR="00971649" w:rsidRPr="000B785E" w:rsidRDefault="00971649" w:rsidP="000B785E">
      <w:pPr>
        <w:pStyle w:val="FootnoteText"/>
        <w:jc w:val="both"/>
        <w:rPr>
          <w:rFonts w:ascii="Arial" w:hAnsi="Arial" w:cs="Arial"/>
        </w:rPr>
      </w:pPr>
      <w:r w:rsidRPr="000B785E">
        <w:rPr>
          <w:rStyle w:val="FootnoteReference"/>
          <w:rFonts w:ascii="Arial" w:hAnsi="Arial" w:cs="Arial"/>
        </w:rPr>
        <w:footnoteRef/>
      </w:r>
      <w:r w:rsidRPr="000B785E">
        <w:rPr>
          <w:rFonts w:ascii="Arial" w:hAnsi="Arial" w:cs="Arial"/>
        </w:rPr>
        <w:t xml:space="preserve"> 10.2</w:t>
      </w:r>
      <w:r w:rsidR="004B6288" w:rsidRPr="000B785E">
        <w:rPr>
          <w:rFonts w:ascii="Arial" w:hAnsi="Arial" w:cs="Arial"/>
        </w:rPr>
        <w:t xml:space="preserve"> </w:t>
      </w:r>
      <w:r w:rsidRPr="000B785E">
        <w:rPr>
          <w:rFonts w:ascii="Arial" w:hAnsi="Arial" w:cs="Arial"/>
        </w:rPr>
        <w:t xml:space="preserve">The Lessee shall be entitled to sub-let the Premises (or any portion thereof) or to give up occupation or possession of the Premises (or any portion thereof), or to appoint a licensee to conduct the Business without the Lessor’s consent and without reference to the Lessor. However, the Lessee shall remain liable to the Lessor for the obligations undertaken by it in terms of the provisions of this agreement.   </w:t>
      </w:r>
    </w:p>
    <w:p w14:paraId="532DB0EF" w14:textId="3EA31928" w:rsidR="00971649" w:rsidRPr="000B785E" w:rsidRDefault="00971649" w:rsidP="000B785E">
      <w:pPr>
        <w:pStyle w:val="FootnoteText"/>
        <w:jc w:val="both"/>
        <w:rPr>
          <w:rFonts w:ascii="Arial" w:hAnsi="Arial" w:cs="Arial"/>
          <w:lang w:val="en-US"/>
        </w:rPr>
      </w:pPr>
      <w:r w:rsidRPr="000B785E">
        <w:rPr>
          <w:rFonts w:ascii="Arial" w:hAnsi="Arial" w:cs="Arial"/>
          <w:lang w:val="en-US"/>
        </w:rPr>
        <w:t>10.3</w:t>
      </w:r>
      <w:r w:rsidR="004B6288" w:rsidRPr="000B785E">
        <w:rPr>
          <w:rFonts w:ascii="Arial" w:hAnsi="Arial" w:cs="Arial"/>
          <w:lang w:val="en-US"/>
        </w:rPr>
        <w:t xml:space="preserve"> </w:t>
      </w:r>
      <w:r w:rsidRPr="000B785E">
        <w:rPr>
          <w:rFonts w:ascii="Arial" w:hAnsi="Arial" w:cs="Arial"/>
          <w:lang w:val="en-US"/>
        </w:rPr>
        <w:t>Notwithstanding the provisions of clause 10.2 above the Lessee shall, subject to the proviso hereunder, offer the Lessor the first opportunity either to be appointed as the Licensee in respect of the Business on the Premises or, alternatively, to nominate the Proposed Dealer so to be appointed as the Licensee</w:t>
      </w:r>
      <w:r w:rsidR="004B6288" w:rsidRPr="000B785E">
        <w:rPr>
          <w:rFonts w:ascii="Arial" w:hAnsi="Arial" w:cs="Arial"/>
          <w:lang w:val="en-US"/>
        </w:rPr>
        <w:t>. Any such appointment shall however be subject to the specific understanding that the Lessor or the Proposed Dealer, as the case may be, shall comply in all respects with the Lessee’s standard criteria in respect of the appointment of licensees, shall agree to pay the rental and/or license fees in terms of the Lessee’s policies and enter into the Lessee’s standard Marketing License Agreement and/or any other standard documentation which may, in the sole discretion of the Lessee, be required under the circumstances.</w:t>
      </w:r>
    </w:p>
  </w:footnote>
  <w:footnote w:id="2">
    <w:p w14:paraId="2965D209" w14:textId="77777777" w:rsidR="00045C18" w:rsidRPr="000B785E" w:rsidRDefault="00045C18" w:rsidP="000B785E">
      <w:pPr>
        <w:pStyle w:val="FootnoteText"/>
        <w:jc w:val="both"/>
        <w:rPr>
          <w:rFonts w:ascii="Arial" w:hAnsi="Arial" w:cs="Arial"/>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rPr>
        <w:t>DI Savino v Nedbank Namibia Ltd</w:t>
      </w:r>
      <w:r w:rsidRPr="000B785E">
        <w:rPr>
          <w:rFonts w:ascii="Arial" w:hAnsi="Arial" w:cs="Arial"/>
        </w:rPr>
        <w:t xml:space="preserve"> 2012 (2) NR 507 (SC).</w:t>
      </w:r>
    </w:p>
  </w:footnote>
  <w:footnote w:id="3">
    <w:p w14:paraId="351D25D7" w14:textId="2E085544" w:rsidR="00043D07" w:rsidRPr="000B785E" w:rsidRDefault="00043D07"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rPr>
        <w:t xml:space="preserve">Kelnic Construction (Pty) Ltd v Cadilu Fishing (Pty) Ltd </w:t>
      </w:r>
      <w:r w:rsidRPr="000B785E">
        <w:rPr>
          <w:rFonts w:ascii="Arial" w:hAnsi="Arial" w:cs="Arial"/>
        </w:rPr>
        <w:t>1998 NR 198 (HC) at 201C</w:t>
      </w:r>
      <w:r w:rsidR="0050318E" w:rsidRPr="000B785E">
        <w:rPr>
          <w:rFonts w:ascii="Arial" w:hAnsi="Arial" w:cs="Arial"/>
        </w:rPr>
        <w:t>-</w:t>
      </w:r>
      <w:r w:rsidRPr="000B785E">
        <w:rPr>
          <w:rFonts w:ascii="Arial" w:hAnsi="Arial" w:cs="Arial"/>
        </w:rPr>
        <w:t>F.</w:t>
      </w:r>
    </w:p>
  </w:footnote>
  <w:footnote w:id="4">
    <w:p w14:paraId="6C5894AC" w14:textId="77777777" w:rsidR="00D95AC4" w:rsidRPr="000B785E" w:rsidRDefault="00D95AC4"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lang w:val="en-US"/>
        </w:rPr>
        <w:t>Maharaj v Barclays National Bank Ltd</w:t>
      </w:r>
      <w:r w:rsidRPr="000B785E">
        <w:rPr>
          <w:rFonts w:ascii="Arial" w:hAnsi="Arial" w:cs="Arial"/>
          <w:lang w:val="en-US"/>
        </w:rPr>
        <w:t xml:space="preserve"> 1976 (1) SA 418 (A) at 423.</w:t>
      </w:r>
    </w:p>
  </w:footnote>
  <w:footnote w:id="5">
    <w:p w14:paraId="2A0AFCD9" w14:textId="5AA87F7B" w:rsidR="0020104B" w:rsidRPr="000B785E" w:rsidRDefault="0020104B"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lang w:val="en-US"/>
        </w:rPr>
        <w:t>Kramp v Rostami</w:t>
      </w:r>
      <w:r w:rsidRPr="000B785E">
        <w:rPr>
          <w:rFonts w:ascii="Arial" w:hAnsi="Arial" w:cs="Arial"/>
          <w:lang w:val="en-US"/>
        </w:rPr>
        <w:t xml:space="preserve"> 1998 NR 79 (HC0 at 82C-I.</w:t>
      </w:r>
    </w:p>
  </w:footnote>
  <w:footnote w:id="6">
    <w:p w14:paraId="42245BC6" w14:textId="62B6DBE3" w:rsidR="004E377D" w:rsidRPr="000B785E" w:rsidRDefault="004E377D"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rPr>
        <w:t>DI Savino v Nedbank Namibia Ltd</w:t>
      </w:r>
      <w:r w:rsidRPr="000B785E">
        <w:rPr>
          <w:rFonts w:ascii="Arial" w:hAnsi="Arial" w:cs="Arial"/>
        </w:rPr>
        <w:t xml:space="preserve"> </w:t>
      </w:r>
      <w:r w:rsidR="007F5B4F" w:rsidRPr="000B785E">
        <w:rPr>
          <w:rFonts w:ascii="Arial" w:hAnsi="Arial" w:cs="Arial"/>
        </w:rPr>
        <w:t>supra</w:t>
      </w:r>
      <w:r w:rsidRPr="000B785E">
        <w:rPr>
          <w:rFonts w:ascii="Arial" w:hAnsi="Arial" w:cs="Arial"/>
        </w:rPr>
        <w:t xml:space="preserve"> para 26.</w:t>
      </w:r>
    </w:p>
  </w:footnote>
  <w:footnote w:id="7">
    <w:p w14:paraId="7F6D00B0" w14:textId="19DA94FA" w:rsidR="0020104B" w:rsidRPr="000B785E" w:rsidRDefault="0020104B"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lang w:val="en-US"/>
        </w:rPr>
        <w:t>Barminus Rick Kukuri v Social Security Commission</w:t>
      </w:r>
      <w:r w:rsidRPr="000B785E">
        <w:rPr>
          <w:rFonts w:ascii="Arial" w:hAnsi="Arial" w:cs="Arial"/>
          <w:lang w:val="en-US"/>
        </w:rPr>
        <w:t xml:space="preserve"> </w:t>
      </w:r>
      <w:r w:rsidR="00F42C4F" w:rsidRPr="000B785E">
        <w:rPr>
          <w:rFonts w:ascii="Arial" w:hAnsi="Arial" w:cs="Arial"/>
          <w:lang w:val="en-US"/>
        </w:rPr>
        <w:t>(</w:t>
      </w:r>
      <w:r w:rsidRPr="000B785E">
        <w:rPr>
          <w:rFonts w:ascii="Arial" w:hAnsi="Arial" w:cs="Arial"/>
          <w:lang w:val="en-US"/>
        </w:rPr>
        <w:t>2016/02512) [2017] NAHCMD 159 (9 June 2017) para 14.</w:t>
      </w:r>
    </w:p>
  </w:footnote>
  <w:footnote w:id="8">
    <w:p w14:paraId="5FB5E547" w14:textId="3AA13996" w:rsidR="0020104B" w:rsidRPr="000B785E" w:rsidRDefault="0020104B"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lang w:val="en-US"/>
        </w:rPr>
        <w:t>Moder v Teets t/a Neyer's Garage Nachfolger</w:t>
      </w:r>
      <w:r w:rsidRPr="000B785E">
        <w:rPr>
          <w:rFonts w:ascii="Arial" w:hAnsi="Arial" w:cs="Arial"/>
          <w:lang w:val="en-US"/>
        </w:rPr>
        <w:t xml:space="preserve"> 1997 NR 122 (HC) at 125.</w:t>
      </w:r>
    </w:p>
  </w:footnote>
  <w:footnote w:id="9">
    <w:p w14:paraId="4317DE08" w14:textId="77777777" w:rsidR="00120036" w:rsidRPr="000B785E" w:rsidRDefault="00120036"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lang w:val="en-US"/>
        </w:rPr>
        <w:t>Barminus Rick Kukuri v Social Security Commission</w:t>
      </w:r>
      <w:r w:rsidRPr="000B785E">
        <w:rPr>
          <w:rFonts w:ascii="Arial" w:hAnsi="Arial" w:cs="Arial"/>
          <w:lang w:val="en-US"/>
        </w:rPr>
        <w:t xml:space="preserve"> (2016/02512) [2017] NAHCMD 159 (9 June 2017) para 14.</w:t>
      </w:r>
    </w:p>
  </w:footnote>
  <w:footnote w:id="10">
    <w:p w14:paraId="09616879" w14:textId="06E763CD" w:rsidR="000B785E" w:rsidRPr="000B785E" w:rsidRDefault="000B785E"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lang w:val="en-US"/>
        </w:rPr>
        <w:t>The Namibian Competition Act does not contain such a provision.</w:t>
      </w:r>
    </w:p>
  </w:footnote>
  <w:footnote w:id="11">
    <w:p w14:paraId="6FD570E6" w14:textId="0431D2B0" w:rsidR="000B785E" w:rsidRPr="000B785E" w:rsidRDefault="000B785E"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lang w:val="en-US"/>
        </w:rPr>
        <w:t>The Namibian Competition Act contains a similar provision to be interpreted in the context of the Namibian Act.</w:t>
      </w:r>
    </w:p>
  </w:footnote>
  <w:footnote w:id="12">
    <w:p w14:paraId="47719D3B" w14:textId="5898F205" w:rsidR="00C95D1B" w:rsidRPr="000B785E" w:rsidRDefault="00C95D1B"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0B785E">
        <w:rPr>
          <w:rFonts w:ascii="Arial" w:hAnsi="Arial" w:cs="Arial"/>
          <w:i/>
          <w:iCs/>
        </w:rPr>
        <w:t xml:space="preserve">Silver Crystal Trading (Pty) Ltd v Namibia Diamond Corporation (Pty) Ltd </w:t>
      </w:r>
      <w:r w:rsidRPr="000B785E">
        <w:rPr>
          <w:rFonts w:ascii="Arial" w:hAnsi="Arial" w:cs="Arial"/>
        </w:rPr>
        <w:t>1983 (4) SA 884 (D).</w:t>
      </w:r>
    </w:p>
  </w:footnote>
  <w:footnote w:id="13">
    <w:p w14:paraId="09634612" w14:textId="400585C3" w:rsidR="00A4218D" w:rsidRPr="000B785E" w:rsidRDefault="00A4218D"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001643D9" w:rsidRPr="000B785E">
        <w:rPr>
          <w:rFonts w:ascii="Arial" w:hAnsi="Arial" w:cs="Arial"/>
        </w:rPr>
        <w:t xml:space="preserve">J R de Ville </w:t>
      </w:r>
      <w:r w:rsidRPr="000B785E">
        <w:rPr>
          <w:rFonts w:ascii="Arial" w:hAnsi="Arial" w:cs="Arial"/>
          <w:i/>
          <w:iCs/>
          <w:lang w:val="en-US"/>
        </w:rPr>
        <w:t>Judicial Review of Administrative Action in South Africa</w:t>
      </w:r>
      <w:r w:rsidR="001643D9" w:rsidRPr="000B785E">
        <w:rPr>
          <w:rFonts w:ascii="Arial" w:hAnsi="Arial" w:cs="Arial"/>
          <w:lang w:val="en-US"/>
        </w:rPr>
        <w:t xml:space="preserve"> Revised First ed at 473.</w:t>
      </w:r>
    </w:p>
  </w:footnote>
  <w:footnote w:id="14">
    <w:p w14:paraId="27D34841" w14:textId="77777777" w:rsidR="00DF3011" w:rsidRPr="000B785E" w:rsidRDefault="00DF3011" w:rsidP="000B785E">
      <w:pPr>
        <w:pStyle w:val="FootnoteText"/>
        <w:jc w:val="both"/>
        <w:rPr>
          <w:rFonts w:ascii="Arial" w:hAnsi="Arial" w:cs="Arial"/>
          <w:lang w:val="en-US"/>
        </w:rPr>
      </w:pPr>
      <w:r w:rsidRPr="000B785E">
        <w:rPr>
          <w:rStyle w:val="FootnoteReference"/>
          <w:rFonts w:ascii="Arial" w:hAnsi="Arial" w:cs="Arial"/>
        </w:rPr>
        <w:footnoteRef/>
      </w:r>
      <w:r w:rsidRPr="000B785E">
        <w:rPr>
          <w:rFonts w:ascii="Arial" w:hAnsi="Arial" w:cs="Arial"/>
        </w:rPr>
        <w:t xml:space="preserve"> </w:t>
      </w:r>
      <w:r w:rsidRPr="00500229">
        <w:rPr>
          <w:rFonts w:ascii="Arial" w:hAnsi="Arial" w:cs="Arial"/>
          <w:i/>
          <w:iCs/>
          <w:lang w:val="en-US"/>
        </w:rPr>
        <w:t>Masule v Prime Minister of the Republic of Namibia and Others</w:t>
      </w:r>
      <w:r w:rsidRPr="000B785E">
        <w:rPr>
          <w:rFonts w:ascii="Arial" w:hAnsi="Arial" w:cs="Arial"/>
          <w:lang w:val="en-US"/>
        </w:rPr>
        <w:t xml:space="preserve"> 2022 (1) NR 10 (SC) para 34 to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4864961"/>
      <w:docPartObj>
        <w:docPartGallery w:val="Page Numbers (Top of Page)"/>
        <w:docPartUnique/>
      </w:docPartObj>
    </w:sdtPr>
    <w:sdtEndPr>
      <w:rPr>
        <w:rStyle w:val="PageNumber"/>
      </w:rPr>
    </w:sdtEnd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10668225"/>
      <w:docPartObj>
        <w:docPartGallery w:val="Page Numbers (Top of Page)"/>
        <w:docPartUnique/>
      </w:docPartObj>
    </w:sdtPr>
    <w:sdtEndPr>
      <w:rPr>
        <w:rStyle w:val="PageNumber"/>
      </w:rPr>
    </w:sdtEndPr>
    <w:sdtContent>
      <w:p w14:paraId="48559976" w14:textId="2EB1D5D4" w:rsidR="004B062D" w:rsidRPr="004B062D" w:rsidRDefault="004B062D" w:rsidP="004B062D">
        <w:pPr>
          <w:pStyle w:val="Header"/>
          <w:framePr w:wrap="none" w:vAnchor="text" w:hAnchor="margin" w:xAlign="right" w:y="1"/>
          <w:jc w:val="both"/>
          <w:rPr>
            <w:rStyle w:val="PageNumber"/>
            <w:rFonts w:ascii="Arial" w:hAnsi="Arial" w:cs="Arial"/>
            <w:sz w:val="20"/>
            <w:szCs w:val="20"/>
          </w:rPr>
        </w:pPr>
        <w:r w:rsidRPr="004B062D">
          <w:rPr>
            <w:rStyle w:val="PageNumber"/>
            <w:rFonts w:ascii="Arial" w:hAnsi="Arial" w:cs="Arial"/>
            <w:sz w:val="20"/>
            <w:szCs w:val="20"/>
          </w:rPr>
          <w:fldChar w:fldCharType="begin"/>
        </w:r>
        <w:r w:rsidRPr="004B062D">
          <w:rPr>
            <w:rStyle w:val="PageNumber"/>
            <w:rFonts w:ascii="Arial" w:hAnsi="Arial" w:cs="Arial"/>
            <w:sz w:val="20"/>
            <w:szCs w:val="20"/>
          </w:rPr>
          <w:instrText xml:space="preserve"> PAGE </w:instrText>
        </w:r>
        <w:r w:rsidRPr="004B062D">
          <w:rPr>
            <w:rStyle w:val="PageNumber"/>
            <w:rFonts w:ascii="Arial" w:hAnsi="Arial" w:cs="Arial"/>
            <w:sz w:val="20"/>
            <w:szCs w:val="20"/>
          </w:rPr>
          <w:fldChar w:fldCharType="separate"/>
        </w:r>
        <w:r w:rsidR="008C4616">
          <w:rPr>
            <w:rStyle w:val="PageNumber"/>
            <w:rFonts w:ascii="Arial" w:hAnsi="Arial" w:cs="Arial"/>
            <w:noProof/>
            <w:sz w:val="20"/>
            <w:szCs w:val="20"/>
          </w:rPr>
          <w:t>21</w:t>
        </w:r>
        <w:r w:rsidRPr="004B062D">
          <w:rPr>
            <w:rStyle w:val="PageNumber"/>
            <w:rFonts w:ascii="Arial" w:hAnsi="Arial" w:cs="Arial"/>
            <w:sz w:val="20"/>
            <w:szCs w:val="20"/>
          </w:rPr>
          <w:fldChar w:fldCharType="end"/>
        </w:r>
      </w:p>
    </w:sdtContent>
  </w:sdt>
  <w:p w14:paraId="1333E144" w14:textId="77777777" w:rsidR="004B062D" w:rsidRPr="004B062D" w:rsidRDefault="004B062D" w:rsidP="004B062D">
    <w:pPr>
      <w:pStyle w:val="Header"/>
      <w:ind w:right="360"/>
      <w:jc w:val="both"/>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EB57" w14:textId="6C1B742D" w:rsidR="007C5671" w:rsidRPr="0011494F" w:rsidRDefault="007C5671" w:rsidP="003250C2">
    <w:pPr>
      <w:pStyle w:val="Header"/>
      <w:jc w:val="right"/>
      <w:rPr>
        <w:rFonts w:ascii="Arial" w:hAnsi="Arial" w:cs="Arial"/>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91B"/>
    <w:multiLevelType w:val="hybridMultilevel"/>
    <w:tmpl w:val="65FA8C9E"/>
    <w:lvl w:ilvl="0" w:tplc="DB68D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C3085"/>
    <w:multiLevelType w:val="hybridMultilevel"/>
    <w:tmpl w:val="FC4C7B7A"/>
    <w:lvl w:ilvl="0" w:tplc="2020D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B4E1F"/>
    <w:multiLevelType w:val="hybridMultilevel"/>
    <w:tmpl w:val="E150385C"/>
    <w:lvl w:ilvl="0" w:tplc="83B2E3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01D21"/>
    <w:multiLevelType w:val="hybridMultilevel"/>
    <w:tmpl w:val="D046B282"/>
    <w:lvl w:ilvl="0" w:tplc="E4EA85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7043D"/>
    <w:multiLevelType w:val="hybridMultilevel"/>
    <w:tmpl w:val="A7E229B4"/>
    <w:lvl w:ilvl="0" w:tplc="36B29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E344A"/>
    <w:multiLevelType w:val="hybridMultilevel"/>
    <w:tmpl w:val="C33A070E"/>
    <w:lvl w:ilvl="0" w:tplc="9AEAA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E325F8"/>
    <w:multiLevelType w:val="hybridMultilevel"/>
    <w:tmpl w:val="C42EADCE"/>
    <w:lvl w:ilvl="0" w:tplc="B85C1E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535FF"/>
    <w:multiLevelType w:val="hybridMultilevel"/>
    <w:tmpl w:val="D43C7A66"/>
    <w:lvl w:ilvl="0" w:tplc="F53C9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3E2F86"/>
    <w:multiLevelType w:val="hybridMultilevel"/>
    <w:tmpl w:val="1768430C"/>
    <w:lvl w:ilvl="0" w:tplc="83B2E3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B608DE"/>
    <w:multiLevelType w:val="hybridMultilevel"/>
    <w:tmpl w:val="5D10CCF2"/>
    <w:lvl w:ilvl="0" w:tplc="210076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48541F"/>
    <w:multiLevelType w:val="hybridMultilevel"/>
    <w:tmpl w:val="701AFD50"/>
    <w:lvl w:ilvl="0" w:tplc="0050795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D06527"/>
    <w:multiLevelType w:val="hybridMultilevel"/>
    <w:tmpl w:val="F5184D4C"/>
    <w:lvl w:ilvl="0" w:tplc="1E40F1CE">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EC4B90"/>
    <w:multiLevelType w:val="hybridMultilevel"/>
    <w:tmpl w:val="7D44036A"/>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3668C9"/>
    <w:multiLevelType w:val="hybridMultilevel"/>
    <w:tmpl w:val="6690FAF2"/>
    <w:lvl w:ilvl="0" w:tplc="2020D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65577A"/>
    <w:multiLevelType w:val="hybridMultilevel"/>
    <w:tmpl w:val="0E682E0E"/>
    <w:lvl w:ilvl="0" w:tplc="F2286E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C16D67"/>
    <w:multiLevelType w:val="hybridMultilevel"/>
    <w:tmpl w:val="B4EA12E6"/>
    <w:lvl w:ilvl="0" w:tplc="F17E20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90D9B"/>
    <w:multiLevelType w:val="hybridMultilevel"/>
    <w:tmpl w:val="BD70E878"/>
    <w:lvl w:ilvl="0" w:tplc="83B2E3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0"/>
  </w:num>
  <w:num w:numId="5">
    <w:abstractNumId w:val="7"/>
  </w:num>
  <w:num w:numId="6">
    <w:abstractNumId w:val="15"/>
  </w:num>
  <w:num w:numId="7">
    <w:abstractNumId w:val="14"/>
  </w:num>
  <w:num w:numId="8">
    <w:abstractNumId w:val="3"/>
  </w:num>
  <w:num w:numId="9">
    <w:abstractNumId w:val="8"/>
  </w:num>
  <w:num w:numId="10">
    <w:abstractNumId w:val="1"/>
  </w:num>
  <w:num w:numId="11">
    <w:abstractNumId w:val="12"/>
  </w:num>
  <w:num w:numId="12">
    <w:abstractNumId w:val="17"/>
  </w:num>
  <w:num w:numId="13">
    <w:abstractNumId w:val="2"/>
  </w:num>
  <w:num w:numId="14">
    <w:abstractNumId w:val="16"/>
  </w:num>
  <w:num w:numId="15">
    <w:abstractNumId w:val="5"/>
  </w:num>
  <w:num w:numId="16">
    <w:abstractNumId w:val="1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9"/>
    <w:rsid w:val="00000228"/>
    <w:rsid w:val="00007B48"/>
    <w:rsid w:val="00010077"/>
    <w:rsid w:val="000102D5"/>
    <w:rsid w:val="00024BC1"/>
    <w:rsid w:val="00031472"/>
    <w:rsid w:val="00043D07"/>
    <w:rsid w:val="00045C18"/>
    <w:rsid w:val="00052701"/>
    <w:rsid w:val="000545ED"/>
    <w:rsid w:val="00054E0F"/>
    <w:rsid w:val="00055C7D"/>
    <w:rsid w:val="00060FEE"/>
    <w:rsid w:val="00061C47"/>
    <w:rsid w:val="000632CA"/>
    <w:rsid w:val="0006356D"/>
    <w:rsid w:val="0006581A"/>
    <w:rsid w:val="000A1AD7"/>
    <w:rsid w:val="000B3D75"/>
    <w:rsid w:val="000B785E"/>
    <w:rsid w:val="000C0524"/>
    <w:rsid w:val="000C6C79"/>
    <w:rsid w:val="000D0A73"/>
    <w:rsid w:val="000D51FF"/>
    <w:rsid w:val="000D7ED6"/>
    <w:rsid w:val="000D7EE4"/>
    <w:rsid w:val="000E11AE"/>
    <w:rsid w:val="00104DC0"/>
    <w:rsid w:val="00113A2F"/>
    <w:rsid w:val="0011494F"/>
    <w:rsid w:val="00120036"/>
    <w:rsid w:val="0012323C"/>
    <w:rsid w:val="00124114"/>
    <w:rsid w:val="00127BBC"/>
    <w:rsid w:val="00142B2F"/>
    <w:rsid w:val="00147CB9"/>
    <w:rsid w:val="00155B26"/>
    <w:rsid w:val="001643D9"/>
    <w:rsid w:val="00175F40"/>
    <w:rsid w:val="0018177A"/>
    <w:rsid w:val="00182F9E"/>
    <w:rsid w:val="001848DE"/>
    <w:rsid w:val="0018523A"/>
    <w:rsid w:val="00187E83"/>
    <w:rsid w:val="00196436"/>
    <w:rsid w:val="001A5702"/>
    <w:rsid w:val="001B5A30"/>
    <w:rsid w:val="001D6DEB"/>
    <w:rsid w:val="001E1AFC"/>
    <w:rsid w:val="00200DDE"/>
    <w:rsid w:val="0020104B"/>
    <w:rsid w:val="00201332"/>
    <w:rsid w:val="00222EA3"/>
    <w:rsid w:val="00237F43"/>
    <w:rsid w:val="00241370"/>
    <w:rsid w:val="00254777"/>
    <w:rsid w:val="002846FB"/>
    <w:rsid w:val="002961BE"/>
    <w:rsid w:val="002A0A5D"/>
    <w:rsid w:val="002A2409"/>
    <w:rsid w:val="002B3F98"/>
    <w:rsid w:val="002C6FE6"/>
    <w:rsid w:val="002D0433"/>
    <w:rsid w:val="002D3C3B"/>
    <w:rsid w:val="002D416A"/>
    <w:rsid w:val="002E42C0"/>
    <w:rsid w:val="002E79D0"/>
    <w:rsid w:val="00300CC3"/>
    <w:rsid w:val="0030194D"/>
    <w:rsid w:val="00311A62"/>
    <w:rsid w:val="00313E73"/>
    <w:rsid w:val="0031536C"/>
    <w:rsid w:val="003250C2"/>
    <w:rsid w:val="003303B0"/>
    <w:rsid w:val="00330741"/>
    <w:rsid w:val="00332523"/>
    <w:rsid w:val="003424E1"/>
    <w:rsid w:val="00345E55"/>
    <w:rsid w:val="003504FB"/>
    <w:rsid w:val="00361E50"/>
    <w:rsid w:val="00363C45"/>
    <w:rsid w:val="003654CD"/>
    <w:rsid w:val="003768D6"/>
    <w:rsid w:val="00376D49"/>
    <w:rsid w:val="003869DD"/>
    <w:rsid w:val="0038756F"/>
    <w:rsid w:val="00392A50"/>
    <w:rsid w:val="00396A30"/>
    <w:rsid w:val="003B2F85"/>
    <w:rsid w:val="003B4713"/>
    <w:rsid w:val="003B6BE9"/>
    <w:rsid w:val="003C17D8"/>
    <w:rsid w:val="003C53AA"/>
    <w:rsid w:val="003D7CC1"/>
    <w:rsid w:val="003E196E"/>
    <w:rsid w:val="003E3382"/>
    <w:rsid w:val="003F3F61"/>
    <w:rsid w:val="003F565C"/>
    <w:rsid w:val="00407554"/>
    <w:rsid w:val="00421D33"/>
    <w:rsid w:val="00427313"/>
    <w:rsid w:val="00431F2F"/>
    <w:rsid w:val="004320AE"/>
    <w:rsid w:val="00432BF2"/>
    <w:rsid w:val="004408CC"/>
    <w:rsid w:val="00446DB8"/>
    <w:rsid w:val="004533A0"/>
    <w:rsid w:val="00463AA7"/>
    <w:rsid w:val="00476F2F"/>
    <w:rsid w:val="00477FCD"/>
    <w:rsid w:val="00480CEB"/>
    <w:rsid w:val="00490E29"/>
    <w:rsid w:val="00492514"/>
    <w:rsid w:val="004944E1"/>
    <w:rsid w:val="004972CF"/>
    <w:rsid w:val="004B062D"/>
    <w:rsid w:val="004B57A0"/>
    <w:rsid w:val="004B6288"/>
    <w:rsid w:val="004B69D9"/>
    <w:rsid w:val="004D39C0"/>
    <w:rsid w:val="004E3586"/>
    <w:rsid w:val="004E377D"/>
    <w:rsid w:val="004E5F07"/>
    <w:rsid w:val="00500229"/>
    <w:rsid w:val="0050318E"/>
    <w:rsid w:val="005031B9"/>
    <w:rsid w:val="005105E8"/>
    <w:rsid w:val="00520BF9"/>
    <w:rsid w:val="0052355A"/>
    <w:rsid w:val="00533F7D"/>
    <w:rsid w:val="005532F5"/>
    <w:rsid w:val="00567803"/>
    <w:rsid w:val="0057370C"/>
    <w:rsid w:val="0058125C"/>
    <w:rsid w:val="00594A9C"/>
    <w:rsid w:val="005959B2"/>
    <w:rsid w:val="0059741F"/>
    <w:rsid w:val="005A07C4"/>
    <w:rsid w:val="005A1BC8"/>
    <w:rsid w:val="005B3C3B"/>
    <w:rsid w:val="005B568F"/>
    <w:rsid w:val="005D2DEE"/>
    <w:rsid w:val="005E2235"/>
    <w:rsid w:val="00603712"/>
    <w:rsid w:val="00604906"/>
    <w:rsid w:val="006057EA"/>
    <w:rsid w:val="00607061"/>
    <w:rsid w:val="00633078"/>
    <w:rsid w:val="0064383A"/>
    <w:rsid w:val="0064702F"/>
    <w:rsid w:val="006530F7"/>
    <w:rsid w:val="00655495"/>
    <w:rsid w:val="006615A2"/>
    <w:rsid w:val="006663DD"/>
    <w:rsid w:val="00672E00"/>
    <w:rsid w:val="00687F83"/>
    <w:rsid w:val="00695048"/>
    <w:rsid w:val="00696435"/>
    <w:rsid w:val="006B1F6A"/>
    <w:rsid w:val="006B4872"/>
    <w:rsid w:val="006C150F"/>
    <w:rsid w:val="006D4820"/>
    <w:rsid w:val="006D6158"/>
    <w:rsid w:val="006D6227"/>
    <w:rsid w:val="006F2B3F"/>
    <w:rsid w:val="00706D8E"/>
    <w:rsid w:val="00711653"/>
    <w:rsid w:val="00711E90"/>
    <w:rsid w:val="00725279"/>
    <w:rsid w:val="00730509"/>
    <w:rsid w:val="00732411"/>
    <w:rsid w:val="0073553D"/>
    <w:rsid w:val="00742BC6"/>
    <w:rsid w:val="00743288"/>
    <w:rsid w:val="007437EE"/>
    <w:rsid w:val="00744709"/>
    <w:rsid w:val="00751A7F"/>
    <w:rsid w:val="00756D9C"/>
    <w:rsid w:val="0076608F"/>
    <w:rsid w:val="00777B22"/>
    <w:rsid w:val="007A3D8F"/>
    <w:rsid w:val="007B78AA"/>
    <w:rsid w:val="007C363A"/>
    <w:rsid w:val="007C5146"/>
    <w:rsid w:val="007C5671"/>
    <w:rsid w:val="007C7089"/>
    <w:rsid w:val="007D3C34"/>
    <w:rsid w:val="007F5B4F"/>
    <w:rsid w:val="00801F6C"/>
    <w:rsid w:val="008033E9"/>
    <w:rsid w:val="0080606D"/>
    <w:rsid w:val="00814CD6"/>
    <w:rsid w:val="008223A9"/>
    <w:rsid w:val="00826BCF"/>
    <w:rsid w:val="00832187"/>
    <w:rsid w:val="008322BD"/>
    <w:rsid w:val="008526A5"/>
    <w:rsid w:val="0085360F"/>
    <w:rsid w:val="0087411F"/>
    <w:rsid w:val="008749AF"/>
    <w:rsid w:val="00884860"/>
    <w:rsid w:val="008A27EB"/>
    <w:rsid w:val="008A76AF"/>
    <w:rsid w:val="008B0660"/>
    <w:rsid w:val="008B6FD7"/>
    <w:rsid w:val="008C4616"/>
    <w:rsid w:val="008D6959"/>
    <w:rsid w:val="008E0045"/>
    <w:rsid w:val="008F3BA8"/>
    <w:rsid w:val="00906164"/>
    <w:rsid w:val="00912F35"/>
    <w:rsid w:val="00923FCD"/>
    <w:rsid w:val="009255FF"/>
    <w:rsid w:val="0093209A"/>
    <w:rsid w:val="00934F69"/>
    <w:rsid w:val="00944297"/>
    <w:rsid w:val="00952279"/>
    <w:rsid w:val="00965516"/>
    <w:rsid w:val="0096706C"/>
    <w:rsid w:val="00971649"/>
    <w:rsid w:val="009723A2"/>
    <w:rsid w:val="00972458"/>
    <w:rsid w:val="0098304F"/>
    <w:rsid w:val="00991B22"/>
    <w:rsid w:val="0099364C"/>
    <w:rsid w:val="009946E9"/>
    <w:rsid w:val="009A6677"/>
    <w:rsid w:val="009A6ECA"/>
    <w:rsid w:val="009B23C9"/>
    <w:rsid w:val="009B43ED"/>
    <w:rsid w:val="009C73D7"/>
    <w:rsid w:val="009D111C"/>
    <w:rsid w:val="009D2854"/>
    <w:rsid w:val="009E4B9B"/>
    <w:rsid w:val="00A01344"/>
    <w:rsid w:val="00A03ADD"/>
    <w:rsid w:val="00A0405C"/>
    <w:rsid w:val="00A12399"/>
    <w:rsid w:val="00A139B4"/>
    <w:rsid w:val="00A16411"/>
    <w:rsid w:val="00A20BF0"/>
    <w:rsid w:val="00A273EC"/>
    <w:rsid w:val="00A36451"/>
    <w:rsid w:val="00A3652F"/>
    <w:rsid w:val="00A4218D"/>
    <w:rsid w:val="00A433F3"/>
    <w:rsid w:val="00A43620"/>
    <w:rsid w:val="00A4477D"/>
    <w:rsid w:val="00A45A23"/>
    <w:rsid w:val="00A53A7F"/>
    <w:rsid w:val="00A54A5B"/>
    <w:rsid w:val="00A60C6A"/>
    <w:rsid w:val="00A6755D"/>
    <w:rsid w:val="00A80E2A"/>
    <w:rsid w:val="00A81C32"/>
    <w:rsid w:val="00A90D3B"/>
    <w:rsid w:val="00AA69D4"/>
    <w:rsid w:val="00AA69F4"/>
    <w:rsid w:val="00AB1220"/>
    <w:rsid w:val="00AB269D"/>
    <w:rsid w:val="00AC331B"/>
    <w:rsid w:val="00AC3E6B"/>
    <w:rsid w:val="00AC5E0A"/>
    <w:rsid w:val="00AC725B"/>
    <w:rsid w:val="00AD164E"/>
    <w:rsid w:val="00AD1745"/>
    <w:rsid w:val="00AE6F85"/>
    <w:rsid w:val="00AE7FCC"/>
    <w:rsid w:val="00AF044A"/>
    <w:rsid w:val="00AF1128"/>
    <w:rsid w:val="00AF7D5F"/>
    <w:rsid w:val="00B0147A"/>
    <w:rsid w:val="00B02B74"/>
    <w:rsid w:val="00B05078"/>
    <w:rsid w:val="00B06C8A"/>
    <w:rsid w:val="00B0752D"/>
    <w:rsid w:val="00B17665"/>
    <w:rsid w:val="00B20503"/>
    <w:rsid w:val="00B242AB"/>
    <w:rsid w:val="00B26FCD"/>
    <w:rsid w:val="00B30D3D"/>
    <w:rsid w:val="00B3483C"/>
    <w:rsid w:val="00B36D42"/>
    <w:rsid w:val="00B50590"/>
    <w:rsid w:val="00B74401"/>
    <w:rsid w:val="00B829F9"/>
    <w:rsid w:val="00BB0B0C"/>
    <w:rsid w:val="00BB51D4"/>
    <w:rsid w:val="00BB6FC4"/>
    <w:rsid w:val="00BC4D12"/>
    <w:rsid w:val="00BC795B"/>
    <w:rsid w:val="00BD3DD4"/>
    <w:rsid w:val="00BD4779"/>
    <w:rsid w:val="00C01198"/>
    <w:rsid w:val="00C06078"/>
    <w:rsid w:val="00C07364"/>
    <w:rsid w:val="00C24B0A"/>
    <w:rsid w:val="00C25642"/>
    <w:rsid w:val="00C50E6C"/>
    <w:rsid w:val="00C51946"/>
    <w:rsid w:val="00C614A3"/>
    <w:rsid w:val="00C65354"/>
    <w:rsid w:val="00C730B0"/>
    <w:rsid w:val="00C74449"/>
    <w:rsid w:val="00C7765D"/>
    <w:rsid w:val="00C86ED5"/>
    <w:rsid w:val="00C875F7"/>
    <w:rsid w:val="00C933BF"/>
    <w:rsid w:val="00C95D1B"/>
    <w:rsid w:val="00CB289B"/>
    <w:rsid w:val="00CB5A84"/>
    <w:rsid w:val="00CD0763"/>
    <w:rsid w:val="00CD125E"/>
    <w:rsid w:val="00CE2130"/>
    <w:rsid w:val="00CE6957"/>
    <w:rsid w:val="00CF04F4"/>
    <w:rsid w:val="00CF52BD"/>
    <w:rsid w:val="00CF62D2"/>
    <w:rsid w:val="00D030AA"/>
    <w:rsid w:val="00D22B38"/>
    <w:rsid w:val="00D22DD0"/>
    <w:rsid w:val="00D237EA"/>
    <w:rsid w:val="00D25C33"/>
    <w:rsid w:val="00D263E0"/>
    <w:rsid w:val="00D437D0"/>
    <w:rsid w:val="00D50D93"/>
    <w:rsid w:val="00D54C1B"/>
    <w:rsid w:val="00D55FB9"/>
    <w:rsid w:val="00D602E5"/>
    <w:rsid w:val="00D62443"/>
    <w:rsid w:val="00D702A4"/>
    <w:rsid w:val="00D71CA4"/>
    <w:rsid w:val="00D738B3"/>
    <w:rsid w:val="00D759B2"/>
    <w:rsid w:val="00D8015E"/>
    <w:rsid w:val="00D90021"/>
    <w:rsid w:val="00D95AC4"/>
    <w:rsid w:val="00DA214A"/>
    <w:rsid w:val="00DB45DA"/>
    <w:rsid w:val="00DC6327"/>
    <w:rsid w:val="00DD579C"/>
    <w:rsid w:val="00DE02CB"/>
    <w:rsid w:val="00DE3DF9"/>
    <w:rsid w:val="00DE4AA6"/>
    <w:rsid w:val="00DF3011"/>
    <w:rsid w:val="00DF55CA"/>
    <w:rsid w:val="00DF68F5"/>
    <w:rsid w:val="00E022DC"/>
    <w:rsid w:val="00E07B62"/>
    <w:rsid w:val="00E1241E"/>
    <w:rsid w:val="00E130C9"/>
    <w:rsid w:val="00E27A9C"/>
    <w:rsid w:val="00E40DFB"/>
    <w:rsid w:val="00E457EE"/>
    <w:rsid w:val="00E606EE"/>
    <w:rsid w:val="00E6127E"/>
    <w:rsid w:val="00E65CF4"/>
    <w:rsid w:val="00E701B0"/>
    <w:rsid w:val="00E70D37"/>
    <w:rsid w:val="00E8020A"/>
    <w:rsid w:val="00E90C82"/>
    <w:rsid w:val="00EA38A0"/>
    <w:rsid w:val="00EA4223"/>
    <w:rsid w:val="00EA7344"/>
    <w:rsid w:val="00EB1417"/>
    <w:rsid w:val="00EB272B"/>
    <w:rsid w:val="00EB5D13"/>
    <w:rsid w:val="00EC3DEA"/>
    <w:rsid w:val="00ED06E4"/>
    <w:rsid w:val="00ED668D"/>
    <w:rsid w:val="00EF048C"/>
    <w:rsid w:val="00EF3CED"/>
    <w:rsid w:val="00EF40A0"/>
    <w:rsid w:val="00F00D39"/>
    <w:rsid w:val="00F01B9A"/>
    <w:rsid w:val="00F03EA3"/>
    <w:rsid w:val="00F12D79"/>
    <w:rsid w:val="00F132CF"/>
    <w:rsid w:val="00F26573"/>
    <w:rsid w:val="00F3280B"/>
    <w:rsid w:val="00F366C9"/>
    <w:rsid w:val="00F409E4"/>
    <w:rsid w:val="00F42C4F"/>
    <w:rsid w:val="00F56608"/>
    <w:rsid w:val="00F61801"/>
    <w:rsid w:val="00F62743"/>
    <w:rsid w:val="00F82ED8"/>
    <w:rsid w:val="00F83920"/>
    <w:rsid w:val="00F8468E"/>
    <w:rsid w:val="00F862F6"/>
    <w:rsid w:val="00F87024"/>
    <w:rsid w:val="00F932F2"/>
    <w:rsid w:val="00F93E9D"/>
    <w:rsid w:val="00F97297"/>
    <w:rsid w:val="00FD0452"/>
    <w:rsid w:val="00FE2BFB"/>
    <w:rsid w:val="00FE31BC"/>
    <w:rsid w:val="00FE7F68"/>
    <w:rsid w:val="00FF1F67"/>
    <w:rsid w:val="00FF7A3F"/>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N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7">
    <w:name w:val="heading 7"/>
    <w:basedOn w:val="Normal"/>
    <w:next w:val="Normal"/>
    <w:link w:val="Heading7Char"/>
    <w:uiPriority w:val="9"/>
    <w:semiHidden/>
    <w:unhideWhenUsed/>
    <w:qFormat/>
    <w:rsid w:val="00052701"/>
    <w:pPr>
      <w:keepNext/>
      <w:keepLines/>
      <w:spacing w:before="40"/>
      <w:outlineLvl w:val="6"/>
    </w:pPr>
    <w:rPr>
      <w:rFonts w:eastAsiaTheme="majorEastAsi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18523A"/>
    <w:rPr>
      <w:sz w:val="20"/>
      <w:szCs w:val="20"/>
    </w:rPr>
  </w:style>
  <w:style w:type="character" w:customStyle="1" w:styleId="FootnoteTextChar">
    <w:name w:val="Footnote Text Char"/>
    <w:basedOn w:val="DefaultParagraphFont"/>
    <w:link w:val="FootnoteText"/>
    <w:uiPriority w:val="99"/>
    <w:semiHidden/>
    <w:rsid w:val="0018523A"/>
    <w:rPr>
      <w:sz w:val="20"/>
      <w:szCs w:val="20"/>
      <w:lang w:val="en-GB"/>
    </w:rPr>
  </w:style>
  <w:style w:type="character" w:styleId="FootnoteReference">
    <w:name w:val="footnote reference"/>
    <w:basedOn w:val="DefaultParagraphFont"/>
    <w:uiPriority w:val="99"/>
    <w:semiHidden/>
    <w:unhideWhenUsed/>
    <w:rsid w:val="0018523A"/>
    <w:rPr>
      <w:vertAlign w:val="superscript"/>
    </w:rPr>
  </w:style>
  <w:style w:type="character" w:customStyle="1" w:styleId="Heading7Char">
    <w:name w:val="Heading 7 Char"/>
    <w:basedOn w:val="DefaultParagraphFont"/>
    <w:link w:val="Heading7"/>
    <w:uiPriority w:val="9"/>
    <w:semiHidden/>
    <w:rsid w:val="00052701"/>
    <w:rPr>
      <w:rFonts w:eastAsiaTheme="majorEastAsia" w:cstheme="majorBidi"/>
      <w:color w:val="595959" w:themeColor="text1" w:themeTint="A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2024-03-26T18:30:00+00:00</Judgment_x0020_Date>
    <Year xmlns="c1afb1bd-f2fb-40fd-9abb-aea55b4d7662">2024</Year>
  </documentManagement>
</p:properties>
</file>

<file path=customXml/itemProps1.xml><?xml version="1.0" encoding="utf-8"?>
<ds:datastoreItem xmlns:ds="http://schemas.openxmlformats.org/officeDocument/2006/customXml" ds:itemID="{2F82AAE7-509A-48B1-9E4B-8A696FCF0F8C}"/>
</file>

<file path=customXml/itemProps2.xml><?xml version="1.0" encoding="utf-8"?>
<ds:datastoreItem xmlns:ds="http://schemas.openxmlformats.org/officeDocument/2006/customXml" ds:itemID="{0DF7EA2E-29DC-4F31-9B8A-112454C2B28F}"/>
</file>

<file path=customXml/itemProps3.xml><?xml version="1.0" encoding="utf-8"?>
<ds:datastoreItem xmlns:ds="http://schemas.openxmlformats.org/officeDocument/2006/customXml" ds:itemID="{EC57A305-E621-4E5F-A416-B8767E8142D7}"/>
</file>

<file path=docProps/app.xml><?xml version="1.0" encoding="utf-8"?>
<Properties xmlns="http://schemas.openxmlformats.org/officeDocument/2006/extended-properties" xmlns:vt="http://schemas.openxmlformats.org/officeDocument/2006/docPropsVTypes">
  <Template>Normal</Template>
  <TotalTime>979</TotalTime>
  <Pages>1</Pages>
  <Words>9172</Words>
  <Characters>52285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 Namibia (Pty) Ltd v Billy (HC-MD-CIV-ACT-CON-2023-03285) [2024] NAHCMD 135 (27 March 2024)</dc:title>
  <dc:subject/>
  <dc:creator>Beatrix de Jager</dc:creator>
  <cp:keywords/>
  <dc:description/>
  <cp:lastModifiedBy>Bregitha Coetzee</cp:lastModifiedBy>
  <cp:revision>21</cp:revision>
  <cp:lastPrinted>2024-03-26T14:40:00Z</cp:lastPrinted>
  <dcterms:created xsi:type="dcterms:W3CDTF">2024-03-17T14:01:00Z</dcterms:created>
  <dcterms:modified xsi:type="dcterms:W3CDTF">2024-03-27T11:26:00Z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