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9" w:rsidRDefault="00192719" w:rsidP="004358E2">
      <w:pPr>
        <w:spacing w:after="0" w:line="360" w:lineRule="auto"/>
        <w:jc w:val="center"/>
        <w:rPr>
          <w:rFonts w:ascii="Arial" w:hAnsi="Arial" w:cs="Arial"/>
          <w:b/>
          <w:sz w:val="24"/>
          <w:szCs w:val="24"/>
        </w:rPr>
      </w:pPr>
    </w:p>
    <w:p w:rsidR="004F7CAF" w:rsidRDefault="004F7CAF" w:rsidP="004358E2">
      <w:pPr>
        <w:spacing w:after="0" w:line="360" w:lineRule="auto"/>
        <w:jc w:val="center"/>
        <w:rPr>
          <w:rFonts w:ascii="Arial" w:hAnsi="Arial" w:cs="Arial"/>
          <w:b/>
          <w:sz w:val="24"/>
          <w:szCs w:val="24"/>
        </w:rPr>
      </w:pPr>
    </w:p>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rsidTr="005D0C34">
        <w:trPr>
          <w:trHeight w:val="2135"/>
        </w:trPr>
        <w:tc>
          <w:tcPr>
            <w:tcW w:w="6946"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3B0F1E" w:rsidRDefault="00206B05" w:rsidP="00206B05">
            <w:pPr>
              <w:jc w:val="both"/>
              <w:rPr>
                <w:rFonts w:ascii="Arial" w:hAnsi="Arial" w:cs="Arial"/>
                <w:sz w:val="24"/>
                <w:szCs w:val="24"/>
                <w:shd w:val="clear" w:color="auto" w:fill="FFFFFF"/>
              </w:rPr>
            </w:pPr>
          </w:p>
          <w:p w:rsidR="00206B05" w:rsidRDefault="00035876" w:rsidP="00A363E2">
            <w:pPr>
              <w:spacing w:line="360" w:lineRule="auto"/>
              <w:jc w:val="both"/>
              <w:rPr>
                <w:rFonts w:ascii="Arial" w:hAnsi="Arial" w:cs="Arial"/>
                <w:sz w:val="24"/>
                <w:szCs w:val="24"/>
              </w:rPr>
            </w:pPr>
            <w:r>
              <w:rPr>
                <w:rFonts w:ascii="Arial" w:hAnsi="Arial" w:cs="Arial"/>
                <w:sz w:val="24"/>
                <w:szCs w:val="24"/>
              </w:rPr>
              <w:t>NEDBANK NAMIBIA                                                  PLAINTIFF</w:t>
            </w:r>
          </w:p>
          <w:p w:rsidR="00035876" w:rsidRDefault="00035876" w:rsidP="00A363E2">
            <w:pPr>
              <w:spacing w:line="360" w:lineRule="auto"/>
              <w:jc w:val="both"/>
              <w:rPr>
                <w:rFonts w:ascii="Arial" w:hAnsi="Arial" w:cs="Arial"/>
                <w:sz w:val="24"/>
                <w:szCs w:val="24"/>
              </w:rPr>
            </w:pPr>
          </w:p>
          <w:p w:rsidR="00035876" w:rsidRDefault="00035876" w:rsidP="00A363E2">
            <w:pPr>
              <w:spacing w:line="360" w:lineRule="auto"/>
              <w:jc w:val="both"/>
              <w:rPr>
                <w:rFonts w:ascii="Arial" w:hAnsi="Arial" w:cs="Arial"/>
                <w:sz w:val="24"/>
                <w:szCs w:val="24"/>
              </w:rPr>
            </w:pPr>
            <w:r>
              <w:rPr>
                <w:rFonts w:ascii="Arial" w:hAnsi="Arial" w:cs="Arial"/>
                <w:sz w:val="24"/>
                <w:szCs w:val="24"/>
              </w:rPr>
              <w:t xml:space="preserve">and </w:t>
            </w:r>
          </w:p>
          <w:p w:rsidR="00035876" w:rsidRDefault="00035876" w:rsidP="00A363E2">
            <w:pPr>
              <w:spacing w:line="360" w:lineRule="auto"/>
              <w:jc w:val="both"/>
              <w:rPr>
                <w:rFonts w:ascii="Arial" w:hAnsi="Arial" w:cs="Arial"/>
                <w:sz w:val="24"/>
                <w:szCs w:val="24"/>
              </w:rPr>
            </w:pPr>
          </w:p>
          <w:p w:rsidR="00035876" w:rsidRDefault="00035876" w:rsidP="00A363E2">
            <w:pPr>
              <w:spacing w:line="360" w:lineRule="auto"/>
              <w:jc w:val="both"/>
              <w:rPr>
                <w:rFonts w:ascii="Arial" w:hAnsi="Arial" w:cs="Arial"/>
                <w:sz w:val="24"/>
                <w:szCs w:val="24"/>
              </w:rPr>
            </w:pPr>
            <w:r>
              <w:rPr>
                <w:rFonts w:ascii="Arial" w:hAnsi="Arial" w:cs="Arial"/>
                <w:sz w:val="24"/>
                <w:szCs w:val="24"/>
              </w:rPr>
              <w:t>GIFT KAVARI                                             FIRST DEFENDANT</w:t>
            </w:r>
          </w:p>
          <w:p w:rsidR="00035876" w:rsidRDefault="00035876" w:rsidP="00A363E2">
            <w:pPr>
              <w:spacing w:line="360" w:lineRule="auto"/>
              <w:jc w:val="both"/>
              <w:rPr>
                <w:rFonts w:ascii="Arial" w:hAnsi="Arial" w:cs="Arial"/>
                <w:sz w:val="24"/>
                <w:szCs w:val="24"/>
              </w:rPr>
            </w:pPr>
            <w:r>
              <w:rPr>
                <w:rFonts w:ascii="Arial" w:hAnsi="Arial" w:cs="Arial"/>
                <w:sz w:val="24"/>
                <w:szCs w:val="24"/>
              </w:rPr>
              <w:t>GODFRIEDINE DOLLA KAVARI            SECOND DEFENDANT</w:t>
            </w:r>
          </w:p>
          <w:p w:rsidR="00035876" w:rsidRPr="00206B05" w:rsidRDefault="00035876" w:rsidP="00A363E2">
            <w:pPr>
              <w:spacing w:line="360" w:lineRule="auto"/>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rsidR="00B40844" w:rsidRPr="003B0F1E" w:rsidRDefault="003B0F1E" w:rsidP="007945A9">
            <w:pPr>
              <w:spacing w:line="360" w:lineRule="auto"/>
              <w:jc w:val="both"/>
              <w:rPr>
                <w:rFonts w:ascii="Arial" w:hAnsi="Arial" w:cs="Arial"/>
                <w:sz w:val="24"/>
                <w:szCs w:val="24"/>
                <w:shd w:val="clear" w:color="auto" w:fill="FFFFFF"/>
              </w:rPr>
            </w:pPr>
            <w:r w:rsidRPr="003B0F1E">
              <w:rPr>
                <w:rFonts w:ascii="Arial" w:hAnsi="Arial" w:cs="Arial"/>
                <w:sz w:val="24"/>
                <w:szCs w:val="24"/>
              </w:rPr>
              <w:t>HC-MD-CIV-</w:t>
            </w:r>
            <w:r w:rsidR="007945A9">
              <w:rPr>
                <w:rFonts w:ascii="Arial" w:hAnsi="Arial" w:cs="Arial"/>
                <w:sz w:val="24"/>
                <w:szCs w:val="24"/>
              </w:rPr>
              <w:t>ACT-CON-2023/03803</w:t>
            </w:r>
          </w:p>
        </w:tc>
      </w:tr>
      <w:tr w:rsidR="00CA7995" w:rsidRPr="00CA7995" w:rsidTr="005D0C34">
        <w:trPr>
          <w:trHeight w:val="968"/>
        </w:trPr>
        <w:tc>
          <w:tcPr>
            <w:tcW w:w="6946" w:type="dxa"/>
            <w:gridSpan w:val="2"/>
            <w:vMerge/>
          </w:tcPr>
          <w:p w:rsidR="00B40844" w:rsidRPr="00015DC1" w:rsidRDefault="00B40844" w:rsidP="00937C89">
            <w:pPr>
              <w:spacing w:line="360" w:lineRule="auto"/>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5D0C34">
        <w:trPr>
          <w:trHeight w:val="965"/>
        </w:trPr>
        <w:tc>
          <w:tcPr>
            <w:tcW w:w="6946"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bookmarkStart w:id="0" w:name="_GoBack"/>
            <w:bookmarkEnd w:id="0"/>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7945A9" w:rsidP="003B0F1E">
            <w:pPr>
              <w:spacing w:line="360" w:lineRule="auto"/>
              <w:jc w:val="both"/>
              <w:rPr>
                <w:rFonts w:ascii="Arial" w:hAnsi="Arial" w:cs="Arial"/>
                <w:sz w:val="24"/>
                <w:szCs w:val="24"/>
              </w:rPr>
            </w:pPr>
            <w:r>
              <w:rPr>
                <w:rFonts w:ascii="Arial" w:hAnsi="Arial" w:cs="Arial"/>
                <w:sz w:val="24"/>
                <w:szCs w:val="24"/>
              </w:rPr>
              <w:t>19 MARCH 2024</w:t>
            </w:r>
          </w:p>
        </w:tc>
      </w:tr>
      <w:tr w:rsidR="00CA7995" w:rsidRPr="00CA7995" w:rsidTr="005D0C34">
        <w:trPr>
          <w:trHeight w:val="991"/>
        </w:trPr>
        <w:tc>
          <w:tcPr>
            <w:tcW w:w="6946" w:type="dxa"/>
            <w:gridSpan w:val="2"/>
            <w:vMerge/>
          </w:tcPr>
          <w:p w:rsidR="00B40844" w:rsidRPr="00015DC1" w:rsidRDefault="00B40844" w:rsidP="00937C89">
            <w:pPr>
              <w:spacing w:line="360" w:lineRule="auto"/>
              <w:jc w:val="both"/>
              <w:rPr>
                <w:rFonts w:ascii="Arial" w:hAnsi="Arial" w:cs="Arial"/>
                <w:b/>
                <w:sz w:val="24"/>
                <w:szCs w:val="24"/>
              </w:rPr>
            </w:pPr>
          </w:p>
        </w:tc>
        <w:tc>
          <w:tcPr>
            <w:tcW w:w="3686" w:type="dxa"/>
          </w:tcPr>
          <w:p w:rsidR="00233E3D" w:rsidRDefault="00B40844" w:rsidP="00C877F7">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7945A9" w:rsidP="00C877F7">
            <w:pPr>
              <w:spacing w:line="360" w:lineRule="auto"/>
              <w:jc w:val="both"/>
              <w:rPr>
                <w:rFonts w:ascii="Arial" w:hAnsi="Arial" w:cs="Arial"/>
                <w:b/>
                <w:sz w:val="24"/>
                <w:szCs w:val="24"/>
              </w:rPr>
            </w:pPr>
            <w:r>
              <w:rPr>
                <w:rFonts w:ascii="Arial" w:hAnsi="Arial" w:cs="Arial"/>
                <w:sz w:val="24"/>
                <w:szCs w:val="24"/>
              </w:rPr>
              <w:t>9 APRIL 2024</w:t>
            </w:r>
          </w:p>
        </w:tc>
      </w:tr>
      <w:tr w:rsidR="00CA7995" w:rsidRPr="00CA7995" w:rsidTr="003B0F1E">
        <w:trPr>
          <w:trHeight w:val="876"/>
        </w:trPr>
        <w:tc>
          <w:tcPr>
            <w:tcW w:w="10632" w:type="dxa"/>
            <w:gridSpan w:val="3"/>
          </w:tcPr>
          <w:p w:rsidR="00B40844" w:rsidRPr="00CA7995" w:rsidRDefault="00B40844" w:rsidP="00E1305D">
            <w:pPr>
              <w:spacing w:line="360" w:lineRule="auto"/>
              <w:ind w:left="2161" w:hanging="2161"/>
              <w:jc w:val="both"/>
              <w:rPr>
                <w:rFonts w:ascii="Arial" w:hAnsi="Arial" w:cs="Arial"/>
                <w:sz w:val="24"/>
                <w:szCs w:val="24"/>
              </w:rPr>
            </w:pPr>
            <w:r w:rsidRPr="00CA7995">
              <w:rPr>
                <w:rFonts w:ascii="Arial" w:hAnsi="Arial" w:cs="Arial"/>
                <w:b/>
                <w:sz w:val="24"/>
                <w:szCs w:val="24"/>
              </w:rPr>
              <w:t xml:space="preserve">Neutral </w:t>
            </w:r>
            <w:r w:rsidR="008C2D98">
              <w:rPr>
                <w:rFonts w:ascii="Arial" w:hAnsi="Arial" w:cs="Arial"/>
                <w:b/>
                <w:sz w:val="24"/>
                <w:szCs w:val="24"/>
              </w:rPr>
              <w:t>C</w:t>
            </w:r>
            <w:r w:rsidRPr="00CA7995">
              <w:rPr>
                <w:rFonts w:ascii="Arial" w:hAnsi="Arial" w:cs="Arial"/>
                <w:b/>
                <w:sz w:val="24"/>
                <w:szCs w:val="24"/>
              </w:rPr>
              <w:t>itation:</w:t>
            </w:r>
            <w:r w:rsidRPr="00CD605F">
              <w:rPr>
                <w:rFonts w:ascii="Arial" w:hAnsi="Arial" w:cs="Arial"/>
                <w:sz w:val="24"/>
                <w:szCs w:val="24"/>
              </w:rPr>
              <w:t xml:space="preserve"> </w:t>
            </w:r>
            <w:r w:rsidR="007945A9">
              <w:rPr>
                <w:rFonts w:ascii="Arial" w:hAnsi="Arial" w:cs="Arial"/>
                <w:i/>
                <w:sz w:val="24"/>
                <w:szCs w:val="24"/>
              </w:rPr>
              <w:t xml:space="preserve">Nedbank Namibia </w:t>
            </w:r>
            <w:r w:rsidR="00015DC1">
              <w:rPr>
                <w:rFonts w:ascii="Arial" w:hAnsi="Arial" w:cs="Arial"/>
                <w:i/>
                <w:sz w:val="24"/>
                <w:szCs w:val="24"/>
              </w:rPr>
              <w:t xml:space="preserve">v </w:t>
            </w:r>
            <w:proofErr w:type="spellStart"/>
            <w:r w:rsidR="00CC0C44">
              <w:rPr>
                <w:rFonts w:ascii="Arial" w:hAnsi="Arial" w:cs="Arial"/>
                <w:i/>
                <w:sz w:val="24"/>
                <w:szCs w:val="24"/>
              </w:rPr>
              <w:t>K</w:t>
            </w:r>
            <w:r w:rsidR="007945A9">
              <w:rPr>
                <w:rFonts w:ascii="Arial" w:hAnsi="Arial" w:cs="Arial"/>
                <w:i/>
                <w:sz w:val="24"/>
                <w:szCs w:val="24"/>
              </w:rPr>
              <w:t>avari</w:t>
            </w:r>
            <w:proofErr w:type="spellEnd"/>
            <w:r w:rsidR="00346B7A">
              <w:rPr>
                <w:rFonts w:ascii="Arial" w:hAnsi="Arial" w:cs="Arial"/>
                <w:i/>
                <w:sz w:val="24"/>
                <w:szCs w:val="24"/>
              </w:rPr>
              <w:t xml:space="preserve"> </w:t>
            </w:r>
            <w:r w:rsidRPr="00CA7995">
              <w:rPr>
                <w:rFonts w:ascii="Arial" w:hAnsi="Arial" w:cs="Arial"/>
                <w:sz w:val="24"/>
                <w:szCs w:val="24"/>
              </w:rPr>
              <w:t>(</w:t>
            </w:r>
            <w:r w:rsidR="00CD605F" w:rsidRPr="003B0F1E">
              <w:rPr>
                <w:rFonts w:ascii="Arial" w:hAnsi="Arial" w:cs="Arial"/>
                <w:sz w:val="24"/>
                <w:szCs w:val="24"/>
              </w:rPr>
              <w:t>HC-MD-CIV-</w:t>
            </w:r>
            <w:r w:rsidR="007945A9">
              <w:rPr>
                <w:rFonts w:ascii="Arial" w:hAnsi="Arial" w:cs="Arial"/>
                <w:sz w:val="24"/>
                <w:szCs w:val="24"/>
              </w:rPr>
              <w:t>ACT-CON-2023/03803</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26309F">
              <w:rPr>
                <w:rFonts w:ascii="Arial" w:hAnsi="Arial" w:cs="Arial"/>
                <w:sz w:val="24"/>
                <w:szCs w:val="24"/>
              </w:rPr>
              <w:t>4</w:t>
            </w:r>
            <w:r w:rsidRPr="00CA7995">
              <w:rPr>
                <w:rFonts w:ascii="Arial" w:hAnsi="Arial" w:cs="Arial"/>
                <w:sz w:val="24"/>
                <w:szCs w:val="24"/>
              </w:rPr>
              <w:t xml:space="preserve">] NAHCMD </w:t>
            </w:r>
            <w:r w:rsidR="00E1305D">
              <w:rPr>
                <w:rFonts w:ascii="Arial" w:hAnsi="Arial" w:cs="Arial"/>
                <w:color w:val="000000" w:themeColor="text1"/>
                <w:sz w:val="24"/>
                <w:szCs w:val="24"/>
              </w:rPr>
              <w:t>161</w:t>
            </w:r>
            <w:r w:rsidRPr="00CA7995">
              <w:rPr>
                <w:rFonts w:ascii="Arial" w:hAnsi="Arial" w:cs="Arial"/>
                <w:sz w:val="24"/>
                <w:szCs w:val="24"/>
              </w:rPr>
              <w:t xml:space="preserve"> (</w:t>
            </w:r>
            <w:r w:rsidR="007945A9">
              <w:rPr>
                <w:rFonts w:ascii="Arial" w:hAnsi="Arial" w:cs="Arial"/>
                <w:sz w:val="24"/>
                <w:szCs w:val="24"/>
              </w:rPr>
              <w:t>9 APRIL</w:t>
            </w:r>
            <w:r w:rsidR="0026309F">
              <w:rPr>
                <w:rFonts w:ascii="Arial" w:hAnsi="Arial" w:cs="Arial"/>
                <w:sz w:val="24"/>
                <w:szCs w:val="24"/>
              </w:rPr>
              <w:t xml:space="preserve"> 2024</w:t>
            </w:r>
            <w:r w:rsidRPr="00CA7995">
              <w:rPr>
                <w:rFonts w:ascii="Arial" w:hAnsi="Arial" w:cs="Arial"/>
                <w:sz w:val="24"/>
                <w:szCs w:val="24"/>
              </w:rPr>
              <w:t>)</w:t>
            </w:r>
          </w:p>
        </w:tc>
      </w:tr>
      <w:tr w:rsidR="00CA7995" w:rsidRPr="00CA7995" w:rsidTr="003B0F1E">
        <w:tc>
          <w:tcPr>
            <w:tcW w:w="10632" w:type="dxa"/>
            <w:gridSpan w:val="3"/>
          </w:tcPr>
          <w:p w:rsidR="00B40844" w:rsidRPr="002E1151" w:rsidRDefault="00B40844" w:rsidP="00CA7995">
            <w:pPr>
              <w:spacing w:line="360" w:lineRule="auto"/>
              <w:jc w:val="both"/>
              <w:rPr>
                <w:rFonts w:ascii="Arial" w:hAnsi="Arial" w:cs="Arial"/>
              </w:rPr>
            </w:pPr>
          </w:p>
          <w:p w:rsidR="00B40844"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rsidR="008C2D98" w:rsidRPr="0041723B" w:rsidRDefault="008C2D98" w:rsidP="00CA7995">
            <w:pPr>
              <w:spacing w:line="360" w:lineRule="auto"/>
              <w:jc w:val="both"/>
              <w:rPr>
                <w:rFonts w:ascii="Arial" w:hAnsi="Arial" w:cs="Arial"/>
                <w:b/>
                <w:sz w:val="24"/>
                <w:szCs w:val="24"/>
              </w:rPr>
            </w:pPr>
          </w:p>
          <w:p w:rsidR="00B1182F" w:rsidRDefault="00B1182F" w:rsidP="008C2D98">
            <w:pPr>
              <w:pStyle w:val="NormalWeb"/>
              <w:numPr>
                <w:ilvl w:val="0"/>
                <w:numId w:val="8"/>
              </w:numPr>
              <w:shd w:val="clear" w:color="auto" w:fill="FFFFFF"/>
              <w:spacing w:before="0" w:beforeAutospacing="0" w:after="0" w:afterAutospacing="0" w:line="360" w:lineRule="auto"/>
              <w:ind w:left="743" w:hanging="709"/>
              <w:jc w:val="both"/>
              <w:rPr>
                <w:rFonts w:ascii="Arial" w:hAnsi="Arial" w:cs="Arial"/>
                <w:lang w:val="en-US"/>
              </w:rPr>
            </w:pPr>
            <w:r w:rsidRPr="008C2D98">
              <w:rPr>
                <w:rFonts w:ascii="Arial" w:hAnsi="Arial" w:cs="Arial"/>
                <w:lang w:val="en-US"/>
              </w:rPr>
              <w:t xml:space="preserve">Summary judgment is granted in </w:t>
            </w:r>
            <w:proofErr w:type="spellStart"/>
            <w:r w:rsidRPr="008C2D98">
              <w:rPr>
                <w:rFonts w:ascii="Arial" w:hAnsi="Arial" w:cs="Arial"/>
                <w:lang w:val="en-US"/>
              </w:rPr>
              <w:t>favour</w:t>
            </w:r>
            <w:proofErr w:type="spellEnd"/>
            <w:r w:rsidRPr="008C2D98">
              <w:rPr>
                <w:rFonts w:ascii="Arial" w:hAnsi="Arial" w:cs="Arial"/>
                <w:lang w:val="en-US"/>
              </w:rPr>
              <w:t xml:space="preserve"> of the plaintiff against the first and second defendants, jointly and severally, the one paying th</w:t>
            </w:r>
            <w:r w:rsidR="00372063" w:rsidRPr="008C2D98">
              <w:rPr>
                <w:rFonts w:ascii="Arial" w:hAnsi="Arial" w:cs="Arial"/>
                <w:lang w:val="en-US"/>
              </w:rPr>
              <w:t>e other to be absolved for:</w:t>
            </w:r>
          </w:p>
          <w:p w:rsidR="008C2D98" w:rsidRPr="008C2D98" w:rsidRDefault="008C2D98" w:rsidP="008C2D98">
            <w:pPr>
              <w:pStyle w:val="NormalWeb"/>
              <w:shd w:val="clear" w:color="auto" w:fill="FFFFFF"/>
              <w:spacing w:before="0" w:beforeAutospacing="0" w:after="0" w:afterAutospacing="0" w:line="360" w:lineRule="auto"/>
              <w:ind w:left="743"/>
              <w:jc w:val="both"/>
              <w:rPr>
                <w:rFonts w:ascii="Arial" w:hAnsi="Arial" w:cs="Arial"/>
                <w:lang w:val="en-US"/>
              </w:rPr>
            </w:pPr>
          </w:p>
          <w:p w:rsidR="00372063" w:rsidRDefault="00372063" w:rsidP="008C2D98">
            <w:pPr>
              <w:pStyle w:val="NormalWeb"/>
              <w:numPr>
                <w:ilvl w:val="1"/>
                <w:numId w:val="15"/>
              </w:numPr>
              <w:shd w:val="clear" w:color="auto" w:fill="FFFFFF"/>
              <w:spacing w:before="0" w:beforeAutospacing="0" w:after="0" w:afterAutospacing="0" w:line="360" w:lineRule="auto"/>
              <w:ind w:left="743" w:firstLine="0"/>
              <w:jc w:val="both"/>
              <w:rPr>
                <w:rFonts w:ascii="Arial" w:hAnsi="Arial" w:cs="Arial"/>
                <w:lang w:val="en-US"/>
              </w:rPr>
            </w:pPr>
            <w:r w:rsidRPr="008C2D98">
              <w:rPr>
                <w:rFonts w:ascii="Arial" w:hAnsi="Arial" w:cs="Arial"/>
                <w:lang w:val="en-US"/>
              </w:rPr>
              <w:t>Payment in</w:t>
            </w:r>
            <w:r w:rsidR="00893E3C" w:rsidRPr="008C2D98">
              <w:rPr>
                <w:rFonts w:ascii="Arial" w:hAnsi="Arial" w:cs="Arial"/>
                <w:lang w:val="en-US"/>
              </w:rPr>
              <w:t xml:space="preserve"> the amount of N$1 618 040</w:t>
            </w:r>
            <w:proofErr w:type="gramStart"/>
            <w:r w:rsidR="00893E3C" w:rsidRPr="008C2D98">
              <w:rPr>
                <w:rFonts w:ascii="Arial" w:hAnsi="Arial" w:cs="Arial"/>
                <w:lang w:val="en-US"/>
              </w:rPr>
              <w:t>,</w:t>
            </w:r>
            <w:r w:rsidR="00886A8A" w:rsidRPr="008C2D98">
              <w:rPr>
                <w:rFonts w:ascii="Arial" w:hAnsi="Arial" w:cs="Arial"/>
                <w:lang w:val="en-US"/>
              </w:rPr>
              <w:t>15</w:t>
            </w:r>
            <w:proofErr w:type="gramEnd"/>
            <w:r w:rsidR="00886A8A" w:rsidRPr="008C2D98">
              <w:rPr>
                <w:rFonts w:ascii="Arial" w:hAnsi="Arial" w:cs="Arial"/>
                <w:lang w:val="en-US"/>
              </w:rPr>
              <w:t>.</w:t>
            </w:r>
          </w:p>
          <w:p w:rsidR="008C2D98" w:rsidRPr="008C2D98" w:rsidRDefault="008C2D98" w:rsidP="008C2D98">
            <w:pPr>
              <w:pStyle w:val="NormalWeb"/>
              <w:shd w:val="clear" w:color="auto" w:fill="FFFFFF"/>
              <w:spacing w:before="0" w:beforeAutospacing="0" w:after="0" w:afterAutospacing="0" w:line="360" w:lineRule="auto"/>
              <w:ind w:left="743"/>
              <w:jc w:val="both"/>
              <w:rPr>
                <w:rFonts w:ascii="Arial" w:hAnsi="Arial" w:cs="Arial"/>
                <w:lang w:val="en-US"/>
              </w:rPr>
            </w:pPr>
          </w:p>
          <w:p w:rsidR="00372063" w:rsidRDefault="00886A8A" w:rsidP="008C2D98">
            <w:pPr>
              <w:pStyle w:val="NormalWeb"/>
              <w:numPr>
                <w:ilvl w:val="1"/>
                <w:numId w:val="15"/>
              </w:numPr>
              <w:shd w:val="clear" w:color="auto" w:fill="FFFFFF"/>
              <w:spacing w:before="0" w:beforeAutospacing="0" w:after="0" w:afterAutospacing="0" w:line="360" w:lineRule="auto"/>
              <w:ind w:left="1452" w:hanging="709"/>
              <w:jc w:val="both"/>
              <w:rPr>
                <w:rFonts w:ascii="Arial" w:hAnsi="Arial" w:cs="Arial"/>
                <w:lang w:val="en-US"/>
              </w:rPr>
            </w:pPr>
            <w:r w:rsidRPr="008C2D98">
              <w:rPr>
                <w:rFonts w:ascii="Arial" w:hAnsi="Arial" w:cs="Arial"/>
                <w:lang w:val="en-US"/>
              </w:rPr>
              <w:lastRenderedPageBreak/>
              <w:t>Co</w:t>
            </w:r>
            <w:r w:rsidR="008953D7" w:rsidRPr="008C2D98">
              <w:rPr>
                <w:rFonts w:ascii="Arial" w:hAnsi="Arial" w:cs="Arial"/>
                <w:lang w:val="en-US"/>
              </w:rPr>
              <w:t>mpound interest calculated dail</w:t>
            </w:r>
            <w:r w:rsidRPr="008C2D98">
              <w:rPr>
                <w:rFonts w:ascii="Arial" w:hAnsi="Arial" w:cs="Arial"/>
                <w:lang w:val="en-US"/>
              </w:rPr>
              <w:t>y and capitalized m</w:t>
            </w:r>
            <w:r w:rsidR="00893E3C" w:rsidRPr="008C2D98">
              <w:rPr>
                <w:rFonts w:ascii="Arial" w:hAnsi="Arial" w:cs="Arial"/>
                <w:lang w:val="en-US"/>
              </w:rPr>
              <w:t>onthly on amount of N$1 618 040,</w:t>
            </w:r>
            <w:r w:rsidRPr="008C2D98">
              <w:rPr>
                <w:rFonts w:ascii="Arial" w:hAnsi="Arial" w:cs="Arial"/>
                <w:lang w:val="en-US"/>
              </w:rPr>
              <w:t>15 at plaintiff’s mortgage lending rate of inter</w:t>
            </w:r>
            <w:r w:rsidR="008953D7" w:rsidRPr="008C2D98">
              <w:rPr>
                <w:rFonts w:ascii="Arial" w:hAnsi="Arial" w:cs="Arial"/>
                <w:lang w:val="en-US"/>
              </w:rPr>
              <w:t>est</w:t>
            </w:r>
            <w:r w:rsidRPr="008C2D98">
              <w:rPr>
                <w:rFonts w:ascii="Arial" w:hAnsi="Arial" w:cs="Arial"/>
                <w:lang w:val="en-US"/>
              </w:rPr>
              <w:t xml:space="preserve"> from time to </w:t>
            </w:r>
            <w:r w:rsidR="008953D7" w:rsidRPr="008C2D98">
              <w:rPr>
                <w:rFonts w:ascii="Arial" w:hAnsi="Arial" w:cs="Arial"/>
                <w:lang w:val="en-US"/>
              </w:rPr>
              <w:t>time, currently at 18.40% calculated from 5 July 2023 to date of final payment.</w:t>
            </w:r>
          </w:p>
          <w:p w:rsidR="008C2D98" w:rsidRPr="008C2D98" w:rsidRDefault="008C2D98" w:rsidP="008C2D98">
            <w:pPr>
              <w:pStyle w:val="NormalWeb"/>
              <w:shd w:val="clear" w:color="auto" w:fill="FFFFFF"/>
              <w:spacing w:before="0" w:beforeAutospacing="0" w:after="0" w:afterAutospacing="0" w:line="360" w:lineRule="auto"/>
              <w:ind w:left="1452"/>
              <w:jc w:val="both"/>
              <w:rPr>
                <w:rFonts w:ascii="Arial" w:hAnsi="Arial" w:cs="Arial"/>
                <w:lang w:val="en-US"/>
              </w:rPr>
            </w:pPr>
          </w:p>
          <w:p w:rsidR="002E1151" w:rsidRPr="008C2D98" w:rsidRDefault="00372063" w:rsidP="008C2D98">
            <w:pPr>
              <w:pStyle w:val="NormalWeb"/>
              <w:numPr>
                <w:ilvl w:val="1"/>
                <w:numId w:val="15"/>
              </w:numPr>
              <w:shd w:val="clear" w:color="auto" w:fill="FFFFFF"/>
              <w:spacing w:before="0" w:beforeAutospacing="0" w:after="0" w:afterAutospacing="0" w:line="360" w:lineRule="auto"/>
              <w:ind w:left="743" w:firstLine="0"/>
              <w:jc w:val="both"/>
              <w:rPr>
                <w:rFonts w:ascii="Arial" w:hAnsi="Arial" w:cs="Arial"/>
                <w:sz w:val="22"/>
                <w:szCs w:val="22"/>
                <w:lang w:val="en-US"/>
              </w:rPr>
            </w:pPr>
            <w:r>
              <w:rPr>
                <w:rFonts w:ascii="Arial" w:hAnsi="Arial"/>
              </w:rPr>
              <w:t>Costs</w:t>
            </w:r>
            <w:r w:rsidR="008953D7" w:rsidRPr="00372063">
              <w:rPr>
                <w:rFonts w:ascii="Arial" w:hAnsi="Arial"/>
              </w:rPr>
              <w:t xml:space="preserve"> of suit on a scale as between attorney and client as agreed.</w:t>
            </w:r>
          </w:p>
          <w:p w:rsidR="008C2D98" w:rsidRPr="00372063" w:rsidRDefault="008C2D98" w:rsidP="008C2D98">
            <w:pPr>
              <w:pStyle w:val="NormalWeb"/>
              <w:shd w:val="clear" w:color="auto" w:fill="FFFFFF"/>
              <w:spacing w:before="0" w:beforeAutospacing="0" w:after="0" w:afterAutospacing="0" w:line="360" w:lineRule="auto"/>
              <w:ind w:left="743"/>
              <w:jc w:val="both"/>
              <w:rPr>
                <w:rFonts w:ascii="Arial" w:hAnsi="Arial" w:cs="Arial"/>
                <w:sz w:val="22"/>
                <w:szCs w:val="22"/>
                <w:lang w:val="en-US"/>
              </w:rPr>
            </w:pPr>
          </w:p>
          <w:p w:rsidR="00D034F4" w:rsidRDefault="00D84700" w:rsidP="008C2D98">
            <w:pPr>
              <w:pStyle w:val="NormalWeb"/>
              <w:numPr>
                <w:ilvl w:val="0"/>
                <w:numId w:val="8"/>
              </w:numPr>
              <w:shd w:val="clear" w:color="auto" w:fill="FFFFFF"/>
              <w:spacing w:before="0" w:beforeAutospacing="0" w:after="0" w:afterAutospacing="0" w:line="360" w:lineRule="auto"/>
              <w:ind w:left="743" w:hanging="709"/>
              <w:jc w:val="both"/>
              <w:rPr>
                <w:rFonts w:ascii="Arial" w:hAnsi="Arial" w:cs="Arial"/>
                <w:lang w:val="en-US"/>
              </w:rPr>
            </w:pPr>
            <w:r>
              <w:rPr>
                <w:rFonts w:ascii="Arial" w:hAnsi="Arial"/>
              </w:rPr>
              <w:t>The matter is finalised and removed from the roll</w:t>
            </w:r>
            <w:r w:rsidR="00D034F4" w:rsidRPr="00127391">
              <w:rPr>
                <w:rFonts w:ascii="Arial" w:hAnsi="Arial" w:cs="Arial"/>
                <w:lang w:val="en-US"/>
              </w:rPr>
              <w:t>.</w:t>
            </w:r>
          </w:p>
          <w:p w:rsidR="00372063" w:rsidRPr="008953D7" w:rsidRDefault="00372063" w:rsidP="00372063">
            <w:pPr>
              <w:pStyle w:val="NormalWeb"/>
              <w:shd w:val="clear" w:color="auto" w:fill="FFFFFF"/>
              <w:tabs>
                <w:tab w:val="left" w:pos="602"/>
              </w:tabs>
              <w:spacing w:before="0" w:beforeAutospacing="0" w:after="0" w:afterAutospacing="0" w:line="360" w:lineRule="auto"/>
              <w:ind w:left="460"/>
              <w:jc w:val="both"/>
              <w:rPr>
                <w:rFonts w:ascii="Arial" w:hAnsi="Arial" w:cs="Arial"/>
                <w:lang w:val="en-US"/>
              </w:rPr>
            </w:pPr>
          </w:p>
        </w:tc>
      </w:tr>
      <w:tr w:rsidR="00CA7995" w:rsidRPr="00CA7995" w:rsidTr="003B0F1E">
        <w:trPr>
          <w:trHeight w:val="558"/>
        </w:trPr>
        <w:tc>
          <w:tcPr>
            <w:tcW w:w="10632" w:type="dxa"/>
            <w:gridSpan w:val="3"/>
          </w:tcPr>
          <w:p w:rsidR="000C72EF" w:rsidRPr="00CA7995" w:rsidRDefault="00224C1B"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Reasons for the order:</w:t>
            </w:r>
          </w:p>
        </w:tc>
      </w:tr>
      <w:tr w:rsidR="00CA7995" w:rsidRPr="00CA7995" w:rsidTr="003B0F1E">
        <w:tc>
          <w:tcPr>
            <w:tcW w:w="10632" w:type="dxa"/>
            <w:gridSpan w:val="3"/>
          </w:tcPr>
          <w:p w:rsidR="00833B9D" w:rsidRDefault="00833B9D" w:rsidP="001B494D">
            <w:pPr>
              <w:spacing w:line="360" w:lineRule="auto"/>
              <w:rPr>
                <w:rFonts w:ascii="Arial" w:hAnsi="Arial" w:cs="Arial"/>
                <w:sz w:val="24"/>
                <w:szCs w:val="24"/>
                <w:u w:val="single"/>
              </w:rPr>
            </w:pPr>
          </w:p>
          <w:p w:rsidR="008A21E1" w:rsidRPr="001B494D" w:rsidRDefault="001B494D" w:rsidP="008D056C">
            <w:pPr>
              <w:spacing w:line="360" w:lineRule="auto"/>
              <w:rPr>
                <w:rFonts w:ascii="Arial" w:hAnsi="Arial" w:cs="Arial"/>
                <w:sz w:val="24"/>
                <w:szCs w:val="24"/>
                <w:u w:val="single"/>
              </w:rPr>
            </w:pPr>
            <w:r w:rsidRPr="001B494D">
              <w:rPr>
                <w:rFonts w:ascii="Arial" w:hAnsi="Arial" w:cs="Arial"/>
                <w:sz w:val="24"/>
                <w:szCs w:val="24"/>
                <w:u w:val="single"/>
              </w:rPr>
              <w:t>Introduction</w:t>
            </w:r>
          </w:p>
          <w:p w:rsidR="001B494D" w:rsidRPr="006979B3" w:rsidRDefault="001B494D" w:rsidP="008D056C">
            <w:pPr>
              <w:tabs>
                <w:tab w:val="left" w:pos="729"/>
              </w:tabs>
              <w:spacing w:line="360" w:lineRule="auto"/>
              <w:rPr>
                <w:rFonts w:ascii="Arial" w:hAnsi="Arial" w:cs="Arial"/>
                <w:sz w:val="24"/>
                <w:szCs w:val="24"/>
              </w:rPr>
            </w:pPr>
          </w:p>
          <w:p w:rsidR="0020585E" w:rsidRDefault="00B3603F" w:rsidP="008D056C">
            <w:pPr>
              <w:pStyle w:val="ListParagraph"/>
              <w:numPr>
                <w:ilvl w:val="0"/>
                <w:numId w:val="11"/>
              </w:numPr>
              <w:tabs>
                <w:tab w:val="left" w:pos="729"/>
              </w:tabs>
              <w:spacing w:line="360" w:lineRule="auto"/>
              <w:ind w:left="0" w:firstLine="0"/>
              <w:contextualSpacing w:val="0"/>
              <w:jc w:val="both"/>
              <w:rPr>
                <w:rFonts w:ascii="Arial" w:hAnsi="Arial"/>
                <w:sz w:val="24"/>
                <w:szCs w:val="24"/>
              </w:rPr>
            </w:pPr>
            <w:r w:rsidRPr="0020585E">
              <w:rPr>
                <w:rFonts w:ascii="Arial" w:hAnsi="Arial"/>
                <w:sz w:val="24"/>
                <w:szCs w:val="24"/>
              </w:rPr>
              <w:t xml:space="preserve">This is </w:t>
            </w:r>
            <w:r w:rsidR="00D870CD" w:rsidRPr="0020585E">
              <w:rPr>
                <w:rFonts w:ascii="Arial" w:hAnsi="Arial"/>
                <w:sz w:val="24"/>
                <w:szCs w:val="24"/>
              </w:rPr>
              <w:t xml:space="preserve">a </w:t>
            </w:r>
            <w:r w:rsidR="00BC242A" w:rsidRPr="0020585E">
              <w:rPr>
                <w:rFonts w:ascii="Arial" w:hAnsi="Arial"/>
                <w:sz w:val="24"/>
                <w:szCs w:val="24"/>
              </w:rPr>
              <w:t>summary judgment application in which the plaintiff seeks</w:t>
            </w:r>
            <w:r w:rsidR="005C607D">
              <w:rPr>
                <w:rFonts w:ascii="Arial" w:hAnsi="Arial"/>
                <w:sz w:val="24"/>
                <w:szCs w:val="24"/>
              </w:rPr>
              <w:t xml:space="preserve"> the repayment of the loan</w:t>
            </w:r>
            <w:r w:rsidR="00893E3C">
              <w:rPr>
                <w:rFonts w:ascii="Arial" w:hAnsi="Arial"/>
                <w:sz w:val="24"/>
                <w:szCs w:val="24"/>
              </w:rPr>
              <w:t>s</w:t>
            </w:r>
            <w:r w:rsidR="005C607D">
              <w:rPr>
                <w:rFonts w:ascii="Arial" w:hAnsi="Arial"/>
                <w:sz w:val="24"/>
                <w:szCs w:val="24"/>
              </w:rPr>
              <w:t xml:space="preserve"> it had advanced to</w:t>
            </w:r>
            <w:r w:rsidR="00D870CD" w:rsidRPr="0020585E">
              <w:rPr>
                <w:rFonts w:ascii="Arial" w:hAnsi="Arial"/>
                <w:sz w:val="24"/>
                <w:szCs w:val="24"/>
              </w:rPr>
              <w:t xml:space="preserve"> the defendants</w:t>
            </w:r>
            <w:r w:rsidR="001B2E91" w:rsidRPr="0020585E">
              <w:rPr>
                <w:rFonts w:ascii="Arial" w:hAnsi="Arial"/>
                <w:sz w:val="24"/>
                <w:szCs w:val="24"/>
              </w:rPr>
              <w:t xml:space="preserve"> and for</w:t>
            </w:r>
            <w:r w:rsidR="00893E3C">
              <w:rPr>
                <w:rFonts w:ascii="Arial" w:hAnsi="Arial"/>
                <w:sz w:val="24"/>
                <w:szCs w:val="24"/>
              </w:rPr>
              <w:t xml:space="preserve"> an</w:t>
            </w:r>
            <w:r w:rsidR="005C607D">
              <w:rPr>
                <w:rFonts w:ascii="Arial" w:hAnsi="Arial"/>
                <w:sz w:val="24"/>
                <w:szCs w:val="24"/>
              </w:rPr>
              <w:t xml:space="preserve"> order that</w:t>
            </w:r>
            <w:r w:rsidR="001B2E91" w:rsidRPr="0020585E">
              <w:rPr>
                <w:rFonts w:ascii="Arial" w:hAnsi="Arial"/>
                <w:sz w:val="24"/>
                <w:szCs w:val="24"/>
              </w:rPr>
              <w:t xml:space="preserve"> the defendant</w:t>
            </w:r>
            <w:r w:rsidR="0029240E" w:rsidRPr="0020585E">
              <w:rPr>
                <w:rFonts w:ascii="Arial" w:hAnsi="Arial"/>
                <w:sz w:val="24"/>
                <w:szCs w:val="24"/>
              </w:rPr>
              <w:t>’</w:t>
            </w:r>
            <w:r w:rsidR="005C607D">
              <w:rPr>
                <w:rFonts w:ascii="Arial" w:hAnsi="Arial"/>
                <w:sz w:val="24"/>
                <w:szCs w:val="24"/>
              </w:rPr>
              <w:t xml:space="preserve">s immovable property be </w:t>
            </w:r>
            <w:r w:rsidR="005C607D" w:rsidRPr="0020585E">
              <w:rPr>
                <w:rFonts w:ascii="Arial" w:hAnsi="Arial"/>
                <w:sz w:val="24"/>
                <w:szCs w:val="24"/>
              </w:rPr>
              <w:t>declared</w:t>
            </w:r>
            <w:r w:rsidR="001B2E91" w:rsidRPr="0020585E">
              <w:rPr>
                <w:rFonts w:ascii="Arial" w:hAnsi="Arial"/>
                <w:sz w:val="24"/>
                <w:szCs w:val="24"/>
              </w:rPr>
              <w:t xml:space="preserve"> </w:t>
            </w:r>
            <w:proofErr w:type="gramStart"/>
            <w:r w:rsidR="005C607D" w:rsidRPr="0020585E">
              <w:rPr>
                <w:rFonts w:ascii="Arial" w:hAnsi="Arial"/>
                <w:sz w:val="24"/>
                <w:szCs w:val="24"/>
              </w:rPr>
              <w:t>specially</w:t>
            </w:r>
            <w:proofErr w:type="gramEnd"/>
            <w:r w:rsidR="001B2E91" w:rsidRPr="0020585E">
              <w:rPr>
                <w:rFonts w:ascii="Arial" w:hAnsi="Arial"/>
                <w:sz w:val="24"/>
                <w:szCs w:val="24"/>
              </w:rPr>
              <w:t xml:space="preserve"> executable</w:t>
            </w:r>
            <w:r w:rsidR="00D870CD" w:rsidRPr="0020585E">
              <w:rPr>
                <w:rFonts w:ascii="Arial" w:hAnsi="Arial"/>
                <w:sz w:val="24"/>
                <w:szCs w:val="24"/>
              </w:rPr>
              <w:t>.</w:t>
            </w:r>
            <w:r w:rsidR="00DA42DA" w:rsidRPr="0020585E">
              <w:rPr>
                <w:rFonts w:ascii="Arial" w:hAnsi="Arial"/>
                <w:sz w:val="24"/>
                <w:szCs w:val="24"/>
              </w:rPr>
              <w:t xml:space="preserve"> The second defendant filed a consent to judgment </w:t>
            </w:r>
            <w:r w:rsidR="00192719" w:rsidRPr="0020585E">
              <w:rPr>
                <w:rFonts w:ascii="Arial" w:hAnsi="Arial"/>
                <w:sz w:val="24"/>
                <w:szCs w:val="24"/>
              </w:rPr>
              <w:t xml:space="preserve">on </w:t>
            </w:r>
            <w:r w:rsidR="00DA42DA" w:rsidRPr="0020585E">
              <w:rPr>
                <w:rFonts w:ascii="Arial" w:hAnsi="Arial"/>
                <w:sz w:val="24"/>
                <w:szCs w:val="24"/>
              </w:rPr>
              <w:t xml:space="preserve">24 January 2024. </w:t>
            </w:r>
          </w:p>
          <w:p w:rsidR="0020585E" w:rsidRDefault="0020585E" w:rsidP="008D056C">
            <w:pPr>
              <w:pStyle w:val="ListParagraph"/>
              <w:tabs>
                <w:tab w:val="left" w:pos="729"/>
              </w:tabs>
              <w:spacing w:line="360" w:lineRule="auto"/>
              <w:ind w:left="0"/>
              <w:contextualSpacing w:val="0"/>
              <w:jc w:val="both"/>
              <w:rPr>
                <w:rFonts w:ascii="Arial" w:hAnsi="Arial"/>
                <w:sz w:val="24"/>
                <w:szCs w:val="24"/>
              </w:rPr>
            </w:pPr>
          </w:p>
          <w:p w:rsidR="00613A3A" w:rsidRPr="0020585E" w:rsidRDefault="00BC235C" w:rsidP="008D056C">
            <w:pPr>
              <w:pStyle w:val="ListParagraph"/>
              <w:numPr>
                <w:ilvl w:val="0"/>
                <w:numId w:val="11"/>
              </w:numPr>
              <w:tabs>
                <w:tab w:val="left" w:pos="729"/>
              </w:tabs>
              <w:spacing w:line="360" w:lineRule="auto"/>
              <w:ind w:left="0" w:firstLine="0"/>
              <w:contextualSpacing w:val="0"/>
              <w:jc w:val="both"/>
              <w:rPr>
                <w:rFonts w:ascii="Arial" w:hAnsi="Arial"/>
                <w:sz w:val="24"/>
                <w:szCs w:val="24"/>
              </w:rPr>
            </w:pPr>
            <w:r w:rsidRPr="0020585E">
              <w:rPr>
                <w:rFonts w:ascii="Arial" w:hAnsi="Arial"/>
                <w:sz w:val="24"/>
                <w:szCs w:val="24"/>
              </w:rPr>
              <w:t>The par</w:t>
            </w:r>
            <w:r w:rsidR="00B3603F" w:rsidRPr="0020585E">
              <w:rPr>
                <w:rFonts w:ascii="Arial" w:hAnsi="Arial"/>
                <w:sz w:val="24"/>
                <w:szCs w:val="24"/>
              </w:rPr>
              <w:t>ties are referred to as</w:t>
            </w:r>
            <w:r w:rsidRPr="0020585E">
              <w:rPr>
                <w:rFonts w:ascii="Arial" w:hAnsi="Arial"/>
                <w:sz w:val="24"/>
                <w:szCs w:val="24"/>
              </w:rPr>
              <w:t xml:space="preserve"> in the main </w:t>
            </w:r>
            <w:r w:rsidR="001B2E91" w:rsidRPr="0020585E">
              <w:rPr>
                <w:rFonts w:ascii="Arial" w:hAnsi="Arial"/>
                <w:sz w:val="24"/>
                <w:szCs w:val="24"/>
              </w:rPr>
              <w:t>action</w:t>
            </w:r>
            <w:r w:rsidRPr="0020585E">
              <w:rPr>
                <w:rFonts w:ascii="Arial" w:hAnsi="Arial"/>
                <w:sz w:val="24"/>
                <w:szCs w:val="24"/>
              </w:rPr>
              <w:t>.</w:t>
            </w:r>
            <w:r w:rsidR="00F40C0D">
              <w:rPr>
                <w:rFonts w:ascii="Arial" w:hAnsi="Arial"/>
                <w:sz w:val="24"/>
                <w:szCs w:val="24"/>
              </w:rPr>
              <w:t xml:space="preserve"> The plaintiff was represented by Mr </w:t>
            </w:r>
            <w:proofErr w:type="spellStart"/>
            <w:r w:rsidR="00F40C0D">
              <w:rPr>
                <w:rFonts w:ascii="Arial" w:hAnsi="Arial"/>
                <w:sz w:val="24"/>
                <w:szCs w:val="24"/>
              </w:rPr>
              <w:t>Tjitere</w:t>
            </w:r>
            <w:proofErr w:type="spellEnd"/>
            <w:r w:rsidR="00F40C0D">
              <w:rPr>
                <w:rFonts w:ascii="Arial" w:hAnsi="Arial"/>
                <w:sz w:val="24"/>
                <w:szCs w:val="24"/>
              </w:rPr>
              <w:t>, whereas the first defendant acted in person.</w:t>
            </w:r>
          </w:p>
          <w:p w:rsidR="00F659E8" w:rsidRDefault="00F659E8" w:rsidP="008D056C">
            <w:pPr>
              <w:tabs>
                <w:tab w:val="left" w:pos="729"/>
              </w:tabs>
              <w:spacing w:line="360" w:lineRule="auto"/>
              <w:jc w:val="both"/>
              <w:rPr>
                <w:rFonts w:ascii="Arial" w:eastAsia="Times New Roman" w:hAnsi="Arial" w:cs="Arial"/>
                <w:sz w:val="24"/>
                <w:szCs w:val="24"/>
                <w:u w:val="single"/>
                <w:lang w:val="en-US"/>
              </w:rPr>
            </w:pPr>
          </w:p>
          <w:p w:rsidR="006979B3" w:rsidRPr="006979B3" w:rsidRDefault="006979B3" w:rsidP="008D056C">
            <w:pPr>
              <w:tabs>
                <w:tab w:val="left" w:pos="729"/>
              </w:tabs>
              <w:spacing w:line="360" w:lineRule="auto"/>
              <w:jc w:val="both"/>
              <w:rPr>
                <w:rFonts w:ascii="Arial" w:eastAsia="Times New Roman" w:hAnsi="Arial" w:cs="Arial"/>
                <w:sz w:val="24"/>
                <w:szCs w:val="24"/>
                <w:u w:val="single"/>
                <w:lang w:val="en-US"/>
              </w:rPr>
            </w:pPr>
            <w:r w:rsidRPr="006979B3">
              <w:rPr>
                <w:rFonts w:ascii="Arial" w:eastAsia="Times New Roman" w:hAnsi="Arial" w:cs="Arial"/>
                <w:sz w:val="24"/>
                <w:szCs w:val="24"/>
                <w:u w:val="single"/>
                <w:lang w:val="en-US"/>
              </w:rPr>
              <w:t>Background</w:t>
            </w:r>
          </w:p>
          <w:p w:rsidR="006979B3" w:rsidRPr="006979B3" w:rsidRDefault="006979B3" w:rsidP="008D056C">
            <w:pPr>
              <w:tabs>
                <w:tab w:val="left" w:pos="729"/>
              </w:tabs>
              <w:spacing w:line="360" w:lineRule="auto"/>
              <w:jc w:val="both"/>
              <w:rPr>
                <w:rFonts w:ascii="Arial" w:eastAsia="Times New Roman" w:hAnsi="Arial" w:cs="Arial"/>
                <w:sz w:val="24"/>
                <w:szCs w:val="24"/>
                <w:lang w:val="en-US"/>
              </w:rPr>
            </w:pPr>
          </w:p>
          <w:p w:rsidR="0020585E" w:rsidRPr="00DF2F93" w:rsidRDefault="00AA1AD3" w:rsidP="008D056C">
            <w:pPr>
              <w:pStyle w:val="ListParagraph"/>
              <w:numPr>
                <w:ilvl w:val="0"/>
                <w:numId w:val="11"/>
              </w:numPr>
              <w:spacing w:line="360" w:lineRule="auto"/>
              <w:ind w:left="0" w:firstLine="0"/>
              <w:contextualSpacing w:val="0"/>
              <w:jc w:val="both"/>
              <w:rPr>
                <w:rFonts w:ascii="Arial" w:hAnsi="Arial" w:cs="Arial"/>
                <w:sz w:val="24"/>
                <w:szCs w:val="24"/>
              </w:rPr>
            </w:pPr>
            <w:r w:rsidRPr="0020585E">
              <w:rPr>
                <w:rFonts w:ascii="Arial" w:hAnsi="Arial" w:cs="Arial"/>
                <w:sz w:val="24"/>
                <w:szCs w:val="24"/>
              </w:rPr>
              <w:t xml:space="preserve">The plaintiff and the </w:t>
            </w:r>
            <w:r w:rsidR="00143688">
              <w:rPr>
                <w:rFonts w:ascii="Arial" w:hAnsi="Arial" w:cs="Arial"/>
                <w:sz w:val="24"/>
                <w:szCs w:val="24"/>
              </w:rPr>
              <w:t xml:space="preserve">first and second </w:t>
            </w:r>
            <w:r w:rsidRPr="0020585E">
              <w:rPr>
                <w:rFonts w:ascii="Arial" w:hAnsi="Arial" w:cs="Arial"/>
                <w:sz w:val="24"/>
                <w:szCs w:val="24"/>
              </w:rPr>
              <w:t>defendants entered into five different wri</w:t>
            </w:r>
            <w:r w:rsidR="00893E3C">
              <w:rPr>
                <w:rFonts w:ascii="Arial" w:hAnsi="Arial" w:cs="Arial"/>
                <w:sz w:val="24"/>
                <w:szCs w:val="24"/>
              </w:rPr>
              <w:t>tten loan agreements as follows:</w:t>
            </w:r>
            <w:r w:rsidR="00162CCC" w:rsidRPr="0020585E">
              <w:rPr>
                <w:rFonts w:ascii="Arial" w:hAnsi="Arial" w:cs="Arial"/>
                <w:sz w:val="24"/>
                <w:szCs w:val="24"/>
              </w:rPr>
              <w:t xml:space="preserve"> The first agreement was entered into on</w:t>
            </w:r>
            <w:r w:rsidRPr="0020585E">
              <w:rPr>
                <w:rFonts w:ascii="Arial" w:hAnsi="Arial" w:cs="Arial"/>
                <w:sz w:val="24"/>
                <w:szCs w:val="24"/>
              </w:rPr>
              <w:t xml:space="preserve"> </w:t>
            </w:r>
            <w:r w:rsidR="00162CCC" w:rsidRPr="0020585E">
              <w:rPr>
                <w:rFonts w:ascii="Arial" w:hAnsi="Arial"/>
                <w:sz w:val="24"/>
                <w:szCs w:val="24"/>
              </w:rPr>
              <w:t xml:space="preserve">21 </w:t>
            </w:r>
            <w:r w:rsidR="00162CCC" w:rsidRPr="0020585E">
              <w:rPr>
                <w:rFonts w:ascii="Arial" w:hAnsi="Arial" w:cs="Arial"/>
                <w:sz w:val="24"/>
                <w:szCs w:val="24"/>
              </w:rPr>
              <w:t>February 2008 for an amoun</w:t>
            </w:r>
            <w:r w:rsidR="00893E3C">
              <w:rPr>
                <w:rFonts w:ascii="Arial" w:hAnsi="Arial" w:cs="Arial"/>
                <w:sz w:val="24"/>
                <w:szCs w:val="24"/>
              </w:rPr>
              <w:t>t of N$785 000 with</w:t>
            </w:r>
            <w:r w:rsidR="005C607D">
              <w:rPr>
                <w:rFonts w:ascii="Arial" w:hAnsi="Arial" w:cs="Arial"/>
                <w:sz w:val="24"/>
                <w:szCs w:val="24"/>
              </w:rPr>
              <w:t xml:space="preserve"> interest at the </w:t>
            </w:r>
            <w:r w:rsidR="00162CCC" w:rsidRPr="0020585E">
              <w:rPr>
                <w:rFonts w:ascii="Arial" w:hAnsi="Arial" w:cs="Arial"/>
                <w:sz w:val="24"/>
                <w:szCs w:val="24"/>
              </w:rPr>
              <w:t>rate of 13.25 percent per annum. The second agreement was entered into on 14 October 200</w:t>
            </w:r>
            <w:r w:rsidR="00893E3C">
              <w:rPr>
                <w:rFonts w:ascii="Arial" w:hAnsi="Arial" w:cs="Arial"/>
                <w:sz w:val="24"/>
                <w:szCs w:val="24"/>
              </w:rPr>
              <w:t>8 for an amount of N$70 000 with</w:t>
            </w:r>
            <w:r w:rsidR="00162CCC" w:rsidRPr="0020585E">
              <w:rPr>
                <w:rFonts w:ascii="Arial" w:hAnsi="Arial" w:cs="Arial"/>
                <w:sz w:val="24"/>
                <w:szCs w:val="24"/>
              </w:rPr>
              <w:t xml:space="preserve"> interest</w:t>
            </w:r>
            <w:r w:rsidR="005C607D">
              <w:rPr>
                <w:rFonts w:ascii="Arial" w:hAnsi="Arial" w:cs="Arial"/>
                <w:sz w:val="24"/>
                <w:szCs w:val="24"/>
              </w:rPr>
              <w:t xml:space="preserve"> on the</w:t>
            </w:r>
            <w:r w:rsidR="005A698F">
              <w:rPr>
                <w:rFonts w:ascii="Arial" w:hAnsi="Arial" w:cs="Arial"/>
                <w:sz w:val="24"/>
                <w:szCs w:val="24"/>
              </w:rPr>
              <w:t xml:space="preserve"> amount</w:t>
            </w:r>
            <w:r w:rsidR="005C607D">
              <w:rPr>
                <w:rFonts w:ascii="Arial" w:hAnsi="Arial" w:cs="Arial"/>
                <w:sz w:val="24"/>
                <w:szCs w:val="24"/>
              </w:rPr>
              <w:t xml:space="preserve"> at the rate </w:t>
            </w:r>
            <w:r w:rsidR="00162CCC" w:rsidRPr="0020585E">
              <w:rPr>
                <w:rFonts w:ascii="Arial" w:hAnsi="Arial" w:cs="Arial"/>
                <w:sz w:val="24"/>
                <w:szCs w:val="24"/>
              </w:rPr>
              <w:t xml:space="preserve">of 13.50 percent per annum. The third agreement was entered into on </w:t>
            </w:r>
            <w:r w:rsidR="00CB0C55" w:rsidRPr="00A23186">
              <w:rPr>
                <w:rFonts w:ascii="Arial" w:hAnsi="Arial" w:cs="Arial"/>
                <w:sz w:val="24"/>
                <w:szCs w:val="24"/>
              </w:rPr>
              <w:t>27 October 2008</w:t>
            </w:r>
            <w:r w:rsidR="00CB0C55" w:rsidRPr="0020585E">
              <w:rPr>
                <w:rFonts w:ascii="Arial" w:hAnsi="Arial" w:cs="Arial"/>
                <w:sz w:val="24"/>
                <w:szCs w:val="24"/>
              </w:rPr>
              <w:t xml:space="preserve"> fo</w:t>
            </w:r>
            <w:r w:rsidR="00DF2F93">
              <w:rPr>
                <w:rFonts w:ascii="Arial" w:hAnsi="Arial" w:cs="Arial"/>
                <w:sz w:val="24"/>
                <w:szCs w:val="24"/>
              </w:rPr>
              <w:t>r</w:t>
            </w:r>
            <w:r w:rsidR="005C607D">
              <w:rPr>
                <w:rFonts w:ascii="Arial" w:hAnsi="Arial" w:cs="Arial"/>
                <w:sz w:val="24"/>
                <w:szCs w:val="24"/>
              </w:rPr>
              <w:t xml:space="preserve"> the sum of</w:t>
            </w:r>
            <w:r w:rsidR="00CB0C55" w:rsidRPr="0020585E">
              <w:rPr>
                <w:rFonts w:ascii="Arial" w:hAnsi="Arial" w:cs="Arial"/>
                <w:sz w:val="24"/>
                <w:szCs w:val="24"/>
              </w:rPr>
              <w:t xml:space="preserve"> </w:t>
            </w:r>
            <w:r w:rsidR="00893E3C">
              <w:rPr>
                <w:rFonts w:ascii="Arial" w:hAnsi="Arial" w:cs="Arial"/>
                <w:sz w:val="24"/>
                <w:szCs w:val="24"/>
              </w:rPr>
              <w:t>N$100 000 with</w:t>
            </w:r>
            <w:r w:rsidR="00CB0C55" w:rsidRPr="0020585E">
              <w:rPr>
                <w:rFonts w:ascii="Arial" w:hAnsi="Arial" w:cs="Arial"/>
                <w:sz w:val="24"/>
                <w:szCs w:val="24"/>
              </w:rPr>
              <w:t xml:space="preserve"> interest</w:t>
            </w:r>
            <w:r w:rsidR="00DF2F93">
              <w:rPr>
                <w:rFonts w:ascii="Arial" w:hAnsi="Arial" w:cs="Arial"/>
                <w:sz w:val="24"/>
                <w:szCs w:val="24"/>
              </w:rPr>
              <w:t xml:space="preserve"> at the</w:t>
            </w:r>
            <w:r w:rsidR="00CB0C55" w:rsidRPr="0020585E">
              <w:rPr>
                <w:rFonts w:ascii="Arial" w:hAnsi="Arial" w:cs="Arial"/>
                <w:sz w:val="24"/>
                <w:szCs w:val="24"/>
              </w:rPr>
              <w:t xml:space="preserve"> rate of 8.50 percent per annum. The fourth agreement was entered into on </w:t>
            </w:r>
            <w:r w:rsidR="00CB0C55" w:rsidRPr="00A23186">
              <w:rPr>
                <w:rFonts w:ascii="Arial" w:hAnsi="Arial" w:cs="Arial"/>
                <w:sz w:val="24"/>
                <w:szCs w:val="24"/>
              </w:rPr>
              <w:t>8 April 2015</w:t>
            </w:r>
            <w:r w:rsidR="00CB0C55" w:rsidRPr="0020585E">
              <w:rPr>
                <w:rFonts w:ascii="Arial" w:hAnsi="Arial" w:cs="Arial"/>
                <w:sz w:val="24"/>
                <w:szCs w:val="24"/>
              </w:rPr>
              <w:t xml:space="preserve"> for</w:t>
            </w:r>
            <w:r w:rsidR="00893E3C">
              <w:rPr>
                <w:rFonts w:ascii="Arial" w:hAnsi="Arial" w:cs="Arial"/>
                <w:sz w:val="24"/>
                <w:szCs w:val="24"/>
              </w:rPr>
              <w:t xml:space="preserve"> the sum of N$450 000 with</w:t>
            </w:r>
            <w:r w:rsidR="00CB0C55" w:rsidRPr="00DF2F93">
              <w:rPr>
                <w:rFonts w:ascii="Arial" w:hAnsi="Arial" w:cs="Arial"/>
                <w:sz w:val="24"/>
                <w:szCs w:val="24"/>
              </w:rPr>
              <w:t xml:space="preserve"> interest</w:t>
            </w:r>
            <w:r w:rsidR="00893E3C">
              <w:rPr>
                <w:rFonts w:ascii="Arial" w:hAnsi="Arial" w:cs="Arial"/>
                <w:sz w:val="24"/>
                <w:szCs w:val="24"/>
              </w:rPr>
              <w:t xml:space="preserve"> at the</w:t>
            </w:r>
            <w:r w:rsidR="00CB0C55" w:rsidRPr="00DF2F93">
              <w:rPr>
                <w:rFonts w:ascii="Arial" w:hAnsi="Arial" w:cs="Arial"/>
                <w:sz w:val="24"/>
                <w:szCs w:val="24"/>
              </w:rPr>
              <w:t xml:space="preserve"> rate of 9.25 percent per annum. The fifth agreement was entered into on </w:t>
            </w:r>
            <w:r w:rsidR="00CB0C55" w:rsidRPr="00A23186">
              <w:rPr>
                <w:rFonts w:ascii="Arial" w:hAnsi="Arial" w:cs="Arial"/>
                <w:sz w:val="24"/>
                <w:szCs w:val="24"/>
              </w:rPr>
              <w:t>20 September 2016</w:t>
            </w:r>
            <w:r w:rsidR="00CB0C55" w:rsidRPr="00DF2F93">
              <w:rPr>
                <w:rFonts w:ascii="Arial" w:hAnsi="Arial" w:cs="Arial"/>
                <w:sz w:val="24"/>
                <w:szCs w:val="24"/>
              </w:rPr>
              <w:t xml:space="preserve"> for</w:t>
            </w:r>
            <w:r w:rsidR="00893E3C">
              <w:rPr>
                <w:rFonts w:ascii="Arial" w:hAnsi="Arial" w:cs="Arial"/>
                <w:sz w:val="24"/>
                <w:szCs w:val="24"/>
              </w:rPr>
              <w:t xml:space="preserve"> the sum of N$220 000 with</w:t>
            </w:r>
            <w:r w:rsidR="00CB0C55" w:rsidRPr="00DF2F93">
              <w:rPr>
                <w:rFonts w:ascii="Arial" w:hAnsi="Arial" w:cs="Arial"/>
                <w:sz w:val="24"/>
                <w:szCs w:val="24"/>
              </w:rPr>
              <w:t xml:space="preserve"> interest </w:t>
            </w:r>
            <w:r w:rsidR="00893E3C">
              <w:rPr>
                <w:rFonts w:ascii="Arial" w:hAnsi="Arial" w:cs="Arial"/>
                <w:sz w:val="24"/>
                <w:szCs w:val="24"/>
              </w:rPr>
              <w:t xml:space="preserve">at the rate </w:t>
            </w:r>
            <w:r w:rsidR="00CB0C55" w:rsidRPr="00DF2F93">
              <w:rPr>
                <w:rFonts w:ascii="Arial" w:hAnsi="Arial" w:cs="Arial"/>
                <w:sz w:val="24"/>
                <w:szCs w:val="24"/>
              </w:rPr>
              <w:t>of 9.25 percent per annum.</w:t>
            </w:r>
          </w:p>
          <w:p w:rsidR="0020585E" w:rsidRDefault="0020585E" w:rsidP="008D056C">
            <w:pPr>
              <w:pStyle w:val="ListParagraph"/>
              <w:spacing w:line="360" w:lineRule="auto"/>
              <w:ind w:left="0"/>
              <w:contextualSpacing w:val="0"/>
              <w:jc w:val="both"/>
              <w:rPr>
                <w:rFonts w:ascii="Arial" w:hAnsi="Arial" w:cs="Arial"/>
                <w:sz w:val="24"/>
                <w:szCs w:val="24"/>
              </w:rPr>
            </w:pPr>
          </w:p>
          <w:p w:rsidR="0020585E" w:rsidRPr="0020585E" w:rsidRDefault="00F53134" w:rsidP="008D056C">
            <w:pPr>
              <w:pStyle w:val="ListParagraph"/>
              <w:numPr>
                <w:ilvl w:val="0"/>
                <w:numId w:val="11"/>
              </w:numPr>
              <w:spacing w:line="360" w:lineRule="auto"/>
              <w:ind w:left="0" w:firstLine="0"/>
              <w:contextualSpacing w:val="0"/>
              <w:jc w:val="both"/>
              <w:rPr>
                <w:rFonts w:ascii="Arial" w:hAnsi="Arial" w:cs="Arial"/>
                <w:sz w:val="24"/>
                <w:szCs w:val="24"/>
              </w:rPr>
            </w:pPr>
            <w:r w:rsidRPr="0020585E">
              <w:rPr>
                <w:rFonts w:ascii="Arial" w:hAnsi="Arial"/>
                <w:sz w:val="24"/>
                <w:szCs w:val="24"/>
              </w:rPr>
              <w:t>As security for the loan agreements</w:t>
            </w:r>
            <w:r w:rsidR="00893E3C">
              <w:rPr>
                <w:rFonts w:ascii="Arial" w:hAnsi="Arial"/>
                <w:sz w:val="24"/>
                <w:szCs w:val="24"/>
              </w:rPr>
              <w:t>,</w:t>
            </w:r>
            <w:r w:rsidRPr="0020585E">
              <w:rPr>
                <w:rFonts w:ascii="Arial" w:hAnsi="Arial"/>
                <w:sz w:val="24"/>
                <w:szCs w:val="24"/>
              </w:rPr>
              <w:t xml:space="preserve"> the defendants caused registration of first, second, third, four</w:t>
            </w:r>
            <w:r w:rsidR="002923B9" w:rsidRPr="0020585E">
              <w:rPr>
                <w:rFonts w:ascii="Arial" w:hAnsi="Arial"/>
                <w:sz w:val="24"/>
                <w:szCs w:val="24"/>
              </w:rPr>
              <w:t>t</w:t>
            </w:r>
            <w:r w:rsidRPr="0020585E">
              <w:rPr>
                <w:rFonts w:ascii="Arial" w:hAnsi="Arial"/>
                <w:sz w:val="24"/>
                <w:szCs w:val="24"/>
              </w:rPr>
              <w:t>h and fifth mortgage bonds</w:t>
            </w:r>
            <w:r w:rsidR="00DF2F93">
              <w:rPr>
                <w:rFonts w:ascii="Arial" w:hAnsi="Arial"/>
                <w:sz w:val="24"/>
                <w:szCs w:val="24"/>
              </w:rPr>
              <w:t xml:space="preserve"> over their immovable property being Erf 281 , Klein </w:t>
            </w:r>
            <w:proofErr w:type="spellStart"/>
            <w:r w:rsidR="00DF2F93">
              <w:rPr>
                <w:rFonts w:ascii="Arial" w:hAnsi="Arial"/>
                <w:sz w:val="24"/>
                <w:szCs w:val="24"/>
              </w:rPr>
              <w:t>Kuppe</w:t>
            </w:r>
            <w:proofErr w:type="spellEnd"/>
            <w:r w:rsidR="00DF2F93">
              <w:rPr>
                <w:rFonts w:ascii="Arial" w:hAnsi="Arial"/>
                <w:sz w:val="24"/>
                <w:szCs w:val="24"/>
              </w:rPr>
              <w:t xml:space="preserve">, </w:t>
            </w:r>
            <w:r w:rsidR="00DF2F93">
              <w:rPr>
                <w:rFonts w:ascii="Arial" w:hAnsi="Arial"/>
                <w:sz w:val="24"/>
                <w:szCs w:val="24"/>
              </w:rPr>
              <w:lastRenderedPageBreak/>
              <w:t>Windhoek,</w:t>
            </w:r>
            <w:r w:rsidRPr="0020585E">
              <w:rPr>
                <w:rFonts w:ascii="Arial" w:hAnsi="Arial"/>
                <w:sz w:val="24"/>
                <w:szCs w:val="24"/>
              </w:rPr>
              <w:t xml:space="preserve"> in favour of the plaintiff</w:t>
            </w:r>
            <w:r w:rsidR="002923B9" w:rsidRPr="0020585E">
              <w:rPr>
                <w:rFonts w:ascii="Arial" w:hAnsi="Arial"/>
                <w:sz w:val="24"/>
                <w:szCs w:val="24"/>
              </w:rPr>
              <w:t xml:space="preserve">, numbered B1186/2008, B6557/2008, B1589/2015, B4846/2016 and </w:t>
            </w:r>
            <w:r w:rsidR="00D8730C" w:rsidRPr="0020585E">
              <w:rPr>
                <w:rFonts w:ascii="Arial" w:hAnsi="Arial"/>
                <w:sz w:val="24"/>
                <w:szCs w:val="24"/>
              </w:rPr>
              <w:t>B</w:t>
            </w:r>
            <w:r w:rsidR="002923B9" w:rsidRPr="0020585E">
              <w:rPr>
                <w:rFonts w:ascii="Arial" w:hAnsi="Arial"/>
                <w:sz w:val="24"/>
                <w:szCs w:val="24"/>
              </w:rPr>
              <w:t>2674/2017</w:t>
            </w:r>
            <w:r w:rsidR="00D8730C" w:rsidRPr="0020585E">
              <w:rPr>
                <w:rFonts w:ascii="Arial" w:hAnsi="Arial"/>
                <w:sz w:val="24"/>
                <w:szCs w:val="24"/>
              </w:rPr>
              <w:t>.</w:t>
            </w:r>
          </w:p>
          <w:p w:rsidR="0020585E" w:rsidRPr="0020585E" w:rsidRDefault="0020585E" w:rsidP="008D056C">
            <w:pPr>
              <w:pStyle w:val="ListParagraph"/>
              <w:spacing w:line="360" w:lineRule="auto"/>
              <w:rPr>
                <w:rFonts w:ascii="Arial" w:hAnsi="Arial" w:cs="Arial"/>
                <w:sz w:val="24"/>
                <w:szCs w:val="24"/>
              </w:rPr>
            </w:pPr>
          </w:p>
          <w:p w:rsidR="0020585E" w:rsidRDefault="00C85783"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In addition to the continuing covering bonds registered over their immovable property, t</w:t>
            </w:r>
            <w:r w:rsidR="00C5692B" w:rsidRPr="0020585E">
              <w:rPr>
                <w:rFonts w:ascii="Arial" w:hAnsi="Arial" w:cs="Arial"/>
                <w:sz w:val="24"/>
                <w:szCs w:val="24"/>
              </w:rPr>
              <w:t>he defendants executed deeds of suretyship on 22 January 2008 and bound themselves</w:t>
            </w:r>
            <w:r w:rsidR="0082768F" w:rsidRPr="0020585E">
              <w:rPr>
                <w:rFonts w:ascii="Arial" w:hAnsi="Arial" w:cs="Arial"/>
                <w:sz w:val="24"/>
                <w:szCs w:val="24"/>
              </w:rPr>
              <w:t xml:space="preserve"> jointly and severally</w:t>
            </w:r>
            <w:r>
              <w:rPr>
                <w:rFonts w:ascii="Arial" w:hAnsi="Arial" w:cs="Arial"/>
                <w:sz w:val="24"/>
                <w:szCs w:val="24"/>
              </w:rPr>
              <w:t xml:space="preserve"> as sureties</w:t>
            </w:r>
            <w:r w:rsidR="00C5692B" w:rsidRPr="0020585E">
              <w:rPr>
                <w:rFonts w:ascii="Arial" w:hAnsi="Arial" w:cs="Arial"/>
                <w:sz w:val="24"/>
                <w:szCs w:val="24"/>
              </w:rPr>
              <w:t xml:space="preserve"> and co-principal debtors</w:t>
            </w:r>
            <w:r w:rsidR="0082768F" w:rsidRPr="0020585E">
              <w:rPr>
                <w:rFonts w:ascii="Arial" w:hAnsi="Arial" w:cs="Arial"/>
                <w:sz w:val="24"/>
                <w:szCs w:val="24"/>
              </w:rPr>
              <w:t xml:space="preserve"> </w:t>
            </w:r>
            <w:r w:rsidR="0082768F" w:rsidRPr="00893E3C">
              <w:rPr>
                <w:rFonts w:ascii="Arial" w:hAnsi="Arial" w:cs="Arial"/>
                <w:i/>
                <w:sz w:val="24"/>
                <w:szCs w:val="24"/>
              </w:rPr>
              <w:t xml:space="preserve">in </w:t>
            </w:r>
            <w:proofErr w:type="spellStart"/>
            <w:r w:rsidR="0082768F" w:rsidRPr="00893E3C">
              <w:rPr>
                <w:rFonts w:ascii="Arial" w:hAnsi="Arial" w:cs="Arial"/>
                <w:i/>
                <w:sz w:val="24"/>
                <w:szCs w:val="24"/>
              </w:rPr>
              <w:t>solidum</w:t>
            </w:r>
            <w:proofErr w:type="spellEnd"/>
            <w:r w:rsidR="0082768F" w:rsidRPr="0020585E">
              <w:rPr>
                <w:rFonts w:ascii="Arial" w:hAnsi="Arial" w:cs="Arial"/>
                <w:sz w:val="24"/>
                <w:szCs w:val="24"/>
              </w:rPr>
              <w:t xml:space="preserve"> for the repayment on demand of all or any sum of money</w:t>
            </w:r>
            <w:r w:rsidR="00893E3C">
              <w:rPr>
                <w:rFonts w:ascii="Arial" w:hAnsi="Arial" w:cs="Arial"/>
                <w:sz w:val="24"/>
                <w:szCs w:val="24"/>
              </w:rPr>
              <w:t xml:space="preserve"> due to the Nedbank</w:t>
            </w:r>
            <w:r w:rsidR="00C5692B" w:rsidRPr="0020585E">
              <w:rPr>
                <w:rFonts w:ascii="Arial" w:hAnsi="Arial" w:cs="Arial"/>
                <w:sz w:val="24"/>
                <w:szCs w:val="24"/>
              </w:rPr>
              <w:t>.</w:t>
            </w:r>
          </w:p>
          <w:p w:rsidR="0020585E" w:rsidRPr="0020585E" w:rsidRDefault="0020585E" w:rsidP="008D056C">
            <w:pPr>
              <w:pStyle w:val="ListParagraph"/>
              <w:spacing w:line="360" w:lineRule="auto"/>
              <w:rPr>
                <w:rFonts w:ascii="Arial" w:hAnsi="Arial" w:cs="Arial"/>
                <w:sz w:val="24"/>
                <w:szCs w:val="24"/>
              </w:rPr>
            </w:pPr>
          </w:p>
          <w:p w:rsidR="0020585E" w:rsidRDefault="00AC57AC" w:rsidP="008D056C">
            <w:pPr>
              <w:pStyle w:val="ListParagraph"/>
              <w:numPr>
                <w:ilvl w:val="0"/>
                <w:numId w:val="11"/>
              </w:numPr>
              <w:spacing w:line="360" w:lineRule="auto"/>
              <w:ind w:left="0" w:firstLine="0"/>
              <w:contextualSpacing w:val="0"/>
              <w:jc w:val="both"/>
              <w:rPr>
                <w:rFonts w:ascii="Arial" w:hAnsi="Arial" w:cs="Arial"/>
                <w:sz w:val="24"/>
                <w:szCs w:val="24"/>
              </w:rPr>
            </w:pPr>
            <w:r w:rsidRPr="0020585E">
              <w:rPr>
                <w:rFonts w:ascii="Arial" w:hAnsi="Arial" w:cs="Arial"/>
                <w:sz w:val="24"/>
                <w:szCs w:val="24"/>
              </w:rPr>
              <w:t xml:space="preserve">The defendants breached the agreements by failing to pay the </w:t>
            </w:r>
            <w:r w:rsidR="00D053B4" w:rsidRPr="0020585E">
              <w:rPr>
                <w:rFonts w:ascii="Arial" w:hAnsi="Arial" w:cs="Arial"/>
                <w:sz w:val="24"/>
                <w:szCs w:val="24"/>
              </w:rPr>
              <w:t>mon</w:t>
            </w:r>
            <w:r w:rsidR="00893E3C">
              <w:rPr>
                <w:rFonts w:ascii="Arial" w:hAnsi="Arial" w:cs="Arial"/>
                <w:sz w:val="24"/>
                <w:szCs w:val="24"/>
              </w:rPr>
              <w:t>thly instalments and were</w:t>
            </w:r>
            <w:r w:rsidR="00D053B4" w:rsidRPr="0020585E">
              <w:rPr>
                <w:rFonts w:ascii="Arial" w:hAnsi="Arial" w:cs="Arial"/>
                <w:sz w:val="24"/>
                <w:szCs w:val="24"/>
              </w:rPr>
              <w:t xml:space="preserve"> in arr</w:t>
            </w:r>
            <w:r w:rsidR="00143688">
              <w:rPr>
                <w:rFonts w:ascii="Arial" w:hAnsi="Arial" w:cs="Arial"/>
                <w:sz w:val="24"/>
                <w:szCs w:val="24"/>
              </w:rPr>
              <w:t>ears in the amount of N$153 337</w:t>
            </w:r>
            <w:proofErr w:type="gramStart"/>
            <w:r w:rsidR="00143688">
              <w:rPr>
                <w:rFonts w:ascii="Arial" w:hAnsi="Arial" w:cs="Arial"/>
                <w:sz w:val="24"/>
                <w:szCs w:val="24"/>
              </w:rPr>
              <w:t>,</w:t>
            </w:r>
            <w:r w:rsidR="00893E3C">
              <w:rPr>
                <w:rFonts w:ascii="Arial" w:hAnsi="Arial" w:cs="Arial"/>
                <w:sz w:val="24"/>
                <w:szCs w:val="24"/>
              </w:rPr>
              <w:t>15</w:t>
            </w:r>
            <w:proofErr w:type="gramEnd"/>
            <w:r w:rsidR="00893E3C">
              <w:rPr>
                <w:rFonts w:ascii="Arial" w:hAnsi="Arial" w:cs="Arial"/>
                <w:sz w:val="24"/>
                <w:szCs w:val="24"/>
              </w:rPr>
              <w:t xml:space="preserve"> as at</w:t>
            </w:r>
            <w:r w:rsidR="00D053B4" w:rsidRPr="0020585E">
              <w:rPr>
                <w:rFonts w:ascii="Arial" w:hAnsi="Arial" w:cs="Arial"/>
                <w:sz w:val="24"/>
                <w:szCs w:val="24"/>
              </w:rPr>
              <w:t xml:space="preserve"> 5 July 2023</w:t>
            </w:r>
            <w:r w:rsidR="00DC2626" w:rsidRPr="0020585E">
              <w:rPr>
                <w:rFonts w:ascii="Arial" w:hAnsi="Arial" w:cs="Arial"/>
                <w:sz w:val="24"/>
                <w:szCs w:val="24"/>
              </w:rPr>
              <w:t>. As a result of the defendants</w:t>
            </w:r>
            <w:r w:rsidR="00893E3C">
              <w:rPr>
                <w:rFonts w:ascii="Arial" w:hAnsi="Arial" w:cs="Arial"/>
                <w:sz w:val="24"/>
                <w:szCs w:val="24"/>
              </w:rPr>
              <w:t>’</w:t>
            </w:r>
            <w:r w:rsidR="00DC2626" w:rsidRPr="0020585E">
              <w:rPr>
                <w:rFonts w:ascii="Arial" w:hAnsi="Arial" w:cs="Arial"/>
                <w:sz w:val="24"/>
                <w:szCs w:val="24"/>
              </w:rPr>
              <w:t xml:space="preserve"> </w:t>
            </w:r>
            <w:r w:rsidR="00DC7DE1" w:rsidRPr="0020585E">
              <w:rPr>
                <w:rFonts w:ascii="Arial" w:hAnsi="Arial" w:cs="Arial"/>
                <w:sz w:val="24"/>
                <w:szCs w:val="24"/>
              </w:rPr>
              <w:t>breach the</w:t>
            </w:r>
            <w:r w:rsidR="00DC2626" w:rsidRPr="0020585E">
              <w:rPr>
                <w:rFonts w:ascii="Arial" w:hAnsi="Arial" w:cs="Arial"/>
                <w:sz w:val="24"/>
                <w:szCs w:val="24"/>
              </w:rPr>
              <w:t xml:space="preserve"> plaintiff instituted proceedings against the defendants for the full outstanding balan</w:t>
            </w:r>
            <w:r w:rsidR="00143688">
              <w:rPr>
                <w:rFonts w:ascii="Arial" w:hAnsi="Arial" w:cs="Arial"/>
                <w:sz w:val="24"/>
                <w:szCs w:val="24"/>
              </w:rPr>
              <w:t>ce in the amount of N$1 618 040,</w:t>
            </w:r>
            <w:r w:rsidR="00893E3C">
              <w:rPr>
                <w:rFonts w:ascii="Arial" w:hAnsi="Arial" w:cs="Arial"/>
                <w:sz w:val="24"/>
                <w:szCs w:val="24"/>
              </w:rPr>
              <w:t>15</w:t>
            </w:r>
            <w:r w:rsidR="00DC2626" w:rsidRPr="0020585E">
              <w:rPr>
                <w:rFonts w:ascii="Arial" w:hAnsi="Arial" w:cs="Arial"/>
                <w:sz w:val="24"/>
                <w:szCs w:val="24"/>
              </w:rPr>
              <w:t>, including compounded interest calculated daily and ca</w:t>
            </w:r>
            <w:r w:rsidR="005045E0">
              <w:rPr>
                <w:rFonts w:ascii="Arial" w:hAnsi="Arial" w:cs="Arial"/>
                <w:sz w:val="24"/>
                <w:szCs w:val="24"/>
              </w:rPr>
              <w:t>pitalized monthly at Nedbank’s</w:t>
            </w:r>
            <w:r w:rsidR="00DC2626" w:rsidRPr="0020585E">
              <w:rPr>
                <w:rFonts w:ascii="Arial" w:hAnsi="Arial" w:cs="Arial"/>
                <w:sz w:val="24"/>
                <w:szCs w:val="24"/>
              </w:rPr>
              <w:t xml:space="preserve"> mortg</w:t>
            </w:r>
            <w:r w:rsidR="004572D4" w:rsidRPr="0020585E">
              <w:rPr>
                <w:rFonts w:ascii="Arial" w:hAnsi="Arial" w:cs="Arial"/>
                <w:sz w:val="24"/>
                <w:szCs w:val="24"/>
              </w:rPr>
              <w:t>a</w:t>
            </w:r>
            <w:r w:rsidR="00DC2626" w:rsidRPr="0020585E">
              <w:rPr>
                <w:rFonts w:ascii="Arial" w:hAnsi="Arial" w:cs="Arial"/>
                <w:sz w:val="24"/>
                <w:szCs w:val="24"/>
              </w:rPr>
              <w:t>ge lendi</w:t>
            </w:r>
            <w:r w:rsidR="00C85783">
              <w:rPr>
                <w:rFonts w:ascii="Arial" w:hAnsi="Arial" w:cs="Arial"/>
                <w:sz w:val="24"/>
                <w:szCs w:val="24"/>
              </w:rPr>
              <w:t xml:space="preserve">ng </w:t>
            </w:r>
            <w:r w:rsidR="005045E0">
              <w:rPr>
                <w:rFonts w:ascii="Arial" w:hAnsi="Arial" w:cs="Arial"/>
                <w:sz w:val="24"/>
                <w:szCs w:val="24"/>
              </w:rPr>
              <w:t>rate of the interest which was at the time</w:t>
            </w:r>
            <w:r w:rsidR="000F659F">
              <w:rPr>
                <w:rFonts w:ascii="Arial" w:hAnsi="Arial" w:cs="Arial"/>
                <w:sz w:val="24"/>
                <w:szCs w:val="24"/>
              </w:rPr>
              <w:t>18.40 percent</w:t>
            </w:r>
            <w:r w:rsidR="004572D4" w:rsidRPr="0020585E">
              <w:rPr>
                <w:rFonts w:ascii="Arial" w:hAnsi="Arial" w:cs="Arial"/>
                <w:sz w:val="24"/>
                <w:szCs w:val="24"/>
              </w:rPr>
              <w:t xml:space="preserve"> per annum up to 5 July 2023.</w:t>
            </w:r>
            <w:r w:rsidR="00C85783">
              <w:rPr>
                <w:rFonts w:ascii="Arial" w:hAnsi="Arial" w:cs="Arial"/>
                <w:sz w:val="24"/>
                <w:szCs w:val="24"/>
              </w:rPr>
              <w:t xml:space="preserve"> In terms of the agreement the certificate</w:t>
            </w:r>
            <w:r w:rsidR="005045E0">
              <w:rPr>
                <w:rFonts w:ascii="Arial" w:hAnsi="Arial" w:cs="Arial"/>
                <w:sz w:val="24"/>
                <w:szCs w:val="24"/>
              </w:rPr>
              <w:t xml:space="preserve"> of balance owed and issued by the bank</w:t>
            </w:r>
            <w:r w:rsidR="00C85783">
              <w:rPr>
                <w:rFonts w:ascii="Arial" w:hAnsi="Arial" w:cs="Arial"/>
                <w:sz w:val="24"/>
                <w:szCs w:val="24"/>
              </w:rPr>
              <w:t xml:space="preserve"> co</w:t>
            </w:r>
            <w:r w:rsidR="005045E0">
              <w:rPr>
                <w:rFonts w:ascii="Arial" w:hAnsi="Arial" w:cs="Arial"/>
                <w:sz w:val="24"/>
                <w:szCs w:val="24"/>
              </w:rPr>
              <w:t>nstitutes</w:t>
            </w:r>
            <w:r w:rsidR="00C85783">
              <w:rPr>
                <w:rFonts w:ascii="Arial" w:hAnsi="Arial" w:cs="Arial"/>
                <w:sz w:val="24"/>
                <w:szCs w:val="24"/>
              </w:rPr>
              <w:t xml:space="preserve"> </w:t>
            </w:r>
            <w:r w:rsidR="00C85783" w:rsidRPr="005045E0">
              <w:rPr>
                <w:rFonts w:ascii="Arial" w:hAnsi="Arial" w:cs="Arial"/>
                <w:i/>
                <w:sz w:val="24"/>
                <w:szCs w:val="24"/>
              </w:rPr>
              <w:t>prima facie</w:t>
            </w:r>
            <w:r w:rsidR="00C85783">
              <w:rPr>
                <w:rFonts w:ascii="Arial" w:hAnsi="Arial" w:cs="Arial"/>
                <w:sz w:val="24"/>
                <w:szCs w:val="24"/>
              </w:rPr>
              <w:t xml:space="preserve"> proof of the defendants’ indebt</w:t>
            </w:r>
            <w:r w:rsidR="008766EE">
              <w:rPr>
                <w:rFonts w:ascii="Arial" w:hAnsi="Arial" w:cs="Arial"/>
                <w:sz w:val="24"/>
                <w:szCs w:val="24"/>
              </w:rPr>
              <w:t>ed</w:t>
            </w:r>
            <w:r w:rsidR="00C85783">
              <w:rPr>
                <w:rFonts w:ascii="Arial" w:hAnsi="Arial" w:cs="Arial"/>
                <w:sz w:val="24"/>
                <w:szCs w:val="24"/>
              </w:rPr>
              <w:t>ness to the plaintiff.</w:t>
            </w:r>
          </w:p>
          <w:p w:rsidR="0020585E" w:rsidRPr="0020585E" w:rsidRDefault="0020585E" w:rsidP="008D056C">
            <w:pPr>
              <w:pStyle w:val="ListParagraph"/>
              <w:spacing w:line="360" w:lineRule="auto"/>
              <w:rPr>
                <w:rFonts w:ascii="Arial" w:hAnsi="Arial" w:cs="Arial"/>
                <w:sz w:val="24"/>
                <w:szCs w:val="24"/>
              </w:rPr>
            </w:pPr>
          </w:p>
          <w:p w:rsidR="00FB32DE" w:rsidRDefault="005045E0"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On 17 August 2023</w:t>
            </w:r>
            <w:r w:rsidR="00A90166">
              <w:rPr>
                <w:rFonts w:ascii="Arial" w:hAnsi="Arial" w:cs="Arial"/>
                <w:sz w:val="24"/>
                <w:szCs w:val="24"/>
              </w:rPr>
              <w:t xml:space="preserve"> t</w:t>
            </w:r>
            <w:r w:rsidR="00F92396" w:rsidRPr="0020585E">
              <w:rPr>
                <w:rFonts w:ascii="Arial" w:hAnsi="Arial" w:cs="Arial"/>
                <w:sz w:val="24"/>
                <w:szCs w:val="24"/>
              </w:rPr>
              <w:t xml:space="preserve">he </w:t>
            </w:r>
            <w:r w:rsidR="00A90166">
              <w:rPr>
                <w:rFonts w:ascii="Arial" w:hAnsi="Arial" w:cs="Arial"/>
                <w:sz w:val="24"/>
                <w:szCs w:val="24"/>
              </w:rPr>
              <w:t>plaintiff sued out summons</w:t>
            </w:r>
            <w:r>
              <w:rPr>
                <w:rFonts w:ascii="Arial" w:hAnsi="Arial" w:cs="Arial"/>
                <w:sz w:val="24"/>
                <w:szCs w:val="24"/>
              </w:rPr>
              <w:t xml:space="preserve"> against the defendants claiming payment of the sum of N$1 618 040 15</w:t>
            </w:r>
            <w:r w:rsidR="00F76217" w:rsidRPr="0020585E">
              <w:rPr>
                <w:rFonts w:ascii="Arial" w:hAnsi="Arial" w:cs="Arial"/>
                <w:sz w:val="24"/>
                <w:szCs w:val="24"/>
              </w:rPr>
              <w:t xml:space="preserve"> August 2023</w:t>
            </w:r>
            <w:r w:rsidR="0020585E">
              <w:rPr>
                <w:rFonts w:ascii="Arial" w:hAnsi="Arial" w:cs="Arial"/>
                <w:sz w:val="24"/>
                <w:szCs w:val="24"/>
              </w:rPr>
              <w:t>.</w:t>
            </w:r>
            <w:r w:rsidR="00AE6876" w:rsidRPr="0020585E">
              <w:rPr>
                <w:rFonts w:ascii="Arial" w:hAnsi="Arial" w:cs="Arial"/>
                <w:sz w:val="24"/>
                <w:szCs w:val="24"/>
              </w:rPr>
              <w:t xml:space="preserve"> The</w:t>
            </w:r>
            <w:r>
              <w:rPr>
                <w:rFonts w:ascii="Arial" w:hAnsi="Arial" w:cs="Arial"/>
                <w:sz w:val="24"/>
                <w:szCs w:val="24"/>
              </w:rPr>
              <w:t>reafter the</w:t>
            </w:r>
            <w:r w:rsidR="00AE6876" w:rsidRPr="0020585E">
              <w:rPr>
                <w:rFonts w:ascii="Arial" w:hAnsi="Arial" w:cs="Arial"/>
                <w:sz w:val="24"/>
                <w:szCs w:val="24"/>
              </w:rPr>
              <w:t xml:space="preserve"> defendants filed</w:t>
            </w:r>
            <w:r>
              <w:rPr>
                <w:rFonts w:ascii="Arial" w:hAnsi="Arial" w:cs="Arial"/>
                <w:sz w:val="24"/>
                <w:szCs w:val="24"/>
              </w:rPr>
              <w:t xml:space="preserve"> their</w:t>
            </w:r>
            <w:r w:rsidR="00AE6876" w:rsidRPr="0020585E">
              <w:rPr>
                <w:rFonts w:ascii="Arial" w:hAnsi="Arial" w:cs="Arial"/>
                <w:sz w:val="24"/>
                <w:szCs w:val="24"/>
              </w:rPr>
              <w:t xml:space="preserve"> notice of intention </w:t>
            </w:r>
            <w:r>
              <w:rPr>
                <w:rFonts w:ascii="Arial" w:hAnsi="Arial" w:cs="Arial"/>
                <w:sz w:val="24"/>
                <w:szCs w:val="24"/>
              </w:rPr>
              <w:t xml:space="preserve">defend </w:t>
            </w:r>
            <w:r w:rsidR="00AE6876" w:rsidRPr="0020585E">
              <w:rPr>
                <w:rFonts w:ascii="Arial" w:hAnsi="Arial" w:cs="Arial"/>
                <w:sz w:val="24"/>
                <w:szCs w:val="24"/>
              </w:rPr>
              <w:t>on 31 October 2023.</w:t>
            </w:r>
            <w:r w:rsidR="00514388" w:rsidRPr="0020585E">
              <w:rPr>
                <w:rFonts w:ascii="Arial" w:hAnsi="Arial" w:cs="Arial"/>
                <w:sz w:val="24"/>
                <w:szCs w:val="24"/>
              </w:rPr>
              <w:t xml:space="preserve"> </w:t>
            </w:r>
            <w:r w:rsidR="00100422">
              <w:rPr>
                <w:rFonts w:ascii="Arial" w:hAnsi="Arial" w:cs="Arial"/>
                <w:sz w:val="24"/>
                <w:szCs w:val="24"/>
              </w:rPr>
              <w:t>On 14 November 2023 the plaintiff informed the court of its intention to apply for summary judgment. The parties engaged</w:t>
            </w:r>
            <w:r w:rsidR="00A90166">
              <w:rPr>
                <w:rFonts w:ascii="Arial" w:hAnsi="Arial" w:cs="Arial"/>
                <w:sz w:val="24"/>
                <w:szCs w:val="24"/>
              </w:rPr>
              <w:t xml:space="preserve"> each other</w:t>
            </w:r>
            <w:r w:rsidR="00100422">
              <w:rPr>
                <w:rFonts w:ascii="Arial" w:hAnsi="Arial" w:cs="Arial"/>
                <w:sz w:val="24"/>
                <w:szCs w:val="24"/>
              </w:rPr>
              <w:t xml:space="preserve"> in terms of rule 32(9) </w:t>
            </w:r>
            <w:r w:rsidR="00A90166">
              <w:rPr>
                <w:rFonts w:ascii="Arial" w:hAnsi="Arial" w:cs="Arial"/>
                <w:sz w:val="24"/>
                <w:szCs w:val="24"/>
              </w:rPr>
              <w:t>in an attempt to find an amicable solution to the dispute.</w:t>
            </w:r>
          </w:p>
          <w:p w:rsidR="00FB32DE" w:rsidRPr="00FB32DE" w:rsidRDefault="00FB32DE" w:rsidP="008D056C">
            <w:pPr>
              <w:pStyle w:val="ListParagraph"/>
              <w:spacing w:line="360" w:lineRule="auto"/>
              <w:rPr>
                <w:rFonts w:ascii="Arial" w:hAnsi="Arial" w:cs="Arial"/>
                <w:sz w:val="24"/>
                <w:szCs w:val="24"/>
              </w:rPr>
            </w:pPr>
          </w:p>
          <w:p w:rsidR="00C9152D" w:rsidRPr="008766EE" w:rsidRDefault="00A90166" w:rsidP="008D056C">
            <w:pPr>
              <w:pStyle w:val="ListParagraph"/>
              <w:numPr>
                <w:ilvl w:val="0"/>
                <w:numId w:val="11"/>
              </w:numPr>
              <w:spacing w:line="360" w:lineRule="auto"/>
              <w:ind w:left="0" w:firstLine="0"/>
              <w:contextualSpacing w:val="0"/>
              <w:jc w:val="both"/>
              <w:rPr>
                <w:rFonts w:ascii="Arial" w:hAnsi="Arial" w:cs="Arial"/>
                <w:sz w:val="24"/>
                <w:szCs w:val="24"/>
              </w:rPr>
            </w:pPr>
            <w:r w:rsidRPr="00C9152D">
              <w:rPr>
                <w:rFonts w:ascii="Arial" w:hAnsi="Arial" w:cs="Arial"/>
                <w:sz w:val="24"/>
                <w:szCs w:val="24"/>
              </w:rPr>
              <w:t>Thereafter</w:t>
            </w:r>
            <w:r w:rsidR="00100422" w:rsidRPr="00C9152D">
              <w:rPr>
                <w:rFonts w:ascii="Arial" w:hAnsi="Arial" w:cs="Arial"/>
                <w:sz w:val="24"/>
                <w:szCs w:val="24"/>
              </w:rPr>
              <w:t xml:space="preserve"> the plaintiff filed </w:t>
            </w:r>
            <w:r w:rsidR="005045E0">
              <w:rPr>
                <w:rFonts w:ascii="Arial" w:hAnsi="Arial" w:cs="Arial"/>
                <w:sz w:val="24"/>
                <w:szCs w:val="24"/>
              </w:rPr>
              <w:t xml:space="preserve">report in terms of </w:t>
            </w:r>
            <w:r w:rsidR="00100422" w:rsidRPr="00C9152D">
              <w:rPr>
                <w:rFonts w:ascii="Arial" w:hAnsi="Arial" w:cs="Arial"/>
                <w:sz w:val="24"/>
                <w:szCs w:val="24"/>
              </w:rPr>
              <w:t>rule 32(10) report in which the plaintiff reported that the second defendant</w:t>
            </w:r>
            <w:r w:rsidRPr="00C9152D">
              <w:rPr>
                <w:rFonts w:ascii="Arial" w:hAnsi="Arial" w:cs="Arial"/>
                <w:sz w:val="24"/>
                <w:szCs w:val="24"/>
              </w:rPr>
              <w:t xml:space="preserve"> has agreed to</w:t>
            </w:r>
            <w:r w:rsidR="005045E0">
              <w:rPr>
                <w:rFonts w:ascii="Arial" w:hAnsi="Arial" w:cs="Arial"/>
                <w:sz w:val="24"/>
                <w:szCs w:val="24"/>
              </w:rPr>
              <w:t xml:space="preserve"> consent</w:t>
            </w:r>
            <w:r w:rsidR="00FB32DE" w:rsidRPr="00C9152D">
              <w:rPr>
                <w:rFonts w:ascii="Arial" w:hAnsi="Arial" w:cs="Arial"/>
                <w:sz w:val="24"/>
                <w:szCs w:val="24"/>
              </w:rPr>
              <w:t xml:space="preserve"> to judgment in terms of rule 62. In the consent document</w:t>
            </w:r>
            <w:r w:rsidR="005045E0">
              <w:rPr>
                <w:rFonts w:ascii="Arial" w:hAnsi="Arial" w:cs="Arial"/>
                <w:sz w:val="24"/>
                <w:szCs w:val="24"/>
              </w:rPr>
              <w:t>,</w:t>
            </w:r>
            <w:r w:rsidR="00FB32DE" w:rsidRPr="00C9152D">
              <w:rPr>
                <w:rFonts w:ascii="Arial" w:hAnsi="Arial" w:cs="Arial"/>
                <w:sz w:val="24"/>
                <w:szCs w:val="24"/>
              </w:rPr>
              <w:t xml:space="preserve"> the second defendant consented to all the relief sought by the plaintiff in the summons with the proviso that the orders would not be executed until June 2024 to allow the second defendant to pay off the total amount owed in </w:t>
            </w:r>
            <w:r w:rsidR="00C9152D" w:rsidRPr="00C9152D">
              <w:rPr>
                <w:rFonts w:ascii="Arial" w:hAnsi="Arial" w:cs="Arial"/>
                <w:sz w:val="24"/>
                <w:szCs w:val="24"/>
              </w:rPr>
              <w:t>monthly instalment</w:t>
            </w:r>
            <w:r w:rsidR="005045E0">
              <w:rPr>
                <w:rFonts w:ascii="Arial" w:hAnsi="Arial" w:cs="Arial"/>
                <w:sz w:val="24"/>
                <w:szCs w:val="24"/>
              </w:rPr>
              <w:t>s</w:t>
            </w:r>
            <w:r w:rsidR="00C9152D" w:rsidRPr="00C9152D">
              <w:rPr>
                <w:rFonts w:ascii="Arial" w:hAnsi="Arial" w:cs="Arial"/>
                <w:sz w:val="24"/>
                <w:szCs w:val="24"/>
              </w:rPr>
              <w:t xml:space="preserve"> of N$10 000. </w:t>
            </w:r>
          </w:p>
          <w:p w:rsidR="00C9152D" w:rsidRPr="00C9152D" w:rsidRDefault="00C9152D" w:rsidP="008D056C">
            <w:pPr>
              <w:pStyle w:val="ListParagraph"/>
              <w:spacing w:line="360" w:lineRule="auto"/>
              <w:ind w:left="0"/>
              <w:contextualSpacing w:val="0"/>
              <w:jc w:val="both"/>
              <w:rPr>
                <w:rFonts w:ascii="Arial" w:hAnsi="Arial" w:cs="Arial"/>
                <w:sz w:val="24"/>
                <w:szCs w:val="24"/>
              </w:rPr>
            </w:pPr>
          </w:p>
          <w:p w:rsidR="00471DA7" w:rsidRPr="00FB32DE" w:rsidRDefault="00C9152D"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 xml:space="preserve">It </w:t>
            </w:r>
            <w:r w:rsidR="000F659F">
              <w:rPr>
                <w:rFonts w:ascii="Arial" w:hAnsi="Arial" w:cs="Arial"/>
                <w:sz w:val="24"/>
                <w:szCs w:val="24"/>
              </w:rPr>
              <w:t xml:space="preserve">is </w:t>
            </w:r>
            <w:r>
              <w:rPr>
                <w:rFonts w:ascii="Arial" w:hAnsi="Arial" w:cs="Arial"/>
                <w:sz w:val="24"/>
                <w:szCs w:val="24"/>
              </w:rPr>
              <w:t>necessary to point out at this juncture after the filing of the consent to judgment by the second def</w:t>
            </w:r>
            <w:r w:rsidR="005045E0">
              <w:rPr>
                <w:rFonts w:ascii="Arial" w:hAnsi="Arial" w:cs="Arial"/>
                <w:sz w:val="24"/>
                <w:szCs w:val="24"/>
              </w:rPr>
              <w:t xml:space="preserve">endant, the plaintiff did not </w:t>
            </w:r>
            <w:r>
              <w:rPr>
                <w:rFonts w:ascii="Arial" w:hAnsi="Arial" w:cs="Arial"/>
                <w:sz w:val="24"/>
                <w:szCs w:val="24"/>
              </w:rPr>
              <w:t xml:space="preserve">apply to </w:t>
            </w:r>
            <w:r w:rsidR="005045E0">
              <w:rPr>
                <w:rFonts w:ascii="Arial" w:hAnsi="Arial" w:cs="Arial"/>
                <w:sz w:val="24"/>
                <w:szCs w:val="24"/>
              </w:rPr>
              <w:t>the managing judge for judgment as provided by rule 62 (2).</w:t>
            </w:r>
            <w:r>
              <w:rPr>
                <w:rFonts w:ascii="Arial" w:hAnsi="Arial" w:cs="Arial"/>
                <w:sz w:val="24"/>
                <w:szCs w:val="24"/>
              </w:rPr>
              <w:t xml:space="preserve"> Instead</w:t>
            </w:r>
            <w:r w:rsidR="00B44BAA" w:rsidRPr="00FB32DE">
              <w:rPr>
                <w:rFonts w:ascii="Arial" w:hAnsi="Arial"/>
                <w:sz w:val="24"/>
                <w:szCs w:val="24"/>
              </w:rPr>
              <w:t xml:space="preserve"> the plaintiff filed </w:t>
            </w:r>
            <w:r w:rsidR="000F659F" w:rsidRPr="00FB32DE">
              <w:rPr>
                <w:rFonts w:ascii="Arial" w:hAnsi="Arial"/>
                <w:sz w:val="24"/>
                <w:szCs w:val="24"/>
              </w:rPr>
              <w:t>it</w:t>
            </w:r>
            <w:r w:rsidR="000F659F">
              <w:rPr>
                <w:rFonts w:ascii="Arial" w:hAnsi="Arial"/>
                <w:sz w:val="24"/>
                <w:szCs w:val="24"/>
              </w:rPr>
              <w:t>s</w:t>
            </w:r>
            <w:r w:rsidR="00B44BAA" w:rsidRPr="00FB32DE">
              <w:rPr>
                <w:rFonts w:ascii="Arial" w:hAnsi="Arial"/>
                <w:sz w:val="24"/>
                <w:szCs w:val="24"/>
              </w:rPr>
              <w:t xml:space="preserve"> application for summary judgment on 19 Janu</w:t>
            </w:r>
            <w:r w:rsidR="00471DA7" w:rsidRPr="00FB32DE">
              <w:rPr>
                <w:rFonts w:ascii="Arial" w:hAnsi="Arial"/>
                <w:sz w:val="24"/>
                <w:szCs w:val="24"/>
              </w:rPr>
              <w:t xml:space="preserve">ary 2024 seeking </w:t>
            </w:r>
            <w:r w:rsidR="00F53C2F">
              <w:rPr>
                <w:rFonts w:ascii="Arial" w:hAnsi="Arial"/>
                <w:sz w:val="24"/>
                <w:szCs w:val="24"/>
              </w:rPr>
              <w:t>summary judgment against th</w:t>
            </w:r>
            <w:r w:rsidR="006A007E">
              <w:rPr>
                <w:rFonts w:ascii="Arial" w:hAnsi="Arial"/>
                <w:sz w:val="24"/>
                <w:szCs w:val="24"/>
              </w:rPr>
              <w:t>e Defendants in this action for:</w:t>
            </w:r>
          </w:p>
          <w:p w:rsidR="003E5CAB" w:rsidRDefault="003E5CAB" w:rsidP="008D056C">
            <w:pPr>
              <w:spacing w:line="360" w:lineRule="auto"/>
              <w:ind w:left="23" w:hanging="23"/>
              <w:jc w:val="both"/>
              <w:rPr>
                <w:rFonts w:ascii="Arial" w:hAnsi="Arial"/>
                <w:sz w:val="24"/>
                <w:szCs w:val="24"/>
              </w:rPr>
            </w:pPr>
          </w:p>
          <w:p w:rsidR="00471DA7" w:rsidRDefault="00471DA7" w:rsidP="008D056C">
            <w:pPr>
              <w:spacing w:line="360" w:lineRule="auto"/>
              <w:ind w:left="23" w:hanging="23"/>
              <w:jc w:val="both"/>
              <w:rPr>
                <w:rFonts w:ascii="Arial" w:hAnsi="Arial"/>
              </w:rPr>
            </w:pPr>
            <w:r>
              <w:rPr>
                <w:rFonts w:ascii="Arial" w:hAnsi="Arial"/>
                <w:sz w:val="24"/>
                <w:szCs w:val="24"/>
              </w:rPr>
              <w:tab/>
            </w:r>
            <w:r>
              <w:rPr>
                <w:rFonts w:ascii="Arial" w:hAnsi="Arial"/>
                <w:sz w:val="24"/>
                <w:szCs w:val="24"/>
              </w:rPr>
              <w:tab/>
            </w:r>
            <w:r w:rsidRPr="00B76639">
              <w:rPr>
                <w:rFonts w:ascii="Arial" w:hAnsi="Arial"/>
              </w:rPr>
              <w:t>‘1.</w:t>
            </w:r>
            <w:r w:rsidR="008D056C" w:rsidRPr="006979B3">
              <w:rPr>
                <w:rFonts w:ascii="Arial" w:hAnsi="Arial" w:cs="Arial"/>
                <w:sz w:val="24"/>
                <w:szCs w:val="24"/>
              </w:rPr>
              <w:t xml:space="preserve"> </w:t>
            </w:r>
            <w:r w:rsidR="008D056C" w:rsidRPr="006979B3">
              <w:rPr>
                <w:rFonts w:ascii="Arial" w:hAnsi="Arial" w:cs="Arial"/>
                <w:sz w:val="24"/>
                <w:szCs w:val="24"/>
              </w:rPr>
              <w:tab/>
            </w:r>
            <w:r w:rsidRPr="00B76639">
              <w:rPr>
                <w:rFonts w:ascii="Arial" w:hAnsi="Arial"/>
              </w:rPr>
              <w:t xml:space="preserve">Payment in the amount of N$1 618,040.15. </w:t>
            </w:r>
          </w:p>
          <w:p w:rsidR="008D056C" w:rsidRPr="00B76639" w:rsidRDefault="008D056C" w:rsidP="008D056C">
            <w:pPr>
              <w:spacing w:line="360" w:lineRule="auto"/>
              <w:ind w:left="23" w:hanging="23"/>
              <w:jc w:val="both"/>
              <w:rPr>
                <w:rFonts w:ascii="Arial" w:hAnsi="Arial"/>
              </w:rPr>
            </w:pPr>
          </w:p>
          <w:p w:rsidR="00471DA7" w:rsidRDefault="008D056C" w:rsidP="008D056C">
            <w:pPr>
              <w:spacing w:line="360" w:lineRule="auto"/>
              <w:ind w:left="23" w:hanging="23"/>
              <w:jc w:val="both"/>
              <w:rPr>
                <w:rFonts w:ascii="Arial" w:hAnsi="Arial"/>
              </w:rPr>
            </w:pPr>
            <w:r>
              <w:rPr>
                <w:rFonts w:ascii="Arial" w:hAnsi="Arial"/>
              </w:rPr>
              <w:lastRenderedPageBreak/>
              <w:t>2.</w:t>
            </w:r>
            <w:r w:rsidRPr="006979B3">
              <w:rPr>
                <w:rFonts w:ascii="Arial" w:hAnsi="Arial" w:cs="Arial"/>
                <w:sz w:val="24"/>
                <w:szCs w:val="24"/>
              </w:rPr>
              <w:t xml:space="preserve"> </w:t>
            </w:r>
            <w:r w:rsidRPr="006979B3">
              <w:rPr>
                <w:rFonts w:ascii="Arial" w:hAnsi="Arial" w:cs="Arial"/>
                <w:sz w:val="24"/>
                <w:szCs w:val="24"/>
              </w:rPr>
              <w:tab/>
            </w:r>
            <w:r w:rsidR="00471DA7" w:rsidRPr="00B76639">
              <w:rPr>
                <w:rFonts w:ascii="Arial" w:hAnsi="Arial"/>
              </w:rPr>
              <w:t xml:space="preserve">Compound interest calculated daily and capitalized monthly on the amount of N$1 618,040.15 at Plaintiff’s mortgage lending rate of interest from time to time, currently at 18.40% calculated from 05 July 2023 to date of final payment; </w:t>
            </w:r>
          </w:p>
          <w:p w:rsidR="008D056C" w:rsidRPr="00B76639" w:rsidRDefault="008D056C" w:rsidP="008D056C">
            <w:pPr>
              <w:spacing w:line="360" w:lineRule="auto"/>
              <w:ind w:left="23" w:hanging="23"/>
              <w:jc w:val="both"/>
              <w:rPr>
                <w:rFonts w:ascii="Arial" w:hAnsi="Arial"/>
              </w:rPr>
            </w:pPr>
          </w:p>
          <w:p w:rsidR="00471DA7" w:rsidRDefault="00471DA7" w:rsidP="008D056C">
            <w:pPr>
              <w:spacing w:line="360" w:lineRule="auto"/>
              <w:ind w:left="23" w:hanging="23"/>
              <w:jc w:val="both"/>
              <w:rPr>
                <w:rFonts w:ascii="Arial" w:hAnsi="Arial"/>
              </w:rPr>
            </w:pPr>
            <w:r w:rsidRPr="00B76639">
              <w:rPr>
                <w:rFonts w:ascii="Arial" w:hAnsi="Arial"/>
              </w:rPr>
              <w:t>3.</w:t>
            </w:r>
            <w:r w:rsidR="008D056C" w:rsidRPr="006979B3">
              <w:rPr>
                <w:rFonts w:ascii="Arial" w:hAnsi="Arial" w:cs="Arial"/>
                <w:sz w:val="24"/>
                <w:szCs w:val="24"/>
              </w:rPr>
              <w:t xml:space="preserve"> </w:t>
            </w:r>
            <w:r w:rsidR="008D056C" w:rsidRPr="006979B3">
              <w:rPr>
                <w:rFonts w:ascii="Arial" w:hAnsi="Arial" w:cs="Arial"/>
                <w:sz w:val="24"/>
                <w:szCs w:val="24"/>
              </w:rPr>
              <w:tab/>
            </w:r>
            <w:r w:rsidRPr="00B76639">
              <w:rPr>
                <w:rFonts w:ascii="Arial" w:hAnsi="Arial"/>
              </w:rPr>
              <w:t xml:space="preserve">An order Declaring the following property executable: CERTAIN Erf No 281 </w:t>
            </w:r>
            <w:proofErr w:type="spellStart"/>
            <w:r w:rsidRPr="00B76639">
              <w:rPr>
                <w:rFonts w:ascii="Arial" w:hAnsi="Arial"/>
              </w:rPr>
              <w:t>Kleine</w:t>
            </w:r>
            <w:proofErr w:type="spellEnd"/>
            <w:r w:rsidRPr="00B76639">
              <w:rPr>
                <w:rFonts w:ascii="Arial" w:hAnsi="Arial"/>
              </w:rPr>
              <w:t xml:space="preserve"> </w:t>
            </w:r>
            <w:proofErr w:type="spellStart"/>
            <w:r w:rsidRPr="00B76639">
              <w:rPr>
                <w:rFonts w:ascii="Arial" w:hAnsi="Arial"/>
              </w:rPr>
              <w:t>Kuppe</w:t>
            </w:r>
            <w:proofErr w:type="spellEnd"/>
            <w:r w:rsidRPr="00B76639">
              <w:rPr>
                <w:rFonts w:ascii="Arial" w:hAnsi="Arial"/>
              </w:rPr>
              <w:t xml:space="preserve">  SITUATE In the Municipality of Windhoek Registration Division “k” </w:t>
            </w:r>
            <w:proofErr w:type="spellStart"/>
            <w:r w:rsidRPr="00B76639">
              <w:rPr>
                <w:rFonts w:ascii="Arial" w:hAnsi="Arial"/>
              </w:rPr>
              <w:t>Khomas</w:t>
            </w:r>
            <w:proofErr w:type="spellEnd"/>
            <w:r w:rsidRPr="00B76639">
              <w:rPr>
                <w:rFonts w:ascii="Arial" w:hAnsi="Arial"/>
              </w:rPr>
              <w:t xml:space="preserve"> Region MEASURING 776 (Seven Hundred and Seventy-Six) square metres HELD By Deed of Transfer No. T 4701/2006 SUBJECT to such conditions as set out in the aforesaid Title Deed. </w:t>
            </w:r>
          </w:p>
          <w:p w:rsidR="008D056C" w:rsidRPr="00B76639" w:rsidRDefault="008D056C" w:rsidP="008D056C">
            <w:pPr>
              <w:spacing w:line="360" w:lineRule="auto"/>
              <w:ind w:left="23" w:hanging="23"/>
              <w:jc w:val="both"/>
              <w:rPr>
                <w:rFonts w:ascii="Arial" w:hAnsi="Arial"/>
              </w:rPr>
            </w:pPr>
          </w:p>
          <w:p w:rsidR="00471DA7" w:rsidRDefault="00471DA7" w:rsidP="008D056C">
            <w:pPr>
              <w:spacing w:line="360" w:lineRule="auto"/>
              <w:ind w:left="23" w:hanging="23"/>
              <w:jc w:val="both"/>
              <w:rPr>
                <w:rFonts w:ascii="Arial" w:hAnsi="Arial"/>
              </w:rPr>
            </w:pPr>
            <w:r w:rsidRPr="00B76639">
              <w:rPr>
                <w:rFonts w:ascii="Arial" w:hAnsi="Arial"/>
              </w:rPr>
              <w:t>4.</w:t>
            </w:r>
            <w:r w:rsidR="008D056C" w:rsidRPr="006979B3">
              <w:rPr>
                <w:rFonts w:ascii="Arial" w:hAnsi="Arial" w:cs="Arial"/>
                <w:sz w:val="24"/>
                <w:szCs w:val="24"/>
              </w:rPr>
              <w:t xml:space="preserve"> </w:t>
            </w:r>
            <w:r w:rsidR="008D056C" w:rsidRPr="006979B3">
              <w:rPr>
                <w:rFonts w:ascii="Arial" w:hAnsi="Arial" w:cs="Arial"/>
                <w:sz w:val="24"/>
                <w:szCs w:val="24"/>
              </w:rPr>
              <w:tab/>
            </w:r>
            <w:r w:rsidRPr="00B76639">
              <w:rPr>
                <w:rFonts w:ascii="Arial" w:hAnsi="Arial"/>
              </w:rPr>
              <w:t xml:space="preserve">Costs of suit on a scale as between Attorney and own Client as agreed. </w:t>
            </w:r>
          </w:p>
          <w:p w:rsidR="008D056C" w:rsidRPr="00B76639" w:rsidRDefault="008D056C" w:rsidP="008D056C">
            <w:pPr>
              <w:spacing w:line="360" w:lineRule="auto"/>
              <w:ind w:left="23" w:hanging="23"/>
              <w:jc w:val="both"/>
              <w:rPr>
                <w:rFonts w:ascii="Arial" w:hAnsi="Arial"/>
              </w:rPr>
            </w:pPr>
          </w:p>
          <w:p w:rsidR="00471DA7" w:rsidRPr="003A6E24" w:rsidRDefault="00471DA7" w:rsidP="008D056C">
            <w:pPr>
              <w:spacing w:line="360" w:lineRule="auto"/>
              <w:ind w:left="23" w:hanging="23"/>
              <w:jc w:val="both"/>
              <w:rPr>
                <w:rFonts w:ascii="Arial" w:hAnsi="Arial"/>
              </w:rPr>
            </w:pPr>
            <w:r w:rsidRPr="00B76639">
              <w:rPr>
                <w:rFonts w:ascii="Arial" w:hAnsi="Arial"/>
              </w:rPr>
              <w:t>5</w:t>
            </w:r>
            <w:r w:rsidR="008D056C">
              <w:rPr>
                <w:rFonts w:ascii="Arial" w:hAnsi="Arial"/>
              </w:rPr>
              <w:t>.</w:t>
            </w:r>
            <w:r w:rsidR="008D056C" w:rsidRPr="006979B3">
              <w:rPr>
                <w:rFonts w:ascii="Arial" w:hAnsi="Arial" w:cs="Arial"/>
                <w:sz w:val="24"/>
                <w:szCs w:val="24"/>
              </w:rPr>
              <w:t xml:space="preserve"> </w:t>
            </w:r>
            <w:r w:rsidR="008D056C" w:rsidRPr="006979B3">
              <w:rPr>
                <w:rFonts w:ascii="Arial" w:hAnsi="Arial" w:cs="Arial"/>
                <w:sz w:val="24"/>
                <w:szCs w:val="24"/>
              </w:rPr>
              <w:tab/>
            </w:r>
            <w:r w:rsidRPr="00B76639">
              <w:rPr>
                <w:rFonts w:ascii="Arial" w:hAnsi="Arial"/>
              </w:rPr>
              <w:t xml:space="preserve">Further and/or alternative relief.’ </w:t>
            </w:r>
          </w:p>
          <w:p w:rsidR="00817B94" w:rsidRPr="00817B94" w:rsidRDefault="00817B94" w:rsidP="008D056C">
            <w:pPr>
              <w:pStyle w:val="ListParagraph"/>
              <w:spacing w:line="360" w:lineRule="auto"/>
              <w:ind w:left="0"/>
              <w:contextualSpacing w:val="0"/>
              <w:jc w:val="both"/>
              <w:rPr>
                <w:rFonts w:ascii="Arial" w:hAnsi="Arial" w:cs="Arial"/>
                <w:sz w:val="24"/>
                <w:szCs w:val="24"/>
              </w:rPr>
            </w:pPr>
          </w:p>
          <w:p w:rsidR="00297E3B" w:rsidRDefault="00C106D0"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sz w:val="24"/>
                <w:szCs w:val="24"/>
              </w:rPr>
              <w:t>On 14 March 2024, t</w:t>
            </w:r>
            <w:r w:rsidR="00B44BAA" w:rsidRPr="0020585E">
              <w:rPr>
                <w:rFonts w:ascii="Arial" w:hAnsi="Arial"/>
                <w:sz w:val="24"/>
                <w:szCs w:val="24"/>
              </w:rPr>
              <w:t xml:space="preserve">he first defendant filed a document labelled </w:t>
            </w:r>
            <w:r w:rsidR="00F53C2F">
              <w:rPr>
                <w:rFonts w:ascii="Arial" w:hAnsi="Arial"/>
                <w:sz w:val="24"/>
                <w:szCs w:val="24"/>
              </w:rPr>
              <w:t>‘</w:t>
            </w:r>
            <w:r w:rsidR="00B44BAA" w:rsidRPr="0020585E">
              <w:rPr>
                <w:rFonts w:ascii="Arial" w:hAnsi="Arial"/>
                <w:sz w:val="24"/>
                <w:szCs w:val="24"/>
              </w:rPr>
              <w:t>founding affidavit</w:t>
            </w:r>
            <w:r w:rsidR="00F53C2F">
              <w:rPr>
                <w:rFonts w:ascii="Arial" w:hAnsi="Arial"/>
                <w:sz w:val="24"/>
                <w:szCs w:val="24"/>
              </w:rPr>
              <w:t>’</w:t>
            </w:r>
            <w:r w:rsidR="00B44BAA" w:rsidRPr="0020585E">
              <w:rPr>
                <w:rFonts w:ascii="Arial" w:hAnsi="Arial"/>
                <w:sz w:val="24"/>
                <w:szCs w:val="24"/>
              </w:rPr>
              <w:t xml:space="preserve"> in response to the summary judgment application.</w:t>
            </w:r>
            <w:r w:rsidR="006A007E">
              <w:rPr>
                <w:rFonts w:ascii="Arial" w:hAnsi="Arial"/>
                <w:sz w:val="24"/>
                <w:szCs w:val="24"/>
              </w:rPr>
              <w:t xml:space="preserve"> In that document,</w:t>
            </w:r>
            <w:r w:rsidR="004B540D" w:rsidRPr="0020585E">
              <w:rPr>
                <w:rFonts w:ascii="Arial" w:hAnsi="Arial"/>
                <w:sz w:val="24"/>
                <w:szCs w:val="24"/>
              </w:rPr>
              <w:t xml:space="preserve"> the defendant requested the court to </w:t>
            </w:r>
            <w:r w:rsidR="00F53C2F">
              <w:rPr>
                <w:rFonts w:ascii="Arial" w:hAnsi="Arial"/>
                <w:sz w:val="24"/>
                <w:szCs w:val="24"/>
              </w:rPr>
              <w:t>‘</w:t>
            </w:r>
            <w:r w:rsidR="004B540D" w:rsidRPr="0020585E">
              <w:rPr>
                <w:rFonts w:ascii="Arial" w:hAnsi="Arial"/>
                <w:sz w:val="24"/>
                <w:szCs w:val="24"/>
              </w:rPr>
              <w:t>remove</w:t>
            </w:r>
            <w:r w:rsidR="006A007E">
              <w:rPr>
                <w:rFonts w:ascii="Arial" w:hAnsi="Arial"/>
                <w:sz w:val="24"/>
                <w:szCs w:val="24"/>
              </w:rPr>
              <w:t>’ his name from the claim. He contended that in</w:t>
            </w:r>
            <w:r w:rsidR="00F53C2F">
              <w:rPr>
                <w:rFonts w:ascii="Arial" w:hAnsi="Arial"/>
                <w:sz w:val="24"/>
                <w:szCs w:val="24"/>
              </w:rPr>
              <w:t xml:space="preserve"> terms of the</w:t>
            </w:r>
            <w:r w:rsidR="004B540D" w:rsidRPr="0020585E">
              <w:rPr>
                <w:rFonts w:ascii="Arial" w:hAnsi="Arial"/>
                <w:sz w:val="24"/>
                <w:szCs w:val="24"/>
              </w:rPr>
              <w:t xml:space="preserve"> divorced</w:t>
            </w:r>
            <w:r w:rsidR="00F53C2F">
              <w:rPr>
                <w:rFonts w:ascii="Arial" w:hAnsi="Arial"/>
                <w:sz w:val="24"/>
                <w:szCs w:val="24"/>
              </w:rPr>
              <w:t xml:space="preserve"> settlement agreement</w:t>
            </w:r>
            <w:r w:rsidR="006A007E">
              <w:rPr>
                <w:rFonts w:ascii="Arial" w:hAnsi="Arial"/>
                <w:sz w:val="24"/>
                <w:szCs w:val="24"/>
              </w:rPr>
              <w:t xml:space="preserve"> which was concluded between him and the</w:t>
            </w:r>
            <w:r w:rsidR="004B540D" w:rsidRPr="0020585E">
              <w:rPr>
                <w:rFonts w:ascii="Arial" w:hAnsi="Arial"/>
                <w:sz w:val="24"/>
                <w:szCs w:val="24"/>
              </w:rPr>
              <w:t xml:space="preserve"> second defendant </w:t>
            </w:r>
            <w:r w:rsidR="00297E3B">
              <w:rPr>
                <w:rFonts w:ascii="Arial" w:hAnsi="Arial"/>
                <w:sz w:val="24"/>
                <w:szCs w:val="24"/>
              </w:rPr>
              <w:t>the</w:t>
            </w:r>
            <w:r w:rsidR="006A007E">
              <w:rPr>
                <w:rFonts w:ascii="Arial" w:hAnsi="Arial"/>
                <w:sz w:val="24"/>
                <w:szCs w:val="24"/>
              </w:rPr>
              <w:t>y have</w:t>
            </w:r>
            <w:r w:rsidR="00297E3B">
              <w:rPr>
                <w:rFonts w:ascii="Arial" w:hAnsi="Arial"/>
                <w:sz w:val="24"/>
                <w:szCs w:val="24"/>
              </w:rPr>
              <w:t xml:space="preserve"> agreed that the immovable</w:t>
            </w:r>
            <w:r w:rsidR="000F659F">
              <w:rPr>
                <w:rFonts w:ascii="Arial" w:hAnsi="Arial"/>
                <w:sz w:val="24"/>
                <w:szCs w:val="24"/>
              </w:rPr>
              <w:t xml:space="preserve"> property</w:t>
            </w:r>
            <w:r w:rsidR="006A007E">
              <w:rPr>
                <w:rFonts w:ascii="Arial" w:hAnsi="Arial"/>
                <w:sz w:val="24"/>
                <w:szCs w:val="24"/>
              </w:rPr>
              <w:t xml:space="preserve">, being erf 281 </w:t>
            </w:r>
            <w:proofErr w:type="spellStart"/>
            <w:r w:rsidR="006A007E">
              <w:rPr>
                <w:rFonts w:ascii="Arial" w:hAnsi="Arial"/>
                <w:sz w:val="24"/>
                <w:szCs w:val="24"/>
              </w:rPr>
              <w:t>Okondeka</w:t>
            </w:r>
            <w:proofErr w:type="spellEnd"/>
            <w:r w:rsidR="006A007E">
              <w:rPr>
                <w:rFonts w:ascii="Arial" w:hAnsi="Arial"/>
                <w:sz w:val="24"/>
                <w:szCs w:val="24"/>
              </w:rPr>
              <w:t xml:space="preserve"> Street, </w:t>
            </w:r>
            <w:proofErr w:type="spellStart"/>
            <w:r w:rsidR="006A007E">
              <w:rPr>
                <w:rFonts w:ascii="Arial" w:hAnsi="Arial"/>
                <w:sz w:val="24"/>
                <w:szCs w:val="24"/>
              </w:rPr>
              <w:t>Klein</w:t>
            </w:r>
            <w:r w:rsidR="00297E3B">
              <w:rPr>
                <w:rFonts w:ascii="Arial" w:hAnsi="Arial"/>
                <w:sz w:val="24"/>
                <w:szCs w:val="24"/>
              </w:rPr>
              <w:t>e</w:t>
            </w:r>
            <w:proofErr w:type="spellEnd"/>
            <w:r w:rsidR="00297E3B">
              <w:rPr>
                <w:rFonts w:ascii="Arial" w:hAnsi="Arial"/>
                <w:sz w:val="24"/>
                <w:szCs w:val="24"/>
              </w:rPr>
              <w:t xml:space="preserve"> </w:t>
            </w:r>
            <w:proofErr w:type="spellStart"/>
            <w:r w:rsidR="00297E3B">
              <w:rPr>
                <w:rFonts w:ascii="Arial" w:hAnsi="Arial"/>
                <w:sz w:val="24"/>
                <w:szCs w:val="24"/>
              </w:rPr>
              <w:t>Kuppe</w:t>
            </w:r>
            <w:proofErr w:type="spellEnd"/>
            <w:r w:rsidR="00297E3B">
              <w:rPr>
                <w:rFonts w:ascii="Arial" w:hAnsi="Arial"/>
                <w:sz w:val="24"/>
                <w:szCs w:val="24"/>
              </w:rPr>
              <w:t xml:space="preserve"> was to be transferred to the second </w:t>
            </w:r>
            <w:r w:rsidR="003A4DD6">
              <w:rPr>
                <w:rFonts w:ascii="Arial" w:hAnsi="Arial"/>
                <w:sz w:val="24"/>
                <w:szCs w:val="24"/>
              </w:rPr>
              <w:t>defendant</w:t>
            </w:r>
            <w:r w:rsidR="00297E3B">
              <w:rPr>
                <w:rFonts w:ascii="Arial" w:hAnsi="Arial"/>
                <w:sz w:val="24"/>
                <w:szCs w:val="24"/>
              </w:rPr>
              <w:t xml:space="preserve"> and thereafter the second</w:t>
            </w:r>
            <w:r w:rsidR="006A007E">
              <w:rPr>
                <w:rFonts w:ascii="Arial" w:hAnsi="Arial"/>
                <w:sz w:val="24"/>
                <w:szCs w:val="24"/>
              </w:rPr>
              <w:t xml:space="preserve"> defendant</w:t>
            </w:r>
            <w:r w:rsidR="003A4DD6">
              <w:rPr>
                <w:rFonts w:ascii="Arial" w:hAnsi="Arial"/>
                <w:sz w:val="24"/>
                <w:szCs w:val="24"/>
              </w:rPr>
              <w:t xml:space="preserve"> would become liable</w:t>
            </w:r>
            <w:r w:rsidR="00297E3B">
              <w:rPr>
                <w:rFonts w:ascii="Arial" w:hAnsi="Arial"/>
                <w:sz w:val="24"/>
                <w:szCs w:val="24"/>
              </w:rPr>
              <w:t xml:space="preserve"> for the amount owed to the plaintiff in terms</w:t>
            </w:r>
            <w:r w:rsidR="000F659F">
              <w:rPr>
                <w:rFonts w:ascii="Arial" w:hAnsi="Arial"/>
                <w:sz w:val="24"/>
                <w:szCs w:val="24"/>
              </w:rPr>
              <w:t xml:space="preserve"> of the</w:t>
            </w:r>
            <w:r w:rsidR="00297E3B">
              <w:rPr>
                <w:rFonts w:ascii="Arial" w:hAnsi="Arial"/>
                <w:sz w:val="24"/>
                <w:szCs w:val="24"/>
              </w:rPr>
              <w:t xml:space="preserve"> loan agreement</w:t>
            </w:r>
            <w:r w:rsidR="003A4DD6">
              <w:rPr>
                <w:rFonts w:ascii="Arial" w:hAnsi="Arial"/>
                <w:sz w:val="24"/>
                <w:szCs w:val="24"/>
              </w:rPr>
              <w:t>s</w:t>
            </w:r>
            <w:r w:rsidR="00297E3B">
              <w:rPr>
                <w:rFonts w:ascii="Arial" w:hAnsi="Arial"/>
                <w:sz w:val="24"/>
                <w:szCs w:val="24"/>
              </w:rPr>
              <w:t>.</w:t>
            </w:r>
            <w:r w:rsidR="003A4DD6">
              <w:rPr>
                <w:rFonts w:ascii="Arial" w:hAnsi="Arial"/>
                <w:sz w:val="24"/>
                <w:szCs w:val="24"/>
              </w:rPr>
              <w:t xml:space="preserve"> The settlement agreement which was attached to the affidavit was made an order of court on 18 May 2022.</w:t>
            </w:r>
            <w:r w:rsidR="00297E3B">
              <w:rPr>
                <w:rFonts w:ascii="Arial" w:hAnsi="Arial"/>
                <w:sz w:val="24"/>
                <w:szCs w:val="24"/>
              </w:rPr>
              <w:t xml:space="preserve"> </w:t>
            </w:r>
          </w:p>
          <w:p w:rsidR="00297E3B" w:rsidRPr="00297E3B" w:rsidRDefault="00297E3B" w:rsidP="008D056C">
            <w:pPr>
              <w:pStyle w:val="ListParagraph"/>
              <w:spacing w:line="360" w:lineRule="auto"/>
              <w:ind w:left="0"/>
              <w:contextualSpacing w:val="0"/>
              <w:jc w:val="both"/>
              <w:rPr>
                <w:rFonts w:ascii="Arial" w:hAnsi="Arial" w:cs="Arial"/>
                <w:sz w:val="24"/>
                <w:szCs w:val="24"/>
              </w:rPr>
            </w:pPr>
          </w:p>
          <w:p w:rsidR="00A05832" w:rsidRPr="00A05832" w:rsidRDefault="002914C8"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sz w:val="24"/>
                <w:szCs w:val="24"/>
              </w:rPr>
              <w:t xml:space="preserve"> </w:t>
            </w:r>
            <w:r w:rsidR="006A007E">
              <w:rPr>
                <w:rFonts w:ascii="Arial" w:hAnsi="Arial"/>
                <w:sz w:val="24"/>
                <w:szCs w:val="24"/>
              </w:rPr>
              <w:t>He pointed out in terms of</w:t>
            </w:r>
            <w:r w:rsidR="004B540D" w:rsidRPr="0020585E">
              <w:rPr>
                <w:rFonts w:ascii="Arial" w:hAnsi="Arial"/>
                <w:sz w:val="24"/>
                <w:szCs w:val="24"/>
              </w:rPr>
              <w:t xml:space="preserve"> divorce</w:t>
            </w:r>
            <w:r w:rsidR="006A007E">
              <w:rPr>
                <w:rFonts w:ascii="Arial" w:hAnsi="Arial"/>
                <w:sz w:val="24"/>
                <w:szCs w:val="24"/>
              </w:rPr>
              <w:t xml:space="preserve"> order, the property being</w:t>
            </w:r>
            <w:r w:rsidR="004B540D" w:rsidRPr="0020585E">
              <w:rPr>
                <w:rFonts w:ascii="Arial" w:hAnsi="Arial"/>
                <w:sz w:val="24"/>
                <w:szCs w:val="24"/>
              </w:rPr>
              <w:t xml:space="preserve"> erf 281 </w:t>
            </w:r>
            <w:proofErr w:type="spellStart"/>
            <w:r w:rsidR="004B540D" w:rsidRPr="0020585E">
              <w:rPr>
                <w:rFonts w:ascii="Arial" w:hAnsi="Arial"/>
                <w:sz w:val="24"/>
                <w:szCs w:val="24"/>
              </w:rPr>
              <w:t>Ok</w:t>
            </w:r>
            <w:r w:rsidR="00C106D0">
              <w:rPr>
                <w:rFonts w:ascii="Arial" w:hAnsi="Arial"/>
                <w:sz w:val="24"/>
                <w:szCs w:val="24"/>
              </w:rPr>
              <w:t>ondeka</w:t>
            </w:r>
            <w:proofErr w:type="spellEnd"/>
            <w:r w:rsidR="00C106D0">
              <w:rPr>
                <w:rFonts w:ascii="Arial" w:hAnsi="Arial"/>
                <w:sz w:val="24"/>
                <w:szCs w:val="24"/>
              </w:rPr>
              <w:t xml:space="preserve"> </w:t>
            </w:r>
            <w:r w:rsidR="003A4DD6">
              <w:rPr>
                <w:rFonts w:ascii="Arial" w:hAnsi="Arial"/>
                <w:sz w:val="24"/>
                <w:szCs w:val="24"/>
              </w:rPr>
              <w:t>Street</w:t>
            </w:r>
            <w:r w:rsidR="00C106D0">
              <w:rPr>
                <w:rFonts w:ascii="Arial" w:hAnsi="Arial"/>
                <w:sz w:val="24"/>
                <w:szCs w:val="24"/>
              </w:rPr>
              <w:t xml:space="preserve"> in </w:t>
            </w:r>
            <w:proofErr w:type="spellStart"/>
            <w:r w:rsidR="00C106D0">
              <w:rPr>
                <w:rFonts w:ascii="Arial" w:hAnsi="Arial"/>
                <w:sz w:val="24"/>
                <w:szCs w:val="24"/>
              </w:rPr>
              <w:t>Kleine</w:t>
            </w:r>
            <w:proofErr w:type="spellEnd"/>
            <w:r w:rsidR="00C106D0">
              <w:rPr>
                <w:rFonts w:ascii="Arial" w:hAnsi="Arial"/>
                <w:sz w:val="24"/>
                <w:szCs w:val="24"/>
              </w:rPr>
              <w:t xml:space="preserve"> </w:t>
            </w:r>
            <w:proofErr w:type="spellStart"/>
            <w:r w:rsidR="00C106D0">
              <w:rPr>
                <w:rFonts w:ascii="Arial" w:hAnsi="Arial"/>
                <w:sz w:val="24"/>
                <w:szCs w:val="24"/>
              </w:rPr>
              <w:t>Kuppe</w:t>
            </w:r>
            <w:proofErr w:type="spellEnd"/>
            <w:r w:rsidR="00C106D0">
              <w:rPr>
                <w:rFonts w:ascii="Arial" w:hAnsi="Arial"/>
                <w:sz w:val="24"/>
                <w:szCs w:val="24"/>
              </w:rPr>
              <w:t xml:space="preserve"> was</w:t>
            </w:r>
            <w:r w:rsidR="004B540D" w:rsidRPr="0020585E">
              <w:rPr>
                <w:rFonts w:ascii="Arial" w:hAnsi="Arial"/>
                <w:sz w:val="24"/>
                <w:szCs w:val="24"/>
              </w:rPr>
              <w:t xml:space="preserve"> </w:t>
            </w:r>
            <w:r w:rsidR="003E37AB">
              <w:rPr>
                <w:rFonts w:ascii="Arial" w:hAnsi="Arial"/>
                <w:sz w:val="24"/>
                <w:szCs w:val="24"/>
              </w:rPr>
              <w:t>ordered</w:t>
            </w:r>
            <w:r w:rsidR="000F659F">
              <w:rPr>
                <w:rFonts w:ascii="Arial" w:hAnsi="Arial"/>
                <w:sz w:val="24"/>
                <w:szCs w:val="24"/>
              </w:rPr>
              <w:t xml:space="preserve"> by the court</w:t>
            </w:r>
            <w:r w:rsidR="003E37AB">
              <w:rPr>
                <w:rFonts w:ascii="Arial" w:hAnsi="Arial"/>
                <w:sz w:val="24"/>
                <w:szCs w:val="24"/>
              </w:rPr>
              <w:t xml:space="preserve"> to be </w:t>
            </w:r>
            <w:r w:rsidR="004B540D" w:rsidRPr="0020585E">
              <w:rPr>
                <w:rFonts w:ascii="Arial" w:hAnsi="Arial"/>
                <w:sz w:val="24"/>
                <w:szCs w:val="24"/>
              </w:rPr>
              <w:t>transferred into the</w:t>
            </w:r>
            <w:r w:rsidR="006A007E">
              <w:rPr>
                <w:rFonts w:ascii="Arial" w:hAnsi="Arial"/>
                <w:sz w:val="24"/>
                <w:szCs w:val="24"/>
              </w:rPr>
              <w:t xml:space="preserve"> name of the</w:t>
            </w:r>
            <w:r w:rsidR="004B540D" w:rsidRPr="0020585E">
              <w:rPr>
                <w:rFonts w:ascii="Arial" w:hAnsi="Arial"/>
                <w:sz w:val="24"/>
                <w:szCs w:val="24"/>
              </w:rPr>
              <w:t xml:space="preserve"> second defendant</w:t>
            </w:r>
            <w:r w:rsidR="00A202D0" w:rsidRPr="0020585E">
              <w:rPr>
                <w:rFonts w:ascii="Arial" w:hAnsi="Arial"/>
                <w:sz w:val="24"/>
                <w:szCs w:val="24"/>
              </w:rPr>
              <w:t xml:space="preserve"> name</w:t>
            </w:r>
            <w:r w:rsidR="006A007E">
              <w:rPr>
                <w:rFonts w:ascii="Arial" w:hAnsi="Arial"/>
                <w:sz w:val="24"/>
                <w:szCs w:val="24"/>
              </w:rPr>
              <w:t>. He claimed that</w:t>
            </w:r>
            <w:r w:rsidR="00E45623">
              <w:rPr>
                <w:rFonts w:ascii="Arial" w:hAnsi="Arial"/>
                <w:sz w:val="24"/>
                <w:szCs w:val="24"/>
              </w:rPr>
              <w:t xml:space="preserve"> </w:t>
            </w:r>
            <w:r w:rsidR="00A202D0" w:rsidRPr="0020585E">
              <w:rPr>
                <w:rFonts w:ascii="Arial" w:hAnsi="Arial"/>
                <w:sz w:val="24"/>
                <w:szCs w:val="24"/>
              </w:rPr>
              <w:t>he</w:t>
            </w:r>
            <w:r w:rsidR="00E45623">
              <w:rPr>
                <w:rFonts w:ascii="Arial" w:hAnsi="Arial"/>
                <w:sz w:val="24"/>
                <w:szCs w:val="24"/>
              </w:rPr>
              <w:t xml:space="preserve"> had</w:t>
            </w:r>
            <w:r w:rsidR="00A202D0" w:rsidRPr="0020585E">
              <w:rPr>
                <w:rFonts w:ascii="Arial" w:hAnsi="Arial"/>
                <w:sz w:val="24"/>
                <w:szCs w:val="24"/>
              </w:rPr>
              <w:t xml:space="preserve"> fully paid and settled his loan account</w:t>
            </w:r>
            <w:r w:rsidR="00E45623">
              <w:rPr>
                <w:rFonts w:ascii="Arial" w:hAnsi="Arial"/>
                <w:sz w:val="24"/>
                <w:szCs w:val="24"/>
              </w:rPr>
              <w:t xml:space="preserve"> with the plaintiff</w:t>
            </w:r>
            <w:r w:rsidR="00A202D0" w:rsidRPr="0020585E">
              <w:rPr>
                <w:rFonts w:ascii="Arial" w:hAnsi="Arial"/>
                <w:sz w:val="24"/>
                <w:szCs w:val="24"/>
              </w:rPr>
              <w:t>.</w:t>
            </w:r>
          </w:p>
          <w:p w:rsidR="00F40C0D" w:rsidRPr="00E93456" w:rsidRDefault="00F40C0D" w:rsidP="008D056C">
            <w:pPr>
              <w:spacing w:line="360" w:lineRule="auto"/>
              <w:rPr>
                <w:rFonts w:ascii="Arial" w:hAnsi="Arial" w:cs="Arial"/>
                <w:sz w:val="24"/>
                <w:szCs w:val="24"/>
              </w:rPr>
            </w:pPr>
          </w:p>
          <w:p w:rsidR="00F40C0D" w:rsidRPr="00F40C0D" w:rsidRDefault="00F40C0D" w:rsidP="008D056C">
            <w:pPr>
              <w:pStyle w:val="ListParagraph"/>
              <w:spacing w:line="360" w:lineRule="auto"/>
              <w:ind w:left="0"/>
              <w:contextualSpacing w:val="0"/>
              <w:jc w:val="both"/>
              <w:rPr>
                <w:rFonts w:ascii="Arial" w:hAnsi="Arial" w:cs="Arial"/>
                <w:i/>
                <w:sz w:val="24"/>
                <w:szCs w:val="24"/>
              </w:rPr>
            </w:pPr>
            <w:r w:rsidRPr="00F40C0D">
              <w:rPr>
                <w:rFonts w:ascii="Arial" w:hAnsi="Arial" w:cs="Arial"/>
                <w:i/>
                <w:sz w:val="24"/>
                <w:szCs w:val="24"/>
              </w:rPr>
              <w:t>Arguments</w:t>
            </w:r>
          </w:p>
          <w:p w:rsidR="00F40C0D" w:rsidRPr="00F40C0D" w:rsidRDefault="00F40C0D" w:rsidP="008D056C">
            <w:pPr>
              <w:pStyle w:val="ListParagraph"/>
              <w:spacing w:line="360" w:lineRule="auto"/>
              <w:rPr>
                <w:rFonts w:ascii="Arial" w:hAnsi="Arial" w:cs="Arial"/>
                <w:sz w:val="24"/>
                <w:szCs w:val="24"/>
              </w:rPr>
            </w:pPr>
          </w:p>
          <w:p w:rsidR="00F40C0D" w:rsidRDefault="00F40C0D"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M</w:t>
            </w:r>
            <w:r w:rsidR="008D06F4">
              <w:rPr>
                <w:rFonts w:ascii="Arial" w:hAnsi="Arial" w:cs="Arial"/>
                <w:sz w:val="24"/>
                <w:szCs w:val="24"/>
              </w:rPr>
              <w:t xml:space="preserve">r </w:t>
            </w:r>
            <w:proofErr w:type="spellStart"/>
            <w:r w:rsidR="008D06F4">
              <w:rPr>
                <w:rFonts w:ascii="Arial" w:hAnsi="Arial" w:cs="Arial"/>
                <w:sz w:val="24"/>
                <w:szCs w:val="24"/>
              </w:rPr>
              <w:t>Tjitere</w:t>
            </w:r>
            <w:proofErr w:type="spellEnd"/>
            <w:r w:rsidR="00E45623">
              <w:rPr>
                <w:rFonts w:ascii="Arial" w:hAnsi="Arial" w:cs="Arial"/>
                <w:sz w:val="24"/>
                <w:szCs w:val="24"/>
              </w:rPr>
              <w:t>, for the plaintiff,</w:t>
            </w:r>
            <w:r w:rsidR="008D06F4">
              <w:rPr>
                <w:rFonts w:ascii="Arial" w:hAnsi="Arial" w:cs="Arial"/>
                <w:sz w:val="24"/>
                <w:szCs w:val="24"/>
              </w:rPr>
              <w:t xml:space="preserve"> in</w:t>
            </w:r>
            <w:r w:rsidR="00E45623">
              <w:rPr>
                <w:rFonts w:ascii="Arial" w:hAnsi="Arial" w:cs="Arial"/>
                <w:sz w:val="24"/>
                <w:szCs w:val="24"/>
              </w:rPr>
              <w:t xml:space="preserve"> his</w:t>
            </w:r>
            <w:r w:rsidR="008D06F4">
              <w:rPr>
                <w:rFonts w:ascii="Arial" w:hAnsi="Arial" w:cs="Arial"/>
                <w:sz w:val="24"/>
                <w:szCs w:val="24"/>
              </w:rPr>
              <w:t xml:space="preserve"> arguments</w:t>
            </w:r>
            <w:r w:rsidR="00E45623">
              <w:rPr>
                <w:rFonts w:ascii="Arial" w:hAnsi="Arial" w:cs="Arial"/>
                <w:sz w:val="24"/>
                <w:szCs w:val="24"/>
              </w:rPr>
              <w:t xml:space="preserve"> before court,</w:t>
            </w:r>
            <w:r w:rsidR="008D06F4">
              <w:rPr>
                <w:rFonts w:ascii="Arial" w:hAnsi="Arial" w:cs="Arial"/>
                <w:sz w:val="24"/>
                <w:szCs w:val="24"/>
              </w:rPr>
              <w:t xml:space="preserve"> persisted</w:t>
            </w:r>
            <w:r>
              <w:rPr>
                <w:rFonts w:ascii="Arial" w:hAnsi="Arial" w:cs="Arial"/>
                <w:sz w:val="24"/>
                <w:szCs w:val="24"/>
              </w:rPr>
              <w:t xml:space="preserve"> that the </w:t>
            </w:r>
            <w:r w:rsidR="004F7CAF">
              <w:rPr>
                <w:rFonts w:ascii="Arial" w:hAnsi="Arial" w:cs="Arial"/>
                <w:sz w:val="24"/>
                <w:szCs w:val="24"/>
              </w:rPr>
              <w:t xml:space="preserve">first defendant is </w:t>
            </w:r>
            <w:r w:rsidR="00E45623">
              <w:rPr>
                <w:rFonts w:ascii="Arial" w:hAnsi="Arial" w:cs="Arial"/>
                <w:sz w:val="24"/>
                <w:szCs w:val="24"/>
              </w:rPr>
              <w:t xml:space="preserve">jointly and severally with the second defendant, </w:t>
            </w:r>
            <w:r w:rsidR="004F7CAF">
              <w:rPr>
                <w:rFonts w:ascii="Arial" w:hAnsi="Arial" w:cs="Arial"/>
                <w:sz w:val="24"/>
                <w:szCs w:val="24"/>
              </w:rPr>
              <w:t>liable</w:t>
            </w:r>
            <w:r w:rsidR="00E45623">
              <w:rPr>
                <w:rFonts w:ascii="Arial" w:hAnsi="Arial" w:cs="Arial"/>
                <w:sz w:val="24"/>
                <w:szCs w:val="24"/>
              </w:rPr>
              <w:t xml:space="preserve"> to the plaintiff for the payment of</w:t>
            </w:r>
            <w:r w:rsidR="004F7CAF">
              <w:rPr>
                <w:rFonts w:ascii="Arial" w:hAnsi="Arial" w:cs="Arial"/>
                <w:sz w:val="24"/>
                <w:szCs w:val="24"/>
              </w:rPr>
              <w:t xml:space="preserve"> the amount </w:t>
            </w:r>
            <w:r>
              <w:rPr>
                <w:rFonts w:ascii="Arial" w:hAnsi="Arial" w:cs="Arial"/>
                <w:sz w:val="24"/>
                <w:szCs w:val="24"/>
              </w:rPr>
              <w:t xml:space="preserve">claimed </w:t>
            </w:r>
            <w:r w:rsidR="00E45623">
              <w:rPr>
                <w:rFonts w:ascii="Arial" w:hAnsi="Arial" w:cs="Arial"/>
                <w:sz w:val="24"/>
                <w:szCs w:val="24"/>
              </w:rPr>
              <w:t>in the summons and that</w:t>
            </w:r>
            <w:r w:rsidR="004F7CAF">
              <w:rPr>
                <w:rFonts w:ascii="Arial" w:hAnsi="Arial" w:cs="Arial"/>
                <w:sz w:val="24"/>
                <w:szCs w:val="24"/>
              </w:rPr>
              <w:t xml:space="preserve"> his li</w:t>
            </w:r>
            <w:r w:rsidR="00E45623">
              <w:rPr>
                <w:rFonts w:ascii="Arial" w:hAnsi="Arial" w:cs="Arial"/>
                <w:sz w:val="24"/>
                <w:szCs w:val="24"/>
              </w:rPr>
              <w:t xml:space="preserve">ability is premised on the deed of suretyship that was </w:t>
            </w:r>
            <w:proofErr w:type="gramStart"/>
            <w:r w:rsidR="00E45623">
              <w:rPr>
                <w:rFonts w:ascii="Arial" w:hAnsi="Arial" w:cs="Arial"/>
                <w:sz w:val="24"/>
                <w:szCs w:val="24"/>
              </w:rPr>
              <w:t>signed  by</w:t>
            </w:r>
            <w:proofErr w:type="gramEnd"/>
            <w:r w:rsidR="00E45623">
              <w:rPr>
                <w:rFonts w:ascii="Arial" w:hAnsi="Arial" w:cs="Arial"/>
                <w:sz w:val="24"/>
                <w:szCs w:val="24"/>
              </w:rPr>
              <w:t xml:space="preserve"> him</w:t>
            </w:r>
            <w:r w:rsidR="004F7CAF">
              <w:rPr>
                <w:rFonts w:ascii="Arial" w:hAnsi="Arial" w:cs="Arial"/>
                <w:sz w:val="24"/>
                <w:szCs w:val="24"/>
              </w:rPr>
              <w:t xml:space="preserve"> the </w:t>
            </w:r>
            <w:r w:rsidR="00E45623">
              <w:rPr>
                <w:rFonts w:ascii="Arial" w:hAnsi="Arial" w:cs="Arial"/>
                <w:sz w:val="24"/>
                <w:szCs w:val="24"/>
              </w:rPr>
              <w:t>(</w:t>
            </w:r>
            <w:r w:rsidR="004F7CAF">
              <w:rPr>
                <w:rFonts w:ascii="Arial" w:hAnsi="Arial" w:cs="Arial"/>
                <w:sz w:val="24"/>
                <w:szCs w:val="24"/>
              </w:rPr>
              <w:t>first defendant</w:t>
            </w:r>
            <w:r w:rsidR="00E45623">
              <w:rPr>
                <w:rFonts w:ascii="Arial" w:hAnsi="Arial" w:cs="Arial"/>
                <w:sz w:val="24"/>
                <w:szCs w:val="24"/>
              </w:rPr>
              <w:t>)</w:t>
            </w:r>
            <w:r w:rsidR="008D06F4">
              <w:rPr>
                <w:rFonts w:ascii="Arial" w:hAnsi="Arial" w:cs="Arial"/>
                <w:sz w:val="24"/>
                <w:szCs w:val="24"/>
              </w:rPr>
              <w:t xml:space="preserve"> whereby he </w:t>
            </w:r>
            <w:proofErr w:type="spellStart"/>
            <w:r w:rsidR="008D06F4">
              <w:rPr>
                <w:rFonts w:ascii="Arial" w:hAnsi="Arial" w:cs="Arial"/>
                <w:sz w:val="24"/>
                <w:szCs w:val="24"/>
              </w:rPr>
              <w:t>bound</w:t>
            </w:r>
            <w:proofErr w:type="spellEnd"/>
            <w:r w:rsidR="004F7CAF">
              <w:rPr>
                <w:rFonts w:ascii="Arial" w:hAnsi="Arial" w:cs="Arial"/>
                <w:sz w:val="24"/>
                <w:szCs w:val="24"/>
              </w:rPr>
              <w:t xml:space="preserve"> himself jointly and severally with the second defendants </w:t>
            </w:r>
            <w:r w:rsidR="008D06F4">
              <w:rPr>
                <w:rFonts w:ascii="Arial" w:hAnsi="Arial" w:cs="Arial"/>
                <w:sz w:val="24"/>
                <w:szCs w:val="24"/>
              </w:rPr>
              <w:t>for the debts</w:t>
            </w:r>
            <w:r w:rsidR="00E45623">
              <w:rPr>
                <w:rFonts w:ascii="Arial" w:hAnsi="Arial" w:cs="Arial"/>
                <w:sz w:val="24"/>
                <w:szCs w:val="24"/>
              </w:rPr>
              <w:t xml:space="preserve"> all the debts owed</w:t>
            </w:r>
            <w:r w:rsidR="008D06F4">
              <w:rPr>
                <w:rFonts w:ascii="Arial" w:hAnsi="Arial" w:cs="Arial"/>
                <w:sz w:val="24"/>
                <w:szCs w:val="24"/>
              </w:rPr>
              <w:t xml:space="preserve"> to the plaintiff</w:t>
            </w:r>
            <w:r w:rsidR="00F2347C">
              <w:rPr>
                <w:rFonts w:ascii="Arial" w:hAnsi="Arial" w:cs="Arial"/>
                <w:sz w:val="24"/>
                <w:szCs w:val="24"/>
              </w:rPr>
              <w:t xml:space="preserve">. </w:t>
            </w:r>
          </w:p>
          <w:p w:rsidR="00F2347C" w:rsidRDefault="00F2347C" w:rsidP="008D056C">
            <w:pPr>
              <w:pStyle w:val="ListParagraph"/>
              <w:spacing w:line="360" w:lineRule="auto"/>
              <w:ind w:left="0"/>
              <w:contextualSpacing w:val="0"/>
              <w:jc w:val="both"/>
              <w:rPr>
                <w:rFonts w:ascii="Arial" w:hAnsi="Arial" w:cs="Arial"/>
                <w:sz w:val="24"/>
                <w:szCs w:val="24"/>
              </w:rPr>
            </w:pPr>
          </w:p>
          <w:p w:rsidR="00F2347C" w:rsidRDefault="00F2347C"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The first defendant argued that he is not liable as he has alread</w:t>
            </w:r>
            <w:r w:rsidR="008D06F4">
              <w:rPr>
                <w:rFonts w:ascii="Arial" w:hAnsi="Arial" w:cs="Arial"/>
                <w:sz w:val="24"/>
                <w:szCs w:val="24"/>
              </w:rPr>
              <w:t>y paid off what he owed</w:t>
            </w:r>
            <w:r w:rsidR="00E45623">
              <w:rPr>
                <w:rFonts w:ascii="Arial" w:hAnsi="Arial" w:cs="Arial"/>
                <w:sz w:val="24"/>
                <w:szCs w:val="24"/>
              </w:rPr>
              <w:t xml:space="preserve"> to the plaintiff</w:t>
            </w:r>
            <w:r w:rsidR="008D06F4">
              <w:rPr>
                <w:rFonts w:ascii="Arial" w:hAnsi="Arial" w:cs="Arial"/>
                <w:sz w:val="24"/>
                <w:szCs w:val="24"/>
              </w:rPr>
              <w:t xml:space="preserve"> and that he relinquished</w:t>
            </w:r>
            <w:r>
              <w:rPr>
                <w:rFonts w:ascii="Arial" w:hAnsi="Arial" w:cs="Arial"/>
                <w:sz w:val="24"/>
                <w:szCs w:val="24"/>
              </w:rPr>
              <w:t xml:space="preserve"> </w:t>
            </w:r>
            <w:r w:rsidR="008D06F4">
              <w:rPr>
                <w:rFonts w:ascii="Arial" w:hAnsi="Arial" w:cs="Arial"/>
                <w:sz w:val="24"/>
                <w:szCs w:val="24"/>
              </w:rPr>
              <w:t>his right of ownership in the</w:t>
            </w:r>
            <w:r w:rsidR="00E45623">
              <w:rPr>
                <w:rFonts w:ascii="Arial" w:hAnsi="Arial" w:cs="Arial"/>
                <w:sz w:val="24"/>
                <w:szCs w:val="24"/>
              </w:rPr>
              <w:t xml:space="preserve"> said</w:t>
            </w:r>
            <w:r w:rsidR="008D06F4">
              <w:rPr>
                <w:rFonts w:ascii="Arial" w:hAnsi="Arial" w:cs="Arial"/>
                <w:sz w:val="24"/>
                <w:szCs w:val="24"/>
              </w:rPr>
              <w:t xml:space="preserve"> immovable</w:t>
            </w:r>
            <w:r>
              <w:rPr>
                <w:rFonts w:ascii="Arial" w:hAnsi="Arial" w:cs="Arial"/>
                <w:sz w:val="24"/>
                <w:szCs w:val="24"/>
              </w:rPr>
              <w:t xml:space="preserve"> prop</w:t>
            </w:r>
            <w:r w:rsidR="00E45623">
              <w:rPr>
                <w:rFonts w:ascii="Arial" w:hAnsi="Arial" w:cs="Arial"/>
                <w:sz w:val="24"/>
                <w:szCs w:val="24"/>
              </w:rPr>
              <w:t>erty</w:t>
            </w:r>
            <w:r w:rsidR="008D06F4">
              <w:rPr>
                <w:rFonts w:ascii="Arial" w:hAnsi="Arial" w:cs="Arial"/>
                <w:sz w:val="24"/>
                <w:szCs w:val="24"/>
              </w:rPr>
              <w:t xml:space="preserve"> to the </w:t>
            </w:r>
            <w:r w:rsidR="008D06F4">
              <w:rPr>
                <w:rFonts w:ascii="Arial" w:hAnsi="Arial" w:cs="Arial"/>
                <w:sz w:val="24"/>
                <w:szCs w:val="24"/>
              </w:rPr>
              <w:lastRenderedPageBreak/>
              <w:t>second defendant in terms of the divorce settlement agreement</w:t>
            </w:r>
            <w:r>
              <w:rPr>
                <w:rFonts w:ascii="Arial" w:hAnsi="Arial" w:cs="Arial"/>
                <w:sz w:val="24"/>
                <w:szCs w:val="24"/>
              </w:rPr>
              <w:t>. The first defendant further, submitted that if the</w:t>
            </w:r>
            <w:r w:rsidR="00AA64BD">
              <w:rPr>
                <w:rFonts w:ascii="Arial" w:hAnsi="Arial" w:cs="Arial"/>
                <w:sz w:val="24"/>
                <w:szCs w:val="24"/>
              </w:rPr>
              <w:t xml:space="preserve"> immovable</w:t>
            </w:r>
            <w:r>
              <w:rPr>
                <w:rFonts w:ascii="Arial" w:hAnsi="Arial" w:cs="Arial"/>
                <w:sz w:val="24"/>
                <w:szCs w:val="24"/>
              </w:rPr>
              <w:t xml:space="preserve"> property is to be declared</w:t>
            </w:r>
            <w:r w:rsidR="00AA64BD">
              <w:rPr>
                <w:rFonts w:ascii="Arial" w:hAnsi="Arial" w:cs="Arial"/>
                <w:sz w:val="24"/>
                <w:szCs w:val="24"/>
              </w:rPr>
              <w:t xml:space="preserve"> executable</w:t>
            </w:r>
            <w:r w:rsidR="00564F2C">
              <w:rPr>
                <w:rFonts w:ascii="Arial" w:hAnsi="Arial" w:cs="Arial"/>
                <w:sz w:val="24"/>
                <w:szCs w:val="24"/>
              </w:rPr>
              <w:t>,</w:t>
            </w:r>
            <w:r w:rsidR="00AA64BD">
              <w:rPr>
                <w:rFonts w:ascii="Arial" w:hAnsi="Arial" w:cs="Arial"/>
                <w:sz w:val="24"/>
                <w:szCs w:val="24"/>
              </w:rPr>
              <w:t xml:space="preserve"> then such declaration may only be made after June 2024 as the second defendant is</w:t>
            </w:r>
            <w:r>
              <w:rPr>
                <w:rFonts w:ascii="Arial" w:hAnsi="Arial" w:cs="Arial"/>
                <w:sz w:val="24"/>
                <w:szCs w:val="24"/>
              </w:rPr>
              <w:t xml:space="preserve"> in the process of selling the property. He further submitted that the second defendant only consented to judgment because</w:t>
            </w:r>
            <w:r w:rsidR="00C106D0">
              <w:rPr>
                <w:rFonts w:ascii="Arial" w:hAnsi="Arial" w:cs="Arial"/>
                <w:sz w:val="24"/>
                <w:szCs w:val="24"/>
              </w:rPr>
              <w:t xml:space="preserve"> she was forced by her legal representative</w:t>
            </w:r>
            <w:r>
              <w:rPr>
                <w:rFonts w:ascii="Arial" w:hAnsi="Arial" w:cs="Arial"/>
                <w:sz w:val="24"/>
                <w:szCs w:val="24"/>
              </w:rPr>
              <w:t>.</w:t>
            </w:r>
          </w:p>
          <w:p w:rsidR="00F2347C" w:rsidRPr="00F2347C" w:rsidRDefault="00F2347C" w:rsidP="008D056C">
            <w:pPr>
              <w:pStyle w:val="ListParagraph"/>
              <w:spacing w:line="360" w:lineRule="auto"/>
              <w:rPr>
                <w:rFonts w:ascii="Arial" w:hAnsi="Arial" w:cs="Arial"/>
                <w:sz w:val="24"/>
                <w:szCs w:val="24"/>
              </w:rPr>
            </w:pPr>
          </w:p>
          <w:p w:rsidR="00E93456" w:rsidRDefault="00BC18F1" w:rsidP="008D056C">
            <w:pPr>
              <w:pStyle w:val="ListParagraph"/>
              <w:numPr>
                <w:ilvl w:val="0"/>
                <w:numId w:val="11"/>
              </w:numPr>
              <w:spacing w:line="360" w:lineRule="auto"/>
              <w:ind w:left="0" w:firstLine="0"/>
              <w:contextualSpacing w:val="0"/>
              <w:jc w:val="both"/>
              <w:rPr>
                <w:rFonts w:ascii="Arial" w:hAnsi="Arial" w:cs="Arial"/>
                <w:sz w:val="24"/>
                <w:szCs w:val="24"/>
              </w:rPr>
            </w:pPr>
            <w:r w:rsidRPr="00564F2C">
              <w:rPr>
                <w:rFonts w:ascii="Arial" w:hAnsi="Arial" w:cs="Arial"/>
                <w:sz w:val="24"/>
                <w:szCs w:val="24"/>
              </w:rPr>
              <w:t>In reply,</w:t>
            </w:r>
            <w:r w:rsidR="00F2347C" w:rsidRPr="00564F2C">
              <w:rPr>
                <w:rFonts w:ascii="Arial" w:hAnsi="Arial" w:cs="Arial"/>
                <w:sz w:val="24"/>
                <w:szCs w:val="24"/>
              </w:rPr>
              <w:t xml:space="preserve"> Mr </w:t>
            </w:r>
            <w:proofErr w:type="spellStart"/>
            <w:r w:rsidR="00F2347C" w:rsidRPr="00564F2C">
              <w:rPr>
                <w:rFonts w:ascii="Arial" w:hAnsi="Arial" w:cs="Arial"/>
                <w:sz w:val="24"/>
                <w:szCs w:val="24"/>
              </w:rPr>
              <w:t>Tjitere</w:t>
            </w:r>
            <w:proofErr w:type="spellEnd"/>
            <w:r w:rsidR="00F2347C" w:rsidRPr="00564F2C">
              <w:rPr>
                <w:rFonts w:ascii="Arial" w:hAnsi="Arial" w:cs="Arial"/>
                <w:sz w:val="24"/>
                <w:szCs w:val="24"/>
              </w:rPr>
              <w:t xml:space="preserve"> submitted that, the affidavit filed by the second defendant should be disregarded by</w:t>
            </w:r>
            <w:r w:rsidR="00AA64BD" w:rsidRPr="00564F2C">
              <w:rPr>
                <w:rFonts w:ascii="Arial" w:hAnsi="Arial" w:cs="Arial"/>
                <w:sz w:val="24"/>
                <w:szCs w:val="24"/>
              </w:rPr>
              <w:t xml:space="preserve"> the court due to the consent to</w:t>
            </w:r>
            <w:r w:rsidR="00F2347C" w:rsidRPr="00564F2C">
              <w:rPr>
                <w:rFonts w:ascii="Arial" w:hAnsi="Arial" w:cs="Arial"/>
                <w:sz w:val="24"/>
                <w:szCs w:val="24"/>
              </w:rPr>
              <w:t xml:space="preserve"> judgment</w:t>
            </w:r>
            <w:r w:rsidR="00564F2C" w:rsidRPr="00564F2C">
              <w:rPr>
                <w:rFonts w:ascii="Arial" w:hAnsi="Arial" w:cs="Arial"/>
                <w:sz w:val="24"/>
                <w:szCs w:val="24"/>
              </w:rPr>
              <w:t xml:space="preserve"> document</w:t>
            </w:r>
            <w:r w:rsidR="00F2347C" w:rsidRPr="00564F2C">
              <w:rPr>
                <w:rFonts w:ascii="Arial" w:hAnsi="Arial" w:cs="Arial"/>
                <w:sz w:val="24"/>
                <w:szCs w:val="24"/>
              </w:rPr>
              <w:t xml:space="preserve"> that was filed </w:t>
            </w:r>
            <w:r w:rsidR="00AA64BD" w:rsidRPr="00564F2C">
              <w:rPr>
                <w:rFonts w:ascii="Arial" w:hAnsi="Arial" w:cs="Arial"/>
                <w:sz w:val="24"/>
                <w:szCs w:val="24"/>
              </w:rPr>
              <w:t>by the first defendant</w:t>
            </w:r>
            <w:r w:rsidR="00F2347C" w:rsidRPr="00564F2C">
              <w:rPr>
                <w:rFonts w:ascii="Arial" w:hAnsi="Arial" w:cs="Arial"/>
                <w:sz w:val="24"/>
                <w:szCs w:val="24"/>
              </w:rPr>
              <w:t>.</w:t>
            </w:r>
            <w:r w:rsidR="0095255F" w:rsidRPr="00564F2C">
              <w:rPr>
                <w:rFonts w:ascii="Arial" w:hAnsi="Arial" w:cs="Arial"/>
                <w:sz w:val="24"/>
                <w:szCs w:val="24"/>
              </w:rPr>
              <w:t xml:space="preserve"> </w:t>
            </w:r>
          </w:p>
          <w:p w:rsidR="008D056C" w:rsidRPr="00564F2C" w:rsidRDefault="008D056C" w:rsidP="008D056C">
            <w:pPr>
              <w:pStyle w:val="ListParagraph"/>
              <w:spacing w:line="360" w:lineRule="auto"/>
              <w:ind w:left="0"/>
              <w:contextualSpacing w:val="0"/>
              <w:jc w:val="both"/>
              <w:rPr>
                <w:rFonts w:ascii="Arial" w:hAnsi="Arial" w:cs="Arial"/>
                <w:sz w:val="24"/>
                <w:szCs w:val="24"/>
              </w:rPr>
            </w:pPr>
          </w:p>
          <w:p w:rsidR="008013EA" w:rsidRDefault="00E93456" w:rsidP="008D056C">
            <w:pPr>
              <w:pStyle w:val="ListParagraph"/>
              <w:numPr>
                <w:ilvl w:val="0"/>
                <w:numId w:val="11"/>
              </w:numPr>
              <w:spacing w:line="360" w:lineRule="auto"/>
              <w:ind w:left="0" w:firstLine="0"/>
              <w:contextualSpacing w:val="0"/>
              <w:jc w:val="both"/>
              <w:rPr>
                <w:rFonts w:ascii="Arial" w:hAnsi="Arial" w:cs="Arial"/>
                <w:sz w:val="24"/>
                <w:szCs w:val="24"/>
              </w:rPr>
            </w:pPr>
            <w:r w:rsidRPr="00A05832">
              <w:rPr>
                <w:rFonts w:ascii="Arial" w:hAnsi="Arial" w:cs="Arial"/>
                <w:sz w:val="24"/>
                <w:szCs w:val="24"/>
              </w:rPr>
              <w:t>Having reg</w:t>
            </w:r>
            <w:r>
              <w:rPr>
                <w:rFonts w:ascii="Arial" w:hAnsi="Arial" w:cs="Arial"/>
                <w:sz w:val="24"/>
                <w:szCs w:val="24"/>
              </w:rPr>
              <w:t>ard to the foregoing, the crisp</w:t>
            </w:r>
            <w:r w:rsidRPr="00A05832">
              <w:rPr>
                <w:rFonts w:ascii="Arial" w:hAnsi="Arial" w:cs="Arial"/>
                <w:sz w:val="24"/>
                <w:szCs w:val="24"/>
              </w:rPr>
              <w:t xml:space="preserve"> issue for determination is whether or not the first defendant has</w:t>
            </w:r>
            <w:r w:rsidR="00CF55AD">
              <w:rPr>
                <w:rFonts w:ascii="Arial" w:hAnsi="Arial" w:cs="Arial"/>
                <w:sz w:val="24"/>
                <w:szCs w:val="24"/>
              </w:rPr>
              <w:t xml:space="preserve"> demonstrated that he has</w:t>
            </w:r>
            <w:r w:rsidRPr="00A05832">
              <w:rPr>
                <w:rFonts w:ascii="Arial" w:hAnsi="Arial" w:cs="Arial"/>
                <w:sz w:val="24"/>
                <w:szCs w:val="24"/>
              </w:rPr>
              <w:t xml:space="preserve"> a bona fide defence</w:t>
            </w:r>
            <w:r w:rsidR="00CF55AD">
              <w:rPr>
                <w:rFonts w:ascii="Arial" w:hAnsi="Arial" w:cs="Arial"/>
                <w:sz w:val="24"/>
                <w:szCs w:val="24"/>
              </w:rPr>
              <w:t xml:space="preserve"> </w:t>
            </w:r>
            <w:r w:rsidR="00557BE2">
              <w:rPr>
                <w:rFonts w:ascii="Arial" w:hAnsi="Arial" w:cs="Arial"/>
                <w:sz w:val="24"/>
                <w:szCs w:val="24"/>
              </w:rPr>
              <w:t>against</w:t>
            </w:r>
            <w:r w:rsidR="00CF55AD">
              <w:rPr>
                <w:rFonts w:ascii="Arial" w:hAnsi="Arial" w:cs="Arial"/>
                <w:sz w:val="24"/>
                <w:szCs w:val="24"/>
              </w:rPr>
              <w:t xml:space="preserve"> the plaintiff’s claim</w:t>
            </w:r>
            <w:r w:rsidRPr="00A05832">
              <w:rPr>
                <w:rFonts w:ascii="Arial" w:hAnsi="Arial" w:cs="Arial"/>
                <w:sz w:val="24"/>
                <w:szCs w:val="24"/>
              </w:rPr>
              <w:t>.</w:t>
            </w:r>
          </w:p>
          <w:p w:rsidR="008013EA" w:rsidRDefault="008013EA" w:rsidP="008D056C">
            <w:pPr>
              <w:pStyle w:val="ListParagraph"/>
              <w:spacing w:line="360" w:lineRule="auto"/>
              <w:ind w:left="0"/>
              <w:contextualSpacing w:val="0"/>
              <w:jc w:val="both"/>
              <w:rPr>
                <w:rFonts w:ascii="Arial" w:hAnsi="Arial" w:cs="Arial"/>
                <w:sz w:val="24"/>
                <w:szCs w:val="24"/>
              </w:rPr>
            </w:pPr>
          </w:p>
          <w:p w:rsidR="008013EA" w:rsidRPr="008013EA" w:rsidRDefault="008013EA" w:rsidP="008D056C">
            <w:pPr>
              <w:pStyle w:val="ListParagraph"/>
              <w:spacing w:line="360" w:lineRule="auto"/>
              <w:ind w:left="0"/>
              <w:contextualSpacing w:val="0"/>
              <w:jc w:val="both"/>
              <w:rPr>
                <w:rFonts w:ascii="Arial" w:hAnsi="Arial" w:cs="Arial"/>
                <w:sz w:val="24"/>
                <w:szCs w:val="24"/>
                <w:u w:val="single"/>
              </w:rPr>
            </w:pPr>
            <w:r w:rsidRPr="008013EA">
              <w:rPr>
                <w:rFonts w:ascii="Arial" w:hAnsi="Arial" w:cs="Arial"/>
                <w:sz w:val="24"/>
                <w:szCs w:val="24"/>
                <w:u w:val="single"/>
              </w:rPr>
              <w:t>Applicable law</w:t>
            </w:r>
          </w:p>
          <w:p w:rsidR="008013EA" w:rsidRPr="008013EA" w:rsidRDefault="008013EA" w:rsidP="008D056C">
            <w:pPr>
              <w:pStyle w:val="ListParagraph"/>
              <w:spacing w:line="360" w:lineRule="auto"/>
              <w:rPr>
                <w:rFonts w:ascii="Arial" w:hAnsi="Arial" w:cs="Arial"/>
                <w:sz w:val="24"/>
                <w:szCs w:val="24"/>
              </w:rPr>
            </w:pPr>
          </w:p>
          <w:p w:rsidR="00307DB3" w:rsidRPr="003A6E24" w:rsidRDefault="00557BE2" w:rsidP="008D056C">
            <w:pPr>
              <w:pStyle w:val="ListParagraph"/>
              <w:numPr>
                <w:ilvl w:val="0"/>
                <w:numId w:val="11"/>
              </w:numPr>
              <w:spacing w:line="360" w:lineRule="auto"/>
              <w:ind w:left="0" w:firstLine="0"/>
              <w:contextualSpacing w:val="0"/>
              <w:jc w:val="both"/>
              <w:rPr>
                <w:rFonts w:ascii="Arial" w:hAnsi="Arial" w:cs="Arial"/>
                <w:sz w:val="24"/>
                <w:szCs w:val="24"/>
              </w:rPr>
            </w:pPr>
            <w:r>
              <w:rPr>
                <w:rFonts w:ascii="Arial" w:hAnsi="Arial" w:cs="Arial"/>
                <w:sz w:val="24"/>
                <w:szCs w:val="24"/>
              </w:rPr>
              <w:t xml:space="preserve"> According to </w:t>
            </w:r>
            <w:proofErr w:type="spellStart"/>
            <w:r w:rsidRPr="008013EA">
              <w:rPr>
                <w:rFonts w:ascii="Arial" w:hAnsi="Arial" w:cs="Arial"/>
                <w:i/>
                <w:sz w:val="24"/>
                <w:szCs w:val="24"/>
              </w:rPr>
              <w:t>Herbstein</w:t>
            </w:r>
            <w:proofErr w:type="spellEnd"/>
            <w:r w:rsidRPr="008013EA">
              <w:rPr>
                <w:rFonts w:ascii="Arial" w:hAnsi="Arial" w:cs="Arial"/>
                <w:i/>
                <w:sz w:val="24"/>
                <w:szCs w:val="24"/>
              </w:rPr>
              <w:t xml:space="preserve"> &amp;</w:t>
            </w:r>
            <w:r w:rsidR="00564F2C">
              <w:rPr>
                <w:rFonts w:ascii="Arial" w:hAnsi="Arial" w:cs="Arial"/>
                <w:i/>
                <w:sz w:val="24"/>
                <w:szCs w:val="24"/>
              </w:rPr>
              <w:t>Van</w:t>
            </w:r>
            <w:r w:rsidRPr="008013EA">
              <w:rPr>
                <w:rFonts w:ascii="Arial" w:hAnsi="Arial" w:cs="Arial"/>
                <w:i/>
                <w:sz w:val="24"/>
                <w:szCs w:val="24"/>
              </w:rPr>
              <w:t xml:space="preserve"> </w:t>
            </w:r>
            <w:proofErr w:type="spellStart"/>
            <w:r w:rsidRPr="008013EA">
              <w:rPr>
                <w:rFonts w:ascii="Arial" w:hAnsi="Arial" w:cs="Arial"/>
                <w:i/>
                <w:sz w:val="24"/>
                <w:szCs w:val="24"/>
              </w:rPr>
              <w:t>Winsen</w:t>
            </w:r>
            <w:proofErr w:type="spellEnd"/>
            <w:r w:rsidR="008013EA">
              <w:rPr>
                <w:rStyle w:val="FootnoteReference"/>
                <w:rFonts w:ascii="Arial" w:hAnsi="Arial" w:cs="Arial"/>
                <w:i/>
                <w:sz w:val="24"/>
                <w:szCs w:val="24"/>
              </w:rPr>
              <w:footnoteReference w:id="1"/>
            </w:r>
            <w:r w:rsidR="008013EA">
              <w:rPr>
                <w:rFonts w:ascii="Arial" w:hAnsi="Arial" w:cs="Arial"/>
                <w:sz w:val="24"/>
                <w:szCs w:val="24"/>
              </w:rPr>
              <w:t xml:space="preserve"> a</w:t>
            </w:r>
            <w:r>
              <w:rPr>
                <w:rFonts w:ascii="Arial" w:hAnsi="Arial" w:cs="Arial"/>
                <w:sz w:val="24"/>
                <w:szCs w:val="24"/>
              </w:rPr>
              <w:t xml:space="preserve"> </w:t>
            </w:r>
            <w:r w:rsidR="008013EA">
              <w:rPr>
                <w:rFonts w:ascii="Arial" w:hAnsi="Arial" w:cs="Arial"/>
                <w:sz w:val="24"/>
                <w:szCs w:val="24"/>
              </w:rPr>
              <w:t>bona fide</w:t>
            </w:r>
            <w:r w:rsidR="00BC18F1">
              <w:rPr>
                <w:rFonts w:ascii="Arial" w:hAnsi="Arial" w:cs="Arial"/>
                <w:sz w:val="24"/>
                <w:szCs w:val="24"/>
              </w:rPr>
              <w:t xml:space="preserve"> defence</w:t>
            </w:r>
            <w:r w:rsidR="008013EA">
              <w:rPr>
                <w:rFonts w:ascii="Arial" w:hAnsi="Arial" w:cs="Arial"/>
                <w:sz w:val="24"/>
                <w:szCs w:val="24"/>
              </w:rPr>
              <w:t xml:space="preserve"> is disclosed</w:t>
            </w:r>
            <w:r>
              <w:rPr>
                <w:rFonts w:ascii="Arial" w:hAnsi="Arial" w:cs="Arial"/>
                <w:sz w:val="24"/>
                <w:szCs w:val="24"/>
              </w:rPr>
              <w:t xml:space="preserve"> if the </w:t>
            </w:r>
            <w:r w:rsidR="00BC18F1">
              <w:rPr>
                <w:rFonts w:ascii="Arial" w:hAnsi="Arial" w:cs="Arial"/>
                <w:sz w:val="24"/>
                <w:szCs w:val="24"/>
              </w:rPr>
              <w:t>defendant swears to the defence, valid in law</w:t>
            </w:r>
            <w:r>
              <w:rPr>
                <w:rFonts w:ascii="Arial" w:hAnsi="Arial" w:cs="Arial"/>
                <w:sz w:val="24"/>
                <w:szCs w:val="24"/>
              </w:rPr>
              <w:t xml:space="preserve">, in a manner </w:t>
            </w:r>
            <w:r w:rsidR="00BC18F1" w:rsidRPr="00BC18F1">
              <w:rPr>
                <w:rFonts w:ascii="Arial" w:hAnsi="Arial" w:cs="Arial"/>
                <w:sz w:val="24"/>
                <w:szCs w:val="24"/>
              </w:rPr>
              <w:t>that is not inherently or seriously unconvincing</w:t>
            </w:r>
            <w:r>
              <w:rPr>
                <w:rFonts w:ascii="Arial" w:hAnsi="Arial" w:cs="Arial"/>
                <w:sz w:val="24"/>
                <w:szCs w:val="24"/>
              </w:rPr>
              <w:t xml:space="preserve">. In other </w:t>
            </w:r>
            <w:r w:rsidR="008013EA">
              <w:rPr>
                <w:rFonts w:ascii="Arial" w:hAnsi="Arial" w:cs="Arial"/>
                <w:sz w:val="24"/>
                <w:szCs w:val="24"/>
              </w:rPr>
              <w:t>words,</w:t>
            </w:r>
            <w:r>
              <w:rPr>
                <w:rFonts w:ascii="Arial" w:hAnsi="Arial" w:cs="Arial"/>
                <w:sz w:val="24"/>
                <w:szCs w:val="24"/>
              </w:rPr>
              <w:t xml:space="preserve"> the </w:t>
            </w:r>
            <w:r w:rsidR="008013EA">
              <w:rPr>
                <w:rFonts w:ascii="Arial" w:hAnsi="Arial" w:cs="Arial"/>
                <w:sz w:val="24"/>
                <w:szCs w:val="24"/>
              </w:rPr>
              <w:t>affidavit</w:t>
            </w:r>
            <w:r>
              <w:rPr>
                <w:rFonts w:ascii="Arial" w:hAnsi="Arial" w:cs="Arial"/>
                <w:sz w:val="24"/>
                <w:szCs w:val="24"/>
              </w:rPr>
              <w:t xml:space="preserve"> must set out facts, if proved at th</w:t>
            </w:r>
            <w:r w:rsidR="008013EA">
              <w:rPr>
                <w:rFonts w:ascii="Arial" w:hAnsi="Arial" w:cs="Arial"/>
                <w:sz w:val="24"/>
                <w:szCs w:val="24"/>
              </w:rPr>
              <w:t>e</w:t>
            </w:r>
            <w:r>
              <w:rPr>
                <w:rFonts w:ascii="Arial" w:hAnsi="Arial" w:cs="Arial"/>
                <w:sz w:val="24"/>
                <w:szCs w:val="24"/>
              </w:rPr>
              <w:t xml:space="preserve"> trial, would constitute a defence to the </w:t>
            </w:r>
            <w:r w:rsidR="008013EA">
              <w:rPr>
                <w:rFonts w:ascii="Arial" w:hAnsi="Arial" w:cs="Arial"/>
                <w:sz w:val="24"/>
                <w:szCs w:val="24"/>
              </w:rPr>
              <w:t>plaintiff’s</w:t>
            </w:r>
            <w:r>
              <w:rPr>
                <w:rFonts w:ascii="Arial" w:hAnsi="Arial" w:cs="Arial"/>
                <w:sz w:val="24"/>
                <w:szCs w:val="24"/>
              </w:rPr>
              <w:t xml:space="preserve"> action. Failure to </w:t>
            </w:r>
            <w:r w:rsidR="008013EA">
              <w:rPr>
                <w:rFonts w:ascii="Arial" w:hAnsi="Arial" w:cs="Arial"/>
                <w:sz w:val="24"/>
                <w:szCs w:val="24"/>
              </w:rPr>
              <w:t>allege</w:t>
            </w:r>
            <w:r>
              <w:rPr>
                <w:rFonts w:ascii="Arial" w:hAnsi="Arial" w:cs="Arial"/>
                <w:sz w:val="24"/>
                <w:szCs w:val="24"/>
              </w:rPr>
              <w:t xml:space="preserve"> an essential element of the defence may result in the summary judgment being granted.</w:t>
            </w:r>
          </w:p>
          <w:p w:rsidR="00307DB3" w:rsidRPr="00307DB3" w:rsidRDefault="00307DB3" w:rsidP="008D056C">
            <w:pPr>
              <w:spacing w:line="360" w:lineRule="auto"/>
              <w:ind w:left="23" w:hanging="23"/>
              <w:jc w:val="both"/>
              <w:rPr>
                <w:rFonts w:ascii="Arial" w:hAnsi="Arial" w:cs="Arial"/>
                <w:sz w:val="24"/>
                <w:szCs w:val="24"/>
                <w:lang w:val="en-US"/>
              </w:rPr>
            </w:pPr>
          </w:p>
          <w:p w:rsidR="00A10314" w:rsidRPr="0050278E" w:rsidRDefault="00A10314" w:rsidP="008D056C">
            <w:pPr>
              <w:pStyle w:val="ListParagraph"/>
              <w:numPr>
                <w:ilvl w:val="0"/>
                <w:numId w:val="11"/>
              </w:numPr>
              <w:tabs>
                <w:tab w:val="left" w:pos="864"/>
                <w:tab w:val="left" w:pos="1872"/>
                <w:tab w:val="left" w:pos="2016"/>
                <w:tab w:val="left" w:pos="3168"/>
                <w:tab w:val="left" w:pos="5328"/>
                <w:tab w:val="left" w:pos="7200"/>
                <w:tab w:val="left" w:pos="7920"/>
              </w:tabs>
              <w:spacing w:line="360" w:lineRule="auto"/>
              <w:ind w:left="0" w:firstLine="0"/>
              <w:contextualSpacing w:val="0"/>
              <w:jc w:val="both"/>
              <w:rPr>
                <w:rFonts w:ascii="Arial" w:eastAsia="Calibri" w:hAnsi="Arial" w:cs="Arial"/>
                <w:sz w:val="24"/>
                <w:szCs w:val="24"/>
                <w:lang w:val="en-GB"/>
              </w:rPr>
            </w:pPr>
            <w:r w:rsidRPr="0050278E">
              <w:rPr>
                <w:rFonts w:ascii="Arial" w:hAnsi="Arial" w:cs="Arial"/>
                <w:sz w:val="24"/>
                <w:szCs w:val="24"/>
              </w:rPr>
              <w:t>The test for summary judgment was laid out in</w:t>
            </w:r>
            <w:r w:rsidRPr="0050278E">
              <w:rPr>
                <w:rFonts w:ascii="Arial" w:hAnsi="Arial" w:cs="Arial"/>
                <w:i/>
                <w:iCs/>
                <w:color w:val="212529"/>
                <w:sz w:val="23"/>
                <w:szCs w:val="23"/>
                <w:shd w:val="clear" w:color="auto" w:fill="FFFFFF"/>
              </w:rPr>
              <w:t xml:space="preserve"> </w:t>
            </w:r>
            <w:proofErr w:type="spellStart"/>
            <w:r w:rsidRPr="0050278E">
              <w:rPr>
                <w:rFonts w:ascii="Arial" w:hAnsi="Arial" w:cs="Arial"/>
                <w:i/>
                <w:iCs/>
                <w:sz w:val="24"/>
                <w:szCs w:val="24"/>
              </w:rPr>
              <w:t>Maharaj</w:t>
            </w:r>
            <w:proofErr w:type="spellEnd"/>
            <w:r w:rsidRPr="0050278E">
              <w:rPr>
                <w:rFonts w:ascii="Arial" w:hAnsi="Arial" w:cs="Arial"/>
                <w:i/>
                <w:iCs/>
                <w:sz w:val="24"/>
                <w:szCs w:val="24"/>
              </w:rPr>
              <w:t xml:space="preserve"> v Barclays National Bank Ltd</w:t>
            </w:r>
            <w:r w:rsidR="00535AA4">
              <w:rPr>
                <w:rStyle w:val="FootnoteReference"/>
                <w:rFonts w:ascii="Arial" w:hAnsi="Arial" w:cs="Arial"/>
                <w:i/>
                <w:iCs/>
                <w:sz w:val="24"/>
                <w:szCs w:val="24"/>
              </w:rPr>
              <w:footnoteReference w:id="2"/>
            </w:r>
            <w:r w:rsidRPr="0050278E">
              <w:rPr>
                <w:rFonts w:ascii="Arial" w:hAnsi="Arial" w:cs="Arial"/>
                <w:i/>
                <w:iCs/>
                <w:sz w:val="24"/>
                <w:szCs w:val="24"/>
              </w:rPr>
              <w:t xml:space="preserve"> </w:t>
            </w:r>
            <w:r w:rsidRPr="0050278E">
              <w:rPr>
                <w:rFonts w:ascii="Arial" w:hAnsi="Arial" w:cs="Arial"/>
                <w:iCs/>
                <w:sz w:val="24"/>
                <w:szCs w:val="24"/>
              </w:rPr>
              <w:t>and confirmed</w:t>
            </w:r>
            <w:r w:rsidRPr="0050278E">
              <w:rPr>
                <w:rFonts w:ascii="Arial" w:hAnsi="Arial" w:cs="Arial"/>
                <w:sz w:val="24"/>
                <w:szCs w:val="24"/>
              </w:rPr>
              <w:t xml:space="preserve"> in</w:t>
            </w:r>
            <w:r w:rsidR="006C01EA" w:rsidRPr="0050278E">
              <w:rPr>
                <w:rFonts w:ascii="Arial" w:eastAsia="Times New Roman" w:hAnsi="Arial" w:cs="Arial"/>
                <w:color w:val="212529"/>
                <w:kern w:val="36"/>
                <w:sz w:val="48"/>
                <w:szCs w:val="48"/>
                <w:lang w:eastAsia="en-ZA"/>
              </w:rPr>
              <w:t xml:space="preserve"> </w:t>
            </w:r>
            <w:r w:rsidRPr="0050278E">
              <w:rPr>
                <w:rFonts w:ascii="Arial" w:hAnsi="Arial" w:cs="Arial"/>
                <w:i/>
                <w:sz w:val="24"/>
                <w:szCs w:val="24"/>
              </w:rPr>
              <w:t xml:space="preserve">Radial Truss Industries (Pty) Ltd v </w:t>
            </w:r>
            <w:proofErr w:type="spellStart"/>
            <w:r w:rsidRPr="0050278E">
              <w:rPr>
                <w:rFonts w:ascii="Arial" w:hAnsi="Arial" w:cs="Arial"/>
                <w:i/>
                <w:sz w:val="24"/>
                <w:szCs w:val="24"/>
              </w:rPr>
              <w:t>Aquatan</w:t>
            </w:r>
            <w:proofErr w:type="spellEnd"/>
            <w:r w:rsidRPr="0050278E">
              <w:rPr>
                <w:rFonts w:ascii="Arial" w:hAnsi="Arial" w:cs="Arial"/>
                <w:sz w:val="24"/>
                <w:szCs w:val="24"/>
              </w:rPr>
              <w:t xml:space="preserve"> (Pty) Ltd</w:t>
            </w:r>
            <w:r w:rsidR="00535AA4">
              <w:rPr>
                <w:rStyle w:val="FootnoteReference"/>
                <w:rFonts w:ascii="Arial" w:hAnsi="Arial" w:cs="Arial"/>
                <w:sz w:val="24"/>
                <w:szCs w:val="24"/>
              </w:rPr>
              <w:footnoteReference w:id="3"/>
            </w:r>
            <w:r w:rsidRPr="0050278E">
              <w:rPr>
                <w:rFonts w:ascii="Arial" w:hAnsi="Arial" w:cs="Arial"/>
                <w:sz w:val="24"/>
                <w:szCs w:val="24"/>
              </w:rPr>
              <w:t xml:space="preserve"> as follows:</w:t>
            </w:r>
          </w:p>
          <w:p w:rsidR="00A10314" w:rsidRDefault="00A10314" w:rsidP="008D056C">
            <w:pPr>
              <w:spacing w:line="360" w:lineRule="auto"/>
              <w:jc w:val="both"/>
              <w:rPr>
                <w:rFonts w:ascii="Arial" w:hAnsi="Arial" w:cs="Arial"/>
                <w:sz w:val="24"/>
                <w:szCs w:val="24"/>
              </w:rPr>
            </w:pPr>
          </w:p>
          <w:p w:rsidR="00A10314" w:rsidRPr="00A10314" w:rsidRDefault="00A10314" w:rsidP="008D056C">
            <w:pPr>
              <w:spacing w:line="360" w:lineRule="auto"/>
              <w:jc w:val="both"/>
              <w:rPr>
                <w:rFonts w:ascii="Arial" w:hAnsi="Arial" w:cs="Arial"/>
              </w:rPr>
            </w:pPr>
            <w:r>
              <w:rPr>
                <w:rFonts w:ascii="Arial" w:hAnsi="Arial" w:cs="Arial"/>
                <w:sz w:val="24"/>
                <w:szCs w:val="24"/>
              </w:rPr>
              <w:tab/>
            </w:r>
            <w:r w:rsidRPr="00A10314">
              <w:rPr>
                <w:rFonts w:ascii="Arial" w:hAnsi="Arial" w:cs="Arial"/>
              </w:rPr>
              <w:t xml:space="preserve">‘The court in </w:t>
            </w:r>
            <w:proofErr w:type="spellStart"/>
            <w:r w:rsidRPr="00AB6C36">
              <w:rPr>
                <w:rFonts w:ascii="Arial" w:hAnsi="Arial" w:cs="Arial"/>
                <w:i/>
              </w:rPr>
              <w:t>Maharaj</w:t>
            </w:r>
            <w:proofErr w:type="spellEnd"/>
            <w:r w:rsidRPr="00AB6C36">
              <w:rPr>
                <w:rFonts w:ascii="Arial" w:hAnsi="Arial" w:cs="Arial"/>
                <w:i/>
              </w:rPr>
              <w:t xml:space="preserve"> </w:t>
            </w:r>
            <w:r w:rsidRPr="00A10314">
              <w:rPr>
                <w:rFonts w:ascii="Arial" w:hAnsi="Arial" w:cs="Arial"/>
              </w:rPr>
              <w:t>made it clear that the court is not called upon to decide factual disputes or express any view on the dispute. It is instead to determine firstly whether a defendant has ‘fully’ disclosed the nature and grounds of the defence and the material facts upon which that defence is founded. In the second instance the court is to determine whether on the facts set out by the defendant that it appears to have – as to either the whole or part of the claim – a defence which is bona fide and good in law. If satisfied upon these two criteria, the court must refuse summary judgment.’</w:t>
            </w:r>
          </w:p>
          <w:p w:rsidR="00A10314" w:rsidRDefault="00A10314" w:rsidP="008D056C">
            <w:pPr>
              <w:spacing w:line="360" w:lineRule="auto"/>
              <w:jc w:val="both"/>
              <w:rPr>
                <w:rFonts w:ascii="Arial" w:eastAsia="Calibri" w:hAnsi="Arial" w:cs="Arial"/>
                <w:sz w:val="24"/>
                <w:szCs w:val="24"/>
                <w:lang w:val="en-US"/>
              </w:rPr>
            </w:pPr>
          </w:p>
          <w:p w:rsidR="006A398D" w:rsidRPr="006A398D" w:rsidRDefault="006A398D" w:rsidP="008D056C">
            <w:pPr>
              <w:spacing w:line="360" w:lineRule="auto"/>
              <w:jc w:val="both"/>
              <w:rPr>
                <w:rFonts w:ascii="Arial" w:hAnsi="Arial" w:cs="Arial"/>
                <w:sz w:val="24"/>
                <w:szCs w:val="24"/>
                <w:u w:val="single"/>
              </w:rPr>
            </w:pPr>
            <w:r w:rsidRPr="006A398D">
              <w:rPr>
                <w:rFonts w:ascii="Arial" w:hAnsi="Arial" w:cs="Arial"/>
                <w:sz w:val="24"/>
                <w:szCs w:val="24"/>
                <w:u w:val="single"/>
              </w:rPr>
              <w:t>Discussion</w:t>
            </w:r>
          </w:p>
          <w:p w:rsidR="006A398D" w:rsidRPr="006A398D" w:rsidRDefault="006A398D" w:rsidP="008D056C">
            <w:pPr>
              <w:spacing w:line="360" w:lineRule="auto"/>
              <w:jc w:val="both"/>
              <w:rPr>
                <w:rFonts w:ascii="Arial" w:hAnsi="Arial" w:cs="Arial"/>
                <w:sz w:val="24"/>
                <w:szCs w:val="24"/>
              </w:rPr>
            </w:pPr>
          </w:p>
          <w:p w:rsidR="005B5D52" w:rsidRDefault="00F17B35"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5B5D52">
              <w:rPr>
                <w:rFonts w:ascii="Arial" w:hAnsi="Arial" w:cs="Arial"/>
                <w:sz w:val="24"/>
                <w:szCs w:val="24"/>
              </w:rPr>
              <w:lastRenderedPageBreak/>
              <w:t>Keeping in mind the legal principle</w:t>
            </w:r>
            <w:r w:rsidR="00E17113" w:rsidRPr="005B5D52">
              <w:rPr>
                <w:rFonts w:ascii="Arial" w:hAnsi="Arial" w:cs="Arial"/>
                <w:sz w:val="24"/>
                <w:szCs w:val="24"/>
              </w:rPr>
              <w:t>s</w:t>
            </w:r>
            <w:r w:rsidRPr="005B5D52">
              <w:rPr>
                <w:rFonts w:ascii="Arial" w:hAnsi="Arial" w:cs="Arial"/>
                <w:sz w:val="24"/>
                <w:szCs w:val="24"/>
              </w:rPr>
              <w:t xml:space="preserve"> outline</w:t>
            </w:r>
            <w:r w:rsidR="00E17113" w:rsidRPr="005B5D52">
              <w:rPr>
                <w:rFonts w:ascii="Arial" w:hAnsi="Arial" w:cs="Arial"/>
                <w:sz w:val="24"/>
                <w:szCs w:val="24"/>
              </w:rPr>
              <w:t>d</w:t>
            </w:r>
            <w:r w:rsidRPr="005B5D52">
              <w:rPr>
                <w:rFonts w:ascii="Arial" w:hAnsi="Arial" w:cs="Arial"/>
                <w:sz w:val="24"/>
                <w:szCs w:val="24"/>
              </w:rPr>
              <w:t xml:space="preserve"> above, I proceed to consider </w:t>
            </w:r>
            <w:r w:rsidR="00AA1D00" w:rsidRPr="005B5D52">
              <w:rPr>
                <w:rFonts w:ascii="Arial" w:hAnsi="Arial" w:cs="Arial"/>
                <w:sz w:val="24"/>
                <w:szCs w:val="24"/>
              </w:rPr>
              <w:t xml:space="preserve">whether </w:t>
            </w:r>
            <w:r w:rsidRPr="005B5D52">
              <w:rPr>
                <w:rFonts w:ascii="Arial" w:hAnsi="Arial" w:cs="Arial"/>
                <w:sz w:val="24"/>
                <w:szCs w:val="24"/>
              </w:rPr>
              <w:t xml:space="preserve">the </w:t>
            </w:r>
            <w:r w:rsidR="000E5BFE">
              <w:rPr>
                <w:rFonts w:ascii="Arial" w:hAnsi="Arial" w:cs="Arial"/>
                <w:sz w:val="24"/>
                <w:szCs w:val="24"/>
              </w:rPr>
              <w:t>first defendant has demonstrated</w:t>
            </w:r>
            <w:r w:rsidR="008013EA">
              <w:rPr>
                <w:rFonts w:ascii="Arial" w:hAnsi="Arial" w:cs="Arial"/>
                <w:sz w:val="24"/>
                <w:szCs w:val="24"/>
              </w:rPr>
              <w:t xml:space="preserve"> that he has </w:t>
            </w:r>
            <w:r w:rsidR="00AA1D00" w:rsidRPr="005B5D52">
              <w:rPr>
                <w:rFonts w:ascii="Arial" w:hAnsi="Arial" w:cs="Arial"/>
                <w:sz w:val="24"/>
                <w:szCs w:val="24"/>
              </w:rPr>
              <w:t>a bona fide defence</w:t>
            </w:r>
            <w:r w:rsidR="008013EA">
              <w:rPr>
                <w:rFonts w:ascii="Arial" w:hAnsi="Arial" w:cs="Arial"/>
                <w:sz w:val="24"/>
                <w:szCs w:val="24"/>
              </w:rPr>
              <w:t xml:space="preserve"> to the plaintiff’s claim</w:t>
            </w:r>
            <w:r w:rsidR="00AA1D00" w:rsidRPr="005B5D52">
              <w:rPr>
                <w:rFonts w:ascii="Arial" w:hAnsi="Arial" w:cs="Arial"/>
                <w:sz w:val="24"/>
                <w:szCs w:val="24"/>
              </w:rPr>
              <w:t>.</w:t>
            </w:r>
            <w:r w:rsidR="00C4597F" w:rsidRPr="005B5D52">
              <w:rPr>
                <w:rFonts w:ascii="Arial" w:hAnsi="Arial" w:cs="Arial"/>
                <w:sz w:val="24"/>
                <w:szCs w:val="24"/>
              </w:rPr>
              <w:t xml:space="preserve"> </w:t>
            </w:r>
            <w:r w:rsidR="000E5BFE">
              <w:rPr>
                <w:rFonts w:ascii="Arial" w:hAnsi="Arial" w:cs="Arial"/>
                <w:sz w:val="24"/>
                <w:szCs w:val="24"/>
              </w:rPr>
              <w:t xml:space="preserve"> It</w:t>
            </w:r>
            <w:r w:rsidR="008013EA">
              <w:rPr>
                <w:rFonts w:ascii="Arial" w:hAnsi="Arial" w:cs="Arial"/>
                <w:sz w:val="24"/>
                <w:szCs w:val="24"/>
              </w:rPr>
              <w:t xml:space="preserve"> is common ground that t</w:t>
            </w:r>
            <w:r w:rsidR="00C4597F" w:rsidRPr="005B5D52">
              <w:rPr>
                <w:rFonts w:ascii="Arial" w:hAnsi="Arial" w:cs="Arial"/>
                <w:sz w:val="24"/>
                <w:szCs w:val="24"/>
              </w:rPr>
              <w:t xml:space="preserve">he first defendant </w:t>
            </w:r>
            <w:r w:rsidR="002870B7">
              <w:rPr>
                <w:rFonts w:ascii="Arial" w:hAnsi="Arial" w:cs="Arial"/>
                <w:sz w:val="24"/>
                <w:szCs w:val="24"/>
              </w:rPr>
              <w:t>and the second defendant between 2008 and 2017</w:t>
            </w:r>
            <w:r w:rsidR="00797F68">
              <w:rPr>
                <w:rFonts w:ascii="Arial" w:hAnsi="Arial" w:cs="Arial"/>
                <w:sz w:val="24"/>
                <w:szCs w:val="24"/>
              </w:rPr>
              <w:t xml:space="preserve"> </w:t>
            </w:r>
            <w:r w:rsidR="00564F2C">
              <w:rPr>
                <w:rFonts w:ascii="Arial" w:hAnsi="Arial" w:cs="Arial"/>
                <w:sz w:val="24"/>
                <w:szCs w:val="24"/>
              </w:rPr>
              <w:t>entered into</w:t>
            </w:r>
            <w:r w:rsidR="00C4597F" w:rsidRPr="005B5D52">
              <w:rPr>
                <w:rFonts w:ascii="Arial" w:hAnsi="Arial" w:cs="Arial"/>
                <w:sz w:val="24"/>
                <w:szCs w:val="24"/>
              </w:rPr>
              <w:t xml:space="preserve"> five</w:t>
            </w:r>
            <w:r w:rsidR="002870B7">
              <w:rPr>
                <w:rFonts w:ascii="Arial" w:hAnsi="Arial" w:cs="Arial"/>
                <w:sz w:val="24"/>
                <w:szCs w:val="24"/>
              </w:rPr>
              <w:t xml:space="preserve"> loan</w:t>
            </w:r>
            <w:r w:rsidR="00C4597F" w:rsidRPr="005B5D52">
              <w:rPr>
                <w:rFonts w:ascii="Arial" w:hAnsi="Arial" w:cs="Arial"/>
                <w:sz w:val="24"/>
                <w:szCs w:val="24"/>
              </w:rPr>
              <w:t xml:space="preserve"> agreements in</w:t>
            </w:r>
            <w:r w:rsidR="002870B7">
              <w:rPr>
                <w:rFonts w:ascii="Arial" w:hAnsi="Arial" w:cs="Arial"/>
                <w:sz w:val="24"/>
                <w:szCs w:val="24"/>
              </w:rPr>
              <w:t xml:space="preserve"> terms whereof they bo</w:t>
            </w:r>
            <w:r w:rsidR="00C6364D">
              <w:rPr>
                <w:rFonts w:ascii="Arial" w:hAnsi="Arial" w:cs="Arial"/>
                <w:sz w:val="24"/>
                <w:szCs w:val="24"/>
              </w:rPr>
              <w:t>rrowed money from the plaintiff</w:t>
            </w:r>
            <w:r w:rsidR="00564F2C">
              <w:rPr>
                <w:rFonts w:ascii="Arial" w:hAnsi="Arial" w:cs="Arial"/>
                <w:sz w:val="24"/>
                <w:szCs w:val="24"/>
              </w:rPr>
              <w:t>. A</w:t>
            </w:r>
            <w:r w:rsidR="002870B7">
              <w:rPr>
                <w:rFonts w:ascii="Arial" w:hAnsi="Arial" w:cs="Arial"/>
                <w:sz w:val="24"/>
                <w:szCs w:val="24"/>
              </w:rPr>
              <w:t>s security for the repayment of such loans they mortgaged thei</w:t>
            </w:r>
            <w:r w:rsidR="00D20D79">
              <w:rPr>
                <w:rFonts w:ascii="Arial" w:hAnsi="Arial" w:cs="Arial"/>
                <w:sz w:val="24"/>
                <w:szCs w:val="24"/>
              </w:rPr>
              <w:t>r immovable property being erf</w:t>
            </w:r>
            <w:r w:rsidR="002870B7">
              <w:rPr>
                <w:rFonts w:ascii="Arial" w:hAnsi="Arial" w:cs="Arial"/>
                <w:sz w:val="24"/>
                <w:szCs w:val="24"/>
              </w:rPr>
              <w:t xml:space="preserve"> 281 </w:t>
            </w:r>
            <w:proofErr w:type="spellStart"/>
            <w:r w:rsidR="002870B7">
              <w:rPr>
                <w:rFonts w:ascii="Arial" w:hAnsi="Arial" w:cs="Arial"/>
                <w:sz w:val="24"/>
                <w:szCs w:val="24"/>
              </w:rPr>
              <w:t>Okondeka</w:t>
            </w:r>
            <w:proofErr w:type="spellEnd"/>
            <w:r w:rsidR="002870B7">
              <w:rPr>
                <w:rFonts w:ascii="Arial" w:hAnsi="Arial" w:cs="Arial"/>
                <w:sz w:val="24"/>
                <w:szCs w:val="24"/>
              </w:rPr>
              <w:t xml:space="preserve"> Street</w:t>
            </w:r>
            <w:r w:rsidR="00091E34">
              <w:rPr>
                <w:rFonts w:ascii="Arial" w:hAnsi="Arial" w:cs="Arial"/>
                <w:sz w:val="24"/>
                <w:szCs w:val="24"/>
              </w:rPr>
              <w:t>,</w:t>
            </w:r>
            <w:r w:rsidR="002870B7">
              <w:rPr>
                <w:rFonts w:ascii="Arial" w:hAnsi="Arial" w:cs="Arial"/>
                <w:sz w:val="24"/>
                <w:szCs w:val="24"/>
              </w:rPr>
              <w:t xml:space="preserve"> Klein </w:t>
            </w:r>
            <w:proofErr w:type="spellStart"/>
            <w:r w:rsidR="002870B7">
              <w:rPr>
                <w:rFonts w:ascii="Arial" w:hAnsi="Arial" w:cs="Arial"/>
                <w:sz w:val="24"/>
                <w:szCs w:val="24"/>
              </w:rPr>
              <w:t>Kuppe</w:t>
            </w:r>
            <w:proofErr w:type="spellEnd"/>
            <w:r w:rsidR="002870B7">
              <w:rPr>
                <w:rFonts w:ascii="Arial" w:hAnsi="Arial" w:cs="Arial"/>
                <w:sz w:val="24"/>
                <w:szCs w:val="24"/>
              </w:rPr>
              <w:t>. On 22 January 2008</w:t>
            </w:r>
            <w:r w:rsidR="00091E34">
              <w:rPr>
                <w:rFonts w:ascii="Arial" w:hAnsi="Arial" w:cs="Arial"/>
                <w:sz w:val="24"/>
                <w:szCs w:val="24"/>
              </w:rPr>
              <w:t>,</w:t>
            </w:r>
            <w:r w:rsidR="002870B7">
              <w:rPr>
                <w:rFonts w:ascii="Arial" w:hAnsi="Arial" w:cs="Arial"/>
                <w:sz w:val="24"/>
                <w:szCs w:val="24"/>
              </w:rPr>
              <w:t xml:space="preserve"> the defendant</w:t>
            </w:r>
            <w:r w:rsidR="00564F2C">
              <w:rPr>
                <w:rFonts w:ascii="Arial" w:hAnsi="Arial" w:cs="Arial"/>
                <w:sz w:val="24"/>
                <w:szCs w:val="24"/>
              </w:rPr>
              <w:t>s signed</w:t>
            </w:r>
            <w:r w:rsidR="002870B7">
              <w:rPr>
                <w:rFonts w:ascii="Arial" w:hAnsi="Arial" w:cs="Arial"/>
                <w:sz w:val="24"/>
                <w:szCs w:val="24"/>
              </w:rPr>
              <w:t xml:space="preserve"> a surety</w:t>
            </w:r>
            <w:r w:rsidR="00564F2C">
              <w:rPr>
                <w:rFonts w:ascii="Arial" w:hAnsi="Arial" w:cs="Arial"/>
                <w:sz w:val="24"/>
                <w:szCs w:val="24"/>
              </w:rPr>
              <w:t>ship</w:t>
            </w:r>
            <w:r w:rsidR="002870B7">
              <w:rPr>
                <w:rFonts w:ascii="Arial" w:hAnsi="Arial" w:cs="Arial"/>
                <w:sz w:val="24"/>
                <w:szCs w:val="24"/>
              </w:rPr>
              <w:t xml:space="preserve"> </w:t>
            </w:r>
            <w:r w:rsidR="00F60A11">
              <w:rPr>
                <w:rFonts w:ascii="Arial" w:hAnsi="Arial" w:cs="Arial"/>
                <w:sz w:val="24"/>
                <w:szCs w:val="24"/>
              </w:rPr>
              <w:t>agreement</w:t>
            </w:r>
            <w:r w:rsidR="002870B7">
              <w:rPr>
                <w:rFonts w:ascii="Arial" w:hAnsi="Arial" w:cs="Arial"/>
                <w:sz w:val="24"/>
                <w:szCs w:val="24"/>
              </w:rPr>
              <w:t xml:space="preserve"> in te</w:t>
            </w:r>
            <w:r w:rsidR="00F60A11">
              <w:rPr>
                <w:rFonts w:ascii="Arial" w:hAnsi="Arial" w:cs="Arial"/>
                <w:sz w:val="24"/>
                <w:szCs w:val="24"/>
              </w:rPr>
              <w:t>rms whereof</w:t>
            </w:r>
            <w:r w:rsidR="00C4597F" w:rsidRPr="005B5D52">
              <w:rPr>
                <w:rFonts w:ascii="Arial" w:hAnsi="Arial" w:cs="Arial"/>
                <w:sz w:val="24"/>
                <w:szCs w:val="24"/>
              </w:rPr>
              <w:t xml:space="preserve"> </w:t>
            </w:r>
            <w:r w:rsidR="00564F2C">
              <w:rPr>
                <w:rFonts w:ascii="Arial" w:hAnsi="Arial" w:cs="Arial"/>
                <w:sz w:val="24"/>
                <w:szCs w:val="24"/>
              </w:rPr>
              <w:t>they bound</w:t>
            </w:r>
            <w:r w:rsidR="00C4597F" w:rsidRPr="005B5D52">
              <w:rPr>
                <w:rFonts w:ascii="Arial" w:hAnsi="Arial" w:cs="Arial"/>
                <w:sz w:val="24"/>
                <w:szCs w:val="24"/>
              </w:rPr>
              <w:t xml:space="preserve"> themselves</w:t>
            </w:r>
            <w:r w:rsidR="00564F2C">
              <w:rPr>
                <w:rFonts w:ascii="Arial" w:hAnsi="Arial" w:cs="Arial"/>
                <w:sz w:val="24"/>
                <w:szCs w:val="24"/>
              </w:rPr>
              <w:t>,</w:t>
            </w:r>
            <w:r w:rsidR="00C4597F" w:rsidRPr="005B5D52">
              <w:rPr>
                <w:rFonts w:ascii="Arial" w:hAnsi="Arial" w:cs="Arial"/>
                <w:sz w:val="24"/>
                <w:szCs w:val="24"/>
              </w:rPr>
              <w:t xml:space="preserve"> jointly and severally as surety a</w:t>
            </w:r>
            <w:r w:rsidR="00D0554B">
              <w:rPr>
                <w:rFonts w:ascii="Arial" w:hAnsi="Arial" w:cs="Arial"/>
                <w:sz w:val="24"/>
                <w:szCs w:val="24"/>
              </w:rPr>
              <w:t>nd</w:t>
            </w:r>
            <w:r w:rsidR="00F60A11">
              <w:rPr>
                <w:rFonts w:ascii="Arial" w:hAnsi="Arial" w:cs="Arial"/>
                <w:sz w:val="24"/>
                <w:szCs w:val="24"/>
              </w:rPr>
              <w:t xml:space="preserve"> as</w:t>
            </w:r>
            <w:r w:rsidR="00D0554B">
              <w:rPr>
                <w:rFonts w:ascii="Arial" w:hAnsi="Arial" w:cs="Arial"/>
                <w:sz w:val="24"/>
                <w:szCs w:val="24"/>
              </w:rPr>
              <w:t xml:space="preserve"> co-principal d</w:t>
            </w:r>
            <w:r w:rsidR="00C4597F" w:rsidRPr="005B5D52">
              <w:rPr>
                <w:rFonts w:ascii="Arial" w:hAnsi="Arial" w:cs="Arial"/>
                <w:sz w:val="24"/>
                <w:szCs w:val="24"/>
              </w:rPr>
              <w:t>ebtors</w:t>
            </w:r>
            <w:r w:rsidR="00F60A11">
              <w:rPr>
                <w:rFonts w:ascii="Arial" w:hAnsi="Arial" w:cs="Arial"/>
                <w:sz w:val="24"/>
                <w:szCs w:val="24"/>
              </w:rPr>
              <w:t xml:space="preserve"> of each other</w:t>
            </w:r>
            <w:r w:rsidR="00564F2C">
              <w:rPr>
                <w:rFonts w:ascii="Arial" w:hAnsi="Arial" w:cs="Arial"/>
                <w:sz w:val="24"/>
                <w:szCs w:val="24"/>
              </w:rPr>
              <w:t>,</w:t>
            </w:r>
            <w:r w:rsidR="00C4597F" w:rsidRPr="005B5D52">
              <w:rPr>
                <w:rFonts w:ascii="Arial" w:hAnsi="Arial" w:cs="Arial"/>
                <w:sz w:val="24"/>
                <w:szCs w:val="24"/>
              </w:rPr>
              <w:t xml:space="preserve"> in </w:t>
            </w:r>
            <w:proofErr w:type="spellStart"/>
            <w:r w:rsidR="00C4597F" w:rsidRPr="00564F2C">
              <w:rPr>
                <w:rFonts w:ascii="Arial" w:hAnsi="Arial" w:cs="Arial"/>
                <w:i/>
                <w:sz w:val="24"/>
                <w:szCs w:val="24"/>
              </w:rPr>
              <w:t>solidum</w:t>
            </w:r>
            <w:proofErr w:type="spellEnd"/>
            <w:r w:rsidR="00C4597F" w:rsidRPr="005B5D52">
              <w:rPr>
                <w:rFonts w:ascii="Arial" w:hAnsi="Arial" w:cs="Arial"/>
                <w:sz w:val="24"/>
                <w:szCs w:val="24"/>
              </w:rPr>
              <w:t xml:space="preserve"> </w:t>
            </w:r>
            <w:r w:rsidR="00F60A11">
              <w:rPr>
                <w:rFonts w:ascii="Arial" w:hAnsi="Arial" w:cs="Arial"/>
                <w:sz w:val="24"/>
                <w:szCs w:val="24"/>
              </w:rPr>
              <w:t>for the repayment</w:t>
            </w:r>
            <w:r w:rsidR="00564F2C">
              <w:rPr>
                <w:rFonts w:ascii="Arial" w:hAnsi="Arial" w:cs="Arial"/>
                <w:sz w:val="24"/>
                <w:szCs w:val="24"/>
              </w:rPr>
              <w:t xml:space="preserve"> to</w:t>
            </w:r>
            <w:r w:rsidR="00F60A11">
              <w:rPr>
                <w:rFonts w:ascii="Arial" w:hAnsi="Arial" w:cs="Arial"/>
                <w:sz w:val="24"/>
                <w:szCs w:val="24"/>
              </w:rPr>
              <w:t xml:space="preserve"> the plaintiff</w:t>
            </w:r>
            <w:r w:rsidR="00564F2C">
              <w:rPr>
                <w:rFonts w:ascii="Arial" w:hAnsi="Arial" w:cs="Arial"/>
                <w:sz w:val="24"/>
                <w:szCs w:val="24"/>
              </w:rPr>
              <w:t>,</w:t>
            </w:r>
            <w:r w:rsidR="00F60A11">
              <w:rPr>
                <w:rFonts w:ascii="Arial" w:hAnsi="Arial" w:cs="Arial"/>
                <w:sz w:val="24"/>
                <w:szCs w:val="24"/>
              </w:rPr>
              <w:t xml:space="preserve"> on demand</w:t>
            </w:r>
            <w:r w:rsidR="00564F2C">
              <w:rPr>
                <w:rFonts w:ascii="Arial" w:hAnsi="Arial" w:cs="Arial"/>
                <w:sz w:val="24"/>
                <w:szCs w:val="24"/>
              </w:rPr>
              <w:t>,</w:t>
            </w:r>
            <w:r w:rsidR="00F60A11">
              <w:rPr>
                <w:rFonts w:ascii="Arial" w:hAnsi="Arial" w:cs="Arial"/>
                <w:sz w:val="24"/>
                <w:szCs w:val="24"/>
              </w:rPr>
              <w:t xml:space="preserve"> of </w:t>
            </w:r>
            <w:r w:rsidR="00C4597F" w:rsidRPr="005B5D52">
              <w:rPr>
                <w:rFonts w:ascii="Arial" w:hAnsi="Arial" w:cs="Arial"/>
                <w:sz w:val="24"/>
                <w:szCs w:val="24"/>
              </w:rPr>
              <w:t xml:space="preserve">any sum of money </w:t>
            </w:r>
            <w:r w:rsidR="00F60A11">
              <w:rPr>
                <w:rFonts w:ascii="Arial" w:hAnsi="Arial" w:cs="Arial"/>
                <w:sz w:val="24"/>
                <w:szCs w:val="24"/>
              </w:rPr>
              <w:t>due to the plaintiff in terms of the loans agreement</w:t>
            </w:r>
            <w:r w:rsidR="00C4597F" w:rsidRPr="005B5D52">
              <w:rPr>
                <w:rFonts w:ascii="Arial" w:hAnsi="Arial" w:cs="Arial"/>
                <w:sz w:val="24"/>
                <w:szCs w:val="24"/>
              </w:rPr>
              <w:t>.</w:t>
            </w:r>
          </w:p>
          <w:p w:rsidR="005B5D52" w:rsidRDefault="005B5D52" w:rsidP="008D056C">
            <w:pPr>
              <w:pStyle w:val="ListParagraph"/>
              <w:tabs>
                <w:tab w:val="left" w:pos="729"/>
              </w:tabs>
              <w:spacing w:line="360" w:lineRule="auto"/>
              <w:ind w:left="0"/>
              <w:contextualSpacing w:val="0"/>
              <w:jc w:val="both"/>
              <w:rPr>
                <w:rFonts w:ascii="Arial" w:hAnsi="Arial" w:cs="Arial"/>
                <w:sz w:val="24"/>
                <w:szCs w:val="24"/>
              </w:rPr>
            </w:pPr>
          </w:p>
          <w:p w:rsidR="00C8070E" w:rsidRDefault="00F60A11"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Pr>
                <w:rFonts w:ascii="Arial" w:hAnsi="Arial"/>
                <w:sz w:val="24"/>
                <w:szCs w:val="24"/>
              </w:rPr>
              <w:t xml:space="preserve"> As mentioned earlier</w:t>
            </w:r>
            <w:r w:rsidR="00564F2C">
              <w:rPr>
                <w:rFonts w:ascii="Arial" w:hAnsi="Arial"/>
                <w:sz w:val="24"/>
                <w:szCs w:val="24"/>
              </w:rPr>
              <w:t>,</w:t>
            </w:r>
            <w:r>
              <w:rPr>
                <w:rFonts w:ascii="Arial" w:hAnsi="Arial"/>
                <w:sz w:val="24"/>
                <w:szCs w:val="24"/>
              </w:rPr>
              <w:t xml:space="preserve"> t</w:t>
            </w:r>
            <w:r w:rsidR="00416D5D" w:rsidRPr="005B5D52">
              <w:rPr>
                <w:rFonts w:ascii="Arial" w:hAnsi="Arial"/>
                <w:sz w:val="24"/>
                <w:szCs w:val="24"/>
              </w:rPr>
              <w:t>he second defendant</w:t>
            </w:r>
            <w:r>
              <w:rPr>
                <w:rFonts w:ascii="Arial" w:hAnsi="Arial"/>
                <w:sz w:val="24"/>
                <w:szCs w:val="24"/>
              </w:rPr>
              <w:t xml:space="preserve"> has signed a consent</w:t>
            </w:r>
            <w:r w:rsidR="00416D5D" w:rsidRPr="005B5D52">
              <w:rPr>
                <w:rFonts w:ascii="Arial" w:hAnsi="Arial"/>
                <w:sz w:val="24"/>
                <w:szCs w:val="24"/>
              </w:rPr>
              <w:t xml:space="preserve"> to judgment</w:t>
            </w:r>
            <w:r>
              <w:rPr>
                <w:rFonts w:ascii="Arial" w:hAnsi="Arial"/>
                <w:sz w:val="24"/>
                <w:szCs w:val="24"/>
              </w:rPr>
              <w:t xml:space="preserve">. It </w:t>
            </w:r>
            <w:r w:rsidR="00091E34">
              <w:rPr>
                <w:rFonts w:ascii="Arial" w:hAnsi="Arial"/>
                <w:sz w:val="24"/>
                <w:szCs w:val="24"/>
              </w:rPr>
              <w:t xml:space="preserve">is </w:t>
            </w:r>
            <w:r>
              <w:rPr>
                <w:rFonts w:ascii="Arial" w:hAnsi="Arial"/>
                <w:sz w:val="24"/>
                <w:szCs w:val="24"/>
              </w:rPr>
              <w:t>only the first defendant who is currently opposing the granting of the summary judgment</w:t>
            </w:r>
            <w:r w:rsidR="00B01197">
              <w:rPr>
                <w:rFonts w:ascii="Arial" w:hAnsi="Arial"/>
                <w:sz w:val="24"/>
                <w:szCs w:val="24"/>
              </w:rPr>
              <w:t>.</w:t>
            </w:r>
            <w:r w:rsidR="00E14E4D">
              <w:rPr>
                <w:rFonts w:ascii="Arial" w:hAnsi="Arial"/>
                <w:sz w:val="24"/>
                <w:szCs w:val="24"/>
              </w:rPr>
              <w:t xml:space="preserve"> The crux of his defence is that in</w:t>
            </w:r>
            <w:r w:rsidR="00B01197">
              <w:rPr>
                <w:rFonts w:ascii="Arial" w:hAnsi="Arial"/>
                <w:sz w:val="24"/>
                <w:szCs w:val="24"/>
              </w:rPr>
              <w:t xml:space="preserve"> </w:t>
            </w:r>
            <w:r w:rsidR="00E14E4D">
              <w:rPr>
                <w:rFonts w:ascii="Arial" w:hAnsi="Arial"/>
                <w:sz w:val="24"/>
                <w:szCs w:val="24"/>
              </w:rPr>
              <w:t xml:space="preserve">terms of the </w:t>
            </w:r>
            <w:r w:rsidR="00B01197">
              <w:rPr>
                <w:rFonts w:ascii="Arial" w:hAnsi="Arial"/>
                <w:sz w:val="24"/>
                <w:szCs w:val="24"/>
              </w:rPr>
              <w:t>divorce</w:t>
            </w:r>
            <w:r w:rsidR="00E14E4D">
              <w:rPr>
                <w:rFonts w:ascii="Arial" w:hAnsi="Arial"/>
                <w:sz w:val="24"/>
                <w:szCs w:val="24"/>
              </w:rPr>
              <w:t xml:space="preserve"> settlement agreement </w:t>
            </w:r>
            <w:r w:rsidR="00B01197">
              <w:rPr>
                <w:rFonts w:ascii="Arial" w:hAnsi="Arial"/>
                <w:sz w:val="24"/>
                <w:szCs w:val="24"/>
              </w:rPr>
              <w:t xml:space="preserve">he has </w:t>
            </w:r>
            <w:r w:rsidR="00091E34">
              <w:rPr>
                <w:rFonts w:ascii="Arial" w:hAnsi="Arial"/>
                <w:sz w:val="24"/>
                <w:szCs w:val="24"/>
              </w:rPr>
              <w:t>transferred</w:t>
            </w:r>
            <w:r w:rsidR="00B01197">
              <w:rPr>
                <w:rFonts w:ascii="Arial" w:hAnsi="Arial"/>
                <w:sz w:val="24"/>
                <w:szCs w:val="24"/>
              </w:rPr>
              <w:t xml:space="preserve"> his right in</w:t>
            </w:r>
            <w:r w:rsidR="00E14E4D">
              <w:rPr>
                <w:rFonts w:ascii="Arial" w:hAnsi="Arial"/>
                <w:sz w:val="24"/>
                <w:szCs w:val="24"/>
              </w:rPr>
              <w:t xml:space="preserve"> the immovable</w:t>
            </w:r>
            <w:r w:rsidR="00091E34">
              <w:rPr>
                <w:rFonts w:ascii="Arial" w:hAnsi="Arial"/>
                <w:sz w:val="24"/>
                <w:szCs w:val="24"/>
              </w:rPr>
              <w:t xml:space="preserve"> property</w:t>
            </w:r>
            <w:r w:rsidR="00B01197">
              <w:rPr>
                <w:rFonts w:ascii="Arial" w:hAnsi="Arial"/>
                <w:sz w:val="24"/>
                <w:szCs w:val="24"/>
              </w:rPr>
              <w:t xml:space="preserve"> to the second defendant. T</w:t>
            </w:r>
            <w:r w:rsidR="001E238F">
              <w:rPr>
                <w:rFonts w:ascii="Arial" w:hAnsi="Arial"/>
                <w:sz w:val="24"/>
                <w:szCs w:val="24"/>
              </w:rPr>
              <w:t>he first defendant doe</w:t>
            </w:r>
            <w:r w:rsidR="00B01197">
              <w:rPr>
                <w:rFonts w:ascii="Arial" w:hAnsi="Arial"/>
                <w:sz w:val="24"/>
                <w:szCs w:val="24"/>
              </w:rPr>
              <w:t>s not</w:t>
            </w:r>
            <w:r w:rsidR="003E19EF">
              <w:rPr>
                <w:rFonts w:ascii="Arial" w:hAnsi="Arial"/>
                <w:sz w:val="24"/>
                <w:szCs w:val="24"/>
              </w:rPr>
              <w:t>,</w:t>
            </w:r>
            <w:r w:rsidR="00B01197">
              <w:rPr>
                <w:rFonts w:ascii="Arial" w:hAnsi="Arial"/>
                <w:sz w:val="24"/>
                <w:szCs w:val="24"/>
              </w:rPr>
              <w:t xml:space="preserve"> however</w:t>
            </w:r>
            <w:r w:rsidR="003E19EF">
              <w:rPr>
                <w:rFonts w:ascii="Arial" w:hAnsi="Arial"/>
                <w:sz w:val="24"/>
                <w:szCs w:val="24"/>
              </w:rPr>
              <w:t>, allege</w:t>
            </w:r>
            <w:r w:rsidR="00B01197">
              <w:rPr>
                <w:rFonts w:ascii="Arial" w:hAnsi="Arial"/>
                <w:sz w:val="24"/>
                <w:szCs w:val="24"/>
              </w:rPr>
              <w:t xml:space="preserve"> that</w:t>
            </w:r>
            <w:r w:rsidR="001E238F">
              <w:rPr>
                <w:rFonts w:ascii="Arial" w:hAnsi="Arial"/>
                <w:sz w:val="24"/>
                <w:szCs w:val="24"/>
              </w:rPr>
              <w:t xml:space="preserve"> the plaintiff was a party to</w:t>
            </w:r>
            <w:r w:rsidR="00B01197">
              <w:rPr>
                <w:rFonts w:ascii="Arial" w:hAnsi="Arial"/>
                <w:sz w:val="24"/>
                <w:szCs w:val="24"/>
              </w:rPr>
              <w:t xml:space="preserve"> the divorce settlement agreement</w:t>
            </w:r>
            <w:r w:rsidR="00564F2C">
              <w:rPr>
                <w:rFonts w:ascii="Arial" w:hAnsi="Arial"/>
                <w:sz w:val="24"/>
                <w:szCs w:val="24"/>
              </w:rPr>
              <w:t>; and that the plaintiff agreed to</w:t>
            </w:r>
            <w:r w:rsidR="00B01197">
              <w:rPr>
                <w:rFonts w:ascii="Arial" w:hAnsi="Arial"/>
                <w:sz w:val="24"/>
                <w:szCs w:val="24"/>
              </w:rPr>
              <w:t xml:space="preserve"> release</w:t>
            </w:r>
            <w:r w:rsidR="00564F2C">
              <w:rPr>
                <w:rFonts w:ascii="Arial" w:hAnsi="Arial"/>
                <w:sz w:val="24"/>
                <w:szCs w:val="24"/>
              </w:rPr>
              <w:t xml:space="preserve"> him</w:t>
            </w:r>
            <w:r w:rsidR="001E238F">
              <w:rPr>
                <w:rFonts w:ascii="Arial" w:hAnsi="Arial"/>
                <w:sz w:val="24"/>
                <w:szCs w:val="24"/>
              </w:rPr>
              <w:t xml:space="preserve"> from</w:t>
            </w:r>
            <w:r w:rsidR="00B01197">
              <w:rPr>
                <w:rFonts w:ascii="Arial" w:hAnsi="Arial"/>
                <w:sz w:val="24"/>
                <w:szCs w:val="24"/>
              </w:rPr>
              <w:t xml:space="preserve"> his joint liability towards the plaintiff in terms of the loan agreements.</w:t>
            </w:r>
            <w:r w:rsidR="00DC13FE">
              <w:rPr>
                <w:rFonts w:ascii="Arial" w:hAnsi="Arial"/>
                <w:sz w:val="24"/>
                <w:szCs w:val="24"/>
              </w:rPr>
              <w:t xml:space="preserve"> To my mind,</w:t>
            </w:r>
            <w:r w:rsidR="00DC13FE">
              <w:rPr>
                <w:rFonts w:ascii="Arial" w:hAnsi="Arial" w:cs="Arial"/>
                <w:sz w:val="24"/>
                <w:szCs w:val="24"/>
              </w:rPr>
              <w:t xml:space="preserve"> it is ‘inher</w:t>
            </w:r>
            <w:r w:rsidR="003B3381">
              <w:rPr>
                <w:rFonts w:ascii="Arial" w:hAnsi="Arial" w:cs="Arial"/>
                <w:sz w:val="24"/>
                <w:szCs w:val="24"/>
              </w:rPr>
              <w:t>ently or seriously unconvincing</w:t>
            </w:r>
            <w:r w:rsidR="004D491A">
              <w:rPr>
                <w:rFonts w:ascii="Arial" w:hAnsi="Arial" w:cs="Arial"/>
                <w:sz w:val="24"/>
                <w:szCs w:val="24"/>
              </w:rPr>
              <w:t>’</w:t>
            </w:r>
            <w:r w:rsidR="003B3381">
              <w:rPr>
                <w:rFonts w:ascii="Arial" w:hAnsi="Arial" w:cs="Arial"/>
                <w:sz w:val="24"/>
                <w:szCs w:val="24"/>
              </w:rPr>
              <w:t xml:space="preserve"> that ‘the plaintiff would have released the first defendant from his liability to it (the Bank) without any writ</w:t>
            </w:r>
            <w:r w:rsidR="004D491A">
              <w:rPr>
                <w:rFonts w:ascii="Arial" w:hAnsi="Arial" w:cs="Arial"/>
                <w:sz w:val="24"/>
                <w:szCs w:val="24"/>
              </w:rPr>
              <w:t>t</w:t>
            </w:r>
            <w:r w:rsidR="003B3381">
              <w:rPr>
                <w:rFonts w:ascii="Arial" w:hAnsi="Arial" w:cs="Arial"/>
                <w:sz w:val="24"/>
                <w:szCs w:val="24"/>
              </w:rPr>
              <w:t>e</w:t>
            </w:r>
            <w:r w:rsidR="004D491A">
              <w:rPr>
                <w:rFonts w:ascii="Arial" w:hAnsi="Arial" w:cs="Arial"/>
                <w:sz w:val="24"/>
                <w:szCs w:val="24"/>
              </w:rPr>
              <w:t>n</w:t>
            </w:r>
            <w:r w:rsidR="003B3381">
              <w:rPr>
                <w:rFonts w:ascii="Arial" w:hAnsi="Arial" w:cs="Arial"/>
                <w:sz w:val="24"/>
                <w:szCs w:val="24"/>
              </w:rPr>
              <w:t xml:space="preserve"> proof. If such release exi</w:t>
            </w:r>
            <w:r w:rsidR="003E19EF">
              <w:rPr>
                <w:rFonts w:ascii="Arial" w:hAnsi="Arial" w:cs="Arial"/>
                <w:sz w:val="24"/>
                <w:szCs w:val="24"/>
              </w:rPr>
              <w:t>s</w:t>
            </w:r>
            <w:r w:rsidR="003B3381">
              <w:rPr>
                <w:rFonts w:ascii="Arial" w:hAnsi="Arial" w:cs="Arial"/>
                <w:sz w:val="24"/>
                <w:szCs w:val="24"/>
              </w:rPr>
              <w:t>ted, the first defendant would have attach</w:t>
            </w:r>
            <w:r w:rsidR="003E19EF">
              <w:rPr>
                <w:rFonts w:ascii="Arial" w:hAnsi="Arial" w:cs="Arial"/>
                <w:sz w:val="24"/>
                <w:szCs w:val="24"/>
              </w:rPr>
              <w:t xml:space="preserve">ed </w:t>
            </w:r>
            <w:r w:rsidR="00511339">
              <w:rPr>
                <w:rFonts w:ascii="Arial" w:hAnsi="Arial" w:cs="Arial"/>
                <w:sz w:val="24"/>
                <w:szCs w:val="24"/>
              </w:rPr>
              <w:t>to his opposing affidavit documentary proof</w:t>
            </w:r>
            <w:r w:rsidR="004D491A">
              <w:rPr>
                <w:rFonts w:ascii="Arial" w:hAnsi="Arial" w:cs="Arial"/>
                <w:sz w:val="24"/>
                <w:szCs w:val="24"/>
              </w:rPr>
              <w:t xml:space="preserve"> indicating that his name has been removed or redacted from the </w:t>
            </w:r>
            <w:r w:rsidR="00511339">
              <w:rPr>
                <w:rFonts w:ascii="Arial" w:hAnsi="Arial" w:cs="Arial"/>
                <w:sz w:val="24"/>
                <w:szCs w:val="24"/>
              </w:rPr>
              <w:t xml:space="preserve">mortgage </w:t>
            </w:r>
            <w:r w:rsidR="004D491A">
              <w:rPr>
                <w:rFonts w:ascii="Arial" w:hAnsi="Arial" w:cs="Arial"/>
                <w:sz w:val="24"/>
                <w:szCs w:val="24"/>
              </w:rPr>
              <w:t xml:space="preserve">bond </w:t>
            </w:r>
            <w:r w:rsidR="003B3381">
              <w:rPr>
                <w:rFonts w:ascii="Arial" w:hAnsi="Arial" w:cs="Arial"/>
                <w:sz w:val="24"/>
                <w:szCs w:val="24"/>
              </w:rPr>
              <w:t>in order to demonstrate the bona fide of his defence.</w:t>
            </w:r>
            <w:r w:rsidR="00C8070E">
              <w:rPr>
                <w:rFonts w:ascii="Arial" w:hAnsi="Arial" w:cs="Arial"/>
                <w:sz w:val="24"/>
                <w:szCs w:val="24"/>
              </w:rPr>
              <w:t xml:space="preserve"> For this reason alone</w:t>
            </w:r>
            <w:r w:rsidR="00511339">
              <w:rPr>
                <w:rFonts w:ascii="Arial" w:hAnsi="Arial" w:cs="Arial"/>
                <w:sz w:val="24"/>
                <w:szCs w:val="24"/>
              </w:rPr>
              <w:t>,</w:t>
            </w:r>
            <w:r w:rsidR="00C8070E">
              <w:rPr>
                <w:rFonts w:ascii="Arial" w:hAnsi="Arial" w:cs="Arial"/>
                <w:sz w:val="24"/>
                <w:szCs w:val="24"/>
              </w:rPr>
              <w:t xml:space="preserve"> the first defendant</w:t>
            </w:r>
            <w:r w:rsidR="003E19EF">
              <w:rPr>
                <w:rFonts w:ascii="Arial" w:hAnsi="Arial" w:cs="Arial"/>
                <w:sz w:val="24"/>
                <w:szCs w:val="24"/>
              </w:rPr>
              <w:t>’s</w:t>
            </w:r>
            <w:r w:rsidR="00C8070E">
              <w:rPr>
                <w:rFonts w:ascii="Arial" w:hAnsi="Arial" w:cs="Arial"/>
                <w:sz w:val="24"/>
                <w:szCs w:val="24"/>
              </w:rPr>
              <w:t xml:space="preserve"> defen</w:t>
            </w:r>
            <w:r w:rsidR="00511339">
              <w:rPr>
                <w:rFonts w:ascii="Arial" w:hAnsi="Arial" w:cs="Arial"/>
                <w:sz w:val="24"/>
                <w:szCs w:val="24"/>
              </w:rPr>
              <w:t>ce lacks the element of bona fid</w:t>
            </w:r>
            <w:r w:rsidR="00C8070E">
              <w:rPr>
                <w:rFonts w:ascii="Arial" w:hAnsi="Arial" w:cs="Arial"/>
                <w:sz w:val="24"/>
                <w:szCs w:val="24"/>
              </w:rPr>
              <w:t>e.</w:t>
            </w:r>
          </w:p>
          <w:p w:rsidR="00C8070E" w:rsidRPr="00C8070E" w:rsidRDefault="00C8070E" w:rsidP="008D056C">
            <w:pPr>
              <w:pStyle w:val="ListParagraph"/>
              <w:spacing w:line="360" w:lineRule="auto"/>
              <w:rPr>
                <w:rFonts w:ascii="Arial" w:hAnsi="Arial" w:cs="Arial"/>
                <w:sz w:val="24"/>
                <w:szCs w:val="24"/>
              </w:rPr>
            </w:pPr>
          </w:p>
          <w:p w:rsidR="003A6E24" w:rsidRDefault="003B3381"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Pr>
                <w:rFonts w:ascii="Arial" w:hAnsi="Arial" w:cs="Arial"/>
                <w:sz w:val="24"/>
                <w:szCs w:val="24"/>
              </w:rPr>
              <w:t xml:space="preserve"> </w:t>
            </w:r>
            <w:r w:rsidR="00511339">
              <w:rPr>
                <w:rFonts w:ascii="Arial" w:hAnsi="Arial" w:cs="Arial"/>
                <w:sz w:val="24"/>
                <w:szCs w:val="24"/>
              </w:rPr>
              <w:t>Furthermore,</w:t>
            </w:r>
            <w:r w:rsidR="00C8070E">
              <w:rPr>
                <w:rFonts w:ascii="Arial" w:hAnsi="Arial" w:cs="Arial"/>
                <w:sz w:val="24"/>
                <w:szCs w:val="24"/>
              </w:rPr>
              <w:t xml:space="preserve"> failed to address the issue of suretyship</w:t>
            </w:r>
            <w:r w:rsidR="003E19EF">
              <w:rPr>
                <w:rFonts w:ascii="Arial" w:hAnsi="Arial" w:cs="Arial"/>
                <w:sz w:val="24"/>
                <w:szCs w:val="24"/>
              </w:rPr>
              <w:t>, whereby he</w:t>
            </w:r>
            <w:r w:rsidR="00C8070E">
              <w:rPr>
                <w:rFonts w:ascii="Arial" w:hAnsi="Arial" w:cs="Arial"/>
                <w:sz w:val="24"/>
                <w:szCs w:val="24"/>
              </w:rPr>
              <w:t xml:space="preserve"> and the </w:t>
            </w:r>
            <w:r w:rsidR="003E19EF">
              <w:rPr>
                <w:rFonts w:ascii="Arial" w:hAnsi="Arial" w:cs="Arial"/>
                <w:sz w:val="24"/>
                <w:szCs w:val="24"/>
              </w:rPr>
              <w:t>second</w:t>
            </w:r>
            <w:r w:rsidR="00C8070E">
              <w:rPr>
                <w:rFonts w:ascii="Arial" w:hAnsi="Arial" w:cs="Arial"/>
                <w:sz w:val="24"/>
                <w:szCs w:val="24"/>
              </w:rPr>
              <w:t xml:space="preserve"> defendant had signed jointly and severally as </w:t>
            </w:r>
            <w:r w:rsidR="00FB0F69">
              <w:rPr>
                <w:rFonts w:ascii="Arial" w:hAnsi="Arial" w:cs="Arial"/>
                <w:sz w:val="24"/>
                <w:szCs w:val="24"/>
              </w:rPr>
              <w:t>surety</w:t>
            </w:r>
            <w:r w:rsidR="00C8070E">
              <w:rPr>
                <w:rFonts w:ascii="Arial" w:hAnsi="Arial" w:cs="Arial"/>
                <w:sz w:val="24"/>
                <w:szCs w:val="24"/>
              </w:rPr>
              <w:t xml:space="preserve"> and co-principal </w:t>
            </w:r>
            <w:r w:rsidR="00FB0F69">
              <w:rPr>
                <w:rFonts w:ascii="Arial" w:hAnsi="Arial" w:cs="Arial"/>
                <w:sz w:val="24"/>
                <w:szCs w:val="24"/>
              </w:rPr>
              <w:t xml:space="preserve">debtors </w:t>
            </w:r>
            <w:r w:rsidR="00FB0F69" w:rsidRPr="00FB0F69">
              <w:rPr>
                <w:rFonts w:ascii="Arial" w:hAnsi="Arial" w:cs="Arial"/>
                <w:i/>
                <w:sz w:val="24"/>
                <w:szCs w:val="24"/>
              </w:rPr>
              <w:t xml:space="preserve">in </w:t>
            </w:r>
            <w:proofErr w:type="spellStart"/>
            <w:r w:rsidR="00FB0F69" w:rsidRPr="00FB0F69">
              <w:rPr>
                <w:rFonts w:ascii="Arial" w:hAnsi="Arial" w:cs="Arial"/>
                <w:i/>
                <w:sz w:val="24"/>
                <w:szCs w:val="24"/>
              </w:rPr>
              <w:t>solidum</w:t>
            </w:r>
            <w:proofErr w:type="spellEnd"/>
            <w:r w:rsidR="00FB0F69">
              <w:rPr>
                <w:rFonts w:ascii="Arial" w:hAnsi="Arial" w:cs="Arial"/>
                <w:sz w:val="24"/>
                <w:szCs w:val="24"/>
              </w:rPr>
              <w:t xml:space="preserve"> </w:t>
            </w:r>
            <w:r w:rsidR="00C8070E">
              <w:rPr>
                <w:rFonts w:ascii="Arial" w:hAnsi="Arial" w:cs="Arial"/>
                <w:sz w:val="24"/>
                <w:szCs w:val="24"/>
              </w:rPr>
              <w:t>for the repayment of the amount borrowed</w:t>
            </w:r>
            <w:r w:rsidR="00511339">
              <w:rPr>
                <w:rFonts w:ascii="Arial" w:hAnsi="Arial" w:cs="Arial"/>
                <w:sz w:val="24"/>
                <w:szCs w:val="24"/>
              </w:rPr>
              <w:t xml:space="preserve"> from</w:t>
            </w:r>
            <w:r w:rsidR="00C8070E">
              <w:rPr>
                <w:rFonts w:ascii="Arial" w:hAnsi="Arial" w:cs="Arial"/>
                <w:sz w:val="24"/>
                <w:szCs w:val="24"/>
              </w:rPr>
              <w:t xml:space="preserve"> and owed to the </w:t>
            </w:r>
            <w:r w:rsidR="00FB0F69">
              <w:rPr>
                <w:rFonts w:ascii="Arial" w:hAnsi="Arial" w:cs="Arial"/>
                <w:sz w:val="24"/>
                <w:szCs w:val="24"/>
              </w:rPr>
              <w:t>plaintiff</w:t>
            </w:r>
            <w:r w:rsidR="00C8070E">
              <w:rPr>
                <w:rFonts w:ascii="Arial" w:hAnsi="Arial" w:cs="Arial"/>
                <w:sz w:val="24"/>
                <w:szCs w:val="24"/>
              </w:rPr>
              <w:t>.</w:t>
            </w:r>
            <w:r w:rsidR="00FB0F69">
              <w:rPr>
                <w:rFonts w:ascii="Arial" w:hAnsi="Arial" w:cs="Arial"/>
                <w:sz w:val="24"/>
                <w:szCs w:val="24"/>
              </w:rPr>
              <w:t xml:space="preserve"> </w:t>
            </w:r>
          </w:p>
          <w:p w:rsidR="003A6E24" w:rsidRDefault="003A6E24" w:rsidP="008D056C">
            <w:pPr>
              <w:pStyle w:val="ListParagraph"/>
              <w:tabs>
                <w:tab w:val="left" w:pos="729"/>
              </w:tabs>
              <w:spacing w:line="360" w:lineRule="auto"/>
              <w:ind w:left="0"/>
              <w:contextualSpacing w:val="0"/>
              <w:jc w:val="both"/>
              <w:rPr>
                <w:rFonts w:ascii="Arial" w:hAnsi="Arial" w:cs="Arial"/>
                <w:sz w:val="24"/>
                <w:szCs w:val="24"/>
              </w:rPr>
            </w:pPr>
          </w:p>
          <w:p w:rsidR="003A6E24" w:rsidRDefault="00FB0F69"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 xml:space="preserve"> </w:t>
            </w:r>
            <w:r w:rsidR="00511339">
              <w:rPr>
                <w:rFonts w:ascii="Arial" w:hAnsi="Arial" w:cs="Arial"/>
                <w:sz w:val="24"/>
                <w:szCs w:val="24"/>
              </w:rPr>
              <w:t>In</w:t>
            </w:r>
            <w:r w:rsidRPr="003A6E24">
              <w:rPr>
                <w:rFonts w:ascii="Arial" w:hAnsi="Arial" w:cs="Arial"/>
                <w:sz w:val="24"/>
                <w:szCs w:val="24"/>
              </w:rPr>
              <w:t xml:space="preserve"> terms of clause 6.1 of the </w:t>
            </w:r>
            <w:r w:rsidR="0007345B" w:rsidRPr="003A6E24">
              <w:rPr>
                <w:rFonts w:ascii="Arial" w:hAnsi="Arial" w:cs="Arial"/>
                <w:sz w:val="24"/>
                <w:szCs w:val="24"/>
              </w:rPr>
              <w:t>suretyship</w:t>
            </w:r>
            <w:r w:rsidR="00511339">
              <w:rPr>
                <w:rFonts w:ascii="Arial" w:hAnsi="Arial" w:cs="Arial"/>
                <w:sz w:val="24"/>
                <w:szCs w:val="24"/>
              </w:rPr>
              <w:t xml:space="preserve"> agreement</w:t>
            </w:r>
            <w:r w:rsidRPr="003A6E24">
              <w:rPr>
                <w:rFonts w:ascii="Arial" w:hAnsi="Arial" w:cs="Arial"/>
                <w:sz w:val="24"/>
                <w:szCs w:val="24"/>
              </w:rPr>
              <w:t xml:space="preserve"> the defendants had </w:t>
            </w:r>
            <w:r w:rsidR="0007345B" w:rsidRPr="003A6E24">
              <w:rPr>
                <w:rFonts w:ascii="Arial" w:hAnsi="Arial" w:cs="Arial"/>
                <w:sz w:val="24"/>
                <w:szCs w:val="24"/>
              </w:rPr>
              <w:t>acknowledged</w:t>
            </w:r>
            <w:r w:rsidRPr="003A6E24">
              <w:rPr>
                <w:rFonts w:ascii="Arial" w:hAnsi="Arial" w:cs="Arial"/>
                <w:sz w:val="24"/>
                <w:szCs w:val="24"/>
              </w:rPr>
              <w:t xml:space="preserve"> that they would only be </w:t>
            </w:r>
            <w:r w:rsidR="0007345B" w:rsidRPr="003A6E24">
              <w:rPr>
                <w:rFonts w:ascii="Arial" w:hAnsi="Arial" w:cs="Arial"/>
                <w:sz w:val="24"/>
                <w:szCs w:val="24"/>
              </w:rPr>
              <w:t>released</w:t>
            </w:r>
            <w:r w:rsidR="00511339">
              <w:rPr>
                <w:rFonts w:ascii="Arial" w:hAnsi="Arial" w:cs="Arial"/>
                <w:sz w:val="24"/>
                <w:szCs w:val="24"/>
              </w:rPr>
              <w:t xml:space="preserve"> from</w:t>
            </w:r>
            <w:r w:rsidRPr="003A6E24">
              <w:rPr>
                <w:rFonts w:ascii="Arial" w:hAnsi="Arial" w:cs="Arial"/>
                <w:sz w:val="24"/>
                <w:szCs w:val="24"/>
              </w:rPr>
              <w:t xml:space="preserve"> their obl</w:t>
            </w:r>
            <w:r w:rsidR="0007345B" w:rsidRPr="003A6E24">
              <w:rPr>
                <w:rFonts w:ascii="Arial" w:hAnsi="Arial" w:cs="Arial"/>
                <w:sz w:val="24"/>
                <w:szCs w:val="24"/>
              </w:rPr>
              <w:t>igations under the suretyship</w:t>
            </w:r>
            <w:r w:rsidR="00511339">
              <w:rPr>
                <w:rFonts w:ascii="Arial" w:hAnsi="Arial" w:cs="Arial"/>
                <w:sz w:val="24"/>
                <w:szCs w:val="24"/>
              </w:rPr>
              <w:t xml:space="preserve"> agreement </w:t>
            </w:r>
            <w:r w:rsidRPr="003A6E24">
              <w:rPr>
                <w:rFonts w:ascii="Arial" w:hAnsi="Arial" w:cs="Arial"/>
                <w:sz w:val="24"/>
                <w:szCs w:val="24"/>
              </w:rPr>
              <w:t xml:space="preserve">upon a </w:t>
            </w:r>
            <w:r w:rsidR="00511339">
              <w:rPr>
                <w:rFonts w:ascii="Arial" w:hAnsi="Arial" w:cs="Arial"/>
                <w:sz w:val="24"/>
                <w:szCs w:val="24"/>
              </w:rPr>
              <w:t>written notice</w:t>
            </w:r>
            <w:r w:rsidR="0007345B" w:rsidRPr="003A6E24">
              <w:rPr>
                <w:rFonts w:ascii="Arial" w:hAnsi="Arial" w:cs="Arial"/>
                <w:sz w:val="24"/>
                <w:szCs w:val="24"/>
              </w:rPr>
              <w:t xml:space="preserve"> from the plaintiff; that the plaintiff had acknowledged receipt of such request; and that the plaintiff has </w:t>
            </w:r>
            <w:r w:rsidR="0007345B" w:rsidRPr="00511339">
              <w:rPr>
                <w:rFonts w:ascii="Arial" w:hAnsi="Arial" w:cs="Arial"/>
                <w:i/>
                <w:sz w:val="24"/>
                <w:szCs w:val="24"/>
              </w:rPr>
              <w:t>inter alia</w:t>
            </w:r>
            <w:r w:rsidR="0007345B" w:rsidRPr="003A6E24">
              <w:rPr>
                <w:rFonts w:ascii="Arial" w:hAnsi="Arial" w:cs="Arial"/>
                <w:sz w:val="24"/>
                <w:szCs w:val="24"/>
              </w:rPr>
              <w:t xml:space="preserve"> acknowledged that such suretyship has been terminated.</w:t>
            </w:r>
            <w:r w:rsidR="00753756" w:rsidRPr="003A6E24">
              <w:rPr>
                <w:rFonts w:ascii="Arial" w:hAnsi="Arial" w:cs="Arial"/>
                <w:sz w:val="24"/>
                <w:szCs w:val="24"/>
              </w:rPr>
              <w:t xml:space="preserve"> It is not even the first defendant’s case that the plaintiff has orally acknowledged</w:t>
            </w:r>
            <w:r w:rsidR="00511339">
              <w:rPr>
                <w:rFonts w:ascii="Arial" w:hAnsi="Arial" w:cs="Arial"/>
                <w:sz w:val="24"/>
                <w:szCs w:val="24"/>
              </w:rPr>
              <w:t xml:space="preserve">, through its </w:t>
            </w:r>
            <w:r w:rsidR="00B65822">
              <w:rPr>
                <w:rFonts w:ascii="Arial" w:hAnsi="Arial" w:cs="Arial"/>
                <w:sz w:val="24"/>
                <w:szCs w:val="24"/>
              </w:rPr>
              <w:t>representative,</w:t>
            </w:r>
            <w:r w:rsidR="00F646BB" w:rsidRPr="003A6E24">
              <w:rPr>
                <w:rFonts w:ascii="Arial" w:hAnsi="Arial" w:cs="Arial"/>
                <w:sz w:val="24"/>
                <w:szCs w:val="24"/>
              </w:rPr>
              <w:t xml:space="preserve"> that the suretyship </w:t>
            </w:r>
            <w:r w:rsidR="00B65822">
              <w:rPr>
                <w:rFonts w:ascii="Arial" w:hAnsi="Arial" w:cs="Arial"/>
                <w:sz w:val="24"/>
                <w:szCs w:val="24"/>
              </w:rPr>
              <w:t xml:space="preserve">agreement </w:t>
            </w:r>
            <w:r w:rsidR="00F646BB" w:rsidRPr="003A6E24">
              <w:rPr>
                <w:rFonts w:ascii="Arial" w:hAnsi="Arial" w:cs="Arial"/>
                <w:sz w:val="24"/>
                <w:szCs w:val="24"/>
              </w:rPr>
              <w:t>has been terminated. In this regard</w:t>
            </w:r>
            <w:r w:rsidR="00B65822">
              <w:rPr>
                <w:rFonts w:ascii="Arial" w:hAnsi="Arial" w:cs="Arial"/>
                <w:sz w:val="24"/>
                <w:szCs w:val="24"/>
              </w:rPr>
              <w:t>,</w:t>
            </w:r>
            <w:r w:rsidR="00F646BB" w:rsidRPr="003A6E24">
              <w:rPr>
                <w:rFonts w:ascii="Arial" w:hAnsi="Arial" w:cs="Arial"/>
                <w:sz w:val="24"/>
                <w:szCs w:val="24"/>
              </w:rPr>
              <w:t xml:space="preserve"> it was held</w:t>
            </w:r>
            <w:r w:rsidR="00753756" w:rsidRPr="003A6E24">
              <w:rPr>
                <w:rFonts w:ascii="Arial" w:hAnsi="Arial" w:cs="Arial"/>
                <w:sz w:val="24"/>
                <w:szCs w:val="24"/>
              </w:rPr>
              <w:t xml:space="preserve"> </w:t>
            </w:r>
            <w:r w:rsidR="00753756" w:rsidRPr="003A6E24">
              <w:rPr>
                <w:rFonts w:ascii="Arial" w:hAnsi="Arial"/>
                <w:sz w:val="24"/>
                <w:szCs w:val="24"/>
              </w:rPr>
              <w:t xml:space="preserve">in </w:t>
            </w:r>
            <w:r w:rsidR="00753756" w:rsidRPr="003A6E24">
              <w:rPr>
                <w:rFonts w:ascii="Arial" w:hAnsi="Arial"/>
                <w:i/>
                <w:sz w:val="24"/>
                <w:szCs w:val="24"/>
              </w:rPr>
              <w:t>Paulus v Development Bank of Namibia Ltd</w:t>
            </w:r>
            <w:r w:rsidR="00753756" w:rsidRPr="00502EE4">
              <w:rPr>
                <w:i/>
                <w:vertAlign w:val="superscript"/>
              </w:rPr>
              <w:footnoteReference w:id="4"/>
            </w:r>
            <w:r w:rsidR="00F646BB" w:rsidRPr="003A6E24">
              <w:rPr>
                <w:rFonts w:ascii="Arial" w:hAnsi="Arial"/>
                <w:sz w:val="24"/>
                <w:szCs w:val="24"/>
              </w:rPr>
              <w:t>,</w:t>
            </w:r>
            <w:r w:rsidR="00753756" w:rsidRPr="003A6E24">
              <w:rPr>
                <w:rFonts w:ascii="Arial" w:hAnsi="Arial"/>
                <w:sz w:val="24"/>
                <w:szCs w:val="24"/>
              </w:rPr>
              <w:t xml:space="preserve"> that ‘where a litigant has bound himself or herself jointly and severally as </w:t>
            </w:r>
            <w:r w:rsidR="00753756" w:rsidRPr="003A6E24">
              <w:rPr>
                <w:rFonts w:ascii="Arial" w:hAnsi="Arial"/>
                <w:sz w:val="24"/>
                <w:szCs w:val="24"/>
              </w:rPr>
              <w:lastRenderedPageBreak/>
              <w:t xml:space="preserve">surety and co-principal debtor in a written deed of suretyship, such a litigant cannot rely on a subsequent oral agreement to escape his or her obligations in terms of the suretyship agreement.’ </w:t>
            </w:r>
          </w:p>
          <w:p w:rsidR="003A6E24" w:rsidRPr="003A6E24" w:rsidRDefault="003A6E24" w:rsidP="008D056C">
            <w:pPr>
              <w:pStyle w:val="ListParagraph"/>
              <w:spacing w:line="360" w:lineRule="auto"/>
              <w:rPr>
                <w:rFonts w:ascii="Arial" w:hAnsi="Arial" w:cs="Arial"/>
                <w:sz w:val="24"/>
                <w:szCs w:val="24"/>
              </w:rPr>
            </w:pPr>
          </w:p>
          <w:p w:rsidR="003A6E24" w:rsidRDefault="002E3FC0"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The first respondent does not allege in his opposing affidavit</w:t>
            </w:r>
            <w:r w:rsidR="00753756" w:rsidRPr="003A6E24">
              <w:rPr>
                <w:rFonts w:ascii="Arial" w:hAnsi="Arial" w:cs="Arial"/>
                <w:sz w:val="24"/>
                <w:szCs w:val="24"/>
              </w:rPr>
              <w:t xml:space="preserve">, </w:t>
            </w:r>
            <w:r w:rsidR="00F646BB" w:rsidRPr="003A6E24">
              <w:rPr>
                <w:rFonts w:ascii="Arial" w:hAnsi="Arial" w:cs="Arial"/>
                <w:sz w:val="24"/>
                <w:szCs w:val="24"/>
              </w:rPr>
              <w:t xml:space="preserve">in order </w:t>
            </w:r>
            <w:r w:rsidR="00753756" w:rsidRPr="003A6E24">
              <w:rPr>
                <w:rFonts w:ascii="Arial" w:hAnsi="Arial" w:cs="Arial"/>
                <w:sz w:val="24"/>
                <w:szCs w:val="24"/>
              </w:rPr>
              <w:t>to demonstrate that he has a</w:t>
            </w:r>
            <w:r w:rsidRPr="003A6E24">
              <w:rPr>
                <w:rFonts w:ascii="Arial" w:hAnsi="Arial" w:cs="Arial"/>
                <w:sz w:val="24"/>
                <w:szCs w:val="24"/>
              </w:rPr>
              <w:t xml:space="preserve"> bona fide </w:t>
            </w:r>
            <w:r w:rsidR="00753756" w:rsidRPr="003A6E24">
              <w:rPr>
                <w:rFonts w:ascii="Arial" w:hAnsi="Arial" w:cs="Arial"/>
                <w:sz w:val="24"/>
                <w:szCs w:val="24"/>
              </w:rPr>
              <w:t>defence</w:t>
            </w:r>
            <w:r w:rsidR="00F646BB" w:rsidRPr="003A6E24">
              <w:rPr>
                <w:rFonts w:ascii="Arial" w:hAnsi="Arial" w:cs="Arial"/>
                <w:sz w:val="24"/>
                <w:szCs w:val="24"/>
              </w:rPr>
              <w:t>,</w:t>
            </w:r>
            <w:r w:rsidR="00753756" w:rsidRPr="003A6E24">
              <w:rPr>
                <w:rFonts w:ascii="Arial" w:hAnsi="Arial" w:cs="Arial"/>
                <w:sz w:val="24"/>
                <w:szCs w:val="24"/>
              </w:rPr>
              <w:t xml:space="preserve"> that</w:t>
            </w:r>
            <w:r w:rsidRPr="003A6E24">
              <w:rPr>
                <w:rFonts w:ascii="Arial" w:hAnsi="Arial" w:cs="Arial"/>
                <w:sz w:val="24"/>
                <w:szCs w:val="24"/>
              </w:rPr>
              <w:t xml:space="preserve"> he has been released from his liability by the plaintiff in terms</w:t>
            </w:r>
            <w:r w:rsidR="00B65822">
              <w:rPr>
                <w:rFonts w:ascii="Arial" w:hAnsi="Arial" w:cs="Arial"/>
                <w:sz w:val="24"/>
                <w:szCs w:val="24"/>
              </w:rPr>
              <w:t xml:space="preserve"> clause 6.1 of</w:t>
            </w:r>
            <w:r w:rsidRPr="003A6E24">
              <w:rPr>
                <w:rFonts w:ascii="Arial" w:hAnsi="Arial" w:cs="Arial"/>
                <w:sz w:val="24"/>
                <w:szCs w:val="24"/>
              </w:rPr>
              <w:t xml:space="preserve"> the suretyship agreement.  In my judgment</w:t>
            </w:r>
            <w:r w:rsidR="00B65822">
              <w:rPr>
                <w:rFonts w:ascii="Arial" w:hAnsi="Arial" w:cs="Arial"/>
                <w:sz w:val="24"/>
                <w:szCs w:val="24"/>
              </w:rPr>
              <w:t>,</w:t>
            </w:r>
            <w:r w:rsidRPr="003A6E24">
              <w:rPr>
                <w:rFonts w:ascii="Arial" w:hAnsi="Arial" w:cs="Arial"/>
                <w:sz w:val="24"/>
                <w:szCs w:val="24"/>
              </w:rPr>
              <w:t xml:space="preserve"> this constitutes a further ground for holding that the first respondent failed to demonstrate that it has a bona fide defence against the</w:t>
            </w:r>
            <w:r w:rsidR="00B65822">
              <w:rPr>
                <w:rFonts w:ascii="Arial" w:hAnsi="Arial" w:cs="Arial"/>
                <w:sz w:val="24"/>
                <w:szCs w:val="24"/>
              </w:rPr>
              <w:t xml:space="preserve"> plaintiff’s claim</w:t>
            </w:r>
            <w:r w:rsidRPr="003A6E24">
              <w:rPr>
                <w:rFonts w:ascii="Arial" w:hAnsi="Arial" w:cs="Arial"/>
                <w:sz w:val="24"/>
                <w:szCs w:val="24"/>
              </w:rPr>
              <w:t>.</w:t>
            </w:r>
          </w:p>
          <w:p w:rsidR="003A6E24" w:rsidRPr="003A6E24" w:rsidRDefault="003A6E24" w:rsidP="008D056C">
            <w:pPr>
              <w:pStyle w:val="ListParagraph"/>
              <w:spacing w:line="360" w:lineRule="auto"/>
              <w:rPr>
                <w:rFonts w:ascii="Arial" w:hAnsi="Arial" w:cs="Arial"/>
                <w:sz w:val="24"/>
                <w:szCs w:val="24"/>
              </w:rPr>
            </w:pPr>
          </w:p>
          <w:p w:rsidR="003A6E24" w:rsidRDefault="004708ED"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As regards the first respondent’s allegation that the property has been transferred to the second defendant, he failed to provide proof of such transfer.</w:t>
            </w:r>
          </w:p>
          <w:p w:rsidR="003A6E24" w:rsidRPr="003A6E24" w:rsidRDefault="003A6E24" w:rsidP="008D056C">
            <w:pPr>
              <w:pStyle w:val="ListParagraph"/>
              <w:spacing w:line="360" w:lineRule="auto"/>
              <w:rPr>
                <w:rFonts w:ascii="Arial" w:hAnsi="Arial" w:cs="Arial"/>
                <w:sz w:val="24"/>
                <w:szCs w:val="24"/>
              </w:rPr>
            </w:pPr>
          </w:p>
          <w:p w:rsidR="003A6E24" w:rsidRPr="00B65822" w:rsidRDefault="004708ED"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 xml:space="preserve">In respect of the first defendant’s complaint that </w:t>
            </w:r>
            <w:r w:rsidR="00F70DC8" w:rsidRPr="003A6E24">
              <w:rPr>
                <w:rFonts w:ascii="Arial" w:hAnsi="Arial" w:cs="Arial"/>
                <w:sz w:val="24"/>
                <w:szCs w:val="24"/>
              </w:rPr>
              <w:t xml:space="preserve">the ‘outstanding home loan </w:t>
            </w:r>
            <w:r w:rsidR="00B65822">
              <w:rPr>
                <w:rFonts w:ascii="Arial" w:hAnsi="Arial" w:cs="Arial"/>
                <w:sz w:val="24"/>
                <w:szCs w:val="24"/>
              </w:rPr>
              <w:t>balance contained in annexure K1</w:t>
            </w:r>
            <w:r w:rsidR="00F70DC8" w:rsidRPr="003A6E24">
              <w:rPr>
                <w:rFonts w:ascii="Arial" w:hAnsi="Arial" w:cs="Arial"/>
                <w:sz w:val="24"/>
                <w:szCs w:val="24"/>
              </w:rPr>
              <w:t xml:space="preserve"> is incorrect’ the loan agreement provides that the defendants have </w:t>
            </w:r>
            <w:r w:rsidR="00397EEA" w:rsidRPr="003A6E24">
              <w:rPr>
                <w:rFonts w:ascii="Arial" w:hAnsi="Arial" w:cs="Arial"/>
                <w:sz w:val="24"/>
                <w:szCs w:val="24"/>
              </w:rPr>
              <w:t>‘agreed</w:t>
            </w:r>
            <w:r w:rsidR="00F70DC8" w:rsidRPr="003A6E24">
              <w:rPr>
                <w:rFonts w:ascii="Arial" w:hAnsi="Arial" w:cs="Arial"/>
                <w:sz w:val="24"/>
                <w:szCs w:val="24"/>
              </w:rPr>
              <w:t xml:space="preserve"> </w:t>
            </w:r>
            <w:r w:rsidR="003E19EF">
              <w:rPr>
                <w:rFonts w:ascii="Arial" w:hAnsi="Arial" w:cs="Arial"/>
                <w:sz w:val="24"/>
                <w:szCs w:val="24"/>
              </w:rPr>
              <w:t>that a certificate signed by a</w:t>
            </w:r>
            <w:r w:rsidR="00F70DC8" w:rsidRPr="003A6E24">
              <w:rPr>
                <w:rFonts w:ascii="Arial" w:hAnsi="Arial" w:cs="Arial"/>
                <w:sz w:val="24"/>
                <w:szCs w:val="24"/>
              </w:rPr>
              <w:t xml:space="preserve"> manager or </w:t>
            </w:r>
            <w:r w:rsidR="00372063" w:rsidRPr="003A6E24">
              <w:rPr>
                <w:rFonts w:ascii="Arial" w:hAnsi="Arial" w:cs="Arial"/>
                <w:sz w:val="24"/>
                <w:szCs w:val="24"/>
              </w:rPr>
              <w:t>authorised official of the Bank</w:t>
            </w:r>
            <w:r w:rsidR="00F70DC8" w:rsidRPr="003A6E24">
              <w:rPr>
                <w:rFonts w:ascii="Arial" w:hAnsi="Arial" w:cs="Arial"/>
                <w:sz w:val="24"/>
                <w:szCs w:val="24"/>
              </w:rPr>
              <w:t>, stating that the total amount owing to or claimable by the ban</w:t>
            </w:r>
            <w:r w:rsidR="003E19EF">
              <w:rPr>
                <w:rFonts w:ascii="Arial" w:hAnsi="Arial" w:cs="Arial"/>
                <w:sz w:val="24"/>
                <w:szCs w:val="24"/>
              </w:rPr>
              <w:t>k in terms of the mortgage bond</w:t>
            </w:r>
            <w:r w:rsidR="00F70DC8" w:rsidRPr="003A6E24">
              <w:rPr>
                <w:rFonts w:ascii="Arial" w:hAnsi="Arial" w:cs="Arial"/>
                <w:sz w:val="24"/>
                <w:szCs w:val="24"/>
              </w:rPr>
              <w:t xml:space="preserve">… </w:t>
            </w:r>
            <w:r w:rsidR="003E19EF" w:rsidRPr="00B65822">
              <w:rPr>
                <w:rFonts w:ascii="Arial" w:hAnsi="Arial" w:cs="Arial"/>
                <w:sz w:val="24"/>
                <w:szCs w:val="24"/>
              </w:rPr>
              <w:t>‘</w:t>
            </w:r>
            <w:proofErr w:type="gramStart"/>
            <w:r w:rsidR="00F70DC8" w:rsidRPr="00B65822">
              <w:rPr>
                <w:rFonts w:ascii="Arial" w:hAnsi="Arial" w:cs="Arial"/>
                <w:sz w:val="24"/>
                <w:szCs w:val="24"/>
              </w:rPr>
              <w:t>shall</w:t>
            </w:r>
            <w:proofErr w:type="gramEnd"/>
            <w:r w:rsidR="00F70DC8" w:rsidRPr="00B65822">
              <w:rPr>
                <w:rFonts w:ascii="Arial" w:hAnsi="Arial" w:cs="Arial"/>
                <w:sz w:val="24"/>
                <w:szCs w:val="24"/>
              </w:rPr>
              <w:t xml:space="preserve"> be conclusive evidence of such facts for all purpose and that the onus </w:t>
            </w:r>
            <w:r w:rsidR="00397EEA" w:rsidRPr="00B65822">
              <w:rPr>
                <w:rFonts w:ascii="Arial" w:hAnsi="Arial" w:cs="Arial"/>
                <w:sz w:val="24"/>
                <w:szCs w:val="24"/>
              </w:rPr>
              <w:t>shall rest on me/us to prove that such facts are not correct’</w:t>
            </w:r>
            <w:r w:rsidR="003E19EF" w:rsidRPr="00B65822">
              <w:rPr>
                <w:rFonts w:ascii="Arial" w:hAnsi="Arial" w:cs="Arial"/>
                <w:sz w:val="24"/>
                <w:szCs w:val="24"/>
              </w:rPr>
              <w:t>.</w:t>
            </w:r>
            <w:r w:rsidR="00397EEA" w:rsidRPr="00B65822">
              <w:rPr>
                <w:rFonts w:ascii="Arial" w:hAnsi="Arial" w:cs="Arial"/>
                <w:sz w:val="24"/>
                <w:szCs w:val="24"/>
              </w:rPr>
              <w:t xml:space="preserve"> In this connection the first defendant has failed to prove that the amount claimed is not correct. </w:t>
            </w:r>
          </w:p>
          <w:p w:rsidR="003A6E24" w:rsidRPr="003A6E24" w:rsidRDefault="003A6E24" w:rsidP="008D056C">
            <w:pPr>
              <w:pStyle w:val="ListParagraph"/>
              <w:spacing w:line="360" w:lineRule="auto"/>
              <w:rPr>
                <w:rFonts w:ascii="Arial" w:hAnsi="Arial" w:cs="Arial"/>
                <w:sz w:val="24"/>
                <w:szCs w:val="24"/>
              </w:rPr>
            </w:pPr>
          </w:p>
          <w:p w:rsidR="003A6E24" w:rsidRDefault="00F646BB"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B65822">
              <w:rPr>
                <w:rFonts w:ascii="Arial" w:hAnsi="Arial" w:cs="Arial"/>
                <w:sz w:val="24"/>
                <w:szCs w:val="24"/>
              </w:rPr>
              <w:t>Finally, the first defendant</w:t>
            </w:r>
            <w:r w:rsidR="00B65822" w:rsidRPr="00B65822">
              <w:rPr>
                <w:rFonts w:ascii="Arial" w:hAnsi="Arial" w:cs="Arial"/>
                <w:sz w:val="24"/>
                <w:szCs w:val="24"/>
              </w:rPr>
              <w:t>’s</w:t>
            </w:r>
            <w:r w:rsidRPr="00B65822">
              <w:rPr>
                <w:rFonts w:ascii="Arial" w:hAnsi="Arial" w:cs="Arial"/>
                <w:sz w:val="24"/>
                <w:szCs w:val="24"/>
              </w:rPr>
              <w:t xml:space="preserve"> purported defence is</w:t>
            </w:r>
            <w:r w:rsidR="00B65822" w:rsidRPr="00B65822">
              <w:rPr>
                <w:rFonts w:ascii="Arial" w:hAnsi="Arial" w:cs="Arial"/>
                <w:sz w:val="24"/>
                <w:szCs w:val="24"/>
              </w:rPr>
              <w:t>,</w:t>
            </w:r>
            <w:r w:rsidRPr="00B65822">
              <w:rPr>
                <w:rFonts w:ascii="Arial" w:hAnsi="Arial" w:cs="Arial"/>
                <w:sz w:val="24"/>
                <w:szCs w:val="24"/>
              </w:rPr>
              <w:t xml:space="preserve"> in my view</w:t>
            </w:r>
            <w:r w:rsidR="00B65822" w:rsidRPr="00B65822">
              <w:rPr>
                <w:rFonts w:ascii="Arial" w:hAnsi="Arial" w:cs="Arial"/>
                <w:sz w:val="24"/>
                <w:szCs w:val="24"/>
              </w:rPr>
              <w:t>, undermined or</w:t>
            </w:r>
            <w:r w:rsidRPr="00B65822">
              <w:rPr>
                <w:rFonts w:ascii="Arial" w:hAnsi="Arial" w:cs="Arial"/>
                <w:sz w:val="24"/>
                <w:szCs w:val="24"/>
              </w:rPr>
              <w:t xml:space="preserve"> comp</w:t>
            </w:r>
            <w:r w:rsidR="00B65822" w:rsidRPr="00B65822">
              <w:rPr>
                <w:rFonts w:ascii="Arial" w:hAnsi="Arial" w:cs="Arial"/>
                <w:sz w:val="24"/>
                <w:szCs w:val="24"/>
              </w:rPr>
              <w:t>romised by the second defendant’s</w:t>
            </w:r>
            <w:r w:rsidRPr="00B65822">
              <w:rPr>
                <w:rFonts w:ascii="Arial" w:hAnsi="Arial" w:cs="Arial"/>
                <w:sz w:val="24"/>
                <w:szCs w:val="24"/>
              </w:rPr>
              <w:t xml:space="preserve"> </w:t>
            </w:r>
            <w:r w:rsidR="00B65822" w:rsidRPr="00B65822">
              <w:rPr>
                <w:rFonts w:ascii="Arial" w:hAnsi="Arial" w:cs="Arial"/>
                <w:sz w:val="24"/>
                <w:szCs w:val="24"/>
              </w:rPr>
              <w:t>(</w:t>
            </w:r>
            <w:r w:rsidRPr="00B65822">
              <w:rPr>
                <w:rFonts w:ascii="Arial" w:hAnsi="Arial" w:cs="Arial"/>
                <w:sz w:val="24"/>
                <w:szCs w:val="24"/>
              </w:rPr>
              <w:t>as surety and co-principal debtor</w:t>
            </w:r>
            <w:r w:rsidR="00B65822" w:rsidRPr="00B65822">
              <w:rPr>
                <w:rFonts w:ascii="Arial" w:hAnsi="Arial" w:cs="Arial"/>
                <w:sz w:val="24"/>
                <w:szCs w:val="24"/>
              </w:rPr>
              <w:t>)</w:t>
            </w:r>
            <w:r w:rsidRPr="00B65822">
              <w:rPr>
                <w:rFonts w:ascii="Arial" w:hAnsi="Arial" w:cs="Arial"/>
                <w:sz w:val="24"/>
                <w:szCs w:val="24"/>
              </w:rPr>
              <w:t xml:space="preserve"> consent to judgment.</w:t>
            </w:r>
            <w:r w:rsidR="004D491A" w:rsidRPr="00B65822">
              <w:rPr>
                <w:rFonts w:ascii="Arial" w:hAnsi="Arial" w:cs="Arial"/>
                <w:sz w:val="24"/>
                <w:szCs w:val="24"/>
              </w:rPr>
              <w:t xml:space="preserve"> </w:t>
            </w:r>
          </w:p>
          <w:p w:rsidR="00B65822" w:rsidRPr="00B65822" w:rsidRDefault="00B65822" w:rsidP="008D056C">
            <w:pPr>
              <w:pStyle w:val="ListParagraph"/>
              <w:tabs>
                <w:tab w:val="left" w:pos="729"/>
              </w:tabs>
              <w:spacing w:line="360" w:lineRule="auto"/>
              <w:ind w:left="0"/>
              <w:contextualSpacing w:val="0"/>
              <w:jc w:val="both"/>
              <w:rPr>
                <w:rFonts w:ascii="Arial" w:hAnsi="Arial" w:cs="Arial"/>
                <w:sz w:val="24"/>
                <w:szCs w:val="24"/>
              </w:rPr>
            </w:pPr>
          </w:p>
          <w:p w:rsidR="003A6E24" w:rsidRDefault="00B65822"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Pr>
                <w:rFonts w:ascii="Arial" w:hAnsi="Arial" w:cs="Arial"/>
                <w:sz w:val="24"/>
                <w:szCs w:val="24"/>
              </w:rPr>
              <w:t>It is necessary to stress</w:t>
            </w:r>
            <w:r w:rsidR="00397EEA" w:rsidRPr="003A6E24">
              <w:rPr>
                <w:rFonts w:ascii="Arial" w:hAnsi="Arial" w:cs="Arial"/>
                <w:sz w:val="24"/>
                <w:szCs w:val="24"/>
              </w:rPr>
              <w:t xml:space="preserve"> that this summary judgment</w:t>
            </w:r>
            <w:r w:rsidR="00BB3778">
              <w:rPr>
                <w:rFonts w:ascii="Arial" w:hAnsi="Arial" w:cs="Arial"/>
                <w:sz w:val="24"/>
                <w:szCs w:val="24"/>
              </w:rPr>
              <w:t xml:space="preserve"> application</w:t>
            </w:r>
            <w:r w:rsidR="00397EEA" w:rsidRPr="003A6E24">
              <w:rPr>
                <w:rFonts w:ascii="Arial" w:hAnsi="Arial" w:cs="Arial"/>
                <w:sz w:val="24"/>
                <w:szCs w:val="24"/>
              </w:rPr>
              <w:t xml:space="preserve"> has nothing to do with the judgment by consent</w:t>
            </w:r>
            <w:r w:rsidR="00D8310B" w:rsidRPr="003A6E24">
              <w:rPr>
                <w:rFonts w:ascii="Arial" w:hAnsi="Arial" w:cs="Arial"/>
                <w:sz w:val="24"/>
                <w:szCs w:val="24"/>
              </w:rPr>
              <w:t xml:space="preserve"> in terms of rule 62. </w:t>
            </w:r>
            <w:r w:rsidR="00BB3778">
              <w:rPr>
                <w:rFonts w:ascii="Arial" w:hAnsi="Arial" w:cs="Arial"/>
                <w:sz w:val="24"/>
                <w:szCs w:val="24"/>
              </w:rPr>
              <w:t>If so advised, the</w:t>
            </w:r>
            <w:r w:rsidR="00D8310B" w:rsidRPr="003A6E24">
              <w:rPr>
                <w:rFonts w:ascii="Arial" w:hAnsi="Arial" w:cs="Arial"/>
                <w:sz w:val="24"/>
                <w:szCs w:val="24"/>
              </w:rPr>
              <w:t xml:space="preserve"> plaintiff has not applied to the man</w:t>
            </w:r>
            <w:r w:rsidR="00645602">
              <w:rPr>
                <w:rFonts w:ascii="Arial" w:hAnsi="Arial" w:cs="Arial"/>
                <w:sz w:val="24"/>
                <w:szCs w:val="24"/>
              </w:rPr>
              <w:t>aging judge in terms of rule 62</w:t>
            </w:r>
            <w:r w:rsidR="00D8310B" w:rsidRPr="003A6E24">
              <w:rPr>
                <w:rFonts w:ascii="Arial" w:hAnsi="Arial" w:cs="Arial"/>
                <w:sz w:val="24"/>
                <w:szCs w:val="24"/>
              </w:rPr>
              <w:t>(2) for a judgment in terms of the consent made by the second defendant.</w:t>
            </w:r>
          </w:p>
          <w:p w:rsidR="003A6E24" w:rsidRPr="003A6E24" w:rsidRDefault="003A6E24" w:rsidP="008D056C">
            <w:pPr>
              <w:pStyle w:val="ListParagraph"/>
              <w:spacing w:line="360" w:lineRule="auto"/>
              <w:rPr>
                <w:rFonts w:ascii="Arial" w:hAnsi="Arial" w:cs="Arial"/>
                <w:sz w:val="24"/>
                <w:szCs w:val="24"/>
              </w:rPr>
            </w:pPr>
          </w:p>
          <w:p w:rsidR="003A6E24" w:rsidRDefault="00D8310B"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In the result and having</w:t>
            </w:r>
            <w:r w:rsidR="00753756" w:rsidRPr="003A6E24">
              <w:rPr>
                <w:rFonts w:ascii="Arial" w:hAnsi="Arial" w:cs="Arial"/>
                <w:sz w:val="24"/>
                <w:szCs w:val="24"/>
              </w:rPr>
              <w:t xml:space="preserve"> regard to the </w:t>
            </w:r>
            <w:r w:rsidR="00CD0D53" w:rsidRPr="003A6E24">
              <w:rPr>
                <w:rFonts w:ascii="Arial" w:hAnsi="Arial" w:cs="Arial"/>
                <w:sz w:val="24"/>
                <w:szCs w:val="24"/>
              </w:rPr>
              <w:t>foregoing</w:t>
            </w:r>
            <w:r w:rsidR="00753756" w:rsidRPr="003A6E24">
              <w:rPr>
                <w:rFonts w:ascii="Arial" w:hAnsi="Arial" w:cs="Arial"/>
                <w:sz w:val="24"/>
                <w:szCs w:val="24"/>
              </w:rPr>
              <w:t xml:space="preserve"> </w:t>
            </w:r>
            <w:r w:rsidR="00CD0D53" w:rsidRPr="003A6E24">
              <w:rPr>
                <w:rFonts w:ascii="Arial" w:hAnsi="Arial" w:cs="Arial"/>
                <w:sz w:val="24"/>
                <w:szCs w:val="24"/>
              </w:rPr>
              <w:t>considerations, findings and conclusion I am of the con</w:t>
            </w:r>
            <w:r w:rsidRPr="003A6E24">
              <w:rPr>
                <w:rFonts w:ascii="Arial" w:hAnsi="Arial" w:cs="Arial"/>
                <w:sz w:val="24"/>
                <w:szCs w:val="24"/>
              </w:rPr>
              <w:t xml:space="preserve">sidered view that the first defendant has failed to demonstrate </w:t>
            </w:r>
            <w:r w:rsidR="00BB3778">
              <w:rPr>
                <w:rFonts w:ascii="Arial" w:hAnsi="Arial" w:cs="Arial"/>
                <w:sz w:val="24"/>
                <w:szCs w:val="24"/>
              </w:rPr>
              <w:t xml:space="preserve">that he </w:t>
            </w:r>
            <w:r w:rsidR="003A6E24">
              <w:rPr>
                <w:rFonts w:ascii="Arial" w:hAnsi="Arial" w:cs="Arial"/>
                <w:sz w:val="24"/>
                <w:szCs w:val="24"/>
              </w:rPr>
              <w:t>has a bona fide defence</w:t>
            </w:r>
            <w:r w:rsidR="00BB3778">
              <w:rPr>
                <w:rFonts w:ascii="Arial" w:hAnsi="Arial" w:cs="Arial"/>
                <w:sz w:val="24"/>
                <w:szCs w:val="24"/>
              </w:rPr>
              <w:t xml:space="preserve"> against the plaintiff’s claim</w:t>
            </w:r>
            <w:r w:rsidR="00CD0D53" w:rsidRPr="003A6E24">
              <w:rPr>
                <w:rFonts w:ascii="Arial" w:hAnsi="Arial" w:cs="Arial"/>
                <w:sz w:val="24"/>
                <w:szCs w:val="24"/>
              </w:rPr>
              <w:t>.</w:t>
            </w:r>
          </w:p>
          <w:p w:rsidR="003A6E24" w:rsidRPr="003A6E24" w:rsidRDefault="003A6E24" w:rsidP="008D056C">
            <w:pPr>
              <w:pStyle w:val="ListParagraph"/>
              <w:spacing w:line="360" w:lineRule="auto"/>
              <w:rPr>
                <w:rFonts w:ascii="Arial" w:hAnsi="Arial" w:cs="Arial"/>
                <w:sz w:val="24"/>
                <w:szCs w:val="24"/>
              </w:rPr>
            </w:pPr>
          </w:p>
          <w:p w:rsidR="00753756" w:rsidRPr="003A6E24" w:rsidRDefault="009837A8"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3A6E24">
              <w:rPr>
                <w:rFonts w:ascii="Arial" w:hAnsi="Arial" w:cs="Arial"/>
                <w:sz w:val="24"/>
                <w:szCs w:val="24"/>
              </w:rPr>
              <w:t xml:space="preserve">As regards the application to have the property declared executable </w:t>
            </w:r>
            <w:r w:rsidR="0084336D" w:rsidRPr="003A6E24">
              <w:rPr>
                <w:rFonts w:ascii="Arial" w:hAnsi="Arial" w:cs="Arial"/>
                <w:sz w:val="24"/>
                <w:szCs w:val="24"/>
              </w:rPr>
              <w:t>there is an affidavit by the second defendant th</w:t>
            </w:r>
            <w:r w:rsidR="00CC04F0">
              <w:rPr>
                <w:rFonts w:ascii="Arial" w:hAnsi="Arial" w:cs="Arial"/>
                <w:sz w:val="24"/>
                <w:szCs w:val="24"/>
              </w:rPr>
              <w:t>at the property is her</w:t>
            </w:r>
            <w:r w:rsidR="0084336D" w:rsidRPr="003A6E24">
              <w:rPr>
                <w:rFonts w:ascii="Arial" w:hAnsi="Arial" w:cs="Arial"/>
                <w:sz w:val="24"/>
                <w:szCs w:val="24"/>
              </w:rPr>
              <w:t xml:space="preserve"> primary home</w:t>
            </w:r>
            <w:r w:rsidR="00BB3778">
              <w:rPr>
                <w:rFonts w:ascii="Arial" w:hAnsi="Arial" w:cs="Arial"/>
                <w:sz w:val="24"/>
                <w:szCs w:val="24"/>
              </w:rPr>
              <w:t xml:space="preserve"> accordingly an inquiry in terms of rule 108 needs to be conducted to determine whether the property is indeed a primary home and what less drastic measure are available which may save the primary home being declared executable. </w:t>
            </w:r>
            <w:r w:rsidR="00BB3778">
              <w:rPr>
                <w:rFonts w:ascii="Arial" w:hAnsi="Arial" w:cs="Arial"/>
                <w:sz w:val="24"/>
                <w:szCs w:val="24"/>
              </w:rPr>
              <w:lastRenderedPageBreak/>
              <w:t>In the consent to judg</w:t>
            </w:r>
            <w:r w:rsidR="0084336D" w:rsidRPr="003A6E24">
              <w:rPr>
                <w:rFonts w:ascii="Arial" w:hAnsi="Arial" w:cs="Arial"/>
                <w:sz w:val="24"/>
                <w:szCs w:val="24"/>
              </w:rPr>
              <w:t xml:space="preserve">ment document which </w:t>
            </w:r>
            <w:r w:rsidR="00BB7547" w:rsidRPr="003A6E24">
              <w:rPr>
                <w:rFonts w:ascii="Arial" w:hAnsi="Arial" w:cs="Arial"/>
                <w:sz w:val="24"/>
                <w:szCs w:val="24"/>
              </w:rPr>
              <w:t>appeared</w:t>
            </w:r>
            <w:r w:rsidR="0084336D" w:rsidRPr="003A6E24">
              <w:rPr>
                <w:rFonts w:ascii="Arial" w:hAnsi="Arial" w:cs="Arial"/>
                <w:sz w:val="24"/>
                <w:szCs w:val="24"/>
              </w:rPr>
              <w:t xml:space="preserve"> to have been accepted by the plaintiff, there is a condition that the property would not be executed  until 30 June 2024 to allow the second defendant to pay of</w:t>
            </w:r>
            <w:r w:rsidR="00BB3778">
              <w:rPr>
                <w:rFonts w:ascii="Arial" w:hAnsi="Arial" w:cs="Arial"/>
                <w:sz w:val="24"/>
                <w:szCs w:val="24"/>
              </w:rPr>
              <w:t>f</w:t>
            </w:r>
            <w:r w:rsidR="0084336D" w:rsidRPr="003A6E24">
              <w:rPr>
                <w:rFonts w:ascii="Arial" w:hAnsi="Arial" w:cs="Arial"/>
                <w:sz w:val="24"/>
                <w:szCs w:val="24"/>
              </w:rPr>
              <w:t xml:space="preserve"> the outstanding amount in minimum </w:t>
            </w:r>
            <w:r w:rsidR="00BB7547" w:rsidRPr="003A6E24">
              <w:rPr>
                <w:rFonts w:ascii="Arial" w:hAnsi="Arial" w:cs="Arial"/>
                <w:sz w:val="24"/>
                <w:szCs w:val="24"/>
              </w:rPr>
              <w:t>monthly</w:t>
            </w:r>
            <w:r w:rsidR="0084336D" w:rsidRPr="003A6E24">
              <w:rPr>
                <w:rFonts w:ascii="Arial" w:hAnsi="Arial" w:cs="Arial"/>
                <w:sz w:val="24"/>
                <w:szCs w:val="24"/>
              </w:rPr>
              <w:t xml:space="preserve"> </w:t>
            </w:r>
            <w:r w:rsidR="00BB7547" w:rsidRPr="003A6E24">
              <w:rPr>
                <w:rFonts w:ascii="Arial" w:hAnsi="Arial" w:cs="Arial"/>
                <w:sz w:val="24"/>
                <w:szCs w:val="24"/>
              </w:rPr>
              <w:t>instalments</w:t>
            </w:r>
            <w:r w:rsidR="0084336D" w:rsidRPr="003A6E24">
              <w:rPr>
                <w:rFonts w:ascii="Arial" w:hAnsi="Arial" w:cs="Arial"/>
                <w:sz w:val="24"/>
                <w:szCs w:val="24"/>
              </w:rPr>
              <w:t xml:space="preserve"> of N$10 000</w:t>
            </w:r>
            <w:r w:rsidR="00BB7547" w:rsidRPr="003A6E24">
              <w:rPr>
                <w:rFonts w:ascii="Arial" w:hAnsi="Arial" w:cs="Arial"/>
                <w:sz w:val="24"/>
                <w:szCs w:val="24"/>
              </w:rPr>
              <w:t>. In view thereof the court is not prepared to grant an order declaring the property</w:t>
            </w:r>
            <w:r w:rsidR="00BB3778">
              <w:rPr>
                <w:rFonts w:ascii="Arial" w:hAnsi="Arial" w:cs="Arial"/>
                <w:sz w:val="24"/>
                <w:szCs w:val="24"/>
              </w:rPr>
              <w:t xml:space="preserve"> </w:t>
            </w:r>
            <w:proofErr w:type="gramStart"/>
            <w:r w:rsidR="00BB3778">
              <w:rPr>
                <w:rFonts w:ascii="Arial" w:hAnsi="Arial" w:cs="Arial"/>
                <w:sz w:val="24"/>
                <w:szCs w:val="24"/>
              </w:rPr>
              <w:t>specially</w:t>
            </w:r>
            <w:proofErr w:type="gramEnd"/>
            <w:r w:rsidR="00BB7547" w:rsidRPr="003A6E24">
              <w:rPr>
                <w:rFonts w:ascii="Arial" w:hAnsi="Arial" w:cs="Arial"/>
                <w:sz w:val="24"/>
                <w:szCs w:val="24"/>
              </w:rPr>
              <w:t xml:space="preserve"> executable.</w:t>
            </w:r>
          </w:p>
          <w:p w:rsidR="00C74D0F" w:rsidRPr="00F40C0D" w:rsidRDefault="00C74D0F" w:rsidP="008D056C">
            <w:pPr>
              <w:pStyle w:val="ListParagraph"/>
              <w:tabs>
                <w:tab w:val="left" w:pos="729"/>
              </w:tabs>
              <w:spacing w:line="360" w:lineRule="auto"/>
              <w:ind w:left="0"/>
              <w:contextualSpacing w:val="0"/>
              <w:jc w:val="both"/>
              <w:rPr>
                <w:rFonts w:ascii="Arial" w:hAnsi="Arial"/>
                <w:i/>
                <w:sz w:val="24"/>
                <w:szCs w:val="24"/>
              </w:rPr>
            </w:pPr>
          </w:p>
          <w:p w:rsidR="005B5D52" w:rsidRPr="00372063" w:rsidRDefault="005B5D52" w:rsidP="008D056C">
            <w:pPr>
              <w:tabs>
                <w:tab w:val="left" w:pos="729"/>
              </w:tabs>
              <w:spacing w:line="360" w:lineRule="auto"/>
              <w:jc w:val="both"/>
              <w:rPr>
                <w:rFonts w:ascii="Arial" w:hAnsi="Arial"/>
                <w:sz w:val="24"/>
                <w:szCs w:val="24"/>
                <w:u w:val="single"/>
              </w:rPr>
            </w:pPr>
            <w:r w:rsidRPr="00372063">
              <w:rPr>
                <w:rFonts w:ascii="Arial" w:hAnsi="Arial"/>
                <w:sz w:val="24"/>
                <w:szCs w:val="24"/>
                <w:u w:val="single"/>
              </w:rPr>
              <w:t>Conclusion</w:t>
            </w:r>
          </w:p>
          <w:p w:rsidR="005B5D52" w:rsidRPr="00CD0D53" w:rsidRDefault="005B5D52" w:rsidP="008D056C">
            <w:pPr>
              <w:pStyle w:val="ListParagraph"/>
              <w:spacing w:line="360" w:lineRule="auto"/>
              <w:rPr>
                <w:rFonts w:ascii="Arial" w:hAnsi="Arial"/>
                <w:sz w:val="24"/>
                <w:szCs w:val="24"/>
                <w:highlight w:val="yellow"/>
              </w:rPr>
            </w:pPr>
          </w:p>
          <w:p w:rsidR="00DC6D53" w:rsidRPr="005B5D52" w:rsidRDefault="00360DBA" w:rsidP="008D056C">
            <w:pPr>
              <w:pStyle w:val="ListParagraph"/>
              <w:numPr>
                <w:ilvl w:val="0"/>
                <w:numId w:val="11"/>
              </w:numPr>
              <w:tabs>
                <w:tab w:val="left" w:pos="729"/>
              </w:tabs>
              <w:spacing w:line="360" w:lineRule="auto"/>
              <w:ind w:left="0" w:firstLine="0"/>
              <w:contextualSpacing w:val="0"/>
              <w:jc w:val="both"/>
              <w:rPr>
                <w:rFonts w:ascii="Arial" w:hAnsi="Arial" w:cs="Arial"/>
                <w:sz w:val="24"/>
                <w:szCs w:val="24"/>
              </w:rPr>
            </w:pPr>
            <w:r w:rsidRPr="005B5D52">
              <w:rPr>
                <w:rFonts w:ascii="Arial" w:hAnsi="Arial" w:cs="Arial"/>
                <w:sz w:val="24"/>
                <w:szCs w:val="24"/>
                <w:lang w:val="en-US"/>
              </w:rPr>
              <w:t>Those are my reasons for the order made above.</w:t>
            </w:r>
          </w:p>
          <w:p w:rsidR="00DC6D53" w:rsidRPr="00FC0D5F" w:rsidRDefault="00DC6D53" w:rsidP="008D056C">
            <w:pPr>
              <w:tabs>
                <w:tab w:val="left" w:pos="729"/>
              </w:tabs>
              <w:spacing w:line="360" w:lineRule="auto"/>
              <w:jc w:val="both"/>
              <w:rPr>
                <w:rFonts w:ascii="Arial" w:hAnsi="Arial" w:cs="Arial"/>
                <w:sz w:val="24"/>
                <w:szCs w:val="24"/>
              </w:rPr>
            </w:pPr>
          </w:p>
          <w:p w:rsidR="006F7E81" w:rsidRPr="006F7E81" w:rsidRDefault="006F7E81" w:rsidP="00FB5286">
            <w:pPr>
              <w:tabs>
                <w:tab w:val="left" w:pos="729"/>
              </w:tabs>
              <w:spacing w:line="360" w:lineRule="auto"/>
              <w:jc w:val="both"/>
              <w:rPr>
                <w:rFonts w:ascii="Arial" w:eastAsia="Times New Roman" w:hAnsi="Arial" w:cs="Arial"/>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C0D5F" w:rsidRDefault="00FC0D5F" w:rsidP="00937C89">
            <w:pPr>
              <w:spacing w:line="360" w:lineRule="auto"/>
              <w:jc w:val="both"/>
              <w:rPr>
                <w:rFonts w:ascii="Arial" w:hAnsi="Arial" w:cs="Arial"/>
                <w:sz w:val="24"/>
                <w:szCs w:val="24"/>
              </w:rPr>
            </w:pPr>
          </w:p>
          <w:p w:rsidR="00F31BD5" w:rsidRPr="00CA7995" w:rsidRDefault="00F31BD5"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3B0F1E">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3B0F1E">
        <w:tc>
          <w:tcPr>
            <w:tcW w:w="5209" w:type="dxa"/>
          </w:tcPr>
          <w:p w:rsidR="00B40844" w:rsidRPr="00CA7995" w:rsidRDefault="005C64AF" w:rsidP="00937C89">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tcPr>
          <w:p w:rsidR="00B40844" w:rsidRPr="00CA7995" w:rsidRDefault="005C64AF" w:rsidP="005C64AF">
            <w:pPr>
              <w:spacing w:line="360" w:lineRule="auto"/>
              <w:jc w:val="center"/>
              <w:rPr>
                <w:rFonts w:ascii="Arial" w:hAnsi="Arial" w:cs="Arial"/>
                <w:b/>
                <w:sz w:val="24"/>
                <w:szCs w:val="24"/>
              </w:rPr>
            </w:pPr>
            <w:r>
              <w:rPr>
                <w:rFonts w:ascii="Arial" w:hAnsi="Arial" w:cs="Arial"/>
                <w:b/>
                <w:sz w:val="24"/>
                <w:szCs w:val="24"/>
              </w:rPr>
              <w:t>FIRST</w:t>
            </w:r>
            <w:r w:rsidR="00CD605F">
              <w:rPr>
                <w:rFonts w:ascii="Arial" w:hAnsi="Arial" w:cs="Arial"/>
                <w:b/>
                <w:sz w:val="24"/>
                <w:szCs w:val="24"/>
              </w:rPr>
              <w:t xml:space="preserve"> </w:t>
            </w:r>
            <w:r>
              <w:rPr>
                <w:rFonts w:ascii="Arial" w:hAnsi="Arial" w:cs="Arial"/>
                <w:b/>
                <w:sz w:val="24"/>
                <w:szCs w:val="24"/>
              </w:rPr>
              <w:t>DEFENDANT</w:t>
            </w:r>
          </w:p>
        </w:tc>
      </w:tr>
      <w:tr w:rsidR="00CA7995" w:rsidRPr="00CA7995" w:rsidTr="003B0F1E">
        <w:tc>
          <w:tcPr>
            <w:tcW w:w="5209" w:type="dxa"/>
          </w:tcPr>
          <w:p w:rsidR="005C64AF" w:rsidRDefault="005C64AF" w:rsidP="005C64AF">
            <w:pPr>
              <w:spacing w:line="360" w:lineRule="auto"/>
              <w:jc w:val="center"/>
              <w:rPr>
                <w:rFonts w:ascii="Arial" w:hAnsi="Arial" w:cs="Arial"/>
                <w:sz w:val="24"/>
                <w:szCs w:val="24"/>
              </w:rPr>
            </w:pPr>
            <w:r>
              <w:rPr>
                <w:rFonts w:ascii="Arial" w:hAnsi="Arial" w:cs="Arial"/>
                <w:sz w:val="24"/>
                <w:szCs w:val="24"/>
              </w:rPr>
              <w:t>M TJITERE</w:t>
            </w:r>
          </w:p>
          <w:p w:rsidR="005C64AF" w:rsidRPr="00CD605F" w:rsidRDefault="005C64AF" w:rsidP="005C64AF">
            <w:pPr>
              <w:tabs>
                <w:tab w:val="center" w:pos="2603"/>
                <w:tab w:val="left" w:pos="4476"/>
              </w:tabs>
              <w:spacing w:line="360" w:lineRule="auto"/>
              <w:rPr>
                <w:rFonts w:ascii="Arial" w:hAnsi="Arial" w:cs="Arial"/>
                <w:i/>
                <w:sz w:val="24"/>
                <w:szCs w:val="24"/>
              </w:rPr>
            </w:pPr>
            <w:r>
              <w:rPr>
                <w:rFonts w:ascii="Arial" w:hAnsi="Arial" w:cs="Arial"/>
                <w:i/>
                <w:sz w:val="24"/>
                <w:szCs w:val="24"/>
              </w:rPr>
              <w:tab/>
            </w:r>
            <w:r w:rsidRPr="00CD605F">
              <w:rPr>
                <w:rFonts w:ascii="Arial" w:hAnsi="Arial" w:cs="Arial"/>
                <w:i/>
                <w:sz w:val="24"/>
                <w:szCs w:val="24"/>
              </w:rPr>
              <w:t>of</w:t>
            </w:r>
            <w:r>
              <w:rPr>
                <w:rFonts w:ascii="Arial" w:hAnsi="Arial" w:cs="Arial"/>
                <w:i/>
                <w:sz w:val="24"/>
                <w:szCs w:val="24"/>
              </w:rPr>
              <w:tab/>
            </w:r>
          </w:p>
          <w:p w:rsidR="00F639A4" w:rsidRPr="00D034F4" w:rsidRDefault="005C64AF" w:rsidP="005C64AF">
            <w:pPr>
              <w:spacing w:line="360" w:lineRule="auto"/>
              <w:jc w:val="center"/>
              <w:rPr>
                <w:rFonts w:ascii="Arial" w:hAnsi="Arial" w:cs="Arial"/>
                <w:sz w:val="24"/>
                <w:szCs w:val="24"/>
              </w:rPr>
            </w:pPr>
            <w:r w:rsidRPr="00CD605F">
              <w:rPr>
                <w:rFonts w:ascii="Arial" w:hAnsi="Arial" w:cs="Arial"/>
                <w:sz w:val="24"/>
                <w:szCs w:val="24"/>
              </w:rPr>
              <w:t xml:space="preserve">Dr </w:t>
            </w:r>
            <w:proofErr w:type="spellStart"/>
            <w:r w:rsidRPr="00CD605F">
              <w:rPr>
                <w:rFonts w:ascii="Arial" w:hAnsi="Arial" w:cs="Arial"/>
                <w:sz w:val="24"/>
                <w:szCs w:val="24"/>
              </w:rPr>
              <w:t>Weder</w:t>
            </w:r>
            <w:proofErr w:type="spellEnd"/>
            <w:r w:rsidRPr="00CD605F">
              <w:rPr>
                <w:rFonts w:ascii="Arial" w:hAnsi="Arial" w:cs="Arial"/>
                <w:sz w:val="24"/>
                <w:szCs w:val="24"/>
              </w:rPr>
              <w:t xml:space="preserve">, </w:t>
            </w:r>
            <w:proofErr w:type="spellStart"/>
            <w:r w:rsidRPr="00CD605F">
              <w:rPr>
                <w:rFonts w:ascii="Arial" w:hAnsi="Arial" w:cs="Arial"/>
                <w:sz w:val="24"/>
                <w:szCs w:val="24"/>
              </w:rPr>
              <w:t>Kauta</w:t>
            </w:r>
            <w:proofErr w:type="spellEnd"/>
            <w:r w:rsidRPr="00CD605F">
              <w:rPr>
                <w:rFonts w:ascii="Arial" w:hAnsi="Arial" w:cs="Arial"/>
                <w:sz w:val="24"/>
                <w:szCs w:val="24"/>
              </w:rPr>
              <w:t xml:space="preserve"> &amp; </w:t>
            </w:r>
            <w:proofErr w:type="spellStart"/>
            <w:r w:rsidRPr="00CD605F">
              <w:rPr>
                <w:rFonts w:ascii="Arial" w:hAnsi="Arial" w:cs="Arial"/>
                <w:sz w:val="24"/>
                <w:szCs w:val="24"/>
              </w:rPr>
              <w:t>Hoveka</w:t>
            </w:r>
            <w:proofErr w:type="spellEnd"/>
            <w:r w:rsidRPr="00CD605F">
              <w:rPr>
                <w:rFonts w:ascii="Arial" w:hAnsi="Arial" w:cs="Arial"/>
                <w:sz w:val="24"/>
                <w:szCs w:val="24"/>
              </w:rPr>
              <w:t xml:space="preserve"> Inc.</w:t>
            </w:r>
            <w:r>
              <w:rPr>
                <w:rFonts w:ascii="Arial" w:hAnsi="Arial" w:cs="Arial"/>
                <w:sz w:val="24"/>
                <w:szCs w:val="24"/>
              </w:rPr>
              <w:t>, Windhoek</w:t>
            </w:r>
            <w:r w:rsidRPr="00D034F4">
              <w:rPr>
                <w:rFonts w:ascii="Arial" w:hAnsi="Arial" w:cs="Arial"/>
                <w:sz w:val="24"/>
                <w:szCs w:val="24"/>
              </w:rPr>
              <w:t xml:space="preserve"> </w:t>
            </w:r>
          </w:p>
        </w:tc>
        <w:tc>
          <w:tcPr>
            <w:tcW w:w="5423" w:type="dxa"/>
            <w:gridSpan w:val="2"/>
          </w:tcPr>
          <w:p w:rsidR="000E5171" w:rsidRPr="00206B05" w:rsidRDefault="005C64AF" w:rsidP="00CD605F">
            <w:pPr>
              <w:spacing w:line="360" w:lineRule="auto"/>
              <w:jc w:val="center"/>
              <w:rPr>
                <w:rFonts w:ascii="Arial" w:hAnsi="Arial" w:cs="Arial"/>
                <w:sz w:val="24"/>
                <w:szCs w:val="24"/>
              </w:rPr>
            </w:pPr>
            <w:r>
              <w:rPr>
                <w:rFonts w:ascii="Arial" w:hAnsi="Arial" w:cs="Arial"/>
                <w:sz w:val="24"/>
                <w:szCs w:val="24"/>
              </w:rPr>
              <w:t>In Person</w:t>
            </w:r>
          </w:p>
        </w:tc>
      </w:tr>
    </w:tbl>
    <w:p w:rsidR="00B845CF" w:rsidRDefault="00B845CF" w:rsidP="00883004">
      <w:pPr>
        <w:jc w:val="both"/>
        <w:rPr>
          <w:rFonts w:ascii="Arial" w:hAnsi="Arial" w:cs="Arial"/>
          <w:sz w:val="24"/>
          <w:szCs w:val="24"/>
        </w:rPr>
      </w:pPr>
    </w:p>
    <w:p w:rsidR="0099289E" w:rsidRDefault="0099289E" w:rsidP="00883004">
      <w:pPr>
        <w:jc w:val="both"/>
        <w:rPr>
          <w:rFonts w:ascii="Arial" w:hAnsi="Arial" w:cs="Arial"/>
          <w:sz w:val="24"/>
          <w:szCs w:val="24"/>
        </w:rPr>
      </w:pPr>
    </w:p>
    <w:p w:rsidR="0099289E" w:rsidRDefault="0099289E" w:rsidP="00883004">
      <w:pPr>
        <w:jc w:val="both"/>
        <w:rPr>
          <w:rFonts w:ascii="Arial" w:hAnsi="Arial" w:cs="Arial"/>
          <w:sz w:val="24"/>
          <w:szCs w:val="24"/>
        </w:rPr>
      </w:pPr>
    </w:p>
    <w:sectPr w:rsidR="0099289E"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B6" w:rsidRDefault="001D48B6" w:rsidP="00B40844">
      <w:pPr>
        <w:spacing w:after="0" w:line="240" w:lineRule="auto"/>
      </w:pPr>
      <w:r>
        <w:separator/>
      </w:r>
    </w:p>
  </w:endnote>
  <w:endnote w:type="continuationSeparator" w:id="0">
    <w:p w:rsidR="001D48B6" w:rsidRDefault="001D48B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B6" w:rsidRDefault="001D48B6" w:rsidP="00B40844">
      <w:pPr>
        <w:spacing w:after="0" w:line="240" w:lineRule="auto"/>
      </w:pPr>
      <w:r>
        <w:separator/>
      </w:r>
    </w:p>
  </w:footnote>
  <w:footnote w:type="continuationSeparator" w:id="0">
    <w:p w:rsidR="001D48B6" w:rsidRDefault="001D48B6" w:rsidP="00B40844">
      <w:pPr>
        <w:spacing w:after="0" w:line="240" w:lineRule="auto"/>
      </w:pPr>
      <w:r>
        <w:continuationSeparator/>
      </w:r>
    </w:p>
  </w:footnote>
  <w:footnote w:id="1">
    <w:p w:rsidR="008013EA" w:rsidRPr="00FC42F2" w:rsidRDefault="008013EA" w:rsidP="00FC42F2">
      <w:pPr>
        <w:pStyle w:val="FootnoteText"/>
        <w:jc w:val="both"/>
        <w:rPr>
          <w:rFonts w:ascii="Arial" w:hAnsi="Arial" w:cs="Arial"/>
          <w:lang w:val="en-US"/>
        </w:rPr>
      </w:pPr>
      <w:r w:rsidRPr="00FC42F2">
        <w:rPr>
          <w:rStyle w:val="FootnoteReference"/>
          <w:rFonts w:ascii="Arial" w:hAnsi="Arial" w:cs="Arial"/>
        </w:rPr>
        <w:footnoteRef/>
      </w:r>
      <w:r w:rsidRPr="00FC42F2">
        <w:rPr>
          <w:rFonts w:ascii="Arial" w:hAnsi="Arial" w:cs="Arial"/>
        </w:rPr>
        <w:t xml:space="preserve"> </w:t>
      </w:r>
      <w:r w:rsidRPr="00FC42F2">
        <w:rPr>
          <w:rFonts w:ascii="Arial" w:hAnsi="Arial" w:cs="Arial"/>
          <w:lang w:val="en-US"/>
        </w:rPr>
        <w:t>The Civil Practice of the Supreme Court of South Africa 4</w:t>
      </w:r>
      <w:r w:rsidRPr="00FC42F2">
        <w:rPr>
          <w:rFonts w:ascii="Arial" w:hAnsi="Arial" w:cs="Arial"/>
          <w:vertAlign w:val="superscript"/>
          <w:lang w:val="en-US"/>
        </w:rPr>
        <w:t>th</w:t>
      </w:r>
      <w:r w:rsidRPr="00FC42F2">
        <w:rPr>
          <w:rFonts w:ascii="Arial" w:hAnsi="Arial" w:cs="Arial"/>
          <w:lang w:val="en-US"/>
        </w:rPr>
        <w:t xml:space="preserve"> Edition at page  442</w:t>
      </w:r>
    </w:p>
  </w:footnote>
  <w:footnote w:id="2">
    <w:p w:rsidR="00535AA4" w:rsidRPr="00FC42F2" w:rsidRDefault="00535AA4" w:rsidP="00FC42F2">
      <w:pPr>
        <w:pStyle w:val="FootnoteText"/>
        <w:jc w:val="both"/>
        <w:rPr>
          <w:rFonts w:ascii="Arial" w:hAnsi="Arial" w:cs="Arial"/>
        </w:rPr>
      </w:pPr>
      <w:r w:rsidRPr="00FC42F2">
        <w:rPr>
          <w:rStyle w:val="FootnoteReference"/>
          <w:rFonts w:ascii="Arial" w:hAnsi="Arial" w:cs="Arial"/>
        </w:rPr>
        <w:footnoteRef/>
      </w:r>
      <w:r w:rsidRPr="00FC42F2">
        <w:rPr>
          <w:rFonts w:ascii="Arial" w:hAnsi="Arial" w:cs="Arial"/>
        </w:rPr>
        <w:t xml:space="preserve"> </w:t>
      </w:r>
      <w:proofErr w:type="spellStart"/>
      <w:r w:rsidRPr="00FC42F2">
        <w:rPr>
          <w:rFonts w:ascii="Arial" w:hAnsi="Arial" w:cs="Arial"/>
          <w:i/>
          <w:iCs/>
        </w:rPr>
        <w:t>Maharaj</w:t>
      </w:r>
      <w:proofErr w:type="spellEnd"/>
      <w:r w:rsidRPr="00FC42F2">
        <w:rPr>
          <w:rFonts w:ascii="Arial" w:hAnsi="Arial" w:cs="Arial"/>
          <w:i/>
          <w:iCs/>
        </w:rPr>
        <w:t xml:space="preserve"> v Barclays National Bank Ltd </w:t>
      </w:r>
      <w:r w:rsidRPr="00FC42F2">
        <w:rPr>
          <w:rFonts w:ascii="Arial" w:hAnsi="Arial" w:cs="Arial"/>
        </w:rPr>
        <w:t>1976 (1) SA 418 (A) at 426.</w:t>
      </w:r>
    </w:p>
  </w:footnote>
  <w:footnote w:id="3">
    <w:p w:rsidR="00535AA4" w:rsidRPr="00FC42F2" w:rsidRDefault="00535AA4" w:rsidP="00FC42F2">
      <w:pPr>
        <w:pStyle w:val="FootnoteText"/>
        <w:jc w:val="both"/>
        <w:rPr>
          <w:rFonts w:ascii="Arial" w:hAnsi="Arial" w:cs="Arial"/>
        </w:rPr>
      </w:pPr>
      <w:r w:rsidRPr="00FC42F2">
        <w:rPr>
          <w:rStyle w:val="FootnoteReference"/>
          <w:rFonts w:ascii="Arial" w:hAnsi="Arial" w:cs="Arial"/>
        </w:rPr>
        <w:footnoteRef/>
      </w:r>
      <w:r w:rsidRPr="00FC42F2">
        <w:rPr>
          <w:rFonts w:ascii="Arial" w:hAnsi="Arial" w:cs="Arial"/>
        </w:rPr>
        <w:t xml:space="preserve"> </w:t>
      </w:r>
      <w:r w:rsidRPr="00FC42F2">
        <w:rPr>
          <w:rFonts w:ascii="Arial" w:hAnsi="Arial" w:cs="Arial"/>
          <w:i/>
        </w:rPr>
        <w:t xml:space="preserve">Radial Truss Industries (Pty) Ltd v </w:t>
      </w:r>
      <w:proofErr w:type="spellStart"/>
      <w:r w:rsidRPr="00FC42F2">
        <w:rPr>
          <w:rFonts w:ascii="Arial" w:hAnsi="Arial" w:cs="Arial"/>
          <w:i/>
        </w:rPr>
        <w:t>Aquatan</w:t>
      </w:r>
      <w:proofErr w:type="spellEnd"/>
      <w:r w:rsidRPr="00FC42F2">
        <w:rPr>
          <w:rFonts w:ascii="Arial" w:hAnsi="Arial" w:cs="Arial"/>
        </w:rPr>
        <w:t xml:space="preserve"> </w:t>
      </w:r>
      <w:r w:rsidRPr="00FC42F2">
        <w:rPr>
          <w:rFonts w:ascii="Arial" w:hAnsi="Arial" w:cs="Arial"/>
          <w:i/>
        </w:rPr>
        <w:t>(Pty) Ltd</w:t>
      </w:r>
      <w:r w:rsidRPr="00FC42F2">
        <w:rPr>
          <w:rFonts w:ascii="Arial" w:hAnsi="Arial" w:cs="Arial"/>
        </w:rPr>
        <w:t xml:space="preserve"> (SA 11 of 2017) [2019] NASC 6 (10 April 2019).</w:t>
      </w:r>
    </w:p>
  </w:footnote>
  <w:footnote w:id="4">
    <w:p w:rsidR="00753756" w:rsidRDefault="00753756" w:rsidP="00753756">
      <w:pPr>
        <w:pStyle w:val="FootnoteText"/>
      </w:pPr>
      <w:r>
        <w:rPr>
          <w:rStyle w:val="FootnoteReference"/>
        </w:rPr>
        <w:footnoteRef/>
      </w:r>
      <w:r>
        <w:t xml:space="preserve"> </w:t>
      </w:r>
      <w:r w:rsidRPr="0027479D">
        <w:rPr>
          <w:rFonts w:ascii="Arial" w:hAnsi="Arial" w:cs="Arial"/>
          <w:i/>
        </w:rPr>
        <w:t>Paulus v Development Bank of Namibia Ltd</w:t>
      </w:r>
      <w:r w:rsidRPr="0027479D">
        <w:rPr>
          <w:rFonts w:ascii="Arial" w:hAnsi="Arial" w:cs="Arial"/>
        </w:rPr>
        <w:t xml:space="preserve"> (SA 23-2021) [2023] NASC (7 September 2023)</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E1305D">
          <w:rPr>
            <w:rFonts w:ascii="Arial" w:hAnsi="Arial" w:cs="Arial"/>
            <w:noProof/>
            <w:sz w:val="24"/>
            <w:szCs w:val="24"/>
          </w:rPr>
          <w:t>8</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3294" w:hanging="600"/>
      </w:pPr>
      <w:rPr>
        <w:rFonts w:hint="default"/>
      </w:rPr>
    </w:lvl>
    <w:lvl w:ilvl="1" w:tplc="1C090019">
      <w:start w:val="1"/>
      <w:numFmt w:val="lowerLetter"/>
      <w:lvlText w:val="%2."/>
      <w:lvlJc w:val="left"/>
      <w:pPr>
        <w:ind w:left="3774" w:hanging="360"/>
      </w:pPr>
    </w:lvl>
    <w:lvl w:ilvl="2" w:tplc="1C09001B">
      <w:start w:val="1"/>
      <w:numFmt w:val="lowerRoman"/>
      <w:lvlText w:val="%3."/>
      <w:lvlJc w:val="right"/>
      <w:pPr>
        <w:ind w:left="4494" w:hanging="180"/>
      </w:pPr>
    </w:lvl>
    <w:lvl w:ilvl="3" w:tplc="1C09000F">
      <w:start w:val="1"/>
      <w:numFmt w:val="decimal"/>
      <w:lvlText w:val="%4."/>
      <w:lvlJc w:val="left"/>
      <w:pPr>
        <w:ind w:left="5214" w:hanging="360"/>
      </w:pPr>
    </w:lvl>
    <w:lvl w:ilvl="4" w:tplc="1C090019">
      <w:start w:val="1"/>
      <w:numFmt w:val="lowerLetter"/>
      <w:lvlText w:val="%5."/>
      <w:lvlJc w:val="left"/>
      <w:pPr>
        <w:ind w:left="5934" w:hanging="360"/>
      </w:pPr>
    </w:lvl>
    <w:lvl w:ilvl="5" w:tplc="1C09001B" w:tentative="1">
      <w:start w:val="1"/>
      <w:numFmt w:val="lowerRoman"/>
      <w:lvlText w:val="%6."/>
      <w:lvlJc w:val="right"/>
      <w:pPr>
        <w:ind w:left="6654" w:hanging="180"/>
      </w:pPr>
    </w:lvl>
    <w:lvl w:ilvl="6" w:tplc="1C09000F" w:tentative="1">
      <w:start w:val="1"/>
      <w:numFmt w:val="decimal"/>
      <w:lvlText w:val="%7."/>
      <w:lvlJc w:val="left"/>
      <w:pPr>
        <w:ind w:left="7374" w:hanging="360"/>
      </w:pPr>
    </w:lvl>
    <w:lvl w:ilvl="7" w:tplc="1C090019" w:tentative="1">
      <w:start w:val="1"/>
      <w:numFmt w:val="lowerLetter"/>
      <w:lvlText w:val="%8."/>
      <w:lvlJc w:val="left"/>
      <w:pPr>
        <w:ind w:left="8094" w:hanging="360"/>
      </w:pPr>
    </w:lvl>
    <w:lvl w:ilvl="8" w:tplc="1C09001B" w:tentative="1">
      <w:start w:val="1"/>
      <w:numFmt w:val="lowerRoman"/>
      <w:lvlText w:val="%9."/>
      <w:lvlJc w:val="right"/>
      <w:pPr>
        <w:ind w:left="8814"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28DF3022"/>
    <w:multiLevelType w:val="multilevel"/>
    <w:tmpl w:val="7DFCA5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6A4B8A"/>
    <w:multiLevelType w:val="hybridMultilevel"/>
    <w:tmpl w:val="85BAADCA"/>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26A1000"/>
    <w:multiLevelType w:val="hybridMultilevel"/>
    <w:tmpl w:val="F48C51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4A090BA8"/>
    <w:multiLevelType w:val="hybridMultilevel"/>
    <w:tmpl w:val="0C8CD4BA"/>
    <w:lvl w:ilvl="0" w:tplc="C08651C8">
      <w:start w:val="1"/>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412C5"/>
    <w:multiLevelType w:val="hybridMultilevel"/>
    <w:tmpl w:val="71FE9F9A"/>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2E70EAE"/>
    <w:multiLevelType w:val="hybridMultilevel"/>
    <w:tmpl w:val="A97457F8"/>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
  </w:num>
  <w:num w:numId="5">
    <w:abstractNumId w:val="1"/>
  </w:num>
  <w:num w:numId="6">
    <w:abstractNumId w:val="8"/>
  </w:num>
  <w:num w:numId="7">
    <w:abstractNumId w:val="7"/>
  </w:num>
  <w:num w:numId="8">
    <w:abstractNumId w:val="3"/>
  </w:num>
  <w:num w:numId="9">
    <w:abstractNumId w:val="4"/>
  </w:num>
  <w:num w:numId="10">
    <w:abstractNumId w:val="9"/>
  </w:num>
  <w:num w:numId="11">
    <w:abstractNumId w:val="11"/>
  </w:num>
  <w:num w:numId="12">
    <w:abstractNumId w:val="13"/>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35876"/>
    <w:rsid w:val="00037DF6"/>
    <w:rsid w:val="000423FC"/>
    <w:rsid w:val="00052806"/>
    <w:rsid w:val="00053646"/>
    <w:rsid w:val="00063F7B"/>
    <w:rsid w:val="00072DED"/>
    <w:rsid w:val="0007345B"/>
    <w:rsid w:val="0007582A"/>
    <w:rsid w:val="00080ABA"/>
    <w:rsid w:val="00091E34"/>
    <w:rsid w:val="000929C5"/>
    <w:rsid w:val="00093CD2"/>
    <w:rsid w:val="00097DFB"/>
    <w:rsid w:val="000A5883"/>
    <w:rsid w:val="000A6547"/>
    <w:rsid w:val="000A66B9"/>
    <w:rsid w:val="000A6E7F"/>
    <w:rsid w:val="000B0FD8"/>
    <w:rsid w:val="000B631E"/>
    <w:rsid w:val="000C65B1"/>
    <w:rsid w:val="000C72EF"/>
    <w:rsid w:val="000D2EFB"/>
    <w:rsid w:val="000E5171"/>
    <w:rsid w:val="000E5BFE"/>
    <w:rsid w:val="000F39A3"/>
    <w:rsid w:val="000F659F"/>
    <w:rsid w:val="000F681E"/>
    <w:rsid w:val="00100422"/>
    <w:rsid w:val="00101177"/>
    <w:rsid w:val="0010525C"/>
    <w:rsid w:val="00113E51"/>
    <w:rsid w:val="00115ABC"/>
    <w:rsid w:val="00116AFB"/>
    <w:rsid w:val="0011768F"/>
    <w:rsid w:val="001223B7"/>
    <w:rsid w:val="0012272A"/>
    <w:rsid w:val="00124C63"/>
    <w:rsid w:val="0012642A"/>
    <w:rsid w:val="00127391"/>
    <w:rsid w:val="00143688"/>
    <w:rsid w:val="001450C0"/>
    <w:rsid w:val="00152FEA"/>
    <w:rsid w:val="00153B7F"/>
    <w:rsid w:val="00153C0E"/>
    <w:rsid w:val="00154784"/>
    <w:rsid w:val="00162CCC"/>
    <w:rsid w:val="00173806"/>
    <w:rsid w:val="00175DB1"/>
    <w:rsid w:val="0018718C"/>
    <w:rsid w:val="0018796A"/>
    <w:rsid w:val="00190EE3"/>
    <w:rsid w:val="00192719"/>
    <w:rsid w:val="001939AD"/>
    <w:rsid w:val="00194D09"/>
    <w:rsid w:val="00194EAB"/>
    <w:rsid w:val="001A4504"/>
    <w:rsid w:val="001B093C"/>
    <w:rsid w:val="001B2E91"/>
    <w:rsid w:val="001B3825"/>
    <w:rsid w:val="001B494D"/>
    <w:rsid w:val="001B5EF2"/>
    <w:rsid w:val="001C27EE"/>
    <w:rsid w:val="001D06B7"/>
    <w:rsid w:val="001D48B6"/>
    <w:rsid w:val="001D6E3B"/>
    <w:rsid w:val="001E097B"/>
    <w:rsid w:val="001E238F"/>
    <w:rsid w:val="001E69B5"/>
    <w:rsid w:val="00200E53"/>
    <w:rsid w:val="002011F7"/>
    <w:rsid w:val="0020585E"/>
    <w:rsid w:val="00206886"/>
    <w:rsid w:val="00206B05"/>
    <w:rsid w:val="00207C8A"/>
    <w:rsid w:val="002124D3"/>
    <w:rsid w:val="0021762B"/>
    <w:rsid w:val="00217744"/>
    <w:rsid w:val="00220112"/>
    <w:rsid w:val="00220454"/>
    <w:rsid w:val="00222072"/>
    <w:rsid w:val="002222BF"/>
    <w:rsid w:val="00224808"/>
    <w:rsid w:val="00224C1B"/>
    <w:rsid w:val="00225C54"/>
    <w:rsid w:val="00227247"/>
    <w:rsid w:val="002300E5"/>
    <w:rsid w:val="002317B0"/>
    <w:rsid w:val="002338D0"/>
    <w:rsid w:val="00233E3D"/>
    <w:rsid w:val="00235487"/>
    <w:rsid w:val="0023549A"/>
    <w:rsid w:val="00236F6F"/>
    <w:rsid w:val="00241115"/>
    <w:rsid w:val="002411C1"/>
    <w:rsid w:val="002532AF"/>
    <w:rsid w:val="002536EA"/>
    <w:rsid w:val="00253F61"/>
    <w:rsid w:val="002547AC"/>
    <w:rsid w:val="00255354"/>
    <w:rsid w:val="002622A6"/>
    <w:rsid w:val="0026309F"/>
    <w:rsid w:val="00267064"/>
    <w:rsid w:val="0027479D"/>
    <w:rsid w:val="00276736"/>
    <w:rsid w:val="00276A73"/>
    <w:rsid w:val="002836DF"/>
    <w:rsid w:val="002865F4"/>
    <w:rsid w:val="002870B7"/>
    <w:rsid w:val="002914C8"/>
    <w:rsid w:val="002923B9"/>
    <w:rsid w:val="0029240E"/>
    <w:rsid w:val="00295EDD"/>
    <w:rsid w:val="00297D25"/>
    <w:rsid w:val="00297E3B"/>
    <w:rsid w:val="002A225B"/>
    <w:rsid w:val="002A3C85"/>
    <w:rsid w:val="002A4AA3"/>
    <w:rsid w:val="002A51BE"/>
    <w:rsid w:val="002B38E0"/>
    <w:rsid w:val="002B397D"/>
    <w:rsid w:val="002B5BB9"/>
    <w:rsid w:val="002C1EF6"/>
    <w:rsid w:val="002C5504"/>
    <w:rsid w:val="002C6782"/>
    <w:rsid w:val="002D0359"/>
    <w:rsid w:val="002D20C5"/>
    <w:rsid w:val="002E1151"/>
    <w:rsid w:val="002E123F"/>
    <w:rsid w:val="002E35EE"/>
    <w:rsid w:val="002E3FC0"/>
    <w:rsid w:val="002E738E"/>
    <w:rsid w:val="002F0692"/>
    <w:rsid w:val="002F23F5"/>
    <w:rsid w:val="0030272F"/>
    <w:rsid w:val="00307DB3"/>
    <w:rsid w:val="00312E51"/>
    <w:rsid w:val="0031523D"/>
    <w:rsid w:val="00322F39"/>
    <w:rsid w:val="00323AAF"/>
    <w:rsid w:val="00323E22"/>
    <w:rsid w:val="00324B66"/>
    <w:rsid w:val="003376E8"/>
    <w:rsid w:val="00340EA6"/>
    <w:rsid w:val="003438C1"/>
    <w:rsid w:val="00346B7A"/>
    <w:rsid w:val="0035051A"/>
    <w:rsid w:val="00357D57"/>
    <w:rsid w:val="00360DBA"/>
    <w:rsid w:val="00371B8F"/>
    <w:rsid w:val="00372063"/>
    <w:rsid w:val="003750B1"/>
    <w:rsid w:val="00380C73"/>
    <w:rsid w:val="003832B4"/>
    <w:rsid w:val="0038382D"/>
    <w:rsid w:val="0038558A"/>
    <w:rsid w:val="00386207"/>
    <w:rsid w:val="00386339"/>
    <w:rsid w:val="00387B29"/>
    <w:rsid w:val="00391616"/>
    <w:rsid w:val="003917AF"/>
    <w:rsid w:val="00393FFB"/>
    <w:rsid w:val="003955A1"/>
    <w:rsid w:val="00397EEA"/>
    <w:rsid w:val="003A06B6"/>
    <w:rsid w:val="003A18AD"/>
    <w:rsid w:val="003A4B08"/>
    <w:rsid w:val="003A4DD6"/>
    <w:rsid w:val="003A4FB7"/>
    <w:rsid w:val="003A6E24"/>
    <w:rsid w:val="003B09B0"/>
    <w:rsid w:val="003B0F1E"/>
    <w:rsid w:val="003B1E9E"/>
    <w:rsid w:val="003B1F8C"/>
    <w:rsid w:val="003B3381"/>
    <w:rsid w:val="003C076D"/>
    <w:rsid w:val="003C1FC8"/>
    <w:rsid w:val="003C2574"/>
    <w:rsid w:val="003D165C"/>
    <w:rsid w:val="003D3059"/>
    <w:rsid w:val="003D6D08"/>
    <w:rsid w:val="003E0C00"/>
    <w:rsid w:val="003E19EF"/>
    <w:rsid w:val="003E37AB"/>
    <w:rsid w:val="003E5CAB"/>
    <w:rsid w:val="003F4EE2"/>
    <w:rsid w:val="004011B6"/>
    <w:rsid w:val="00404B70"/>
    <w:rsid w:val="00404D95"/>
    <w:rsid w:val="00407575"/>
    <w:rsid w:val="00412278"/>
    <w:rsid w:val="004163B1"/>
    <w:rsid w:val="00416D5D"/>
    <w:rsid w:val="0041723B"/>
    <w:rsid w:val="00421B60"/>
    <w:rsid w:val="00425A3F"/>
    <w:rsid w:val="00426C60"/>
    <w:rsid w:val="00431A65"/>
    <w:rsid w:val="004352E5"/>
    <w:rsid w:val="004358E2"/>
    <w:rsid w:val="00436C2B"/>
    <w:rsid w:val="00440F37"/>
    <w:rsid w:val="0044241B"/>
    <w:rsid w:val="00445A52"/>
    <w:rsid w:val="004572D4"/>
    <w:rsid w:val="00460562"/>
    <w:rsid w:val="00463486"/>
    <w:rsid w:val="004665B1"/>
    <w:rsid w:val="00466B36"/>
    <w:rsid w:val="004708ED"/>
    <w:rsid w:val="00471DA7"/>
    <w:rsid w:val="00474C2A"/>
    <w:rsid w:val="00475B7A"/>
    <w:rsid w:val="00481A0D"/>
    <w:rsid w:val="00482CD4"/>
    <w:rsid w:val="004907E4"/>
    <w:rsid w:val="00490DB6"/>
    <w:rsid w:val="00491B80"/>
    <w:rsid w:val="004936A7"/>
    <w:rsid w:val="004A2D48"/>
    <w:rsid w:val="004B10F8"/>
    <w:rsid w:val="004B540D"/>
    <w:rsid w:val="004B6C36"/>
    <w:rsid w:val="004C0204"/>
    <w:rsid w:val="004C0664"/>
    <w:rsid w:val="004C59BB"/>
    <w:rsid w:val="004C646F"/>
    <w:rsid w:val="004D491A"/>
    <w:rsid w:val="004E3589"/>
    <w:rsid w:val="004F4867"/>
    <w:rsid w:val="004F7CAF"/>
    <w:rsid w:val="0050278E"/>
    <w:rsid w:val="00502EE4"/>
    <w:rsid w:val="00503F36"/>
    <w:rsid w:val="005045E0"/>
    <w:rsid w:val="00511339"/>
    <w:rsid w:val="00514388"/>
    <w:rsid w:val="00520FD0"/>
    <w:rsid w:val="00522611"/>
    <w:rsid w:val="005233FA"/>
    <w:rsid w:val="005234D3"/>
    <w:rsid w:val="00523B3C"/>
    <w:rsid w:val="005358C5"/>
    <w:rsid w:val="00535AA4"/>
    <w:rsid w:val="00535F29"/>
    <w:rsid w:val="00536EFF"/>
    <w:rsid w:val="005408B2"/>
    <w:rsid w:val="00545CAE"/>
    <w:rsid w:val="00555DE1"/>
    <w:rsid w:val="00557BE2"/>
    <w:rsid w:val="005629DA"/>
    <w:rsid w:val="00564F2C"/>
    <w:rsid w:val="005721A2"/>
    <w:rsid w:val="00587CDB"/>
    <w:rsid w:val="00590622"/>
    <w:rsid w:val="00591098"/>
    <w:rsid w:val="00594F6C"/>
    <w:rsid w:val="00596ADD"/>
    <w:rsid w:val="005A2637"/>
    <w:rsid w:val="005A49D3"/>
    <w:rsid w:val="005A4D90"/>
    <w:rsid w:val="005A698F"/>
    <w:rsid w:val="005B084B"/>
    <w:rsid w:val="005B2063"/>
    <w:rsid w:val="005B5040"/>
    <w:rsid w:val="005B5D52"/>
    <w:rsid w:val="005B62A0"/>
    <w:rsid w:val="005B6ACA"/>
    <w:rsid w:val="005C0E24"/>
    <w:rsid w:val="005C0EA6"/>
    <w:rsid w:val="005C1984"/>
    <w:rsid w:val="005C21D7"/>
    <w:rsid w:val="005C3354"/>
    <w:rsid w:val="005C3A4C"/>
    <w:rsid w:val="005C607D"/>
    <w:rsid w:val="005C64AF"/>
    <w:rsid w:val="005D0C34"/>
    <w:rsid w:val="005D543C"/>
    <w:rsid w:val="005E066D"/>
    <w:rsid w:val="005F325C"/>
    <w:rsid w:val="005F32EB"/>
    <w:rsid w:val="0060278E"/>
    <w:rsid w:val="00610BF1"/>
    <w:rsid w:val="006115E2"/>
    <w:rsid w:val="00611F65"/>
    <w:rsid w:val="00613516"/>
    <w:rsid w:val="00613A3A"/>
    <w:rsid w:val="00614678"/>
    <w:rsid w:val="00622B72"/>
    <w:rsid w:val="00641331"/>
    <w:rsid w:val="00645602"/>
    <w:rsid w:val="00646C86"/>
    <w:rsid w:val="00664E02"/>
    <w:rsid w:val="006678D1"/>
    <w:rsid w:val="00670F42"/>
    <w:rsid w:val="00672C76"/>
    <w:rsid w:val="00675619"/>
    <w:rsid w:val="006814D1"/>
    <w:rsid w:val="0069193D"/>
    <w:rsid w:val="00695745"/>
    <w:rsid w:val="006976D9"/>
    <w:rsid w:val="006979B3"/>
    <w:rsid w:val="00697B8F"/>
    <w:rsid w:val="006A007E"/>
    <w:rsid w:val="006A0BA4"/>
    <w:rsid w:val="006A398D"/>
    <w:rsid w:val="006A3F29"/>
    <w:rsid w:val="006A5ADD"/>
    <w:rsid w:val="006B2C68"/>
    <w:rsid w:val="006B5E01"/>
    <w:rsid w:val="006B6A56"/>
    <w:rsid w:val="006B7521"/>
    <w:rsid w:val="006C01EA"/>
    <w:rsid w:val="006C3CBF"/>
    <w:rsid w:val="006C3F6B"/>
    <w:rsid w:val="006D07C3"/>
    <w:rsid w:val="006D0991"/>
    <w:rsid w:val="006D264B"/>
    <w:rsid w:val="006D7450"/>
    <w:rsid w:val="006E0FD4"/>
    <w:rsid w:val="006E380D"/>
    <w:rsid w:val="006E51D9"/>
    <w:rsid w:val="006F49C4"/>
    <w:rsid w:val="006F71BD"/>
    <w:rsid w:val="006F7E81"/>
    <w:rsid w:val="00702C62"/>
    <w:rsid w:val="00703171"/>
    <w:rsid w:val="00704B78"/>
    <w:rsid w:val="00705A2C"/>
    <w:rsid w:val="007061BE"/>
    <w:rsid w:val="00712026"/>
    <w:rsid w:val="00713CFF"/>
    <w:rsid w:val="00716E66"/>
    <w:rsid w:val="0073631A"/>
    <w:rsid w:val="00736DA4"/>
    <w:rsid w:val="007406C0"/>
    <w:rsid w:val="00745FD4"/>
    <w:rsid w:val="00746C0C"/>
    <w:rsid w:val="00753756"/>
    <w:rsid w:val="00766C68"/>
    <w:rsid w:val="00774EEA"/>
    <w:rsid w:val="007756B2"/>
    <w:rsid w:val="0078274D"/>
    <w:rsid w:val="00783481"/>
    <w:rsid w:val="007853D8"/>
    <w:rsid w:val="00786525"/>
    <w:rsid w:val="007945A9"/>
    <w:rsid w:val="007947F2"/>
    <w:rsid w:val="007950C8"/>
    <w:rsid w:val="00797F68"/>
    <w:rsid w:val="007A69B7"/>
    <w:rsid w:val="007A7454"/>
    <w:rsid w:val="007C5ADC"/>
    <w:rsid w:val="007D0765"/>
    <w:rsid w:val="007D0792"/>
    <w:rsid w:val="007D6C74"/>
    <w:rsid w:val="007D7388"/>
    <w:rsid w:val="007E0387"/>
    <w:rsid w:val="007F4D44"/>
    <w:rsid w:val="007F68C4"/>
    <w:rsid w:val="007F7962"/>
    <w:rsid w:val="008006A3"/>
    <w:rsid w:val="00800856"/>
    <w:rsid w:val="008013EA"/>
    <w:rsid w:val="0080541A"/>
    <w:rsid w:val="00812409"/>
    <w:rsid w:val="00812772"/>
    <w:rsid w:val="00813E24"/>
    <w:rsid w:val="00814414"/>
    <w:rsid w:val="00814948"/>
    <w:rsid w:val="00816D42"/>
    <w:rsid w:val="00816D5D"/>
    <w:rsid w:val="00817B94"/>
    <w:rsid w:val="00821A0C"/>
    <w:rsid w:val="00822439"/>
    <w:rsid w:val="008243F7"/>
    <w:rsid w:val="008275AC"/>
    <w:rsid w:val="0082768F"/>
    <w:rsid w:val="0083089C"/>
    <w:rsid w:val="00833B9D"/>
    <w:rsid w:val="00835300"/>
    <w:rsid w:val="008353C1"/>
    <w:rsid w:val="0084336D"/>
    <w:rsid w:val="00844A69"/>
    <w:rsid w:val="0084697C"/>
    <w:rsid w:val="0084724D"/>
    <w:rsid w:val="0084759E"/>
    <w:rsid w:val="0085609C"/>
    <w:rsid w:val="008766EE"/>
    <w:rsid w:val="00881FF2"/>
    <w:rsid w:val="00882F73"/>
    <w:rsid w:val="00883004"/>
    <w:rsid w:val="00884F81"/>
    <w:rsid w:val="00886A8A"/>
    <w:rsid w:val="00887C17"/>
    <w:rsid w:val="00890A20"/>
    <w:rsid w:val="00892D9A"/>
    <w:rsid w:val="00893E3C"/>
    <w:rsid w:val="008953D7"/>
    <w:rsid w:val="00895C5D"/>
    <w:rsid w:val="0089693D"/>
    <w:rsid w:val="008A1447"/>
    <w:rsid w:val="008A21E1"/>
    <w:rsid w:val="008B4C24"/>
    <w:rsid w:val="008B4F50"/>
    <w:rsid w:val="008B5600"/>
    <w:rsid w:val="008C1DFB"/>
    <w:rsid w:val="008C2200"/>
    <w:rsid w:val="008C2D98"/>
    <w:rsid w:val="008D056C"/>
    <w:rsid w:val="008D06F4"/>
    <w:rsid w:val="008D450D"/>
    <w:rsid w:val="008D4A1F"/>
    <w:rsid w:val="008E0730"/>
    <w:rsid w:val="008E6175"/>
    <w:rsid w:val="008F59A0"/>
    <w:rsid w:val="009018D4"/>
    <w:rsid w:val="00903964"/>
    <w:rsid w:val="00905359"/>
    <w:rsid w:val="00927207"/>
    <w:rsid w:val="009279BE"/>
    <w:rsid w:val="00936066"/>
    <w:rsid w:val="00937C89"/>
    <w:rsid w:val="00944E73"/>
    <w:rsid w:val="009464D6"/>
    <w:rsid w:val="0095255F"/>
    <w:rsid w:val="00956B2A"/>
    <w:rsid w:val="00962DCF"/>
    <w:rsid w:val="00965A5C"/>
    <w:rsid w:val="00966AA9"/>
    <w:rsid w:val="009719BD"/>
    <w:rsid w:val="009733A9"/>
    <w:rsid w:val="00981A3C"/>
    <w:rsid w:val="009837A8"/>
    <w:rsid w:val="0098384C"/>
    <w:rsid w:val="00990BD9"/>
    <w:rsid w:val="009919F6"/>
    <w:rsid w:val="0099289E"/>
    <w:rsid w:val="00992E0B"/>
    <w:rsid w:val="00997684"/>
    <w:rsid w:val="00997C11"/>
    <w:rsid w:val="009A2476"/>
    <w:rsid w:val="009A7A59"/>
    <w:rsid w:val="009B4DC5"/>
    <w:rsid w:val="009C1846"/>
    <w:rsid w:val="009C2537"/>
    <w:rsid w:val="009C35C9"/>
    <w:rsid w:val="009C4EE9"/>
    <w:rsid w:val="009C4EEB"/>
    <w:rsid w:val="009C53D5"/>
    <w:rsid w:val="009C6F3F"/>
    <w:rsid w:val="009D1768"/>
    <w:rsid w:val="009D27E8"/>
    <w:rsid w:val="009D73D7"/>
    <w:rsid w:val="009F1C92"/>
    <w:rsid w:val="009F6A33"/>
    <w:rsid w:val="009F773F"/>
    <w:rsid w:val="00A05832"/>
    <w:rsid w:val="00A074F7"/>
    <w:rsid w:val="00A07861"/>
    <w:rsid w:val="00A10314"/>
    <w:rsid w:val="00A10E40"/>
    <w:rsid w:val="00A13B88"/>
    <w:rsid w:val="00A15CD1"/>
    <w:rsid w:val="00A202D0"/>
    <w:rsid w:val="00A22E0F"/>
    <w:rsid w:val="00A23186"/>
    <w:rsid w:val="00A23CF6"/>
    <w:rsid w:val="00A26B7B"/>
    <w:rsid w:val="00A3239C"/>
    <w:rsid w:val="00A3327E"/>
    <w:rsid w:val="00A35CBE"/>
    <w:rsid w:val="00A363E2"/>
    <w:rsid w:val="00A42D6D"/>
    <w:rsid w:val="00A50F13"/>
    <w:rsid w:val="00A51D45"/>
    <w:rsid w:val="00A5520F"/>
    <w:rsid w:val="00A60E2E"/>
    <w:rsid w:val="00A66511"/>
    <w:rsid w:val="00A66D45"/>
    <w:rsid w:val="00A75ED6"/>
    <w:rsid w:val="00A81112"/>
    <w:rsid w:val="00A90166"/>
    <w:rsid w:val="00A919F8"/>
    <w:rsid w:val="00A92458"/>
    <w:rsid w:val="00AA1AD3"/>
    <w:rsid w:val="00AA1D00"/>
    <w:rsid w:val="00AA2962"/>
    <w:rsid w:val="00AA3ECB"/>
    <w:rsid w:val="00AA6017"/>
    <w:rsid w:val="00AA64BD"/>
    <w:rsid w:val="00AB08C4"/>
    <w:rsid w:val="00AB6C36"/>
    <w:rsid w:val="00AB7050"/>
    <w:rsid w:val="00AB7AC1"/>
    <w:rsid w:val="00AC2A93"/>
    <w:rsid w:val="00AC57AC"/>
    <w:rsid w:val="00AD0B66"/>
    <w:rsid w:val="00AD1CEC"/>
    <w:rsid w:val="00AD33BA"/>
    <w:rsid w:val="00AD6E6A"/>
    <w:rsid w:val="00AD72DD"/>
    <w:rsid w:val="00AE0F2B"/>
    <w:rsid w:val="00AE1644"/>
    <w:rsid w:val="00AE3AEA"/>
    <w:rsid w:val="00AE6876"/>
    <w:rsid w:val="00B01197"/>
    <w:rsid w:val="00B01B6C"/>
    <w:rsid w:val="00B05A08"/>
    <w:rsid w:val="00B1182F"/>
    <w:rsid w:val="00B1192E"/>
    <w:rsid w:val="00B121EA"/>
    <w:rsid w:val="00B13C54"/>
    <w:rsid w:val="00B16601"/>
    <w:rsid w:val="00B16A04"/>
    <w:rsid w:val="00B314E0"/>
    <w:rsid w:val="00B3603F"/>
    <w:rsid w:val="00B40844"/>
    <w:rsid w:val="00B433BD"/>
    <w:rsid w:val="00B44BAA"/>
    <w:rsid w:val="00B46BB5"/>
    <w:rsid w:val="00B47800"/>
    <w:rsid w:val="00B5067C"/>
    <w:rsid w:val="00B50C99"/>
    <w:rsid w:val="00B56457"/>
    <w:rsid w:val="00B56E34"/>
    <w:rsid w:val="00B5737E"/>
    <w:rsid w:val="00B61AC7"/>
    <w:rsid w:val="00B65822"/>
    <w:rsid w:val="00B661B7"/>
    <w:rsid w:val="00B74BBB"/>
    <w:rsid w:val="00B75ACC"/>
    <w:rsid w:val="00B76639"/>
    <w:rsid w:val="00B76C1F"/>
    <w:rsid w:val="00B808CB"/>
    <w:rsid w:val="00B845CF"/>
    <w:rsid w:val="00B90BEB"/>
    <w:rsid w:val="00B90DA5"/>
    <w:rsid w:val="00B92DE7"/>
    <w:rsid w:val="00B9407E"/>
    <w:rsid w:val="00BA60BC"/>
    <w:rsid w:val="00BB13F4"/>
    <w:rsid w:val="00BB2B54"/>
    <w:rsid w:val="00BB3273"/>
    <w:rsid w:val="00BB3778"/>
    <w:rsid w:val="00BB7271"/>
    <w:rsid w:val="00BB7547"/>
    <w:rsid w:val="00BC18F1"/>
    <w:rsid w:val="00BC235C"/>
    <w:rsid w:val="00BC242A"/>
    <w:rsid w:val="00BC4913"/>
    <w:rsid w:val="00BC5931"/>
    <w:rsid w:val="00BE31AD"/>
    <w:rsid w:val="00BF4093"/>
    <w:rsid w:val="00C02E2D"/>
    <w:rsid w:val="00C033C2"/>
    <w:rsid w:val="00C04F28"/>
    <w:rsid w:val="00C066B6"/>
    <w:rsid w:val="00C06EB4"/>
    <w:rsid w:val="00C100C5"/>
    <w:rsid w:val="00C106D0"/>
    <w:rsid w:val="00C124F5"/>
    <w:rsid w:val="00C215F9"/>
    <w:rsid w:val="00C22B56"/>
    <w:rsid w:val="00C238F9"/>
    <w:rsid w:val="00C2633E"/>
    <w:rsid w:val="00C268E3"/>
    <w:rsid w:val="00C277F6"/>
    <w:rsid w:val="00C302CA"/>
    <w:rsid w:val="00C327A6"/>
    <w:rsid w:val="00C4587F"/>
    <w:rsid w:val="00C4597F"/>
    <w:rsid w:val="00C54752"/>
    <w:rsid w:val="00C5692B"/>
    <w:rsid w:val="00C63163"/>
    <w:rsid w:val="00C6364D"/>
    <w:rsid w:val="00C66063"/>
    <w:rsid w:val="00C73D5D"/>
    <w:rsid w:val="00C74D0F"/>
    <w:rsid w:val="00C8070E"/>
    <w:rsid w:val="00C82B7B"/>
    <w:rsid w:val="00C85783"/>
    <w:rsid w:val="00C877F7"/>
    <w:rsid w:val="00C90ED1"/>
    <w:rsid w:val="00C9102F"/>
    <w:rsid w:val="00C9152D"/>
    <w:rsid w:val="00CA10F5"/>
    <w:rsid w:val="00CA6A5A"/>
    <w:rsid w:val="00CA7995"/>
    <w:rsid w:val="00CB0C55"/>
    <w:rsid w:val="00CB65B5"/>
    <w:rsid w:val="00CB72A6"/>
    <w:rsid w:val="00CC04F0"/>
    <w:rsid w:val="00CC0C44"/>
    <w:rsid w:val="00CC3220"/>
    <w:rsid w:val="00CC5308"/>
    <w:rsid w:val="00CC57E3"/>
    <w:rsid w:val="00CC7431"/>
    <w:rsid w:val="00CD002F"/>
    <w:rsid w:val="00CD0D53"/>
    <w:rsid w:val="00CD4D3E"/>
    <w:rsid w:val="00CD5C76"/>
    <w:rsid w:val="00CD605F"/>
    <w:rsid w:val="00CD62C0"/>
    <w:rsid w:val="00CE6B2D"/>
    <w:rsid w:val="00CF2C90"/>
    <w:rsid w:val="00CF55AD"/>
    <w:rsid w:val="00D004BE"/>
    <w:rsid w:val="00D02F00"/>
    <w:rsid w:val="00D034F4"/>
    <w:rsid w:val="00D053B4"/>
    <w:rsid w:val="00D0554B"/>
    <w:rsid w:val="00D113DD"/>
    <w:rsid w:val="00D139A4"/>
    <w:rsid w:val="00D15A5D"/>
    <w:rsid w:val="00D15FF5"/>
    <w:rsid w:val="00D20D79"/>
    <w:rsid w:val="00D23F96"/>
    <w:rsid w:val="00D24453"/>
    <w:rsid w:val="00D24EFE"/>
    <w:rsid w:val="00D25285"/>
    <w:rsid w:val="00D30D4D"/>
    <w:rsid w:val="00D37812"/>
    <w:rsid w:val="00D37DAA"/>
    <w:rsid w:val="00D45CE6"/>
    <w:rsid w:val="00D5070E"/>
    <w:rsid w:val="00D52F48"/>
    <w:rsid w:val="00D547B6"/>
    <w:rsid w:val="00D562F3"/>
    <w:rsid w:val="00D6224D"/>
    <w:rsid w:val="00D70B13"/>
    <w:rsid w:val="00D71352"/>
    <w:rsid w:val="00D7491A"/>
    <w:rsid w:val="00D803A8"/>
    <w:rsid w:val="00D80947"/>
    <w:rsid w:val="00D8310B"/>
    <w:rsid w:val="00D84700"/>
    <w:rsid w:val="00D870CD"/>
    <w:rsid w:val="00D8730C"/>
    <w:rsid w:val="00D94992"/>
    <w:rsid w:val="00D95D76"/>
    <w:rsid w:val="00D960EA"/>
    <w:rsid w:val="00DA42DA"/>
    <w:rsid w:val="00DB3B82"/>
    <w:rsid w:val="00DB5AA2"/>
    <w:rsid w:val="00DC12E7"/>
    <w:rsid w:val="00DC13FE"/>
    <w:rsid w:val="00DC2626"/>
    <w:rsid w:val="00DC6D53"/>
    <w:rsid w:val="00DC7DE1"/>
    <w:rsid w:val="00DD2A57"/>
    <w:rsid w:val="00DD76E7"/>
    <w:rsid w:val="00DE2167"/>
    <w:rsid w:val="00DE2F05"/>
    <w:rsid w:val="00DE6BDE"/>
    <w:rsid w:val="00DE6D49"/>
    <w:rsid w:val="00DF1C16"/>
    <w:rsid w:val="00DF2F93"/>
    <w:rsid w:val="00DF393C"/>
    <w:rsid w:val="00DF7C91"/>
    <w:rsid w:val="00E00DA5"/>
    <w:rsid w:val="00E0573A"/>
    <w:rsid w:val="00E1305D"/>
    <w:rsid w:val="00E14E4D"/>
    <w:rsid w:val="00E166A1"/>
    <w:rsid w:val="00E17113"/>
    <w:rsid w:val="00E221FD"/>
    <w:rsid w:val="00E26421"/>
    <w:rsid w:val="00E33B13"/>
    <w:rsid w:val="00E41BE5"/>
    <w:rsid w:val="00E45623"/>
    <w:rsid w:val="00E533BE"/>
    <w:rsid w:val="00E601E0"/>
    <w:rsid w:val="00E62DB3"/>
    <w:rsid w:val="00E71E94"/>
    <w:rsid w:val="00E7426D"/>
    <w:rsid w:val="00E751F3"/>
    <w:rsid w:val="00E75414"/>
    <w:rsid w:val="00E75B0E"/>
    <w:rsid w:val="00E811D6"/>
    <w:rsid w:val="00E8184C"/>
    <w:rsid w:val="00E81F1C"/>
    <w:rsid w:val="00E8438C"/>
    <w:rsid w:val="00E85456"/>
    <w:rsid w:val="00E85DF8"/>
    <w:rsid w:val="00E874CA"/>
    <w:rsid w:val="00E93456"/>
    <w:rsid w:val="00E9511C"/>
    <w:rsid w:val="00E96F9E"/>
    <w:rsid w:val="00EA2DE2"/>
    <w:rsid w:val="00EB0A6C"/>
    <w:rsid w:val="00EB1AE0"/>
    <w:rsid w:val="00EC430A"/>
    <w:rsid w:val="00EC746F"/>
    <w:rsid w:val="00EC796F"/>
    <w:rsid w:val="00EC7DC6"/>
    <w:rsid w:val="00EC7DF4"/>
    <w:rsid w:val="00ED5B76"/>
    <w:rsid w:val="00ED7008"/>
    <w:rsid w:val="00ED76B2"/>
    <w:rsid w:val="00EE2D11"/>
    <w:rsid w:val="00EF1728"/>
    <w:rsid w:val="00EF184A"/>
    <w:rsid w:val="00EF2FFD"/>
    <w:rsid w:val="00EF44A3"/>
    <w:rsid w:val="00F01F8B"/>
    <w:rsid w:val="00F0235A"/>
    <w:rsid w:val="00F05272"/>
    <w:rsid w:val="00F05CAB"/>
    <w:rsid w:val="00F0783D"/>
    <w:rsid w:val="00F1221A"/>
    <w:rsid w:val="00F16C7A"/>
    <w:rsid w:val="00F17B35"/>
    <w:rsid w:val="00F17C62"/>
    <w:rsid w:val="00F2347C"/>
    <w:rsid w:val="00F31BD5"/>
    <w:rsid w:val="00F40C0D"/>
    <w:rsid w:val="00F5020A"/>
    <w:rsid w:val="00F53134"/>
    <w:rsid w:val="00F53C2F"/>
    <w:rsid w:val="00F60A11"/>
    <w:rsid w:val="00F6263F"/>
    <w:rsid w:val="00F6380D"/>
    <w:rsid w:val="00F639A4"/>
    <w:rsid w:val="00F646BB"/>
    <w:rsid w:val="00F65529"/>
    <w:rsid w:val="00F65903"/>
    <w:rsid w:val="00F659E8"/>
    <w:rsid w:val="00F70DC8"/>
    <w:rsid w:val="00F72231"/>
    <w:rsid w:val="00F76217"/>
    <w:rsid w:val="00F7691A"/>
    <w:rsid w:val="00F8274C"/>
    <w:rsid w:val="00F82EDF"/>
    <w:rsid w:val="00F833AC"/>
    <w:rsid w:val="00F856E7"/>
    <w:rsid w:val="00F92396"/>
    <w:rsid w:val="00F92D04"/>
    <w:rsid w:val="00F9321A"/>
    <w:rsid w:val="00F938EC"/>
    <w:rsid w:val="00F93F8E"/>
    <w:rsid w:val="00F93FBE"/>
    <w:rsid w:val="00FA2278"/>
    <w:rsid w:val="00FA2600"/>
    <w:rsid w:val="00FB0F69"/>
    <w:rsid w:val="00FB2295"/>
    <w:rsid w:val="00FB2E9E"/>
    <w:rsid w:val="00FB32DE"/>
    <w:rsid w:val="00FB5286"/>
    <w:rsid w:val="00FB52D6"/>
    <w:rsid w:val="00FB5F14"/>
    <w:rsid w:val="00FC0D5F"/>
    <w:rsid w:val="00FC2237"/>
    <w:rsid w:val="00FC42F2"/>
    <w:rsid w:val="00FC62AC"/>
    <w:rsid w:val="00FC6F2E"/>
    <w:rsid w:val="00FD68B7"/>
    <w:rsid w:val="00FD6F0C"/>
    <w:rsid w:val="00FE3548"/>
    <w:rsid w:val="00F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F"/>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 w:id="772240625">
      <w:bodyDiv w:val="1"/>
      <w:marLeft w:val="0"/>
      <w:marRight w:val="0"/>
      <w:marTop w:val="0"/>
      <w:marBottom w:val="0"/>
      <w:divBdr>
        <w:top w:val="none" w:sz="0" w:space="0" w:color="auto"/>
        <w:left w:val="none" w:sz="0" w:space="0" w:color="auto"/>
        <w:bottom w:val="none" w:sz="0" w:space="0" w:color="auto"/>
        <w:right w:val="none" w:sz="0" w:space="0" w:color="auto"/>
      </w:divBdr>
    </w:div>
    <w:div w:id="1547838646">
      <w:bodyDiv w:val="1"/>
      <w:marLeft w:val="0"/>
      <w:marRight w:val="0"/>
      <w:marTop w:val="0"/>
      <w:marBottom w:val="0"/>
      <w:divBdr>
        <w:top w:val="none" w:sz="0" w:space="0" w:color="auto"/>
        <w:left w:val="none" w:sz="0" w:space="0" w:color="auto"/>
        <w:bottom w:val="none" w:sz="0" w:space="0" w:color="auto"/>
        <w:right w:val="none" w:sz="0" w:space="0" w:color="auto"/>
      </w:divBdr>
    </w:div>
    <w:div w:id="2054620764">
      <w:bodyDiv w:val="1"/>
      <w:marLeft w:val="0"/>
      <w:marRight w:val="0"/>
      <w:marTop w:val="0"/>
      <w:marBottom w:val="0"/>
      <w:divBdr>
        <w:top w:val="none" w:sz="0" w:space="0" w:color="auto"/>
        <w:left w:val="none" w:sz="0" w:space="0" w:color="auto"/>
        <w:bottom w:val="none" w:sz="0" w:space="0" w:color="auto"/>
        <w:right w:val="none" w:sz="0" w:space="0" w:color="auto"/>
      </w:divBdr>
    </w:div>
    <w:div w:id="21305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2024-04-08T18:30:00+00:00</Judgment_x0020_Date>
    <Year xmlns="c1afb1bd-f2fb-40fd-9abb-aea55b4d7662">2024</Year>
  </documentManagement>
</p:properties>
</file>

<file path=customXml/itemProps1.xml><?xml version="1.0" encoding="utf-8"?>
<ds:datastoreItem xmlns:ds="http://schemas.openxmlformats.org/officeDocument/2006/customXml" ds:itemID="{8833A097-C163-4E23-9658-D214D43B2266}"/>
</file>

<file path=customXml/itemProps2.xml><?xml version="1.0" encoding="utf-8"?>
<ds:datastoreItem xmlns:ds="http://schemas.openxmlformats.org/officeDocument/2006/customXml" ds:itemID="{DE70407F-50CB-4921-AFBC-44587D72995F}"/>
</file>

<file path=customXml/itemProps3.xml><?xml version="1.0" encoding="utf-8"?>
<ds:datastoreItem xmlns:ds="http://schemas.openxmlformats.org/officeDocument/2006/customXml" ds:itemID="{B54B439E-AB33-4EF2-A1CB-89CC8D9D60EA}"/>
</file>

<file path=customXml/itemProps4.xml><?xml version="1.0" encoding="utf-8"?>
<ds:datastoreItem xmlns:ds="http://schemas.openxmlformats.org/officeDocument/2006/customXml" ds:itemID="{58222B39-02D0-4808-A470-72A783AB0A80}"/>
</file>

<file path=docProps/app.xml><?xml version="1.0" encoding="utf-8"?>
<Properties xmlns="http://schemas.openxmlformats.org/officeDocument/2006/extended-properties" xmlns:vt="http://schemas.openxmlformats.org/officeDocument/2006/docPropsVTypes">
  <Template>Normal</Template>
  <TotalTime>9</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v Kavari (HC-MD-CIV-ACT-CON-2023-03803) [2024] NAHCMD 161 (9 APRIL 2024)</dc:title>
  <dc:subject/>
  <dc:creator>Michelle M. Jagger</dc:creator>
  <cp:keywords/>
  <dc:description/>
  <cp:lastModifiedBy>Elisia Simon</cp:lastModifiedBy>
  <cp:revision>7</cp:revision>
  <cp:lastPrinted>2024-04-09T06:24:00Z</cp:lastPrinted>
  <dcterms:created xsi:type="dcterms:W3CDTF">2024-04-09T06:32:00Z</dcterms:created>
  <dcterms:modified xsi:type="dcterms:W3CDTF">2024-04-09T06:42:00Z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