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F79" w:rsidRPr="006D41CB" w:rsidRDefault="002B3F79" w:rsidP="002B3F79">
      <w:pPr>
        <w:spacing w:line="252" w:lineRule="auto"/>
        <w:jc w:val="center"/>
        <w:rPr>
          <w:rFonts w:ascii="Arial" w:hAnsi="Arial" w:cs="Arial"/>
          <w:b/>
          <w:sz w:val="24"/>
          <w:szCs w:val="24"/>
          <w:lang w:val="en-US"/>
        </w:rPr>
      </w:pPr>
      <w:r w:rsidRPr="006D41CB">
        <w:rPr>
          <w:rFonts w:ascii="Arial" w:hAnsi="Arial" w:cs="Arial"/>
          <w:b/>
          <w:sz w:val="24"/>
          <w:szCs w:val="24"/>
          <w:lang w:val="en-US"/>
        </w:rPr>
        <w:t>REPUBLIC OF NAMIBIA</w:t>
      </w:r>
    </w:p>
    <w:p w:rsidR="002B3F79" w:rsidRPr="006D41CB" w:rsidRDefault="002B3F79" w:rsidP="002B3F79">
      <w:pPr>
        <w:spacing w:line="252" w:lineRule="auto"/>
        <w:jc w:val="center"/>
        <w:rPr>
          <w:rFonts w:ascii="Arial" w:hAnsi="Arial" w:cs="Arial"/>
          <w:b/>
          <w:sz w:val="24"/>
          <w:szCs w:val="24"/>
          <w:lang w:val="en-US"/>
        </w:rPr>
      </w:pPr>
      <w:r w:rsidRPr="006D41CB">
        <w:rPr>
          <w:rFonts w:ascii="Arial" w:hAnsi="Arial" w:cs="Arial"/>
          <w:b/>
          <w:noProof/>
          <w:sz w:val="24"/>
          <w:szCs w:val="24"/>
          <w:lang w:eastAsia="en-ZA"/>
        </w:rPr>
        <w:drawing>
          <wp:inline distT="0" distB="0" distL="0" distR="0">
            <wp:extent cx="962025" cy="978331"/>
            <wp:effectExtent l="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3657" cy="990160"/>
                    </a:xfrm>
                    <a:prstGeom prst="rect">
                      <a:avLst/>
                    </a:prstGeom>
                    <a:noFill/>
                    <a:ln>
                      <a:noFill/>
                    </a:ln>
                  </pic:spPr>
                </pic:pic>
              </a:graphicData>
            </a:graphic>
          </wp:inline>
        </w:drawing>
      </w:r>
      <w:bookmarkStart w:id="0" w:name="_GoBack"/>
      <w:bookmarkEnd w:id="0"/>
    </w:p>
    <w:p w:rsidR="002B3F79" w:rsidRPr="006D41CB" w:rsidRDefault="002B3F79" w:rsidP="002B3F79">
      <w:pPr>
        <w:spacing w:line="252" w:lineRule="auto"/>
        <w:jc w:val="center"/>
        <w:rPr>
          <w:rFonts w:ascii="Arial" w:hAnsi="Arial" w:cs="Arial"/>
          <w:b/>
          <w:sz w:val="24"/>
          <w:szCs w:val="24"/>
          <w:lang w:val="en-US"/>
        </w:rPr>
      </w:pPr>
      <w:r w:rsidRPr="006D41CB">
        <w:rPr>
          <w:rFonts w:ascii="Arial" w:hAnsi="Arial" w:cs="Arial"/>
          <w:b/>
          <w:sz w:val="24"/>
          <w:szCs w:val="24"/>
          <w:lang w:val="en-US"/>
        </w:rPr>
        <w:t>IN THE HIGH COURT OF NAMIBIA, NORTHERN LOCAL DIVISION, OSHAKATI</w:t>
      </w:r>
    </w:p>
    <w:p w:rsidR="002B3F79" w:rsidRPr="006D41CB" w:rsidRDefault="002B3F79" w:rsidP="00E10DBF">
      <w:pPr>
        <w:spacing w:after="0" w:line="252" w:lineRule="auto"/>
        <w:jc w:val="center"/>
        <w:rPr>
          <w:rFonts w:ascii="Arial" w:hAnsi="Arial" w:cs="Arial"/>
          <w:b/>
          <w:sz w:val="24"/>
          <w:szCs w:val="24"/>
          <w:lang w:val="en-US"/>
        </w:rPr>
      </w:pPr>
    </w:p>
    <w:p w:rsidR="002B3F79" w:rsidRPr="006D41CB" w:rsidRDefault="002B3F79" w:rsidP="002B3F79">
      <w:pPr>
        <w:spacing w:line="252" w:lineRule="auto"/>
        <w:jc w:val="center"/>
        <w:rPr>
          <w:rFonts w:ascii="Arial" w:hAnsi="Arial" w:cs="Arial"/>
          <w:b/>
          <w:sz w:val="24"/>
          <w:szCs w:val="24"/>
          <w:lang w:val="en-US"/>
        </w:rPr>
      </w:pPr>
      <w:r w:rsidRPr="006D41CB">
        <w:rPr>
          <w:rFonts w:ascii="Arial" w:hAnsi="Arial" w:cs="Arial"/>
          <w:b/>
          <w:sz w:val="24"/>
          <w:szCs w:val="24"/>
          <w:lang w:val="en-US"/>
        </w:rPr>
        <w:t xml:space="preserve">REVIEW JUDGMENT </w:t>
      </w:r>
    </w:p>
    <w:p w:rsidR="002B3F79" w:rsidRPr="00B14D24" w:rsidRDefault="002B3F79" w:rsidP="002B3F79">
      <w:pPr>
        <w:spacing w:after="0" w:line="360" w:lineRule="auto"/>
        <w:jc w:val="both"/>
        <w:rPr>
          <w:rFonts w:ascii="Arial" w:hAnsi="Arial" w:cs="Arial"/>
          <w:sz w:val="16"/>
          <w:szCs w:val="16"/>
        </w:rPr>
      </w:pPr>
    </w:p>
    <w:tbl>
      <w:tblPr>
        <w:tblW w:w="97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9"/>
        <w:gridCol w:w="308"/>
        <w:gridCol w:w="4323"/>
      </w:tblGrid>
      <w:tr w:rsidR="002B3F79" w:rsidRPr="00707B80" w:rsidTr="004D43BC">
        <w:trPr>
          <w:trHeight w:val="744"/>
        </w:trPr>
        <w:tc>
          <w:tcPr>
            <w:tcW w:w="539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B3F79" w:rsidRPr="00707B80" w:rsidRDefault="002B3F79" w:rsidP="00715AD4">
            <w:pPr>
              <w:spacing w:after="0" w:line="360" w:lineRule="auto"/>
              <w:jc w:val="both"/>
              <w:rPr>
                <w:rFonts w:ascii="Arial" w:hAnsi="Arial" w:cs="Arial"/>
                <w:b/>
                <w:sz w:val="24"/>
                <w:szCs w:val="24"/>
              </w:rPr>
            </w:pPr>
            <w:r w:rsidRPr="00707B80">
              <w:rPr>
                <w:rFonts w:ascii="Arial" w:hAnsi="Arial" w:cs="Arial"/>
                <w:b/>
                <w:sz w:val="24"/>
                <w:szCs w:val="24"/>
              </w:rPr>
              <w:t xml:space="preserve">Case Title:  </w:t>
            </w:r>
          </w:p>
          <w:p w:rsidR="002B3F79" w:rsidRPr="005E1384" w:rsidRDefault="002B3F79" w:rsidP="00715AD4">
            <w:pPr>
              <w:spacing w:after="0" w:line="360" w:lineRule="auto"/>
              <w:rPr>
                <w:rFonts w:ascii="Arial" w:hAnsi="Arial" w:cs="Arial"/>
                <w:sz w:val="24"/>
                <w:szCs w:val="24"/>
              </w:rPr>
            </w:pPr>
          </w:p>
          <w:p w:rsidR="002B3F79" w:rsidRPr="00707B80" w:rsidRDefault="002B3F79" w:rsidP="00715AD4">
            <w:pPr>
              <w:spacing w:after="0" w:line="360" w:lineRule="auto"/>
              <w:rPr>
                <w:rFonts w:ascii="Arial" w:hAnsi="Arial" w:cs="Arial"/>
                <w:sz w:val="24"/>
                <w:szCs w:val="24"/>
              </w:rPr>
            </w:pPr>
            <w:r>
              <w:rPr>
                <w:rFonts w:ascii="Arial" w:hAnsi="Arial" w:cs="Arial"/>
                <w:sz w:val="24"/>
                <w:szCs w:val="24"/>
              </w:rPr>
              <w:t>The state v Kolele Haikoondo</w:t>
            </w:r>
          </w:p>
        </w:tc>
        <w:tc>
          <w:tcPr>
            <w:tcW w:w="4323" w:type="dxa"/>
            <w:tcBorders>
              <w:top w:val="single" w:sz="4" w:space="0" w:color="auto"/>
              <w:left w:val="single" w:sz="4" w:space="0" w:color="auto"/>
              <w:bottom w:val="single" w:sz="4" w:space="0" w:color="auto"/>
              <w:right w:val="single" w:sz="4" w:space="0" w:color="auto"/>
            </w:tcBorders>
            <w:shd w:val="clear" w:color="auto" w:fill="auto"/>
            <w:hideMark/>
          </w:tcPr>
          <w:p w:rsidR="002B3F79" w:rsidRPr="00A3718C" w:rsidRDefault="00983A65" w:rsidP="00715AD4">
            <w:pPr>
              <w:spacing w:after="0" w:line="360" w:lineRule="auto"/>
              <w:jc w:val="both"/>
              <w:rPr>
                <w:rFonts w:ascii="Arial" w:hAnsi="Arial" w:cs="Arial"/>
                <w:sz w:val="24"/>
                <w:szCs w:val="24"/>
              </w:rPr>
            </w:pPr>
            <w:r>
              <w:rPr>
                <w:rFonts w:ascii="Arial" w:hAnsi="Arial" w:cs="Arial"/>
                <w:b/>
                <w:sz w:val="24"/>
                <w:szCs w:val="24"/>
              </w:rPr>
              <w:t>Case n</w:t>
            </w:r>
            <w:r w:rsidR="00B559EB" w:rsidRPr="00B559EB">
              <w:rPr>
                <w:rFonts w:ascii="Arial" w:hAnsi="Arial" w:cs="Arial"/>
                <w:b/>
                <w:sz w:val="24"/>
                <w:szCs w:val="24"/>
              </w:rPr>
              <w:t>o:</w:t>
            </w:r>
            <w:r w:rsidR="00B559EB">
              <w:rPr>
                <w:rFonts w:ascii="Arial" w:hAnsi="Arial" w:cs="Arial"/>
                <w:sz w:val="24"/>
                <w:szCs w:val="24"/>
              </w:rPr>
              <w:t xml:space="preserve"> CR 38</w:t>
            </w:r>
            <w:r w:rsidR="002B3F79" w:rsidRPr="00A3718C">
              <w:rPr>
                <w:rFonts w:ascii="Arial" w:hAnsi="Arial" w:cs="Arial"/>
                <w:sz w:val="24"/>
                <w:szCs w:val="24"/>
              </w:rPr>
              <w:t>/2023</w:t>
            </w:r>
          </w:p>
          <w:p w:rsidR="002B3F79" w:rsidRPr="00707B80" w:rsidRDefault="002B3F79" w:rsidP="00715AD4">
            <w:pPr>
              <w:spacing w:after="0" w:line="360" w:lineRule="auto"/>
              <w:jc w:val="both"/>
              <w:rPr>
                <w:rFonts w:ascii="Arial" w:hAnsi="Arial" w:cs="Arial"/>
                <w:sz w:val="24"/>
                <w:szCs w:val="24"/>
              </w:rPr>
            </w:pPr>
          </w:p>
        </w:tc>
      </w:tr>
      <w:tr w:rsidR="002B3F79" w:rsidRPr="00707B80" w:rsidTr="004D43BC">
        <w:trPr>
          <w:trHeight w:val="844"/>
        </w:trPr>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3F79" w:rsidRPr="00707B80" w:rsidRDefault="002B3F79" w:rsidP="00715AD4">
            <w:pPr>
              <w:spacing w:after="0" w:line="360" w:lineRule="auto"/>
              <w:rPr>
                <w:rFonts w:ascii="Arial" w:hAnsi="Arial" w:cs="Arial"/>
                <w:sz w:val="24"/>
                <w:szCs w:val="24"/>
              </w:rPr>
            </w:pPr>
          </w:p>
        </w:tc>
        <w:tc>
          <w:tcPr>
            <w:tcW w:w="4323" w:type="dxa"/>
            <w:tcBorders>
              <w:top w:val="single" w:sz="4" w:space="0" w:color="auto"/>
              <w:left w:val="single" w:sz="4" w:space="0" w:color="auto"/>
              <w:bottom w:val="single" w:sz="4" w:space="0" w:color="auto"/>
              <w:right w:val="single" w:sz="4" w:space="0" w:color="auto"/>
            </w:tcBorders>
            <w:shd w:val="clear" w:color="auto" w:fill="auto"/>
            <w:hideMark/>
          </w:tcPr>
          <w:p w:rsidR="002B3F79" w:rsidRPr="00707B80" w:rsidRDefault="002B3F79" w:rsidP="00715AD4">
            <w:pPr>
              <w:spacing w:after="0" w:line="360" w:lineRule="auto"/>
              <w:jc w:val="both"/>
              <w:rPr>
                <w:rFonts w:ascii="Arial" w:hAnsi="Arial" w:cs="Arial"/>
                <w:sz w:val="24"/>
                <w:szCs w:val="24"/>
              </w:rPr>
            </w:pPr>
            <w:r w:rsidRPr="00707B80">
              <w:rPr>
                <w:rFonts w:ascii="Arial" w:hAnsi="Arial" w:cs="Arial"/>
                <w:b/>
                <w:sz w:val="24"/>
                <w:szCs w:val="24"/>
              </w:rPr>
              <w:t>Division of Court:</w:t>
            </w:r>
          </w:p>
          <w:p w:rsidR="002B3F79" w:rsidRPr="00707B80" w:rsidRDefault="002B3F79" w:rsidP="00715AD4">
            <w:pPr>
              <w:spacing w:after="0" w:line="360" w:lineRule="auto"/>
              <w:jc w:val="both"/>
              <w:rPr>
                <w:rFonts w:ascii="Arial" w:hAnsi="Arial" w:cs="Arial"/>
                <w:sz w:val="24"/>
                <w:szCs w:val="24"/>
              </w:rPr>
            </w:pPr>
            <w:r w:rsidRPr="00707B80">
              <w:rPr>
                <w:rFonts w:ascii="Arial" w:hAnsi="Arial" w:cs="Arial"/>
                <w:sz w:val="24"/>
                <w:szCs w:val="24"/>
              </w:rPr>
              <w:t>High Court</w:t>
            </w:r>
            <w:r>
              <w:rPr>
                <w:rFonts w:ascii="Arial" w:hAnsi="Arial" w:cs="Arial"/>
                <w:sz w:val="24"/>
                <w:szCs w:val="24"/>
              </w:rPr>
              <w:t xml:space="preserve">, Northern Local </w:t>
            </w:r>
            <w:r w:rsidRPr="00707B80">
              <w:rPr>
                <w:rFonts w:ascii="Arial" w:hAnsi="Arial" w:cs="Arial"/>
                <w:sz w:val="24"/>
                <w:szCs w:val="24"/>
              </w:rPr>
              <w:t>Division</w:t>
            </w:r>
          </w:p>
        </w:tc>
      </w:tr>
      <w:tr w:rsidR="00EA79E3" w:rsidRPr="00707B80" w:rsidTr="00E10DBF">
        <w:trPr>
          <w:trHeight w:val="1790"/>
        </w:trPr>
        <w:tc>
          <w:tcPr>
            <w:tcW w:w="5397" w:type="dxa"/>
            <w:gridSpan w:val="2"/>
            <w:tcBorders>
              <w:top w:val="single" w:sz="4" w:space="0" w:color="auto"/>
              <w:left w:val="single" w:sz="4" w:space="0" w:color="auto"/>
              <w:bottom w:val="single" w:sz="4" w:space="0" w:color="auto"/>
              <w:right w:val="single" w:sz="4" w:space="0" w:color="auto"/>
            </w:tcBorders>
            <w:shd w:val="clear" w:color="auto" w:fill="auto"/>
            <w:hideMark/>
          </w:tcPr>
          <w:p w:rsidR="00EA79E3" w:rsidRPr="00707B80" w:rsidRDefault="00EA79E3" w:rsidP="00715AD4">
            <w:pPr>
              <w:spacing w:after="0" w:line="360" w:lineRule="auto"/>
              <w:jc w:val="both"/>
              <w:rPr>
                <w:rFonts w:ascii="Arial" w:hAnsi="Arial" w:cs="Arial"/>
                <w:b/>
                <w:sz w:val="24"/>
                <w:szCs w:val="24"/>
              </w:rPr>
            </w:pPr>
            <w:r w:rsidRPr="00707B80">
              <w:rPr>
                <w:rFonts w:ascii="Arial" w:hAnsi="Arial" w:cs="Arial"/>
                <w:b/>
                <w:sz w:val="24"/>
                <w:szCs w:val="24"/>
              </w:rPr>
              <w:t>Heard before:</w:t>
            </w:r>
          </w:p>
          <w:p w:rsidR="00EA79E3" w:rsidRDefault="00EA79E3" w:rsidP="00715AD4">
            <w:pPr>
              <w:spacing w:line="360" w:lineRule="auto"/>
              <w:jc w:val="both"/>
              <w:rPr>
                <w:rFonts w:ascii="Arial" w:hAnsi="Arial" w:cs="Arial"/>
                <w:sz w:val="24"/>
                <w:szCs w:val="24"/>
              </w:rPr>
            </w:pPr>
            <w:r w:rsidRPr="00707B80">
              <w:rPr>
                <w:rFonts w:ascii="Arial" w:hAnsi="Arial" w:cs="Arial"/>
                <w:sz w:val="24"/>
                <w:szCs w:val="24"/>
              </w:rPr>
              <w:t xml:space="preserve">Honourable </w:t>
            </w:r>
            <w:r>
              <w:rPr>
                <w:rFonts w:ascii="Arial" w:hAnsi="Arial" w:cs="Arial"/>
                <w:sz w:val="24"/>
                <w:szCs w:val="24"/>
              </w:rPr>
              <w:t>Lady Justice Salionga J et</w:t>
            </w:r>
          </w:p>
          <w:p w:rsidR="00EA79E3" w:rsidRPr="00827D42" w:rsidRDefault="00EA79E3" w:rsidP="00715AD4">
            <w:pPr>
              <w:spacing w:line="360" w:lineRule="auto"/>
              <w:jc w:val="both"/>
              <w:rPr>
                <w:rFonts w:ascii="Arial" w:hAnsi="Arial" w:cs="Arial"/>
                <w:sz w:val="24"/>
                <w:szCs w:val="24"/>
                <w:lang w:val="en-US"/>
              </w:rPr>
            </w:pPr>
            <w:r>
              <w:rPr>
                <w:rFonts w:ascii="Arial" w:hAnsi="Arial" w:cs="Arial"/>
                <w:sz w:val="24"/>
                <w:szCs w:val="24"/>
              </w:rPr>
              <w:t>Honourable Justice Kesslau J</w:t>
            </w:r>
          </w:p>
          <w:p w:rsidR="00EA79E3" w:rsidRPr="00707B80" w:rsidRDefault="00EA79E3" w:rsidP="00715AD4">
            <w:pPr>
              <w:spacing w:after="0" w:line="360" w:lineRule="auto"/>
              <w:jc w:val="both"/>
              <w:rPr>
                <w:rFonts w:ascii="Arial" w:hAnsi="Arial" w:cs="Arial"/>
                <w:sz w:val="24"/>
                <w:szCs w:val="24"/>
              </w:rPr>
            </w:pPr>
          </w:p>
        </w:tc>
        <w:tc>
          <w:tcPr>
            <w:tcW w:w="4323" w:type="dxa"/>
            <w:tcBorders>
              <w:top w:val="single" w:sz="4" w:space="0" w:color="auto"/>
              <w:left w:val="single" w:sz="4" w:space="0" w:color="auto"/>
              <w:right w:val="single" w:sz="4" w:space="0" w:color="auto"/>
            </w:tcBorders>
            <w:shd w:val="clear" w:color="auto" w:fill="auto"/>
            <w:hideMark/>
          </w:tcPr>
          <w:p w:rsidR="00EA79E3" w:rsidRPr="00707B80" w:rsidRDefault="00EA79E3" w:rsidP="00715AD4">
            <w:pPr>
              <w:spacing w:after="0" w:line="360" w:lineRule="auto"/>
              <w:jc w:val="both"/>
              <w:rPr>
                <w:rFonts w:ascii="Arial" w:hAnsi="Arial" w:cs="Arial"/>
                <w:b/>
                <w:sz w:val="24"/>
                <w:szCs w:val="24"/>
              </w:rPr>
            </w:pPr>
            <w:r w:rsidRPr="00707B80">
              <w:rPr>
                <w:rFonts w:ascii="Arial" w:hAnsi="Arial" w:cs="Arial"/>
                <w:b/>
                <w:sz w:val="24"/>
                <w:szCs w:val="24"/>
              </w:rPr>
              <w:t>Delivered on:</w:t>
            </w:r>
          </w:p>
          <w:p w:rsidR="00EA79E3" w:rsidRPr="00707B80" w:rsidRDefault="00EB6D7F" w:rsidP="00715AD4">
            <w:pPr>
              <w:spacing w:after="0" w:line="360" w:lineRule="auto"/>
              <w:jc w:val="both"/>
              <w:rPr>
                <w:rFonts w:ascii="Arial" w:hAnsi="Arial" w:cs="Arial"/>
                <w:sz w:val="24"/>
                <w:szCs w:val="24"/>
              </w:rPr>
            </w:pPr>
            <w:r>
              <w:rPr>
                <w:rFonts w:ascii="Arial" w:hAnsi="Arial" w:cs="Arial"/>
                <w:sz w:val="24"/>
                <w:szCs w:val="24"/>
              </w:rPr>
              <w:t>2</w:t>
            </w:r>
            <w:r w:rsidR="00EA79E3">
              <w:rPr>
                <w:rFonts w:ascii="Arial" w:hAnsi="Arial" w:cs="Arial"/>
                <w:sz w:val="24"/>
                <w:szCs w:val="24"/>
              </w:rPr>
              <w:t xml:space="preserve"> November 2023</w:t>
            </w:r>
          </w:p>
        </w:tc>
      </w:tr>
      <w:tr w:rsidR="002B3F79" w:rsidRPr="00707B80" w:rsidTr="004D43BC">
        <w:tc>
          <w:tcPr>
            <w:tcW w:w="9720" w:type="dxa"/>
            <w:gridSpan w:val="3"/>
            <w:tcBorders>
              <w:top w:val="single" w:sz="4" w:space="0" w:color="auto"/>
              <w:left w:val="single" w:sz="4" w:space="0" w:color="auto"/>
              <w:bottom w:val="single" w:sz="4" w:space="0" w:color="auto"/>
              <w:right w:val="single" w:sz="4" w:space="0" w:color="auto"/>
            </w:tcBorders>
            <w:shd w:val="clear" w:color="auto" w:fill="auto"/>
          </w:tcPr>
          <w:p w:rsidR="002B3F79" w:rsidRDefault="002B3F79" w:rsidP="00715AD4">
            <w:pPr>
              <w:spacing w:after="0" w:line="360" w:lineRule="auto"/>
              <w:ind w:left="2160" w:hanging="2160"/>
              <w:jc w:val="both"/>
              <w:rPr>
                <w:rFonts w:ascii="Arial" w:hAnsi="Arial" w:cs="Arial"/>
                <w:b/>
                <w:sz w:val="24"/>
                <w:szCs w:val="24"/>
              </w:rPr>
            </w:pPr>
          </w:p>
          <w:p w:rsidR="002B3F79" w:rsidRDefault="002B3F79" w:rsidP="00715AD4">
            <w:pPr>
              <w:spacing w:after="0" w:line="360" w:lineRule="auto"/>
              <w:ind w:left="2160" w:hanging="2160"/>
              <w:jc w:val="both"/>
              <w:rPr>
                <w:rFonts w:ascii="Arial" w:hAnsi="Arial" w:cs="Arial"/>
                <w:sz w:val="24"/>
                <w:szCs w:val="24"/>
                <w:lang w:val="en-US"/>
              </w:rPr>
            </w:pPr>
            <w:r w:rsidRPr="00707B80">
              <w:rPr>
                <w:rFonts w:ascii="Arial" w:hAnsi="Arial" w:cs="Arial"/>
                <w:b/>
                <w:sz w:val="24"/>
                <w:szCs w:val="24"/>
              </w:rPr>
              <w:t xml:space="preserve">Neutral citation:  </w:t>
            </w:r>
            <w:r>
              <w:rPr>
                <w:rFonts w:ascii="Arial" w:hAnsi="Arial" w:cs="Arial"/>
                <w:i/>
                <w:sz w:val="24"/>
                <w:szCs w:val="24"/>
              </w:rPr>
              <w:t xml:space="preserve">S v Haikoondo </w:t>
            </w:r>
            <w:r w:rsidRPr="0075464A">
              <w:rPr>
                <w:rFonts w:ascii="Arial" w:hAnsi="Arial" w:cs="Arial"/>
                <w:sz w:val="24"/>
                <w:szCs w:val="24"/>
                <w:lang w:val="en-US"/>
              </w:rPr>
              <w:t>(</w:t>
            </w:r>
            <w:r w:rsidR="007D3853">
              <w:rPr>
                <w:rFonts w:ascii="Arial" w:hAnsi="Arial" w:cs="Arial"/>
                <w:sz w:val="24"/>
                <w:szCs w:val="24"/>
                <w:lang w:val="en-US"/>
              </w:rPr>
              <w:t xml:space="preserve">CR </w:t>
            </w:r>
            <w:r w:rsidR="00EB6D7F">
              <w:rPr>
                <w:rFonts w:ascii="Arial" w:hAnsi="Arial" w:cs="Arial"/>
                <w:sz w:val="24"/>
                <w:szCs w:val="24"/>
                <w:lang w:val="en-US"/>
              </w:rPr>
              <w:t>38/2023) [2023] NAHCNLD 115 (2</w:t>
            </w:r>
            <w:r w:rsidR="00A710B3">
              <w:rPr>
                <w:rFonts w:ascii="Arial" w:hAnsi="Arial" w:cs="Arial"/>
                <w:sz w:val="24"/>
                <w:szCs w:val="24"/>
                <w:lang w:val="en-US"/>
              </w:rPr>
              <w:t xml:space="preserve"> Nov</w:t>
            </w:r>
            <w:r>
              <w:rPr>
                <w:rFonts w:ascii="Arial" w:hAnsi="Arial" w:cs="Arial"/>
                <w:sz w:val="24"/>
                <w:szCs w:val="24"/>
                <w:lang w:val="en-US"/>
              </w:rPr>
              <w:t>ember 2023</w:t>
            </w:r>
            <w:r w:rsidRPr="0075464A">
              <w:rPr>
                <w:rFonts w:ascii="Arial" w:hAnsi="Arial" w:cs="Arial"/>
                <w:sz w:val="24"/>
                <w:szCs w:val="24"/>
                <w:lang w:val="en-US"/>
              </w:rPr>
              <w:t>)</w:t>
            </w:r>
          </w:p>
          <w:p w:rsidR="002B3F79" w:rsidRPr="0075464A" w:rsidRDefault="002B3F79" w:rsidP="00715AD4">
            <w:pPr>
              <w:spacing w:after="0" w:line="360" w:lineRule="auto"/>
              <w:ind w:left="2160" w:hanging="2160"/>
              <w:jc w:val="both"/>
              <w:rPr>
                <w:rFonts w:ascii="Arial" w:hAnsi="Arial" w:cs="Arial"/>
                <w:sz w:val="24"/>
                <w:szCs w:val="24"/>
                <w:lang w:val="en-US"/>
              </w:rPr>
            </w:pPr>
          </w:p>
        </w:tc>
      </w:tr>
      <w:tr w:rsidR="002B3F79" w:rsidRPr="00707B80" w:rsidTr="004D43BC">
        <w:tc>
          <w:tcPr>
            <w:tcW w:w="9720" w:type="dxa"/>
            <w:gridSpan w:val="3"/>
            <w:tcBorders>
              <w:top w:val="single" w:sz="4" w:space="0" w:color="auto"/>
              <w:left w:val="single" w:sz="4" w:space="0" w:color="auto"/>
              <w:bottom w:val="single" w:sz="4" w:space="0" w:color="auto"/>
              <w:right w:val="single" w:sz="4" w:space="0" w:color="auto"/>
            </w:tcBorders>
            <w:shd w:val="clear" w:color="auto" w:fill="auto"/>
          </w:tcPr>
          <w:p w:rsidR="002B3F79" w:rsidRDefault="002B3F79" w:rsidP="00715AD4">
            <w:pPr>
              <w:spacing w:after="0" w:line="240" w:lineRule="auto"/>
              <w:jc w:val="center"/>
              <w:rPr>
                <w:rFonts w:ascii="Arial" w:hAnsi="Arial" w:cs="Arial"/>
                <w:b/>
                <w:sz w:val="24"/>
                <w:szCs w:val="24"/>
              </w:rPr>
            </w:pPr>
          </w:p>
          <w:p w:rsidR="002B3F79" w:rsidRPr="005F032B" w:rsidRDefault="002B3F79" w:rsidP="00715AD4">
            <w:pPr>
              <w:spacing w:after="0" w:line="360" w:lineRule="auto"/>
              <w:jc w:val="center"/>
              <w:rPr>
                <w:rFonts w:ascii="Arial" w:hAnsi="Arial" w:cs="Arial"/>
                <w:sz w:val="24"/>
                <w:szCs w:val="24"/>
              </w:rPr>
            </w:pPr>
            <w:r w:rsidRPr="005F032B">
              <w:rPr>
                <w:rFonts w:ascii="Arial" w:hAnsi="Arial" w:cs="Arial"/>
                <w:sz w:val="24"/>
                <w:szCs w:val="24"/>
              </w:rPr>
              <w:t>COURT ORDER</w:t>
            </w:r>
          </w:p>
        </w:tc>
      </w:tr>
      <w:tr w:rsidR="002B3F79" w:rsidRPr="00707B80" w:rsidTr="004D43BC">
        <w:tc>
          <w:tcPr>
            <w:tcW w:w="9720" w:type="dxa"/>
            <w:gridSpan w:val="3"/>
            <w:tcBorders>
              <w:top w:val="single" w:sz="4" w:space="0" w:color="auto"/>
              <w:left w:val="single" w:sz="4" w:space="0" w:color="auto"/>
              <w:bottom w:val="single" w:sz="4" w:space="0" w:color="auto"/>
              <w:right w:val="single" w:sz="4" w:space="0" w:color="auto"/>
            </w:tcBorders>
            <w:shd w:val="clear" w:color="auto" w:fill="auto"/>
          </w:tcPr>
          <w:p w:rsidR="002B3F79" w:rsidRDefault="002B3F79" w:rsidP="00715AD4">
            <w:pPr>
              <w:spacing w:after="0" w:line="360" w:lineRule="auto"/>
              <w:ind w:left="720"/>
              <w:jc w:val="both"/>
              <w:rPr>
                <w:rFonts w:ascii="Arial" w:hAnsi="Arial" w:cs="Arial"/>
                <w:sz w:val="24"/>
                <w:szCs w:val="24"/>
              </w:rPr>
            </w:pPr>
          </w:p>
          <w:p w:rsidR="002B3F79" w:rsidRPr="00A3718C" w:rsidRDefault="00B559EB" w:rsidP="002B3F79">
            <w:pPr>
              <w:numPr>
                <w:ilvl w:val="0"/>
                <w:numId w:val="1"/>
              </w:numPr>
              <w:spacing w:after="0" w:line="360" w:lineRule="auto"/>
              <w:jc w:val="both"/>
              <w:rPr>
                <w:rFonts w:ascii="Arial" w:hAnsi="Arial" w:cs="Arial"/>
                <w:sz w:val="24"/>
                <w:szCs w:val="24"/>
              </w:rPr>
            </w:pPr>
            <w:r>
              <w:rPr>
                <w:rFonts w:ascii="Arial" w:hAnsi="Arial" w:cs="Arial"/>
                <w:sz w:val="24"/>
                <w:szCs w:val="24"/>
              </w:rPr>
              <w:t>The conviction and sentence are</w:t>
            </w:r>
            <w:r w:rsidR="002B3F79">
              <w:rPr>
                <w:rFonts w:ascii="Arial" w:hAnsi="Arial" w:cs="Arial"/>
                <w:sz w:val="24"/>
                <w:szCs w:val="24"/>
              </w:rPr>
              <w:t xml:space="preserve"> hereby set aside.</w:t>
            </w:r>
          </w:p>
          <w:p w:rsidR="002B3F79" w:rsidRDefault="002B3F79" w:rsidP="002B3F79">
            <w:pPr>
              <w:numPr>
                <w:ilvl w:val="0"/>
                <w:numId w:val="1"/>
              </w:numPr>
              <w:spacing w:after="0" w:line="360" w:lineRule="auto"/>
              <w:jc w:val="both"/>
              <w:rPr>
                <w:rFonts w:ascii="Arial" w:hAnsi="Arial" w:cs="Arial"/>
                <w:sz w:val="24"/>
                <w:szCs w:val="24"/>
              </w:rPr>
            </w:pPr>
            <w:r w:rsidRPr="0082370B">
              <w:rPr>
                <w:rFonts w:ascii="Arial" w:hAnsi="Arial" w:cs="Arial"/>
                <w:sz w:val="24"/>
                <w:szCs w:val="24"/>
              </w:rPr>
              <w:t xml:space="preserve">The matter is remitted to the trial magistrate in order to question the accused further with regard to the element of intent so as to satisfy herself that all the elements of the offence had been admitted. </w:t>
            </w:r>
          </w:p>
          <w:p w:rsidR="002B3F79" w:rsidRDefault="002B3F79" w:rsidP="002B3F79">
            <w:pPr>
              <w:numPr>
                <w:ilvl w:val="0"/>
                <w:numId w:val="1"/>
              </w:numPr>
              <w:spacing w:after="0" w:line="360" w:lineRule="auto"/>
              <w:jc w:val="both"/>
              <w:rPr>
                <w:rFonts w:ascii="Arial" w:hAnsi="Arial" w:cs="Arial"/>
                <w:sz w:val="24"/>
                <w:szCs w:val="24"/>
              </w:rPr>
            </w:pPr>
            <w:r w:rsidRPr="0082370B">
              <w:rPr>
                <w:rFonts w:ascii="Arial" w:hAnsi="Arial" w:cs="Arial"/>
                <w:sz w:val="24"/>
                <w:szCs w:val="24"/>
              </w:rPr>
              <w:t>Upon conviction and sentence the trial court must consider the term of imprisonment the accused person has so far served.</w:t>
            </w:r>
          </w:p>
          <w:p w:rsidR="002B3F79" w:rsidRPr="00707B80" w:rsidRDefault="002B3F79" w:rsidP="00715AD4">
            <w:pPr>
              <w:spacing w:after="0" w:line="360" w:lineRule="auto"/>
              <w:ind w:left="720"/>
              <w:jc w:val="both"/>
              <w:rPr>
                <w:rFonts w:ascii="Arial" w:hAnsi="Arial" w:cs="Arial"/>
                <w:sz w:val="24"/>
                <w:szCs w:val="24"/>
              </w:rPr>
            </w:pPr>
          </w:p>
        </w:tc>
      </w:tr>
      <w:tr w:rsidR="002B3F79" w:rsidRPr="00707B80" w:rsidTr="004D43BC">
        <w:tc>
          <w:tcPr>
            <w:tcW w:w="9720" w:type="dxa"/>
            <w:gridSpan w:val="3"/>
            <w:tcBorders>
              <w:top w:val="single" w:sz="4" w:space="0" w:color="auto"/>
              <w:left w:val="single" w:sz="4" w:space="0" w:color="auto"/>
              <w:bottom w:val="single" w:sz="4" w:space="0" w:color="auto"/>
              <w:right w:val="single" w:sz="4" w:space="0" w:color="auto"/>
            </w:tcBorders>
            <w:shd w:val="clear" w:color="auto" w:fill="auto"/>
            <w:hideMark/>
          </w:tcPr>
          <w:p w:rsidR="002B3F79" w:rsidRDefault="002B3F79" w:rsidP="00715AD4">
            <w:pPr>
              <w:spacing w:after="0" w:line="360" w:lineRule="auto"/>
              <w:jc w:val="center"/>
              <w:rPr>
                <w:rFonts w:ascii="Arial" w:hAnsi="Arial" w:cs="Arial"/>
                <w:b/>
                <w:sz w:val="24"/>
                <w:szCs w:val="24"/>
              </w:rPr>
            </w:pPr>
          </w:p>
          <w:p w:rsidR="002B3F79" w:rsidRPr="00707B80" w:rsidRDefault="002B3F79" w:rsidP="00715AD4">
            <w:pPr>
              <w:spacing w:after="0" w:line="360" w:lineRule="auto"/>
              <w:jc w:val="center"/>
              <w:rPr>
                <w:rFonts w:ascii="Arial" w:hAnsi="Arial" w:cs="Arial"/>
                <w:b/>
                <w:sz w:val="24"/>
                <w:szCs w:val="24"/>
              </w:rPr>
            </w:pPr>
            <w:r>
              <w:rPr>
                <w:rFonts w:ascii="Arial" w:hAnsi="Arial" w:cs="Arial"/>
                <w:b/>
                <w:sz w:val="24"/>
                <w:szCs w:val="24"/>
              </w:rPr>
              <w:lastRenderedPageBreak/>
              <w:t>JUDGMENT</w:t>
            </w:r>
          </w:p>
        </w:tc>
      </w:tr>
      <w:tr w:rsidR="002B3F79" w:rsidRPr="00707B80" w:rsidTr="004D43BC">
        <w:tc>
          <w:tcPr>
            <w:tcW w:w="9720" w:type="dxa"/>
            <w:gridSpan w:val="3"/>
            <w:tcBorders>
              <w:top w:val="single" w:sz="4" w:space="0" w:color="auto"/>
              <w:left w:val="single" w:sz="4" w:space="0" w:color="auto"/>
              <w:bottom w:val="single" w:sz="4" w:space="0" w:color="auto"/>
              <w:right w:val="single" w:sz="4" w:space="0" w:color="auto"/>
            </w:tcBorders>
            <w:shd w:val="clear" w:color="auto" w:fill="auto"/>
          </w:tcPr>
          <w:p w:rsidR="002B3F79" w:rsidRDefault="002B3F79" w:rsidP="00715AD4">
            <w:pPr>
              <w:spacing w:after="0" w:line="360" w:lineRule="auto"/>
              <w:jc w:val="both"/>
              <w:rPr>
                <w:rFonts w:ascii="Arial" w:hAnsi="Arial" w:cs="Arial"/>
                <w:sz w:val="24"/>
                <w:szCs w:val="24"/>
              </w:rPr>
            </w:pPr>
          </w:p>
          <w:p w:rsidR="002B3F79" w:rsidRDefault="002B3F79" w:rsidP="00715AD4">
            <w:pPr>
              <w:spacing w:after="0" w:line="360" w:lineRule="auto"/>
              <w:jc w:val="both"/>
              <w:rPr>
                <w:rFonts w:ascii="Arial" w:hAnsi="Arial" w:cs="Arial"/>
                <w:sz w:val="24"/>
                <w:szCs w:val="24"/>
              </w:rPr>
            </w:pPr>
            <w:r>
              <w:rPr>
                <w:rFonts w:ascii="Arial" w:hAnsi="Arial" w:cs="Arial"/>
                <w:sz w:val="24"/>
                <w:szCs w:val="24"/>
              </w:rPr>
              <w:t>SALIONGA J (KESSLAU J concurring)</w:t>
            </w:r>
          </w:p>
          <w:p w:rsidR="002B3F79" w:rsidRDefault="002B3F79" w:rsidP="00715AD4">
            <w:pPr>
              <w:spacing w:after="0" w:line="360" w:lineRule="auto"/>
              <w:jc w:val="both"/>
              <w:rPr>
                <w:rFonts w:ascii="Arial" w:hAnsi="Arial" w:cs="Arial"/>
                <w:sz w:val="24"/>
                <w:szCs w:val="24"/>
              </w:rPr>
            </w:pPr>
          </w:p>
          <w:p w:rsidR="002B3F79" w:rsidRDefault="002B3F79" w:rsidP="00715AD4">
            <w:pPr>
              <w:tabs>
                <w:tab w:val="left" w:pos="720"/>
                <w:tab w:val="left" w:pos="2268"/>
              </w:tabs>
              <w:spacing w:after="0" w:line="360" w:lineRule="auto"/>
              <w:jc w:val="both"/>
              <w:rPr>
                <w:rFonts w:ascii="Arial" w:eastAsia="Times New Roman" w:hAnsi="Arial" w:cs="Arial"/>
                <w:sz w:val="24"/>
                <w:szCs w:val="24"/>
                <w:lang w:val="en-GB"/>
              </w:rPr>
            </w:pPr>
            <w:r w:rsidRPr="004655EC">
              <w:rPr>
                <w:rFonts w:ascii="Arial" w:eastAsia="Times New Roman" w:hAnsi="Arial" w:cs="Arial"/>
                <w:sz w:val="24"/>
                <w:szCs w:val="24"/>
                <w:lang w:val="en-GB"/>
              </w:rPr>
              <w:t>[1]</w:t>
            </w:r>
            <w:r w:rsidRPr="004655EC">
              <w:rPr>
                <w:rFonts w:ascii="Arial" w:eastAsia="Times New Roman" w:hAnsi="Arial" w:cs="Arial"/>
                <w:sz w:val="24"/>
                <w:szCs w:val="24"/>
                <w:lang w:val="en-GB"/>
              </w:rPr>
              <w:tab/>
            </w:r>
            <w:r w:rsidR="00057BDC">
              <w:rPr>
                <w:rFonts w:ascii="Arial" w:eastAsia="Times New Roman" w:hAnsi="Arial" w:cs="Arial"/>
                <w:sz w:val="24"/>
                <w:szCs w:val="24"/>
                <w:lang w:val="en-GB"/>
              </w:rPr>
              <w:t>This</w:t>
            </w:r>
            <w:r>
              <w:rPr>
                <w:rFonts w:ascii="Arial" w:eastAsia="Times New Roman" w:hAnsi="Arial" w:cs="Arial"/>
                <w:sz w:val="24"/>
                <w:szCs w:val="24"/>
                <w:lang w:val="en-GB"/>
              </w:rPr>
              <w:t xml:space="preserve"> is an automatic review </w:t>
            </w:r>
            <w:r w:rsidR="00057BDC">
              <w:rPr>
                <w:rFonts w:ascii="Arial" w:eastAsia="Times New Roman" w:hAnsi="Arial" w:cs="Arial"/>
                <w:sz w:val="24"/>
                <w:szCs w:val="24"/>
                <w:lang w:val="en-GB"/>
              </w:rPr>
              <w:t xml:space="preserve">matter </w:t>
            </w:r>
            <w:r>
              <w:rPr>
                <w:rFonts w:ascii="Arial" w:eastAsia="Times New Roman" w:hAnsi="Arial" w:cs="Arial"/>
                <w:sz w:val="24"/>
                <w:szCs w:val="24"/>
                <w:lang w:val="en-GB"/>
              </w:rPr>
              <w:t>from the Magistrate’s Court in terms of s 302 of the Criminal Procedure Act 51 of 1977 as amended.</w:t>
            </w:r>
          </w:p>
          <w:p w:rsidR="002B3F79" w:rsidRPr="004655EC" w:rsidRDefault="002B3F79" w:rsidP="00715AD4">
            <w:pPr>
              <w:tabs>
                <w:tab w:val="left" w:pos="720"/>
                <w:tab w:val="left" w:pos="2268"/>
              </w:tabs>
              <w:spacing w:after="0" w:line="360" w:lineRule="auto"/>
              <w:jc w:val="both"/>
              <w:rPr>
                <w:rFonts w:ascii="Arial" w:eastAsia="Times New Roman" w:hAnsi="Arial" w:cs="Arial"/>
                <w:lang w:val="en-GB"/>
              </w:rPr>
            </w:pPr>
          </w:p>
          <w:p w:rsidR="002B3F79" w:rsidRDefault="002B3F79" w:rsidP="00715AD4">
            <w:pPr>
              <w:tabs>
                <w:tab w:val="left" w:pos="720"/>
                <w:tab w:val="left" w:pos="2268"/>
              </w:tabs>
              <w:spacing w:after="0" w:line="360" w:lineRule="auto"/>
              <w:jc w:val="both"/>
              <w:rPr>
                <w:rFonts w:ascii="Arial" w:eastAsia="Times New Roman" w:hAnsi="Arial" w:cs="Arial"/>
                <w:sz w:val="24"/>
                <w:szCs w:val="24"/>
                <w:lang w:val="en-GB"/>
              </w:rPr>
            </w:pPr>
            <w:r w:rsidRPr="004655EC">
              <w:rPr>
                <w:rFonts w:ascii="Arial" w:eastAsia="Times New Roman" w:hAnsi="Arial" w:cs="Arial"/>
                <w:sz w:val="24"/>
                <w:szCs w:val="24"/>
                <w:lang w:val="en-GB"/>
              </w:rPr>
              <w:t>[2]</w:t>
            </w:r>
            <w:r w:rsidRPr="004655EC">
              <w:rPr>
                <w:rFonts w:ascii="Arial" w:eastAsia="Times New Roman" w:hAnsi="Arial" w:cs="Arial"/>
                <w:sz w:val="24"/>
                <w:szCs w:val="24"/>
                <w:lang w:val="en-GB"/>
              </w:rPr>
              <w:tab/>
            </w:r>
            <w:r>
              <w:rPr>
                <w:rFonts w:ascii="Arial" w:eastAsia="Times New Roman" w:hAnsi="Arial" w:cs="Arial"/>
                <w:sz w:val="24"/>
                <w:szCs w:val="24"/>
                <w:lang w:val="en-GB"/>
              </w:rPr>
              <w:t>The accused was charged with assault with intent to do grievous bodily harm read with the provisio</w:t>
            </w:r>
            <w:r w:rsidR="00983A65">
              <w:rPr>
                <w:rFonts w:ascii="Arial" w:eastAsia="Times New Roman" w:hAnsi="Arial" w:cs="Arial"/>
                <w:sz w:val="24"/>
                <w:szCs w:val="24"/>
                <w:lang w:val="en-GB"/>
              </w:rPr>
              <w:t>ns of the Domestic Violence Act</w:t>
            </w:r>
            <w:r>
              <w:rPr>
                <w:rFonts w:ascii="Arial" w:eastAsia="Times New Roman" w:hAnsi="Arial" w:cs="Arial"/>
                <w:sz w:val="24"/>
                <w:szCs w:val="24"/>
                <w:lang w:val="en-GB"/>
              </w:rPr>
              <w:t xml:space="preserve"> Act 4 of 2003. He was convicted and subsequently sentenced to </w:t>
            </w:r>
            <w:r w:rsidR="00983A65">
              <w:rPr>
                <w:rFonts w:ascii="Arial" w:eastAsia="Times New Roman" w:hAnsi="Arial" w:cs="Arial"/>
                <w:sz w:val="24"/>
                <w:szCs w:val="24"/>
                <w:lang w:val="en-GB"/>
              </w:rPr>
              <w:t>a fine of N$</w:t>
            </w:r>
            <w:r w:rsidR="00057BDC">
              <w:rPr>
                <w:rFonts w:ascii="Arial" w:eastAsia="Times New Roman" w:hAnsi="Arial" w:cs="Arial"/>
                <w:sz w:val="24"/>
                <w:szCs w:val="24"/>
                <w:lang w:val="en-GB"/>
              </w:rPr>
              <w:t>1500 or 6 months’ imprisonment on 13</w:t>
            </w:r>
            <w:r>
              <w:rPr>
                <w:rFonts w:ascii="Arial" w:eastAsia="Times New Roman" w:hAnsi="Arial" w:cs="Arial"/>
                <w:sz w:val="24"/>
                <w:szCs w:val="24"/>
                <w:lang w:val="en-GB"/>
              </w:rPr>
              <w:t xml:space="preserve"> January 2023.</w:t>
            </w:r>
          </w:p>
          <w:p w:rsidR="002B3F79" w:rsidRDefault="002B3F79" w:rsidP="00715AD4">
            <w:pPr>
              <w:tabs>
                <w:tab w:val="left" w:pos="720"/>
                <w:tab w:val="left" w:pos="2268"/>
              </w:tabs>
              <w:spacing w:after="0" w:line="360" w:lineRule="auto"/>
              <w:jc w:val="both"/>
              <w:rPr>
                <w:rFonts w:ascii="Arial" w:eastAsia="Times New Roman" w:hAnsi="Arial" w:cs="Arial"/>
                <w:sz w:val="24"/>
                <w:szCs w:val="24"/>
                <w:lang w:val="en-GB"/>
              </w:rPr>
            </w:pPr>
          </w:p>
          <w:p w:rsidR="002B3F79" w:rsidRDefault="002B3F79" w:rsidP="00715AD4">
            <w:pPr>
              <w:tabs>
                <w:tab w:val="left" w:pos="720"/>
                <w:tab w:val="left" w:pos="2268"/>
              </w:tabs>
              <w:spacing w:after="0" w:line="360" w:lineRule="auto"/>
              <w:jc w:val="both"/>
              <w:rPr>
                <w:rFonts w:ascii="Arial" w:eastAsia="Times New Roman" w:hAnsi="Arial" w:cs="Arial"/>
                <w:sz w:val="24"/>
                <w:szCs w:val="24"/>
                <w:lang w:val="en-GB"/>
              </w:rPr>
            </w:pPr>
            <w:r w:rsidRPr="004655EC">
              <w:rPr>
                <w:rFonts w:ascii="Arial" w:eastAsia="Times New Roman" w:hAnsi="Arial" w:cs="Arial"/>
                <w:sz w:val="24"/>
                <w:szCs w:val="24"/>
                <w:lang w:val="en-GB"/>
              </w:rPr>
              <w:t>[</w:t>
            </w:r>
            <w:r>
              <w:rPr>
                <w:rFonts w:ascii="Arial" w:eastAsia="Times New Roman" w:hAnsi="Arial" w:cs="Arial"/>
                <w:sz w:val="24"/>
                <w:szCs w:val="24"/>
                <w:lang w:val="en-GB"/>
              </w:rPr>
              <w:t>3</w:t>
            </w:r>
            <w:r w:rsidRPr="004655EC">
              <w:rPr>
                <w:rFonts w:ascii="Arial" w:eastAsia="Times New Roman" w:hAnsi="Arial" w:cs="Arial"/>
                <w:sz w:val="24"/>
                <w:szCs w:val="24"/>
                <w:lang w:val="en-GB"/>
              </w:rPr>
              <w:t>]</w:t>
            </w:r>
            <w:r w:rsidRPr="004655EC">
              <w:rPr>
                <w:rFonts w:ascii="Arial" w:eastAsia="Times New Roman" w:hAnsi="Arial" w:cs="Arial"/>
                <w:sz w:val="24"/>
                <w:szCs w:val="24"/>
                <w:lang w:val="en-GB"/>
              </w:rPr>
              <w:tab/>
            </w:r>
            <w:r>
              <w:rPr>
                <w:rFonts w:ascii="Arial" w:eastAsia="Times New Roman" w:hAnsi="Arial" w:cs="Arial"/>
                <w:sz w:val="24"/>
                <w:szCs w:val="24"/>
                <w:lang w:val="en-GB"/>
              </w:rPr>
              <w:t xml:space="preserve"> </w:t>
            </w:r>
            <w:r w:rsidR="00057BDC">
              <w:rPr>
                <w:rFonts w:ascii="Arial" w:eastAsia="Times New Roman" w:hAnsi="Arial" w:cs="Arial"/>
                <w:sz w:val="24"/>
                <w:szCs w:val="24"/>
                <w:lang w:val="en-GB"/>
              </w:rPr>
              <w:t>On</w:t>
            </w:r>
            <w:r>
              <w:rPr>
                <w:rFonts w:ascii="Arial" w:eastAsia="Times New Roman" w:hAnsi="Arial" w:cs="Arial"/>
                <w:sz w:val="24"/>
                <w:szCs w:val="24"/>
                <w:lang w:val="en-GB"/>
              </w:rPr>
              <w:t xml:space="preserve"> review, the following query was directed to the learned magistrate:</w:t>
            </w:r>
          </w:p>
          <w:p w:rsidR="002B3F79" w:rsidRDefault="002B3F79" w:rsidP="00715AD4">
            <w:pPr>
              <w:tabs>
                <w:tab w:val="left" w:pos="720"/>
                <w:tab w:val="left" w:pos="2268"/>
              </w:tabs>
              <w:spacing w:after="0" w:line="360" w:lineRule="auto"/>
              <w:jc w:val="both"/>
              <w:rPr>
                <w:rFonts w:ascii="Arial" w:eastAsia="Times New Roman" w:hAnsi="Arial" w:cs="Arial"/>
                <w:sz w:val="24"/>
                <w:szCs w:val="24"/>
                <w:lang w:val="en-GB"/>
              </w:rPr>
            </w:pPr>
          </w:p>
          <w:p w:rsidR="00057BDC" w:rsidRDefault="002B3F79" w:rsidP="00715AD4">
            <w:pPr>
              <w:tabs>
                <w:tab w:val="left" w:pos="720"/>
                <w:tab w:val="left" w:pos="2268"/>
              </w:tabs>
              <w:spacing w:after="0" w:line="360" w:lineRule="auto"/>
              <w:jc w:val="both"/>
              <w:rPr>
                <w:rFonts w:ascii="Arial" w:eastAsia="Times New Roman" w:hAnsi="Arial" w:cs="Arial"/>
                <w:lang w:val="en-GB"/>
              </w:rPr>
            </w:pPr>
            <w:r w:rsidRPr="00772687">
              <w:rPr>
                <w:rFonts w:ascii="Arial" w:eastAsia="Times New Roman" w:hAnsi="Arial" w:cs="Arial"/>
                <w:lang w:val="en-GB"/>
              </w:rPr>
              <w:t>‘</w:t>
            </w:r>
            <w:r w:rsidR="00057BDC">
              <w:rPr>
                <w:rFonts w:ascii="Arial" w:eastAsia="Times New Roman" w:hAnsi="Arial" w:cs="Arial"/>
                <w:lang w:val="en-GB"/>
              </w:rPr>
              <w:t xml:space="preserve">Accused was charged with the offence of assault with intent to do grievous bodily harm and not causing injury to the complainant. </w:t>
            </w:r>
            <w:r>
              <w:rPr>
                <w:rFonts w:ascii="Arial" w:eastAsia="Times New Roman" w:hAnsi="Arial" w:cs="Arial"/>
                <w:lang w:val="en-GB"/>
              </w:rPr>
              <w:t xml:space="preserve">How did the learned magistrate satisfy herself that the accused </w:t>
            </w:r>
            <w:r w:rsidR="00057BDC">
              <w:rPr>
                <w:rFonts w:ascii="Arial" w:eastAsia="Times New Roman" w:hAnsi="Arial" w:cs="Arial"/>
                <w:lang w:val="en-GB"/>
              </w:rPr>
              <w:t>admitted all the elements of the offence if no question of his intention was asked? Explanation was also requested why it took 7 (seven) months to send the record on review.</w:t>
            </w:r>
          </w:p>
          <w:p w:rsidR="002B3F79" w:rsidRDefault="002B3F79" w:rsidP="00715AD4">
            <w:pPr>
              <w:tabs>
                <w:tab w:val="left" w:pos="720"/>
                <w:tab w:val="left" w:pos="2268"/>
              </w:tabs>
              <w:spacing w:after="0" w:line="360" w:lineRule="auto"/>
              <w:jc w:val="both"/>
              <w:rPr>
                <w:rFonts w:ascii="Arial" w:eastAsia="Times New Roman" w:hAnsi="Arial" w:cs="Arial"/>
                <w:sz w:val="24"/>
                <w:szCs w:val="24"/>
                <w:lang w:val="en-GB"/>
              </w:rPr>
            </w:pPr>
          </w:p>
          <w:p w:rsidR="002B3F79" w:rsidRDefault="002B3F79" w:rsidP="00715AD4">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[4</w:t>
            </w:r>
            <w:r w:rsidRPr="004655EC">
              <w:rPr>
                <w:rFonts w:ascii="Arial" w:eastAsia="Times New Roman" w:hAnsi="Arial" w:cs="Arial"/>
                <w:sz w:val="24"/>
                <w:szCs w:val="24"/>
                <w:lang w:val="en-GB"/>
              </w:rPr>
              <w:t>]</w:t>
            </w:r>
            <w:r w:rsidRPr="004655EC">
              <w:rPr>
                <w:rFonts w:ascii="Arial" w:eastAsia="Times New Roman" w:hAnsi="Arial" w:cs="Arial"/>
                <w:sz w:val="24"/>
                <w:szCs w:val="24"/>
                <w:lang w:val="en-GB"/>
              </w:rPr>
              <w:tab/>
            </w:r>
            <w:r>
              <w:rPr>
                <w:rFonts w:ascii="Arial" w:eastAsia="Times New Roman" w:hAnsi="Arial" w:cs="Arial"/>
                <w:sz w:val="24"/>
                <w:szCs w:val="24"/>
                <w:lang w:val="en-GB"/>
              </w:rPr>
              <w:t>The learned magistrate responded as follows:</w:t>
            </w:r>
          </w:p>
          <w:p w:rsidR="002B3F79" w:rsidRDefault="002B3F79" w:rsidP="00715AD4">
            <w:pPr>
              <w:tabs>
                <w:tab w:val="left" w:pos="720"/>
                <w:tab w:val="left" w:pos="2268"/>
              </w:tabs>
              <w:spacing w:after="0" w:line="360" w:lineRule="auto"/>
              <w:jc w:val="both"/>
              <w:rPr>
                <w:rFonts w:ascii="Arial" w:eastAsia="Times New Roman" w:hAnsi="Arial" w:cs="Arial"/>
                <w:sz w:val="24"/>
                <w:szCs w:val="24"/>
                <w:lang w:val="en-GB"/>
              </w:rPr>
            </w:pPr>
          </w:p>
          <w:p w:rsidR="00BF6146" w:rsidRDefault="002B3F79" w:rsidP="00715AD4">
            <w:pPr>
              <w:tabs>
                <w:tab w:val="left" w:pos="720"/>
                <w:tab w:val="left" w:pos="2268"/>
              </w:tabs>
              <w:spacing w:after="0" w:line="360" w:lineRule="auto"/>
              <w:jc w:val="both"/>
              <w:rPr>
                <w:rFonts w:ascii="Arial" w:eastAsia="Times New Roman" w:hAnsi="Arial" w:cs="Arial"/>
                <w:lang w:val="en-GB"/>
              </w:rPr>
            </w:pPr>
            <w:r w:rsidRPr="00112739">
              <w:rPr>
                <w:rFonts w:ascii="Arial" w:eastAsia="Times New Roman" w:hAnsi="Arial" w:cs="Arial"/>
                <w:lang w:val="en-GB"/>
              </w:rPr>
              <w:t>‘</w:t>
            </w:r>
            <w:r w:rsidR="00057BDC">
              <w:rPr>
                <w:rFonts w:ascii="Arial" w:eastAsia="Times New Roman" w:hAnsi="Arial" w:cs="Arial"/>
                <w:lang w:val="en-GB"/>
              </w:rPr>
              <w:t>Although the intention was not asked, to direct a panga to the victim is obvious to cause grievous bodily harm, hence pangas falls under dangerous weapon and did inflicted injuries. The case was not submitted within 7 days as required, our office did not had admins to type our records.</w:t>
            </w:r>
            <w:r w:rsidR="00BF6146">
              <w:rPr>
                <w:rFonts w:ascii="Arial" w:eastAsia="Times New Roman" w:hAnsi="Arial" w:cs="Arial"/>
                <w:lang w:val="en-GB"/>
              </w:rPr>
              <w:t>’</w:t>
            </w:r>
          </w:p>
          <w:p w:rsidR="002B3F79" w:rsidRDefault="002B3F79" w:rsidP="00715AD4">
            <w:pPr>
              <w:tabs>
                <w:tab w:val="left" w:pos="720"/>
                <w:tab w:val="left" w:pos="2268"/>
              </w:tabs>
              <w:spacing w:after="0" w:line="360" w:lineRule="auto"/>
              <w:jc w:val="both"/>
              <w:rPr>
                <w:rFonts w:ascii="Arial" w:eastAsia="Times New Roman" w:hAnsi="Arial" w:cs="Arial"/>
                <w:lang w:val="en-GB"/>
              </w:rPr>
            </w:pPr>
          </w:p>
          <w:p w:rsidR="002B3F79" w:rsidRDefault="002B3F79" w:rsidP="00715AD4">
            <w:pPr>
              <w:tabs>
                <w:tab w:val="left" w:pos="701"/>
                <w:tab w:val="left" w:pos="2268"/>
              </w:tabs>
              <w:spacing w:after="0" w:line="360" w:lineRule="auto"/>
              <w:jc w:val="both"/>
              <w:rPr>
                <w:rFonts w:ascii="Arial" w:hAnsi="Arial" w:cs="Arial"/>
                <w:sz w:val="24"/>
              </w:rPr>
            </w:pPr>
            <w:r>
              <w:rPr>
                <w:rFonts w:ascii="Arial" w:eastAsia="Times New Roman" w:hAnsi="Arial" w:cs="Arial"/>
                <w:lang w:val="en-GB"/>
              </w:rPr>
              <w:t xml:space="preserve">[5]    </w:t>
            </w:r>
            <w:r>
              <w:rPr>
                <w:rFonts w:ascii="Arial" w:hAnsi="Arial" w:cs="Arial"/>
                <w:sz w:val="24"/>
              </w:rPr>
              <w:t>Accused pleaded guilty to the charge and thereafter the court proceeded questioning accused in terms of s 112 (1)</w:t>
            </w:r>
            <w:r w:rsidRPr="008B757F">
              <w:rPr>
                <w:rFonts w:ascii="Arial" w:hAnsi="Arial" w:cs="Arial"/>
                <w:i/>
                <w:sz w:val="24"/>
              </w:rPr>
              <w:t xml:space="preserve"> </w:t>
            </w:r>
            <w:r>
              <w:rPr>
                <w:rFonts w:ascii="Arial" w:hAnsi="Arial" w:cs="Arial"/>
                <w:i/>
                <w:sz w:val="24"/>
              </w:rPr>
              <w:t>(</w:t>
            </w:r>
            <w:r w:rsidRPr="008B757F">
              <w:rPr>
                <w:rFonts w:ascii="Arial" w:hAnsi="Arial" w:cs="Arial"/>
                <w:i/>
                <w:sz w:val="24"/>
              </w:rPr>
              <w:t>b</w:t>
            </w:r>
            <w:r>
              <w:rPr>
                <w:rFonts w:ascii="Arial" w:hAnsi="Arial" w:cs="Arial"/>
                <w:i/>
                <w:sz w:val="24"/>
              </w:rPr>
              <w:t>)</w:t>
            </w:r>
            <w:r>
              <w:rPr>
                <w:rFonts w:ascii="Arial" w:hAnsi="Arial" w:cs="Arial"/>
                <w:sz w:val="24"/>
              </w:rPr>
              <w:t xml:space="preserve"> of Act 51 of 1977 as amended.</w:t>
            </w:r>
            <w:r w:rsidRPr="00915959">
              <w:rPr>
                <w:rFonts w:ascii="Arial" w:hAnsi="Arial" w:cs="Arial"/>
                <w:sz w:val="24"/>
              </w:rPr>
              <w:t xml:space="preserve"> </w:t>
            </w:r>
            <w:r>
              <w:rPr>
                <w:rFonts w:ascii="Arial" w:hAnsi="Arial" w:cs="Arial"/>
                <w:sz w:val="24"/>
              </w:rPr>
              <w:t>During t</w:t>
            </w:r>
            <w:r w:rsidRPr="00915959">
              <w:rPr>
                <w:rFonts w:ascii="Arial" w:hAnsi="Arial" w:cs="Arial"/>
                <w:sz w:val="24"/>
              </w:rPr>
              <w:t>he questioning</w:t>
            </w:r>
            <w:r>
              <w:rPr>
                <w:rFonts w:ascii="Arial" w:hAnsi="Arial" w:cs="Arial"/>
                <w:sz w:val="24"/>
              </w:rPr>
              <w:t xml:space="preserve"> </w:t>
            </w:r>
            <w:r w:rsidR="006A5FFB">
              <w:rPr>
                <w:rFonts w:ascii="Arial" w:hAnsi="Arial" w:cs="Arial"/>
                <w:sz w:val="24"/>
              </w:rPr>
              <w:t>of the accused</w:t>
            </w:r>
            <w:r>
              <w:rPr>
                <w:rFonts w:ascii="Arial" w:hAnsi="Arial" w:cs="Arial"/>
                <w:sz w:val="24"/>
              </w:rPr>
              <w:t>, the magistrate did not establish</w:t>
            </w:r>
            <w:r w:rsidRPr="00915959">
              <w:rPr>
                <w:rFonts w:ascii="Arial" w:hAnsi="Arial" w:cs="Arial"/>
                <w:sz w:val="24"/>
              </w:rPr>
              <w:t xml:space="preserve"> accused</w:t>
            </w:r>
            <w:r>
              <w:rPr>
                <w:rFonts w:ascii="Arial" w:hAnsi="Arial" w:cs="Arial"/>
                <w:sz w:val="24"/>
              </w:rPr>
              <w:t>’s intent to do grievous bodily harm, since the s</w:t>
            </w:r>
            <w:r w:rsidRPr="00915959">
              <w:rPr>
                <w:rFonts w:ascii="Arial" w:hAnsi="Arial" w:cs="Arial"/>
                <w:sz w:val="24"/>
              </w:rPr>
              <w:t>tate alleges that the accused’s</w:t>
            </w:r>
            <w:r>
              <w:rPr>
                <w:rFonts w:ascii="Arial" w:hAnsi="Arial" w:cs="Arial"/>
                <w:sz w:val="24"/>
              </w:rPr>
              <w:t xml:space="preserve"> intention was to do grievous bodily harm.</w:t>
            </w:r>
            <w:r w:rsidRPr="00915959">
              <w:rPr>
                <w:rFonts w:ascii="Arial" w:hAnsi="Arial" w:cs="Arial"/>
                <w:sz w:val="24"/>
              </w:rPr>
              <w:t xml:space="preserve"> Thi</w:t>
            </w:r>
            <w:r w:rsidR="006A5FFB">
              <w:rPr>
                <w:rFonts w:ascii="Arial" w:hAnsi="Arial" w:cs="Arial"/>
                <w:sz w:val="24"/>
              </w:rPr>
              <w:t>s is an essential element which</w:t>
            </w:r>
            <w:r w:rsidRPr="00915959">
              <w:rPr>
                <w:rFonts w:ascii="Arial" w:hAnsi="Arial" w:cs="Arial"/>
                <w:sz w:val="24"/>
              </w:rPr>
              <w:t xml:space="preserve"> was not co</w:t>
            </w:r>
            <w:r>
              <w:rPr>
                <w:rFonts w:ascii="Arial" w:hAnsi="Arial" w:cs="Arial"/>
                <w:sz w:val="24"/>
              </w:rPr>
              <w:t>vered in</w:t>
            </w:r>
            <w:r w:rsidRPr="00915959">
              <w:rPr>
                <w:rFonts w:ascii="Arial" w:hAnsi="Arial" w:cs="Arial"/>
                <w:sz w:val="24"/>
              </w:rPr>
              <w:t xml:space="preserve"> the magistrate’s questioning. Although the accused had admitted</w:t>
            </w:r>
            <w:r>
              <w:rPr>
                <w:rFonts w:ascii="Arial" w:hAnsi="Arial" w:cs="Arial"/>
                <w:sz w:val="24"/>
              </w:rPr>
              <w:t xml:space="preserve"> assaulting the victim, he never stated that it was his</w:t>
            </w:r>
            <w:r w:rsidRPr="00915959">
              <w:rPr>
                <w:rFonts w:ascii="Arial" w:hAnsi="Arial" w:cs="Arial"/>
                <w:sz w:val="24"/>
              </w:rPr>
              <w:t xml:space="preserve"> intention to </w:t>
            </w:r>
            <w:r>
              <w:rPr>
                <w:rFonts w:ascii="Arial" w:hAnsi="Arial" w:cs="Arial"/>
                <w:sz w:val="24"/>
              </w:rPr>
              <w:t>do grievous bodily harm.</w:t>
            </w:r>
            <w:r w:rsidR="006A5FFB">
              <w:rPr>
                <w:rFonts w:ascii="Arial" w:hAnsi="Arial" w:cs="Arial"/>
                <w:sz w:val="24"/>
              </w:rPr>
              <w:t xml:space="preserve"> Thus for the magistrate to state that to direct a panga to the victim is </w:t>
            </w:r>
            <w:r w:rsidR="006A5FFB">
              <w:rPr>
                <w:rFonts w:ascii="Arial" w:hAnsi="Arial" w:cs="Arial"/>
                <w:sz w:val="24"/>
              </w:rPr>
              <w:lastRenderedPageBreak/>
              <w:t>obvious was to cause grievous bodily harm as the panga falls under dangerous weapon is not the correct reflection or interpretation of the law.</w:t>
            </w:r>
          </w:p>
          <w:p w:rsidR="00F63354" w:rsidRDefault="00F63354" w:rsidP="00715AD4">
            <w:pPr>
              <w:tabs>
                <w:tab w:val="left" w:pos="701"/>
                <w:tab w:val="left" w:pos="2268"/>
              </w:tabs>
              <w:spacing w:after="0" w:line="360" w:lineRule="auto"/>
              <w:jc w:val="both"/>
              <w:rPr>
                <w:rFonts w:ascii="Arial" w:hAnsi="Arial" w:cs="Arial"/>
                <w:sz w:val="24"/>
              </w:rPr>
            </w:pPr>
          </w:p>
          <w:p w:rsidR="00F63354" w:rsidRPr="00F63354" w:rsidRDefault="00B94148" w:rsidP="00EA79E3">
            <w:pPr>
              <w:spacing w:after="0" w:line="360" w:lineRule="auto"/>
              <w:jc w:val="both"/>
              <w:rPr>
                <w:rFonts w:ascii="Arial" w:eastAsiaTheme="minorHAnsi" w:hAnsi="Arial" w:cs="Arial"/>
                <w:sz w:val="24"/>
                <w:szCs w:val="24"/>
                <w:lang w:val="en-US"/>
              </w:rPr>
            </w:pPr>
            <w:r>
              <w:rPr>
                <w:rFonts w:ascii="Arial" w:eastAsiaTheme="minorHAnsi" w:hAnsi="Arial" w:cs="Arial"/>
              </w:rPr>
              <w:t>[6</w:t>
            </w:r>
            <w:r w:rsidR="00F63354" w:rsidRPr="00F63354">
              <w:rPr>
                <w:rFonts w:ascii="Arial" w:eastAsiaTheme="minorHAnsi" w:hAnsi="Arial" w:cs="Arial"/>
              </w:rPr>
              <w:t>]</w:t>
            </w:r>
            <w:r w:rsidR="00F63354" w:rsidRPr="00F63354">
              <w:rPr>
                <w:rFonts w:ascii="Arial" w:eastAsiaTheme="minorHAnsi" w:hAnsi="Arial" w:cs="Arial"/>
              </w:rPr>
              <w:tab/>
            </w:r>
            <w:r w:rsidR="00F63354" w:rsidRPr="00F63354">
              <w:rPr>
                <w:rFonts w:ascii="Arial" w:eastAsiaTheme="minorHAnsi" w:hAnsi="Arial" w:cs="Arial"/>
                <w:sz w:val="24"/>
                <w:szCs w:val="24"/>
                <w:lang w:val="en-US"/>
              </w:rPr>
              <w:t xml:space="preserve"> The issue to be determined by this court is whether all the elements of the offence h</w:t>
            </w:r>
            <w:r w:rsidR="00C6264C">
              <w:rPr>
                <w:rFonts w:ascii="Arial" w:eastAsiaTheme="minorHAnsi" w:hAnsi="Arial" w:cs="Arial"/>
                <w:sz w:val="24"/>
                <w:szCs w:val="24"/>
                <w:lang w:val="en-US"/>
              </w:rPr>
              <w:t>ad been admitted by the accused sufficiently, for the</w:t>
            </w:r>
            <w:r w:rsidR="00F63354" w:rsidRPr="00F63354">
              <w:rPr>
                <w:rFonts w:ascii="Arial" w:eastAsiaTheme="minorHAnsi" w:hAnsi="Arial" w:cs="Arial"/>
                <w:sz w:val="24"/>
                <w:szCs w:val="24"/>
                <w:lang w:val="en-US"/>
              </w:rPr>
              <w:t xml:space="preserve"> magistrate to find that the offence has been proven beyond reasonable doubt and return a guilty verdict the</w:t>
            </w:r>
            <w:r w:rsidR="00C6264C">
              <w:rPr>
                <w:rFonts w:ascii="Arial" w:eastAsiaTheme="minorHAnsi" w:hAnsi="Arial" w:cs="Arial"/>
                <w:sz w:val="24"/>
                <w:szCs w:val="24"/>
                <w:lang w:val="en-US"/>
              </w:rPr>
              <w:t>reon.</w:t>
            </w:r>
          </w:p>
          <w:p w:rsidR="00F63354" w:rsidRPr="00F63354" w:rsidRDefault="00F63354" w:rsidP="00EA79E3">
            <w:pPr>
              <w:spacing w:after="0" w:line="360" w:lineRule="auto"/>
              <w:jc w:val="both"/>
              <w:rPr>
                <w:rFonts w:ascii="Arial" w:eastAsiaTheme="minorHAnsi" w:hAnsi="Arial" w:cs="Arial"/>
                <w:sz w:val="24"/>
                <w:szCs w:val="24"/>
              </w:rPr>
            </w:pPr>
          </w:p>
          <w:p w:rsidR="00F63354" w:rsidRPr="00F63354" w:rsidRDefault="00B94148" w:rsidP="00C46C52">
            <w:pPr>
              <w:spacing w:after="0" w:line="360" w:lineRule="auto"/>
              <w:jc w:val="both"/>
              <w:rPr>
                <w:rFonts w:ascii="Arial" w:eastAsiaTheme="minorHAnsi" w:hAnsi="Arial" w:cs="Arial"/>
                <w:i/>
              </w:rPr>
            </w:pPr>
            <w:r>
              <w:rPr>
                <w:rFonts w:ascii="Arial" w:eastAsiaTheme="minorHAnsi" w:hAnsi="Arial" w:cs="Arial"/>
                <w:sz w:val="24"/>
                <w:szCs w:val="24"/>
              </w:rPr>
              <w:t>[7</w:t>
            </w:r>
            <w:r w:rsidR="00F63354" w:rsidRPr="00F63354">
              <w:rPr>
                <w:rFonts w:ascii="Arial" w:eastAsiaTheme="minorHAnsi" w:hAnsi="Arial" w:cs="Arial"/>
                <w:sz w:val="24"/>
                <w:szCs w:val="24"/>
              </w:rPr>
              <w:t>]     Liebenberg J stated the following</w:t>
            </w:r>
            <w:r w:rsidR="00F63354" w:rsidRPr="00F63354">
              <w:rPr>
                <w:rFonts w:ascii="Arial" w:eastAsiaTheme="minorHAnsi" w:hAnsi="Arial" w:cs="Arial"/>
              </w:rPr>
              <w:t xml:space="preserve"> in </w:t>
            </w:r>
            <w:r w:rsidR="00F63354" w:rsidRPr="00F63354">
              <w:rPr>
                <w:rFonts w:ascii="Arial" w:eastAsiaTheme="minorHAnsi" w:hAnsi="Arial" w:cs="Arial"/>
                <w:i/>
              </w:rPr>
              <w:t xml:space="preserve">S v Pretorius </w:t>
            </w:r>
            <w:r w:rsidR="00F63354" w:rsidRPr="00F63354">
              <w:rPr>
                <w:rFonts w:ascii="Arial" w:eastAsiaTheme="minorHAnsi" w:hAnsi="Arial" w:cs="Arial"/>
                <w:vertAlign w:val="superscript"/>
              </w:rPr>
              <w:footnoteReference w:id="1"/>
            </w:r>
          </w:p>
          <w:p w:rsidR="00F63354" w:rsidRPr="00F63354" w:rsidRDefault="00F63354" w:rsidP="00C46C52">
            <w:pPr>
              <w:spacing w:after="0" w:line="360" w:lineRule="auto"/>
              <w:ind w:left="720"/>
              <w:contextualSpacing/>
              <w:jc w:val="both"/>
              <w:rPr>
                <w:rFonts w:ascii="Arial" w:hAnsi="Arial" w:cs="Arial"/>
                <w:lang w:val="en-US"/>
              </w:rPr>
            </w:pPr>
          </w:p>
          <w:p w:rsidR="00F63354" w:rsidRPr="00F63354" w:rsidRDefault="00F63354" w:rsidP="00C46C52">
            <w:pPr>
              <w:spacing w:after="0" w:line="360" w:lineRule="auto"/>
              <w:contextualSpacing/>
              <w:jc w:val="both"/>
              <w:rPr>
                <w:rFonts w:ascii="Arial" w:hAnsi="Arial" w:cs="Arial"/>
                <w:vertAlign w:val="superscript"/>
              </w:rPr>
            </w:pPr>
            <w:r w:rsidRPr="00F63354">
              <w:rPr>
                <w:rFonts w:ascii="Arial" w:hAnsi="Arial" w:cs="Arial"/>
                <w:lang w:val="en-US"/>
              </w:rPr>
              <w:t xml:space="preserve">‘It is trite that when an accused pleads guilty to a charge, a court is under a duty to satisfy itself that the accused admits the definitional elements of an offence. The invoking of </w:t>
            </w:r>
            <w:r w:rsidRPr="00F63354">
              <w:rPr>
                <w:rFonts w:ascii="Arial" w:eastAsiaTheme="minorHAnsi" w:hAnsi="Arial" w:cs="Arial"/>
              </w:rPr>
              <w:t>s 112 (1) (</w:t>
            </w:r>
            <w:r w:rsidRPr="00F63354">
              <w:rPr>
                <w:rFonts w:ascii="Arial" w:eastAsiaTheme="minorHAnsi" w:hAnsi="Arial" w:cs="Arial"/>
                <w:i/>
              </w:rPr>
              <w:t>b</w:t>
            </w:r>
            <w:r w:rsidRPr="00F63354">
              <w:rPr>
                <w:rFonts w:ascii="Arial" w:eastAsiaTheme="minorHAnsi" w:hAnsi="Arial" w:cs="Arial"/>
              </w:rPr>
              <w:t>) of the CPA, following a plea of guilty, acts as a safeguard against the result of an unjustified plea of guilty. The accused’s answers must establish an explicit plea of guilty. Moreover, where a court finds any doubt in the answers that an accused gives during s 112 (1) (b) questioning, a plea of not guilty should be entered. It should further be noted that during this stage of proceedings the court cannot evaluate, decide the truthfulness of, or draw inferences from the accused’s answers. The court is duty bound to enter a plea of not guilty where the accused’s answers suggest a possible defence.</w:t>
            </w:r>
            <w:r w:rsidRPr="00F63354">
              <w:rPr>
                <w:rFonts w:ascii="Arial" w:hAnsi="Arial" w:cs="Arial"/>
                <w:vertAlign w:val="superscript"/>
              </w:rPr>
              <w:t>’</w:t>
            </w:r>
          </w:p>
          <w:p w:rsidR="002B3F79" w:rsidRPr="004655EC" w:rsidRDefault="002B3F79" w:rsidP="00715AD4">
            <w:pPr>
              <w:tabs>
                <w:tab w:val="left" w:pos="720"/>
                <w:tab w:val="left" w:pos="2268"/>
              </w:tabs>
              <w:spacing w:after="0" w:line="360" w:lineRule="auto"/>
              <w:jc w:val="both"/>
              <w:rPr>
                <w:rFonts w:ascii="Arial" w:eastAsia="Times New Roman" w:hAnsi="Arial" w:cs="Arial"/>
                <w:sz w:val="24"/>
                <w:szCs w:val="24"/>
                <w:lang w:val="en-GB"/>
              </w:rPr>
            </w:pPr>
          </w:p>
          <w:p w:rsidR="002B3F79" w:rsidRDefault="00B94148" w:rsidP="00715AD4">
            <w:pPr>
              <w:tabs>
                <w:tab w:val="left" w:pos="720"/>
                <w:tab w:val="left" w:pos="2268"/>
              </w:tabs>
              <w:spacing w:after="0" w:line="360" w:lineRule="auto"/>
              <w:jc w:val="both"/>
              <w:rPr>
                <w:rFonts w:ascii="Arial" w:eastAsia="Times New Roman" w:hAnsi="Arial" w:cs="Arial"/>
                <w:sz w:val="24"/>
                <w:szCs w:val="24"/>
              </w:rPr>
            </w:pPr>
            <w:r>
              <w:rPr>
                <w:rFonts w:ascii="Arial" w:eastAsia="Times New Roman" w:hAnsi="Arial" w:cs="Arial"/>
                <w:sz w:val="24"/>
                <w:szCs w:val="24"/>
                <w:lang w:val="en-GB"/>
              </w:rPr>
              <w:t>[8</w:t>
            </w:r>
            <w:r w:rsidR="002B3F79" w:rsidRPr="004655EC">
              <w:rPr>
                <w:rFonts w:ascii="Arial" w:eastAsia="Times New Roman" w:hAnsi="Arial" w:cs="Arial"/>
                <w:sz w:val="24"/>
                <w:szCs w:val="24"/>
                <w:lang w:val="en-GB"/>
              </w:rPr>
              <w:t>]</w:t>
            </w:r>
            <w:r w:rsidR="002B3F79">
              <w:rPr>
                <w:rFonts w:ascii="Arial" w:eastAsia="Times New Roman" w:hAnsi="Arial" w:cs="Arial"/>
                <w:sz w:val="24"/>
                <w:szCs w:val="24"/>
                <w:lang w:val="en-GB"/>
              </w:rPr>
              <w:t xml:space="preserve">      </w:t>
            </w:r>
            <w:r w:rsidR="002B3F79" w:rsidRPr="00915959">
              <w:rPr>
                <w:rFonts w:ascii="Arial" w:eastAsia="Times New Roman" w:hAnsi="Arial" w:cs="Arial"/>
                <w:sz w:val="24"/>
                <w:szCs w:val="24"/>
              </w:rPr>
              <w:t>Section 112 (1) (</w:t>
            </w:r>
            <w:r w:rsidR="002B3F79" w:rsidRPr="001F50D4">
              <w:rPr>
                <w:rFonts w:ascii="Arial" w:eastAsia="Times New Roman" w:hAnsi="Arial" w:cs="Arial"/>
                <w:i/>
                <w:sz w:val="24"/>
                <w:szCs w:val="24"/>
              </w:rPr>
              <w:t>b</w:t>
            </w:r>
            <w:r w:rsidR="002B3F79" w:rsidRPr="00915959">
              <w:rPr>
                <w:rFonts w:ascii="Arial" w:eastAsia="Times New Roman" w:hAnsi="Arial" w:cs="Arial"/>
                <w:sz w:val="24"/>
                <w:szCs w:val="24"/>
              </w:rPr>
              <w:t xml:space="preserve">) of Act 51 of 1977 questioning has a twofold purpose, namely to establish the factual basis for the plea of guilty and to establish the legal basis for such plea. From the admissions, the court must conclude whether the legal requirements for the commission of the offence have been met. These include questions of unlawfulness, </w:t>
            </w:r>
            <w:r w:rsidR="002B3F79" w:rsidRPr="00915959">
              <w:rPr>
                <w:rFonts w:ascii="Arial" w:eastAsia="Times New Roman" w:hAnsi="Arial" w:cs="Arial"/>
                <w:i/>
                <w:sz w:val="24"/>
                <w:szCs w:val="24"/>
              </w:rPr>
              <w:t xml:space="preserve">actus reus </w:t>
            </w:r>
            <w:r w:rsidR="002B3F79" w:rsidRPr="00915959">
              <w:rPr>
                <w:rFonts w:ascii="Arial" w:eastAsia="Times New Roman" w:hAnsi="Arial" w:cs="Arial"/>
                <w:sz w:val="24"/>
                <w:szCs w:val="24"/>
              </w:rPr>
              <w:t xml:space="preserve">and </w:t>
            </w:r>
            <w:r w:rsidR="002B3F79" w:rsidRPr="00915959">
              <w:rPr>
                <w:rFonts w:ascii="Arial" w:eastAsia="Times New Roman" w:hAnsi="Arial" w:cs="Arial"/>
                <w:i/>
                <w:sz w:val="24"/>
                <w:szCs w:val="24"/>
              </w:rPr>
              <w:t xml:space="preserve">mens rea. </w:t>
            </w:r>
            <w:r w:rsidR="002B3F79" w:rsidRPr="00915959">
              <w:rPr>
                <w:rFonts w:ascii="Arial" w:eastAsia="Times New Roman" w:hAnsi="Arial" w:cs="Arial"/>
                <w:sz w:val="24"/>
                <w:szCs w:val="24"/>
              </w:rPr>
              <w:t>The court can only satisfy itself if all the admissions adequately cover all the elements of the offence.</w:t>
            </w:r>
            <w:r w:rsidR="002B3F79">
              <w:rPr>
                <w:rStyle w:val="FootnoteReference"/>
                <w:rFonts w:ascii="Arial" w:eastAsia="Times New Roman" w:hAnsi="Arial" w:cs="Arial"/>
                <w:sz w:val="24"/>
                <w:szCs w:val="24"/>
              </w:rPr>
              <w:footnoteReference w:id="2"/>
            </w:r>
          </w:p>
          <w:p w:rsidR="002B3F79" w:rsidRDefault="002B3F79" w:rsidP="00715AD4">
            <w:pPr>
              <w:tabs>
                <w:tab w:val="left" w:pos="720"/>
                <w:tab w:val="left" w:pos="2268"/>
              </w:tabs>
              <w:spacing w:after="0" w:line="360" w:lineRule="auto"/>
              <w:jc w:val="both"/>
              <w:rPr>
                <w:rFonts w:ascii="Arial" w:eastAsia="Times New Roman" w:hAnsi="Arial" w:cs="Arial"/>
                <w:sz w:val="24"/>
                <w:szCs w:val="24"/>
              </w:rPr>
            </w:pPr>
          </w:p>
          <w:p w:rsidR="002B3F79" w:rsidRDefault="00B94148" w:rsidP="00715AD4">
            <w:pPr>
              <w:tabs>
                <w:tab w:val="left" w:pos="720"/>
                <w:tab w:val="left" w:pos="2268"/>
              </w:tabs>
              <w:spacing w:after="0" w:line="360" w:lineRule="auto"/>
              <w:jc w:val="both"/>
              <w:rPr>
                <w:rFonts w:ascii="Arial" w:eastAsia="Times New Roman" w:hAnsi="Arial" w:cs="Arial"/>
                <w:sz w:val="24"/>
                <w:szCs w:val="24"/>
              </w:rPr>
            </w:pPr>
            <w:r>
              <w:rPr>
                <w:rFonts w:ascii="Arial" w:eastAsia="Times New Roman" w:hAnsi="Arial" w:cs="Arial"/>
                <w:sz w:val="24"/>
                <w:szCs w:val="24"/>
              </w:rPr>
              <w:t>[9</w:t>
            </w:r>
            <w:r w:rsidR="00C6264C">
              <w:rPr>
                <w:rFonts w:ascii="Arial" w:eastAsia="Times New Roman" w:hAnsi="Arial" w:cs="Arial"/>
                <w:sz w:val="24"/>
                <w:szCs w:val="24"/>
              </w:rPr>
              <w:t xml:space="preserve">]      </w:t>
            </w:r>
            <w:r w:rsidR="002B3F79">
              <w:rPr>
                <w:rFonts w:ascii="Arial" w:eastAsia="Times New Roman" w:hAnsi="Arial" w:cs="Arial"/>
                <w:sz w:val="24"/>
                <w:szCs w:val="24"/>
              </w:rPr>
              <w:t xml:space="preserve">The purposes of s </w:t>
            </w:r>
            <w:r w:rsidR="002B3F79" w:rsidRPr="003C22BE">
              <w:rPr>
                <w:rFonts w:ascii="Arial" w:eastAsia="Times New Roman" w:hAnsi="Arial" w:cs="Arial"/>
                <w:sz w:val="24"/>
                <w:szCs w:val="24"/>
              </w:rPr>
              <w:t>112 (1) (</w:t>
            </w:r>
            <w:r w:rsidR="002B3F79" w:rsidRPr="001F50D4">
              <w:rPr>
                <w:rFonts w:ascii="Arial" w:eastAsia="Times New Roman" w:hAnsi="Arial" w:cs="Arial"/>
                <w:i/>
                <w:sz w:val="24"/>
                <w:szCs w:val="24"/>
              </w:rPr>
              <w:t>b</w:t>
            </w:r>
            <w:r w:rsidR="002B3F79" w:rsidRPr="003C22BE">
              <w:rPr>
                <w:rFonts w:ascii="Arial" w:eastAsia="Times New Roman" w:hAnsi="Arial" w:cs="Arial"/>
                <w:sz w:val="24"/>
                <w:szCs w:val="24"/>
              </w:rPr>
              <w:t>) of Act 51 of 1977 questioning</w:t>
            </w:r>
            <w:r w:rsidR="002B3F79">
              <w:rPr>
                <w:rFonts w:ascii="Arial" w:eastAsia="Times New Roman" w:hAnsi="Arial" w:cs="Arial"/>
                <w:sz w:val="24"/>
                <w:szCs w:val="24"/>
              </w:rPr>
              <w:t xml:space="preserve"> was further explained in </w:t>
            </w:r>
            <w:r w:rsidR="002B3F79">
              <w:rPr>
                <w:rFonts w:ascii="Arial" w:eastAsia="Times New Roman" w:hAnsi="Arial" w:cs="Arial"/>
                <w:i/>
                <w:sz w:val="24"/>
                <w:szCs w:val="24"/>
              </w:rPr>
              <w:t>S v Naidoo</w:t>
            </w:r>
            <w:r w:rsidR="002B3F79">
              <w:rPr>
                <w:rStyle w:val="FootnoteReference"/>
                <w:rFonts w:ascii="Arial" w:eastAsia="Times New Roman" w:hAnsi="Arial" w:cs="Arial"/>
                <w:i/>
                <w:sz w:val="24"/>
                <w:szCs w:val="24"/>
              </w:rPr>
              <w:footnoteReference w:id="3"/>
            </w:r>
            <w:r w:rsidR="002B3F79">
              <w:rPr>
                <w:rFonts w:ascii="Arial" w:eastAsia="Times New Roman" w:hAnsi="Arial" w:cs="Arial"/>
                <w:i/>
                <w:sz w:val="24"/>
                <w:szCs w:val="24"/>
              </w:rPr>
              <w:t xml:space="preserve"> </w:t>
            </w:r>
            <w:r w:rsidR="002B3F79" w:rsidRPr="003C22BE">
              <w:rPr>
                <w:rFonts w:ascii="Arial" w:eastAsia="Times New Roman" w:hAnsi="Arial" w:cs="Arial"/>
                <w:sz w:val="24"/>
                <w:szCs w:val="24"/>
              </w:rPr>
              <w:t>as follows:</w:t>
            </w:r>
          </w:p>
          <w:p w:rsidR="00983A65" w:rsidRDefault="00983A65" w:rsidP="00715AD4">
            <w:pPr>
              <w:tabs>
                <w:tab w:val="left" w:pos="720"/>
                <w:tab w:val="left" w:pos="2268"/>
              </w:tabs>
              <w:spacing w:after="0" w:line="360" w:lineRule="auto"/>
              <w:jc w:val="both"/>
              <w:rPr>
                <w:rFonts w:ascii="Arial" w:eastAsia="Times New Roman" w:hAnsi="Arial" w:cs="Arial"/>
                <w:sz w:val="24"/>
                <w:szCs w:val="24"/>
              </w:rPr>
            </w:pPr>
          </w:p>
          <w:p w:rsidR="00F63354" w:rsidRPr="00F63354" w:rsidRDefault="002B3F79" w:rsidP="00715AD4">
            <w:pPr>
              <w:tabs>
                <w:tab w:val="left" w:pos="720"/>
                <w:tab w:val="left" w:pos="2268"/>
              </w:tabs>
              <w:spacing w:after="0" w:line="360" w:lineRule="auto"/>
              <w:jc w:val="both"/>
              <w:rPr>
                <w:rFonts w:ascii="Arial" w:eastAsia="Times New Roman" w:hAnsi="Arial" w:cs="Arial"/>
              </w:rPr>
            </w:pPr>
            <w:r>
              <w:rPr>
                <w:rFonts w:ascii="Arial" w:eastAsia="Times New Roman" w:hAnsi="Arial" w:cs="Arial"/>
                <w:sz w:val="24"/>
                <w:szCs w:val="24"/>
              </w:rPr>
              <w:t>‘</w:t>
            </w:r>
            <w:r w:rsidRPr="008B757F">
              <w:rPr>
                <w:rFonts w:ascii="Arial" w:eastAsia="Times New Roman" w:hAnsi="Arial" w:cs="Arial"/>
              </w:rPr>
              <w:t xml:space="preserve">The purpose of questioning is to safeguard the unrepresented accused against the result of an unjustified plea of guilty, something the magistrate in this case would not have realised from the </w:t>
            </w:r>
            <w:r w:rsidRPr="008B757F">
              <w:rPr>
                <w:rFonts w:ascii="Arial" w:eastAsia="Times New Roman" w:hAnsi="Arial" w:cs="Arial"/>
              </w:rPr>
              <w:lastRenderedPageBreak/>
              <w:t>way he had formulated his questions. By asking the accused whether his actions were ‘wrongful and unlawful’ presupposes that he had legal knowledge which, bearing in mind that the accused was a layperson, was probably lacking. From the afore-going it is evident that questioning of the accused must be applied with care and circumspection.</w:t>
            </w:r>
            <w:r>
              <w:rPr>
                <w:rFonts w:ascii="Arial" w:eastAsia="Times New Roman" w:hAnsi="Arial" w:cs="Arial"/>
              </w:rPr>
              <w:t>’</w:t>
            </w:r>
          </w:p>
          <w:p w:rsidR="002B3F79" w:rsidRPr="004655EC" w:rsidRDefault="002B3F79" w:rsidP="00715AD4">
            <w:pPr>
              <w:tabs>
                <w:tab w:val="left" w:pos="720"/>
                <w:tab w:val="left" w:pos="2268"/>
              </w:tabs>
              <w:spacing w:after="0" w:line="360" w:lineRule="auto"/>
              <w:jc w:val="both"/>
              <w:rPr>
                <w:rFonts w:ascii="Arial" w:eastAsia="Times New Roman" w:hAnsi="Arial" w:cs="Arial"/>
                <w:sz w:val="24"/>
                <w:szCs w:val="24"/>
                <w:lang w:val="en-GB"/>
              </w:rPr>
            </w:pPr>
          </w:p>
          <w:p w:rsidR="002B3F79" w:rsidRPr="008F23F6" w:rsidRDefault="002B3F79" w:rsidP="00715AD4">
            <w:pPr>
              <w:tabs>
                <w:tab w:val="left" w:pos="720"/>
                <w:tab w:val="left" w:pos="2268"/>
              </w:tabs>
              <w:spacing w:after="0" w:line="360" w:lineRule="auto"/>
              <w:jc w:val="both"/>
              <w:rPr>
                <w:rFonts w:ascii="Arial" w:eastAsia="Times New Roman" w:hAnsi="Arial" w:cs="Arial"/>
                <w:b/>
                <w:sz w:val="24"/>
                <w:szCs w:val="24"/>
                <w:lang w:val="en-GB"/>
              </w:rPr>
            </w:pPr>
            <w:r w:rsidRPr="004655EC">
              <w:rPr>
                <w:rFonts w:ascii="Arial" w:eastAsia="Times New Roman" w:hAnsi="Arial" w:cs="Arial"/>
                <w:sz w:val="24"/>
                <w:szCs w:val="24"/>
                <w:lang w:val="en-GB"/>
              </w:rPr>
              <w:t>[</w:t>
            </w:r>
            <w:r w:rsidR="00B94148">
              <w:rPr>
                <w:rFonts w:ascii="Arial" w:eastAsia="Times New Roman" w:hAnsi="Arial" w:cs="Arial"/>
                <w:sz w:val="24"/>
                <w:szCs w:val="24"/>
                <w:lang w:val="en-GB"/>
              </w:rPr>
              <w:t>10</w:t>
            </w:r>
            <w:r>
              <w:rPr>
                <w:rFonts w:ascii="Arial" w:eastAsia="Times New Roman" w:hAnsi="Arial" w:cs="Arial"/>
                <w:sz w:val="24"/>
                <w:szCs w:val="24"/>
                <w:lang w:val="en-GB"/>
              </w:rPr>
              <w:t xml:space="preserve">]     </w:t>
            </w:r>
            <w:r w:rsidRPr="00915959">
              <w:rPr>
                <w:rFonts w:ascii="Arial" w:eastAsia="Times New Roman" w:hAnsi="Arial" w:cs="Arial"/>
                <w:sz w:val="24"/>
                <w:szCs w:val="24"/>
              </w:rPr>
              <w:t>As the court never established the intention of the accused at the time</w:t>
            </w:r>
            <w:r>
              <w:rPr>
                <w:rFonts w:ascii="Arial" w:eastAsia="Times New Roman" w:hAnsi="Arial" w:cs="Arial"/>
                <w:sz w:val="24"/>
                <w:szCs w:val="24"/>
              </w:rPr>
              <w:t xml:space="preserve"> he assaulted the victim, this court is </w:t>
            </w:r>
            <w:r w:rsidRPr="00915959">
              <w:rPr>
                <w:rFonts w:ascii="Arial" w:eastAsia="Times New Roman" w:hAnsi="Arial" w:cs="Arial"/>
                <w:sz w:val="24"/>
                <w:szCs w:val="24"/>
              </w:rPr>
              <w:t>not satisfied that the accused admitted all the elements of the offence</w:t>
            </w:r>
            <w:r>
              <w:rPr>
                <w:rFonts w:ascii="Arial" w:eastAsia="Times New Roman" w:hAnsi="Arial" w:cs="Arial"/>
                <w:sz w:val="24"/>
                <w:szCs w:val="24"/>
              </w:rPr>
              <w:t xml:space="preserve"> charged</w:t>
            </w:r>
            <w:r w:rsidRPr="00915959">
              <w:rPr>
                <w:rFonts w:ascii="Arial" w:eastAsia="Times New Roman" w:hAnsi="Arial" w:cs="Arial"/>
                <w:sz w:val="24"/>
                <w:szCs w:val="24"/>
              </w:rPr>
              <w:t xml:space="preserve"> and</w:t>
            </w:r>
            <w:r>
              <w:rPr>
                <w:rFonts w:ascii="Arial" w:eastAsia="Times New Roman" w:hAnsi="Arial" w:cs="Arial"/>
                <w:sz w:val="24"/>
                <w:szCs w:val="24"/>
              </w:rPr>
              <w:t xml:space="preserve"> as such</w:t>
            </w:r>
            <w:r w:rsidRPr="00915959">
              <w:rPr>
                <w:rFonts w:ascii="Arial" w:eastAsia="Times New Roman" w:hAnsi="Arial" w:cs="Arial"/>
                <w:sz w:val="24"/>
                <w:szCs w:val="24"/>
              </w:rPr>
              <w:t xml:space="preserve"> the conviction could not be allowed to stand</w:t>
            </w:r>
            <w:r w:rsidR="00C6264C">
              <w:rPr>
                <w:rFonts w:ascii="Arial" w:eastAsia="Times New Roman" w:hAnsi="Arial" w:cs="Arial"/>
                <w:sz w:val="24"/>
                <w:szCs w:val="24"/>
              </w:rPr>
              <w:t>. In the meantime, this matter has to be</w:t>
            </w:r>
            <w:r w:rsidRPr="00915959">
              <w:rPr>
                <w:rFonts w:ascii="Arial" w:eastAsia="Times New Roman" w:hAnsi="Arial" w:cs="Arial"/>
                <w:sz w:val="24"/>
                <w:szCs w:val="24"/>
              </w:rPr>
              <w:t xml:space="preserve"> remit</w:t>
            </w:r>
            <w:r>
              <w:rPr>
                <w:rFonts w:ascii="Arial" w:eastAsia="Times New Roman" w:hAnsi="Arial" w:cs="Arial"/>
                <w:sz w:val="24"/>
                <w:szCs w:val="24"/>
              </w:rPr>
              <w:t>ted</w:t>
            </w:r>
            <w:r w:rsidRPr="00915959">
              <w:rPr>
                <w:rFonts w:ascii="Arial" w:eastAsia="Times New Roman" w:hAnsi="Arial" w:cs="Arial"/>
                <w:sz w:val="24"/>
                <w:szCs w:val="24"/>
              </w:rPr>
              <w:t xml:space="preserve"> to the </w:t>
            </w:r>
            <w:r>
              <w:rPr>
                <w:rFonts w:ascii="Arial" w:eastAsia="Times New Roman" w:hAnsi="Arial" w:cs="Arial"/>
                <w:sz w:val="24"/>
                <w:szCs w:val="24"/>
              </w:rPr>
              <w:t xml:space="preserve">trial </w:t>
            </w:r>
            <w:r w:rsidRPr="00915959">
              <w:rPr>
                <w:rFonts w:ascii="Arial" w:eastAsia="Times New Roman" w:hAnsi="Arial" w:cs="Arial"/>
                <w:sz w:val="24"/>
                <w:szCs w:val="24"/>
              </w:rPr>
              <w:t>magi</w:t>
            </w:r>
            <w:r>
              <w:rPr>
                <w:rFonts w:ascii="Arial" w:eastAsia="Times New Roman" w:hAnsi="Arial" w:cs="Arial"/>
                <w:sz w:val="24"/>
                <w:szCs w:val="24"/>
              </w:rPr>
              <w:t>strate in order to question the accused further with regard to the element of intent so as to satisfy herself that all the elements of</w:t>
            </w:r>
            <w:r w:rsidR="00C6264C">
              <w:rPr>
                <w:rFonts w:ascii="Arial" w:eastAsia="Times New Roman" w:hAnsi="Arial" w:cs="Arial"/>
                <w:sz w:val="24"/>
                <w:szCs w:val="24"/>
              </w:rPr>
              <w:t xml:space="preserve"> the offence had been admitted.</w:t>
            </w:r>
          </w:p>
          <w:p w:rsidR="002B3F79" w:rsidRDefault="002B3F79" w:rsidP="00715AD4">
            <w:pPr>
              <w:tabs>
                <w:tab w:val="left" w:pos="720"/>
                <w:tab w:val="left" w:pos="2268"/>
              </w:tabs>
              <w:spacing w:after="0" w:line="360" w:lineRule="auto"/>
              <w:jc w:val="both"/>
              <w:rPr>
                <w:rFonts w:ascii="Arial" w:eastAsia="Times New Roman" w:hAnsi="Arial" w:cs="Arial"/>
                <w:sz w:val="24"/>
                <w:szCs w:val="24"/>
                <w:lang w:val="en-GB"/>
              </w:rPr>
            </w:pPr>
          </w:p>
          <w:p w:rsidR="002B3F79" w:rsidRDefault="00D71EBB" w:rsidP="00715AD4">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w:t>
            </w:r>
            <w:r w:rsidR="00B94148">
              <w:rPr>
                <w:rFonts w:ascii="Arial" w:eastAsia="Times New Roman" w:hAnsi="Arial" w:cs="Arial"/>
                <w:sz w:val="24"/>
                <w:szCs w:val="24"/>
                <w:lang w:val="en-GB"/>
              </w:rPr>
              <w:t>11</w:t>
            </w:r>
            <w:r w:rsidR="002B3F79" w:rsidRPr="00155666">
              <w:rPr>
                <w:rFonts w:ascii="Arial" w:eastAsia="Times New Roman" w:hAnsi="Arial" w:cs="Arial"/>
                <w:sz w:val="24"/>
                <w:szCs w:val="24"/>
                <w:lang w:val="en-GB"/>
              </w:rPr>
              <w:t>]</w:t>
            </w:r>
            <w:r w:rsidR="002B3F79" w:rsidRPr="00155666">
              <w:rPr>
                <w:rFonts w:ascii="Arial" w:eastAsia="Times New Roman" w:hAnsi="Arial" w:cs="Arial"/>
                <w:sz w:val="24"/>
                <w:szCs w:val="24"/>
                <w:lang w:val="en-GB"/>
              </w:rPr>
              <w:tab/>
            </w:r>
            <w:r w:rsidR="00EE7A4D">
              <w:rPr>
                <w:rFonts w:ascii="Arial" w:eastAsia="Times New Roman" w:hAnsi="Arial" w:cs="Arial"/>
                <w:sz w:val="24"/>
                <w:szCs w:val="24"/>
                <w:lang w:val="en-GB"/>
              </w:rPr>
              <w:t>For the reasons stated</w:t>
            </w:r>
            <w:r w:rsidR="002B3F79">
              <w:rPr>
                <w:rFonts w:ascii="Arial" w:eastAsia="Times New Roman" w:hAnsi="Arial" w:cs="Arial"/>
                <w:sz w:val="24"/>
                <w:szCs w:val="24"/>
                <w:lang w:val="en-GB"/>
              </w:rPr>
              <w:t xml:space="preserve"> above, I make the following order:</w:t>
            </w:r>
          </w:p>
          <w:p w:rsidR="002B3F79" w:rsidRDefault="002B3F79" w:rsidP="00715AD4">
            <w:pPr>
              <w:tabs>
                <w:tab w:val="left" w:pos="720"/>
                <w:tab w:val="left" w:pos="2268"/>
              </w:tabs>
              <w:spacing w:after="0" w:line="360" w:lineRule="auto"/>
              <w:jc w:val="both"/>
              <w:rPr>
                <w:rFonts w:ascii="Arial" w:eastAsia="Times New Roman" w:hAnsi="Arial" w:cs="Arial"/>
                <w:sz w:val="24"/>
                <w:szCs w:val="24"/>
                <w:lang w:val="en-GB"/>
              </w:rPr>
            </w:pPr>
          </w:p>
          <w:p w:rsidR="002B3F79" w:rsidRDefault="002B3F79" w:rsidP="00715AD4">
            <w:pPr>
              <w:spacing w:after="0" w:line="360" w:lineRule="auto"/>
              <w:jc w:val="both"/>
              <w:rPr>
                <w:rFonts w:ascii="Arial" w:hAnsi="Arial" w:cs="Arial"/>
                <w:sz w:val="24"/>
                <w:szCs w:val="24"/>
              </w:rPr>
            </w:pPr>
            <w:r>
              <w:rPr>
                <w:rFonts w:ascii="Arial" w:hAnsi="Arial" w:cs="Arial"/>
                <w:sz w:val="24"/>
                <w:szCs w:val="24"/>
              </w:rPr>
              <w:t xml:space="preserve">    1. The conviction and sentence are hereby set aside.</w:t>
            </w:r>
          </w:p>
          <w:p w:rsidR="002B3F79" w:rsidRDefault="002B3F79" w:rsidP="00715AD4">
            <w:pPr>
              <w:spacing w:after="0" w:line="360" w:lineRule="auto"/>
              <w:jc w:val="both"/>
              <w:rPr>
                <w:rFonts w:ascii="Arial" w:hAnsi="Arial" w:cs="Arial"/>
                <w:sz w:val="24"/>
                <w:szCs w:val="24"/>
              </w:rPr>
            </w:pPr>
            <w:r>
              <w:rPr>
                <w:rFonts w:ascii="Arial" w:hAnsi="Arial" w:cs="Arial"/>
                <w:sz w:val="24"/>
                <w:szCs w:val="24"/>
              </w:rPr>
              <w:t xml:space="preserve">    2</w:t>
            </w:r>
            <w:r w:rsidR="00B94148">
              <w:rPr>
                <w:rFonts w:ascii="Arial" w:hAnsi="Arial" w:cs="Arial"/>
                <w:sz w:val="24"/>
                <w:szCs w:val="24"/>
              </w:rPr>
              <w:t>.</w:t>
            </w:r>
            <w:r w:rsidR="004676BB">
              <w:rPr>
                <w:rFonts w:ascii="Arial" w:hAnsi="Arial" w:cs="Arial"/>
                <w:sz w:val="24"/>
                <w:szCs w:val="24"/>
              </w:rPr>
              <w:t xml:space="preserve"> </w:t>
            </w:r>
            <w:r>
              <w:rPr>
                <w:rFonts w:ascii="Arial" w:hAnsi="Arial" w:cs="Arial"/>
                <w:sz w:val="24"/>
                <w:szCs w:val="24"/>
              </w:rPr>
              <w:t xml:space="preserve">The </w:t>
            </w:r>
            <w:r w:rsidRPr="0082370B">
              <w:rPr>
                <w:rFonts w:ascii="Arial" w:hAnsi="Arial" w:cs="Arial"/>
                <w:sz w:val="24"/>
                <w:szCs w:val="24"/>
              </w:rPr>
              <w:t>matter is remitted to the trial magistrate in order to question the accused further</w:t>
            </w:r>
          </w:p>
          <w:p w:rsidR="00057BDC" w:rsidRDefault="002B3F79" w:rsidP="00715AD4">
            <w:pPr>
              <w:spacing w:after="0" w:line="360" w:lineRule="auto"/>
              <w:ind w:left="559" w:hanging="559"/>
              <w:jc w:val="both"/>
              <w:rPr>
                <w:rFonts w:ascii="Arial" w:hAnsi="Arial" w:cs="Arial"/>
                <w:sz w:val="24"/>
                <w:szCs w:val="24"/>
              </w:rPr>
            </w:pPr>
            <w:r w:rsidRPr="0082370B">
              <w:rPr>
                <w:rFonts w:ascii="Arial" w:hAnsi="Arial" w:cs="Arial"/>
                <w:sz w:val="24"/>
                <w:szCs w:val="24"/>
              </w:rPr>
              <w:t xml:space="preserve"> </w:t>
            </w:r>
            <w:r w:rsidR="00983A65">
              <w:rPr>
                <w:rFonts w:ascii="Arial" w:hAnsi="Arial" w:cs="Arial"/>
                <w:sz w:val="24"/>
                <w:szCs w:val="24"/>
              </w:rPr>
              <w:t xml:space="preserve">       </w:t>
            </w:r>
            <w:r w:rsidRPr="0082370B">
              <w:rPr>
                <w:rFonts w:ascii="Arial" w:hAnsi="Arial" w:cs="Arial"/>
                <w:sz w:val="24"/>
                <w:szCs w:val="24"/>
              </w:rPr>
              <w:t>with regard to the element of intent so as to satisfy h</w:t>
            </w:r>
            <w:r>
              <w:rPr>
                <w:rFonts w:ascii="Arial" w:hAnsi="Arial" w:cs="Arial"/>
                <w:sz w:val="24"/>
                <w:szCs w:val="24"/>
              </w:rPr>
              <w:t xml:space="preserve">erself that all the elements of    </w:t>
            </w:r>
            <w:r w:rsidRPr="00A779A2">
              <w:rPr>
                <w:rFonts w:ascii="Arial" w:hAnsi="Arial" w:cs="Arial"/>
                <w:sz w:val="24"/>
                <w:szCs w:val="24"/>
              </w:rPr>
              <w:t>the</w:t>
            </w:r>
            <w:r>
              <w:rPr>
                <w:rFonts w:ascii="Arial" w:hAnsi="Arial" w:cs="Arial"/>
                <w:sz w:val="24"/>
                <w:szCs w:val="24"/>
              </w:rPr>
              <w:t xml:space="preserve"> </w:t>
            </w:r>
            <w:r w:rsidRPr="0082370B">
              <w:rPr>
                <w:rFonts w:ascii="Arial" w:hAnsi="Arial" w:cs="Arial"/>
                <w:sz w:val="24"/>
                <w:szCs w:val="24"/>
              </w:rPr>
              <w:t xml:space="preserve">offence had been admitted. </w:t>
            </w:r>
          </w:p>
          <w:p w:rsidR="002B3F79" w:rsidRDefault="00983A65" w:rsidP="00B94148">
            <w:pPr>
              <w:spacing w:after="0" w:line="360" w:lineRule="auto"/>
              <w:ind w:left="559" w:hanging="559"/>
              <w:jc w:val="both"/>
              <w:rPr>
                <w:rFonts w:ascii="Arial" w:hAnsi="Arial" w:cs="Arial"/>
                <w:sz w:val="24"/>
                <w:szCs w:val="24"/>
              </w:rPr>
            </w:pPr>
            <w:r>
              <w:rPr>
                <w:rFonts w:ascii="Arial" w:hAnsi="Arial" w:cs="Arial"/>
                <w:sz w:val="24"/>
                <w:szCs w:val="24"/>
              </w:rPr>
              <w:t xml:space="preserve">    3. </w:t>
            </w:r>
            <w:r w:rsidR="002B3F79" w:rsidRPr="0082370B">
              <w:rPr>
                <w:rFonts w:ascii="Arial" w:hAnsi="Arial" w:cs="Arial"/>
                <w:sz w:val="24"/>
                <w:szCs w:val="24"/>
              </w:rPr>
              <w:t>Upon conviction and sentence the trial court must</w:t>
            </w:r>
            <w:r w:rsidR="002B3F79">
              <w:rPr>
                <w:rFonts w:ascii="Arial" w:hAnsi="Arial" w:cs="Arial"/>
                <w:sz w:val="24"/>
                <w:szCs w:val="24"/>
              </w:rPr>
              <w:t xml:space="preserve"> </w:t>
            </w:r>
            <w:r w:rsidR="002B3F79" w:rsidRPr="0082370B">
              <w:rPr>
                <w:rFonts w:ascii="Arial" w:hAnsi="Arial" w:cs="Arial"/>
                <w:sz w:val="24"/>
                <w:szCs w:val="24"/>
              </w:rPr>
              <w:t xml:space="preserve">consider the term of imprisonment the accused person has so far served. </w:t>
            </w:r>
          </w:p>
          <w:p w:rsidR="002B3F79" w:rsidRPr="00FF4869" w:rsidRDefault="002B3F79" w:rsidP="00715AD4">
            <w:pPr>
              <w:spacing w:after="0" w:line="360" w:lineRule="auto"/>
              <w:jc w:val="both"/>
              <w:rPr>
                <w:rFonts w:ascii="Arial" w:eastAsia="Arial" w:hAnsi="Arial" w:cs="Arial"/>
                <w:color w:val="000000"/>
                <w:sz w:val="24"/>
                <w:szCs w:val="24"/>
                <w:lang w:val="en-US" w:eastAsia="en-ZA"/>
              </w:rPr>
            </w:pPr>
          </w:p>
        </w:tc>
      </w:tr>
      <w:tr w:rsidR="004D43BC" w:rsidRPr="004D43BC" w:rsidTr="004D43BC">
        <w:trPr>
          <w:trHeight w:val="955"/>
        </w:trPr>
        <w:tc>
          <w:tcPr>
            <w:tcW w:w="5089" w:type="dxa"/>
            <w:tcBorders>
              <w:top w:val="single" w:sz="4" w:space="0" w:color="auto"/>
              <w:left w:val="single" w:sz="4" w:space="0" w:color="auto"/>
              <w:bottom w:val="single" w:sz="4" w:space="0" w:color="auto"/>
              <w:right w:val="single" w:sz="4" w:space="0" w:color="auto"/>
            </w:tcBorders>
            <w:shd w:val="clear" w:color="auto" w:fill="auto"/>
          </w:tcPr>
          <w:p w:rsidR="004D43BC" w:rsidRPr="004D43BC" w:rsidRDefault="004D43BC" w:rsidP="004D43BC">
            <w:pPr>
              <w:spacing w:after="0" w:line="360" w:lineRule="auto"/>
              <w:jc w:val="both"/>
              <w:rPr>
                <w:rFonts w:ascii="Arial" w:eastAsiaTheme="minorHAnsi" w:hAnsi="Arial" w:cs="Arial"/>
                <w:sz w:val="24"/>
                <w:szCs w:val="24"/>
                <w:lang w:val="en-US"/>
              </w:rPr>
            </w:pPr>
          </w:p>
        </w:tc>
        <w:tc>
          <w:tcPr>
            <w:tcW w:w="4631" w:type="dxa"/>
            <w:gridSpan w:val="2"/>
            <w:tcBorders>
              <w:top w:val="single" w:sz="4" w:space="0" w:color="auto"/>
              <w:left w:val="single" w:sz="4" w:space="0" w:color="auto"/>
              <w:bottom w:val="single" w:sz="4" w:space="0" w:color="auto"/>
              <w:right w:val="single" w:sz="4" w:space="0" w:color="auto"/>
            </w:tcBorders>
            <w:shd w:val="clear" w:color="auto" w:fill="auto"/>
          </w:tcPr>
          <w:p w:rsidR="004D43BC" w:rsidRPr="004D43BC" w:rsidRDefault="004D43BC" w:rsidP="004D43BC">
            <w:pPr>
              <w:spacing w:after="0" w:line="360" w:lineRule="auto"/>
              <w:jc w:val="both"/>
              <w:rPr>
                <w:rFonts w:ascii="Arial" w:eastAsiaTheme="minorHAnsi" w:hAnsi="Arial" w:cs="Arial"/>
                <w:sz w:val="24"/>
                <w:szCs w:val="24"/>
                <w:lang w:val="en-US"/>
              </w:rPr>
            </w:pPr>
          </w:p>
        </w:tc>
      </w:tr>
      <w:tr w:rsidR="004D43BC" w:rsidRPr="004D43BC" w:rsidTr="004D43BC">
        <w:trPr>
          <w:trHeight w:val="984"/>
        </w:trPr>
        <w:tc>
          <w:tcPr>
            <w:tcW w:w="5089" w:type="dxa"/>
            <w:tcBorders>
              <w:top w:val="single" w:sz="4" w:space="0" w:color="auto"/>
              <w:left w:val="single" w:sz="4" w:space="0" w:color="auto"/>
              <w:bottom w:val="single" w:sz="4" w:space="0" w:color="auto"/>
              <w:right w:val="single" w:sz="4" w:space="0" w:color="auto"/>
            </w:tcBorders>
            <w:shd w:val="clear" w:color="auto" w:fill="auto"/>
            <w:hideMark/>
          </w:tcPr>
          <w:p w:rsidR="004D43BC" w:rsidRPr="004D43BC" w:rsidRDefault="004D43BC" w:rsidP="004D43BC">
            <w:pPr>
              <w:spacing w:after="0" w:line="360" w:lineRule="auto"/>
              <w:jc w:val="both"/>
              <w:rPr>
                <w:rFonts w:ascii="Arial" w:eastAsiaTheme="minorHAnsi" w:hAnsi="Arial" w:cs="Arial"/>
                <w:b/>
                <w:sz w:val="24"/>
                <w:szCs w:val="24"/>
                <w:lang w:val="en-US"/>
              </w:rPr>
            </w:pPr>
            <w:r w:rsidRPr="004D43BC">
              <w:rPr>
                <w:rFonts w:ascii="Arial" w:eastAsiaTheme="minorHAnsi" w:hAnsi="Arial" w:cs="Arial"/>
                <w:b/>
                <w:sz w:val="24"/>
                <w:szCs w:val="24"/>
                <w:lang w:val="en-US"/>
              </w:rPr>
              <w:t xml:space="preserve">                          J</w:t>
            </w:r>
            <w:r w:rsidR="0069195B">
              <w:rPr>
                <w:rFonts w:ascii="Arial" w:eastAsiaTheme="minorHAnsi" w:hAnsi="Arial" w:cs="Arial"/>
                <w:b/>
                <w:sz w:val="24"/>
                <w:szCs w:val="24"/>
                <w:lang w:val="en-US"/>
              </w:rPr>
              <w:t>.</w:t>
            </w:r>
            <w:r w:rsidRPr="004D43BC">
              <w:rPr>
                <w:rFonts w:ascii="Arial" w:eastAsiaTheme="minorHAnsi" w:hAnsi="Arial" w:cs="Arial"/>
                <w:b/>
                <w:sz w:val="24"/>
                <w:szCs w:val="24"/>
                <w:lang w:val="en-US"/>
              </w:rPr>
              <w:t xml:space="preserve"> T</w:t>
            </w:r>
            <w:r w:rsidR="0069195B">
              <w:rPr>
                <w:rFonts w:ascii="Arial" w:eastAsiaTheme="minorHAnsi" w:hAnsi="Arial" w:cs="Arial"/>
                <w:b/>
                <w:sz w:val="24"/>
                <w:szCs w:val="24"/>
                <w:lang w:val="en-US"/>
              </w:rPr>
              <w:t>.</w:t>
            </w:r>
            <w:r w:rsidRPr="004D43BC">
              <w:rPr>
                <w:rFonts w:ascii="Arial" w:eastAsiaTheme="minorHAnsi" w:hAnsi="Arial" w:cs="Arial"/>
                <w:b/>
                <w:sz w:val="24"/>
                <w:szCs w:val="24"/>
                <w:lang w:val="en-US"/>
              </w:rPr>
              <w:t xml:space="preserve"> SALIONGA                       </w:t>
            </w:r>
          </w:p>
          <w:p w:rsidR="004D43BC" w:rsidRPr="004D43BC" w:rsidRDefault="004D43BC" w:rsidP="004D43BC">
            <w:pPr>
              <w:spacing w:after="0" w:line="360" w:lineRule="auto"/>
              <w:jc w:val="both"/>
              <w:rPr>
                <w:rFonts w:ascii="Arial" w:eastAsiaTheme="minorHAnsi" w:hAnsi="Arial" w:cs="Arial"/>
                <w:b/>
                <w:sz w:val="24"/>
                <w:szCs w:val="24"/>
                <w:lang w:val="en-US"/>
              </w:rPr>
            </w:pPr>
            <w:r w:rsidRPr="004D43BC">
              <w:rPr>
                <w:rFonts w:ascii="Arial" w:eastAsiaTheme="minorHAnsi" w:hAnsi="Arial" w:cs="Arial"/>
                <w:b/>
                <w:sz w:val="24"/>
                <w:szCs w:val="24"/>
                <w:lang w:val="en-US"/>
              </w:rPr>
              <w:t xml:space="preserve">                              JUDGE</w:t>
            </w:r>
          </w:p>
          <w:p w:rsidR="004D43BC" w:rsidRPr="004D43BC" w:rsidRDefault="004D43BC" w:rsidP="004D43BC">
            <w:pPr>
              <w:spacing w:after="0" w:line="360" w:lineRule="auto"/>
              <w:jc w:val="both"/>
              <w:rPr>
                <w:rFonts w:ascii="Arial" w:eastAsiaTheme="minorHAnsi" w:hAnsi="Arial" w:cs="Arial"/>
                <w:b/>
                <w:sz w:val="24"/>
                <w:szCs w:val="24"/>
                <w:lang w:val="en-US"/>
              </w:rPr>
            </w:pPr>
          </w:p>
        </w:tc>
        <w:tc>
          <w:tcPr>
            <w:tcW w:w="4631" w:type="dxa"/>
            <w:gridSpan w:val="2"/>
            <w:tcBorders>
              <w:top w:val="single" w:sz="4" w:space="0" w:color="auto"/>
              <w:left w:val="single" w:sz="4" w:space="0" w:color="auto"/>
              <w:bottom w:val="single" w:sz="4" w:space="0" w:color="auto"/>
              <w:right w:val="single" w:sz="4" w:space="0" w:color="auto"/>
            </w:tcBorders>
            <w:shd w:val="clear" w:color="auto" w:fill="auto"/>
            <w:hideMark/>
          </w:tcPr>
          <w:p w:rsidR="004D43BC" w:rsidRPr="004D43BC" w:rsidRDefault="004D43BC" w:rsidP="004D43BC">
            <w:pPr>
              <w:spacing w:after="0" w:line="360" w:lineRule="auto"/>
              <w:jc w:val="both"/>
              <w:rPr>
                <w:rFonts w:ascii="Arial" w:eastAsiaTheme="minorHAnsi" w:hAnsi="Arial" w:cs="Arial"/>
                <w:b/>
                <w:sz w:val="24"/>
                <w:szCs w:val="24"/>
                <w:lang w:val="en-US"/>
              </w:rPr>
            </w:pPr>
            <w:r w:rsidRPr="004D43BC">
              <w:rPr>
                <w:rFonts w:ascii="Arial" w:eastAsiaTheme="minorHAnsi" w:hAnsi="Arial" w:cs="Arial"/>
                <w:b/>
                <w:bCs/>
                <w:sz w:val="24"/>
                <w:szCs w:val="24"/>
                <w:lang w:val="en-US"/>
              </w:rPr>
              <w:t xml:space="preserve">                         E</w:t>
            </w:r>
            <w:r w:rsidR="0069195B">
              <w:rPr>
                <w:rFonts w:ascii="Arial" w:eastAsiaTheme="minorHAnsi" w:hAnsi="Arial" w:cs="Arial"/>
                <w:b/>
                <w:bCs/>
                <w:sz w:val="24"/>
                <w:szCs w:val="24"/>
                <w:lang w:val="en-US"/>
              </w:rPr>
              <w:t>.</w:t>
            </w:r>
            <w:r w:rsidRPr="004D43BC">
              <w:rPr>
                <w:rFonts w:ascii="Arial" w:eastAsiaTheme="minorHAnsi" w:hAnsi="Arial" w:cs="Arial"/>
                <w:b/>
                <w:bCs/>
                <w:sz w:val="24"/>
                <w:szCs w:val="24"/>
                <w:lang w:val="en-US"/>
              </w:rPr>
              <w:t xml:space="preserve"> E</w:t>
            </w:r>
            <w:r w:rsidR="0069195B">
              <w:rPr>
                <w:rFonts w:ascii="Arial" w:eastAsiaTheme="minorHAnsi" w:hAnsi="Arial" w:cs="Arial"/>
                <w:b/>
                <w:bCs/>
                <w:sz w:val="24"/>
                <w:szCs w:val="24"/>
                <w:lang w:val="en-US"/>
              </w:rPr>
              <w:t>.</w:t>
            </w:r>
            <w:r w:rsidRPr="004D43BC">
              <w:rPr>
                <w:rFonts w:ascii="Arial" w:eastAsiaTheme="minorHAnsi" w:hAnsi="Arial" w:cs="Arial"/>
                <w:b/>
                <w:bCs/>
                <w:sz w:val="24"/>
                <w:szCs w:val="24"/>
                <w:lang w:val="en-US"/>
              </w:rPr>
              <w:t xml:space="preserve"> KESSLAU</w:t>
            </w:r>
          </w:p>
          <w:p w:rsidR="004D43BC" w:rsidRPr="004D43BC" w:rsidRDefault="00B559EB" w:rsidP="004D43BC">
            <w:pPr>
              <w:spacing w:after="0" w:line="360" w:lineRule="auto"/>
              <w:jc w:val="both"/>
              <w:rPr>
                <w:rFonts w:ascii="Arial" w:eastAsiaTheme="minorHAnsi" w:hAnsi="Arial" w:cs="Arial"/>
                <w:b/>
                <w:sz w:val="24"/>
                <w:szCs w:val="24"/>
                <w:lang w:val="en-US"/>
              </w:rPr>
            </w:pPr>
            <w:r>
              <w:rPr>
                <w:rFonts w:ascii="Arial" w:eastAsiaTheme="minorHAnsi" w:hAnsi="Arial" w:cs="Arial"/>
                <w:b/>
                <w:sz w:val="24"/>
                <w:szCs w:val="24"/>
                <w:lang w:val="en-US"/>
              </w:rPr>
              <w:t xml:space="preserve">                             </w:t>
            </w:r>
            <w:r w:rsidR="004D43BC" w:rsidRPr="004D43BC">
              <w:rPr>
                <w:rFonts w:ascii="Arial" w:eastAsiaTheme="minorHAnsi" w:hAnsi="Arial" w:cs="Arial"/>
                <w:b/>
                <w:sz w:val="24"/>
                <w:szCs w:val="24"/>
                <w:lang w:val="en-US"/>
              </w:rPr>
              <w:t>JUDGE</w:t>
            </w:r>
          </w:p>
        </w:tc>
      </w:tr>
    </w:tbl>
    <w:p w:rsidR="005764BF" w:rsidRDefault="005764BF"/>
    <w:sectPr w:rsidR="005764BF" w:rsidSect="00D077BF">
      <w:headerReference w:type="default" r:id="rId8"/>
      <w:pgSz w:w="11906" w:h="16838"/>
      <w:pgMar w:top="225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C5E" w:rsidRDefault="00702C5E" w:rsidP="002B3F79">
      <w:pPr>
        <w:spacing w:after="0" w:line="240" w:lineRule="auto"/>
      </w:pPr>
      <w:r>
        <w:separator/>
      </w:r>
    </w:p>
  </w:endnote>
  <w:endnote w:type="continuationSeparator" w:id="0">
    <w:p w:rsidR="00702C5E" w:rsidRDefault="00702C5E" w:rsidP="002B3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C5E" w:rsidRDefault="00702C5E" w:rsidP="002B3F79">
      <w:pPr>
        <w:spacing w:after="0" w:line="240" w:lineRule="auto"/>
      </w:pPr>
      <w:r>
        <w:separator/>
      </w:r>
    </w:p>
  </w:footnote>
  <w:footnote w:type="continuationSeparator" w:id="0">
    <w:p w:rsidR="00702C5E" w:rsidRDefault="00702C5E" w:rsidP="002B3F79">
      <w:pPr>
        <w:spacing w:after="0" w:line="240" w:lineRule="auto"/>
      </w:pPr>
      <w:r>
        <w:continuationSeparator/>
      </w:r>
    </w:p>
  </w:footnote>
  <w:footnote w:id="1">
    <w:p w:rsidR="00F63354" w:rsidRPr="003C34F2" w:rsidRDefault="00F63354" w:rsidP="00F63354">
      <w:pPr>
        <w:pStyle w:val="FootnoteText"/>
        <w:rPr>
          <w:rFonts w:ascii="Arial" w:hAnsi="Arial" w:cs="Arial"/>
          <w:lang w:val="en-US"/>
        </w:rPr>
      </w:pPr>
      <w:r w:rsidRPr="003C34F2">
        <w:rPr>
          <w:rStyle w:val="FootnoteReference"/>
          <w:rFonts w:ascii="Arial" w:hAnsi="Arial" w:cs="Arial"/>
        </w:rPr>
        <w:footnoteRef/>
      </w:r>
      <w:r w:rsidRPr="003C34F2">
        <w:rPr>
          <w:rFonts w:ascii="Arial" w:hAnsi="Arial" w:cs="Arial"/>
        </w:rPr>
        <w:t xml:space="preserve"> </w:t>
      </w:r>
      <w:r w:rsidRPr="003C34F2">
        <w:rPr>
          <w:rFonts w:ascii="Arial" w:hAnsi="Arial" w:cs="Arial"/>
          <w:i/>
          <w:lang w:val="en-US"/>
        </w:rPr>
        <w:t xml:space="preserve">S v Pretorius </w:t>
      </w:r>
      <w:r w:rsidRPr="003C34F2">
        <w:rPr>
          <w:rFonts w:ascii="Arial" w:hAnsi="Arial" w:cs="Arial"/>
          <w:lang w:val="en-US"/>
        </w:rPr>
        <w:t>(CR  45/2019) [2020] NAHCMD 258 (29 June 2020)</w:t>
      </w:r>
    </w:p>
  </w:footnote>
  <w:footnote w:id="2">
    <w:p w:rsidR="002B3F79" w:rsidRPr="008B757F" w:rsidRDefault="002B3F79" w:rsidP="002B3F79">
      <w:pPr>
        <w:pStyle w:val="FootnoteText"/>
        <w:rPr>
          <w:rFonts w:ascii="Arial" w:hAnsi="Arial" w:cs="Arial"/>
        </w:rPr>
      </w:pPr>
      <w:r w:rsidRPr="008B757F">
        <w:rPr>
          <w:rStyle w:val="FootnoteReference"/>
          <w:rFonts w:ascii="Arial" w:hAnsi="Arial" w:cs="Arial"/>
        </w:rPr>
        <w:footnoteRef/>
      </w:r>
      <w:r w:rsidRPr="008B757F">
        <w:rPr>
          <w:rFonts w:ascii="Arial" w:hAnsi="Arial" w:cs="Arial"/>
        </w:rPr>
        <w:t xml:space="preserve"> </w:t>
      </w:r>
      <w:r w:rsidRPr="008B757F">
        <w:rPr>
          <w:rFonts w:ascii="Arial" w:hAnsi="Arial" w:cs="Arial"/>
          <w:i/>
        </w:rPr>
        <w:t xml:space="preserve">S v Kaninab </w:t>
      </w:r>
      <w:r w:rsidRPr="008B757F">
        <w:rPr>
          <w:rFonts w:ascii="Arial" w:hAnsi="Arial" w:cs="Arial"/>
        </w:rPr>
        <w:t>(CR 75/2016) [2016] NAHCMD 356 (11 November 2016).</w:t>
      </w:r>
    </w:p>
  </w:footnote>
  <w:footnote w:id="3">
    <w:p w:rsidR="002B3F79" w:rsidRDefault="002B3F79" w:rsidP="002B3F79">
      <w:pPr>
        <w:pStyle w:val="FootnoteText"/>
      </w:pPr>
      <w:r w:rsidRPr="008B757F">
        <w:rPr>
          <w:rStyle w:val="FootnoteReference"/>
          <w:rFonts w:ascii="Arial" w:hAnsi="Arial" w:cs="Arial"/>
        </w:rPr>
        <w:footnoteRef/>
      </w:r>
      <w:r w:rsidRPr="008B757F">
        <w:rPr>
          <w:rFonts w:ascii="Arial" w:hAnsi="Arial" w:cs="Arial"/>
        </w:rPr>
        <w:t xml:space="preserve"> </w:t>
      </w:r>
      <w:r w:rsidRPr="008B757F">
        <w:rPr>
          <w:rFonts w:ascii="Arial" w:hAnsi="Arial" w:cs="Arial"/>
          <w:i/>
        </w:rPr>
        <w:t xml:space="preserve">S v Naidoo </w:t>
      </w:r>
      <w:r w:rsidRPr="008B757F">
        <w:rPr>
          <w:rFonts w:ascii="Arial" w:hAnsi="Arial" w:cs="Arial"/>
        </w:rPr>
        <w:t>1989 (2) SA 114 (A) at 121E.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87B" w:rsidRDefault="005F032B">
    <w:pPr>
      <w:pStyle w:val="Header"/>
      <w:jc w:val="right"/>
    </w:pPr>
    <w:r>
      <w:fldChar w:fldCharType="begin"/>
    </w:r>
    <w:r>
      <w:instrText xml:space="preserve"> PAGE   \* MERGEFORMAT </w:instrText>
    </w:r>
    <w:r>
      <w:fldChar w:fldCharType="separate"/>
    </w:r>
    <w:r w:rsidR="006D41CB">
      <w:rPr>
        <w:noProof/>
      </w:rPr>
      <w:t>4</w:t>
    </w:r>
    <w:r>
      <w:rPr>
        <w:noProof/>
      </w:rPr>
      <w:fldChar w:fldCharType="end"/>
    </w:r>
  </w:p>
  <w:p w:rsidR="005A587B" w:rsidRDefault="00702C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400791"/>
    <w:multiLevelType w:val="hybridMultilevel"/>
    <w:tmpl w:val="0C6846D8"/>
    <w:lvl w:ilvl="0" w:tplc="1C090017">
      <w:start w:val="1"/>
      <w:numFmt w:val="lowerLetter"/>
      <w:lvlText w:val="%1)"/>
      <w:lvlJc w:val="left"/>
      <w:pPr>
        <w:ind w:left="1170" w:hanging="360"/>
      </w:pPr>
      <w:rPr>
        <w:rFonts w:cs="Times New Roman"/>
      </w:rPr>
    </w:lvl>
    <w:lvl w:ilvl="1" w:tplc="1C090019" w:tentative="1">
      <w:start w:val="1"/>
      <w:numFmt w:val="lowerLetter"/>
      <w:lvlText w:val="%2."/>
      <w:lvlJc w:val="left"/>
      <w:pPr>
        <w:ind w:left="1890" w:hanging="360"/>
      </w:pPr>
      <w:rPr>
        <w:rFonts w:cs="Times New Roman"/>
      </w:rPr>
    </w:lvl>
    <w:lvl w:ilvl="2" w:tplc="1C09001B" w:tentative="1">
      <w:start w:val="1"/>
      <w:numFmt w:val="lowerRoman"/>
      <w:lvlText w:val="%3."/>
      <w:lvlJc w:val="right"/>
      <w:pPr>
        <w:ind w:left="2610" w:hanging="180"/>
      </w:pPr>
      <w:rPr>
        <w:rFonts w:cs="Times New Roman"/>
      </w:rPr>
    </w:lvl>
    <w:lvl w:ilvl="3" w:tplc="1C09000F" w:tentative="1">
      <w:start w:val="1"/>
      <w:numFmt w:val="decimal"/>
      <w:lvlText w:val="%4."/>
      <w:lvlJc w:val="left"/>
      <w:pPr>
        <w:ind w:left="3330" w:hanging="360"/>
      </w:pPr>
      <w:rPr>
        <w:rFonts w:cs="Times New Roman"/>
      </w:rPr>
    </w:lvl>
    <w:lvl w:ilvl="4" w:tplc="1C090019" w:tentative="1">
      <w:start w:val="1"/>
      <w:numFmt w:val="lowerLetter"/>
      <w:lvlText w:val="%5."/>
      <w:lvlJc w:val="left"/>
      <w:pPr>
        <w:ind w:left="4050" w:hanging="360"/>
      </w:pPr>
      <w:rPr>
        <w:rFonts w:cs="Times New Roman"/>
      </w:rPr>
    </w:lvl>
    <w:lvl w:ilvl="5" w:tplc="1C09001B" w:tentative="1">
      <w:start w:val="1"/>
      <w:numFmt w:val="lowerRoman"/>
      <w:lvlText w:val="%6."/>
      <w:lvlJc w:val="right"/>
      <w:pPr>
        <w:ind w:left="4770" w:hanging="180"/>
      </w:pPr>
      <w:rPr>
        <w:rFonts w:cs="Times New Roman"/>
      </w:rPr>
    </w:lvl>
    <w:lvl w:ilvl="6" w:tplc="1C09000F" w:tentative="1">
      <w:start w:val="1"/>
      <w:numFmt w:val="decimal"/>
      <w:lvlText w:val="%7."/>
      <w:lvlJc w:val="left"/>
      <w:pPr>
        <w:ind w:left="5490" w:hanging="360"/>
      </w:pPr>
      <w:rPr>
        <w:rFonts w:cs="Times New Roman"/>
      </w:rPr>
    </w:lvl>
    <w:lvl w:ilvl="7" w:tplc="1C090019" w:tentative="1">
      <w:start w:val="1"/>
      <w:numFmt w:val="lowerLetter"/>
      <w:lvlText w:val="%8."/>
      <w:lvlJc w:val="left"/>
      <w:pPr>
        <w:ind w:left="6210" w:hanging="360"/>
      </w:pPr>
      <w:rPr>
        <w:rFonts w:cs="Times New Roman"/>
      </w:rPr>
    </w:lvl>
    <w:lvl w:ilvl="8" w:tplc="1C09001B" w:tentative="1">
      <w:start w:val="1"/>
      <w:numFmt w:val="lowerRoman"/>
      <w:lvlText w:val="%9."/>
      <w:lvlJc w:val="right"/>
      <w:pPr>
        <w:ind w:left="6930" w:hanging="180"/>
      </w:pPr>
      <w:rPr>
        <w:rFonts w:cs="Times New Roman"/>
      </w:rPr>
    </w:lvl>
  </w:abstractNum>
  <w:abstractNum w:abstractNumId="1" w15:restartNumberingAfterBreak="0">
    <w:nsid w:val="763B18F2"/>
    <w:multiLevelType w:val="hybridMultilevel"/>
    <w:tmpl w:val="2C2E4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F79"/>
    <w:rsid w:val="00001273"/>
    <w:rsid w:val="00057BDC"/>
    <w:rsid w:val="000E3EC1"/>
    <w:rsid w:val="002B3F79"/>
    <w:rsid w:val="00441D03"/>
    <w:rsid w:val="004676BB"/>
    <w:rsid w:val="004C698E"/>
    <w:rsid w:val="004D43BC"/>
    <w:rsid w:val="00515142"/>
    <w:rsid w:val="005764BF"/>
    <w:rsid w:val="005E5F06"/>
    <w:rsid w:val="005F032B"/>
    <w:rsid w:val="005F0587"/>
    <w:rsid w:val="0069195B"/>
    <w:rsid w:val="006A5FFB"/>
    <w:rsid w:val="006D41CB"/>
    <w:rsid w:val="00702C5E"/>
    <w:rsid w:val="007A5A34"/>
    <w:rsid w:val="007D3853"/>
    <w:rsid w:val="00983A65"/>
    <w:rsid w:val="009C722B"/>
    <w:rsid w:val="009D0E13"/>
    <w:rsid w:val="009E320E"/>
    <w:rsid w:val="009F0B01"/>
    <w:rsid w:val="00A24746"/>
    <w:rsid w:val="00A710B3"/>
    <w:rsid w:val="00B559EB"/>
    <w:rsid w:val="00B94148"/>
    <w:rsid w:val="00BF6146"/>
    <w:rsid w:val="00C46C52"/>
    <w:rsid w:val="00C57E0E"/>
    <w:rsid w:val="00C6264C"/>
    <w:rsid w:val="00CE0E8E"/>
    <w:rsid w:val="00D71EBB"/>
    <w:rsid w:val="00E10DBF"/>
    <w:rsid w:val="00E31AB0"/>
    <w:rsid w:val="00EA79E3"/>
    <w:rsid w:val="00EB6D7F"/>
    <w:rsid w:val="00EC7EEB"/>
    <w:rsid w:val="00EE7A4D"/>
    <w:rsid w:val="00F260E7"/>
    <w:rsid w:val="00F6335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A44A57-5190-4D9A-961D-17BE97158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F79"/>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F79"/>
    <w:pPr>
      <w:tabs>
        <w:tab w:val="center" w:pos="4513"/>
        <w:tab w:val="right" w:pos="9026"/>
      </w:tabs>
    </w:pPr>
  </w:style>
  <w:style w:type="character" w:customStyle="1" w:styleId="HeaderChar">
    <w:name w:val="Header Char"/>
    <w:basedOn w:val="DefaultParagraphFont"/>
    <w:link w:val="Header"/>
    <w:uiPriority w:val="99"/>
    <w:rsid w:val="002B3F79"/>
    <w:rPr>
      <w:rFonts w:ascii="Calibri" w:eastAsia="Calibri" w:hAnsi="Calibri" w:cs="Times New Roman"/>
    </w:rPr>
  </w:style>
  <w:style w:type="paragraph" w:styleId="FootnoteText">
    <w:name w:val="footnote text"/>
    <w:basedOn w:val="Normal"/>
    <w:link w:val="FootnoteTextChar"/>
    <w:uiPriority w:val="99"/>
    <w:unhideWhenUsed/>
    <w:rsid w:val="002B3F79"/>
    <w:pPr>
      <w:spacing w:after="0" w:line="240" w:lineRule="auto"/>
    </w:pPr>
    <w:rPr>
      <w:sz w:val="20"/>
      <w:szCs w:val="20"/>
    </w:rPr>
  </w:style>
  <w:style w:type="character" w:customStyle="1" w:styleId="FootnoteTextChar">
    <w:name w:val="Footnote Text Char"/>
    <w:basedOn w:val="DefaultParagraphFont"/>
    <w:link w:val="FootnoteText"/>
    <w:uiPriority w:val="99"/>
    <w:rsid w:val="002B3F79"/>
    <w:rPr>
      <w:rFonts w:ascii="Calibri" w:eastAsia="Calibri" w:hAnsi="Calibri" w:cs="Times New Roman"/>
      <w:sz w:val="20"/>
      <w:szCs w:val="20"/>
    </w:rPr>
  </w:style>
  <w:style w:type="character" w:styleId="FootnoteReference">
    <w:name w:val="footnote reference"/>
    <w:uiPriority w:val="99"/>
    <w:unhideWhenUsed/>
    <w:rsid w:val="002B3F79"/>
    <w:rPr>
      <w:vertAlign w:val="superscript"/>
    </w:rPr>
  </w:style>
  <w:style w:type="paragraph" w:styleId="BalloonText">
    <w:name w:val="Balloon Text"/>
    <w:basedOn w:val="Normal"/>
    <w:link w:val="BalloonTextChar"/>
    <w:uiPriority w:val="99"/>
    <w:semiHidden/>
    <w:unhideWhenUsed/>
    <w:rsid w:val="006919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95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2023-11-01T18:30:00+00:00</Judgment_x0020_Date>
  </documentManagement>
</p:properties>
</file>

<file path=customXml/itemProps1.xml><?xml version="1.0" encoding="utf-8"?>
<ds:datastoreItem xmlns:ds="http://schemas.openxmlformats.org/officeDocument/2006/customXml" ds:itemID="{EF50F8E7-2382-4320-B2E8-5306F3DFF965}"/>
</file>

<file path=customXml/itemProps2.xml><?xml version="1.0" encoding="utf-8"?>
<ds:datastoreItem xmlns:ds="http://schemas.openxmlformats.org/officeDocument/2006/customXml" ds:itemID="{B2A2B425-0DF2-43CD-BFF9-EF275442642D}"/>
</file>

<file path=customXml/itemProps3.xml><?xml version="1.0" encoding="utf-8"?>
<ds:datastoreItem xmlns:ds="http://schemas.openxmlformats.org/officeDocument/2006/customXml" ds:itemID="{495813DE-28DB-44B7-9300-6A3166FE602E}"/>
</file>

<file path=docProps/app.xml><?xml version="1.0" encoding="utf-8"?>
<Properties xmlns="http://schemas.openxmlformats.org/officeDocument/2006/extended-properties" xmlns:vt="http://schemas.openxmlformats.org/officeDocument/2006/docPropsVTypes">
  <Template>Normal</Template>
  <TotalTime>0</TotalTime>
  <Pages>4</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Haikoondo (CR 38-2023) [2023] NAHCNLD 115 (2 November 2023)</dc:title>
  <dc:creator>Johanna Salionga</dc:creator>
  <cp:lastModifiedBy>Hilma Shigwedha</cp:lastModifiedBy>
  <cp:revision>3</cp:revision>
  <cp:lastPrinted>2023-11-01T08:38:00Z</cp:lastPrinted>
  <dcterms:created xsi:type="dcterms:W3CDTF">2023-11-02T13:45:00Z</dcterms:created>
  <dcterms:modified xsi:type="dcterms:W3CDTF">2023-11-02T13:46:00Z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