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A8" w:rsidRDefault="00241F2E" w:rsidP="005D43A8">
      <w:pPr>
        <w:spacing w:line="360" w:lineRule="auto"/>
        <w:jc w:val="right"/>
        <w:rPr>
          <w:rFonts w:ascii="Arial" w:hAnsi="Arial" w:cs="Arial"/>
          <w:b/>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2217420</wp:posOffset>
            </wp:positionH>
            <wp:positionV relativeFrom="paragraph">
              <wp:posOffset>68580</wp:posOffset>
            </wp:positionV>
            <wp:extent cx="1076325" cy="1143000"/>
            <wp:effectExtent l="0" t="0" r="9525" b="0"/>
            <wp:wrapSquare wrapText="left"/>
            <wp:docPr id="2" name="Picture 2"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3A8" w:rsidRDefault="005D43A8" w:rsidP="005D43A8">
      <w:pPr>
        <w:spacing w:line="360" w:lineRule="auto"/>
        <w:rPr>
          <w:rFonts w:ascii="Arial" w:hAnsi="Arial" w:cs="Arial"/>
          <w:b/>
        </w:rPr>
      </w:pPr>
    </w:p>
    <w:p w:rsidR="005D43A8" w:rsidRDefault="005D43A8" w:rsidP="005D43A8">
      <w:pPr>
        <w:spacing w:line="360" w:lineRule="auto"/>
        <w:jc w:val="right"/>
        <w:rPr>
          <w:rFonts w:ascii="Arial" w:hAnsi="Arial" w:cs="Arial"/>
          <w:b/>
          <w:i/>
        </w:rPr>
      </w:pPr>
    </w:p>
    <w:p w:rsidR="00335701" w:rsidRDefault="00335701" w:rsidP="005D43A8">
      <w:pPr>
        <w:spacing w:line="360" w:lineRule="auto"/>
        <w:jc w:val="right"/>
        <w:rPr>
          <w:rFonts w:ascii="Arial" w:hAnsi="Arial" w:cs="Arial"/>
          <w:b/>
          <w:i/>
        </w:rPr>
      </w:pPr>
    </w:p>
    <w:p w:rsidR="005D43A8" w:rsidRDefault="005D43A8" w:rsidP="005D43A8">
      <w:pPr>
        <w:spacing w:line="360" w:lineRule="auto"/>
        <w:jc w:val="right"/>
        <w:rPr>
          <w:rFonts w:ascii="Arial" w:hAnsi="Arial" w:cs="Arial"/>
          <w:i/>
        </w:rPr>
      </w:pPr>
    </w:p>
    <w:p w:rsidR="00726429" w:rsidRPr="002B0850" w:rsidRDefault="00726429" w:rsidP="005D43A8">
      <w:pPr>
        <w:spacing w:line="360" w:lineRule="auto"/>
        <w:jc w:val="right"/>
        <w:rPr>
          <w:rFonts w:ascii="Arial" w:hAnsi="Arial" w:cs="Arial"/>
          <w:i/>
        </w:rPr>
      </w:pPr>
    </w:p>
    <w:p w:rsidR="005D43A8" w:rsidRPr="006C2437" w:rsidRDefault="00F054A0" w:rsidP="007819B7">
      <w:pPr>
        <w:spacing w:line="360" w:lineRule="auto"/>
        <w:rPr>
          <w:rFonts w:ascii="Arial" w:hAnsi="Arial" w:cs="Arial"/>
          <w:b/>
          <w:u w:val="single"/>
        </w:rPr>
      </w:pPr>
      <w:r w:rsidRPr="006C2437">
        <w:rPr>
          <w:rFonts w:ascii="Arial" w:hAnsi="Arial" w:cs="Arial"/>
          <w:b/>
          <w:u w:val="single"/>
        </w:rPr>
        <w:t xml:space="preserve">NOT </w:t>
      </w:r>
      <w:r w:rsidR="00573C70" w:rsidRPr="006C2437">
        <w:rPr>
          <w:rFonts w:ascii="Arial" w:hAnsi="Arial" w:cs="Arial"/>
          <w:b/>
          <w:u w:val="single"/>
        </w:rPr>
        <w:t>R</w:t>
      </w:r>
      <w:r w:rsidR="00B5728E" w:rsidRPr="006C2437">
        <w:rPr>
          <w:rFonts w:ascii="Arial" w:hAnsi="Arial" w:cs="Arial"/>
          <w:b/>
          <w:u w:val="single"/>
        </w:rPr>
        <w:t>EPORTABLE</w:t>
      </w:r>
    </w:p>
    <w:p w:rsidR="00726429" w:rsidRDefault="00726429" w:rsidP="00726429">
      <w:pPr>
        <w:spacing w:line="360" w:lineRule="auto"/>
        <w:rPr>
          <w:rFonts w:ascii="Arial" w:hAnsi="Arial" w:cs="Arial"/>
        </w:rPr>
      </w:pPr>
    </w:p>
    <w:p w:rsidR="005D43A8" w:rsidRPr="006C2437" w:rsidRDefault="00210F1B" w:rsidP="00963759">
      <w:pPr>
        <w:spacing w:line="360" w:lineRule="auto"/>
        <w:jc w:val="right"/>
        <w:rPr>
          <w:rFonts w:ascii="Arial" w:hAnsi="Arial" w:cs="Arial"/>
        </w:rPr>
      </w:pPr>
      <w:r w:rsidRPr="006C2437">
        <w:rPr>
          <w:rFonts w:ascii="Arial" w:hAnsi="Arial" w:cs="Arial"/>
        </w:rPr>
        <w:t>CASE NO. LCA 09/2010</w:t>
      </w:r>
    </w:p>
    <w:p w:rsidR="005D43A8" w:rsidRPr="006C2437" w:rsidRDefault="00210F1B" w:rsidP="005D43A8">
      <w:pPr>
        <w:spacing w:line="360" w:lineRule="auto"/>
        <w:rPr>
          <w:rFonts w:ascii="Arial" w:hAnsi="Arial" w:cs="Arial"/>
          <w:b/>
        </w:rPr>
      </w:pPr>
      <w:r w:rsidRPr="006C2437">
        <w:rPr>
          <w:rFonts w:ascii="Arial" w:hAnsi="Arial" w:cs="Arial"/>
          <w:b/>
        </w:rPr>
        <w:t>IN THE LABOUR</w:t>
      </w:r>
      <w:r w:rsidR="005D43A8" w:rsidRPr="006C2437">
        <w:rPr>
          <w:rFonts w:ascii="Arial" w:hAnsi="Arial" w:cs="Arial"/>
          <w:b/>
        </w:rPr>
        <w:t xml:space="preserve"> COURT OF NAMIBIA</w:t>
      </w:r>
    </w:p>
    <w:p w:rsidR="005D43A8" w:rsidRPr="006C2437" w:rsidRDefault="005D43A8" w:rsidP="005D43A8">
      <w:pPr>
        <w:spacing w:line="360" w:lineRule="auto"/>
        <w:rPr>
          <w:rFonts w:ascii="Arial" w:hAnsi="Arial" w:cs="Arial"/>
        </w:rPr>
      </w:pPr>
    </w:p>
    <w:p w:rsidR="005D43A8" w:rsidRPr="006C2437" w:rsidRDefault="005D43A8" w:rsidP="005D43A8">
      <w:pPr>
        <w:spacing w:line="360" w:lineRule="auto"/>
        <w:rPr>
          <w:rFonts w:ascii="Arial" w:hAnsi="Arial" w:cs="Arial"/>
        </w:rPr>
      </w:pPr>
      <w:r w:rsidRPr="006C2437">
        <w:rPr>
          <w:rFonts w:ascii="Arial" w:hAnsi="Arial" w:cs="Arial"/>
        </w:rPr>
        <w:t>In the matter between:</w:t>
      </w:r>
    </w:p>
    <w:p w:rsidR="005D43A8" w:rsidRPr="006C2437" w:rsidRDefault="005D43A8" w:rsidP="005D43A8">
      <w:pPr>
        <w:tabs>
          <w:tab w:val="right" w:pos="8460"/>
        </w:tabs>
        <w:spacing w:line="360" w:lineRule="auto"/>
        <w:rPr>
          <w:rFonts w:ascii="Arial" w:hAnsi="Arial" w:cs="Arial"/>
          <w:b/>
        </w:rPr>
      </w:pPr>
    </w:p>
    <w:tbl>
      <w:tblPr>
        <w:tblW w:w="0" w:type="auto"/>
        <w:tblLayout w:type="fixed"/>
        <w:tblLook w:val="0000" w:firstRow="0" w:lastRow="0" w:firstColumn="0" w:lastColumn="0" w:noHBand="0" w:noVBand="0"/>
      </w:tblPr>
      <w:tblGrid>
        <w:gridCol w:w="5868"/>
        <w:gridCol w:w="2880"/>
      </w:tblGrid>
      <w:tr w:rsidR="005D43A8" w:rsidRPr="006C2437">
        <w:tc>
          <w:tcPr>
            <w:tcW w:w="5868" w:type="dxa"/>
          </w:tcPr>
          <w:p w:rsidR="00573C70" w:rsidRPr="006C2437" w:rsidRDefault="00B86BF3" w:rsidP="00726429">
            <w:pPr>
              <w:rPr>
                <w:rFonts w:ascii="Arial" w:hAnsi="Arial" w:cs="Arial"/>
              </w:rPr>
            </w:pPr>
            <w:r w:rsidRPr="006C2437">
              <w:rPr>
                <w:rFonts w:ascii="Arial" w:hAnsi="Arial" w:cs="Arial"/>
                <w:b/>
              </w:rPr>
              <w:t>T</w:t>
            </w:r>
            <w:r w:rsidR="00210F1B" w:rsidRPr="006C2437">
              <w:rPr>
                <w:rFonts w:ascii="Arial" w:hAnsi="Arial" w:cs="Arial"/>
                <w:b/>
              </w:rPr>
              <w:t>RENTYRE NAMIBIA (PTY) LIMITED</w:t>
            </w:r>
          </w:p>
        </w:tc>
        <w:tc>
          <w:tcPr>
            <w:tcW w:w="2880" w:type="dxa"/>
          </w:tcPr>
          <w:p w:rsidR="005D43A8" w:rsidRPr="006C2437" w:rsidRDefault="003558C2" w:rsidP="003558C2">
            <w:pPr>
              <w:rPr>
                <w:rFonts w:ascii="Arial" w:hAnsi="Arial" w:cs="Arial"/>
                <w:b/>
              </w:rPr>
            </w:pPr>
            <w:r>
              <w:rPr>
                <w:rFonts w:ascii="Arial" w:hAnsi="Arial" w:cs="Arial"/>
                <w:b/>
              </w:rPr>
              <w:t xml:space="preserve">                  A</w:t>
            </w:r>
            <w:r w:rsidR="00726429">
              <w:rPr>
                <w:rFonts w:ascii="Arial" w:hAnsi="Arial" w:cs="Arial"/>
                <w:b/>
              </w:rPr>
              <w:t>PPLICANT</w:t>
            </w:r>
          </w:p>
          <w:p w:rsidR="005D43A8" w:rsidRPr="006C2437" w:rsidRDefault="005D43A8" w:rsidP="00726429">
            <w:pPr>
              <w:ind w:left="-339"/>
              <w:jc w:val="right"/>
              <w:rPr>
                <w:rFonts w:ascii="Arial" w:hAnsi="Arial" w:cs="Arial"/>
                <w:b/>
              </w:rPr>
            </w:pPr>
          </w:p>
        </w:tc>
      </w:tr>
      <w:tr w:rsidR="005D43A8" w:rsidRPr="006C2437">
        <w:tc>
          <w:tcPr>
            <w:tcW w:w="5868" w:type="dxa"/>
          </w:tcPr>
          <w:p w:rsidR="005D43A8" w:rsidRPr="006C2437" w:rsidRDefault="005D43A8" w:rsidP="00A16C43">
            <w:pPr>
              <w:rPr>
                <w:rFonts w:ascii="Arial" w:hAnsi="Arial" w:cs="Arial"/>
                <w:b/>
              </w:rPr>
            </w:pPr>
          </w:p>
        </w:tc>
        <w:tc>
          <w:tcPr>
            <w:tcW w:w="2880" w:type="dxa"/>
          </w:tcPr>
          <w:p w:rsidR="005D43A8" w:rsidRDefault="005D43A8" w:rsidP="00726429">
            <w:pPr>
              <w:ind w:left="-339"/>
              <w:jc w:val="right"/>
              <w:rPr>
                <w:rFonts w:ascii="Arial" w:hAnsi="Arial" w:cs="Arial"/>
                <w:b/>
              </w:rPr>
            </w:pPr>
          </w:p>
          <w:p w:rsidR="003558C2" w:rsidRPr="006C2437" w:rsidRDefault="003558C2" w:rsidP="00726429">
            <w:pPr>
              <w:ind w:left="-339"/>
              <w:jc w:val="right"/>
              <w:rPr>
                <w:rFonts w:ascii="Arial" w:hAnsi="Arial" w:cs="Arial"/>
                <w:b/>
              </w:rPr>
            </w:pPr>
          </w:p>
        </w:tc>
      </w:tr>
    </w:tbl>
    <w:p w:rsidR="005D43A8" w:rsidRPr="006C2437" w:rsidRDefault="005D43A8" w:rsidP="005D43A8">
      <w:pPr>
        <w:tabs>
          <w:tab w:val="right" w:pos="8460"/>
        </w:tabs>
        <w:spacing w:line="360" w:lineRule="auto"/>
        <w:rPr>
          <w:rFonts w:ascii="Arial" w:hAnsi="Arial" w:cs="Arial"/>
        </w:rPr>
      </w:pPr>
      <w:r w:rsidRPr="006C2437">
        <w:rPr>
          <w:rFonts w:ascii="Arial" w:hAnsi="Arial" w:cs="Arial"/>
        </w:rPr>
        <w:t>and</w:t>
      </w:r>
    </w:p>
    <w:p w:rsidR="00716CF5" w:rsidRDefault="00716CF5" w:rsidP="005D43A8">
      <w:pPr>
        <w:tabs>
          <w:tab w:val="right" w:pos="8460"/>
        </w:tabs>
        <w:spacing w:line="360" w:lineRule="auto"/>
        <w:rPr>
          <w:rFonts w:ascii="Arial" w:hAnsi="Arial" w:cs="Arial"/>
          <w:b/>
        </w:rPr>
      </w:pPr>
    </w:p>
    <w:p w:rsidR="00726429" w:rsidRPr="006C2437" w:rsidRDefault="00726429" w:rsidP="005D43A8">
      <w:pPr>
        <w:tabs>
          <w:tab w:val="right" w:pos="8460"/>
        </w:tabs>
        <w:spacing w:line="360" w:lineRule="auto"/>
        <w:rPr>
          <w:rFonts w:ascii="Arial" w:hAnsi="Arial" w:cs="Arial"/>
          <w:b/>
        </w:rPr>
      </w:pPr>
    </w:p>
    <w:p w:rsidR="007E67CF" w:rsidRPr="006C2437" w:rsidRDefault="00210F1B" w:rsidP="00B86BF3">
      <w:pPr>
        <w:tabs>
          <w:tab w:val="right" w:pos="8460"/>
        </w:tabs>
        <w:spacing w:line="360" w:lineRule="auto"/>
        <w:rPr>
          <w:rFonts w:ascii="Arial" w:hAnsi="Arial" w:cs="Arial"/>
          <w:b/>
        </w:rPr>
      </w:pPr>
      <w:r w:rsidRPr="006C2437">
        <w:rPr>
          <w:rFonts w:ascii="Arial" w:hAnsi="Arial" w:cs="Arial"/>
          <w:b/>
        </w:rPr>
        <w:t>L M SCHOLTZ</w:t>
      </w:r>
      <w:r w:rsidR="002E01AB" w:rsidRPr="006C2437">
        <w:rPr>
          <w:rFonts w:ascii="Arial" w:hAnsi="Arial" w:cs="Arial"/>
          <w:b/>
        </w:rPr>
        <w:tab/>
      </w:r>
      <w:r w:rsidR="00F054A0" w:rsidRPr="006C2437">
        <w:rPr>
          <w:rFonts w:ascii="Arial" w:hAnsi="Arial" w:cs="Arial"/>
          <w:b/>
        </w:rPr>
        <w:t>RESPONDENT</w:t>
      </w:r>
    </w:p>
    <w:tbl>
      <w:tblPr>
        <w:tblW w:w="0" w:type="auto"/>
        <w:tblLayout w:type="fixed"/>
        <w:tblLook w:val="0000" w:firstRow="0" w:lastRow="0" w:firstColumn="0" w:lastColumn="0" w:noHBand="0" w:noVBand="0"/>
      </w:tblPr>
      <w:tblGrid>
        <w:gridCol w:w="5868"/>
        <w:gridCol w:w="2880"/>
      </w:tblGrid>
      <w:tr w:rsidR="009F7F0C" w:rsidRPr="006C2437">
        <w:tc>
          <w:tcPr>
            <w:tcW w:w="5868" w:type="dxa"/>
          </w:tcPr>
          <w:p w:rsidR="009F7F0C" w:rsidRDefault="009F7F0C" w:rsidP="00BC1F70">
            <w:pPr>
              <w:rPr>
                <w:rFonts w:ascii="Arial" w:hAnsi="Arial" w:cs="Arial"/>
                <w:b/>
              </w:rPr>
            </w:pPr>
          </w:p>
          <w:p w:rsidR="00726429" w:rsidRPr="006C2437" w:rsidRDefault="00726429" w:rsidP="00BC1F70">
            <w:pPr>
              <w:rPr>
                <w:rFonts w:ascii="Arial" w:hAnsi="Arial" w:cs="Arial"/>
                <w:b/>
              </w:rPr>
            </w:pPr>
          </w:p>
        </w:tc>
        <w:tc>
          <w:tcPr>
            <w:tcW w:w="2880" w:type="dxa"/>
          </w:tcPr>
          <w:p w:rsidR="009F7F0C" w:rsidRPr="006C2437" w:rsidRDefault="009F7F0C" w:rsidP="00BC1F70">
            <w:pPr>
              <w:jc w:val="right"/>
              <w:rPr>
                <w:rFonts w:ascii="Arial" w:hAnsi="Arial" w:cs="Arial"/>
                <w:b/>
              </w:rPr>
            </w:pPr>
          </w:p>
        </w:tc>
      </w:tr>
      <w:tr w:rsidR="009F7F0C" w:rsidRPr="006C2437">
        <w:tc>
          <w:tcPr>
            <w:tcW w:w="5868" w:type="dxa"/>
          </w:tcPr>
          <w:p w:rsidR="009F7F0C" w:rsidRPr="006C2437" w:rsidRDefault="009F7F0C" w:rsidP="00BC1F70">
            <w:pPr>
              <w:rPr>
                <w:rFonts w:ascii="Arial" w:hAnsi="Arial" w:cs="Arial"/>
                <w:b/>
              </w:rPr>
            </w:pPr>
          </w:p>
        </w:tc>
        <w:tc>
          <w:tcPr>
            <w:tcW w:w="2880" w:type="dxa"/>
          </w:tcPr>
          <w:p w:rsidR="009F7F0C" w:rsidRPr="006C2437" w:rsidRDefault="009F7F0C" w:rsidP="00BC1F70">
            <w:pPr>
              <w:jc w:val="right"/>
              <w:rPr>
                <w:rFonts w:ascii="Arial" w:hAnsi="Arial" w:cs="Arial"/>
                <w:b/>
              </w:rPr>
            </w:pPr>
          </w:p>
        </w:tc>
      </w:tr>
    </w:tbl>
    <w:p w:rsidR="005D43A8" w:rsidRPr="006C2437" w:rsidRDefault="0095077C" w:rsidP="0095077C">
      <w:pPr>
        <w:tabs>
          <w:tab w:val="right" w:pos="8460"/>
        </w:tabs>
        <w:spacing w:line="360" w:lineRule="auto"/>
        <w:rPr>
          <w:rFonts w:ascii="Arial" w:hAnsi="Arial" w:cs="Arial"/>
          <w:b/>
        </w:rPr>
      </w:pPr>
      <w:r w:rsidRPr="006C2437">
        <w:rPr>
          <w:rFonts w:ascii="Arial" w:hAnsi="Arial" w:cs="Arial"/>
          <w:b/>
        </w:rPr>
        <w:t xml:space="preserve">CORAM:  </w:t>
      </w:r>
      <w:r w:rsidR="00B5728E" w:rsidRPr="006C2437">
        <w:rPr>
          <w:rFonts w:ascii="Arial" w:hAnsi="Arial" w:cs="Arial"/>
          <w:b/>
        </w:rPr>
        <w:t>CORBETT</w:t>
      </w:r>
      <w:r w:rsidR="005D43A8" w:rsidRPr="006C2437">
        <w:rPr>
          <w:rFonts w:ascii="Arial" w:hAnsi="Arial" w:cs="Arial"/>
          <w:b/>
        </w:rPr>
        <w:t>, A.J</w:t>
      </w:r>
    </w:p>
    <w:p w:rsidR="002E01AB" w:rsidRPr="006C2437" w:rsidRDefault="002E01AB" w:rsidP="005D43A8">
      <w:pPr>
        <w:spacing w:line="360" w:lineRule="auto"/>
        <w:rPr>
          <w:rFonts w:ascii="Arial" w:hAnsi="Arial" w:cs="Arial"/>
        </w:rPr>
      </w:pPr>
    </w:p>
    <w:p w:rsidR="005D43A8" w:rsidRPr="006C2437" w:rsidRDefault="0095077C" w:rsidP="005D43A8">
      <w:pPr>
        <w:spacing w:line="360" w:lineRule="auto"/>
        <w:rPr>
          <w:rFonts w:ascii="Arial" w:hAnsi="Arial" w:cs="Arial"/>
          <w:b/>
        </w:rPr>
      </w:pPr>
      <w:r w:rsidRPr="006C2437">
        <w:rPr>
          <w:rFonts w:ascii="Arial" w:hAnsi="Arial" w:cs="Arial"/>
        </w:rPr>
        <w:t xml:space="preserve">Heard on:  </w:t>
      </w:r>
      <w:r w:rsidR="000E0B0A">
        <w:rPr>
          <w:rFonts w:ascii="Arial" w:hAnsi="Arial" w:cs="Arial"/>
        </w:rPr>
        <w:tab/>
      </w:r>
      <w:r w:rsidR="00726429">
        <w:rPr>
          <w:rFonts w:ascii="Arial" w:hAnsi="Arial" w:cs="Arial"/>
        </w:rPr>
        <w:t xml:space="preserve">22 November </w:t>
      </w:r>
      <w:r w:rsidR="00210F1B" w:rsidRPr="00726429">
        <w:rPr>
          <w:rFonts w:ascii="Arial" w:hAnsi="Arial" w:cs="Arial"/>
        </w:rPr>
        <w:t>2011</w:t>
      </w:r>
    </w:p>
    <w:p w:rsidR="005D43A8" w:rsidRPr="006C2437" w:rsidRDefault="005D43A8" w:rsidP="005D43A8">
      <w:pPr>
        <w:spacing w:line="360" w:lineRule="auto"/>
        <w:rPr>
          <w:rFonts w:ascii="Arial" w:hAnsi="Arial" w:cs="Arial"/>
          <w:b/>
        </w:rPr>
      </w:pPr>
      <w:r w:rsidRPr="006C2437">
        <w:rPr>
          <w:rFonts w:ascii="Arial" w:hAnsi="Arial" w:cs="Arial"/>
        </w:rPr>
        <w:t>Delivered on:</w:t>
      </w:r>
      <w:r w:rsidR="00210F1B" w:rsidRPr="006C2437">
        <w:rPr>
          <w:rFonts w:ascii="Arial" w:hAnsi="Arial" w:cs="Arial"/>
          <w:b/>
        </w:rPr>
        <w:tab/>
        <w:t xml:space="preserve"> </w:t>
      </w:r>
      <w:r w:rsidR="002B7DB9">
        <w:rPr>
          <w:rFonts w:ascii="Arial" w:hAnsi="Arial" w:cs="Arial"/>
        </w:rPr>
        <w:t>11</w:t>
      </w:r>
      <w:r w:rsidR="000E0B0A" w:rsidRPr="00EF538E">
        <w:rPr>
          <w:rFonts w:ascii="Arial" w:hAnsi="Arial" w:cs="Arial"/>
        </w:rPr>
        <w:t xml:space="preserve"> </w:t>
      </w:r>
      <w:r w:rsidR="00210F1B" w:rsidRPr="000E0B0A">
        <w:rPr>
          <w:rFonts w:ascii="Arial" w:hAnsi="Arial" w:cs="Arial"/>
        </w:rPr>
        <w:t>J</w:t>
      </w:r>
      <w:r w:rsidR="00726429">
        <w:rPr>
          <w:rFonts w:ascii="Arial" w:hAnsi="Arial" w:cs="Arial"/>
        </w:rPr>
        <w:t>u</w:t>
      </w:r>
      <w:r w:rsidR="008300D0">
        <w:rPr>
          <w:rFonts w:ascii="Arial" w:hAnsi="Arial" w:cs="Arial"/>
        </w:rPr>
        <w:t xml:space="preserve">ne </w:t>
      </w:r>
      <w:r w:rsidR="00210F1B" w:rsidRPr="00726429">
        <w:rPr>
          <w:rFonts w:ascii="Arial" w:hAnsi="Arial" w:cs="Arial"/>
        </w:rPr>
        <w:t xml:space="preserve"> 2012</w:t>
      </w:r>
    </w:p>
    <w:p w:rsidR="005D43A8" w:rsidRPr="006C2437" w:rsidRDefault="005D43A8" w:rsidP="005D43A8">
      <w:pPr>
        <w:spacing w:line="360" w:lineRule="auto"/>
        <w:rPr>
          <w:rFonts w:ascii="Arial" w:hAnsi="Arial" w:cs="Arial"/>
          <w:b/>
        </w:rPr>
      </w:pPr>
      <w:r w:rsidRPr="006C2437">
        <w:rPr>
          <w:rFonts w:ascii="Arial" w:hAnsi="Arial" w:cs="Arial"/>
          <w:b/>
        </w:rPr>
        <w:t>______________________________________________________________</w:t>
      </w:r>
    </w:p>
    <w:p w:rsidR="00335701" w:rsidRPr="006C2437" w:rsidRDefault="00335701" w:rsidP="005D43A8">
      <w:pPr>
        <w:spacing w:line="360" w:lineRule="auto"/>
        <w:rPr>
          <w:rFonts w:ascii="Arial" w:hAnsi="Arial" w:cs="Arial"/>
          <w:b/>
          <w:u w:val="single"/>
        </w:rPr>
      </w:pPr>
    </w:p>
    <w:p w:rsidR="00726429" w:rsidRDefault="00726429" w:rsidP="005D43A8">
      <w:pPr>
        <w:spacing w:line="360" w:lineRule="auto"/>
        <w:rPr>
          <w:rFonts w:ascii="Arial" w:hAnsi="Arial" w:cs="Arial"/>
          <w:b/>
          <w:u w:val="single"/>
        </w:rPr>
      </w:pPr>
    </w:p>
    <w:p w:rsidR="00726429" w:rsidRDefault="00726429" w:rsidP="005D43A8">
      <w:pPr>
        <w:spacing w:line="360" w:lineRule="auto"/>
        <w:rPr>
          <w:rFonts w:ascii="Arial" w:hAnsi="Arial" w:cs="Arial"/>
          <w:b/>
          <w:u w:val="single"/>
        </w:rPr>
      </w:pPr>
    </w:p>
    <w:p w:rsidR="00726429" w:rsidRDefault="00726429" w:rsidP="005D43A8">
      <w:pPr>
        <w:spacing w:line="360" w:lineRule="auto"/>
        <w:rPr>
          <w:rFonts w:ascii="Arial" w:hAnsi="Arial" w:cs="Arial"/>
          <w:b/>
          <w:u w:val="single"/>
        </w:rPr>
      </w:pPr>
    </w:p>
    <w:p w:rsidR="005D43A8" w:rsidRPr="006C2437" w:rsidRDefault="005D43A8" w:rsidP="005D43A8">
      <w:pPr>
        <w:spacing w:line="360" w:lineRule="auto"/>
        <w:rPr>
          <w:rFonts w:ascii="Arial" w:hAnsi="Arial" w:cs="Arial"/>
          <w:b/>
          <w:u w:val="single"/>
        </w:rPr>
      </w:pPr>
      <w:r w:rsidRPr="006C2437">
        <w:rPr>
          <w:rFonts w:ascii="Arial" w:hAnsi="Arial" w:cs="Arial"/>
          <w:b/>
          <w:u w:val="single"/>
        </w:rPr>
        <w:lastRenderedPageBreak/>
        <w:t>JUDGMENT</w:t>
      </w:r>
    </w:p>
    <w:p w:rsidR="005D43A8" w:rsidRDefault="005D43A8" w:rsidP="005D43A8">
      <w:pPr>
        <w:spacing w:line="360" w:lineRule="auto"/>
        <w:rPr>
          <w:rFonts w:ascii="Arial" w:hAnsi="Arial" w:cs="Arial"/>
          <w:b/>
          <w:u w:val="single"/>
        </w:rPr>
      </w:pPr>
    </w:p>
    <w:p w:rsidR="00833DBE" w:rsidRPr="006C2437" w:rsidRDefault="00833DBE" w:rsidP="005D43A8">
      <w:pPr>
        <w:spacing w:line="360" w:lineRule="auto"/>
        <w:rPr>
          <w:rFonts w:ascii="Arial" w:hAnsi="Arial" w:cs="Arial"/>
          <w:b/>
          <w:u w:val="single"/>
        </w:rPr>
      </w:pPr>
    </w:p>
    <w:p w:rsidR="005C5FE2" w:rsidRPr="006C2437" w:rsidRDefault="00B5728E" w:rsidP="005C5FE2">
      <w:pPr>
        <w:spacing w:line="480" w:lineRule="auto"/>
        <w:jc w:val="both"/>
        <w:rPr>
          <w:rFonts w:ascii="Arial" w:hAnsi="Arial" w:cs="Arial"/>
        </w:rPr>
      </w:pPr>
      <w:r w:rsidRPr="006C2437">
        <w:rPr>
          <w:rFonts w:ascii="Arial" w:hAnsi="Arial" w:cs="Arial"/>
          <w:b/>
          <w:u w:val="single"/>
        </w:rPr>
        <w:t>CORBETT</w:t>
      </w:r>
      <w:r w:rsidR="005D43A8" w:rsidRPr="006C2437">
        <w:rPr>
          <w:rFonts w:ascii="Arial" w:hAnsi="Arial" w:cs="Arial"/>
          <w:b/>
          <w:u w:val="single"/>
        </w:rPr>
        <w:t>, A.J:</w:t>
      </w:r>
      <w:r w:rsidR="005D43A8" w:rsidRPr="006C2437">
        <w:rPr>
          <w:rFonts w:ascii="Arial" w:hAnsi="Arial" w:cs="Arial"/>
        </w:rPr>
        <w:t xml:space="preserve"> </w:t>
      </w:r>
    </w:p>
    <w:p w:rsidR="005C5FE2" w:rsidRPr="006C2437" w:rsidRDefault="005C5FE2" w:rsidP="005D43A8">
      <w:pPr>
        <w:spacing w:line="480" w:lineRule="auto"/>
        <w:jc w:val="both"/>
        <w:rPr>
          <w:rFonts w:ascii="Arial" w:hAnsi="Arial" w:cs="Arial"/>
        </w:rPr>
      </w:pPr>
    </w:p>
    <w:p w:rsidR="00210F1B" w:rsidRPr="006C2437" w:rsidRDefault="005D43A8" w:rsidP="005D43A8">
      <w:pPr>
        <w:spacing w:line="480" w:lineRule="auto"/>
        <w:jc w:val="both"/>
        <w:rPr>
          <w:rFonts w:ascii="Arial" w:hAnsi="Arial" w:cs="Arial"/>
        </w:rPr>
      </w:pPr>
      <w:r w:rsidRPr="006C2437">
        <w:rPr>
          <w:rFonts w:ascii="Arial" w:hAnsi="Arial" w:cs="Arial"/>
        </w:rPr>
        <w:t>[1]</w:t>
      </w:r>
      <w:r w:rsidRPr="006C2437">
        <w:rPr>
          <w:rFonts w:ascii="Arial" w:hAnsi="Arial" w:cs="Arial"/>
        </w:rPr>
        <w:tab/>
      </w:r>
      <w:r w:rsidR="00210F1B" w:rsidRPr="006C2437">
        <w:rPr>
          <w:rFonts w:ascii="Arial" w:hAnsi="Arial" w:cs="Arial"/>
        </w:rPr>
        <w:t xml:space="preserve">In this matter </w:t>
      </w:r>
      <w:r w:rsidR="00726429">
        <w:rPr>
          <w:rFonts w:ascii="Arial" w:hAnsi="Arial" w:cs="Arial"/>
        </w:rPr>
        <w:t xml:space="preserve">an </w:t>
      </w:r>
      <w:r w:rsidR="00EB1FD5">
        <w:rPr>
          <w:rFonts w:ascii="Arial" w:hAnsi="Arial" w:cs="Arial"/>
        </w:rPr>
        <w:t>A</w:t>
      </w:r>
      <w:r w:rsidR="00726429">
        <w:rPr>
          <w:rFonts w:ascii="Arial" w:hAnsi="Arial" w:cs="Arial"/>
        </w:rPr>
        <w:t xml:space="preserve">rbitrator </w:t>
      </w:r>
      <w:r w:rsidR="002D5C33">
        <w:rPr>
          <w:rFonts w:ascii="Arial" w:hAnsi="Arial" w:cs="Arial"/>
        </w:rPr>
        <w:t xml:space="preserve">had </w:t>
      </w:r>
      <w:r w:rsidR="00726429">
        <w:rPr>
          <w:rFonts w:ascii="Arial" w:hAnsi="Arial" w:cs="Arial"/>
        </w:rPr>
        <w:t xml:space="preserve">found that the applicant had constructively dismissed the respondent and </w:t>
      </w:r>
      <w:r w:rsidR="00CE2456">
        <w:rPr>
          <w:rFonts w:ascii="Arial" w:hAnsi="Arial" w:cs="Arial"/>
        </w:rPr>
        <w:t>ordered that compensation be paid to her. On 5 February 2010 the applicant</w:t>
      </w:r>
      <w:r w:rsidR="00C30044">
        <w:rPr>
          <w:rFonts w:ascii="Arial" w:hAnsi="Arial" w:cs="Arial"/>
        </w:rPr>
        <w:t>,</w:t>
      </w:r>
      <w:r w:rsidR="00CE2456">
        <w:rPr>
          <w:rFonts w:ascii="Arial" w:hAnsi="Arial" w:cs="Arial"/>
        </w:rPr>
        <w:t xml:space="preserve"> in terms of section 89(2) of the Labour Act, No. 11 of 2007 </w:t>
      </w:r>
      <w:r w:rsidR="00FD061F">
        <w:rPr>
          <w:rFonts w:ascii="Arial" w:hAnsi="Arial" w:cs="Arial"/>
        </w:rPr>
        <w:t>(“the Act”)</w:t>
      </w:r>
      <w:r w:rsidR="00C30044">
        <w:rPr>
          <w:rFonts w:ascii="Arial" w:hAnsi="Arial" w:cs="Arial"/>
        </w:rPr>
        <w:t>,</w:t>
      </w:r>
      <w:r w:rsidR="00FD061F">
        <w:rPr>
          <w:rFonts w:ascii="Arial" w:hAnsi="Arial" w:cs="Arial"/>
        </w:rPr>
        <w:t xml:space="preserve"> </w:t>
      </w:r>
      <w:r w:rsidR="00CE2456">
        <w:rPr>
          <w:rFonts w:ascii="Arial" w:hAnsi="Arial" w:cs="Arial"/>
        </w:rPr>
        <w:t xml:space="preserve">timeously noted an appeal against the </w:t>
      </w:r>
      <w:r w:rsidR="00EB1FD5">
        <w:rPr>
          <w:rFonts w:ascii="Arial" w:hAnsi="Arial" w:cs="Arial"/>
        </w:rPr>
        <w:t>A</w:t>
      </w:r>
      <w:r w:rsidR="00CE2456">
        <w:rPr>
          <w:rFonts w:ascii="Arial" w:hAnsi="Arial" w:cs="Arial"/>
        </w:rPr>
        <w:t xml:space="preserve">rbitrator’s award to this Court.  </w:t>
      </w:r>
      <w:r w:rsidR="00C30044">
        <w:rPr>
          <w:rFonts w:ascii="Arial" w:hAnsi="Arial" w:cs="Arial"/>
        </w:rPr>
        <w:t>After noting the appeal on 5 February 2010 the applicant’s legal practitioner states that he obtained a copy of the record on 27 April 2010.  On 14 May, after verifying the record, he delivered a copy of the record to the legal practitioner representing the respondent and the matter was set down for hearing.  However, o</w:t>
      </w:r>
      <w:r w:rsidR="00CE2456">
        <w:rPr>
          <w:rFonts w:ascii="Arial" w:hAnsi="Arial" w:cs="Arial"/>
        </w:rPr>
        <w:t xml:space="preserve">n 15 October 2010 the appeal was struck from the roll due to </w:t>
      </w:r>
      <w:r w:rsidR="002D5C33">
        <w:rPr>
          <w:rFonts w:ascii="Arial" w:hAnsi="Arial" w:cs="Arial"/>
        </w:rPr>
        <w:t xml:space="preserve">the fact that it had lapsed and the applicant was ordered to pay costs.  A further application was filed on 29 October 2010 wherein </w:t>
      </w:r>
      <w:r w:rsidR="00210F1B" w:rsidRPr="006C2437">
        <w:rPr>
          <w:rFonts w:ascii="Arial" w:hAnsi="Arial" w:cs="Arial"/>
        </w:rPr>
        <w:t>the app</w:t>
      </w:r>
      <w:r w:rsidR="002D5C33">
        <w:rPr>
          <w:rFonts w:ascii="Arial" w:hAnsi="Arial" w:cs="Arial"/>
        </w:rPr>
        <w:t xml:space="preserve">licant </w:t>
      </w:r>
      <w:r w:rsidR="00210F1B" w:rsidRPr="006C2437">
        <w:rPr>
          <w:rFonts w:ascii="Arial" w:hAnsi="Arial" w:cs="Arial"/>
        </w:rPr>
        <w:t xml:space="preserve">seeks an order that its </w:t>
      </w:r>
      <w:r w:rsidR="002D5C33">
        <w:rPr>
          <w:rFonts w:ascii="Arial" w:hAnsi="Arial" w:cs="Arial"/>
        </w:rPr>
        <w:t xml:space="preserve">lapsed </w:t>
      </w:r>
      <w:r w:rsidR="00210F1B" w:rsidRPr="006C2437">
        <w:rPr>
          <w:rFonts w:ascii="Arial" w:hAnsi="Arial" w:cs="Arial"/>
        </w:rPr>
        <w:t>appeal be re-instated together with ancillary relief.</w:t>
      </w:r>
      <w:r w:rsidR="002D5C33">
        <w:rPr>
          <w:rFonts w:ascii="Arial" w:hAnsi="Arial" w:cs="Arial"/>
        </w:rPr>
        <w:t xml:space="preserve">  This is the matter that now falls to be determined. </w:t>
      </w:r>
    </w:p>
    <w:p w:rsidR="00210F1B" w:rsidRDefault="00210F1B" w:rsidP="005D43A8">
      <w:pPr>
        <w:spacing w:line="480" w:lineRule="auto"/>
        <w:jc w:val="both"/>
        <w:rPr>
          <w:rFonts w:ascii="Arial" w:hAnsi="Arial" w:cs="Arial"/>
        </w:rPr>
      </w:pPr>
    </w:p>
    <w:p w:rsidR="00C30044" w:rsidRDefault="00C30044" w:rsidP="005D43A8">
      <w:pPr>
        <w:spacing w:line="480" w:lineRule="auto"/>
        <w:jc w:val="both"/>
        <w:rPr>
          <w:rFonts w:ascii="Arial" w:hAnsi="Arial" w:cs="Arial"/>
          <w:u w:val="single"/>
        </w:rPr>
      </w:pPr>
      <w:r w:rsidRPr="00C30044">
        <w:rPr>
          <w:rFonts w:ascii="Arial" w:hAnsi="Arial" w:cs="Arial"/>
          <w:u w:val="single"/>
        </w:rPr>
        <w:t xml:space="preserve">THE </w:t>
      </w:r>
      <w:r w:rsidR="003558C2">
        <w:rPr>
          <w:rFonts w:ascii="Arial" w:hAnsi="Arial" w:cs="Arial"/>
          <w:u w:val="single"/>
        </w:rPr>
        <w:t>PROCEDURAL CONTEXT</w:t>
      </w:r>
    </w:p>
    <w:p w:rsidR="00C30044" w:rsidRPr="00C30044" w:rsidRDefault="00C30044" w:rsidP="005D43A8">
      <w:pPr>
        <w:spacing w:line="480" w:lineRule="auto"/>
        <w:jc w:val="both"/>
        <w:rPr>
          <w:rFonts w:ascii="Arial" w:hAnsi="Arial" w:cs="Arial"/>
          <w:u w:val="single"/>
        </w:rPr>
      </w:pPr>
    </w:p>
    <w:p w:rsidR="00FC36B8" w:rsidRDefault="00FD061F" w:rsidP="00FD061F">
      <w:pPr>
        <w:spacing w:line="480" w:lineRule="auto"/>
        <w:jc w:val="both"/>
        <w:rPr>
          <w:rFonts w:ascii="Arial" w:hAnsi="Arial" w:cs="Arial"/>
        </w:rPr>
      </w:pPr>
      <w:r w:rsidRPr="006C2437">
        <w:rPr>
          <w:rFonts w:ascii="Arial" w:hAnsi="Arial" w:cs="Arial"/>
        </w:rPr>
        <w:t>[</w:t>
      </w:r>
      <w:r>
        <w:rPr>
          <w:rFonts w:ascii="Arial" w:hAnsi="Arial" w:cs="Arial"/>
        </w:rPr>
        <w:t>2</w:t>
      </w:r>
      <w:r w:rsidRPr="006C2437">
        <w:rPr>
          <w:rFonts w:ascii="Arial" w:hAnsi="Arial" w:cs="Arial"/>
        </w:rPr>
        <w:t>]</w:t>
      </w:r>
      <w:r w:rsidRPr="006C2437">
        <w:rPr>
          <w:rFonts w:ascii="Arial" w:hAnsi="Arial" w:cs="Arial"/>
        </w:rPr>
        <w:tab/>
        <w:t>In terms of the procedure provided for in the Rules</w:t>
      </w:r>
      <w:r>
        <w:rPr>
          <w:rFonts w:ascii="Arial" w:hAnsi="Arial" w:cs="Arial"/>
        </w:rPr>
        <w:t xml:space="preserve"> promulgated in terms of the Act</w:t>
      </w:r>
      <w:r w:rsidRPr="006C2437">
        <w:rPr>
          <w:rFonts w:ascii="Arial" w:hAnsi="Arial" w:cs="Arial"/>
        </w:rPr>
        <w:t xml:space="preserve">, once an appeal has been noted, the office of the Labour Commissioner must ensure that the record of the arbitration proceedings is </w:t>
      </w:r>
      <w:r w:rsidRPr="006C2437">
        <w:rPr>
          <w:rFonts w:ascii="Arial" w:hAnsi="Arial" w:cs="Arial"/>
        </w:rPr>
        <w:lastRenderedPageBreak/>
        <w:t xml:space="preserve">dispatched to the Registrar of the Labour Court within 21 days of receipt of the appellant’s notice of appeal. Upon receipt of the record the appellant has to ensure that the record is complete, indexed and paginated and must provide two copies of the record to the Registrar and one copy to </w:t>
      </w:r>
      <w:r>
        <w:rPr>
          <w:rFonts w:ascii="Arial" w:hAnsi="Arial" w:cs="Arial"/>
        </w:rPr>
        <w:t>the</w:t>
      </w:r>
      <w:r w:rsidRPr="006C2437">
        <w:rPr>
          <w:rFonts w:ascii="Arial" w:hAnsi="Arial" w:cs="Arial"/>
        </w:rPr>
        <w:t xml:space="preserve"> respondent. </w:t>
      </w:r>
    </w:p>
    <w:p w:rsidR="00FC36B8" w:rsidRDefault="00FC36B8" w:rsidP="00FD061F">
      <w:pPr>
        <w:spacing w:line="480" w:lineRule="auto"/>
        <w:jc w:val="both"/>
        <w:rPr>
          <w:rFonts w:ascii="Arial" w:hAnsi="Arial" w:cs="Arial"/>
        </w:rPr>
      </w:pPr>
    </w:p>
    <w:p w:rsidR="000B0FA8" w:rsidRDefault="00FC36B8" w:rsidP="00FD061F">
      <w:pPr>
        <w:spacing w:line="480" w:lineRule="auto"/>
        <w:jc w:val="both"/>
        <w:rPr>
          <w:rFonts w:ascii="Arial" w:hAnsi="Arial" w:cs="Arial"/>
        </w:rPr>
      </w:pPr>
      <w:r>
        <w:rPr>
          <w:rFonts w:ascii="Arial" w:hAnsi="Arial" w:cs="Arial"/>
        </w:rPr>
        <w:t>[3]</w:t>
      </w:r>
      <w:r>
        <w:rPr>
          <w:rFonts w:ascii="Arial" w:hAnsi="Arial" w:cs="Arial"/>
        </w:rPr>
        <w:tab/>
      </w:r>
      <w:r w:rsidR="000B0FA8">
        <w:rPr>
          <w:rFonts w:ascii="Arial" w:hAnsi="Arial" w:cs="Arial"/>
        </w:rPr>
        <w:t>Within 14 days a</w:t>
      </w:r>
      <w:r w:rsidR="00FD061F" w:rsidRPr="006C2437">
        <w:rPr>
          <w:rFonts w:ascii="Arial" w:hAnsi="Arial" w:cs="Arial"/>
        </w:rPr>
        <w:t>fter receipt of the respondent</w:t>
      </w:r>
      <w:r w:rsidR="00FD061F">
        <w:rPr>
          <w:rFonts w:ascii="Arial" w:hAnsi="Arial" w:cs="Arial"/>
        </w:rPr>
        <w:t>’</w:t>
      </w:r>
      <w:r w:rsidR="00FD061F" w:rsidRPr="006C2437">
        <w:rPr>
          <w:rFonts w:ascii="Arial" w:hAnsi="Arial" w:cs="Arial"/>
        </w:rPr>
        <w:t xml:space="preserve">s statement of opposition, the appellant may </w:t>
      </w:r>
      <w:r>
        <w:rPr>
          <w:rFonts w:ascii="Arial" w:hAnsi="Arial" w:cs="Arial"/>
        </w:rPr>
        <w:t xml:space="preserve">in terms of </w:t>
      </w:r>
      <w:r w:rsidR="000B0FA8">
        <w:rPr>
          <w:rFonts w:ascii="Arial" w:hAnsi="Arial" w:cs="Arial"/>
        </w:rPr>
        <w:t xml:space="preserve">Rule 17(17) </w:t>
      </w:r>
      <w:r w:rsidR="00FD061F" w:rsidRPr="006C2437">
        <w:rPr>
          <w:rFonts w:ascii="Arial" w:hAnsi="Arial" w:cs="Arial"/>
        </w:rPr>
        <w:t>apply for a date for the hearing</w:t>
      </w:r>
      <w:r w:rsidR="000B0FA8">
        <w:rPr>
          <w:rFonts w:ascii="Arial" w:hAnsi="Arial" w:cs="Arial"/>
        </w:rPr>
        <w:t>,</w:t>
      </w:r>
      <w:r w:rsidR="00FD061F" w:rsidRPr="006C2437">
        <w:rPr>
          <w:rFonts w:ascii="Arial" w:hAnsi="Arial" w:cs="Arial"/>
        </w:rPr>
        <w:t xml:space="preserve"> failing which the respondent may so apply</w:t>
      </w:r>
      <w:r w:rsidR="000B0FA8">
        <w:rPr>
          <w:rFonts w:ascii="Arial" w:hAnsi="Arial" w:cs="Arial"/>
        </w:rPr>
        <w:t xml:space="preserve"> in terms of Rule 17(18). </w:t>
      </w:r>
      <w:r w:rsidR="00FD061F" w:rsidRPr="006C2437">
        <w:rPr>
          <w:rFonts w:ascii="Arial" w:hAnsi="Arial" w:cs="Arial"/>
        </w:rPr>
        <w:t xml:space="preserve"> Upon </w:t>
      </w:r>
      <w:r w:rsidR="000B0FA8">
        <w:rPr>
          <w:rFonts w:ascii="Arial" w:hAnsi="Arial" w:cs="Arial"/>
        </w:rPr>
        <w:t xml:space="preserve">receipt of such </w:t>
      </w:r>
      <w:r w:rsidR="00FD061F" w:rsidRPr="006C2437">
        <w:rPr>
          <w:rFonts w:ascii="Arial" w:hAnsi="Arial" w:cs="Arial"/>
        </w:rPr>
        <w:t>application</w:t>
      </w:r>
      <w:r w:rsidR="000B0FA8">
        <w:rPr>
          <w:rFonts w:ascii="Arial" w:hAnsi="Arial" w:cs="Arial"/>
        </w:rPr>
        <w:t>, in terms of Rule 17(19)</w:t>
      </w:r>
      <w:r w:rsidR="00FD061F" w:rsidRPr="006C2437">
        <w:rPr>
          <w:rFonts w:ascii="Arial" w:hAnsi="Arial" w:cs="Arial"/>
        </w:rPr>
        <w:t xml:space="preserve"> </w:t>
      </w:r>
      <w:r w:rsidR="000B0FA8">
        <w:rPr>
          <w:rFonts w:ascii="Arial" w:hAnsi="Arial" w:cs="Arial"/>
        </w:rPr>
        <w:t>–</w:t>
      </w:r>
    </w:p>
    <w:p w:rsidR="000B0FA8" w:rsidRDefault="000B0FA8" w:rsidP="00FD061F">
      <w:pPr>
        <w:spacing w:line="480" w:lineRule="auto"/>
        <w:jc w:val="both"/>
        <w:rPr>
          <w:rFonts w:ascii="Arial" w:hAnsi="Arial" w:cs="Arial"/>
        </w:rPr>
      </w:pPr>
    </w:p>
    <w:p w:rsidR="000B0FA8" w:rsidRPr="000B0FA8" w:rsidRDefault="000B0FA8" w:rsidP="000B0FA8">
      <w:pPr>
        <w:spacing w:line="480" w:lineRule="auto"/>
        <w:ind w:left="720"/>
        <w:jc w:val="both"/>
        <w:rPr>
          <w:rFonts w:ascii="Arial" w:hAnsi="Arial" w:cs="Arial"/>
          <w:sz w:val="22"/>
          <w:szCs w:val="22"/>
        </w:rPr>
      </w:pPr>
      <w:r w:rsidRPr="000B0FA8">
        <w:rPr>
          <w:rFonts w:ascii="Arial" w:hAnsi="Arial" w:cs="Arial"/>
          <w:sz w:val="22"/>
          <w:szCs w:val="22"/>
        </w:rPr>
        <w:t>“…the appeal is deemed to be duly prosecuted”.</w:t>
      </w:r>
    </w:p>
    <w:p w:rsidR="000B0FA8" w:rsidRDefault="000B0FA8" w:rsidP="00FD061F">
      <w:pPr>
        <w:spacing w:line="480" w:lineRule="auto"/>
        <w:jc w:val="both"/>
        <w:rPr>
          <w:rFonts w:ascii="Arial" w:hAnsi="Arial" w:cs="Arial"/>
        </w:rPr>
      </w:pPr>
    </w:p>
    <w:p w:rsidR="00FD061F" w:rsidRPr="006C2437" w:rsidRDefault="000B0FA8" w:rsidP="00FD061F">
      <w:pPr>
        <w:spacing w:line="480" w:lineRule="auto"/>
        <w:jc w:val="both"/>
        <w:rPr>
          <w:rFonts w:ascii="Arial" w:hAnsi="Arial" w:cs="Arial"/>
        </w:rPr>
      </w:pPr>
      <w:r>
        <w:rPr>
          <w:rFonts w:ascii="Arial" w:hAnsi="Arial" w:cs="Arial"/>
        </w:rPr>
        <w:t>[4]</w:t>
      </w:r>
      <w:r>
        <w:rPr>
          <w:rFonts w:ascii="Arial" w:hAnsi="Arial" w:cs="Arial"/>
        </w:rPr>
        <w:tab/>
        <w:t>Moreover, Rule 17</w:t>
      </w:r>
      <w:r w:rsidR="00FD061F" w:rsidRPr="006C2437">
        <w:rPr>
          <w:rFonts w:ascii="Arial" w:hAnsi="Arial" w:cs="Arial"/>
        </w:rPr>
        <w:t>(25) directs that–</w:t>
      </w:r>
    </w:p>
    <w:p w:rsidR="00FD061F" w:rsidRPr="006C2437" w:rsidRDefault="00FD061F" w:rsidP="00FD061F">
      <w:pPr>
        <w:spacing w:line="480" w:lineRule="auto"/>
        <w:jc w:val="both"/>
        <w:rPr>
          <w:rFonts w:ascii="Arial" w:hAnsi="Arial" w:cs="Arial"/>
        </w:rPr>
      </w:pPr>
    </w:p>
    <w:p w:rsidR="00FD061F" w:rsidRPr="006C2437" w:rsidRDefault="00FD061F" w:rsidP="00FD061F">
      <w:pPr>
        <w:spacing w:line="480" w:lineRule="auto"/>
        <w:ind w:left="720"/>
        <w:jc w:val="both"/>
        <w:rPr>
          <w:rFonts w:ascii="Arial" w:hAnsi="Arial" w:cs="Arial"/>
        </w:rPr>
      </w:pPr>
      <w:r w:rsidRPr="006C2437">
        <w:rPr>
          <w:rFonts w:ascii="Arial" w:hAnsi="Arial" w:cs="Arial"/>
        </w:rPr>
        <w:t>“</w:t>
      </w:r>
      <w:r w:rsidRPr="006C2437">
        <w:rPr>
          <w:rFonts w:ascii="Arial" w:hAnsi="Arial" w:cs="Arial"/>
          <w:sz w:val="22"/>
          <w:szCs w:val="22"/>
        </w:rPr>
        <w:t>An appeal to which this rule applies must be prosecuted within 90 days after the noting of such appeal, and unless so prosecuted it is deemed to have lapsed.</w:t>
      </w:r>
      <w:r w:rsidRPr="006C2437">
        <w:rPr>
          <w:rFonts w:ascii="Arial" w:hAnsi="Arial" w:cs="Arial"/>
        </w:rPr>
        <w:t>”</w:t>
      </w:r>
    </w:p>
    <w:p w:rsidR="00FD061F" w:rsidRDefault="00FD061F" w:rsidP="005D43A8">
      <w:pPr>
        <w:spacing w:line="480" w:lineRule="auto"/>
        <w:jc w:val="both"/>
        <w:rPr>
          <w:rFonts w:ascii="Arial" w:hAnsi="Arial" w:cs="Arial"/>
        </w:rPr>
      </w:pPr>
    </w:p>
    <w:p w:rsidR="00C57FCB" w:rsidRDefault="00C57FCB" w:rsidP="005D43A8">
      <w:pPr>
        <w:spacing w:line="480" w:lineRule="auto"/>
        <w:jc w:val="both"/>
        <w:rPr>
          <w:rFonts w:ascii="Arial" w:hAnsi="Arial" w:cs="Arial"/>
        </w:rPr>
      </w:pPr>
      <w:r>
        <w:rPr>
          <w:rFonts w:ascii="Arial" w:hAnsi="Arial" w:cs="Arial"/>
        </w:rPr>
        <w:t>[5]</w:t>
      </w:r>
      <w:r>
        <w:rPr>
          <w:rFonts w:ascii="Arial" w:hAnsi="Arial" w:cs="Arial"/>
        </w:rPr>
        <w:tab/>
        <w:t xml:space="preserve">It is within this </w:t>
      </w:r>
      <w:r w:rsidR="003558C2">
        <w:rPr>
          <w:rFonts w:ascii="Arial" w:hAnsi="Arial" w:cs="Arial"/>
        </w:rPr>
        <w:t xml:space="preserve">procedural </w:t>
      </w:r>
      <w:r>
        <w:rPr>
          <w:rFonts w:ascii="Arial" w:hAnsi="Arial" w:cs="Arial"/>
        </w:rPr>
        <w:t>context that the application must be determined.</w:t>
      </w:r>
    </w:p>
    <w:p w:rsidR="00EB701D" w:rsidRDefault="00EB701D" w:rsidP="005D43A8">
      <w:pPr>
        <w:spacing w:line="480" w:lineRule="auto"/>
        <w:jc w:val="both"/>
        <w:rPr>
          <w:rFonts w:ascii="Arial" w:hAnsi="Arial" w:cs="Arial"/>
        </w:rPr>
      </w:pPr>
    </w:p>
    <w:p w:rsidR="00C30044" w:rsidRPr="00C57FCB" w:rsidRDefault="00C30044" w:rsidP="005D43A8">
      <w:pPr>
        <w:spacing w:line="480" w:lineRule="auto"/>
        <w:jc w:val="both"/>
        <w:rPr>
          <w:rFonts w:ascii="Arial" w:hAnsi="Arial" w:cs="Arial"/>
          <w:u w:val="single"/>
        </w:rPr>
      </w:pPr>
      <w:r w:rsidRPr="00C57FCB">
        <w:rPr>
          <w:rFonts w:ascii="Arial" w:hAnsi="Arial" w:cs="Arial"/>
          <w:u w:val="single"/>
        </w:rPr>
        <w:t xml:space="preserve">CONDONATION AND </w:t>
      </w:r>
      <w:r w:rsidR="00240D41">
        <w:rPr>
          <w:rFonts w:ascii="Arial" w:hAnsi="Arial" w:cs="Arial"/>
          <w:u w:val="single"/>
        </w:rPr>
        <w:t>THE PURPOSE OF THE RULES OF COURT</w:t>
      </w:r>
    </w:p>
    <w:p w:rsidR="002D5C33" w:rsidRPr="006C2437" w:rsidRDefault="00FD061F" w:rsidP="005D43A8">
      <w:pPr>
        <w:spacing w:line="480" w:lineRule="auto"/>
        <w:jc w:val="both"/>
        <w:rPr>
          <w:rFonts w:ascii="Arial" w:hAnsi="Arial" w:cs="Arial"/>
        </w:rPr>
      </w:pPr>
      <w:r>
        <w:rPr>
          <w:rFonts w:ascii="Arial" w:hAnsi="Arial" w:cs="Arial"/>
        </w:rPr>
        <w:t xml:space="preserve"> </w:t>
      </w:r>
      <w:r w:rsidR="002D5C33">
        <w:rPr>
          <w:rFonts w:ascii="Arial" w:hAnsi="Arial" w:cs="Arial"/>
        </w:rPr>
        <w:t xml:space="preserve">  </w:t>
      </w:r>
    </w:p>
    <w:p w:rsidR="00EB701D" w:rsidRDefault="00C57FCB" w:rsidP="009E04C8">
      <w:pPr>
        <w:spacing w:line="480" w:lineRule="auto"/>
        <w:jc w:val="both"/>
        <w:rPr>
          <w:rFonts w:ascii="Arial" w:hAnsi="Arial" w:cs="Arial"/>
        </w:rPr>
      </w:pPr>
      <w:r>
        <w:rPr>
          <w:rFonts w:ascii="Arial" w:hAnsi="Arial" w:cs="Arial"/>
        </w:rPr>
        <w:t>[6]</w:t>
      </w:r>
      <w:r>
        <w:rPr>
          <w:rFonts w:ascii="Arial" w:hAnsi="Arial" w:cs="Arial"/>
        </w:rPr>
        <w:tab/>
        <w:t>I am in agreement with Mr Barnard, who appeared for the applicant, that</w:t>
      </w:r>
      <w:r w:rsidR="00400C33">
        <w:rPr>
          <w:rFonts w:ascii="Arial" w:hAnsi="Arial" w:cs="Arial"/>
        </w:rPr>
        <w:t xml:space="preserve"> </w:t>
      </w:r>
      <w:r w:rsidR="00EB701D">
        <w:rPr>
          <w:rFonts w:ascii="Arial" w:hAnsi="Arial" w:cs="Arial"/>
        </w:rPr>
        <w:t xml:space="preserve">where a party has been in default the </w:t>
      </w:r>
      <w:r w:rsidR="00400C33">
        <w:rPr>
          <w:rFonts w:ascii="Arial" w:hAnsi="Arial" w:cs="Arial"/>
        </w:rPr>
        <w:t xml:space="preserve">enquiry </w:t>
      </w:r>
      <w:r w:rsidR="00EB701D">
        <w:rPr>
          <w:rFonts w:ascii="Arial" w:hAnsi="Arial" w:cs="Arial"/>
        </w:rPr>
        <w:t xml:space="preserve">is not </w:t>
      </w:r>
      <w:r w:rsidR="00400C33">
        <w:rPr>
          <w:rFonts w:ascii="Arial" w:hAnsi="Arial" w:cs="Arial"/>
        </w:rPr>
        <w:t xml:space="preserve">whether or not to penalise a </w:t>
      </w:r>
      <w:r w:rsidR="00400C33">
        <w:rPr>
          <w:rFonts w:ascii="Arial" w:hAnsi="Arial" w:cs="Arial"/>
        </w:rPr>
        <w:lastRenderedPageBreak/>
        <w:t>party for failure to comply with the rules of court</w:t>
      </w:r>
      <w:r w:rsidR="00400C33">
        <w:rPr>
          <w:rStyle w:val="FootnoteReference"/>
          <w:rFonts w:ascii="Arial" w:hAnsi="Arial" w:cs="Arial"/>
        </w:rPr>
        <w:footnoteReference w:id="1"/>
      </w:r>
      <w:r w:rsidR="00400C33">
        <w:rPr>
          <w:rFonts w:ascii="Arial" w:hAnsi="Arial" w:cs="Arial"/>
        </w:rPr>
        <w:t>.   In applications</w:t>
      </w:r>
      <w:r w:rsidR="00EB701D">
        <w:rPr>
          <w:rFonts w:ascii="Arial" w:hAnsi="Arial" w:cs="Arial"/>
        </w:rPr>
        <w:t xml:space="preserve"> </w:t>
      </w:r>
      <w:r w:rsidR="00C0024D">
        <w:rPr>
          <w:rFonts w:ascii="Arial" w:hAnsi="Arial" w:cs="Arial"/>
        </w:rPr>
        <w:t xml:space="preserve">for condonation </w:t>
      </w:r>
      <w:r w:rsidR="00EB701D">
        <w:rPr>
          <w:rFonts w:ascii="Arial" w:hAnsi="Arial" w:cs="Arial"/>
        </w:rPr>
        <w:t xml:space="preserve">the factors usually weighed by the Court include </w:t>
      </w:r>
      <w:r w:rsidR="00C0024D">
        <w:rPr>
          <w:rStyle w:val="FootnoteReference"/>
          <w:rFonts w:ascii="Arial" w:hAnsi="Arial" w:cs="Arial"/>
        </w:rPr>
        <w:footnoteReference w:id="2"/>
      </w:r>
      <w:r w:rsidR="00C0024D">
        <w:rPr>
          <w:rFonts w:ascii="Arial" w:hAnsi="Arial" w:cs="Arial"/>
        </w:rPr>
        <w:t xml:space="preserve"> </w:t>
      </w:r>
      <w:r w:rsidR="00EB701D">
        <w:rPr>
          <w:rFonts w:ascii="Arial" w:hAnsi="Arial" w:cs="Arial"/>
        </w:rPr>
        <w:t>–</w:t>
      </w:r>
    </w:p>
    <w:p w:rsidR="00EB701D" w:rsidRDefault="00EB701D" w:rsidP="009E04C8">
      <w:pPr>
        <w:spacing w:line="480" w:lineRule="auto"/>
        <w:jc w:val="both"/>
        <w:rPr>
          <w:rFonts w:ascii="Arial" w:hAnsi="Arial" w:cs="Arial"/>
        </w:rPr>
      </w:pPr>
    </w:p>
    <w:p w:rsidR="00C57FCB" w:rsidRPr="00C0024D" w:rsidRDefault="00EB701D" w:rsidP="00EB701D">
      <w:pPr>
        <w:spacing w:line="480" w:lineRule="auto"/>
        <w:ind w:left="720"/>
        <w:jc w:val="both"/>
        <w:rPr>
          <w:rFonts w:ascii="Arial" w:hAnsi="Arial" w:cs="Arial"/>
          <w:sz w:val="22"/>
          <w:szCs w:val="22"/>
        </w:rPr>
      </w:pPr>
      <w:r w:rsidRPr="00C0024D">
        <w:rPr>
          <w:rFonts w:ascii="Arial" w:hAnsi="Arial" w:cs="Arial"/>
          <w:sz w:val="22"/>
          <w:szCs w:val="22"/>
        </w:rPr>
        <w:t xml:space="preserve">“… the degree  of non-compliance, the explanation therefor, the importance of the case, the prospects of success, the respondent’s interest in the finality of </w:t>
      </w:r>
      <w:r w:rsidR="00C0024D" w:rsidRPr="00C0024D">
        <w:rPr>
          <w:rFonts w:ascii="Arial" w:hAnsi="Arial" w:cs="Arial"/>
          <w:sz w:val="22"/>
          <w:szCs w:val="22"/>
        </w:rPr>
        <w:t xml:space="preserve">his judgment, the convenience of the Court and the avoidance of unnecessary delay in the administration of justice … The cogency of any such factor will vary according to the circumstances, including the particular Rule infringed ”. </w:t>
      </w:r>
      <w:r w:rsidRPr="00C0024D">
        <w:rPr>
          <w:rFonts w:ascii="Arial" w:hAnsi="Arial" w:cs="Arial"/>
          <w:sz w:val="22"/>
          <w:szCs w:val="22"/>
        </w:rPr>
        <w:t xml:space="preserve"> </w:t>
      </w:r>
      <w:r w:rsidR="00C57FCB" w:rsidRPr="00C0024D">
        <w:rPr>
          <w:rFonts w:ascii="Arial" w:hAnsi="Arial" w:cs="Arial"/>
          <w:sz w:val="22"/>
          <w:szCs w:val="22"/>
        </w:rPr>
        <w:t xml:space="preserve"> </w:t>
      </w:r>
    </w:p>
    <w:p w:rsidR="00C57FCB" w:rsidRDefault="00C57FCB" w:rsidP="009E04C8">
      <w:pPr>
        <w:spacing w:line="480" w:lineRule="auto"/>
        <w:jc w:val="both"/>
        <w:rPr>
          <w:rFonts w:ascii="Arial" w:hAnsi="Arial" w:cs="Arial"/>
        </w:rPr>
      </w:pPr>
    </w:p>
    <w:p w:rsidR="00240D41" w:rsidRPr="006459AC" w:rsidRDefault="00240D41" w:rsidP="00240D41">
      <w:pPr>
        <w:spacing w:line="480" w:lineRule="auto"/>
        <w:jc w:val="both"/>
        <w:rPr>
          <w:rFonts w:ascii="Arial" w:hAnsi="Arial" w:cs="Arial"/>
        </w:rPr>
      </w:pPr>
      <w:r>
        <w:rPr>
          <w:rFonts w:ascii="Arial" w:hAnsi="Arial" w:cs="Arial"/>
        </w:rPr>
        <w:t>[7]</w:t>
      </w:r>
      <w:r>
        <w:rPr>
          <w:rFonts w:ascii="Arial" w:hAnsi="Arial" w:cs="Arial"/>
        </w:rPr>
        <w:tab/>
        <w:t xml:space="preserve">Generally the Courts have </w:t>
      </w:r>
      <w:r w:rsidRPr="006C2437">
        <w:rPr>
          <w:rFonts w:ascii="Arial" w:hAnsi="Arial" w:cs="Arial"/>
        </w:rPr>
        <w:t>emphasi</w:t>
      </w:r>
      <w:r>
        <w:rPr>
          <w:rFonts w:ascii="Arial" w:hAnsi="Arial" w:cs="Arial"/>
        </w:rPr>
        <w:t>s</w:t>
      </w:r>
      <w:r w:rsidRPr="006C2437">
        <w:rPr>
          <w:rFonts w:ascii="Arial" w:hAnsi="Arial" w:cs="Arial"/>
        </w:rPr>
        <w:t xml:space="preserve">ed that condonation should be refused where it would defeat the purpose or object of the Rule of which the applicant is in breach. </w:t>
      </w:r>
      <w:r w:rsidRPr="006C2437">
        <w:rPr>
          <w:rStyle w:val="FootnoteReference"/>
          <w:rFonts w:ascii="Arial" w:hAnsi="Arial" w:cs="Arial"/>
        </w:rPr>
        <w:footnoteReference w:id="3"/>
      </w:r>
      <w:r>
        <w:rPr>
          <w:rFonts w:ascii="Arial" w:hAnsi="Arial" w:cs="Arial"/>
        </w:rPr>
        <w:t xml:space="preserve">  </w:t>
      </w:r>
      <w:r w:rsidRPr="006C2437">
        <w:rPr>
          <w:rFonts w:ascii="Arial" w:hAnsi="Arial" w:cs="Arial"/>
        </w:rPr>
        <w:t>In th</w:t>
      </w:r>
      <w:r>
        <w:rPr>
          <w:rFonts w:ascii="Arial" w:hAnsi="Arial" w:cs="Arial"/>
        </w:rPr>
        <w:t xml:space="preserve">e labour </w:t>
      </w:r>
      <w:r w:rsidRPr="006C2437">
        <w:rPr>
          <w:rFonts w:ascii="Arial" w:hAnsi="Arial" w:cs="Arial"/>
        </w:rPr>
        <w:t xml:space="preserve">context, the South African Labour Appeal Court has highlighted the purpose for determining time limits for the taking of procedural steps: </w:t>
      </w:r>
      <w:r w:rsidRPr="006C2437">
        <w:rPr>
          <w:rStyle w:val="FootnoteReference"/>
          <w:rFonts w:ascii="Arial" w:hAnsi="Arial" w:cs="Arial"/>
        </w:rPr>
        <w:footnoteReference w:id="4"/>
      </w:r>
    </w:p>
    <w:p w:rsidR="00240D41" w:rsidRPr="006C2437" w:rsidRDefault="00240D41" w:rsidP="00240D41">
      <w:pPr>
        <w:spacing w:line="480" w:lineRule="auto"/>
        <w:ind w:left="1440" w:hanging="720"/>
        <w:jc w:val="both"/>
        <w:rPr>
          <w:rFonts w:ascii="Arial" w:hAnsi="Arial" w:cs="Arial"/>
        </w:rPr>
      </w:pPr>
    </w:p>
    <w:p w:rsidR="00240D41" w:rsidRPr="006C2437" w:rsidRDefault="00240D41" w:rsidP="00240D41">
      <w:pPr>
        <w:spacing w:line="480" w:lineRule="auto"/>
        <w:ind w:left="720"/>
        <w:jc w:val="both"/>
        <w:rPr>
          <w:rFonts w:ascii="Arial" w:hAnsi="Arial" w:cs="Arial"/>
          <w:sz w:val="22"/>
          <w:szCs w:val="22"/>
        </w:rPr>
      </w:pPr>
      <w:r w:rsidRPr="006C2437">
        <w:rPr>
          <w:rFonts w:ascii="Arial" w:hAnsi="Arial" w:cs="Arial"/>
          <w:sz w:val="22"/>
          <w:szCs w:val="22"/>
        </w:rPr>
        <w:t>“The question then arises as to what purpose these provisions were intended to serve in the first place ? There can be no doubt that the rules of any court which constitute the procedural machinery of the courts, are intended to expedite the business of the courts (</w:t>
      </w:r>
      <w:r w:rsidRPr="006C2437">
        <w:rPr>
          <w:rFonts w:ascii="Arial" w:hAnsi="Arial" w:cs="Arial"/>
          <w:i/>
          <w:sz w:val="22"/>
          <w:szCs w:val="22"/>
        </w:rPr>
        <w:t xml:space="preserve">Hudson v Hudson &amp; Another 1927 AD 259 at 267; Viljoen v Federated Trust Ltd, 1971 (1) SA 750 (O) at 754 D–E; L F Boshoff Investments (Pty) Ltd v Cape Town Municipality 1971 (4) SA 532 (C), at 491 D–E; </w:t>
      </w:r>
      <w:smartTag w:uri="urn:schemas-microsoft-com:office:smarttags" w:element="stockticker">
        <w:r w:rsidRPr="006C2437">
          <w:rPr>
            <w:rFonts w:ascii="Arial" w:hAnsi="Arial" w:cs="Arial"/>
            <w:i/>
            <w:sz w:val="22"/>
            <w:szCs w:val="22"/>
          </w:rPr>
          <w:t>SOS</w:t>
        </w:r>
      </w:smartTag>
      <w:r w:rsidRPr="006C2437">
        <w:rPr>
          <w:rFonts w:ascii="Arial" w:hAnsi="Arial" w:cs="Arial"/>
          <w:i/>
          <w:sz w:val="22"/>
          <w:szCs w:val="22"/>
        </w:rPr>
        <w:t>–</w:t>
      </w:r>
      <w:r w:rsidRPr="006C2437">
        <w:rPr>
          <w:rFonts w:ascii="Arial" w:hAnsi="Arial" w:cs="Arial"/>
          <w:i/>
          <w:sz w:val="22"/>
          <w:szCs w:val="22"/>
        </w:rPr>
        <w:lastRenderedPageBreak/>
        <w:t>Kinderdorf International v Effie Lentin Architects 1993 (2) SA 491 (Nm), at 491D– E</w:t>
      </w:r>
      <w:r w:rsidRPr="006C2437">
        <w:rPr>
          <w:rFonts w:ascii="Arial" w:hAnsi="Arial" w:cs="Arial"/>
          <w:sz w:val="22"/>
          <w:szCs w:val="22"/>
        </w:rPr>
        <w:t>)</w:t>
      </w:r>
    </w:p>
    <w:p w:rsidR="00240D41" w:rsidRPr="006C2437" w:rsidRDefault="00240D41" w:rsidP="00240D41">
      <w:pPr>
        <w:spacing w:line="480" w:lineRule="auto"/>
        <w:ind w:left="720"/>
        <w:jc w:val="both"/>
        <w:rPr>
          <w:rFonts w:ascii="Arial" w:hAnsi="Arial" w:cs="Arial"/>
          <w:sz w:val="22"/>
          <w:szCs w:val="22"/>
        </w:rPr>
      </w:pPr>
      <w:r w:rsidRPr="006C2437">
        <w:rPr>
          <w:rFonts w:ascii="Arial" w:hAnsi="Arial" w:cs="Arial"/>
          <w:sz w:val="22"/>
          <w:szCs w:val="22"/>
        </w:rPr>
        <w:t>Consequently, they must be interpreted and applied in a spirit that will enhance and facilitate the work of the courts and enable the litigants to resolve their disputes in as speedy and inexpensive a manner as possible. (</w:t>
      </w:r>
      <w:r w:rsidRPr="006C2437">
        <w:rPr>
          <w:rFonts w:ascii="Arial" w:hAnsi="Arial" w:cs="Arial"/>
          <w:i/>
          <w:sz w:val="22"/>
          <w:szCs w:val="22"/>
        </w:rPr>
        <w:t xml:space="preserve">Ncoweni v Bezuidenhout 1927 CPD 130; </w:t>
      </w:r>
      <w:smartTag w:uri="urn:schemas-microsoft-com:office:smarttags" w:element="stockticker">
        <w:r w:rsidRPr="006C2437">
          <w:rPr>
            <w:rFonts w:ascii="Arial" w:hAnsi="Arial" w:cs="Arial"/>
            <w:i/>
            <w:sz w:val="22"/>
            <w:szCs w:val="22"/>
          </w:rPr>
          <w:t>SOS</w:t>
        </w:r>
      </w:smartTag>
      <w:r w:rsidRPr="006C2437">
        <w:rPr>
          <w:rFonts w:ascii="Arial" w:hAnsi="Arial" w:cs="Arial"/>
          <w:i/>
          <w:sz w:val="22"/>
          <w:szCs w:val="22"/>
        </w:rPr>
        <w:t xml:space="preserve"> – Kinderdorf, supra, at 491 D–F; Herbstein &amp; Van Winsen, The Civil Practice of the Supreme Court of South Africa, 4 ed. Juta, at 33</w:t>
      </w:r>
      <w:r w:rsidRPr="006C2437">
        <w:rPr>
          <w:rFonts w:ascii="Arial" w:hAnsi="Arial" w:cs="Arial"/>
          <w:sz w:val="22"/>
          <w:szCs w:val="22"/>
        </w:rPr>
        <w:t>)”.</w:t>
      </w:r>
    </w:p>
    <w:p w:rsidR="00240D41" w:rsidRPr="006C2437" w:rsidRDefault="00240D41" w:rsidP="00240D41">
      <w:pPr>
        <w:spacing w:line="480" w:lineRule="auto"/>
        <w:jc w:val="both"/>
        <w:rPr>
          <w:rFonts w:ascii="Arial" w:hAnsi="Arial" w:cs="Arial"/>
        </w:rPr>
      </w:pPr>
    </w:p>
    <w:p w:rsidR="00240D41" w:rsidRPr="006C2437" w:rsidRDefault="00240D41" w:rsidP="00240D41">
      <w:pPr>
        <w:spacing w:line="480" w:lineRule="auto"/>
        <w:jc w:val="both"/>
        <w:rPr>
          <w:rFonts w:ascii="Arial" w:hAnsi="Arial" w:cs="Arial"/>
        </w:rPr>
      </w:pPr>
      <w:r w:rsidRPr="006C2437">
        <w:rPr>
          <w:rFonts w:ascii="Arial" w:hAnsi="Arial" w:cs="Arial"/>
        </w:rPr>
        <w:t>[</w:t>
      </w:r>
      <w:r>
        <w:rPr>
          <w:rFonts w:ascii="Arial" w:hAnsi="Arial" w:cs="Arial"/>
        </w:rPr>
        <w:t>8</w:t>
      </w:r>
      <w:r w:rsidRPr="006C2437">
        <w:rPr>
          <w:rFonts w:ascii="Arial" w:hAnsi="Arial" w:cs="Arial"/>
        </w:rPr>
        <w:t>]</w:t>
      </w:r>
      <w:r w:rsidRPr="006C2437">
        <w:rPr>
          <w:rFonts w:ascii="Arial" w:hAnsi="Arial" w:cs="Arial"/>
        </w:rPr>
        <w:tab/>
      </w:r>
      <w:r>
        <w:rPr>
          <w:rFonts w:ascii="Arial" w:hAnsi="Arial" w:cs="Arial"/>
        </w:rPr>
        <w:t>I</w:t>
      </w:r>
      <w:r w:rsidRPr="006C2437">
        <w:rPr>
          <w:rFonts w:ascii="Arial" w:hAnsi="Arial" w:cs="Arial"/>
        </w:rPr>
        <w:t xml:space="preserve">nherent to Rule 17 relating to the prosecution of an appeal </w:t>
      </w:r>
      <w:r>
        <w:rPr>
          <w:rFonts w:ascii="Arial" w:hAnsi="Arial" w:cs="Arial"/>
        </w:rPr>
        <w:t xml:space="preserve">in the Labour Court </w:t>
      </w:r>
      <w:r w:rsidRPr="006C2437">
        <w:rPr>
          <w:rFonts w:ascii="Arial" w:hAnsi="Arial" w:cs="Arial"/>
        </w:rPr>
        <w:t>is the ingredient of expedition.  The appellant is enjoined to act with haste so that the business of the Court may be concluded without undue delay.  This approach accords with the truncated time periods within which a party may lodge a dispute in terms of section 86 of the Act</w:t>
      </w:r>
      <w:r>
        <w:rPr>
          <w:rFonts w:ascii="Arial" w:hAnsi="Arial" w:cs="Arial"/>
        </w:rPr>
        <w:t>, and also the time periods referred to in Rule 17</w:t>
      </w:r>
      <w:r w:rsidRPr="006C2437">
        <w:rPr>
          <w:rFonts w:ascii="Arial" w:hAnsi="Arial" w:cs="Arial"/>
        </w:rPr>
        <w:t>.</w:t>
      </w:r>
      <w:r>
        <w:rPr>
          <w:rFonts w:ascii="Arial" w:hAnsi="Arial" w:cs="Arial"/>
        </w:rPr>
        <w:t xml:space="preserve">  </w:t>
      </w:r>
      <w:r w:rsidRPr="006C2437">
        <w:rPr>
          <w:rFonts w:ascii="Arial" w:hAnsi="Arial" w:cs="Arial"/>
        </w:rPr>
        <w:t xml:space="preserve">It is further to be found in section 119 (3) of the Act, which stipulates that </w:t>
      </w:r>
      <w:r>
        <w:rPr>
          <w:rFonts w:ascii="Arial" w:hAnsi="Arial" w:cs="Arial"/>
        </w:rPr>
        <w:t>the</w:t>
      </w:r>
      <w:r w:rsidRPr="006C2437">
        <w:rPr>
          <w:rFonts w:ascii="Arial" w:hAnsi="Arial" w:cs="Arial"/>
        </w:rPr>
        <w:t xml:space="preserve"> Labour Court Rules Board must advise –</w:t>
      </w:r>
    </w:p>
    <w:p w:rsidR="00240D41" w:rsidRPr="006C2437" w:rsidRDefault="00240D41" w:rsidP="00240D41">
      <w:pPr>
        <w:tabs>
          <w:tab w:val="left" w:pos="0"/>
        </w:tabs>
        <w:spacing w:line="480" w:lineRule="auto"/>
        <w:jc w:val="both"/>
        <w:rPr>
          <w:rFonts w:ascii="Arial" w:hAnsi="Arial" w:cs="Arial"/>
        </w:rPr>
      </w:pPr>
    </w:p>
    <w:p w:rsidR="00240D41" w:rsidRPr="006C2437" w:rsidRDefault="00240D41" w:rsidP="00240D41">
      <w:pPr>
        <w:tabs>
          <w:tab w:val="left" w:pos="0"/>
        </w:tabs>
        <w:spacing w:line="480" w:lineRule="auto"/>
        <w:ind w:left="720"/>
        <w:jc w:val="both"/>
        <w:rPr>
          <w:rFonts w:ascii="Arial" w:hAnsi="Arial" w:cs="Arial"/>
        </w:rPr>
      </w:pPr>
      <w:r w:rsidRPr="006C2437">
        <w:rPr>
          <w:rFonts w:ascii="Arial" w:hAnsi="Arial" w:cs="Arial"/>
        </w:rPr>
        <w:t>“…</w:t>
      </w:r>
      <w:r w:rsidRPr="006C2437">
        <w:rPr>
          <w:rFonts w:ascii="Arial" w:hAnsi="Arial" w:cs="Arial"/>
          <w:sz w:val="22"/>
          <w:szCs w:val="22"/>
        </w:rPr>
        <w:t xml:space="preserve">on Rules of the High Court </w:t>
      </w:r>
      <w:r>
        <w:rPr>
          <w:rFonts w:ascii="Arial" w:hAnsi="Arial" w:cs="Arial"/>
          <w:sz w:val="22"/>
          <w:szCs w:val="22"/>
        </w:rPr>
        <w:t xml:space="preserve">to </w:t>
      </w:r>
      <w:r w:rsidRPr="006C2437">
        <w:rPr>
          <w:rFonts w:ascii="Arial" w:hAnsi="Arial" w:cs="Arial"/>
          <w:sz w:val="22"/>
          <w:szCs w:val="22"/>
        </w:rPr>
        <w:t xml:space="preserve">regulate the conduct of proceedings in the Labour Court with </w:t>
      </w:r>
      <w:r>
        <w:rPr>
          <w:rFonts w:ascii="Arial" w:hAnsi="Arial" w:cs="Arial"/>
          <w:sz w:val="22"/>
          <w:szCs w:val="22"/>
        </w:rPr>
        <w:t>a</w:t>
      </w:r>
      <w:r w:rsidRPr="006C2437">
        <w:rPr>
          <w:rFonts w:ascii="Arial" w:hAnsi="Arial" w:cs="Arial"/>
          <w:sz w:val="22"/>
          <w:szCs w:val="22"/>
        </w:rPr>
        <w:t xml:space="preserve"> view to effecting a speedy and fair disposal of the proceedings</w:t>
      </w:r>
      <w:r w:rsidRPr="006C2437">
        <w:rPr>
          <w:rFonts w:ascii="Arial" w:hAnsi="Arial" w:cs="Arial"/>
          <w:b/>
        </w:rPr>
        <w:t>.</w:t>
      </w:r>
      <w:r w:rsidRPr="006C2437">
        <w:rPr>
          <w:rFonts w:ascii="Arial" w:hAnsi="Arial" w:cs="Arial"/>
        </w:rPr>
        <w:t>”</w:t>
      </w:r>
    </w:p>
    <w:p w:rsidR="00240D41" w:rsidRPr="006C2437" w:rsidRDefault="00240D41" w:rsidP="00240D41">
      <w:pPr>
        <w:tabs>
          <w:tab w:val="left" w:pos="0"/>
        </w:tabs>
        <w:spacing w:line="480" w:lineRule="auto"/>
        <w:jc w:val="both"/>
        <w:rPr>
          <w:rFonts w:ascii="Arial" w:hAnsi="Arial" w:cs="Arial"/>
        </w:rPr>
      </w:pPr>
    </w:p>
    <w:p w:rsidR="00240D41" w:rsidRPr="006C2437" w:rsidRDefault="00240D41" w:rsidP="00240D41">
      <w:pPr>
        <w:tabs>
          <w:tab w:val="left" w:pos="720"/>
        </w:tabs>
        <w:spacing w:line="480" w:lineRule="auto"/>
        <w:jc w:val="both"/>
        <w:rPr>
          <w:rFonts w:ascii="Arial" w:hAnsi="Arial" w:cs="Arial"/>
        </w:rPr>
      </w:pPr>
      <w:r w:rsidRPr="006C2437">
        <w:rPr>
          <w:rFonts w:ascii="Arial" w:hAnsi="Arial" w:cs="Arial"/>
        </w:rPr>
        <w:lastRenderedPageBreak/>
        <w:t>[</w:t>
      </w:r>
      <w:r>
        <w:rPr>
          <w:rFonts w:ascii="Arial" w:hAnsi="Arial" w:cs="Arial"/>
        </w:rPr>
        <w:t>9</w:t>
      </w:r>
      <w:r w:rsidRPr="006C2437">
        <w:rPr>
          <w:rFonts w:ascii="Arial" w:hAnsi="Arial" w:cs="Arial"/>
        </w:rPr>
        <w:t>]</w:t>
      </w:r>
      <w:r w:rsidRPr="006C2437">
        <w:rPr>
          <w:rFonts w:ascii="Arial" w:hAnsi="Arial" w:cs="Arial"/>
        </w:rPr>
        <w:tab/>
        <w:t xml:space="preserve">In the matter of </w:t>
      </w:r>
      <w:r w:rsidRPr="006C2437">
        <w:rPr>
          <w:rFonts w:ascii="Arial" w:hAnsi="Arial" w:cs="Arial"/>
          <w:i/>
        </w:rPr>
        <w:t>Municipal Council of the Municipality of Windhoek v Marianna Esau</w:t>
      </w:r>
      <w:r w:rsidRPr="006C2437">
        <w:rPr>
          <w:rFonts w:ascii="Arial" w:hAnsi="Arial" w:cs="Arial"/>
        </w:rPr>
        <w:t xml:space="preserve"> </w:t>
      </w:r>
      <w:r w:rsidRPr="00AE60B8">
        <w:rPr>
          <w:rFonts w:ascii="Arial" w:hAnsi="Arial" w:cs="Arial"/>
          <w:i/>
        </w:rPr>
        <w:t>and Another</w:t>
      </w:r>
      <w:r>
        <w:rPr>
          <w:rFonts w:ascii="Arial" w:hAnsi="Arial" w:cs="Arial"/>
        </w:rPr>
        <w:t xml:space="preserve"> </w:t>
      </w:r>
      <w:r w:rsidRPr="006C2437">
        <w:rPr>
          <w:rStyle w:val="FootnoteReference"/>
          <w:rFonts w:ascii="Arial" w:hAnsi="Arial" w:cs="Arial"/>
        </w:rPr>
        <w:footnoteReference w:id="5"/>
      </w:r>
      <w:r w:rsidRPr="006C2437">
        <w:rPr>
          <w:rFonts w:ascii="Arial" w:hAnsi="Arial" w:cs="Arial"/>
        </w:rPr>
        <w:t xml:space="preserve"> the appellant in that case applied for condonation for its failure to prosecute the appeal in time and sought the re-instatement of the appeal. In contending that there was good cause for the relief claimed, the appellant set out what it had done to ensure that the office of the Labour Commissioner had dispatched the record of the arbitration proceedings timeously. Henning, AJ stated </w:t>
      </w:r>
      <w:r w:rsidRPr="006C2437">
        <w:rPr>
          <w:rStyle w:val="FootnoteReference"/>
          <w:rFonts w:ascii="Arial" w:hAnsi="Arial" w:cs="Arial"/>
        </w:rPr>
        <w:footnoteReference w:id="6"/>
      </w:r>
      <w:r w:rsidRPr="006C2437">
        <w:rPr>
          <w:rFonts w:ascii="Arial" w:hAnsi="Arial" w:cs="Arial"/>
        </w:rPr>
        <w:t>:</w:t>
      </w:r>
    </w:p>
    <w:p w:rsidR="00240D41" w:rsidRPr="006C2437" w:rsidRDefault="00240D41" w:rsidP="00240D41">
      <w:pPr>
        <w:tabs>
          <w:tab w:val="left" w:pos="720"/>
        </w:tabs>
        <w:spacing w:line="480" w:lineRule="auto"/>
        <w:jc w:val="both"/>
        <w:rPr>
          <w:rFonts w:ascii="Arial" w:hAnsi="Arial" w:cs="Arial"/>
        </w:rPr>
      </w:pPr>
    </w:p>
    <w:p w:rsidR="00240D41" w:rsidRPr="006C2437" w:rsidRDefault="00240D41" w:rsidP="00240D41">
      <w:pPr>
        <w:tabs>
          <w:tab w:val="left" w:pos="720"/>
        </w:tabs>
        <w:spacing w:line="480" w:lineRule="auto"/>
        <w:ind w:left="1440" w:hanging="1440"/>
        <w:jc w:val="both"/>
        <w:rPr>
          <w:rFonts w:ascii="Arial" w:hAnsi="Arial" w:cs="Arial"/>
        </w:rPr>
      </w:pPr>
      <w:r w:rsidRPr="006C2437">
        <w:rPr>
          <w:rFonts w:ascii="Arial" w:hAnsi="Arial" w:cs="Arial"/>
        </w:rPr>
        <w:tab/>
      </w:r>
      <w:r w:rsidRPr="006C2437">
        <w:rPr>
          <w:rFonts w:ascii="Arial" w:hAnsi="Arial" w:cs="Arial"/>
          <w:sz w:val="22"/>
          <w:szCs w:val="22"/>
        </w:rPr>
        <w:t>“[5]</w:t>
      </w:r>
      <w:r w:rsidRPr="006C2437">
        <w:rPr>
          <w:rFonts w:ascii="Arial" w:hAnsi="Arial" w:cs="Arial"/>
          <w:sz w:val="22"/>
          <w:szCs w:val="22"/>
        </w:rPr>
        <w:tab/>
        <w:t xml:space="preserve">Between </w:t>
      </w:r>
      <w:smartTag w:uri="urn:schemas-microsoft-com:office:smarttags" w:element="date">
        <w:smartTagPr>
          <w:attr w:name="Year" w:val="2009"/>
          <w:attr w:name="Day" w:val="15"/>
          <w:attr w:name="Month" w:val="6"/>
        </w:smartTagPr>
        <w:r w:rsidRPr="006C2437">
          <w:rPr>
            <w:rFonts w:ascii="Arial" w:hAnsi="Arial" w:cs="Arial"/>
            <w:sz w:val="22"/>
            <w:szCs w:val="22"/>
          </w:rPr>
          <w:t>15 June 2009</w:t>
        </w:r>
      </w:smartTag>
      <w:r w:rsidRPr="006C2437">
        <w:rPr>
          <w:rFonts w:ascii="Arial" w:hAnsi="Arial" w:cs="Arial"/>
          <w:sz w:val="22"/>
          <w:szCs w:val="22"/>
        </w:rPr>
        <w:t xml:space="preserve"> when the plea [should read “appeal”] was noted and mid February 2010 when the appeal could have been enrolled some 8 months have elapsed. This is a serious deviation from the 90 day period prescribed by rule 17 (25). The applicant relied heavily on a delay by the second respondent to make a transcript of the audio proceedings available to it, the very late furnishing of the exhibits by the second respondent, and ‘</w:t>
      </w:r>
      <w:r w:rsidRPr="006C2437">
        <w:rPr>
          <w:rFonts w:ascii="Arial" w:hAnsi="Arial" w:cs="Arial"/>
          <w:i/>
          <w:sz w:val="22"/>
          <w:szCs w:val="22"/>
        </w:rPr>
        <w:t>an oversight and workload on the part of the Legal Practitioners of the Applicant’</w:t>
      </w:r>
      <w:r w:rsidRPr="006C2437">
        <w:rPr>
          <w:rFonts w:ascii="Arial" w:hAnsi="Arial" w:cs="Arial"/>
        </w:rPr>
        <w:t>.”</w:t>
      </w:r>
    </w:p>
    <w:p w:rsidR="00240D41" w:rsidRDefault="00240D41" w:rsidP="00240D41">
      <w:pPr>
        <w:tabs>
          <w:tab w:val="left" w:pos="720"/>
        </w:tabs>
        <w:spacing w:line="480" w:lineRule="auto"/>
        <w:ind w:left="1440" w:hanging="1440"/>
        <w:jc w:val="both"/>
        <w:rPr>
          <w:rFonts w:ascii="Arial" w:hAnsi="Arial" w:cs="Arial"/>
        </w:rPr>
      </w:pPr>
    </w:p>
    <w:p w:rsidR="00240D41" w:rsidRPr="006C2437" w:rsidRDefault="00240D41" w:rsidP="00240D41">
      <w:pPr>
        <w:tabs>
          <w:tab w:val="left" w:pos="0"/>
        </w:tabs>
        <w:spacing w:line="480" w:lineRule="auto"/>
        <w:jc w:val="both"/>
        <w:rPr>
          <w:rFonts w:ascii="Arial" w:hAnsi="Arial" w:cs="Arial"/>
        </w:rPr>
      </w:pPr>
      <w:r w:rsidRPr="006C2437">
        <w:rPr>
          <w:rFonts w:ascii="Arial" w:hAnsi="Arial" w:cs="Arial"/>
        </w:rPr>
        <w:t>[1</w:t>
      </w:r>
      <w:r>
        <w:rPr>
          <w:rFonts w:ascii="Arial" w:hAnsi="Arial" w:cs="Arial"/>
        </w:rPr>
        <w:t>0</w:t>
      </w:r>
      <w:r w:rsidRPr="006C2437">
        <w:rPr>
          <w:rFonts w:ascii="Arial" w:hAnsi="Arial" w:cs="Arial"/>
        </w:rPr>
        <w:t>]</w:t>
      </w:r>
      <w:r w:rsidRPr="006C2437">
        <w:rPr>
          <w:rFonts w:ascii="Arial" w:hAnsi="Arial" w:cs="Arial"/>
        </w:rPr>
        <w:tab/>
        <w:t xml:space="preserve">Henning, AJ, after considering the steps taken by the appellant to obtain the record from the Labour Commissioner, said </w:t>
      </w:r>
      <w:r w:rsidRPr="006C2437">
        <w:rPr>
          <w:rStyle w:val="FootnoteReference"/>
          <w:rFonts w:ascii="Arial" w:hAnsi="Arial" w:cs="Arial"/>
        </w:rPr>
        <w:footnoteReference w:id="7"/>
      </w:r>
      <w:r>
        <w:rPr>
          <w:rFonts w:ascii="Arial" w:hAnsi="Arial" w:cs="Arial"/>
        </w:rPr>
        <w:t>:</w:t>
      </w:r>
    </w:p>
    <w:p w:rsidR="00240D41" w:rsidRPr="006C2437" w:rsidRDefault="00240D41" w:rsidP="00240D41">
      <w:pPr>
        <w:tabs>
          <w:tab w:val="left" w:pos="0"/>
        </w:tabs>
        <w:spacing w:line="480" w:lineRule="auto"/>
        <w:jc w:val="both"/>
        <w:rPr>
          <w:rFonts w:ascii="Arial" w:hAnsi="Arial" w:cs="Arial"/>
        </w:rPr>
      </w:pPr>
    </w:p>
    <w:p w:rsidR="00240D41" w:rsidRPr="006C2437" w:rsidRDefault="00240D41" w:rsidP="00240D41">
      <w:pPr>
        <w:tabs>
          <w:tab w:val="left" w:pos="0"/>
        </w:tabs>
        <w:spacing w:line="480" w:lineRule="auto"/>
        <w:ind w:left="1440" w:hanging="720"/>
        <w:jc w:val="both"/>
        <w:rPr>
          <w:rFonts w:ascii="Arial" w:hAnsi="Arial" w:cs="Arial"/>
          <w:sz w:val="22"/>
          <w:szCs w:val="22"/>
        </w:rPr>
      </w:pPr>
      <w:r w:rsidRPr="006C2437">
        <w:rPr>
          <w:rFonts w:ascii="Arial" w:hAnsi="Arial" w:cs="Arial"/>
          <w:sz w:val="22"/>
          <w:szCs w:val="22"/>
        </w:rPr>
        <w:t>“[6]</w:t>
      </w:r>
      <w:r w:rsidRPr="006C2437">
        <w:rPr>
          <w:rFonts w:ascii="Arial" w:hAnsi="Arial" w:cs="Arial"/>
          <w:sz w:val="22"/>
          <w:szCs w:val="22"/>
        </w:rPr>
        <w:tab/>
        <w:t>It seems that not much pressure was applied to activate the second respondent</w:t>
      </w:r>
      <w:r>
        <w:rPr>
          <w:rFonts w:ascii="Arial" w:hAnsi="Arial" w:cs="Arial"/>
          <w:sz w:val="22"/>
          <w:szCs w:val="22"/>
        </w:rPr>
        <w:t xml:space="preserve"> [the Labour Commissioner]…</w:t>
      </w:r>
    </w:p>
    <w:p w:rsidR="00240D41" w:rsidRPr="006C2437" w:rsidRDefault="00240D41" w:rsidP="00240D41">
      <w:pPr>
        <w:tabs>
          <w:tab w:val="left" w:pos="0"/>
        </w:tabs>
        <w:spacing w:line="480" w:lineRule="auto"/>
        <w:jc w:val="both"/>
        <w:rPr>
          <w:rFonts w:ascii="Arial" w:hAnsi="Arial" w:cs="Arial"/>
          <w:sz w:val="22"/>
          <w:szCs w:val="22"/>
        </w:rPr>
      </w:pPr>
    </w:p>
    <w:p w:rsidR="00240D41" w:rsidRPr="006C2437" w:rsidRDefault="00240D41" w:rsidP="00240D41">
      <w:pPr>
        <w:tabs>
          <w:tab w:val="left" w:pos="0"/>
        </w:tabs>
        <w:spacing w:line="480" w:lineRule="auto"/>
        <w:ind w:left="1440" w:hanging="720"/>
        <w:jc w:val="both"/>
        <w:rPr>
          <w:rFonts w:ascii="Arial" w:hAnsi="Arial" w:cs="Arial"/>
        </w:rPr>
      </w:pPr>
      <w:r w:rsidRPr="006C2437">
        <w:rPr>
          <w:rFonts w:ascii="Arial" w:hAnsi="Arial" w:cs="Arial"/>
          <w:sz w:val="22"/>
          <w:szCs w:val="22"/>
        </w:rPr>
        <w:t>[9]</w:t>
      </w:r>
      <w:r w:rsidRPr="006C2437">
        <w:rPr>
          <w:rFonts w:ascii="Arial" w:hAnsi="Arial" w:cs="Arial"/>
          <w:sz w:val="22"/>
          <w:szCs w:val="22"/>
        </w:rPr>
        <w:tab/>
        <w:t xml:space="preserve">Much of the criticism expressed </w:t>
      </w:r>
      <w:r>
        <w:rPr>
          <w:rFonts w:ascii="Arial" w:hAnsi="Arial" w:cs="Arial"/>
          <w:sz w:val="22"/>
          <w:szCs w:val="22"/>
        </w:rPr>
        <w:t xml:space="preserve">in </w:t>
      </w:r>
      <w:r w:rsidRPr="006C2437">
        <w:rPr>
          <w:rFonts w:ascii="Arial" w:hAnsi="Arial" w:cs="Arial"/>
          <w:i/>
          <w:sz w:val="22"/>
          <w:szCs w:val="22"/>
        </w:rPr>
        <w:t>Moraliswa</w:t>
      </w:r>
      <w:r w:rsidR="002F13C8">
        <w:rPr>
          <w:rFonts w:ascii="Arial" w:hAnsi="Arial" w:cs="Arial"/>
          <w:i/>
          <w:sz w:val="22"/>
          <w:szCs w:val="22"/>
        </w:rPr>
        <w:t>n</w:t>
      </w:r>
      <w:r w:rsidRPr="006C2437">
        <w:rPr>
          <w:rFonts w:ascii="Arial" w:hAnsi="Arial" w:cs="Arial"/>
          <w:i/>
          <w:sz w:val="22"/>
          <w:szCs w:val="22"/>
        </w:rPr>
        <w:t>i v Mamili, 1989 (4) SA 1 (AD)</w:t>
      </w:r>
      <w:r w:rsidRPr="006C2437">
        <w:rPr>
          <w:rFonts w:ascii="Arial" w:hAnsi="Arial" w:cs="Arial"/>
          <w:sz w:val="22"/>
          <w:szCs w:val="22"/>
        </w:rPr>
        <w:t xml:space="preserve"> and </w:t>
      </w:r>
      <w:r w:rsidRPr="006C2437">
        <w:rPr>
          <w:rFonts w:ascii="Arial" w:hAnsi="Arial" w:cs="Arial"/>
          <w:i/>
          <w:sz w:val="22"/>
          <w:szCs w:val="22"/>
        </w:rPr>
        <w:t>Ondjava Construction CC and Others v Haw Retailers t/a Ark Trading</w:t>
      </w:r>
      <w:r w:rsidRPr="006C2437">
        <w:rPr>
          <w:rFonts w:ascii="Arial" w:hAnsi="Arial" w:cs="Arial"/>
          <w:sz w:val="22"/>
          <w:szCs w:val="22"/>
        </w:rPr>
        <w:t>, case no. SA 6/2009 (NmSC) applies to this case</w:t>
      </w:r>
      <w:r w:rsidRPr="006C2437">
        <w:rPr>
          <w:rFonts w:ascii="Arial" w:hAnsi="Arial" w:cs="Arial"/>
          <w:b/>
        </w:rPr>
        <w:t>.</w:t>
      </w:r>
      <w:r w:rsidRPr="006C2437">
        <w:rPr>
          <w:rFonts w:ascii="Arial" w:hAnsi="Arial" w:cs="Arial"/>
        </w:rPr>
        <w:t>”</w:t>
      </w:r>
    </w:p>
    <w:p w:rsidR="00240D41" w:rsidRDefault="00240D41" w:rsidP="00240D41">
      <w:pPr>
        <w:tabs>
          <w:tab w:val="left" w:pos="0"/>
        </w:tabs>
        <w:spacing w:line="480" w:lineRule="auto"/>
        <w:jc w:val="both"/>
        <w:rPr>
          <w:rFonts w:ascii="Arial" w:hAnsi="Arial" w:cs="Arial"/>
          <w:b/>
        </w:rPr>
      </w:pPr>
    </w:p>
    <w:p w:rsidR="00240D41" w:rsidRDefault="00240D41" w:rsidP="00240D41">
      <w:pPr>
        <w:tabs>
          <w:tab w:val="left" w:pos="0"/>
        </w:tabs>
        <w:spacing w:line="480" w:lineRule="auto"/>
        <w:jc w:val="both"/>
        <w:rPr>
          <w:rFonts w:ascii="Arial" w:hAnsi="Arial" w:cs="Arial"/>
        </w:rPr>
      </w:pPr>
      <w:r>
        <w:rPr>
          <w:rFonts w:ascii="Arial" w:hAnsi="Arial" w:cs="Arial"/>
        </w:rPr>
        <w:t>The Court accordingly dismissed the application for condonation and the reinstatement of the appeal.</w:t>
      </w:r>
    </w:p>
    <w:p w:rsidR="00240D41" w:rsidRPr="008B7E85" w:rsidRDefault="00240D41" w:rsidP="00240D41">
      <w:pPr>
        <w:tabs>
          <w:tab w:val="left" w:pos="0"/>
        </w:tabs>
        <w:spacing w:line="480" w:lineRule="auto"/>
        <w:jc w:val="both"/>
        <w:rPr>
          <w:rFonts w:ascii="Arial" w:hAnsi="Arial" w:cs="Arial"/>
        </w:rPr>
      </w:pPr>
    </w:p>
    <w:p w:rsidR="00240D41" w:rsidRPr="006C2437" w:rsidRDefault="00240D41" w:rsidP="00240D41">
      <w:pPr>
        <w:tabs>
          <w:tab w:val="left" w:pos="0"/>
        </w:tabs>
        <w:spacing w:line="480" w:lineRule="auto"/>
        <w:jc w:val="both"/>
        <w:rPr>
          <w:rFonts w:ascii="Arial" w:hAnsi="Arial" w:cs="Arial"/>
        </w:rPr>
      </w:pPr>
      <w:r w:rsidRPr="006C2437">
        <w:rPr>
          <w:rFonts w:ascii="Arial" w:hAnsi="Arial" w:cs="Arial"/>
        </w:rPr>
        <w:t>[1</w:t>
      </w:r>
      <w:r>
        <w:rPr>
          <w:rFonts w:ascii="Arial" w:hAnsi="Arial" w:cs="Arial"/>
        </w:rPr>
        <w:t>1</w:t>
      </w:r>
      <w:r w:rsidRPr="006C2437">
        <w:rPr>
          <w:rFonts w:ascii="Arial" w:hAnsi="Arial" w:cs="Arial"/>
        </w:rPr>
        <w:t>]</w:t>
      </w:r>
      <w:r w:rsidRPr="006C2437">
        <w:rPr>
          <w:rFonts w:ascii="Arial" w:hAnsi="Arial" w:cs="Arial"/>
        </w:rPr>
        <w:tab/>
        <w:t>In the</w:t>
      </w:r>
      <w:r w:rsidRPr="006C2437">
        <w:rPr>
          <w:rFonts w:ascii="Arial" w:hAnsi="Arial" w:cs="Arial"/>
          <w:b/>
        </w:rPr>
        <w:t xml:space="preserve"> </w:t>
      </w:r>
      <w:r w:rsidRPr="008B7E85">
        <w:rPr>
          <w:rFonts w:ascii="Arial" w:hAnsi="Arial" w:cs="Arial"/>
          <w:i/>
        </w:rPr>
        <w:t>Ondjava</w:t>
      </w:r>
      <w:r w:rsidRPr="008B7E85">
        <w:rPr>
          <w:rFonts w:ascii="Arial" w:hAnsi="Arial" w:cs="Arial"/>
        </w:rPr>
        <w:t xml:space="preserve"> </w:t>
      </w:r>
      <w:r w:rsidRPr="006C2437">
        <w:rPr>
          <w:rFonts w:ascii="Arial" w:hAnsi="Arial" w:cs="Arial"/>
        </w:rPr>
        <w:t>case</w:t>
      </w:r>
      <w:r>
        <w:rPr>
          <w:rStyle w:val="FootnoteReference"/>
          <w:rFonts w:ascii="Arial" w:hAnsi="Arial" w:cs="Arial"/>
        </w:rPr>
        <w:footnoteReference w:id="8"/>
      </w:r>
      <w:r w:rsidRPr="006C2437">
        <w:rPr>
          <w:rFonts w:ascii="Arial" w:hAnsi="Arial" w:cs="Arial"/>
        </w:rPr>
        <w:t xml:space="preserve"> </w:t>
      </w:r>
      <w:r>
        <w:rPr>
          <w:rFonts w:ascii="Arial" w:hAnsi="Arial" w:cs="Arial"/>
        </w:rPr>
        <w:t xml:space="preserve">Maritz JA </w:t>
      </w:r>
      <w:r w:rsidRPr="006C2437">
        <w:rPr>
          <w:rFonts w:ascii="Arial" w:hAnsi="Arial" w:cs="Arial"/>
        </w:rPr>
        <w:t>referred to a remark by a Judge of Appeal who said</w:t>
      </w:r>
      <w:r>
        <w:rPr>
          <w:rStyle w:val="FootnoteReference"/>
          <w:rFonts w:ascii="Arial" w:hAnsi="Arial" w:cs="Arial"/>
        </w:rPr>
        <w:footnoteReference w:id="9"/>
      </w:r>
      <w:r w:rsidRPr="006C2437">
        <w:rPr>
          <w:rFonts w:ascii="Arial" w:hAnsi="Arial" w:cs="Arial"/>
        </w:rPr>
        <w:t>:</w:t>
      </w:r>
    </w:p>
    <w:p w:rsidR="00240D41" w:rsidRPr="006C2437" w:rsidRDefault="00240D41" w:rsidP="00240D41">
      <w:pPr>
        <w:tabs>
          <w:tab w:val="left" w:pos="0"/>
        </w:tabs>
        <w:spacing w:line="480" w:lineRule="auto"/>
        <w:jc w:val="both"/>
        <w:rPr>
          <w:rFonts w:ascii="Arial" w:hAnsi="Arial" w:cs="Arial"/>
        </w:rPr>
      </w:pPr>
    </w:p>
    <w:p w:rsidR="00240D41" w:rsidRPr="006C2437" w:rsidRDefault="00240D41" w:rsidP="00240D41">
      <w:pPr>
        <w:tabs>
          <w:tab w:val="left" w:pos="0"/>
        </w:tabs>
        <w:spacing w:line="480" w:lineRule="auto"/>
        <w:ind w:left="720"/>
        <w:jc w:val="both"/>
        <w:rPr>
          <w:rFonts w:ascii="Arial" w:hAnsi="Arial" w:cs="Arial"/>
          <w:sz w:val="22"/>
          <w:szCs w:val="22"/>
        </w:rPr>
      </w:pPr>
      <w:r w:rsidRPr="006C2437">
        <w:rPr>
          <w:rFonts w:ascii="Arial" w:hAnsi="Arial" w:cs="Arial"/>
        </w:rPr>
        <w:t>“</w:t>
      </w:r>
      <w:r w:rsidRPr="006C2437">
        <w:rPr>
          <w:rFonts w:ascii="Arial" w:hAnsi="Arial" w:cs="Arial"/>
          <w:i/>
          <w:sz w:val="22"/>
          <w:szCs w:val="22"/>
        </w:rPr>
        <w:t>Litigation is a serious matter and, once having put a hand to the plough, the applicant should have made arrangements to see the matter through</w:t>
      </w:r>
      <w:r w:rsidRPr="006C2437">
        <w:rPr>
          <w:rFonts w:ascii="Arial" w:hAnsi="Arial" w:cs="Arial"/>
          <w:sz w:val="22"/>
          <w:szCs w:val="22"/>
        </w:rPr>
        <w:t>.</w:t>
      </w:r>
    </w:p>
    <w:p w:rsidR="00240D41" w:rsidRPr="006C2437" w:rsidRDefault="00240D41" w:rsidP="00240D41">
      <w:pPr>
        <w:tabs>
          <w:tab w:val="left" w:pos="0"/>
        </w:tabs>
        <w:spacing w:line="480" w:lineRule="auto"/>
        <w:ind w:left="720"/>
        <w:jc w:val="both"/>
        <w:rPr>
          <w:rFonts w:ascii="Arial" w:hAnsi="Arial" w:cs="Arial"/>
          <w:sz w:val="22"/>
          <w:szCs w:val="22"/>
        </w:rPr>
      </w:pPr>
    </w:p>
    <w:p w:rsidR="004A638F" w:rsidRDefault="00092070" w:rsidP="00092070">
      <w:pPr>
        <w:tabs>
          <w:tab w:val="left" w:pos="720"/>
        </w:tabs>
        <w:spacing w:line="480" w:lineRule="auto"/>
        <w:jc w:val="both"/>
        <w:rPr>
          <w:rFonts w:ascii="Arial" w:hAnsi="Arial" w:cs="Arial"/>
        </w:rPr>
      </w:pPr>
      <w:r>
        <w:rPr>
          <w:rFonts w:ascii="Arial" w:hAnsi="Arial" w:cs="Arial"/>
        </w:rPr>
        <w:t>In exercising a discretion as to whether or not to grant condonation and reinstate a</w:t>
      </w:r>
      <w:r w:rsidR="004A638F">
        <w:rPr>
          <w:rFonts w:ascii="Arial" w:hAnsi="Arial" w:cs="Arial"/>
        </w:rPr>
        <w:t xml:space="preserve"> labour </w:t>
      </w:r>
      <w:r>
        <w:rPr>
          <w:rFonts w:ascii="Arial" w:hAnsi="Arial" w:cs="Arial"/>
        </w:rPr>
        <w:t xml:space="preserve">appeal, I </w:t>
      </w:r>
      <w:r w:rsidR="004A638F">
        <w:rPr>
          <w:rFonts w:ascii="Arial" w:hAnsi="Arial" w:cs="Arial"/>
        </w:rPr>
        <w:t xml:space="preserve">accordingly </w:t>
      </w:r>
      <w:r>
        <w:rPr>
          <w:rFonts w:ascii="Arial" w:hAnsi="Arial" w:cs="Arial"/>
        </w:rPr>
        <w:t xml:space="preserve">distill a need by the Court to balance the factors </w:t>
      </w:r>
      <w:r w:rsidR="004A638F">
        <w:rPr>
          <w:rFonts w:ascii="Arial" w:hAnsi="Arial" w:cs="Arial"/>
        </w:rPr>
        <w:t xml:space="preserve">mentioned in </w:t>
      </w:r>
      <w:r>
        <w:rPr>
          <w:rFonts w:ascii="Arial" w:hAnsi="Arial" w:cs="Arial"/>
        </w:rPr>
        <w:t xml:space="preserve">the </w:t>
      </w:r>
      <w:r w:rsidRPr="00092070">
        <w:rPr>
          <w:rFonts w:ascii="Arial" w:hAnsi="Arial" w:cs="Arial"/>
          <w:i/>
        </w:rPr>
        <w:t>Frank</w:t>
      </w:r>
      <w:r>
        <w:rPr>
          <w:rFonts w:ascii="Arial" w:hAnsi="Arial" w:cs="Arial"/>
        </w:rPr>
        <w:t xml:space="preserve"> case</w:t>
      </w:r>
      <w:r w:rsidR="004A638F">
        <w:rPr>
          <w:rFonts w:ascii="Arial" w:hAnsi="Arial" w:cs="Arial"/>
        </w:rPr>
        <w:t xml:space="preserve"> with the weighty consideration of expedition required for the effective working of the dispute resolution mechanisms contained in the Act.</w:t>
      </w:r>
    </w:p>
    <w:p w:rsidR="00240D41" w:rsidRDefault="00092070" w:rsidP="00092070">
      <w:pPr>
        <w:tabs>
          <w:tab w:val="left" w:pos="720"/>
        </w:tabs>
        <w:spacing w:line="480" w:lineRule="auto"/>
        <w:jc w:val="both"/>
        <w:rPr>
          <w:rFonts w:ascii="Arial" w:hAnsi="Arial" w:cs="Arial"/>
        </w:rPr>
      </w:pPr>
      <w:r>
        <w:rPr>
          <w:rFonts w:ascii="Arial" w:hAnsi="Arial" w:cs="Arial"/>
        </w:rPr>
        <w:t xml:space="preserve"> </w:t>
      </w:r>
    </w:p>
    <w:p w:rsidR="004A638F" w:rsidRDefault="004A638F" w:rsidP="00092070">
      <w:pPr>
        <w:tabs>
          <w:tab w:val="left" w:pos="720"/>
        </w:tabs>
        <w:spacing w:line="480" w:lineRule="auto"/>
        <w:jc w:val="both"/>
        <w:rPr>
          <w:rFonts w:ascii="Arial" w:hAnsi="Arial" w:cs="Arial"/>
        </w:rPr>
      </w:pPr>
    </w:p>
    <w:p w:rsidR="004A638F" w:rsidRDefault="004A638F" w:rsidP="00092070">
      <w:pPr>
        <w:tabs>
          <w:tab w:val="left" w:pos="720"/>
        </w:tabs>
        <w:spacing w:line="480" w:lineRule="auto"/>
        <w:jc w:val="both"/>
        <w:rPr>
          <w:rFonts w:ascii="Arial" w:hAnsi="Arial" w:cs="Arial"/>
        </w:rPr>
      </w:pPr>
    </w:p>
    <w:p w:rsidR="004A638F" w:rsidRDefault="004A638F" w:rsidP="00092070">
      <w:pPr>
        <w:tabs>
          <w:tab w:val="left" w:pos="720"/>
        </w:tabs>
        <w:spacing w:line="480" w:lineRule="auto"/>
        <w:jc w:val="both"/>
        <w:rPr>
          <w:rFonts w:ascii="Arial" w:hAnsi="Arial" w:cs="Arial"/>
        </w:rPr>
      </w:pPr>
    </w:p>
    <w:p w:rsidR="00240D41" w:rsidRDefault="00240D41" w:rsidP="00240D41">
      <w:pPr>
        <w:tabs>
          <w:tab w:val="left" w:pos="720"/>
        </w:tabs>
        <w:spacing w:line="480" w:lineRule="auto"/>
        <w:ind w:left="1440" w:hanging="1440"/>
        <w:jc w:val="both"/>
        <w:rPr>
          <w:rFonts w:ascii="Arial" w:hAnsi="Arial" w:cs="Arial"/>
          <w:u w:val="single"/>
        </w:rPr>
      </w:pPr>
      <w:r w:rsidRPr="006E3C8D">
        <w:rPr>
          <w:rFonts w:ascii="Arial" w:hAnsi="Arial" w:cs="Arial"/>
          <w:u w:val="single"/>
        </w:rPr>
        <w:lastRenderedPageBreak/>
        <w:t xml:space="preserve">THE APPLICANT’S </w:t>
      </w:r>
      <w:r w:rsidR="006E3C8D" w:rsidRPr="006E3C8D">
        <w:rPr>
          <w:rFonts w:ascii="Arial" w:hAnsi="Arial" w:cs="Arial"/>
          <w:u w:val="single"/>
        </w:rPr>
        <w:t>EXPLANATION</w:t>
      </w:r>
      <w:r w:rsidRPr="006E3C8D">
        <w:rPr>
          <w:rFonts w:ascii="Arial" w:hAnsi="Arial" w:cs="Arial"/>
          <w:u w:val="single"/>
        </w:rPr>
        <w:t xml:space="preserve"> </w:t>
      </w:r>
    </w:p>
    <w:p w:rsidR="006E3C8D" w:rsidRPr="006E3C8D" w:rsidRDefault="006E3C8D" w:rsidP="00240D41">
      <w:pPr>
        <w:tabs>
          <w:tab w:val="left" w:pos="720"/>
        </w:tabs>
        <w:spacing w:line="480" w:lineRule="auto"/>
        <w:ind w:left="1440" w:hanging="1440"/>
        <w:jc w:val="both"/>
        <w:rPr>
          <w:rFonts w:ascii="Arial" w:hAnsi="Arial" w:cs="Arial"/>
          <w:u w:val="single"/>
        </w:rPr>
      </w:pPr>
    </w:p>
    <w:p w:rsidR="003E0A5A" w:rsidRDefault="00C0024D" w:rsidP="009E04C8">
      <w:pPr>
        <w:spacing w:line="480" w:lineRule="auto"/>
        <w:jc w:val="both"/>
        <w:rPr>
          <w:rFonts w:ascii="Arial" w:hAnsi="Arial" w:cs="Arial"/>
        </w:rPr>
      </w:pPr>
      <w:r>
        <w:rPr>
          <w:rFonts w:ascii="Arial" w:hAnsi="Arial" w:cs="Arial"/>
        </w:rPr>
        <w:t>[</w:t>
      </w:r>
      <w:r w:rsidR="00240D41">
        <w:rPr>
          <w:rFonts w:ascii="Arial" w:hAnsi="Arial" w:cs="Arial"/>
        </w:rPr>
        <w:t>12</w:t>
      </w:r>
      <w:r>
        <w:rPr>
          <w:rFonts w:ascii="Arial" w:hAnsi="Arial" w:cs="Arial"/>
        </w:rPr>
        <w:t>]</w:t>
      </w:r>
      <w:r>
        <w:rPr>
          <w:rFonts w:ascii="Arial" w:hAnsi="Arial" w:cs="Arial"/>
        </w:rPr>
        <w:tab/>
      </w:r>
      <w:r w:rsidR="00EB1FD5">
        <w:rPr>
          <w:rFonts w:ascii="Arial" w:hAnsi="Arial" w:cs="Arial"/>
        </w:rPr>
        <w:t xml:space="preserve">After filing the notice of appeal the applicant’s legal representative states that he waited to be informed by the Registrar of the Labour Court or the Arbitrator that the record of proceedings was available.   </w:t>
      </w:r>
      <w:r w:rsidR="002D0C41">
        <w:rPr>
          <w:rFonts w:ascii="Arial" w:hAnsi="Arial" w:cs="Arial"/>
        </w:rPr>
        <w:t>He was thus aware of the 21 day period within which the record had to be filed.  Despite this, and because “</w:t>
      </w:r>
      <w:r w:rsidR="002D0C41" w:rsidRPr="002D0C41">
        <w:rPr>
          <w:rFonts w:ascii="Arial" w:hAnsi="Arial" w:cs="Arial"/>
          <w:i/>
        </w:rPr>
        <w:t>the date of lapsing of the appeal was in the distant future</w:t>
      </w:r>
      <w:r w:rsidR="002D0C41">
        <w:rPr>
          <w:rFonts w:ascii="Arial" w:hAnsi="Arial" w:cs="Arial"/>
        </w:rPr>
        <w:t xml:space="preserve">” he was not concerned.  Applicant’s legal representative states in vague terms about enquiries he made about the record, but confirms that he was informed around the middle of April 2010 that the record was available. He thereafter obtained </w:t>
      </w:r>
      <w:r w:rsidR="003E0A5A">
        <w:rPr>
          <w:rFonts w:ascii="Arial" w:hAnsi="Arial" w:cs="Arial"/>
        </w:rPr>
        <w:t xml:space="preserve">a copy of </w:t>
      </w:r>
      <w:r w:rsidR="002D0C41">
        <w:rPr>
          <w:rFonts w:ascii="Arial" w:hAnsi="Arial" w:cs="Arial"/>
        </w:rPr>
        <w:t xml:space="preserve">the record </w:t>
      </w:r>
      <w:r w:rsidR="003E0A5A">
        <w:rPr>
          <w:rFonts w:ascii="Arial" w:hAnsi="Arial" w:cs="Arial"/>
        </w:rPr>
        <w:t xml:space="preserve">in late April 2010 and filed a certified copy </w:t>
      </w:r>
      <w:r w:rsidR="004A638F">
        <w:rPr>
          <w:rFonts w:ascii="Arial" w:hAnsi="Arial" w:cs="Arial"/>
        </w:rPr>
        <w:t xml:space="preserve">thereof on </w:t>
      </w:r>
      <w:r w:rsidR="003E0A5A">
        <w:rPr>
          <w:rFonts w:ascii="Arial" w:hAnsi="Arial" w:cs="Arial"/>
        </w:rPr>
        <w:t xml:space="preserve">14 May 2010.  The delay is sought to be explained by reference to the time consuming process of verification of the record and the intervention of urgent work commitments, whatever those might constitute.  No details were provided.  On 23 June 2010 an application for a hearing date was filed and accordingly by virtue of Rule 17(19) </w:t>
      </w:r>
      <w:r w:rsidR="004A638F">
        <w:rPr>
          <w:rFonts w:ascii="Arial" w:hAnsi="Arial" w:cs="Arial"/>
        </w:rPr>
        <w:t xml:space="preserve">that date was determinative of whether </w:t>
      </w:r>
      <w:r w:rsidR="003E0A5A">
        <w:rPr>
          <w:rFonts w:ascii="Arial" w:hAnsi="Arial" w:cs="Arial"/>
        </w:rPr>
        <w:t>the appeal was deemed to be duly prosecuted.</w:t>
      </w:r>
    </w:p>
    <w:p w:rsidR="003E0A5A" w:rsidRDefault="003E0A5A" w:rsidP="009E04C8">
      <w:pPr>
        <w:spacing w:line="480" w:lineRule="auto"/>
        <w:jc w:val="both"/>
        <w:rPr>
          <w:rFonts w:ascii="Arial" w:hAnsi="Arial" w:cs="Arial"/>
        </w:rPr>
      </w:pPr>
    </w:p>
    <w:p w:rsidR="00755759" w:rsidRDefault="003E0A5A" w:rsidP="009E04C8">
      <w:pPr>
        <w:spacing w:line="480" w:lineRule="auto"/>
        <w:jc w:val="both"/>
        <w:rPr>
          <w:rFonts w:ascii="Arial" w:hAnsi="Arial" w:cs="Arial"/>
        </w:rPr>
      </w:pPr>
      <w:r>
        <w:rPr>
          <w:rFonts w:ascii="Arial" w:hAnsi="Arial" w:cs="Arial"/>
        </w:rPr>
        <w:t>[</w:t>
      </w:r>
      <w:r w:rsidR="00240D41">
        <w:rPr>
          <w:rFonts w:ascii="Arial" w:hAnsi="Arial" w:cs="Arial"/>
        </w:rPr>
        <w:t>13</w:t>
      </w:r>
      <w:r>
        <w:rPr>
          <w:rFonts w:ascii="Arial" w:hAnsi="Arial" w:cs="Arial"/>
        </w:rPr>
        <w:t>]</w:t>
      </w:r>
      <w:r>
        <w:rPr>
          <w:rFonts w:ascii="Arial" w:hAnsi="Arial" w:cs="Arial"/>
        </w:rPr>
        <w:tab/>
        <w:t xml:space="preserve">However, </w:t>
      </w:r>
      <w:r w:rsidR="00755759">
        <w:rPr>
          <w:rFonts w:ascii="Arial" w:hAnsi="Arial" w:cs="Arial"/>
        </w:rPr>
        <w:t xml:space="preserve">in terms of section 17(25) the period of 90 days provided for the prosecution of the appeal by applicant had already expired on </w:t>
      </w:r>
      <w:r w:rsidR="004A638F">
        <w:rPr>
          <w:rFonts w:ascii="Arial" w:hAnsi="Arial" w:cs="Arial"/>
        </w:rPr>
        <w:t xml:space="preserve">6 </w:t>
      </w:r>
      <w:r w:rsidR="00755759">
        <w:rPr>
          <w:rFonts w:ascii="Arial" w:hAnsi="Arial" w:cs="Arial"/>
        </w:rPr>
        <w:t xml:space="preserve"> May 2010.  The applicant’s legal practitioner states that he at all times had assumed that the reference to “</w:t>
      </w:r>
      <w:r w:rsidR="00755759" w:rsidRPr="00755759">
        <w:rPr>
          <w:rFonts w:ascii="Arial" w:hAnsi="Arial" w:cs="Arial"/>
          <w:i/>
        </w:rPr>
        <w:t>days</w:t>
      </w:r>
      <w:r w:rsidR="00755759">
        <w:rPr>
          <w:rFonts w:ascii="Arial" w:hAnsi="Arial" w:cs="Arial"/>
        </w:rPr>
        <w:t>” in the Act was a reference to “</w:t>
      </w:r>
      <w:r w:rsidR="00755759" w:rsidRPr="00755759">
        <w:rPr>
          <w:rFonts w:ascii="Arial" w:hAnsi="Arial" w:cs="Arial"/>
          <w:i/>
        </w:rPr>
        <w:t>court days</w:t>
      </w:r>
      <w:r w:rsidR="00755759">
        <w:rPr>
          <w:rFonts w:ascii="Arial" w:hAnsi="Arial" w:cs="Arial"/>
        </w:rPr>
        <w:t>” (as in the previous Labour Act), whilst in reality the new Act referred to “</w:t>
      </w:r>
      <w:r w:rsidR="00755759" w:rsidRPr="00755759">
        <w:rPr>
          <w:rFonts w:ascii="Arial" w:hAnsi="Arial" w:cs="Arial"/>
          <w:i/>
        </w:rPr>
        <w:t>calendar days</w:t>
      </w:r>
      <w:r w:rsidR="00755759">
        <w:rPr>
          <w:rFonts w:ascii="Arial" w:hAnsi="Arial" w:cs="Arial"/>
        </w:rPr>
        <w:t xml:space="preserve">”. The legal </w:t>
      </w:r>
      <w:r w:rsidR="00755759">
        <w:rPr>
          <w:rFonts w:ascii="Arial" w:hAnsi="Arial" w:cs="Arial"/>
        </w:rPr>
        <w:lastRenderedPageBreak/>
        <w:t xml:space="preserve">practitioner states that this matter was his first appeal in terms of the new Act and that he had accordingly made a mistake in the calculation of the relevant </w:t>
      </w:r>
      <w:r w:rsidR="00755759" w:rsidRPr="00755759">
        <w:rPr>
          <w:rFonts w:ascii="Arial" w:hAnsi="Arial" w:cs="Arial"/>
          <w:i/>
        </w:rPr>
        <w:t>dies</w:t>
      </w:r>
      <w:r w:rsidR="00755759">
        <w:rPr>
          <w:rFonts w:ascii="Arial" w:hAnsi="Arial" w:cs="Arial"/>
        </w:rPr>
        <w:t>.</w:t>
      </w:r>
    </w:p>
    <w:p w:rsidR="00755759" w:rsidRDefault="00755759" w:rsidP="009E04C8">
      <w:pPr>
        <w:spacing w:line="480" w:lineRule="auto"/>
        <w:jc w:val="both"/>
        <w:rPr>
          <w:rFonts w:ascii="Arial" w:hAnsi="Arial" w:cs="Arial"/>
        </w:rPr>
      </w:pPr>
    </w:p>
    <w:p w:rsidR="003E0A5A" w:rsidRDefault="00755759" w:rsidP="009E04C8">
      <w:pPr>
        <w:spacing w:line="480" w:lineRule="auto"/>
        <w:jc w:val="both"/>
        <w:rPr>
          <w:rFonts w:ascii="Arial" w:hAnsi="Arial" w:cs="Arial"/>
        </w:rPr>
      </w:pPr>
      <w:r>
        <w:rPr>
          <w:rFonts w:ascii="Arial" w:hAnsi="Arial" w:cs="Arial"/>
        </w:rPr>
        <w:t>[</w:t>
      </w:r>
      <w:r w:rsidR="00240D41">
        <w:rPr>
          <w:rFonts w:ascii="Arial" w:hAnsi="Arial" w:cs="Arial"/>
        </w:rPr>
        <w:t>14</w:t>
      </w:r>
      <w:r>
        <w:rPr>
          <w:rFonts w:ascii="Arial" w:hAnsi="Arial" w:cs="Arial"/>
        </w:rPr>
        <w:t>]</w:t>
      </w:r>
      <w:r>
        <w:rPr>
          <w:rFonts w:ascii="Arial" w:hAnsi="Arial" w:cs="Arial"/>
        </w:rPr>
        <w:tab/>
        <w:t xml:space="preserve">Ms Van der Merwe, who appeared for the respondent, submitted that the explanation furnished was </w:t>
      </w:r>
      <w:r w:rsidR="00C8756B">
        <w:rPr>
          <w:rFonts w:ascii="Arial" w:hAnsi="Arial" w:cs="Arial"/>
        </w:rPr>
        <w:t xml:space="preserve">inadequate.  It is common cause that the record was available in February 2010, but it is unclear as to why a formal request was not made for the record, or why the Registrar was not approached at an earlier opportunity.  It was further submitted that the fact that the appeal constituted the applicant’s legal practitioner’s first appeal under the new Act placed an obligation on him to </w:t>
      </w:r>
      <w:r w:rsidR="005F0F55">
        <w:rPr>
          <w:rFonts w:ascii="Arial" w:hAnsi="Arial" w:cs="Arial"/>
        </w:rPr>
        <w:t>take more care</w:t>
      </w:r>
      <w:r w:rsidR="00C8756B">
        <w:rPr>
          <w:rFonts w:ascii="Arial" w:hAnsi="Arial" w:cs="Arial"/>
        </w:rPr>
        <w:t>.</w:t>
      </w:r>
      <w:r w:rsidR="005F0F55">
        <w:rPr>
          <w:rFonts w:ascii="Arial" w:hAnsi="Arial" w:cs="Arial"/>
        </w:rPr>
        <w:t xml:space="preserve"> Counsel further submitted that, in any event, if this explanation is to be accepted, it does not constitute a </w:t>
      </w:r>
      <w:r w:rsidR="005F0F55" w:rsidRPr="005F0F55">
        <w:rPr>
          <w:rFonts w:ascii="Arial" w:hAnsi="Arial" w:cs="Arial"/>
          <w:i/>
        </w:rPr>
        <w:t>bona fide</w:t>
      </w:r>
      <w:r w:rsidR="005F0F55">
        <w:rPr>
          <w:rFonts w:ascii="Arial" w:hAnsi="Arial" w:cs="Arial"/>
        </w:rPr>
        <w:t xml:space="preserve"> mistake, since even if the calculation was done on the basis of “</w:t>
      </w:r>
      <w:r w:rsidR="005F0F55" w:rsidRPr="005F0F55">
        <w:rPr>
          <w:rFonts w:ascii="Arial" w:hAnsi="Arial" w:cs="Arial"/>
          <w:i/>
        </w:rPr>
        <w:t>court days</w:t>
      </w:r>
      <w:r w:rsidR="005F0F55">
        <w:rPr>
          <w:rFonts w:ascii="Arial" w:hAnsi="Arial" w:cs="Arial"/>
        </w:rPr>
        <w:t>”  the appeal should have been prosecuted by 21 June, but was only prosecuted on 23 June 2010.  I consider that there is substance in Ms Van der Merwe’s submission</w:t>
      </w:r>
      <w:r w:rsidR="00E80EE0">
        <w:rPr>
          <w:rFonts w:ascii="Arial" w:hAnsi="Arial" w:cs="Arial"/>
        </w:rPr>
        <w:t xml:space="preserve">s. </w:t>
      </w:r>
      <w:r w:rsidR="005F0F55">
        <w:rPr>
          <w:rFonts w:ascii="Arial" w:hAnsi="Arial" w:cs="Arial"/>
        </w:rPr>
        <w:t xml:space="preserve">   </w:t>
      </w:r>
      <w:r w:rsidR="00C8756B">
        <w:rPr>
          <w:rFonts w:ascii="Arial" w:hAnsi="Arial" w:cs="Arial"/>
        </w:rPr>
        <w:t xml:space="preserve">    </w:t>
      </w:r>
      <w:r>
        <w:rPr>
          <w:rFonts w:ascii="Arial" w:hAnsi="Arial" w:cs="Arial"/>
        </w:rPr>
        <w:t xml:space="preserve">  </w:t>
      </w:r>
      <w:r w:rsidR="003E0A5A">
        <w:rPr>
          <w:rFonts w:ascii="Arial" w:hAnsi="Arial" w:cs="Arial"/>
        </w:rPr>
        <w:t xml:space="preserve">    </w:t>
      </w:r>
    </w:p>
    <w:p w:rsidR="003E0A5A" w:rsidRDefault="003E0A5A" w:rsidP="009E04C8">
      <w:pPr>
        <w:spacing w:line="480" w:lineRule="auto"/>
        <w:jc w:val="both"/>
        <w:rPr>
          <w:rFonts w:ascii="Arial" w:hAnsi="Arial" w:cs="Arial"/>
        </w:rPr>
      </w:pPr>
    </w:p>
    <w:p w:rsidR="008B7E85" w:rsidRPr="006C2437" w:rsidRDefault="00240D41" w:rsidP="008B7E85">
      <w:pPr>
        <w:spacing w:line="480" w:lineRule="auto"/>
        <w:jc w:val="both"/>
        <w:rPr>
          <w:rFonts w:ascii="Arial" w:hAnsi="Arial" w:cs="Arial"/>
        </w:rPr>
      </w:pPr>
      <w:r w:rsidRPr="006C2437">
        <w:rPr>
          <w:rFonts w:ascii="Arial" w:hAnsi="Arial" w:cs="Arial"/>
        </w:rPr>
        <w:t xml:space="preserve"> </w:t>
      </w:r>
      <w:r w:rsidR="008B7E85" w:rsidRPr="006C2437">
        <w:rPr>
          <w:rFonts w:ascii="Arial" w:hAnsi="Arial" w:cs="Arial"/>
        </w:rPr>
        <w:t>[1</w:t>
      </w:r>
      <w:r>
        <w:rPr>
          <w:rFonts w:ascii="Arial" w:hAnsi="Arial" w:cs="Arial"/>
        </w:rPr>
        <w:t>5</w:t>
      </w:r>
      <w:r w:rsidR="008B7E85" w:rsidRPr="006C2437">
        <w:rPr>
          <w:rFonts w:ascii="Arial" w:hAnsi="Arial" w:cs="Arial"/>
        </w:rPr>
        <w:t>]</w:t>
      </w:r>
      <w:r w:rsidR="008B7E85" w:rsidRPr="006C2437">
        <w:rPr>
          <w:rFonts w:ascii="Arial" w:hAnsi="Arial" w:cs="Arial"/>
        </w:rPr>
        <w:tab/>
      </w:r>
      <w:r>
        <w:rPr>
          <w:rFonts w:ascii="Arial" w:hAnsi="Arial" w:cs="Arial"/>
        </w:rPr>
        <w:t>T</w:t>
      </w:r>
      <w:r w:rsidR="008B7E85">
        <w:rPr>
          <w:rFonts w:ascii="Arial" w:hAnsi="Arial" w:cs="Arial"/>
        </w:rPr>
        <w:t xml:space="preserve">he </w:t>
      </w:r>
      <w:r w:rsidR="008B7E85" w:rsidRPr="006C2437">
        <w:rPr>
          <w:rFonts w:ascii="Arial" w:hAnsi="Arial" w:cs="Arial"/>
        </w:rPr>
        <w:t xml:space="preserve">applicant’s </w:t>
      </w:r>
      <w:r w:rsidR="008B7E85">
        <w:rPr>
          <w:rFonts w:ascii="Arial" w:hAnsi="Arial" w:cs="Arial"/>
        </w:rPr>
        <w:t xml:space="preserve">notice of appeal </w:t>
      </w:r>
      <w:r w:rsidR="008B7E85" w:rsidRPr="006C2437">
        <w:rPr>
          <w:rFonts w:ascii="Arial" w:hAnsi="Arial" w:cs="Arial"/>
        </w:rPr>
        <w:t xml:space="preserve">was </w:t>
      </w:r>
      <w:r w:rsidR="008B7E85">
        <w:rPr>
          <w:rFonts w:ascii="Arial" w:hAnsi="Arial" w:cs="Arial"/>
        </w:rPr>
        <w:t>file</w:t>
      </w:r>
      <w:r w:rsidR="004A638F">
        <w:rPr>
          <w:rFonts w:ascii="Arial" w:hAnsi="Arial" w:cs="Arial"/>
        </w:rPr>
        <w:t>d</w:t>
      </w:r>
      <w:r w:rsidR="008B7E85">
        <w:rPr>
          <w:rFonts w:ascii="Arial" w:hAnsi="Arial" w:cs="Arial"/>
        </w:rPr>
        <w:t xml:space="preserve"> on 5 February 2010 and the appeal should have been prosecuted by 6 May 2010.  The first application for condonation and reinstatement of the appeal was filed on 13 October 2010, more than 6 months after the applicant’s </w:t>
      </w:r>
      <w:r w:rsidR="008B7E85" w:rsidRPr="006C2437">
        <w:rPr>
          <w:rFonts w:ascii="Arial" w:hAnsi="Arial" w:cs="Arial"/>
        </w:rPr>
        <w:t>appeal had lapsed.</w:t>
      </w:r>
      <w:r w:rsidR="008B7E85">
        <w:rPr>
          <w:rFonts w:ascii="Arial" w:hAnsi="Arial" w:cs="Arial"/>
        </w:rPr>
        <w:t xml:space="preserve">  However, the applicant’s legal representative’s explanation that he made a mistaken assumption about the calculation of the dates causing the lapsing of the appeal lacks </w:t>
      </w:r>
      <w:r w:rsidR="008B7E85" w:rsidRPr="00B37AEF">
        <w:rPr>
          <w:rFonts w:ascii="Arial" w:hAnsi="Arial" w:cs="Arial"/>
          <w:i/>
        </w:rPr>
        <w:t>bona fides</w:t>
      </w:r>
      <w:r w:rsidR="008B7E85">
        <w:rPr>
          <w:rFonts w:ascii="Arial" w:hAnsi="Arial" w:cs="Arial"/>
        </w:rPr>
        <w:t xml:space="preserve"> if regard is had to the fact that even on his incorrect calculation the appeal would have lapsed two days prior to its purported prosecution.   This issue is fudged </w:t>
      </w:r>
      <w:r w:rsidR="008B7E85">
        <w:rPr>
          <w:rFonts w:ascii="Arial" w:hAnsi="Arial" w:cs="Arial"/>
        </w:rPr>
        <w:lastRenderedPageBreak/>
        <w:t xml:space="preserve">and no explanation is given for this further remissness on his part.  The Court takes somewhat of a dim view of this lack of forthrightness on his part.    </w:t>
      </w:r>
    </w:p>
    <w:p w:rsidR="008B7E85" w:rsidRPr="006C2437" w:rsidRDefault="008B7E85" w:rsidP="008B7E85">
      <w:pPr>
        <w:tabs>
          <w:tab w:val="left" w:pos="0"/>
        </w:tabs>
        <w:spacing w:line="480" w:lineRule="auto"/>
        <w:jc w:val="both"/>
        <w:rPr>
          <w:rFonts w:ascii="Arial" w:hAnsi="Arial" w:cs="Arial"/>
        </w:rPr>
      </w:pPr>
    </w:p>
    <w:p w:rsidR="006E3C8D" w:rsidRDefault="00240D41" w:rsidP="006E3C8D">
      <w:pPr>
        <w:spacing w:line="480" w:lineRule="auto"/>
        <w:jc w:val="both"/>
        <w:rPr>
          <w:rFonts w:ascii="Arial" w:hAnsi="Arial" w:cs="Arial"/>
        </w:rPr>
      </w:pPr>
      <w:r>
        <w:rPr>
          <w:rFonts w:ascii="Arial" w:hAnsi="Arial" w:cs="Arial"/>
        </w:rPr>
        <w:t xml:space="preserve"> </w:t>
      </w:r>
      <w:r w:rsidR="00050BAB">
        <w:rPr>
          <w:rFonts w:ascii="Arial" w:hAnsi="Arial" w:cs="Arial"/>
        </w:rPr>
        <w:t>[1</w:t>
      </w:r>
      <w:r w:rsidR="00147DAC">
        <w:rPr>
          <w:rFonts w:ascii="Arial" w:hAnsi="Arial" w:cs="Arial"/>
        </w:rPr>
        <w:t>6</w:t>
      </w:r>
      <w:r w:rsidR="00050BAB">
        <w:rPr>
          <w:rFonts w:ascii="Arial" w:hAnsi="Arial" w:cs="Arial"/>
        </w:rPr>
        <w:t>]</w:t>
      </w:r>
      <w:r w:rsidR="00050BAB">
        <w:rPr>
          <w:rFonts w:ascii="Arial" w:hAnsi="Arial" w:cs="Arial"/>
        </w:rPr>
        <w:tab/>
      </w:r>
      <w:r w:rsidR="00AE60B8">
        <w:rPr>
          <w:rFonts w:ascii="Arial" w:hAnsi="Arial" w:cs="Arial"/>
        </w:rPr>
        <w:t xml:space="preserve">In this matter the Arbitrator’s award was handed down on 18 January 2010.  Due to the various delays, and the first application for condonation and reinstatement being struck from the roll in October 2010, </w:t>
      </w:r>
      <w:r w:rsidR="00DD75B1">
        <w:rPr>
          <w:rFonts w:ascii="Arial" w:hAnsi="Arial" w:cs="Arial"/>
        </w:rPr>
        <w:t xml:space="preserve">the second application was only brought in November 2010.  One would have expected the applicant’s legal representative to </w:t>
      </w:r>
      <w:r w:rsidR="00050BAB">
        <w:rPr>
          <w:rFonts w:ascii="Arial" w:hAnsi="Arial" w:cs="Arial"/>
        </w:rPr>
        <w:t xml:space="preserve">have set this application down with alacrity.  Instead it was the respondent who set this matter down and attended to the indexing of the papers herein.  This is further substantiation, not only of the highly neglectful manner in which the appeal and the reinstatement thereof has been handled by the applicant’s legal practitioner, but </w:t>
      </w:r>
      <w:r w:rsidR="00F9147D">
        <w:rPr>
          <w:rFonts w:ascii="Arial" w:hAnsi="Arial" w:cs="Arial"/>
        </w:rPr>
        <w:t xml:space="preserve">this conduct </w:t>
      </w:r>
      <w:r w:rsidR="00050BAB">
        <w:rPr>
          <w:rFonts w:ascii="Arial" w:hAnsi="Arial" w:cs="Arial"/>
        </w:rPr>
        <w:t xml:space="preserve">also </w:t>
      </w:r>
      <w:r w:rsidR="00F9147D">
        <w:rPr>
          <w:rFonts w:ascii="Arial" w:hAnsi="Arial" w:cs="Arial"/>
        </w:rPr>
        <w:t xml:space="preserve">constitutes the </w:t>
      </w:r>
      <w:r w:rsidR="00050BAB">
        <w:rPr>
          <w:rFonts w:ascii="Arial" w:hAnsi="Arial" w:cs="Arial"/>
        </w:rPr>
        <w:t>undermining of the spirit of expedition required by the Act and its Rules.   As it was, this application was only set down on 27 September 2011, some twenty months after the Arbitrator’s award was handed down.</w:t>
      </w:r>
      <w:r w:rsidR="00AE60B8">
        <w:rPr>
          <w:rFonts w:ascii="Arial" w:hAnsi="Arial" w:cs="Arial"/>
        </w:rPr>
        <w:t xml:space="preserve">   </w:t>
      </w:r>
      <w:r w:rsidR="00456A18" w:rsidRPr="006C2437">
        <w:rPr>
          <w:rFonts w:ascii="Arial" w:hAnsi="Arial" w:cs="Arial"/>
        </w:rPr>
        <w:t>In my view the applicant has not dealt with this matter with expedition</w:t>
      </w:r>
      <w:r w:rsidR="006E3C8D">
        <w:rPr>
          <w:rFonts w:ascii="Arial" w:hAnsi="Arial" w:cs="Arial"/>
        </w:rPr>
        <w:t xml:space="preserve"> and the explanations for the delays are woefully inadequate</w:t>
      </w:r>
      <w:r w:rsidR="00456A18" w:rsidRPr="006C2437">
        <w:rPr>
          <w:rFonts w:ascii="Arial" w:hAnsi="Arial" w:cs="Arial"/>
        </w:rPr>
        <w:t>.</w:t>
      </w:r>
    </w:p>
    <w:p w:rsidR="007772D8" w:rsidRPr="006C2437" w:rsidRDefault="007772D8" w:rsidP="00DA1040">
      <w:pPr>
        <w:spacing w:line="480" w:lineRule="auto"/>
        <w:ind w:left="2160" w:hanging="720"/>
        <w:jc w:val="both"/>
        <w:rPr>
          <w:rFonts w:ascii="Arial" w:hAnsi="Arial" w:cs="Arial"/>
        </w:rPr>
      </w:pPr>
    </w:p>
    <w:p w:rsidR="00606486" w:rsidRPr="006C2437" w:rsidRDefault="00606486" w:rsidP="00606486">
      <w:pPr>
        <w:spacing w:line="480" w:lineRule="auto"/>
        <w:jc w:val="both"/>
        <w:rPr>
          <w:rFonts w:ascii="Arial" w:hAnsi="Arial" w:cs="Arial"/>
        </w:rPr>
      </w:pPr>
      <w:r w:rsidRPr="006C2437">
        <w:rPr>
          <w:rFonts w:ascii="Arial" w:hAnsi="Arial" w:cs="Arial"/>
        </w:rPr>
        <w:t>[</w:t>
      </w:r>
      <w:r w:rsidR="006E3C8D">
        <w:rPr>
          <w:rFonts w:ascii="Arial" w:hAnsi="Arial" w:cs="Arial"/>
        </w:rPr>
        <w:t>17</w:t>
      </w:r>
      <w:r w:rsidRPr="006C2437">
        <w:rPr>
          <w:rFonts w:ascii="Arial" w:hAnsi="Arial" w:cs="Arial"/>
        </w:rPr>
        <w:t>]</w:t>
      </w:r>
      <w:r w:rsidRPr="006C2437">
        <w:rPr>
          <w:rFonts w:ascii="Arial" w:hAnsi="Arial" w:cs="Arial"/>
        </w:rPr>
        <w:tab/>
        <w:t>The applicant cannot shield behind its legal practitioners</w:t>
      </w:r>
      <w:r w:rsidR="006E3C8D">
        <w:rPr>
          <w:rFonts w:ascii="Arial" w:hAnsi="Arial" w:cs="Arial"/>
        </w:rPr>
        <w:t xml:space="preserve">.  I am guided by the decision in the </w:t>
      </w:r>
      <w:r w:rsidRPr="006C2437">
        <w:rPr>
          <w:rFonts w:ascii="Arial" w:hAnsi="Arial" w:cs="Arial"/>
          <w:i/>
        </w:rPr>
        <w:t xml:space="preserve">Moraliswani </w:t>
      </w:r>
      <w:r w:rsidR="002F13C8">
        <w:rPr>
          <w:rFonts w:ascii="Arial" w:hAnsi="Arial" w:cs="Arial"/>
          <w:i/>
        </w:rPr>
        <w:t xml:space="preserve">case </w:t>
      </w:r>
      <w:r w:rsidR="002F13C8">
        <w:rPr>
          <w:rFonts w:ascii="Arial" w:hAnsi="Arial" w:cs="Arial"/>
        </w:rPr>
        <w:t xml:space="preserve">(referred to with approval by Henning AJ in the </w:t>
      </w:r>
      <w:r w:rsidR="002F13C8" w:rsidRPr="002F13C8">
        <w:rPr>
          <w:rFonts w:ascii="Arial" w:hAnsi="Arial" w:cs="Arial"/>
          <w:i/>
        </w:rPr>
        <w:t>Esau</w:t>
      </w:r>
      <w:r w:rsidR="002F13C8">
        <w:rPr>
          <w:rFonts w:ascii="Arial" w:hAnsi="Arial" w:cs="Arial"/>
        </w:rPr>
        <w:t xml:space="preserve"> matter), which applies with equal force to </w:t>
      </w:r>
      <w:r w:rsidRPr="006C2437">
        <w:rPr>
          <w:rFonts w:ascii="Arial" w:hAnsi="Arial" w:cs="Arial"/>
        </w:rPr>
        <w:t xml:space="preserve">this matter: </w:t>
      </w:r>
      <w:r w:rsidRPr="006C2437">
        <w:rPr>
          <w:rStyle w:val="FootnoteReference"/>
          <w:rFonts w:ascii="Arial" w:hAnsi="Arial" w:cs="Arial"/>
        </w:rPr>
        <w:footnoteReference w:id="10"/>
      </w:r>
    </w:p>
    <w:p w:rsidR="00606486" w:rsidRPr="006C2437" w:rsidRDefault="00606486" w:rsidP="00606486">
      <w:pPr>
        <w:spacing w:line="480" w:lineRule="auto"/>
        <w:jc w:val="both"/>
        <w:rPr>
          <w:rFonts w:ascii="Arial" w:hAnsi="Arial" w:cs="Arial"/>
        </w:rPr>
      </w:pPr>
    </w:p>
    <w:p w:rsidR="00606486" w:rsidRPr="006C2437" w:rsidRDefault="00606486" w:rsidP="002F13C8">
      <w:pPr>
        <w:spacing w:line="480" w:lineRule="auto"/>
        <w:ind w:left="720"/>
        <w:jc w:val="both"/>
        <w:rPr>
          <w:rFonts w:ascii="Arial" w:hAnsi="Arial" w:cs="Arial"/>
          <w:sz w:val="22"/>
          <w:szCs w:val="22"/>
        </w:rPr>
      </w:pPr>
      <w:r w:rsidRPr="006C2437">
        <w:rPr>
          <w:rFonts w:ascii="Arial" w:hAnsi="Arial" w:cs="Arial"/>
        </w:rPr>
        <w:lastRenderedPageBreak/>
        <w:t>“</w:t>
      </w:r>
      <w:r w:rsidRPr="006C2437">
        <w:rPr>
          <w:rFonts w:ascii="Arial" w:hAnsi="Arial" w:cs="Arial"/>
          <w:sz w:val="22"/>
          <w:szCs w:val="22"/>
        </w:rPr>
        <w:t xml:space="preserve">In these circumstances the extent of the delays, and the failure of the plaintiff or his attorney to give a satisfactory explanation for them, </w:t>
      </w:r>
      <w:r w:rsidR="002F13C8">
        <w:rPr>
          <w:rFonts w:ascii="Arial" w:hAnsi="Arial" w:cs="Arial"/>
          <w:sz w:val="22"/>
          <w:szCs w:val="22"/>
        </w:rPr>
        <w:t>are</w:t>
      </w:r>
      <w:r w:rsidRPr="006C2437">
        <w:rPr>
          <w:rFonts w:ascii="Arial" w:hAnsi="Arial" w:cs="Arial"/>
          <w:sz w:val="22"/>
          <w:szCs w:val="22"/>
        </w:rPr>
        <w:t xml:space="preserve"> such that condonation ought, in my view</w:t>
      </w:r>
      <w:r w:rsidR="002F13C8">
        <w:rPr>
          <w:rFonts w:ascii="Arial" w:hAnsi="Arial" w:cs="Arial"/>
          <w:sz w:val="22"/>
          <w:szCs w:val="22"/>
        </w:rPr>
        <w:t>,</w:t>
      </w:r>
      <w:r w:rsidRPr="006C2437">
        <w:rPr>
          <w:rFonts w:ascii="Arial" w:hAnsi="Arial" w:cs="Arial"/>
          <w:sz w:val="22"/>
          <w:szCs w:val="22"/>
        </w:rPr>
        <w:t xml:space="preserve"> to be refused. The fact that much of the blame may be attributed to the plaintiff’s attorneys does not, in my view, detract from this conclusion.” As was stated in </w:t>
      </w:r>
      <w:r w:rsidRPr="006C2437">
        <w:rPr>
          <w:rFonts w:ascii="Arial" w:hAnsi="Arial" w:cs="Arial"/>
          <w:i/>
          <w:sz w:val="22"/>
          <w:szCs w:val="22"/>
        </w:rPr>
        <w:t xml:space="preserve">Saloojee and Another NNO v Minister of Community Development, </w:t>
      </w:r>
      <w:r w:rsidRPr="006C2437">
        <w:rPr>
          <w:rFonts w:ascii="Arial" w:hAnsi="Arial" w:cs="Arial"/>
          <w:sz w:val="22"/>
          <w:szCs w:val="22"/>
        </w:rPr>
        <w:t>1965 (2) SA 135 (A), at 141 C:</w:t>
      </w:r>
    </w:p>
    <w:p w:rsidR="00606486" w:rsidRPr="006C2437" w:rsidRDefault="00606486" w:rsidP="00606486">
      <w:pPr>
        <w:spacing w:line="480" w:lineRule="auto"/>
        <w:jc w:val="both"/>
        <w:rPr>
          <w:rFonts w:ascii="Arial" w:hAnsi="Arial" w:cs="Arial"/>
        </w:rPr>
      </w:pPr>
    </w:p>
    <w:p w:rsidR="00606486" w:rsidRPr="006C2437" w:rsidRDefault="00606486" w:rsidP="002F13C8">
      <w:pPr>
        <w:spacing w:line="480" w:lineRule="auto"/>
        <w:ind w:left="1440"/>
        <w:jc w:val="both"/>
        <w:rPr>
          <w:rFonts w:ascii="Arial" w:hAnsi="Arial" w:cs="Arial"/>
          <w:sz w:val="22"/>
          <w:szCs w:val="22"/>
        </w:rPr>
      </w:pPr>
      <w:r w:rsidRPr="006C2437">
        <w:rPr>
          <w:rFonts w:ascii="Arial" w:hAnsi="Arial" w:cs="Arial"/>
        </w:rPr>
        <w:t>“</w:t>
      </w:r>
      <w:r w:rsidRPr="006C2437">
        <w:rPr>
          <w:rFonts w:ascii="Arial" w:hAnsi="Arial" w:cs="Arial"/>
          <w:sz w:val="22"/>
          <w:szCs w:val="22"/>
        </w:rPr>
        <w:t xml:space="preserve">There is a limit beyond which a litigant cannot escape </w:t>
      </w:r>
      <w:r w:rsidR="002F13C8">
        <w:rPr>
          <w:rFonts w:ascii="Arial" w:hAnsi="Arial" w:cs="Arial"/>
          <w:sz w:val="22"/>
          <w:szCs w:val="22"/>
        </w:rPr>
        <w:t xml:space="preserve">the </w:t>
      </w:r>
      <w:r w:rsidRPr="006C2437">
        <w:rPr>
          <w:rFonts w:ascii="Arial" w:hAnsi="Arial" w:cs="Arial"/>
          <w:sz w:val="22"/>
          <w:szCs w:val="22"/>
        </w:rPr>
        <w:t>results of his attorney’s lack of diligence or the insufficiency of the explanation tendered. To hold otherwise might have a disastrous effect upon the observan</w:t>
      </w:r>
      <w:r w:rsidR="002F13C8">
        <w:rPr>
          <w:rFonts w:ascii="Arial" w:hAnsi="Arial" w:cs="Arial"/>
          <w:sz w:val="22"/>
          <w:szCs w:val="22"/>
        </w:rPr>
        <w:t>ce</w:t>
      </w:r>
      <w:r w:rsidRPr="006C2437">
        <w:rPr>
          <w:rFonts w:ascii="Arial" w:hAnsi="Arial" w:cs="Arial"/>
          <w:sz w:val="22"/>
          <w:szCs w:val="22"/>
        </w:rPr>
        <w:t xml:space="preserve"> of the Rules of this Court</w:t>
      </w:r>
      <w:r w:rsidR="002F13C8">
        <w:rPr>
          <w:rFonts w:ascii="Arial" w:hAnsi="Arial" w:cs="Arial"/>
          <w:sz w:val="22"/>
          <w:szCs w:val="22"/>
        </w:rPr>
        <w:t>”</w:t>
      </w:r>
      <w:r w:rsidRPr="006C2437">
        <w:rPr>
          <w:rFonts w:ascii="Arial" w:hAnsi="Arial" w:cs="Arial"/>
          <w:sz w:val="22"/>
          <w:szCs w:val="22"/>
        </w:rPr>
        <w:t>.</w:t>
      </w:r>
    </w:p>
    <w:p w:rsidR="009E4CAB" w:rsidRDefault="009E4CAB" w:rsidP="00606486">
      <w:pPr>
        <w:spacing w:line="480" w:lineRule="auto"/>
        <w:jc w:val="both"/>
        <w:rPr>
          <w:rFonts w:ascii="Arial" w:hAnsi="Arial" w:cs="Arial"/>
          <w:sz w:val="22"/>
          <w:szCs w:val="22"/>
        </w:rPr>
      </w:pPr>
    </w:p>
    <w:p w:rsidR="00606486" w:rsidRDefault="009E4CAB" w:rsidP="00606486">
      <w:pPr>
        <w:spacing w:line="480" w:lineRule="auto"/>
        <w:jc w:val="both"/>
        <w:rPr>
          <w:rFonts w:ascii="Arial" w:hAnsi="Arial" w:cs="Arial"/>
        </w:rPr>
      </w:pPr>
      <w:r w:rsidRPr="00DA12F8">
        <w:rPr>
          <w:rFonts w:ascii="Arial" w:hAnsi="Arial" w:cs="Arial"/>
        </w:rPr>
        <w:t xml:space="preserve">In the instant case any sympathy for the applicant has to yield to the </w:t>
      </w:r>
      <w:r w:rsidR="00DA12F8" w:rsidRPr="00DA12F8">
        <w:rPr>
          <w:rFonts w:ascii="Arial" w:hAnsi="Arial" w:cs="Arial"/>
        </w:rPr>
        <w:t>more important principle that flagrant disregard for the Rules cannot be countenanced</w:t>
      </w:r>
      <w:r w:rsidR="00DA12F8">
        <w:rPr>
          <w:rStyle w:val="FootnoteReference"/>
          <w:rFonts w:ascii="Arial" w:hAnsi="Arial" w:cs="Arial"/>
        </w:rPr>
        <w:footnoteReference w:id="11"/>
      </w:r>
      <w:r w:rsidR="00DA12F8" w:rsidRPr="00DA12F8">
        <w:rPr>
          <w:rFonts w:ascii="Arial" w:hAnsi="Arial" w:cs="Arial"/>
        </w:rPr>
        <w:t>.</w:t>
      </w:r>
      <w:r w:rsidR="002F13C8" w:rsidRPr="00DA12F8">
        <w:rPr>
          <w:rFonts w:ascii="Arial" w:hAnsi="Arial" w:cs="Arial"/>
        </w:rPr>
        <w:tab/>
      </w:r>
    </w:p>
    <w:p w:rsidR="00DA12F8" w:rsidRPr="00DA12F8" w:rsidRDefault="00DA12F8" w:rsidP="00606486">
      <w:pPr>
        <w:spacing w:line="480" w:lineRule="auto"/>
        <w:jc w:val="both"/>
        <w:rPr>
          <w:rFonts w:ascii="Arial" w:hAnsi="Arial" w:cs="Arial"/>
        </w:rPr>
      </w:pPr>
    </w:p>
    <w:p w:rsidR="002F13C8" w:rsidRPr="00923724" w:rsidRDefault="002F13C8" w:rsidP="00606486">
      <w:pPr>
        <w:spacing w:line="480" w:lineRule="auto"/>
        <w:jc w:val="both"/>
        <w:rPr>
          <w:rFonts w:ascii="Arial" w:hAnsi="Arial" w:cs="Arial"/>
        </w:rPr>
      </w:pPr>
      <w:r w:rsidRPr="00923724">
        <w:rPr>
          <w:rFonts w:ascii="Arial" w:hAnsi="Arial" w:cs="Arial"/>
        </w:rPr>
        <w:t>[18]</w:t>
      </w:r>
      <w:r w:rsidRPr="00923724">
        <w:rPr>
          <w:rFonts w:ascii="Arial" w:hAnsi="Arial" w:cs="Arial"/>
        </w:rPr>
        <w:tab/>
      </w:r>
      <w:r w:rsidR="00923724" w:rsidRPr="00923724">
        <w:rPr>
          <w:rFonts w:ascii="Arial" w:hAnsi="Arial" w:cs="Arial"/>
        </w:rPr>
        <w:t xml:space="preserve">In these circumstances, </w:t>
      </w:r>
      <w:r w:rsidR="00923724">
        <w:rPr>
          <w:rFonts w:ascii="Arial" w:hAnsi="Arial" w:cs="Arial"/>
        </w:rPr>
        <w:t>I am of the view that the application should be refused irrespective of the prospects of success</w:t>
      </w:r>
      <w:r w:rsidR="00923724">
        <w:rPr>
          <w:rStyle w:val="FootnoteReference"/>
          <w:rFonts w:ascii="Arial" w:hAnsi="Arial" w:cs="Arial"/>
        </w:rPr>
        <w:footnoteReference w:id="12"/>
      </w:r>
      <w:r w:rsidR="00923724">
        <w:rPr>
          <w:rFonts w:ascii="Arial" w:hAnsi="Arial" w:cs="Arial"/>
        </w:rPr>
        <w:t>.</w:t>
      </w:r>
    </w:p>
    <w:p w:rsidR="00923724" w:rsidRDefault="00923724" w:rsidP="00606486">
      <w:pPr>
        <w:spacing w:line="480" w:lineRule="auto"/>
        <w:jc w:val="both"/>
        <w:rPr>
          <w:rFonts w:ascii="Arial" w:hAnsi="Arial" w:cs="Arial"/>
          <w:u w:val="single"/>
        </w:rPr>
      </w:pPr>
    </w:p>
    <w:p w:rsidR="00DA12F8" w:rsidRDefault="00DA12F8" w:rsidP="00606486">
      <w:pPr>
        <w:spacing w:line="480" w:lineRule="auto"/>
        <w:jc w:val="both"/>
        <w:rPr>
          <w:rFonts w:ascii="Arial" w:hAnsi="Arial" w:cs="Arial"/>
          <w:u w:val="single"/>
        </w:rPr>
      </w:pPr>
    </w:p>
    <w:p w:rsidR="00DA12F8" w:rsidRDefault="00DA12F8" w:rsidP="00606486">
      <w:pPr>
        <w:spacing w:line="480" w:lineRule="auto"/>
        <w:jc w:val="both"/>
        <w:rPr>
          <w:rFonts w:ascii="Arial" w:hAnsi="Arial" w:cs="Arial"/>
          <w:u w:val="single"/>
        </w:rPr>
      </w:pPr>
    </w:p>
    <w:p w:rsidR="00DA12F8" w:rsidRDefault="00DA12F8" w:rsidP="00606486">
      <w:pPr>
        <w:spacing w:line="480" w:lineRule="auto"/>
        <w:jc w:val="both"/>
        <w:rPr>
          <w:rFonts w:ascii="Arial" w:hAnsi="Arial" w:cs="Arial"/>
          <w:u w:val="single"/>
        </w:rPr>
      </w:pPr>
    </w:p>
    <w:p w:rsidR="00606486" w:rsidRPr="006C2437" w:rsidRDefault="00606486" w:rsidP="00606486">
      <w:pPr>
        <w:spacing w:line="480" w:lineRule="auto"/>
        <w:jc w:val="both"/>
        <w:rPr>
          <w:rFonts w:ascii="Arial" w:hAnsi="Arial" w:cs="Arial"/>
          <w:u w:val="single"/>
        </w:rPr>
      </w:pPr>
      <w:r w:rsidRPr="006C2437">
        <w:rPr>
          <w:rFonts w:ascii="Arial" w:hAnsi="Arial" w:cs="Arial"/>
          <w:u w:val="single"/>
        </w:rPr>
        <w:lastRenderedPageBreak/>
        <w:t>CO</w:t>
      </w:r>
      <w:r w:rsidR="00923724">
        <w:rPr>
          <w:rFonts w:ascii="Arial" w:hAnsi="Arial" w:cs="Arial"/>
          <w:u w:val="single"/>
        </w:rPr>
        <w:t>NCLUSION</w:t>
      </w:r>
    </w:p>
    <w:p w:rsidR="00606486" w:rsidRPr="006C2437" w:rsidRDefault="00606486" w:rsidP="00606486">
      <w:pPr>
        <w:spacing w:line="480" w:lineRule="auto"/>
        <w:jc w:val="both"/>
        <w:rPr>
          <w:rFonts w:ascii="Arial" w:hAnsi="Arial" w:cs="Arial"/>
          <w:u w:val="single"/>
        </w:rPr>
      </w:pPr>
    </w:p>
    <w:p w:rsidR="00606486" w:rsidRPr="006C2437" w:rsidRDefault="006C2437" w:rsidP="00606486">
      <w:pPr>
        <w:spacing w:line="480" w:lineRule="auto"/>
        <w:jc w:val="both"/>
        <w:rPr>
          <w:rFonts w:ascii="Arial" w:hAnsi="Arial" w:cs="Arial"/>
        </w:rPr>
      </w:pPr>
      <w:r>
        <w:rPr>
          <w:rFonts w:ascii="Arial" w:hAnsi="Arial" w:cs="Arial"/>
        </w:rPr>
        <w:t>[</w:t>
      </w:r>
      <w:r w:rsidR="00923724">
        <w:rPr>
          <w:rFonts w:ascii="Arial" w:hAnsi="Arial" w:cs="Arial"/>
        </w:rPr>
        <w:t>19</w:t>
      </w:r>
      <w:r>
        <w:rPr>
          <w:rFonts w:ascii="Arial" w:hAnsi="Arial" w:cs="Arial"/>
        </w:rPr>
        <w:t>]</w:t>
      </w:r>
      <w:r>
        <w:rPr>
          <w:rFonts w:ascii="Arial" w:hAnsi="Arial" w:cs="Arial"/>
        </w:rPr>
        <w:tab/>
      </w:r>
      <w:r w:rsidR="00606486" w:rsidRPr="006C2437">
        <w:rPr>
          <w:rFonts w:ascii="Arial" w:hAnsi="Arial" w:cs="Arial"/>
        </w:rPr>
        <w:t xml:space="preserve">Section </w:t>
      </w:r>
      <w:r w:rsidR="00923724">
        <w:rPr>
          <w:rFonts w:ascii="Arial" w:hAnsi="Arial" w:cs="Arial"/>
        </w:rPr>
        <w:t xml:space="preserve">118 </w:t>
      </w:r>
      <w:r w:rsidR="00606486" w:rsidRPr="006C2437">
        <w:rPr>
          <w:rFonts w:ascii="Arial" w:hAnsi="Arial" w:cs="Arial"/>
        </w:rPr>
        <w:t>of the Labour Act provides that the Court shall not make any order as to any costs incurred by any party in relation to proceedings instituted before the Court, except where in the opinion of the Court a party has</w:t>
      </w:r>
      <w:r w:rsidR="00923724">
        <w:rPr>
          <w:rFonts w:ascii="Arial" w:hAnsi="Arial" w:cs="Arial"/>
        </w:rPr>
        <w:t xml:space="preserve"> in instituting proceedings </w:t>
      </w:r>
      <w:r w:rsidR="00606486" w:rsidRPr="006C2437">
        <w:rPr>
          <w:rFonts w:ascii="Arial" w:hAnsi="Arial" w:cs="Arial"/>
        </w:rPr>
        <w:t>“</w:t>
      </w:r>
      <w:r w:rsidR="00606486" w:rsidRPr="00923724">
        <w:rPr>
          <w:rFonts w:ascii="Arial" w:hAnsi="Arial" w:cs="Arial"/>
          <w:i/>
        </w:rPr>
        <w:t xml:space="preserve">acted </w:t>
      </w:r>
      <w:r w:rsidR="00923724">
        <w:rPr>
          <w:rFonts w:ascii="Arial" w:hAnsi="Arial" w:cs="Arial"/>
          <w:i/>
        </w:rPr>
        <w:t xml:space="preserve">in a </w:t>
      </w:r>
      <w:r w:rsidR="00606486" w:rsidRPr="006C2437">
        <w:rPr>
          <w:rFonts w:ascii="Arial" w:hAnsi="Arial" w:cs="Arial"/>
          <w:i/>
        </w:rPr>
        <w:t>frivolous or vexatious</w:t>
      </w:r>
      <w:r w:rsidR="00923724">
        <w:rPr>
          <w:rFonts w:ascii="Arial" w:hAnsi="Arial" w:cs="Arial"/>
          <w:i/>
        </w:rPr>
        <w:t xml:space="preserve"> manner</w:t>
      </w:r>
      <w:r w:rsidR="00606486" w:rsidRPr="006C2437">
        <w:rPr>
          <w:rFonts w:ascii="Arial" w:hAnsi="Arial" w:cs="Arial"/>
        </w:rPr>
        <w:t>”.</w:t>
      </w:r>
      <w:r w:rsidR="00923724">
        <w:rPr>
          <w:rFonts w:ascii="Arial" w:hAnsi="Arial" w:cs="Arial"/>
        </w:rPr>
        <w:t xml:space="preserve">  Respondent seeks such an order.</w:t>
      </w:r>
      <w:r w:rsidR="00C60B2E">
        <w:rPr>
          <w:rFonts w:ascii="Arial" w:hAnsi="Arial" w:cs="Arial"/>
        </w:rPr>
        <w:t xml:space="preserve">  Given the conduct of the applicant and its legal practitioner in this matter, I am of the view that this application is indeed frivolous and one where it is appropriate that the applicant be mulcted in costs. </w:t>
      </w:r>
      <w:r w:rsidR="00923724">
        <w:rPr>
          <w:rFonts w:ascii="Arial" w:hAnsi="Arial" w:cs="Arial"/>
        </w:rPr>
        <w:t xml:space="preserve">   </w:t>
      </w:r>
    </w:p>
    <w:p w:rsidR="00606486" w:rsidRPr="006C2437" w:rsidRDefault="00606486" w:rsidP="00606486">
      <w:pPr>
        <w:spacing w:line="480" w:lineRule="auto"/>
        <w:jc w:val="both"/>
        <w:rPr>
          <w:rFonts w:ascii="Arial" w:hAnsi="Arial" w:cs="Arial"/>
        </w:rPr>
      </w:pPr>
    </w:p>
    <w:p w:rsidR="00606486" w:rsidRPr="006C2437" w:rsidRDefault="00606486" w:rsidP="00606486">
      <w:pPr>
        <w:spacing w:line="480" w:lineRule="auto"/>
        <w:jc w:val="both"/>
        <w:rPr>
          <w:rFonts w:ascii="Arial" w:hAnsi="Arial" w:cs="Arial"/>
        </w:rPr>
      </w:pPr>
      <w:r w:rsidRPr="006C2437">
        <w:rPr>
          <w:rFonts w:ascii="Arial" w:hAnsi="Arial" w:cs="Arial"/>
        </w:rPr>
        <w:t>[2</w:t>
      </w:r>
      <w:r w:rsidR="00923724">
        <w:rPr>
          <w:rFonts w:ascii="Arial" w:hAnsi="Arial" w:cs="Arial"/>
        </w:rPr>
        <w:t>0</w:t>
      </w:r>
      <w:r w:rsidRPr="006C2437">
        <w:rPr>
          <w:rFonts w:ascii="Arial" w:hAnsi="Arial" w:cs="Arial"/>
        </w:rPr>
        <w:t>]</w:t>
      </w:r>
      <w:r w:rsidRPr="006C2437">
        <w:rPr>
          <w:rFonts w:ascii="Arial" w:hAnsi="Arial" w:cs="Arial"/>
        </w:rPr>
        <w:tab/>
      </w:r>
      <w:r w:rsidR="00C60B2E">
        <w:rPr>
          <w:rFonts w:ascii="Arial" w:hAnsi="Arial" w:cs="Arial"/>
        </w:rPr>
        <w:t xml:space="preserve">For these reasons, I make the following order: </w:t>
      </w:r>
    </w:p>
    <w:p w:rsidR="00606486" w:rsidRPr="006C2437" w:rsidRDefault="00606486" w:rsidP="00833A4A">
      <w:pPr>
        <w:spacing w:line="480" w:lineRule="auto"/>
        <w:jc w:val="both"/>
        <w:rPr>
          <w:rFonts w:ascii="Arial" w:hAnsi="Arial" w:cs="Arial"/>
        </w:rPr>
      </w:pPr>
    </w:p>
    <w:p w:rsidR="00606486" w:rsidRDefault="00C60B2E" w:rsidP="00C60B2E">
      <w:pPr>
        <w:spacing w:line="480" w:lineRule="auto"/>
        <w:ind w:left="720"/>
        <w:jc w:val="both"/>
        <w:rPr>
          <w:rFonts w:ascii="Arial" w:hAnsi="Arial" w:cs="Arial"/>
        </w:rPr>
      </w:pPr>
      <w:r>
        <w:rPr>
          <w:rFonts w:ascii="Arial" w:hAnsi="Arial" w:cs="Arial"/>
        </w:rPr>
        <w:t>[20.1]</w:t>
      </w:r>
      <w:r>
        <w:rPr>
          <w:rFonts w:ascii="Arial" w:hAnsi="Arial" w:cs="Arial"/>
        </w:rPr>
        <w:tab/>
        <w:t>The application is dismissed.</w:t>
      </w:r>
    </w:p>
    <w:p w:rsidR="00C60B2E" w:rsidRDefault="00C60B2E" w:rsidP="00C60B2E">
      <w:pPr>
        <w:spacing w:line="480" w:lineRule="auto"/>
        <w:ind w:left="720"/>
        <w:jc w:val="both"/>
        <w:rPr>
          <w:rFonts w:ascii="Arial" w:hAnsi="Arial" w:cs="Arial"/>
        </w:rPr>
      </w:pPr>
    </w:p>
    <w:p w:rsidR="00C60B2E" w:rsidRDefault="00C60B2E" w:rsidP="003558C2">
      <w:pPr>
        <w:spacing w:line="480" w:lineRule="auto"/>
        <w:ind w:left="1440" w:hanging="720"/>
        <w:jc w:val="both"/>
        <w:rPr>
          <w:rFonts w:ascii="Arial" w:hAnsi="Arial" w:cs="Arial"/>
        </w:rPr>
      </w:pPr>
      <w:r>
        <w:rPr>
          <w:rFonts w:ascii="Arial" w:hAnsi="Arial" w:cs="Arial"/>
        </w:rPr>
        <w:t>[20.2]</w:t>
      </w:r>
      <w:r>
        <w:rPr>
          <w:rFonts w:ascii="Arial" w:hAnsi="Arial" w:cs="Arial"/>
        </w:rPr>
        <w:tab/>
        <w:t xml:space="preserve">The applicant is ordered to pay the costs of the application, such costs to include the costs of one instructing and one instructed counsel. </w:t>
      </w:r>
    </w:p>
    <w:p w:rsidR="00923724" w:rsidRDefault="00923724" w:rsidP="00833A4A">
      <w:pPr>
        <w:spacing w:line="480" w:lineRule="auto"/>
        <w:jc w:val="both"/>
        <w:rPr>
          <w:rFonts w:ascii="Arial" w:hAnsi="Arial" w:cs="Arial"/>
        </w:rPr>
      </w:pPr>
    </w:p>
    <w:p w:rsidR="00923724" w:rsidRDefault="00923724" w:rsidP="00833A4A">
      <w:pPr>
        <w:spacing w:line="480" w:lineRule="auto"/>
        <w:jc w:val="both"/>
        <w:rPr>
          <w:rFonts w:ascii="Arial" w:hAnsi="Arial" w:cs="Arial"/>
        </w:rPr>
      </w:pPr>
    </w:p>
    <w:p w:rsidR="005D43A8" w:rsidRPr="006C2437" w:rsidRDefault="005D43A8" w:rsidP="00833A4A">
      <w:pPr>
        <w:spacing w:line="480" w:lineRule="auto"/>
        <w:jc w:val="both"/>
        <w:rPr>
          <w:rFonts w:ascii="Arial" w:hAnsi="Arial" w:cs="Arial"/>
        </w:rPr>
      </w:pPr>
      <w:r w:rsidRPr="006C2437">
        <w:rPr>
          <w:rFonts w:ascii="Arial" w:hAnsi="Arial" w:cs="Arial"/>
        </w:rPr>
        <w:t>__________</w:t>
      </w:r>
    </w:p>
    <w:p w:rsidR="007819B7" w:rsidRPr="006C2437" w:rsidRDefault="00326D1A" w:rsidP="0000426F">
      <w:pPr>
        <w:spacing w:line="480" w:lineRule="auto"/>
        <w:jc w:val="both"/>
        <w:rPr>
          <w:rFonts w:ascii="Arial" w:hAnsi="Arial" w:cs="Arial"/>
          <w:b/>
        </w:rPr>
      </w:pPr>
      <w:r w:rsidRPr="006C2437">
        <w:rPr>
          <w:rFonts w:ascii="Arial" w:hAnsi="Arial" w:cs="Arial"/>
          <w:b/>
        </w:rPr>
        <w:t>CORBETT</w:t>
      </w:r>
      <w:r w:rsidR="0000426F" w:rsidRPr="006C2437">
        <w:rPr>
          <w:rFonts w:ascii="Arial" w:hAnsi="Arial" w:cs="Arial"/>
          <w:b/>
        </w:rPr>
        <w:t>, A.J</w:t>
      </w:r>
    </w:p>
    <w:p w:rsidR="007819B7" w:rsidRPr="006C2437" w:rsidRDefault="007819B7" w:rsidP="005B5834">
      <w:pPr>
        <w:jc w:val="both"/>
        <w:rPr>
          <w:rFonts w:ascii="Arial" w:hAnsi="Arial" w:cs="Arial"/>
          <w:b/>
        </w:rPr>
      </w:pPr>
    </w:p>
    <w:p w:rsidR="007819B7" w:rsidRPr="006C2437" w:rsidRDefault="007819B7" w:rsidP="005B5834">
      <w:pPr>
        <w:jc w:val="both"/>
        <w:rPr>
          <w:rFonts w:ascii="Arial" w:hAnsi="Arial" w:cs="Arial"/>
          <w:b/>
        </w:rPr>
      </w:pPr>
    </w:p>
    <w:p w:rsidR="001223CD" w:rsidRPr="006C2437" w:rsidRDefault="001223CD" w:rsidP="005B5834">
      <w:pPr>
        <w:jc w:val="both"/>
        <w:rPr>
          <w:rFonts w:ascii="Arial" w:hAnsi="Arial" w:cs="Arial"/>
          <w:b/>
        </w:rPr>
      </w:pPr>
    </w:p>
    <w:p w:rsidR="005D5977" w:rsidRPr="006C2437" w:rsidRDefault="005D5977" w:rsidP="005B5834">
      <w:pPr>
        <w:jc w:val="both"/>
        <w:rPr>
          <w:rFonts w:ascii="Arial" w:hAnsi="Arial" w:cs="Arial"/>
          <w:b/>
        </w:rPr>
      </w:pPr>
    </w:p>
    <w:p w:rsidR="001223CD" w:rsidRPr="006C2437" w:rsidRDefault="001223CD" w:rsidP="005B5834">
      <w:pPr>
        <w:jc w:val="both"/>
        <w:rPr>
          <w:rFonts w:ascii="Arial" w:hAnsi="Arial" w:cs="Arial"/>
          <w:b/>
        </w:rPr>
      </w:pPr>
    </w:p>
    <w:p w:rsidR="00C60B2E" w:rsidRDefault="00C60B2E" w:rsidP="00B85DAE">
      <w:pPr>
        <w:rPr>
          <w:rFonts w:ascii="Arial" w:hAnsi="Arial" w:cs="Arial"/>
          <w:b/>
        </w:rPr>
      </w:pPr>
    </w:p>
    <w:p w:rsidR="005D43A8" w:rsidRPr="006C2437" w:rsidRDefault="0000426F" w:rsidP="00B85DAE">
      <w:pPr>
        <w:rPr>
          <w:rFonts w:ascii="Arial" w:hAnsi="Arial" w:cs="Arial"/>
        </w:rPr>
      </w:pPr>
      <w:r w:rsidRPr="006C2437">
        <w:rPr>
          <w:rFonts w:ascii="Arial" w:hAnsi="Arial" w:cs="Arial"/>
          <w:b/>
        </w:rPr>
        <w:t xml:space="preserve">ON BEHALF OF </w:t>
      </w:r>
      <w:r w:rsidR="0020010B" w:rsidRPr="006C2437">
        <w:rPr>
          <w:rFonts w:ascii="Arial" w:hAnsi="Arial" w:cs="Arial"/>
          <w:b/>
        </w:rPr>
        <w:t xml:space="preserve">THE </w:t>
      </w:r>
      <w:r w:rsidR="004C4F99" w:rsidRPr="006C2437">
        <w:rPr>
          <w:rFonts w:ascii="Arial" w:hAnsi="Arial" w:cs="Arial"/>
          <w:b/>
        </w:rPr>
        <w:t>APP</w:t>
      </w:r>
      <w:r w:rsidR="00606486" w:rsidRPr="006C2437">
        <w:rPr>
          <w:rFonts w:ascii="Arial" w:hAnsi="Arial" w:cs="Arial"/>
          <w:b/>
        </w:rPr>
        <w:t>L</w:t>
      </w:r>
      <w:r w:rsidR="00C60B2E">
        <w:rPr>
          <w:rFonts w:ascii="Arial" w:hAnsi="Arial" w:cs="Arial"/>
          <w:b/>
        </w:rPr>
        <w:t>IC</w:t>
      </w:r>
      <w:r w:rsidR="00606486" w:rsidRPr="006C2437">
        <w:rPr>
          <w:rFonts w:ascii="Arial" w:hAnsi="Arial" w:cs="Arial"/>
          <w:b/>
        </w:rPr>
        <w:t>ANT</w:t>
      </w:r>
    </w:p>
    <w:p w:rsidR="005D43A8" w:rsidRPr="006C2437" w:rsidRDefault="005D43A8" w:rsidP="007819B7">
      <w:pPr>
        <w:jc w:val="right"/>
        <w:rPr>
          <w:rFonts w:ascii="Arial" w:hAnsi="Arial" w:cs="Arial"/>
        </w:rPr>
      </w:pPr>
    </w:p>
    <w:p w:rsidR="004F21EC" w:rsidRPr="006C2437" w:rsidRDefault="00606486" w:rsidP="00122B58">
      <w:pPr>
        <w:rPr>
          <w:rFonts w:ascii="Arial" w:hAnsi="Arial" w:cs="Arial"/>
        </w:rPr>
      </w:pPr>
      <w:r w:rsidRPr="006C2437">
        <w:rPr>
          <w:rFonts w:ascii="Arial" w:hAnsi="Arial" w:cs="Arial"/>
        </w:rPr>
        <w:t>Adv.  P Barnard</w:t>
      </w:r>
    </w:p>
    <w:p w:rsidR="0000426F" w:rsidRPr="006C2437" w:rsidRDefault="0000426F" w:rsidP="00B0630B">
      <w:pPr>
        <w:jc w:val="right"/>
        <w:rPr>
          <w:rFonts w:ascii="Arial" w:hAnsi="Arial" w:cs="Arial"/>
        </w:rPr>
      </w:pPr>
    </w:p>
    <w:p w:rsidR="00326D1A" w:rsidRPr="006C2437" w:rsidRDefault="00122B58" w:rsidP="005B5834">
      <w:pPr>
        <w:jc w:val="both"/>
        <w:rPr>
          <w:rFonts w:ascii="Arial" w:hAnsi="Arial" w:cs="Arial"/>
        </w:rPr>
      </w:pPr>
      <w:r w:rsidRPr="006C2437">
        <w:rPr>
          <w:rFonts w:ascii="Arial" w:hAnsi="Arial" w:cs="Arial"/>
        </w:rPr>
        <w:t>Instr</w:t>
      </w:r>
      <w:r w:rsidR="00C579D1" w:rsidRPr="006C2437">
        <w:rPr>
          <w:rFonts w:ascii="Arial" w:hAnsi="Arial" w:cs="Arial"/>
        </w:rPr>
        <w:t>uct</w:t>
      </w:r>
      <w:r w:rsidR="00AE1315" w:rsidRPr="006C2437">
        <w:rPr>
          <w:rFonts w:ascii="Arial" w:hAnsi="Arial" w:cs="Arial"/>
        </w:rPr>
        <w:t xml:space="preserve">ed by </w:t>
      </w:r>
      <w:r w:rsidR="00606486" w:rsidRPr="006C2437">
        <w:rPr>
          <w:rFonts w:ascii="Arial" w:hAnsi="Arial" w:cs="Arial"/>
        </w:rPr>
        <w:t>Koep &amp; Partners</w:t>
      </w:r>
    </w:p>
    <w:p w:rsidR="00122B58" w:rsidRPr="006C2437" w:rsidRDefault="00122B58" w:rsidP="005B5834">
      <w:pPr>
        <w:jc w:val="both"/>
        <w:rPr>
          <w:rFonts w:ascii="Arial" w:hAnsi="Arial" w:cs="Arial"/>
        </w:rPr>
      </w:pPr>
    </w:p>
    <w:p w:rsidR="0000426F" w:rsidRPr="006C2437" w:rsidRDefault="0000426F" w:rsidP="00122B58">
      <w:pPr>
        <w:rPr>
          <w:rFonts w:ascii="Arial" w:hAnsi="Arial" w:cs="Arial"/>
        </w:rPr>
      </w:pPr>
    </w:p>
    <w:p w:rsidR="003E1749" w:rsidRPr="006C2437" w:rsidRDefault="003E1749" w:rsidP="00122B58">
      <w:pPr>
        <w:rPr>
          <w:rFonts w:ascii="Arial" w:hAnsi="Arial" w:cs="Arial"/>
          <w:b/>
        </w:rPr>
      </w:pPr>
    </w:p>
    <w:p w:rsidR="00122B58" w:rsidRPr="006C2437" w:rsidRDefault="00122B58" w:rsidP="00122B58">
      <w:pPr>
        <w:rPr>
          <w:rFonts w:ascii="Arial" w:hAnsi="Arial" w:cs="Arial"/>
          <w:b/>
        </w:rPr>
      </w:pPr>
      <w:r w:rsidRPr="006C2437">
        <w:rPr>
          <w:rFonts w:ascii="Arial" w:hAnsi="Arial" w:cs="Arial"/>
          <w:b/>
        </w:rPr>
        <w:t xml:space="preserve">ON BEHALF OF THE </w:t>
      </w:r>
      <w:r w:rsidR="00606486" w:rsidRPr="006C2437">
        <w:rPr>
          <w:rFonts w:ascii="Arial" w:hAnsi="Arial" w:cs="Arial"/>
          <w:b/>
        </w:rPr>
        <w:t>RESPONDENT</w:t>
      </w:r>
    </w:p>
    <w:p w:rsidR="00122B58" w:rsidRPr="006C2437" w:rsidRDefault="00122B58" w:rsidP="00122B58">
      <w:pPr>
        <w:rPr>
          <w:rFonts w:ascii="Arial" w:hAnsi="Arial" w:cs="Arial"/>
        </w:rPr>
      </w:pPr>
    </w:p>
    <w:p w:rsidR="00122B58" w:rsidRPr="006C2437" w:rsidRDefault="00AE1315" w:rsidP="00122B58">
      <w:pPr>
        <w:rPr>
          <w:rFonts w:ascii="Arial" w:hAnsi="Arial" w:cs="Arial"/>
        </w:rPr>
      </w:pPr>
      <w:r w:rsidRPr="006C2437">
        <w:rPr>
          <w:rFonts w:ascii="Arial" w:hAnsi="Arial" w:cs="Arial"/>
        </w:rPr>
        <w:t xml:space="preserve">Adv. </w:t>
      </w:r>
      <w:r w:rsidR="00606486" w:rsidRPr="006C2437">
        <w:rPr>
          <w:rFonts w:ascii="Arial" w:hAnsi="Arial" w:cs="Arial"/>
        </w:rPr>
        <w:t>B van der Merwe</w:t>
      </w:r>
    </w:p>
    <w:p w:rsidR="00326D1A" w:rsidRPr="006C2437" w:rsidRDefault="00326D1A" w:rsidP="00AF0F24">
      <w:pPr>
        <w:rPr>
          <w:rFonts w:ascii="Arial" w:hAnsi="Arial" w:cs="Arial"/>
          <w:b/>
        </w:rPr>
      </w:pPr>
    </w:p>
    <w:p w:rsidR="004C4F99" w:rsidRPr="006C2437" w:rsidRDefault="004C4F99" w:rsidP="004C4F99">
      <w:pPr>
        <w:jc w:val="both"/>
        <w:rPr>
          <w:rFonts w:ascii="Arial" w:hAnsi="Arial" w:cs="Arial"/>
        </w:rPr>
      </w:pPr>
      <w:r w:rsidRPr="006C2437">
        <w:rPr>
          <w:rFonts w:ascii="Arial" w:hAnsi="Arial" w:cs="Arial"/>
        </w:rPr>
        <w:t>I</w:t>
      </w:r>
      <w:r w:rsidR="00AE1315" w:rsidRPr="006C2437">
        <w:rPr>
          <w:rFonts w:ascii="Arial" w:hAnsi="Arial" w:cs="Arial"/>
        </w:rPr>
        <w:t xml:space="preserve">nstructed by </w:t>
      </w:r>
      <w:r w:rsidR="00606486" w:rsidRPr="006C2437">
        <w:rPr>
          <w:rFonts w:ascii="Arial" w:hAnsi="Arial" w:cs="Arial"/>
        </w:rPr>
        <w:t>P D Theron &amp; Associates</w:t>
      </w:r>
    </w:p>
    <w:p w:rsidR="004C4F99" w:rsidRPr="006C2437" w:rsidRDefault="004C4F99" w:rsidP="004C4F99">
      <w:pPr>
        <w:jc w:val="both"/>
        <w:rPr>
          <w:rFonts w:ascii="Arial" w:hAnsi="Arial" w:cs="Arial"/>
        </w:rPr>
      </w:pPr>
    </w:p>
    <w:p w:rsidR="00046538" w:rsidRPr="006C2437" w:rsidRDefault="00046538">
      <w:pPr>
        <w:rPr>
          <w:rFonts w:ascii="Arial" w:hAnsi="Arial"/>
          <w:b/>
        </w:rPr>
      </w:pPr>
    </w:p>
    <w:sectPr w:rsidR="00046538" w:rsidRPr="006C2437" w:rsidSect="00A16C43">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67" w:rsidRDefault="00471467">
      <w:r>
        <w:separator/>
      </w:r>
    </w:p>
  </w:endnote>
  <w:endnote w:type="continuationSeparator" w:id="0">
    <w:p w:rsidR="00471467" w:rsidRDefault="0047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67" w:rsidRDefault="00471467">
      <w:r>
        <w:separator/>
      </w:r>
    </w:p>
  </w:footnote>
  <w:footnote w:type="continuationSeparator" w:id="0">
    <w:p w:rsidR="00471467" w:rsidRDefault="00471467">
      <w:r>
        <w:continuationSeparator/>
      </w:r>
    </w:p>
  </w:footnote>
  <w:footnote w:id="1">
    <w:p w:rsidR="00000000" w:rsidRDefault="008300D0">
      <w:pPr>
        <w:pStyle w:val="FootnoteText"/>
      </w:pPr>
      <w:r>
        <w:rPr>
          <w:rStyle w:val="FootnoteReference"/>
        </w:rPr>
        <w:footnoteRef/>
      </w:r>
      <w:r>
        <w:t xml:space="preserve"> See </w:t>
      </w:r>
      <w:r>
        <w:rPr>
          <w:lang w:val="en-ZA"/>
        </w:rPr>
        <w:t>Minister of Home Affairs, Minister Ekandjo v Van der Berg, 2008(2) NR 548 (SC), 581F - G</w:t>
      </w:r>
    </w:p>
  </w:footnote>
  <w:footnote w:id="2">
    <w:p w:rsidR="00000000" w:rsidRDefault="008300D0">
      <w:pPr>
        <w:pStyle w:val="FootnoteText"/>
      </w:pPr>
      <w:r>
        <w:rPr>
          <w:rStyle w:val="FootnoteReference"/>
        </w:rPr>
        <w:footnoteRef/>
      </w:r>
      <w:r>
        <w:t xml:space="preserve"> Federated Employers Insurance Co. v McKenzie, 1969(3) SA 360 (A), at 362F – G, quoted with approval in Immigration Selection Board v Frank, 2001 NR 107 (SC), at 109A – B, 164F - I  </w:t>
      </w:r>
    </w:p>
  </w:footnote>
  <w:footnote w:id="3">
    <w:p w:rsidR="00000000" w:rsidRDefault="008300D0" w:rsidP="00240D41">
      <w:pPr>
        <w:pStyle w:val="FootnoteText"/>
      </w:pPr>
      <w:r>
        <w:rPr>
          <w:rStyle w:val="FootnoteReference"/>
        </w:rPr>
        <w:footnoteRef/>
      </w:r>
      <w:r>
        <w:t xml:space="preserve"> Small Business Development Corporation Ltd v Khubeka, 1990 (2) SA 851 (T), at 854 B – 855 B</w:t>
      </w:r>
    </w:p>
  </w:footnote>
  <w:footnote w:id="4">
    <w:p w:rsidR="00000000" w:rsidRDefault="008300D0" w:rsidP="00240D41">
      <w:pPr>
        <w:pStyle w:val="FootnoteText"/>
      </w:pPr>
      <w:r>
        <w:rPr>
          <w:rStyle w:val="FootnoteReference"/>
        </w:rPr>
        <w:footnoteRef/>
      </w:r>
      <w:r>
        <w:t xml:space="preserve"> Sacca (Pty) Ltd v Thipe and Another, [1999] 12 BLLR 1241 (LAC), 1246 para [27]</w:t>
      </w:r>
    </w:p>
  </w:footnote>
  <w:footnote w:id="5">
    <w:p w:rsidR="00000000" w:rsidRDefault="008300D0" w:rsidP="00240D41">
      <w:pPr>
        <w:pStyle w:val="FootnoteText"/>
      </w:pPr>
      <w:r>
        <w:rPr>
          <w:rStyle w:val="FootnoteReference"/>
        </w:rPr>
        <w:footnoteRef/>
      </w:r>
      <w:r>
        <w:t xml:space="preserve"> Unreported judgment of the </w:t>
      </w:r>
      <w:smartTag w:uri="urn:schemas-microsoft-com:office:smarttags" w:element="address">
        <w:smartTag w:uri="urn:schemas-microsoft-com:office:smarttags" w:element="Street">
          <w:r>
            <w:t>Labour Court</w:t>
          </w:r>
        </w:smartTag>
      </w:smartTag>
      <w:r>
        <w:t xml:space="preserve"> under case number LCA 25/2009 delivered on </w:t>
      </w:r>
      <w:smartTag w:uri="urn:schemas-microsoft-com:office:smarttags" w:element="date">
        <w:smartTagPr>
          <w:attr w:name="Year" w:val="2010"/>
          <w:attr w:name="Day" w:val="29"/>
          <w:attr w:name="Month" w:val="9"/>
        </w:smartTagPr>
        <w:r>
          <w:t>29 September 2010</w:t>
        </w:r>
      </w:smartTag>
    </w:p>
  </w:footnote>
  <w:footnote w:id="6">
    <w:p w:rsidR="00000000" w:rsidRDefault="008300D0" w:rsidP="00240D41">
      <w:pPr>
        <w:pStyle w:val="FootnoteText"/>
      </w:pPr>
      <w:r>
        <w:rPr>
          <w:rStyle w:val="FootnoteReference"/>
        </w:rPr>
        <w:footnoteRef/>
      </w:r>
      <w:r>
        <w:t xml:space="preserve"> at p. 2, para [5]</w:t>
      </w:r>
    </w:p>
  </w:footnote>
  <w:footnote w:id="7">
    <w:p w:rsidR="00000000" w:rsidRDefault="008300D0" w:rsidP="00240D41">
      <w:pPr>
        <w:pStyle w:val="FootnoteText"/>
      </w:pPr>
      <w:r>
        <w:rPr>
          <w:rStyle w:val="FootnoteReference"/>
        </w:rPr>
        <w:footnoteRef/>
      </w:r>
      <w:r>
        <w:t xml:space="preserve"> at p. 3, paras [6] and [9]</w:t>
      </w:r>
    </w:p>
  </w:footnote>
  <w:footnote w:id="8">
    <w:p w:rsidR="00000000" w:rsidRDefault="008300D0" w:rsidP="00240D41">
      <w:pPr>
        <w:pStyle w:val="FootnoteText"/>
      </w:pPr>
      <w:r>
        <w:rPr>
          <w:rStyle w:val="FootnoteReference"/>
        </w:rPr>
        <w:footnoteRef/>
      </w:r>
      <w:r>
        <w:t xml:space="preserve"> </w:t>
      </w:r>
      <w:r>
        <w:rPr>
          <w:lang w:val="en-ZA"/>
        </w:rPr>
        <w:t xml:space="preserve">Ondjava Construction CC and Others v Haw Retailers t/a </w:t>
      </w:r>
      <w:r>
        <w:rPr>
          <w:caps/>
          <w:lang w:val="en-ZA"/>
        </w:rPr>
        <w:t>a</w:t>
      </w:r>
      <w:r>
        <w:rPr>
          <w:lang w:val="en-ZA"/>
        </w:rPr>
        <w:t xml:space="preserve">rk Trading, 2010(1) NR 286 (SC) </w:t>
      </w:r>
    </w:p>
  </w:footnote>
  <w:footnote w:id="9">
    <w:p w:rsidR="00000000" w:rsidRDefault="008300D0" w:rsidP="00240D41">
      <w:pPr>
        <w:pStyle w:val="FootnoteText"/>
      </w:pPr>
      <w:r>
        <w:rPr>
          <w:rStyle w:val="FootnoteReference"/>
        </w:rPr>
        <w:footnoteRef/>
      </w:r>
      <w:r>
        <w:t xml:space="preserve"> </w:t>
      </w:r>
      <w:r>
        <w:rPr>
          <w:lang w:val="en-ZA"/>
        </w:rPr>
        <w:t>At 291G</w:t>
      </w:r>
    </w:p>
  </w:footnote>
  <w:footnote w:id="10">
    <w:p w:rsidR="00000000" w:rsidRDefault="008300D0" w:rsidP="00606486">
      <w:pPr>
        <w:pStyle w:val="FootnoteText"/>
      </w:pPr>
      <w:r>
        <w:rPr>
          <w:rStyle w:val="FootnoteReference"/>
        </w:rPr>
        <w:footnoteRef/>
      </w:r>
      <w:r>
        <w:t xml:space="preserve"> </w:t>
      </w:r>
      <w:r>
        <w:rPr>
          <w:i/>
        </w:rPr>
        <w:t>supra</w:t>
      </w:r>
      <w:r>
        <w:t>, at p. 10 B - D</w:t>
      </w:r>
    </w:p>
  </w:footnote>
  <w:footnote w:id="11">
    <w:p w:rsidR="00000000" w:rsidRDefault="008300D0">
      <w:pPr>
        <w:pStyle w:val="FootnoteText"/>
      </w:pPr>
      <w:r>
        <w:rPr>
          <w:rStyle w:val="FootnoteReference"/>
        </w:rPr>
        <w:footnoteRef/>
      </w:r>
      <w:r>
        <w:t xml:space="preserve"> </w:t>
      </w:r>
      <w:r>
        <w:rPr>
          <w:lang w:val="en-ZA"/>
        </w:rPr>
        <w:t xml:space="preserve">Darries v Sheriff, Magistrate’s Court, Wynberg, and Another, 1998(3) SA 34 (SCA) at 44E - F </w:t>
      </w:r>
    </w:p>
  </w:footnote>
  <w:footnote w:id="12">
    <w:p w:rsidR="00000000" w:rsidRDefault="008300D0">
      <w:pPr>
        <w:pStyle w:val="FootnoteText"/>
      </w:pPr>
      <w:r>
        <w:rPr>
          <w:rStyle w:val="FootnoteReference"/>
        </w:rPr>
        <w:footnoteRef/>
      </w:r>
      <w:r>
        <w:t xml:space="preserve"> Moraliswani case </w:t>
      </w:r>
      <w:r w:rsidRPr="00923724">
        <w:rPr>
          <w:i/>
        </w:rPr>
        <w:t>supra</w:t>
      </w:r>
      <w:r>
        <w:t xml:space="preserve">, at 10E – F; Esau case </w:t>
      </w:r>
      <w:r w:rsidRPr="00923724">
        <w:rPr>
          <w:i/>
        </w:rPr>
        <w:t>supra</w:t>
      </w:r>
      <w:r>
        <w:t xml:space="preserve">, at 9;  Rennie v Kamby Farms (Pty), 1989(2) SA 124 (A)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D0" w:rsidRDefault="008300D0" w:rsidP="00A16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0D0" w:rsidRDefault="008300D0" w:rsidP="00A16C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D0" w:rsidRDefault="008300D0" w:rsidP="00A16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F2E">
      <w:rPr>
        <w:rStyle w:val="PageNumber"/>
        <w:noProof/>
      </w:rPr>
      <w:t>13</w:t>
    </w:r>
    <w:r>
      <w:rPr>
        <w:rStyle w:val="PageNumber"/>
      </w:rPr>
      <w:fldChar w:fldCharType="end"/>
    </w:r>
  </w:p>
  <w:p w:rsidR="008300D0" w:rsidRDefault="008300D0" w:rsidP="00A16C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916"/>
    <w:multiLevelType w:val="hybridMultilevel"/>
    <w:tmpl w:val="A3B01C0E"/>
    <w:lvl w:ilvl="0" w:tplc="1C5A17AC">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86506"/>
    <w:multiLevelType w:val="hybridMultilevel"/>
    <w:tmpl w:val="C2C465C4"/>
    <w:lvl w:ilvl="0" w:tplc="C56C3AC4">
      <w:start w:val="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8501E03"/>
    <w:multiLevelType w:val="multilevel"/>
    <w:tmpl w:val="BE5EAF86"/>
    <w:lvl w:ilvl="0">
      <w:start w:val="20"/>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425"/>
        </w:tabs>
        <w:ind w:left="1425" w:hanging="70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nsid w:val="098B5B94"/>
    <w:multiLevelType w:val="hybridMultilevel"/>
    <w:tmpl w:val="4A2C02C8"/>
    <w:lvl w:ilvl="0" w:tplc="82DC98B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1045414"/>
    <w:multiLevelType w:val="multilevel"/>
    <w:tmpl w:val="C4B60CF4"/>
    <w:lvl w:ilvl="0">
      <w:start w:val="8"/>
      <w:numFmt w:val="decimal"/>
      <w:lvlText w:val="%1."/>
      <w:lvlJc w:val="left"/>
      <w:pPr>
        <w:tabs>
          <w:tab w:val="num" w:pos="2160"/>
        </w:tabs>
        <w:ind w:left="2160" w:hanging="720"/>
      </w:pPr>
      <w:rPr>
        <w:rFonts w:cs="Times New Roman" w:hint="default"/>
      </w:rPr>
    </w:lvl>
    <w:lvl w:ilvl="1">
      <w:start w:val="1"/>
      <w:numFmt w:val="decimal"/>
      <w:isLgl/>
      <w:lvlText w:val="%1.%2"/>
      <w:lvlJc w:val="left"/>
      <w:pPr>
        <w:tabs>
          <w:tab w:val="num" w:pos="2880"/>
        </w:tabs>
        <w:ind w:left="2880" w:hanging="7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4680"/>
        </w:tabs>
        <w:ind w:left="4680" w:hanging="108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440"/>
      </w:pPr>
      <w:rPr>
        <w:rFonts w:cs="Times New Roman" w:hint="default"/>
      </w:rPr>
    </w:lvl>
    <w:lvl w:ilvl="6">
      <w:start w:val="1"/>
      <w:numFmt w:val="decimal"/>
      <w:isLgl/>
      <w:lvlText w:val="%1.%2.%3.%4.%5.%6.%7"/>
      <w:lvlJc w:val="left"/>
      <w:pPr>
        <w:tabs>
          <w:tab w:val="num" w:pos="7200"/>
        </w:tabs>
        <w:ind w:left="7200" w:hanging="1440"/>
      </w:pPr>
      <w:rPr>
        <w:rFonts w:cs="Times New Roman" w:hint="default"/>
      </w:rPr>
    </w:lvl>
    <w:lvl w:ilvl="7">
      <w:start w:val="1"/>
      <w:numFmt w:val="decimal"/>
      <w:isLgl/>
      <w:lvlText w:val="%1.%2.%3.%4.%5.%6.%7.%8"/>
      <w:lvlJc w:val="left"/>
      <w:pPr>
        <w:tabs>
          <w:tab w:val="num" w:pos="8280"/>
        </w:tabs>
        <w:ind w:left="8280" w:hanging="1800"/>
      </w:pPr>
      <w:rPr>
        <w:rFonts w:cs="Times New Roman" w:hint="default"/>
      </w:rPr>
    </w:lvl>
    <w:lvl w:ilvl="8">
      <w:start w:val="1"/>
      <w:numFmt w:val="decimal"/>
      <w:isLgl/>
      <w:lvlText w:val="%1.%2.%3.%4.%5.%6.%7.%8.%9"/>
      <w:lvlJc w:val="left"/>
      <w:pPr>
        <w:tabs>
          <w:tab w:val="num" w:pos="9000"/>
        </w:tabs>
        <w:ind w:left="9000" w:hanging="1800"/>
      </w:pPr>
      <w:rPr>
        <w:rFonts w:cs="Times New Roman" w:hint="default"/>
      </w:rPr>
    </w:lvl>
  </w:abstractNum>
  <w:abstractNum w:abstractNumId="5">
    <w:nsid w:val="35C21C9C"/>
    <w:multiLevelType w:val="multilevel"/>
    <w:tmpl w:val="4370AF62"/>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6">
    <w:nsid w:val="3A0639CA"/>
    <w:multiLevelType w:val="hybridMultilevel"/>
    <w:tmpl w:val="1734AE10"/>
    <w:lvl w:ilvl="0" w:tplc="31B6820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A871A41"/>
    <w:multiLevelType w:val="hybridMultilevel"/>
    <w:tmpl w:val="092AD5DE"/>
    <w:lvl w:ilvl="0" w:tplc="7D6655D4">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612D3CCD"/>
    <w:multiLevelType w:val="multilevel"/>
    <w:tmpl w:val="7948620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654E31EB"/>
    <w:multiLevelType w:val="multilevel"/>
    <w:tmpl w:val="7D2429B0"/>
    <w:lvl w:ilvl="0">
      <w:start w:val="1"/>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1080"/>
      </w:pPr>
      <w:rPr>
        <w:rFonts w:cs="Times New Roman" w:hint="default"/>
      </w:rPr>
    </w:lvl>
    <w:lvl w:ilvl="4">
      <w:start w:val="1"/>
      <w:numFmt w:val="decimal"/>
      <w:isLgl/>
      <w:lvlText w:val="%1.%2.%3.%4.%5"/>
      <w:lvlJc w:val="left"/>
      <w:pPr>
        <w:tabs>
          <w:tab w:val="num" w:pos="4680"/>
        </w:tabs>
        <w:ind w:left="4680" w:hanging="1080"/>
      </w:pPr>
      <w:rPr>
        <w:rFonts w:cs="Times New Roman" w:hint="default"/>
      </w:rPr>
    </w:lvl>
    <w:lvl w:ilvl="5">
      <w:start w:val="1"/>
      <w:numFmt w:val="decimal"/>
      <w:isLgl/>
      <w:lvlText w:val="%1.%2.%3.%4.%5.%6"/>
      <w:lvlJc w:val="left"/>
      <w:pPr>
        <w:tabs>
          <w:tab w:val="num" w:pos="5760"/>
        </w:tabs>
        <w:ind w:left="5760" w:hanging="1440"/>
      </w:pPr>
      <w:rPr>
        <w:rFonts w:cs="Times New Roman" w:hint="default"/>
      </w:rPr>
    </w:lvl>
    <w:lvl w:ilvl="6">
      <w:start w:val="1"/>
      <w:numFmt w:val="decimal"/>
      <w:isLgl/>
      <w:lvlText w:val="%1.%2.%3.%4.%5.%6.%7"/>
      <w:lvlJc w:val="left"/>
      <w:pPr>
        <w:tabs>
          <w:tab w:val="num" w:pos="6480"/>
        </w:tabs>
        <w:ind w:left="6480" w:hanging="1440"/>
      </w:pPr>
      <w:rPr>
        <w:rFonts w:cs="Times New Roman" w:hint="default"/>
      </w:rPr>
    </w:lvl>
    <w:lvl w:ilvl="7">
      <w:start w:val="1"/>
      <w:numFmt w:val="decimal"/>
      <w:isLgl/>
      <w:lvlText w:val="%1.%2.%3.%4.%5.%6.%7.%8"/>
      <w:lvlJc w:val="left"/>
      <w:pPr>
        <w:tabs>
          <w:tab w:val="num" w:pos="7560"/>
        </w:tabs>
        <w:ind w:left="7560" w:hanging="1800"/>
      </w:pPr>
      <w:rPr>
        <w:rFonts w:cs="Times New Roman" w:hint="default"/>
      </w:rPr>
    </w:lvl>
    <w:lvl w:ilvl="8">
      <w:start w:val="1"/>
      <w:numFmt w:val="decimal"/>
      <w:isLgl/>
      <w:lvlText w:val="%1.%2.%3.%4.%5.%6.%7.%8.%9"/>
      <w:lvlJc w:val="left"/>
      <w:pPr>
        <w:tabs>
          <w:tab w:val="num" w:pos="8280"/>
        </w:tabs>
        <w:ind w:left="8280" w:hanging="1800"/>
      </w:pPr>
      <w:rPr>
        <w:rFonts w:cs="Times New Roman" w:hint="default"/>
      </w:rPr>
    </w:lvl>
  </w:abstractNum>
  <w:abstractNum w:abstractNumId="10">
    <w:nsid w:val="65802D6B"/>
    <w:multiLevelType w:val="hybridMultilevel"/>
    <w:tmpl w:val="83501B16"/>
    <w:lvl w:ilvl="0" w:tplc="D49CF8E8">
      <w:start w:val="10"/>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6611717D"/>
    <w:multiLevelType w:val="multilevel"/>
    <w:tmpl w:val="5506528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2">
    <w:nsid w:val="7682366E"/>
    <w:multiLevelType w:val="multilevel"/>
    <w:tmpl w:val="E8C8DE18"/>
    <w:lvl w:ilvl="0">
      <w:start w:val="8"/>
      <w:numFmt w:val="decimal"/>
      <w:lvlText w:val="%1."/>
      <w:lvlJc w:val="left"/>
      <w:pPr>
        <w:tabs>
          <w:tab w:val="num" w:pos="2160"/>
        </w:tabs>
        <w:ind w:left="2160" w:hanging="720"/>
      </w:pPr>
      <w:rPr>
        <w:rFonts w:cs="Times New Roman" w:hint="default"/>
      </w:rPr>
    </w:lvl>
    <w:lvl w:ilvl="1">
      <w:start w:val="1"/>
      <w:numFmt w:val="decimal"/>
      <w:isLgl/>
      <w:lvlText w:val="%1.%2"/>
      <w:lvlJc w:val="left"/>
      <w:pPr>
        <w:tabs>
          <w:tab w:val="num" w:pos="2880"/>
        </w:tabs>
        <w:ind w:left="2880" w:hanging="7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4680"/>
        </w:tabs>
        <w:ind w:left="4680" w:hanging="108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440"/>
      </w:pPr>
      <w:rPr>
        <w:rFonts w:cs="Times New Roman" w:hint="default"/>
      </w:rPr>
    </w:lvl>
    <w:lvl w:ilvl="6">
      <w:start w:val="1"/>
      <w:numFmt w:val="decimal"/>
      <w:isLgl/>
      <w:lvlText w:val="%1.%2.%3.%4.%5.%6.%7"/>
      <w:lvlJc w:val="left"/>
      <w:pPr>
        <w:tabs>
          <w:tab w:val="num" w:pos="7200"/>
        </w:tabs>
        <w:ind w:left="7200" w:hanging="1440"/>
      </w:pPr>
      <w:rPr>
        <w:rFonts w:cs="Times New Roman" w:hint="default"/>
      </w:rPr>
    </w:lvl>
    <w:lvl w:ilvl="7">
      <w:start w:val="1"/>
      <w:numFmt w:val="decimal"/>
      <w:isLgl/>
      <w:lvlText w:val="%1.%2.%3.%4.%5.%6.%7.%8"/>
      <w:lvlJc w:val="left"/>
      <w:pPr>
        <w:tabs>
          <w:tab w:val="num" w:pos="8280"/>
        </w:tabs>
        <w:ind w:left="8280" w:hanging="1800"/>
      </w:pPr>
      <w:rPr>
        <w:rFonts w:cs="Times New Roman" w:hint="default"/>
      </w:rPr>
    </w:lvl>
    <w:lvl w:ilvl="8">
      <w:start w:val="1"/>
      <w:numFmt w:val="decimal"/>
      <w:isLgl/>
      <w:lvlText w:val="%1.%2.%3.%4.%5.%6.%7.%8.%9"/>
      <w:lvlJc w:val="left"/>
      <w:pPr>
        <w:tabs>
          <w:tab w:val="num" w:pos="9000"/>
        </w:tabs>
        <w:ind w:left="9000" w:hanging="1800"/>
      </w:pPr>
      <w:rPr>
        <w:rFonts w:cs="Times New Roman" w:hint="default"/>
      </w:rPr>
    </w:lvl>
  </w:abstractNum>
  <w:num w:numId="1">
    <w:abstractNumId w:val="11"/>
  </w:num>
  <w:num w:numId="2">
    <w:abstractNumId w:val="4"/>
  </w:num>
  <w:num w:numId="3">
    <w:abstractNumId w:val="12"/>
  </w:num>
  <w:num w:numId="4">
    <w:abstractNumId w:val="10"/>
  </w:num>
  <w:num w:numId="5">
    <w:abstractNumId w:val="7"/>
  </w:num>
  <w:num w:numId="6">
    <w:abstractNumId w:val="0"/>
  </w:num>
  <w:num w:numId="7">
    <w:abstractNumId w:val="8"/>
  </w:num>
  <w:num w:numId="8">
    <w:abstractNumId w:val="1"/>
  </w:num>
  <w:num w:numId="9">
    <w:abstractNumId w:val="6"/>
  </w:num>
  <w:num w:numId="10">
    <w:abstractNumId w:val="3"/>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A8"/>
    <w:rsid w:val="00003386"/>
    <w:rsid w:val="0000426F"/>
    <w:rsid w:val="00005EF6"/>
    <w:rsid w:val="000203A0"/>
    <w:rsid w:val="00023C73"/>
    <w:rsid w:val="000278A2"/>
    <w:rsid w:val="00030921"/>
    <w:rsid w:val="00041F0D"/>
    <w:rsid w:val="00045A56"/>
    <w:rsid w:val="00046538"/>
    <w:rsid w:val="00050BAB"/>
    <w:rsid w:val="00062EAC"/>
    <w:rsid w:val="00066202"/>
    <w:rsid w:val="000670F2"/>
    <w:rsid w:val="00067901"/>
    <w:rsid w:val="0007534D"/>
    <w:rsid w:val="0007726E"/>
    <w:rsid w:val="000837A5"/>
    <w:rsid w:val="00090547"/>
    <w:rsid w:val="000910FB"/>
    <w:rsid w:val="00092070"/>
    <w:rsid w:val="000A3D7C"/>
    <w:rsid w:val="000A5DD2"/>
    <w:rsid w:val="000B0FA8"/>
    <w:rsid w:val="000B4E48"/>
    <w:rsid w:val="000C6133"/>
    <w:rsid w:val="000C681C"/>
    <w:rsid w:val="000E0B0A"/>
    <w:rsid w:val="000E2CD2"/>
    <w:rsid w:val="000E7CD0"/>
    <w:rsid w:val="000F72EB"/>
    <w:rsid w:val="00110DC6"/>
    <w:rsid w:val="00120969"/>
    <w:rsid w:val="001223CD"/>
    <w:rsid w:val="00122B58"/>
    <w:rsid w:val="00142ED6"/>
    <w:rsid w:val="00144CD0"/>
    <w:rsid w:val="00147DAC"/>
    <w:rsid w:val="00153515"/>
    <w:rsid w:val="00160FAD"/>
    <w:rsid w:val="001818CF"/>
    <w:rsid w:val="00184DBF"/>
    <w:rsid w:val="00186E9F"/>
    <w:rsid w:val="001A7D72"/>
    <w:rsid w:val="001B0901"/>
    <w:rsid w:val="001B1DDE"/>
    <w:rsid w:val="001C160F"/>
    <w:rsid w:val="001C54FD"/>
    <w:rsid w:val="001C6744"/>
    <w:rsid w:val="001D3BF4"/>
    <w:rsid w:val="001D4ED4"/>
    <w:rsid w:val="001D6963"/>
    <w:rsid w:val="001F1547"/>
    <w:rsid w:val="0020010B"/>
    <w:rsid w:val="00201B9F"/>
    <w:rsid w:val="0020376A"/>
    <w:rsid w:val="00204019"/>
    <w:rsid w:val="00210F1B"/>
    <w:rsid w:val="002162BE"/>
    <w:rsid w:val="00220A9E"/>
    <w:rsid w:val="00230332"/>
    <w:rsid w:val="002375AE"/>
    <w:rsid w:val="00240D41"/>
    <w:rsid w:val="00241F2E"/>
    <w:rsid w:val="00241F8D"/>
    <w:rsid w:val="00244E94"/>
    <w:rsid w:val="002468EB"/>
    <w:rsid w:val="00253ACA"/>
    <w:rsid w:val="002971DE"/>
    <w:rsid w:val="002B0503"/>
    <w:rsid w:val="002B0850"/>
    <w:rsid w:val="002B7DB9"/>
    <w:rsid w:val="002C6D23"/>
    <w:rsid w:val="002D0C41"/>
    <w:rsid w:val="002D5C33"/>
    <w:rsid w:val="002E01AB"/>
    <w:rsid w:val="002E57A6"/>
    <w:rsid w:val="002E62E0"/>
    <w:rsid w:val="002E7AD4"/>
    <w:rsid w:val="002F059C"/>
    <w:rsid w:val="002F13C8"/>
    <w:rsid w:val="00320668"/>
    <w:rsid w:val="00323036"/>
    <w:rsid w:val="00323376"/>
    <w:rsid w:val="00326D1A"/>
    <w:rsid w:val="00335701"/>
    <w:rsid w:val="0035017C"/>
    <w:rsid w:val="00354449"/>
    <w:rsid w:val="003558C2"/>
    <w:rsid w:val="00357553"/>
    <w:rsid w:val="0036095E"/>
    <w:rsid w:val="00371881"/>
    <w:rsid w:val="00383525"/>
    <w:rsid w:val="00384625"/>
    <w:rsid w:val="003966D0"/>
    <w:rsid w:val="00396875"/>
    <w:rsid w:val="003B4546"/>
    <w:rsid w:val="003B52C3"/>
    <w:rsid w:val="003B5E4E"/>
    <w:rsid w:val="003E0A5A"/>
    <w:rsid w:val="003E1749"/>
    <w:rsid w:val="00400C33"/>
    <w:rsid w:val="0040138D"/>
    <w:rsid w:val="00407095"/>
    <w:rsid w:val="00417FED"/>
    <w:rsid w:val="00422E0B"/>
    <w:rsid w:val="00423247"/>
    <w:rsid w:val="004252A6"/>
    <w:rsid w:val="00431ABA"/>
    <w:rsid w:val="00441D96"/>
    <w:rsid w:val="00444D15"/>
    <w:rsid w:val="00445A7B"/>
    <w:rsid w:val="00447936"/>
    <w:rsid w:val="004479CD"/>
    <w:rsid w:val="00452F4D"/>
    <w:rsid w:val="00456A18"/>
    <w:rsid w:val="00457B1D"/>
    <w:rsid w:val="00462EF6"/>
    <w:rsid w:val="00471467"/>
    <w:rsid w:val="004759A5"/>
    <w:rsid w:val="00484F96"/>
    <w:rsid w:val="00492B3A"/>
    <w:rsid w:val="004A0AD7"/>
    <w:rsid w:val="004A5308"/>
    <w:rsid w:val="004A638F"/>
    <w:rsid w:val="004B2322"/>
    <w:rsid w:val="004B4646"/>
    <w:rsid w:val="004B4BE6"/>
    <w:rsid w:val="004C0EE4"/>
    <w:rsid w:val="004C4F99"/>
    <w:rsid w:val="004D0CFF"/>
    <w:rsid w:val="004D794E"/>
    <w:rsid w:val="004F21EC"/>
    <w:rsid w:val="004F7D50"/>
    <w:rsid w:val="005044F1"/>
    <w:rsid w:val="0050659F"/>
    <w:rsid w:val="005117CC"/>
    <w:rsid w:val="00511F09"/>
    <w:rsid w:val="005130D6"/>
    <w:rsid w:val="00513DCC"/>
    <w:rsid w:val="005216FE"/>
    <w:rsid w:val="00541177"/>
    <w:rsid w:val="00547575"/>
    <w:rsid w:val="00567A54"/>
    <w:rsid w:val="00573C70"/>
    <w:rsid w:val="005A2470"/>
    <w:rsid w:val="005A3A27"/>
    <w:rsid w:val="005B5834"/>
    <w:rsid w:val="005B72C7"/>
    <w:rsid w:val="005C341E"/>
    <w:rsid w:val="005C37AE"/>
    <w:rsid w:val="005C3CB6"/>
    <w:rsid w:val="005C3D74"/>
    <w:rsid w:val="005C5558"/>
    <w:rsid w:val="005C5FE2"/>
    <w:rsid w:val="005D347C"/>
    <w:rsid w:val="005D43A8"/>
    <w:rsid w:val="005D44B6"/>
    <w:rsid w:val="005D5977"/>
    <w:rsid w:val="005E3A76"/>
    <w:rsid w:val="005F0F55"/>
    <w:rsid w:val="005F5324"/>
    <w:rsid w:val="005F6CA9"/>
    <w:rsid w:val="006042F4"/>
    <w:rsid w:val="00606486"/>
    <w:rsid w:val="0060667C"/>
    <w:rsid w:val="0061129E"/>
    <w:rsid w:val="00615320"/>
    <w:rsid w:val="006228F9"/>
    <w:rsid w:val="00630136"/>
    <w:rsid w:val="00632F92"/>
    <w:rsid w:val="00642099"/>
    <w:rsid w:val="00643D3E"/>
    <w:rsid w:val="006456D9"/>
    <w:rsid w:val="006459AC"/>
    <w:rsid w:val="006537A8"/>
    <w:rsid w:val="00685596"/>
    <w:rsid w:val="00695AE0"/>
    <w:rsid w:val="006C2437"/>
    <w:rsid w:val="006C2E9D"/>
    <w:rsid w:val="006D38E7"/>
    <w:rsid w:val="006D4F3C"/>
    <w:rsid w:val="006E182A"/>
    <w:rsid w:val="006E3C8D"/>
    <w:rsid w:val="006F3BC5"/>
    <w:rsid w:val="006F6451"/>
    <w:rsid w:val="007000BF"/>
    <w:rsid w:val="0070222C"/>
    <w:rsid w:val="00716CF5"/>
    <w:rsid w:val="00723D2C"/>
    <w:rsid w:val="00726429"/>
    <w:rsid w:val="00740866"/>
    <w:rsid w:val="0074339A"/>
    <w:rsid w:val="00752387"/>
    <w:rsid w:val="00755759"/>
    <w:rsid w:val="00761D22"/>
    <w:rsid w:val="007772D8"/>
    <w:rsid w:val="007819B7"/>
    <w:rsid w:val="0078472B"/>
    <w:rsid w:val="00792A20"/>
    <w:rsid w:val="007A209B"/>
    <w:rsid w:val="007A6B09"/>
    <w:rsid w:val="007B4514"/>
    <w:rsid w:val="007B7CFA"/>
    <w:rsid w:val="007D02B2"/>
    <w:rsid w:val="007D1745"/>
    <w:rsid w:val="007D1ACA"/>
    <w:rsid w:val="007D3051"/>
    <w:rsid w:val="007D4DC0"/>
    <w:rsid w:val="007D4DF2"/>
    <w:rsid w:val="007E4A5B"/>
    <w:rsid w:val="007E67CF"/>
    <w:rsid w:val="007F0E5F"/>
    <w:rsid w:val="007F6012"/>
    <w:rsid w:val="008300D0"/>
    <w:rsid w:val="008339DD"/>
    <w:rsid w:val="00833A4A"/>
    <w:rsid w:val="00833DBE"/>
    <w:rsid w:val="008434EE"/>
    <w:rsid w:val="00846DDA"/>
    <w:rsid w:val="00847D76"/>
    <w:rsid w:val="00850A10"/>
    <w:rsid w:val="00854ADF"/>
    <w:rsid w:val="0085626B"/>
    <w:rsid w:val="00860BBB"/>
    <w:rsid w:val="00873DFE"/>
    <w:rsid w:val="00882A09"/>
    <w:rsid w:val="0088340E"/>
    <w:rsid w:val="008917F4"/>
    <w:rsid w:val="00893A72"/>
    <w:rsid w:val="008967ED"/>
    <w:rsid w:val="008B71EC"/>
    <w:rsid w:val="008B798D"/>
    <w:rsid w:val="008B7E85"/>
    <w:rsid w:val="008C0519"/>
    <w:rsid w:val="008C3CEA"/>
    <w:rsid w:val="008F4E3B"/>
    <w:rsid w:val="00912147"/>
    <w:rsid w:val="00917B0B"/>
    <w:rsid w:val="00923724"/>
    <w:rsid w:val="009357BB"/>
    <w:rsid w:val="00941231"/>
    <w:rsid w:val="0095077C"/>
    <w:rsid w:val="0095699E"/>
    <w:rsid w:val="00960FA0"/>
    <w:rsid w:val="00963759"/>
    <w:rsid w:val="00967F37"/>
    <w:rsid w:val="00971D58"/>
    <w:rsid w:val="009A1F1E"/>
    <w:rsid w:val="009A3AB3"/>
    <w:rsid w:val="009A6139"/>
    <w:rsid w:val="009A6409"/>
    <w:rsid w:val="009B64BC"/>
    <w:rsid w:val="009B73C7"/>
    <w:rsid w:val="009B7B37"/>
    <w:rsid w:val="009C5F92"/>
    <w:rsid w:val="009D1C99"/>
    <w:rsid w:val="009E04C8"/>
    <w:rsid w:val="009E4B56"/>
    <w:rsid w:val="009E4CAB"/>
    <w:rsid w:val="009F3E90"/>
    <w:rsid w:val="009F4550"/>
    <w:rsid w:val="009F5B07"/>
    <w:rsid w:val="009F7F0C"/>
    <w:rsid w:val="00A16C43"/>
    <w:rsid w:val="00A41951"/>
    <w:rsid w:val="00A57CDC"/>
    <w:rsid w:val="00A62E0D"/>
    <w:rsid w:val="00A63C1B"/>
    <w:rsid w:val="00A748B2"/>
    <w:rsid w:val="00A85E69"/>
    <w:rsid w:val="00A900F0"/>
    <w:rsid w:val="00A93FE1"/>
    <w:rsid w:val="00A95C21"/>
    <w:rsid w:val="00A97CEF"/>
    <w:rsid w:val="00AB0571"/>
    <w:rsid w:val="00AC02DF"/>
    <w:rsid w:val="00AC2056"/>
    <w:rsid w:val="00AC2B8F"/>
    <w:rsid w:val="00AC40CE"/>
    <w:rsid w:val="00AD052B"/>
    <w:rsid w:val="00AD6D88"/>
    <w:rsid w:val="00AE1315"/>
    <w:rsid w:val="00AE60B8"/>
    <w:rsid w:val="00AF0F24"/>
    <w:rsid w:val="00AF5C44"/>
    <w:rsid w:val="00B01898"/>
    <w:rsid w:val="00B0630B"/>
    <w:rsid w:val="00B12D86"/>
    <w:rsid w:val="00B13C04"/>
    <w:rsid w:val="00B212E0"/>
    <w:rsid w:val="00B26A2B"/>
    <w:rsid w:val="00B275C9"/>
    <w:rsid w:val="00B30451"/>
    <w:rsid w:val="00B320F8"/>
    <w:rsid w:val="00B36C7E"/>
    <w:rsid w:val="00B37AEF"/>
    <w:rsid w:val="00B47BC8"/>
    <w:rsid w:val="00B53C97"/>
    <w:rsid w:val="00B54C64"/>
    <w:rsid w:val="00B5728E"/>
    <w:rsid w:val="00B64864"/>
    <w:rsid w:val="00B64D22"/>
    <w:rsid w:val="00B70863"/>
    <w:rsid w:val="00B8020C"/>
    <w:rsid w:val="00B85DAE"/>
    <w:rsid w:val="00B86BF3"/>
    <w:rsid w:val="00BA0315"/>
    <w:rsid w:val="00BA1EA1"/>
    <w:rsid w:val="00BA39EC"/>
    <w:rsid w:val="00BC1F70"/>
    <w:rsid w:val="00BD0A0E"/>
    <w:rsid w:val="00BD58AE"/>
    <w:rsid w:val="00BE7400"/>
    <w:rsid w:val="00C0024D"/>
    <w:rsid w:val="00C0577A"/>
    <w:rsid w:val="00C12378"/>
    <w:rsid w:val="00C17DE5"/>
    <w:rsid w:val="00C30044"/>
    <w:rsid w:val="00C4325F"/>
    <w:rsid w:val="00C44420"/>
    <w:rsid w:val="00C45155"/>
    <w:rsid w:val="00C577B0"/>
    <w:rsid w:val="00C579D1"/>
    <w:rsid w:val="00C57FCB"/>
    <w:rsid w:val="00C60B2E"/>
    <w:rsid w:val="00C6303D"/>
    <w:rsid w:val="00C7143F"/>
    <w:rsid w:val="00C84206"/>
    <w:rsid w:val="00C84364"/>
    <w:rsid w:val="00C85940"/>
    <w:rsid w:val="00C86D56"/>
    <w:rsid w:val="00C87375"/>
    <w:rsid w:val="00C8756B"/>
    <w:rsid w:val="00C9366E"/>
    <w:rsid w:val="00CA2DFE"/>
    <w:rsid w:val="00CA6237"/>
    <w:rsid w:val="00CB200D"/>
    <w:rsid w:val="00CC5EFE"/>
    <w:rsid w:val="00CC6C18"/>
    <w:rsid w:val="00CD1457"/>
    <w:rsid w:val="00CE2456"/>
    <w:rsid w:val="00CE7D59"/>
    <w:rsid w:val="00D32B0A"/>
    <w:rsid w:val="00D54BA8"/>
    <w:rsid w:val="00D606A7"/>
    <w:rsid w:val="00D61894"/>
    <w:rsid w:val="00D65EB5"/>
    <w:rsid w:val="00D71154"/>
    <w:rsid w:val="00D7387D"/>
    <w:rsid w:val="00D86D4E"/>
    <w:rsid w:val="00DA1040"/>
    <w:rsid w:val="00DA12F8"/>
    <w:rsid w:val="00DB7230"/>
    <w:rsid w:val="00DB7589"/>
    <w:rsid w:val="00DC4D0E"/>
    <w:rsid w:val="00DC51E1"/>
    <w:rsid w:val="00DD1503"/>
    <w:rsid w:val="00DD4015"/>
    <w:rsid w:val="00DD6119"/>
    <w:rsid w:val="00DD75B1"/>
    <w:rsid w:val="00DE0AC2"/>
    <w:rsid w:val="00DE1384"/>
    <w:rsid w:val="00DF5029"/>
    <w:rsid w:val="00DF5626"/>
    <w:rsid w:val="00E01EBE"/>
    <w:rsid w:val="00E36064"/>
    <w:rsid w:val="00E54577"/>
    <w:rsid w:val="00E708F7"/>
    <w:rsid w:val="00E75B16"/>
    <w:rsid w:val="00E80EE0"/>
    <w:rsid w:val="00E84F77"/>
    <w:rsid w:val="00E86933"/>
    <w:rsid w:val="00E871C3"/>
    <w:rsid w:val="00E90ABF"/>
    <w:rsid w:val="00EA1B9D"/>
    <w:rsid w:val="00EA2661"/>
    <w:rsid w:val="00EB1FD5"/>
    <w:rsid w:val="00EB4614"/>
    <w:rsid w:val="00EB5960"/>
    <w:rsid w:val="00EB701D"/>
    <w:rsid w:val="00EC0E06"/>
    <w:rsid w:val="00EC1B62"/>
    <w:rsid w:val="00EC1BD9"/>
    <w:rsid w:val="00EC3A24"/>
    <w:rsid w:val="00EC446C"/>
    <w:rsid w:val="00EF538E"/>
    <w:rsid w:val="00F00E90"/>
    <w:rsid w:val="00F01280"/>
    <w:rsid w:val="00F04D53"/>
    <w:rsid w:val="00F054A0"/>
    <w:rsid w:val="00F10A9A"/>
    <w:rsid w:val="00F164BC"/>
    <w:rsid w:val="00F251E1"/>
    <w:rsid w:val="00F61FBF"/>
    <w:rsid w:val="00F65270"/>
    <w:rsid w:val="00F73AD9"/>
    <w:rsid w:val="00F76AFC"/>
    <w:rsid w:val="00F80547"/>
    <w:rsid w:val="00F850BF"/>
    <w:rsid w:val="00F8610B"/>
    <w:rsid w:val="00F9147D"/>
    <w:rsid w:val="00F92D86"/>
    <w:rsid w:val="00FA1597"/>
    <w:rsid w:val="00FC0348"/>
    <w:rsid w:val="00FC2EC6"/>
    <w:rsid w:val="00FC36B8"/>
    <w:rsid w:val="00FC7B0F"/>
    <w:rsid w:val="00FD061F"/>
    <w:rsid w:val="00FD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A8"/>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3A8"/>
    <w:pPr>
      <w:tabs>
        <w:tab w:val="center" w:pos="4320"/>
        <w:tab w:val="right" w:pos="8640"/>
      </w:tabs>
    </w:pPr>
  </w:style>
  <w:style w:type="character" w:customStyle="1" w:styleId="HeaderChar">
    <w:name w:val="Header Char"/>
    <w:basedOn w:val="DefaultParagraphFont"/>
    <w:link w:val="Header"/>
    <w:uiPriority w:val="99"/>
    <w:semiHidden/>
    <w:rPr>
      <w:rFonts w:ascii="Cambria" w:hAnsi="Cambria"/>
      <w:sz w:val="24"/>
      <w:szCs w:val="24"/>
    </w:rPr>
  </w:style>
  <w:style w:type="character" w:styleId="PageNumber">
    <w:name w:val="page number"/>
    <w:basedOn w:val="DefaultParagraphFont"/>
    <w:uiPriority w:val="99"/>
    <w:rsid w:val="005D43A8"/>
    <w:rPr>
      <w:rFonts w:cs="Times New Roman"/>
    </w:rPr>
  </w:style>
  <w:style w:type="paragraph" w:styleId="BalloonText">
    <w:name w:val="Balloon Text"/>
    <w:basedOn w:val="Normal"/>
    <w:link w:val="BalloonTextChar"/>
    <w:uiPriority w:val="99"/>
    <w:semiHidden/>
    <w:rsid w:val="00EC1BD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rsid w:val="008F4E3B"/>
    <w:rPr>
      <w:sz w:val="20"/>
      <w:szCs w:val="20"/>
    </w:rPr>
  </w:style>
  <w:style w:type="character" w:customStyle="1" w:styleId="FootnoteTextChar">
    <w:name w:val="Footnote Text Char"/>
    <w:basedOn w:val="DefaultParagraphFont"/>
    <w:link w:val="FootnoteText"/>
    <w:uiPriority w:val="99"/>
    <w:semiHidden/>
    <w:locked/>
    <w:rsid w:val="009E04C8"/>
    <w:rPr>
      <w:rFonts w:ascii="Cambria" w:hAnsi="Cambria"/>
      <w:lang w:val="en-US" w:eastAsia="en-US"/>
    </w:rPr>
  </w:style>
  <w:style w:type="character" w:styleId="FootnoteReference">
    <w:name w:val="footnote reference"/>
    <w:basedOn w:val="DefaultParagraphFont"/>
    <w:uiPriority w:val="99"/>
    <w:semiHidden/>
    <w:rsid w:val="008F4E3B"/>
    <w:rPr>
      <w:vertAlign w:val="superscript"/>
    </w:rPr>
  </w:style>
  <w:style w:type="paragraph" w:styleId="ListParagraph">
    <w:name w:val="List Paragraph"/>
    <w:basedOn w:val="Normal"/>
    <w:uiPriority w:val="34"/>
    <w:qFormat/>
    <w:rsid w:val="00F00E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A8"/>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3A8"/>
    <w:pPr>
      <w:tabs>
        <w:tab w:val="center" w:pos="4320"/>
        <w:tab w:val="right" w:pos="8640"/>
      </w:tabs>
    </w:pPr>
  </w:style>
  <w:style w:type="character" w:customStyle="1" w:styleId="HeaderChar">
    <w:name w:val="Header Char"/>
    <w:basedOn w:val="DefaultParagraphFont"/>
    <w:link w:val="Header"/>
    <w:uiPriority w:val="99"/>
    <w:semiHidden/>
    <w:rPr>
      <w:rFonts w:ascii="Cambria" w:hAnsi="Cambria"/>
      <w:sz w:val="24"/>
      <w:szCs w:val="24"/>
    </w:rPr>
  </w:style>
  <w:style w:type="character" w:styleId="PageNumber">
    <w:name w:val="page number"/>
    <w:basedOn w:val="DefaultParagraphFont"/>
    <w:uiPriority w:val="99"/>
    <w:rsid w:val="005D43A8"/>
    <w:rPr>
      <w:rFonts w:cs="Times New Roman"/>
    </w:rPr>
  </w:style>
  <w:style w:type="paragraph" w:styleId="BalloonText">
    <w:name w:val="Balloon Text"/>
    <w:basedOn w:val="Normal"/>
    <w:link w:val="BalloonTextChar"/>
    <w:uiPriority w:val="99"/>
    <w:semiHidden/>
    <w:rsid w:val="00EC1BD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rsid w:val="008F4E3B"/>
    <w:rPr>
      <w:sz w:val="20"/>
      <w:szCs w:val="20"/>
    </w:rPr>
  </w:style>
  <w:style w:type="character" w:customStyle="1" w:styleId="FootnoteTextChar">
    <w:name w:val="Footnote Text Char"/>
    <w:basedOn w:val="DefaultParagraphFont"/>
    <w:link w:val="FootnoteText"/>
    <w:uiPriority w:val="99"/>
    <w:semiHidden/>
    <w:locked/>
    <w:rsid w:val="009E04C8"/>
    <w:rPr>
      <w:rFonts w:ascii="Cambria" w:hAnsi="Cambria"/>
      <w:lang w:val="en-US" w:eastAsia="en-US"/>
    </w:rPr>
  </w:style>
  <w:style w:type="character" w:styleId="FootnoteReference">
    <w:name w:val="footnote reference"/>
    <w:basedOn w:val="DefaultParagraphFont"/>
    <w:uiPriority w:val="99"/>
    <w:semiHidden/>
    <w:rsid w:val="008F4E3B"/>
    <w:rPr>
      <w:vertAlign w:val="superscript"/>
    </w:rPr>
  </w:style>
  <w:style w:type="paragraph" w:styleId="ListParagraph">
    <w:name w:val="List Paragraph"/>
    <w:basedOn w:val="Normal"/>
    <w:uiPriority w:val="34"/>
    <w:qFormat/>
    <w:rsid w:val="00F00E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2012-06-10T18:30:00+00:00</Judgment_x0020_Date>
    <Year xmlns="aec0a7e9-5f5c-4ba9-87b2-85cfc8a38b86">2012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536FA-C78B-4F65-9E61-374A7D318CC9}"/>
</file>

<file path=customXml/itemProps2.xml><?xml version="1.0" encoding="utf-8"?>
<ds:datastoreItem xmlns:ds="http://schemas.openxmlformats.org/officeDocument/2006/customXml" ds:itemID="{A1DF2DCA-AAF9-494C-A787-271BBEF37877}"/>
</file>

<file path=customXml/itemProps3.xml><?xml version="1.0" encoding="utf-8"?>
<ds:datastoreItem xmlns:ds="http://schemas.openxmlformats.org/officeDocument/2006/customXml" ds:itemID="{E5D5B140-CA11-42AC-A1F7-ABA1482B7BB8}"/>
</file>

<file path=docProps/app.xml><?xml version="1.0" encoding="utf-8"?>
<Properties xmlns="http://schemas.openxmlformats.org/officeDocument/2006/extended-properties" xmlns:vt="http://schemas.openxmlformats.org/officeDocument/2006/docPropsVTypes">
  <Template>Normal</Template>
  <TotalTime>1</TotalTime>
  <Pages>13</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Heathcote Inc.</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Heathcote</dc:creator>
  <cp:lastModifiedBy>sikongo</cp:lastModifiedBy>
  <cp:revision>2</cp:revision>
  <cp:lastPrinted>2012-06-08T06:25:00Z</cp:lastPrinted>
  <dcterms:created xsi:type="dcterms:W3CDTF">2013-11-07T09:19:00Z</dcterms:created>
  <dcterms:modified xsi:type="dcterms:W3CDTF">2013-11-07T09:19:00Z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27600</vt:r8>
  </property>
  <property fmtid="{D5CDD505-2E9C-101B-9397-08002B2CF9AE}" pid="3" name="WorkflowChangePath">
    <vt:lpwstr>51234616-b7fe-46f9-8258-192439289d77,4;51234616-b7fe-46f9-8258-192439289d77,6;</vt:lpwstr>
  </property>
  <property fmtid="{D5CDD505-2E9C-101B-9397-08002B2CF9AE}" pid="4" name="ContentTypeId">
    <vt:lpwstr>0x0101008CCF6D66F229EE4D8B714E6AF2A2557D</vt:lpwstr>
  </property>
</Properties>
</file>