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EBA" w:rsidRPr="002230C1" w:rsidRDefault="009E5797" w:rsidP="00051EBA">
      <w:pPr>
        <w:jc w:val="center"/>
        <w:rPr>
          <w:rFonts w:asciiTheme="majorHAnsi" w:hAnsiTheme="majorHAnsi" w:cs="Arial"/>
          <w:b/>
        </w:rPr>
      </w:pPr>
      <w:r>
        <w:rPr>
          <w:rFonts w:asciiTheme="majorHAnsi" w:hAnsiTheme="majorHAnsi" w:cs="Arial"/>
          <w:noProof/>
          <w:lang w:val="en-ZA" w:eastAsia="en-ZA"/>
        </w:rPr>
        <w:drawing>
          <wp:inline distT="0" distB="0" distL="0" distR="0">
            <wp:extent cx="1073785" cy="1275715"/>
            <wp:effectExtent l="0" t="0" r="0" b="63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785" cy="1275715"/>
                    </a:xfrm>
                    <a:prstGeom prst="rect">
                      <a:avLst/>
                    </a:prstGeom>
                    <a:noFill/>
                    <a:ln>
                      <a:noFill/>
                    </a:ln>
                  </pic:spPr>
                </pic:pic>
              </a:graphicData>
            </a:graphic>
          </wp:inline>
        </w:drawing>
      </w:r>
    </w:p>
    <w:p w:rsidR="009C0087" w:rsidRPr="002230C1" w:rsidRDefault="009C0087" w:rsidP="00051EBA">
      <w:pPr>
        <w:jc w:val="center"/>
        <w:rPr>
          <w:rFonts w:asciiTheme="majorHAnsi" w:hAnsiTheme="majorHAnsi" w:cs="Arial"/>
          <w:b/>
        </w:rPr>
      </w:pPr>
    </w:p>
    <w:p w:rsidR="00051EBA" w:rsidRPr="002230C1" w:rsidRDefault="00051EBA" w:rsidP="00051EBA">
      <w:pPr>
        <w:jc w:val="both"/>
        <w:rPr>
          <w:rFonts w:asciiTheme="majorHAnsi" w:hAnsiTheme="majorHAnsi" w:cs="Arial"/>
          <w:b/>
        </w:rPr>
      </w:pPr>
    </w:p>
    <w:p w:rsidR="00051EBA" w:rsidRPr="002230C1" w:rsidRDefault="002230C1" w:rsidP="00051EBA">
      <w:pPr>
        <w:jc w:val="both"/>
        <w:rPr>
          <w:rFonts w:asciiTheme="majorHAnsi" w:hAnsiTheme="majorHAnsi" w:cs="Arial"/>
          <w:b/>
        </w:rPr>
      </w:pP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t>CASE NO.  LCA 80/2011</w:t>
      </w:r>
    </w:p>
    <w:p w:rsidR="009C0087" w:rsidRPr="002230C1" w:rsidRDefault="009C0087" w:rsidP="00051EBA">
      <w:pPr>
        <w:jc w:val="both"/>
        <w:rPr>
          <w:rFonts w:asciiTheme="majorHAnsi" w:hAnsiTheme="majorHAnsi" w:cs="Arial"/>
          <w:b/>
        </w:rPr>
      </w:pPr>
      <w:r w:rsidRPr="002230C1">
        <w:rPr>
          <w:rFonts w:asciiTheme="majorHAnsi" w:hAnsiTheme="majorHAnsi" w:cs="Arial"/>
          <w:b/>
        </w:rPr>
        <w:tab/>
      </w:r>
      <w:r w:rsidRPr="002230C1">
        <w:rPr>
          <w:rFonts w:asciiTheme="majorHAnsi" w:hAnsiTheme="majorHAnsi" w:cs="Arial"/>
          <w:b/>
        </w:rPr>
        <w:tab/>
      </w:r>
      <w:r w:rsidRPr="002230C1">
        <w:rPr>
          <w:rFonts w:asciiTheme="majorHAnsi" w:hAnsiTheme="majorHAnsi" w:cs="Arial"/>
          <w:b/>
        </w:rPr>
        <w:tab/>
      </w:r>
      <w:r w:rsidRPr="002230C1">
        <w:rPr>
          <w:rFonts w:asciiTheme="majorHAnsi" w:hAnsiTheme="majorHAnsi" w:cs="Arial"/>
          <w:b/>
        </w:rPr>
        <w:tab/>
      </w:r>
      <w:r w:rsidRPr="002230C1">
        <w:rPr>
          <w:rFonts w:asciiTheme="majorHAnsi" w:hAnsiTheme="majorHAnsi" w:cs="Arial"/>
          <w:b/>
        </w:rPr>
        <w:tab/>
      </w:r>
      <w:r w:rsidRPr="002230C1">
        <w:rPr>
          <w:rFonts w:asciiTheme="majorHAnsi" w:hAnsiTheme="majorHAnsi" w:cs="Arial"/>
          <w:b/>
        </w:rPr>
        <w:tab/>
      </w:r>
      <w:r w:rsidRPr="002230C1">
        <w:rPr>
          <w:rFonts w:asciiTheme="majorHAnsi" w:hAnsiTheme="majorHAnsi" w:cs="Arial"/>
          <w:b/>
        </w:rPr>
        <w:tab/>
      </w:r>
      <w:r w:rsidRPr="002230C1">
        <w:rPr>
          <w:rFonts w:asciiTheme="majorHAnsi" w:hAnsiTheme="majorHAnsi" w:cs="Arial"/>
          <w:b/>
        </w:rPr>
        <w:tab/>
      </w:r>
    </w:p>
    <w:p w:rsidR="009C0087" w:rsidRPr="002230C1" w:rsidRDefault="009C0087" w:rsidP="00051EBA">
      <w:pPr>
        <w:jc w:val="both"/>
        <w:rPr>
          <w:rFonts w:asciiTheme="majorHAnsi" w:hAnsiTheme="majorHAnsi" w:cs="Arial"/>
          <w:b/>
          <w:u w:val="single"/>
        </w:rPr>
      </w:pPr>
      <w:r w:rsidRPr="002230C1">
        <w:rPr>
          <w:rFonts w:asciiTheme="majorHAnsi" w:hAnsiTheme="majorHAnsi" w:cs="Arial"/>
          <w:b/>
        </w:rPr>
        <w:tab/>
      </w:r>
      <w:r w:rsidRPr="002230C1">
        <w:rPr>
          <w:rFonts w:asciiTheme="majorHAnsi" w:hAnsiTheme="majorHAnsi" w:cs="Arial"/>
          <w:b/>
        </w:rPr>
        <w:tab/>
      </w:r>
      <w:r w:rsidRPr="002230C1">
        <w:rPr>
          <w:rFonts w:asciiTheme="majorHAnsi" w:hAnsiTheme="majorHAnsi" w:cs="Arial"/>
          <w:b/>
        </w:rPr>
        <w:tab/>
      </w:r>
      <w:r w:rsidRPr="002230C1">
        <w:rPr>
          <w:rFonts w:asciiTheme="majorHAnsi" w:hAnsiTheme="majorHAnsi" w:cs="Arial"/>
          <w:b/>
        </w:rPr>
        <w:tab/>
      </w:r>
      <w:r w:rsidRPr="002230C1">
        <w:rPr>
          <w:rFonts w:asciiTheme="majorHAnsi" w:hAnsiTheme="majorHAnsi" w:cs="Arial"/>
          <w:b/>
        </w:rPr>
        <w:tab/>
      </w:r>
      <w:r w:rsidRPr="002230C1">
        <w:rPr>
          <w:rFonts w:asciiTheme="majorHAnsi" w:hAnsiTheme="majorHAnsi" w:cs="Arial"/>
          <w:b/>
        </w:rPr>
        <w:tab/>
        <w:t xml:space="preserve">    </w:t>
      </w:r>
      <w:r w:rsidR="00086275" w:rsidRPr="002230C1">
        <w:rPr>
          <w:rFonts w:asciiTheme="majorHAnsi" w:hAnsiTheme="majorHAnsi" w:cs="Arial"/>
          <w:b/>
        </w:rPr>
        <w:tab/>
      </w:r>
      <w:r w:rsidR="00086275" w:rsidRPr="002230C1">
        <w:rPr>
          <w:rFonts w:asciiTheme="majorHAnsi" w:hAnsiTheme="majorHAnsi" w:cs="Arial"/>
          <w:b/>
        </w:rPr>
        <w:tab/>
      </w:r>
      <w:r w:rsidRPr="002230C1">
        <w:rPr>
          <w:rFonts w:asciiTheme="majorHAnsi" w:hAnsiTheme="majorHAnsi" w:cs="Arial"/>
          <w:b/>
          <w:u w:val="single"/>
        </w:rPr>
        <w:t>REPORTABLE</w:t>
      </w:r>
    </w:p>
    <w:p w:rsidR="00051EBA" w:rsidRPr="002230C1" w:rsidRDefault="00051EBA" w:rsidP="00051EBA">
      <w:pPr>
        <w:jc w:val="both"/>
        <w:rPr>
          <w:rFonts w:asciiTheme="majorHAnsi" w:hAnsiTheme="majorHAnsi" w:cs="Arial"/>
        </w:rPr>
      </w:pPr>
    </w:p>
    <w:p w:rsidR="00051EBA" w:rsidRPr="002230C1" w:rsidRDefault="00051EBA" w:rsidP="00051EBA">
      <w:pPr>
        <w:pStyle w:val="Heading1"/>
        <w:jc w:val="both"/>
        <w:rPr>
          <w:rFonts w:asciiTheme="majorHAnsi" w:hAnsiTheme="majorHAnsi"/>
          <w:sz w:val="24"/>
          <w:szCs w:val="24"/>
        </w:rPr>
      </w:pPr>
      <w:r w:rsidRPr="002230C1">
        <w:rPr>
          <w:rFonts w:asciiTheme="majorHAnsi" w:hAnsiTheme="majorHAnsi"/>
          <w:sz w:val="24"/>
          <w:szCs w:val="24"/>
        </w:rPr>
        <w:t>IN THE HIGH COURT OF NAMIBIA</w:t>
      </w:r>
    </w:p>
    <w:p w:rsidR="00051EBA" w:rsidRPr="002230C1" w:rsidRDefault="00051EBA" w:rsidP="00051EBA">
      <w:pPr>
        <w:jc w:val="both"/>
        <w:rPr>
          <w:rFonts w:asciiTheme="majorHAnsi" w:hAnsiTheme="majorHAnsi" w:cs="Arial"/>
        </w:rPr>
      </w:pPr>
    </w:p>
    <w:p w:rsidR="00051EBA" w:rsidRPr="002230C1" w:rsidRDefault="00051EBA" w:rsidP="00051EBA">
      <w:pPr>
        <w:pStyle w:val="Heading1"/>
        <w:jc w:val="both"/>
        <w:rPr>
          <w:rFonts w:asciiTheme="majorHAnsi" w:hAnsiTheme="majorHAnsi"/>
          <w:b w:val="0"/>
          <w:sz w:val="24"/>
          <w:szCs w:val="24"/>
        </w:rPr>
      </w:pPr>
      <w:r w:rsidRPr="002230C1">
        <w:rPr>
          <w:rFonts w:asciiTheme="majorHAnsi" w:hAnsiTheme="majorHAnsi"/>
          <w:b w:val="0"/>
          <w:sz w:val="24"/>
          <w:szCs w:val="24"/>
        </w:rPr>
        <w:t>In the matter between:</w:t>
      </w:r>
    </w:p>
    <w:p w:rsidR="00051EBA" w:rsidRPr="002230C1" w:rsidRDefault="00051EBA" w:rsidP="00051EBA">
      <w:pPr>
        <w:jc w:val="both"/>
        <w:rPr>
          <w:rFonts w:asciiTheme="majorHAnsi" w:hAnsiTheme="majorHAnsi" w:cs="Arial"/>
        </w:rPr>
      </w:pPr>
    </w:p>
    <w:p w:rsidR="00051EBA" w:rsidRPr="002230C1" w:rsidRDefault="002230C1" w:rsidP="00051EBA">
      <w:pPr>
        <w:pStyle w:val="Heading1"/>
        <w:spacing w:line="360" w:lineRule="auto"/>
        <w:jc w:val="both"/>
        <w:rPr>
          <w:rFonts w:asciiTheme="majorHAnsi" w:hAnsiTheme="majorHAnsi"/>
          <w:sz w:val="24"/>
          <w:szCs w:val="24"/>
        </w:rPr>
      </w:pPr>
      <w:r>
        <w:rPr>
          <w:rFonts w:asciiTheme="majorHAnsi" w:hAnsiTheme="majorHAnsi"/>
          <w:sz w:val="24"/>
          <w:szCs w:val="24"/>
        </w:rPr>
        <w:t>COUNCIL OF THE MUNICIPALITY OF KEETMANSHOOP</w:t>
      </w:r>
      <w:r w:rsidR="00051EBA" w:rsidRPr="002230C1">
        <w:rPr>
          <w:rFonts w:asciiTheme="majorHAnsi" w:hAnsiTheme="majorHAnsi"/>
          <w:sz w:val="24"/>
          <w:szCs w:val="24"/>
        </w:rPr>
        <w:t xml:space="preserve">                     </w:t>
      </w:r>
      <w:r w:rsidR="002E296A">
        <w:rPr>
          <w:rFonts w:asciiTheme="majorHAnsi" w:hAnsiTheme="majorHAnsi"/>
          <w:sz w:val="24"/>
          <w:szCs w:val="24"/>
        </w:rPr>
        <w:t xml:space="preserve">      </w:t>
      </w:r>
      <w:r w:rsidR="00051EBA" w:rsidRPr="002230C1">
        <w:rPr>
          <w:rFonts w:asciiTheme="majorHAnsi" w:hAnsiTheme="majorHAnsi"/>
          <w:sz w:val="24"/>
          <w:szCs w:val="24"/>
        </w:rPr>
        <w:t>APPELLANT</w:t>
      </w:r>
    </w:p>
    <w:p w:rsidR="00051EBA" w:rsidRPr="002230C1" w:rsidRDefault="00051EBA" w:rsidP="00051EBA">
      <w:pPr>
        <w:spacing w:line="360" w:lineRule="auto"/>
        <w:jc w:val="both"/>
        <w:rPr>
          <w:rFonts w:asciiTheme="majorHAnsi" w:hAnsiTheme="majorHAnsi" w:cs="Arial"/>
        </w:rPr>
      </w:pPr>
    </w:p>
    <w:p w:rsidR="00051EBA" w:rsidRPr="002230C1" w:rsidRDefault="00051EBA" w:rsidP="00051EBA">
      <w:pPr>
        <w:spacing w:line="360" w:lineRule="auto"/>
        <w:jc w:val="both"/>
        <w:rPr>
          <w:rFonts w:asciiTheme="majorHAnsi" w:hAnsiTheme="majorHAnsi" w:cs="Arial"/>
        </w:rPr>
      </w:pPr>
      <w:r w:rsidRPr="002230C1">
        <w:rPr>
          <w:rFonts w:asciiTheme="majorHAnsi" w:hAnsiTheme="majorHAnsi" w:cs="Arial"/>
        </w:rPr>
        <w:t>vs</w:t>
      </w:r>
    </w:p>
    <w:p w:rsidR="00051EBA" w:rsidRPr="002230C1" w:rsidRDefault="00051EBA" w:rsidP="00051EBA">
      <w:pPr>
        <w:spacing w:line="360" w:lineRule="auto"/>
        <w:jc w:val="both"/>
        <w:rPr>
          <w:rFonts w:asciiTheme="majorHAnsi" w:hAnsiTheme="majorHAnsi" w:cs="Arial"/>
        </w:rPr>
      </w:pPr>
    </w:p>
    <w:p w:rsidR="00051EBA" w:rsidRPr="002230C1" w:rsidRDefault="002230C1" w:rsidP="00051EBA">
      <w:pPr>
        <w:spacing w:line="360" w:lineRule="auto"/>
        <w:jc w:val="both"/>
        <w:rPr>
          <w:rFonts w:asciiTheme="majorHAnsi" w:hAnsiTheme="majorHAnsi" w:cs="Arial"/>
          <w:b/>
        </w:rPr>
      </w:pPr>
      <w:r>
        <w:rPr>
          <w:rFonts w:asciiTheme="majorHAnsi" w:hAnsiTheme="majorHAnsi" w:cs="Arial"/>
          <w:b/>
        </w:rPr>
        <w:t>JOSEF ROOI</w:t>
      </w:r>
      <w:r w:rsidR="006C7B06">
        <w:rPr>
          <w:rFonts w:asciiTheme="majorHAnsi" w:hAnsiTheme="majorHAnsi" w:cs="Arial"/>
          <w:b/>
        </w:rPr>
        <w:t>…………………………………………………………………</w:t>
      </w:r>
      <w:r w:rsidR="00051EBA" w:rsidRPr="002230C1">
        <w:rPr>
          <w:rFonts w:asciiTheme="majorHAnsi" w:hAnsiTheme="majorHAnsi" w:cs="Arial"/>
          <w:b/>
        </w:rPr>
        <w:t>1</w:t>
      </w:r>
      <w:r w:rsidR="00051EBA" w:rsidRPr="002230C1">
        <w:rPr>
          <w:rFonts w:asciiTheme="majorHAnsi" w:hAnsiTheme="majorHAnsi" w:cs="Arial"/>
          <w:b/>
          <w:vertAlign w:val="superscript"/>
        </w:rPr>
        <w:t>ST</w:t>
      </w:r>
      <w:r w:rsidR="00051EBA" w:rsidRPr="002230C1">
        <w:rPr>
          <w:rFonts w:asciiTheme="majorHAnsi" w:hAnsiTheme="majorHAnsi" w:cs="Arial"/>
          <w:b/>
        </w:rPr>
        <w:t xml:space="preserve"> RESPONDENT</w:t>
      </w:r>
    </w:p>
    <w:p w:rsidR="00051EBA" w:rsidRDefault="002E296A" w:rsidP="00051EBA">
      <w:pPr>
        <w:spacing w:line="360" w:lineRule="auto"/>
        <w:jc w:val="both"/>
        <w:rPr>
          <w:rFonts w:asciiTheme="majorHAnsi" w:hAnsiTheme="majorHAnsi" w:cs="Arial"/>
          <w:b/>
        </w:rPr>
      </w:pPr>
      <w:r>
        <w:rPr>
          <w:rFonts w:asciiTheme="majorHAnsi" w:hAnsiTheme="majorHAnsi" w:cs="Arial"/>
          <w:b/>
        </w:rPr>
        <w:t>NIMROD SWARTZ</w:t>
      </w:r>
      <w:r w:rsidR="006C7B06">
        <w:rPr>
          <w:rFonts w:asciiTheme="majorHAnsi" w:hAnsiTheme="majorHAnsi" w:cs="Arial"/>
          <w:b/>
        </w:rPr>
        <w:t>……………………………………………………….</w:t>
      </w:r>
      <w:r w:rsidR="00051EBA" w:rsidRPr="002230C1">
        <w:rPr>
          <w:rFonts w:asciiTheme="majorHAnsi" w:hAnsiTheme="majorHAnsi" w:cs="Arial"/>
          <w:b/>
        </w:rPr>
        <w:t>2</w:t>
      </w:r>
      <w:r w:rsidR="00051EBA" w:rsidRPr="002230C1">
        <w:rPr>
          <w:rFonts w:asciiTheme="majorHAnsi" w:hAnsiTheme="majorHAnsi" w:cs="Arial"/>
          <w:b/>
          <w:vertAlign w:val="superscript"/>
        </w:rPr>
        <w:t>ND</w:t>
      </w:r>
      <w:r w:rsidR="00051EBA" w:rsidRPr="002230C1">
        <w:rPr>
          <w:rFonts w:asciiTheme="majorHAnsi" w:hAnsiTheme="majorHAnsi" w:cs="Arial"/>
          <w:b/>
        </w:rPr>
        <w:t xml:space="preserve"> RESPONDENT</w:t>
      </w:r>
    </w:p>
    <w:p w:rsidR="002230C1" w:rsidRPr="002230C1" w:rsidRDefault="002E296A" w:rsidP="00051EBA">
      <w:pPr>
        <w:spacing w:line="360" w:lineRule="auto"/>
        <w:jc w:val="both"/>
        <w:rPr>
          <w:rFonts w:asciiTheme="majorHAnsi" w:hAnsiTheme="majorHAnsi" w:cs="Arial"/>
          <w:b/>
        </w:rPr>
      </w:pPr>
      <w:r>
        <w:rPr>
          <w:rFonts w:asciiTheme="majorHAnsi" w:hAnsiTheme="majorHAnsi" w:cs="Arial"/>
          <w:b/>
        </w:rPr>
        <w:t>MOSES IINANE N.O</w:t>
      </w:r>
      <w:r w:rsidR="006C7B06">
        <w:rPr>
          <w:rFonts w:asciiTheme="majorHAnsi" w:hAnsiTheme="majorHAnsi" w:cs="Arial"/>
          <w:b/>
        </w:rPr>
        <w:t>………………………………………………………</w:t>
      </w:r>
      <w:r w:rsidR="002230C1">
        <w:rPr>
          <w:rFonts w:asciiTheme="majorHAnsi" w:hAnsiTheme="majorHAnsi" w:cs="Arial"/>
          <w:b/>
        </w:rPr>
        <w:t>3</w:t>
      </w:r>
      <w:r w:rsidR="002230C1" w:rsidRPr="002230C1">
        <w:rPr>
          <w:rFonts w:asciiTheme="majorHAnsi" w:hAnsiTheme="majorHAnsi" w:cs="Arial"/>
          <w:b/>
          <w:vertAlign w:val="superscript"/>
        </w:rPr>
        <w:t>RD</w:t>
      </w:r>
      <w:r w:rsidR="002230C1">
        <w:rPr>
          <w:rFonts w:asciiTheme="majorHAnsi" w:hAnsiTheme="majorHAnsi" w:cs="Arial"/>
          <w:b/>
        </w:rPr>
        <w:t xml:space="preserve"> RESPONDENT</w:t>
      </w:r>
    </w:p>
    <w:p w:rsidR="00051EBA" w:rsidRPr="002230C1" w:rsidRDefault="00051EBA" w:rsidP="00051EBA">
      <w:pPr>
        <w:spacing w:line="360" w:lineRule="auto"/>
        <w:jc w:val="both"/>
        <w:rPr>
          <w:rFonts w:asciiTheme="majorHAnsi" w:hAnsiTheme="majorHAnsi" w:cs="Arial"/>
        </w:rPr>
      </w:pPr>
    </w:p>
    <w:p w:rsidR="00051EBA" w:rsidRPr="002230C1" w:rsidRDefault="00051EBA" w:rsidP="00051EBA">
      <w:pPr>
        <w:spacing w:line="360" w:lineRule="auto"/>
        <w:jc w:val="both"/>
        <w:rPr>
          <w:rFonts w:asciiTheme="majorHAnsi" w:hAnsiTheme="majorHAnsi" w:cs="Arial"/>
          <w:b/>
        </w:rPr>
      </w:pPr>
      <w:r w:rsidRPr="002230C1">
        <w:rPr>
          <w:rFonts w:asciiTheme="majorHAnsi" w:hAnsiTheme="majorHAnsi" w:cs="Arial"/>
          <w:b/>
        </w:rPr>
        <w:t>CORAM:</w:t>
      </w:r>
      <w:r w:rsidRPr="002230C1">
        <w:rPr>
          <w:rFonts w:asciiTheme="majorHAnsi" w:hAnsiTheme="majorHAnsi" w:cs="Arial"/>
          <w:b/>
        </w:rPr>
        <w:tab/>
      </w:r>
      <w:r w:rsidRPr="002230C1">
        <w:rPr>
          <w:rFonts w:asciiTheme="majorHAnsi" w:hAnsiTheme="majorHAnsi" w:cs="Arial"/>
          <w:b/>
        </w:rPr>
        <w:tab/>
        <w:t>MILLER, AJ</w:t>
      </w:r>
    </w:p>
    <w:p w:rsidR="00051EBA" w:rsidRPr="002230C1" w:rsidRDefault="00051EBA" w:rsidP="00051EBA">
      <w:pPr>
        <w:spacing w:line="360" w:lineRule="auto"/>
        <w:jc w:val="both"/>
        <w:rPr>
          <w:rFonts w:asciiTheme="majorHAnsi" w:hAnsiTheme="majorHAnsi" w:cs="Arial"/>
        </w:rPr>
      </w:pPr>
    </w:p>
    <w:p w:rsidR="00051EBA" w:rsidRPr="002230C1" w:rsidRDefault="00051EBA" w:rsidP="00051EBA">
      <w:pPr>
        <w:spacing w:line="360" w:lineRule="auto"/>
        <w:jc w:val="both"/>
        <w:rPr>
          <w:rFonts w:asciiTheme="majorHAnsi" w:hAnsiTheme="majorHAnsi" w:cs="Arial"/>
        </w:rPr>
      </w:pPr>
      <w:r w:rsidRPr="002230C1">
        <w:rPr>
          <w:rFonts w:asciiTheme="majorHAnsi" w:hAnsiTheme="majorHAnsi" w:cs="Arial"/>
        </w:rPr>
        <w:t>Heard on:</w:t>
      </w:r>
      <w:r w:rsidRPr="002230C1">
        <w:rPr>
          <w:rFonts w:asciiTheme="majorHAnsi" w:hAnsiTheme="majorHAnsi" w:cs="Arial"/>
        </w:rPr>
        <w:tab/>
      </w:r>
      <w:r w:rsidR="002230C1">
        <w:rPr>
          <w:rFonts w:asciiTheme="majorHAnsi" w:hAnsiTheme="majorHAnsi" w:cs="Arial"/>
        </w:rPr>
        <w:tab/>
        <w:t>11 June 2012</w:t>
      </w:r>
      <w:r w:rsidRPr="002230C1">
        <w:rPr>
          <w:rFonts w:asciiTheme="majorHAnsi" w:hAnsiTheme="majorHAnsi" w:cs="Arial"/>
        </w:rPr>
        <w:tab/>
      </w:r>
    </w:p>
    <w:p w:rsidR="00051EBA" w:rsidRPr="002230C1" w:rsidRDefault="00051EBA" w:rsidP="00051EBA">
      <w:pPr>
        <w:spacing w:line="360" w:lineRule="auto"/>
        <w:jc w:val="both"/>
        <w:rPr>
          <w:rFonts w:asciiTheme="majorHAnsi" w:hAnsiTheme="majorHAnsi" w:cs="Arial"/>
        </w:rPr>
      </w:pPr>
      <w:r w:rsidRPr="002230C1">
        <w:rPr>
          <w:rFonts w:asciiTheme="majorHAnsi" w:hAnsiTheme="majorHAnsi" w:cs="Arial"/>
        </w:rPr>
        <w:t>Delivered on:</w:t>
      </w:r>
      <w:r w:rsidRPr="002230C1">
        <w:rPr>
          <w:rFonts w:asciiTheme="majorHAnsi" w:hAnsiTheme="majorHAnsi" w:cs="Arial"/>
        </w:rPr>
        <w:tab/>
      </w:r>
      <w:r w:rsidRPr="002230C1">
        <w:rPr>
          <w:rFonts w:asciiTheme="majorHAnsi" w:hAnsiTheme="majorHAnsi" w:cs="Arial"/>
        </w:rPr>
        <w:tab/>
      </w:r>
      <w:r w:rsidR="002230C1">
        <w:rPr>
          <w:rFonts w:asciiTheme="majorHAnsi" w:hAnsiTheme="majorHAnsi" w:cs="Arial"/>
        </w:rPr>
        <w:t>18 July</w:t>
      </w:r>
      <w:r w:rsidRPr="002230C1">
        <w:rPr>
          <w:rFonts w:asciiTheme="majorHAnsi" w:hAnsiTheme="majorHAnsi" w:cs="Arial"/>
        </w:rPr>
        <w:t xml:space="preserve"> 2012</w:t>
      </w:r>
    </w:p>
    <w:p w:rsidR="00051EBA" w:rsidRPr="002230C1" w:rsidRDefault="00051EBA" w:rsidP="00051EBA">
      <w:pPr>
        <w:pBdr>
          <w:bottom w:val="single" w:sz="12" w:space="1" w:color="auto"/>
        </w:pBdr>
        <w:spacing w:line="360" w:lineRule="auto"/>
        <w:jc w:val="both"/>
        <w:rPr>
          <w:rFonts w:asciiTheme="majorHAnsi" w:hAnsiTheme="majorHAnsi" w:cs="Arial"/>
        </w:rPr>
      </w:pPr>
    </w:p>
    <w:p w:rsidR="00051EBA" w:rsidRPr="002230C1" w:rsidRDefault="00051EBA" w:rsidP="00051EBA">
      <w:pPr>
        <w:spacing w:line="360" w:lineRule="auto"/>
        <w:jc w:val="both"/>
        <w:rPr>
          <w:rFonts w:asciiTheme="majorHAnsi" w:hAnsiTheme="majorHAnsi" w:cs="Arial"/>
          <w:b/>
          <w:u w:val="single"/>
        </w:rPr>
      </w:pPr>
    </w:p>
    <w:p w:rsidR="00051EBA" w:rsidRPr="002230C1" w:rsidRDefault="00051EBA" w:rsidP="00051EBA">
      <w:pPr>
        <w:spacing w:line="360" w:lineRule="auto"/>
        <w:jc w:val="both"/>
        <w:rPr>
          <w:rFonts w:asciiTheme="majorHAnsi" w:hAnsiTheme="majorHAnsi" w:cs="Arial"/>
          <w:b/>
          <w:u w:val="single"/>
        </w:rPr>
      </w:pPr>
      <w:r w:rsidRPr="002230C1">
        <w:rPr>
          <w:rFonts w:asciiTheme="majorHAnsi" w:hAnsiTheme="majorHAnsi" w:cs="Arial"/>
          <w:b/>
          <w:u w:val="single"/>
        </w:rPr>
        <w:t>LABOUR APPEAL JUDGMENT:</w:t>
      </w:r>
    </w:p>
    <w:p w:rsidR="00051EBA" w:rsidRPr="002230C1" w:rsidRDefault="00051EBA" w:rsidP="00051EBA">
      <w:pPr>
        <w:jc w:val="both"/>
        <w:rPr>
          <w:rFonts w:asciiTheme="majorHAnsi" w:hAnsiTheme="majorHAnsi" w:cs="Arial"/>
        </w:rPr>
      </w:pPr>
    </w:p>
    <w:p w:rsidR="00630819" w:rsidRDefault="00051EBA" w:rsidP="00051EBA">
      <w:pPr>
        <w:spacing w:line="360" w:lineRule="auto"/>
        <w:jc w:val="both"/>
        <w:rPr>
          <w:rFonts w:asciiTheme="majorHAnsi" w:hAnsiTheme="majorHAnsi" w:cs="Arial"/>
        </w:rPr>
      </w:pPr>
      <w:r w:rsidRPr="002230C1">
        <w:rPr>
          <w:rFonts w:asciiTheme="majorHAnsi" w:hAnsiTheme="majorHAnsi" w:cs="Arial"/>
          <w:b/>
          <w:u w:val="single"/>
        </w:rPr>
        <w:t>MILLER, AJ:</w:t>
      </w:r>
      <w:r w:rsidR="002E296A">
        <w:rPr>
          <w:rFonts w:asciiTheme="majorHAnsi" w:hAnsiTheme="majorHAnsi" w:cs="Arial"/>
        </w:rPr>
        <w:t xml:space="preserve">  [1]</w:t>
      </w:r>
      <w:r w:rsidR="002E296A">
        <w:rPr>
          <w:rFonts w:asciiTheme="majorHAnsi" w:hAnsiTheme="majorHAnsi" w:cs="Arial"/>
        </w:rPr>
        <w:tab/>
        <w:t xml:space="preserve">This matter comes before me as an appeal against an award made by an arbitrator, who is cited herein as the third respondent.  The award followed arbitration proceedings instituted by the first and second respondent in </w:t>
      </w:r>
    </w:p>
    <w:p w:rsidR="00630819" w:rsidRDefault="00630819" w:rsidP="00051EBA">
      <w:pPr>
        <w:spacing w:line="360" w:lineRule="auto"/>
        <w:jc w:val="both"/>
        <w:rPr>
          <w:rFonts w:asciiTheme="majorHAnsi" w:hAnsiTheme="majorHAnsi" w:cs="Arial"/>
        </w:rPr>
      </w:pPr>
    </w:p>
    <w:p w:rsidR="00630819" w:rsidRDefault="00630819" w:rsidP="00051EBA">
      <w:pPr>
        <w:spacing w:line="360" w:lineRule="auto"/>
        <w:jc w:val="both"/>
        <w:rPr>
          <w:rFonts w:asciiTheme="majorHAnsi" w:hAnsiTheme="majorHAnsi" w:cs="Arial"/>
        </w:rPr>
      </w:pPr>
    </w:p>
    <w:p w:rsidR="002230C1" w:rsidRDefault="002E296A" w:rsidP="00051EBA">
      <w:pPr>
        <w:spacing w:line="360" w:lineRule="auto"/>
        <w:jc w:val="both"/>
        <w:rPr>
          <w:rFonts w:asciiTheme="majorHAnsi" w:hAnsiTheme="majorHAnsi" w:cs="Arial"/>
        </w:rPr>
      </w:pPr>
      <w:r>
        <w:rPr>
          <w:rFonts w:asciiTheme="majorHAnsi" w:hAnsiTheme="majorHAnsi" w:cs="Arial"/>
        </w:rPr>
        <w:t>terms of the Labour Act 2007.  The appellant was cited in those proceedings as the respondent.</w:t>
      </w:r>
    </w:p>
    <w:p w:rsidR="002E296A" w:rsidRDefault="002E296A" w:rsidP="00051EBA">
      <w:pPr>
        <w:spacing w:line="360" w:lineRule="auto"/>
        <w:jc w:val="both"/>
        <w:rPr>
          <w:rFonts w:asciiTheme="majorHAnsi" w:hAnsiTheme="majorHAnsi" w:cs="Arial"/>
        </w:rPr>
      </w:pPr>
    </w:p>
    <w:p w:rsidR="002E296A" w:rsidRDefault="00630819" w:rsidP="00051EBA">
      <w:pPr>
        <w:spacing w:line="360" w:lineRule="auto"/>
        <w:jc w:val="both"/>
        <w:rPr>
          <w:rFonts w:asciiTheme="majorHAnsi" w:hAnsiTheme="majorHAnsi" w:cs="Arial"/>
        </w:rPr>
      </w:pPr>
      <w:r>
        <w:rPr>
          <w:rFonts w:asciiTheme="majorHAnsi" w:hAnsiTheme="majorHAnsi" w:cs="Arial"/>
        </w:rPr>
        <w:t>[2]</w:t>
      </w:r>
      <w:r>
        <w:rPr>
          <w:rFonts w:asciiTheme="majorHAnsi" w:hAnsiTheme="majorHAnsi" w:cs="Arial"/>
        </w:rPr>
        <w:tab/>
      </w:r>
      <w:r w:rsidR="002E296A">
        <w:rPr>
          <w:rFonts w:asciiTheme="majorHAnsi" w:hAnsiTheme="majorHAnsi" w:cs="Arial"/>
        </w:rPr>
        <w:t xml:space="preserve">The matter arose in the following way:  The appellant is the Council of the Keetmanshoop Municiality, which in turn is a Local Authority in terms of the Local Authorities Act, Act 23 of 1992.  As such it functions </w:t>
      </w:r>
      <w:r>
        <w:rPr>
          <w:rFonts w:asciiTheme="majorHAnsi" w:hAnsiTheme="majorHAnsi" w:cs="Arial"/>
        </w:rPr>
        <w:t xml:space="preserve">in accordance with </w:t>
      </w:r>
      <w:r w:rsidR="002E296A">
        <w:rPr>
          <w:rFonts w:asciiTheme="majorHAnsi" w:hAnsiTheme="majorHAnsi" w:cs="Arial"/>
        </w:rPr>
        <w:t>and subject to the provisions of that Act.</w:t>
      </w:r>
    </w:p>
    <w:p w:rsidR="002E296A" w:rsidRDefault="002E296A" w:rsidP="00051EBA">
      <w:pPr>
        <w:spacing w:line="360" w:lineRule="auto"/>
        <w:jc w:val="both"/>
        <w:rPr>
          <w:rFonts w:asciiTheme="majorHAnsi" w:hAnsiTheme="majorHAnsi" w:cs="Arial"/>
        </w:rPr>
      </w:pPr>
    </w:p>
    <w:p w:rsidR="002E296A" w:rsidRDefault="002E296A" w:rsidP="00051EBA">
      <w:pPr>
        <w:spacing w:line="360" w:lineRule="auto"/>
        <w:jc w:val="both"/>
        <w:rPr>
          <w:rFonts w:asciiTheme="majorHAnsi" w:hAnsiTheme="majorHAnsi" w:cs="Arial"/>
        </w:rPr>
      </w:pPr>
      <w:r>
        <w:rPr>
          <w:rFonts w:asciiTheme="majorHAnsi" w:hAnsiTheme="majorHAnsi" w:cs="Arial"/>
        </w:rPr>
        <w:t xml:space="preserve">[3]  During the year 2010 two new posts were created in the staff establishment of the appellant.  These were senior posts </w:t>
      </w:r>
      <w:r w:rsidR="00630819">
        <w:rPr>
          <w:rFonts w:asciiTheme="majorHAnsi" w:hAnsiTheme="majorHAnsi" w:cs="Arial"/>
        </w:rPr>
        <w:t>at the level</w:t>
      </w:r>
      <w:r>
        <w:rPr>
          <w:rFonts w:asciiTheme="majorHAnsi" w:hAnsiTheme="majorHAnsi" w:cs="Arial"/>
        </w:rPr>
        <w:t xml:space="preserve"> of that of a Strategic Executive. </w:t>
      </w:r>
    </w:p>
    <w:p w:rsidR="002E296A" w:rsidRDefault="002E296A" w:rsidP="00051EBA">
      <w:pPr>
        <w:spacing w:line="360" w:lineRule="auto"/>
        <w:jc w:val="both"/>
        <w:rPr>
          <w:rFonts w:asciiTheme="majorHAnsi" w:hAnsiTheme="majorHAnsi" w:cs="Arial"/>
        </w:rPr>
      </w:pPr>
    </w:p>
    <w:p w:rsidR="002E296A" w:rsidRDefault="002E296A" w:rsidP="00051EBA">
      <w:pPr>
        <w:spacing w:line="360" w:lineRule="auto"/>
        <w:jc w:val="both"/>
        <w:rPr>
          <w:rFonts w:asciiTheme="majorHAnsi" w:hAnsiTheme="majorHAnsi" w:cs="Arial"/>
        </w:rPr>
      </w:pPr>
      <w:r>
        <w:rPr>
          <w:rFonts w:asciiTheme="majorHAnsi" w:hAnsiTheme="majorHAnsi" w:cs="Arial"/>
        </w:rPr>
        <w:t>[4]  The first as second respondent</w:t>
      </w:r>
      <w:r w:rsidR="00630819">
        <w:rPr>
          <w:rFonts w:asciiTheme="majorHAnsi" w:hAnsiTheme="majorHAnsi" w:cs="Arial"/>
        </w:rPr>
        <w:t>s</w:t>
      </w:r>
      <w:r>
        <w:rPr>
          <w:rFonts w:asciiTheme="majorHAnsi" w:hAnsiTheme="majorHAnsi" w:cs="Arial"/>
        </w:rPr>
        <w:t>, were at that stage already in the employ of the appellant.</w:t>
      </w:r>
    </w:p>
    <w:p w:rsidR="002E296A" w:rsidRDefault="002E296A" w:rsidP="00051EBA">
      <w:pPr>
        <w:spacing w:line="360" w:lineRule="auto"/>
        <w:jc w:val="both"/>
        <w:rPr>
          <w:rFonts w:asciiTheme="majorHAnsi" w:hAnsiTheme="majorHAnsi" w:cs="Arial"/>
        </w:rPr>
      </w:pPr>
    </w:p>
    <w:p w:rsidR="002E296A" w:rsidRDefault="002E296A" w:rsidP="00051EBA">
      <w:pPr>
        <w:spacing w:line="360" w:lineRule="auto"/>
        <w:jc w:val="both"/>
        <w:rPr>
          <w:rFonts w:asciiTheme="majorHAnsi" w:hAnsiTheme="majorHAnsi" w:cs="Arial"/>
        </w:rPr>
      </w:pPr>
      <w:r>
        <w:rPr>
          <w:rFonts w:asciiTheme="majorHAnsi" w:hAnsiTheme="majorHAnsi" w:cs="Arial"/>
        </w:rPr>
        <w:t>[5]  They, amongst others applies to the appointed to these posts, each one of them applying to be appointed to one of the two posts.</w:t>
      </w:r>
    </w:p>
    <w:p w:rsidR="002E296A" w:rsidRDefault="002E296A" w:rsidP="00051EBA">
      <w:pPr>
        <w:spacing w:line="360" w:lineRule="auto"/>
        <w:jc w:val="both"/>
        <w:rPr>
          <w:rFonts w:asciiTheme="majorHAnsi" w:hAnsiTheme="majorHAnsi" w:cs="Arial"/>
        </w:rPr>
      </w:pPr>
    </w:p>
    <w:p w:rsidR="002E296A" w:rsidRDefault="002E296A" w:rsidP="00051EBA">
      <w:pPr>
        <w:spacing w:line="360" w:lineRule="auto"/>
        <w:jc w:val="both"/>
        <w:rPr>
          <w:rFonts w:asciiTheme="majorHAnsi" w:hAnsiTheme="majorHAnsi" w:cs="Arial"/>
        </w:rPr>
      </w:pPr>
      <w:r>
        <w:rPr>
          <w:rFonts w:asciiTheme="majorHAnsi" w:hAnsiTheme="majorHAnsi" w:cs="Arial"/>
        </w:rPr>
        <w:t>[6]  On 17 August 2010, the appellant, as the Council appointed the first and second respondents each to one of the two strategic Executive posts.  They remained in these posts until January 2011, when the appellant decided to deprive them of their recentl</w:t>
      </w:r>
      <w:r w:rsidR="00630819">
        <w:rPr>
          <w:rFonts w:asciiTheme="majorHAnsi" w:hAnsiTheme="majorHAnsi" w:cs="Arial"/>
        </w:rPr>
        <w:t>y ac</w:t>
      </w:r>
      <w:r>
        <w:rPr>
          <w:rFonts w:asciiTheme="majorHAnsi" w:hAnsiTheme="majorHAnsi" w:cs="Arial"/>
        </w:rPr>
        <w:t>quired positions and resolved to place the first and second respondents in the posts they had occupied prior to their appointment as Strategic Executives.</w:t>
      </w:r>
    </w:p>
    <w:p w:rsidR="002E296A" w:rsidRDefault="002E296A" w:rsidP="00051EBA">
      <w:pPr>
        <w:spacing w:line="360" w:lineRule="auto"/>
        <w:jc w:val="both"/>
        <w:rPr>
          <w:rFonts w:asciiTheme="majorHAnsi" w:hAnsiTheme="majorHAnsi" w:cs="Arial"/>
        </w:rPr>
      </w:pPr>
    </w:p>
    <w:p w:rsidR="002E296A" w:rsidRDefault="002E296A" w:rsidP="00051EBA">
      <w:pPr>
        <w:spacing w:line="360" w:lineRule="auto"/>
        <w:jc w:val="both"/>
        <w:rPr>
          <w:rFonts w:asciiTheme="majorHAnsi" w:hAnsiTheme="majorHAnsi" w:cs="Arial"/>
        </w:rPr>
      </w:pPr>
      <w:r>
        <w:rPr>
          <w:rFonts w:asciiTheme="majorHAnsi" w:hAnsiTheme="majorHAnsi" w:cs="Arial"/>
        </w:rPr>
        <w:t xml:space="preserve">[7] </w:t>
      </w:r>
      <w:r>
        <w:rPr>
          <w:rFonts w:asciiTheme="majorHAnsi" w:hAnsiTheme="majorHAnsi" w:cs="Arial"/>
        </w:rPr>
        <w:tab/>
        <w:t>The reason for the turnabout, was that the appellant upon reflection was of the view that they did not have the power, in terms of the Local Authorities Act</w:t>
      </w:r>
      <w:r w:rsidR="00F05E8F">
        <w:rPr>
          <w:rFonts w:asciiTheme="majorHAnsi" w:hAnsiTheme="majorHAnsi" w:cs="Arial"/>
        </w:rPr>
        <w:t>,</w:t>
      </w:r>
      <w:r>
        <w:rPr>
          <w:rFonts w:asciiTheme="majorHAnsi" w:hAnsiTheme="majorHAnsi" w:cs="Arial"/>
        </w:rPr>
        <w:t xml:space="preserve"> to make these appointments, by virtue of the provisions of Section 27 of the Local Authorities Act.</w:t>
      </w:r>
    </w:p>
    <w:p w:rsidR="002E296A" w:rsidRDefault="002E296A" w:rsidP="00051EBA">
      <w:pPr>
        <w:spacing w:line="360" w:lineRule="auto"/>
        <w:jc w:val="both"/>
        <w:rPr>
          <w:rFonts w:asciiTheme="majorHAnsi" w:hAnsiTheme="majorHAnsi" w:cs="Arial"/>
        </w:rPr>
      </w:pPr>
    </w:p>
    <w:p w:rsidR="002E296A" w:rsidRDefault="002E296A" w:rsidP="00051EBA">
      <w:pPr>
        <w:spacing w:line="360" w:lineRule="auto"/>
        <w:jc w:val="both"/>
        <w:rPr>
          <w:rFonts w:asciiTheme="majorHAnsi" w:hAnsiTheme="majorHAnsi" w:cs="Arial"/>
        </w:rPr>
      </w:pPr>
      <w:r>
        <w:rPr>
          <w:rFonts w:asciiTheme="majorHAnsi" w:hAnsiTheme="majorHAnsi" w:cs="Arial"/>
        </w:rPr>
        <w:t>[28]  Section 27 reads as follows:</w:t>
      </w:r>
    </w:p>
    <w:p w:rsidR="002E296A" w:rsidRDefault="002E296A" w:rsidP="00051EBA">
      <w:pPr>
        <w:spacing w:line="360" w:lineRule="auto"/>
        <w:jc w:val="both"/>
        <w:rPr>
          <w:rFonts w:asciiTheme="majorHAnsi" w:hAnsiTheme="majorHAnsi" w:cs="Arial"/>
        </w:rPr>
      </w:pPr>
    </w:p>
    <w:p w:rsidR="002E296A" w:rsidRDefault="002E296A" w:rsidP="00051EBA">
      <w:pPr>
        <w:spacing w:line="360" w:lineRule="auto"/>
        <w:jc w:val="both"/>
        <w:rPr>
          <w:rFonts w:asciiTheme="majorHAnsi" w:hAnsiTheme="majorHAnsi" w:cs="Arial"/>
          <w:sz w:val="22"/>
          <w:szCs w:val="22"/>
        </w:rPr>
      </w:pPr>
      <w:r>
        <w:rPr>
          <w:rFonts w:asciiTheme="majorHAnsi" w:hAnsiTheme="majorHAnsi" w:cs="Arial"/>
        </w:rPr>
        <w:tab/>
      </w:r>
      <w:r>
        <w:rPr>
          <w:rFonts w:asciiTheme="majorHAnsi" w:hAnsiTheme="majorHAnsi" w:cs="Arial"/>
          <w:sz w:val="22"/>
          <w:szCs w:val="22"/>
        </w:rPr>
        <w:t>“(1)  Subject to the provisions of this section-</w:t>
      </w:r>
    </w:p>
    <w:p w:rsidR="00630819" w:rsidRDefault="00630819" w:rsidP="00051EBA">
      <w:pPr>
        <w:spacing w:line="360" w:lineRule="auto"/>
        <w:jc w:val="both"/>
        <w:rPr>
          <w:rFonts w:asciiTheme="majorHAnsi" w:hAnsiTheme="majorHAnsi" w:cs="Arial"/>
          <w:sz w:val="22"/>
          <w:szCs w:val="22"/>
        </w:rPr>
      </w:pPr>
    </w:p>
    <w:p w:rsidR="00630819" w:rsidRDefault="00630819" w:rsidP="00051EBA">
      <w:pPr>
        <w:spacing w:line="360" w:lineRule="auto"/>
        <w:jc w:val="both"/>
        <w:rPr>
          <w:rFonts w:asciiTheme="majorHAnsi" w:hAnsiTheme="majorHAnsi" w:cs="Arial"/>
          <w:sz w:val="22"/>
          <w:szCs w:val="22"/>
        </w:rPr>
      </w:pPr>
    </w:p>
    <w:p w:rsidR="002E296A" w:rsidRPr="006C7B06" w:rsidRDefault="006C7B06" w:rsidP="006C7B06">
      <w:pPr>
        <w:spacing w:line="360" w:lineRule="auto"/>
        <w:ind w:left="1080" w:hanging="360"/>
        <w:jc w:val="both"/>
        <w:rPr>
          <w:rFonts w:asciiTheme="majorHAnsi" w:hAnsiTheme="majorHAnsi" w:cs="Arial"/>
          <w:sz w:val="22"/>
          <w:szCs w:val="22"/>
        </w:rPr>
      </w:pPr>
      <w:r>
        <w:rPr>
          <w:rFonts w:asciiTheme="majorHAnsi" w:hAnsiTheme="majorHAnsi"/>
          <w:sz w:val="22"/>
          <w:szCs w:val="22"/>
        </w:rPr>
        <w:t>(a)</w:t>
      </w:r>
      <w:r>
        <w:rPr>
          <w:rFonts w:asciiTheme="majorHAnsi" w:hAnsiTheme="majorHAnsi"/>
          <w:sz w:val="22"/>
          <w:szCs w:val="22"/>
        </w:rPr>
        <w:tab/>
      </w:r>
      <w:r w:rsidR="002E296A" w:rsidRPr="006C7B06">
        <w:rPr>
          <w:rFonts w:asciiTheme="majorHAnsi" w:hAnsiTheme="majorHAnsi" w:cs="Arial"/>
          <w:sz w:val="22"/>
          <w:szCs w:val="22"/>
        </w:rPr>
        <w:t xml:space="preserve"> A municipal council and town council shall appoint, on the recommendation of its management committee and after consultation with the Minister, a person as the town clerk of such municipal council or town council, as the case may be, and a village council shall so appoint a person as the village secretary of such village council, who shall in each case be the chief executive officer of the local authority council in question and who shall, subject to the control and directions of the local authority council, be responsible for the carrying out of the decisions of the local authority council and for the administration of the affairs of the local authority council;</w:t>
      </w:r>
    </w:p>
    <w:p w:rsidR="002E296A" w:rsidRPr="006C7B06" w:rsidRDefault="006C7B06" w:rsidP="006C7B06">
      <w:pPr>
        <w:spacing w:line="360" w:lineRule="auto"/>
        <w:ind w:left="1080" w:hanging="360"/>
        <w:jc w:val="both"/>
        <w:rPr>
          <w:rFonts w:asciiTheme="majorHAnsi" w:hAnsiTheme="majorHAnsi" w:cs="Arial"/>
          <w:sz w:val="22"/>
          <w:szCs w:val="22"/>
        </w:rPr>
      </w:pPr>
      <w:r>
        <w:rPr>
          <w:rFonts w:asciiTheme="majorHAnsi" w:hAnsiTheme="majorHAnsi"/>
          <w:sz w:val="22"/>
          <w:szCs w:val="22"/>
        </w:rPr>
        <w:t>(b)</w:t>
      </w:r>
      <w:r>
        <w:rPr>
          <w:rFonts w:asciiTheme="majorHAnsi" w:hAnsiTheme="majorHAnsi"/>
          <w:sz w:val="22"/>
          <w:szCs w:val="22"/>
        </w:rPr>
        <w:tab/>
      </w:r>
      <w:r w:rsidR="002E296A" w:rsidRPr="006C7B06">
        <w:rPr>
          <w:rFonts w:asciiTheme="majorHAnsi" w:hAnsiTheme="majorHAnsi" w:cs="Arial"/>
          <w:sz w:val="22"/>
          <w:szCs w:val="22"/>
        </w:rPr>
        <w:t xml:space="preserve">The management committee of a local authority council or such officer or employee of the local authority council as may be designated by the management committee for such purpose, may appoint such other officers and employees of the local authority council in such posts as may be provided for on the fixed establishment of the local authority council approved by the local authority </w:t>
      </w:r>
      <w:r w:rsidR="000D1E72" w:rsidRPr="006C7B06">
        <w:rPr>
          <w:rFonts w:asciiTheme="majorHAnsi" w:hAnsiTheme="majorHAnsi" w:cs="Arial"/>
          <w:sz w:val="22"/>
          <w:szCs w:val="22"/>
        </w:rPr>
        <w:t>council and as the management committee or such officer or employee so designated may deem necessary for purposes of the performance of the work incidental to the exercise of the powers and the performance of the duties and functions of the local authority council.</w:t>
      </w:r>
    </w:p>
    <w:p w:rsidR="000D1E72" w:rsidRDefault="000D1E72" w:rsidP="000D1E72">
      <w:pPr>
        <w:spacing w:line="360" w:lineRule="auto"/>
        <w:ind w:left="720"/>
        <w:jc w:val="both"/>
        <w:rPr>
          <w:rFonts w:asciiTheme="majorHAnsi" w:hAnsiTheme="majorHAnsi" w:cs="Arial"/>
          <w:sz w:val="22"/>
          <w:szCs w:val="22"/>
        </w:rPr>
      </w:pPr>
    </w:p>
    <w:p w:rsidR="000D1E72" w:rsidRDefault="000D1E72" w:rsidP="000D1E72">
      <w:pPr>
        <w:spacing w:line="360" w:lineRule="auto"/>
        <w:jc w:val="both"/>
        <w:rPr>
          <w:rFonts w:asciiTheme="majorHAnsi" w:hAnsiTheme="majorHAnsi" w:cs="Arial"/>
        </w:rPr>
      </w:pPr>
      <w:r>
        <w:rPr>
          <w:rFonts w:asciiTheme="majorHAnsi" w:hAnsiTheme="majorHAnsi" w:cs="Arial"/>
        </w:rPr>
        <w:t>[8]</w:t>
      </w:r>
      <w:r>
        <w:rPr>
          <w:rFonts w:asciiTheme="majorHAnsi" w:hAnsiTheme="majorHAnsi" w:cs="Arial"/>
        </w:rPr>
        <w:tab/>
        <w:t>Mr. Khama who appeared before me on behalf of the first and second respondent submitted that Section 27 (1)(b) of the Local A</w:t>
      </w:r>
      <w:r w:rsidR="00630819">
        <w:rPr>
          <w:rFonts w:asciiTheme="majorHAnsi" w:hAnsiTheme="majorHAnsi" w:cs="Arial"/>
        </w:rPr>
        <w:t>uthorities Act confers</w:t>
      </w:r>
      <w:r>
        <w:rPr>
          <w:rFonts w:asciiTheme="majorHAnsi" w:hAnsiTheme="majorHAnsi" w:cs="Arial"/>
        </w:rPr>
        <w:t xml:space="preserve"> </w:t>
      </w:r>
      <w:r w:rsidR="00630819">
        <w:rPr>
          <w:rFonts w:asciiTheme="majorHAnsi" w:hAnsiTheme="majorHAnsi" w:cs="Arial"/>
        </w:rPr>
        <w:t>onl</w:t>
      </w:r>
      <w:r>
        <w:rPr>
          <w:rFonts w:asciiTheme="majorHAnsi" w:hAnsiTheme="majorHAnsi" w:cs="Arial"/>
        </w:rPr>
        <w:t>y a discretionary power upon the Management Committee, with the consequence that there remains an implied power vested for the appellant to exercise those powers.  I do not agree.  Despite the use of the word “may” in the subsection, it is clear that the power to appoint persons to the establishment of the Local Authority vests solely in the management committee.</w:t>
      </w:r>
    </w:p>
    <w:p w:rsidR="000D1E72" w:rsidRDefault="000D1E72" w:rsidP="000D1E72">
      <w:pPr>
        <w:spacing w:line="360" w:lineRule="auto"/>
        <w:jc w:val="both"/>
        <w:rPr>
          <w:rFonts w:asciiTheme="majorHAnsi" w:hAnsiTheme="majorHAnsi" w:cs="Arial"/>
        </w:rPr>
      </w:pPr>
    </w:p>
    <w:p w:rsidR="00630819" w:rsidRDefault="000D1E72" w:rsidP="000D1E72">
      <w:pPr>
        <w:spacing w:line="360" w:lineRule="auto"/>
        <w:jc w:val="both"/>
        <w:rPr>
          <w:rFonts w:asciiTheme="majorHAnsi" w:hAnsiTheme="majorHAnsi" w:cs="Arial"/>
        </w:rPr>
      </w:pPr>
      <w:r>
        <w:rPr>
          <w:rFonts w:asciiTheme="majorHAnsi" w:hAnsiTheme="majorHAnsi" w:cs="Arial"/>
        </w:rPr>
        <w:t>[9]</w:t>
      </w:r>
      <w:r>
        <w:rPr>
          <w:rFonts w:asciiTheme="majorHAnsi" w:hAnsiTheme="majorHAnsi" w:cs="Arial"/>
        </w:rPr>
        <w:tab/>
        <w:t>The word “may” implies only that the management committee may appoint these persons to the establishment as it “… may deem necessary for the purposes of the performance of the work incidental to the exercise of the powers and the performance of the duties are functions of the Local Authority Council</w:t>
      </w:r>
      <w:r w:rsidR="00630819">
        <w:rPr>
          <w:rFonts w:asciiTheme="majorHAnsi" w:hAnsiTheme="majorHAnsi" w:cs="Arial"/>
        </w:rPr>
        <w:t>”</w:t>
      </w:r>
      <w:r>
        <w:rPr>
          <w:rFonts w:asciiTheme="majorHAnsi" w:hAnsiTheme="majorHAnsi" w:cs="Arial"/>
        </w:rPr>
        <w:t xml:space="preserve">.  I am fortified in this view by the fact that Section 27 (1)(a) in specific terms provides for the appointment of a town clerk, to be appointed by the council.  Read in context </w:t>
      </w:r>
    </w:p>
    <w:p w:rsidR="00630819" w:rsidRDefault="00630819" w:rsidP="000D1E72">
      <w:pPr>
        <w:spacing w:line="360" w:lineRule="auto"/>
        <w:jc w:val="both"/>
        <w:rPr>
          <w:rFonts w:asciiTheme="majorHAnsi" w:hAnsiTheme="majorHAnsi" w:cs="Arial"/>
        </w:rPr>
      </w:pPr>
    </w:p>
    <w:p w:rsidR="000D1E72" w:rsidRDefault="00630819" w:rsidP="000D1E72">
      <w:pPr>
        <w:spacing w:line="360" w:lineRule="auto"/>
        <w:jc w:val="both"/>
        <w:rPr>
          <w:rFonts w:asciiTheme="majorHAnsi" w:hAnsiTheme="majorHAnsi" w:cs="Arial"/>
        </w:rPr>
      </w:pPr>
      <w:r>
        <w:rPr>
          <w:rFonts w:asciiTheme="majorHAnsi" w:hAnsiTheme="majorHAnsi" w:cs="Arial"/>
        </w:rPr>
        <w:t>what the legislature</w:t>
      </w:r>
      <w:r w:rsidR="000D1E72">
        <w:rPr>
          <w:rFonts w:asciiTheme="majorHAnsi" w:hAnsiTheme="majorHAnsi" w:cs="Arial"/>
        </w:rPr>
        <w:t xml:space="preserve"> had in mind was that the council shall appoint the town clerk, whereas other officers and employees are to be appointed by the management committee.</w:t>
      </w:r>
    </w:p>
    <w:p w:rsidR="000D1E72" w:rsidRDefault="000D1E72" w:rsidP="000D1E72">
      <w:pPr>
        <w:spacing w:line="360" w:lineRule="auto"/>
        <w:jc w:val="both"/>
        <w:rPr>
          <w:rFonts w:asciiTheme="majorHAnsi" w:hAnsiTheme="majorHAnsi" w:cs="Arial"/>
        </w:rPr>
      </w:pPr>
    </w:p>
    <w:p w:rsidR="000D1E72" w:rsidRDefault="000D1E72" w:rsidP="000D1E72">
      <w:pPr>
        <w:spacing w:line="360" w:lineRule="auto"/>
        <w:jc w:val="both"/>
        <w:rPr>
          <w:rFonts w:asciiTheme="majorHAnsi" w:hAnsiTheme="majorHAnsi" w:cs="Arial"/>
        </w:rPr>
      </w:pPr>
      <w:r>
        <w:rPr>
          <w:rFonts w:asciiTheme="majorHAnsi" w:hAnsiTheme="majorHAnsi" w:cs="Arial"/>
        </w:rPr>
        <w:t>[10]</w:t>
      </w:r>
      <w:r>
        <w:rPr>
          <w:rFonts w:asciiTheme="majorHAnsi" w:hAnsiTheme="majorHAnsi" w:cs="Arial"/>
        </w:rPr>
        <w:tab/>
        <w:t>I must add that during the course of the proceedings before the third respondent it was accepted by the first and second respondents, who were represented b</w:t>
      </w:r>
      <w:r w:rsidR="00630819">
        <w:rPr>
          <w:rFonts w:asciiTheme="majorHAnsi" w:hAnsiTheme="majorHAnsi" w:cs="Arial"/>
        </w:rPr>
        <w:t>y a legal practitioner that their</w:t>
      </w:r>
      <w:r>
        <w:rPr>
          <w:rFonts w:asciiTheme="majorHAnsi" w:hAnsiTheme="majorHAnsi" w:cs="Arial"/>
        </w:rPr>
        <w:t xml:space="preserve"> appointment</w:t>
      </w:r>
      <w:r w:rsidR="00630819">
        <w:rPr>
          <w:rFonts w:asciiTheme="majorHAnsi" w:hAnsiTheme="majorHAnsi" w:cs="Arial"/>
        </w:rPr>
        <w:t>s</w:t>
      </w:r>
      <w:r>
        <w:rPr>
          <w:rFonts w:asciiTheme="majorHAnsi" w:hAnsiTheme="majorHAnsi" w:cs="Arial"/>
        </w:rPr>
        <w:t xml:space="preserve"> were in contravention of Section 27 of the Local Authority Act and in that sense unlawful.  The third respondent in fact </w:t>
      </w:r>
      <w:r w:rsidR="00630819">
        <w:rPr>
          <w:rFonts w:asciiTheme="majorHAnsi" w:hAnsiTheme="majorHAnsi" w:cs="Arial"/>
        </w:rPr>
        <w:t>found that to be</w:t>
      </w:r>
      <w:r>
        <w:rPr>
          <w:rFonts w:asciiTheme="majorHAnsi" w:hAnsiTheme="majorHAnsi" w:cs="Arial"/>
        </w:rPr>
        <w:t xml:space="preserve"> so.  There is before me no appeal by the first and second respondents against that finding.  In the absence of an appeal against the third respondent’s finding that the appointments of the first and second respondents were unlawful, it is not open to the first and second respondents to challenge that finding before me as Mr. Khama tried to do.</w:t>
      </w:r>
    </w:p>
    <w:p w:rsidR="000D1E72" w:rsidRDefault="000D1E72" w:rsidP="000D1E72">
      <w:pPr>
        <w:spacing w:line="360" w:lineRule="auto"/>
        <w:jc w:val="both"/>
        <w:rPr>
          <w:rFonts w:asciiTheme="majorHAnsi" w:hAnsiTheme="majorHAnsi" w:cs="Arial"/>
        </w:rPr>
      </w:pPr>
    </w:p>
    <w:p w:rsidR="000D1E72" w:rsidRDefault="000D1E72" w:rsidP="000D1E72">
      <w:pPr>
        <w:spacing w:line="360" w:lineRule="auto"/>
        <w:jc w:val="both"/>
        <w:rPr>
          <w:rFonts w:asciiTheme="majorHAnsi" w:hAnsiTheme="majorHAnsi" w:cs="Arial"/>
        </w:rPr>
      </w:pPr>
      <w:r>
        <w:rPr>
          <w:rFonts w:asciiTheme="majorHAnsi" w:hAnsiTheme="majorHAnsi" w:cs="Arial"/>
        </w:rPr>
        <w:t>[11]</w:t>
      </w:r>
      <w:r w:rsidR="00630819">
        <w:rPr>
          <w:rFonts w:asciiTheme="majorHAnsi" w:hAnsiTheme="majorHAnsi" w:cs="Arial"/>
        </w:rPr>
        <w:tab/>
        <w:t>His argument in this regard centered</w:t>
      </w:r>
      <w:r>
        <w:rPr>
          <w:rFonts w:asciiTheme="majorHAnsi" w:hAnsiTheme="majorHAnsi" w:cs="Arial"/>
        </w:rPr>
        <w:t xml:space="preserve"> mainly on a submission that the </w:t>
      </w:r>
      <w:r w:rsidR="00630819">
        <w:rPr>
          <w:rFonts w:asciiTheme="majorHAnsi" w:hAnsiTheme="majorHAnsi" w:cs="Arial"/>
        </w:rPr>
        <w:t>a</w:t>
      </w:r>
      <w:r>
        <w:rPr>
          <w:rFonts w:asciiTheme="majorHAnsi" w:hAnsiTheme="majorHAnsi" w:cs="Arial"/>
        </w:rPr>
        <w:t>ct of appointing the first and second respondents remained valid until it was set aside by a court of law.</w:t>
      </w:r>
    </w:p>
    <w:p w:rsidR="007A770B" w:rsidRDefault="007A770B" w:rsidP="000D1E72">
      <w:pPr>
        <w:spacing w:line="360" w:lineRule="auto"/>
        <w:jc w:val="both"/>
        <w:rPr>
          <w:rFonts w:asciiTheme="majorHAnsi" w:hAnsiTheme="majorHAnsi" w:cs="Arial"/>
        </w:rPr>
      </w:pPr>
    </w:p>
    <w:p w:rsidR="007A770B" w:rsidRDefault="007A770B" w:rsidP="000D1E72">
      <w:pPr>
        <w:spacing w:line="360" w:lineRule="auto"/>
        <w:jc w:val="both"/>
        <w:rPr>
          <w:rFonts w:asciiTheme="majorHAnsi" w:hAnsiTheme="majorHAnsi" w:cs="Arial"/>
        </w:rPr>
      </w:pPr>
      <w:r>
        <w:rPr>
          <w:rFonts w:asciiTheme="majorHAnsi" w:hAnsiTheme="majorHAnsi" w:cs="Arial"/>
        </w:rPr>
        <w:t>[12]</w:t>
      </w:r>
      <w:r>
        <w:rPr>
          <w:rFonts w:asciiTheme="majorHAnsi" w:hAnsiTheme="majorHAnsi" w:cs="Arial"/>
        </w:rPr>
        <w:tab/>
        <w:t>The short answer to that seems to be that the appointments were nullities from the outset and for that reason of no force and effect.</w:t>
      </w:r>
    </w:p>
    <w:p w:rsidR="007A770B" w:rsidRDefault="007A770B" w:rsidP="000D1E72">
      <w:pPr>
        <w:spacing w:line="360" w:lineRule="auto"/>
        <w:jc w:val="both"/>
        <w:rPr>
          <w:rFonts w:asciiTheme="majorHAnsi" w:hAnsiTheme="majorHAnsi" w:cs="Arial"/>
        </w:rPr>
      </w:pPr>
    </w:p>
    <w:p w:rsidR="007A770B" w:rsidRDefault="007A770B" w:rsidP="000D1E72">
      <w:pPr>
        <w:spacing w:line="360" w:lineRule="auto"/>
        <w:jc w:val="both"/>
        <w:rPr>
          <w:rFonts w:asciiTheme="majorHAnsi" w:hAnsiTheme="majorHAnsi" w:cs="Arial"/>
        </w:rPr>
      </w:pPr>
      <w:r>
        <w:rPr>
          <w:rFonts w:asciiTheme="majorHAnsi" w:hAnsiTheme="majorHAnsi" w:cs="Arial"/>
        </w:rPr>
        <w:t>[13]</w:t>
      </w:r>
      <w:r>
        <w:rPr>
          <w:rFonts w:asciiTheme="majorHAnsi" w:hAnsiTheme="majorHAnsi" w:cs="Arial"/>
        </w:rPr>
        <w:tab/>
        <w:t>However, sinc</w:t>
      </w:r>
      <w:r w:rsidR="00630819">
        <w:rPr>
          <w:rFonts w:asciiTheme="majorHAnsi" w:hAnsiTheme="majorHAnsi" w:cs="Arial"/>
        </w:rPr>
        <w:t>e there is no appeal on this issue</w:t>
      </w:r>
      <w:r>
        <w:rPr>
          <w:rFonts w:asciiTheme="majorHAnsi" w:hAnsiTheme="majorHAnsi" w:cs="Arial"/>
        </w:rPr>
        <w:t>, as I have indicated, I need not dwell on the point.</w:t>
      </w:r>
    </w:p>
    <w:p w:rsidR="007A770B" w:rsidRDefault="007A770B" w:rsidP="000D1E72">
      <w:pPr>
        <w:spacing w:line="360" w:lineRule="auto"/>
        <w:jc w:val="both"/>
        <w:rPr>
          <w:rFonts w:asciiTheme="majorHAnsi" w:hAnsiTheme="majorHAnsi" w:cs="Arial"/>
        </w:rPr>
      </w:pPr>
    </w:p>
    <w:p w:rsidR="007A770B" w:rsidRDefault="00630819" w:rsidP="000D1E72">
      <w:pPr>
        <w:spacing w:line="360" w:lineRule="auto"/>
        <w:jc w:val="both"/>
        <w:rPr>
          <w:rFonts w:asciiTheme="majorHAnsi" w:hAnsiTheme="majorHAnsi" w:cs="Arial"/>
        </w:rPr>
      </w:pPr>
      <w:r>
        <w:rPr>
          <w:rFonts w:asciiTheme="majorHAnsi" w:hAnsiTheme="majorHAnsi" w:cs="Arial"/>
        </w:rPr>
        <w:t>[14]  That brings me to the crux</w:t>
      </w:r>
      <w:r w:rsidR="007A770B">
        <w:rPr>
          <w:rFonts w:asciiTheme="majorHAnsi" w:hAnsiTheme="majorHAnsi" w:cs="Arial"/>
        </w:rPr>
        <w:t xml:space="preserve"> of the appeal.  The third respondent, having found that the appointments were unlawful, concluded that the appellant was </w:t>
      </w:r>
      <w:r>
        <w:rPr>
          <w:rFonts w:asciiTheme="majorHAnsi" w:hAnsiTheme="majorHAnsi" w:cs="Arial"/>
        </w:rPr>
        <w:t>e</w:t>
      </w:r>
      <w:r w:rsidR="007A770B">
        <w:rPr>
          <w:rFonts w:asciiTheme="majorHAnsi" w:hAnsiTheme="majorHAnsi" w:cs="Arial"/>
        </w:rPr>
        <w:t>stopped from asserting that fa</w:t>
      </w:r>
      <w:r>
        <w:rPr>
          <w:rFonts w:asciiTheme="majorHAnsi" w:hAnsiTheme="majorHAnsi" w:cs="Arial"/>
        </w:rPr>
        <w:t>c</w:t>
      </w:r>
      <w:r w:rsidR="007A770B">
        <w:rPr>
          <w:rFonts w:asciiTheme="majorHAnsi" w:hAnsiTheme="majorHAnsi" w:cs="Arial"/>
        </w:rPr>
        <w:t xml:space="preserve">t.  This was also the basis upon which the first and second respondents advanced their case before the third respondent.  </w:t>
      </w:r>
    </w:p>
    <w:p w:rsidR="007A770B" w:rsidRDefault="007A770B" w:rsidP="000D1E72">
      <w:pPr>
        <w:spacing w:line="360" w:lineRule="auto"/>
        <w:jc w:val="both"/>
        <w:rPr>
          <w:rFonts w:asciiTheme="majorHAnsi" w:hAnsiTheme="majorHAnsi" w:cs="Arial"/>
        </w:rPr>
      </w:pPr>
    </w:p>
    <w:p w:rsidR="007A770B" w:rsidRDefault="007A770B" w:rsidP="000D1E72">
      <w:pPr>
        <w:spacing w:line="360" w:lineRule="auto"/>
        <w:jc w:val="both"/>
        <w:rPr>
          <w:rFonts w:asciiTheme="majorHAnsi" w:hAnsiTheme="majorHAnsi" w:cs="Arial"/>
        </w:rPr>
      </w:pPr>
      <w:r>
        <w:rPr>
          <w:rFonts w:asciiTheme="majorHAnsi" w:hAnsiTheme="majorHAnsi" w:cs="Arial"/>
        </w:rPr>
        <w:t xml:space="preserve">[15]  The third respondent rejected the argument advanced by the appellant to the doctrine of stopped finds no application in circumstances where the effect would be that there is a contravention of a statutory provision.  </w:t>
      </w:r>
    </w:p>
    <w:p w:rsidR="007A770B" w:rsidRDefault="007A770B" w:rsidP="000D1E72">
      <w:pPr>
        <w:spacing w:line="360" w:lineRule="auto"/>
        <w:jc w:val="both"/>
        <w:rPr>
          <w:rFonts w:asciiTheme="majorHAnsi" w:hAnsiTheme="majorHAnsi" w:cs="Arial"/>
        </w:rPr>
      </w:pPr>
    </w:p>
    <w:p w:rsidR="007A770B" w:rsidRDefault="007A770B" w:rsidP="000D1E72">
      <w:pPr>
        <w:spacing w:line="360" w:lineRule="auto"/>
        <w:jc w:val="both"/>
        <w:rPr>
          <w:rFonts w:asciiTheme="majorHAnsi" w:hAnsiTheme="majorHAnsi" w:cs="Arial"/>
        </w:rPr>
      </w:pPr>
      <w:r>
        <w:rPr>
          <w:rFonts w:asciiTheme="majorHAnsi" w:hAnsiTheme="majorHAnsi" w:cs="Arial"/>
        </w:rPr>
        <w:t>[16]</w:t>
      </w:r>
      <w:r>
        <w:rPr>
          <w:rFonts w:asciiTheme="majorHAnsi" w:hAnsiTheme="majorHAnsi" w:cs="Arial"/>
        </w:rPr>
        <w:tab/>
        <w:t>The third respondent reasoned as follows:</w:t>
      </w:r>
    </w:p>
    <w:p w:rsidR="007A770B" w:rsidRDefault="007A770B" w:rsidP="000D1E72">
      <w:pPr>
        <w:spacing w:line="360" w:lineRule="auto"/>
        <w:jc w:val="both"/>
        <w:rPr>
          <w:rFonts w:asciiTheme="majorHAnsi" w:hAnsiTheme="majorHAnsi" w:cs="Arial"/>
        </w:rPr>
      </w:pPr>
    </w:p>
    <w:p w:rsidR="007A770B" w:rsidRDefault="007A770B" w:rsidP="007A770B">
      <w:pPr>
        <w:spacing w:line="360" w:lineRule="auto"/>
        <w:ind w:left="720"/>
        <w:jc w:val="both"/>
        <w:rPr>
          <w:rFonts w:asciiTheme="majorHAnsi" w:hAnsiTheme="majorHAnsi" w:cs="Arial"/>
          <w:sz w:val="22"/>
          <w:szCs w:val="22"/>
        </w:rPr>
      </w:pPr>
      <w:r>
        <w:rPr>
          <w:rFonts w:asciiTheme="majorHAnsi" w:hAnsiTheme="majorHAnsi" w:cs="Arial"/>
          <w:sz w:val="22"/>
          <w:szCs w:val="22"/>
        </w:rPr>
        <w:t>“[139]</w:t>
      </w:r>
      <w:r>
        <w:rPr>
          <w:rFonts w:asciiTheme="majorHAnsi" w:hAnsiTheme="majorHAnsi" w:cs="Arial"/>
          <w:sz w:val="22"/>
          <w:szCs w:val="22"/>
        </w:rPr>
        <w:tab/>
        <w:t xml:space="preserve">Therefore, my understanding of the above is that at common law courts have been loathe at permitting the plea of estoppels where to do so would result in the violation of a statutory provision.  However, with the coming into operation of the Constitution such as ours that contains a Bill of Rights, one need not look at the plea of estoppels in its rigid form, the doctrine must be developed in accordance with the spirit, purport and object of the Bill of Rights (see </w:t>
      </w:r>
      <w:r>
        <w:rPr>
          <w:rFonts w:asciiTheme="majorHAnsi" w:hAnsiTheme="majorHAnsi" w:cs="Arial"/>
          <w:b/>
          <w:i/>
          <w:sz w:val="22"/>
          <w:szCs w:val="22"/>
        </w:rPr>
        <w:t>Eastern Metropolitan Substructure v Peter Klein Investments (Pty) Ltd 2001 (4) SA 470 (D) 478.</w:t>
      </w:r>
    </w:p>
    <w:p w:rsidR="007A770B" w:rsidRDefault="007A770B" w:rsidP="007A770B">
      <w:pPr>
        <w:spacing w:line="360" w:lineRule="auto"/>
        <w:ind w:left="720"/>
        <w:jc w:val="both"/>
        <w:rPr>
          <w:rFonts w:asciiTheme="majorHAnsi" w:hAnsiTheme="majorHAnsi" w:cs="Arial"/>
          <w:sz w:val="22"/>
          <w:szCs w:val="22"/>
        </w:rPr>
      </w:pPr>
      <w:r>
        <w:rPr>
          <w:rFonts w:asciiTheme="majorHAnsi" w:hAnsiTheme="majorHAnsi" w:cs="Arial"/>
          <w:sz w:val="22"/>
          <w:szCs w:val="22"/>
        </w:rPr>
        <w:t>[140]</w:t>
      </w:r>
      <w:r>
        <w:rPr>
          <w:rFonts w:asciiTheme="majorHAnsi" w:hAnsiTheme="majorHAnsi" w:cs="Arial"/>
          <w:sz w:val="22"/>
          <w:szCs w:val="22"/>
        </w:rPr>
        <w:tab/>
        <w:t>The proposition of the respondent’s representative is that estoppels be applied strictly in its rigid form as provided for under common law.  In my view, as I have stated above, this will not work as it will in turn result in the condonation of the respondent’s previous illegal acts which in itself is also a furtherance of the violations of the enabling statute.  The solution to the problem, in my view, is to balance the scales by restoring the two applicants into their illegally acquired positions, and ensure that in future there shall be no further violations of the relevant statute through tight compliance procedures.”</w:t>
      </w:r>
    </w:p>
    <w:p w:rsidR="007A770B" w:rsidRDefault="007A770B" w:rsidP="007A770B">
      <w:pPr>
        <w:spacing w:line="360" w:lineRule="auto"/>
        <w:jc w:val="both"/>
        <w:rPr>
          <w:rFonts w:asciiTheme="majorHAnsi" w:hAnsiTheme="majorHAnsi" w:cs="Arial"/>
        </w:rPr>
      </w:pPr>
    </w:p>
    <w:p w:rsidR="007A770B" w:rsidRDefault="007A770B" w:rsidP="007A770B">
      <w:pPr>
        <w:spacing w:line="360" w:lineRule="auto"/>
        <w:jc w:val="both"/>
        <w:rPr>
          <w:rFonts w:asciiTheme="majorHAnsi" w:hAnsiTheme="majorHAnsi" w:cs="Arial"/>
          <w:b/>
          <w:i/>
        </w:rPr>
      </w:pPr>
      <w:r>
        <w:rPr>
          <w:rFonts w:asciiTheme="majorHAnsi" w:hAnsiTheme="majorHAnsi" w:cs="Arial"/>
        </w:rPr>
        <w:t>[17]</w:t>
      </w:r>
      <w:r>
        <w:rPr>
          <w:rFonts w:asciiTheme="majorHAnsi" w:hAnsiTheme="majorHAnsi" w:cs="Arial"/>
        </w:rPr>
        <w:tab/>
        <w:t>T</w:t>
      </w:r>
      <w:r w:rsidR="00630819">
        <w:rPr>
          <w:rFonts w:asciiTheme="majorHAnsi" w:hAnsiTheme="majorHAnsi" w:cs="Arial"/>
        </w:rPr>
        <w:t>hese conclusions fly in the face</w:t>
      </w:r>
      <w:r>
        <w:rPr>
          <w:rFonts w:asciiTheme="majorHAnsi" w:hAnsiTheme="majorHAnsi" w:cs="Arial"/>
        </w:rPr>
        <w:t xml:space="preserve"> of the judgment in </w:t>
      </w:r>
      <w:r>
        <w:rPr>
          <w:rFonts w:asciiTheme="majorHAnsi" w:hAnsiTheme="majorHAnsi" w:cs="Arial"/>
          <w:b/>
          <w:i/>
        </w:rPr>
        <w:t>Fa</w:t>
      </w:r>
      <w:r w:rsidR="00630819">
        <w:rPr>
          <w:rFonts w:asciiTheme="majorHAnsi" w:hAnsiTheme="majorHAnsi" w:cs="Arial"/>
          <w:b/>
          <w:i/>
        </w:rPr>
        <w:t>t</w:t>
      </w:r>
      <w:r>
        <w:rPr>
          <w:rFonts w:asciiTheme="majorHAnsi" w:hAnsiTheme="majorHAnsi" w:cs="Arial"/>
          <w:b/>
          <w:i/>
        </w:rPr>
        <w:t>crown Ltd v Namibia Broadcasting Corporation (Pty) (High Court Case I 394/2009</w:t>
      </w:r>
      <w:r w:rsidR="003C6DCB">
        <w:rPr>
          <w:rFonts w:asciiTheme="majorHAnsi" w:hAnsiTheme="majorHAnsi" w:cs="Arial"/>
          <w:b/>
          <w:i/>
        </w:rPr>
        <w:t xml:space="preserve"> Not reported)</w:t>
      </w:r>
      <w:r w:rsidR="003C6DCB">
        <w:rPr>
          <w:rFonts w:asciiTheme="majorHAnsi" w:hAnsiTheme="majorHAnsi" w:cs="Arial"/>
        </w:rPr>
        <w:t xml:space="preserve">.  In that case Hoff J quoted with approval the following passage from </w:t>
      </w:r>
      <w:r w:rsidR="003C6DCB">
        <w:rPr>
          <w:rFonts w:asciiTheme="majorHAnsi" w:hAnsiTheme="majorHAnsi" w:cs="Arial"/>
          <w:b/>
          <w:i/>
        </w:rPr>
        <w:t>City of Tswane Metropolitan Municipality v R</w:t>
      </w:r>
      <w:r w:rsidR="00630819">
        <w:rPr>
          <w:rFonts w:asciiTheme="majorHAnsi" w:hAnsiTheme="majorHAnsi" w:cs="Arial"/>
          <w:b/>
          <w:i/>
        </w:rPr>
        <w:t>P</w:t>
      </w:r>
      <w:r w:rsidR="003C6DCB">
        <w:rPr>
          <w:rFonts w:asciiTheme="majorHAnsi" w:hAnsiTheme="majorHAnsi" w:cs="Arial"/>
          <w:b/>
          <w:i/>
        </w:rPr>
        <w:t>M Bricks (Pty) Ltd 2008 (3) SA (SCA):</w:t>
      </w:r>
    </w:p>
    <w:p w:rsidR="003C6DCB" w:rsidRDefault="003C6DCB" w:rsidP="007A770B">
      <w:pPr>
        <w:spacing w:line="360" w:lineRule="auto"/>
        <w:jc w:val="both"/>
        <w:rPr>
          <w:rFonts w:asciiTheme="majorHAnsi" w:hAnsiTheme="majorHAnsi" w:cs="Arial"/>
          <w:b/>
          <w:i/>
        </w:rPr>
      </w:pPr>
      <w:r>
        <w:rPr>
          <w:rFonts w:asciiTheme="majorHAnsi" w:hAnsiTheme="majorHAnsi" w:cs="Arial"/>
          <w:b/>
          <w:i/>
        </w:rPr>
        <w:tab/>
      </w:r>
    </w:p>
    <w:p w:rsidR="003C6DCB" w:rsidRDefault="003C6DCB" w:rsidP="003C6DCB">
      <w:pPr>
        <w:spacing w:line="360" w:lineRule="auto"/>
        <w:ind w:left="720"/>
        <w:jc w:val="both"/>
        <w:rPr>
          <w:rFonts w:asciiTheme="majorHAnsi" w:hAnsiTheme="majorHAnsi" w:cs="Arial"/>
          <w:sz w:val="22"/>
          <w:szCs w:val="22"/>
        </w:rPr>
      </w:pPr>
      <w:r w:rsidRPr="003C6DCB">
        <w:rPr>
          <w:rFonts w:asciiTheme="majorHAnsi" w:hAnsiTheme="majorHAnsi" w:cs="Arial"/>
          <w:sz w:val="22"/>
          <w:szCs w:val="22"/>
        </w:rPr>
        <w:t xml:space="preserve">“The failure by a statutory body to comply with provisions which the legislature has prescribed for the validity of a specified transaction cannot be remedied by estoppel because that would give validity to a transaction which is unlawful and therefore </w:t>
      </w:r>
      <w:r w:rsidRPr="003C6DCB">
        <w:rPr>
          <w:rFonts w:asciiTheme="majorHAnsi" w:hAnsiTheme="majorHAnsi" w:cs="Arial"/>
          <w:i/>
          <w:sz w:val="22"/>
          <w:szCs w:val="22"/>
        </w:rPr>
        <w:t>ultra vires</w:t>
      </w:r>
      <w:r w:rsidRPr="003C6DCB">
        <w:rPr>
          <w:rFonts w:asciiTheme="majorHAnsi" w:hAnsiTheme="majorHAnsi" w:cs="Arial"/>
          <w:sz w:val="22"/>
          <w:szCs w:val="22"/>
        </w:rPr>
        <w:t>.”</w:t>
      </w:r>
    </w:p>
    <w:p w:rsidR="003C6DCB" w:rsidRDefault="003C6DCB" w:rsidP="003C6DCB">
      <w:pPr>
        <w:spacing w:line="360" w:lineRule="auto"/>
        <w:jc w:val="both"/>
        <w:rPr>
          <w:rFonts w:asciiTheme="majorHAnsi" w:hAnsiTheme="majorHAnsi" w:cs="Arial"/>
          <w:sz w:val="22"/>
          <w:szCs w:val="22"/>
        </w:rPr>
      </w:pPr>
    </w:p>
    <w:p w:rsidR="003C6DCB" w:rsidRDefault="003C6DCB" w:rsidP="003C6DCB">
      <w:pPr>
        <w:spacing w:line="360" w:lineRule="auto"/>
        <w:jc w:val="both"/>
        <w:rPr>
          <w:rFonts w:asciiTheme="majorHAnsi" w:hAnsiTheme="majorHAnsi" w:cs="Arial"/>
        </w:rPr>
      </w:pPr>
      <w:r>
        <w:rPr>
          <w:rFonts w:asciiTheme="majorHAnsi" w:hAnsiTheme="majorHAnsi" w:cs="Arial"/>
        </w:rPr>
        <w:t>[18]</w:t>
      </w:r>
      <w:r>
        <w:rPr>
          <w:rFonts w:asciiTheme="majorHAnsi" w:hAnsiTheme="majorHAnsi" w:cs="Arial"/>
        </w:rPr>
        <w:tab/>
        <w:t xml:space="preserve">As Mr. Maasdorp, who appeared for the appellant, correctly pointed out the </w:t>
      </w:r>
      <w:r w:rsidRPr="00630819">
        <w:rPr>
          <w:rFonts w:asciiTheme="majorHAnsi" w:hAnsiTheme="majorHAnsi" w:cs="Arial"/>
          <w:b/>
          <w:i/>
        </w:rPr>
        <w:t>Easter</w:t>
      </w:r>
      <w:r w:rsidR="00630819" w:rsidRPr="00630819">
        <w:rPr>
          <w:rFonts w:asciiTheme="majorHAnsi" w:hAnsiTheme="majorHAnsi" w:cs="Arial"/>
          <w:b/>
          <w:i/>
        </w:rPr>
        <w:t>n</w:t>
      </w:r>
      <w:r w:rsidRPr="00630819">
        <w:rPr>
          <w:rFonts w:asciiTheme="majorHAnsi" w:hAnsiTheme="majorHAnsi" w:cs="Arial"/>
          <w:b/>
          <w:i/>
        </w:rPr>
        <w:t xml:space="preserve"> Metropolitan</w:t>
      </w:r>
      <w:r>
        <w:rPr>
          <w:rFonts w:asciiTheme="majorHAnsi" w:hAnsiTheme="majorHAnsi" w:cs="Arial"/>
        </w:rPr>
        <w:t xml:space="preserve"> case upon which the third respondent relied, was overruled by the decision in the </w:t>
      </w:r>
      <w:r w:rsidRPr="00630819">
        <w:rPr>
          <w:rFonts w:asciiTheme="majorHAnsi" w:hAnsiTheme="majorHAnsi" w:cs="Arial"/>
          <w:b/>
          <w:i/>
        </w:rPr>
        <w:t>Tswane</w:t>
      </w:r>
      <w:r>
        <w:rPr>
          <w:rFonts w:asciiTheme="majorHAnsi" w:hAnsiTheme="majorHAnsi" w:cs="Arial"/>
        </w:rPr>
        <w:t xml:space="preserve"> case, I referred to earlier.</w:t>
      </w:r>
    </w:p>
    <w:p w:rsidR="003C6DCB" w:rsidRDefault="003C6DCB" w:rsidP="003C6DCB">
      <w:pPr>
        <w:spacing w:line="360" w:lineRule="auto"/>
        <w:jc w:val="both"/>
        <w:rPr>
          <w:rFonts w:asciiTheme="majorHAnsi" w:hAnsiTheme="majorHAnsi" w:cs="Arial"/>
        </w:rPr>
      </w:pPr>
    </w:p>
    <w:p w:rsidR="003C6DCB" w:rsidRDefault="003C6DCB" w:rsidP="003C6DCB">
      <w:pPr>
        <w:spacing w:line="360" w:lineRule="auto"/>
        <w:jc w:val="both"/>
        <w:rPr>
          <w:rFonts w:asciiTheme="majorHAnsi" w:hAnsiTheme="majorHAnsi" w:cs="Arial"/>
        </w:rPr>
      </w:pPr>
      <w:r>
        <w:rPr>
          <w:rFonts w:asciiTheme="majorHAnsi" w:hAnsiTheme="majorHAnsi" w:cs="Arial"/>
        </w:rPr>
        <w:lastRenderedPageBreak/>
        <w:t>[19]</w:t>
      </w:r>
      <w:r>
        <w:rPr>
          <w:rFonts w:asciiTheme="majorHAnsi" w:hAnsiTheme="majorHAnsi" w:cs="Arial"/>
        </w:rPr>
        <w:tab/>
        <w:t>I conclude ther</w:t>
      </w:r>
      <w:bookmarkStart w:id="0" w:name="_GoBack"/>
      <w:bookmarkEnd w:id="0"/>
      <w:r>
        <w:rPr>
          <w:rFonts w:asciiTheme="majorHAnsi" w:hAnsiTheme="majorHAnsi" w:cs="Arial"/>
        </w:rPr>
        <w:t>efore that the third respondent erred.  That finding in my view disposes of the matter.</w:t>
      </w:r>
    </w:p>
    <w:p w:rsidR="003C6DCB" w:rsidRDefault="003C6DCB" w:rsidP="003C6DCB">
      <w:pPr>
        <w:spacing w:line="360" w:lineRule="auto"/>
        <w:jc w:val="both"/>
        <w:rPr>
          <w:rFonts w:asciiTheme="majorHAnsi" w:hAnsiTheme="majorHAnsi" w:cs="Arial"/>
        </w:rPr>
      </w:pPr>
    </w:p>
    <w:p w:rsidR="003C6DCB" w:rsidRDefault="003C6DCB" w:rsidP="003C6DCB">
      <w:pPr>
        <w:spacing w:line="360" w:lineRule="auto"/>
        <w:jc w:val="both"/>
        <w:rPr>
          <w:rFonts w:asciiTheme="majorHAnsi" w:hAnsiTheme="majorHAnsi" w:cs="Arial"/>
        </w:rPr>
      </w:pPr>
    </w:p>
    <w:p w:rsidR="003C6DCB" w:rsidRDefault="003C6DCB" w:rsidP="003C6DCB">
      <w:pPr>
        <w:spacing w:line="360" w:lineRule="auto"/>
        <w:jc w:val="both"/>
        <w:rPr>
          <w:rFonts w:asciiTheme="majorHAnsi" w:hAnsiTheme="majorHAnsi" w:cs="Arial"/>
        </w:rPr>
      </w:pPr>
    </w:p>
    <w:p w:rsidR="003C6DCB" w:rsidRDefault="003C6DCB" w:rsidP="003C6DCB">
      <w:pPr>
        <w:spacing w:line="360" w:lineRule="auto"/>
        <w:jc w:val="both"/>
        <w:rPr>
          <w:rFonts w:asciiTheme="majorHAnsi" w:hAnsiTheme="majorHAnsi" w:cs="Arial"/>
        </w:rPr>
      </w:pPr>
      <w:r>
        <w:rPr>
          <w:rFonts w:asciiTheme="majorHAnsi" w:hAnsiTheme="majorHAnsi" w:cs="Arial"/>
        </w:rPr>
        <w:t>[20]</w:t>
      </w:r>
      <w:r>
        <w:rPr>
          <w:rFonts w:asciiTheme="majorHAnsi" w:hAnsiTheme="majorHAnsi" w:cs="Arial"/>
        </w:rPr>
        <w:tab/>
        <w:t xml:space="preserve">In the result the appeal succeeds and the award made by the third respondent is set aside.  </w:t>
      </w:r>
    </w:p>
    <w:p w:rsidR="003C6DCB" w:rsidRDefault="003C6DCB" w:rsidP="003C6DCB">
      <w:pPr>
        <w:spacing w:line="360" w:lineRule="auto"/>
        <w:jc w:val="both"/>
        <w:rPr>
          <w:rFonts w:asciiTheme="majorHAnsi" w:hAnsiTheme="majorHAnsi" w:cs="Arial"/>
        </w:rPr>
      </w:pPr>
    </w:p>
    <w:p w:rsidR="003C6DCB" w:rsidRDefault="003C6DCB" w:rsidP="003C6DCB">
      <w:pPr>
        <w:spacing w:line="360" w:lineRule="auto"/>
        <w:jc w:val="both"/>
        <w:rPr>
          <w:rFonts w:asciiTheme="majorHAnsi" w:hAnsiTheme="majorHAnsi" w:cs="Arial"/>
        </w:rPr>
      </w:pPr>
      <w:r>
        <w:rPr>
          <w:rFonts w:asciiTheme="majorHAnsi" w:hAnsiTheme="majorHAnsi" w:cs="Arial"/>
        </w:rPr>
        <w:t>[21]</w:t>
      </w:r>
      <w:r>
        <w:rPr>
          <w:rFonts w:asciiTheme="majorHAnsi" w:hAnsiTheme="majorHAnsi" w:cs="Arial"/>
        </w:rPr>
        <w:tab/>
        <w:t>The decision by the appellant to relieve the first and second respondents from the posts as Strategic Executives is re-instated.</w:t>
      </w:r>
    </w:p>
    <w:p w:rsidR="003C6DCB" w:rsidRDefault="003C6DCB" w:rsidP="003C6DCB">
      <w:pPr>
        <w:spacing w:line="360" w:lineRule="auto"/>
        <w:jc w:val="both"/>
        <w:rPr>
          <w:rFonts w:asciiTheme="majorHAnsi" w:hAnsiTheme="majorHAnsi" w:cs="Arial"/>
        </w:rPr>
      </w:pPr>
    </w:p>
    <w:p w:rsidR="003C6DCB" w:rsidRPr="003C6DCB" w:rsidRDefault="003C6DCB" w:rsidP="003C6DCB">
      <w:pPr>
        <w:spacing w:line="360" w:lineRule="auto"/>
        <w:jc w:val="both"/>
        <w:rPr>
          <w:rFonts w:asciiTheme="majorHAnsi" w:hAnsiTheme="majorHAnsi" w:cs="Arial"/>
        </w:rPr>
      </w:pPr>
      <w:r>
        <w:rPr>
          <w:rFonts w:asciiTheme="majorHAnsi" w:hAnsiTheme="majorHAnsi" w:cs="Arial"/>
        </w:rPr>
        <w:t>[22]  There shall be no order as to costs.</w:t>
      </w:r>
    </w:p>
    <w:p w:rsidR="002230C1" w:rsidRDefault="002230C1" w:rsidP="00051EBA">
      <w:pPr>
        <w:spacing w:line="360" w:lineRule="auto"/>
        <w:jc w:val="both"/>
        <w:rPr>
          <w:rFonts w:asciiTheme="majorHAnsi" w:hAnsiTheme="majorHAnsi" w:cs="Arial"/>
        </w:rPr>
      </w:pPr>
    </w:p>
    <w:p w:rsidR="002230C1" w:rsidRDefault="002230C1" w:rsidP="00051EBA">
      <w:pPr>
        <w:spacing w:line="360" w:lineRule="auto"/>
        <w:jc w:val="both"/>
        <w:rPr>
          <w:rFonts w:asciiTheme="majorHAnsi" w:hAnsiTheme="majorHAnsi" w:cs="Arial"/>
        </w:rPr>
      </w:pPr>
    </w:p>
    <w:p w:rsidR="00051EBA" w:rsidRDefault="00051EBA" w:rsidP="00051EBA">
      <w:pPr>
        <w:spacing w:line="360" w:lineRule="auto"/>
        <w:jc w:val="both"/>
        <w:rPr>
          <w:rFonts w:asciiTheme="majorHAnsi" w:hAnsiTheme="majorHAnsi" w:cs="Arial"/>
        </w:rPr>
      </w:pPr>
    </w:p>
    <w:p w:rsidR="003C6DCB" w:rsidRDefault="003C6DCB" w:rsidP="00051EBA">
      <w:pPr>
        <w:spacing w:line="360" w:lineRule="auto"/>
        <w:jc w:val="both"/>
        <w:rPr>
          <w:rFonts w:asciiTheme="majorHAnsi" w:hAnsiTheme="majorHAnsi" w:cs="Arial"/>
        </w:rPr>
      </w:pPr>
    </w:p>
    <w:p w:rsidR="003C6DCB" w:rsidRDefault="003C6DCB" w:rsidP="00051EBA">
      <w:pPr>
        <w:spacing w:line="360" w:lineRule="auto"/>
        <w:jc w:val="both"/>
        <w:rPr>
          <w:rFonts w:asciiTheme="majorHAnsi" w:hAnsiTheme="majorHAnsi" w:cs="Arial"/>
        </w:rPr>
      </w:pPr>
    </w:p>
    <w:p w:rsidR="003C6DCB" w:rsidRPr="002230C1" w:rsidRDefault="003C6DCB" w:rsidP="00051EBA">
      <w:pPr>
        <w:spacing w:line="360" w:lineRule="auto"/>
        <w:jc w:val="both"/>
        <w:rPr>
          <w:rFonts w:asciiTheme="majorHAnsi" w:hAnsiTheme="majorHAnsi" w:cs="Arial"/>
        </w:rPr>
      </w:pPr>
    </w:p>
    <w:p w:rsidR="00051EBA" w:rsidRPr="002230C1" w:rsidRDefault="00051EBA" w:rsidP="00051EBA">
      <w:pPr>
        <w:spacing w:line="360" w:lineRule="auto"/>
        <w:jc w:val="both"/>
        <w:rPr>
          <w:rFonts w:asciiTheme="majorHAnsi" w:hAnsiTheme="majorHAnsi" w:cs="Arial"/>
        </w:rPr>
      </w:pPr>
      <w:r w:rsidRPr="002230C1">
        <w:rPr>
          <w:rFonts w:asciiTheme="majorHAnsi" w:hAnsiTheme="majorHAnsi" w:cs="Arial"/>
        </w:rPr>
        <w:t>_________</w:t>
      </w:r>
    </w:p>
    <w:p w:rsidR="00051EBA" w:rsidRPr="002230C1" w:rsidRDefault="00051EBA" w:rsidP="00051EBA">
      <w:pPr>
        <w:spacing w:line="360" w:lineRule="auto"/>
        <w:jc w:val="both"/>
        <w:rPr>
          <w:rFonts w:asciiTheme="majorHAnsi" w:hAnsiTheme="majorHAnsi" w:cs="Arial"/>
          <w:b/>
        </w:rPr>
      </w:pPr>
      <w:r w:rsidRPr="002230C1">
        <w:rPr>
          <w:rFonts w:asciiTheme="majorHAnsi" w:hAnsiTheme="majorHAnsi" w:cs="Arial"/>
          <w:b/>
        </w:rPr>
        <w:t>MILLER AJ</w:t>
      </w:r>
    </w:p>
    <w:p w:rsidR="00051EBA" w:rsidRPr="002230C1" w:rsidRDefault="00051EBA" w:rsidP="00051EBA">
      <w:pPr>
        <w:spacing w:line="360" w:lineRule="auto"/>
        <w:jc w:val="both"/>
        <w:rPr>
          <w:rFonts w:asciiTheme="majorHAnsi" w:hAnsiTheme="majorHAnsi" w:cs="Arial"/>
        </w:rPr>
      </w:pPr>
    </w:p>
    <w:p w:rsidR="00051EBA" w:rsidRPr="002230C1" w:rsidRDefault="00051EBA" w:rsidP="00051EBA">
      <w:pPr>
        <w:spacing w:line="360" w:lineRule="auto"/>
        <w:jc w:val="both"/>
        <w:rPr>
          <w:rFonts w:asciiTheme="majorHAnsi" w:hAnsiTheme="majorHAnsi" w:cs="Arial"/>
        </w:rPr>
      </w:pPr>
    </w:p>
    <w:p w:rsidR="00051EBA" w:rsidRPr="002230C1" w:rsidRDefault="00051EBA" w:rsidP="00051EBA">
      <w:pPr>
        <w:spacing w:line="360" w:lineRule="auto"/>
        <w:jc w:val="both"/>
        <w:rPr>
          <w:rFonts w:asciiTheme="majorHAnsi" w:hAnsiTheme="majorHAnsi" w:cs="Arial"/>
        </w:rPr>
      </w:pPr>
    </w:p>
    <w:p w:rsidR="00051EBA" w:rsidRPr="002230C1" w:rsidRDefault="00051EBA" w:rsidP="00051EBA">
      <w:pPr>
        <w:spacing w:line="360" w:lineRule="auto"/>
        <w:jc w:val="both"/>
        <w:rPr>
          <w:rFonts w:asciiTheme="majorHAnsi" w:hAnsiTheme="majorHAnsi" w:cs="Arial"/>
        </w:rPr>
      </w:pPr>
    </w:p>
    <w:p w:rsidR="00051EBA" w:rsidRPr="002230C1" w:rsidRDefault="00051EBA" w:rsidP="00051EBA">
      <w:pPr>
        <w:spacing w:line="360" w:lineRule="auto"/>
        <w:jc w:val="both"/>
        <w:rPr>
          <w:rFonts w:asciiTheme="majorHAnsi" w:hAnsiTheme="majorHAnsi" w:cs="Arial"/>
        </w:rPr>
      </w:pPr>
    </w:p>
    <w:p w:rsidR="00051EBA" w:rsidRPr="002230C1" w:rsidRDefault="00051EBA" w:rsidP="00051EBA">
      <w:pPr>
        <w:spacing w:line="360" w:lineRule="auto"/>
        <w:jc w:val="both"/>
        <w:rPr>
          <w:rFonts w:asciiTheme="majorHAnsi" w:hAnsiTheme="majorHAnsi" w:cs="Arial"/>
        </w:rPr>
      </w:pPr>
    </w:p>
    <w:p w:rsidR="00051EBA" w:rsidRPr="002230C1" w:rsidRDefault="00051EBA" w:rsidP="00051EBA">
      <w:pPr>
        <w:spacing w:line="360" w:lineRule="auto"/>
        <w:jc w:val="both"/>
        <w:rPr>
          <w:rFonts w:asciiTheme="majorHAnsi" w:hAnsiTheme="majorHAnsi" w:cs="Arial"/>
        </w:rPr>
      </w:pPr>
    </w:p>
    <w:p w:rsidR="000A3A0D" w:rsidRPr="002230C1" w:rsidRDefault="000A3A0D" w:rsidP="00051EBA">
      <w:pPr>
        <w:spacing w:line="360" w:lineRule="auto"/>
        <w:jc w:val="both"/>
        <w:rPr>
          <w:rFonts w:asciiTheme="majorHAnsi" w:hAnsiTheme="majorHAnsi" w:cs="Arial"/>
        </w:rPr>
      </w:pPr>
    </w:p>
    <w:p w:rsidR="000A3A0D" w:rsidRPr="002230C1" w:rsidRDefault="000A3A0D" w:rsidP="00051EBA">
      <w:pPr>
        <w:spacing w:line="360" w:lineRule="auto"/>
        <w:jc w:val="both"/>
        <w:rPr>
          <w:rFonts w:asciiTheme="majorHAnsi" w:hAnsiTheme="majorHAnsi" w:cs="Arial"/>
        </w:rPr>
      </w:pPr>
    </w:p>
    <w:p w:rsidR="000A3A0D" w:rsidRPr="002230C1" w:rsidRDefault="000A3A0D" w:rsidP="00051EBA">
      <w:pPr>
        <w:spacing w:line="360" w:lineRule="auto"/>
        <w:jc w:val="both"/>
        <w:rPr>
          <w:rFonts w:asciiTheme="majorHAnsi" w:hAnsiTheme="majorHAnsi" w:cs="Arial"/>
        </w:rPr>
      </w:pPr>
    </w:p>
    <w:p w:rsidR="000A3A0D" w:rsidRPr="002230C1" w:rsidRDefault="000A3A0D" w:rsidP="00051EBA">
      <w:pPr>
        <w:spacing w:line="360" w:lineRule="auto"/>
        <w:jc w:val="both"/>
        <w:rPr>
          <w:rFonts w:asciiTheme="majorHAnsi" w:hAnsiTheme="majorHAnsi" w:cs="Arial"/>
        </w:rPr>
      </w:pPr>
    </w:p>
    <w:p w:rsidR="000A3A0D" w:rsidRDefault="000A3A0D" w:rsidP="00051EBA">
      <w:pPr>
        <w:spacing w:line="360" w:lineRule="auto"/>
        <w:jc w:val="both"/>
        <w:rPr>
          <w:rFonts w:asciiTheme="majorHAnsi" w:hAnsiTheme="majorHAnsi" w:cs="Arial"/>
        </w:rPr>
      </w:pPr>
    </w:p>
    <w:p w:rsidR="003C6DCB" w:rsidRDefault="003C6DCB" w:rsidP="00051EBA">
      <w:pPr>
        <w:spacing w:line="360" w:lineRule="auto"/>
        <w:jc w:val="both"/>
        <w:rPr>
          <w:rFonts w:asciiTheme="majorHAnsi" w:hAnsiTheme="majorHAnsi" w:cs="Arial"/>
        </w:rPr>
      </w:pPr>
    </w:p>
    <w:p w:rsidR="003C6DCB" w:rsidRDefault="003C6DCB" w:rsidP="00051EBA">
      <w:pPr>
        <w:spacing w:line="360" w:lineRule="auto"/>
        <w:jc w:val="both"/>
        <w:rPr>
          <w:rFonts w:asciiTheme="majorHAnsi" w:hAnsiTheme="majorHAnsi" w:cs="Arial"/>
        </w:rPr>
      </w:pPr>
    </w:p>
    <w:p w:rsidR="003C6DCB" w:rsidRDefault="003C6DCB" w:rsidP="00051EBA">
      <w:pPr>
        <w:spacing w:line="360" w:lineRule="auto"/>
        <w:jc w:val="both"/>
        <w:rPr>
          <w:rFonts w:asciiTheme="majorHAnsi" w:hAnsiTheme="majorHAnsi" w:cs="Arial"/>
        </w:rPr>
      </w:pPr>
    </w:p>
    <w:p w:rsidR="003C6DCB" w:rsidRDefault="003C6DCB" w:rsidP="00051EBA">
      <w:pPr>
        <w:spacing w:line="360" w:lineRule="auto"/>
        <w:jc w:val="both"/>
        <w:rPr>
          <w:rFonts w:asciiTheme="majorHAnsi" w:hAnsiTheme="majorHAnsi" w:cs="Arial"/>
        </w:rPr>
      </w:pPr>
    </w:p>
    <w:p w:rsidR="003C6DCB" w:rsidRDefault="003C6DCB" w:rsidP="00051EBA">
      <w:pPr>
        <w:spacing w:line="360" w:lineRule="auto"/>
        <w:jc w:val="both"/>
        <w:rPr>
          <w:rFonts w:asciiTheme="majorHAnsi" w:hAnsiTheme="majorHAnsi" w:cs="Arial"/>
        </w:rPr>
      </w:pPr>
    </w:p>
    <w:p w:rsidR="003C6DCB" w:rsidRDefault="003C6DCB" w:rsidP="00051EBA">
      <w:pPr>
        <w:spacing w:line="360" w:lineRule="auto"/>
        <w:jc w:val="both"/>
        <w:rPr>
          <w:rFonts w:asciiTheme="majorHAnsi" w:hAnsiTheme="majorHAnsi" w:cs="Arial"/>
        </w:rPr>
      </w:pPr>
    </w:p>
    <w:p w:rsidR="003C6DCB" w:rsidRDefault="003C6DCB" w:rsidP="00051EBA">
      <w:pPr>
        <w:spacing w:line="360" w:lineRule="auto"/>
        <w:jc w:val="both"/>
        <w:rPr>
          <w:rFonts w:asciiTheme="majorHAnsi" w:hAnsiTheme="majorHAnsi" w:cs="Arial"/>
        </w:rPr>
      </w:pPr>
    </w:p>
    <w:p w:rsidR="003C6DCB" w:rsidRPr="002230C1" w:rsidRDefault="003C6DCB" w:rsidP="00051EBA">
      <w:pPr>
        <w:spacing w:line="360" w:lineRule="auto"/>
        <w:jc w:val="both"/>
        <w:rPr>
          <w:rFonts w:asciiTheme="majorHAnsi" w:hAnsiTheme="majorHAnsi" w:cs="Arial"/>
        </w:rPr>
      </w:pPr>
    </w:p>
    <w:p w:rsidR="00051EBA" w:rsidRPr="002230C1" w:rsidRDefault="00051EBA" w:rsidP="00051EBA">
      <w:pPr>
        <w:spacing w:line="480" w:lineRule="auto"/>
        <w:jc w:val="both"/>
        <w:rPr>
          <w:rFonts w:asciiTheme="majorHAnsi" w:hAnsiTheme="majorHAnsi" w:cs="Arial"/>
          <w:sz w:val="22"/>
          <w:szCs w:val="22"/>
        </w:rPr>
      </w:pPr>
      <w:r w:rsidRPr="002230C1">
        <w:rPr>
          <w:rFonts w:asciiTheme="majorHAnsi" w:hAnsiTheme="majorHAnsi" w:cs="Arial"/>
          <w:b/>
          <w:sz w:val="22"/>
          <w:szCs w:val="22"/>
        </w:rPr>
        <w:t>ON BEHALF OF THE APPELLANT:</w:t>
      </w:r>
      <w:r w:rsidRPr="002230C1">
        <w:rPr>
          <w:rFonts w:asciiTheme="majorHAnsi" w:hAnsiTheme="majorHAnsi" w:cs="Arial"/>
          <w:b/>
          <w:sz w:val="22"/>
          <w:szCs w:val="22"/>
        </w:rPr>
        <w:tab/>
      </w:r>
      <w:r w:rsidR="000A3A0D" w:rsidRPr="002230C1">
        <w:rPr>
          <w:rFonts w:asciiTheme="majorHAnsi" w:hAnsiTheme="majorHAnsi" w:cs="Arial"/>
          <w:b/>
          <w:sz w:val="22"/>
          <w:szCs w:val="22"/>
        </w:rPr>
        <w:tab/>
      </w:r>
      <w:r w:rsidR="002230C1">
        <w:rPr>
          <w:rFonts w:asciiTheme="majorHAnsi" w:hAnsiTheme="majorHAnsi" w:cs="Arial"/>
          <w:b/>
          <w:sz w:val="22"/>
          <w:szCs w:val="22"/>
        </w:rPr>
        <w:tab/>
      </w:r>
      <w:r w:rsidR="002230C1">
        <w:rPr>
          <w:rFonts w:asciiTheme="majorHAnsi" w:hAnsiTheme="majorHAnsi" w:cs="Arial"/>
          <w:sz w:val="22"/>
          <w:szCs w:val="22"/>
        </w:rPr>
        <w:t>Mr. Maasdorp</w:t>
      </w:r>
    </w:p>
    <w:p w:rsidR="000A3A0D" w:rsidRPr="002230C1" w:rsidRDefault="000A3A0D" w:rsidP="00051EBA">
      <w:pPr>
        <w:spacing w:line="480" w:lineRule="auto"/>
        <w:jc w:val="both"/>
        <w:rPr>
          <w:rFonts w:asciiTheme="majorHAnsi" w:hAnsiTheme="majorHAnsi" w:cs="Arial"/>
          <w:sz w:val="22"/>
          <w:szCs w:val="22"/>
        </w:rPr>
      </w:pPr>
      <w:r w:rsidRPr="002230C1">
        <w:rPr>
          <w:rFonts w:asciiTheme="majorHAnsi" w:hAnsiTheme="majorHAnsi" w:cs="Arial"/>
          <w:b/>
          <w:sz w:val="22"/>
          <w:szCs w:val="22"/>
        </w:rPr>
        <w:t>INSTRUCTED BY:</w:t>
      </w:r>
      <w:r w:rsidRPr="002230C1">
        <w:rPr>
          <w:rFonts w:asciiTheme="majorHAnsi" w:hAnsiTheme="majorHAnsi" w:cs="Arial"/>
          <w:b/>
          <w:sz w:val="22"/>
          <w:szCs w:val="22"/>
        </w:rPr>
        <w:tab/>
      </w:r>
      <w:r w:rsidRPr="002230C1">
        <w:rPr>
          <w:rFonts w:asciiTheme="majorHAnsi" w:hAnsiTheme="majorHAnsi" w:cs="Arial"/>
          <w:b/>
          <w:sz w:val="22"/>
          <w:szCs w:val="22"/>
        </w:rPr>
        <w:tab/>
      </w:r>
      <w:r w:rsidRPr="002230C1">
        <w:rPr>
          <w:rFonts w:asciiTheme="majorHAnsi" w:hAnsiTheme="majorHAnsi" w:cs="Arial"/>
          <w:b/>
          <w:sz w:val="22"/>
          <w:szCs w:val="22"/>
        </w:rPr>
        <w:tab/>
      </w:r>
      <w:r w:rsidRPr="002230C1">
        <w:rPr>
          <w:rFonts w:asciiTheme="majorHAnsi" w:hAnsiTheme="majorHAnsi" w:cs="Arial"/>
          <w:b/>
          <w:sz w:val="22"/>
          <w:szCs w:val="22"/>
        </w:rPr>
        <w:tab/>
      </w:r>
      <w:r w:rsidRPr="002230C1">
        <w:rPr>
          <w:rFonts w:asciiTheme="majorHAnsi" w:hAnsiTheme="majorHAnsi" w:cs="Arial"/>
          <w:b/>
          <w:sz w:val="22"/>
          <w:szCs w:val="22"/>
        </w:rPr>
        <w:tab/>
      </w:r>
      <w:r w:rsidR="003C6DCB" w:rsidRPr="003C6DCB">
        <w:rPr>
          <w:rFonts w:asciiTheme="majorHAnsi" w:hAnsiTheme="majorHAnsi" w:cs="Arial"/>
          <w:sz w:val="22"/>
          <w:szCs w:val="22"/>
        </w:rPr>
        <w:t>Engling, Stritter &amp; Partners</w:t>
      </w:r>
    </w:p>
    <w:p w:rsidR="00051EBA" w:rsidRPr="002230C1" w:rsidRDefault="00051EBA" w:rsidP="00051EBA">
      <w:pPr>
        <w:spacing w:line="480" w:lineRule="auto"/>
        <w:jc w:val="both"/>
        <w:rPr>
          <w:rFonts w:asciiTheme="majorHAnsi" w:hAnsiTheme="majorHAnsi" w:cs="Arial"/>
          <w:b/>
          <w:sz w:val="22"/>
          <w:szCs w:val="22"/>
        </w:rPr>
      </w:pPr>
      <w:r w:rsidRPr="002230C1">
        <w:rPr>
          <w:rFonts w:asciiTheme="majorHAnsi" w:hAnsiTheme="majorHAnsi" w:cs="Arial"/>
          <w:sz w:val="22"/>
          <w:szCs w:val="22"/>
        </w:rPr>
        <w:t xml:space="preserve"> </w:t>
      </w:r>
    </w:p>
    <w:p w:rsidR="00051EBA" w:rsidRPr="002230C1" w:rsidRDefault="00051EBA" w:rsidP="00051EBA">
      <w:pPr>
        <w:spacing w:line="480" w:lineRule="auto"/>
        <w:jc w:val="both"/>
        <w:rPr>
          <w:rFonts w:asciiTheme="majorHAnsi" w:hAnsiTheme="majorHAnsi" w:cs="Arial"/>
          <w:sz w:val="22"/>
          <w:szCs w:val="22"/>
        </w:rPr>
      </w:pPr>
      <w:r w:rsidRPr="002230C1">
        <w:rPr>
          <w:rFonts w:asciiTheme="majorHAnsi" w:hAnsiTheme="majorHAnsi" w:cs="Arial"/>
          <w:b/>
          <w:sz w:val="22"/>
          <w:szCs w:val="22"/>
        </w:rPr>
        <w:t>ON BEHALF OF THE</w:t>
      </w:r>
      <w:r w:rsidR="003C6DCB">
        <w:rPr>
          <w:rFonts w:asciiTheme="majorHAnsi" w:hAnsiTheme="majorHAnsi" w:cs="Arial"/>
          <w:b/>
          <w:sz w:val="22"/>
          <w:szCs w:val="22"/>
        </w:rPr>
        <w:t xml:space="preserve"> 1</w:t>
      </w:r>
      <w:r w:rsidR="003C6DCB">
        <w:rPr>
          <w:rFonts w:asciiTheme="majorHAnsi" w:hAnsiTheme="majorHAnsi" w:cs="Arial"/>
          <w:b/>
          <w:sz w:val="22"/>
          <w:szCs w:val="22"/>
          <w:vertAlign w:val="superscript"/>
        </w:rPr>
        <w:t xml:space="preserve">ST </w:t>
      </w:r>
      <w:r w:rsidR="003C6DCB">
        <w:rPr>
          <w:rFonts w:asciiTheme="majorHAnsi" w:hAnsiTheme="majorHAnsi" w:cs="Arial"/>
          <w:b/>
          <w:sz w:val="22"/>
          <w:szCs w:val="22"/>
        </w:rPr>
        <w:t>&amp; 2</w:t>
      </w:r>
      <w:r w:rsidR="003C6DCB" w:rsidRPr="003C6DCB">
        <w:rPr>
          <w:rFonts w:asciiTheme="majorHAnsi" w:hAnsiTheme="majorHAnsi" w:cs="Arial"/>
          <w:b/>
          <w:sz w:val="22"/>
          <w:szCs w:val="22"/>
          <w:vertAlign w:val="superscript"/>
        </w:rPr>
        <w:t>ND</w:t>
      </w:r>
      <w:r w:rsidR="003C6DCB">
        <w:rPr>
          <w:rFonts w:asciiTheme="majorHAnsi" w:hAnsiTheme="majorHAnsi" w:cs="Arial"/>
          <w:b/>
          <w:sz w:val="22"/>
          <w:szCs w:val="22"/>
        </w:rPr>
        <w:t xml:space="preserve"> </w:t>
      </w:r>
      <w:r w:rsidRPr="002230C1">
        <w:rPr>
          <w:rFonts w:asciiTheme="majorHAnsi" w:hAnsiTheme="majorHAnsi" w:cs="Arial"/>
          <w:b/>
          <w:sz w:val="22"/>
          <w:szCs w:val="22"/>
        </w:rPr>
        <w:t xml:space="preserve"> RESPONDENT</w:t>
      </w:r>
      <w:r w:rsidR="003C6DCB">
        <w:rPr>
          <w:rFonts w:asciiTheme="majorHAnsi" w:hAnsiTheme="majorHAnsi" w:cs="Arial"/>
          <w:b/>
          <w:sz w:val="22"/>
          <w:szCs w:val="22"/>
        </w:rPr>
        <w:t>S</w:t>
      </w:r>
      <w:r w:rsidRPr="002230C1">
        <w:rPr>
          <w:rFonts w:asciiTheme="majorHAnsi" w:hAnsiTheme="majorHAnsi" w:cs="Arial"/>
          <w:b/>
          <w:sz w:val="22"/>
          <w:szCs w:val="22"/>
        </w:rPr>
        <w:t>:</w:t>
      </w:r>
      <w:r w:rsidRPr="002230C1">
        <w:rPr>
          <w:rFonts w:asciiTheme="majorHAnsi" w:hAnsiTheme="majorHAnsi" w:cs="Arial"/>
          <w:b/>
          <w:sz w:val="22"/>
          <w:szCs w:val="22"/>
        </w:rPr>
        <w:tab/>
      </w:r>
      <w:r w:rsidR="002230C1">
        <w:rPr>
          <w:rFonts w:asciiTheme="majorHAnsi" w:hAnsiTheme="majorHAnsi" w:cs="Arial"/>
          <w:sz w:val="22"/>
          <w:szCs w:val="22"/>
        </w:rPr>
        <w:t>Mr. Khama</w:t>
      </w:r>
    </w:p>
    <w:p w:rsidR="00051EBA" w:rsidRPr="002230C1" w:rsidRDefault="00051EBA" w:rsidP="00051EBA">
      <w:pPr>
        <w:spacing w:line="480" w:lineRule="auto"/>
        <w:ind w:left="5040" w:hanging="5040"/>
        <w:jc w:val="both"/>
        <w:rPr>
          <w:rFonts w:asciiTheme="majorHAnsi" w:hAnsiTheme="majorHAnsi" w:cs="Arial"/>
          <w:sz w:val="22"/>
          <w:szCs w:val="22"/>
        </w:rPr>
      </w:pPr>
      <w:r w:rsidRPr="002230C1">
        <w:rPr>
          <w:rFonts w:asciiTheme="majorHAnsi" w:hAnsiTheme="majorHAnsi" w:cs="Arial"/>
          <w:b/>
          <w:sz w:val="22"/>
          <w:szCs w:val="22"/>
        </w:rPr>
        <w:t>INSTRUCTED BY</w:t>
      </w:r>
      <w:r w:rsidRPr="002230C1">
        <w:rPr>
          <w:rFonts w:asciiTheme="majorHAnsi" w:hAnsiTheme="majorHAnsi" w:cs="Arial"/>
          <w:sz w:val="22"/>
          <w:szCs w:val="22"/>
        </w:rPr>
        <w:t xml:space="preserve"> :                                    </w:t>
      </w:r>
      <w:r w:rsidR="000A3A0D" w:rsidRPr="002230C1">
        <w:rPr>
          <w:rFonts w:asciiTheme="majorHAnsi" w:hAnsiTheme="majorHAnsi" w:cs="Arial"/>
          <w:sz w:val="22"/>
          <w:szCs w:val="22"/>
        </w:rPr>
        <w:tab/>
      </w:r>
      <w:r w:rsidR="003C6DCB">
        <w:rPr>
          <w:rFonts w:asciiTheme="majorHAnsi" w:hAnsiTheme="majorHAnsi" w:cs="Arial"/>
          <w:sz w:val="22"/>
          <w:szCs w:val="22"/>
        </w:rPr>
        <w:t xml:space="preserve"> Clement Daniels Labour Consultants      </w:t>
      </w:r>
      <w:r w:rsidR="001F6E6B">
        <w:rPr>
          <w:rFonts w:asciiTheme="majorHAnsi" w:hAnsiTheme="majorHAnsi" w:cs="Arial"/>
          <w:sz w:val="22"/>
          <w:szCs w:val="22"/>
        </w:rPr>
        <w:t xml:space="preserve">                                           </w:t>
      </w:r>
    </w:p>
    <w:p w:rsidR="00051EBA" w:rsidRPr="002230C1" w:rsidRDefault="00051EBA" w:rsidP="00051EBA">
      <w:pPr>
        <w:spacing w:line="360" w:lineRule="auto"/>
        <w:jc w:val="both"/>
        <w:rPr>
          <w:rFonts w:asciiTheme="majorHAnsi" w:hAnsiTheme="majorHAnsi" w:cs="Arial"/>
          <w:sz w:val="22"/>
          <w:szCs w:val="22"/>
        </w:rPr>
      </w:pPr>
    </w:p>
    <w:p w:rsidR="00051EBA" w:rsidRPr="002230C1" w:rsidRDefault="00051EBA" w:rsidP="00051EBA">
      <w:pPr>
        <w:jc w:val="both"/>
        <w:rPr>
          <w:rFonts w:asciiTheme="majorHAnsi" w:hAnsiTheme="majorHAnsi" w:cs="Arial"/>
          <w:sz w:val="22"/>
          <w:szCs w:val="22"/>
        </w:rPr>
      </w:pPr>
    </w:p>
    <w:p w:rsidR="00051EBA" w:rsidRPr="002230C1" w:rsidRDefault="00051EBA" w:rsidP="00051EBA">
      <w:pPr>
        <w:rPr>
          <w:rFonts w:asciiTheme="majorHAnsi" w:hAnsiTheme="majorHAnsi" w:cs="Arial"/>
          <w:sz w:val="22"/>
          <w:szCs w:val="22"/>
        </w:rPr>
      </w:pPr>
    </w:p>
    <w:p w:rsidR="00065C77" w:rsidRPr="002230C1" w:rsidRDefault="00065C77">
      <w:pPr>
        <w:rPr>
          <w:rFonts w:asciiTheme="majorHAnsi" w:hAnsiTheme="majorHAnsi"/>
        </w:rPr>
      </w:pPr>
    </w:p>
    <w:sectPr w:rsidR="00065C77" w:rsidRPr="002230C1" w:rsidSect="00527A64">
      <w:headerReference w:type="even" r:id="rId11"/>
      <w:headerReference w:type="default" r:id="rId12"/>
      <w:pgSz w:w="12240" w:h="15840"/>
      <w:pgMar w:top="540" w:right="1800" w:bottom="99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B72" w:rsidRDefault="00520B72" w:rsidP="001C2E52">
      <w:r>
        <w:separator/>
      </w:r>
    </w:p>
  </w:endnote>
  <w:endnote w:type="continuationSeparator" w:id="0">
    <w:p w:rsidR="00520B72" w:rsidRDefault="00520B72" w:rsidP="001C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B72" w:rsidRDefault="00520B72" w:rsidP="001C2E52">
      <w:r>
        <w:separator/>
      </w:r>
    </w:p>
  </w:footnote>
  <w:footnote w:type="continuationSeparator" w:id="0">
    <w:p w:rsidR="00520B72" w:rsidRDefault="00520B72" w:rsidP="001C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1A" w:rsidRDefault="009C0087" w:rsidP="00B95E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5E1A" w:rsidRDefault="00B95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1A" w:rsidRDefault="009C0087" w:rsidP="00B95E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7B06">
      <w:rPr>
        <w:rStyle w:val="PageNumber"/>
        <w:noProof/>
      </w:rPr>
      <w:t>5</w:t>
    </w:r>
    <w:r>
      <w:rPr>
        <w:rStyle w:val="PageNumber"/>
      </w:rPr>
      <w:fldChar w:fldCharType="end"/>
    </w:r>
  </w:p>
  <w:p w:rsidR="00B95E1A" w:rsidRDefault="00B95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4EA"/>
    <w:multiLevelType w:val="hybridMultilevel"/>
    <w:tmpl w:val="9FB68AA6"/>
    <w:lvl w:ilvl="0" w:tplc="8FE4C9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31C7B4D"/>
    <w:multiLevelType w:val="hybridMultilevel"/>
    <w:tmpl w:val="24204036"/>
    <w:lvl w:ilvl="0" w:tplc="DD64E64A">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 w15:restartNumberingAfterBreak="0">
    <w:nsid w:val="77BE0353"/>
    <w:multiLevelType w:val="hybridMultilevel"/>
    <w:tmpl w:val="FF1C8B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BA"/>
    <w:rsid w:val="00051EBA"/>
    <w:rsid w:val="00065C77"/>
    <w:rsid w:val="00086275"/>
    <w:rsid w:val="00095312"/>
    <w:rsid w:val="000A3A0D"/>
    <w:rsid w:val="000D1E72"/>
    <w:rsid w:val="0015538C"/>
    <w:rsid w:val="001C1606"/>
    <w:rsid w:val="001C2E52"/>
    <w:rsid w:val="001F6E6B"/>
    <w:rsid w:val="002103E3"/>
    <w:rsid w:val="002230C1"/>
    <w:rsid w:val="002E296A"/>
    <w:rsid w:val="0036705B"/>
    <w:rsid w:val="003C6DCB"/>
    <w:rsid w:val="0045257C"/>
    <w:rsid w:val="00520B72"/>
    <w:rsid w:val="00527A64"/>
    <w:rsid w:val="00630819"/>
    <w:rsid w:val="006B14BF"/>
    <w:rsid w:val="006C7B06"/>
    <w:rsid w:val="00706094"/>
    <w:rsid w:val="007A770B"/>
    <w:rsid w:val="007C5023"/>
    <w:rsid w:val="009947BC"/>
    <w:rsid w:val="009C0087"/>
    <w:rsid w:val="009E5797"/>
    <w:rsid w:val="00AA317C"/>
    <w:rsid w:val="00AD3F25"/>
    <w:rsid w:val="00B27595"/>
    <w:rsid w:val="00B95E1A"/>
    <w:rsid w:val="00F05E8F"/>
    <w:rsid w:val="00FC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FC5858-9E19-42FD-BC27-F432B492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EBA"/>
    <w:rPr>
      <w:rFonts w:ascii="Times New Roman" w:hAnsi="Times New Roman"/>
      <w:sz w:val="24"/>
      <w:szCs w:val="24"/>
    </w:rPr>
  </w:style>
  <w:style w:type="paragraph" w:styleId="Heading1">
    <w:name w:val="heading 1"/>
    <w:basedOn w:val="Normal"/>
    <w:next w:val="Normal"/>
    <w:link w:val="Heading1Char"/>
    <w:uiPriority w:val="9"/>
    <w:qFormat/>
    <w:rsid w:val="00051EB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51EBA"/>
    <w:rPr>
      <w:rFonts w:ascii="Arial" w:hAnsi="Arial" w:cs="Arial"/>
      <w:b/>
      <w:bCs/>
      <w:kern w:val="32"/>
      <w:sz w:val="32"/>
      <w:szCs w:val="32"/>
    </w:rPr>
  </w:style>
  <w:style w:type="paragraph" w:styleId="Header">
    <w:name w:val="header"/>
    <w:basedOn w:val="Normal"/>
    <w:link w:val="HeaderChar"/>
    <w:uiPriority w:val="99"/>
    <w:rsid w:val="00051EBA"/>
    <w:pPr>
      <w:tabs>
        <w:tab w:val="center" w:pos="4320"/>
        <w:tab w:val="right" w:pos="8640"/>
      </w:tabs>
    </w:pPr>
  </w:style>
  <w:style w:type="character" w:customStyle="1" w:styleId="HeaderChar">
    <w:name w:val="Header Char"/>
    <w:basedOn w:val="DefaultParagraphFont"/>
    <w:link w:val="Header"/>
    <w:uiPriority w:val="99"/>
    <w:locked/>
    <w:rsid w:val="00051EBA"/>
    <w:rPr>
      <w:rFonts w:ascii="Times New Roman" w:hAnsi="Times New Roman" w:cs="Times New Roman"/>
      <w:sz w:val="24"/>
      <w:szCs w:val="24"/>
    </w:rPr>
  </w:style>
  <w:style w:type="character" w:styleId="PageNumber">
    <w:name w:val="page number"/>
    <w:basedOn w:val="DefaultParagraphFont"/>
    <w:uiPriority w:val="99"/>
    <w:rsid w:val="00051EBA"/>
    <w:rPr>
      <w:rFonts w:cs="Times New Roman"/>
    </w:rPr>
  </w:style>
  <w:style w:type="paragraph" w:styleId="ListParagraph">
    <w:name w:val="List Paragraph"/>
    <w:basedOn w:val="Normal"/>
    <w:uiPriority w:val="34"/>
    <w:qFormat/>
    <w:rsid w:val="00051EBA"/>
    <w:pPr>
      <w:ind w:left="720"/>
      <w:contextualSpacing/>
    </w:pPr>
  </w:style>
  <w:style w:type="paragraph" w:styleId="BalloonText">
    <w:name w:val="Balloon Text"/>
    <w:basedOn w:val="Normal"/>
    <w:link w:val="BalloonTextChar"/>
    <w:uiPriority w:val="99"/>
    <w:semiHidden/>
    <w:unhideWhenUsed/>
    <w:rsid w:val="00051E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1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2012-07-17T18:30:00+00:00</Judgment_x0020_Date>
    <Year xmlns="aec0a7e9-5f5c-4ba9-87b2-85cfc8a38b86">2012</Year>
  </documentManagement>
</p:properties>
</file>

<file path=customXml/itemProps1.xml><?xml version="1.0" encoding="utf-8"?>
<ds:datastoreItem xmlns:ds="http://schemas.openxmlformats.org/officeDocument/2006/customXml" ds:itemID="{121A87A9-A216-40E0-BEEE-462AB461F696}">
  <ds:schemaRefs>
    <ds:schemaRef ds:uri="http://schemas.microsoft.com/sharepoint/v3/contenttype/forms"/>
  </ds:schemaRefs>
</ds:datastoreItem>
</file>

<file path=customXml/itemProps2.xml><?xml version="1.0" encoding="utf-8"?>
<ds:datastoreItem xmlns:ds="http://schemas.openxmlformats.org/officeDocument/2006/customXml" ds:itemID="{F6137424-936D-4551-ADC2-19915259C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BFCC5-A5CA-46B6-81B0-438E456F2A31}">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jacky</dc:creator>
  <cp:lastModifiedBy>Admin</cp:lastModifiedBy>
  <cp:revision>3</cp:revision>
  <cp:lastPrinted>2012-07-18T08:26:00Z</cp:lastPrinted>
  <dcterms:created xsi:type="dcterms:W3CDTF">2013-11-07T09:30:00Z</dcterms:created>
  <dcterms:modified xsi:type="dcterms:W3CDTF">2017-11-16T06:16:00Z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15300</vt:r8>
  </property>
  <property fmtid="{D5CDD505-2E9C-101B-9397-08002B2CF9AE}" pid="3" name="WorkflowChangePath">
    <vt:lpwstr>51234616-b7fe-46f9-8258-192439289d77,6;51234616-b7fe-46f9-8258-192439289d77,10;</vt:lpwstr>
  </property>
  <property fmtid="{D5CDD505-2E9C-101B-9397-08002B2CF9AE}" pid="4" name="ContentTypeId">
    <vt:lpwstr>0x0101008CCF6D66F229EE4D8B714E6AF2A2557D</vt:lpwstr>
  </property>
</Properties>
</file>