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CB2CA7" w:rsidP="001B7E1F">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E34EC" w:rsidRDefault="00CE34EC"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E34EC" w:rsidRDefault="00CE34EC" w:rsidP="001B7E1F">
                      <w:pPr>
                        <w:jc w:val="right"/>
                      </w:pPr>
                      <w:r>
                        <w:t>NOT REPORTABLE</w:t>
                      </w:r>
                    </w:p>
                  </w:txbxContent>
                </v:textbox>
              </v:shape>
            </w:pict>
          </mc:Fallback>
        </mc:AlternateContent>
      </w:r>
      <w:r w:rsidR="001B7E1F" w:rsidRPr="006E026B">
        <w:rPr>
          <w:rFonts w:ascii="Arial" w:hAnsi="Arial" w:cs="Arial"/>
          <w:b/>
          <w:sz w:val="24"/>
          <w:szCs w:val="24"/>
        </w:rPr>
        <w:t>REPUBLIC OF NAMIBIA</w:t>
      </w:r>
    </w:p>
    <w:p w:rsidR="001B7E1F" w:rsidRDefault="00CB2CA7" w:rsidP="001B7E1F">
      <w:pPr>
        <w:spacing w:after="0" w:line="360" w:lineRule="auto"/>
        <w:jc w:val="center"/>
        <w:rPr>
          <w:b/>
          <w:sz w:val="32"/>
          <w:szCs w:val="32"/>
        </w:rPr>
      </w:pPr>
      <w:r>
        <w:rPr>
          <w:b/>
          <w:noProof/>
          <w:sz w:val="32"/>
          <w:szCs w:val="32"/>
        </w:rPr>
        <w:drawing>
          <wp:inline distT="0" distB="0" distL="0" distR="0">
            <wp:extent cx="1019175" cy="1028700"/>
            <wp:effectExtent l="0" t="0" r="9525"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1B7E1F" w:rsidRPr="006E026B" w:rsidRDefault="0090389F" w:rsidP="001B7E1F">
      <w:pPr>
        <w:spacing w:after="0" w:line="360" w:lineRule="auto"/>
        <w:jc w:val="center"/>
        <w:rPr>
          <w:rFonts w:ascii="Arial" w:hAnsi="Arial" w:cs="Arial"/>
          <w:bCs/>
          <w:sz w:val="24"/>
          <w:szCs w:val="24"/>
        </w:rPr>
      </w:pPr>
      <w:r>
        <w:rPr>
          <w:rFonts w:ascii="Arial" w:hAnsi="Arial" w:cs="Arial"/>
          <w:b/>
          <w:sz w:val="24"/>
          <w:szCs w:val="24"/>
        </w:rPr>
        <w:t xml:space="preserve">LABOUR </w:t>
      </w:r>
      <w:r w:rsidR="00AF7760">
        <w:rPr>
          <w:rFonts w:ascii="Arial" w:hAnsi="Arial" w:cs="Arial"/>
          <w:b/>
          <w:sz w:val="24"/>
          <w:szCs w:val="24"/>
        </w:rPr>
        <w:t xml:space="preserve">COURT </w:t>
      </w:r>
      <w:r w:rsidR="001B7E1F" w:rsidRPr="006E026B">
        <w:rPr>
          <w:rFonts w:ascii="Arial" w:hAnsi="Arial" w:cs="Arial"/>
          <w:b/>
          <w:sz w:val="24"/>
          <w:szCs w:val="24"/>
        </w:rPr>
        <w:t>OF NAMIBIA MAIN DIVISION, WINDHOEK</w:t>
      </w:r>
    </w:p>
    <w:p w:rsidR="001B7E1F" w:rsidRDefault="001B7E1F" w:rsidP="001B7E1F">
      <w:pPr>
        <w:spacing w:after="0" w:line="360" w:lineRule="auto"/>
        <w:jc w:val="center"/>
        <w:rPr>
          <w:rFonts w:ascii="Arial" w:hAnsi="Arial" w:cs="Arial"/>
          <w:b/>
          <w:sz w:val="24"/>
          <w:szCs w:val="24"/>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90389F">
        <w:rPr>
          <w:rFonts w:ascii="Arial" w:hAnsi="Arial" w:cs="Arial"/>
          <w:sz w:val="24"/>
          <w:szCs w:val="24"/>
        </w:rPr>
        <w:t>LCA 18</w:t>
      </w:r>
      <w:r>
        <w:rPr>
          <w:rFonts w:ascii="Arial" w:hAnsi="Arial" w:cs="Arial"/>
          <w:sz w:val="24"/>
          <w:szCs w:val="24"/>
        </w:rPr>
        <w:t>/2</w:t>
      </w:r>
      <w:r w:rsidR="007F494A">
        <w:rPr>
          <w:rFonts w:ascii="Arial" w:hAnsi="Arial" w:cs="Arial"/>
          <w:sz w:val="24"/>
          <w:szCs w:val="24"/>
        </w:rPr>
        <w:t>0</w:t>
      </w:r>
      <w:r w:rsidR="0090389F">
        <w:rPr>
          <w:rFonts w:ascii="Arial" w:hAnsi="Arial" w:cs="Arial"/>
          <w:sz w:val="24"/>
          <w:szCs w:val="24"/>
        </w:rPr>
        <w:t>09</w:t>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1B7E1F">
      <w:pPr>
        <w:spacing w:after="0" w:line="360" w:lineRule="auto"/>
        <w:rPr>
          <w:rFonts w:ascii="Arial" w:hAnsi="Arial" w:cs="Arial"/>
          <w:sz w:val="24"/>
          <w:szCs w:val="24"/>
        </w:rPr>
      </w:pPr>
    </w:p>
    <w:p w:rsidR="001B7E1F" w:rsidRPr="006E026B" w:rsidRDefault="0090389F" w:rsidP="001B7E1F">
      <w:pPr>
        <w:pStyle w:val="Heading4"/>
        <w:tabs>
          <w:tab w:val="right" w:pos="9000"/>
        </w:tabs>
        <w:spacing w:line="360" w:lineRule="auto"/>
        <w:jc w:val="both"/>
        <w:rPr>
          <w:rFonts w:cs="Arial"/>
          <w:b/>
          <w:sz w:val="24"/>
        </w:rPr>
      </w:pPr>
      <w:r>
        <w:rPr>
          <w:rFonts w:cs="Arial"/>
          <w:b/>
          <w:sz w:val="24"/>
        </w:rPr>
        <w:t>TELECOM NAMIBIA LIMITED</w:t>
      </w:r>
      <w:r w:rsidR="007F494A">
        <w:rPr>
          <w:rFonts w:cs="Arial"/>
          <w:b/>
          <w:sz w:val="24"/>
        </w:rPr>
        <w:tab/>
      </w:r>
      <w:r w:rsidR="009D570D">
        <w:rPr>
          <w:rFonts w:cs="Arial"/>
          <w:b/>
          <w:sz w:val="24"/>
        </w:rPr>
        <w:t>APPLICANT</w:t>
      </w:r>
    </w:p>
    <w:p w:rsidR="001B7E1F" w:rsidRPr="006E026B" w:rsidRDefault="001B7E1F" w:rsidP="001B7E1F">
      <w:pPr>
        <w:spacing w:after="0" w:line="360" w:lineRule="auto"/>
        <w:jc w:val="both"/>
        <w:rPr>
          <w:rFonts w:ascii="Arial" w:hAnsi="Arial" w:cs="Arial"/>
          <w:sz w:val="24"/>
          <w:szCs w:val="24"/>
        </w:rPr>
      </w:pPr>
      <w:r w:rsidRPr="006E026B">
        <w:rPr>
          <w:rFonts w:ascii="Arial" w:hAnsi="Arial" w:cs="Arial"/>
          <w:sz w:val="24"/>
          <w:szCs w:val="24"/>
        </w:rPr>
        <w:t>and</w:t>
      </w:r>
    </w:p>
    <w:p w:rsidR="001B7E1F" w:rsidRPr="006E026B" w:rsidRDefault="0090389F" w:rsidP="001B7E1F">
      <w:pPr>
        <w:tabs>
          <w:tab w:val="right" w:pos="9000"/>
        </w:tabs>
        <w:spacing w:after="0" w:line="360" w:lineRule="auto"/>
        <w:jc w:val="both"/>
        <w:rPr>
          <w:rFonts w:ascii="Arial" w:hAnsi="Arial" w:cs="Arial"/>
          <w:b/>
          <w:sz w:val="24"/>
          <w:szCs w:val="24"/>
        </w:rPr>
      </w:pPr>
      <w:r>
        <w:rPr>
          <w:rFonts w:ascii="Arial" w:hAnsi="Arial" w:cs="Arial"/>
          <w:b/>
          <w:sz w:val="24"/>
          <w:szCs w:val="24"/>
        </w:rPr>
        <w:t>MICHAEL NANGOLO</w:t>
      </w:r>
      <w:r w:rsidR="006B2A77">
        <w:rPr>
          <w:rFonts w:ascii="Arial" w:hAnsi="Arial" w:cs="Arial"/>
          <w:b/>
          <w:sz w:val="24"/>
          <w:szCs w:val="24"/>
        </w:rPr>
        <w:t xml:space="preserve"> AND OTHERS</w:t>
      </w:r>
      <w:r w:rsidR="007F494A">
        <w:rPr>
          <w:rFonts w:ascii="Arial" w:hAnsi="Arial" w:cs="Arial"/>
          <w:b/>
          <w:sz w:val="24"/>
          <w:szCs w:val="24"/>
        </w:rPr>
        <w:tab/>
      </w:r>
      <w:r w:rsidR="009D570D">
        <w:rPr>
          <w:rFonts w:ascii="Arial" w:hAnsi="Arial" w:cs="Arial"/>
          <w:b/>
          <w:sz w:val="24"/>
          <w:szCs w:val="24"/>
        </w:rPr>
        <w:t>RESPONDENTS</w:t>
      </w:r>
    </w:p>
    <w:p w:rsidR="001B7E1F" w:rsidRPr="006E026B" w:rsidRDefault="001B7E1F" w:rsidP="001B7E1F">
      <w:pPr>
        <w:spacing w:after="0" w:line="360" w:lineRule="auto"/>
        <w:rPr>
          <w:rFonts w:ascii="Arial" w:hAnsi="Arial" w:cs="Arial"/>
          <w:b/>
          <w:sz w:val="24"/>
          <w:szCs w:val="24"/>
          <w:u w:val="single"/>
        </w:rPr>
      </w:pPr>
    </w:p>
    <w:p w:rsidR="001B7E1F" w:rsidRDefault="001B7E1F"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90389F">
        <w:rPr>
          <w:rFonts w:ascii="Arial" w:hAnsi="Arial" w:cs="Arial"/>
          <w:i/>
          <w:sz w:val="24"/>
          <w:szCs w:val="24"/>
        </w:rPr>
        <w:t>Telecom Namibia Limited</w:t>
      </w:r>
      <w:r w:rsidR="007F494A">
        <w:rPr>
          <w:rFonts w:ascii="Arial" w:hAnsi="Arial" w:cs="Arial"/>
          <w:i/>
          <w:sz w:val="24"/>
          <w:szCs w:val="24"/>
        </w:rPr>
        <w:t xml:space="preserve"> </w:t>
      </w:r>
      <w:r>
        <w:rPr>
          <w:rFonts w:ascii="Arial" w:hAnsi="Arial" w:cs="Arial"/>
          <w:i/>
          <w:sz w:val="24"/>
          <w:szCs w:val="24"/>
        </w:rPr>
        <w:t xml:space="preserve">v </w:t>
      </w:r>
      <w:r w:rsidR="0090389F">
        <w:rPr>
          <w:rFonts w:ascii="Arial" w:hAnsi="Arial" w:cs="Arial"/>
          <w:i/>
          <w:sz w:val="24"/>
          <w:szCs w:val="24"/>
        </w:rPr>
        <w:t>Nangolo</w:t>
      </w:r>
      <w:r>
        <w:rPr>
          <w:rFonts w:ascii="Arial" w:hAnsi="Arial" w:cs="Arial"/>
          <w:i/>
          <w:sz w:val="24"/>
          <w:szCs w:val="24"/>
        </w:rPr>
        <w:t xml:space="preserve"> </w:t>
      </w:r>
      <w:r w:rsidRPr="005D6C92">
        <w:rPr>
          <w:rFonts w:ascii="Arial" w:hAnsi="Arial" w:cs="Arial"/>
          <w:sz w:val="24"/>
          <w:szCs w:val="24"/>
        </w:rPr>
        <w:t>(</w:t>
      </w:r>
      <w:r w:rsidR="0090389F">
        <w:rPr>
          <w:rFonts w:ascii="Arial" w:hAnsi="Arial" w:cs="Arial"/>
          <w:sz w:val="24"/>
          <w:szCs w:val="24"/>
        </w:rPr>
        <w:t>LCA 18</w:t>
      </w:r>
      <w:r>
        <w:rPr>
          <w:rFonts w:ascii="Arial" w:hAnsi="Arial" w:cs="Arial"/>
          <w:sz w:val="24"/>
          <w:szCs w:val="24"/>
        </w:rPr>
        <w:t>/20</w:t>
      </w:r>
      <w:r w:rsidR="0090389F">
        <w:rPr>
          <w:rFonts w:ascii="Arial" w:hAnsi="Arial" w:cs="Arial"/>
          <w:sz w:val="24"/>
          <w:szCs w:val="24"/>
        </w:rPr>
        <w:t>09</w:t>
      </w:r>
      <w:r w:rsidRPr="005D6C92">
        <w:rPr>
          <w:rFonts w:ascii="Arial" w:hAnsi="Arial" w:cs="Arial"/>
          <w:sz w:val="24"/>
          <w:szCs w:val="24"/>
        </w:rPr>
        <w:t xml:space="preserve"> [20</w:t>
      </w:r>
      <w:r w:rsidR="007F494A">
        <w:rPr>
          <w:rFonts w:ascii="Arial" w:hAnsi="Arial" w:cs="Arial"/>
          <w:sz w:val="24"/>
          <w:szCs w:val="24"/>
        </w:rPr>
        <w:t>12</w:t>
      </w:r>
      <w:r w:rsidRPr="005D6C92">
        <w:rPr>
          <w:rFonts w:ascii="Arial" w:hAnsi="Arial" w:cs="Arial"/>
          <w:sz w:val="24"/>
          <w:szCs w:val="24"/>
        </w:rPr>
        <w:t>] NA</w:t>
      </w:r>
      <w:r w:rsidR="0090389F">
        <w:rPr>
          <w:rFonts w:ascii="Arial" w:hAnsi="Arial" w:cs="Arial"/>
          <w:sz w:val="24"/>
          <w:szCs w:val="24"/>
        </w:rPr>
        <w:t>L</w:t>
      </w:r>
      <w:r w:rsidRPr="005D6C92">
        <w:rPr>
          <w:rFonts w:ascii="Arial" w:hAnsi="Arial" w:cs="Arial"/>
          <w:sz w:val="24"/>
          <w:szCs w:val="24"/>
        </w:rPr>
        <w:t>C</w:t>
      </w:r>
      <w:r w:rsidR="007F494A">
        <w:rPr>
          <w:rFonts w:ascii="Arial" w:hAnsi="Arial" w:cs="Arial"/>
          <w:sz w:val="24"/>
          <w:szCs w:val="24"/>
        </w:rPr>
        <w:t>MD</w:t>
      </w:r>
      <w:r w:rsidRPr="005D6C92">
        <w:rPr>
          <w:rFonts w:ascii="Arial" w:hAnsi="Arial" w:cs="Arial"/>
          <w:sz w:val="24"/>
          <w:szCs w:val="24"/>
        </w:rPr>
        <w:t xml:space="preserve"> </w:t>
      </w:r>
      <w:r w:rsidR="0090389F">
        <w:rPr>
          <w:rFonts w:ascii="Arial" w:hAnsi="Arial" w:cs="Arial"/>
          <w:sz w:val="24"/>
          <w:szCs w:val="24"/>
        </w:rPr>
        <w:t>4</w:t>
      </w:r>
      <w:r w:rsidRPr="005D6C92">
        <w:rPr>
          <w:rFonts w:ascii="Arial" w:hAnsi="Arial" w:cs="Arial"/>
          <w:sz w:val="24"/>
          <w:szCs w:val="24"/>
        </w:rPr>
        <w:t xml:space="preserve"> (</w:t>
      </w:r>
      <w:r w:rsidR="007F494A">
        <w:rPr>
          <w:rFonts w:ascii="Arial" w:hAnsi="Arial" w:cs="Arial"/>
          <w:sz w:val="24"/>
          <w:szCs w:val="24"/>
        </w:rPr>
        <w:t xml:space="preserve">05 November </w:t>
      </w:r>
      <w:r w:rsidRPr="005D6C92">
        <w:rPr>
          <w:rFonts w:ascii="Arial" w:hAnsi="Arial" w:cs="Arial"/>
          <w:sz w:val="24"/>
          <w:szCs w:val="24"/>
        </w:rPr>
        <w:t>20</w:t>
      </w:r>
      <w:r w:rsidR="007F494A">
        <w:rPr>
          <w:rFonts w:ascii="Arial" w:hAnsi="Arial" w:cs="Arial"/>
          <w:sz w:val="24"/>
          <w:szCs w:val="24"/>
        </w:rPr>
        <w:t>12</w:t>
      </w:r>
      <w:r w:rsidRPr="005D6C92">
        <w:rPr>
          <w:rFonts w:ascii="Arial" w:hAnsi="Arial" w:cs="Arial"/>
          <w:sz w:val="24"/>
          <w:szCs w:val="24"/>
        </w:rPr>
        <w:t>)</w:t>
      </w:r>
    </w:p>
    <w:p w:rsidR="001B7E1F" w:rsidRPr="006E026B" w:rsidRDefault="001B7E1F" w:rsidP="001B7E1F">
      <w:pPr>
        <w:spacing w:after="0" w:line="360" w:lineRule="auto"/>
        <w:ind w:left="2160" w:hanging="2160"/>
        <w:jc w:val="both"/>
        <w:rPr>
          <w:rFonts w:ascii="Arial" w:hAnsi="Arial" w:cs="Arial"/>
          <w:sz w:val="24"/>
          <w:szCs w:val="24"/>
        </w:rPr>
      </w:pPr>
    </w:p>
    <w:p w:rsidR="001B7E1F" w:rsidRDefault="001B7E1F" w:rsidP="001B7E1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7F494A">
        <w:rPr>
          <w:rFonts w:ascii="Arial" w:hAnsi="Arial" w:cs="Arial"/>
          <w:sz w:val="24"/>
          <w:szCs w:val="24"/>
        </w:rPr>
        <w:t>DAMASEB, JP</w:t>
      </w:r>
    </w:p>
    <w:p w:rsidR="007F494A" w:rsidRPr="006E026B" w:rsidRDefault="007F494A" w:rsidP="001B7E1F">
      <w:pPr>
        <w:spacing w:after="0" w:line="360" w:lineRule="auto"/>
        <w:ind w:left="1440" w:hanging="1440"/>
        <w:jc w:val="both"/>
        <w:rPr>
          <w:rFonts w:ascii="Arial" w:hAnsi="Arial" w:cs="Arial"/>
          <w:b/>
          <w:i/>
          <w:sz w:val="24"/>
          <w:szCs w:val="24"/>
        </w:rPr>
      </w:pPr>
    </w:p>
    <w:p w:rsidR="001B7E1F" w:rsidRPr="00985A68"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85A68">
        <w:rPr>
          <w:rFonts w:ascii="Arial" w:hAnsi="Arial" w:cs="Arial"/>
          <w:b/>
          <w:sz w:val="24"/>
          <w:szCs w:val="24"/>
        </w:rPr>
        <w:t>24 September 2012</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7F494A">
        <w:rPr>
          <w:rFonts w:ascii="Arial" w:hAnsi="Arial" w:cs="Arial"/>
          <w:b/>
          <w:sz w:val="24"/>
          <w:szCs w:val="24"/>
        </w:rPr>
        <w:t>0</w:t>
      </w:r>
      <w:r w:rsidR="0090389F">
        <w:rPr>
          <w:rFonts w:ascii="Arial" w:hAnsi="Arial" w:cs="Arial"/>
          <w:b/>
          <w:sz w:val="24"/>
          <w:szCs w:val="24"/>
        </w:rPr>
        <w:t>5</w:t>
      </w:r>
      <w:r w:rsidR="007F494A">
        <w:rPr>
          <w:rFonts w:ascii="Arial" w:hAnsi="Arial" w:cs="Arial"/>
          <w:b/>
          <w:sz w:val="24"/>
          <w:szCs w:val="24"/>
        </w:rPr>
        <w:t xml:space="preserve"> November 2012</w:t>
      </w:r>
    </w:p>
    <w:p w:rsidR="001B7E1F" w:rsidRPr="006E026B" w:rsidRDefault="001B7E1F" w:rsidP="001B7E1F">
      <w:pPr>
        <w:spacing w:after="0" w:line="360" w:lineRule="auto"/>
        <w:jc w:val="both"/>
        <w:rPr>
          <w:rFonts w:ascii="Arial" w:hAnsi="Arial" w:cs="Arial"/>
          <w:b/>
          <w:sz w:val="24"/>
          <w:szCs w:val="24"/>
        </w:rPr>
      </w:pPr>
    </w:p>
    <w:p w:rsidR="001B7E1F" w:rsidRPr="006E026B" w:rsidRDefault="001B7E1F" w:rsidP="00985A68">
      <w:pPr>
        <w:spacing w:after="0" w:line="360" w:lineRule="auto"/>
        <w:jc w:val="both"/>
        <w:rPr>
          <w:rFonts w:ascii="Arial" w:hAnsi="Arial" w:cs="Arial"/>
          <w:bCs/>
          <w:sz w:val="24"/>
          <w:szCs w:val="24"/>
        </w:rPr>
      </w:pPr>
      <w:r w:rsidRPr="006E026B">
        <w:rPr>
          <w:rFonts w:ascii="Arial" w:hAnsi="Arial" w:cs="Arial"/>
          <w:b/>
          <w:sz w:val="24"/>
          <w:szCs w:val="24"/>
        </w:rPr>
        <w:t>Flynote:</w:t>
      </w:r>
      <w:r w:rsidRPr="006E026B">
        <w:rPr>
          <w:rFonts w:ascii="Arial" w:hAnsi="Arial" w:cs="Arial"/>
          <w:b/>
          <w:sz w:val="24"/>
          <w:szCs w:val="24"/>
        </w:rPr>
        <w:tab/>
      </w:r>
      <w:r w:rsidR="00985A68">
        <w:rPr>
          <w:rFonts w:ascii="Arial" w:hAnsi="Arial" w:cs="Arial"/>
          <w:sz w:val="24"/>
          <w:szCs w:val="24"/>
        </w:rPr>
        <w:t>Application for leave to appeal ‘dismissal’ of condonation application to pursue appeal out of time – Court doubtful if leave required</w:t>
      </w:r>
      <w:r w:rsidR="00AF5921">
        <w:rPr>
          <w:rFonts w:ascii="Arial" w:hAnsi="Arial" w:cs="Arial"/>
          <w:sz w:val="24"/>
          <w:szCs w:val="24"/>
        </w:rPr>
        <w:t xml:space="preserve"> -  O</w:t>
      </w:r>
      <w:r w:rsidR="00985A68">
        <w:rPr>
          <w:rFonts w:ascii="Arial" w:hAnsi="Arial" w:cs="Arial"/>
          <w:sz w:val="24"/>
          <w:szCs w:val="24"/>
        </w:rPr>
        <w:t xml:space="preserve">n assumption it </w:t>
      </w:r>
      <w:r w:rsidR="00AF5921">
        <w:rPr>
          <w:rFonts w:ascii="Arial" w:hAnsi="Arial" w:cs="Arial"/>
          <w:sz w:val="24"/>
          <w:szCs w:val="24"/>
        </w:rPr>
        <w:t>is</w:t>
      </w:r>
      <w:r w:rsidR="00985A68">
        <w:rPr>
          <w:rFonts w:ascii="Arial" w:hAnsi="Arial" w:cs="Arial"/>
          <w:sz w:val="24"/>
          <w:szCs w:val="24"/>
        </w:rPr>
        <w:t xml:space="preserve"> – leave to appeal refused as Court finding that </w:t>
      </w:r>
      <w:r w:rsidR="00AF5921">
        <w:rPr>
          <w:rFonts w:ascii="Arial" w:hAnsi="Arial" w:cs="Arial"/>
          <w:sz w:val="24"/>
          <w:szCs w:val="24"/>
        </w:rPr>
        <w:t>s</w:t>
      </w:r>
      <w:r w:rsidR="00985A68">
        <w:rPr>
          <w:rFonts w:ascii="Arial" w:hAnsi="Arial" w:cs="Arial"/>
          <w:sz w:val="24"/>
          <w:szCs w:val="24"/>
        </w:rPr>
        <w:t>upreme</w:t>
      </w:r>
      <w:r w:rsidR="00AF5921">
        <w:rPr>
          <w:rFonts w:ascii="Arial" w:hAnsi="Arial" w:cs="Arial"/>
          <w:sz w:val="24"/>
          <w:szCs w:val="24"/>
        </w:rPr>
        <w:t xml:space="preserve"> c</w:t>
      </w:r>
      <w:r w:rsidR="00985A68">
        <w:rPr>
          <w:rFonts w:ascii="Arial" w:hAnsi="Arial" w:cs="Arial"/>
          <w:sz w:val="24"/>
          <w:szCs w:val="24"/>
        </w:rPr>
        <w:t>ourt will not come to conclusion that discretion abused – prospects of success not decisive.</w:t>
      </w:r>
      <w:r w:rsidR="00741B0B">
        <w:rPr>
          <w:rFonts w:ascii="Arial" w:hAnsi="Arial" w:cs="Arial"/>
          <w:sz w:val="24"/>
          <w:szCs w:val="24"/>
        </w:rPr>
        <w:t xml:space="preserve"> </w:t>
      </w:r>
    </w:p>
    <w:p w:rsidR="001B7E1F" w:rsidRPr="006E026B" w:rsidRDefault="004A5C82" w:rsidP="001B7E1F">
      <w:pPr>
        <w:spacing w:after="0" w:line="360" w:lineRule="auto"/>
        <w:jc w:val="both"/>
        <w:rPr>
          <w:rFonts w:ascii="Arial" w:hAnsi="Arial" w:cs="Arial"/>
          <w:bCs/>
          <w:sz w:val="24"/>
          <w:szCs w:val="24"/>
        </w:rPr>
      </w:pPr>
      <w:r w:rsidRPr="004A5C82">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Default="004A5C82" w:rsidP="00F31377">
      <w:pPr>
        <w:spacing w:after="0" w:line="360" w:lineRule="auto"/>
        <w:jc w:val="center"/>
        <w:rPr>
          <w:rFonts w:ascii="Arial" w:hAnsi="Arial" w:cs="Arial"/>
          <w:b/>
          <w:bCs/>
          <w:sz w:val="24"/>
          <w:szCs w:val="24"/>
        </w:rPr>
      </w:pPr>
      <w:r w:rsidRPr="004A5C82">
        <w:rPr>
          <w:rFonts w:ascii="Arial" w:hAnsi="Arial" w:cs="Arial"/>
          <w:bCs/>
          <w:sz w:val="24"/>
          <w:szCs w:val="24"/>
        </w:rPr>
        <w:pict>
          <v:rect id="_x0000_i1026" style="width:0;height:1.5pt" o:hralign="center" o:hrstd="t" o:hr="t" fillcolor="#a0a0a0" stroked="f"/>
        </w:pict>
      </w:r>
    </w:p>
    <w:p w:rsidR="00F31377" w:rsidRDefault="0090389F" w:rsidP="00F31377">
      <w:pPr>
        <w:spacing w:after="0" w:line="360" w:lineRule="auto"/>
        <w:jc w:val="both"/>
        <w:rPr>
          <w:rFonts w:ascii="Arial" w:hAnsi="Arial" w:cs="Arial"/>
          <w:bCs/>
          <w:sz w:val="24"/>
          <w:szCs w:val="24"/>
        </w:rPr>
      </w:pPr>
      <w:r>
        <w:rPr>
          <w:rFonts w:ascii="Arial" w:hAnsi="Arial" w:cs="Arial"/>
          <w:bCs/>
          <w:sz w:val="24"/>
          <w:szCs w:val="24"/>
        </w:rPr>
        <w:t>The following order is made:</w:t>
      </w:r>
    </w:p>
    <w:p w:rsidR="0090389F" w:rsidRDefault="0090389F" w:rsidP="00F31377">
      <w:pPr>
        <w:spacing w:after="0" w:line="360" w:lineRule="auto"/>
        <w:jc w:val="both"/>
        <w:rPr>
          <w:rFonts w:ascii="Arial" w:hAnsi="Arial" w:cs="Arial"/>
          <w:bCs/>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sidRPr="0090389F">
        <w:rPr>
          <w:rFonts w:ascii="Arial" w:hAnsi="Arial" w:cs="Arial"/>
          <w:sz w:val="24"/>
          <w:szCs w:val="24"/>
        </w:rPr>
        <w:t>If I indeed leave to appeal were required, I would refuse it for all of the above reasons.</w:t>
      </w:r>
    </w:p>
    <w:p w:rsidR="001B7E1F" w:rsidRPr="006E026B" w:rsidRDefault="004A5C82" w:rsidP="00F31377">
      <w:pPr>
        <w:spacing w:after="0" w:line="360" w:lineRule="auto"/>
        <w:jc w:val="both"/>
        <w:rPr>
          <w:rFonts w:ascii="Arial" w:hAnsi="Arial" w:cs="Arial"/>
          <w:bCs/>
          <w:sz w:val="24"/>
          <w:szCs w:val="24"/>
        </w:rPr>
      </w:pPr>
      <w:r w:rsidRPr="004A5C82">
        <w:rPr>
          <w:rFonts w:ascii="Arial" w:hAnsi="Arial" w:cs="Arial"/>
          <w:bCs/>
          <w:sz w:val="24"/>
          <w:szCs w:val="24"/>
        </w:rPr>
        <w:lastRenderedPageBreak/>
        <w:pict>
          <v:rect id="_x0000_i1027" style="width:0;height:1.5pt" o:hralign="center" o:hrstd="t" o:hr="t" fillcolor="#a0a0a0" stroked="f"/>
        </w:pict>
      </w:r>
    </w:p>
    <w:p w:rsidR="001B7E1F" w:rsidRPr="006E026B" w:rsidRDefault="001B7E1F" w:rsidP="00F31377">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4A5C82" w:rsidP="00F31377">
      <w:pPr>
        <w:spacing w:after="0" w:line="360" w:lineRule="auto"/>
        <w:jc w:val="both"/>
        <w:rPr>
          <w:rFonts w:ascii="Arial" w:hAnsi="Arial" w:cs="Arial"/>
          <w:b/>
          <w:sz w:val="24"/>
          <w:szCs w:val="24"/>
        </w:rPr>
      </w:pPr>
      <w:r w:rsidRPr="004A5C82">
        <w:rPr>
          <w:rFonts w:ascii="Arial" w:hAnsi="Arial" w:cs="Arial"/>
          <w:bCs/>
          <w:sz w:val="24"/>
          <w:szCs w:val="24"/>
        </w:rPr>
        <w:pict>
          <v:rect id="_x0000_i1028" style="width:0;height:1.5pt" o:hralign="center" o:hrstd="t" o:hr="t" fillcolor="#a0a0a0" stroked="f"/>
        </w:pict>
      </w:r>
    </w:p>
    <w:p w:rsidR="001B7E1F" w:rsidRPr="006E026B" w:rsidRDefault="001B7E1F" w:rsidP="00F31377">
      <w:pPr>
        <w:spacing w:after="0" w:line="360" w:lineRule="auto"/>
        <w:ind w:left="1440" w:hanging="1440"/>
        <w:jc w:val="both"/>
        <w:rPr>
          <w:rFonts w:ascii="Arial" w:hAnsi="Arial" w:cs="Arial"/>
          <w:sz w:val="24"/>
          <w:szCs w:val="24"/>
        </w:rPr>
      </w:pPr>
    </w:p>
    <w:p w:rsidR="001B7E1F" w:rsidRPr="006E026B" w:rsidRDefault="007F494A" w:rsidP="00F31377">
      <w:pPr>
        <w:spacing w:after="0" w:line="360" w:lineRule="auto"/>
        <w:ind w:left="1440" w:hanging="1440"/>
        <w:jc w:val="both"/>
        <w:rPr>
          <w:rFonts w:ascii="Arial" w:hAnsi="Arial" w:cs="Arial"/>
          <w:b/>
          <w:i/>
          <w:sz w:val="24"/>
          <w:szCs w:val="24"/>
        </w:rPr>
      </w:pPr>
      <w:r>
        <w:rPr>
          <w:rFonts w:ascii="Arial" w:hAnsi="Arial" w:cs="Arial"/>
          <w:sz w:val="24"/>
          <w:szCs w:val="24"/>
        </w:rPr>
        <w:t>Damaseb, JP</w:t>
      </w:r>
      <w:r w:rsidR="001B7E1F" w:rsidRPr="006E026B">
        <w:rPr>
          <w:rFonts w:ascii="Arial" w:hAnsi="Arial" w:cs="Arial"/>
          <w:sz w:val="24"/>
          <w:szCs w:val="24"/>
        </w:rPr>
        <w:t>:</w:t>
      </w:r>
    </w:p>
    <w:p w:rsidR="001B7E1F" w:rsidRPr="006E026B" w:rsidRDefault="001B7E1F" w:rsidP="00F31377">
      <w:pPr>
        <w:spacing w:after="0" w:line="360" w:lineRule="auto"/>
        <w:jc w:val="both"/>
        <w:rPr>
          <w:rFonts w:ascii="Arial" w:hAnsi="Arial" w:cs="Arial"/>
          <w:sz w:val="24"/>
          <w:szCs w:val="24"/>
        </w:rPr>
      </w:pPr>
    </w:p>
    <w:p w:rsidR="00CE34EC"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[1]  </w:t>
      </w:r>
      <w:r w:rsidRPr="0090389F">
        <w:rPr>
          <w:rFonts w:ascii="Arial" w:hAnsi="Arial" w:cs="Arial"/>
          <w:sz w:val="24"/>
          <w:szCs w:val="24"/>
        </w:rPr>
        <w:t>The applicant</w:t>
      </w:r>
      <w:r w:rsidR="00985A68">
        <w:rPr>
          <w:rFonts w:ascii="Arial" w:hAnsi="Arial" w:cs="Arial"/>
          <w:sz w:val="24"/>
          <w:szCs w:val="24"/>
        </w:rPr>
        <w:t>,</w:t>
      </w:r>
      <w:r w:rsidRPr="0090389F">
        <w:rPr>
          <w:rFonts w:ascii="Arial" w:hAnsi="Arial" w:cs="Arial"/>
          <w:sz w:val="24"/>
          <w:szCs w:val="24"/>
        </w:rPr>
        <w:t xml:space="preserve"> whose application for condonation to pursue an appeal out of time I dismissed on </w:t>
      </w:r>
      <w:r w:rsidR="00985A68">
        <w:rPr>
          <w:rFonts w:ascii="Arial" w:hAnsi="Arial" w:cs="Arial"/>
          <w:sz w:val="24"/>
          <w:szCs w:val="24"/>
        </w:rPr>
        <w:t xml:space="preserve">28 May 2012 </w:t>
      </w:r>
      <w:r w:rsidRPr="0090389F">
        <w:rPr>
          <w:rFonts w:ascii="Arial" w:hAnsi="Arial" w:cs="Arial"/>
          <w:sz w:val="24"/>
          <w:szCs w:val="24"/>
        </w:rPr>
        <w:t xml:space="preserve">comes to me to seek leave to appeal to the </w:t>
      </w:r>
      <w:r w:rsidR="00AF5921">
        <w:rPr>
          <w:rFonts w:ascii="Arial" w:hAnsi="Arial" w:cs="Arial"/>
          <w:sz w:val="24"/>
          <w:szCs w:val="24"/>
        </w:rPr>
        <w:t>s</w:t>
      </w:r>
      <w:r w:rsidRPr="0090389F">
        <w:rPr>
          <w:rFonts w:ascii="Arial" w:hAnsi="Arial" w:cs="Arial"/>
          <w:sz w:val="24"/>
          <w:szCs w:val="24"/>
        </w:rPr>
        <w:t xml:space="preserve">upreme </w:t>
      </w:r>
      <w:r w:rsidR="00AF5921">
        <w:rPr>
          <w:rFonts w:ascii="Arial" w:hAnsi="Arial" w:cs="Arial"/>
          <w:sz w:val="24"/>
          <w:szCs w:val="24"/>
        </w:rPr>
        <w:t>c</w:t>
      </w:r>
      <w:r w:rsidRPr="0090389F">
        <w:rPr>
          <w:rFonts w:ascii="Arial" w:hAnsi="Arial" w:cs="Arial"/>
          <w:sz w:val="24"/>
          <w:szCs w:val="24"/>
        </w:rPr>
        <w:t>ourt.</w:t>
      </w:r>
      <w:r w:rsidR="00AF5921">
        <w:rPr>
          <w:rFonts w:ascii="Arial" w:hAnsi="Arial" w:cs="Arial"/>
          <w:sz w:val="24"/>
          <w:szCs w:val="24"/>
        </w:rPr>
        <w:t xml:space="preserve">  </w:t>
      </w:r>
      <w:r w:rsidR="00D57A67">
        <w:rPr>
          <w:rFonts w:ascii="Arial" w:hAnsi="Arial" w:cs="Arial"/>
          <w:sz w:val="24"/>
          <w:szCs w:val="24"/>
        </w:rPr>
        <w:t>In the previous proceedings i</w:t>
      </w:r>
      <w:r w:rsidR="00AF5921">
        <w:rPr>
          <w:rFonts w:ascii="Arial" w:hAnsi="Arial" w:cs="Arial"/>
          <w:sz w:val="24"/>
          <w:szCs w:val="24"/>
        </w:rPr>
        <w:t>t had sought to not</w:t>
      </w:r>
      <w:r w:rsidR="00D57A67">
        <w:rPr>
          <w:rFonts w:ascii="Arial" w:hAnsi="Arial" w:cs="Arial"/>
          <w:sz w:val="24"/>
          <w:szCs w:val="24"/>
        </w:rPr>
        <w:t>e</w:t>
      </w:r>
      <w:r w:rsidR="00AF5921">
        <w:rPr>
          <w:rFonts w:ascii="Arial" w:hAnsi="Arial" w:cs="Arial"/>
          <w:sz w:val="24"/>
          <w:szCs w:val="24"/>
        </w:rPr>
        <w:t xml:space="preserve"> an appeal against an arbitration award of an arbitrator given under section 86 of the Labor Act</w:t>
      </w:r>
      <w:r w:rsidR="00AF5921">
        <w:rPr>
          <w:rStyle w:val="FootnoteReference"/>
          <w:rFonts w:ascii="Arial" w:hAnsi="Arial"/>
          <w:sz w:val="24"/>
          <w:szCs w:val="24"/>
        </w:rPr>
        <w:footnoteReference w:id="1"/>
      </w:r>
      <w:r w:rsidR="00AF5921">
        <w:rPr>
          <w:rFonts w:ascii="Arial" w:hAnsi="Arial" w:cs="Arial"/>
          <w:sz w:val="24"/>
          <w:szCs w:val="24"/>
        </w:rPr>
        <w:t>.  Appeals lie to the high court in terms of section 89 read with section 117(1)(a)(ii) of the Labour Act.  In terms of section 18 of the Supreme Court Act</w:t>
      </w:r>
      <w:r w:rsidR="00AF5921">
        <w:rPr>
          <w:rStyle w:val="FootnoteReference"/>
          <w:rFonts w:ascii="Arial" w:hAnsi="Arial"/>
          <w:sz w:val="24"/>
          <w:szCs w:val="24"/>
        </w:rPr>
        <w:footnoteReference w:id="2"/>
      </w:r>
      <w:r w:rsidR="00CE34EC">
        <w:rPr>
          <w:rFonts w:ascii="Arial" w:hAnsi="Arial" w:cs="Arial"/>
          <w:sz w:val="24"/>
          <w:szCs w:val="24"/>
        </w:rPr>
        <w:t>:</w:t>
      </w:r>
    </w:p>
    <w:p w:rsidR="00CE34EC" w:rsidRDefault="00CE34EC" w:rsidP="0090389F">
      <w:pPr>
        <w:widowControl w:val="0"/>
        <w:autoSpaceDE w:val="0"/>
        <w:autoSpaceDN w:val="0"/>
        <w:adjustRightInd w:val="0"/>
        <w:spacing w:line="360" w:lineRule="auto"/>
        <w:jc w:val="both"/>
        <w:rPr>
          <w:rFonts w:ascii="Arial" w:hAnsi="Arial" w:cs="Arial"/>
          <w:sz w:val="24"/>
          <w:szCs w:val="24"/>
        </w:rPr>
      </w:pPr>
    </w:p>
    <w:p w:rsidR="00CE34EC" w:rsidRPr="00CE34EC" w:rsidRDefault="00CE34EC" w:rsidP="0090389F">
      <w:pPr>
        <w:widowControl w:val="0"/>
        <w:autoSpaceDE w:val="0"/>
        <w:autoSpaceDN w:val="0"/>
        <w:adjustRightInd w:val="0"/>
        <w:spacing w:line="360" w:lineRule="auto"/>
        <w:jc w:val="both"/>
        <w:rPr>
          <w:rFonts w:ascii="Arial" w:hAnsi="Arial" w:cs="Arial"/>
        </w:rPr>
      </w:pPr>
      <w:r w:rsidRPr="00CE34EC">
        <w:rPr>
          <w:rFonts w:ascii="Arial" w:hAnsi="Arial" w:cs="Arial"/>
        </w:rPr>
        <w:tab/>
        <w:t>‘(1)</w:t>
      </w:r>
      <w:r w:rsidRPr="00CE34EC">
        <w:rPr>
          <w:rFonts w:ascii="Arial" w:hAnsi="Arial" w:cs="Arial"/>
        </w:rPr>
        <w:tab/>
        <w:t>An appeal from a judgment or order of the High Court in any civil proceedings or against any judgment or order of the High Court given on appeal shall, except in so far as this section otherwise provides, be heard by the Supreme Court.</w:t>
      </w:r>
    </w:p>
    <w:p w:rsidR="00CE34EC" w:rsidRPr="00CE34EC" w:rsidRDefault="00CE34EC" w:rsidP="00CE34EC">
      <w:pPr>
        <w:widowControl w:val="0"/>
        <w:autoSpaceDE w:val="0"/>
        <w:autoSpaceDN w:val="0"/>
        <w:adjustRightInd w:val="0"/>
        <w:spacing w:line="360" w:lineRule="auto"/>
        <w:ind w:left="1440" w:hanging="720"/>
        <w:jc w:val="both"/>
        <w:rPr>
          <w:rFonts w:ascii="Arial" w:hAnsi="Arial" w:cs="Arial"/>
        </w:rPr>
      </w:pPr>
      <w:r w:rsidRPr="00CE34EC">
        <w:rPr>
          <w:rFonts w:ascii="Arial" w:hAnsi="Arial" w:cs="Arial"/>
        </w:rPr>
        <w:t>(2)</w:t>
      </w:r>
      <w:r w:rsidRPr="00CE34EC">
        <w:rPr>
          <w:rFonts w:ascii="Arial" w:hAnsi="Arial" w:cs="Arial"/>
        </w:rPr>
        <w:tab/>
        <w:t>An appeal from any judgment or order of the High Court in civil proceedings</w:t>
      </w:r>
      <w:r>
        <w:rPr>
          <w:rFonts w:ascii="Arial" w:hAnsi="Arial" w:cs="Arial"/>
        </w:rPr>
        <w:t xml:space="preserve"> </w:t>
      </w:r>
      <w:r w:rsidRPr="00CE34EC">
        <w:rPr>
          <w:rFonts w:ascii="Arial" w:hAnsi="Arial" w:cs="Arial"/>
        </w:rPr>
        <w:t>shall lie</w:t>
      </w:r>
    </w:p>
    <w:p w:rsidR="00CE34EC" w:rsidRPr="00CE34EC" w:rsidRDefault="00CE34EC" w:rsidP="00CE34EC">
      <w:pPr>
        <w:widowControl w:val="0"/>
        <w:autoSpaceDE w:val="0"/>
        <w:autoSpaceDN w:val="0"/>
        <w:adjustRightInd w:val="0"/>
        <w:spacing w:line="360" w:lineRule="auto"/>
        <w:ind w:left="2160" w:hanging="720"/>
        <w:jc w:val="both"/>
        <w:rPr>
          <w:rFonts w:ascii="Arial" w:hAnsi="Arial" w:cs="Arial"/>
        </w:rPr>
      </w:pPr>
      <w:r w:rsidRPr="00CE34EC">
        <w:rPr>
          <w:rFonts w:ascii="Arial" w:hAnsi="Arial" w:cs="Arial"/>
        </w:rPr>
        <w:t>(a)</w:t>
      </w:r>
      <w:r w:rsidRPr="00CE34EC">
        <w:rPr>
          <w:rFonts w:ascii="Arial" w:hAnsi="Arial" w:cs="Arial"/>
        </w:rPr>
        <w:tab/>
        <w:t>In the case of that court sitting as a court of first instance, whether a full court or otherwise, to the Supreme Court, as of right, and no leave to appeal shall be required;</w:t>
      </w:r>
    </w:p>
    <w:p w:rsidR="0090389F" w:rsidRPr="00CE34EC" w:rsidRDefault="00CE34EC" w:rsidP="00CE34EC">
      <w:pPr>
        <w:widowControl w:val="0"/>
        <w:autoSpaceDE w:val="0"/>
        <w:autoSpaceDN w:val="0"/>
        <w:adjustRightInd w:val="0"/>
        <w:spacing w:line="360" w:lineRule="auto"/>
        <w:ind w:left="2160" w:hanging="720"/>
        <w:jc w:val="both"/>
        <w:rPr>
          <w:rFonts w:ascii="Arial" w:hAnsi="Arial" w:cs="Arial"/>
        </w:rPr>
      </w:pPr>
      <w:r w:rsidRPr="00CE34EC">
        <w:rPr>
          <w:rFonts w:ascii="Arial" w:hAnsi="Arial" w:cs="Arial"/>
        </w:rPr>
        <w:t>(b)</w:t>
      </w:r>
      <w:r w:rsidRPr="00CE34EC">
        <w:rPr>
          <w:rFonts w:ascii="Arial" w:hAnsi="Arial" w:cs="Arial"/>
        </w:rPr>
        <w:tab/>
        <w:t>In the case of that court sitting as a court of appeal, whether the full court or otherwise, to the Supreme Court if leave to appeal is granted by the court which has given the judgment or has made the order or, in the event of such leave being refused, leave to appeal is granted by the Supreme Court.</w:t>
      </w:r>
      <w:r>
        <w:rPr>
          <w:rFonts w:ascii="Arial" w:hAnsi="Arial" w:cs="Arial"/>
        </w:rPr>
        <w:t>’</w:t>
      </w:r>
      <w:r w:rsidRPr="00CE34EC">
        <w:rPr>
          <w:rFonts w:ascii="Arial" w:hAnsi="Arial" w:cs="Arial"/>
        </w:rPr>
        <w:t xml:space="preserve"> </w:t>
      </w:r>
      <w:r w:rsidR="0090389F" w:rsidRPr="00CE34EC">
        <w:rPr>
          <w:rFonts w:ascii="Arial" w:hAnsi="Arial" w:cs="Arial"/>
        </w:rPr>
        <w:t xml:space="preserve"> </w:t>
      </w:r>
    </w:p>
    <w:p w:rsidR="00CE34EC" w:rsidRDefault="00CE34EC" w:rsidP="0090389F">
      <w:pPr>
        <w:widowControl w:val="0"/>
        <w:autoSpaceDE w:val="0"/>
        <w:autoSpaceDN w:val="0"/>
        <w:adjustRightInd w:val="0"/>
        <w:spacing w:line="360" w:lineRule="auto"/>
        <w:jc w:val="both"/>
        <w:rPr>
          <w:rFonts w:ascii="Arial" w:hAnsi="Arial" w:cs="Arial"/>
          <w:bCs/>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bCs/>
          <w:sz w:val="24"/>
          <w:szCs w:val="24"/>
        </w:rPr>
      </w:pPr>
      <w:r>
        <w:rPr>
          <w:rFonts w:ascii="Arial" w:hAnsi="Arial" w:cs="Arial"/>
          <w:bCs/>
          <w:sz w:val="24"/>
          <w:szCs w:val="24"/>
        </w:rPr>
        <w:t xml:space="preserve">[2]  </w:t>
      </w:r>
      <w:r w:rsidRPr="0090389F">
        <w:rPr>
          <w:rFonts w:ascii="Arial" w:hAnsi="Arial" w:cs="Arial"/>
          <w:bCs/>
          <w:sz w:val="24"/>
          <w:szCs w:val="24"/>
        </w:rPr>
        <w:t xml:space="preserve">The first question that arises is whether or not leave to appeal is required. In his prefatory remarks, Mr Heathcote SC, for the applicant, commented on whether or not, given that the court </w:t>
      </w:r>
      <w:r w:rsidR="00985A68">
        <w:rPr>
          <w:rFonts w:ascii="Arial" w:hAnsi="Arial" w:cs="Arial"/>
          <w:bCs/>
          <w:sz w:val="24"/>
          <w:szCs w:val="24"/>
        </w:rPr>
        <w:t>‘</w:t>
      </w:r>
      <w:r w:rsidRPr="0090389F">
        <w:rPr>
          <w:rFonts w:ascii="Arial" w:hAnsi="Arial" w:cs="Arial"/>
          <w:bCs/>
          <w:sz w:val="24"/>
          <w:szCs w:val="24"/>
        </w:rPr>
        <w:t>dismissed</w:t>
      </w:r>
      <w:r w:rsidR="00985A68">
        <w:rPr>
          <w:rFonts w:ascii="Arial" w:hAnsi="Arial" w:cs="Arial"/>
          <w:bCs/>
          <w:sz w:val="24"/>
          <w:szCs w:val="24"/>
        </w:rPr>
        <w:t>’</w:t>
      </w:r>
      <w:r w:rsidRPr="0090389F">
        <w:rPr>
          <w:rFonts w:ascii="Arial" w:hAnsi="Arial" w:cs="Arial"/>
          <w:bCs/>
          <w:sz w:val="24"/>
          <w:szCs w:val="24"/>
        </w:rPr>
        <w:t xml:space="preserve"> the application for condonation as opposed to </w:t>
      </w:r>
      <w:r w:rsidR="00985A68">
        <w:rPr>
          <w:rFonts w:ascii="Arial" w:hAnsi="Arial" w:cs="Arial"/>
          <w:bCs/>
          <w:sz w:val="24"/>
          <w:szCs w:val="24"/>
        </w:rPr>
        <w:lastRenderedPageBreak/>
        <w:t>‘</w:t>
      </w:r>
      <w:r w:rsidRPr="0090389F">
        <w:rPr>
          <w:rFonts w:ascii="Arial" w:hAnsi="Arial" w:cs="Arial"/>
          <w:bCs/>
          <w:sz w:val="24"/>
          <w:szCs w:val="24"/>
        </w:rPr>
        <w:t>striking</w:t>
      </w:r>
      <w:r w:rsidR="00985A68">
        <w:rPr>
          <w:rFonts w:ascii="Arial" w:hAnsi="Arial" w:cs="Arial"/>
          <w:bCs/>
          <w:sz w:val="24"/>
          <w:szCs w:val="24"/>
        </w:rPr>
        <w:t>’</w:t>
      </w:r>
      <w:r w:rsidRPr="0090389F">
        <w:rPr>
          <w:rFonts w:ascii="Arial" w:hAnsi="Arial" w:cs="Arial"/>
          <w:bCs/>
          <w:sz w:val="24"/>
          <w:szCs w:val="24"/>
        </w:rPr>
        <w:t xml:space="preserve"> it from the roll, it was necessary to obtain leave. He implied in so submitting that only if the matter w</w:t>
      </w:r>
      <w:r w:rsidR="00985A68">
        <w:rPr>
          <w:rFonts w:ascii="Arial" w:hAnsi="Arial" w:cs="Arial"/>
          <w:bCs/>
          <w:sz w:val="24"/>
          <w:szCs w:val="24"/>
        </w:rPr>
        <w:t>ere</w:t>
      </w:r>
      <w:r w:rsidRPr="0090389F">
        <w:rPr>
          <w:rFonts w:ascii="Arial" w:hAnsi="Arial" w:cs="Arial"/>
          <w:bCs/>
          <w:sz w:val="24"/>
          <w:szCs w:val="24"/>
        </w:rPr>
        <w:t xml:space="preserve"> struck was leave required and that in the event it was dismissed, there was a right of appeal to the supreme court as of right. Mr Heathcote referred me to the matter (a criminal case) of </w:t>
      </w:r>
      <w:r w:rsidRPr="00985A68">
        <w:rPr>
          <w:rFonts w:ascii="Arial" w:hAnsi="Arial" w:cs="Arial"/>
          <w:bCs/>
          <w:i/>
          <w:sz w:val="24"/>
          <w:szCs w:val="24"/>
        </w:rPr>
        <w:t>S v Nakale</w:t>
      </w:r>
      <w:r w:rsidRPr="0090389F">
        <w:rPr>
          <w:rStyle w:val="FootnoteReference"/>
          <w:rFonts w:ascii="Arial" w:hAnsi="Arial" w:cs="Arial"/>
          <w:bCs/>
          <w:sz w:val="24"/>
          <w:szCs w:val="24"/>
        </w:rPr>
        <w:footnoteReference w:id="3"/>
      </w:r>
      <w:r w:rsidRPr="0090389F">
        <w:rPr>
          <w:rFonts w:ascii="Arial" w:hAnsi="Arial" w:cs="Arial"/>
          <w:bCs/>
          <w:sz w:val="24"/>
          <w:szCs w:val="24"/>
        </w:rPr>
        <w:t>.  In that case the Chief Justice, writing for the court, held that where on an appeal noted to it, the high court did not consider the merits of the appeal other than in the context of the application for condonation, but only decided and refused the application for condonation for the late noting of the appeal, an appellant was entitled to appeal to the supreme court against the decision refusing condonation, as of right.</w:t>
      </w:r>
      <w:r w:rsidRPr="0090389F">
        <w:rPr>
          <w:rStyle w:val="FootnoteReference"/>
          <w:rFonts w:ascii="Arial" w:hAnsi="Arial" w:cs="Arial"/>
          <w:bCs/>
          <w:sz w:val="24"/>
          <w:szCs w:val="24"/>
        </w:rPr>
        <w:footnoteReference w:id="4"/>
      </w:r>
      <w:r w:rsidRPr="0090389F">
        <w:rPr>
          <w:rFonts w:ascii="Arial" w:hAnsi="Arial" w:cs="Arial"/>
          <w:bCs/>
          <w:sz w:val="24"/>
          <w:szCs w:val="24"/>
        </w:rPr>
        <w:t xml:space="preserve">  Clearly, the Chief Justice meant such right inured in the situation where the high court on account of the order it had made- regardless of language used- had become functus officio and could no longer revisit the previous order. I cannot conceive a circumstance where, after mere striking from the roll, there could, even with leave, be an appeal to the supreme court -  because in such a circumstance the party whose application is struck has the right to ask the high court to have the matter relooked upon fresh papers. I dismissed the application </w:t>
      </w:r>
      <w:r w:rsidR="00985A68">
        <w:rPr>
          <w:rFonts w:ascii="Arial" w:hAnsi="Arial" w:cs="Arial"/>
          <w:bCs/>
          <w:sz w:val="24"/>
          <w:szCs w:val="24"/>
        </w:rPr>
        <w:t xml:space="preserve">for condonation </w:t>
      </w:r>
      <w:r w:rsidRPr="0090389F">
        <w:rPr>
          <w:rFonts w:ascii="Arial" w:hAnsi="Arial" w:cs="Arial"/>
          <w:bCs/>
          <w:sz w:val="24"/>
          <w:szCs w:val="24"/>
        </w:rPr>
        <w:t>and in that way this court had bec</w:t>
      </w:r>
      <w:r w:rsidR="00985A68">
        <w:rPr>
          <w:rFonts w:ascii="Arial" w:hAnsi="Arial" w:cs="Arial"/>
          <w:bCs/>
          <w:sz w:val="24"/>
          <w:szCs w:val="24"/>
        </w:rPr>
        <w:t>a</w:t>
      </w:r>
      <w:r w:rsidRPr="0090389F">
        <w:rPr>
          <w:rFonts w:ascii="Arial" w:hAnsi="Arial" w:cs="Arial"/>
          <w:bCs/>
          <w:sz w:val="24"/>
          <w:szCs w:val="24"/>
        </w:rPr>
        <w:t>me functus</w:t>
      </w:r>
      <w:r w:rsidR="00985A68">
        <w:rPr>
          <w:rFonts w:ascii="Arial" w:hAnsi="Arial" w:cs="Arial"/>
          <w:bCs/>
          <w:sz w:val="24"/>
          <w:szCs w:val="24"/>
        </w:rPr>
        <w:t xml:space="preserve"> officio</w:t>
      </w:r>
      <w:r w:rsidRPr="0090389F">
        <w:rPr>
          <w:rFonts w:ascii="Arial" w:hAnsi="Arial" w:cs="Arial"/>
          <w:bCs/>
          <w:sz w:val="24"/>
          <w:szCs w:val="24"/>
        </w:rPr>
        <w:t xml:space="preserve">.  Based on the facts before me, I am </w:t>
      </w:r>
      <w:r w:rsidR="00985A68">
        <w:rPr>
          <w:rFonts w:ascii="Arial" w:hAnsi="Arial" w:cs="Arial"/>
          <w:bCs/>
          <w:sz w:val="24"/>
          <w:szCs w:val="24"/>
        </w:rPr>
        <w:t>not p</w:t>
      </w:r>
      <w:r w:rsidRPr="0090389F">
        <w:rPr>
          <w:rFonts w:ascii="Arial" w:hAnsi="Arial" w:cs="Arial"/>
          <w:bCs/>
          <w:sz w:val="24"/>
          <w:szCs w:val="24"/>
        </w:rPr>
        <w:t xml:space="preserve">ersuaded that the dichotomy of ‘striking’ </w:t>
      </w:r>
      <w:r w:rsidR="00985A68">
        <w:rPr>
          <w:rFonts w:ascii="Arial" w:hAnsi="Arial" w:cs="Arial"/>
          <w:bCs/>
          <w:sz w:val="24"/>
          <w:szCs w:val="24"/>
        </w:rPr>
        <w:t>versus</w:t>
      </w:r>
      <w:r w:rsidRPr="0090389F">
        <w:rPr>
          <w:rFonts w:ascii="Arial" w:hAnsi="Arial" w:cs="Arial"/>
          <w:bCs/>
          <w:sz w:val="24"/>
          <w:szCs w:val="24"/>
        </w:rPr>
        <w:t xml:space="preserve"> ‘dismissal’ is a credible one. The applicant cannot pursue the application for condonation in the </w:t>
      </w:r>
      <w:r w:rsidR="00985A68">
        <w:rPr>
          <w:rFonts w:ascii="Arial" w:hAnsi="Arial" w:cs="Arial"/>
          <w:bCs/>
          <w:sz w:val="24"/>
          <w:szCs w:val="24"/>
        </w:rPr>
        <w:t>h</w:t>
      </w:r>
      <w:r w:rsidRPr="0090389F">
        <w:rPr>
          <w:rFonts w:ascii="Arial" w:hAnsi="Arial" w:cs="Arial"/>
          <w:bCs/>
          <w:sz w:val="24"/>
          <w:szCs w:val="24"/>
        </w:rPr>
        <w:t>igh court again</w:t>
      </w:r>
      <w:r w:rsidR="009D570D">
        <w:rPr>
          <w:rFonts w:ascii="Arial" w:hAnsi="Arial" w:cs="Arial"/>
          <w:bCs/>
          <w:sz w:val="24"/>
          <w:szCs w:val="24"/>
        </w:rPr>
        <w:t xml:space="preserve">:  </w:t>
      </w:r>
      <w:r w:rsidRPr="0090389F">
        <w:rPr>
          <w:rFonts w:ascii="Arial" w:hAnsi="Arial" w:cs="Arial"/>
          <w:bCs/>
          <w:sz w:val="24"/>
          <w:szCs w:val="24"/>
        </w:rPr>
        <w:t>The door is closed.</w:t>
      </w:r>
    </w:p>
    <w:p w:rsidR="0090389F" w:rsidRDefault="0090389F" w:rsidP="0090389F">
      <w:pPr>
        <w:widowControl w:val="0"/>
        <w:autoSpaceDE w:val="0"/>
        <w:autoSpaceDN w:val="0"/>
        <w:adjustRightInd w:val="0"/>
        <w:spacing w:line="360" w:lineRule="auto"/>
        <w:jc w:val="both"/>
        <w:rPr>
          <w:rFonts w:ascii="Arial" w:hAnsi="Arial" w:cs="Arial"/>
          <w:sz w:val="24"/>
          <w:szCs w:val="24"/>
        </w:rPr>
      </w:pPr>
    </w:p>
    <w:p w:rsidR="0090389F"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[3]  </w:t>
      </w:r>
      <w:r w:rsidRPr="0090389F">
        <w:rPr>
          <w:rFonts w:ascii="Arial" w:hAnsi="Arial" w:cs="Arial"/>
          <w:sz w:val="24"/>
          <w:szCs w:val="24"/>
        </w:rPr>
        <w:t>The applicant has however proceeded to pursue the application for leave to appeal on the basis it requires leave. The respondent too appears to accept that the applicant indeed requires leave. I will assume, without deciding, that leave to appeal is required.</w:t>
      </w: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[4]  </w:t>
      </w:r>
      <w:r w:rsidRPr="0090389F">
        <w:rPr>
          <w:rFonts w:ascii="Arial" w:hAnsi="Arial" w:cs="Arial"/>
          <w:sz w:val="24"/>
          <w:szCs w:val="24"/>
        </w:rPr>
        <w:t xml:space="preserve">As I explained in my judgment against which leave to appeal is now sought, in an application for condonation to pursue an appeal out of time, prospects of success on the merits </w:t>
      </w:r>
      <w:r w:rsidR="009D570D">
        <w:rPr>
          <w:rFonts w:ascii="Arial" w:hAnsi="Arial" w:cs="Arial"/>
          <w:sz w:val="24"/>
          <w:szCs w:val="24"/>
        </w:rPr>
        <w:t xml:space="preserve">is </w:t>
      </w:r>
      <w:r w:rsidRPr="0090389F">
        <w:rPr>
          <w:rFonts w:ascii="Arial" w:hAnsi="Arial" w:cs="Arial"/>
          <w:sz w:val="24"/>
          <w:szCs w:val="24"/>
        </w:rPr>
        <w:t xml:space="preserve">not decisive. That is so because there is also the countervailing public interest in the finality of litigation. In any event, I did consider the prospects of success and concluded that there </w:t>
      </w:r>
      <w:r w:rsidR="009D570D">
        <w:rPr>
          <w:rFonts w:ascii="Arial" w:hAnsi="Arial" w:cs="Arial"/>
          <w:sz w:val="24"/>
          <w:szCs w:val="24"/>
        </w:rPr>
        <w:t xml:space="preserve">was </w:t>
      </w:r>
      <w:r w:rsidRPr="0090389F">
        <w:rPr>
          <w:rFonts w:ascii="Arial" w:hAnsi="Arial" w:cs="Arial"/>
          <w:sz w:val="24"/>
          <w:szCs w:val="24"/>
        </w:rPr>
        <w:t xml:space="preserve">none on what I defined as the crucial issue </w:t>
      </w:r>
      <w:r w:rsidRPr="0090389F">
        <w:rPr>
          <w:rFonts w:ascii="Arial" w:hAnsi="Arial" w:cs="Arial"/>
          <w:sz w:val="24"/>
          <w:szCs w:val="24"/>
        </w:rPr>
        <w:lastRenderedPageBreak/>
        <w:t xml:space="preserve">that fell for determination by the arbitrator. I reasoned that even if I was wrong on that question, I would refuse the condonation application as I considered it palpably lacking in a satisfactory explanation for the delay and that the entire period of the delay was not explained on the standard set by the authorities. My conclusion on that score remains as constant as the northern star. In doing so I exercised a discretion which the </w:t>
      </w:r>
      <w:r w:rsidR="009D570D">
        <w:rPr>
          <w:rFonts w:ascii="Arial" w:hAnsi="Arial" w:cs="Arial"/>
          <w:sz w:val="24"/>
          <w:szCs w:val="24"/>
        </w:rPr>
        <w:t>s</w:t>
      </w:r>
      <w:r w:rsidRPr="0090389F">
        <w:rPr>
          <w:rFonts w:ascii="Arial" w:hAnsi="Arial" w:cs="Arial"/>
          <w:sz w:val="24"/>
          <w:szCs w:val="24"/>
        </w:rPr>
        <w:t>upreme</w:t>
      </w:r>
      <w:r w:rsidR="009D570D">
        <w:rPr>
          <w:rFonts w:ascii="Arial" w:hAnsi="Arial" w:cs="Arial"/>
          <w:sz w:val="24"/>
          <w:szCs w:val="24"/>
        </w:rPr>
        <w:t xml:space="preserve"> c</w:t>
      </w:r>
      <w:r w:rsidRPr="0090389F">
        <w:rPr>
          <w:rFonts w:ascii="Arial" w:hAnsi="Arial" w:cs="Arial"/>
          <w:sz w:val="24"/>
          <w:szCs w:val="24"/>
        </w:rPr>
        <w:t>ourt may only fault if I abused my discretion or blundered in the exercise thereof. Have I blundered? The suggestion that comes close to suggesting that I did is embodied in the alleged grounds that:</w:t>
      </w:r>
    </w:p>
    <w:p w:rsidR="0090389F" w:rsidRPr="0090389F" w:rsidRDefault="0090389F" w:rsidP="009D570D">
      <w:pPr>
        <w:widowControl w:val="0"/>
        <w:autoSpaceDE w:val="0"/>
        <w:autoSpaceDN w:val="0"/>
        <w:adjustRightInd w:val="0"/>
        <w:spacing w:line="360" w:lineRule="auto"/>
        <w:ind w:left="1440" w:hanging="720"/>
        <w:jc w:val="both"/>
        <w:rPr>
          <w:rFonts w:ascii="Arial" w:hAnsi="Arial" w:cs="Arial"/>
          <w:sz w:val="24"/>
          <w:szCs w:val="24"/>
        </w:rPr>
      </w:pPr>
      <w:r w:rsidRPr="0090389F">
        <w:rPr>
          <w:rFonts w:ascii="Arial" w:hAnsi="Arial" w:cs="Arial"/>
          <w:sz w:val="24"/>
          <w:szCs w:val="24"/>
        </w:rPr>
        <w:t>(a)</w:t>
      </w:r>
      <w:r w:rsidR="009D570D">
        <w:rPr>
          <w:rFonts w:ascii="Arial" w:hAnsi="Arial" w:cs="Arial"/>
          <w:sz w:val="24"/>
          <w:szCs w:val="24"/>
        </w:rPr>
        <w:tab/>
      </w:r>
      <w:r w:rsidRPr="0090389F">
        <w:rPr>
          <w:rFonts w:ascii="Arial" w:hAnsi="Arial" w:cs="Arial"/>
          <w:sz w:val="24"/>
          <w:szCs w:val="24"/>
        </w:rPr>
        <w:t>I relied for the exercise of the discretion on a factor which was not raised by the parties which, so it is said, were in any event explained in allegations made in another case involving the same parties;</w:t>
      </w:r>
    </w:p>
    <w:p w:rsidR="0090389F" w:rsidRPr="0090389F" w:rsidRDefault="0090389F" w:rsidP="008005F4">
      <w:pPr>
        <w:widowControl w:val="0"/>
        <w:autoSpaceDE w:val="0"/>
        <w:autoSpaceDN w:val="0"/>
        <w:adjustRightInd w:val="0"/>
        <w:spacing w:line="360" w:lineRule="auto"/>
        <w:ind w:firstLine="720"/>
        <w:jc w:val="both"/>
        <w:rPr>
          <w:rFonts w:ascii="Arial" w:hAnsi="Arial" w:cs="Arial"/>
          <w:sz w:val="24"/>
          <w:szCs w:val="24"/>
        </w:rPr>
      </w:pPr>
      <w:r w:rsidRPr="0090389F">
        <w:rPr>
          <w:rFonts w:ascii="Arial" w:hAnsi="Arial" w:cs="Arial"/>
          <w:sz w:val="24"/>
          <w:szCs w:val="24"/>
        </w:rPr>
        <w:t>(b)</w:t>
      </w:r>
      <w:r w:rsidR="00CE34EC">
        <w:rPr>
          <w:rFonts w:ascii="Arial" w:hAnsi="Arial" w:cs="Arial"/>
          <w:sz w:val="24"/>
          <w:szCs w:val="24"/>
        </w:rPr>
        <w:tab/>
      </w:r>
      <w:r w:rsidRPr="0090389F">
        <w:rPr>
          <w:rFonts w:ascii="Arial" w:hAnsi="Arial" w:cs="Arial"/>
          <w:sz w:val="24"/>
          <w:szCs w:val="24"/>
        </w:rPr>
        <w:t>I disregarded concessions made by the respondent's counsel.</w:t>
      </w:r>
    </w:p>
    <w:p w:rsidR="0090389F" w:rsidRDefault="0090389F" w:rsidP="0090389F">
      <w:pPr>
        <w:widowControl w:val="0"/>
        <w:autoSpaceDE w:val="0"/>
        <w:autoSpaceDN w:val="0"/>
        <w:adjustRightInd w:val="0"/>
        <w:spacing w:line="360" w:lineRule="auto"/>
        <w:jc w:val="both"/>
        <w:rPr>
          <w:rFonts w:ascii="Arial" w:hAnsi="Arial" w:cs="Arial"/>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[5]  </w:t>
      </w:r>
      <w:r w:rsidRPr="0090389F">
        <w:rPr>
          <w:rFonts w:ascii="Arial" w:hAnsi="Arial" w:cs="Arial"/>
          <w:sz w:val="24"/>
          <w:szCs w:val="24"/>
        </w:rPr>
        <w:t xml:space="preserve">As regards the concessions made by the respondent's counsel, they related to whether or not there was evidence before the arbitrator that all the respondents were parties to the dispute then serving before the arbitrator. First of all, I am not bound by any concession made by counsel on a legal question. Secondly, I did consider that issue at some length and came to the conclusion that it was not fatal. For the avoidance of doubt, I had come to the conclusion that the applicant is entitled to resist enforcement by any person who in its view </w:t>
      </w:r>
      <w:r w:rsidR="009D570D">
        <w:rPr>
          <w:rFonts w:ascii="Arial" w:hAnsi="Arial" w:cs="Arial"/>
          <w:sz w:val="24"/>
          <w:szCs w:val="24"/>
        </w:rPr>
        <w:t>(</w:t>
      </w:r>
      <w:r w:rsidRPr="0090389F">
        <w:rPr>
          <w:rFonts w:ascii="Arial" w:hAnsi="Arial" w:cs="Arial"/>
          <w:sz w:val="24"/>
          <w:szCs w:val="24"/>
        </w:rPr>
        <w:t xml:space="preserve">as </w:t>
      </w:r>
      <w:r w:rsidR="009D570D">
        <w:rPr>
          <w:rFonts w:ascii="Arial" w:hAnsi="Arial" w:cs="Arial"/>
          <w:sz w:val="24"/>
          <w:szCs w:val="24"/>
        </w:rPr>
        <w:t>alleged</w:t>
      </w:r>
      <w:r w:rsidR="00CE34EC">
        <w:rPr>
          <w:rFonts w:ascii="Arial" w:hAnsi="Arial" w:cs="Arial"/>
          <w:sz w:val="24"/>
          <w:szCs w:val="24"/>
        </w:rPr>
        <w:t>ly</w:t>
      </w:r>
      <w:r w:rsidR="009D570D">
        <w:rPr>
          <w:rFonts w:ascii="Arial" w:hAnsi="Arial" w:cs="Arial"/>
          <w:sz w:val="24"/>
          <w:szCs w:val="24"/>
        </w:rPr>
        <w:t xml:space="preserve"> </w:t>
      </w:r>
      <w:r w:rsidRPr="0090389F">
        <w:rPr>
          <w:rFonts w:ascii="Arial" w:hAnsi="Arial" w:cs="Arial"/>
          <w:sz w:val="24"/>
          <w:szCs w:val="24"/>
        </w:rPr>
        <w:t>supported by the records it now says it has and were allegedly submitted to the arbitrator but ignored</w:t>
      </w:r>
      <w:r w:rsidR="009D570D">
        <w:rPr>
          <w:rFonts w:ascii="Arial" w:hAnsi="Arial" w:cs="Arial"/>
          <w:sz w:val="24"/>
          <w:szCs w:val="24"/>
        </w:rPr>
        <w:t>)</w:t>
      </w:r>
      <w:r w:rsidRPr="0090389F">
        <w:rPr>
          <w:rFonts w:ascii="Arial" w:hAnsi="Arial" w:cs="Arial"/>
          <w:sz w:val="24"/>
          <w:szCs w:val="24"/>
        </w:rPr>
        <w:t xml:space="preserve"> had already been paid the very amounts sought to be enforced. I referred to authority in that regard. What it is not entitled to do on the terms of my judgment, is to escape liability to a person falling in the class of the respondents as regards severance </w:t>
      </w:r>
      <w:r w:rsidR="009D570D">
        <w:rPr>
          <w:rFonts w:ascii="Arial" w:hAnsi="Arial" w:cs="Arial"/>
          <w:sz w:val="24"/>
          <w:szCs w:val="24"/>
        </w:rPr>
        <w:t xml:space="preserve">and accrued leave </w:t>
      </w:r>
      <w:r w:rsidRPr="0090389F">
        <w:rPr>
          <w:rFonts w:ascii="Arial" w:hAnsi="Arial" w:cs="Arial"/>
          <w:sz w:val="24"/>
          <w:szCs w:val="24"/>
        </w:rPr>
        <w:t>pay for the period they had been in the employ of the applicant</w:t>
      </w:r>
      <w:r w:rsidR="009D570D">
        <w:rPr>
          <w:rFonts w:ascii="Arial" w:hAnsi="Arial" w:cs="Arial"/>
          <w:sz w:val="24"/>
          <w:szCs w:val="24"/>
        </w:rPr>
        <w:t>,</w:t>
      </w:r>
      <w:r w:rsidRPr="0090389F">
        <w:rPr>
          <w:rFonts w:ascii="Arial" w:hAnsi="Arial" w:cs="Arial"/>
          <w:sz w:val="24"/>
          <w:szCs w:val="24"/>
        </w:rPr>
        <w:t xml:space="preserve"> as found by the arbitrator. That is the import of my conclusion on the merits. Even if I am wrong on that </w:t>
      </w:r>
      <w:r w:rsidR="009D570D">
        <w:rPr>
          <w:rFonts w:ascii="Arial" w:hAnsi="Arial" w:cs="Arial"/>
          <w:sz w:val="24"/>
          <w:szCs w:val="24"/>
        </w:rPr>
        <w:t xml:space="preserve">score </w:t>
      </w:r>
      <w:r w:rsidRPr="0090389F">
        <w:rPr>
          <w:rFonts w:ascii="Arial" w:hAnsi="Arial" w:cs="Arial"/>
          <w:sz w:val="24"/>
          <w:szCs w:val="24"/>
        </w:rPr>
        <w:t xml:space="preserve">and the </w:t>
      </w:r>
      <w:r w:rsidR="009D570D">
        <w:rPr>
          <w:rFonts w:ascii="Arial" w:hAnsi="Arial" w:cs="Arial"/>
          <w:sz w:val="24"/>
          <w:szCs w:val="24"/>
        </w:rPr>
        <w:t>s</w:t>
      </w:r>
      <w:r w:rsidRPr="0090389F">
        <w:rPr>
          <w:rFonts w:ascii="Arial" w:hAnsi="Arial" w:cs="Arial"/>
          <w:sz w:val="24"/>
          <w:szCs w:val="24"/>
        </w:rPr>
        <w:t xml:space="preserve">upreme </w:t>
      </w:r>
      <w:r w:rsidR="009D570D">
        <w:rPr>
          <w:rFonts w:ascii="Arial" w:hAnsi="Arial" w:cs="Arial"/>
          <w:sz w:val="24"/>
          <w:szCs w:val="24"/>
        </w:rPr>
        <w:t>c</w:t>
      </w:r>
      <w:r w:rsidRPr="0090389F">
        <w:rPr>
          <w:rFonts w:ascii="Arial" w:hAnsi="Arial" w:cs="Arial"/>
          <w:sz w:val="24"/>
          <w:szCs w:val="24"/>
        </w:rPr>
        <w:t>ourt c</w:t>
      </w:r>
      <w:r w:rsidR="009D570D">
        <w:rPr>
          <w:rFonts w:ascii="Arial" w:hAnsi="Arial" w:cs="Arial"/>
          <w:sz w:val="24"/>
          <w:szCs w:val="24"/>
        </w:rPr>
        <w:t>a</w:t>
      </w:r>
      <w:r w:rsidRPr="0090389F">
        <w:rPr>
          <w:rFonts w:ascii="Arial" w:hAnsi="Arial" w:cs="Arial"/>
          <w:sz w:val="24"/>
          <w:szCs w:val="24"/>
        </w:rPr>
        <w:t xml:space="preserve">me to a different conclusion, I am satisfied, and remain so, that </w:t>
      </w:r>
      <w:r w:rsidR="009D570D">
        <w:rPr>
          <w:rFonts w:ascii="Arial" w:hAnsi="Arial" w:cs="Arial"/>
          <w:sz w:val="24"/>
          <w:szCs w:val="24"/>
        </w:rPr>
        <w:t xml:space="preserve">it </w:t>
      </w:r>
      <w:r w:rsidRPr="0090389F">
        <w:rPr>
          <w:rFonts w:ascii="Arial" w:hAnsi="Arial" w:cs="Arial"/>
          <w:sz w:val="24"/>
          <w:szCs w:val="24"/>
        </w:rPr>
        <w:t>will not come to the conclusion that I abused my discretion in refusing condonation.</w:t>
      </w:r>
    </w:p>
    <w:p w:rsidR="0090389F" w:rsidRDefault="0090389F" w:rsidP="0090389F">
      <w:pPr>
        <w:widowControl w:val="0"/>
        <w:autoSpaceDE w:val="0"/>
        <w:autoSpaceDN w:val="0"/>
        <w:adjustRightInd w:val="0"/>
        <w:spacing w:line="360" w:lineRule="auto"/>
        <w:jc w:val="both"/>
        <w:rPr>
          <w:rFonts w:ascii="Arial" w:hAnsi="Arial" w:cs="Arial"/>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[6]  </w:t>
      </w:r>
      <w:r w:rsidRPr="0090389F">
        <w:rPr>
          <w:rFonts w:ascii="Arial" w:hAnsi="Arial" w:cs="Arial"/>
          <w:sz w:val="24"/>
          <w:szCs w:val="24"/>
        </w:rPr>
        <w:t xml:space="preserve">The criticism that I failed to have regard to events in another case in which the applicant sought to protect its interests by resisting execution of the arbitrator’s </w:t>
      </w:r>
      <w:r w:rsidRPr="0090389F">
        <w:rPr>
          <w:rFonts w:ascii="Arial" w:hAnsi="Arial" w:cs="Arial"/>
          <w:sz w:val="24"/>
          <w:szCs w:val="24"/>
        </w:rPr>
        <w:lastRenderedPageBreak/>
        <w:t xml:space="preserve">award, is answered by the rule of practice that it is the duty of an applicant in motion proceedings to specifically refer to and specify the part of a document </w:t>
      </w:r>
      <w:r w:rsidR="009D570D" w:rsidRPr="0090389F">
        <w:rPr>
          <w:rFonts w:ascii="Arial" w:hAnsi="Arial" w:cs="Arial"/>
          <w:sz w:val="24"/>
          <w:szCs w:val="24"/>
        </w:rPr>
        <w:t>(or</w:t>
      </w:r>
      <w:r w:rsidRPr="0090389F">
        <w:rPr>
          <w:rFonts w:ascii="Arial" w:hAnsi="Arial" w:cs="Arial"/>
          <w:sz w:val="24"/>
          <w:szCs w:val="24"/>
        </w:rPr>
        <w:t xml:space="preserve"> record in other proceedings) on which it relies for its case. No such thing happened in the present case. The high water mark of the allegation is </w:t>
      </w:r>
      <w:r w:rsidRPr="009D570D">
        <w:rPr>
          <w:rFonts w:ascii="Arial" w:hAnsi="Arial" w:cs="Arial"/>
          <w:i/>
          <w:sz w:val="24"/>
          <w:szCs w:val="24"/>
        </w:rPr>
        <w:t>that</w:t>
      </w:r>
      <w:r w:rsidRPr="0090389F">
        <w:rPr>
          <w:rFonts w:ascii="Arial" w:hAnsi="Arial" w:cs="Arial"/>
          <w:sz w:val="24"/>
          <w:szCs w:val="24"/>
        </w:rPr>
        <w:t xml:space="preserve"> appearing at paragraph 23 of the application for condonation deposed to by Aspara as follows:</w:t>
      </w:r>
    </w:p>
    <w:p w:rsidR="008005F4" w:rsidRDefault="008005F4" w:rsidP="008005F4">
      <w:pPr>
        <w:widowControl w:val="0"/>
        <w:autoSpaceDE w:val="0"/>
        <w:autoSpaceDN w:val="0"/>
        <w:adjustRightInd w:val="0"/>
        <w:spacing w:line="360" w:lineRule="auto"/>
        <w:jc w:val="both"/>
        <w:rPr>
          <w:rFonts w:ascii="Arial" w:hAnsi="Arial" w:cs="Arial"/>
          <w:i/>
          <w:sz w:val="24"/>
          <w:szCs w:val="24"/>
        </w:rPr>
      </w:pPr>
    </w:p>
    <w:p w:rsidR="0090389F" w:rsidRPr="009D570D" w:rsidRDefault="0090389F" w:rsidP="008005F4">
      <w:pPr>
        <w:widowControl w:val="0"/>
        <w:autoSpaceDE w:val="0"/>
        <w:autoSpaceDN w:val="0"/>
        <w:adjustRightInd w:val="0"/>
        <w:spacing w:line="360" w:lineRule="auto"/>
        <w:ind w:firstLine="720"/>
        <w:jc w:val="both"/>
        <w:rPr>
          <w:rFonts w:ascii="Arial" w:hAnsi="Arial" w:cs="Arial"/>
          <w:sz w:val="24"/>
          <w:szCs w:val="24"/>
        </w:rPr>
      </w:pPr>
      <w:r w:rsidRPr="0090389F">
        <w:rPr>
          <w:rFonts w:ascii="Arial" w:hAnsi="Arial" w:cs="Arial"/>
          <w:i/>
          <w:sz w:val="24"/>
          <w:szCs w:val="24"/>
        </w:rPr>
        <w:t xml:space="preserve">‘The background to this dispute is clearly set out in the founding affidavit deposed to by Rev. Gertze in the appellant’s application to suspend the operation of the award. I am fully acquainted with the contents of his affidavit and confirm the same as true and correct to the best of my knowledge. For the sake of brevity I do not repeat the contents thereof or overburden my affidavit by attaching the reverend’s 86 page affidavit. Instead </w:t>
      </w:r>
      <w:r w:rsidR="009D570D">
        <w:rPr>
          <w:rFonts w:ascii="Arial" w:hAnsi="Arial" w:cs="Arial"/>
          <w:i/>
          <w:sz w:val="24"/>
          <w:szCs w:val="24"/>
        </w:rPr>
        <w:t xml:space="preserve">I </w:t>
      </w:r>
      <w:r w:rsidRPr="0090389F">
        <w:rPr>
          <w:rFonts w:ascii="Arial" w:hAnsi="Arial" w:cs="Arial"/>
          <w:i/>
          <w:sz w:val="24"/>
          <w:szCs w:val="24"/>
        </w:rPr>
        <w:t xml:space="preserve">humbly refer the Honourable Court to his affidavit filed in LC33/09 and pray </w:t>
      </w:r>
      <w:r w:rsidRPr="009D570D">
        <w:rPr>
          <w:rFonts w:ascii="Arial" w:hAnsi="Arial" w:cs="Arial"/>
          <w:i/>
          <w:sz w:val="24"/>
          <w:szCs w:val="24"/>
          <w:u w:val="single"/>
        </w:rPr>
        <w:t>that the specific portions thereof dealing with the background to this dispute and the appellant’s prospects of success</w:t>
      </w:r>
      <w:r w:rsidRPr="0090389F">
        <w:rPr>
          <w:rFonts w:ascii="Arial" w:hAnsi="Arial" w:cs="Arial"/>
          <w:i/>
          <w:sz w:val="24"/>
          <w:szCs w:val="24"/>
        </w:rPr>
        <w:t>,</w:t>
      </w:r>
      <w:r w:rsidRPr="00CE34EC">
        <w:rPr>
          <w:rFonts w:ascii="Arial" w:hAnsi="Arial" w:cs="Arial"/>
          <w:i/>
          <w:sz w:val="24"/>
          <w:szCs w:val="24"/>
          <w:u w:val="single"/>
        </w:rPr>
        <w:t xml:space="preserve"> be incorporated into my affidavit as If specifically set out and so incorporated</w:t>
      </w:r>
      <w:r w:rsidR="00CE34EC">
        <w:rPr>
          <w:rStyle w:val="FootnoteReference"/>
          <w:rFonts w:ascii="Arial" w:hAnsi="Arial"/>
          <w:i/>
          <w:sz w:val="24"/>
          <w:szCs w:val="24"/>
          <w:u w:val="single"/>
        </w:rPr>
        <w:footnoteReference w:id="5"/>
      </w:r>
      <w:r w:rsidRPr="0090389F">
        <w:rPr>
          <w:rFonts w:ascii="Arial" w:hAnsi="Arial" w:cs="Arial"/>
          <w:i/>
          <w:sz w:val="24"/>
          <w:szCs w:val="24"/>
        </w:rPr>
        <w:t xml:space="preserve">. </w:t>
      </w:r>
      <w:r w:rsidR="009D570D">
        <w:rPr>
          <w:rFonts w:ascii="Arial" w:hAnsi="Arial" w:cs="Arial"/>
          <w:i/>
          <w:sz w:val="24"/>
          <w:szCs w:val="24"/>
        </w:rPr>
        <w:t>I f</w:t>
      </w:r>
      <w:r w:rsidRPr="0090389F">
        <w:rPr>
          <w:rFonts w:ascii="Arial" w:hAnsi="Arial" w:cs="Arial"/>
          <w:i/>
          <w:sz w:val="24"/>
          <w:szCs w:val="24"/>
        </w:rPr>
        <w:t>urther confirm that the application to suspend the operation of the award has been served on all of the respondents and that a copy of Rev. Gertze’s affidavit will be made available to this Honourable Court.</w:t>
      </w:r>
      <w:r>
        <w:rPr>
          <w:rFonts w:ascii="Arial" w:hAnsi="Arial" w:cs="Arial"/>
          <w:i/>
          <w:sz w:val="24"/>
          <w:szCs w:val="24"/>
        </w:rPr>
        <w:t>’</w:t>
      </w:r>
      <w:r w:rsidR="009D570D">
        <w:rPr>
          <w:rFonts w:ascii="Arial" w:hAnsi="Arial" w:cs="Arial"/>
          <w:sz w:val="24"/>
          <w:szCs w:val="24"/>
        </w:rPr>
        <w:t xml:space="preserve">  (My underlining for emphasis)</w:t>
      </w:r>
    </w:p>
    <w:p w:rsidR="0090389F" w:rsidRDefault="0090389F" w:rsidP="0090389F">
      <w:pPr>
        <w:widowControl w:val="0"/>
        <w:autoSpaceDE w:val="0"/>
        <w:autoSpaceDN w:val="0"/>
        <w:adjustRightInd w:val="0"/>
        <w:spacing w:line="360" w:lineRule="auto"/>
        <w:ind w:left="720"/>
        <w:jc w:val="both"/>
        <w:rPr>
          <w:rFonts w:ascii="Arial" w:hAnsi="Arial" w:cs="Arial"/>
          <w:i/>
          <w:sz w:val="24"/>
          <w:szCs w:val="24"/>
        </w:rPr>
      </w:pP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[7]  </w:t>
      </w:r>
      <w:r w:rsidRPr="0090389F">
        <w:rPr>
          <w:rFonts w:ascii="Arial" w:hAnsi="Arial" w:cs="Arial"/>
          <w:sz w:val="24"/>
          <w:szCs w:val="24"/>
        </w:rPr>
        <w:t xml:space="preserve">It appears that I was expected from the above to conclude </w:t>
      </w:r>
      <w:r w:rsidR="009D570D" w:rsidRPr="0090389F">
        <w:rPr>
          <w:rFonts w:ascii="Arial" w:hAnsi="Arial" w:cs="Arial"/>
          <w:sz w:val="24"/>
          <w:szCs w:val="24"/>
        </w:rPr>
        <w:t>that the</w:t>
      </w:r>
      <w:r w:rsidRPr="0090389F">
        <w:rPr>
          <w:rFonts w:ascii="Arial" w:hAnsi="Arial" w:cs="Arial"/>
          <w:sz w:val="24"/>
          <w:szCs w:val="24"/>
        </w:rPr>
        <w:t xml:space="preserve"> </w:t>
      </w:r>
      <w:r w:rsidR="009D570D" w:rsidRPr="0090389F">
        <w:rPr>
          <w:rFonts w:ascii="Arial" w:hAnsi="Arial" w:cs="Arial"/>
          <w:sz w:val="24"/>
          <w:szCs w:val="24"/>
        </w:rPr>
        <w:t>applicant had</w:t>
      </w:r>
      <w:r w:rsidRPr="0090389F">
        <w:rPr>
          <w:rFonts w:ascii="Arial" w:hAnsi="Arial" w:cs="Arial"/>
          <w:sz w:val="24"/>
          <w:szCs w:val="24"/>
        </w:rPr>
        <w:t xml:space="preserve"> not unreasonably </w:t>
      </w:r>
      <w:r w:rsidR="009D570D" w:rsidRPr="0090389F">
        <w:rPr>
          <w:rFonts w:ascii="Arial" w:hAnsi="Arial" w:cs="Arial"/>
          <w:sz w:val="24"/>
          <w:szCs w:val="24"/>
        </w:rPr>
        <w:t>delayed launching</w:t>
      </w:r>
      <w:r w:rsidRPr="0090389F">
        <w:rPr>
          <w:rFonts w:ascii="Arial" w:hAnsi="Arial" w:cs="Arial"/>
          <w:sz w:val="24"/>
          <w:szCs w:val="24"/>
        </w:rPr>
        <w:t xml:space="preserve"> the application for condonation for the late filing of the appeal. That approach is wrong and does not accord with the practice of our superior courts of record. It was its duty to clearly and unambiguously deal with the entire period the delay occurred.</w:t>
      </w:r>
      <w:r w:rsidR="009D570D">
        <w:rPr>
          <w:rStyle w:val="FootnoteReference"/>
          <w:rFonts w:ascii="Arial" w:hAnsi="Arial"/>
          <w:sz w:val="24"/>
          <w:szCs w:val="24"/>
        </w:rPr>
        <w:footnoteReference w:id="6"/>
      </w:r>
      <w:r w:rsidRPr="0090389F">
        <w:rPr>
          <w:rFonts w:ascii="Arial" w:hAnsi="Arial" w:cs="Arial"/>
          <w:sz w:val="24"/>
          <w:szCs w:val="24"/>
        </w:rPr>
        <w:t xml:space="preserve"> That was an issue properly before me because it was seeking condonation. I was entitled to comment on that and to refuse the application for condonation if it had not been dealt with to my satisfaction. That is what the authorities cited in my judgment require me to do.</w:t>
      </w:r>
    </w:p>
    <w:p w:rsidR="0090389F" w:rsidRDefault="0090389F" w:rsidP="0090389F">
      <w:pPr>
        <w:widowControl w:val="0"/>
        <w:autoSpaceDE w:val="0"/>
        <w:autoSpaceDN w:val="0"/>
        <w:adjustRightInd w:val="0"/>
        <w:spacing w:line="360" w:lineRule="auto"/>
        <w:jc w:val="both"/>
        <w:rPr>
          <w:rFonts w:ascii="Arial" w:hAnsi="Arial" w:cs="Arial"/>
          <w:b/>
          <w:sz w:val="24"/>
          <w:szCs w:val="24"/>
        </w:rPr>
      </w:pPr>
    </w:p>
    <w:p w:rsidR="008005F4" w:rsidRDefault="008005F4" w:rsidP="0090389F">
      <w:pPr>
        <w:widowControl w:val="0"/>
        <w:autoSpaceDE w:val="0"/>
        <w:autoSpaceDN w:val="0"/>
        <w:adjustRightInd w:val="0"/>
        <w:spacing w:line="360" w:lineRule="auto"/>
        <w:jc w:val="both"/>
        <w:rPr>
          <w:rFonts w:ascii="Arial" w:hAnsi="Arial" w:cs="Arial"/>
          <w:b/>
          <w:sz w:val="24"/>
          <w:szCs w:val="24"/>
        </w:rPr>
      </w:pPr>
    </w:p>
    <w:p w:rsidR="0090389F" w:rsidRPr="0090389F" w:rsidRDefault="008005F4" w:rsidP="0090389F">
      <w:pPr>
        <w:widowControl w:val="0"/>
        <w:autoSpaceDE w:val="0"/>
        <w:autoSpaceDN w:val="0"/>
        <w:adjustRightInd w:val="0"/>
        <w:spacing w:line="360" w:lineRule="auto"/>
        <w:jc w:val="both"/>
        <w:rPr>
          <w:rFonts w:ascii="Arial" w:hAnsi="Arial" w:cs="Arial"/>
          <w:b/>
          <w:sz w:val="24"/>
          <w:szCs w:val="24"/>
        </w:rPr>
      </w:pPr>
      <w:r>
        <w:rPr>
          <w:rFonts w:ascii="Arial" w:hAnsi="Arial" w:cs="Arial"/>
          <w:sz w:val="24"/>
          <w:szCs w:val="24"/>
        </w:rPr>
        <w:lastRenderedPageBreak/>
        <w:t>[</w:t>
      </w:r>
      <w:r w:rsidR="0090389F">
        <w:rPr>
          <w:rFonts w:ascii="Arial" w:hAnsi="Arial" w:cs="Arial"/>
          <w:sz w:val="24"/>
          <w:szCs w:val="24"/>
        </w:rPr>
        <w:t xml:space="preserve">8]  </w:t>
      </w:r>
      <w:r w:rsidR="00963734">
        <w:rPr>
          <w:rFonts w:ascii="Arial" w:hAnsi="Arial" w:cs="Arial"/>
          <w:sz w:val="24"/>
          <w:szCs w:val="24"/>
        </w:rPr>
        <w:t>ORDER</w:t>
      </w:r>
      <w:r w:rsidR="0090389F" w:rsidRPr="00963734">
        <w:rPr>
          <w:rFonts w:ascii="Arial" w:hAnsi="Arial" w:cs="Arial"/>
          <w:sz w:val="24"/>
          <w:szCs w:val="24"/>
        </w:rPr>
        <w:t>:</w:t>
      </w:r>
    </w:p>
    <w:p w:rsidR="0090389F" w:rsidRPr="0090389F" w:rsidRDefault="0090389F" w:rsidP="0090389F">
      <w:pPr>
        <w:widowControl w:val="0"/>
        <w:autoSpaceDE w:val="0"/>
        <w:autoSpaceDN w:val="0"/>
        <w:adjustRightInd w:val="0"/>
        <w:spacing w:line="360" w:lineRule="auto"/>
        <w:jc w:val="both"/>
        <w:rPr>
          <w:rFonts w:ascii="Arial" w:hAnsi="Arial" w:cs="Arial"/>
          <w:sz w:val="24"/>
          <w:szCs w:val="24"/>
        </w:rPr>
      </w:pPr>
      <w:r w:rsidRPr="0090389F">
        <w:rPr>
          <w:rFonts w:ascii="Arial" w:hAnsi="Arial" w:cs="Arial"/>
          <w:sz w:val="24"/>
          <w:szCs w:val="24"/>
        </w:rPr>
        <w:t>If I indeed leave to appeal were required, I would refuse it for all of the above reasons.</w:t>
      </w:r>
    </w:p>
    <w:p w:rsidR="0090389F" w:rsidRPr="00030691" w:rsidRDefault="0090389F" w:rsidP="0090389F">
      <w:pPr>
        <w:widowControl w:val="0"/>
        <w:autoSpaceDE w:val="0"/>
        <w:autoSpaceDN w:val="0"/>
        <w:adjustRightInd w:val="0"/>
        <w:rPr>
          <w:rFonts w:cs="Calibri"/>
        </w:rPr>
      </w:pPr>
    </w:p>
    <w:p w:rsidR="001B7E1F" w:rsidRPr="00E50B16" w:rsidRDefault="00B22230" w:rsidP="00E50B16">
      <w:pPr>
        <w:spacing w:after="0" w:line="360" w:lineRule="auto"/>
        <w:rPr>
          <w:rFonts w:ascii="Arial" w:hAnsi="Arial" w:cs="Arial"/>
          <w:sz w:val="24"/>
          <w:szCs w:val="24"/>
        </w:rPr>
      </w:pPr>
      <w:r>
        <w:rPr>
          <w:rFonts w:ascii="Arial" w:hAnsi="Arial" w:cs="Arial"/>
          <w:sz w:val="24"/>
          <w:szCs w:val="24"/>
        </w:rPr>
        <w:t xml:space="preserve">  </w:t>
      </w:r>
      <w:r w:rsidR="00E50B16">
        <w:rPr>
          <w:rFonts w:ascii="Arial" w:hAnsi="Arial" w:cs="Arial"/>
          <w:sz w:val="24"/>
          <w:szCs w:val="24"/>
        </w:rPr>
        <w:t xml:space="preserve"> </w:t>
      </w:r>
      <w:r w:rsidR="00F02598" w:rsidRPr="00E50B16">
        <w:rPr>
          <w:rFonts w:ascii="Arial" w:hAnsi="Arial" w:cs="Arial"/>
          <w:sz w:val="24"/>
          <w:szCs w:val="24"/>
        </w:rPr>
        <w:t xml:space="preserve"> </w:t>
      </w:r>
      <w:r w:rsidR="007F494A" w:rsidRPr="00E50B16">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F31377" w:rsidP="001B7E1F">
      <w:pPr>
        <w:spacing w:after="0" w:line="360" w:lineRule="auto"/>
        <w:jc w:val="right"/>
        <w:rPr>
          <w:rFonts w:ascii="Arial" w:hAnsi="Arial" w:cs="Arial"/>
          <w:sz w:val="24"/>
          <w:szCs w:val="24"/>
        </w:rPr>
      </w:pPr>
      <w:r>
        <w:rPr>
          <w:rFonts w:ascii="Arial" w:hAnsi="Arial" w:cs="Arial"/>
          <w:sz w:val="24"/>
          <w:szCs w:val="24"/>
        </w:rPr>
        <w:t>P T Damaseb</w:t>
      </w:r>
    </w:p>
    <w:p w:rsidR="001B7E1F" w:rsidRPr="006E026B" w:rsidRDefault="00741B0B" w:rsidP="001B7E1F">
      <w:pPr>
        <w:spacing w:after="0" w:line="360" w:lineRule="auto"/>
        <w:jc w:val="right"/>
        <w:rPr>
          <w:rFonts w:ascii="Arial" w:hAnsi="Arial" w:cs="Arial"/>
          <w:sz w:val="24"/>
          <w:szCs w:val="24"/>
        </w:rPr>
      </w:pPr>
      <w:r>
        <w:rPr>
          <w:rFonts w:ascii="Arial" w:hAnsi="Arial" w:cs="Arial"/>
          <w:sz w:val="24"/>
          <w:szCs w:val="24"/>
        </w:rPr>
        <w:t>Judge</w:t>
      </w:r>
      <w:r w:rsidR="00F31377">
        <w:rPr>
          <w:rFonts w:ascii="Arial" w:hAnsi="Arial" w:cs="Arial"/>
          <w:sz w:val="24"/>
          <w:szCs w:val="24"/>
        </w:rPr>
        <w:t>-President</w:t>
      </w:r>
    </w:p>
    <w:p w:rsidR="001B7E1F" w:rsidRPr="006E026B" w:rsidRDefault="001B7E1F" w:rsidP="001B7E1F">
      <w:pPr>
        <w:spacing w:after="0" w:line="360" w:lineRule="auto"/>
        <w:jc w:val="both"/>
        <w:rPr>
          <w:rFonts w:ascii="Arial" w:hAnsi="Arial" w:cs="Arial"/>
          <w:sz w:val="24"/>
          <w:szCs w:val="24"/>
        </w:rPr>
      </w:pPr>
    </w:p>
    <w:p w:rsidR="001B7E1F" w:rsidRPr="006E026B" w:rsidRDefault="001B7E1F" w:rsidP="001B7E1F">
      <w:pPr>
        <w:spacing w:after="0" w:line="360" w:lineRule="auto"/>
        <w:jc w:val="both"/>
        <w:rPr>
          <w:rFonts w:ascii="Arial" w:hAnsi="Arial" w:cs="Arial"/>
          <w:sz w:val="24"/>
          <w:szCs w:val="24"/>
        </w:rPr>
      </w:pPr>
    </w:p>
    <w:p w:rsidR="00F31377" w:rsidRDefault="00F31377" w:rsidP="001B7E1F">
      <w:pPr>
        <w:pStyle w:val="BodyText"/>
        <w:autoSpaceDE w:val="0"/>
        <w:autoSpaceDN w:val="0"/>
        <w:adjustRightInd w:val="0"/>
        <w:spacing w:line="360" w:lineRule="auto"/>
        <w:jc w:val="both"/>
        <w:rPr>
          <w:rFonts w:ascii="Arial" w:hAnsi="Arial" w:cs="Arial"/>
        </w:rPr>
      </w:pPr>
    </w:p>
    <w:p w:rsidR="00F31377" w:rsidRDefault="00F31377" w:rsidP="001B7E1F">
      <w:pPr>
        <w:pStyle w:val="BodyText"/>
        <w:autoSpaceDE w:val="0"/>
        <w:autoSpaceDN w:val="0"/>
        <w:adjustRightInd w:val="0"/>
        <w:spacing w:line="360" w:lineRule="auto"/>
        <w:jc w:val="both"/>
        <w:rPr>
          <w:rFonts w:ascii="Arial" w:hAnsi="Arial" w:cs="Arial"/>
        </w:rPr>
      </w:pPr>
    </w:p>
    <w:p w:rsidR="00F31377" w:rsidRDefault="00F31377" w:rsidP="001B7E1F">
      <w:pPr>
        <w:pStyle w:val="BodyText"/>
        <w:autoSpaceDE w:val="0"/>
        <w:autoSpaceDN w:val="0"/>
        <w:adjustRightInd w:val="0"/>
        <w:spacing w:line="360" w:lineRule="auto"/>
        <w:jc w:val="both"/>
        <w:rPr>
          <w:rFonts w:ascii="Arial" w:hAnsi="Arial" w:cs="Arial"/>
        </w:rPr>
      </w:pPr>
    </w:p>
    <w:p w:rsidR="00F31377" w:rsidRDefault="00F31377" w:rsidP="001B7E1F">
      <w:pPr>
        <w:pStyle w:val="BodyText"/>
        <w:autoSpaceDE w:val="0"/>
        <w:autoSpaceDN w:val="0"/>
        <w:adjustRightInd w:val="0"/>
        <w:spacing w:line="360" w:lineRule="auto"/>
        <w:jc w:val="both"/>
        <w:rPr>
          <w:rFonts w:ascii="Arial" w:hAnsi="Arial" w:cs="Arial"/>
        </w:rPr>
      </w:pPr>
    </w:p>
    <w:p w:rsidR="00F31377" w:rsidRDefault="00F31377"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792508" w:rsidRDefault="00792508"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CE34EC" w:rsidRDefault="00CE34EC"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1B7E1F" w:rsidRPr="000E7777" w:rsidRDefault="009D570D" w:rsidP="009D570D">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APPLICANT</w:t>
      </w:r>
      <w:r w:rsidR="001B7E1F" w:rsidRPr="000E7777">
        <w:rPr>
          <w:rFonts w:ascii="Arial" w:hAnsi="Arial" w:cs="Arial"/>
          <w:sz w:val="24"/>
          <w:szCs w:val="24"/>
        </w:rPr>
        <w:t>:</w:t>
      </w:r>
      <w:r>
        <w:rPr>
          <w:rFonts w:ascii="Arial" w:hAnsi="Arial" w:cs="Arial"/>
          <w:sz w:val="24"/>
          <w:szCs w:val="24"/>
        </w:rPr>
        <w:tab/>
      </w:r>
      <w:r>
        <w:rPr>
          <w:rFonts w:ascii="Arial" w:hAnsi="Arial" w:cs="Arial"/>
          <w:sz w:val="24"/>
          <w:szCs w:val="24"/>
        </w:rPr>
        <w:tab/>
        <w:t>Mr Raymond Heathcote, SC, Assisted by Mr Ramon Maasdorp</w:t>
      </w:r>
      <w:r w:rsidR="001B7E1F" w:rsidRPr="000E7777">
        <w:rPr>
          <w:rFonts w:ascii="Arial" w:hAnsi="Arial" w:cs="Arial"/>
          <w:sz w:val="24"/>
          <w:szCs w:val="24"/>
        </w:rPr>
        <w:t xml:space="preserve">    </w:t>
      </w:r>
      <w:r w:rsidR="00792508">
        <w:rPr>
          <w:rFonts w:ascii="Arial" w:hAnsi="Arial" w:cs="Arial"/>
          <w:sz w:val="24"/>
          <w:szCs w:val="24"/>
        </w:rPr>
        <w:tab/>
      </w:r>
      <w:r w:rsidR="001B7E1F" w:rsidRPr="000E7777">
        <w:rPr>
          <w:rFonts w:ascii="Arial" w:hAnsi="Arial" w:cs="Arial"/>
          <w:sz w:val="24"/>
          <w:szCs w:val="24"/>
        </w:rPr>
        <w:t xml:space="preserve">           </w:t>
      </w:r>
      <w:r w:rsidR="001B7E1F" w:rsidRPr="000E7777">
        <w:rPr>
          <w:rFonts w:ascii="Arial" w:hAnsi="Arial" w:cs="Arial"/>
          <w:sz w:val="24"/>
          <w:szCs w:val="24"/>
        </w:rPr>
        <w:tab/>
      </w:r>
    </w:p>
    <w:p w:rsidR="001B7E1F" w:rsidRDefault="001B7E1F" w:rsidP="001B7E1F">
      <w:pPr>
        <w:autoSpaceDE w:val="0"/>
        <w:autoSpaceDN w:val="0"/>
        <w:adjustRightInd w:val="0"/>
        <w:spacing w:after="0" w:line="360" w:lineRule="auto"/>
        <w:ind w:left="3780"/>
        <w:jc w:val="both"/>
        <w:rPr>
          <w:rFonts w:ascii="Arial" w:hAnsi="Arial" w:cs="Arial"/>
          <w:sz w:val="24"/>
          <w:szCs w:val="24"/>
        </w:rPr>
      </w:pPr>
      <w:r w:rsidRPr="000E7777">
        <w:rPr>
          <w:rFonts w:ascii="Arial" w:hAnsi="Arial" w:cs="Arial"/>
          <w:sz w:val="24"/>
          <w:szCs w:val="24"/>
        </w:rPr>
        <w:t>Instructed by</w:t>
      </w:r>
      <w:r w:rsidR="009D570D">
        <w:rPr>
          <w:rFonts w:ascii="Arial" w:hAnsi="Arial" w:cs="Arial"/>
          <w:sz w:val="24"/>
          <w:szCs w:val="24"/>
        </w:rPr>
        <w:t xml:space="preserve"> G F Köpplinger Legal Practitioners</w:t>
      </w:r>
      <w:r w:rsidRPr="000E7777">
        <w:rPr>
          <w:rFonts w:ascii="Arial" w:hAnsi="Arial" w:cs="Arial"/>
          <w:sz w:val="24"/>
          <w:szCs w:val="24"/>
        </w:rPr>
        <w:t xml:space="preserve"> </w:t>
      </w:r>
    </w:p>
    <w:p w:rsidR="00963734" w:rsidRPr="000E7777" w:rsidRDefault="00963734" w:rsidP="001B7E1F">
      <w:pPr>
        <w:autoSpaceDE w:val="0"/>
        <w:autoSpaceDN w:val="0"/>
        <w:adjustRightInd w:val="0"/>
        <w:spacing w:after="0" w:line="360" w:lineRule="auto"/>
        <w:ind w:left="3780"/>
        <w:jc w:val="both"/>
        <w:rPr>
          <w:rFonts w:ascii="Arial" w:hAnsi="Arial" w:cs="Arial"/>
          <w:sz w:val="24"/>
          <w:szCs w:val="24"/>
        </w:rPr>
      </w:pPr>
    </w:p>
    <w:p w:rsidR="001B7E1F" w:rsidRPr="000E7777" w:rsidRDefault="001B7E1F" w:rsidP="001B7E1F">
      <w:pPr>
        <w:autoSpaceDE w:val="0"/>
        <w:autoSpaceDN w:val="0"/>
        <w:adjustRightInd w:val="0"/>
        <w:spacing w:after="0" w:line="360" w:lineRule="auto"/>
        <w:ind w:left="3780" w:hanging="3780"/>
        <w:jc w:val="both"/>
        <w:rPr>
          <w:rFonts w:ascii="Arial" w:hAnsi="Arial" w:cs="Arial"/>
          <w:sz w:val="24"/>
          <w:szCs w:val="24"/>
        </w:rPr>
      </w:pPr>
    </w:p>
    <w:p w:rsidR="001B7E1F" w:rsidRPr="000E7777" w:rsidRDefault="009D570D" w:rsidP="001B7E1F">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RESPONDENTS</w:t>
      </w:r>
      <w:r w:rsidR="00792508">
        <w:rPr>
          <w:rFonts w:ascii="Arial" w:hAnsi="Arial" w:cs="Arial"/>
          <w:sz w:val="24"/>
          <w:szCs w:val="24"/>
        </w:rPr>
        <w:t>:</w:t>
      </w:r>
      <w:r>
        <w:rPr>
          <w:rFonts w:ascii="Arial" w:hAnsi="Arial" w:cs="Arial"/>
          <w:sz w:val="24"/>
          <w:szCs w:val="24"/>
        </w:rPr>
        <w:tab/>
        <w:t>Mr T</w:t>
      </w:r>
      <w:r w:rsidR="00CE34EC">
        <w:rPr>
          <w:rFonts w:ascii="Arial" w:hAnsi="Arial" w:cs="Arial"/>
          <w:sz w:val="24"/>
          <w:szCs w:val="24"/>
        </w:rPr>
        <w:t>itus</w:t>
      </w:r>
      <w:r>
        <w:rPr>
          <w:rFonts w:ascii="Arial" w:hAnsi="Arial" w:cs="Arial"/>
          <w:sz w:val="24"/>
          <w:szCs w:val="24"/>
        </w:rPr>
        <w:t xml:space="preserve"> Ipumbu</w:t>
      </w:r>
      <w:r>
        <w:rPr>
          <w:rFonts w:ascii="Arial" w:hAnsi="Arial" w:cs="Arial"/>
          <w:sz w:val="24"/>
          <w:szCs w:val="24"/>
        </w:rPr>
        <w:tab/>
      </w:r>
      <w:r w:rsidR="00792508">
        <w:rPr>
          <w:rFonts w:ascii="Arial" w:hAnsi="Arial" w:cs="Arial"/>
          <w:sz w:val="24"/>
          <w:szCs w:val="24"/>
        </w:rPr>
        <w:tab/>
      </w:r>
      <w:r w:rsidR="00792508">
        <w:rPr>
          <w:rFonts w:ascii="Arial" w:hAnsi="Arial" w:cs="Arial"/>
          <w:sz w:val="24"/>
          <w:szCs w:val="24"/>
        </w:rPr>
        <w:tab/>
      </w:r>
      <w:r w:rsidR="001B7E1F" w:rsidRPr="000E7777">
        <w:rPr>
          <w:rFonts w:ascii="Arial" w:hAnsi="Arial" w:cs="Arial"/>
          <w:sz w:val="24"/>
          <w:szCs w:val="24"/>
        </w:rPr>
        <w:tab/>
      </w:r>
    </w:p>
    <w:p w:rsidR="009D570D" w:rsidRDefault="009D570D" w:rsidP="001B7E1F">
      <w:pPr>
        <w:pStyle w:val="BodyTextIndent"/>
        <w:spacing w:line="360" w:lineRule="auto"/>
        <w:ind w:left="3780"/>
        <w:jc w:val="both"/>
        <w:rPr>
          <w:rFonts w:ascii="Arial" w:hAnsi="Arial" w:cs="Arial"/>
        </w:rPr>
      </w:pPr>
      <w:r>
        <w:rPr>
          <w:rFonts w:ascii="Arial" w:hAnsi="Arial" w:cs="Arial"/>
        </w:rPr>
        <w:t>Of Titus Ipumbu Legal Practitioners</w:t>
      </w:r>
    </w:p>
    <w:sectPr w:rsidR="009D570D" w:rsidSect="00741B0B">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A3" w:rsidRDefault="00AA68A3" w:rsidP="00741B0B">
      <w:pPr>
        <w:spacing w:after="0" w:line="240" w:lineRule="auto"/>
      </w:pPr>
      <w:r>
        <w:separator/>
      </w:r>
    </w:p>
  </w:endnote>
  <w:endnote w:type="continuationSeparator" w:id="0">
    <w:p w:rsidR="00AA68A3" w:rsidRDefault="00AA68A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A3" w:rsidRDefault="00AA68A3" w:rsidP="00741B0B">
      <w:pPr>
        <w:spacing w:after="0" w:line="240" w:lineRule="auto"/>
      </w:pPr>
      <w:r>
        <w:separator/>
      </w:r>
    </w:p>
  </w:footnote>
  <w:footnote w:type="continuationSeparator" w:id="0">
    <w:p w:rsidR="00AA68A3" w:rsidRDefault="00AA68A3" w:rsidP="00741B0B">
      <w:pPr>
        <w:spacing w:after="0" w:line="240" w:lineRule="auto"/>
      </w:pPr>
      <w:r>
        <w:continuationSeparator/>
      </w:r>
    </w:p>
  </w:footnote>
  <w:footnote w:id="1">
    <w:p w:rsidR="00000000" w:rsidRDefault="00CE34EC">
      <w:pPr>
        <w:pStyle w:val="FootnoteText"/>
      </w:pPr>
      <w:r>
        <w:rPr>
          <w:rStyle w:val="FootnoteReference"/>
        </w:rPr>
        <w:footnoteRef/>
      </w:r>
      <w:r>
        <w:t xml:space="preserve"> No. 11 of 2007</w:t>
      </w:r>
    </w:p>
  </w:footnote>
  <w:footnote w:id="2">
    <w:p w:rsidR="00000000" w:rsidRDefault="00CE34EC">
      <w:pPr>
        <w:pStyle w:val="FootnoteText"/>
      </w:pPr>
      <w:r>
        <w:rPr>
          <w:rStyle w:val="FootnoteReference"/>
        </w:rPr>
        <w:footnoteRef/>
      </w:r>
      <w:r>
        <w:t xml:space="preserve"> </w:t>
      </w:r>
      <w:r w:rsidR="00D57A67">
        <w:rPr>
          <w:lang w:val="en-US"/>
        </w:rPr>
        <w:t>No. 1</w:t>
      </w:r>
      <w:r>
        <w:rPr>
          <w:lang w:val="en-US"/>
        </w:rPr>
        <w:t>5 of 1990</w:t>
      </w:r>
    </w:p>
  </w:footnote>
  <w:footnote w:id="3">
    <w:p w:rsidR="00000000" w:rsidRDefault="00CE34EC" w:rsidP="0090389F">
      <w:pPr>
        <w:pStyle w:val="FootnoteText"/>
      </w:pPr>
      <w:r>
        <w:rPr>
          <w:rStyle w:val="FootnoteReference"/>
        </w:rPr>
        <w:footnoteRef/>
      </w:r>
      <w:r>
        <w:t xml:space="preserve"> </w:t>
      </w:r>
      <w:r>
        <w:rPr>
          <w:lang w:val="en-US"/>
        </w:rPr>
        <w:t>2011 (2) NR 599.</w:t>
      </w:r>
    </w:p>
  </w:footnote>
  <w:footnote w:id="4">
    <w:p w:rsidR="00000000" w:rsidRDefault="00CE34EC" w:rsidP="0090389F">
      <w:pPr>
        <w:pStyle w:val="FootnoteText"/>
      </w:pPr>
      <w:r>
        <w:rPr>
          <w:rStyle w:val="FootnoteReference"/>
        </w:rPr>
        <w:footnoteRef/>
      </w:r>
      <w:r>
        <w:t xml:space="preserve"> </w:t>
      </w:r>
      <w:r>
        <w:rPr>
          <w:lang w:val="en-US"/>
        </w:rPr>
        <w:t>At 602, para 6.</w:t>
      </w:r>
    </w:p>
  </w:footnote>
  <w:footnote w:id="5">
    <w:p w:rsidR="00000000" w:rsidRDefault="00CE34EC">
      <w:pPr>
        <w:pStyle w:val="FootnoteText"/>
      </w:pPr>
      <w:r>
        <w:rPr>
          <w:rStyle w:val="FootnoteReference"/>
        </w:rPr>
        <w:footnoteRef/>
      </w:r>
      <w:r>
        <w:t xml:space="preserve"> </w:t>
      </w:r>
      <w:r>
        <w:rPr>
          <w:lang w:val="en-US"/>
        </w:rPr>
        <w:t>Note the purpose for which the affidavit in the other proceeding was being incorporated.</w:t>
      </w:r>
    </w:p>
  </w:footnote>
  <w:footnote w:id="6">
    <w:p w:rsidR="00000000" w:rsidRDefault="00CE34EC">
      <w:pPr>
        <w:pStyle w:val="FootnoteText"/>
      </w:pPr>
      <w:r>
        <w:rPr>
          <w:rStyle w:val="FootnoteReference"/>
        </w:rPr>
        <w:footnoteRef/>
      </w:r>
      <w:r>
        <w:t xml:space="preserve"> </w:t>
      </w:r>
      <w:r>
        <w:rPr>
          <w:lang w:val="en-US"/>
        </w:rPr>
        <w:t>See para 23 of the judgment refusing condonation.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EC" w:rsidRDefault="004A5C82">
    <w:pPr>
      <w:pStyle w:val="Header"/>
      <w:jc w:val="right"/>
    </w:pPr>
    <w:r>
      <w:fldChar w:fldCharType="begin"/>
    </w:r>
    <w:r>
      <w:instrText xml:space="preserve"> PAGE   \* MERGEFORMAT </w:instrText>
    </w:r>
    <w:r>
      <w:fldChar w:fldCharType="separate"/>
    </w:r>
    <w:r w:rsidR="00CB2CA7">
      <w:rPr>
        <w:noProof/>
      </w:rPr>
      <w:t>7</w:t>
    </w:r>
    <w:r>
      <w:fldChar w:fldCharType="end"/>
    </w:r>
  </w:p>
  <w:p w:rsidR="00CE34EC" w:rsidRDefault="00CE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F042A"/>
    <w:multiLevelType w:val="multilevel"/>
    <w:tmpl w:val="6EE4B234"/>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7DDE11D0"/>
    <w:multiLevelType w:val="hybridMultilevel"/>
    <w:tmpl w:val="BBC4BE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C"/>
    <w:rsid w:val="00030691"/>
    <w:rsid w:val="000E7777"/>
    <w:rsid w:val="00106A9A"/>
    <w:rsid w:val="001624EA"/>
    <w:rsid w:val="001B7E1F"/>
    <w:rsid w:val="0020746A"/>
    <w:rsid w:val="00250284"/>
    <w:rsid w:val="002A7B19"/>
    <w:rsid w:val="00412C10"/>
    <w:rsid w:val="004A5C82"/>
    <w:rsid w:val="005D6C92"/>
    <w:rsid w:val="0066026C"/>
    <w:rsid w:val="00682540"/>
    <w:rsid w:val="00697D98"/>
    <w:rsid w:val="006B2A77"/>
    <w:rsid w:val="006E026B"/>
    <w:rsid w:val="00741B0B"/>
    <w:rsid w:val="00792508"/>
    <w:rsid w:val="007F494A"/>
    <w:rsid w:val="008005F4"/>
    <w:rsid w:val="008D0EE5"/>
    <w:rsid w:val="0090389F"/>
    <w:rsid w:val="00936A1C"/>
    <w:rsid w:val="00945DCE"/>
    <w:rsid w:val="00963734"/>
    <w:rsid w:val="009855F7"/>
    <w:rsid w:val="00985A68"/>
    <w:rsid w:val="009D570D"/>
    <w:rsid w:val="00AA68A3"/>
    <w:rsid w:val="00AF5921"/>
    <w:rsid w:val="00AF7760"/>
    <w:rsid w:val="00B22230"/>
    <w:rsid w:val="00B4791F"/>
    <w:rsid w:val="00B6076D"/>
    <w:rsid w:val="00B936A9"/>
    <w:rsid w:val="00CB2CA7"/>
    <w:rsid w:val="00CE34EC"/>
    <w:rsid w:val="00CF1FCC"/>
    <w:rsid w:val="00D57A67"/>
    <w:rsid w:val="00D87292"/>
    <w:rsid w:val="00E50B16"/>
    <w:rsid w:val="00F02598"/>
    <w:rsid w:val="00F31377"/>
    <w:rsid w:val="00FB09A2"/>
    <w:rsid w:val="00FC08F7"/>
    <w:rsid w:val="00FD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ListParagraph">
    <w:name w:val="List Paragraph"/>
    <w:basedOn w:val="Normal"/>
    <w:uiPriority w:val="34"/>
    <w:qFormat/>
    <w:rsid w:val="0066026C"/>
    <w:pPr>
      <w:ind w:left="720"/>
      <w:contextualSpacing/>
    </w:pPr>
  </w:style>
  <w:style w:type="paragraph" w:styleId="FootnoteText">
    <w:name w:val="footnote text"/>
    <w:basedOn w:val="Normal"/>
    <w:link w:val="FootnoteTextChar"/>
    <w:uiPriority w:val="99"/>
    <w:semiHidden/>
    <w:unhideWhenUsed/>
    <w:rsid w:val="0090389F"/>
    <w:rPr>
      <w:sz w:val="20"/>
      <w:szCs w:val="20"/>
      <w:lang w:val="en-GB" w:eastAsia="en-ZA"/>
    </w:rPr>
  </w:style>
  <w:style w:type="character" w:customStyle="1" w:styleId="FootnoteTextChar">
    <w:name w:val="Footnote Text Char"/>
    <w:basedOn w:val="DefaultParagraphFont"/>
    <w:link w:val="FootnoteText"/>
    <w:uiPriority w:val="99"/>
    <w:semiHidden/>
    <w:locked/>
    <w:rsid w:val="0090389F"/>
    <w:rPr>
      <w:rFonts w:eastAsia="Times New Roman" w:cs="Times New Roman"/>
      <w:sz w:val="20"/>
      <w:szCs w:val="20"/>
      <w:lang w:val="en-GB" w:eastAsia="en-ZA"/>
    </w:rPr>
  </w:style>
  <w:style w:type="character" w:styleId="FootnoteReference">
    <w:name w:val="footnote reference"/>
    <w:basedOn w:val="DefaultParagraphFont"/>
    <w:uiPriority w:val="99"/>
    <w:semiHidden/>
    <w:unhideWhenUsed/>
    <w:rsid w:val="0090389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B7E1F"/>
    <w:rPr>
      <w:rFonts w:ascii="Arial" w:hAnsi="Arial" w:cs="Times New Roman"/>
      <w:sz w:val="24"/>
      <w:szCs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ListParagraph">
    <w:name w:val="List Paragraph"/>
    <w:basedOn w:val="Normal"/>
    <w:uiPriority w:val="34"/>
    <w:qFormat/>
    <w:rsid w:val="0066026C"/>
    <w:pPr>
      <w:ind w:left="720"/>
      <w:contextualSpacing/>
    </w:pPr>
  </w:style>
  <w:style w:type="paragraph" w:styleId="FootnoteText">
    <w:name w:val="footnote text"/>
    <w:basedOn w:val="Normal"/>
    <w:link w:val="FootnoteTextChar"/>
    <w:uiPriority w:val="99"/>
    <w:semiHidden/>
    <w:unhideWhenUsed/>
    <w:rsid w:val="0090389F"/>
    <w:rPr>
      <w:sz w:val="20"/>
      <w:szCs w:val="20"/>
      <w:lang w:val="en-GB" w:eastAsia="en-ZA"/>
    </w:rPr>
  </w:style>
  <w:style w:type="character" w:customStyle="1" w:styleId="FootnoteTextChar">
    <w:name w:val="Footnote Text Char"/>
    <w:basedOn w:val="DefaultParagraphFont"/>
    <w:link w:val="FootnoteText"/>
    <w:uiPriority w:val="99"/>
    <w:semiHidden/>
    <w:locked/>
    <w:rsid w:val="0090389F"/>
    <w:rPr>
      <w:rFonts w:eastAsia="Times New Roman" w:cs="Times New Roman"/>
      <w:sz w:val="20"/>
      <w:szCs w:val="20"/>
      <w:lang w:val="en-GB" w:eastAsia="en-ZA"/>
    </w:rPr>
  </w:style>
  <w:style w:type="character" w:styleId="FootnoteReference">
    <w:name w:val="footnote reference"/>
    <w:basedOn w:val="DefaultParagraphFont"/>
    <w:uiPriority w:val="99"/>
    <w:semiHidden/>
    <w:unhideWhenUsed/>
    <w:rsid w:val="0090389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JUDGMENT%20TELECOM%20NAMIBIA%20LTD%20vs%20MICHAEL%20NANGOLO.5%20NOV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2012-11-04T18:30:00+00:00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73F89-4BF7-48C2-895C-AB4D1B282A93}"/>
</file>

<file path=customXml/itemProps2.xml><?xml version="1.0" encoding="utf-8"?>
<ds:datastoreItem xmlns:ds="http://schemas.openxmlformats.org/officeDocument/2006/customXml" ds:itemID="{AC7124A3-55F4-4BBF-BC87-6D82D6E3A6C5}"/>
</file>

<file path=customXml/itemProps3.xml><?xml version="1.0" encoding="utf-8"?>
<ds:datastoreItem xmlns:ds="http://schemas.openxmlformats.org/officeDocument/2006/customXml" ds:itemID="{4F21DE5A-67F7-415C-BF1D-7853F5165641}"/>
</file>

<file path=customXml/itemProps4.xml><?xml version="1.0" encoding="utf-8"?>
<ds:datastoreItem xmlns:ds="http://schemas.openxmlformats.org/officeDocument/2006/customXml" ds:itemID="{E5C108EE-E661-4427-836D-7BA09AB875A0}"/>
</file>

<file path=docProps/app.xml><?xml version="1.0" encoding="utf-8"?>
<Properties xmlns="http://schemas.openxmlformats.org/officeDocument/2006/extended-properties" xmlns:vt="http://schemas.openxmlformats.org/officeDocument/2006/docPropsVTypes">
  <Template>JUDGMENT TELECOM NAMIBIA LTD vs MICHAEL NANGOLO.5 NOVEMBER 2012</Template>
  <TotalTime>1</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sikongo</cp:lastModifiedBy>
  <cp:revision>2</cp:revision>
  <cp:lastPrinted>2012-11-05T14:12:00Z</cp:lastPrinted>
  <dcterms:created xsi:type="dcterms:W3CDTF">2013-11-07T10:00:00Z</dcterms:created>
  <dcterms:modified xsi:type="dcterms:W3CDTF">2013-11-07T10:00:00Z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27200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