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6E15" w14:textId="77777777" w:rsidR="00290673" w:rsidRPr="006E026B" w:rsidRDefault="00290673" w:rsidP="00290673">
      <w:pPr>
        <w:spacing w:line="360" w:lineRule="auto"/>
        <w:jc w:val="center"/>
        <w:rPr>
          <w:rFonts w:ascii="Arial" w:hAnsi="Arial" w:cs="Arial"/>
          <w:b/>
        </w:rPr>
      </w:pPr>
      <w:r>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655A69AE" wp14:editId="58952F45">
                <wp:simplePos x="0" y="0"/>
                <wp:positionH relativeFrom="column">
                  <wp:posOffset>4315968</wp:posOffset>
                </wp:positionH>
                <wp:positionV relativeFrom="paragraph">
                  <wp:posOffset>-60808</wp:posOffset>
                </wp:positionV>
                <wp:extent cx="1796186" cy="2476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186" cy="247650"/>
                        </a:xfrm>
                        <a:prstGeom prst="rect">
                          <a:avLst/>
                        </a:prstGeom>
                        <a:solidFill>
                          <a:srgbClr val="FFFFFF"/>
                        </a:solidFill>
                        <a:ln w="9525">
                          <a:solidFill>
                            <a:srgbClr val="FFFFFF"/>
                          </a:solidFill>
                          <a:miter lim="800000"/>
                          <a:headEnd/>
                          <a:tailEnd/>
                        </a:ln>
                      </wps:spPr>
                      <wps:txbx>
                        <w:txbxContent>
                          <w:p w14:paraId="2548CEBA" w14:textId="77777777" w:rsidR="00290673" w:rsidRDefault="00290673" w:rsidP="00290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69AE" id="_x0000_t202" coordsize="21600,21600" o:spt="202" path="m,l,21600r21600,l21600,xe">
                <v:stroke joinstyle="miter"/>
                <v:path gradientshapeok="t" o:connecttype="rect"/>
              </v:shapetype>
              <v:shape id="Text Box 2" o:spid="_x0000_s1026" type="#_x0000_t202" style="position:absolute;left:0;text-align:left;margin-left:339.85pt;margin-top:-4.8pt;width:141.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" strokecolor="white">
                <v:textbox>
                  <w:txbxContent>
                    <w:p w14:paraId="2548CEBA" w14:textId="77777777" w:rsidR="00290673" w:rsidRDefault="00290673" w:rsidP="00290673">
                      <w:pPr>
                        <w:jc w:val="center"/>
                      </w:pPr>
                    </w:p>
                  </w:txbxContent>
                </v:textbox>
              </v:shape>
            </w:pict>
          </mc:Fallback>
        </mc:AlternateContent>
      </w:r>
      <w:r w:rsidRPr="006E026B">
        <w:rPr>
          <w:rFonts w:ascii="Arial" w:hAnsi="Arial" w:cs="Arial"/>
          <w:b/>
        </w:rPr>
        <w:t>REPUBLIC OF NAMIBIA</w:t>
      </w:r>
    </w:p>
    <w:p w14:paraId="3D1EE595" w14:textId="77777777" w:rsidR="00290673" w:rsidRDefault="00290673" w:rsidP="00290673">
      <w:pPr>
        <w:spacing w:line="360" w:lineRule="auto"/>
        <w:jc w:val="center"/>
        <w:rPr>
          <w:b/>
          <w:sz w:val="32"/>
          <w:szCs w:val="32"/>
        </w:rPr>
      </w:pPr>
      <w:r>
        <w:rPr>
          <w:b/>
          <w:noProof/>
          <w:sz w:val="32"/>
          <w:szCs w:val="32"/>
          <w:lang w:val="en-ZA" w:eastAsia="en-ZA"/>
        </w:rPr>
        <w:drawing>
          <wp:inline distT="0" distB="0" distL="0" distR="0" wp14:anchorId="6E435BF4" wp14:editId="292BA371">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14:paraId="5B1ECF08" w14:textId="7E62A508" w:rsidR="006E486A" w:rsidRDefault="006A38EA" w:rsidP="00290673">
      <w:pPr>
        <w:jc w:val="center"/>
        <w:rPr>
          <w:rFonts w:ascii="Arial" w:hAnsi="Arial"/>
          <w:b/>
        </w:rPr>
      </w:pPr>
      <w:r>
        <w:rPr>
          <w:rFonts w:ascii="Arial" w:hAnsi="Arial"/>
          <w:b/>
        </w:rPr>
        <w:t>LABOUR</w:t>
      </w:r>
      <w:r w:rsidR="00224674">
        <w:rPr>
          <w:rFonts w:ascii="Arial" w:hAnsi="Arial"/>
          <w:b/>
        </w:rPr>
        <w:t xml:space="preserve"> COURT OF NAMIBIA, MAIN DIVISION, WINDHOEK</w:t>
      </w:r>
    </w:p>
    <w:p w14:paraId="47F9460A" w14:textId="77777777" w:rsidR="00224674" w:rsidRDefault="00224674" w:rsidP="00290673">
      <w:pPr>
        <w:jc w:val="center"/>
        <w:rPr>
          <w:rFonts w:ascii="Arial" w:hAnsi="Arial"/>
          <w:b/>
        </w:rPr>
      </w:pPr>
    </w:p>
    <w:p w14:paraId="4100C932" w14:textId="77777777" w:rsidR="00224674" w:rsidRDefault="00224674" w:rsidP="00290673">
      <w:pPr>
        <w:jc w:val="center"/>
        <w:rPr>
          <w:rFonts w:ascii="Arial" w:hAnsi="Arial"/>
          <w:b/>
        </w:rPr>
      </w:pPr>
      <w:r>
        <w:rPr>
          <w:rFonts w:ascii="Arial" w:hAnsi="Arial"/>
          <w:b/>
        </w:rPr>
        <w:t>JUDGMENT</w:t>
      </w:r>
    </w:p>
    <w:p w14:paraId="56335BA7" w14:textId="77777777" w:rsidR="00224674" w:rsidRDefault="00224674" w:rsidP="00407BF6">
      <w:pPr>
        <w:spacing w:line="360" w:lineRule="auto"/>
        <w:jc w:val="center"/>
        <w:rPr>
          <w:rFonts w:ascii="Arial" w:hAnsi="Arial"/>
          <w:b/>
        </w:rPr>
      </w:pPr>
    </w:p>
    <w:p w14:paraId="0B50035E" w14:textId="77777777" w:rsidR="00224674" w:rsidRDefault="00224674" w:rsidP="00407BF6">
      <w:pPr>
        <w:spacing w:line="360" w:lineRule="auto"/>
        <w:jc w:val="right"/>
        <w:rPr>
          <w:rFonts w:ascii="Arial" w:hAnsi="Arial"/>
        </w:rPr>
      </w:pPr>
      <w:r>
        <w:rPr>
          <w:rFonts w:ascii="Arial" w:hAnsi="Arial"/>
        </w:rPr>
        <w:t>CASE NO: HC-MD-LAB-MOT-GEN-2018/00071</w:t>
      </w:r>
    </w:p>
    <w:p w14:paraId="179DDDA1" w14:textId="77777777" w:rsidR="00224674" w:rsidRDefault="00224674" w:rsidP="00407BF6">
      <w:pPr>
        <w:spacing w:line="360" w:lineRule="auto"/>
        <w:jc w:val="right"/>
        <w:rPr>
          <w:rFonts w:ascii="Arial" w:hAnsi="Arial"/>
        </w:rPr>
      </w:pPr>
    </w:p>
    <w:p w14:paraId="1E4C30F9" w14:textId="77777777" w:rsidR="00224674" w:rsidRDefault="00224674" w:rsidP="00407BF6">
      <w:pPr>
        <w:spacing w:line="360" w:lineRule="auto"/>
        <w:rPr>
          <w:rFonts w:ascii="Arial" w:hAnsi="Arial"/>
        </w:rPr>
      </w:pPr>
      <w:r>
        <w:rPr>
          <w:rFonts w:ascii="Arial" w:hAnsi="Arial"/>
        </w:rPr>
        <w:t>In the matter between:</w:t>
      </w:r>
    </w:p>
    <w:p w14:paraId="6BFF7EDF" w14:textId="77777777" w:rsidR="00224674" w:rsidRDefault="00224674" w:rsidP="00407BF6">
      <w:pPr>
        <w:spacing w:line="360" w:lineRule="auto"/>
        <w:rPr>
          <w:rFonts w:ascii="Arial" w:hAnsi="Arial"/>
        </w:rPr>
      </w:pPr>
    </w:p>
    <w:p w14:paraId="43B3169D" w14:textId="77777777" w:rsidR="00224674" w:rsidRDefault="00224674" w:rsidP="00407BF6">
      <w:pPr>
        <w:spacing w:line="360" w:lineRule="auto"/>
        <w:rPr>
          <w:rFonts w:ascii="Arial" w:hAnsi="Arial"/>
        </w:rPr>
      </w:pPr>
    </w:p>
    <w:p w14:paraId="48776A90" w14:textId="577B2CD6" w:rsidR="00224674" w:rsidRDefault="00224674" w:rsidP="00290673">
      <w:pPr>
        <w:tabs>
          <w:tab w:val="right" w:pos="8222"/>
        </w:tabs>
        <w:spacing w:line="360" w:lineRule="auto"/>
        <w:rPr>
          <w:rFonts w:ascii="Arial" w:hAnsi="Arial"/>
          <w:b/>
        </w:rPr>
      </w:pPr>
      <w:r>
        <w:rPr>
          <w:rFonts w:ascii="Arial" w:hAnsi="Arial"/>
          <w:b/>
        </w:rPr>
        <w:t>ELLEN S</w:t>
      </w:r>
      <w:r w:rsidR="00F84FAA">
        <w:rPr>
          <w:rFonts w:ascii="Arial" w:hAnsi="Arial"/>
          <w:b/>
        </w:rPr>
        <w:t>A</w:t>
      </w:r>
      <w:r>
        <w:rPr>
          <w:rFonts w:ascii="Arial" w:hAnsi="Arial"/>
          <w:b/>
        </w:rPr>
        <w:t xml:space="preserve">KARIA    </w:t>
      </w:r>
      <w:r w:rsidR="00F84FAA">
        <w:rPr>
          <w:rFonts w:ascii="Arial" w:hAnsi="Arial"/>
          <w:b/>
        </w:rPr>
        <w:t xml:space="preserve">                             </w:t>
      </w:r>
      <w:r>
        <w:rPr>
          <w:rFonts w:ascii="Arial" w:hAnsi="Arial"/>
          <w:b/>
        </w:rPr>
        <w:t xml:space="preserve">                                         </w:t>
      </w:r>
      <w:r w:rsidR="00290673">
        <w:rPr>
          <w:rFonts w:ascii="Arial" w:hAnsi="Arial"/>
          <w:b/>
        </w:rPr>
        <w:tab/>
      </w:r>
      <w:r>
        <w:rPr>
          <w:rFonts w:ascii="Arial" w:hAnsi="Arial"/>
          <w:b/>
        </w:rPr>
        <w:t>APPLICANT</w:t>
      </w:r>
    </w:p>
    <w:p w14:paraId="283FF4E0" w14:textId="77777777" w:rsidR="00224674" w:rsidRDefault="00224674" w:rsidP="00407BF6">
      <w:pPr>
        <w:spacing w:line="360" w:lineRule="auto"/>
        <w:rPr>
          <w:rFonts w:ascii="Arial" w:hAnsi="Arial"/>
          <w:b/>
        </w:rPr>
      </w:pPr>
    </w:p>
    <w:p w14:paraId="38A1F1B1" w14:textId="77777777" w:rsidR="00224674" w:rsidRDefault="00224674" w:rsidP="00407BF6">
      <w:pPr>
        <w:spacing w:line="360" w:lineRule="auto"/>
        <w:rPr>
          <w:rFonts w:ascii="Arial" w:hAnsi="Arial"/>
        </w:rPr>
      </w:pPr>
      <w:r>
        <w:rPr>
          <w:rFonts w:ascii="Arial" w:hAnsi="Arial"/>
        </w:rPr>
        <w:t>and</w:t>
      </w:r>
    </w:p>
    <w:p w14:paraId="37C1F59C" w14:textId="77777777" w:rsidR="00224674" w:rsidRDefault="00224674" w:rsidP="00407BF6">
      <w:pPr>
        <w:spacing w:line="360" w:lineRule="auto"/>
        <w:rPr>
          <w:rFonts w:ascii="Arial" w:hAnsi="Arial"/>
        </w:rPr>
      </w:pPr>
    </w:p>
    <w:p w14:paraId="181C0FCA" w14:textId="75FE5F33" w:rsidR="00224674" w:rsidRDefault="00224674" w:rsidP="00290673">
      <w:pPr>
        <w:tabs>
          <w:tab w:val="right" w:pos="8222"/>
        </w:tabs>
        <w:spacing w:line="360" w:lineRule="auto"/>
        <w:rPr>
          <w:rFonts w:ascii="Arial" w:hAnsi="Arial"/>
          <w:b/>
        </w:rPr>
      </w:pPr>
      <w:r>
        <w:rPr>
          <w:rFonts w:ascii="Arial" w:hAnsi="Arial"/>
          <w:b/>
        </w:rPr>
        <w:t xml:space="preserve">NAMPOST LIMITED                                                      </w:t>
      </w:r>
      <w:r w:rsidR="00290673">
        <w:rPr>
          <w:rFonts w:ascii="Arial" w:hAnsi="Arial"/>
          <w:b/>
        </w:rPr>
        <w:tab/>
      </w:r>
      <w:r>
        <w:rPr>
          <w:rFonts w:ascii="Arial" w:hAnsi="Arial"/>
          <w:b/>
        </w:rPr>
        <w:t>FIRST RESPONDENT</w:t>
      </w:r>
    </w:p>
    <w:p w14:paraId="07966438" w14:textId="0E6E1DFD" w:rsidR="00224674" w:rsidRDefault="00224674" w:rsidP="00290673">
      <w:pPr>
        <w:tabs>
          <w:tab w:val="right" w:pos="8222"/>
        </w:tabs>
        <w:spacing w:line="360" w:lineRule="auto"/>
        <w:rPr>
          <w:rFonts w:ascii="Arial" w:hAnsi="Arial"/>
          <w:b/>
        </w:rPr>
      </w:pPr>
      <w:r>
        <w:rPr>
          <w:rFonts w:ascii="Arial" w:hAnsi="Arial"/>
          <w:b/>
        </w:rPr>
        <w:t xml:space="preserve">FESTUS HANGULA                                                </w:t>
      </w:r>
      <w:r w:rsidR="00F84FAA">
        <w:rPr>
          <w:rFonts w:ascii="Arial" w:hAnsi="Arial"/>
          <w:b/>
        </w:rPr>
        <w:t xml:space="preserve"> </w:t>
      </w:r>
      <w:r w:rsidR="00290673">
        <w:rPr>
          <w:rFonts w:ascii="Arial" w:hAnsi="Arial"/>
          <w:b/>
        </w:rPr>
        <w:tab/>
      </w:r>
      <w:r>
        <w:rPr>
          <w:rFonts w:ascii="Arial" w:hAnsi="Arial"/>
          <w:b/>
        </w:rPr>
        <w:t>SECOND RESPONDENT</w:t>
      </w:r>
    </w:p>
    <w:p w14:paraId="2F8F75C9" w14:textId="77777777" w:rsidR="00224674" w:rsidRDefault="00224674" w:rsidP="00407BF6">
      <w:pPr>
        <w:spacing w:line="360" w:lineRule="auto"/>
        <w:rPr>
          <w:rFonts w:ascii="Arial" w:hAnsi="Arial"/>
          <w:b/>
        </w:rPr>
      </w:pPr>
    </w:p>
    <w:p w14:paraId="02030DC7" w14:textId="77777777" w:rsidR="00B12621" w:rsidRDefault="00B12621" w:rsidP="00407BF6">
      <w:pPr>
        <w:spacing w:line="360" w:lineRule="auto"/>
        <w:rPr>
          <w:rFonts w:ascii="Arial" w:hAnsi="Arial"/>
          <w:b/>
        </w:rPr>
      </w:pPr>
    </w:p>
    <w:p w14:paraId="4A344656" w14:textId="51BABADD" w:rsidR="00B12621" w:rsidRDefault="00B12621" w:rsidP="00407BF6">
      <w:pPr>
        <w:spacing w:line="360" w:lineRule="auto"/>
        <w:rPr>
          <w:rFonts w:ascii="Arial" w:hAnsi="Arial"/>
        </w:rPr>
      </w:pPr>
      <w:r>
        <w:rPr>
          <w:rFonts w:ascii="Arial" w:hAnsi="Arial"/>
          <w:b/>
        </w:rPr>
        <w:t>Neutral Citation:</w:t>
      </w:r>
      <w:r>
        <w:rPr>
          <w:rFonts w:ascii="Arial" w:hAnsi="Arial"/>
          <w:b/>
        </w:rPr>
        <w:tab/>
      </w:r>
      <w:r w:rsidR="00A61E84">
        <w:rPr>
          <w:rFonts w:ascii="Arial" w:hAnsi="Arial"/>
          <w:i/>
        </w:rPr>
        <w:t>Sakaria</w:t>
      </w:r>
      <w:r>
        <w:rPr>
          <w:rFonts w:ascii="Arial" w:hAnsi="Arial"/>
          <w:i/>
        </w:rPr>
        <w:t xml:space="preserve"> v Nampost Limited </w:t>
      </w:r>
      <w:r w:rsidR="006C0BDD" w:rsidRPr="006C0BDD">
        <w:rPr>
          <w:rFonts w:ascii="Arial" w:hAnsi="Arial"/>
        </w:rPr>
        <w:t>(</w:t>
      </w:r>
      <w:r>
        <w:rPr>
          <w:rFonts w:ascii="Arial" w:hAnsi="Arial"/>
        </w:rPr>
        <w:t>HC-MD-</w:t>
      </w:r>
      <w:r w:rsidR="006A38EA">
        <w:rPr>
          <w:rFonts w:ascii="Arial" w:hAnsi="Arial"/>
        </w:rPr>
        <w:t>LAB-MOT-GEN-2018/00071</w:t>
      </w:r>
      <w:r w:rsidR="006C0BDD">
        <w:rPr>
          <w:rFonts w:ascii="Arial" w:hAnsi="Arial"/>
        </w:rPr>
        <w:t>)</w:t>
      </w:r>
      <w:r w:rsidR="006A38EA">
        <w:rPr>
          <w:rFonts w:ascii="Arial" w:hAnsi="Arial"/>
        </w:rPr>
        <w:t xml:space="preserve"> [2020] </w:t>
      </w:r>
      <w:r w:rsidR="006C0BDD">
        <w:rPr>
          <w:rFonts w:ascii="Arial" w:hAnsi="Arial"/>
        </w:rPr>
        <w:t>NAL</w:t>
      </w:r>
      <w:r w:rsidR="006A38EA">
        <w:rPr>
          <w:rFonts w:ascii="Arial" w:hAnsi="Arial"/>
        </w:rPr>
        <w:t xml:space="preserve">CMD </w:t>
      </w:r>
      <w:r w:rsidR="006C0BDD">
        <w:rPr>
          <w:rFonts w:ascii="Arial" w:hAnsi="Arial"/>
        </w:rPr>
        <w:t xml:space="preserve">5 </w:t>
      </w:r>
      <w:r w:rsidR="006A38EA">
        <w:rPr>
          <w:rFonts w:ascii="Arial" w:hAnsi="Arial"/>
        </w:rPr>
        <w:t>(23</w:t>
      </w:r>
      <w:r>
        <w:rPr>
          <w:rFonts w:ascii="Arial" w:hAnsi="Arial"/>
        </w:rPr>
        <w:t xml:space="preserve"> March 2020).</w:t>
      </w:r>
    </w:p>
    <w:p w14:paraId="3D67B4D6" w14:textId="77777777" w:rsidR="00B12621" w:rsidRDefault="00B12621" w:rsidP="00407BF6">
      <w:pPr>
        <w:spacing w:line="360" w:lineRule="auto"/>
        <w:rPr>
          <w:rFonts w:ascii="Arial" w:hAnsi="Arial"/>
        </w:rPr>
      </w:pPr>
    </w:p>
    <w:p w14:paraId="1D82B8A5" w14:textId="039F8688" w:rsidR="00B12621" w:rsidRDefault="00B12621" w:rsidP="00407BF6">
      <w:pPr>
        <w:spacing w:line="360" w:lineRule="auto"/>
        <w:rPr>
          <w:rFonts w:ascii="Arial" w:hAnsi="Arial"/>
          <w:b/>
        </w:rPr>
      </w:pPr>
      <w:r>
        <w:rPr>
          <w:rFonts w:ascii="Arial" w:hAnsi="Arial"/>
          <w:b/>
        </w:rPr>
        <w:t>CORAM:</w:t>
      </w:r>
      <w:r>
        <w:rPr>
          <w:rFonts w:ascii="Arial" w:hAnsi="Arial"/>
          <w:b/>
        </w:rPr>
        <w:tab/>
        <w:t>MASUKU J</w:t>
      </w:r>
    </w:p>
    <w:p w14:paraId="71FA6E01" w14:textId="7FCE042A" w:rsidR="00B12621" w:rsidRPr="00B12621" w:rsidRDefault="00B12621" w:rsidP="00407BF6">
      <w:pPr>
        <w:spacing w:line="360" w:lineRule="auto"/>
        <w:rPr>
          <w:rFonts w:ascii="Arial" w:hAnsi="Arial"/>
        </w:rPr>
      </w:pPr>
      <w:r>
        <w:rPr>
          <w:rFonts w:ascii="Arial" w:hAnsi="Arial"/>
          <w:b/>
        </w:rPr>
        <w:t>Heard:</w:t>
      </w:r>
      <w:r>
        <w:rPr>
          <w:rFonts w:ascii="Arial" w:hAnsi="Arial"/>
          <w:b/>
        </w:rPr>
        <w:tab/>
      </w:r>
      <w:r>
        <w:rPr>
          <w:rFonts w:ascii="Arial" w:hAnsi="Arial"/>
        </w:rPr>
        <w:t>11 March 2020</w:t>
      </w:r>
    </w:p>
    <w:p w14:paraId="5463E402" w14:textId="5F46DB55" w:rsidR="00B12621" w:rsidRPr="00B12621" w:rsidRDefault="00B12621" w:rsidP="00407BF6">
      <w:pPr>
        <w:spacing w:line="360" w:lineRule="auto"/>
        <w:rPr>
          <w:rFonts w:ascii="Arial" w:hAnsi="Arial"/>
        </w:rPr>
      </w:pPr>
      <w:r>
        <w:rPr>
          <w:rFonts w:ascii="Arial" w:hAnsi="Arial"/>
          <w:b/>
        </w:rPr>
        <w:t>Delivered:</w:t>
      </w:r>
      <w:r>
        <w:rPr>
          <w:rFonts w:ascii="Arial" w:hAnsi="Arial"/>
          <w:b/>
        </w:rPr>
        <w:tab/>
      </w:r>
      <w:r w:rsidR="00AE5394">
        <w:rPr>
          <w:rFonts w:ascii="Arial" w:hAnsi="Arial"/>
        </w:rPr>
        <w:t>23</w:t>
      </w:r>
      <w:r>
        <w:rPr>
          <w:rFonts w:ascii="Arial" w:hAnsi="Arial"/>
        </w:rPr>
        <w:t xml:space="preserve"> March 2020</w:t>
      </w:r>
    </w:p>
    <w:p w14:paraId="2DA677C3" w14:textId="77777777" w:rsidR="00224674" w:rsidRDefault="00224674" w:rsidP="00407BF6">
      <w:pPr>
        <w:spacing w:line="360" w:lineRule="auto"/>
        <w:rPr>
          <w:rFonts w:ascii="Arial" w:hAnsi="Arial"/>
          <w:b/>
        </w:rPr>
      </w:pPr>
    </w:p>
    <w:p w14:paraId="3970A674" w14:textId="77777777" w:rsidR="00B12621" w:rsidRDefault="00B12621" w:rsidP="00407BF6">
      <w:pPr>
        <w:spacing w:line="360" w:lineRule="auto"/>
        <w:rPr>
          <w:rFonts w:ascii="Arial" w:hAnsi="Arial"/>
          <w:b/>
        </w:rPr>
      </w:pPr>
    </w:p>
    <w:p w14:paraId="31AE8988" w14:textId="532FDFB6" w:rsidR="00B12621" w:rsidRDefault="00B12621" w:rsidP="00407BF6">
      <w:pPr>
        <w:spacing w:line="360" w:lineRule="auto"/>
        <w:jc w:val="both"/>
        <w:rPr>
          <w:rFonts w:ascii="Arial" w:hAnsi="Arial"/>
        </w:rPr>
      </w:pPr>
      <w:r>
        <w:rPr>
          <w:rFonts w:ascii="Arial" w:hAnsi="Arial"/>
          <w:b/>
        </w:rPr>
        <w:t>Flynote:</w:t>
      </w:r>
      <w:r>
        <w:rPr>
          <w:rFonts w:ascii="Arial" w:hAnsi="Arial"/>
          <w:b/>
        </w:rPr>
        <w:tab/>
      </w:r>
      <w:r>
        <w:rPr>
          <w:rFonts w:ascii="Arial" w:hAnsi="Arial"/>
        </w:rPr>
        <w:t xml:space="preserve">Civil Procedure – application to compel compliance with an arbitral award registered and made a court order of the Labour Court – Compromise or </w:t>
      </w:r>
      <w:r>
        <w:rPr>
          <w:rFonts w:ascii="Arial" w:hAnsi="Arial"/>
          <w:i/>
        </w:rPr>
        <w:t xml:space="preserve">Transactio </w:t>
      </w:r>
      <w:r w:rsidR="00AE5394">
        <w:rPr>
          <w:rFonts w:ascii="Arial" w:hAnsi="Arial"/>
        </w:rPr>
        <w:t xml:space="preserve">– its nature </w:t>
      </w:r>
      <w:r>
        <w:rPr>
          <w:rFonts w:ascii="Arial" w:hAnsi="Arial"/>
        </w:rPr>
        <w:t>an</w:t>
      </w:r>
      <w:r w:rsidR="00AE5394">
        <w:rPr>
          <w:rFonts w:ascii="Arial" w:hAnsi="Arial"/>
        </w:rPr>
        <w:t>d</w:t>
      </w:r>
      <w:r>
        <w:rPr>
          <w:rFonts w:ascii="Arial" w:hAnsi="Arial"/>
        </w:rPr>
        <w:t xml:space="preserve"> effect on original cause of action – </w:t>
      </w:r>
      <w:r>
        <w:rPr>
          <w:rFonts w:ascii="Arial" w:hAnsi="Arial"/>
        </w:rPr>
        <w:lastRenderedPageBreak/>
        <w:t xml:space="preserve">whether </w:t>
      </w:r>
      <w:r w:rsidR="00B51EB0">
        <w:rPr>
          <w:rFonts w:ascii="Arial" w:hAnsi="Arial"/>
        </w:rPr>
        <w:t xml:space="preserve">a </w:t>
      </w:r>
      <w:r>
        <w:rPr>
          <w:rFonts w:ascii="Arial" w:hAnsi="Arial"/>
        </w:rPr>
        <w:t>party can still sue based on the original cause of action</w:t>
      </w:r>
      <w:r w:rsidR="00B51EB0">
        <w:rPr>
          <w:rFonts w:ascii="Arial" w:hAnsi="Arial"/>
        </w:rPr>
        <w:t xml:space="preserve"> in the face of a compromise</w:t>
      </w:r>
      <w:r>
        <w:rPr>
          <w:rFonts w:ascii="Arial" w:hAnsi="Arial"/>
        </w:rPr>
        <w:t>.</w:t>
      </w:r>
    </w:p>
    <w:p w14:paraId="4F2DA926" w14:textId="77777777" w:rsidR="00B12621" w:rsidRDefault="00B12621" w:rsidP="00407BF6">
      <w:pPr>
        <w:spacing w:line="360" w:lineRule="auto"/>
        <w:jc w:val="both"/>
        <w:rPr>
          <w:rFonts w:ascii="Arial" w:hAnsi="Arial"/>
        </w:rPr>
      </w:pPr>
    </w:p>
    <w:p w14:paraId="2A05D166" w14:textId="4BE0EA11" w:rsidR="00B12621" w:rsidRDefault="00B12621" w:rsidP="00407BF6">
      <w:pPr>
        <w:spacing w:line="360" w:lineRule="auto"/>
        <w:jc w:val="both"/>
        <w:rPr>
          <w:rFonts w:ascii="Arial" w:hAnsi="Arial"/>
        </w:rPr>
      </w:pPr>
      <w:bookmarkStart w:id="0" w:name="_GoBack"/>
      <w:r>
        <w:rPr>
          <w:rFonts w:ascii="Arial" w:hAnsi="Arial"/>
          <w:b/>
        </w:rPr>
        <w:t>Summary:</w:t>
      </w:r>
      <w:r>
        <w:rPr>
          <w:rFonts w:ascii="Arial" w:hAnsi="Arial"/>
          <w:b/>
        </w:rPr>
        <w:tab/>
      </w:r>
      <w:r>
        <w:rPr>
          <w:rFonts w:ascii="Arial" w:hAnsi="Arial"/>
        </w:rPr>
        <w:t>The applicant, an employee of Nampost Limited</w:t>
      </w:r>
      <w:r w:rsidR="00B51EB0">
        <w:rPr>
          <w:rFonts w:ascii="Arial" w:hAnsi="Arial"/>
        </w:rPr>
        <w:t>,</w:t>
      </w:r>
      <w:r>
        <w:rPr>
          <w:rFonts w:ascii="Arial" w:hAnsi="Arial"/>
        </w:rPr>
        <w:t xml:space="preserve"> applied for a transfer from Windhoek to either Swakopmund or Walvis Bay, for family reasons. The application was not granted and instead, another employee was granted that transfer. The applicant lodged a dispute of unfair discrimination against th</w:t>
      </w:r>
      <w:r w:rsidR="00B51EB0">
        <w:rPr>
          <w:rFonts w:ascii="Arial" w:hAnsi="Arial"/>
        </w:rPr>
        <w:t>e employer, which was upheld by the arbitrator. A</w:t>
      </w:r>
      <w:r>
        <w:rPr>
          <w:rFonts w:ascii="Arial" w:hAnsi="Arial"/>
        </w:rPr>
        <w:t xml:space="preserve">n award in her favour, ordering the respondents to transfer her was </w:t>
      </w:r>
      <w:r w:rsidR="00B51EB0">
        <w:rPr>
          <w:rFonts w:ascii="Arial" w:hAnsi="Arial"/>
        </w:rPr>
        <w:t xml:space="preserve">accordingly </w:t>
      </w:r>
      <w:r>
        <w:rPr>
          <w:rFonts w:ascii="Arial" w:hAnsi="Arial"/>
        </w:rPr>
        <w:t xml:space="preserve">issued. The parties, thereafter, entered into a settlement agreement in terms of which the applicant was granted the transfer and she chose to move to Walvis Bay, which the respondents confirmed. The applicant later filed an application to compel compliance with the order for transfer, </w:t>
      </w:r>
      <w:r w:rsidR="00B51EB0">
        <w:rPr>
          <w:rFonts w:ascii="Arial" w:hAnsi="Arial"/>
        </w:rPr>
        <w:t xml:space="preserve">pursuant to the arbitral award, </w:t>
      </w:r>
      <w:r>
        <w:rPr>
          <w:rFonts w:ascii="Arial" w:hAnsi="Arial"/>
        </w:rPr>
        <w:t xml:space="preserve">alleging that the respondents had not complied with their undertaking.  </w:t>
      </w:r>
    </w:p>
    <w:p w14:paraId="798EB1CE" w14:textId="77777777" w:rsidR="00B12621" w:rsidRDefault="00B12621" w:rsidP="00407BF6">
      <w:pPr>
        <w:spacing w:line="360" w:lineRule="auto"/>
        <w:jc w:val="both"/>
        <w:rPr>
          <w:rFonts w:ascii="Arial" w:hAnsi="Arial"/>
        </w:rPr>
      </w:pPr>
    </w:p>
    <w:p w14:paraId="7248128F" w14:textId="0E805C2E" w:rsidR="00B12621" w:rsidRDefault="00B12621" w:rsidP="00407BF6">
      <w:pPr>
        <w:spacing w:line="360" w:lineRule="auto"/>
        <w:jc w:val="both"/>
        <w:rPr>
          <w:rFonts w:ascii="Arial" w:hAnsi="Arial"/>
        </w:rPr>
      </w:pPr>
      <w:r>
        <w:rPr>
          <w:rFonts w:ascii="Arial" w:hAnsi="Arial"/>
        </w:rPr>
        <w:t>Held:</w:t>
      </w:r>
      <w:r>
        <w:rPr>
          <w:rFonts w:ascii="Arial" w:hAnsi="Arial"/>
        </w:rPr>
        <w:tab/>
        <w:t xml:space="preserve">That the </w:t>
      </w:r>
      <w:r w:rsidR="00B51EB0">
        <w:rPr>
          <w:rFonts w:ascii="Arial" w:hAnsi="Arial"/>
        </w:rPr>
        <w:t xml:space="preserve">settlement </w:t>
      </w:r>
      <w:r>
        <w:rPr>
          <w:rFonts w:ascii="Arial" w:hAnsi="Arial"/>
        </w:rPr>
        <w:t xml:space="preserve">agreement entered into </w:t>
      </w:r>
      <w:r>
        <w:rPr>
          <w:rFonts w:ascii="Arial" w:hAnsi="Arial"/>
          <w:i/>
        </w:rPr>
        <w:t xml:space="preserve">inter partes, </w:t>
      </w:r>
      <w:r>
        <w:rPr>
          <w:rFonts w:ascii="Arial" w:hAnsi="Arial"/>
        </w:rPr>
        <w:t xml:space="preserve">served to extinguish the previous cause of action, as it had the same effect as </w:t>
      </w:r>
      <w:r>
        <w:rPr>
          <w:rFonts w:ascii="Arial" w:hAnsi="Arial"/>
          <w:i/>
        </w:rPr>
        <w:t>res judicata</w:t>
      </w:r>
      <w:r>
        <w:rPr>
          <w:rFonts w:ascii="Arial" w:hAnsi="Arial"/>
        </w:rPr>
        <w:t>. It serves to terminate the issues in dispute between or among the parties.</w:t>
      </w:r>
    </w:p>
    <w:p w14:paraId="2C2AD56F" w14:textId="77777777" w:rsidR="00B12621" w:rsidRDefault="00B12621" w:rsidP="00407BF6">
      <w:pPr>
        <w:spacing w:line="360" w:lineRule="auto"/>
        <w:jc w:val="both"/>
        <w:rPr>
          <w:rFonts w:ascii="Arial" w:hAnsi="Arial"/>
        </w:rPr>
      </w:pPr>
    </w:p>
    <w:p w14:paraId="0AD75FAB" w14:textId="24F7D14B" w:rsidR="00B12621" w:rsidRDefault="00B12621" w:rsidP="00407BF6">
      <w:pPr>
        <w:spacing w:line="360" w:lineRule="auto"/>
        <w:jc w:val="both"/>
        <w:rPr>
          <w:rFonts w:ascii="Arial" w:hAnsi="Arial"/>
        </w:rPr>
      </w:pPr>
      <w:r>
        <w:rPr>
          <w:rFonts w:ascii="Arial" w:hAnsi="Arial"/>
        </w:rPr>
        <w:t>Held that: Barring allegations of fraud, coercion or duress, which would have</w:t>
      </w:r>
      <w:r w:rsidR="00C36B9A">
        <w:rPr>
          <w:rFonts w:ascii="Arial" w:hAnsi="Arial"/>
        </w:rPr>
        <w:t xml:space="preserve"> served to affect</w:t>
      </w:r>
      <w:r>
        <w:rPr>
          <w:rFonts w:ascii="Arial" w:hAnsi="Arial"/>
        </w:rPr>
        <w:t xml:space="preserve"> the reality of consent of one of the </w:t>
      </w:r>
      <w:r w:rsidR="00C36B9A">
        <w:rPr>
          <w:rFonts w:ascii="Arial" w:hAnsi="Arial"/>
        </w:rPr>
        <w:t>parties, who would have the right to declare it void even if made an order of court,</w:t>
      </w:r>
      <w:r>
        <w:rPr>
          <w:rFonts w:ascii="Arial" w:hAnsi="Arial"/>
        </w:rPr>
        <w:t xml:space="preserve"> the settlement agreement </w:t>
      </w:r>
      <w:r w:rsidR="00C36B9A">
        <w:rPr>
          <w:rFonts w:ascii="Arial" w:hAnsi="Arial"/>
        </w:rPr>
        <w:t xml:space="preserve">effectively </w:t>
      </w:r>
      <w:r w:rsidR="00B51EB0">
        <w:rPr>
          <w:rFonts w:ascii="Arial" w:hAnsi="Arial"/>
        </w:rPr>
        <w:t>extinguished</w:t>
      </w:r>
      <w:r>
        <w:rPr>
          <w:rFonts w:ascii="Arial" w:hAnsi="Arial"/>
        </w:rPr>
        <w:t xml:space="preserve"> the original claim</w:t>
      </w:r>
      <w:r w:rsidR="00C36B9A">
        <w:rPr>
          <w:rFonts w:ascii="Arial" w:hAnsi="Arial"/>
        </w:rPr>
        <w:t>.</w:t>
      </w:r>
      <w:r>
        <w:rPr>
          <w:rFonts w:ascii="Arial" w:hAnsi="Arial"/>
        </w:rPr>
        <w:t xml:space="preserve"> </w:t>
      </w:r>
    </w:p>
    <w:p w14:paraId="253AF0A6" w14:textId="77777777" w:rsidR="00C36B9A" w:rsidRDefault="00C36B9A" w:rsidP="00407BF6">
      <w:pPr>
        <w:spacing w:line="360" w:lineRule="auto"/>
        <w:jc w:val="both"/>
        <w:rPr>
          <w:rFonts w:ascii="Arial" w:hAnsi="Arial"/>
        </w:rPr>
      </w:pPr>
    </w:p>
    <w:p w14:paraId="612ED071" w14:textId="70CAD46D" w:rsidR="00C36B9A" w:rsidRDefault="00C36B9A" w:rsidP="00407BF6">
      <w:pPr>
        <w:spacing w:line="360" w:lineRule="auto"/>
        <w:jc w:val="both"/>
        <w:rPr>
          <w:rFonts w:ascii="Arial" w:hAnsi="Arial"/>
        </w:rPr>
      </w:pPr>
      <w:r>
        <w:rPr>
          <w:rFonts w:ascii="Arial" w:hAnsi="Arial"/>
        </w:rPr>
        <w:t xml:space="preserve">Held further that: In the circumstances, the applicant was not at large to overlook the settlement agreement and sue on the original cause of action. </w:t>
      </w:r>
    </w:p>
    <w:p w14:paraId="5BFF6B78" w14:textId="77777777" w:rsidR="00C36B9A" w:rsidRDefault="00C36B9A" w:rsidP="00407BF6">
      <w:pPr>
        <w:spacing w:line="360" w:lineRule="auto"/>
        <w:jc w:val="both"/>
        <w:rPr>
          <w:rFonts w:ascii="Arial" w:hAnsi="Arial"/>
        </w:rPr>
      </w:pPr>
    </w:p>
    <w:p w14:paraId="6E57EAC5" w14:textId="764BE927" w:rsidR="00C36B9A" w:rsidRDefault="00C36B9A" w:rsidP="00407BF6">
      <w:pPr>
        <w:spacing w:line="360" w:lineRule="auto"/>
        <w:jc w:val="both"/>
        <w:rPr>
          <w:rFonts w:ascii="Arial" w:hAnsi="Arial"/>
        </w:rPr>
      </w:pPr>
      <w:r>
        <w:rPr>
          <w:rFonts w:ascii="Arial" w:hAnsi="Arial"/>
        </w:rPr>
        <w:t>The application was thus dismissed with costs.</w:t>
      </w:r>
    </w:p>
    <w:p w14:paraId="5DCEB2D9" w14:textId="77777777" w:rsidR="00862E50" w:rsidRDefault="00862E50" w:rsidP="00407BF6">
      <w:pPr>
        <w:spacing w:line="360" w:lineRule="auto"/>
        <w:jc w:val="both"/>
        <w:rPr>
          <w:rFonts w:ascii="Arial" w:hAnsi="Arial"/>
        </w:rPr>
      </w:pPr>
    </w:p>
    <w:p w14:paraId="5DB01F5F" w14:textId="77777777" w:rsidR="00862E50" w:rsidRDefault="00862E50" w:rsidP="00407BF6">
      <w:pPr>
        <w:spacing w:line="360" w:lineRule="auto"/>
        <w:jc w:val="both"/>
        <w:rPr>
          <w:rFonts w:ascii="Arial" w:hAnsi="Arial"/>
        </w:rPr>
      </w:pPr>
    </w:p>
    <w:bookmarkEnd w:id="0"/>
    <w:p w14:paraId="48B078F8" w14:textId="77777777" w:rsidR="00862E50" w:rsidRDefault="00862E50" w:rsidP="00407BF6">
      <w:pPr>
        <w:spacing w:line="360" w:lineRule="auto"/>
        <w:jc w:val="both"/>
        <w:rPr>
          <w:rFonts w:ascii="Arial" w:hAnsi="Arial"/>
        </w:rPr>
      </w:pPr>
    </w:p>
    <w:p w14:paraId="351DACCB" w14:textId="77777777" w:rsidR="00862E50" w:rsidRDefault="00862E50" w:rsidP="00407BF6">
      <w:pPr>
        <w:spacing w:line="360" w:lineRule="auto"/>
        <w:jc w:val="both"/>
        <w:rPr>
          <w:rFonts w:ascii="Arial" w:hAnsi="Arial"/>
        </w:rPr>
      </w:pPr>
    </w:p>
    <w:p w14:paraId="0885B335" w14:textId="77777777" w:rsidR="00C36B9A" w:rsidRDefault="00C36B9A" w:rsidP="00407BF6">
      <w:pPr>
        <w:spacing w:line="360" w:lineRule="auto"/>
        <w:jc w:val="both"/>
        <w:rPr>
          <w:rFonts w:ascii="Arial" w:hAnsi="Arial"/>
        </w:rPr>
      </w:pPr>
    </w:p>
    <w:p w14:paraId="2059CB1B" w14:textId="77777777" w:rsidR="00407BF6" w:rsidRDefault="00407BF6" w:rsidP="00290673">
      <w:pPr>
        <w:pBdr>
          <w:top w:val="single" w:sz="4" w:space="1" w:color="auto"/>
          <w:bottom w:val="single" w:sz="4" w:space="1" w:color="auto"/>
        </w:pBdr>
        <w:jc w:val="center"/>
        <w:rPr>
          <w:rFonts w:ascii="Arial" w:hAnsi="Arial"/>
          <w:b/>
        </w:rPr>
      </w:pPr>
    </w:p>
    <w:p w14:paraId="2E293AEB" w14:textId="7F6CB495" w:rsidR="00407BF6" w:rsidRDefault="00407BF6" w:rsidP="00290673">
      <w:pPr>
        <w:pBdr>
          <w:top w:val="single" w:sz="4" w:space="1" w:color="auto"/>
          <w:bottom w:val="single" w:sz="4" w:space="1" w:color="auto"/>
        </w:pBdr>
        <w:jc w:val="center"/>
        <w:rPr>
          <w:rFonts w:ascii="Arial" w:hAnsi="Arial"/>
          <w:b/>
        </w:rPr>
      </w:pPr>
      <w:r w:rsidRPr="00407BF6">
        <w:rPr>
          <w:rFonts w:ascii="Arial" w:hAnsi="Arial"/>
          <w:b/>
        </w:rPr>
        <w:t>ORDER</w:t>
      </w:r>
    </w:p>
    <w:p w14:paraId="2FD1A147" w14:textId="77777777" w:rsidR="00407BF6" w:rsidRPr="00407BF6" w:rsidRDefault="00407BF6" w:rsidP="00290673">
      <w:pPr>
        <w:pBdr>
          <w:top w:val="single" w:sz="4" w:space="1" w:color="auto"/>
          <w:bottom w:val="single" w:sz="4" w:space="1" w:color="auto"/>
        </w:pBdr>
        <w:jc w:val="center"/>
        <w:rPr>
          <w:rFonts w:ascii="Arial" w:hAnsi="Arial"/>
          <w:b/>
        </w:rPr>
      </w:pPr>
    </w:p>
    <w:p w14:paraId="38CF6130" w14:textId="77777777" w:rsidR="00407BF6" w:rsidRDefault="00407BF6" w:rsidP="00407BF6">
      <w:pPr>
        <w:pStyle w:val="ListParagraph"/>
        <w:spacing w:line="360" w:lineRule="auto"/>
        <w:jc w:val="both"/>
        <w:rPr>
          <w:rFonts w:ascii="Arial" w:hAnsi="Arial" w:cs="Arial"/>
        </w:rPr>
      </w:pPr>
    </w:p>
    <w:p w14:paraId="68BE145D" w14:textId="77777777" w:rsidR="00407BF6" w:rsidRPr="00CE4BFB" w:rsidRDefault="00407BF6" w:rsidP="00407BF6">
      <w:pPr>
        <w:pStyle w:val="ListParagraph"/>
        <w:numPr>
          <w:ilvl w:val="0"/>
          <w:numId w:val="1"/>
        </w:numPr>
        <w:spacing w:line="360" w:lineRule="auto"/>
        <w:jc w:val="both"/>
        <w:rPr>
          <w:rFonts w:ascii="Arial" w:hAnsi="Arial" w:cs="Arial"/>
        </w:rPr>
      </w:pPr>
      <w:r w:rsidRPr="00CE4BFB">
        <w:rPr>
          <w:rFonts w:ascii="Arial" w:hAnsi="Arial" w:cs="Arial"/>
        </w:rPr>
        <w:t>The Applicant’s application to compel the Respondent to comply with the arbitral award dated 24 May 2017, is hereby dismissed.</w:t>
      </w:r>
    </w:p>
    <w:p w14:paraId="5F201D0F" w14:textId="0E845D0E" w:rsidR="00407BF6" w:rsidRDefault="00AE5394" w:rsidP="00407BF6">
      <w:pPr>
        <w:pStyle w:val="ListParagraph"/>
        <w:numPr>
          <w:ilvl w:val="0"/>
          <w:numId w:val="1"/>
        </w:numPr>
        <w:spacing w:line="360" w:lineRule="auto"/>
        <w:jc w:val="both"/>
        <w:rPr>
          <w:rFonts w:ascii="Arial" w:hAnsi="Arial" w:cs="Arial"/>
        </w:rPr>
      </w:pPr>
      <w:r>
        <w:rPr>
          <w:rFonts w:ascii="Arial" w:hAnsi="Arial" w:cs="Arial"/>
        </w:rPr>
        <w:t>There is no order as to costs</w:t>
      </w:r>
      <w:r w:rsidR="00407BF6">
        <w:rPr>
          <w:rFonts w:ascii="Arial" w:hAnsi="Arial" w:cs="Arial"/>
        </w:rPr>
        <w:t>.</w:t>
      </w:r>
    </w:p>
    <w:p w14:paraId="12593EA3" w14:textId="622AD5D2" w:rsidR="00407BF6" w:rsidRPr="00407BF6" w:rsidRDefault="00407BF6" w:rsidP="00407BF6">
      <w:pPr>
        <w:pStyle w:val="ListParagraph"/>
        <w:numPr>
          <w:ilvl w:val="0"/>
          <w:numId w:val="1"/>
        </w:numPr>
        <w:spacing w:line="360" w:lineRule="auto"/>
        <w:jc w:val="both"/>
        <w:rPr>
          <w:rFonts w:ascii="Arial" w:hAnsi="Arial" w:cs="Arial"/>
        </w:rPr>
      </w:pPr>
      <w:r>
        <w:rPr>
          <w:rFonts w:ascii="Arial" w:hAnsi="Arial" w:cs="Arial"/>
        </w:rPr>
        <w:t>The matter is removed from the roll and is regarded as finalised.</w:t>
      </w:r>
    </w:p>
    <w:p w14:paraId="2A1B9696" w14:textId="77777777" w:rsidR="00407BF6" w:rsidRPr="00B12621" w:rsidRDefault="00407BF6" w:rsidP="00407BF6">
      <w:pPr>
        <w:pBdr>
          <w:bottom w:val="single" w:sz="4" w:space="1" w:color="auto"/>
        </w:pBdr>
        <w:spacing w:line="360" w:lineRule="auto"/>
        <w:jc w:val="both"/>
        <w:rPr>
          <w:rFonts w:ascii="Arial" w:hAnsi="Arial"/>
        </w:rPr>
      </w:pPr>
    </w:p>
    <w:p w14:paraId="664D4236" w14:textId="77777777" w:rsidR="00224674" w:rsidRDefault="00224674" w:rsidP="00290673">
      <w:pPr>
        <w:rPr>
          <w:rFonts w:ascii="Arial" w:hAnsi="Arial"/>
        </w:rPr>
      </w:pPr>
    </w:p>
    <w:p w14:paraId="3CF211AC" w14:textId="77777777" w:rsidR="00224674" w:rsidRDefault="00224674" w:rsidP="00290673">
      <w:pPr>
        <w:jc w:val="center"/>
        <w:rPr>
          <w:rFonts w:ascii="Arial" w:hAnsi="Arial"/>
          <w:b/>
        </w:rPr>
      </w:pPr>
      <w:r>
        <w:rPr>
          <w:rFonts w:ascii="Arial" w:hAnsi="Arial"/>
          <w:b/>
        </w:rPr>
        <w:t>JUDGMENT</w:t>
      </w:r>
    </w:p>
    <w:p w14:paraId="2D9CB739" w14:textId="77777777" w:rsidR="00224674" w:rsidRDefault="00224674" w:rsidP="00290673">
      <w:pPr>
        <w:pBdr>
          <w:bottom w:val="single" w:sz="6" w:space="1" w:color="auto"/>
        </w:pBdr>
        <w:jc w:val="center"/>
        <w:rPr>
          <w:rFonts w:ascii="Arial" w:hAnsi="Arial"/>
          <w:b/>
        </w:rPr>
      </w:pPr>
    </w:p>
    <w:p w14:paraId="702DC0F9" w14:textId="77777777" w:rsidR="00224674" w:rsidRDefault="00224674" w:rsidP="00407BF6">
      <w:pPr>
        <w:spacing w:line="360" w:lineRule="auto"/>
        <w:rPr>
          <w:rFonts w:ascii="Arial" w:hAnsi="Arial"/>
        </w:rPr>
      </w:pPr>
    </w:p>
    <w:p w14:paraId="2651044C" w14:textId="77777777" w:rsidR="00224674" w:rsidRDefault="00224674" w:rsidP="00407BF6">
      <w:pPr>
        <w:spacing w:line="360" w:lineRule="auto"/>
        <w:rPr>
          <w:rFonts w:ascii="Arial" w:hAnsi="Arial"/>
          <w:b/>
        </w:rPr>
      </w:pPr>
      <w:r>
        <w:rPr>
          <w:rFonts w:ascii="Arial" w:hAnsi="Arial"/>
          <w:b/>
        </w:rPr>
        <w:t>MASUKU J:</w:t>
      </w:r>
    </w:p>
    <w:p w14:paraId="0D1EAA8F" w14:textId="77777777" w:rsidR="00224674" w:rsidRDefault="00224674" w:rsidP="00407BF6">
      <w:pPr>
        <w:spacing w:line="360" w:lineRule="auto"/>
        <w:rPr>
          <w:rFonts w:ascii="Arial" w:hAnsi="Arial"/>
          <w:b/>
        </w:rPr>
      </w:pPr>
    </w:p>
    <w:p w14:paraId="6C81E658" w14:textId="77777777" w:rsidR="00224674" w:rsidRDefault="00224674" w:rsidP="00407BF6">
      <w:pPr>
        <w:spacing w:line="360" w:lineRule="auto"/>
        <w:rPr>
          <w:rFonts w:ascii="Arial" w:hAnsi="Arial"/>
          <w:u w:val="single"/>
        </w:rPr>
      </w:pPr>
      <w:r>
        <w:rPr>
          <w:rFonts w:ascii="Arial" w:hAnsi="Arial"/>
          <w:u w:val="single"/>
        </w:rPr>
        <w:t>Introduction</w:t>
      </w:r>
    </w:p>
    <w:p w14:paraId="08C4B845" w14:textId="77777777" w:rsidR="00224674" w:rsidRDefault="00224674" w:rsidP="00407BF6">
      <w:pPr>
        <w:spacing w:line="360" w:lineRule="auto"/>
        <w:rPr>
          <w:rFonts w:ascii="Arial" w:hAnsi="Arial"/>
          <w:u w:val="single"/>
        </w:rPr>
      </w:pPr>
    </w:p>
    <w:p w14:paraId="7DDDEC81" w14:textId="77777777" w:rsidR="00224674" w:rsidRDefault="00224674" w:rsidP="00407BF6">
      <w:pPr>
        <w:spacing w:line="360" w:lineRule="auto"/>
        <w:jc w:val="both"/>
        <w:rPr>
          <w:rFonts w:ascii="Arial" w:hAnsi="Arial"/>
        </w:rPr>
      </w:pPr>
      <w:r>
        <w:rPr>
          <w:rFonts w:ascii="Arial" w:hAnsi="Arial"/>
        </w:rPr>
        <w:t>[1]</w:t>
      </w:r>
      <w:r w:rsidR="000215AC">
        <w:rPr>
          <w:rFonts w:ascii="Arial" w:hAnsi="Arial"/>
        </w:rPr>
        <w:tab/>
        <w:t>Context is critical. Certain words, used in normal parlance assume a different character and meaning when employed in a legal setting. One such word is ‘compromise’.</w:t>
      </w:r>
    </w:p>
    <w:p w14:paraId="45C70EF8" w14:textId="77777777" w:rsidR="000215AC" w:rsidRDefault="000215AC" w:rsidP="00407BF6">
      <w:pPr>
        <w:spacing w:line="360" w:lineRule="auto"/>
        <w:jc w:val="both"/>
        <w:rPr>
          <w:rFonts w:ascii="Arial" w:hAnsi="Arial"/>
        </w:rPr>
      </w:pPr>
    </w:p>
    <w:p w14:paraId="00960E8C" w14:textId="52C179C8" w:rsidR="000215AC" w:rsidRDefault="000215AC" w:rsidP="00407BF6">
      <w:pPr>
        <w:spacing w:line="360" w:lineRule="auto"/>
        <w:jc w:val="both"/>
        <w:rPr>
          <w:rFonts w:ascii="Arial" w:hAnsi="Arial"/>
        </w:rPr>
      </w:pPr>
      <w:r>
        <w:rPr>
          <w:rFonts w:ascii="Arial" w:hAnsi="Arial"/>
        </w:rPr>
        <w:t>[2]</w:t>
      </w:r>
      <w:r>
        <w:rPr>
          <w:rFonts w:ascii="Arial" w:hAnsi="Arial"/>
        </w:rPr>
        <w:tab/>
        <w:t xml:space="preserve">The all-important question for determination in this judgment is whether the facts that will be recounted shortly, support the </w:t>
      </w:r>
      <w:r w:rsidR="00021091">
        <w:rPr>
          <w:rFonts w:ascii="Arial" w:hAnsi="Arial"/>
        </w:rPr>
        <w:t>responde</w:t>
      </w:r>
      <w:r w:rsidR="00B51EB0">
        <w:rPr>
          <w:rFonts w:ascii="Arial" w:hAnsi="Arial"/>
        </w:rPr>
        <w:t>nts</w:t>
      </w:r>
      <w:r w:rsidR="00021091">
        <w:rPr>
          <w:rFonts w:ascii="Arial" w:hAnsi="Arial"/>
        </w:rPr>
        <w:t>’</w:t>
      </w:r>
      <w:r w:rsidR="00B51EB0">
        <w:rPr>
          <w:rFonts w:ascii="Arial" w:hAnsi="Arial"/>
        </w:rPr>
        <w:t xml:space="preserve"> </w:t>
      </w:r>
      <w:r>
        <w:rPr>
          <w:rFonts w:ascii="Arial" w:hAnsi="Arial"/>
        </w:rPr>
        <w:t xml:space="preserve">argument that </w:t>
      </w:r>
      <w:r w:rsidR="003761F7">
        <w:rPr>
          <w:rFonts w:ascii="Arial" w:hAnsi="Arial"/>
        </w:rPr>
        <w:t>‘</w:t>
      </w:r>
      <w:r>
        <w:rPr>
          <w:rFonts w:ascii="Arial" w:hAnsi="Arial"/>
        </w:rPr>
        <w:t>a compromise</w:t>
      </w:r>
      <w:r w:rsidR="003761F7">
        <w:rPr>
          <w:rFonts w:ascii="Arial" w:hAnsi="Arial"/>
        </w:rPr>
        <w:t>’</w:t>
      </w:r>
      <w:r>
        <w:rPr>
          <w:rFonts w:ascii="Arial" w:hAnsi="Arial"/>
        </w:rPr>
        <w:t>, as understood in law, took place between the litigants in this matter</w:t>
      </w:r>
      <w:r w:rsidR="00B51EB0">
        <w:rPr>
          <w:rFonts w:ascii="Arial" w:hAnsi="Arial"/>
        </w:rPr>
        <w:t xml:space="preserve"> and thus rendered the original cause of action </w:t>
      </w:r>
      <w:r w:rsidR="00B51EB0">
        <w:rPr>
          <w:rFonts w:ascii="Arial" w:hAnsi="Arial"/>
          <w:i/>
        </w:rPr>
        <w:t xml:space="preserve">cadit quaestio </w:t>
      </w:r>
      <w:r w:rsidR="00B51EB0">
        <w:rPr>
          <w:rFonts w:ascii="Arial" w:hAnsi="Arial"/>
        </w:rPr>
        <w:t>and thus at an end</w:t>
      </w:r>
      <w:r>
        <w:rPr>
          <w:rFonts w:ascii="Arial" w:hAnsi="Arial"/>
        </w:rPr>
        <w:t>.</w:t>
      </w:r>
    </w:p>
    <w:p w14:paraId="17B8CB28" w14:textId="77777777" w:rsidR="000215AC" w:rsidRDefault="000215AC" w:rsidP="00407BF6">
      <w:pPr>
        <w:spacing w:line="360" w:lineRule="auto"/>
        <w:jc w:val="both"/>
        <w:rPr>
          <w:rFonts w:ascii="Arial" w:hAnsi="Arial"/>
        </w:rPr>
      </w:pPr>
    </w:p>
    <w:p w14:paraId="27567D26" w14:textId="65E9D68A" w:rsidR="000215AC" w:rsidRDefault="000215AC" w:rsidP="00407BF6">
      <w:pPr>
        <w:spacing w:line="360" w:lineRule="auto"/>
        <w:jc w:val="both"/>
        <w:rPr>
          <w:rFonts w:ascii="Arial" w:hAnsi="Arial"/>
        </w:rPr>
      </w:pPr>
      <w:r>
        <w:rPr>
          <w:rFonts w:ascii="Arial" w:hAnsi="Arial"/>
        </w:rPr>
        <w:t>[3]</w:t>
      </w:r>
      <w:r>
        <w:rPr>
          <w:rFonts w:ascii="Arial" w:hAnsi="Arial"/>
        </w:rPr>
        <w:tab/>
        <w:t>The applicant vociferously denies this</w:t>
      </w:r>
      <w:r w:rsidR="00B51EB0">
        <w:rPr>
          <w:rFonts w:ascii="Arial" w:hAnsi="Arial"/>
        </w:rPr>
        <w:t xml:space="preserve"> assertion. Thus the issue for determination is this - w</w:t>
      </w:r>
      <w:r>
        <w:rPr>
          <w:rFonts w:ascii="Arial" w:hAnsi="Arial"/>
        </w:rPr>
        <w:t>ho between the two parties is on the correct side of the law</w:t>
      </w:r>
      <w:r w:rsidR="00B51EB0">
        <w:rPr>
          <w:rFonts w:ascii="Arial" w:hAnsi="Arial"/>
        </w:rPr>
        <w:t>? That, simply stated,</w:t>
      </w:r>
      <w:r>
        <w:rPr>
          <w:rFonts w:ascii="Arial" w:hAnsi="Arial"/>
        </w:rPr>
        <w:t xml:space="preserve"> is the task at hand</w:t>
      </w:r>
      <w:r w:rsidR="003761F7">
        <w:rPr>
          <w:rFonts w:ascii="Arial" w:hAnsi="Arial"/>
        </w:rPr>
        <w:t xml:space="preserve"> for the court to resolve</w:t>
      </w:r>
      <w:r>
        <w:rPr>
          <w:rFonts w:ascii="Arial" w:hAnsi="Arial"/>
        </w:rPr>
        <w:t>.</w:t>
      </w:r>
    </w:p>
    <w:p w14:paraId="0B2BD6E9" w14:textId="77777777" w:rsidR="0089510A" w:rsidRDefault="0089510A" w:rsidP="00407BF6">
      <w:pPr>
        <w:spacing w:line="360" w:lineRule="auto"/>
        <w:jc w:val="both"/>
        <w:rPr>
          <w:rFonts w:ascii="Arial" w:hAnsi="Arial"/>
        </w:rPr>
      </w:pPr>
    </w:p>
    <w:p w14:paraId="2BE05740" w14:textId="77777777" w:rsidR="0089510A" w:rsidRDefault="0089510A" w:rsidP="00407BF6">
      <w:pPr>
        <w:spacing w:line="360" w:lineRule="auto"/>
        <w:jc w:val="both"/>
        <w:rPr>
          <w:rFonts w:ascii="Arial" w:hAnsi="Arial"/>
        </w:rPr>
      </w:pPr>
    </w:p>
    <w:p w14:paraId="58800B57" w14:textId="77777777" w:rsidR="0089510A" w:rsidRDefault="0089510A" w:rsidP="00407BF6">
      <w:pPr>
        <w:spacing w:line="360" w:lineRule="auto"/>
        <w:jc w:val="both"/>
        <w:rPr>
          <w:rFonts w:ascii="Arial" w:hAnsi="Arial"/>
        </w:rPr>
      </w:pPr>
    </w:p>
    <w:p w14:paraId="433FE152" w14:textId="77777777" w:rsidR="0089510A" w:rsidRDefault="0089510A" w:rsidP="00407BF6">
      <w:pPr>
        <w:spacing w:line="360" w:lineRule="auto"/>
        <w:jc w:val="both"/>
        <w:rPr>
          <w:rFonts w:ascii="Arial" w:hAnsi="Arial"/>
        </w:rPr>
      </w:pPr>
    </w:p>
    <w:p w14:paraId="04B3E308" w14:textId="77777777" w:rsidR="0089510A" w:rsidRDefault="0089510A" w:rsidP="00407BF6">
      <w:pPr>
        <w:spacing w:line="360" w:lineRule="auto"/>
        <w:jc w:val="both"/>
        <w:rPr>
          <w:rFonts w:ascii="Arial" w:hAnsi="Arial"/>
        </w:rPr>
      </w:pPr>
    </w:p>
    <w:p w14:paraId="04194E07" w14:textId="77777777" w:rsidR="0089510A" w:rsidRDefault="0089510A" w:rsidP="00407BF6">
      <w:pPr>
        <w:spacing w:line="360" w:lineRule="auto"/>
        <w:jc w:val="both"/>
        <w:rPr>
          <w:rFonts w:ascii="Arial" w:hAnsi="Arial"/>
        </w:rPr>
      </w:pPr>
    </w:p>
    <w:p w14:paraId="2EE7FFE2" w14:textId="5FA86385" w:rsidR="004B5858" w:rsidRDefault="004B5858" w:rsidP="00407BF6">
      <w:pPr>
        <w:spacing w:line="360" w:lineRule="auto"/>
        <w:jc w:val="both"/>
        <w:rPr>
          <w:rFonts w:ascii="Arial" w:hAnsi="Arial"/>
          <w:u w:val="single"/>
        </w:rPr>
      </w:pPr>
      <w:r>
        <w:rPr>
          <w:rFonts w:ascii="Arial" w:hAnsi="Arial"/>
          <w:u w:val="single"/>
        </w:rPr>
        <w:lastRenderedPageBreak/>
        <w:t xml:space="preserve">Compromise </w:t>
      </w:r>
      <w:r w:rsidR="003761F7">
        <w:rPr>
          <w:rFonts w:ascii="Arial" w:hAnsi="Arial"/>
          <w:u w:val="single"/>
        </w:rPr>
        <w:t xml:space="preserve">- </w:t>
      </w:r>
      <w:r>
        <w:rPr>
          <w:rFonts w:ascii="Arial" w:hAnsi="Arial"/>
          <w:u w:val="single"/>
        </w:rPr>
        <w:t>at law</w:t>
      </w:r>
    </w:p>
    <w:p w14:paraId="15503FBF" w14:textId="77777777" w:rsidR="004B5858" w:rsidRDefault="004B5858" w:rsidP="00407BF6">
      <w:pPr>
        <w:spacing w:line="360" w:lineRule="auto"/>
        <w:jc w:val="both"/>
        <w:rPr>
          <w:rFonts w:ascii="Arial" w:hAnsi="Arial"/>
          <w:u w:val="single"/>
        </w:rPr>
      </w:pPr>
    </w:p>
    <w:p w14:paraId="42AA302B" w14:textId="77777777" w:rsidR="004B5858" w:rsidRDefault="004B5858" w:rsidP="00407BF6">
      <w:pPr>
        <w:spacing w:line="360" w:lineRule="auto"/>
        <w:jc w:val="both"/>
        <w:rPr>
          <w:rFonts w:ascii="Arial" w:hAnsi="Arial"/>
        </w:rPr>
      </w:pPr>
      <w:r>
        <w:rPr>
          <w:rFonts w:ascii="Arial" w:hAnsi="Arial"/>
        </w:rPr>
        <w:t>[4]</w:t>
      </w:r>
      <w:r>
        <w:rPr>
          <w:rFonts w:ascii="Arial" w:hAnsi="Arial"/>
        </w:rPr>
        <w:tab/>
        <w:t xml:space="preserve">In </w:t>
      </w:r>
      <w:r>
        <w:rPr>
          <w:rFonts w:ascii="Arial" w:hAnsi="Arial"/>
          <w:i/>
        </w:rPr>
        <w:t>Metals Australia Limited and Another v Malakia Joses Amukutuwa</w:t>
      </w:r>
      <w:r>
        <w:rPr>
          <w:rStyle w:val="FootnoteReference"/>
          <w:rFonts w:ascii="Arial" w:hAnsi="Arial"/>
          <w:i/>
        </w:rPr>
        <w:footnoteReference w:id="1"/>
      </w:r>
      <w:r>
        <w:rPr>
          <w:rFonts w:ascii="Arial" w:hAnsi="Arial"/>
        </w:rPr>
        <w:t xml:space="preserve"> O’ Regan AJA dealt with the concept of compromise in the following terms:</w:t>
      </w:r>
    </w:p>
    <w:p w14:paraId="1606BACA" w14:textId="77777777" w:rsidR="004B5858" w:rsidRDefault="004B5858" w:rsidP="00407BF6">
      <w:pPr>
        <w:spacing w:line="360" w:lineRule="auto"/>
        <w:jc w:val="both"/>
        <w:rPr>
          <w:rFonts w:ascii="Arial" w:hAnsi="Arial"/>
        </w:rPr>
      </w:pPr>
    </w:p>
    <w:p w14:paraId="1B3890B5" w14:textId="77777777" w:rsidR="004B5858" w:rsidRPr="004B5858" w:rsidRDefault="004B5858" w:rsidP="00407BF6">
      <w:pPr>
        <w:spacing w:line="360" w:lineRule="auto"/>
        <w:jc w:val="both"/>
        <w:rPr>
          <w:rFonts w:ascii="Arial" w:hAnsi="Arial"/>
          <w:i/>
          <w:sz w:val="22"/>
          <w:szCs w:val="22"/>
        </w:rPr>
      </w:pPr>
      <w:r>
        <w:rPr>
          <w:rFonts w:ascii="Arial" w:hAnsi="Arial"/>
        </w:rPr>
        <w:tab/>
        <w:t>‘</w:t>
      </w:r>
      <w:r>
        <w:rPr>
          <w:rFonts w:ascii="Arial" w:hAnsi="Arial"/>
          <w:sz w:val="22"/>
          <w:szCs w:val="22"/>
        </w:rPr>
        <w:t xml:space="preserve">A compromise is a form of agreement the purpose of which is to put an end to existing litigation or to avoid litigation that is pending or might arise because of a state of uncertainty between the parties. Ordinarily, the validity of an agreement of compromise does not depend </w:t>
      </w:r>
      <w:r w:rsidR="00333E38">
        <w:rPr>
          <w:rFonts w:ascii="Arial" w:hAnsi="Arial"/>
          <w:sz w:val="22"/>
          <w:szCs w:val="22"/>
        </w:rPr>
        <w:t xml:space="preserve">on the validity of a prior agreement. An agreement of compromise may follow upon a disputed contractual claim but it may also follow upon any form of disputed right and “may be entered into to avoid a spurious claim”. The effect of an agreement is that it bars the bringing of proceedings on the original cause of action.’ </w:t>
      </w:r>
    </w:p>
    <w:p w14:paraId="64142181" w14:textId="77777777" w:rsidR="004B5858" w:rsidRDefault="004B5858" w:rsidP="00407BF6">
      <w:pPr>
        <w:spacing w:line="360" w:lineRule="auto"/>
        <w:jc w:val="both"/>
        <w:rPr>
          <w:rFonts w:ascii="Arial" w:hAnsi="Arial"/>
          <w:u w:val="single"/>
        </w:rPr>
      </w:pPr>
    </w:p>
    <w:p w14:paraId="73564314" w14:textId="56D85F39" w:rsidR="00F84FAA" w:rsidRDefault="00F84FAA" w:rsidP="00407BF6">
      <w:pPr>
        <w:spacing w:line="360" w:lineRule="auto"/>
        <w:jc w:val="both"/>
        <w:rPr>
          <w:rFonts w:ascii="Arial" w:hAnsi="Arial"/>
        </w:rPr>
      </w:pPr>
      <w:r>
        <w:rPr>
          <w:rFonts w:ascii="Arial" w:hAnsi="Arial"/>
        </w:rPr>
        <w:t>[5]</w:t>
      </w:r>
      <w:r>
        <w:rPr>
          <w:rFonts w:ascii="Arial" w:hAnsi="Arial"/>
        </w:rPr>
        <w:tab/>
        <w:t xml:space="preserve">In </w:t>
      </w:r>
      <w:r>
        <w:rPr>
          <w:rFonts w:ascii="Arial" w:hAnsi="Arial"/>
          <w:i/>
        </w:rPr>
        <w:t>Elizabeth Mbambus v Motor Vehicle Accident Fund,</w:t>
      </w:r>
      <w:r>
        <w:rPr>
          <w:rStyle w:val="FootnoteReference"/>
          <w:rFonts w:ascii="Arial" w:hAnsi="Arial"/>
          <w:i/>
        </w:rPr>
        <w:footnoteReference w:id="2"/>
      </w:r>
      <w:r>
        <w:rPr>
          <w:rFonts w:ascii="Arial" w:hAnsi="Arial"/>
          <w:i/>
        </w:rPr>
        <w:t xml:space="preserve"> </w:t>
      </w:r>
      <w:r>
        <w:rPr>
          <w:rFonts w:ascii="Arial" w:hAnsi="Arial"/>
        </w:rPr>
        <w:t>Van Niekerk J, dealing with the same subject of our discourse</w:t>
      </w:r>
      <w:r w:rsidR="00B51EB0">
        <w:rPr>
          <w:rFonts w:ascii="Arial" w:hAnsi="Arial"/>
        </w:rPr>
        <w:t>,</w:t>
      </w:r>
      <w:r>
        <w:rPr>
          <w:rFonts w:ascii="Arial" w:hAnsi="Arial"/>
        </w:rPr>
        <w:t xml:space="preserve"> stated the following, citing with approval the definition given to a compromise, otherwise referred to as a </w:t>
      </w:r>
      <w:r>
        <w:rPr>
          <w:rFonts w:ascii="Arial" w:hAnsi="Arial"/>
          <w:i/>
        </w:rPr>
        <w:t xml:space="preserve">transactio </w:t>
      </w:r>
      <w:r>
        <w:rPr>
          <w:rFonts w:ascii="Arial" w:hAnsi="Arial"/>
        </w:rPr>
        <w:t xml:space="preserve">in </w:t>
      </w:r>
      <w:r>
        <w:rPr>
          <w:rFonts w:ascii="Arial" w:hAnsi="Arial"/>
          <w:i/>
        </w:rPr>
        <w:t>Estate Erasmus v Church,</w:t>
      </w:r>
      <w:r>
        <w:rPr>
          <w:rStyle w:val="FootnoteReference"/>
          <w:rFonts w:ascii="Arial" w:hAnsi="Arial"/>
          <w:i/>
        </w:rPr>
        <w:footnoteReference w:id="3"/>
      </w:r>
      <w:r>
        <w:rPr>
          <w:rFonts w:ascii="Arial" w:hAnsi="Arial"/>
          <w:i/>
        </w:rPr>
        <w:t xml:space="preserve"> </w:t>
      </w:r>
      <w:r>
        <w:rPr>
          <w:rFonts w:ascii="Arial" w:hAnsi="Arial"/>
        </w:rPr>
        <w:t>where the following appears:</w:t>
      </w:r>
    </w:p>
    <w:p w14:paraId="4F5841B6" w14:textId="77777777" w:rsidR="00F84FAA" w:rsidRDefault="00F84FAA" w:rsidP="00407BF6">
      <w:pPr>
        <w:spacing w:line="360" w:lineRule="auto"/>
        <w:jc w:val="both"/>
        <w:rPr>
          <w:rFonts w:ascii="Arial" w:hAnsi="Arial"/>
        </w:rPr>
      </w:pPr>
    </w:p>
    <w:p w14:paraId="07DDCF3E" w14:textId="77777777" w:rsidR="00F84FAA" w:rsidRDefault="00F84FAA" w:rsidP="00407BF6">
      <w:pPr>
        <w:spacing w:line="360" w:lineRule="auto"/>
        <w:jc w:val="both"/>
        <w:rPr>
          <w:rFonts w:ascii="Arial" w:hAnsi="Arial"/>
          <w:sz w:val="22"/>
          <w:szCs w:val="22"/>
        </w:rPr>
      </w:pPr>
      <w:r>
        <w:rPr>
          <w:rFonts w:ascii="Arial" w:hAnsi="Arial"/>
        </w:rPr>
        <w:tab/>
        <w:t>‘</w:t>
      </w:r>
      <w:r>
        <w:rPr>
          <w:rFonts w:ascii="Arial" w:hAnsi="Arial"/>
          <w:sz w:val="22"/>
          <w:szCs w:val="22"/>
        </w:rPr>
        <w:t xml:space="preserve">A </w:t>
      </w:r>
      <w:r>
        <w:rPr>
          <w:rFonts w:ascii="Arial" w:hAnsi="Arial"/>
          <w:i/>
          <w:sz w:val="22"/>
          <w:szCs w:val="22"/>
        </w:rPr>
        <w:t xml:space="preserve">transactio </w:t>
      </w:r>
      <w:r>
        <w:rPr>
          <w:rFonts w:ascii="Arial" w:hAnsi="Arial"/>
          <w:sz w:val="22"/>
          <w:szCs w:val="22"/>
        </w:rPr>
        <w:t>is an agreement between two or more persons, who, for preventing or ending a law suit, adjust their differences by mutual consent, in the manner in which they agree on; and which everyone of them prefers to the hopes of gaining, joined with the danger of losing.’</w:t>
      </w:r>
    </w:p>
    <w:p w14:paraId="6364351E" w14:textId="77777777" w:rsidR="00F84FAA" w:rsidRDefault="00F84FAA" w:rsidP="00407BF6">
      <w:pPr>
        <w:spacing w:line="360" w:lineRule="auto"/>
        <w:jc w:val="both"/>
        <w:rPr>
          <w:rFonts w:ascii="Arial" w:hAnsi="Arial"/>
          <w:sz w:val="22"/>
          <w:szCs w:val="22"/>
        </w:rPr>
      </w:pPr>
    </w:p>
    <w:p w14:paraId="1656B790" w14:textId="2C490A78" w:rsidR="00F84FAA" w:rsidRDefault="00F84FAA" w:rsidP="00407BF6">
      <w:pPr>
        <w:spacing w:line="360" w:lineRule="auto"/>
        <w:jc w:val="both"/>
        <w:rPr>
          <w:rFonts w:ascii="Arial" w:hAnsi="Arial"/>
        </w:rPr>
      </w:pPr>
      <w:r>
        <w:rPr>
          <w:rFonts w:ascii="Arial" w:hAnsi="Arial"/>
        </w:rPr>
        <w:t>[6]</w:t>
      </w:r>
      <w:r>
        <w:rPr>
          <w:rFonts w:ascii="Arial" w:hAnsi="Arial"/>
        </w:rPr>
        <w:tab/>
        <w:t xml:space="preserve">Shorn of all the frills, it would appear that a compromise or </w:t>
      </w:r>
      <w:r>
        <w:rPr>
          <w:rFonts w:ascii="Arial" w:hAnsi="Arial"/>
          <w:i/>
        </w:rPr>
        <w:t xml:space="preserve">transactio </w:t>
      </w:r>
      <w:r>
        <w:rPr>
          <w:rFonts w:ascii="Arial" w:hAnsi="Arial"/>
        </w:rPr>
        <w:t xml:space="preserve">is an agreement between or among parties to a dispute pending in court, in terms of which they settle the matter </w:t>
      </w:r>
      <w:r w:rsidR="003C06AC">
        <w:rPr>
          <w:rFonts w:ascii="Arial" w:hAnsi="Arial"/>
        </w:rPr>
        <w:t xml:space="preserve">by reaching an agreement on how the matter will be resolved. This </w:t>
      </w:r>
      <w:r w:rsidR="00B51EB0">
        <w:rPr>
          <w:rFonts w:ascii="Arial" w:hAnsi="Arial"/>
        </w:rPr>
        <w:t xml:space="preserve">settlement </w:t>
      </w:r>
      <w:r w:rsidR="003C06AC">
        <w:rPr>
          <w:rFonts w:ascii="Arial" w:hAnsi="Arial"/>
        </w:rPr>
        <w:t xml:space="preserve">thus </w:t>
      </w:r>
      <w:r>
        <w:rPr>
          <w:rFonts w:ascii="Arial" w:hAnsi="Arial"/>
        </w:rPr>
        <w:t>bring</w:t>
      </w:r>
      <w:r w:rsidR="003C06AC">
        <w:rPr>
          <w:rFonts w:ascii="Arial" w:hAnsi="Arial"/>
        </w:rPr>
        <w:t xml:space="preserve">s the </w:t>
      </w:r>
      <w:r w:rsidR="00B51EB0">
        <w:rPr>
          <w:rFonts w:ascii="Arial" w:hAnsi="Arial"/>
        </w:rPr>
        <w:t xml:space="preserve">pending </w:t>
      </w:r>
      <w:r w:rsidR="003C06AC">
        <w:rPr>
          <w:rFonts w:ascii="Arial" w:hAnsi="Arial"/>
        </w:rPr>
        <w:t>dispute</w:t>
      </w:r>
      <w:r>
        <w:rPr>
          <w:rFonts w:ascii="Arial" w:hAnsi="Arial"/>
        </w:rPr>
        <w:t xml:space="preserve"> to an end, </w:t>
      </w:r>
      <w:r w:rsidR="00B51EB0">
        <w:rPr>
          <w:rFonts w:ascii="Arial" w:hAnsi="Arial"/>
        </w:rPr>
        <w:t xml:space="preserve">the parties thereto </w:t>
      </w:r>
      <w:r>
        <w:rPr>
          <w:rFonts w:ascii="Arial" w:hAnsi="Arial"/>
        </w:rPr>
        <w:t>retiring, so to speak, their arsenal</w:t>
      </w:r>
      <w:r w:rsidR="00B51EB0">
        <w:rPr>
          <w:rFonts w:ascii="Arial" w:hAnsi="Arial"/>
        </w:rPr>
        <w:t>, which was otherwise calibrated and prepared</w:t>
      </w:r>
      <w:r w:rsidR="003C06AC">
        <w:rPr>
          <w:rFonts w:ascii="Arial" w:hAnsi="Arial"/>
        </w:rPr>
        <w:t xml:space="preserve"> </w:t>
      </w:r>
      <w:r w:rsidR="00B51EB0">
        <w:rPr>
          <w:rFonts w:ascii="Arial" w:hAnsi="Arial"/>
        </w:rPr>
        <w:t xml:space="preserve">for assault in the heat of </w:t>
      </w:r>
      <w:r w:rsidR="003C06AC">
        <w:rPr>
          <w:rFonts w:ascii="Arial" w:hAnsi="Arial"/>
        </w:rPr>
        <w:t>battle.</w:t>
      </w:r>
    </w:p>
    <w:p w14:paraId="17CCC5DD" w14:textId="77777777" w:rsidR="003C06AC" w:rsidRDefault="003C06AC" w:rsidP="00407BF6">
      <w:pPr>
        <w:spacing w:line="360" w:lineRule="auto"/>
        <w:jc w:val="both"/>
        <w:rPr>
          <w:rFonts w:ascii="Arial" w:hAnsi="Arial"/>
        </w:rPr>
      </w:pPr>
    </w:p>
    <w:p w14:paraId="0ED15557" w14:textId="77777777" w:rsidR="00862E50" w:rsidRDefault="00862E50" w:rsidP="00407BF6">
      <w:pPr>
        <w:spacing w:line="360" w:lineRule="auto"/>
        <w:jc w:val="both"/>
        <w:rPr>
          <w:rFonts w:ascii="Arial" w:hAnsi="Arial"/>
          <w:u w:val="single"/>
        </w:rPr>
      </w:pPr>
    </w:p>
    <w:p w14:paraId="25CF6BC1" w14:textId="77777777" w:rsidR="003C06AC" w:rsidRDefault="003C06AC" w:rsidP="00407BF6">
      <w:pPr>
        <w:spacing w:line="360" w:lineRule="auto"/>
        <w:jc w:val="both"/>
        <w:rPr>
          <w:rFonts w:ascii="Arial" w:hAnsi="Arial"/>
          <w:u w:val="single"/>
        </w:rPr>
      </w:pPr>
      <w:r>
        <w:rPr>
          <w:rFonts w:ascii="Arial" w:hAnsi="Arial"/>
          <w:u w:val="single"/>
        </w:rPr>
        <w:t>Background</w:t>
      </w:r>
    </w:p>
    <w:p w14:paraId="216594FF" w14:textId="77777777" w:rsidR="003C06AC" w:rsidRDefault="003C06AC" w:rsidP="00407BF6">
      <w:pPr>
        <w:spacing w:line="360" w:lineRule="auto"/>
        <w:jc w:val="both"/>
        <w:rPr>
          <w:rFonts w:ascii="Arial" w:hAnsi="Arial"/>
          <w:u w:val="single"/>
        </w:rPr>
      </w:pPr>
    </w:p>
    <w:p w14:paraId="5111B1DC" w14:textId="59EB1D5C" w:rsidR="003C06AC" w:rsidRDefault="003C06AC" w:rsidP="00407BF6">
      <w:pPr>
        <w:spacing w:line="360" w:lineRule="auto"/>
        <w:jc w:val="both"/>
        <w:rPr>
          <w:rFonts w:ascii="Arial" w:hAnsi="Arial"/>
        </w:rPr>
      </w:pPr>
      <w:r>
        <w:rPr>
          <w:rFonts w:ascii="Arial" w:hAnsi="Arial"/>
        </w:rPr>
        <w:t>[7]</w:t>
      </w:r>
      <w:r>
        <w:rPr>
          <w:rFonts w:ascii="Arial" w:hAnsi="Arial"/>
        </w:rPr>
        <w:tab/>
        <w:t xml:space="preserve">The facts in this case will be briefly recounted with a view </w:t>
      </w:r>
      <w:r w:rsidR="00B51EB0">
        <w:rPr>
          <w:rFonts w:ascii="Arial" w:hAnsi="Arial"/>
        </w:rPr>
        <w:t xml:space="preserve">to deciding whether they bear </w:t>
      </w:r>
      <w:r w:rsidR="00A61E84">
        <w:rPr>
          <w:rFonts w:ascii="Arial" w:hAnsi="Arial"/>
        </w:rPr>
        <w:t>out</w:t>
      </w:r>
      <w:r>
        <w:rPr>
          <w:rFonts w:ascii="Arial" w:hAnsi="Arial"/>
        </w:rPr>
        <w:t>, as contended by the respondent, a compromise. The facts are the following, brie</w:t>
      </w:r>
      <w:r w:rsidR="00B51EB0">
        <w:rPr>
          <w:rFonts w:ascii="Arial" w:hAnsi="Arial"/>
        </w:rPr>
        <w:t xml:space="preserve">fly set out: The applicant is a lady in the </w:t>
      </w:r>
      <w:r w:rsidR="00A61E84">
        <w:rPr>
          <w:rFonts w:ascii="Arial" w:hAnsi="Arial"/>
        </w:rPr>
        <w:t>employ</w:t>
      </w:r>
      <w:r>
        <w:rPr>
          <w:rFonts w:ascii="Arial" w:hAnsi="Arial"/>
        </w:rPr>
        <w:t xml:space="preserve"> of the </w:t>
      </w:r>
      <w:r w:rsidR="00B51EB0">
        <w:rPr>
          <w:rFonts w:ascii="Arial" w:hAnsi="Arial"/>
        </w:rPr>
        <w:t>respondent, Nampost Limited. She is</w:t>
      </w:r>
      <w:r>
        <w:rPr>
          <w:rFonts w:ascii="Arial" w:hAnsi="Arial"/>
        </w:rPr>
        <w:t xml:space="preserve"> resident in Swakopmund. </w:t>
      </w:r>
    </w:p>
    <w:p w14:paraId="2EE119BE" w14:textId="77777777" w:rsidR="003C06AC" w:rsidRDefault="003C06AC" w:rsidP="00407BF6">
      <w:pPr>
        <w:spacing w:line="360" w:lineRule="auto"/>
        <w:jc w:val="both"/>
        <w:rPr>
          <w:rFonts w:ascii="Arial" w:hAnsi="Arial"/>
        </w:rPr>
      </w:pPr>
    </w:p>
    <w:p w14:paraId="0CA5592E" w14:textId="4F151A9E" w:rsidR="003C06AC" w:rsidRDefault="003C06AC" w:rsidP="00407BF6">
      <w:pPr>
        <w:spacing w:line="360" w:lineRule="auto"/>
        <w:jc w:val="both"/>
        <w:rPr>
          <w:rFonts w:ascii="Arial" w:hAnsi="Arial"/>
        </w:rPr>
      </w:pPr>
      <w:r>
        <w:rPr>
          <w:rFonts w:ascii="Arial" w:hAnsi="Arial"/>
        </w:rPr>
        <w:t>[8]</w:t>
      </w:r>
      <w:r>
        <w:rPr>
          <w:rFonts w:ascii="Arial" w:hAnsi="Arial"/>
        </w:rPr>
        <w:tab/>
        <w:t xml:space="preserve">Namibia Postal Limited, the applicant’s employer, is </w:t>
      </w:r>
      <w:r w:rsidR="009F3680">
        <w:rPr>
          <w:rFonts w:ascii="Arial" w:hAnsi="Arial"/>
        </w:rPr>
        <w:t>cited as the 1</w:t>
      </w:r>
      <w:r w:rsidR="009F3680" w:rsidRPr="009F3680">
        <w:rPr>
          <w:rFonts w:ascii="Arial" w:hAnsi="Arial"/>
          <w:vertAlign w:val="superscript"/>
        </w:rPr>
        <w:t>st</w:t>
      </w:r>
      <w:r w:rsidR="009F3680">
        <w:rPr>
          <w:rFonts w:ascii="Arial" w:hAnsi="Arial"/>
        </w:rPr>
        <w:t xml:space="preserve"> respondent. It is</w:t>
      </w:r>
      <w:r>
        <w:rPr>
          <w:rFonts w:ascii="Arial" w:hAnsi="Arial"/>
        </w:rPr>
        <w:t xml:space="preserve"> an entity incorporated in terms of Posts and Telecommunications Companies Establishment Act,</w:t>
      </w:r>
      <w:r>
        <w:rPr>
          <w:rStyle w:val="FootnoteReference"/>
          <w:rFonts w:ascii="Arial" w:hAnsi="Arial"/>
        </w:rPr>
        <w:footnoteReference w:id="4"/>
      </w:r>
      <w:r>
        <w:rPr>
          <w:rFonts w:ascii="Arial" w:hAnsi="Arial"/>
        </w:rPr>
        <w:t xml:space="preserve"> having its principal place of business situate in Windhoek. The 2</w:t>
      </w:r>
      <w:r w:rsidRPr="003C06AC">
        <w:rPr>
          <w:rFonts w:ascii="Arial" w:hAnsi="Arial"/>
          <w:vertAlign w:val="superscript"/>
        </w:rPr>
        <w:t>nd</w:t>
      </w:r>
      <w:r>
        <w:rPr>
          <w:rFonts w:ascii="Arial" w:hAnsi="Arial"/>
        </w:rPr>
        <w:t xml:space="preserve"> respondent, Mr Festus Hangula is the head of the 1</w:t>
      </w:r>
      <w:r w:rsidRPr="003C06AC">
        <w:rPr>
          <w:rFonts w:ascii="Arial" w:hAnsi="Arial"/>
          <w:vertAlign w:val="superscript"/>
        </w:rPr>
        <w:t>st</w:t>
      </w:r>
      <w:r>
        <w:rPr>
          <w:rFonts w:ascii="Arial" w:hAnsi="Arial"/>
        </w:rPr>
        <w:t xml:space="preserve"> respondent. I </w:t>
      </w:r>
      <w:r w:rsidR="009F3680">
        <w:rPr>
          <w:rFonts w:ascii="Arial" w:hAnsi="Arial"/>
        </w:rPr>
        <w:t xml:space="preserve">will collectively refer to both respondents </w:t>
      </w:r>
      <w:r w:rsidR="00021091">
        <w:rPr>
          <w:rFonts w:ascii="Arial" w:hAnsi="Arial"/>
        </w:rPr>
        <w:t>in this judgment,</w:t>
      </w:r>
      <w:r w:rsidR="009F3680">
        <w:rPr>
          <w:rFonts w:ascii="Arial" w:hAnsi="Arial"/>
        </w:rPr>
        <w:t xml:space="preserve"> as</w:t>
      </w:r>
      <w:r>
        <w:rPr>
          <w:rFonts w:ascii="Arial" w:hAnsi="Arial"/>
        </w:rPr>
        <w:t xml:space="preserve"> </w:t>
      </w:r>
      <w:r w:rsidR="00021091">
        <w:rPr>
          <w:rFonts w:ascii="Arial" w:hAnsi="Arial"/>
        </w:rPr>
        <w:t>‘</w:t>
      </w:r>
      <w:r w:rsidR="009F3680">
        <w:rPr>
          <w:rFonts w:ascii="Arial" w:hAnsi="Arial"/>
        </w:rPr>
        <w:t>the respondents</w:t>
      </w:r>
      <w:r w:rsidR="00021091">
        <w:rPr>
          <w:rFonts w:ascii="Arial" w:hAnsi="Arial"/>
        </w:rPr>
        <w:t>’</w:t>
      </w:r>
      <w:r>
        <w:rPr>
          <w:rFonts w:ascii="Arial" w:hAnsi="Arial"/>
        </w:rPr>
        <w:t>.</w:t>
      </w:r>
    </w:p>
    <w:p w14:paraId="106749E9" w14:textId="77777777" w:rsidR="00EA215E" w:rsidRDefault="00EA215E" w:rsidP="00407BF6">
      <w:pPr>
        <w:spacing w:line="360" w:lineRule="auto"/>
        <w:jc w:val="both"/>
        <w:rPr>
          <w:rFonts w:ascii="Arial" w:hAnsi="Arial"/>
        </w:rPr>
      </w:pPr>
    </w:p>
    <w:p w14:paraId="672773D2" w14:textId="0B15B9C8" w:rsidR="00EA215E" w:rsidRDefault="003761F7" w:rsidP="00407BF6">
      <w:pPr>
        <w:spacing w:line="360" w:lineRule="auto"/>
        <w:jc w:val="both"/>
        <w:rPr>
          <w:rFonts w:ascii="Arial" w:hAnsi="Arial"/>
        </w:rPr>
      </w:pPr>
      <w:r>
        <w:rPr>
          <w:rFonts w:ascii="Arial" w:hAnsi="Arial"/>
        </w:rPr>
        <w:t>[9</w:t>
      </w:r>
      <w:r w:rsidR="009F3680">
        <w:rPr>
          <w:rFonts w:ascii="Arial" w:hAnsi="Arial"/>
        </w:rPr>
        <w:t>]</w:t>
      </w:r>
      <w:r w:rsidR="009F3680">
        <w:rPr>
          <w:rFonts w:ascii="Arial" w:hAnsi="Arial"/>
        </w:rPr>
        <w:tab/>
        <w:t>The applicant had applied from her employer, the 1</w:t>
      </w:r>
      <w:r w:rsidR="009F3680" w:rsidRPr="009F3680">
        <w:rPr>
          <w:rFonts w:ascii="Arial" w:hAnsi="Arial"/>
          <w:vertAlign w:val="superscript"/>
        </w:rPr>
        <w:t>st</w:t>
      </w:r>
      <w:r w:rsidR="009F3680">
        <w:rPr>
          <w:rFonts w:ascii="Arial" w:hAnsi="Arial"/>
        </w:rPr>
        <w:t xml:space="preserve"> respondent, f</w:t>
      </w:r>
      <w:r w:rsidR="00EA215E">
        <w:rPr>
          <w:rFonts w:ascii="Arial" w:hAnsi="Arial"/>
        </w:rPr>
        <w:t xml:space="preserve">or a transfer to a post in Walvis Bay of Control Postmaster. </w:t>
      </w:r>
      <w:r>
        <w:rPr>
          <w:rFonts w:ascii="Arial" w:hAnsi="Arial"/>
        </w:rPr>
        <w:t xml:space="preserve">She wanted to be close to her husband. </w:t>
      </w:r>
      <w:r w:rsidR="00EA215E">
        <w:rPr>
          <w:rFonts w:ascii="Arial" w:hAnsi="Arial"/>
        </w:rPr>
        <w:t>It would appear that the applicant was promised that her appli</w:t>
      </w:r>
      <w:r>
        <w:rPr>
          <w:rFonts w:ascii="Arial" w:hAnsi="Arial"/>
        </w:rPr>
        <w:t>cation would be considered. The transfer</w:t>
      </w:r>
      <w:r w:rsidR="00EA215E">
        <w:rPr>
          <w:rFonts w:ascii="Arial" w:hAnsi="Arial"/>
        </w:rPr>
        <w:t xml:space="preserve"> did not materialise though as a Mr. Awaseb was offered the post instead. </w:t>
      </w:r>
    </w:p>
    <w:p w14:paraId="2E301338" w14:textId="77777777" w:rsidR="003761F7" w:rsidRDefault="003761F7" w:rsidP="00407BF6">
      <w:pPr>
        <w:spacing w:line="360" w:lineRule="auto"/>
        <w:jc w:val="both"/>
        <w:rPr>
          <w:rFonts w:ascii="Arial" w:hAnsi="Arial"/>
        </w:rPr>
      </w:pPr>
    </w:p>
    <w:p w14:paraId="055E0AD0" w14:textId="5342B732" w:rsidR="003761F7" w:rsidRDefault="003761F7" w:rsidP="00407BF6">
      <w:pPr>
        <w:spacing w:line="360" w:lineRule="auto"/>
        <w:jc w:val="both"/>
        <w:rPr>
          <w:rFonts w:ascii="Arial" w:hAnsi="Arial"/>
        </w:rPr>
      </w:pPr>
      <w:r>
        <w:rPr>
          <w:rFonts w:ascii="Arial" w:hAnsi="Arial"/>
        </w:rPr>
        <w:t>[10]</w:t>
      </w:r>
      <w:r>
        <w:rPr>
          <w:rFonts w:ascii="Arial" w:hAnsi="Arial"/>
        </w:rPr>
        <w:tab/>
        <w:t>Aggrieved by the decision not to offer her the post, the applicant lodged a dispute with the Office of the Labour Commissioner of unfair discrimination and an unfair treatment by her employer. At the end of the proceedings, the arbitrator found that the applicant had been unfairly discriminated against by her employer by not considering her for a transfer to Swakopmund or Walvis Bay. An award in her favour, described below was issued by the arbitrator.</w:t>
      </w:r>
    </w:p>
    <w:p w14:paraId="3E5AF44E" w14:textId="77777777" w:rsidR="00D54E6C" w:rsidRDefault="00D54E6C" w:rsidP="00407BF6">
      <w:pPr>
        <w:spacing w:line="360" w:lineRule="auto"/>
        <w:jc w:val="both"/>
        <w:rPr>
          <w:rFonts w:ascii="Arial" w:hAnsi="Arial"/>
        </w:rPr>
      </w:pPr>
    </w:p>
    <w:p w14:paraId="425B2FD3" w14:textId="36E7FE64" w:rsidR="00D54E6C" w:rsidRDefault="003761F7" w:rsidP="00407BF6">
      <w:pPr>
        <w:spacing w:line="360" w:lineRule="auto"/>
        <w:jc w:val="both"/>
        <w:rPr>
          <w:rFonts w:ascii="Arial" w:hAnsi="Arial"/>
        </w:rPr>
      </w:pPr>
      <w:r>
        <w:rPr>
          <w:rFonts w:ascii="Arial" w:hAnsi="Arial"/>
        </w:rPr>
        <w:t>[11</w:t>
      </w:r>
      <w:r w:rsidR="00D54E6C">
        <w:rPr>
          <w:rFonts w:ascii="Arial" w:hAnsi="Arial"/>
        </w:rPr>
        <w:t>]</w:t>
      </w:r>
      <w:r w:rsidR="00D54E6C">
        <w:rPr>
          <w:rFonts w:ascii="Arial" w:hAnsi="Arial"/>
        </w:rPr>
        <w:tab/>
      </w:r>
      <w:r w:rsidR="009F3680">
        <w:rPr>
          <w:rFonts w:ascii="Arial" w:hAnsi="Arial"/>
        </w:rPr>
        <w:t>In the present application, t</w:t>
      </w:r>
      <w:r w:rsidR="00D54E6C">
        <w:rPr>
          <w:rFonts w:ascii="Arial" w:hAnsi="Arial"/>
        </w:rPr>
        <w:t xml:space="preserve">he applicant approached this court seeking an order compelling the respondents to comply with an order dated 24 May 2017, within 14 days of the issue of the court’s order in her favour. She further sought leave from the court to approach the court if need be, on papers duly amplified, </w:t>
      </w:r>
      <w:r w:rsidR="009F3680">
        <w:rPr>
          <w:rFonts w:ascii="Arial" w:hAnsi="Arial"/>
        </w:rPr>
        <w:t xml:space="preserve">for an order </w:t>
      </w:r>
      <w:r w:rsidR="00D54E6C">
        <w:rPr>
          <w:rFonts w:ascii="Arial" w:hAnsi="Arial"/>
        </w:rPr>
        <w:t>that the 2</w:t>
      </w:r>
      <w:r w:rsidR="00D54E6C" w:rsidRPr="00D54E6C">
        <w:rPr>
          <w:rFonts w:ascii="Arial" w:hAnsi="Arial"/>
          <w:vertAlign w:val="superscript"/>
        </w:rPr>
        <w:t>nd</w:t>
      </w:r>
      <w:r w:rsidR="00D54E6C">
        <w:rPr>
          <w:rFonts w:ascii="Arial" w:hAnsi="Arial"/>
        </w:rPr>
        <w:t xml:space="preserve"> respondent be held guilty of contempt of court if he does not comply with the order compelling the respondents to so comply.</w:t>
      </w:r>
    </w:p>
    <w:p w14:paraId="3F46832D" w14:textId="77777777" w:rsidR="00D54E6C" w:rsidRDefault="00D54E6C" w:rsidP="00407BF6">
      <w:pPr>
        <w:spacing w:line="360" w:lineRule="auto"/>
        <w:jc w:val="both"/>
        <w:rPr>
          <w:rFonts w:ascii="Arial" w:hAnsi="Arial"/>
        </w:rPr>
      </w:pPr>
    </w:p>
    <w:p w14:paraId="0F2320CE" w14:textId="3AB4BFBB" w:rsidR="00D54E6C" w:rsidRDefault="003761F7" w:rsidP="00407BF6">
      <w:pPr>
        <w:spacing w:line="360" w:lineRule="auto"/>
        <w:jc w:val="both"/>
        <w:rPr>
          <w:rFonts w:ascii="Arial" w:hAnsi="Arial"/>
        </w:rPr>
      </w:pPr>
      <w:r>
        <w:rPr>
          <w:rFonts w:ascii="Arial" w:hAnsi="Arial"/>
        </w:rPr>
        <w:t>[12</w:t>
      </w:r>
      <w:r w:rsidR="00D54E6C">
        <w:rPr>
          <w:rFonts w:ascii="Arial" w:hAnsi="Arial"/>
        </w:rPr>
        <w:t>]</w:t>
      </w:r>
      <w:r w:rsidR="00D54E6C">
        <w:rPr>
          <w:rFonts w:ascii="Arial" w:hAnsi="Arial"/>
        </w:rPr>
        <w:tab/>
        <w:t>In her founding affidavit, the applicant claims that an arbitration award was issued in her favour against the respondents on 29 March 2016 and it was made an order of the Labour Court on 24 Ma</w:t>
      </w:r>
      <w:r w:rsidR="009F3680">
        <w:rPr>
          <w:rFonts w:ascii="Arial" w:hAnsi="Arial"/>
        </w:rPr>
        <w:t xml:space="preserve">y 2017. There is no doubt that </w:t>
      </w:r>
      <w:r w:rsidR="00D54E6C">
        <w:rPr>
          <w:rFonts w:ascii="Arial" w:hAnsi="Arial"/>
        </w:rPr>
        <w:t>t</w:t>
      </w:r>
      <w:r w:rsidR="009F3680">
        <w:rPr>
          <w:rFonts w:ascii="Arial" w:hAnsi="Arial"/>
        </w:rPr>
        <w:t>he order</w:t>
      </w:r>
      <w:r w:rsidR="00D54E6C">
        <w:rPr>
          <w:rFonts w:ascii="Arial" w:hAnsi="Arial"/>
        </w:rPr>
        <w:t xml:space="preserve"> came to the respondents’ attention. The respondents opposed the application for the registration of the award by notice dated 9 June 2017.</w:t>
      </w:r>
    </w:p>
    <w:p w14:paraId="51AE2EF0" w14:textId="77777777" w:rsidR="00D54E6C" w:rsidRDefault="00D54E6C" w:rsidP="00407BF6">
      <w:pPr>
        <w:spacing w:line="360" w:lineRule="auto"/>
        <w:jc w:val="both"/>
        <w:rPr>
          <w:rFonts w:ascii="Arial" w:hAnsi="Arial"/>
        </w:rPr>
      </w:pPr>
    </w:p>
    <w:p w14:paraId="224B9E8E" w14:textId="7D08F723" w:rsidR="00D54E6C" w:rsidRDefault="003761F7" w:rsidP="00407BF6">
      <w:pPr>
        <w:spacing w:line="360" w:lineRule="auto"/>
        <w:jc w:val="both"/>
        <w:rPr>
          <w:rFonts w:ascii="Arial" w:hAnsi="Arial"/>
        </w:rPr>
      </w:pPr>
      <w:r>
        <w:rPr>
          <w:rFonts w:ascii="Arial" w:hAnsi="Arial"/>
        </w:rPr>
        <w:t>[13</w:t>
      </w:r>
      <w:r w:rsidR="00D54E6C">
        <w:rPr>
          <w:rFonts w:ascii="Arial" w:hAnsi="Arial"/>
        </w:rPr>
        <w:t>]</w:t>
      </w:r>
      <w:r w:rsidR="00D54E6C">
        <w:rPr>
          <w:rFonts w:ascii="Arial" w:hAnsi="Arial"/>
        </w:rPr>
        <w:tab/>
        <w:t xml:space="preserve">In terms of the award, the respondents were ordered to transfer the applicant to Walvis Bay, with effect from 1 May 2016. The respondents were further ordered to transfer a Mr. </w:t>
      </w:r>
      <w:r w:rsidR="005735BF">
        <w:rPr>
          <w:rFonts w:ascii="Arial" w:hAnsi="Arial"/>
        </w:rPr>
        <w:t>Terrence Awaseb to another duty station where a vacant post was available. The respondents’ representative Mr. Johannes Kangandjara, was ordered, in his personal capacity, to pay an amount of N$ 2000 as costs to the applicant. It was declared that the award was final and binding on the parties.</w:t>
      </w:r>
    </w:p>
    <w:p w14:paraId="5BFE06CE" w14:textId="77777777" w:rsidR="003761F7" w:rsidRDefault="003761F7" w:rsidP="00407BF6">
      <w:pPr>
        <w:spacing w:line="360" w:lineRule="auto"/>
        <w:jc w:val="both"/>
        <w:rPr>
          <w:rFonts w:ascii="Arial" w:hAnsi="Arial"/>
        </w:rPr>
      </w:pPr>
    </w:p>
    <w:p w14:paraId="4A0E809B" w14:textId="36674A74" w:rsidR="00D54E6C" w:rsidRDefault="003761F7" w:rsidP="00407BF6">
      <w:pPr>
        <w:spacing w:line="360" w:lineRule="auto"/>
        <w:jc w:val="both"/>
        <w:rPr>
          <w:rFonts w:ascii="Arial" w:hAnsi="Arial"/>
        </w:rPr>
      </w:pPr>
      <w:r>
        <w:rPr>
          <w:rFonts w:ascii="Arial" w:hAnsi="Arial"/>
        </w:rPr>
        <w:t>[14</w:t>
      </w:r>
      <w:r w:rsidR="00D54E6C">
        <w:rPr>
          <w:rFonts w:ascii="Arial" w:hAnsi="Arial"/>
        </w:rPr>
        <w:t>]</w:t>
      </w:r>
      <w:r w:rsidR="00D54E6C">
        <w:rPr>
          <w:rFonts w:ascii="Arial" w:hAnsi="Arial"/>
        </w:rPr>
        <w:tab/>
        <w:t>It is the applicant’s case that the respondents did not comply with the award and that they should be compelled by an order of court to do so, hence the relief sought. What is the respondents’ take on the issue?</w:t>
      </w:r>
    </w:p>
    <w:p w14:paraId="29689E0A" w14:textId="77777777" w:rsidR="00D54E6C" w:rsidRDefault="00D54E6C" w:rsidP="00407BF6">
      <w:pPr>
        <w:spacing w:line="360" w:lineRule="auto"/>
        <w:jc w:val="both"/>
        <w:rPr>
          <w:rFonts w:ascii="Arial" w:hAnsi="Arial"/>
        </w:rPr>
      </w:pPr>
    </w:p>
    <w:p w14:paraId="2D83B668" w14:textId="740EB781" w:rsidR="00D54E6C" w:rsidRDefault="003761F7" w:rsidP="00407BF6">
      <w:pPr>
        <w:spacing w:line="360" w:lineRule="auto"/>
        <w:jc w:val="both"/>
        <w:rPr>
          <w:rFonts w:ascii="Arial" w:hAnsi="Arial"/>
        </w:rPr>
      </w:pPr>
      <w:r>
        <w:rPr>
          <w:rFonts w:ascii="Arial" w:hAnsi="Arial"/>
        </w:rPr>
        <w:t>[15</w:t>
      </w:r>
      <w:r w:rsidR="00D54E6C">
        <w:rPr>
          <w:rFonts w:ascii="Arial" w:hAnsi="Arial"/>
        </w:rPr>
        <w:t>]</w:t>
      </w:r>
      <w:r w:rsidR="005735BF">
        <w:rPr>
          <w:rFonts w:ascii="Arial" w:hAnsi="Arial"/>
        </w:rPr>
        <w:tab/>
        <w:t xml:space="preserve">The respondents filed an affidavit deposed to </w:t>
      </w:r>
      <w:r w:rsidR="009F3680">
        <w:rPr>
          <w:rFonts w:ascii="Arial" w:hAnsi="Arial"/>
        </w:rPr>
        <w:t xml:space="preserve">by </w:t>
      </w:r>
      <w:r w:rsidR="005735BF">
        <w:rPr>
          <w:rFonts w:ascii="Arial" w:hAnsi="Arial"/>
        </w:rPr>
        <w:t>a Ms. Eldorette Harmse, Head of Legal Services and Company Secretary of the 1</w:t>
      </w:r>
      <w:r w:rsidR="005735BF" w:rsidRPr="005735BF">
        <w:rPr>
          <w:rFonts w:ascii="Arial" w:hAnsi="Arial"/>
          <w:vertAlign w:val="superscript"/>
        </w:rPr>
        <w:t>st</w:t>
      </w:r>
      <w:r w:rsidR="005735BF">
        <w:rPr>
          <w:rFonts w:ascii="Arial" w:hAnsi="Arial"/>
        </w:rPr>
        <w:t xml:space="preserve"> respondent. The nub of the respondents’ contention, deposed to by Ms. Harmse, was that the applicant had not been </w:t>
      </w:r>
      <w:r w:rsidR="009F3680">
        <w:rPr>
          <w:rFonts w:ascii="Arial" w:hAnsi="Arial"/>
        </w:rPr>
        <w:t xml:space="preserve">fully </w:t>
      </w:r>
      <w:r w:rsidR="005735BF">
        <w:rPr>
          <w:rFonts w:ascii="Arial" w:hAnsi="Arial"/>
        </w:rPr>
        <w:t xml:space="preserve">candid with the court because the parties had amicably resolved the matter via correspondence between the parties’ legal practitioners. In this regard, </w:t>
      </w:r>
      <w:r w:rsidR="009F3680">
        <w:rPr>
          <w:rFonts w:ascii="Arial" w:hAnsi="Arial"/>
        </w:rPr>
        <w:t xml:space="preserve">it was stated on oath that </w:t>
      </w:r>
      <w:r w:rsidR="005735BF">
        <w:rPr>
          <w:rFonts w:ascii="Arial" w:hAnsi="Arial"/>
        </w:rPr>
        <w:t>the respond</w:t>
      </w:r>
      <w:r w:rsidR="00021091">
        <w:rPr>
          <w:rFonts w:ascii="Arial" w:hAnsi="Arial"/>
        </w:rPr>
        <w:t>ents’ legal practitioners made a</w:t>
      </w:r>
      <w:r w:rsidR="005735BF">
        <w:rPr>
          <w:rFonts w:ascii="Arial" w:hAnsi="Arial"/>
        </w:rPr>
        <w:t xml:space="preserve">n offer to settle the matter and which </w:t>
      </w:r>
      <w:r w:rsidR="009F3680">
        <w:rPr>
          <w:rFonts w:ascii="Arial" w:hAnsi="Arial"/>
        </w:rPr>
        <w:t xml:space="preserve">offer </w:t>
      </w:r>
      <w:r w:rsidR="005735BF">
        <w:rPr>
          <w:rFonts w:ascii="Arial" w:hAnsi="Arial"/>
        </w:rPr>
        <w:t>was accepted by the applicant’s legal practitioners on her behalf.</w:t>
      </w:r>
    </w:p>
    <w:p w14:paraId="30F98647" w14:textId="77777777" w:rsidR="005735BF" w:rsidRDefault="005735BF" w:rsidP="00407BF6">
      <w:pPr>
        <w:spacing w:line="360" w:lineRule="auto"/>
        <w:jc w:val="both"/>
        <w:rPr>
          <w:rFonts w:ascii="Arial" w:hAnsi="Arial"/>
        </w:rPr>
      </w:pPr>
    </w:p>
    <w:p w14:paraId="6FA12B1B" w14:textId="05497F76" w:rsidR="005735BF" w:rsidRDefault="003761F7" w:rsidP="00407BF6">
      <w:pPr>
        <w:spacing w:line="360" w:lineRule="auto"/>
        <w:jc w:val="both"/>
        <w:rPr>
          <w:rFonts w:ascii="Arial" w:hAnsi="Arial"/>
        </w:rPr>
      </w:pPr>
      <w:r>
        <w:rPr>
          <w:rFonts w:ascii="Arial" w:hAnsi="Arial"/>
        </w:rPr>
        <w:t>[16</w:t>
      </w:r>
      <w:r w:rsidR="005735BF">
        <w:rPr>
          <w:rFonts w:ascii="Arial" w:hAnsi="Arial"/>
        </w:rPr>
        <w:t>]</w:t>
      </w:r>
      <w:r w:rsidR="005735BF">
        <w:rPr>
          <w:rFonts w:ascii="Arial" w:hAnsi="Arial"/>
        </w:rPr>
        <w:tab/>
        <w:t>It is a matter of note that indeed the respondents’ legal practitioners wrote an email to the applicant’s</w:t>
      </w:r>
      <w:r w:rsidR="009F3680">
        <w:rPr>
          <w:rFonts w:ascii="Arial" w:hAnsi="Arial"/>
        </w:rPr>
        <w:t xml:space="preserve"> legal practitioners</w:t>
      </w:r>
      <w:r w:rsidR="005735BF">
        <w:rPr>
          <w:rFonts w:ascii="Arial" w:hAnsi="Arial"/>
        </w:rPr>
        <w:t>, dated 16 October 2018</w:t>
      </w:r>
      <w:r w:rsidR="009F3680">
        <w:rPr>
          <w:rFonts w:ascii="Arial" w:hAnsi="Arial"/>
        </w:rPr>
        <w:t>,</w:t>
      </w:r>
      <w:r w:rsidR="005735BF">
        <w:rPr>
          <w:rFonts w:ascii="Arial" w:hAnsi="Arial"/>
        </w:rPr>
        <w:t xml:space="preserve"> in which they offered the applicant a post in the vicinity of the place she had applied to be transferred to, namely Narraville, Walvis B</w:t>
      </w:r>
      <w:r w:rsidR="00D47D8C">
        <w:rPr>
          <w:rFonts w:ascii="Arial" w:hAnsi="Arial"/>
        </w:rPr>
        <w:t>ay, effective 1 January 2019 or Mondesa, Swakopmund, which would have required 3 months’ notice.</w:t>
      </w:r>
    </w:p>
    <w:p w14:paraId="14FF986F" w14:textId="77777777" w:rsidR="00D47D8C" w:rsidRDefault="00D47D8C" w:rsidP="00407BF6">
      <w:pPr>
        <w:spacing w:line="360" w:lineRule="auto"/>
        <w:jc w:val="both"/>
        <w:rPr>
          <w:rFonts w:ascii="Arial" w:hAnsi="Arial"/>
        </w:rPr>
      </w:pPr>
    </w:p>
    <w:p w14:paraId="2C8783E9" w14:textId="51472B68" w:rsidR="00D47D8C" w:rsidRDefault="003761F7" w:rsidP="00407BF6">
      <w:pPr>
        <w:spacing w:line="360" w:lineRule="auto"/>
        <w:jc w:val="both"/>
        <w:rPr>
          <w:rFonts w:ascii="Arial" w:hAnsi="Arial"/>
        </w:rPr>
      </w:pPr>
      <w:r>
        <w:rPr>
          <w:rFonts w:ascii="Arial" w:hAnsi="Arial"/>
        </w:rPr>
        <w:t>[17</w:t>
      </w:r>
      <w:r w:rsidR="00D47D8C">
        <w:rPr>
          <w:rFonts w:ascii="Arial" w:hAnsi="Arial"/>
        </w:rPr>
        <w:t>]</w:t>
      </w:r>
      <w:r w:rsidR="00D47D8C">
        <w:rPr>
          <w:rFonts w:ascii="Arial" w:hAnsi="Arial"/>
        </w:rPr>
        <w:tab/>
        <w:t>By email correspondence dated 18 October 2018, the applicant’s legal practitioners advised that the applicant was amenable to taking up the</w:t>
      </w:r>
      <w:r w:rsidR="009F3680">
        <w:rPr>
          <w:rFonts w:ascii="Arial" w:hAnsi="Arial"/>
        </w:rPr>
        <w:t xml:space="preserve"> position in Walvis Bay, namely of</w:t>
      </w:r>
      <w:r w:rsidR="00D47D8C">
        <w:rPr>
          <w:rFonts w:ascii="Arial" w:hAnsi="Arial"/>
        </w:rPr>
        <w:t xml:space="preserve"> Control Postmaster, C5 Grade. The applicant in this letter, also claimed costs in the amount of N$ 26 548.83. On 19 October, 2018, the respondents confirmed that the applicant would be transferred to Walvis Bay and h</w:t>
      </w:r>
      <w:r w:rsidR="009F3680">
        <w:rPr>
          <w:rFonts w:ascii="Arial" w:hAnsi="Arial"/>
        </w:rPr>
        <w:t>er grading and remuneration would</w:t>
      </w:r>
      <w:r w:rsidR="00D47D8C">
        <w:rPr>
          <w:rFonts w:ascii="Arial" w:hAnsi="Arial"/>
        </w:rPr>
        <w:t xml:space="preserve"> remain as it then was. It was suggested by the respondents that each party should pay its own costs. </w:t>
      </w:r>
      <w:r w:rsidR="00021091">
        <w:rPr>
          <w:rFonts w:ascii="Arial" w:hAnsi="Arial"/>
        </w:rPr>
        <w:t>It appears that was no</w:t>
      </w:r>
      <w:r w:rsidR="009F3680">
        <w:rPr>
          <w:rFonts w:ascii="Arial" w:hAnsi="Arial"/>
        </w:rPr>
        <w:t xml:space="preserve"> issue </w:t>
      </w:r>
      <w:r w:rsidR="00021091">
        <w:rPr>
          <w:rFonts w:ascii="Arial" w:hAnsi="Arial"/>
        </w:rPr>
        <w:t xml:space="preserve">was </w:t>
      </w:r>
      <w:r w:rsidR="009F3680">
        <w:rPr>
          <w:rFonts w:ascii="Arial" w:hAnsi="Arial"/>
        </w:rPr>
        <w:t xml:space="preserve">raised </w:t>
      </w:r>
      <w:r w:rsidR="00021091">
        <w:rPr>
          <w:rFonts w:ascii="Arial" w:hAnsi="Arial"/>
        </w:rPr>
        <w:t xml:space="preserve">by the applicant </w:t>
      </w:r>
      <w:r w:rsidR="009F3680">
        <w:rPr>
          <w:rFonts w:ascii="Arial" w:hAnsi="Arial"/>
        </w:rPr>
        <w:t>with the latter suggestion from the respondents.</w:t>
      </w:r>
    </w:p>
    <w:p w14:paraId="65DC5437" w14:textId="77777777" w:rsidR="00D47D8C" w:rsidRDefault="00D47D8C" w:rsidP="00407BF6">
      <w:pPr>
        <w:spacing w:line="360" w:lineRule="auto"/>
        <w:jc w:val="both"/>
        <w:rPr>
          <w:rFonts w:ascii="Arial" w:hAnsi="Arial"/>
        </w:rPr>
      </w:pPr>
    </w:p>
    <w:p w14:paraId="5097A243" w14:textId="1A6CB5E9" w:rsidR="00D47D8C" w:rsidRDefault="003761F7" w:rsidP="00407BF6">
      <w:pPr>
        <w:spacing w:line="360" w:lineRule="auto"/>
        <w:jc w:val="both"/>
        <w:rPr>
          <w:rFonts w:ascii="Arial" w:hAnsi="Arial"/>
        </w:rPr>
      </w:pPr>
      <w:r>
        <w:rPr>
          <w:rFonts w:ascii="Arial" w:hAnsi="Arial"/>
        </w:rPr>
        <w:t>[18</w:t>
      </w:r>
      <w:r w:rsidR="009F3680">
        <w:rPr>
          <w:rFonts w:ascii="Arial" w:hAnsi="Arial"/>
        </w:rPr>
        <w:t>]</w:t>
      </w:r>
      <w:r w:rsidR="009F3680">
        <w:rPr>
          <w:rFonts w:ascii="Arial" w:hAnsi="Arial"/>
        </w:rPr>
        <w:tab/>
        <w:t>T</w:t>
      </w:r>
      <w:r w:rsidR="00D47D8C">
        <w:rPr>
          <w:rFonts w:ascii="Arial" w:hAnsi="Arial"/>
        </w:rPr>
        <w:t>he applicant later complained of some misrepresentations having been made to her by the respondents</w:t>
      </w:r>
      <w:r w:rsidR="009F3680">
        <w:rPr>
          <w:rFonts w:ascii="Arial" w:hAnsi="Arial"/>
        </w:rPr>
        <w:t xml:space="preserve"> regarding the settlement</w:t>
      </w:r>
      <w:r w:rsidR="00D47D8C">
        <w:rPr>
          <w:rFonts w:ascii="Arial" w:hAnsi="Arial"/>
        </w:rPr>
        <w:t>.</w:t>
      </w:r>
      <w:r w:rsidR="009F3680">
        <w:rPr>
          <w:rFonts w:ascii="Arial" w:hAnsi="Arial"/>
        </w:rPr>
        <w:t xml:space="preserve"> </w:t>
      </w:r>
      <w:r w:rsidR="00D47D8C">
        <w:rPr>
          <w:rFonts w:ascii="Arial" w:hAnsi="Arial"/>
        </w:rPr>
        <w:t xml:space="preserve"> This was vehemently denied by Mr. Philander, the respondents’ legal practitioners</w:t>
      </w:r>
      <w:r w:rsidR="009F3680">
        <w:rPr>
          <w:rFonts w:ascii="Arial" w:hAnsi="Arial"/>
        </w:rPr>
        <w:t>. He   maintained</w:t>
      </w:r>
      <w:r w:rsidR="00E17B26">
        <w:rPr>
          <w:rFonts w:ascii="Arial" w:hAnsi="Arial"/>
        </w:rPr>
        <w:t xml:space="preserve"> that his clients had performed in accordance with the</w:t>
      </w:r>
      <w:r w:rsidR="00D47D8C">
        <w:rPr>
          <w:rFonts w:ascii="Arial" w:hAnsi="Arial"/>
        </w:rPr>
        <w:t xml:space="preserve"> </w:t>
      </w:r>
      <w:r w:rsidR="00E17B26">
        <w:rPr>
          <w:rFonts w:ascii="Arial" w:hAnsi="Arial"/>
        </w:rPr>
        <w:t xml:space="preserve">agreement made between the parties and that the applicant chose Narraville and would maintain her grade and remuneration. Mr. Philander </w:t>
      </w:r>
      <w:r w:rsidR="009F3680">
        <w:rPr>
          <w:rFonts w:ascii="Arial" w:hAnsi="Arial"/>
        </w:rPr>
        <w:t xml:space="preserve">thus </w:t>
      </w:r>
      <w:r w:rsidR="00E17B26">
        <w:rPr>
          <w:rFonts w:ascii="Arial" w:hAnsi="Arial"/>
        </w:rPr>
        <w:t>claimed that the settlement reached by the par</w:t>
      </w:r>
      <w:r w:rsidR="009F3680">
        <w:rPr>
          <w:rFonts w:ascii="Arial" w:hAnsi="Arial"/>
        </w:rPr>
        <w:t>ties effectively compromised the original</w:t>
      </w:r>
      <w:r w:rsidR="00E17B26">
        <w:rPr>
          <w:rFonts w:ascii="Arial" w:hAnsi="Arial"/>
        </w:rPr>
        <w:t xml:space="preserve"> claim that the applicant might have had.</w:t>
      </w:r>
      <w:r w:rsidR="00E17B26">
        <w:rPr>
          <w:rStyle w:val="FootnoteReference"/>
          <w:rFonts w:ascii="Arial" w:hAnsi="Arial"/>
        </w:rPr>
        <w:footnoteReference w:id="5"/>
      </w:r>
    </w:p>
    <w:p w14:paraId="6438CDD6" w14:textId="77777777" w:rsidR="00D47D8C" w:rsidRDefault="00D47D8C" w:rsidP="00407BF6">
      <w:pPr>
        <w:spacing w:line="360" w:lineRule="auto"/>
        <w:jc w:val="both"/>
        <w:rPr>
          <w:rFonts w:ascii="Arial" w:hAnsi="Arial"/>
        </w:rPr>
      </w:pPr>
    </w:p>
    <w:p w14:paraId="723D815A" w14:textId="6E83222D" w:rsidR="00D47D8C" w:rsidRDefault="003761F7" w:rsidP="00407BF6">
      <w:pPr>
        <w:spacing w:line="360" w:lineRule="auto"/>
        <w:jc w:val="both"/>
        <w:rPr>
          <w:rFonts w:ascii="Arial" w:hAnsi="Arial"/>
        </w:rPr>
      </w:pPr>
      <w:r>
        <w:rPr>
          <w:rFonts w:ascii="Arial" w:hAnsi="Arial"/>
        </w:rPr>
        <w:t>[19</w:t>
      </w:r>
      <w:r w:rsidR="00E17B26">
        <w:rPr>
          <w:rFonts w:ascii="Arial" w:hAnsi="Arial"/>
        </w:rPr>
        <w:t>]</w:t>
      </w:r>
      <w:r w:rsidR="00E17B26">
        <w:rPr>
          <w:rFonts w:ascii="Arial" w:hAnsi="Arial"/>
        </w:rPr>
        <w:tab/>
        <w:t xml:space="preserve">The question pertinently raised by the respondents is whether the applicant, in view of the water that had passed under the bridge, as described above, </w:t>
      </w:r>
      <w:r w:rsidR="008A1C9E">
        <w:rPr>
          <w:rFonts w:ascii="Arial" w:hAnsi="Arial"/>
        </w:rPr>
        <w:t xml:space="preserve">is still </w:t>
      </w:r>
      <w:r w:rsidR="00E17B26">
        <w:rPr>
          <w:rFonts w:ascii="Arial" w:hAnsi="Arial"/>
        </w:rPr>
        <w:t>entitled to enforce the previous order sought, namely, of the respondents’ comp</w:t>
      </w:r>
      <w:r w:rsidR="008A1C9E">
        <w:rPr>
          <w:rFonts w:ascii="Arial" w:hAnsi="Arial"/>
        </w:rPr>
        <w:t>lying with the arbitral award. The question w</w:t>
      </w:r>
      <w:r w:rsidR="00021091">
        <w:rPr>
          <w:rFonts w:ascii="Arial" w:hAnsi="Arial"/>
        </w:rPr>
        <w:t>hat effect</w:t>
      </w:r>
      <w:r w:rsidR="00E17B26">
        <w:rPr>
          <w:rFonts w:ascii="Arial" w:hAnsi="Arial"/>
        </w:rPr>
        <w:t xml:space="preserve"> the settlement agreement</w:t>
      </w:r>
      <w:r w:rsidR="00021091">
        <w:rPr>
          <w:rFonts w:ascii="Arial" w:hAnsi="Arial"/>
        </w:rPr>
        <w:t xml:space="preserve"> had on the applicant’s cause of action</w:t>
      </w:r>
      <w:r w:rsidR="00E17B26">
        <w:rPr>
          <w:rFonts w:ascii="Arial" w:hAnsi="Arial"/>
        </w:rPr>
        <w:t>, if any</w:t>
      </w:r>
      <w:r w:rsidR="008A1C9E">
        <w:rPr>
          <w:rFonts w:ascii="Arial" w:hAnsi="Arial"/>
        </w:rPr>
        <w:t>, looms large.</w:t>
      </w:r>
    </w:p>
    <w:p w14:paraId="3C984824" w14:textId="77777777" w:rsidR="00E17B26" w:rsidRDefault="00E17B26" w:rsidP="00407BF6">
      <w:pPr>
        <w:spacing w:line="360" w:lineRule="auto"/>
        <w:jc w:val="both"/>
        <w:rPr>
          <w:rFonts w:ascii="Arial" w:hAnsi="Arial"/>
        </w:rPr>
      </w:pPr>
    </w:p>
    <w:p w14:paraId="39145D07" w14:textId="77777777" w:rsidR="00E17B26" w:rsidRDefault="00E17B26" w:rsidP="00407BF6">
      <w:pPr>
        <w:spacing w:line="360" w:lineRule="auto"/>
        <w:jc w:val="both"/>
        <w:rPr>
          <w:rFonts w:ascii="Arial" w:hAnsi="Arial"/>
          <w:u w:val="single"/>
        </w:rPr>
      </w:pPr>
      <w:r>
        <w:rPr>
          <w:rFonts w:ascii="Arial" w:hAnsi="Arial"/>
          <w:u w:val="single"/>
        </w:rPr>
        <w:t>Discussion</w:t>
      </w:r>
    </w:p>
    <w:p w14:paraId="5D41A81D" w14:textId="77777777" w:rsidR="00E17B26" w:rsidRDefault="00E17B26" w:rsidP="00407BF6">
      <w:pPr>
        <w:spacing w:line="360" w:lineRule="auto"/>
        <w:jc w:val="both"/>
        <w:rPr>
          <w:rFonts w:ascii="Arial" w:hAnsi="Arial"/>
          <w:u w:val="single"/>
        </w:rPr>
      </w:pPr>
    </w:p>
    <w:p w14:paraId="08527B6E" w14:textId="19510040" w:rsidR="00E17B26" w:rsidRDefault="003761F7" w:rsidP="00407BF6">
      <w:pPr>
        <w:spacing w:line="360" w:lineRule="auto"/>
        <w:jc w:val="both"/>
        <w:rPr>
          <w:rFonts w:ascii="Arial" w:hAnsi="Arial"/>
        </w:rPr>
      </w:pPr>
      <w:r>
        <w:rPr>
          <w:rFonts w:ascii="Arial" w:hAnsi="Arial"/>
        </w:rPr>
        <w:t>[20</w:t>
      </w:r>
      <w:r w:rsidR="00E17B26">
        <w:rPr>
          <w:rFonts w:ascii="Arial" w:hAnsi="Arial"/>
        </w:rPr>
        <w:t>]</w:t>
      </w:r>
      <w:r w:rsidR="00E17B26">
        <w:rPr>
          <w:rFonts w:ascii="Arial" w:hAnsi="Arial"/>
        </w:rPr>
        <w:tab/>
        <w:t xml:space="preserve">I am of the view that the applicant is on the wrong side of the law in this regard. What is abundantly clear, is that the parties settled the dispute </w:t>
      </w:r>
      <w:r w:rsidR="00E17B26">
        <w:rPr>
          <w:rFonts w:ascii="Arial" w:hAnsi="Arial"/>
          <w:i/>
        </w:rPr>
        <w:t xml:space="preserve">inter partes </w:t>
      </w:r>
      <w:r w:rsidR="00E17B26">
        <w:rPr>
          <w:rFonts w:ascii="Arial" w:hAnsi="Arial"/>
        </w:rPr>
        <w:t>out of court and amicably. In this regard, there is no question about the settlement having been agreed to by both parties. This cannot be in c</w:t>
      </w:r>
      <w:r w:rsidR="008A1C9E">
        <w:rPr>
          <w:rFonts w:ascii="Arial" w:hAnsi="Arial"/>
        </w:rPr>
        <w:t>ontention for the reason that the fact of the settlement agreement</w:t>
      </w:r>
      <w:r w:rsidR="00021091">
        <w:rPr>
          <w:rFonts w:ascii="Arial" w:hAnsi="Arial"/>
        </w:rPr>
        <w:t xml:space="preserve"> was recorded</w:t>
      </w:r>
      <w:r w:rsidR="00E17B26">
        <w:rPr>
          <w:rFonts w:ascii="Arial" w:hAnsi="Arial"/>
        </w:rPr>
        <w:t xml:space="preserve"> </w:t>
      </w:r>
      <w:r w:rsidR="008A1C9E">
        <w:rPr>
          <w:rFonts w:ascii="Arial" w:hAnsi="Arial"/>
        </w:rPr>
        <w:t>in</w:t>
      </w:r>
      <w:r w:rsidR="00E17B26">
        <w:rPr>
          <w:rFonts w:ascii="Arial" w:hAnsi="Arial"/>
        </w:rPr>
        <w:t xml:space="preserve"> the joint case management report filed by the parties, dated 21 October 2019</w:t>
      </w:r>
      <w:r w:rsidR="00021091">
        <w:rPr>
          <w:rFonts w:ascii="Arial" w:hAnsi="Arial"/>
        </w:rPr>
        <w:t>, as a fact not in dispute</w:t>
      </w:r>
      <w:r w:rsidR="00E17B26">
        <w:rPr>
          <w:rFonts w:ascii="Arial" w:hAnsi="Arial"/>
        </w:rPr>
        <w:t>.</w:t>
      </w:r>
    </w:p>
    <w:p w14:paraId="72C0E4B9" w14:textId="77777777" w:rsidR="008A1C9E" w:rsidRDefault="008A1C9E" w:rsidP="00407BF6">
      <w:pPr>
        <w:spacing w:line="360" w:lineRule="auto"/>
        <w:jc w:val="both"/>
        <w:rPr>
          <w:rFonts w:ascii="Arial" w:hAnsi="Arial"/>
        </w:rPr>
      </w:pPr>
    </w:p>
    <w:p w14:paraId="5F55D4D8" w14:textId="23B3B568" w:rsidR="00E17B26" w:rsidRDefault="003761F7" w:rsidP="00407BF6">
      <w:pPr>
        <w:spacing w:line="360" w:lineRule="auto"/>
        <w:jc w:val="both"/>
        <w:rPr>
          <w:rFonts w:ascii="Arial" w:hAnsi="Arial"/>
        </w:rPr>
      </w:pPr>
      <w:r>
        <w:rPr>
          <w:rFonts w:ascii="Arial" w:hAnsi="Arial"/>
        </w:rPr>
        <w:t>[21</w:t>
      </w:r>
      <w:r w:rsidR="00E17B26">
        <w:rPr>
          <w:rFonts w:ascii="Arial" w:hAnsi="Arial"/>
        </w:rPr>
        <w:t>]</w:t>
      </w:r>
      <w:r w:rsidR="00E17B26">
        <w:rPr>
          <w:rFonts w:ascii="Arial" w:hAnsi="Arial"/>
        </w:rPr>
        <w:tab/>
        <w:t xml:space="preserve">In </w:t>
      </w:r>
      <w:r w:rsidR="00E17B26">
        <w:rPr>
          <w:rFonts w:ascii="Arial" w:hAnsi="Arial"/>
          <w:i/>
        </w:rPr>
        <w:t>Golin t/a Golin Engineering v Cloete</w:t>
      </w:r>
      <w:r w:rsidR="00E17B26">
        <w:rPr>
          <w:rStyle w:val="FootnoteReference"/>
          <w:rFonts w:ascii="Arial" w:hAnsi="Arial"/>
          <w:i/>
        </w:rPr>
        <w:footnoteReference w:id="6"/>
      </w:r>
      <w:r w:rsidR="00E17B26">
        <w:rPr>
          <w:rFonts w:ascii="Arial" w:hAnsi="Arial"/>
          <w:i/>
        </w:rPr>
        <w:t xml:space="preserve"> </w:t>
      </w:r>
      <w:r w:rsidR="00E17B26">
        <w:rPr>
          <w:rFonts w:ascii="Arial" w:hAnsi="Arial"/>
        </w:rPr>
        <w:t>O’Linn J</w:t>
      </w:r>
      <w:r w:rsidR="004057AE">
        <w:rPr>
          <w:rFonts w:ascii="Arial" w:hAnsi="Arial"/>
        </w:rPr>
        <w:t xml:space="preserve"> held s follows:</w:t>
      </w:r>
    </w:p>
    <w:p w14:paraId="7AD350E9" w14:textId="77777777" w:rsidR="004057AE" w:rsidRDefault="004057AE" w:rsidP="00407BF6">
      <w:pPr>
        <w:spacing w:line="360" w:lineRule="auto"/>
        <w:jc w:val="both"/>
        <w:rPr>
          <w:rFonts w:ascii="Arial" w:hAnsi="Arial"/>
        </w:rPr>
      </w:pPr>
    </w:p>
    <w:p w14:paraId="17D3F0CF" w14:textId="77777777" w:rsidR="004057AE" w:rsidRDefault="004057AE" w:rsidP="00407BF6">
      <w:pPr>
        <w:spacing w:line="360" w:lineRule="auto"/>
        <w:jc w:val="both"/>
        <w:rPr>
          <w:rFonts w:ascii="Arial" w:hAnsi="Arial"/>
          <w:sz w:val="22"/>
          <w:szCs w:val="22"/>
        </w:rPr>
      </w:pPr>
      <w:r>
        <w:rPr>
          <w:rFonts w:ascii="Arial" w:hAnsi="Arial"/>
        </w:rPr>
        <w:tab/>
        <w:t>‘</w:t>
      </w:r>
      <w:r>
        <w:rPr>
          <w:rFonts w:ascii="Arial" w:hAnsi="Arial"/>
          <w:sz w:val="22"/>
          <w:szCs w:val="22"/>
        </w:rPr>
        <w:t>When a party claims that there has been a full and final settlement, the Court should recognise the settlement as a termination of the issues on the merits once the Court has, upon investigation of the settlement issue, been satisfied that there indeed was a settlement and that the settlement was voluntary, i.e. without duress or coercion, unequivocal and with full knowledge of its terms and implications as a full and final settlement of all the issues.’</w:t>
      </w:r>
    </w:p>
    <w:p w14:paraId="38C9F9E9" w14:textId="77777777" w:rsidR="004057AE" w:rsidRDefault="004057AE" w:rsidP="00407BF6">
      <w:pPr>
        <w:spacing w:line="360" w:lineRule="auto"/>
        <w:jc w:val="both"/>
        <w:rPr>
          <w:rFonts w:ascii="Arial" w:hAnsi="Arial"/>
          <w:sz w:val="22"/>
          <w:szCs w:val="22"/>
        </w:rPr>
      </w:pPr>
    </w:p>
    <w:p w14:paraId="378528C6" w14:textId="23021CDC" w:rsidR="004057AE" w:rsidRDefault="003761F7" w:rsidP="00407BF6">
      <w:pPr>
        <w:spacing w:line="360" w:lineRule="auto"/>
        <w:jc w:val="both"/>
        <w:rPr>
          <w:rFonts w:ascii="Arial" w:hAnsi="Arial"/>
        </w:rPr>
      </w:pPr>
      <w:r>
        <w:rPr>
          <w:rFonts w:ascii="Arial" w:hAnsi="Arial"/>
        </w:rPr>
        <w:t>[22</w:t>
      </w:r>
      <w:r w:rsidR="004057AE">
        <w:rPr>
          <w:rFonts w:ascii="Arial" w:hAnsi="Arial"/>
        </w:rPr>
        <w:t>]</w:t>
      </w:r>
      <w:r w:rsidR="004057AE">
        <w:rPr>
          <w:rFonts w:ascii="Arial" w:hAnsi="Arial"/>
        </w:rPr>
        <w:tab/>
        <w:t xml:space="preserve">Dealing with the very issue of compromise, Van Niekerk J, in the </w:t>
      </w:r>
      <w:r w:rsidR="004057AE">
        <w:rPr>
          <w:rFonts w:ascii="Arial" w:hAnsi="Arial"/>
          <w:i/>
        </w:rPr>
        <w:t xml:space="preserve">Mbambus </w:t>
      </w:r>
      <w:r w:rsidR="004057AE">
        <w:rPr>
          <w:rFonts w:ascii="Arial" w:hAnsi="Arial"/>
        </w:rPr>
        <w:t xml:space="preserve">case, referred to </w:t>
      </w:r>
      <w:r w:rsidR="004057AE" w:rsidRPr="004057AE">
        <w:rPr>
          <w:rFonts w:ascii="Arial" w:hAnsi="Arial"/>
          <w:i/>
        </w:rPr>
        <w:t>Georgia</w:t>
      </w:r>
      <w:r w:rsidR="004057AE">
        <w:rPr>
          <w:rFonts w:ascii="Arial" w:hAnsi="Arial"/>
          <w:i/>
        </w:rPr>
        <w:t>s v Standard Chartered Finance Zimbabwe Limited,</w:t>
      </w:r>
      <w:r w:rsidR="004057AE">
        <w:rPr>
          <w:rStyle w:val="FootnoteReference"/>
          <w:rFonts w:ascii="Arial" w:hAnsi="Arial"/>
          <w:i/>
        </w:rPr>
        <w:footnoteReference w:id="7"/>
      </w:r>
      <w:r w:rsidR="004057AE">
        <w:rPr>
          <w:rFonts w:ascii="Arial" w:hAnsi="Arial"/>
          <w:i/>
        </w:rPr>
        <w:t xml:space="preserve"> </w:t>
      </w:r>
      <w:r w:rsidR="008A1C9E">
        <w:rPr>
          <w:rFonts w:ascii="Arial" w:hAnsi="Arial"/>
        </w:rPr>
        <w:t>where the following is record</w:t>
      </w:r>
      <w:r w:rsidR="004057AE">
        <w:rPr>
          <w:rFonts w:ascii="Arial" w:hAnsi="Arial"/>
        </w:rPr>
        <w:t>ed:</w:t>
      </w:r>
    </w:p>
    <w:p w14:paraId="0A7A1890" w14:textId="77777777" w:rsidR="004057AE" w:rsidRDefault="004057AE" w:rsidP="00407BF6">
      <w:pPr>
        <w:spacing w:line="360" w:lineRule="auto"/>
        <w:jc w:val="both"/>
        <w:rPr>
          <w:rFonts w:ascii="Arial" w:hAnsi="Arial"/>
        </w:rPr>
      </w:pPr>
    </w:p>
    <w:p w14:paraId="090CFD9E" w14:textId="7290E84E" w:rsidR="004057AE" w:rsidRPr="00392BD1" w:rsidRDefault="004057AE" w:rsidP="00407BF6">
      <w:pPr>
        <w:spacing w:line="360" w:lineRule="auto"/>
        <w:jc w:val="both"/>
        <w:rPr>
          <w:rFonts w:ascii="Arial" w:hAnsi="Arial"/>
          <w:sz w:val="22"/>
          <w:szCs w:val="22"/>
        </w:rPr>
      </w:pPr>
      <w:r>
        <w:rPr>
          <w:rFonts w:ascii="Arial" w:hAnsi="Arial"/>
        </w:rPr>
        <w:tab/>
        <w:t>‘</w:t>
      </w:r>
      <w:r w:rsidR="00392BD1">
        <w:rPr>
          <w:rFonts w:ascii="Arial" w:hAnsi="Arial"/>
          <w:sz w:val="22"/>
          <w:szCs w:val="22"/>
        </w:rPr>
        <w:t xml:space="preserve">The purpose of compromise is to end doubt and to avoid the inconvenience and risk inherent in resorting to the methods of resolving disputes. Its effect is the same as </w:t>
      </w:r>
      <w:r w:rsidR="00392BD1">
        <w:rPr>
          <w:rFonts w:ascii="Arial" w:hAnsi="Arial"/>
          <w:i/>
          <w:sz w:val="22"/>
          <w:szCs w:val="22"/>
        </w:rPr>
        <w:t xml:space="preserve">res judicata </w:t>
      </w:r>
      <w:r w:rsidR="00392BD1">
        <w:rPr>
          <w:rFonts w:ascii="Arial" w:hAnsi="Arial"/>
          <w:sz w:val="22"/>
          <w:szCs w:val="22"/>
        </w:rPr>
        <w:t xml:space="preserve">on a judgment given by consent. It extinguishes </w:t>
      </w:r>
      <w:r w:rsidR="00392BD1">
        <w:rPr>
          <w:rFonts w:ascii="Arial" w:hAnsi="Arial"/>
          <w:i/>
          <w:sz w:val="22"/>
          <w:szCs w:val="22"/>
        </w:rPr>
        <w:t xml:space="preserve">ipso jure </w:t>
      </w:r>
      <w:r w:rsidR="00392BD1">
        <w:rPr>
          <w:rFonts w:ascii="Arial" w:hAnsi="Arial"/>
          <w:sz w:val="22"/>
          <w:szCs w:val="22"/>
        </w:rPr>
        <w:t>any cause of action that previously may have existed between the parties, unless the right to rely thereon was reserved . . . A</w:t>
      </w:r>
      <w:r w:rsidR="00021091">
        <w:rPr>
          <w:rFonts w:ascii="Arial" w:hAnsi="Arial"/>
          <w:sz w:val="22"/>
          <w:szCs w:val="22"/>
        </w:rPr>
        <w:t>s it brings legal proceedings</w:t>
      </w:r>
      <w:r w:rsidR="00392BD1">
        <w:rPr>
          <w:rFonts w:ascii="Arial" w:hAnsi="Arial"/>
          <w:sz w:val="22"/>
          <w:szCs w:val="22"/>
        </w:rPr>
        <w:t xml:space="preserve"> already instituted to an end, a party sued on a compromise is not entitled to raise the original defences to the original cause of action. . . But a compromise induced by fraud, misrepresentation, or some other ground for rescission, is voidable at the instance of the aggrieved party, even if made an order of court.’ </w:t>
      </w:r>
    </w:p>
    <w:p w14:paraId="526A5DCE" w14:textId="77777777" w:rsidR="00224674" w:rsidRDefault="00224674" w:rsidP="00407BF6">
      <w:pPr>
        <w:spacing w:line="360" w:lineRule="auto"/>
        <w:rPr>
          <w:rFonts w:ascii="Arial" w:hAnsi="Arial"/>
          <w:u w:val="single"/>
        </w:rPr>
      </w:pPr>
    </w:p>
    <w:p w14:paraId="559D85A5" w14:textId="0E3CF19E" w:rsidR="00392BD1" w:rsidRDefault="003761F7" w:rsidP="00407BF6">
      <w:pPr>
        <w:spacing w:line="360" w:lineRule="auto"/>
        <w:jc w:val="both"/>
        <w:rPr>
          <w:rFonts w:ascii="Arial" w:hAnsi="Arial"/>
        </w:rPr>
      </w:pPr>
      <w:r>
        <w:rPr>
          <w:rFonts w:ascii="Arial" w:hAnsi="Arial"/>
        </w:rPr>
        <w:t>[23</w:t>
      </w:r>
      <w:r w:rsidR="00392BD1">
        <w:rPr>
          <w:rFonts w:ascii="Arial" w:hAnsi="Arial"/>
        </w:rPr>
        <w:t>]</w:t>
      </w:r>
      <w:r w:rsidR="00392BD1">
        <w:rPr>
          <w:rFonts w:ascii="Arial" w:hAnsi="Arial"/>
        </w:rPr>
        <w:tab/>
        <w:t xml:space="preserve">It is plain, from the foregoing exposition of the law that the settlement entered into by the parties brought the original dispute </w:t>
      </w:r>
      <w:r w:rsidR="008A1C9E">
        <w:rPr>
          <w:rFonts w:ascii="Arial" w:hAnsi="Arial"/>
        </w:rPr>
        <w:t>or cause of action to an end. T</w:t>
      </w:r>
      <w:r w:rsidR="00392BD1">
        <w:rPr>
          <w:rFonts w:ascii="Arial" w:hAnsi="Arial"/>
        </w:rPr>
        <w:t xml:space="preserve">he applicant is </w:t>
      </w:r>
      <w:r w:rsidR="008A1C9E">
        <w:rPr>
          <w:rFonts w:ascii="Arial" w:hAnsi="Arial"/>
        </w:rPr>
        <w:t xml:space="preserve">accordingly </w:t>
      </w:r>
      <w:r w:rsidR="00392BD1">
        <w:rPr>
          <w:rFonts w:ascii="Arial" w:hAnsi="Arial"/>
        </w:rPr>
        <w:t>not entitled, in the circumstances, to approach the court on the</w:t>
      </w:r>
      <w:r w:rsidR="008A1C9E">
        <w:rPr>
          <w:rFonts w:ascii="Arial" w:hAnsi="Arial"/>
        </w:rPr>
        <w:t xml:space="preserve"> very</w:t>
      </w:r>
      <w:r w:rsidR="00392BD1">
        <w:rPr>
          <w:rFonts w:ascii="Arial" w:hAnsi="Arial"/>
        </w:rPr>
        <w:t xml:space="preserve"> cause of action that was settled</w:t>
      </w:r>
      <w:r w:rsidR="008A1C9E">
        <w:rPr>
          <w:rFonts w:ascii="Arial" w:hAnsi="Arial"/>
        </w:rPr>
        <w:t xml:space="preserve"> and eternally put to bed by the parties. There is no</w:t>
      </w:r>
      <w:r w:rsidR="00392BD1">
        <w:rPr>
          <w:rFonts w:ascii="Arial" w:hAnsi="Arial"/>
        </w:rPr>
        <w:t xml:space="preserve"> allegation</w:t>
      </w:r>
      <w:r w:rsidR="008A1C9E">
        <w:rPr>
          <w:rFonts w:ascii="Arial" w:hAnsi="Arial"/>
        </w:rPr>
        <w:t xml:space="preserve"> by the applicant in the papers,  that </w:t>
      </w:r>
      <w:r w:rsidR="00392BD1">
        <w:rPr>
          <w:rFonts w:ascii="Arial" w:hAnsi="Arial"/>
        </w:rPr>
        <w:t>he</w:t>
      </w:r>
      <w:r w:rsidR="008A1C9E">
        <w:rPr>
          <w:rFonts w:ascii="Arial" w:hAnsi="Arial"/>
        </w:rPr>
        <w:t>r</w:t>
      </w:r>
      <w:r w:rsidR="00392BD1">
        <w:rPr>
          <w:rFonts w:ascii="Arial" w:hAnsi="Arial"/>
        </w:rPr>
        <w:t xml:space="preserve"> reality of consent was in any way, shape or form induced </w:t>
      </w:r>
      <w:r w:rsidR="008A1C9E">
        <w:rPr>
          <w:rFonts w:ascii="Arial" w:hAnsi="Arial"/>
        </w:rPr>
        <w:t xml:space="preserve">or influenced </w:t>
      </w:r>
      <w:r w:rsidR="00392BD1">
        <w:rPr>
          <w:rFonts w:ascii="Arial" w:hAnsi="Arial"/>
        </w:rPr>
        <w:t xml:space="preserve">by fraud, duress or any other </w:t>
      </w:r>
      <w:r w:rsidR="00F11C34">
        <w:rPr>
          <w:rFonts w:ascii="Arial" w:hAnsi="Arial"/>
        </w:rPr>
        <w:t xml:space="preserve">such conduct. </w:t>
      </w:r>
    </w:p>
    <w:p w14:paraId="171CF4AB" w14:textId="77777777" w:rsidR="00F11C34" w:rsidRDefault="00F11C34" w:rsidP="00407BF6">
      <w:pPr>
        <w:spacing w:line="360" w:lineRule="auto"/>
        <w:jc w:val="both"/>
        <w:rPr>
          <w:rFonts w:ascii="Arial" w:hAnsi="Arial"/>
        </w:rPr>
      </w:pPr>
    </w:p>
    <w:p w14:paraId="36A594BD" w14:textId="3C2CDE9D" w:rsidR="008A1C9E" w:rsidRDefault="003761F7" w:rsidP="00407BF6">
      <w:pPr>
        <w:spacing w:line="360" w:lineRule="auto"/>
        <w:jc w:val="both"/>
        <w:rPr>
          <w:rFonts w:ascii="Arial" w:hAnsi="Arial"/>
        </w:rPr>
      </w:pPr>
      <w:r>
        <w:rPr>
          <w:rFonts w:ascii="Arial" w:hAnsi="Arial"/>
        </w:rPr>
        <w:t>[24</w:t>
      </w:r>
      <w:r w:rsidR="00F11C34">
        <w:rPr>
          <w:rFonts w:ascii="Arial" w:hAnsi="Arial"/>
        </w:rPr>
        <w:t>]</w:t>
      </w:r>
      <w:r w:rsidR="00F11C34">
        <w:rPr>
          <w:rFonts w:ascii="Arial" w:hAnsi="Arial"/>
        </w:rPr>
        <w:tab/>
        <w:t>It is also plain, from reading the applicant’s papers that she admits the</w:t>
      </w:r>
      <w:r w:rsidR="008A1C9E">
        <w:rPr>
          <w:rFonts w:ascii="Arial" w:hAnsi="Arial"/>
        </w:rPr>
        <w:t xml:space="preserve"> fact </w:t>
      </w:r>
      <w:r w:rsidR="00F11C34">
        <w:rPr>
          <w:rFonts w:ascii="Arial" w:hAnsi="Arial"/>
        </w:rPr>
        <w:t xml:space="preserve">agreement and </w:t>
      </w:r>
      <w:r w:rsidR="008A1C9E">
        <w:rPr>
          <w:rFonts w:ascii="Arial" w:hAnsi="Arial"/>
        </w:rPr>
        <w:t xml:space="preserve">its binding nature on the parties. It is a matter of note that the applicant </w:t>
      </w:r>
      <w:r w:rsidR="00F11C34">
        <w:rPr>
          <w:rFonts w:ascii="Arial" w:hAnsi="Arial"/>
        </w:rPr>
        <w:t>has not approached the court s</w:t>
      </w:r>
      <w:r w:rsidR="008A1C9E">
        <w:rPr>
          <w:rFonts w:ascii="Arial" w:hAnsi="Arial"/>
        </w:rPr>
        <w:t>ee</w:t>
      </w:r>
      <w:r w:rsidR="00021091">
        <w:rPr>
          <w:rFonts w:ascii="Arial" w:hAnsi="Arial"/>
        </w:rPr>
        <w:t>k</w:t>
      </w:r>
      <w:r w:rsidR="008A1C9E">
        <w:rPr>
          <w:rFonts w:ascii="Arial" w:hAnsi="Arial"/>
        </w:rPr>
        <w:t xml:space="preserve">ing an order setting </w:t>
      </w:r>
      <w:r w:rsidR="00F11C34">
        <w:rPr>
          <w:rFonts w:ascii="Arial" w:hAnsi="Arial"/>
        </w:rPr>
        <w:t>t</w:t>
      </w:r>
      <w:r w:rsidR="008A1C9E">
        <w:rPr>
          <w:rFonts w:ascii="Arial" w:hAnsi="Arial"/>
        </w:rPr>
        <w:t>he</w:t>
      </w:r>
      <w:r w:rsidR="00F11C34">
        <w:rPr>
          <w:rFonts w:ascii="Arial" w:hAnsi="Arial"/>
        </w:rPr>
        <w:t xml:space="preserve"> </w:t>
      </w:r>
      <w:r w:rsidR="008A1C9E">
        <w:rPr>
          <w:rFonts w:ascii="Arial" w:hAnsi="Arial"/>
        </w:rPr>
        <w:t xml:space="preserve">agreement aside for the reason that it is </w:t>
      </w:r>
      <w:r w:rsidR="00F11C34">
        <w:rPr>
          <w:rFonts w:ascii="Arial" w:hAnsi="Arial"/>
        </w:rPr>
        <w:t xml:space="preserve">vitiated by any of the factors mentioned above. </w:t>
      </w:r>
    </w:p>
    <w:p w14:paraId="2735B7EF" w14:textId="77777777" w:rsidR="008A1C9E" w:rsidRDefault="008A1C9E" w:rsidP="00407BF6">
      <w:pPr>
        <w:spacing w:line="360" w:lineRule="auto"/>
        <w:jc w:val="both"/>
        <w:rPr>
          <w:rFonts w:ascii="Arial" w:hAnsi="Arial"/>
        </w:rPr>
      </w:pPr>
    </w:p>
    <w:p w14:paraId="4CE302E9" w14:textId="2D33F7E5" w:rsidR="00F11C34" w:rsidRDefault="008A1C9E" w:rsidP="00407BF6">
      <w:pPr>
        <w:spacing w:line="360" w:lineRule="auto"/>
        <w:jc w:val="both"/>
        <w:rPr>
          <w:rFonts w:ascii="Arial" w:hAnsi="Arial" w:cs="Arial"/>
        </w:rPr>
      </w:pPr>
      <w:r>
        <w:rPr>
          <w:rFonts w:ascii="Arial" w:hAnsi="Arial"/>
        </w:rPr>
        <w:t>[25]</w:t>
      </w:r>
      <w:r>
        <w:rPr>
          <w:rFonts w:ascii="Arial" w:hAnsi="Arial"/>
        </w:rPr>
        <w:tab/>
        <w:t>It appears to me that t</w:t>
      </w:r>
      <w:r w:rsidR="00F11C34">
        <w:rPr>
          <w:rFonts w:ascii="Arial" w:hAnsi="Arial"/>
        </w:rPr>
        <w:t>he applicant</w:t>
      </w:r>
      <w:r>
        <w:rPr>
          <w:rFonts w:ascii="Arial" w:hAnsi="Arial"/>
        </w:rPr>
        <w:t>,</w:t>
      </w:r>
      <w:r w:rsidR="00F11C34">
        <w:rPr>
          <w:rFonts w:ascii="Arial" w:hAnsi="Arial"/>
        </w:rPr>
        <w:t xml:space="preserve"> </w:t>
      </w:r>
      <w:r>
        <w:rPr>
          <w:rFonts w:ascii="Arial" w:hAnsi="Arial"/>
        </w:rPr>
        <w:t xml:space="preserve">perhaps </w:t>
      </w:r>
      <w:r>
        <w:rPr>
          <w:rFonts w:ascii="Arial" w:hAnsi="Arial"/>
          <w:i/>
        </w:rPr>
        <w:t>bona fide</w:t>
      </w:r>
      <w:r>
        <w:rPr>
          <w:rFonts w:ascii="Arial" w:hAnsi="Arial"/>
        </w:rPr>
        <w:t>,</w:t>
      </w:r>
      <w:r>
        <w:rPr>
          <w:rFonts w:ascii="Arial" w:hAnsi="Arial"/>
          <w:i/>
        </w:rPr>
        <w:t xml:space="preserve"> </w:t>
      </w:r>
      <w:r w:rsidR="00F11C34">
        <w:rPr>
          <w:rFonts w:ascii="Arial" w:hAnsi="Arial"/>
        </w:rPr>
        <w:t>operates on the mistaken premise that the previous cause of action is</w:t>
      </w:r>
      <w:r>
        <w:rPr>
          <w:rFonts w:ascii="Arial" w:hAnsi="Arial"/>
        </w:rPr>
        <w:t>, notwithstanding the settlement agreement, still alive and well and is moving</w:t>
      </w:r>
      <w:r w:rsidR="00F11C34">
        <w:rPr>
          <w:rFonts w:ascii="Arial" w:hAnsi="Arial"/>
        </w:rPr>
        <w:t xml:space="preserve"> within the corridors of the High Court of Namibia. In terms </w:t>
      </w:r>
      <w:r>
        <w:rPr>
          <w:rFonts w:ascii="Arial" w:hAnsi="Arial"/>
        </w:rPr>
        <w:t>of the law, the said cause of action</w:t>
      </w:r>
      <w:r w:rsidR="00F11C34">
        <w:rPr>
          <w:rFonts w:ascii="Arial" w:hAnsi="Arial"/>
        </w:rPr>
        <w:t xml:space="preserve"> has been extinguished by the settlement agreement. The applicant is </w:t>
      </w:r>
      <w:r w:rsidR="00021091">
        <w:rPr>
          <w:rFonts w:ascii="Arial" w:hAnsi="Arial"/>
        </w:rPr>
        <w:t>accordingly not</w:t>
      </w:r>
      <w:r w:rsidR="00F11C34">
        <w:rPr>
          <w:rFonts w:ascii="Arial" w:hAnsi="Arial"/>
        </w:rPr>
        <w:t xml:space="preserve"> at large to treat the settlement agreement as </w:t>
      </w:r>
      <w:r w:rsidR="00F11C34">
        <w:rPr>
          <w:rFonts w:ascii="Arial" w:hAnsi="Arial"/>
          <w:i/>
        </w:rPr>
        <w:t xml:space="preserve">pro non scripto </w:t>
      </w:r>
      <w:r w:rsidR="00F11C34">
        <w:rPr>
          <w:rFonts w:ascii="Arial" w:hAnsi="Arial" w:cs="Arial"/>
        </w:rPr>
        <w:t xml:space="preserve">by seeking the order that she previously sought before the </w:t>
      </w:r>
      <w:r w:rsidR="00021091">
        <w:rPr>
          <w:rFonts w:ascii="Arial" w:hAnsi="Arial" w:cs="Arial"/>
        </w:rPr>
        <w:t xml:space="preserve">settlement </w:t>
      </w:r>
      <w:r w:rsidR="00F11C34">
        <w:rPr>
          <w:rFonts w:ascii="Arial" w:hAnsi="Arial" w:cs="Arial"/>
        </w:rPr>
        <w:t>agreement was reached.</w:t>
      </w:r>
    </w:p>
    <w:p w14:paraId="3BF386BA" w14:textId="77777777" w:rsidR="00F11C34" w:rsidRDefault="00F11C34" w:rsidP="00407BF6">
      <w:pPr>
        <w:spacing w:line="360" w:lineRule="auto"/>
        <w:jc w:val="both"/>
        <w:rPr>
          <w:rFonts w:ascii="Arial" w:hAnsi="Arial" w:cs="Arial"/>
        </w:rPr>
      </w:pPr>
    </w:p>
    <w:p w14:paraId="08845E7F" w14:textId="1C39BAEE" w:rsidR="00F11C34" w:rsidRDefault="00901C96" w:rsidP="00407BF6">
      <w:pPr>
        <w:spacing w:line="360" w:lineRule="auto"/>
        <w:jc w:val="both"/>
        <w:rPr>
          <w:rFonts w:ascii="Arial" w:hAnsi="Arial" w:cs="Arial"/>
        </w:rPr>
      </w:pPr>
      <w:r>
        <w:rPr>
          <w:rFonts w:ascii="Arial" w:hAnsi="Arial" w:cs="Arial"/>
        </w:rPr>
        <w:t>[26</w:t>
      </w:r>
      <w:r w:rsidR="00F11C34">
        <w:rPr>
          <w:rFonts w:ascii="Arial" w:hAnsi="Arial" w:cs="Arial"/>
        </w:rPr>
        <w:t>]</w:t>
      </w:r>
      <w:r w:rsidR="00F11C34">
        <w:rPr>
          <w:rFonts w:ascii="Arial" w:hAnsi="Arial" w:cs="Arial"/>
        </w:rPr>
        <w:tab/>
        <w:t>Mr. Tjitemisa’s contention that the respondent never complied with the court order holds no water</w:t>
      </w:r>
      <w:r>
        <w:rPr>
          <w:rFonts w:ascii="Arial" w:hAnsi="Arial" w:cs="Arial"/>
        </w:rPr>
        <w:t xml:space="preserve"> in the present circumstances</w:t>
      </w:r>
      <w:r w:rsidR="00F11C34">
        <w:rPr>
          <w:rFonts w:ascii="Arial" w:hAnsi="Arial" w:cs="Arial"/>
        </w:rPr>
        <w:t xml:space="preserve">. If there was non-compliance </w:t>
      </w:r>
      <w:r>
        <w:rPr>
          <w:rFonts w:ascii="Arial" w:hAnsi="Arial" w:cs="Arial"/>
        </w:rPr>
        <w:t xml:space="preserve">by the respondents </w:t>
      </w:r>
      <w:r w:rsidR="00F11C34">
        <w:rPr>
          <w:rFonts w:ascii="Arial" w:hAnsi="Arial" w:cs="Arial"/>
        </w:rPr>
        <w:t>with the settlement agreement, that is a different issue altogether that the</w:t>
      </w:r>
      <w:r>
        <w:rPr>
          <w:rFonts w:ascii="Arial" w:hAnsi="Arial" w:cs="Arial"/>
        </w:rPr>
        <w:t xml:space="preserve"> applicant can pursue at law. T</w:t>
      </w:r>
      <w:r w:rsidR="00021091">
        <w:rPr>
          <w:rFonts w:ascii="Arial" w:hAnsi="Arial" w:cs="Arial"/>
        </w:rPr>
        <w:t>his would</w:t>
      </w:r>
      <w:r w:rsidR="00F11C34">
        <w:rPr>
          <w:rFonts w:ascii="Arial" w:hAnsi="Arial" w:cs="Arial"/>
        </w:rPr>
        <w:t xml:space="preserve"> have to be a new cause of action, based on new facts, post the settlement agreement phase. I say so because the authorities cited above are clear that a </w:t>
      </w:r>
      <w:r w:rsidR="00F11C34">
        <w:rPr>
          <w:rFonts w:ascii="Arial" w:hAnsi="Arial" w:cs="Arial"/>
          <w:i/>
        </w:rPr>
        <w:t xml:space="preserve">transactio </w:t>
      </w:r>
      <w:r w:rsidR="00F11C34">
        <w:rPr>
          <w:rFonts w:ascii="Arial" w:hAnsi="Arial" w:cs="Arial"/>
        </w:rPr>
        <w:t xml:space="preserve">has the same effect as a plea of </w:t>
      </w:r>
      <w:r w:rsidR="00F11C34" w:rsidRPr="00F11C34">
        <w:rPr>
          <w:rFonts w:ascii="Arial" w:hAnsi="Arial" w:cs="Arial"/>
          <w:i/>
        </w:rPr>
        <w:t>res judicata</w:t>
      </w:r>
      <w:r w:rsidR="00F11C34">
        <w:rPr>
          <w:rFonts w:ascii="Arial" w:hAnsi="Arial" w:cs="Arial"/>
          <w:i/>
        </w:rPr>
        <w:t xml:space="preserve"> </w:t>
      </w:r>
      <w:r w:rsidR="00F11C34">
        <w:rPr>
          <w:rFonts w:ascii="Arial" w:hAnsi="Arial" w:cs="Arial"/>
        </w:rPr>
        <w:t>as it extinguishes the previous cause of action.</w:t>
      </w:r>
    </w:p>
    <w:p w14:paraId="5929E834" w14:textId="77777777" w:rsidR="00F11C34" w:rsidRDefault="00F11C34" w:rsidP="00407BF6">
      <w:pPr>
        <w:spacing w:line="360" w:lineRule="auto"/>
        <w:jc w:val="both"/>
        <w:rPr>
          <w:rFonts w:ascii="Arial" w:hAnsi="Arial" w:cs="Arial"/>
        </w:rPr>
      </w:pPr>
    </w:p>
    <w:p w14:paraId="37BE0A54" w14:textId="77777777" w:rsidR="00F11C34" w:rsidRDefault="00F11C34" w:rsidP="00407BF6">
      <w:pPr>
        <w:spacing w:line="360" w:lineRule="auto"/>
        <w:jc w:val="both"/>
        <w:rPr>
          <w:rFonts w:ascii="Arial" w:hAnsi="Arial" w:cs="Arial"/>
          <w:u w:val="single"/>
        </w:rPr>
      </w:pPr>
      <w:r>
        <w:rPr>
          <w:rFonts w:ascii="Arial" w:hAnsi="Arial" w:cs="Arial"/>
          <w:u w:val="single"/>
        </w:rPr>
        <w:t>Conclusion</w:t>
      </w:r>
    </w:p>
    <w:p w14:paraId="1E0D7AAC" w14:textId="77777777" w:rsidR="003761F7" w:rsidRDefault="003761F7" w:rsidP="00407BF6">
      <w:pPr>
        <w:spacing w:line="360" w:lineRule="auto"/>
        <w:jc w:val="both"/>
        <w:rPr>
          <w:rFonts w:ascii="Arial" w:hAnsi="Arial" w:cs="Arial"/>
        </w:rPr>
      </w:pPr>
    </w:p>
    <w:p w14:paraId="109F0086" w14:textId="2C323F9A" w:rsidR="00F11C34" w:rsidRDefault="00901C96" w:rsidP="00407BF6">
      <w:pPr>
        <w:spacing w:line="360" w:lineRule="auto"/>
        <w:jc w:val="both"/>
        <w:rPr>
          <w:rFonts w:ascii="Arial" w:hAnsi="Arial" w:cs="Arial"/>
        </w:rPr>
      </w:pPr>
      <w:r>
        <w:rPr>
          <w:rFonts w:ascii="Arial" w:hAnsi="Arial" w:cs="Arial"/>
        </w:rPr>
        <w:t>[27</w:t>
      </w:r>
      <w:r w:rsidR="00F11C34">
        <w:rPr>
          <w:rFonts w:ascii="Arial" w:hAnsi="Arial" w:cs="Arial"/>
        </w:rPr>
        <w:t>]</w:t>
      </w:r>
      <w:r w:rsidR="00F11C34">
        <w:rPr>
          <w:rFonts w:ascii="Arial" w:hAnsi="Arial" w:cs="Arial"/>
        </w:rPr>
        <w:tab/>
        <w:t xml:space="preserve">Having regard to the foregoing discussion and consideration of the applicable law, I come to the </w:t>
      </w:r>
      <w:r w:rsidR="00021091">
        <w:rPr>
          <w:rFonts w:ascii="Arial" w:hAnsi="Arial" w:cs="Arial"/>
        </w:rPr>
        <w:t>ineluctable</w:t>
      </w:r>
      <w:r w:rsidR="00F11C34">
        <w:rPr>
          <w:rFonts w:ascii="Arial" w:hAnsi="Arial" w:cs="Arial"/>
        </w:rPr>
        <w:t xml:space="preserve"> view that a compromise was reached in the current matter and which had the effect of exting</w:t>
      </w:r>
      <w:r>
        <w:rPr>
          <w:rFonts w:ascii="Arial" w:hAnsi="Arial" w:cs="Arial"/>
        </w:rPr>
        <w:t>uishing the applicant’s original</w:t>
      </w:r>
      <w:r w:rsidR="00F11C34">
        <w:rPr>
          <w:rFonts w:ascii="Arial" w:hAnsi="Arial" w:cs="Arial"/>
        </w:rPr>
        <w:t xml:space="preserve"> cause of action. As a result</w:t>
      </w:r>
      <w:r w:rsidR="00021091">
        <w:rPr>
          <w:rFonts w:ascii="Arial" w:hAnsi="Arial" w:cs="Arial"/>
        </w:rPr>
        <w:t>,</w:t>
      </w:r>
      <w:r w:rsidR="00F11C34">
        <w:rPr>
          <w:rFonts w:ascii="Arial" w:hAnsi="Arial" w:cs="Arial"/>
        </w:rPr>
        <w:t xml:space="preserve"> the applicant is not entitled at law, to overlook the fact and effect of the compromise an</w:t>
      </w:r>
      <w:r>
        <w:rPr>
          <w:rFonts w:ascii="Arial" w:hAnsi="Arial" w:cs="Arial"/>
        </w:rPr>
        <w:t xml:space="preserve">d conduct the litigation as if </w:t>
      </w:r>
      <w:r w:rsidR="00F11C34">
        <w:rPr>
          <w:rFonts w:ascii="Arial" w:hAnsi="Arial" w:cs="Arial"/>
        </w:rPr>
        <w:t>t</w:t>
      </w:r>
      <w:r>
        <w:rPr>
          <w:rFonts w:ascii="Arial" w:hAnsi="Arial" w:cs="Arial"/>
        </w:rPr>
        <w:t>he settlement</w:t>
      </w:r>
      <w:r w:rsidR="00F11C34">
        <w:rPr>
          <w:rFonts w:ascii="Arial" w:hAnsi="Arial" w:cs="Arial"/>
        </w:rPr>
        <w:t xml:space="preserve"> never took place.</w:t>
      </w:r>
      <w:r w:rsidR="00CE4BFB">
        <w:rPr>
          <w:rFonts w:ascii="Arial" w:hAnsi="Arial" w:cs="Arial"/>
        </w:rPr>
        <w:t xml:space="preserve"> The ap</w:t>
      </w:r>
      <w:r>
        <w:rPr>
          <w:rFonts w:ascii="Arial" w:hAnsi="Arial" w:cs="Arial"/>
        </w:rPr>
        <w:t>plicant is, in terms of the letter of the law, no longer</w:t>
      </w:r>
      <w:r w:rsidR="00CE4BFB">
        <w:rPr>
          <w:rFonts w:ascii="Arial" w:hAnsi="Arial" w:cs="Arial"/>
        </w:rPr>
        <w:t xml:space="preserve"> entitled to the relief she seeks as a result of the life-ending effect of</w:t>
      </w:r>
      <w:r>
        <w:rPr>
          <w:rFonts w:ascii="Arial" w:hAnsi="Arial" w:cs="Arial"/>
        </w:rPr>
        <w:t xml:space="preserve"> a compromise on her </w:t>
      </w:r>
      <w:r w:rsidR="00CE4BFB">
        <w:rPr>
          <w:rFonts w:ascii="Arial" w:hAnsi="Arial" w:cs="Arial"/>
        </w:rPr>
        <w:t>cause of action previously pursued.</w:t>
      </w:r>
    </w:p>
    <w:p w14:paraId="3EE3DD83" w14:textId="77777777" w:rsidR="00CE4BFB" w:rsidRDefault="00CE4BFB" w:rsidP="00407BF6">
      <w:pPr>
        <w:spacing w:line="360" w:lineRule="auto"/>
        <w:jc w:val="both"/>
        <w:rPr>
          <w:rFonts w:ascii="Arial" w:hAnsi="Arial" w:cs="Arial"/>
        </w:rPr>
      </w:pPr>
    </w:p>
    <w:p w14:paraId="23D60C67" w14:textId="4421B207" w:rsidR="00AE5394" w:rsidRDefault="00AE5394" w:rsidP="00407BF6">
      <w:pPr>
        <w:spacing w:line="360" w:lineRule="auto"/>
        <w:jc w:val="both"/>
        <w:rPr>
          <w:rFonts w:ascii="Arial" w:hAnsi="Arial" w:cs="Arial"/>
          <w:u w:val="single"/>
        </w:rPr>
      </w:pPr>
      <w:r>
        <w:rPr>
          <w:rFonts w:ascii="Arial" w:hAnsi="Arial" w:cs="Arial"/>
          <w:u w:val="single"/>
        </w:rPr>
        <w:t>Costs</w:t>
      </w:r>
    </w:p>
    <w:p w14:paraId="65A69EA9" w14:textId="77777777" w:rsidR="00AE5394" w:rsidRPr="00AE5394" w:rsidRDefault="00AE5394" w:rsidP="00407BF6">
      <w:pPr>
        <w:spacing w:line="360" w:lineRule="auto"/>
        <w:jc w:val="both"/>
        <w:rPr>
          <w:rFonts w:ascii="Arial" w:hAnsi="Arial" w:cs="Arial"/>
          <w:u w:val="single"/>
        </w:rPr>
      </w:pPr>
    </w:p>
    <w:p w14:paraId="6EA6334A" w14:textId="09EB23E4" w:rsidR="00AE5394" w:rsidRDefault="00AE5394" w:rsidP="00407BF6">
      <w:pPr>
        <w:spacing w:line="360" w:lineRule="auto"/>
        <w:jc w:val="both"/>
        <w:rPr>
          <w:rFonts w:ascii="Arial" w:hAnsi="Arial" w:cs="Arial"/>
        </w:rPr>
      </w:pPr>
      <w:r>
        <w:rPr>
          <w:rFonts w:ascii="Arial" w:hAnsi="Arial" w:cs="Arial"/>
        </w:rPr>
        <w:t>[28]</w:t>
      </w:r>
      <w:r>
        <w:rPr>
          <w:rFonts w:ascii="Arial" w:hAnsi="Arial" w:cs="Arial"/>
        </w:rPr>
        <w:tab/>
        <w:t>It is common cause that costs are not lightly granted by this court in labour matters. This is because of the provisions of s 118 of the Labour Act, 2007. It decrees that costs may only be granted in cases where the initiation, defence or continuation with proceedings is vexatious or frivolous. There is no such allegation made by the respondent in the instant matter.</w:t>
      </w:r>
    </w:p>
    <w:p w14:paraId="3EED330A" w14:textId="77777777" w:rsidR="00AE5394" w:rsidRDefault="00AE5394" w:rsidP="00407BF6">
      <w:pPr>
        <w:spacing w:line="360" w:lineRule="auto"/>
        <w:jc w:val="both"/>
        <w:rPr>
          <w:rFonts w:ascii="Arial" w:hAnsi="Arial" w:cs="Arial"/>
        </w:rPr>
      </w:pPr>
    </w:p>
    <w:p w14:paraId="22082F4F" w14:textId="113E7151" w:rsidR="00AE5394" w:rsidRDefault="00AE5394" w:rsidP="00407BF6">
      <w:pPr>
        <w:spacing w:line="360" w:lineRule="auto"/>
        <w:jc w:val="both"/>
        <w:rPr>
          <w:rFonts w:ascii="Arial" w:hAnsi="Arial" w:cs="Arial"/>
        </w:rPr>
      </w:pPr>
      <w:r>
        <w:rPr>
          <w:rFonts w:ascii="Arial" w:hAnsi="Arial" w:cs="Arial"/>
        </w:rPr>
        <w:t>[29]</w:t>
      </w:r>
      <w:r>
        <w:rPr>
          <w:rFonts w:ascii="Arial" w:hAnsi="Arial" w:cs="Arial"/>
        </w:rPr>
        <w:tab/>
        <w:t>On an objective basis and having regard to the entire conspectus of the facts of the matter as canvassed in the background and elsewhere in the judgment, I do not gain any impression, distinct or otherwise, that there was any element of frivolity or vexatious intent on the part of the applicant in launching the proceedings. The fact that the applicant has been found to be on the wrong side of the law does not, without more, translate to her having acted vexatiously or frivolously in instituting the proceedings. I accordingly find that this is not a proper case in which to order costs, notwithstanding the dismissal of the applicant’s case.</w:t>
      </w:r>
    </w:p>
    <w:p w14:paraId="20670535" w14:textId="77777777" w:rsidR="00B231AE" w:rsidRDefault="00B231AE" w:rsidP="00407BF6">
      <w:pPr>
        <w:spacing w:line="360" w:lineRule="auto"/>
        <w:jc w:val="both"/>
        <w:rPr>
          <w:rFonts w:ascii="Arial" w:hAnsi="Arial" w:cs="Arial"/>
          <w:u w:val="single"/>
        </w:rPr>
      </w:pPr>
    </w:p>
    <w:p w14:paraId="46B5B358" w14:textId="77777777" w:rsidR="00CE4BFB" w:rsidRDefault="00CE4BFB" w:rsidP="00407BF6">
      <w:pPr>
        <w:spacing w:line="360" w:lineRule="auto"/>
        <w:jc w:val="both"/>
        <w:rPr>
          <w:rFonts w:ascii="Arial" w:hAnsi="Arial" w:cs="Arial"/>
          <w:u w:val="single"/>
        </w:rPr>
      </w:pPr>
      <w:r>
        <w:rPr>
          <w:rFonts w:ascii="Arial" w:hAnsi="Arial" w:cs="Arial"/>
          <w:u w:val="single"/>
        </w:rPr>
        <w:t>Order</w:t>
      </w:r>
    </w:p>
    <w:p w14:paraId="43AE1F1F" w14:textId="77777777" w:rsidR="00CE4BFB" w:rsidRDefault="00CE4BFB" w:rsidP="00407BF6">
      <w:pPr>
        <w:spacing w:line="360" w:lineRule="auto"/>
        <w:jc w:val="both"/>
        <w:rPr>
          <w:rFonts w:ascii="Arial" w:hAnsi="Arial" w:cs="Arial"/>
          <w:u w:val="single"/>
        </w:rPr>
      </w:pPr>
    </w:p>
    <w:p w14:paraId="09ECAE2C" w14:textId="0CA71323" w:rsidR="00CE4BFB" w:rsidRDefault="00AE5394" w:rsidP="00407BF6">
      <w:pPr>
        <w:spacing w:line="360" w:lineRule="auto"/>
        <w:jc w:val="both"/>
        <w:rPr>
          <w:rFonts w:ascii="Arial" w:hAnsi="Arial" w:cs="Arial"/>
        </w:rPr>
      </w:pPr>
      <w:r>
        <w:rPr>
          <w:rFonts w:ascii="Arial" w:hAnsi="Arial" w:cs="Arial"/>
        </w:rPr>
        <w:t>[30</w:t>
      </w:r>
      <w:r w:rsidR="00CE4BFB">
        <w:rPr>
          <w:rFonts w:ascii="Arial" w:hAnsi="Arial" w:cs="Arial"/>
        </w:rPr>
        <w:t>]</w:t>
      </w:r>
      <w:r w:rsidR="00CE4BFB">
        <w:rPr>
          <w:rFonts w:ascii="Arial" w:hAnsi="Arial" w:cs="Arial"/>
        </w:rPr>
        <w:tab/>
        <w:t>In the premises, the applicant’s application is destined to fail. The proper order for the court to issue</w:t>
      </w:r>
      <w:r w:rsidR="00021091">
        <w:rPr>
          <w:rFonts w:ascii="Arial" w:hAnsi="Arial" w:cs="Arial"/>
        </w:rPr>
        <w:t>,</w:t>
      </w:r>
      <w:r w:rsidR="00CE4BFB">
        <w:rPr>
          <w:rFonts w:ascii="Arial" w:hAnsi="Arial" w:cs="Arial"/>
        </w:rPr>
        <w:t xml:space="preserve"> in the premises</w:t>
      </w:r>
      <w:r w:rsidR="00021091">
        <w:rPr>
          <w:rFonts w:ascii="Arial" w:hAnsi="Arial" w:cs="Arial"/>
        </w:rPr>
        <w:t>,</w:t>
      </w:r>
      <w:r w:rsidR="00CE4BFB">
        <w:rPr>
          <w:rFonts w:ascii="Arial" w:hAnsi="Arial" w:cs="Arial"/>
        </w:rPr>
        <w:t xml:space="preserve"> is the following:</w:t>
      </w:r>
    </w:p>
    <w:p w14:paraId="57E29384" w14:textId="77777777" w:rsidR="00CE4BFB" w:rsidRDefault="00CE4BFB" w:rsidP="00407BF6">
      <w:pPr>
        <w:spacing w:line="360" w:lineRule="auto"/>
        <w:jc w:val="both"/>
        <w:rPr>
          <w:rFonts w:ascii="Arial" w:hAnsi="Arial" w:cs="Arial"/>
        </w:rPr>
      </w:pPr>
    </w:p>
    <w:p w14:paraId="2A421E60" w14:textId="5A6A37DB" w:rsidR="00CE4BFB" w:rsidRPr="00021091" w:rsidRDefault="00CE4BFB" w:rsidP="00021091">
      <w:pPr>
        <w:pStyle w:val="ListParagraph"/>
        <w:numPr>
          <w:ilvl w:val="0"/>
          <w:numId w:val="2"/>
        </w:numPr>
        <w:spacing w:line="360" w:lineRule="auto"/>
        <w:jc w:val="both"/>
        <w:rPr>
          <w:rFonts w:ascii="Arial" w:hAnsi="Arial" w:cs="Arial"/>
        </w:rPr>
      </w:pPr>
      <w:r w:rsidRPr="00021091">
        <w:rPr>
          <w:rFonts w:ascii="Arial" w:hAnsi="Arial" w:cs="Arial"/>
        </w:rPr>
        <w:t>The Applicant’s application to compel the Respondent to comply with the arbitral award dated 24 May 2017, is hereby dismissed.</w:t>
      </w:r>
    </w:p>
    <w:p w14:paraId="4594002C" w14:textId="5ADF4E1A" w:rsidR="00CE4BFB" w:rsidRDefault="00AE5394" w:rsidP="00021091">
      <w:pPr>
        <w:pStyle w:val="ListParagraph"/>
        <w:numPr>
          <w:ilvl w:val="0"/>
          <w:numId w:val="2"/>
        </w:numPr>
        <w:spacing w:line="360" w:lineRule="auto"/>
        <w:jc w:val="both"/>
        <w:rPr>
          <w:rFonts w:ascii="Arial" w:hAnsi="Arial" w:cs="Arial"/>
        </w:rPr>
      </w:pPr>
      <w:r>
        <w:rPr>
          <w:rFonts w:ascii="Arial" w:hAnsi="Arial" w:cs="Arial"/>
        </w:rPr>
        <w:t>There is no order as to</w:t>
      </w:r>
      <w:r w:rsidR="00CE4BFB">
        <w:rPr>
          <w:rFonts w:ascii="Arial" w:hAnsi="Arial" w:cs="Arial"/>
        </w:rPr>
        <w:t xml:space="preserve"> costs</w:t>
      </w:r>
      <w:r>
        <w:rPr>
          <w:rFonts w:ascii="Arial" w:hAnsi="Arial" w:cs="Arial"/>
        </w:rPr>
        <w:t xml:space="preserve">. </w:t>
      </w:r>
    </w:p>
    <w:p w14:paraId="5E4B6B6F" w14:textId="3A78E73A" w:rsidR="00901C96" w:rsidRDefault="00CE4BFB" w:rsidP="00C215EC">
      <w:pPr>
        <w:pStyle w:val="ListParagraph"/>
        <w:numPr>
          <w:ilvl w:val="0"/>
          <w:numId w:val="2"/>
        </w:numPr>
        <w:spacing w:line="360" w:lineRule="auto"/>
        <w:jc w:val="both"/>
        <w:rPr>
          <w:rFonts w:ascii="Arial" w:hAnsi="Arial" w:cs="Arial"/>
        </w:rPr>
      </w:pPr>
      <w:r>
        <w:rPr>
          <w:rFonts w:ascii="Arial" w:hAnsi="Arial" w:cs="Arial"/>
        </w:rPr>
        <w:t>The matter is removed from the roll and is regarded as finalised.</w:t>
      </w:r>
    </w:p>
    <w:p w14:paraId="4B4B7B14" w14:textId="77777777" w:rsidR="0089510A" w:rsidRDefault="0089510A" w:rsidP="0089510A">
      <w:pPr>
        <w:spacing w:line="360" w:lineRule="auto"/>
        <w:jc w:val="both"/>
        <w:rPr>
          <w:rFonts w:ascii="Arial" w:hAnsi="Arial" w:cs="Arial"/>
        </w:rPr>
      </w:pPr>
    </w:p>
    <w:p w14:paraId="70A3A6A8" w14:textId="77777777" w:rsidR="0089510A" w:rsidRDefault="0089510A" w:rsidP="0089510A">
      <w:pPr>
        <w:spacing w:line="360" w:lineRule="auto"/>
        <w:jc w:val="both"/>
        <w:rPr>
          <w:rFonts w:ascii="Arial" w:hAnsi="Arial" w:cs="Arial"/>
        </w:rPr>
      </w:pPr>
    </w:p>
    <w:p w14:paraId="513D5C36" w14:textId="77777777" w:rsidR="0089510A" w:rsidRDefault="0089510A" w:rsidP="0089510A">
      <w:pPr>
        <w:spacing w:line="360" w:lineRule="auto"/>
        <w:jc w:val="both"/>
        <w:rPr>
          <w:rFonts w:ascii="Arial" w:hAnsi="Arial" w:cs="Arial"/>
        </w:rPr>
      </w:pPr>
    </w:p>
    <w:p w14:paraId="3A077416" w14:textId="77777777" w:rsidR="0089510A" w:rsidRPr="0089510A" w:rsidRDefault="0089510A" w:rsidP="0089510A">
      <w:pPr>
        <w:spacing w:line="360" w:lineRule="auto"/>
        <w:jc w:val="both"/>
        <w:rPr>
          <w:rFonts w:ascii="Arial" w:hAnsi="Arial" w:cs="Arial"/>
        </w:rPr>
      </w:pPr>
    </w:p>
    <w:p w14:paraId="0E655A7E" w14:textId="27A9D783" w:rsidR="00901C96" w:rsidRPr="00407BF6" w:rsidRDefault="00C215EC" w:rsidP="00407BF6">
      <w:pPr>
        <w:spacing w:line="360" w:lineRule="auto"/>
        <w:jc w:val="right"/>
        <w:rPr>
          <w:rFonts w:ascii="Arial" w:hAnsi="Arial"/>
        </w:rPr>
      </w:pPr>
      <w:r>
        <w:rPr>
          <w:rFonts w:ascii="Arial" w:hAnsi="Arial"/>
        </w:rPr>
        <w:t>____________</w:t>
      </w:r>
    </w:p>
    <w:p w14:paraId="575A0FBD" w14:textId="1E999149" w:rsidR="00901C96" w:rsidRPr="00407BF6" w:rsidRDefault="00901C96" w:rsidP="00407BF6">
      <w:pPr>
        <w:spacing w:line="360" w:lineRule="auto"/>
        <w:jc w:val="right"/>
        <w:rPr>
          <w:rFonts w:ascii="Arial" w:hAnsi="Arial"/>
        </w:rPr>
      </w:pPr>
      <w:r w:rsidRPr="00407BF6">
        <w:rPr>
          <w:rFonts w:ascii="Arial" w:hAnsi="Arial"/>
        </w:rPr>
        <w:t>T. S. M</w:t>
      </w:r>
      <w:r w:rsidR="00407BF6">
        <w:rPr>
          <w:rFonts w:ascii="Arial" w:hAnsi="Arial"/>
        </w:rPr>
        <w:t>asuku</w:t>
      </w:r>
    </w:p>
    <w:p w14:paraId="3AF80C1C" w14:textId="295AF1C5" w:rsidR="00901C96" w:rsidRPr="00407BF6" w:rsidRDefault="00901C96" w:rsidP="00407BF6">
      <w:pPr>
        <w:spacing w:line="360" w:lineRule="auto"/>
        <w:jc w:val="right"/>
        <w:rPr>
          <w:rFonts w:ascii="Arial" w:hAnsi="Arial"/>
        </w:rPr>
      </w:pPr>
      <w:r w:rsidRPr="00407BF6">
        <w:rPr>
          <w:rFonts w:ascii="Arial" w:hAnsi="Arial"/>
        </w:rPr>
        <w:t>Judge</w:t>
      </w:r>
    </w:p>
    <w:p w14:paraId="576DC63D" w14:textId="77777777" w:rsidR="00901C96" w:rsidRDefault="00901C96" w:rsidP="00407BF6">
      <w:pPr>
        <w:spacing w:line="360" w:lineRule="auto"/>
        <w:jc w:val="right"/>
        <w:rPr>
          <w:rFonts w:ascii="Arial" w:hAnsi="Arial"/>
          <w:b/>
        </w:rPr>
      </w:pPr>
    </w:p>
    <w:p w14:paraId="7E21D9BE" w14:textId="77777777" w:rsidR="00901C96" w:rsidRPr="00901C96" w:rsidRDefault="00901C96" w:rsidP="00407BF6">
      <w:pPr>
        <w:spacing w:line="360" w:lineRule="auto"/>
        <w:jc w:val="right"/>
        <w:rPr>
          <w:rFonts w:ascii="Arial" w:hAnsi="Arial"/>
          <w:b/>
        </w:rPr>
      </w:pPr>
    </w:p>
    <w:p w14:paraId="0DC893B6" w14:textId="77777777" w:rsidR="00407BF6" w:rsidRDefault="00407BF6" w:rsidP="00407BF6">
      <w:pPr>
        <w:spacing w:line="360" w:lineRule="auto"/>
        <w:rPr>
          <w:rFonts w:ascii="Arial" w:hAnsi="Arial"/>
        </w:rPr>
      </w:pPr>
      <w:r>
        <w:rPr>
          <w:rFonts w:ascii="Arial" w:hAnsi="Arial"/>
        </w:rPr>
        <w:br w:type="page"/>
      </w:r>
    </w:p>
    <w:p w14:paraId="5D28B7D9" w14:textId="04676634" w:rsidR="00901C96" w:rsidRDefault="00901C96" w:rsidP="00407BF6">
      <w:pPr>
        <w:spacing w:line="360" w:lineRule="auto"/>
        <w:rPr>
          <w:rFonts w:ascii="Arial" w:hAnsi="Arial"/>
        </w:rPr>
      </w:pPr>
      <w:r>
        <w:rPr>
          <w:rFonts w:ascii="Arial" w:hAnsi="Arial"/>
        </w:rPr>
        <w:t>APPEARANCES:</w:t>
      </w:r>
    </w:p>
    <w:p w14:paraId="20F9E3B7" w14:textId="77777777" w:rsidR="00901C96" w:rsidRDefault="00901C96" w:rsidP="00407BF6">
      <w:pPr>
        <w:spacing w:line="360" w:lineRule="auto"/>
        <w:rPr>
          <w:rFonts w:ascii="Arial" w:hAnsi="Arial"/>
        </w:rPr>
      </w:pPr>
    </w:p>
    <w:p w14:paraId="0300EEDD" w14:textId="77777777" w:rsidR="002B53E5" w:rsidRDefault="002B53E5" w:rsidP="00407BF6">
      <w:pPr>
        <w:spacing w:line="360" w:lineRule="auto"/>
        <w:rPr>
          <w:rFonts w:ascii="Arial" w:hAnsi="Arial"/>
        </w:rPr>
      </w:pPr>
    </w:p>
    <w:p w14:paraId="2F47F737" w14:textId="4F15D1AD" w:rsidR="00901C96" w:rsidRDefault="00290673" w:rsidP="00407BF6">
      <w:pPr>
        <w:spacing w:line="360" w:lineRule="auto"/>
        <w:rPr>
          <w:rFonts w:ascii="Arial" w:hAnsi="Arial"/>
        </w:rPr>
      </w:pPr>
      <w:r>
        <w:rPr>
          <w:rFonts w:ascii="Arial" w:hAnsi="Arial"/>
        </w:rPr>
        <w:t>APPLICANT:</w:t>
      </w:r>
      <w:r>
        <w:rPr>
          <w:rFonts w:ascii="Arial" w:hAnsi="Arial"/>
        </w:rPr>
        <w:tab/>
      </w:r>
      <w:r>
        <w:rPr>
          <w:rFonts w:ascii="Arial" w:hAnsi="Arial"/>
        </w:rPr>
        <w:tab/>
      </w:r>
      <w:r w:rsidR="00021091">
        <w:rPr>
          <w:rFonts w:ascii="Arial" w:hAnsi="Arial"/>
        </w:rPr>
        <w:t xml:space="preserve">J. </w:t>
      </w:r>
      <w:r w:rsidR="00901C96">
        <w:rPr>
          <w:rFonts w:ascii="Arial" w:hAnsi="Arial"/>
        </w:rPr>
        <w:t xml:space="preserve">Tjitemisa </w:t>
      </w:r>
    </w:p>
    <w:p w14:paraId="36B1E037" w14:textId="3AFB765B" w:rsidR="00901C96" w:rsidRDefault="00901C96" w:rsidP="00290673">
      <w:pPr>
        <w:spacing w:line="360" w:lineRule="auto"/>
        <w:ind w:left="1440" w:firstLine="720"/>
        <w:rPr>
          <w:rFonts w:ascii="Arial" w:hAnsi="Arial"/>
        </w:rPr>
      </w:pPr>
      <w:r>
        <w:rPr>
          <w:rFonts w:ascii="Arial" w:hAnsi="Arial"/>
        </w:rPr>
        <w:t>Of Tjitemisa and Ass</w:t>
      </w:r>
      <w:r w:rsidR="00A61E84">
        <w:rPr>
          <w:rFonts w:ascii="Arial" w:hAnsi="Arial"/>
        </w:rPr>
        <w:t>o</w:t>
      </w:r>
      <w:r>
        <w:rPr>
          <w:rFonts w:ascii="Arial" w:hAnsi="Arial"/>
        </w:rPr>
        <w:t>ciates</w:t>
      </w:r>
      <w:r w:rsidR="00290673">
        <w:rPr>
          <w:rFonts w:ascii="Arial" w:hAnsi="Arial"/>
        </w:rPr>
        <w:t xml:space="preserve">, </w:t>
      </w:r>
      <w:r w:rsidR="002B53E5">
        <w:rPr>
          <w:rFonts w:ascii="Arial" w:hAnsi="Arial"/>
        </w:rPr>
        <w:t>Windhoek</w:t>
      </w:r>
    </w:p>
    <w:p w14:paraId="7590B8BF" w14:textId="77777777" w:rsidR="00901C96" w:rsidRDefault="00901C96" w:rsidP="00407BF6">
      <w:pPr>
        <w:spacing w:line="360" w:lineRule="auto"/>
        <w:rPr>
          <w:rFonts w:ascii="Arial" w:hAnsi="Arial"/>
        </w:rPr>
      </w:pPr>
    </w:p>
    <w:p w14:paraId="25721D4F" w14:textId="77777777" w:rsidR="00407BF6" w:rsidRDefault="00407BF6" w:rsidP="00407BF6">
      <w:pPr>
        <w:spacing w:line="360" w:lineRule="auto"/>
        <w:rPr>
          <w:rFonts w:ascii="Arial" w:hAnsi="Arial"/>
        </w:rPr>
      </w:pPr>
    </w:p>
    <w:p w14:paraId="4C0C617C" w14:textId="7F5F1161" w:rsidR="00901C96" w:rsidRDefault="00901C96" w:rsidP="00407BF6">
      <w:pPr>
        <w:spacing w:line="360" w:lineRule="auto"/>
        <w:rPr>
          <w:rFonts w:ascii="Arial" w:hAnsi="Arial"/>
        </w:rPr>
      </w:pPr>
      <w:r>
        <w:rPr>
          <w:rFonts w:ascii="Arial" w:hAnsi="Arial"/>
        </w:rPr>
        <w:t>RESPONDENT</w:t>
      </w:r>
      <w:r w:rsidR="00290673">
        <w:rPr>
          <w:rFonts w:ascii="Arial" w:hAnsi="Arial"/>
        </w:rPr>
        <w:tab/>
      </w:r>
      <w:r>
        <w:rPr>
          <w:rFonts w:ascii="Arial" w:hAnsi="Arial"/>
        </w:rPr>
        <w:t>R. Philander</w:t>
      </w:r>
    </w:p>
    <w:p w14:paraId="652636EF" w14:textId="622E84B1" w:rsidR="002B53E5" w:rsidRPr="00901C96" w:rsidRDefault="00901C96" w:rsidP="00290673">
      <w:pPr>
        <w:spacing w:line="360" w:lineRule="auto"/>
        <w:ind w:left="1440" w:firstLine="720"/>
        <w:rPr>
          <w:rFonts w:ascii="Arial" w:hAnsi="Arial"/>
        </w:rPr>
      </w:pPr>
      <w:r>
        <w:rPr>
          <w:rFonts w:ascii="Arial" w:hAnsi="Arial"/>
        </w:rPr>
        <w:t>Of ENSAfrica</w:t>
      </w:r>
      <w:r w:rsidR="00290673">
        <w:rPr>
          <w:rFonts w:ascii="Arial" w:hAnsi="Arial"/>
        </w:rPr>
        <w:t xml:space="preserve">, </w:t>
      </w:r>
      <w:r w:rsidR="002B53E5">
        <w:rPr>
          <w:rFonts w:ascii="Arial" w:hAnsi="Arial"/>
        </w:rPr>
        <w:t>Windhoek</w:t>
      </w:r>
    </w:p>
    <w:sectPr w:rsidR="002B53E5" w:rsidRPr="00901C96" w:rsidSect="00DA647D">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4DE7" w14:textId="77777777" w:rsidR="00F10AD6" w:rsidRDefault="00F10AD6" w:rsidP="004B5858">
      <w:r>
        <w:separator/>
      </w:r>
    </w:p>
  </w:endnote>
  <w:endnote w:type="continuationSeparator" w:id="0">
    <w:p w14:paraId="427FD45A" w14:textId="77777777" w:rsidR="00F10AD6" w:rsidRDefault="00F10AD6" w:rsidP="004B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E2CD" w14:textId="77777777" w:rsidR="00F10AD6" w:rsidRDefault="00F10AD6" w:rsidP="004B5858">
      <w:r>
        <w:separator/>
      </w:r>
    </w:p>
  </w:footnote>
  <w:footnote w:type="continuationSeparator" w:id="0">
    <w:p w14:paraId="38ACBEE5" w14:textId="77777777" w:rsidR="00F10AD6" w:rsidRDefault="00F10AD6" w:rsidP="004B5858">
      <w:r>
        <w:continuationSeparator/>
      </w:r>
    </w:p>
  </w:footnote>
  <w:footnote w:id="1">
    <w:p w14:paraId="76760D84" w14:textId="77777777" w:rsidR="00901C96" w:rsidRPr="004B5858"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SA 31/2009, para 21 (Delivered on 05 November 2010).</w:t>
      </w:r>
    </w:p>
  </w:footnote>
  <w:footnote w:id="2">
    <w:p w14:paraId="29F16E46" w14:textId="77777777" w:rsidR="00901C96" w:rsidRPr="00F84FAA"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Case No. I 3299/2007) [2013] NAHCMD 2 14 January 2013).</w:t>
      </w:r>
    </w:p>
  </w:footnote>
  <w:footnote w:id="3">
    <w:p w14:paraId="2E204DDF" w14:textId="77777777" w:rsidR="00901C96" w:rsidRPr="00F84FAA"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1927 T.P.D. 20, p 24.</w:t>
      </w:r>
    </w:p>
  </w:footnote>
  <w:footnote w:id="4">
    <w:p w14:paraId="285820B5" w14:textId="77777777" w:rsidR="00901C96" w:rsidRPr="003C06AC"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17 of 1992.</w:t>
      </w:r>
    </w:p>
  </w:footnote>
  <w:footnote w:id="5">
    <w:p w14:paraId="57EB782C" w14:textId="77777777" w:rsidR="00901C96" w:rsidRPr="00E17B26"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Letter dated 8 February 2019, p 47 of the record.</w:t>
      </w:r>
    </w:p>
  </w:footnote>
  <w:footnote w:id="6">
    <w:p w14:paraId="7F6E2791" w14:textId="77777777" w:rsidR="00901C96" w:rsidRPr="00E17B26"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NLLP (1) 1998 121 NLC, 13 December 1995, p 123.</w:t>
      </w:r>
    </w:p>
  </w:footnote>
  <w:footnote w:id="7">
    <w:p w14:paraId="3FF0E1FB" w14:textId="77777777" w:rsidR="00901C96" w:rsidRPr="004057AE" w:rsidRDefault="00901C9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2000 (1) SA 126 (ZSC), p 138I-140D)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8C67" w14:textId="77777777" w:rsidR="00901C96" w:rsidRDefault="00901C96" w:rsidP="00EA2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7E8BE" w14:textId="77777777" w:rsidR="00901C96" w:rsidRDefault="00901C96" w:rsidP="00EA21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72C9" w14:textId="77777777" w:rsidR="00901C96" w:rsidRDefault="00901C96" w:rsidP="00EA2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BDD">
      <w:rPr>
        <w:rStyle w:val="PageNumber"/>
        <w:noProof/>
      </w:rPr>
      <w:t>3</w:t>
    </w:r>
    <w:r>
      <w:rPr>
        <w:rStyle w:val="PageNumber"/>
      </w:rPr>
      <w:fldChar w:fldCharType="end"/>
    </w:r>
  </w:p>
  <w:p w14:paraId="5098787F" w14:textId="77777777" w:rsidR="00901C96" w:rsidRDefault="00901C96" w:rsidP="00EA21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741"/>
    <w:multiLevelType w:val="hybridMultilevel"/>
    <w:tmpl w:val="B4F0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D37A6"/>
    <w:multiLevelType w:val="hybridMultilevel"/>
    <w:tmpl w:val="0184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74"/>
    <w:rsid w:val="00021091"/>
    <w:rsid w:val="000215AC"/>
    <w:rsid w:val="00044FC2"/>
    <w:rsid w:val="00224674"/>
    <w:rsid w:val="00290673"/>
    <w:rsid w:val="002B19B4"/>
    <w:rsid w:val="002B53E5"/>
    <w:rsid w:val="00333E38"/>
    <w:rsid w:val="003761F7"/>
    <w:rsid w:val="00392BD1"/>
    <w:rsid w:val="003C06AC"/>
    <w:rsid w:val="004057AE"/>
    <w:rsid w:val="00407BF6"/>
    <w:rsid w:val="004B5858"/>
    <w:rsid w:val="005735BF"/>
    <w:rsid w:val="00596808"/>
    <w:rsid w:val="0065033A"/>
    <w:rsid w:val="006A38EA"/>
    <w:rsid w:val="006C0BDD"/>
    <w:rsid w:val="006E486A"/>
    <w:rsid w:val="00752194"/>
    <w:rsid w:val="00862E50"/>
    <w:rsid w:val="0089510A"/>
    <w:rsid w:val="008A1C9E"/>
    <w:rsid w:val="00901C96"/>
    <w:rsid w:val="009E4A8A"/>
    <w:rsid w:val="009F3680"/>
    <w:rsid w:val="00A61E84"/>
    <w:rsid w:val="00AE5394"/>
    <w:rsid w:val="00B0162D"/>
    <w:rsid w:val="00B12621"/>
    <w:rsid w:val="00B231AE"/>
    <w:rsid w:val="00B51EB0"/>
    <w:rsid w:val="00C01208"/>
    <w:rsid w:val="00C12356"/>
    <w:rsid w:val="00C215EC"/>
    <w:rsid w:val="00C36B9A"/>
    <w:rsid w:val="00CE4BFB"/>
    <w:rsid w:val="00D47D8C"/>
    <w:rsid w:val="00D54E6C"/>
    <w:rsid w:val="00DA647D"/>
    <w:rsid w:val="00E17B26"/>
    <w:rsid w:val="00EA215E"/>
    <w:rsid w:val="00F10AD6"/>
    <w:rsid w:val="00F11C34"/>
    <w:rsid w:val="00F21ECB"/>
    <w:rsid w:val="00F53C4C"/>
    <w:rsid w:val="00F84FAA"/>
    <w:rsid w:val="00FD2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2A058"/>
  <w14:defaultImageDpi w14:val="300"/>
  <w15:docId w15:val="{68054573-F06F-4BC5-8B9F-3339448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858"/>
  </w:style>
  <w:style w:type="character" w:customStyle="1" w:styleId="FootnoteTextChar">
    <w:name w:val="Footnote Text Char"/>
    <w:basedOn w:val="DefaultParagraphFont"/>
    <w:link w:val="FootnoteText"/>
    <w:uiPriority w:val="99"/>
    <w:rsid w:val="004B5858"/>
  </w:style>
  <w:style w:type="character" w:styleId="FootnoteReference">
    <w:name w:val="footnote reference"/>
    <w:basedOn w:val="DefaultParagraphFont"/>
    <w:uiPriority w:val="99"/>
    <w:unhideWhenUsed/>
    <w:rsid w:val="004B5858"/>
    <w:rPr>
      <w:vertAlign w:val="superscript"/>
    </w:rPr>
  </w:style>
  <w:style w:type="paragraph" w:styleId="ListParagraph">
    <w:name w:val="List Paragraph"/>
    <w:basedOn w:val="Normal"/>
    <w:uiPriority w:val="34"/>
    <w:qFormat/>
    <w:rsid w:val="00CE4BFB"/>
    <w:pPr>
      <w:ind w:left="720"/>
      <w:contextualSpacing/>
    </w:pPr>
  </w:style>
  <w:style w:type="paragraph" w:styleId="Header">
    <w:name w:val="header"/>
    <w:basedOn w:val="Normal"/>
    <w:link w:val="HeaderChar"/>
    <w:uiPriority w:val="99"/>
    <w:unhideWhenUsed/>
    <w:rsid w:val="00EA215E"/>
    <w:pPr>
      <w:tabs>
        <w:tab w:val="center" w:pos="4320"/>
        <w:tab w:val="right" w:pos="8640"/>
      </w:tabs>
    </w:pPr>
  </w:style>
  <w:style w:type="character" w:customStyle="1" w:styleId="HeaderChar">
    <w:name w:val="Header Char"/>
    <w:basedOn w:val="DefaultParagraphFont"/>
    <w:link w:val="Header"/>
    <w:uiPriority w:val="99"/>
    <w:rsid w:val="00EA215E"/>
  </w:style>
  <w:style w:type="character" w:styleId="PageNumber">
    <w:name w:val="page number"/>
    <w:basedOn w:val="DefaultParagraphFont"/>
    <w:uiPriority w:val="99"/>
    <w:semiHidden/>
    <w:unhideWhenUsed/>
    <w:rsid w:val="00EA215E"/>
  </w:style>
  <w:style w:type="paragraph" w:styleId="Footer">
    <w:name w:val="footer"/>
    <w:basedOn w:val="Normal"/>
    <w:link w:val="FooterChar"/>
    <w:uiPriority w:val="99"/>
    <w:unhideWhenUsed/>
    <w:rsid w:val="00407BF6"/>
    <w:pPr>
      <w:tabs>
        <w:tab w:val="center" w:pos="4513"/>
        <w:tab w:val="right" w:pos="9026"/>
      </w:tabs>
    </w:pPr>
  </w:style>
  <w:style w:type="character" w:customStyle="1" w:styleId="FooterChar">
    <w:name w:val="Footer Char"/>
    <w:basedOn w:val="DefaultParagraphFont"/>
    <w:link w:val="Footer"/>
    <w:uiPriority w:val="99"/>
    <w:rsid w:val="00407BF6"/>
  </w:style>
  <w:style w:type="paragraph" w:styleId="BalloonText">
    <w:name w:val="Balloon Text"/>
    <w:basedOn w:val="Normal"/>
    <w:link w:val="BalloonTextChar"/>
    <w:uiPriority w:val="99"/>
    <w:semiHidden/>
    <w:unhideWhenUsed/>
    <w:rsid w:val="00021091"/>
    <w:rPr>
      <w:rFonts w:ascii="Lucida Grande" w:hAnsi="Lucida Grande"/>
      <w:sz w:val="18"/>
      <w:szCs w:val="18"/>
    </w:rPr>
  </w:style>
  <w:style w:type="character" w:customStyle="1" w:styleId="BalloonTextChar">
    <w:name w:val="Balloon Text Char"/>
    <w:basedOn w:val="DefaultParagraphFont"/>
    <w:link w:val="BalloonText"/>
    <w:uiPriority w:val="99"/>
    <w:semiHidden/>
    <w:rsid w:val="000210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2020-03-22T18:30:00+00:00</Judgment_x0020_Date>
    <Year xmlns="aec0a7e9-5f5c-4ba9-87b2-85cfc8a38b86">2020</Year>
  </documentManagement>
</p:properties>
</file>

<file path=customXml/itemProps1.xml><?xml version="1.0" encoding="utf-8"?>
<ds:datastoreItem xmlns:ds="http://schemas.openxmlformats.org/officeDocument/2006/customXml" ds:itemID="{23EC5BE5-D177-4B00-AF2D-0E12335FE04E}"/>
</file>

<file path=customXml/itemProps2.xml><?xml version="1.0" encoding="utf-8"?>
<ds:datastoreItem xmlns:ds="http://schemas.openxmlformats.org/officeDocument/2006/customXml" ds:itemID="{12C25C2D-2285-4511-8106-A98C5BB3EF36}"/>
</file>

<file path=customXml/itemProps3.xml><?xml version="1.0" encoding="utf-8"?>
<ds:datastoreItem xmlns:ds="http://schemas.openxmlformats.org/officeDocument/2006/customXml" ds:itemID="{5321F929-90A8-47A1-A53D-5F73CD705708}"/>
</file>

<file path=docProps/app.xml><?xml version="1.0" encoding="utf-8"?>
<Properties xmlns="http://schemas.openxmlformats.org/officeDocument/2006/extended-properties" xmlns:vt="http://schemas.openxmlformats.org/officeDocument/2006/docPropsVTypes">
  <Template>Normal</Template>
  <TotalTime>0</TotalTime>
  <Pages>12</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2020-03-19T07:26:00Z</cp:lastPrinted>
  <dcterms:created xsi:type="dcterms:W3CDTF">2020-03-27T17:03:00Z</dcterms:created>
  <dcterms:modified xsi:type="dcterms:W3CDTF">2020-03-27T17:03:00Z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