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DE1273" w:rsidP="00B40844">
      <w:pPr>
        <w:spacing w:after="0" w:line="360" w:lineRule="auto"/>
        <w:jc w:val="center"/>
        <w:rPr>
          <w:rFonts w:ascii="Arial" w:hAnsi="Arial" w:cs="Arial"/>
          <w:bCs/>
          <w:sz w:val="24"/>
          <w:szCs w:val="24"/>
        </w:rPr>
      </w:pPr>
      <w:r>
        <w:rPr>
          <w:rFonts w:ascii="Arial" w:hAnsi="Arial" w:cs="Arial"/>
          <w:b/>
          <w:sz w:val="24"/>
          <w:szCs w:val="24"/>
        </w:rPr>
        <w:t>LABOUR</w:t>
      </w:r>
      <w:r w:rsidR="00B40844" w:rsidRPr="006E026B">
        <w:rPr>
          <w:rFonts w:ascii="Arial" w:hAnsi="Arial" w:cs="Arial"/>
          <w:b/>
          <w:sz w:val="24"/>
          <w:szCs w:val="24"/>
        </w:rPr>
        <w:t xml:space="preserve">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F32E93" w:rsidP="00B40844">
      <w:pPr>
        <w:spacing w:after="0" w:line="360" w:lineRule="auto"/>
        <w:jc w:val="center"/>
        <w:rPr>
          <w:rFonts w:ascii="Arial" w:hAnsi="Arial" w:cs="Arial"/>
          <w:b/>
          <w:sz w:val="24"/>
          <w:szCs w:val="24"/>
        </w:rPr>
      </w:pPr>
      <w:r>
        <w:rPr>
          <w:rFonts w:ascii="Arial" w:hAnsi="Arial" w:cs="Arial"/>
          <w:b/>
          <w:sz w:val="24"/>
          <w:szCs w:val="24"/>
        </w:rPr>
        <w:t>RULING</w:t>
      </w:r>
    </w:p>
    <w:p w:rsidR="00A6151E" w:rsidRDefault="003B10E0" w:rsidP="00A6151E">
      <w:pPr>
        <w:spacing w:after="0" w:line="360" w:lineRule="auto"/>
        <w:jc w:val="center"/>
        <w:rPr>
          <w:rFonts w:ascii="Arial" w:hAnsi="Arial" w:cs="Arial"/>
          <w:b/>
          <w:sz w:val="24"/>
          <w:szCs w:val="24"/>
        </w:rPr>
      </w:pPr>
      <w:r>
        <w:rPr>
          <w:rFonts w:ascii="Arial" w:hAnsi="Arial" w:cs="Arial"/>
          <w:b/>
          <w:sz w:val="24"/>
          <w:szCs w:val="24"/>
        </w:rPr>
        <w:t>PRACTICE DIRECTION</w:t>
      </w:r>
      <w:r w:rsidR="00A6151E">
        <w:rPr>
          <w:rFonts w:ascii="Arial" w:hAnsi="Arial" w:cs="Arial"/>
          <w:b/>
          <w:sz w:val="24"/>
          <w:szCs w:val="24"/>
        </w:rPr>
        <w:t xml:space="preser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DB6370" w:rsidRDefault="00DB6370" w:rsidP="000F4381">
            <w:pPr>
              <w:spacing w:line="360" w:lineRule="auto"/>
              <w:jc w:val="both"/>
              <w:rPr>
                <w:rFonts w:ascii="Arial" w:hAnsi="Arial" w:cs="Arial"/>
                <w:sz w:val="24"/>
                <w:szCs w:val="24"/>
              </w:rPr>
            </w:pPr>
            <w:r w:rsidRPr="00DB6370">
              <w:rPr>
                <w:rFonts w:ascii="Arial" w:hAnsi="Arial" w:cs="Arial"/>
                <w:sz w:val="24"/>
                <w:szCs w:val="24"/>
              </w:rPr>
              <w:t>FANUEL KAPAPERO, N.O</w:t>
            </w:r>
            <w:r w:rsidR="000F4381">
              <w:rPr>
                <w:rFonts w:ascii="Arial" w:hAnsi="Arial" w:cs="Arial"/>
                <w:sz w:val="24"/>
                <w:szCs w:val="24"/>
              </w:rPr>
              <w:t>.</w:t>
            </w:r>
            <w:r w:rsidRPr="00DB6370">
              <w:rPr>
                <w:rFonts w:ascii="Arial" w:hAnsi="Arial" w:cs="Arial"/>
                <w:sz w:val="24"/>
                <w:szCs w:val="24"/>
              </w:rPr>
              <w:t xml:space="preserve"> &amp; 2 OTHERS</w:t>
            </w:r>
            <w:r w:rsidR="00661194" w:rsidRPr="00DB6370">
              <w:rPr>
                <w:rFonts w:ascii="Arial" w:hAnsi="Arial" w:cs="Arial"/>
                <w:sz w:val="24"/>
                <w:szCs w:val="24"/>
              </w:rPr>
              <w:t xml:space="preserve"> </w:t>
            </w:r>
            <w:r w:rsidR="00136505" w:rsidRPr="00DB6370">
              <w:rPr>
                <w:rFonts w:ascii="Arial" w:hAnsi="Arial" w:cs="Arial"/>
                <w:sz w:val="24"/>
                <w:szCs w:val="24"/>
                <w:shd w:val="clear" w:color="auto" w:fill="FFFFFF"/>
              </w:rPr>
              <w:t xml:space="preserve">// </w:t>
            </w:r>
            <w:r w:rsidRPr="00DB6370">
              <w:rPr>
                <w:rFonts w:ascii="Arial" w:hAnsi="Arial" w:cs="Arial"/>
                <w:sz w:val="24"/>
                <w:szCs w:val="24"/>
              </w:rPr>
              <w:t>BETTY MBILE SILUMBU</w:t>
            </w:r>
            <w:r w:rsidR="000C1B84" w:rsidRPr="00DB6370">
              <w:rPr>
                <w:rFonts w:ascii="Arial" w:hAnsi="Arial" w:cs="Arial"/>
                <w:sz w:val="24"/>
                <w:szCs w:val="24"/>
              </w:rPr>
              <w:t xml:space="preserve"> </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DB6370" w:rsidRPr="00DB6370" w:rsidRDefault="00DB6370" w:rsidP="00DB6370">
            <w:pPr>
              <w:jc w:val="both"/>
              <w:rPr>
                <w:rFonts w:ascii="Arial" w:hAnsi="Arial" w:cs="Arial"/>
                <w:sz w:val="24"/>
                <w:szCs w:val="24"/>
              </w:rPr>
            </w:pPr>
            <w:r w:rsidRPr="00DB6370">
              <w:rPr>
                <w:rFonts w:ascii="Arial" w:hAnsi="Arial" w:cs="Arial"/>
                <w:sz w:val="24"/>
                <w:szCs w:val="24"/>
              </w:rPr>
              <w:t xml:space="preserve">HC-MD-LAB-MOT-REV-2022/00209; </w:t>
            </w:r>
          </w:p>
          <w:p w:rsidR="00B40844" w:rsidRPr="000C1B84" w:rsidRDefault="00DB6370" w:rsidP="00DB6370">
            <w:pPr>
              <w:jc w:val="both"/>
              <w:rPr>
                <w:rFonts w:ascii="Arial" w:hAnsi="Arial" w:cs="Arial"/>
                <w:sz w:val="24"/>
                <w:szCs w:val="24"/>
                <w:shd w:val="clear" w:color="auto" w:fill="FFFFFF"/>
              </w:rPr>
            </w:pPr>
            <w:r w:rsidRPr="00DB6370">
              <w:rPr>
                <w:rFonts w:ascii="Arial" w:hAnsi="Arial" w:cs="Arial"/>
                <w:sz w:val="24"/>
                <w:szCs w:val="24"/>
              </w:rPr>
              <w:t>INT-HC-OTH-2023/00031</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E5326C">
            <w:pPr>
              <w:spacing w:line="360" w:lineRule="auto"/>
              <w:jc w:val="both"/>
              <w:rPr>
                <w:rFonts w:ascii="Arial" w:hAnsi="Arial" w:cs="Arial"/>
                <w:sz w:val="24"/>
                <w:szCs w:val="24"/>
              </w:rPr>
            </w:pPr>
            <w:r>
              <w:rPr>
                <w:rFonts w:ascii="Arial" w:hAnsi="Arial" w:cs="Arial"/>
                <w:sz w:val="24"/>
                <w:szCs w:val="24"/>
              </w:rPr>
              <w:t>PARKER</w:t>
            </w:r>
            <w:r w:rsidR="00E5326C">
              <w:rPr>
                <w:rFonts w:ascii="Arial" w:hAnsi="Arial" w:cs="Arial"/>
                <w:sz w:val="24"/>
                <w:szCs w:val="24"/>
              </w:rPr>
              <w:t>,</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 xml:space="preserve">Date </w:t>
            </w:r>
            <w:r w:rsidR="00DB6370">
              <w:rPr>
                <w:rFonts w:ascii="Arial" w:hAnsi="Arial" w:cs="Arial"/>
                <w:b/>
                <w:sz w:val="24"/>
                <w:szCs w:val="24"/>
              </w:rPr>
              <w:t>reserved</w:t>
            </w:r>
            <w:r w:rsidRPr="00CA7995">
              <w:rPr>
                <w:rFonts w:ascii="Arial" w:hAnsi="Arial" w:cs="Arial"/>
                <w:b/>
                <w:sz w:val="24"/>
                <w:szCs w:val="24"/>
              </w:rPr>
              <w:t>:</w:t>
            </w:r>
          </w:p>
          <w:p w:rsidR="00B40844" w:rsidRPr="00CA7995" w:rsidRDefault="00DB6370" w:rsidP="00E73735">
            <w:pPr>
              <w:spacing w:line="360" w:lineRule="auto"/>
              <w:jc w:val="both"/>
              <w:rPr>
                <w:rFonts w:ascii="Arial" w:hAnsi="Arial" w:cs="Arial"/>
                <w:sz w:val="24"/>
                <w:szCs w:val="24"/>
              </w:rPr>
            </w:pPr>
            <w:r>
              <w:rPr>
                <w:rFonts w:ascii="Arial" w:hAnsi="Arial" w:cs="Arial"/>
                <w:sz w:val="24"/>
                <w:szCs w:val="24"/>
              </w:rPr>
              <w:t>15</w:t>
            </w:r>
            <w:r w:rsidR="00C2633E">
              <w:rPr>
                <w:rFonts w:ascii="Arial" w:hAnsi="Arial" w:cs="Arial"/>
                <w:sz w:val="24"/>
                <w:szCs w:val="24"/>
              </w:rPr>
              <w:t xml:space="preserve"> </w:t>
            </w:r>
            <w:r w:rsidR="00E73735">
              <w:rPr>
                <w:rFonts w:ascii="Arial" w:hAnsi="Arial" w:cs="Arial"/>
                <w:sz w:val="24"/>
                <w:szCs w:val="24"/>
              </w:rPr>
              <w:t>J</w:t>
            </w:r>
            <w:r w:rsidR="00DF7D60">
              <w:rPr>
                <w:rFonts w:ascii="Arial" w:hAnsi="Arial" w:cs="Arial"/>
                <w:sz w:val="24"/>
                <w:szCs w:val="24"/>
              </w:rPr>
              <w:t>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0F4381" w:rsidP="00B95B14">
            <w:pPr>
              <w:spacing w:line="360" w:lineRule="auto"/>
              <w:jc w:val="both"/>
              <w:rPr>
                <w:rFonts w:ascii="Arial" w:hAnsi="Arial" w:cs="Arial"/>
                <w:b/>
                <w:sz w:val="24"/>
                <w:szCs w:val="24"/>
              </w:rPr>
            </w:pPr>
            <w:r>
              <w:rPr>
                <w:rFonts w:ascii="Arial" w:hAnsi="Arial" w:cs="Arial"/>
                <w:sz w:val="24"/>
                <w:szCs w:val="24"/>
              </w:rPr>
              <w:t>19</w:t>
            </w:r>
            <w:r w:rsidR="00136505">
              <w:rPr>
                <w:rFonts w:ascii="Arial" w:hAnsi="Arial" w:cs="Arial"/>
                <w:sz w:val="24"/>
                <w:szCs w:val="24"/>
              </w:rPr>
              <w:t xml:space="preserve"> </w:t>
            </w:r>
            <w:r w:rsidR="00B95B14">
              <w:rPr>
                <w:rFonts w:ascii="Arial" w:hAnsi="Arial" w:cs="Arial"/>
                <w:sz w:val="24"/>
                <w:szCs w:val="24"/>
              </w:rPr>
              <w:t>J</w:t>
            </w:r>
            <w:r w:rsidR="00DF7D60">
              <w:rPr>
                <w:rFonts w:ascii="Arial" w:hAnsi="Arial" w:cs="Arial"/>
                <w:sz w:val="24"/>
                <w:szCs w:val="24"/>
              </w:rPr>
              <w:t>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281B69">
        <w:trPr>
          <w:trHeight w:val="977"/>
        </w:trPr>
        <w:tc>
          <w:tcPr>
            <w:tcW w:w="10206" w:type="dxa"/>
            <w:gridSpan w:val="3"/>
          </w:tcPr>
          <w:p w:rsidR="00B40844" w:rsidRDefault="00B40844" w:rsidP="00DF7D60">
            <w:pPr>
              <w:spacing w:line="360" w:lineRule="auto"/>
              <w:ind w:left="2160" w:hanging="2160"/>
              <w:jc w:val="both"/>
              <w:rPr>
                <w:rFonts w:ascii="Arial" w:hAnsi="Arial" w:cs="Arial"/>
                <w:sz w:val="24"/>
                <w:szCs w:val="24"/>
              </w:rPr>
            </w:pPr>
            <w:r w:rsidRPr="00CA7995">
              <w:rPr>
                <w:rFonts w:ascii="Arial" w:hAnsi="Arial" w:cs="Arial"/>
                <w:b/>
                <w:sz w:val="24"/>
                <w:szCs w:val="24"/>
              </w:rPr>
              <w:t xml:space="preserve">Neutral citation: </w:t>
            </w:r>
            <w:r w:rsidR="00211DE9">
              <w:rPr>
                <w:rFonts w:ascii="Arial" w:hAnsi="Arial" w:cs="Arial"/>
                <w:b/>
                <w:sz w:val="24"/>
                <w:szCs w:val="24"/>
              </w:rPr>
              <w:t xml:space="preserve"> </w:t>
            </w:r>
            <w:proofErr w:type="spellStart"/>
            <w:r w:rsidR="00DB6370">
              <w:rPr>
                <w:rFonts w:ascii="Arial" w:hAnsi="Arial" w:cs="Arial"/>
                <w:sz w:val="24"/>
                <w:szCs w:val="24"/>
                <w:shd w:val="clear" w:color="auto" w:fill="FFFFFF"/>
              </w:rPr>
              <w:t>Kapapero</w:t>
            </w:r>
            <w:proofErr w:type="spellEnd"/>
            <w:r w:rsidR="00DB6370">
              <w:rPr>
                <w:rFonts w:ascii="Arial" w:hAnsi="Arial" w:cs="Arial"/>
                <w:sz w:val="24"/>
                <w:szCs w:val="24"/>
                <w:shd w:val="clear" w:color="auto" w:fill="FFFFFF"/>
              </w:rPr>
              <w:t xml:space="preserve"> N.O</w:t>
            </w:r>
            <w:r w:rsidR="00211DE9">
              <w:rPr>
                <w:rFonts w:ascii="Arial" w:hAnsi="Arial" w:cs="Arial"/>
                <w:i/>
                <w:sz w:val="24"/>
                <w:szCs w:val="24"/>
                <w:shd w:val="clear" w:color="auto" w:fill="FFFFFF"/>
              </w:rPr>
              <w:t xml:space="preserve"> </w:t>
            </w:r>
            <w:r w:rsidRPr="00CA7995">
              <w:rPr>
                <w:rFonts w:ascii="Arial" w:hAnsi="Arial" w:cs="Arial"/>
                <w:i/>
                <w:sz w:val="24"/>
                <w:szCs w:val="24"/>
                <w:shd w:val="clear" w:color="auto" w:fill="FFFFFF"/>
              </w:rPr>
              <w:t xml:space="preserve">v </w:t>
            </w:r>
            <w:proofErr w:type="spellStart"/>
            <w:r w:rsidR="00DB6370">
              <w:rPr>
                <w:rFonts w:ascii="Arial" w:hAnsi="Arial" w:cs="Arial"/>
                <w:i/>
                <w:sz w:val="24"/>
                <w:szCs w:val="24"/>
                <w:shd w:val="clear" w:color="auto" w:fill="FFFFFF"/>
              </w:rPr>
              <w:t>Silumbu</w:t>
            </w:r>
            <w:proofErr w:type="spellEnd"/>
            <w:r w:rsidRPr="00CA7995">
              <w:rPr>
                <w:rFonts w:ascii="Arial" w:hAnsi="Arial" w:cs="Arial"/>
                <w:sz w:val="24"/>
                <w:szCs w:val="24"/>
              </w:rPr>
              <w:t xml:space="preserve"> (</w:t>
            </w:r>
            <w:r w:rsidR="00DB6370" w:rsidRPr="00DB6370">
              <w:rPr>
                <w:rFonts w:ascii="Arial" w:hAnsi="Arial" w:cs="Arial"/>
                <w:sz w:val="24"/>
                <w:szCs w:val="24"/>
              </w:rPr>
              <w:t>HC-MD-LAB-MOT-REV-2022/00209</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NA</w:t>
            </w:r>
            <w:r w:rsidR="00DE1273">
              <w:rPr>
                <w:rFonts w:ascii="Arial" w:hAnsi="Arial" w:cs="Arial"/>
                <w:sz w:val="24"/>
                <w:szCs w:val="24"/>
              </w:rPr>
              <w:t>L</w:t>
            </w:r>
            <w:r w:rsidRPr="00CA7995">
              <w:rPr>
                <w:rFonts w:ascii="Arial" w:hAnsi="Arial" w:cs="Arial"/>
                <w:sz w:val="24"/>
                <w:szCs w:val="24"/>
              </w:rPr>
              <w:t xml:space="preserve">CMD </w:t>
            </w:r>
            <w:r w:rsidR="00DE1273">
              <w:rPr>
                <w:rFonts w:ascii="Arial" w:hAnsi="Arial" w:cs="Arial"/>
                <w:sz w:val="24"/>
                <w:szCs w:val="24"/>
                <w:shd w:val="clear" w:color="auto" w:fill="FFFFFF" w:themeFill="background1"/>
              </w:rPr>
              <w:t>30</w:t>
            </w:r>
            <w:r w:rsidRPr="00CA7995">
              <w:rPr>
                <w:rFonts w:ascii="Arial" w:hAnsi="Arial" w:cs="Arial"/>
                <w:sz w:val="24"/>
                <w:szCs w:val="24"/>
              </w:rPr>
              <w:t xml:space="preserve"> (</w:t>
            </w:r>
            <w:r w:rsidR="00281B69">
              <w:rPr>
                <w:rFonts w:ascii="Arial" w:hAnsi="Arial" w:cs="Arial"/>
                <w:sz w:val="24"/>
                <w:szCs w:val="24"/>
              </w:rPr>
              <w:t>19</w:t>
            </w:r>
            <w:r w:rsidR="00136505">
              <w:rPr>
                <w:rFonts w:ascii="Arial" w:hAnsi="Arial" w:cs="Arial"/>
                <w:sz w:val="24"/>
                <w:szCs w:val="24"/>
              </w:rPr>
              <w:t xml:space="preserve"> </w:t>
            </w:r>
            <w:r w:rsidR="00281B69">
              <w:rPr>
                <w:rFonts w:ascii="Arial" w:hAnsi="Arial" w:cs="Arial"/>
                <w:sz w:val="24"/>
                <w:szCs w:val="24"/>
              </w:rPr>
              <w:t>July</w:t>
            </w:r>
            <w:r w:rsidR="00B47800">
              <w:rPr>
                <w:rFonts w:ascii="Arial" w:hAnsi="Arial" w:cs="Arial"/>
                <w:sz w:val="24"/>
                <w:szCs w:val="24"/>
              </w:rPr>
              <w:t xml:space="preserve"> 2023</w:t>
            </w:r>
            <w:r w:rsidRPr="00CA7995">
              <w:rPr>
                <w:rFonts w:ascii="Arial" w:hAnsi="Arial" w:cs="Arial"/>
                <w:sz w:val="24"/>
                <w:szCs w:val="24"/>
              </w:rPr>
              <w:t>)</w:t>
            </w:r>
          </w:p>
          <w:p w:rsidR="00B03467" w:rsidRPr="00CA7995" w:rsidRDefault="00B03467" w:rsidP="00E73735">
            <w:pPr>
              <w:spacing w:line="360" w:lineRule="auto"/>
              <w:ind w:left="2019" w:hanging="2019"/>
              <w:jc w:val="both"/>
              <w:rPr>
                <w:rFonts w:ascii="Arial" w:hAnsi="Arial" w:cs="Arial"/>
                <w:sz w:val="24"/>
                <w:szCs w:val="24"/>
              </w:rPr>
            </w:pPr>
          </w:p>
        </w:tc>
      </w:tr>
      <w:tr w:rsidR="00CA7995" w:rsidRPr="00CA7995" w:rsidTr="00E73735">
        <w:trPr>
          <w:trHeight w:val="523"/>
        </w:trPr>
        <w:tc>
          <w:tcPr>
            <w:tcW w:w="10206" w:type="dxa"/>
            <w:gridSpan w:val="3"/>
          </w:tcPr>
          <w:p w:rsidR="008C2200" w:rsidRPr="00B47800" w:rsidRDefault="00E73735" w:rsidP="00937C89">
            <w:pPr>
              <w:spacing w:line="360" w:lineRule="auto"/>
              <w:jc w:val="both"/>
              <w:rPr>
                <w:rFonts w:ascii="Arial" w:hAnsi="Arial" w:cs="Arial"/>
              </w:rPr>
            </w:pPr>
            <w:r>
              <w:rPr>
                <w:rFonts w:ascii="Arial" w:hAnsi="Arial" w:cs="Arial"/>
                <w:b/>
                <w:sz w:val="24"/>
                <w:szCs w:val="24"/>
              </w:rPr>
              <w:t>O</w:t>
            </w:r>
            <w:r w:rsidR="00B40844" w:rsidRPr="00CA7995">
              <w:rPr>
                <w:rFonts w:ascii="Arial" w:hAnsi="Arial" w:cs="Arial"/>
                <w:b/>
                <w:sz w:val="24"/>
                <w:szCs w:val="24"/>
              </w:rPr>
              <w:t>rder:</w:t>
            </w:r>
          </w:p>
        </w:tc>
      </w:tr>
      <w:tr w:rsidR="00E73735" w:rsidRPr="00CA7995" w:rsidTr="00136505">
        <w:trPr>
          <w:trHeight w:val="2655"/>
        </w:trPr>
        <w:tc>
          <w:tcPr>
            <w:tcW w:w="10206" w:type="dxa"/>
            <w:gridSpan w:val="3"/>
          </w:tcPr>
          <w:p w:rsidR="00CA26FC" w:rsidRDefault="00CA26FC" w:rsidP="00CA26FC">
            <w:pPr>
              <w:spacing w:line="360" w:lineRule="auto"/>
              <w:ind w:left="743" w:hanging="710"/>
              <w:jc w:val="both"/>
              <w:rPr>
                <w:rFonts w:ascii="Arial" w:hAnsi="Arial" w:cs="Arial"/>
                <w:sz w:val="24"/>
                <w:szCs w:val="24"/>
              </w:rPr>
            </w:pPr>
          </w:p>
          <w:p w:rsidR="00CA26FC" w:rsidRDefault="00CA26FC" w:rsidP="00CA26FC">
            <w:pPr>
              <w:spacing w:line="360" w:lineRule="auto"/>
              <w:ind w:left="743" w:hanging="710"/>
              <w:jc w:val="both"/>
              <w:rPr>
                <w:rFonts w:ascii="Arial" w:hAnsi="Arial" w:cs="Arial"/>
                <w:sz w:val="24"/>
                <w:szCs w:val="24"/>
              </w:rPr>
            </w:pPr>
            <w:r>
              <w:rPr>
                <w:rFonts w:ascii="Arial" w:hAnsi="Arial" w:cs="Arial"/>
                <w:sz w:val="24"/>
                <w:szCs w:val="24"/>
              </w:rPr>
              <w:t>1.</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condonation application is dismissed.</w:t>
            </w:r>
          </w:p>
          <w:p w:rsidR="00CA26FC" w:rsidRDefault="00CA26FC" w:rsidP="00CA26FC">
            <w:pPr>
              <w:spacing w:line="360" w:lineRule="auto"/>
              <w:ind w:left="743" w:hanging="710"/>
              <w:jc w:val="both"/>
              <w:rPr>
                <w:rFonts w:ascii="Arial" w:hAnsi="Arial" w:cs="Arial"/>
                <w:sz w:val="24"/>
                <w:szCs w:val="24"/>
              </w:rPr>
            </w:pPr>
          </w:p>
          <w:p w:rsidR="00CA26FC" w:rsidRDefault="00CA26FC" w:rsidP="00CA26FC">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Pr>
                <w:rFonts w:ascii="Arial" w:hAnsi="Arial" w:cs="Arial"/>
                <w:sz w:val="24"/>
                <w:szCs w:val="24"/>
              </w:rPr>
              <w:t>The application to rescind the judgment and order of the court, dated 16 November 2022, is struck from the roll.</w:t>
            </w:r>
          </w:p>
          <w:p w:rsidR="00CA26FC" w:rsidRDefault="00CA26FC" w:rsidP="00CA26FC">
            <w:pPr>
              <w:spacing w:line="360" w:lineRule="auto"/>
              <w:ind w:left="743" w:hanging="710"/>
              <w:jc w:val="both"/>
              <w:rPr>
                <w:rFonts w:ascii="Arial" w:hAnsi="Arial" w:cs="Arial"/>
                <w:sz w:val="24"/>
                <w:szCs w:val="24"/>
              </w:rPr>
            </w:pPr>
          </w:p>
          <w:p w:rsidR="00CA26FC" w:rsidRDefault="00CA26FC" w:rsidP="00CA26FC">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w:t>
            </w:r>
            <w:r w:rsidR="000F4381">
              <w:rPr>
                <w:rFonts w:ascii="Arial" w:hAnsi="Arial" w:cs="Arial"/>
                <w:sz w:val="24"/>
                <w:szCs w:val="24"/>
              </w:rPr>
              <w:t>re</w:t>
            </w:r>
            <w:r>
              <w:rPr>
                <w:rFonts w:ascii="Arial" w:hAnsi="Arial" w:cs="Arial"/>
                <w:sz w:val="24"/>
                <w:szCs w:val="24"/>
              </w:rPr>
              <w:t xml:space="preserve"> is no order as to costs.</w:t>
            </w:r>
          </w:p>
          <w:p w:rsidR="00CA26FC" w:rsidRDefault="00CA26FC" w:rsidP="00CA26FC">
            <w:pPr>
              <w:spacing w:line="360" w:lineRule="auto"/>
              <w:ind w:left="743" w:hanging="710"/>
              <w:jc w:val="both"/>
              <w:rPr>
                <w:rFonts w:ascii="Arial" w:hAnsi="Arial" w:cs="Arial"/>
                <w:sz w:val="24"/>
                <w:szCs w:val="24"/>
              </w:rPr>
            </w:pPr>
          </w:p>
          <w:p w:rsidR="00CA26FC" w:rsidRDefault="00CA26FC" w:rsidP="00CA26FC">
            <w:pPr>
              <w:spacing w:line="360" w:lineRule="auto"/>
              <w:ind w:left="743" w:hanging="71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finalised and removed from the roll.</w:t>
            </w:r>
          </w:p>
          <w:p w:rsidR="00B03467" w:rsidRPr="00B03467" w:rsidRDefault="00B03467" w:rsidP="00B03467">
            <w:pPr>
              <w:spacing w:line="360" w:lineRule="auto"/>
              <w:ind w:left="743" w:hanging="710"/>
              <w:jc w:val="both"/>
              <w:rPr>
                <w:rFonts w:ascii="Arial" w:hAnsi="Arial" w:cs="Arial"/>
                <w:sz w:val="24"/>
                <w:szCs w:val="24"/>
              </w:rPr>
            </w:pPr>
          </w:p>
        </w:tc>
      </w:tr>
      <w:tr w:rsidR="00CA7995" w:rsidRPr="00CA7995" w:rsidTr="00136505">
        <w:trPr>
          <w:trHeight w:val="548"/>
        </w:trPr>
        <w:tc>
          <w:tcPr>
            <w:tcW w:w="10206" w:type="dxa"/>
            <w:gridSpan w:val="3"/>
          </w:tcPr>
          <w:p w:rsidR="00B40844"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281B69" w:rsidRDefault="00281B69" w:rsidP="00281B69">
            <w:pPr>
              <w:jc w:val="both"/>
              <w:rPr>
                <w:rFonts w:ascii="Arial" w:hAnsi="Arial" w:cs="Arial"/>
                <w:sz w:val="24"/>
                <w:szCs w:val="24"/>
                <w:u w:val="single"/>
              </w:rPr>
            </w:pPr>
          </w:p>
          <w:p w:rsidR="00B03467" w:rsidRDefault="00E5326C" w:rsidP="00281B69">
            <w:pPr>
              <w:jc w:val="both"/>
              <w:rPr>
                <w:rFonts w:ascii="Arial" w:hAnsi="Arial" w:cs="Arial"/>
                <w:sz w:val="24"/>
                <w:szCs w:val="24"/>
                <w:u w:val="single"/>
              </w:rPr>
            </w:pPr>
            <w:r w:rsidRPr="00E5326C">
              <w:rPr>
                <w:rFonts w:ascii="Arial" w:hAnsi="Arial" w:cs="Arial"/>
                <w:sz w:val="24"/>
                <w:szCs w:val="24"/>
                <w:u w:val="single"/>
              </w:rPr>
              <w:t>Introduction</w:t>
            </w:r>
          </w:p>
          <w:p w:rsidR="00281B69" w:rsidRPr="00E5326C" w:rsidRDefault="00281B69" w:rsidP="00ED76B2">
            <w:pPr>
              <w:spacing w:line="360" w:lineRule="auto"/>
              <w:jc w:val="both"/>
              <w:rPr>
                <w:rFonts w:ascii="Arial" w:hAnsi="Arial" w:cs="Arial"/>
                <w:sz w:val="24"/>
                <w:szCs w:val="24"/>
                <w:u w:val="single"/>
              </w:rPr>
            </w:pPr>
          </w:p>
          <w:p w:rsidR="00B40844" w:rsidRDefault="00B40844" w:rsidP="00E5326C">
            <w:pPr>
              <w:spacing w:line="360" w:lineRule="auto"/>
              <w:ind w:left="33"/>
              <w:jc w:val="both"/>
              <w:rPr>
                <w:rFonts w:ascii="Arial" w:hAnsi="Arial" w:cs="Arial"/>
                <w:sz w:val="24"/>
                <w:szCs w:val="24"/>
              </w:rPr>
            </w:pPr>
            <w:r w:rsidRPr="00CA7995">
              <w:rPr>
                <w:rFonts w:ascii="Arial" w:hAnsi="Arial" w:cs="Arial"/>
                <w:sz w:val="24"/>
                <w:szCs w:val="24"/>
              </w:rPr>
              <w:t>[1]</w:t>
            </w:r>
            <w:r w:rsidRPr="00CA7995">
              <w:rPr>
                <w:rFonts w:ascii="Arial" w:hAnsi="Arial" w:cs="Arial"/>
                <w:sz w:val="24"/>
                <w:szCs w:val="24"/>
              </w:rPr>
              <w:tab/>
            </w:r>
            <w:r w:rsidR="00E0395A">
              <w:rPr>
                <w:rFonts w:ascii="Arial" w:hAnsi="Arial" w:cs="Arial"/>
                <w:sz w:val="24"/>
                <w:szCs w:val="24"/>
              </w:rPr>
              <w:t>The respondents instituted an application by notice of motion to rescind a judgment and an order of the court, dated 16 November 2022.  In the notice of motion</w:t>
            </w:r>
            <w:r w:rsidR="007F2D76">
              <w:rPr>
                <w:rFonts w:ascii="Arial" w:hAnsi="Arial" w:cs="Arial"/>
                <w:sz w:val="24"/>
                <w:szCs w:val="24"/>
              </w:rPr>
              <w:t xml:space="preserve"> </w:t>
            </w:r>
            <w:r w:rsidR="00E0395A">
              <w:rPr>
                <w:rFonts w:ascii="Arial" w:hAnsi="Arial" w:cs="Arial"/>
                <w:sz w:val="24"/>
                <w:szCs w:val="24"/>
              </w:rPr>
              <w:t xml:space="preserve">they also apply to the court to condone the late filing of the rescission application. Mr </w:t>
            </w:r>
            <w:proofErr w:type="spellStart"/>
            <w:r w:rsidR="00E0395A">
              <w:rPr>
                <w:rFonts w:ascii="Arial" w:hAnsi="Arial" w:cs="Arial"/>
                <w:sz w:val="24"/>
                <w:szCs w:val="24"/>
              </w:rPr>
              <w:t>Ncube</w:t>
            </w:r>
            <w:proofErr w:type="spellEnd"/>
            <w:r w:rsidR="00E0395A">
              <w:rPr>
                <w:rFonts w:ascii="Arial" w:hAnsi="Arial" w:cs="Arial"/>
                <w:sz w:val="24"/>
                <w:szCs w:val="24"/>
              </w:rPr>
              <w:t xml:space="preserve"> represents the respondents, and Mr </w:t>
            </w:r>
            <w:proofErr w:type="spellStart"/>
            <w:r w:rsidR="00E0395A" w:rsidRPr="00DB6370">
              <w:rPr>
                <w:rFonts w:ascii="Arial" w:hAnsi="Arial" w:cs="Arial"/>
                <w:sz w:val="24"/>
                <w:szCs w:val="24"/>
              </w:rPr>
              <w:t>Mayumbelo</w:t>
            </w:r>
            <w:proofErr w:type="spellEnd"/>
            <w:r w:rsidR="00E0395A">
              <w:rPr>
                <w:rFonts w:ascii="Arial" w:hAnsi="Arial" w:cs="Arial"/>
                <w:sz w:val="24"/>
                <w:szCs w:val="24"/>
              </w:rPr>
              <w:t xml:space="preserve"> represents the applicant.</w:t>
            </w:r>
            <w:r w:rsidR="00E5326C">
              <w:rPr>
                <w:rFonts w:ascii="Arial" w:hAnsi="Arial" w:cs="Arial"/>
                <w:sz w:val="24"/>
                <w:szCs w:val="24"/>
              </w:rPr>
              <w:t xml:space="preserve"> </w:t>
            </w:r>
            <w:r w:rsidR="00E5326C" w:rsidRPr="00E5326C">
              <w:rPr>
                <w:rFonts w:ascii="Arial" w:hAnsi="Arial" w:cs="Arial"/>
                <w:sz w:val="24"/>
                <w:szCs w:val="24"/>
              </w:rPr>
              <w:t>I am grateful to both counsel for their heads of argument</w:t>
            </w:r>
            <w:r w:rsidR="00AB4C40">
              <w:rPr>
                <w:rFonts w:ascii="Arial" w:hAnsi="Arial" w:cs="Arial"/>
                <w:sz w:val="24"/>
                <w:szCs w:val="24"/>
              </w:rPr>
              <w:t xml:space="preserve"> and the authorities they rely on.</w:t>
            </w:r>
            <w:r w:rsidR="00E5326C" w:rsidRPr="00E5326C">
              <w:rPr>
                <w:rFonts w:ascii="Arial" w:hAnsi="Arial" w:cs="Arial"/>
                <w:sz w:val="24"/>
                <w:szCs w:val="24"/>
              </w:rPr>
              <w:t xml:space="preserve">  I have distilled from the authorities the propositions of law that are of assistance on the points under consideration</w:t>
            </w:r>
            <w:r w:rsidR="00E5326C">
              <w:rPr>
                <w:rFonts w:ascii="Arial" w:hAnsi="Arial" w:cs="Arial"/>
                <w:sz w:val="24"/>
                <w:szCs w:val="24"/>
              </w:rPr>
              <w:t>.</w:t>
            </w:r>
          </w:p>
          <w:p w:rsidR="000D2C5E" w:rsidRDefault="000D2C5E" w:rsidP="00E5326C">
            <w:pPr>
              <w:spacing w:line="360" w:lineRule="auto"/>
              <w:ind w:left="33"/>
              <w:jc w:val="both"/>
              <w:rPr>
                <w:rFonts w:ascii="Arial" w:hAnsi="Arial" w:cs="Arial"/>
                <w:sz w:val="24"/>
                <w:szCs w:val="24"/>
              </w:rPr>
            </w:pPr>
          </w:p>
          <w:p w:rsidR="000D2C5E" w:rsidRPr="00DD2B56" w:rsidRDefault="000D2C5E" w:rsidP="000D2C5E">
            <w:pPr>
              <w:spacing w:line="360" w:lineRule="auto"/>
              <w:ind w:left="33"/>
              <w:jc w:val="both"/>
              <w:rPr>
                <w:rFonts w:ascii="Arial" w:hAnsi="Arial" w:cs="Arial"/>
                <w:sz w:val="24"/>
                <w:szCs w:val="24"/>
              </w:rPr>
            </w:pPr>
            <w:r w:rsidRPr="00DD2B56">
              <w:rPr>
                <w:rFonts w:ascii="Arial" w:hAnsi="Arial" w:cs="Arial"/>
                <w:sz w:val="24"/>
                <w:szCs w:val="24"/>
              </w:rPr>
              <w:t>[2]</w:t>
            </w:r>
            <w:r w:rsidRPr="00DD2B56">
              <w:rPr>
                <w:rFonts w:ascii="Arial" w:hAnsi="Arial" w:cs="Arial"/>
                <w:sz w:val="24"/>
                <w:szCs w:val="24"/>
              </w:rPr>
              <w:tab/>
              <w:t xml:space="preserve">The applicant raised a point in </w:t>
            </w:r>
            <w:proofErr w:type="spellStart"/>
            <w:r w:rsidRPr="00DD2B56">
              <w:rPr>
                <w:rFonts w:ascii="Arial" w:hAnsi="Arial" w:cs="Arial"/>
                <w:sz w:val="24"/>
                <w:szCs w:val="24"/>
              </w:rPr>
              <w:t>limine</w:t>
            </w:r>
            <w:proofErr w:type="spellEnd"/>
            <w:r w:rsidRPr="00DD2B56">
              <w:rPr>
                <w:rFonts w:ascii="Arial" w:hAnsi="Arial" w:cs="Arial"/>
                <w:sz w:val="24"/>
                <w:szCs w:val="24"/>
              </w:rPr>
              <w:t xml:space="preserve">.  I shall deal with it now to get it out of the way at the threshold.  I roundly reject the applicant’s point </w:t>
            </w:r>
            <w:r w:rsidRPr="00DD2B56">
              <w:rPr>
                <w:rFonts w:ascii="Arial" w:hAnsi="Arial" w:cs="Arial"/>
                <w:i/>
                <w:sz w:val="24"/>
                <w:szCs w:val="24"/>
              </w:rPr>
              <w:t xml:space="preserve">in </w:t>
            </w:r>
            <w:proofErr w:type="spellStart"/>
            <w:r w:rsidRPr="00DD2B56">
              <w:rPr>
                <w:rFonts w:ascii="Arial" w:hAnsi="Arial" w:cs="Arial"/>
                <w:i/>
                <w:sz w:val="24"/>
                <w:szCs w:val="24"/>
              </w:rPr>
              <w:t>limine</w:t>
            </w:r>
            <w:proofErr w:type="spellEnd"/>
            <w:r w:rsidRPr="00DD2B56">
              <w:rPr>
                <w:rFonts w:ascii="Arial" w:hAnsi="Arial" w:cs="Arial"/>
                <w:sz w:val="24"/>
                <w:szCs w:val="24"/>
              </w:rPr>
              <w:t xml:space="preserve"> on the issue of authority to institute the instant rescission application.  In our public administration system, who better than the Executive Director (</w:t>
            </w:r>
            <w:proofErr w:type="spellStart"/>
            <w:r w:rsidRPr="00DD2B56">
              <w:rPr>
                <w:rFonts w:ascii="Arial" w:hAnsi="Arial" w:cs="Arial"/>
                <w:sz w:val="24"/>
                <w:szCs w:val="24"/>
              </w:rPr>
              <w:t>ie</w:t>
            </w:r>
            <w:proofErr w:type="spellEnd"/>
            <w:r w:rsidRPr="00DD2B56">
              <w:rPr>
                <w:rFonts w:ascii="Arial" w:hAnsi="Arial" w:cs="Arial"/>
                <w:sz w:val="24"/>
                <w:szCs w:val="24"/>
              </w:rPr>
              <w:t xml:space="preserve"> the chief administrative officer) of a Ministry to institute and defend proceedings involving the Ministry.  It follows inexorably that the filing of the Special Power of Attorney, done </w:t>
            </w:r>
            <w:r w:rsidRPr="00DD2B56">
              <w:rPr>
                <w:rFonts w:ascii="Arial" w:hAnsi="Arial" w:cs="Arial"/>
                <w:i/>
                <w:sz w:val="24"/>
                <w:szCs w:val="24"/>
              </w:rPr>
              <w:t xml:space="preserve">ex </w:t>
            </w:r>
            <w:proofErr w:type="spellStart"/>
            <w:r w:rsidRPr="00DD2B56">
              <w:rPr>
                <w:rFonts w:ascii="Arial" w:hAnsi="Arial" w:cs="Arial"/>
                <w:i/>
                <w:sz w:val="24"/>
                <w:szCs w:val="24"/>
              </w:rPr>
              <w:t>cautela</w:t>
            </w:r>
            <w:proofErr w:type="spellEnd"/>
            <w:r w:rsidRPr="00DD2B56">
              <w:rPr>
                <w:rFonts w:ascii="Arial" w:hAnsi="Arial" w:cs="Arial"/>
                <w:i/>
                <w:sz w:val="24"/>
                <w:szCs w:val="24"/>
              </w:rPr>
              <w:t xml:space="preserve"> </w:t>
            </w:r>
            <w:proofErr w:type="spellStart"/>
            <w:r w:rsidRPr="00DD2B56">
              <w:rPr>
                <w:rFonts w:ascii="Arial" w:hAnsi="Arial" w:cs="Arial"/>
                <w:i/>
                <w:sz w:val="24"/>
                <w:szCs w:val="24"/>
              </w:rPr>
              <w:t>abuntandi</w:t>
            </w:r>
            <w:proofErr w:type="spellEnd"/>
            <w:r w:rsidR="00281B69">
              <w:rPr>
                <w:rFonts w:ascii="Arial" w:hAnsi="Arial" w:cs="Arial"/>
                <w:sz w:val="24"/>
                <w:szCs w:val="24"/>
              </w:rPr>
              <w:t xml:space="preserve">, is absolutely unnecessary. </w:t>
            </w:r>
            <w:r w:rsidRPr="00DD2B56">
              <w:rPr>
                <w:rFonts w:ascii="Arial" w:hAnsi="Arial" w:cs="Arial"/>
                <w:sz w:val="24"/>
                <w:szCs w:val="24"/>
              </w:rPr>
              <w:t xml:space="preserve">The point </w:t>
            </w:r>
            <w:r w:rsidRPr="00DD2B56">
              <w:rPr>
                <w:rFonts w:ascii="Arial" w:hAnsi="Arial" w:cs="Arial"/>
                <w:i/>
                <w:sz w:val="24"/>
                <w:szCs w:val="24"/>
              </w:rPr>
              <w:t xml:space="preserve">in </w:t>
            </w:r>
            <w:proofErr w:type="spellStart"/>
            <w:r w:rsidRPr="00DD2B56">
              <w:rPr>
                <w:rFonts w:ascii="Arial" w:hAnsi="Arial" w:cs="Arial"/>
                <w:i/>
                <w:sz w:val="24"/>
                <w:szCs w:val="24"/>
              </w:rPr>
              <w:t>limine</w:t>
            </w:r>
            <w:proofErr w:type="spellEnd"/>
            <w:r w:rsidRPr="00DD2B56">
              <w:rPr>
                <w:rFonts w:ascii="Arial" w:hAnsi="Arial" w:cs="Arial"/>
                <w:sz w:val="24"/>
                <w:szCs w:val="24"/>
              </w:rPr>
              <w:t xml:space="preserve"> is singularly lacking of substance and merit, and is accordingly dismissed.</w:t>
            </w:r>
          </w:p>
          <w:p w:rsidR="000D2C5E" w:rsidRPr="00DD2B56" w:rsidRDefault="000D2C5E" w:rsidP="000D2C5E">
            <w:pPr>
              <w:spacing w:line="360" w:lineRule="auto"/>
              <w:ind w:left="33"/>
              <w:jc w:val="both"/>
              <w:rPr>
                <w:rFonts w:ascii="Arial" w:hAnsi="Arial" w:cs="Arial"/>
                <w:sz w:val="24"/>
                <w:szCs w:val="24"/>
              </w:rPr>
            </w:pPr>
          </w:p>
          <w:p w:rsidR="00F30552" w:rsidRDefault="00AB4C40" w:rsidP="00F30552">
            <w:pPr>
              <w:spacing w:line="360" w:lineRule="auto"/>
              <w:ind w:left="33"/>
              <w:jc w:val="both"/>
              <w:rPr>
                <w:rFonts w:ascii="Arial" w:hAnsi="Arial" w:cs="Arial"/>
                <w:sz w:val="24"/>
                <w:szCs w:val="24"/>
              </w:rPr>
            </w:pPr>
            <w:r w:rsidRPr="00AB4C40">
              <w:rPr>
                <w:rFonts w:ascii="Arial" w:hAnsi="Arial" w:cs="Arial"/>
                <w:sz w:val="24"/>
                <w:szCs w:val="24"/>
              </w:rPr>
              <w:t>[</w:t>
            </w:r>
            <w:r w:rsidR="00DD2B56">
              <w:rPr>
                <w:rFonts w:ascii="Arial" w:hAnsi="Arial" w:cs="Arial"/>
                <w:sz w:val="24"/>
                <w:szCs w:val="24"/>
              </w:rPr>
              <w:t>3</w:t>
            </w:r>
            <w:r w:rsidRPr="00AB4C40">
              <w:rPr>
                <w:rFonts w:ascii="Arial" w:hAnsi="Arial" w:cs="Arial"/>
                <w:sz w:val="24"/>
                <w:szCs w:val="24"/>
              </w:rPr>
              <w:t xml:space="preserve">] </w:t>
            </w:r>
            <w:r w:rsidRPr="00AB4C40">
              <w:rPr>
                <w:rFonts w:ascii="Arial" w:hAnsi="Arial" w:cs="Arial"/>
                <w:sz w:val="24"/>
                <w:szCs w:val="24"/>
              </w:rPr>
              <w:tab/>
              <w:t>The law the Labour Court applies is contained in the first place in the Labour Act.  Its procedure is also contained in the Labour Act</w:t>
            </w:r>
            <w:r>
              <w:rPr>
                <w:rFonts w:ascii="Arial" w:hAnsi="Arial" w:cs="Arial"/>
                <w:sz w:val="24"/>
                <w:szCs w:val="24"/>
              </w:rPr>
              <w:t>,</w:t>
            </w:r>
            <w:r w:rsidRPr="00AB4C40">
              <w:rPr>
                <w:rFonts w:ascii="Arial" w:hAnsi="Arial" w:cs="Arial"/>
                <w:sz w:val="24"/>
                <w:szCs w:val="24"/>
              </w:rPr>
              <w:t xml:space="preserve"> supplemented by its own rules</w:t>
            </w:r>
            <w:r w:rsidR="00DD2B56">
              <w:rPr>
                <w:rFonts w:ascii="Arial" w:hAnsi="Arial" w:cs="Arial"/>
                <w:sz w:val="24"/>
                <w:szCs w:val="24"/>
              </w:rPr>
              <w:t xml:space="preserve">, </w:t>
            </w:r>
            <w:proofErr w:type="spellStart"/>
            <w:r w:rsidR="00DD2B56">
              <w:rPr>
                <w:rFonts w:ascii="Arial" w:hAnsi="Arial" w:cs="Arial"/>
                <w:sz w:val="24"/>
                <w:szCs w:val="24"/>
              </w:rPr>
              <w:t>ie</w:t>
            </w:r>
            <w:proofErr w:type="spellEnd"/>
            <w:r w:rsidRPr="00AB4C40">
              <w:rPr>
                <w:rFonts w:ascii="Arial" w:hAnsi="Arial" w:cs="Arial"/>
                <w:sz w:val="24"/>
                <w:szCs w:val="24"/>
              </w:rPr>
              <w:t xml:space="preserve"> the Labour Court Rules</w:t>
            </w:r>
            <w:r w:rsidR="00DD2B56">
              <w:rPr>
                <w:rFonts w:ascii="Arial" w:hAnsi="Arial" w:cs="Arial"/>
                <w:sz w:val="24"/>
                <w:szCs w:val="24"/>
              </w:rPr>
              <w:t xml:space="preserve"> (‘the rules’)</w:t>
            </w:r>
            <w:r w:rsidRPr="00AB4C40">
              <w:rPr>
                <w:rFonts w:ascii="Arial" w:hAnsi="Arial" w:cs="Arial"/>
                <w:sz w:val="24"/>
                <w:szCs w:val="24"/>
              </w:rPr>
              <w:t xml:space="preserve">, subject to rule 22 </w:t>
            </w:r>
            <w:r w:rsidR="00AC7049">
              <w:rPr>
                <w:rFonts w:ascii="Arial" w:hAnsi="Arial" w:cs="Arial"/>
                <w:sz w:val="24"/>
                <w:szCs w:val="24"/>
              </w:rPr>
              <w:t>thereof.</w:t>
            </w:r>
          </w:p>
          <w:p w:rsidR="00F30552" w:rsidRDefault="00F30552" w:rsidP="00F30552">
            <w:pPr>
              <w:spacing w:line="360" w:lineRule="auto"/>
              <w:ind w:left="33"/>
              <w:jc w:val="both"/>
              <w:rPr>
                <w:rFonts w:ascii="Arial" w:hAnsi="Arial" w:cs="Arial"/>
                <w:sz w:val="24"/>
                <w:szCs w:val="24"/>
              </w:rPr>
            </w:pPr>
          </w:p>
          <w:p w:rsidR="00FC2237" w:rsidRDefault="00F30552" w:rsidP="00F30552">
            <w:pPr>
              <w:spacing w:line="360" w:lineRule="auto"/>
              <w:ind w:left="33"/>
              <w:jc w:val="both"/>
              <w:rPr>
                <w:rFonts w:ascii="Arial" w:hAnsi="Arial" w:cs="Arial"/>
                <w:sz w:val="24"/>
                <w:szCs w:val="24"/>
              </w:rPr>
            </w:pPr>
            <w:r>
              <w:rPr>
                <w:rFonts w:ascii="Arial" w:hAnsi="Arial" w:cs="Arial"/>
                <w:sz w:val="24"/>
                <w:szCs w:val="24"/>
              </w:rPr>
              <w:t>[</w:t>
            </w:r>
            <w:r w:rsidR="00AD2D5E">
              <w:rPr>
                <w:rFonts w:ascii="Arial" w:hAnsi="Arial" w:cs="Arial"/>
                <w:sz w:val="24"/>
                <w:szCs w:val="24"/>
              </w:rPr>
              <w:t>4</w:t>
            </w:r>
            <w:r w:rsidR="00D41BB8" w:rsidRPr="00AB4C40">
              <w:rPr>
                <w:rFonts w:ascii="Arial" w:hAnsi="Arial" w:cs="Arial"/>
                <w:sz w:val="24"/>
                <w:szCs w:val="24"/>
              </w:rPr>
              <w:t xml:space="preserve">] </w:t>
            </w:r>
            <w:r w:rsidR="00D41BB8" w:rsidRPr="00AB4C40">
              <w:rPr>
                <w:rFonts w:ascii="Arial" w:hAnsi="Arial" w:cs="Arial"/>
                <w:sz w:val="24"/>
                <w:szCs w:val="24"/>
              </w:rPr>
              <w:tab/>
            </w:r>
            <w:r>
              <w:rPr>
                <w:rFonts w:ascii="Arial" w:hAnsi="Arial" w:cs="Arial"/>
                <w:sz w:val="24"/>
                <w:szCs w:val="24"/>
              </w:rPr>
              <w:t>I</w:t>
            </w:r>
            <w:r w:rsidR="00E0395A">
              <w:rPr>
                <w:rFonts w:ascii="Arial" w:hAnsi="Arial" w:cs="Arial"/>
                <w:sz w:val="24"/>
                <w:szCs w:val="24"/>
              </w:rPr>
              <w:t xml:space="preserve">n virtue of rule 22 of the </w:t>
            </w:r>
            <w:r w:rsidR="00AD2D5E">
              <w:rPr>
                <w:rFonts w:ascii="Arial" w:hAnsi="Arial" w:cs="Arial"/>
                <w:sz w:val="24"/>
                <w:szCs w:val="24"/>
              </w:rPr>
              <w:t>rules</w:t>
            </w:r>
            <w:r w:rsidR="00E0395A">
              <w:rPr>
                <w:rFonts w:ascii="Arial" w:hAnsi="Arial" w:cs="Arial"/>
                <w:sz w:val="24"/>
                <w:szCs w:val="24"/>
              </w:rPr>
              <w:t>, an application to rescind a judgment or order of the Labour Court can be brought in terms of</w:t>
            </w:r>
            <w:r w:rsidR="000D2C5E">
              <w:rPr>
                <w:rFonts w:ascii="Arial" w:hAnsi="Arial" w:cs="Arial"/>
                <w:sz w:val="24"/>
                <w:szCs w:val="24"/>
              </w:rPr>
              <w:t xml:space="preserve"> </w:t>
            </w:r>
            <w:r w:rsidR="000D2C5E" w:rsidRPr="000D2C5E">
              <w:rPr>
                <w:rFonts w:ascii="Arial" w:hAnsi="Arial" w:cs="Arial"/>
                <w:i/>
                <w:sz w:val="24"/>
                <w:szCs w:val="24"/>
              </w:rPr>
              <w:t>only</w:t>
            </w:r>
            <w:r w:rsidR="00E0395A">
              <w:rPr>
                <w:rFonts w:ascii="Arial" w:hAnsi="Arial" w:cs="Arial"/>
                <w:sz w:val="24"/>
                <w:szCs w:val="24"/>
              </w:rPr>
              <w:t xml:space="preserve"> rule 16 of the rules. (Italicised for emphasis)  I have made this important point to reject any reliance by the applicant on rule 103 of the Rules of the High Court or the common law as appears in the </w:t>
            </w:r>
            <w:proofErr w:type="spellStart"/>
            <w:r w:rsidR="00E0395A">
              <w:rPr>
                <w:rFonts w:ascii="Arial" w:hAnsi="Arial" w:cs="Arial"/>
                <w:sz w:val="24"/>
                <w:szCs w:val="24"/>
              </w:rPr>
              <w:t>chapeu</w:t>
            </w:r>
            <w:proofErr w:type="spellEnd"/>
            <w:r w:rsidR="00E0395A">
              <w:rPr>
                <w:rFonts w:ascii="Arial" w:hAnsi="Arial" w:cs="Arial"/>
                <w:sz w:val="24"/>
                <w:szCs w:val="24"/>
              </w:rPr>
              <w:t xml:space="preserve"> of the ‘Notice of Motion’.  I shall return to this legal reality as to the appropriate procedure in due course.</w:t>
            </w:r>
          </w:p>
          <w:p w:rsidR="00224808" w:rsidRDefault="00224808"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hAnsi="Arial" w:cs="Arial"/>
                <w:sz w:val="24"/>
                <w:szCs w:val="24"/>
              </w:rPr>
              <w:t>[</w:t>
            </w:r>
            <w:r w:rsidR="00AD2D5E">
              <w:rPr>
                <w:rFonts w:ascii="Arial" w:hAnsi="Arial" w:cs="Arial"/>
                <w:sz w:val="24"/>
                <w:szCs w:val="24"/>
              </w:rPr>
              <w:t>5</w:t>
            </w:r>
            <w:r>
              <w:rPr>
                <w:rFonts w:ascii="Arial" w:hAnsi="Arial" w:cs="Arial"/>
                <w:sz w:val="24"/>
                <w:szCs w:val="24"/>
              </w:rPr>
              <w:t>]</w:t>
            </w:r>
            <w:r w:rsidRPr="00323E22">
              <w:rPr>
                <w:rFonts w:ascii="Arial" w:hAnsi="Arial" w:cs="Arial"/>
                <w:sz w:val="24"/>
                <w:szCs w:val="24"/>
              </w:rPr>
              <w:tab/>
            </w:r>
            <w:r w:rsidR="00AD2D5E">
              <w:rPr>
                <w:rFonts w:ascii="Arial" w:hAnsi="Arial" w:cs="Arial"/>
                <w:sz w:val="24"/>
                <w:szCs w:val="24"/>
              </w:rPr>
              <w:t>The r</w:t>
            </w:r>
            <w:r w:rsidR="00054F2C">
              <w:rPr>
                <w:rFonts w:ascii="Arial" w:hAnsi="Arial" w:cs="Arial"/>
                <w:sz w:val="24"/>
                <w:szCs w:val="24"/>
              </w:rPr>
              <w:t>esci</w:t>
            </w:r>
            <w:r w:rsidR="004D7DD6">
              <w:rPr>
                <w:rFonts w:ascii="Arial" w:hAnsi="Arial" w:cs="Arial"/>
                <w:sz w:val="24"/>
                <w:szCs w:val="24"/>
              </w:rPr>
              <w:t>s</w:t>
            </w:r>
            <w:r w:rsidR="00054F2C">
              <w:rPr>
                <w:rFonts w:ascii="Arial" w:hAnsi="Arial" w:cs="Arial"/>
                <w:sz w:val="24"/>
                <w:szCs w:val="24"/>
              </w:rPr>
              <w:t xml:space="preserve">sion of a judgment or an order of the Labour Court is governed by rule 16 of the </w:t>
            </w:r>
            <w:r w:rsidR="00AD2D5E">
              <w:rPr>
                <w:rFonts w:ascii="Arial" w:hAnsi="Arial" w:cs="Arial"/>
                <w:sz w:val="24"/>
                <w:szCs w:val="24"/>
              </w:rPr>
              <w:t>rules</w:t>
            </w:r>
            <w:r w:rsidR="00054F2C">
              <w:rPr>
                <w:rFonts w:ascii="Arial" w:hAnsi="Arial" w:cs="Arial"/>
                <w:sz w:val="24"/>
                <w:szCs w:val="24"/>
              </w:rPr>
              <w:t xml:space="preserve"> only, as aforesaid</w:t>
            </w:r>
            <w:r w:rsidR="00AD2D5E">
              <w:rPr>
                <w:rFonts w:ascii="Arial" w:hAnsi="Arial" w:cs="Arial"/>
                <w:sz w:val="24"/>
                <w:szCs w:val="24"/>
              </w:rPr>
              <w:t>. I</w:t>
            </w:r>
            <w:r w:rsidR="00054F2C">
              <w:rPr>
                <w:rFonts w:ascii="Arial" w:hAnsi="Arial" w:cs="Arial"/>
                <w:sz w:val="24"/>
                <w:szCs w:val="24"/>
              </w:rPr>
              <w:t xml:space="preserve">n terms of </w:t>
            </w:r>
            <w:proofErr w:type="spellStart"/>
            <w:r w:rsidR="00054F2C">
              <w:rPr>
                <w:rFonts w:ascii="Arial" w:hAnsi="Arial" w:cs="Arial"/>
                <w:sz w:val="24"/>
                <w:szCs w:val="24"/>
              </w:rPr>
              <w:t>subrule</w:t>
            </w:r>
            <w:proofErr w:type="spellEnd"/>
            <w:r w:rsidR="00054F2C">
              <w:rPr>
                <w:rFonts w:ascii="Arial" w:hAnsi="Arial" w:cs="Arial"/>
                <w:sz w:val="24"/>
                <w:szCs w:val="24"/>
              </w:rPr>
              <w:t xml:space="preserve"> (1) of rule 16, only a judgment by default may be rescinded by the court upon application by any party referred to in the </w:t>
            </w:r>
            <w:proofErr w:type="spellStart"/>
            <w:r w:rsidR="00054F2C">
              <w:rPr>
                <w:rFonts w:ascii="Arial" w:hAnsi="Arial" w:cs="Arial"/>
                <w:sz w:val="24"/>
                <w:szCs w:val="24"/>
              </w:rPr>
              <w:t>subrule</w:t>
            </w:r>
            <w:proofErr w:type="spellEnd"/>
            <w:r w:rsidR="00054F2C">
              <w:rPr>
                <w:rFonts w:ascii="Arial" w:hAnsi="Arial" w:cs="Arial"/>
                <w:sz w:val="24"/>
                <w:szCs w:val="24"/>
              </w:rPr>
              <w:t>.  And what, for the purposes of rule 16, constitutes ‘judgment</w:t>
            </w:r>
            <w:r w:rsidR="001D3000">
              <w:rPr>
                <w:rFonts w:ascii="Arial" w:hAnsi="Arial" w:cs="Arial"/>
                <w:sz w:val="24"/>
                <w:szCs w:val="24"/>
              </w:rPr>
              <w:t xml:space="preserve"> by default</w:t>
            </w:r>
            <w:r w:rsidR="00054F2C">
              <w:rPr>
                <w:rFonts w:ascii="Arial" w:hAnsi="Arial" w:cs="Arial"/>
                <w:sz w:val="24"/>
                <w:szCs w:val="24"/>
              </w:rPr>
              <w:t xml:space="preserve">’?  It is a judgment given in terms of rule 7 of </w:t>
            </w:r>
            <w:r w:rsidR="001D3000">
              <w:rPr>
                <w:rFonts w:ascii="Arial" w:hAnsi="Arial" w:cs="Arial"/>
                <w:sz w:val="24"/>
                <w:szCs w:val="24"/>
              </w:rPr>
              <w:t>t</w:t>
            </w:r>
            <w:r w:rsidR="00054F2C">
              <w:rPr>
                <w:rFonts w:ascii="Arial" w:hAnsi="Arial" w:cs="Arial"/>
                <w:sz w:val="24"/>
                <w:szCs w:val="24"/>
              </w:rPr>
              <w:t>he rule</w:t>
            </w:r>
            <w:r w:rsidR="000350E0">
              <w:rPr>
                <w:rFonts w:ascii="Arial" w:hAnsi="Arial" w:cs="Arial"/>
                <w:sz w:val="24"/>
                <w:szCs w:val="24"/>
              </w:rPr>
              <w:t>s</w:t>
            </w:r>
            <w:r w:rsidR="00054F2C">
              <w:rPr>
                <w:rFonts w:ascii="Arial" w:hAnsi="Arial" w:cs="Arial"/>
                <w:sz w:val="24"/>
                <w:szCs w:val="24"/>
              </w:rPr>
              <w:t xml:space="preserve">.  </w:t>
            </w:r>
            <w:r w:rsidR="001D3000">
              <w:rPr>
                <w:rFonts w:ascii="Arial" w:hAnsi="Arial" w:cs="Arial"/>
                <w:sz w:val="24"/>
                <w:szCs w:val="24"/>
              </w:rPr>
              <w:t xml:space="preserve"> </w:t>
            </w:r>
            <w:r w:rsidR="00054F2C">
              <w:rPr>
                <w:rFonts w:ascii="Arial" w:hAnsi="Arial" w:cs="Arial"/>
                <w:sz w:val="24"/>
                <w:szCs w:val="24"/>
              </w:rPr>
              <w:t>A judgment by default, where the applicant failed to app</w:t>
            </w:r>
            <w:r w:rsidR="001D3000">
              <w:rPr>
                <w:rFonts w:ascii="Arial" w:hAnsi="Arial" w:cs="Arial"/>
                <w:sz w:val="24"/>
                <w:szCs w:val="24"/>
              </w:rPr>
              <w:t xml:space="preserve">ear at the hearing, </w:t>
            </w:r>
            <w:r w:rsidR="001D3000">
              <w:rPr>
                <w:rFonts w:ascii="Arial" w:hAnsi="Arial" w:cs="Arial"/>
                <w:sz w:val="24"/>
                <w:szCs w:val="24"/>
              </w:rPr>
              <w:lastRenderedPageBreak/>
              <w:t>is regulated</w:t>
            </w:r>
            <w:r w:rsidR="00054F2C">
              <w:rPr>
                <w:rFonts w:ascii="Arial" w:hAnsi="Arial" w:cs="Arial"/>
                <w:sz w:val="24"/>
                <w:szCs w:val="24"/>
              </w:rPr>
              <w:t xml:space="preserve"> by </w:t>
            </w:r>
            <w:proofErr w:type="spellStart"/>
            <w:r w:rsidR="00054F2C">
              <w:rPr>
                <w:rFonts w:ascii="Arial" w:hAnsi="Arial" w:cs="Arial"/>
                <w:sz w:val="24"/>
                <w:szCs w:val="24"/>
              </w:rPr>
              <w:t>subrule</w:t>
            </w:r>
            <w:proofErr w:type="spellEnd"/>
            <w:r w:rsidR="00054F2C">
              <w:rPr>
                <w:rFonts w:ascii="Arial" w:hAnsi="Arial" w:cs="Arial"/>
                <w:sz w:val="24"/>
                <w:szCs w:val="24"/>
              </w:rPr>
              <w:t xml:space="preserve"> (2) of rule 7; and where the respondent failed to appear is regulated by </w:t>
            </w:r>
            <w:proofErr w:type="spellStart"/>
            <w:r w:rsidR="00BC2131">
              <w:rPr>
                <w:rFonts w:ascii="Arial" w:hAnsi="Arial" w:cs="Arial"/>
                <w:sz w:val="24"/>
                <w:szCs w:val="24"/>
              </w:rPr>
              <w:t>subrule</w:t>
            </w:r>
            <w:proofErr w:type="spellEnd"/>
            <w:r w:rsidR="00BC2131">
              <w:rPr>
                <w:rFonts w:ascii="Arial" w:hAnsi="Arial" w:cs="Arial"/>
                <w:sz w:val="24"/>
                <w:szCs w:val="24"/>
              </w:rPr>
              <w:t xml:space="preserve"> (3) of rule 7.</w:t>
            </w:r>
          </w:p>
          <w:p w:rsidR="00D951F5" w:rsidRDefault="00D951F5" w:rsidP="00ED76B2">
            <w:pPr>
              <w:spacing w:line="360" w:lineRule="auto"/>
              <w:ind w:left="20" w:hanging="20"/>
              <w:jc w:val="both"/>
              <w:rPr>
                <w:rFonts w:ascii="Arial" w:hAnsi="Arial" w:cs="Arial"/>
                <w:sz w:val="24"/>
                <w:szCs w:val="24"/>
              </w:rPr>
            </w:pPr>
          </w:p>
          <w:p w:rsidR="00672C76" w:rsidRDefault="00D951F5" w:rsidP="00ED76B2">
            <w:pPr>
              <w:spacing w:line="360" w:lineRule="auto"/>
              <w:ind w:left="20" w:hanging="20"/>
              <w:jc w:val="both"/>
              <w:rPr>
                <w:rFonts w:ascii="Arial" w:hAnsi="Arial" w:cs="Arial"/>
                <w:sz w:val="24"/>
                <w:szCs w:val="24"/>
              </w:rPr>
            </w:pPr>
            <w:r>
              <w:rPr>
                <w:rFonts w:ascii="Arial" w:hAnsi="Arial" w:cs="Arial"/>
                <w:sz w:val="24"/>
                <w:szCs w:val="24"/>
              </w:rPr>
              <w:t>[</w:t>
            </w:r>
            <w:r w:rsidR="004D7A13">
              <w:rPr>
                <w:rFonts w:ascii="Arial" w:hAnsi="Arial" w:cs="Arial"/>
                <w:sz w:val="24"/>
                <w:szCs w:val="24"/>
              </w:rPr>
              <w:t>6</w:t>
            </w:r>
            <w:r>
              <w:rPr>
                <w:rFonts w:ascii="Arial" w:hAnsi="Arial" w:cs="Arial"/>
                <w:sz w:val="24"/>
                <w:szCs w:val="24"/>
              </w:rPr>
              <w:t>]</w:t>
            </w:r>
            <w:r w:rsidRPr="00323E22">
              <w:rPr>
                <w:rFonts w:ascii="Arial" w:hAnsi="Arial" w:cs="Arial"/>
                <w:sz w:val="24"/>
                <w:szCs w:val="24"/>
              </w:rPr>
              <w:tab/>
            </w:r>
            <w:r w:rsidR="00BC2131">
              <w:rPr>
                <w:rFonts w:ascii="Arial" w:hAnsi="Arial" w:cs="Arial"/>
                <w:sz w:val="24"/>
                <w:szCs w:val="24"/>
              </w:rPr>
              <w:t xml:space="preserve">The time limit within which a rescission application must be made is 14 days.  I use ‘must’ advisedly.  In the instant matter, it took the respondents, who are represented by counsel, some 22 days, </w:t>
            </w:r>
            <w:r w:rsidR="004D7A13">
              <w:rPr>
                <w:rFonts w:ascii="Arial" w:hAnsi="Arial" w:cs="Arial"/>
                <w:sz w:val="24"/>
                <w:szCs w:val="24"/>
              </w:rPr>
              <w:t>after</w:t>
            </w:r>
            <w:r w:rsidR="00BC2131">
              <w:rPr>
                <w:rFonts w:ascii="Arial" w:hAnsi="Arial" w:cs="Arial"/>
                <w:sz w:val="24"/>
                <w:szCs w:val="24"/>
              </w:rPr>
              <w:t xml:space="preserve"> the filing of the judgment and the order on the e</w:t>
            </w:r>
            <w:r w:rsidR="001D3000">
              <w:rPr>
                <w:rFonts w:ascii="Arial" w:hAnsi="Arial" w:cs="Arial"/>
                <w:sz w:val="24"/>
                <w:szCs w:val="24"/>
              </w:rPr>
              <w:t>-</w:t>
            </w:r>
            <w:r w:rsidR="00BC2131">
              <w:rPr>
                <w:rFonts w:ascii="Arial" w:hAnsi="Arial" w:cs="Arial"/>
                <w:sz w:val="24"/>
                <w:szCs w:val="24"/>
              </w:rPr>
              <w:t>justice system on 16 November 2022, to institute the rescission application.</w:t>
            </w:r>
          </w:p>
          <w:p w:rsidR="008604D7" w:rsidRDefault="008604D7" w:rsidP="00ED76B2">
            <w:pPr>
              <w:spacing w:line="360" w:lineRule="auto"/>
              <w:ind w:left="20" w:hanging="20"/>
              <w:jc w:val="both"/>
              <w:rPr>
                <w:rFonts w:ascii="Arial" w:hAnsi="Arial" w:cs="Arial"/>
                <w:sz w:val="24"/>
                <w:szCs w:val="24"/>
              </w:rPr>
            </w:pPr>
          </w:p>
          <w:p w:rsidR="008604D7" w:rsidRDefault="008604D7" w:rsidP="00ED76B2">
            <w:pPr>
              <w:spacing w:line="360" w:lineRule="auto"/>
              <w:ind w:left="20" w:hanging="20"/>
              <w:jc w:val="both"/>
              <w:rPr>
                <w:rFonts w:ascii="Arial" w:hAnsi="Arial" w:cs="Arial"/>
                <w:sz w:val="24"/>
                <w:szCs w:val="24"/>
              </w:rPr>
            </w:pPr>
            <w:r>
              <w:rPr>
                <w:rFonts w:ascii="Arial" w:hAnsi="Arial" w:cs="Arial"/>
                <w:sz w:val="24"/>
                <w:szCs w:val="24"/>
              </w:rPr>
              <w:t>[</w:t>
            </w:r>
            <w:r w:rsidR="004D7A13">
              <w:rPr>
                <w:rFonts w:ascii="Arial" w:hAnsi="Arial" w:cs="Arial"/>
                <w:sz w:val="24"/>
                <w:szCs w:val="24"/>
              </w:rPr>
              <w:t>7</w:t>
            </w:r>
            <w:r>
              <w:rPr>
                <w:rFonts w:ascii="Arial" w:hAnsi="Arial" w:cs="Arial"/>
                <w:sz w:val="24"/>
                <w:szCs w:val="24"/>
              </w:rPr>
              <w:t>]</w:t>
            </w:r>
            <w:r w:rsidRPr="00323E22">
              <w:rPr>
                <w:rFonts w:ascii="Arial" w:hAnsi="Arial" w:cs="Arial"/>
                <w:sz w:val="24"/>
                <w:szCs w:val="24"/>
              </w:rPr>
              <w:tab/>
            </w:r>
            <w:r w:rsidR="004D7A13">
              <w:rPr>
                <w:rFonts w:ascii="Arial" w:hAnsi="Arial" w:cs="Arial"/>
                <w:sz w:val="24"/>
                <w:szCs w:val="24"/>
              </w:rPr>
              <w:t xml:space="preserve">For good reason, </w:t>
            </w:r>
            <w:r w:rsidR="00175B35">
              <w:rPr>
                <w:rFonts w:ascii="Arial" w:hAnsi="Arial" w:cs="Arial"/>
                <w:sz w:val="24"/>
                <w:szCs w:val="24"/>
              </w:rPr>
              <w:t xml:space="preserve">I shall deal with the condonation application </w:t>
            </w:r>
            <w:r w:rsidR="004D7A13">
              <w:rPr>
                <w:rFonts w:ascii="Arial" w:hAnsi="Arial" w:cs="Arial"/>
                <w:sz w:val="24"/>
                <w:szCs w:val="24"/>
              </w:rPr>
              <w:t>now</w:t>
            </w:r>
            <w:r w:rsidR="00175B35">
              <w:rPr>
                <w:rFonts w:ascii="Arial" w:hAnsi="Arial" w:cs="Arial"/>
                <w:sz w:val="24"/>
                <w:szCs w:val="24"/>
              </w:rPr>
              <w:t xml:space="preserve"> to determine whether there is an application to rescind properly before the court.</w:t>
            </w:r>
          </w:p>
          <w:p w:rsidR="00DD05C9" w:rsidRDefault="00DD05C9" w:rsidP="00ED76B2">
            <w:pPr>
              <w:spacing w:line="360" w:lineRule="auto"/>
              <w:ind w:left="20" w:hanging="20"/>
              <w:jc w:val="both"/>
              <w:rPr>
                <w:rFonts w:ascii="Arial" w:hAnsi="Arial" w:cs="Arial"/>
                <w:sz w:val="24"/>
                <w:szCs w:val="24"/>
              </w:rPr>
            </w:pPr>
          </w:p>
          <w:p w:rsidR="00DD05C9"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4D7A13">
              <w:rPr>
                <w:rFonts w:ascii="Arial" w:hAnsi="Arial" w:cs="Arial"/>
                <w:sz w:val="24"/>
                <w:szCs w:val="24"/>
              </w:rPr>
              <w:t>8</w:t>
            </w:r>
            <w:r>
              <w:rPr>
                <w:rFonts w:ascii="Arial" w:hAnsi="Arial" w:cs="Arial"/>
                <w:sz w:val="24"/>
                <w:szCs w:val="24"/>
              </w:rPr>
              <w:t>]</w:t>
            </w:r>
            <w:r w:rsidRPr="00323E22">
              <w:rPr>
                <w:rFonts w:ascii="Arial" w:hAnsi="Arial" w:cs="Arial"/>
                <w:sz w:val="24"/>
                <w:szCs w:val="24"/>
              </w:rPr>
              <w:tab/>
            </w:r>
            <w:r w:rsidR="00175B35">
              <w:rPr>
                <w:rFonts w:ascii="Arial" w:hAnsi="Arial" w:cs="Arial"/>
                <w:sz w:val="24"/>
                <w:szCs w:val="24"/>
              </w:rPr>
              <w:t>It is well settled that an application for condonation is required to meet the two requisites of good cause before the applicant ca</w:t>
            </w:r>
            <w:r w:rsidR="00F82F91">
              <w:rPr>
                <w:rFonts w:ascii="Arial" w:hAnsi="Arial" w:cs="Arial"/>
                <w:sz w:val="24"/>
                <w:szCs w:val="24"/>
              </w:rPr>
              <w:t xml:space="preserve">n succeed in such application. </w:t>
            </w:r>
            <w:r w:rsidR="00175B35">
              <w:rPr>
                <w:rFonts w:ascii="Arial" w:hAnsi="Arial" w:cs="Arial"/>
                <w:sz w:val="24"/>
                <w:szCs w:val="24"/>
              </w:rPr>
              <w:t>These entail firstly</w:t>
            </w:r>
            <w:r w:rsidR="00F7313C">
              <w:rPr>
                <w:rFonts w:ascii="Arial" w:hAnsi="Arial" w:cs="Arial"/>
                <w:sz w:val="24"/>
                <w:szCs w:val="24"/>
              </w:rPr>
              <w:t>,</w:t>
            </w:r>
            <w:r w:rsidR="00175B35">
              <w:rPr>
                <w:rFonts w:ascii="Arial" w:hAnsi="Arial" w:cs="Arial"/>
                <w:sz w:val="24"/>
                <w:szCs w:val="24"/>
              </w:rPr>
              <w:t xml:space="preserve"> establishing</w:t>
            </w:r>
            <w:r w:rsidR="00BE0022">
              <w:rPr>
                <w:rFonts w:ascii="Arial" w:hAnsi="Arial" w:cs="Arial"/>
                <w:sz w:val="24"/>
                <w:szCs w:val="24"/>
              </w:rPr>
              <w:t xml:space="preserve"> a reasonable and</w:t>
            </w:r>
            <w:r w:rsidR="00175B35">
              <w:rPr>
                <w:rFonts w:ascii="Arial" w:hAnsi="Arial" w:cs="Arial"/>
                <w:sz w:val="24"/>
                <w:szCs w:val="24"/>
              </w:rPr>
              <w:t xml:space="preserve"> </w:t>
            </w:r>
            <w:r w:rsidR="00840FCF">
              <w:rPr>
                <w:rFonts w:ascii="Arial" w:hAnsi="Arial" w:cs="Arial"/>
                <w:sz w:val="24"/>
                <w:szCs w:val="24"/>
              </w:rPr>
              <w:t>an</w:t>
            </w:r>
            <w:r w:rsidR="00840FCF">
              <w:rPr>
                <w:rFonts w:ascii="Arial" w:hAnsi="Arial" w:cs="Arial"/>
                <w:sz w:val="24"/>
                <w:szCs w:val="24"/>
              </w:rPr>
              <w:t xml:space="preserve"> </w:t>
            </w:r>
            <w:r w:rsidR="00175B35">
              <w:rPr>
                <w:rFonts w:ascii="Arial" w:hAnsi="Arial" w:cs="Arial"/>
                <w:sz w:val="24"/>
                <w:szCs w:val="24"/>
              </w:rPr>
              <w:t>acceptable explanation for the delay and secondly</w:t>
            </w:r>
            <w:r w:rsidR="00F7313C">
              <w:rPr>
                <w:rFonts w:ascii="Arial" w:hAnsi="Arial" w:cs="Arial"/>
                <w:sz w:val="24"/>
                <w:szCs w:val="24"/>
              </w:rPr>
              <w:t>,</w:t>
            </w:r>
            <w:r w:rsidR="00175B35">
              <w:rPr>
                <w:rFonts w:ascii="Arial" w:hAnsi="Arial" w:cs="Arial"/>
                <w:sz w:val="24"/>
                <w:szCs w:val="24"/>
              </w:rPr>
              <w:t xml:space="preserve"> satisfying the court that there are reasonable prospects of success on the main application.</w:t>
            </w:r>
            <w:r w:rsidR="00175B35">
              <w:rPr>
                <w:rStyle w:val="FootnoteReference"/>
                <w:rFonts w:ascii="Arial" w:hAnsi="Arial" w:cs="Arial"/>
                <w:sz w:val="24"/>
                <w:szCs w:val="24"/>
              </w:rPr>
              <w:footnoteReference w:id="1"/>
            </w:r>
            <w:r w:rsidR="00175B35">
              <w:rPr>
                <w:rFonts w:ascii="Arial" w:hAnsi="Arial" w:cs="Arial"/>
                <w:sz w:val="24"/>
                <w:szCs w:val="24"/>
              </w:rPr>
              <w:t xml:space="preserve"> And it should be remembered, the two requisites must be satisfied together.  Th</w:t>
            </w:r>
            <w:r w:rsidR="004D7A13">
              <w:rPr>
                <w:rFonts w:ascii="Arial" w:hAnsi="Arial" w:cs="Arial"/>
                <w:sz w:val="24"/>
                <w:szCs w:val="24"/>
              </w:rPr>
              <w:t>is</w:t>
            </w:r>
            <w:r w:rsidR="00175B35">
              <w:rPr>
                <w:rFonts w:ascii="Arial" w:hAnsi="Arial" w:cs="Arial"/>
                <w:sz w:val="24"/>
                <w:szCs w:val="24"/>
              </w:rPr>
              <w:t xml:space="preserve"> principle </w:t>
            </w:r>
            <w:r w:rsidR="004D7A13">
              <w:rPr>
                <w:rFonts w:ascii="Arial" w:hAnsi="Arial" w:cs="Arial"/>
                <w:sz w:val="24"/>
                <w:szCs w:val="24"/>
              </w:rPr>
              <w:t>w</w:t>
            </w:r>
            <w:r w:rsidR="00175B35">
              <w:rPr>
                <w:rFonts w:ascii="Arial" w:hAnsi="Arial" w:cs="Arial"/>
                <w:sz w:val="24"/>
                <w:szCs w:val="24"/>
              </w:rPr>
              <w:t xml:space="preserve">as enunciated by the Supreme Court in </w:t>
            </w:r>
            <w:proofErr w:type="spellStart"/>
            <w:r w:rsidR="00175B35" w:rsidRPr="00F82F91">
              <w:rPr>
                <w:rFonts w:ascii="Arial" w:hAnsi="Arial" w:cs="Arial"/>
                <w:i/>
                <w:sz w:val="24"/>
                <w:szCs w:val="24"/>
              </w:rPr>
              <w:t>Balzer</w:t>
            </w:r>
            <w:proofErr w:type="spellEnd"/>
            <w:r w:rsidR="00175B35" w:rsidRPr="00F82F91">
              <w:rPr>
                <w:rFonts w:ascii="Arial" w:hAnsi="Arial" w:cs="Arial"/>
                <w:i/>
                <w:sz w:val="24"/>
                <w:szCs w:val="24"/>
              </w:rPr>
              <w:t xml:space="preserve"> v </w:t>
            </w:r>
            <w:proofErr w:type="spellStart"/>
            <w:r w:rsidR="00175B35" w:rsidRPr="00F82F91">
              <w:rPr>
                <w:rFonts w:ascii="Arial" w:hAnsi="Arial" w:cs="Arial"/>
                <w:i/>
                <w:sz w:val="24"/>
                <w:szCs w:val="24"/>
              </w:rPr>
              <w:t>Vries</w:t>
            </w:r>
            <w:proofErr w:type="spellEnd"/>
            <w:r w:rsidR="004D7A13">
              <w:rPr>
                <w:rFonts w:ascii="Arial" w:hAnsi="Arial" w:cs="Arial"/>
                <w:sz w:val="24"/>
                <w:szCs w:val="24"/>
              </w:rPr>
              <w:t>.</w:t>
            </w:r>
            <w:r w:rsidR="00175B35">
              <w:rPr>
                <w:rStyle w:val="FootnoteReference"/>
                <w:rFonts w:ascii="Arial" w:hAnsi="Arial" w:cs="Arial"/>
                <w:sz w:val="24"/>
                <w:szCs w:val="24"/>
              </w:rPr>
              <w:footnoteReference w:id="2"/>
            </w:r>
            <w:r w:rsidR="00175B35">
              <w:rPr>
                <w:rFonts w:ascii="Arial" w:hAnsi="Arial" w:cs="Arial"/>
                <w:sz w:val="24"/>
                <w:szCs w:val="24"/>
              </w:rPr>
              <w:t xml:space="preserve"> </w:t>
            </w:r>
            <w:r w:rsidR="004D7A13">
              <w:rPr>
                <w:rFonts w:ascii="Arial" w:hAnsi="Arial" w:cs="Arial"/>
                <w:sz w:val="24"/>
                <w:szCs w:val="24"/>
              </w:rPr>
              <w:t xml:space="preserve">That case </w:t>
            </w:r>
            <w:r w:rsidR="00175B35">
              <w:rPr>
                <w:rFonts w:ascii="Arial" w:hAnsi="Arial" w:cs="Arial"/>
                <w:sz w:val="24"/>
                <w:szCs w:val="24"/>
              </w:rPr>
              <w:t>concerned an application to condone the late filing of a notice of appeal. I see no g</w:t>
            </w:r>
            <w:r w:rsidR="00F82F91">
              <w:rPr>
                <w:rFonts w:ascii="Arial" w:hAnsi="Arial" w:cs="Arial"/>
                <w:sz w:val="24"/>
                <w:szCs w:val="24"/>
              </w:rPr>
              <w:t>o</w:t>
            </w:r>
            <w:r w:rsidR="00175B35">
              <w:rPr>
                <w:rFonts w:ascii="Arial" w:hAnsi="Arial" w:cs="Arial"/>
                <w:sz w:val="24"/>
                <w:szCs w:val="24"/>
              </w:rPr>
              <w:t>od reason why the principle should not apply with equal force to applications to condone the late filing of rescission applications to rescind judgments and orders.</w:t>
            </w:r>
          </w:p>
          <w:p w:rsidR="004413F0" w:rsidRDefault="004413F0" w:rsidP="00ED76B2">
            <w:pPr>
              <w:spacing w:line="360" w:lineRule="auto"/>
              <w:ind w:left="20" w:hanging="20"/>
              <w:jc w:val="both"/>
              <w:rPr>
                <w:rFonts w:ascii="Arial" w:hAnsi="Arial" w:cs="Arial"/>
                <w:sz w:val="24"/>
                <w:szCs w:val="24"/>
              </w:rPr>
            </w:pPr>
          </w:p>
          <w:p w:rsidR="004413F0" w:rsidRPr="004413F0" w:rsidRDefault="004413F0" w:rsidP="00ED76B2">
            <w:pPr>
              <w:spacing w:line="360" w:lineRule="auto"/>
              <w:ind w:left="20" w:hanging="20"/>
              <w:jc w:val="both"/>
              <w:rPr>
                <w:rFonts w:ascii="Arial" w:hAnsi="Arial" w:cs="Arial"/>
                <w:sz w:val="24"/>
                <w:szCs w:val="24"/>
                <w:u w:val="single"/>
              </w:rPr>
            </w:pPr>
            <w:r w:rsidRPr="004413F0">
              <w:rPr>
                <w:rFonts w:ascii="Arial" w:hAnsi="Arial" w:cs="Arial"/>
                <w:sz w:val="24"/>
                <w:szCs w:val="24"/>
                <w:u w:val="single"/>
              </w:rPr>
              <w:t>The requisite of acceptable explanation for the delay</w:t>
            </w:r>
          </w:p>
          <w:p w:rsidR="007D152A" w:rsidRDefault="007D152A" w:rsidP="00ED76B2">
            <w:pPr>
              <w:spacing w:line="360" w:lineRule="auto"/>
              <w:ind w:left="20" w:hanging="20"/>
              <w:jc w:val="both"/>
              <w:rPr>
                <w:rFonts w:ascii="Arial" w:hAnsi="Arial" w:cs="Arial"/>
                <w:sz w:val="24"/>
                <w:szCs w:val="24"/>
              </w:rPr>
            </w:pPr>
          </w:p>
          <w:p w:rsidR="007D152A" w:rsidRDefault="007D152A" w:rsidP="00ED76B2">
            <w:pPr>
              <w:spacing w:line="360" w:lineRule="auto"/>
              <w:ind w:left="20" w:hanging="20"/>
              <w:jc w:val="both"/>
              <w:rPr>
                <w:rFonts w:ascii="Arial" w:hAnsi="Arial" w:cs="Arial"/>
                <w:sz w:val="24"/>
                <w:szCs w:val="24"/>
              </w:rPr>
            </w:pPr>
            <w:r>
              <w:rPr>
                <w:rFonts w:ascii="Arial" w:hAnsi="Arial" w:cs="Arial"/>
                <w:sz w:val="24"/>
                <w:szCs w:val="24"/>
              </w:rPr>
              <w:t>[</w:t>
            </w:r>
            <w:r w:rsidR="00101CDC">
              <w:rPr>
                <w:rFonts w:ascii="Arial" w:hAnsi="Arial" w:cs="Arial"/>
                <w:sz w:val="24"/>
                <w:szCs w:val="24"/>
              </w:rPr>
              <w:t>9</w:t>
            </w:r>
            <w:r>
              <w:rPr>
                <w:rFonts w:ascii="Arial" w:hAnsi="Arial" w:cs="Arial"/>
                <w:sz w:val="24"/>
                <w:szCs w:val="24"/>
              </w:rPr>
              <w:t>]</w:t>
            </w:r>
            <w:r w:rsidRPr="00323E22">
              <w:rPr>
                <w:rFonts w:ascii="Arial" w:hAnsi="Arial" w:cs="Arial"/>
                <w:sz w:val="24"/>
                <w:szCs w:val="24"/>
              </w:rPr>
              <w:tab/>
            </w:r>
            <w:r w:rsidR="00B463E9">
              <w:rPr>
                <w:rFonts w:ascii="Arial" w:hAnsi="Arial" w:cs="Arial"/>
                <w:sz w:val="24"/>
                <w:szCs w:val="24"/>
              </w:rPr>
              <w:t>The period within which a rescission application must be made</w:t>
            </w:r>
            <w:r w:rsidR="00101CDC">
              <w:rPr>
                <w:rFonts w:ascii="Arial" w:hAnsi="Arial" w:cs="Arial"/>
                <w:sz w:val="24"/>
                <w:szCs w:val="24"/>
              </w:rPr>
              <w:t xml:space="preserve"> in terms of the rules</w:t>
            </w:r>
            <w:r w:rsidR="00B463E9">
              <w:rPr>
                <w:rFonts w:ascii="Arial" w:hAnsi="Arial" w:cs="Arial"/>
                <w:sz w:val="24"/>
                <w:szCs w:val="24"/>
              </w:rPr>
              <w:t xml:space="preserve"> is 14 days from the date of the judgment or order sought to be rescinded.  On the respondent’s version, the matter was assigned to their counsel on 6 October 2023.  The judgment and order of 16 November 2023 was filed on the e</w:t>
            </w:r>
            <w:r w:rsidR="000A5CD9">
              <w:rPr>
                <w:rFonts w:ascii="Arial" w:hAnsi="Arial" w:cs="Arial"/>
                <w:sz w:val="24"/>
                <w:szCs w:val="24"/>
              </w:rPr>
              <w:t>-</w:t>
            </w:r>
            <w:r w:rsidR="00B463E9">
              <w:rPr>
                <w:rFonts w:ascii="Arial" w:hAnsi="Arial" w:cs="Arial"/>
                <w:sz w:val="24"/>
                <w:szCs w:val="24"/>
              </w:rPr>
              <w:t xml:space="preserve">justice system the same day.  Counsel does not tell the court why it took </w:t>
            </w:r>
            <w:r w:rsidR="00B463E9" w:rsidRPr="000A5CD9">
              <w:rPr>
                <w:rFonts w:ascii="Arial" w:hAnsi="Arial" w:cs="Arial"/>
                <w:sz w:val="24"/>
                <w:szCs w:val="24"/>
              </w:rPr>
              <w:t>her</w:t>
            </w:r>
            <w:r w:rsidR="00B463E9">
              <w:rPr>
                <w:rFonts w:ascii="Arial" w:hAnsi="Arial" w:cs="Arial"/>
                <w:sz w:val="24"/>
                <w:szCs w:val="24"/>
              </w:rPr>
              <w:t xml:space="preserve"> five days to find the judgment and the order only on 21 November 2022, albeit counsel had been seized with the matter since 6 October 2022.</w:t>
            </w:r>
          </w:p>
          <w:p w:rsidR="00CC6F62" w:rsidRDefault="00CC6F62" w:rsidP="00ED76B2">
            <w:pPr>
              <w:spacing w:line="360" w:lineRule="auto"/>
              <w:ind w:left="20" w:hanging="20"/>
              <w:jc w:val="both"/>
              <w:rPr>
                <w:rFonts w:ascii="Arial" w:hAnsi="Arial" w:cs="Arial"/>
                <w:sz w:val="24"/>
                <w:szCs w:val="24"/>
              </w:rPr>
            </w:pPr>
          </w:p>
          <w:p w:rsidR="00461F0D" w:rsidRDefault="00CC6F62" w:rsidP="00ED76B2">
            <w:pPr>
              <w:spacing w:line="360" w:lineRule="auto"/>
              <w:ind w:left="20" w:hanging="20"/>
              <w:jc w:val="both"/>
              <w:rPr>
                <w:rFonts w:ascii="Arial" w:hAnsi="Arial" w:cs="Arial"/>
                <w:sz w:val="24"/>
                <w:szCs w:val="24"/>
              </w:rPr>
            </w:pPr>
            <w:r>
              <w:rPr>
                <w:rFonts w:ascii="Arial" w:hAnsi="Arial" w:cs="Arial"/>
                <w:sz w:val="24"/>
                <w:szCs w:val="24"/>
              </w:rPr>
              <w:t>[</w:t>
            </w:r>
            <w:r w:rsidR="00101CDC">
              <w:rPr>
                <w:rFonts w:ascii="Arial" w:hAnsi="Arial" w:cs="Arial"/>
                <w:sz w:val="24"/>
                <w:szCs w:val="24"/>
              </w:rPr>
              <w:t>10</w:t>
            </w:r>
            <w:r>
              <w:rPr>
                <w:rFonts w:ascii="Arial" w:hAnsi="Arial" w:cs="Arial"/>
                <w:sz w:val="24"/>
                <w:szCs w:val="24"/>
              </w:rPr>
              <w:t>]</w:t>
            </w:r>
            <w:r w:rsidRPr="00323E22">
              <w:rPr>
                <w:rFonts w:ascii="Arial" w:hAnsi="Arial" w:cs="Arial"/>
                <w:sz w:val="24"/>
                <w:szCs w:val="24"/>
              </w:rPr>
              <w:tab/>
            </w:r>
            <w:r w:rsidR="003519E0">
              <w:rPr>
                <w:rFonts w:ascii="Arial" w:hAnsi="Arial" w:cs="Arial"/>
                <w:sz w:val="24"/>
                <w:szCs w:val="24"/>
              </w:rPr>
              <w:t>A case management order calling a case management conference was made and filed on the e</w:t>
            </w:r>
            <w:r w:rsidR="000A5CD9">
              <w:rPr>
                <w:rFonts w:ascii="Arial" w:hAnsi="Arial" w:cs="Arial"/>
                <w:sz w:val="24"/>
                <w:szCs w:val="24"/>
              </w:rPr>
              <w:t>-</w:t>
            </w:r>
            <w:r w:rsidR="003519E0">
              <w:rPr>
                <w:rFonts w:ascii="Arial" w:hAnsi="Arial" w:cs="Arial"/>
                <w:sz w:val="24"/>
                <w:szCs w:val="24"/>
              </w:rPr>
              <w:t>justice system on 26 October 2022.  Counsel does not explain why she did not appear for the case management conference held on 26 October 2022</w:t>
            </w:r>
            <w:r w:rsidR="000A5CD9">
              <w:rPr>
                <w:rFonts w:ascii="Arial" w:hAnsi="Arial" w:cs="Arial"/>
                <w:sz w:val="24"/>
                <w:szCs w:val="24"/>
              </w:rPr>
              <w:t>,</w:t>
            </w:r>
            <w:r w:rsidR="003519E0">
              <w:rPr>
                <w:rFonts w:ascii="Arial" w:hAnsi="Arial" w:cs="Arial"/>
                <w:sz w:val="24"/>
                <w:szCs w:val="24"/>
              </w:rPr>
              <w:t xml:space="preserve"> during which the set down date </w:t>
            </w:r>
            <w:r w:rsidR="003519E0">
              <w:rPr>
                <w:rFonts w:ascii="Arial" w:hAnsi="Arial" w:cs="Arial"/>
                <w:sz w:val="24"/>
                <w:szCs w:val="24"/>
              </w:rPr>
              <w:lastRenderedPageBreak/>
              <w:t>for the hearing of the matter was ordered, although she had been seized with the matter some 20 days previously.  One would have thought, the case management conference would have given counsel the opportunity to tell the court the difficulties that stood in her way to enable the court to consider a date suitable to both parties for t</w:t>
            </w:r>
            <w:r w:rsidR="00086963">
              <w:rPr>
                <w:rFonts w:ascii="Arial" w:hAnsi="Arial" w:cs="Arial"/>
                <w:sz w:val="24"/>
                <w:szCs w:val="24"/>
              </w:rPr>
              <w:t xml:space="preserve">he hearing of the application. </w:t>
            </w:r>
            <w:r w:rsidR="003519E0">
              <w:rPr>
                <w:rFonts w:ascii="Arial" w:hAnsi="Arial" w:cs="Arial"/>
                <w:sz w:val="24"/>
                <w:szCs w:val="24"/>
              </w:rPr>
              <w:t>Having missed such propitious opportunity, it is</w:t>
            </w:r>
            <w:r w:rsidR="00101CDC">
              <w:rPr>
                <w:rFonts w:ascii="Arial" w:hAnsi="Arial" w:cs="Arial"/>
                <w:sz w:val="24"/>
                <w:szCs w:val="24"/>
              </w:rPr>
              <w:t xml:space="preserve"> too late in the day</w:t>
            </w:r>
            <w:r w:rsidR="003519E0">
              <w:rPr>
                <w:rFonts w:ascii="Arial" w:hAnsi="Arial" w:cs="Arial"/>
                <w:sz w:val="24"/>
                <w:szCs w:val="24"/>
              </w:rPr>
              <w:t xml:space="preserve"> for counsel to file an affidavit at this late hour to tell the court about those difficulties.</w:t>
            </w:r>
            <w:r w:rsidR="00B43939">
              <w:rPr>
                <w:rFonts w:ascii="Arial" w:hAnsi="Arial" w:cs="Arial"/>
                <w:sz w:val="24"/>
                <w:szCs w:val="24"/>
              </w:rPr>
              <w:t xml:space="preserve"> </w:t>
            </w:r>
          </w:p>
          <w:p w:rsidR="004811CE" w:rsidRDefault="004811CE" w:rsidP="00ED76B2">
            <w:pPr>
              <w:spacing w:line="360" w:lineRule="auto"/>
              <w:ind w:left="20" w:hanging="20"/>
              <w:jc w:val="both"/>
              <w:rPr>
                <w:rFonts w:ascii="Arial" w:hAnsi="Arial" w:cs="Arial"/>
                <w:sz w:val="24"/>
                <w:szCs w:val="24"/>
              </w:rPr>
            </w:pPr>
          </w:p>
          <w:p w:rsidR="00EA18B9" w:rsidRDefault="00461F0D" w:rsidP="00EA18B9">
            <w:pPr>
              <w:spacing w:line="360" w:lineRule="auto"/>
              <w:ind w:left="33"/>
              <w:jc w:val="both"/>
              <w:rPr>
                <w:rFonts w:ascii="Arial" w:hAnsi="Arial" w:cs="Arial"/>
                <w:b/>
                <w:sz w:val="24"/>
                <w:szCs w:val="24"/>
              </w:rPr>
            </w:pPr>
            <w:r>
              <w:rPr>
                <w:rFonts w:ascii="Arial" w:hAnsi="Arial" w:cs="Arial"/>
                <w:sz w:val="24"/>
                <w:szCs w:val="24"/>
              </w:rPr>
              <w:t>[</w:t>
            </w:r>
            <w:r w:rsidR="000A5CD9">
              <w:rPr>
                <w:rFonts w:ascii="Arial" w:hAnsi="Arial" w:cs="Arial"/>
                <w:sz w:val="24"/>
                <w:szCs w:val="24"/>
              </w:rPr>
              <w:t>1</w:t>
            </w:r>
            <w:r w:rsidR="00101CDC">
              <w:rPr>
                <w:rFonts w:ascii="Arial" w:hAnsi="Arial" w:cs="Arial"/>
                <w:sz w:val="24"/>
                <w:szCs w:val="24"/>
              </w:rPr>
              <w:t>1</w:t>
            </w:r>
            <w:r>
              <w:rPr>
                <w:rFonts w:ascii="Arial" w:hAnsi="Arial" w:cs="Arial"/>
                <w:sz w:val="24"/>
                <w:szCs w:val="24"/>
              </w:rPr>
              <w:t>]</w:t>
            </w:r>
            <w:r w:rsidRPr="00323E22">
              <w:rPr>
                <w:rFonts w:ascii="Arial" w:hAnsi="Arial" w:cs="Arial"/>
                <w:sz w:val="24"/>
                <w:szCs w:val="24"/>
              </w:rPr>
              <w:tab/>
            </w:r>
            <w:r w:rsidR="009A008D">
              <w:rPr>
                <w:rFonts w:ascii="Arial" w:hAnsi="Arial" w:cs="Arial"/>
                <w:sz w:val="24"/>
                <w:szCs w:val="24"/>
              </w:rPr>
              <w:t>Consequently, I hold that</w:t>
            </w:r>
            <w:r>
              <w:rPr>
                <w:rFonts w:ascii="Arial" w:hAnsi="Arial" w:cs="Arial"/>
                <w:sz w:val="24"/>
                <w:szCs w:val="24"/>
              </w:rPr>
              <w:t xml:space="preserve"> the respondents’ reliance on counsel’s unjustified failure to act promptly as the circumstances demanded cannot constitute </w:t>
            </w:r>
            <w:r w:rsidR="009B21F6">
              <w:rPr>
                <w:rFonts w:ascii="Arial" w:hAnsi="Arial" w:cs="Arial"/>
                <w:sz w:val="24"/>
                <w:szCs w:val="24"/>
              </w:rPr>
              <w:t xml:space="preserve">a </w:t>
            </w:r>
            <w:r w:rsidR="00101CDC">
              <w:rPr>
                <w:rFonts w:ascii="Arial" w:hAnsi="Arial" w:cs="Arial"/>
                <w:sz w:val="24"/>
                <w:szCs w:val="24"/>
              </w:rPr>
              <w:t xml:space="preserve">reasonable and </w:t>
            </w:r>
            <w:r w:rsidR="00BC688D">
              <w:rPr>
                <w:rFonts w:ascii="Arial" w:hAnsi="Arial" w:cs="Arial"/>
                <w:sz w:val="24"/>
                <w:szCs w:val="24"/>
              </w:rPr>
              <w:t>an</w:t>
            </w:r>
            <w:r w:rsidR="00BC688D">
              <w:rPr>
                <w:rFonts w:ascii="Arial" w:hAnsi="Arial" w:cs="Arial"/>
                <w:sz w:val="24"/>
                <w:szCs w:val="24"/>
              </w:rPr>
              <w:t xml:space="preserve"> </w:t>
            </w:r>
            <w:r w:rsidR="009A008D">
              <w:rPr>
                <w:rFonts w:ascii="Arial" w:hAnsi="Arial" w:cs="Arial"/>
                <w:sz w:val="24"/>
                <w:szCs w:val="24"/>
              </w:rPr>
              <w:t>acc</w:t>
            </w:r>
            <w:bookmarkStart w:id="0" w:name="_GoBack"/>
            <w:bookmarkEnd w:id="0"/>
            <w:r w:rsidR="009A008D">
              <w:rPr>
                <w:rFonts w:ascii="Arial" w:hAnsi="Arial" w:cs="Arial"/>
                <w:sz w:val="24"/>
                <w:szCs w:val="24"/>
              </w:rPr>
              <w:t xml:space="preserve">eptable explanation for the delay in </w:t>
            </w:r>
            <w:r>
              <w:rPr>
                <w:rFonts w:ascii="Arial" w:hAnsi="Arial" w:cs="Arial"/>
                <w:sz w:val="24"/>
                <w:szCs w:val="24"/>
              </w:rPr>
              <w:t>bringing the rescission application</w:t>
            </w:r>
            <w:r w:rsidR="009A008D">
              <w:rPr>
                <w:rFonts w:ascii="Arial" w:hAnsi="Arial" w:cs="Arial"/>
                <w:sz w:val="24"/>
                <w:szCs w:val="24"/>
              </w:rPr>
              <w:t>, that is,</w:t>
            </w:r>
            <w:r w:rsidR="00EA18B9">
              <w:rPr>
                <w:rFonts w:ascii="Arial" w:hAnsi="Arial" w:cs="Arial"/>
                <w:sz w:val="24"/>
                <w:szCs w:val="24"/>
              </w:rPr>
              <w:t xml:space="preserve"> out of the prescribed </w:t>
            </w:r>
            <w:r>
              <w:rPr>
                <w:rFonts w:ascii="Arial" w:hAnsi="Arial" w:cs="Arial"/>
                <w:sz w:val="24"/>
                <w:szCs w:val="24"/>
              </w:rPr>
              <w:t>time</w:t>
            </w:r>
            <w:r w:rsidR="009A008D">
              <w:rPr>
                <w:rFonts w:ascii="Arial" w:hAnsi="Arial" w:cs="Arial"/>
                <w:sz w:val="24"/>
                <w:szCs w:val="24"/>
              </w:rPr>
              <w:t xml:space="preserve"> limit</w:t>
            </w:r>
            <w:r w:rsidRPr="009B21F6">
              <w:rPr>
                <w:rFonts w:ascii="Arial" w:hAnsi="Arial" w:cs="Arial"/>
                <w:sz w:val="24"/>
                <w:szCs w:val="24"/>
              </w:rPr>
              <w:t>.</w:t>
            </w:r>
            <w:r w:rsidR="00EA18B9" w:rsidRPr="009B21F6">
              <w:rPr>
                <w:rFonts w:ascii="Arial" w:hAnsi="Arial" w:cs="Arial"/>
                <w:b/>
                <w:sz w:val="24"/>
                <w:szCs w:val="24"/>
              </w:rPr>
              <w:t xml:space="preserve"> </w:t>
            </w:r>
          </w:p>
          <w:p w:rsidR="004811CE" w:rsidRPr="00FF33D3" w:rsidRDefault="004811CE" w:rsidP="00EA18B9">
            <w:pPr>
              <w:spacing w:line="360" w:lineRule="auto"/>
              <w:ind w:left="33"/>
              <w:jc w:val="both"/>
              <w:rPr>
                <w:rFonts w:ascii="Arial" w:hAnsi="Arial" w:cs="Arial"/>
                <w:sz w:val="24"/>
                <w:szCs w:val="24"/>
              </w:rPr>
            </w:pPr>
          </w:p>
          <w:p w:rsidR="00832987" w:rsidRDefault="00461F0D" w:rsidP="001E34D4">
            <w:pPr>
              <w:spacing w:line="360" w:lineRule="auto"/>
              <w:ind w:left="33"/>
              <w:jc w:val="both"/>
              <w:rPr>
                <w:rFonts w:ascii="Arial" w:hAnsi="Arial" w:cs="Arial"/>
                <w:sz w:val="24"/>
                <w:szCs w:val="24"/>
              </w:rPr>
            </w:pPr>
            <w:r>
              <w:rPr>
                <w:rFonts w:ascii="Arial" w:hAnsi="Arial" w:cs="Arial"/>
                <w:sz w:val="24"/>
                <w:szCs w:val="24"/>
              </w:rPr>
              <w:t>[</w:t>
            </w:r>
            <w:r w:rsidR="000A5CD9">
              <w:rPr>
                <w:rFonts w:ascii="Arial" w:hAnsi="Arial" w:cs="Arial"/>
                <w:sz w:val="24"/>
                <w:szCs w:val="24"/>
              </w:rPr>
              <w:t>12</w:t>
            </w:r>
            <w:r>
              <w:rPr>
                <w:rFonts w:ascii="Arial" w:hAnsi="Arial" w:cs="Arial"/>
                <w:sz w:val="24"/>
                <w:szCs w:val="24"/>
              </w:rPr>
              <w:t>]</w:t>
            </w:r>
            <w:r w:rsidRPr="00323E22">
              <w:rPr>
                <w:rFonts w:ascii="Arial" w:hAnsi="Arial" w:cs="Arial"/>
                <w:sz w:val="24"/>
                <w:szCs w:val="24"/>
              </w:rPr>
              <w:tab/>
            </w:r>
            <w:r w:rsidR="00B43939">
              <w:rPr>
                <w:rFonts w:ascii="Arial" w:hAnsi="Arial" w:cs="Arial"/>
                <w:sz w:val="24"/>
                <w:szCs w:val="24"/>
              </w:rPr>
              <w:t>Indeed</w:t>
            </w:r>
            <w:r>
              <w:rPr>
                <w:rFonts w:ascii="Arial" w:hAnsi="Arial" w:cs="Arial"/>
                <w:sz w:val="24"/>
                <w:szCs w:val="24"/>
              </w:rPr>
              <w:t>, as to the first requisite mentioned in para 7 above, the crucial component of the respondent</w:t>
            </w:r>
            <w:r w:rsidR="004811CE">
              <w:rPr>
                <w:rFonts w:ascii="Arial" w:hAnsi="Arial" w:cs="Arial"/>
                <w:sz w:val="24"/>
                <w:szCs w:val="24"/>
              </w:rPr>
              <w:t>s</w:t>
            </w:r>
            <w:r>
              <w:rPr>
                <w:rFonts w:ascii="Arial" w:hAnsi="Arial" w:cs="Arial"/>
                <w:sz w:val="24"/>
                <w:szCs w:val="24"/>
              </w:rPr>
              <w:t xml:space="preserve">’ failure to bring the rescission application within the prescribed time limit is this:  The ‘Respondents were under the impression, as advised by their legal practitioner of record, that the rescission </w:t>
            </w:r>
            <w:r w:rsidR="00264F8B">
              <w:rPr>
                <w:rFonts w:ascii="Arial" w:hAnsi="Arial" w:cs="Arial"/>
                <w:sz w:val="24"/>
                <w:szCs w:val="24"/>
              </w:rPr>
              <w:t>application would be instituted in terms of Rule 103(1) (of the High Court Rul</w:t>
            </w:r>
            <w:r w:rsidR="000A5CD9">
              <w:rPr>
                <w:rFonts w:ascii="Arial" w:hAnsi="Arial" w:cs="Arial"/>
                <w:sz w:val="24"/>
                <w:szCs w:val="24"/>
              </w:rPr>
              <w:t>e</w:t>
            </w:r>
            <w:r w:rsidR="00264F8B">
              <w:rPr>
                <w:rFonts w:ascii="Arial" w:hAnsi="Arial" w:cs="Arial"/>
                <w:sz w:val="24"/>
                <w:szCs w:val="24"/>
              </w:rPr>
              <w:t xml:space="preserve">s) only to realise at the last minute that the Labour Court Rules provide for rescission applications in Rule 16 ….’  But that cannot be true, because in the end, the respondents still relied also on rule 103 of the High Court </w:t>
            </w:r>
            <w:r w:rsidR="000A5CD9">
              <w:rPr>
                <w:rFonts w:ascii="Arial" w:hAnsi="Arial" w:cs="Arial"/>
                <w:sz w:val="24"/>
                <w:szCs w:val="24"/>
              </w:rPr>
              <w:t>R</w:t>
            </w:r>
            <w:r w:rsidR="00264F8B">
              <w:rPr>
                <w:rFonts w:ascii="Arial" w:hAnsi="Arial" w:cs="Arial"/>
                <w:sz w:val="24"/>
                <w:szCs w:val="24"/>
              </w:rPr>
              <w:t xml:space="preserve">ules in the notice of motion. </w:t>
            </w:r>
          </w:p>
          <w:p w:rsidR="00832987" w:rsidRDefault="00832987" w:rsidP="001E34D4">
            <w:pPr>
              <w:spacing w:line="360" w:lineRule="auto"/>
              <w:ind w:left="33"/>
              <w:jc w:val="both"/>
              <w:rPr>
                <w:rFonts w:ascii="Arial" w:hAnsi="Arial" w:cs="Arial"/>
                <w:sz w:val="24"/>
                <w:szCs w:val="24"/>
              </w:rPr>
            </w:pPr>
          </w:p>
          <w:p w:rsidR="004811CE" w:rsidRPr="00FF33D3" w:rsidRDefault="00832987" w:rsidP="004811CE">
            <w:pPr>
              <w:spacing w:line="360" w:lineRule="auto"/>
              <w:ind w:left="33"/>
              <w:jc w:val="both"/>
              <w:rPr>
                <w:rFonts w:ascii="Arial" w:hAnsi="Arial" w:cs="Arial"/>
                <w:sz w:val="24"/>
                <w:szCs w:val="24"/>
              </w:rPr>
            </w:pPr>
            <w:r>
              <w:rPr>
                <w:rFonts w:ascii="Arial" w:hAnsi="Arial" w:cs="Arial"/>
                <w:sz w:val="24"/>
                <w:szCs w:val="24"/>
              </w:rPr>
              <w:t>[13]</w:t>
            </w:r>
            <w:r w:rsidRPr="00323E22">
              <w:rPr>
                <w:rFonts w:ascii="Arial" w:hAnsi="Arial" w:cs="Arial"/>
                <w:sz w:val="24"/>
                <w:szCs w:val="24"/>
              </w:rPr>
              <w:tab/>
            </w:r>
            <w:r>
              <w:rPr>
                <w:rFonts w:ascii="Arial" w:hAnsi="Arial" w:cs="Arial"/>
                <w:sz w:val="24"/>
                <w:szCs w:val="24"/>
              </w:rPr>
              <w:t>In any case, the</w:t>
            </w:r>
            <w:r w:rsidR="001E34D4" w:rsidRPr="001E34D4">
              <w:rPr>
                <w:rFonts w:ascii="Arial" w:hAnsi="Arial" w:cs="Arial"/>
                <w:sz w:val="24"/>
                <w:szCs w:val="24"/>
              </w:rPr>
              <w:t xml:space="preserve"> legal practitioner’s lack of knowledge of the rules </w:t>
            </w:r>
            <w:r>
              <w:rPr>
                <w:rFonts w:ascii="Arial" w:hAnsi="Arial" w:cs="Arial"/>
                <w:sz w:val="24"/>
                <w:szCs w:val="24"/>
              </w:rPr>
              <w:t>cannot assist the respondents.</w:t>
            </w:r>
            <w:r w:rsidR="001E34D4" w:rsidRPr="001E34D4">
              <w:rPr>
                <w:rFonts w:ascii="Arial" w:hAnsi="Arial" w:cs="Arial"/>
                <w:sz w:val="24"/>
                <w:szCs w:val="24"/>
              </w:rPr>
              <w:t xml:space="preserve"> It cannot constitute good cause in a rescission application. In </w:t>
            </w:r>
            <w:r w:rsidR="001E34D4" w:rsidRPr="001E34D4">
              <w:rPr>
                <w:rFonts w:ascii="Arial" w:hAnsi="Arial" w:cs="Arial"/>
                <w:i/>
                <w:sz w:val="24"/>
                <w:szCs w:val="24"/>
              </w:rPr>
              <w:t>Maia v Total Namibia (Pty) Ltd</w:t>
            </w:r>
            <w:r w:rsidR="001E34D4" w:rsidRPr="001E34D4">
              <w:rPr>
                <w:rFonts w:ascii="Arial" w:hAnsi="Arial" w:cs="Arial"/>
                <w:sz w:val="24"/>
                <w:szCs w:val="24"/>
              </w:rPr>
              <w:t>,</w:t>
            </w:r>
            <w:r w:rsidR="00C453A7">
              <w:rPr>
                <w:rStyle w:val="FootnoteReference"/>
                <w:rFonts w:ascii="Arial" w:hAnsi="Arial" w:cs="Arial"/>
                <w:sz w:val="24"/>
                <w:szCs w:val="24"/>
              </w:rPr>
              <w:footnoteReference w:id="3"/>
            </w:r>
            <w:r w:rsidR="001E34D4" w:rsidRPr="001E34D4">
              <w:rPr>
                <w:rFonts w:ascii="Arial" w:hAnsi="Arial" w:cs="Arial"/>
                <w:sz w:val="24"/>
                <w:szCs w:val="24"/>
              </w:rPr>
              <w:t xml:space="preserve"> the full court stated unflinchingly and categorically that in conducting litigation, the legal practitioner must familiarise himself or herself with the rules of court.  If they did not and the rules are not followed, the court will not come to their aid and grant condonation readily.</w:t>
            </w:r>
            <w:r w:rsidR="001E34D4">
              <w:rPr>
                <w:rFonts w:ascii="Arial" w:hAnsi="Arial" w:cs="Arial"/>
                <w:sz w:val="24"/>
                <w:szCs w:val="24"/>
              </w:rPr>
              <w:t xml:space="preserve"> In the result</w:t>
            </w:r>
            <w:r w:rsidR="004811CE">
              <w:rPr>
                <w:rFonts w:ascii="Arial" w:hAnsi="Arial" w:cs="Arial"/>
                <w:sz w:val="24"/>
                <w:szCs w:val="24"/>
              </w:rPr>
              <w:t>,</w:t>
            </w:r>
            <w:r w:rsidR="001E34D4">
              <w:rPr>
                <w:rFonts w:ascii="Arial" w:hAnsi="Arial" w:cs="Arial"/>
                <w:sz w:val="24"/>
                <w:szCs w:val="24"/>
              </w:rPr>
              <w:t xml:space="preserve"> I hold that the</w:t>
            </w:r>
            <w:r w:rsidR="00176658">
              <w:rPr>
                <w:rFonts w:ascii="Arial" w:hAnsi="Arial" w:cs="Arial"/>
                <w:sz w:val="24"/>
                <w:szCs w:val="24"/>
              </w:rPr>
              <w:t xml:space="preserve"> explanation </w:t>
            </w:r>
            <w:r w:rsidR="007B4433">
              <w:rPr>
                <w:rFonts w:ascii="Arial" w:hAnsi="Arial" w:cs="Arial"/>
                <w:sz w:val="24"/>
                <w:szCs w:val="24"/>
              </w:rPr>
              <w:t xml:space="preserve">on any pan of legal scales cannot </w:t>
            </w:r>
            <w:r w:rsidR="001E34D4">
              <w:rPr>
                <w:rFonts w:ascii="Arial" w:hAnsi="Arial" w:cs="Arial"/>
                <w:sz w:val="24"/>
                <w:szCs w:val="24"/>
              </w:rPr>
              <w:t xml:space="preserve">be </w:t>
            </w:r>
            <w:r>
              <w:rPr>
                <w:rFonts w:ascii="Arial" w:hAnsi="Arial" w:cs="Arial"/>
                <w:sz w:val="24"/>
                <w:szCs w:val="24"/>
              </w:rPr>
              <w:t xml:space="preserve">reasonable and </w:t>
            </w:r>
            <w:r w:rsidR="001E34D4">
              <w:rPr>
                <w:rFonts w:ascii="Arial" w:hAnsi="Arial" w:cs="Arial"/>
                <w:sz w:val="24"/>
                <w:szCs w:val="24"/>
              </w:rPr>
              <w:t>acceptable.</w:t>
            </w:r>
            <w:r w:rsidR="004811CE">
              <w:rPr>
                <w:rFonts w:ascii="Arial" w:hAnsi="Arial" w:cs="Arial"/>
                <w:sz w:val="24"/>
                <w:szCs w:val="24"/>
              </w:rPr>
              <w:t xml:space="preserve"> </w:t>
            </w:r>
            <w:r w:rsidR="004811CE" w:rsidRPr="004811CE">
              <w:rPr>
                <w:rFonts w:ascii="Arial" w:hAnsi="Arial" w:cs="Arial"/>
                <w:sz w:val="24"/>
                <w:szCs w:val="24"/>
              </w:rPr>
              <w:t>On the facts and circumstances of this case, I think I should take a cue from the full court and decline to come to the aid of the respondent.</w:t>
            </w:r>
            <w:r w:rsidR="004811CE" w:rsidRPr="00FF33D3">
              <w:rPr>
                <w:rFonts w:ascii="Arial" w:hAnsi="Arial" w:cs="Arial"/>
                <w:sz w:val="24"/>
                <w:szCs w:val="24"/>
              </w:rPr>
              <w:t xml:space="preserve"> </w:t>
            </w:r>
            <w:r w:rsidR="00D813D2">
              <w:rPr>
                <w:rFonts w:ascii="Arial" w:hAnsi="Arial" w:cs="Arial"/>
                <w:sz w:val="24"/>
                <w:szCs w:val="24"/>
              </w:rPr>
              <w:t>It follows that in my judgment</w:t>
            </w:r>
            <w:r w:rsidR="003C30D8">
              <w:rPr>
                <w:rFonts w:ascii="Arial" w:hAnsi="Arial" w:cs="Arial"/>
                <w:sz w:val="24"/>
                <w:szCs w:val="24"/>
              </w:rPr>
              <w:t>,</w:t>
            </w:r>
            <w:r w:rsidR="00D813D2">
              <w:rPr>
                <w:rFonts w:ascii="Arial" w:hAnsi="Arial" w:cs="Arial"/>
                <w:sz w:val="24"/>
                <w:szCs w:val="24"/>
              </w:rPr>
              <w:t xml:space="preserve"> the applicant ha</w:t>
            </w:r>
            <w:r w:rsidR="00BE4DFC">
              <w:rPr>
                <w:rFonts w:ascii="Arial" w:hAnsi="Arial" w:cs="Arial"/>
                <w:sz w:val="24"/>
                <w:szCs w:val="24"/>
              </w:rPr>
              <w:t>s</w:t>
            </w:r>
            <w:r w:rsidR="00D813D2">
              <w:rPr>
                <w:rFonts w:ascii="Arial" w:hAnsi="Arial" w:cs="Arial"/>
                <w:sz w:val="24"/>
                <w:szCs w:val="24"/>
              </w:rPr>
              <w:t xml:space="preserve"> failed to establish reasonable explanation for the delay in bringing the rescission application.</w:t>
            </w:r>
          </w:p>
          <w:p w:rsidR="007B4433" w:rsidRDefault="007B4433" w:rsidP="001E34D4">
            <w:pPr>
              <w:spacing w:line="360" w:lineRule="auto"/>
              <w:ind w:left="33"/>
              <w:jc w:val="both"/>
              <w:rPr>
                <w:rFonts w:ascii="Arial" w:hAnsi="Arial" w:cs="Arial"/>
                <w:sz w:val="24"/>
                <w:szCs w:val="24"/>
              </w:rPr>
            </w:pPr>
            <w:r>
              <w:rPr>
                <w:rFonts w:ascii="Arial" w:hAnsi="Arial" w:cs="Arial"/>
                <w:sz w:val="24"/>
                <w:szCs w:val="24"/>
              </w:rPr>
              <w:t xml:space="preserve"> </w:t>
            </w:r>
          </w:p>
          <w:p w:rsidR="00461F0D" w:rsidRDefault="007B4433" w:rsidP="00ED76B2">
            <w:pPr>
              <w:spacing w:line="360" w:lineRule="auto"/>
              <w:ind w:left="20" w:hanging="20"/>
              <w:jc w:val="both"/>
              <w:rPr>
                <w:rFonts w:ascii="Arial" w:hAnsi="Arial" w:cs="Arial"/>
                <w:sz w:val="24"/>
                <w:szCs w:val="24"/>
              </w:rPr>
            </w:pPr>
            <w:r>
              <w:rPr>
                <w:rFonts w:ascii="Arial" w:hAnsi="Arial" w:cs="Arial"/>
                <w:sz w:val="24"/>
                <w:szCs w:val="24"/>
              </w:rPr>
              <w:t>[</w:t>
            </w:r>
            <w:r w:rsidR="00103B9A">
              <w:rPr>
                <w:rFonts w:ascii="Arial" w:hAnsi="Arial" w:cs="Arial"/>
                <w:sz w:val="24"/>
                <w:szCs w:val="24"/>
              </w:rPr>
              <w:t>1</w:t>
            </w:r>
            <w:r w:rsidR="00C453A7">
              <w:rPr>
                <w:rFonts w:ascii="Arial" w:hAnsi="Arial" w:cs="Arial"/>
                <w:sz w:val="24"/>
                <w:szCs w:val="24"/>
              </w:rPr>
              <w:t>4</w:t>
            </w:r>
            <w:r>
              <w:rPr>
                <w:rFonts w:ascii="Arial" w:hAnsi="Arial" w:cs="Arial"/>
                <w:sz w:val="24"/>
                <w:szCs w:val="24"/>
              </w:rPr>
              <w:t>]</w:t>
            </w:r>
            <w:r w:rsidRPr="00323E22">
              <w:rPr>
                <w:rFonts w:ascii="Arial" w:hAnsi="Arial" w:cs="Arial"/>
                <w:sz w:val="24"/>
                <w:szCs w:val="24"/>
              </w:rPr>
              <w:tab/>
            </w:r>
            <w:r w:rsidR="00270576">
              <w:rPr>
                <w:rFonts w:ascii="Arial" w:hAnsi="Arial" w:cs="Arial"/>
                <w:sz w:val="24"/>
                <w:szCs w:val="24"/>
              </w:rPr>
              <w:t>T</w:t>
            </w:r>
            <w:r>
              <w:rPr>
                <w:rFonts w:ascii="Arial" w:hAnsi="Arial" w:cs="Arial"/>
                <w:sz w:val="24"/>
                <w:szCs w:val="24"/>
              </w:rPr>
              <w:t xml:space="preserve">he respondents make the untenable point that the non-compliance with rule 16(1) of the rules does not prejudice the applicant.  I disagree.  The prejudice is that the respondents, without good cause, are denying the applicant her right to have her civil right determined by the </w:t>
            </w:r>
            <w:r>
              <w:rPr>
                <w:rFonts w:ascii="Arial" w:hAnsi="Arial" w:cs="Arial"/>
                <w:sz w:val="24"/>
                <w:szCs w:val="24"/>
              </w:rPr>
              <w:lastRenderedPageBreak/>
              <w:t>court within a reasonable time – a right guaranteed to her by article 12(1)</w:t>
            </w:r>
            <w:r w:rsidRPr="00244057">
              <w:rPr>
                <w:rFonts w:ascii="Arial" w:hAnsi="Arial" w:cs="Arial"/>
                <w:i/>
                <w:sz w:val="24"/>
                <w:szCs w:val="24"/>
              </w:rPr>
              <w:t>(a)</w:t>
            </w:r>
            <w:r>
              <w:rPr>
                <w:rFonts w:ascii="Arial" w:hAnsi="Arial" w:cs="Arial"/>
                <w:sz w:val="24"/>
                <w:szCs w:val="24"/>
              </w:rPr>
              <w:t xml:space="preserve"> of the Namibian Constitution.  </w:t>
            </w:r>
            <w:r w:rsidR="001820B0" w:rsidRPr="001820B0">
              <w:rPr>
                <w:rFonts w:ascii="Arial" w:hAnsi="Arial" w:cs="Arial"/>
                <w:i/>
                <w:sz w:val="24"/>
                <w:szCs w:val="24"/>
              </w:rPr>
              <w:t>A</w:t>
            </w:r>
            <w:r w:rsidRPr="00244057">
              <w:rPr>
                <w:rFonts w:ascii="Arial" w:hAnsi="Arial" w:cs="Arial"/>
                <w:i/>
                <w:sz w:val="24"/>
                <w:szCs w:val="24"/>
              </w:rPr>
              <w:t xml:space="preserve"> fortiori</w:t>
            </w:r>
            <w:r>
              <w:rPr>
                <w:rFonts w:ascii="Arial" w:hAnsi="Arial" w:cs="Arial"/>
                <w:sz w:val="24"/>
                <w:szCs w:val="24"/>
              </w:rPr>
              <w:t>, the present matter is a labour matter, and the Supreme Court tells us that labour disputes must be resolved expeditiously.</w:t>
            </w:r>
            <w:r>
              <w:rPr>
                <w:rStyle w:val="FootnoteReference"/>
                <w:rFonts w:ascii="Arial" w:hAnsi="Arial" w:cs="Arial"/>
                <w:sz w:val="24"/>
                <w:szCs w:val="24"/>
              </w:rPr>
              <w:footnoteReference w:id="4"/>
            </w:r>
            <w:r w:rsidR="00EA4044">
              <w:rPr>
                <w:rFonts w:ascii="Arial" w:hAnsi="Arial" w:cs="Arial"/>
                <w:sz w:val="24"/>
                <w:szCs w:val="24"/>
              </w:rPr>
              <w:t xml:space="preserve"> </w:t>
            </w:r>
            <w:r w:rsidR="00D813D2">
              <w:rPr>
                <w:rFonts w:ascii="Arial" w:hAnsi="Arial" w:cs="Arial"/>
                <w:sz w:val="24"/>
                <w:szCs w:val="24"/>
              </w:rPr>
              <w:t>I pass to consider the second requisite of good cause.</w:t>
            </w:r>
          </w:p>
          <w:p w:rsidR="00270576" w:rsidRDefault="00270576" w:rsidP="00ED76B2">
            <w:pPr>
              <w:spacing w:line="360" w:lineRule="auto"/>
              <w:ind w:left="20" w:hanging="20"/>
              <w:jc w:val="both"/>
              <w:rPr>
                <w:rFonts w:ascii="Arial" w:hAnsi="Arial" w:cs="Arial"/>
                <w:sz w:val="24"/>
                <w:szCs w:val="24"/>
              </w:rPr>
            </w:pPr>
          </w:p>
          <w:p w:rsidR="00270576" w:rsidRPr="001820B0" w:rsidRDefault="00270576" w:rsidP="00ED76B2">
            <w:pPr>
              <w:spacing w:line="360" w:lineRule="auto"/>
              <w:ind w:left="20" w:hanging="20"/>
              <w:jc w:val="both"/>
              <w:rPr>
                <w:rFonts w:ascii="Arial" w:hAnsi="Arial" w:cs="Arial"/>
                <w:sz w:val="24"/>
                <w:szCs w:val="24"/>
                <w:u w:val="single"/>
              </w:rPr>
            </w:pPr>
            <w:r w:rsidRPr="001820B0">
              <w:rPr>
                <w:rFonts w:ascii="Arial" w:hAnsi="Arial" w:cs="Arial"/>
                <w:sz w:val="24"/>
                <w:szCs w:val="24"/>
                <w:u w:val="single"/>
              </w:rPr>
              <w:t xml:space="preserve">The </w:t>
            </w:r>
            <w:r w:rsidR="001820B0" w:rsidRPr="001820B0">
              <w:rPr>
                <w:rFonts w:ascii="Arial" w:hAnsi="Arial" w:cs="Arial"/>
                <w:sz w:val="24"/>
                <w:szCs w:val="24"/>
                <w:u w:val="single"/>
              </w:rPr>
              <w:t>requisite of reasonable prospects of success</w:t>
            </w:r>
          </w:p>
          <w:p w:rsidR="008C0C0F" w:rsidRDefault="008C0C0F" w:rsidP="00ED76B2">
            <w:pPr>
              <w:spacing w:line="360" w:lineRule="auto"/>
              <w:ind w:left="20" w:hanging="20"/>
              <w:jc w:val="both"/>
              <w:rPr>
                <w:rFonts w:ascii="Arial" w:hAnsi="Arial" w:cs="Arial"/>
                <w:sz w:val="24"/>
                <w:szCs w:val="24"/>
              </w:rPr>
            </w:pPr>
          </w:p>
          <w:p w:rsidR="004B1C6E" w:rsidRDefault="008C0C0F" w:rsidP="00ED76B2">
            <w:pPr>
              <w:spacing w:line="360" w:lineRule="auto"/>
              <w:ind w:left="20" w:hanging="20"/>
              <w:jc w:val="both"/>
              <w:rPr>
                <w:rFonts w:ascii="Arial" w:hAnsi="Arial" w:cs="Arial"/>
                <w:sz w:val="24"/>
                <w:szCs w:val="24"/>
              </w:rPr>
            </w:pPr>
            <w:r>
              <w:rPr>
                <w:rFonts w:ascii="Arial" w:hAnsi="Arial" w:cs="Arial"/>
                <w:sz w:val="24"/>
                <w:szCs w:val="24"/>
              </w:rPr>
              <w:t>[</w:t>
            </w:r>
            <w:r w:rsidR="00B22109">
              <w:rPr>
                <w:rFonts w:ascii="Arial" w:hAnsi="Arial" w:cs="Arial"/>
                <w:sz w:val="24"/>
                <w:szCs w:val="24"/>
              </w:rPr>
              <w:t>1</w:t>
            </w:r>
            <w:r w:rsidR="00D77A87">
              <w:rPr>
                <w:rFonts w:ascii="Arial" w:hAnsi="Arial" w:cs="Arial"/>
                <w:sz w:val="24"/>
                <w:szCs w:val="24"/>
              </w:rPr>
              <w:t>5</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 xml:space="preserve">As to the second requisite, </w:t>
            </w:r>
            <w:r w:rsidR="004B1C6E">
              <w:rPr>
                <w:rFonts w:ascii="Arial" w:hAnsi="Arial" w:cs="Arial"/>
                <w:sz w:val="24"/>
                <w:szCs w:val="24"/>
              </w:rPr>
              <w:t>discussed in para 7 above, the gravamen of the respondents’ contention is that ‘the issues for determination (at the disciplinary hearing) are not complex so as to warrant the assist</w:t>
            </w:r>
            <w:r w:rsidR="00B22109">
              <w:rPr>
                <w:rFonts w:ascii="Arial" w:hAnsi="Arial" w:cs="Arial"/>
                <w:sz w:val="24"/>
                <w:szCs w:val="24"/>
              </w:rPr>
              <w:t xml:space="preserve">ance of a legal practitioner’. </w:t>
            </w:r>
            <w:r w:rsidR="004B1C6E">
              <w:rPr>
                <w:rFonts w:ascii="Arial" w:hAnsi="Arial" w:cs="Arial"/>
                <w:sz w:val="24"/>
                <w:szCs w:val="24"/>
              </w:rPr>
              <w:t>It would seem the respondents have misread the judgment.  The judgment in which the order sought to be impugned was made is a fully reasoned judgment, based on case law.</w:t>
            </w:r>
          </w:p>
          <w:p w:rsidR="004B1C6E" w:rsidRDefault="004B1C6E" w:rsidP="00ED76B2">
            <w:pPr>
              <w:spacing w:line="360" w:lineRule="auto"/>
              <w:ind w:left="20" w:hanging="20"/>
              <w:jc w:val="both"/>
              <w:rPr>
                <w:rFonts w:ascii="Arial" w:hAnsi="Arial" w:cs="Arial"/>
                <w:sz w:val="24"/>
                <w:szCs w:val="24"/>
              </w:rPr>
            </w:pPr>
          </w:p>
          <w:p w:rsidR="0067337F" w:rsidRDefault="004B1C6E" w:rsidP="00ED76B2">
            <w:pPr>
              <w:spacing w:line="360" w:lineRule="auto"/>
              <w:ind w:left="20" w:hanging="20"/>
              <w:jc w:val="both"/>
              <w:rPr>
                <w:rFonts w:ascii="Arial" w:hAnsi="Arial" w:cs="Arial"/>
                <w:sz w:val="24"/>
                <w:szCs w:val="24"/>
              </w:rPr>
            </w:pPr>
            <w:r>
              <w:rPr>
                <w:rFonts w:ascii="Arial" w:hAnsi="Arial" w:cs="Arial"/>
                <w:sz w:val="24"/>
                <w:szCs w:val="24"/>
              </w:rPr>
              <w:t>[</w:t>
            </w:r>
            <w:r w:rsidR="00B22109">
              <w:rPr>
                <w:rFonts w:ascii="Arial" w:hAnsi="Arial" w:cs="Arial"/>
                <w:sz w:val="24"/>
                <w:szCs w:val="24"/>
              </w:rPr>
              <w:t>1</w:t>
            </w:r>
            <w:r w:rsidR="00D77A87">
              <w:rPr>
                <w:rFonts w:ascii="Arial" w:hAnsi="Arial" w:cs="Arial"/>
                <w:sz w:val="24"/>
                <w:szCs w:val="24"/>
              </w:rPr>
              <w:t>6</w:t>
            </w:r>
            <w:r>
              <w:rPr>
                <w:rFonts w:ascii="Arial" w:hAnsi="Arial" w:cs="Arial"/>
                <w:sz w:val="24"/>
                <w:szCs w:val="24"/>
              </w:rPr>
              <w:t>]</w:t>
            </w:r>
            <w:r w:rsidRPr="00323E22">
              <w:rPr>
                <w:rFonts w:ascii="Arial" w:hAnsi="Arial" w:cs="Arial"/>
                <w:sz w:val="24"/>
                <w:szCs w:val="24"/>
              </w:rPr>
              <w:tab/>
            </w:r>
            <w:r w:rsidR="003C30D8">
              <w:rPr>
                <w:rFonts w:ascii="Arial" w:hAnsi="Arial" w:cs="Arial"/>
                <w:sz w:val="24"/>
                <w:szCs w:val="24"/>
              </w:rPr>
              <w:t xml:space="preserve">The judgment is clear. </w:t>
            </w:r>
            <w:r>
              <w:rPr>
                <w:rFonts w:ascii="Arial" w:hAnsi="Arial" w:cs="Arial"/>
                <w:sz w:val="24"/>
                <w:szCs w:val="24"/>
              </w:rPr>
              <w:t>The complexity of the matter in question is not the only factor courts take into account in determining whether legal representation should be allowed at disciplinary hearings.  In the aforementioned judgment</w:t>
            </w:r>
            <w:r w:rsidR="001820B0">
              <w:rPr>
                <w:rFonts w:ascii="Arial" w:hAnsi="Arial" w:cs="Arial"/>
                <w:sz w:val="24"/>
                <w:szCs w:val="24"/>
              </w:rPr>
              <w:t xml:space="preserve">, referring </w:t>
            </w:r>
            <w:r w:rsidR="002E61B2">
              <w:rPr>
                <w:rFonts w:ascii="Arial" w:hAnsi="Arial" w:cs="Arial"/>
                <w:sz w:val="24"/>
                <w:szCs w:val="24"/>
              </w:rPr>
              <w:t>to authorities</w:t>
            </w:r>
            <w:r w:rsidR="001820B0">
              <w:rPr>
                <w:rFonts w:ascii="Arial" w:hAnsi="Arial" w:cs="Arial"/>
                <w:sz w:val="24"/>
                <w:szCs w:val="24"/>
              </w:rPr>
              <w:t>,</w:t>
            </w:r>
            <w:r>
              <w:rPr>
                <w:rFonts w:ascii="Arial" w:hAnsi="Arial" w:cs="Arial"/>
                <w:sz w:val="24"/>
                <w:szCs w:val="24"/>
              </w:rPr>
              <w:t xml:space="preserve"> I discu</w:t>
            </w:r>
            <w:r w:rsidR="003C30D8">
              <w:rPr>
                <w:rFonts w:ascii="Arial" w:hAnsi="Arial" w:cs="Arial"/>
                <w:sz w:val="24"/>
                <w:szCs w:val="24"/>
              </w:rPr>
              <w:t xml:space="preserve">ssed all the relevant factors. </w:t>
            </w:r>
            <w:r>
              <w:rPr>
                <w:rFonts w:ascii="Arial" w:hAnsi="Arial" w:cs="Arial"/>
                <w:sz w:val="24"/>
                <w:szCs w:val="24"/>
              </w:rPr>
              <w:t xml:space="preserve">The respondents do not, even with a whimper, aver anywhere in their founding papers that the court applied the wrong principles of law in making its decision on facts which are common cause. </w:t>
            </w:r>
          </w:p>
          <w:p w:rsidR="0067337F" w:rsidRDefault="0067337F" w:rsidP="00ED76B2">
            <w:pPr>
              <w:spacing w:line="360" w:lineRule="auto"/>
              <w:ind w:left="20" w:hanging="20"/>
              <w:jc w:val="both"/>
              <w:rPr>
                <w:rFonts w:ascii="Arial" w:hAnsi="Arial" w:cs="Arial"/>
                <w:sz w:val="24"/>
                <w:szCs w:val="24"/>
              </w:rPr>
            </w:pPr>
          </w:p>
          <w:p w:rsidR="0067337F" w:rsidRDefault="0067337F" w:rsidP="0067337F">
            <w:pPr>
              <w:spacing w:line="360" w:lineRule="auto"/>
              <w:ind w:left="33"/>
              <w:jc w:val="both"/>
              <w:rPr>
                <w:rFonts w:ascii="Arial" w:hAnsi="Arial" w:cs="Arial"/>
                <w:sz w:val="24"/>
                <w:szCs w:val="24"/>
              </w:rPr>
            </w:pPr>
            <w:r>
              <w:rPr>
                <w:rFonts w:ascii="Arial" w:hAnsi="Arial" w:cs="Arial"/>
                <w:sz w:val="24"/>
                <w:szCs w:val="24"/>
              </w:rPr>
              <w:t>[</w:t>
            </w:r>
            <w:r w:rsidR="002E61B2">
              <w:rPr>
                <w:rFonts w:ascii="Arial" w:hAnsi="Arial" w:cs="Arial"/>
                <w:sz w:val="24"/>
                <w:szCs w:val="24"/>
              </w:rPr>
              <w:t>1</w:t>
            </w:r>
            <w:r w:rsidR="00D77A87">
              <w:rPr>
                <w:rFonts w:ascii="Arial" w:hAnsi="Arial" w:cs="Arial"/>
                <w:sz w:val="24"/>
                <w:szCs w:val="24"/>
              </w:rPr>
              <w:t>7</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 xml:space="preserve">I would have thought the judgment </w:t>
            </w:r>
            <w:r w:rsidR="002E61B2">
              <w:rPr>
                <w:rFonts w:ascii="Arial" w:hAnsi="Arial" w:cs="Arial"/>
                <w:sz w:val="24"/>
                <w:szCs w:val="24"/>
              </w:rPr>
              <w:t>should be</w:t>
            </w:r>
            <w:r>
              <w:rPr>
                <w:rFonts w:ascii="Arial" w:hAnsi="Arial" w:cs="Arial"/>
                <w:sz w:val="24"/>
                <w:szCs w:val="24"/>
              </w:rPr>
              <w:t xml:space="preserve"> abundantly clear to any careful, open-minded and fair-</w:t>
            </w:r>
            <w:r w:rsidR="009204BA">
              <w:rPr>
                <w:rFonts w:ascii="Arial" w:hAnsi="Arial" w:cs="Arial"/>
                <w:sz w:val="24"/>
                <w:szCs w:val="24"/>
              </w:rPr>
              <w:t xml:space="preserve">minded reader of the judgment. </w:t>
            </w:r>
            <w:r>
              <w:rPr>
                <w:rFonts w:ascii="Arial" w:hAnsi="Arial" w:cs="Arial"/>
                <w:sz w:val="24"/>
                <w:szCs w:val="24"/>
              </w:rPr>
              <w:t xml:space="preserve">In para 3 thereof I referred to the general principle of the common law on legal representation at administrative disciplinary hearings </w:t>
            </w:r>
            <w:r w:rsidR="009204BA">
              <w:rPr>
                <w:rFonts w:ascii="Arial" w:hAnsi="Arial" w:cs="Arial"/>
                <w:sz w:val="24"/>
                <w:szCs w:val="24"/>
              </w:rPr>
              <w:t xml:space="preserve">and the qualification thereto. </w:t>
            </w:r>
            <w:r>
              <w:rPr>
                <w:rFonts w:ascii="Arial" w:hAnsi="Arial" w:cs="Arial"/>
                <w:sz w:val="24"/>
                <w:szCs w:val="24"/>
              </w:rPr>
              <w:t>In para 4 thereof I set out a very basic principle of statutory interpretation as to the jurisprudential relationship between an enabling Act and its subsidiary or subordinate legislation (</w:t>
            </w:r>
            <w:proofErr w:type="spellStart"/>
            <w:r>
              <w:rPr>
                <w:rFonts w:ascii="Arial" w:hAnsi="Arial" w:cs="Arial"/>
                <w:sz w:val="24"/>
                <w:szCs w:val="24"/>
              </w:rPr>
              <w:t>eg</w:t>
            </w:r>
            <w:proofErr w:type="spellEnd"/>
            <w:r>
              <w:rPr>
                <w:rFonts w:ascii="Arial" w:hAnsi="Arial" w:cs="Arial"/>
                <w:sz w:val="24"/>
                <w:szCs w:val="24"/>
              </w:rPr>
              <w:t xml:space="preserve"> rules, regulations and by-laws).</w:t>
            </w:r>
          </w:p>
          <w:p w:rsidR="0067337F" w:rsidRDefault="0067337F" w:rsidP="0067337F">
            <w:pPr>
              <w:spacing w:line="360" w:lineRule="auto"/>
              <w:ind w:left="33"/>
              <w:jc w:val="both"/>
              <w:rPr>
                <w:rFonts w:ascii="Arial" w:hAnsi="Arial" w:cs="Arial"/>
                <w:sz w:val="24"/>
                <w:szCs w:val="24"/>
              </w:rPr>
            </w:pPr>
          </w:p>
          <w:p w:rsidR="0067337F" w:rsidRDefault="0067337F" w:rsidP="0067337F">
            <w:pPr>
              <w:spacing w:line="360" w:lineRule="auto"/>
              <w:ind w:left="33"/>
              <w:jc w:val="both"/>
              <w:rPr>
                <w:rFonts w:ascii="Arial" w:hAnsi="Arial" w:cs="Arial"/>
                <w:sz w:val="24"/>
                <w:szCs w:val="24"/>
              </w:rPr>
            </w:pPr>
            <w:r>
              <w:rPr>
                <w:rFonts w:ascii="Arial" w:hAnsi="Arial" w:cs="Arial"/>
                <w:sz w:val="24"/>
                <w:szCs w:val="24"/>
              </w:rPr>
              <w:t>[</w:t>
            </w:r>
            <w:r w:rsidR="002E61B2">
              <w:rPr>
                <w:rFonts w:ascii="Arial" w:hAnsi="Arial" w:cs="Arial"/>
                <w:sz w:val="24"/>
                <w:szCs w:val="24"/>
              </w:rPr>
              <w:t>1</w:t>
            </w:r>
            <w:r w:rsidR="00D77A87">
              <w:rPr>
                <w:rFonts w:ascii="Arial" w:hAnsi="Arial" w:cs="Arial"/>
                <w:sz w:val="24"/>
                <w:szCs w:val="24"/>
              </w:rPr>
              <w:t>8</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 xml:space="preserve">For obvious reasons, I rehearse the principle here.  In our law, a fundamental lineament of </w:t>
            </w:r>
            <w:r w:rsidR="002E61B2">
              <w:rPr>
                <w:rFonts w:ascii="Arial" w:hAnsi="Arial" w:cs="Arial"/>
                <w:sz w:val="24"/>
                <w:szCs w:val="24"/>
              </w:rPr>
              <w:t>s</w:t>
            </w:r>
            <w:r>
              <w:rPr>
                <w:rFonts w:ascii="Arial" w:hAnsi="Arial" w:cs="Arial"/>
                <w:sz w:val="24"/>
                <w:szCs w:val="24"/>
              </w:rPr>
              <w:t>tatutory interpretation, coupled with the principle</w:t>
            </w:r>
            <w:r w:rsidR="002E61B2">
              <w:rPr>
                <w:rFonts w:ascii="Arial" w:hAnsi="Arial" w:cs="Arial"/>
                <w:sz w:val="24"/>
                <w:szCs w:val="24"/>
              </w:rPr>
              <w:t xml:space="preserve"> of</w:t>
            </w:r>
            <w:r w:rsidR="009204BA">
              <w:rPr>
                <w:rFonts w:ascii="Arial" w:hAnsi="Arial" w:cs="Arial"/>
                <w:sz w:val="24"/>
                <w:szCs w:val="24"/>
              </w:rPr>
              <w:t xml:space="preserve"> legality, is this. </w:t>
            </w:r>
            <w:r>
              <w:rPr>
                <w:rFonts w:ascii="Arial" w:hAnsi="Arial" w:cs="Arial"/>
                <w:sz w:val="24"/>
                <w:szCs w:val="24"/>
              </w:rPr>
              <w:t xml:space="preserve">Subordinate or subsidiary legislation must be read subject to its enabling Act.  This is in line with the </w:t>
            </w:r>
            <w:r w:rsidR="002E61B2">
              <w:rPr>
                <w:rFonts w:ascii="Arial" w:hAnsi="Arial" w:cs="Arial"/>
                <w:sz w:val="24"/>
                <w:szCs w:val="24"/>
              </w:rPr>
              <w:t>well-established</w:t>
            </w:r>
            <w:r>
              <w:rPr>
                <w:rFonts w:ascii="Arial" w:hAnsi="Arial" w:cs="Arial"/>
                <w:sz w:val="24"/>
                <w:szCs w:val="24"/>
              </w:rPr>
              <w:t xml:space="preserve"> rule of interpretation of statutes that a regulation (or any other subordinate legislation) cannot confer greater power than </w:t>
            </w:r>
            <w:proofErr w:type="gramStart"/>
            <w:r>
              <w:rPr>
                <w:rFonts w:ascii="Arial" w:hAnsi="Arial" w:cs="Arial"/>
                <w:sz w:val="24"/>
                <w:szCs w:val="24"/>
              </w:rPr>
              <w:t>its</w:t>
            </w:r>
            <w:proofErr w:type="gramEnd"/>
            <w:r>
              <w:rPr>
                <w:rFonts w:ascii="Arial" w:hAnsi="Arial" w:cs="Arial"/>
                <w:sz w:val="24"/>
                <w:szCs w:val="24"/>
              </w:rPr>
              <w:t xml:space="preserve"> enabling Act.</w:t>
            </w:r>
            <w:r>
              <w:rPr>
                <w:rStyle w:val="FootnoteReference"/>
                <w:rFonts w:ascii="Arial" w:hAnsi="Arial" w:cs="Arial"/>
                <w:sz w:val="24"/>
                <w:szCs w:val="24"/>
              </w:rPr>
              <w:footnoteReference w:id="5"/>
            </w:r>
            <w:r>
              <w:rPr>
                <w:rFonts w:ascii="Arial" w:hAnsi="Arial" w:cs="Arial"/>
                <w:sz w:val="24"/>
                <w:szCs w:val="24"/>
              </w:rPr>
              <w:t xml:space="preserve">  The result is that a subordinate legislation cannot make provisions that are inconsistent with its enabling Act.  Clause 6.9</w:t>
            </w:r>
            <w:r w:rsidRPr="00F04491">
              <w:rPr>
                <w:rFonts w:ascii="Arial" w:hAnsi="Arial" w:cs="Arial"/>
                <w:i/>
                <w:sz w:val="24"/>
                <w:szCs w:val="24"/>
              </w:rPr>
              <w:t>(f)</w:t>
            </w:r>
            <w:r>
              <w:rPr>
                <w:rFonts w:ascii="Arial" w:hAnsi="Arial" w:cs="Arial"/>
                <w:sz w:val="24"/>
                <w:szCs w:val="24"/>
              </w:rPr>
              <w:t xml:space="preserve"> of the Public Service Staff </w:t>
            </w:r>
            <w:r>
              <w:rPr>
                <w:rFonts w:ascii="Arial" w:hAnsi="Arial" w:cs="Arial"/>
                <w:sz w:val="24"/>
                <w:szCs w:val="24"/>
              </w:rPr>
              <w:lastRenderedPageBreak/>
              <w:t>Rule (PSSR) X.1 does exactly what our statute law prohibits.  The irrefragable consequence is that that clause is ultra vires s 26(8</w:t>
            </w:r>
            <w:proofErr w:type="gramStart"/>
            <w:r>
              <w:rPr>
                <w:rFonts w:ascii="Arial" w:hAnsi="Arial" w:cs="Arial"/>
                <w:sz w:val="24"/>
                <w:szCs w:val="24"/>
              </w:rPr>
              <w:t>)</w:t>
            </w:r>
            <w:r w:rsidRPr="00F04491">
              <w:rPr>
                <w:rFonts w:ascii="Arial" w:hAnsi="Arial" w:cs="Arial"/>
                <w:i/>
                <w:sz w:val="24"/>
                <w:szCs w:val="24"/>
              </w:rPr>
              <w:t>(</w:t>
            </w:r>
            <w:proofErr w:type="gramEnd"/>
            <w:r w:rsidRPr="00F04491">
              <w:rPr>
                <w:rFonts w:ascii="Arial" w:hAnsi="Arial" w:cs="Arial"/>
                <w:i/>
                <w:sz w:val="24"/>
                <w:szCs w:val="24"/>
              </w:rPr>
              <w:t>a)</w:t>
            </w:r>
            <w:r>
              <w:rPr>
                <w:rFonts w:ascii="Arial" w:hAnsi="Arial" w:cs="Arial"/>
                <w:sz w:val="24"/>
                <w:szCs w:val="24"/>
              </w:rPr>
              <w:t xml:space="preserve"> of the Public Service Act and, therefore, that clause is invalid, as a matter of the principle of legality</w:t>
            </w:r>
            <w:r w:rsidR="002E61B2">
              <w:rPr>
                <w:rFonts w:ascii="Arial" w:hAnsi="Arial" w:cs="Arial"/>
                <w:sz w:val="24"/>
                <w:szCs w:val="24"/>
              </w:rPr>
              <w:t xml:space="preserve">. </w:t>
            </w:r>
            <w:r w:rsidR="00C453A7">
              <w:rPr>
                <w:rFonts w:ascii="Arial" w:hAnsi="Arial" w:cs="Arial"/>
                <w:sz w:val="24"/>
                <w:szCs w:val="24"/>
              </w:rPr>
              <w:t>The reason is that c</w:t>
            </w:r>
            <w:r>
              <w:rPr>
                <w:rFonts w:ascii="Arial" w:hAnsi="Arial" w:cs="Arial"/>
                <w:sz w:val="24"/>
                <w:szCs w:val="24"/>
              </w:rPr>
              <w:t>lause 6.9</w:t>
            </w:r>
            <w:r w:rsidRPr="00F04491">
              <w:rPr>
                <w:rFonts w:ascii="Arial" w:hAnsi="Arial" w:cs="Arial"/>
                <w:i/>
                <w:sz w:val="24"/>
                <w:szCs w:val="24"/>
              </w:rPr>
              <w:t>(f)</w:t>
            </w:r>
            <w:r>
              <w:rPr>
                <w:rFonts w:ascii="Arial" w:hAnsi="Arial" w:cs="Arial"/>
                <w:sz w:val="24"/>
                <w:szCs w:val="24"/>
              </w:rPr>
              <w:t xml:space="preserve"> of the PSSR, as I stated in the judgment, does not fall within the scope of what is authorised by the enabling Act.</w:t>
            </w:r>
            <w:r>
              <w:rPr>
                <w:rStyle w:val="FootnoteReference"/>
                <w:rFonts w:ascii="Arial" w:hAnsi="Arial" w:cs="Arial"/>
                <w:sz w:val="24"/>
                <w:szCs w:val="24"/>
              </w:rPr>
              <w:footnoteReference w:id="6"/>
            </w:r>
          </w:p>
          <w:p w:rsidR="0067337F" w:rsidRDefault="0067337F" w:rsidP="0067337F">
            <w:pPr>
              <w:spacing w:line="360" w:lineRule="auto"/>
              <w:ind w:left="33"/>
              <w:jc w:val="both"/>
              <w:rPr>
                <w:rFonts w:ascii="Arial" w:hAnsi="Arial" w:cs="Arial"/>
                <w:sz w:val="24"/>
                <w:szCs w:val="24"/>
              </w:rPr>
            </w:pPr>
          </w:p>
          <w:p w:rsidR="0067337F" w:rsidRDefault="0067337F" w:rsidP="0067337F">
            <w:pPr>
              <w:spacing w:line="360" w:lineRule="auto"/>
              <w:ind w:left="33"/>
              <w:jc w:val="both"/>
              <w:rPr>
                <w:rFonts w:ascii="Arial" w:hAnsi="Arial" w:cs="Arial"/>
                <w:sz w:val="24"/>
                <w:szCs w:val="24"/>
              </w:rPr>
            </w:pPr>
            <w:r>
              <w:rPr>
                <w:rFonts w:ascii="Arial" w:hAnsi="Arial" w:cs="Arial"/>
                <w:sz w:val="24"/>
                <w:szCs w:val="24"/>
              </w:rPr>
              <w:t>[</w:t>
            </w:r>
            <w:r w:rsidR="002E61B2">
              <w:rPr>
                <w:rFonts w:ascii="Arial" w:hAnsi="Arial" w:cs="Arial"/>
                <w:sz w:val="24"/>
                <w:szCs w:val="24"/>
              </w:rPr>
              <w:t>1</w:t>
            </w:r>
            <w:r w:rsidR="00BE4DFC">
              <w:rPr>
                <w:rFonts w:ascii="Arial" w:hAnsi="Arial" w:cs="Arial"/>
                <w:sz w:val="24"/>
                <w:szCs w:val="24"/>
              </w:rPr>
              <w:t>9</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In words of one syllable, a provision in an enabling Act may be Constitution compliant, while a provision in a subsidiary legislation made under that enabling Act is </w:t>
            </w:r>
            <w:r w:rsidRPr="009204BA">
              <w:rPr>
                <w:rFonts w:ascii="Arial" w:hAnsi="Arial" w:cs="Arial"/>
                <w:i/>
                <w:sz w:val="24"/>
                <w:szCs w:val="24"/>
              </w:rPr>
              <w:t>ultra vires</w:t>
            </w:r>
            <w:r>
              <w:rPr>
                <w:rFonts w:ascii="Arial" w:hAnsi="Arial" w:cs="Arial"/>
                <w:sz w:val="24"/>
                <w:szCs w:val="24"/>
              </w:rPr>
              <w:t xml:space="preserve"> </w:t>
            </w:r>
            <w:r w:rsidR="002E61B2">
              <w:rPr>
                <w:rFonts w:ascii="Arial" w:hAnsi="Arial" w:cs="Arial"/>
                <w:sz w:val="24"/>
                <w:szCs w:val="24"/>
              </w:rPr>
              <w:t>the Act</w:t>
            </w:r>
            <w:r>
              <w:rPr>
                <w:rFonts w:ascii="Arial" w:hAnsi="Arial" w:cs="Arial"/>
                <w:sz w:val="24"/>
                <w:szCs w:val="24"/>
              </w:rPr>
              <w:t xml:space="preserve"> and therefore invalid.</w:t>
            </w:r>
            <w:r w:rsidR="002E61B2">
              <w:rPr>
                <w:rFonts w:ascii="Arial" w:hAnsi="Arial" w:cs="Arial"/>
                <w:sz w:val="24"/>
                <w:szCs w:val="24"/>
              </w:rPr>
              <w:t xml:space="preserve"> </w:t>
            </w:r>
            <w:r>
              <w:rPr>
                <w:rFonts w:ascii="Arial" w:hAnsi="Arial" w:cs="Arial"/>
                <w:sz w:val="24"/>
                <w:szCs w:val="24"/>
              </w:rPr>
              <w:t xml:space="preserve">Doubtless, what I said in paras 3 and 4 of the judgment and what I have said in para </w:t>
            </w:r>
            <w:r w:rsidR="002E61B2">
              <w:rPr>
                <w:rFonts w:ascii="Arial" w:hAnsi="Arial" w:cs="Arial"/>
                <w:sz w:val="24"/>
                <w:szCs w:val="24"/>
              </w:rPr>
              <w:t>17</w:t>
            </w:r>
            <w:r>
              <w:rPr>
                <w:rFonts w:ascii="Arial" w:hAnsi="Arial" w:cs="Arial"/>
                <w:sz w:val="24"/>
                <w:szCs w:val="24"/>
              </w:rPr>
              <w:t xml:space="preserve"> above are – to use a pedestrian language – Statute Law 101.</w:t>
            </w:r>
          </w:p>
          <w:p w:rsidR="0067337F" w:rsidRDefault="0067337F" w:rsidP="0067337F">
            <w:pPr>
              <w:spacing w:line="360" w:lineRule="auto"/>
              <w:ind w:left="33"/>
              <w:jc w:val="both"/>
              <w:rPr>
                <w:rFonts w:ascii="Arial" w:hAnsi="Arial" w:cs="Arial"/>
                <w:sz w:val="24"/>
                <w:szCs w:val="24"/>
              </w:rPr>
            </w:pPr>
          </w:p>
          <w:p w:rsidR="0067337F" w:rsidRDefault="0067337F" w:rsidP="0067337F">
            <w:pPr>
              <w:spacing w:line="360" w:lineRule="auto"/>
              <w:ind w:left="33"/>
              <w:jc w:val="both"/>
              <w:rPr>
                <w:rFonts w:ascii="Arial" w:hAnsi="Arial" w:cs="Arial"/>
                <w:sz w:val="24"/>
                <w:szCs w:val="24"/>
              </w:rPr>
            </w:pPr>
            <w:r>
              <w:rPr>
                <w:rFonts w:ascii="Arial" w:hAnsi="Arial" w:cs="Arial"/>
                <w:sz w:val="24"/>
                <w:szCs w:val="24"/>
              </w:rPr>
              <w:t>[</w:t>
            </w:r>
            <w:r w:rsidR="00BE4DFC">
              <w:rPr>
                <w:rFonts w:ascii="Arial" w:hAnsi="Arial" w:cs="Arial"/>
                <w:sz w:val="24"/>
                <w:szCs w:val="24"/>
              </w:rPr>
              <w:t>20</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Ncube’s</w:t>
            </w:r>
            <w:proofErr w:type="spellEnd"/>
            <w:r>
              <w:rPr>
                <w:rFonts w:ascii="Arial" w:hAnsi="Arial" w:cs="Arial"/>
                <w:sz w:val="24"/>
                <w:szCs w:val="24"/>
              </w:rPr>
              <w:t xml:space="preserve"> bravura in his submission that the court held that clause 6.9</w:t>
            </w:r>
            <w:r w:rsidRPr="00B42683">
              <w:rPr>
                <w:rFonts w:ascii="Arial" w:hAnsi="Arial" w:cs="Arial"/>
                <w:i/>
                <w:sz w:val="24"/>
                <w:szCs w:val="24"/>
              </w:rPr>
              <w:t>(f)</w:t>
            </w:r>
            <w:r>
              <w:rPr>
                <w:rFonts w:ascii="Arial" w:hAnsi="Arial" w:cs="Arial"/>
                <w:sz w:val="24"/>
                <w:szCs w:val="24"/>
              </w:rPr>
              <w:t xml:space="preserve"> is unconstitutional is misplaced.  The statement is not entirely correct.  The word ‘Constitution’ or any of its grammatical derivatives does not appear an</w:t>
            </w:r>
            <w:r w:rsidR="009204BA">
              <w:rPr>
                <w:rFonts w:ascii="Arial" w:hAnsi="Arial" w:cs="Arial"/>
                <w:sz w:val="24"/>
                <w:szCs w:val="24"/>
              </w:rPr>
              <w:t xml:space="preserve">ywhere in the entire judgment. </w:t>
            </w:r>
            <w:r>
              <w:rPr>
                <w:rFonts w:ascii="Arial" w:hAnsi="Arial" w:cs="Arial"/>
                <w:sz w:val="24"/>
                <w:szCs w:val="24"/>
              </w:rPr>
              <w:t xml:space="preserve">Mr </w:t>
            </w:r>
            <w:proofErr w:type="spellStart"/>
            <w:r>
              <w:rPr>
                <w:rFonts w:ascii="Arial" w:hAnsi="Arial" w:cs="Arial"/>
                <w:sz w:val="24"/>
                <w:szCs w:val="24"/>
              </w:rPr>
              <w:t>Ncube’s</w:t>
            </w:r>
            <w:proofErr w:type="spellEnd"/>
            <w:r>
              <w:rPr>
                <w:rFonts w:ascii="Arial" w:hAnsi="Arial" w:cs="Arial"/>
                <w:sz w:val="24"/>
                <w:szCs w:val="24"/>
              </w:rPr>
              <w:t xml:space="preserve"> submission is u</w:t>
            </w:r>
            <w:r w:rsidR="009204BA">
              <w:rPr>
                <w:rFonts w:ascii="Arial" w:hAnsi="Arial" w:cs="Arial"/>
                <w:sz w:val="24"/>
                <w:szCs w:val="24"/>
              </w:rPr>
              <w:t xml:space="preserve">ntethered to reason or facts. </w:t>
            </w:r>
            <w:r>
              <w:rPr>
                <w:rFonts w:ascii="Arial" w:hAnsi="Arial" w:cs="Arial"/>
                <w:sz w:val="24"/>
                <w:szCs w:val="24"/>
              </w:rPr>
              <w:t xml:space="preserve">Mr </w:t>
            </w:r>
            <w:proofErr w:type="spellStart"/>
            <w:r>
              <w:rPr>
                <w:rFonts w:ascii="Arial" w:hAnsi="Arial" w:cs="Arial"/>
                <w:sz w:val="24"/>
                <w:szCs w:val="24"/>
              </w:rPr>
              <w:t>Ncube’s</w:t>
            </w:r>
            <w:proofErr w:type="spellEnd"/>
            <w:r>
              <w:rPr>
                <w:rFonts w:ascii="Arial" w:hAnsi="Arial" w:cs="Arial"/>
                <w:sz w:val="24"/>
                <w:szCs w:val="24"/>
              </w:rPr>
              <w:t xml:space="preserve"> submission, with the greatest defe</w:t>
            </w:r>
            <w:r w:rsidR="00FA256F">
              <w:rPr>
                <w:rFonts w:ascii="Arial" w:hAnsi="Arial" w:cs="Arial"/>
                <w:sz w:val="24"/>
                <w:szCs w:val="24"/>
              </w:rPr>
              <w:t>ren</w:t>
            </w:r>
            <w:r>
              <w:rPr>
                <w:rFonts w:ascii="Arial" w:hAnsi="Arial" w:cs="Arial"/>
                <w:sz w:val="24"/>
                <w:szCs w:val="24"/>
              </w:rPr>
              <w:t xml:space="preserve">ce to him, is fallacious and </w:t>
            </w:r>
            <w:r w:rsidR="002E61B2">
              <w:rPr>
                <w:rFonts w:ascii="Arial" w:hAnsi="Arial" w:cs="Arial"/>
                <w:sz w:val="24"/>
                <w:szCs w:val="24"/>
              </w:rPr>
              <w:t>self-serving. It is, accordingly,</w:t>
            </w:r>
            <w:r>
              <w:rPr>
                <w:rFonts w:ascii="Arial" w:hAnsi="Arial" w:cs="Arial"/>
                <w:sz w:val="24"/>
                <w:szCs w:val="24"/>
              </w:rPr>
              <w:t xml:space="preserve"> roundly rejected.</w:t>
            </w:r>
          </w:p>
          <w:p w:rsidR="0067337F" w:rsidRDefault="0067337F" w:rsidP="0067337F">
            <w:pPr>
              <w:spacing w:line="360" w:lineRule="auto"/>
              <w:ind w:left="33"/>
              <w:jc w:val="both"/>
              <w:rPr>
                <w:rFonts w:ascii="Arial" w:hAnsi="Arial" w:cs="Arial"/>
                <w:sz w:val="24"/>
                <w:szCs w:val="24"/>
              </w:rPr>
            </w:pPr>
          </w:p>
          <w:p w:rsidR="000328D4" w:rsidRDefault="0067337F" w:rsidP="00146FF3">
            <w:pPr>
              <w:spacing w:line="360" w:lineRule="auto"/>
              <w:ind w:left="33"/>
              <w:jc w:val="both"/>
              <w:rPr>
                <w:rFonts w:ascii="Arial" w:hAnsi="Arial" w:cs="Arial"/>
                <w:sz w:val="24"/>
                <w:szCs w:val="24"/>
              </w:rPr>
            </w:pPr>
            <w:r>
              <w:rPr>
                <w:rFonts w:ascii="Arial" w:hAnsi="Arial" w:cs="Arial"/>
                <w:sz w:val="24"/>
                <w:szCs w:val="24"/>
              </w:rPr>
              <w:t>[</w:t>
            </w:r>
            <w:r w:rsidR="00146FF3">
              <w:rPr>
                <w:rFonts w:ascii="Arial" w:hAnsi="Arial" w:cs="Arial"/>
                <w:sz w:val="24"/>
                <w:szCs w:val="24"/>
              </w:rPr>
              <w:t>2</w:t>
            </w:r>
            <w:r w:rsidR="00BE4DFC">
              <w:rPr>
                <w:rFonts w:ascii="Arial" w:hAnsi="Arial" w:cs="Arial"/>
                <w:sz w:val="24"/>
                <w:szCs w:val="24"/>
              </w:rPr>
              <w:t>1</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I say in </w:t>
            </w:r>
            <w:r w:rsidR="00146FF3">
              <w:rPr>
                <w:rFonts w:ascii="Arial" w:hAnsi="Arial" w:cs="Arial"/>
                <w:sz w:val="24"/>
                <w:szCs w:val="24"/>
              </w:rPr>
              <w:t>parentheses</w:t>
            </w:r>
            <w:r>
              <w:rPr>
                <w:rFonts w:ascii="Arial" w:hAnsi="Arial" w:cs="Arial"/>
                <w:sz w:val="24"/>
                <w:szCs w:val="24"/>
              </w:rPr>
              <w:t xml:space="preserve"> that such ungrounded submission could pass as being of no moment but for the fact that, sadly, Mr </w:t>
            </w:r>
            <w:proofErr w:type="spellStart"/>
            <w:r>
              <w:rPr>
                <w:rFonts w:ascii="Arial" w:hAnsi="Arial" w:cs="Arial"/>
                <w:sz w:val="24"/>
                <w:szCs w:val="24"/>
              </w:rPr>
              <w:t>Ncube</w:t>
            </w:r>
            <w:proofErr w:type="spellEnd"/>
            <w:r>
              <w:rPr>
                <w:rFonts w:ascii="Arial" w:hAnsi="Arial" w:cs="Arial"/>
                <w:sz w:val="24"/>
                <w:szCs w:val="24"/>
              </w:rPr>
              <w:t xml:space="preserve"> had peddled his plainly egregious contention, which manifested itself in his unsound submission, to two of our fine and industrious political and administrative leaders, viz.  </w:t>
            </w:r>
            <w:r w:rsidR="00574AD0">
              <w:rPr>
                <w:rFonts w:ascii="Arial" w:hAnsi="Arial" w:cs="Arial"/>
                <w:sz w:val="24"/>
                <w:szCs w:val="24"/>
              </w:rPr>
              <w:t>The</w:t>
            </w:r>
            <w:r>
              <w:rPr>
                <w:rFonts w:ascii="Arial" w:hAnsi="Arial" w:cs="Arial"/>
                <w:sz w:val="24"/>
                <w:szCs w:val="24"/>
              </w:rPr>
              <w:t xml:space="preserve"> Right Honourable Prime Minister (the fourth respondent) and the esteemed Executive Director of the Ministry of Education, Arts and C</w:t>
            </w:r>
            <w:r w:rsidR="009204BA">
              <w:rPr>
                <w:rFonts w:ascii="Arial" w:hAnsi="Arial" w:cs="Arial"/>
                <w:sz w:val="24"/>
                <w:szCs w:val="24"/>
              </w:rPr>
              <w:t xml:space="preserve">ulture (the third respondent). </w:t>
            </w:r>
            <w:r w:rsidR="00146FF3">
              <w:rPr>
                <w:rFonts w:ascii="Arial" w:hAnsi="Arial" w:cs="Arial"/>
                <w:sz w:val="24"/>
                <w:szCs w:val="24"/>
              </w:rPr>
              <w:t>Labouring under</w:t>
            </w:r>
            <w:r w:rsidR="00211766">
              <w:rPr>
                <w:rFonts w:ascii="Arial" w:hAnsi="Arial" w:cs="Arial"/>
                <w:sz w:val="24"/>
                <w:szCs w:val="24"/>
              </w:rPr>
              <w:t xml:space="preserve"> </w:t>
            </w:r>
            <w:r w:rsidR="00146FF3">
              <w:rPr>
                <w:rFonts w:ascii="Arial" w:hAnsi="Arial" w:cs="Arial"/>
                <w:sz w:val="24"/>
                <w:szCs w:val="24"/>
              </w:rPr>
              <w:t xml:space="preserve">bad advice, </w:t>
            </w:r>
            <w:r w:rsidR="00A03378">
              <w:rPr>
                <w:rFonts w:ascii="Arial" w:hAnsi="Arial" w:cs="Arial"/>
                <w:sz w:val="24"/>
                <w:szCs w:val="24"/>
              </w:rPr>
              <w:t xml:space="preserve">these fine and industrious political and administrative leaders were made to </w:t>
            </w:r>
            <w:r>
              <w:rPr>
                <w:rFonts w:ascii="Arial" w:hAnsi="Arial" w:cs="Arial"/>
                <w:sz w:val="24"/>
                <w:szCs w:val="24"/>
              </w:rPr>
              <w:t>depo</w:t>
            </w:r>
            <w:r w:rsidR="00146FF3">
              <w:rPr>
                <w:rFonts w:ascii="Arial" w:hAnsi="Arial" w:cs="Arial"/>
                <w:sz w:val="24"/>
                <w:szCs w:val="24"/>
              </w:rPr>
              <w:t>se</w:t>
            </w:r>
            <w:r>
              <w:rPr>
                <w:rFonts w:ascii="Arial" w:hAnsi="Arial" w:cs="Arial"/>
                <w:sz w:val="24"/>
                <w:szCs w:val="24"/>
              </w:rPr>
              <w:t xml:space="preserve"> </w:t>
            </w:r>
            <w:r w:rsidR="00146FF3">
              <w:rPr>
                <w:rFonts w:ascii="Arial" w:hAnsi="Arial" w:cs="Arial"/>
                <w:sz w:val="24"/>
                <w:szCs w:val="24"/>
              </w:rPr>
              <w:t xml:space="preserve">to </w:t>
            </w:r>
            <w:r>
              <w:rPr>
                <w:rFonts w:ascii="Arial" w:hAnsi="Arial" w:cs="Arial"/>
                <w:sz w:val="24"/>
                <w:szCs w:val="24"/>
              </w:rPr>
              <w:t>affidavits in the founding papers</w:t>
            </w:r>
            <w:r w:rsidR="00146FF3">
              <w:rPr>
                <w:rFonts w:ascii="Arial" w:hAnsi="Arial" w:cs="Arial"/>
                <w:sz w:val="24"/>
                <w:szCs w:val="24"/>
              </w:rPr>
              <w:t xml:space="preserve"> wherein they rehearsed the bad advice</w:t>
            </w:r>
            <w:r>
              <w:rPr>
                <w:rFonts w:ascii="Arial" w:hAnsi="Arial" w:cs="Arial"/>
                <w:sz w:val="24"/>
                <w:szCs w:val="24"/>
              </w:rPr>
              <w:t xml:space="preserve">. </w:t>
            </w:r>
          </w:p>
          <w:p w:rsidR="000328D4" w:rsidRPr="00DA5803" w:rsidRDefault="000328D4" w:rsidP="000328D4">
            <w:pPr>
              <w:spacing w:line="360" w:lineRule="auto"/>
              <w:ind w:left="33"/>
              <w:jc w:val="center"/>
              <w:rPr>
                <w:rFonts w:ascii="Arial" w:hAnsi="Arial" w:cs="Arial"/>
                <w:b/>
                <w:sz w:val="24"/>
                <w:szCs w:val="24"/>
                <w:u w:val="single"/>
              </w:rPr>
            </w:pPr>
          </w:p>
          <w:p w:rsidR="000328D4" w:rsidRDefault="000328D4" w:rsidP="000328D4">
            <w:pPr>
              <w:spacing w:line="360" w:lineRule="auto"/>
              <w:ind w:left="33"/>
              <w:jc w:val="both"/>
              <w:rPr>
                <w:rFonts w:ascii="Arial" w:hAnsi="Arial" w:cs="Arial"/>
                <w:sz w:val="24"/>
                <w:szCs w:val="24"/>
              </w:rPr>
            </w:pPr>
            <w:r>
              <w:rPr>
                <w:rFonts w:ascii="Arial" w:hAnsi="Arial" w:cs="Arial"/>
                <w:sz w:val="24"/>
                <w:szCs w:val="24"/>
              </w:rPr>
              <w:t>[2</w:t>
            </w:r>
            <w:r w:rsidR="00BE4DFC">
              <w:rPr>
                <w:rFonts w:ascii="Arial" w:hAnsi="Arial" w:cs="Arial"/>
                <w:sz w:val="24"/>
                <w:szCs w:val="24"/>
              </w:rPr>
              <w:t>2</w:t>
            </w:r>
            <w:r>
              <w:rPr>
                <w:rFonts w:ascii="Arial" w:hAnsi="Arial" w:cs="Arial"/>
                <w:sz w:val="24"/>
                <w:szCs w:val="24"/>
              </w:rPr>
              <w:t>]</w:t>
            </w:r>
            <w:r w:rsidRPr="00323E22">
              <w:rPr>
                <w:rFonts w:ascii="Arial" w:hAnsi="Arial" w:cs="Arial"/>
                <w:sz w:val="24"/>
                <w:szCs w:val="24"/>
              </w:rPr>
              <w:tab/>
            </w:r>
            <w:r w:rsidRPr="005C1C07">
              <w:rPr>
                <w:rFonts w:ascii="Arial" w:hAnsi="Arial" w:cs="Arial"/>
                <w:i/>
                <w:sz w:val="24"/>
                <w:szCs w:val="24"/>
              </w:rPr>
              <w:t xml:space="preserve">Namibia Tourism Board v </w:t>
            </w:r>
            <w:proofErr w:type="spellStart"/>
            <w:r w:rsidRPr="005C1C07">
              <w:rPr>
                <w:rFonts w:ascii="Arial" w:hAnsi="Arial" w:cs="Arial"/>
                <w:i/>
                <w:sz w:val="24"/>
                <w:szCs w:val="24"/>
              </w:rPr>
              <w:t>Kauapirura-Angula</w:t>
            </w:r>
            <w:proofErr w:type="spellEnd"/>
            <w:r>
              <w:rPr>
                <w:rFonts w:ascii="Arial" w:hAnsi="Arial" w:cs="Arial"/>
                <w:sz w:val="24"/>
                <w:szCs w:val="24"/>
              </w:rPr>
              <w:t>,</w:t>
            </w:r>
            <w:r w:rsidR="00F24AF8">
              <w:rPr>
                <w:rStyle w:val="FootnoteReference"/>
                <w:rFonts w:ascii="Arial" w:hAnsi="Arial" w:cs="Arial"/>
                <w:sz w:val="24"/>
                <w:szCs w:val="24"/>
              </w:rPr>
              <w:footnoteReference w:id="7"/>
            </w:r>
            <w:r>
              <w:rPr>
                <w:rFonts w:ascii="Arial" w:hAnsi="Arial" w:cs="Arial"/>
                <w:sz w:val="24"/>
                <w:szCs w:val="24"/>
              </w:rPr>
              <w:t xml:space="preserve"> referred to the court by Mr </w:t>
            </w:r>
            <w:proofErr w:type="spellStart"/>
            <w:r>
              <w:rPr>
                <w:rFonts w:ascii="Arial" w:hAnsi="Arial" w:cs="Arial"/>
                <w:sz w:val="24"/>
                <w:szCs w:val="24"/>
              </w:rPr>
              <w:t>Ncube</w:t>
            </w:r>
            <w:proofErr w:type="spellEnd"/>
            <w:r>
              <w:rPr>
                <w:rFonts w:ascii="Arial" w:hAnsi="Arial" w:cs="Arial"/>
                <w:sz w:val="24"/>
                <w:szCs w:val="24"/>
              </w:rPr>
              <w:t xml:space="preserve"> is of no assistance on the point under consideration.  As I have said</w:t>
            </w:r>
            <w:r w:rsidR="00211766">
              <w:rPr>
                <w:rFonts w:ascii="Arial" w:hAnsi="Arial" w:cs="Arial"/>
                <w:sz w:val="24"/>
                <w:szCs w:val="24"/>
              </w:rPr>
              <w:t>,</w:t>
            </w:r>
            <w:r>
              <w:rPr>
                <w:rFonts w:ascii="Arial" w:hAnsi="Arial" w:cs="Arial"/>
                <w:sz w:val="24"/>
                <w:szCs w:val="24"/>
              </w:rPr>
              <w:t xml:space="preserve"> a careful and </w:t>
            </w:r>
            <w:proofErr w:type="spellStart"/>
            <w:r>
              <w:rPr>
                <w:rFonts w:ascii="Arial" w:hAnsi="Arial" w:cs="Arial"/>
                <w:sz w:val="24"/>
                <w:szCs w:val="24"/>
              </w:rPr>
              <w:t>unassumptive</w:t>
            </w:r>
            <w:proofErr w:type="spellEnd"/>
            <w:r>
              <w:rPr>
                <w:rFonts w:ascii="Arial" w:hAnsi="Arial" w:cs="Arial"/>
                <w:sz w:val="24"/>
                <w:szCs w:val="24"/>
              </w:rPr>
              <w:t xml:space="preserve"> reading of the judgment will </w:t>
            </w:r>
            <w:r w:rsidR="00211766">
              <w:rPr>
                <w:rFonts w:ascii="Arial" w:hAnsi="Arial" w:cs="Arial"/>
                <w:sz w:val="24"/>
                <w:szCs w:val="24"/>
              </w:rPr>
              <w:t xml:space="preserve">find that, on the authorities, </w:t>
            </w:r>
            <w:r>
              <w:rPr>
                <w:rFonts w:ascii="Arial" w:hAnsi="Arial" w:cs="Arial"/>
                <w:sz w:val="24"/>
                <w:szCs w:val="24"/>
              </w:rPr>
              <w:t>in considering whether to allow legal representation at administrative disciplinary hearings, the complexity of the case is not the only factor to take into account; as I laid it out in</w:t>
            </w:r>
            <w:r w:rsidR="00211766">
              <w:rPr>
                <w:rFonts w:ascii="Arial" w:hAnsi="Arial" w:cs="Arial"/>
                <w:sz w:val="24"/>
                <w:szCs w:val="24"/>
              </w:rPr>
              <w:t xml:space="preserve"> paras 5-8 of</w:t>
            </w:r>
            <w:r>
              <w:rPr>
                <w:rFonts w:ascii="Arial" w:hAnsi="Arial" w:cs="Arial"/>
                <w:sz w:val="24"/>
                <w:szCs w:val="24"/>
              </w:rPr>
              <w:t xml:space="preserve"> the judgment</w:t>
            </w:r>
            <w:r w:rsidR="00211766">
              <w:rPr>
                <w:rFonts w:ascii="Arial" w:hAnsi="Arial" w:cs="Arial"/>
                <w:sz w:val="24"/>
                <w:szCs w:val="24"/>
              </w:rPr>
              <w:t>.</w:t>
            </w:r>
          </w:p>
          <w:p w:rsidR="000328D4" w:rsidRDefault="000328D4" w:rsidP="000328D4">
            <w:pPr>
              <w:spacing w:line="360" w:lineRule="auto"/>
              <w:ind w:left="33"/>
              <w:jc w:val="both"/>
              <w:rPr>
                <w:rFonts w:ascii="Arial" w:hAnsi="Arial" w:cs="Arial"/>
                <w:sz w:val="24"/>
                <w:szCs w:val="24"/>
              </w:rPr>
            </w:pPr>
          </w:p>
          <w:p w:rsidR="000328D4" w:rsidRDefault="000328D4" w:rsidP="000328D4">
            <w:pPr>
              <w:spacing w:line="360" w:lineRule="auto"/>
              <w:ind w:left="33"/>
              <w:jc w:val="both"/>
              <w:rPr>
                <w:rFonts w:ascii="Arial" w:hAnsi="Arial" w:cs="Arial"/>
                <w:sz w:val="24"/>
                <w:szCs w:val="24"/>
              </w:rPr>
            </w:pPr>
            <w:r>
              <w:rPr>
                <w:rFonts w:ascii="Arial" w:hAnsi="Arial" w:cs="Arial"/>
                <w:sz w:val="24"/>
                <w:szCs w:val="24"/>
              </w:rPr>
              <w:lastRenderedPageBreak/>
              <w:t>[2</w:t>
            </w:r>
            <w:r w:rsidR="00BE4DFC">
              <w:rPr>
                <w:rFonts w:ascii="Arial" w:hAnsi="Arial" w:cs="Arial"/>
                <w:sz w:val="24"/>
                <w:szCs w:val="24"/>
              </w:rPr>
              <w:t>3</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 xml:space="preserve">As respects </w:t>
            </w:r>
            <w:proofErr w:type="spellStart"/>
            <w:r w:rsidR="00E049EE">
              <w:rPr>
                <w:rFonts w:ascii="Arial" w:hAnsi="Arial" w:cs="Arial"/>
                <w:i/>
                <w:sz w:val="24"/>
                <w:szCs w:val="24"/>
              </w:rPr>
              <w:t>K</w:t>
            </w:r>
            <w:r w:rsidRPr="003C67AE">
              <w:rPr>
                <w:rFonts w:ascii="Arial" w:hAnsi="Arial" w:cs="Arial"/>
                <w:i/>
                <w:sz w:val="24"/>
                <w:szCs w:val="24"/>
              </w:rPr>
              <w:t>auapirura-Angula</w:t>
            </w:r>
            <w:proofErr w:type="spellEnd"/>
            <w:r>
              <w:rPr>
                <w:rFonts w:ascii="Arial" w:hAnsi="Arial" w:cs="Arial"/>
                <w:sz w:val="24"/>
                <w:szCs w:val="24"/>
              </w:rPr>
              <w:t xml:space="preserve">, Mr </w:t>
            </w:r>
            <w:proofErr w:type="spellStart"/>
            <w:r>
              <w:rPr>
                <w:rFonts w:ascii="Arial" w:hAnsi="Arial" w:cs="Arial"/>
                <w:sz w:val="24"/>
                <w:szCs w:val="24"/>
              </w:rPr>
              <w:t>Ncube</w:t>
            </w:r>
            <w:proofErr w:type="spellEnd"/>
            <w:r>
              <w:rPr>
                <w:rFonts w:ascii="Arial" w:hAnsi="Arial" w:cs="Arial"/>
                <w:sz w:val="24"/>
                <w:szCs w:val="24"/>
              </w:rPr>
              <w:t xml:space="preserve"> does not tell the court what the employee’s standing in the community was; neither does the judgment.  In the instant matter, the applicant is a school teacher.  A teacher, in my view, stands in a special reputational relationship with not only the pupils or students of the school and their parents and guardians and her co-teachers but also, and more important, with the community in which she serves.  I hold firmly to the view that </w:t>
            </w:r>
            <w:proofErr w:type="spellStart"/>
            <w:r w:rsidRPr="003C67AE">
              <w:rPr>
                <w:rFonts w:ascii="Arial" w:hAnsi="Arial" w:cs="Arial"/>
                <w:i/>
                <w:sz w:val="24"/>
                <w:szCs w:val="24"/>
              </w:rPr>
              <w:t>Kauapirura-Angula</w:t>
            </w:r>
            <w:proofErr w:type="spellEnd"/>
            <w:r>
              <w:rPr>
                <w:rFonts w:ascii="Arial" w:hAnsi="Arial" w:cs="Arial"/>
                <w:sz w:val="24"/>
                <w:szCs w:val="24"/>
              </w:rPr>
              <w:t xml:space="preserve"> is of no assistance on the point under consideration.  Compared with the applicant, I dare say, the employee in </w:t>
            </w:r>
            <w:proofErr w:type="spellStart"/>
            <w:r w:rsidRPr="003C67AE">
              <w:rPr>
                <w:rFonts w:ascii="Arial" w:hAnsi="Arial" w:cs="Arial"/>
                <w:i/>
                <w:sz w:val="24"/>
                <w:szCs w:val="24"/>
              </w:rPr>
              <w:t>Kauapirura-Angula</w:t>
            </w:r>
            <w:proofErr w:type="spellEnd"/>
            <w:r>
              <w:rPr>
                <w:rFonts w:ascii="Arial" w:hAnsi="Arial" w:cs="Arial"/>
                <w:sz w:val="24"/>
                <w:szCs w:val="24"/>
              </w:rPr>
              <w:t xml:space="preserve"> is an unknown quantity in the community where his or her workplace is situated.</w:t>
            </w:r>
          </w:p>
          <w:p w:rsidR="000328D4" w:rsidRDefault="000328D4" w:rsidP="000328D4">
            <w:pPr>
              <w:spacing w:line="360" w:lineRule="auto"/>
              <w:ind w:left="33"/>
              <w:jc w:val="both"/>
              <w:rPr>
                <w:rFonts w:ascii="Arial" w:hAnsi="Arial" w:cs="Arial"/>
                <w:sz w:val="24"/>
                <w:szCs w:val="24"/>
              </w:rPr>
            </w:pPr>
          </w:p>
          <w:p w:rsidR="00F24AF8" w:rsidRDefault="000328D4" w:rsidP="00F24AF8">
            <w:pPr>
              <w:spacing w:line="360" w:lineRule="auto"/>
              <w:ind w:left="33"/>
              <w:jc w:val="both"/>
              <w:rPr>
                <w:rFonts w:ascii="Arial" w:hAnsi="Arial" w:cs="Arial"/>
                <w:sz w:val="24"/>
                <w:szCs w:val="24"/>
              </w:rPr>
            </w:pPr>
            <w:r>
              <w:rPr>
                <w:rFonts w:ascii="Arial" w:hAnsi="Arial" w:cs="Arial"/>
                <w:sz w:val="24"/>
                <w:szCs w:val="24"/>
              </w:rPr>
              <w:t>[</w:t>
            </w:r>
            <w:r w:rsidR="00F24AF8">
              <w:rPr>
                <w:rFonts w:ascii="Arial" w:hAnsi="Arial" w:cs="Arial"/>
                <w:sz w:val="24"/>
                <w:szCs w:val="24"/>
              </w:rPr>
              <w:t>2</w:t>
            </w:r>
            <w:r w:rsidR="00BE4DFC">
              <w:rPr>
                <w:rFonts w:ascii="Arial" w:hAnsi="Arial" w:cs="Arial"/>
                <w:sz w:val="24"/>
                <w:szCs w:val="24"/>
              </w:rPr>
              <w:t>4</w:t>
            </w:r>
            <w:r>
              <w:rPr>
                <w:rFonts w:ascii="Arial" w:hAnsi="Arial" w:cs="Arial"/>
                <w:sz w:val="24"/>
                <w:szCs w:val="24"/>
              </w:rPr>
              <w:t>]</w:t>
            </w:r>
            <w:r w:rsidRPr="00323E22">
              <w:rPr>
                <w:rFonts w:ascii="Arial" w:hAnsi="Arial" w:cs="Arial"/>
                <w:sz w:val="24"/>
                <w:szCs w:val="24"/>
              </w:rPr>
              <w:tab/>
            </w:r>
            <w:r>
              <w:rPr>
                <w:rFonts w:ascii="Arial" w:hAnsi="Arial" w:cs="Arial"/>
                <w:sz w:val="24"/>
                <w:szCs w:val="24"/>
              </w:rPr>
              <w:t xml:space="preserve">It is for such important considerations and others that courts have taken into account in their determination of such question not only the complexity of the case before administrative disciplinary hearings.  Contrary to the authorities that are gathered in the judgment, the court in </w:t>
            </w:r>
            <w:proofErr w:type="spellStart"/>
            <w:r w:rsidRPr="003C67AE">
              <w:rPr>
                <w:rFonts w:ascii="Arial" w:hAnsi="Arial" w:cs="Arial"/>
                <w:i/>
                <w:sz w:val="24"/>
                <w:szCs w:val="24"/>
              </w:rPr>
              <w:t>Kauapirura-Ang</w:t>
            </w:r>
            <w:r w:rsidR="00E95426">
              <w:rPr>
                <w:rFonts w:ascii="Arial" w:hAnsi="Arial" w:cs="Arial"/>
                <w:i/>
                <w:sz w:val="24"/>
                <w:szCs w:val="24"/>
              </w:rPr>
              <w:t>u</w:t>
            </w:r>
            <w:r w:rsidRPr="003C67AE">
              <w:rPr>
                <w:rFonts w:ascii="Arial" w:hAnsi="Arial" w:cs="Arial"/>
                <w:i/>
                <w:sz w:val="24"/>
                <w:szCs w:val="24"/>
              </w:rPr>
              <w:t>la</w:t>
            </w:r>
            <w:proofErr w:type="spellEnd"/>
            <w:r>
              <w:rPr>
                <w:rFonts w:ascii="Arial" w:hAnsi="Arial" w:cs="Arial"/>
                <w:sz w:val="24"/>
                <w:szCs w:val="24"/>
              </w:rPr>
              <w:t xml:space="preserve"> considered – it might have </w:t>
            </w:r>
            <w:r w:rsidR="00F24AF8">
              <w:rPr>
                <w:rFonts w:ascii="Arial" w:hAnsi="Arial" w:cs="Arial"/>
                <w:sz w:val="24"/>
                <w:szCs w:val="24"/>
              </w:rPr>
              <w:t xml:space="preserve">had </w:t>
            </w:r>
            <w:r>
              <w:rPr>
                <w:rFonts w:ascii="Arial" w:hAnsi="Arial" w:cs="Arial"/>
                <w:sz w:val="24"/>
                <w:szCs w:val="24"/>
              </w:rPr>
              <w:t xml:space="preserve">its own reasons for </w:t>
            </w:r>
            <w:r w:rsidR="00F24AF8">
              <w:rPr>
                <w:rFonts w:ascii="Arial" w:hAnsi="Arial" w:cs="Arial"/>
                <w:sz w:val="24"/>
                <w:szCs w:val="24"/>
              </w:rPr>
              <w:t xml:space="preserve">so </w:t>
            </w:r>
            <w:r>
              <w:rPr>
                <w:rFonts w:ascii="Arial" w:hAnsi="Arial" w:cs="Arial"/>
                <w:sz w:val="24"/>
                <w:szCs w:val="24"/>
              </w:rPr>
              <w:t>doing</w:t>
            </w:r>
            <w:r w:rsidR="00F24AF8">
              <w:rPr>
                <w:rFonts w:ascii="Arial" w:hAnsi="Arial" w:cs="Arial"/>
                <w:sz w:val="24"/>
                <w:szCs w:val="24"/>
              </w:rPr>
              <w:t xml:space="preserve"> </w:t>
            </w:r>
            <w:r>
              <w:rPr>
                <w:rFonts w:ascii="Arial" w:hAnsi="Arial" w:cs="Arial"/>
                <w:sz w:val="24"/>
                <w:szCs w:val="24"/>
              </w:rPr>
              <w:t xml:space="preserve">- only the factor of complexity of the case before the disciplinary hearing. Mr </w:t>
            </w:r>
            <w:proofErr w:type="spellStart"/>
            <w:r>
              <w:rPr>
                <w:rFonts w:ascii="Arial" w:hAnsi="Arial" w:cs="Arial"/>
                <w:sz w:val="24"/>
                <w:szCs w:val="24"/>
              </w:rPr>
              <w:t>Ncube</w:t>
            </w:r>
            <w:proofErr w:type="spellEnd"/>
            <w:r>
              <w:rPr>
                <w:rFonts w:ascii="Arial" w:hAnsi="Arial" w:cs="Arial"/>
                <w:sz w:val="24"/>
                <w:szCs w:val="24"/>
              </w:rPr>
              <w:t xml:space="preserve"> is so much enamoured with it.  I am not.</w:t>
            </w:r>
          </w:p>
          <w:p w:rsidR="00F24AF8" w:rsidRDefault="00F24AF8" w:rsidP="00ED76B2">
            <w:pPr>
              <w:spacing w:line="360" w:lineRule="auto"/>
              <w:ind w:left="20" w:hanging="20"/>
              <w:jc w:val="both"/>
              <w:rPr>
                <w:rFonts w:ascii="Arial" w:hAnsi="Arial" w:cs="Arial"/>
                <w:sz w:val="24"/>
                <w:szCs w:val="24"/>
              </w:rPr>
            </w:pPr>
          </w:p>
          <w:p w:rsidR="00E806A9" w:rsidRDefault="004B1C6E" w:rsidP="00ED76B2">
            <w:pPr>
              <w:spacing w:line="360" w:lineRule="auto"/>
              <w:ind w:left="20" w:hanging="20"/>
              <w:jc w:val="both"/>
              <w:rPr>
                <w:rFonts w:ascii="Arial" w:hAnsi="Arial" w:cs="Arial"/>
                <w:sz w:val="24"/>
                <w:szCs w:val="24"/>
              </w:rPr>
            </w:pPr>
            <w:r>
              <w:rPr>
                <w:rFonts w:ascii="Arial" w:hAnsi="Arial" w:cs="Arial"/>
                <w:sz w:val="24"/>
                <w:szCs w:val="24"/>
              </w:rPr>
              <w:t>[</w:t>
            </w:r>
            <w:r w:rsidR="00F24AF8">
              <w:rPr>
                <w:rFonts w:ascii="Arial" w:hAnsi="Arial" w:cs="Arial"/>
                <w:sz w:val="24"/>
                <w:szCs w:val="24"/>
              </w:rPr>
              <w:t>2</w:t>
            </w:r>
            <w:r w:rsidR="00BE4DFC">
              <w:rPr>
                <w:rFonts w:ascii="Arial" w:hAnsi="Arial" w:cs="Arial"/>
                <w:sz w:val="24"/>
                <w:szCs w:val="24"/>
              </w:rPr>
              <w:t>5</w:t>
            </w:r>
            <w:r>
              <w:rPr>
                <w:rFonts w:ascii="Arial" w:hAnsi="Arial" w:cs="Arial"/>
                <w:sz w:val="24"/>
                <w:szCs w:val="24"/>
              </w:rPr>
              <w:t>]</w:t>
            </w:r>
            <w:r w:rsidRPr="00323E22">
              <w:rPr>
                <w:rFonts w:ascii="Arial" w:hAnsi="Arial" w:cs="Arial"/>
                <w:sz w:val="24"/>
                <w:szCs w:val="24"/>
              </w:rPr>
              <w:tab/>
            </w:r>
            <w:r w:rsidR="00E806A9">
              <w:rPr>
                <w:rFonts w:ascii="Arial" w:hAnsi="Arial" w:cs="Arial"/>
                <w:sz w:val="24"/>
                <w:szCs w:val="24"/>
              </w:rPr>
              <w:t>Consequently, I conclude that the respondents have failed to establish that there are reasonable prospects of succe</w:t>
            </w:r>
            <w:r w:rsidR="00F24AF8">
              <w:rPr>
                <w:rFonts w:ascii="Arial" w:hAnsi="Arial" w:cs="Arial"/>
                <w:sz w:val="24"/>
                <w:szCs w:val="24"/>
              </w:rPr>
              <w:t>ss</w:t>
            </w:r>
            <w:r w:rsidR="00DB028C">
              <w:rPr>
                <w:rFonts w:ascii="Arial" w:hAnsi="Arial" w:cs="Arial"/>
                <w:sz w:val="24"/>
                <w:szCs w:val="24"/>
              </w:rPr>
              <w:t xml:space="preserve"> on the main application. </w:t>
            </w:r>
            <w:r w:rsidR="00E806A9">
              <w:rPr>
                <w:rFonts w:ascii="Arial" w:hAnsi="Arial" w:cs="Arial"/>
                <w:sz w:val="24"/>
                <w:szCs w:val="24"/>
              </w:rPr>
              <w:t>Th</w:t>
            </w:r>
            <w:r w:rsidR="00F24AF8">
              <w:rPr>
                <w:rFonts w:ascii="Arial" w:hAnsi="Arial" w:cs="Arial"/>
                <w:sz w:val="24"/>
                <w:szCs w:val="24"/>
              </w:rPr>
              <w:t>e</w:t>
            </w:r>
            <w:r w:rsidR="00426DC3">
              <w:rPr>
                <w:rFonts w:ascii="Arial" w:hAnsi="Arial" w:cs="Arial"/>
                <w:sz w:val="24"/>
                <w:szCs w:val="24"/>
              </w:rPr>
              <w:t>y</w:t>
            </w:r>
            <w:r w:rsidR="00E806A9">
              <w:rPr>
                <w:rFonts w:ascii="Arial" w:hAnsi="Arial" w:cs="Arial"/>
                <w:sz w:val="24"/>
                <w:szCs w:val="24"/>
              </w:rPr>
              <w:t xml:space="preserve"> have failed to satisfy the second requisite</w:t>
            </w:r>
            <w:r w:rsidR="00F24AF8">
              <w:rPr>
                <w:rFonts w:ascii="Arial" w:hAnsi="Arial" w:cs="Arial"/>
                <w:sz w:val="24"/>
                <w:szCs w:val="24"/>
              </w:rPr>
              <w:t xml:space="preserve"> of good cause</w:t>
            </w:r>
            <w:r w:rsidR="00E806A9">
              <w:rPr>
                <w:rFonts w:ascii="Arial" w:hAnsi="Arial" w:cs="Arial"/>
                <w:sz w:val="24"/>
                <w:szCs w:val="24"/>
              </w:rPr>
              <w:t>.</w:t>
            </w:r>
          </w:p>
          <w:p w:rsidR="00E806A9" w:rsidRDefault="00E806A9" w:rsidP="00ED76B2">
            <w:pPr>
              <w:spacing w:line="360" w:lineRule="auto"/>
              <w:ind w:left="20" w:hanging="20"/>
              <w:jc w:val="both"/>
              <w:rPr>
                <w:rFonts w:ascii="Arial" w:hAnsi="Arial" w:cs="Arial"/>
                <w:sz w:val="24"/>
                <w:szCs w:val="24"/>
              </w:rPr>
            </w:pPr>
          </w:p>
          <w:p w:rsidR="009B5BA7" w:rsidRDefault="00E806A9" w:rsidP="00ED76B2">
            <w:pPr>
              <w:spacing w:line="360" w:lineRule="auto"/>
              <w:ind w:left="20" w:hanging="20"/>
              <w:jc w:val="both"/>
              <w:rPr>
                <w:rFonts w:ascii="Arial" w:hAnsi="Arial" w:cs="Arial"/>
                <w:sz w:val="24"/>
                <w:szCs w:val="24"/>
              </w:rPr>
            </w:pPr>
            <w:r>
              <w:rPr>
                <w:rFonts w:ascii="Arial" w:hAnsi="Arial" w:cs="Arial"/>
                <w:sz w:val="24"/>
                <w:szCs w:val="24"/>
              </w:rPr>
              <w:t>[</w:t>
            </w:r>
            <w:r w:rsidR="00F24AF8">
              <w:rPr>
                <w:rFonts w:ascii="Arial" w:hAnsi="Arial" w:cs="Arial"/>
                <w:sz w:val="24"/>
                <w:szCs w:val="24"/>
              </w:rPr>
              <w:t>2</w:t>
            </w:r>
            <w:r w:rsidR="00BE4DFC">
              <w:rPr>
                <w:rFonts w:ascii="Arial" w:hAnsi="Arial" w:cs="Arial"/>
                <w:sz w:val="24"/>
                <w:szCs w:val="24"/>
              </w:rPr>
              <w:t>6</w:t>
            </w:r>
            <w:r>
              <w:rPr>
                <w:rFonts w:ascii="Arial" w:hAnsi="Arial" w:cs="Arial"/>
                <w:sz w:val="24"/>
                <w:szCs w:val="24"/>
              </w:rPr>
              <w:t>]</w:t>
            </w:r>
            <w:r w:rsidRPr="00323E22">
              <w:rPr>
                <w:rFonts w:ascii="Arial" w:hAnsi="Arial" w:cs="Arial"/>
                <w:sz w:val="24"/>
                <w:szCs w:val="24"/>
              </w:rPr>
              <w:tab/>
            </w:r>
            <w:r w:rsidR="009B5BA7">
              <w:rPr>
                <w:rFonts w:ascii="Arial" w:hAnsi="Arial" w:cs="Arial"/>
                <w:sz w:val="24"/>
                <w:szCs w:val="24"/>
              </w:rPr>
              <w:t xml:space="preserve">Based on these reasons, I conclude that the condonation application fails, and is refused.  The irrefragable </w:t>
            </w:r>
            <w:r w:rsidR="00F24AF8">
              <w:rPr>
                <w:rFonts w:ascii="Arial" w:hAnsi="Arial" w:cs="Arial"/>
                <w:sz w:val="24"/>
                <w:szCs w:val="24"/>
              </w:rPr>
              <w:t>consequence</w:t>
            </w:r>
            <w:r w:rsidR="009B5BA7">
              <w:rPr>
                <w:rFonts w:ascii="Arial" w:hAnsi="Arial" w:cs="Arial"/>
                <w:sz w:val="24"/>
                <w:szCs w:val="24"/>
              </w:rPr>
              <w:t xml:space="preserve"> is that there is no application properly before the court to rescind the judgment and order, dated 16 November 2022.</w:t>
            </w:r>
          </w:p>
          <w:p w:rsidR="009B5BA7" w:rsidRDefault="009B5BA7" w:rsidP="00ED76B2">
            <w:pPr>
              <w:spacing w:line="360" w:lineRule="auto"/>
              <w:ind w:left="20" w:hanging="20"/>
              <w:jc w:val="both"/>
              <w:rPr>
                <w:rFonts w:ascii="Arial" w:hAnsi="Arial" w:cs="Arial"/>
                <w:sz w:val="24"/>
                <w:szCs w:val="24"/>
              </w:rPr>
            </w:pPr>
          </w:p>
          <w:p w:rsidR="008C0C0F" w:rsidRDefault="009B5BA7" w:rsidP="00ED76B2">
            <w:pPr>
              <w:spacing w:line="360" w:lineRule="auto"/>
              <w:ind w:left="20" w:hanging="20"/>
              <w:jc w:val="both"/>
              <w:rPr>
                <w:rFonts w:ascii="Arial" w:hAnsi="Arial" w:cs="Arial"/>
                <w:sz w:val="24"/>
                <w:szCs w:val="24"/>
              </w:rPr>
            </w:pPr>
            <w:r>
              <w:rPr>
                <w:rFonts w:ascii="Arial" w:hAnsi="Arial" w:cs="Arial"/>
                <w:sz w:val="24"/>
                <w:szCs w:val="24"/>
              </w:rPr>
              <w:t>[</w:t>
            </w:r>
            <w:r w:rsidR="00721848">
              <w:rPr>
                <w:rFonts w:ascii="Arial" w:hAnsi="Arial" w:cs="Arial"/>
                <w:sz w:val="24"/>
                <w:szCs w:val="24"/>
              </w:rPr>
              <w:t>2</w:t>
            </w:r>
            <w:r w:rsidR="00BE4DFC">
              <w:rPr>
                <w:rFonts w:ascii="Arial" w:hAnsi="Arial" w:cs="Arial"/>
                <w:sz w:val="24"/>
                <w:szCs w:val="24"/>
              </w:rPr>
              <w:t>7</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sidR="00B27A9E">
              <w:rPr>
                <w:rFonts w:ascii="Arial" w:hAnsi="Arial" w:cs="Arial"/>
                <w:sz w:val="24"/>
                <w:szCs w:val="24"/>
              </w:rPr>
              <w:t>In the result, I order as follows:</w:t>
            </w:r>
            <w:r w:rsidR="004B1C6E">
              <w:rPr>
                <w:rFonts w:ascii="Arial" w:hAnsi="Arial" w:cs="Arial"/>
                <w:sz w:val="24"/>
                <w:szCs w:val="24"/>
              </w:rPr>
              <w:t xml:space="preserve"> </w:t>
            </w:r>
          </w:p>
          <w:p w:rsidR="00266C72" w:rsidRDefault="00266C72" w:rsidP="00ED76B2">
            <w:pPr>
              <w:spacing w:line="360" w:lineRule="auto"/>
              <w:ind w:left="20" w:hanging="20"/>
              <w:jc w:val="both"/>
              <w:rPr>
                <w:rFonts w:ascii="Arial" w:hAnsi="Arial" w:cs="Arial"/>
                <w:sz w:val="24"/>
                <w:szCs w:val="24"/>
              </w:rPr>
            </w:pPr>
          </w:p>
          <w:p w:rsidR="00A85792" w:rsidRDefault="00A85792" w:rsidP="00C34E5E">
            <w:pPr>
              <w:spacing w:line="360" w:lineRule="auto"/>
              <w:ind w:left="743" w:hanging="710"/>
              <w:jc w:val="both"/>
              <w:rPr>
                <w:rFonts w:ascii="Arial" w:hAnsi="Arial" w:cs="Arial"/>
                <w:sz w:val="24"/>
                <w:szCs w:val="24"/>
              </w:rPr>
            </w:pPr>
            <w:r>
              <w:rPr>
                <w:rFonts w:ascii="Arial" w:hAnsi="Arial" w:cs="Arial"/>
                <w:sz w:val="24"/>
                <w:szCs w:val="24"/>
              </w:rPr>
              <w:t>1.</w:t>
            </w:r>
            <w:r w:rsidRPr="00323E22">
              <w:rPr>
                <w:rFonts w:ascii="Arial" w:hAnsi="Arial" w:cs="Arial"/>
                <w:sz w:val="24"/>
                <w:szCs w:val="24"/>
              </w:rPr>
              <w:tab/>
            </w:r>
            <w:r w:rsidR="004E41EE">
              <w:rPr>
                <w:rFonts w:ascii="Arial" w:hAnsi="Arial" w:cs="Arial"/>
                <w:sz w:val="24"/>
                <w:szCs w:val="24"/>
              </w:rPr>
              <w:t>The condonation application is dismissed.</w:t>
            </w:r>
          </w:p>
          <w:p w:rsidR="00A85792" w:rsidRDefault="00A85792" w:rsidP="00C34E5E">
            <w:pPr>
              <w:spacing w:line="360" w:lineRule="auto"/>
              <w:ind w:left="743" w:hanging="710"/>
              <w:jc w:val="both"/>
              <w:rPr>
                <w:rFonts w:ascii="Arial" w:hAnsi="Arial" w:cs="Arial"/>
                <w:sz w:val="24"/>
                <w:szCs w:val="24"/>
              </w:rPr>
            </w:pPr>
          </w:p>
          <w:p w:rsidR="00A85792" w:rsidRDefault="00A85792" w:rsidP="00C34E5E">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4E41EE">
              <w:rPr>
                <w:rFonts w:ascii="Arial" w:hAnsi="Arial" w:cs="Arial"/>
                <w:sz w:val="24"/>
                <w:szCs w:val="24"/>
              </w:rPr>
              <w:t>The application to rescind the judgment and order of the court, dated 16 November 2022, is struck from the roll.</w:t>
            </w:r>
          </w:p>
          <w:p w:rsidR="00DD05C9" w:rsidRDefault="00DD05C9" w:rsidP="00C34E5E">
            <w:pPr>
              <w:spacing w:line="360" w:lineRule="auto"/>
              <w:ind w:left="743" w:hanging="710"/>
              <w:jc w:val="both"/>
              <w:rPr>
                <w:rFonts w:ascii="Arial" w:hAnsi="Arial" w:cs="Arial"/>
                <w:sz w:val="24"/>
                <w:szCs w:val="24"/>
              </w:rPr>
            </w:pPr>
          </w:p>
          <w:p w:rsidR="00DD05C9" w:rsidRDefault="00DD05C9" w:rsidP="00C34E5E">
            <w:pPr>
              <w:spacing w:line="360" w:lineRule="auto"/>
              <w:ind w:left="743" w:hanging="710"/>
              <w:jc w:val="both"/>
              <w:rPr>
                <w:rFonts w:ascii="Arial" w:hAnsi="Arial" w:cs="Arial"/>
                <w:sz w:val="24"/>
                <w:szCs w:val="24"/>
              </w:rPr>
            </w:pPr>
            <w:r>
              <w:rPr>
                <w:rFonts w:ascii="Arial" w:hAnsi="Arial" w:cs="Arial"/>
                <w:sz w:val="24"/>
                <w:szCs w:val="24"/>
              </w:rPr>
              <w:t>3.</w:t>
            </w:r>
            <w:r w:rsidRPr="00323E22">
              <w:rPr>
                <w:rFonts w:ascii="Arial" w:hAnsi="Arial" w:cs="Arial"/>
                <w:sz w:val="24"/>
                <w:szCs w:val="24"/>
              </w:rPr>
              <w:t xml:space="preserve"> </w:t>
            </w:r>
            <w:r w:rsidRPr="00323E22">
              <w:rPr>
                <w:rFonts w:ascii="Arial" w:hAnsi="Arial" w:cs="Arial"/>
                <w:sz w:val="24"/>
                <w:szCs w:val="24"/>
              </w:rPr>
              <w:tab/>
            </w:r>
            <w:r w:rsidR="004E41EE">
              <w:rPr>
                <w:rFonts w:ascii="Arial" w:hAnsi="Arial" w:cs="Arial"/>
                <w:sz w:val="24"/>
                <w:szCs w:val="24"/>
              </w:rPr>
              <w:t>The</w:t>
            </w:r>
            <w:r w:rsidR="00426DC3">
              <w:rPr>
                <w:rFonts w:ascii="Arial" w:hAnsi="Arial" w:cs="Arial"/>
                <w:sz w:val="24"/>
                <w:szCs w:val="24"/>
              </w:rPr>
              <w:t>re</w:t>
            </w:r>
            <w:r w:rsidR="004E41EE">
              <w:rPr>
                <w:rFonts w:ascii="Arial" w:hAnsi="Arial" w:cs="Arial"/>
                <w:sz w:val="24"/>
                <w:szCs w:val="24"/>
              </w:rPr>
              <w:t xml:space="preserve"> is no order as to costs.</w:t>
            </w:r>
          </w:p>
          <w:p w:rsidR="004E41EE" w:rsidRDefault="004E41EE" w:rsidP="00C34E5E">
            <w:pPr>
              <w:spacing w:line="360" w:lineRule="auto"/>
              <w:ind w:left="743" w:hanging="710"/>
              <w:jc w:val="both"/>
              <w:rPr>
                <w:rFonts w:ascii="Arial" w:hAnsi="Arial" w:cs="Arial"/>
                <w:sz w:val="24"/>
                <w:szCs w:val="24"/>
              </w:rPr>
            </w:pPr>
          </w:p>
          <w:p w:rsidR="004E41EE" w:rsidRDefault="004E41EE" w:rsidP="00C34E5E">
            <w:pPr>
              <w:spacing w:line="360" w:lineRule="auto"/>
              <w:ind w:left="743" w:hanging="710"/>
              <w:jc w:val="both"/>
              <w:rPr>
                <w:rFonts w:ascii="Arial" w:hAnsi="Arial" w:cs="Arial"/>
                <w:sz w:val="24"/>
                <w:szCs w:val="24"/>
              </w:rPr>
            </w:pPr>
            <w:r>
              <w:rPr>
                <w:rFonts w:ascii="Arial" w:hAnsi="Arial" w:cs="Arial"/>
                <w:sz w:val="24"/>
                <w:szCs w:val="24"/>
              </w:rPr>
              <w:t>4.</w:t>
            </w:r>
            <w:r w:rsidRPr="00323E22">
              <w:rPr>
                <w:rFonts w:ascii="Arial" w:hAnsi="Arial" w:cs="Arial"/>
                <w:sz w:val="24"/>
                <w:szCs w:val="24"/>
              </w:rPr>
              <w:t xml:space="preserve"> </w:t>
            </w:r>
            <w:r w:rsidRPr="00323E22">
              <w:rPr>
                <w:rFonts w:ascii="Arial" w:hAnsi="Arial" w:cs="Arial"/>
                <w:sz w:val="24"/>
                <w:szCs w:val="24"/>
              </w:rPr>
              <w:tab/>
            </w:r>
            <w:r>
              <w:rPr>
                <w:rFonts w:ascii="Arial" w:hAnsi="Arial" w:cs="Arial"/>
                <w:sz w:val="24"/>
                <w:szCs w:val="24"/>
              </w:rPr>
              <w:t>The matter is finalised and removed from the roll.</w:t>
            </w:r>
          </w:p>
          <w:p w:rsidR="00C04F28" w:rsidRPr="00CA7995" w:rsidRDefault="00C04F28" w:rsidP="00426DC3">
            <w:pPr>
              <w:spacing w:line="360" w:lineRule="auto"/>
              <w:jc w:val="both"/>
              <w:rPr>
                <w:rFonts w:ascii="Arial" w:hAnsi="Arial" w:cs="Arial"/>
                <w:sz w:val="24"/>
                <w:szCs w:val="24"/>
              </w:rPr>
            </w:pP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7F2D76" w:rsidP="00661194">
            <w:pPr>
              <w:spacing w:line="360" w:lineRule="auto"/>
              <w:jc w:val="center"/>
              <w:rPr>
                <w:rFonts w:ascii="Arial" w:hAnsi="Arial" w:cs="Arial"/>
                <w:b/>
                <w:sz w:val="24"/>
                <w:szCs w:val="24"/>
              </w:rPr>
            </w:pPr>
            <w:r>
              <w:rPr>
                <w:rFonts w:ascii="Arial" w:hAnsi="Arial" w:cs="Arial"/>
                <w:b/>
                <w:sz w:val="24"/>
                <w:szCs w:val="24"/>
              </w:rPr>
              <w:t>Applicant</w:t>
            </w:r>
          </w:p>
        </w:tc>
        <w:tc>
          <w:tcPr>
            <w:tcW w:w="5436" w:type="dxa"/>
            <w:gridSpan w:val="2"/>
          </w:tcPr>
          <w:p w:rsidR="00B40844" w:rsidRPr="00CA7995" w:rsidRDefault="007F2D76"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136505">
        <w:tc>
          <w:tcPr>
            <w:tcW w:w="4770" w:type="dxa"/>
          </w:tcPr>
          <w:p w:rsidR="007F2D76" w:rsidRPr="00DB6370" w:rsidRDefault="007F2D76" w:rsidP="007F2D76">
            <w:pPr>
              <w:spacing w:line="360" w:lineRule="auto"/>
              <w:jc w:val="center"/>
              <w:rPr>
                <w:rFonts w:ascii="Arial" w:hAnsi="Arial" w:cs="Arial"/>
                <w:sz w:val="24"/>
                <w:szCs w:val="24"/>
              </w:rPr>
            </w:pPr>
            <w:r w:rsidRPr="00DB6370">
              <w:rPr>
                <w:rFonts w:ascii="Arial" w:hAnsi="Arial" w:cs="Arial"/>
                <w:sz w:val="24"/>
                <w:szCs w:val="24"/>
              </w:rPr>
              <w:t xml:space="preserve">C </w:t>
            </w:r>
            <w:proofErr w:type="spellStart"/>
            <w:r>
              <w:rPr>
                <w:rFonts w:ascii="Arial" w:hAnsi="Arial" w:cs="Arial"/>
                <w:sz w:val="24"/>
                <w:szCs w:val="24"/>
              </w:rPr>
              <w:t>M</w:t>
            </w:r>
            <w:r w:rsidRPr="00DB6370">
              <w:rPr>
                <w:rFonts w:ascii="Arial" w:hAnsi="Arial" w:cs="Arial"/>
                <w:sz w:val="24"/>
                <w:szCs w:val="24"/>
              </w:rPr>
              <w:t>ayumbelo</w:t>
            </w:r>
            <w:proofErr w:type="spellEnd"/>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7F2D76" w:rsidRPr="00136505" w:rsidRDefault="007F2D76" w:rsidP="007F2D76">
            <w:pPr>
              <w:spacing w:line="360" w:lineRule="auto"/>
              <w:jc w:val="center"/>
              <w:rPr>
                <w:rFonts w:ascii="Arial" w:hAnsi="Arial" w:cs="Arial"/>
                <w:sz w:val="24"/>
                <w:szCs w:val="24"/>
              </w:rPr>
            </w:pPr>
            <w:r w:rsidRPr="00DB6370">
              <w:rPr>
                <w:rFonts w:ascii="Arial" w:hAnsi="Arial" w:cs="Arial"/>
                <w:sz w:val="24"/>
                <w:szCs w:val="24"/>
              </w:rPr>
              <w:t xml:space="preserve">Chris </w:t>
            </w:r>
            <w:proofErr w:type="spellStart"/>
            <w:r w:rsidRPr="00DB6370">
              <w:rPr>
                <w:rFonts w:ascii="Arial" w:hAnsi="Arial" w:cs="Arial"/>
                <w:sz w:val="24"/>
                <w:szCs w:val="24"/>
              </w:rPr>
              <w:t>Mayumbelo</w:t>
            </w:r>
            <w:proofErr w:type="spellEnd"/>
            <w:r w:rsidRPr="00DB6370">
              <w:rPr>
                <w:rFonts w:ascii="Arial" w:hAnsi="Arial" w:cs="Arial"/>
                <w:sz w:val="24"/>
                <w:szCs w:val="24"/>
              </w:rPr>
              <w:t xml:space="preserve"> &amp; Co.,</w:t>
            </w:r>
            <w:r w:rsidRPr="00136505">
              <w:rPr>
                <w:rFonts w:ascii="Arial" w:hAnsi="Arial" w:cs="Arial"/>
                <w:sz w:val="24"/>
                <w:szCs w:val="24"/>
              </w:rPr>
              <w:t xml:space="preserve"> Windhoek</w:t>
            </w:r>
          </w:p>
          <w:p w:rsidR="00B40844" w:rsidRPr="00D24453" w:rsidRDefault="00B40844" w:rsidP="007F2D76">
            <w:pPr>
              <w:jc w:val="center"/>
              <w:rPr>
                <w:rFonts w:ascii="Arial" w:hAnsi="Arial" w:cs="Arial"/>
                <w:sz w:val="24"/>
                <w:szCs w:val="24"/>
              </w:rPr>
            </w:pPr>
          </w:p>
        </w:tc>
        <w:tc>
          <w:tcPr>
            <w:tcW w:w="5436" w:type="dxa"/>
            <w:gridSpan w:val="2"/>
          </w:tcPr>
          <w:p w:rsidR="007F2D76" w:rsidRPr="00DB6370" w:rsidRDefault="007F2D76" w:rsidP="007F2D76">
            <w:pPr>
              <w:spacing w:line="360" w:lineRule="auto"/>
              <w:jc w:val="center"/>
              <w:rPr>
                <w:rFonts w:ascii="Arial" w:hAnsi="Arial" w:cs="Arial"/>
                <w:sz w:val="24"/>
                <w:szCs w:val="24"/>
              </w:rPr>
            </w:pPr>
            <w:r>
              <w:rPr>
                <w:rFonts w:ascii="Arial" w:hAnsi="Arial" w:cs="Arial"/>
                <w:sz w:val="24"/>
                <w:szCs w:val="24"/>
              </w:rPr>
              <w:t>J</w:t>
            </w:r>
            <w:r w:rsidRPr="00DB6370">
              <w:rPr>
                <w:rFonts w:ascii="Arial" w:hAnsi="Arial" w:cs="Arial"/>
                <w:sz w:val="24"/>
                <w:szCs w:val="24"/>
              </w:rPr>
              <w:t xml:space="preserve"> </w:t>
            </w:r>
            <w:proofErr w:type="spellStart"/>
            <w:r>
              <w:rPr>
                <w:rFonts w:ascii="Arial" w:hAnsi="Arial" w:cs="Arial"/>
                <w:sz w:val="24"/>
                <w:szCs w:val="24"/>
              </w:rPr>
              <w:t>N</w:t>
            </w:r>
            <w:r w:rsidRPr="00DB6370">
              <w:rPr>
                <w:rFonts w:ascii="Arial" w:hAnsi="Arial" w:cs="Arial"/>
                <w:sz w:val="24"/>
                <w:szCs w:val="24"/>
              </w:rPr>
              <w:t>cube</w:t>
            </w:r>
            <w:proofErr w:type="spellEnd"/>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7F2D76" w:rsidRPr="00136505" w:rsidRDefault="007F2D76" w:rsidP="007F2D76">
            <w:pPr>
              <w:jc w:val="center"/>
              <w:rPr>
                <w:rFonts w:ascii="Arial" w:hAnsi="Arial" w:cs="Arial"/>
                <w:sz w:val="24"/>
                <w:szCs w:val="24"/>
              </w:rPr>
            </w:pPr>
            <w:r w:rsidRPr="00DB6370">
              <w:rPr>
                <w:rFonts w:ascii="Arial" w:hAnsi="Arial" w:cs="Arial"/>
                <w:sz w:val="24"/>
                <w:szCs w:val="24"/>
              </w:rPr>
              <w:t>Office of the Government Attorney</w:t>
            </w:r>
            <w:r w:rsidRPr="00136505">
              <w:rPr>
                <w:rFonts w:ascii="Arial" w:hAnsi="Arial" w:cs="Arial"/>
                <w:sz w:val="24"/>
                <w:szCs w:val="24"/>
              </w:rPr>
              <w:t>, Windhoek</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2F" w:rsidRDefault="0074272F" w:rsidP="00B40844">
      <w:pPr>
        <w:spacing w:after="0" w:line="240" w:lineRule="auto"/>
      </w:pPr>
      <w:r>
        <w:separator/>
      </w:r>
    </w:p>
  </w:endnote>
  <w:endnote w:type="continuationSeparator" w:id="0">
    <w:p w:rsidR="0074272F" w:rsidRDefault="0074272F"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2F" w:rsidRDefault="0074272F" w:rsidP="00B40844">
      <w:pPr>
        <w:spacing w:after="0" w:line="240" w:lineRule="auto"/>
      </w:pPr>
      <w:r>
        <w:separator/>
      </w:r>
    </w:p>
  </w:footnote>
  <w:footnote w:type="continuationSeparator" w:id="0">
    <w:p w:rsidR="0074272F" w:rsidRDefault="0074272F" w:rsidP="00B40844">
      <w:pPr>
        <w:spacing w:after="0" w:line="240" w:lineRule="auto"/>
      </w:pPr>
      <w:r>
        <w:continuationSeparator/>
      </w:r>
    </w:p>
  </w:footnote>
  <w:footnote w:id="1">
    <w:p w:rsidR="00175B35" w:rsidRPr="00F82F91" w:rsidRDefault="00175B35" w:rsidP="00F82F91">
      <w:pPr>
        <w:pStyle w:val="FootnoteText"/>
        <w:jc w:val="both"/>
        <w:rPr>
          <w:rFonts w:ascii="Arial" w:hAnsi="Arial" w:cs="Arial"/>
        </w:rPr>
      </w:pPr>
      <w:r w:rsidRPr="00F82F91">
        <w:rPr>
          <w:rStyle w:val="FootnoteReference"/>
          <w:rFonts w:ascii="Arial" w:hAnsi="Arial" w:cs="Arial"/>
        </w:rPr>
        <w:footnoteRef/>
      </w:r>
      <w:r w:rsidRPr="00F82F91">
        <w:rPr>
          <w:rFonts w:ascii="Arial" w:hAnsi="Arial" w:cs="Arial"/>
        </w:rPr>
        <w:t xml:space="preserve"> See, </w:t>
      </w:r>
      <w:proofErr w:type="spellStart"/>
      <w:r w:rsidRPr="00F82F91">
        <w:rPr>
          <w:rFonts w:ascii="Arial" w:hAnsi="Arial" w:cs="Arial"/>
        </w:rPr>
        <w:t>eg</w:t>
      </w:r>
      <w:proofErr w:type="spellEnd"/>
      <w:r w:rsidRPr="00F82F91">
        <w:rPr>
          <w:rFonts w:ascii="Arial" w:hAnsi="Arial" w:cs="Arial"/>
        </w:rPr>
        <w:t xml:space="preserve">, </w:t>
      </w:r>
      <w:proofErr w:type="spellStart"/>
      <w:r w:rsidRPr="00F82F91">
        <w:rPr>
          <w:rFonts w:ascii="Arial" w:hAnsi="Arial" w:cs="Arial"/>
          <w:i/>
        </w:rPr>
        <w:t>Balzer</w:t>
      </w:r>
      <w:proofErr w:type="spellEnd"/>
      <w:r w:rsidRPr="00F82F91">
        <w:rPr>
          <w:rFonts w:ascii="Arial" w:hAnsi="Arial" w:cs="Arial"/>
          <w:i/>
        </w:rPr>
        <w:t xml:space="preserve"> v </w:t>
      </w:r>
      <w:proofErr w:type="spellStart"/>
      <w:r w:rsidRPr="00F82F91">
        <w:rPr>
          <w:rFonts w:ascii="Arial" w:hAnsi="Arial" w:cs="Arial"/>
          <w:i/>
        </w:rPr>
        <w:t>Vries</w:t>
      </w:r>
      <w:proofErr w:type="spellEnd"/>
      <w:r w:rsidRPr="00F82F91">
        <w:rPr>
          <w:rFonts w:ascii="Arial" w:hAnsi="Arial" w:cs="Arial"/>
        </w:rPr>
        <w:t xml:space="preserve"> 2015 (2) NR 547 (SC).</w:t>
      </w:r>
    </w:p>
  </w:footnote>
  <w:footnote w:id="2">
    <w:p w:rsidR="00175B35" w:rsidRPr="00F82F91" w:rsidRDefault="00175B35" w:rsidP="00F82F91">
      <w:pPr>
        <w:pStyle w:val="FootnoteText"/>
        <w:jc w:val="both"/>
        <w:rPr>
          <w:rFonts w:ascii="Arial" w:hAnsi="Arial" w:cs="Arial"/>
        </w:rPr>
      </w:pPr>
      <w:r w:rsidRPr="00F82F91">
        <w:rPr>
          <w:rStyle w:val="FootnoteReference"/>
          <w:rFonts w:ascii="Arial" w:hAnsi="Arial" w:cs="Arial"/>
        </w:rPr>
        <w:footnoteRef/>
      </w:r>
      <w:r w:rsidRPr="00F82F91">
        <w:rPr>
          <w:rFonts w:ascii="Arial" w:hAnsi="Arial" w:cs="Arial"/>
        </w:rPr>
        <w:t xml:space="preserve"> Ibid.</w:t>
      </w:r>
    </w:p>
  </w:footnote>
  <w:footnote w:id="3">
    <w:p w:rsidR="00C453A7" w:rsidRPr="00C453A7" w:rsidRDefault="00C453A7">
      <w:pPr>
        <w:pStyle w:val="FootnoteText"/>
        <w:rPr>
          <w:lang w:val="en-GB"/>
        </w:rPr>
      </w:pPr>
      <w:r>
        <w:rPr>
          <w:rStyle w:val="FootnoteReference"/>
        </w:rPr>
        <w:footnoteRef/>
      </w:r>
      <w:r>
        <w:t xml:space="preserve"> </w:t>
      </w:r>
      <w:r w:rsidRPr="00C453A7">
        <w:rPr>
          <w:i/>
          <w:lang w:val="en-GB"/>
        </w:rPr>
        <w:t>Maia v Total Namibia (Pty) Ltd 1998 NR 303 (HC).</w:t>
      </w:r>
    </w:p>
  </w:footnote>
  <w:footnote w:id="4">
    <w:p w:rsidR="007B4433" w:rsidRPr="00244057" w:rsidRDefault="007B4433" w:rsidP="00244057">
      <w:pPr>
        <w:pStyle w:val="FootnoteText"/>
        <w:jc w:val="both"/>
        <w:rPr>
          <w:rFonts w:ascii="Arial" w:hAnsi="Arial" w:cs="Arial"/>
        </w:rPr>
      </w:pPr>
      <w:r w:rsidRPr="00244057">
        <w:rPr>
          <w:rStyle w:val="FootnoteReference"/>
          <w:rFonts w:ascii="Arial" w:hAnsi="Arial" w:cs="Arial"/>
        </w:rPr>
        <w:footnoteRef/>
      </w:r>
      <w:r w:rsidRPr="00244057">
        <w:rPr>
          <w:rFonts w:ascii="Arial" w:hAnsi="Arial" w:cs="Arial"/>
        </w:rPr>
        <w:t xml:space="preserve"> </w:t>
      </w:r>
      <w:r w:rsidRPr="00244057">
        <w:rPr>
          <w:rFonts w:ascii="Arial" w:hAnsi="Arial" w:cs="Arial"/>
          <w:i/>
        </w:rPr>
        <w:t xml:space="preserve">National Housing Enterprise v </w:t>
      </w:r>
      <w:proofErr w:type="spellStart"/>
      <w:r w:rsidRPr="00244057">
        <w:rPr>
          <w:rFonts w:ascii="Arial" w:hAnsi="Arial" w:cs="Arial"/>
          <w:i/>
        </w:rPr>
        <w:t>Hinda-Mbazira</w:t>
      </w:r>
      <w:proofErr w:type="spellEnd"/>
      <w:r w:rsidRPr="00244057">
        <w:rPr>
          <w:rFonts w:ascii="Arial" w:hAnsi="Arial" w:cs="Arial"/>
        </w:rPr>
        <w:t xml:space="preserve"> 2014</w:t>
      </w:r>
      <w:r w:rsidR="00244057">
        <w:rPr>
          <w:rFonts w:ascii="Arial" w:hAnsi="Arial" w:cs="Arial"/>
        </w:rPr>
        <w:t xml:space="preserve"> </w:t>
      </w:r>
      <w:r w:rsidRPr="00244057">
        <w:rPr>
          <w:rFonts w:ascii="Arial" w:hAnsi="Arial" w:cs="Arial"/>
        </w:rPr>
        <w:t>(4) NR 1046 (SC).</w:t>
      </w:r>
    </w:p>
  </w:footnote>
  <w:footnote w:id="5">
    <w:p w:rsidR="0067337F" w:rsidRPr="00F04491" w:rsidRDefault="0067337F" w:rsidP="0067337F">
      <w:pPr>
        <w:pStyle w:val="FootnoteText"/>
        <w:jc w:val="both"/>
        <w:rPr>
          <w:rFonts w:ascii="Arial" w:hAnsi="Arial" w:cs="Arial"/>
        </w:rPr>
      </w:pPr>
      <w:r w:rsidRPr="00F04491">
        <w:rPr>
          <w:rStyle w:val="FootnoteReference"/>
          <w:rFonts w:ascii="Arial" w:hAnsi="Arial" w:cs="Arial"/>
        </w:rPr>
        <w:footnoteRef/>
      </w:r>
      <w:r w:rsidRPr="00F04491">
        <w:rPr>
          <w:rFonts w:ascii="Arial" w:hAnsi="Arial" w:cs="Arial"/>
        </w:rPr>
        <w:t xml:space="preserve"> </w:t>
      </w:r>
      <w:r w:rsidRPr="00F04491">
        <w:rPr>
          <w:rFonts w:ascii="Arial" w:hAnsi="Arial" w:cs="Arial"/>
          <w:i/>
        </w:rPr>
        <w:t>Namibia Port Authority v MV ‘</w:t>
      </w:r>
      <w:proofErr w:type="spellStart"/>
      <w:r w:rsidRPr="00F04491">
        <w:rPr>
          <w:rFonts w:ascii="Arial" w:hAnsi="Arial" w:cs="Arial"/>
          <w:i/>
        </w:rPr>
        <w:t>Rybak</w:t>
      </w:r>
      <w:proofErr w:type="spellEnd"/>
      <w:r w:rsidRPr="00F04491">
        <w:rPr>
          <w:rFonts w:ascii="Arial" w:hAnsi="Arial" w:cs="Arial"/>
          <w:i/>
        </w:rPr>
        <w:t xml:space="preserve"> </w:t>
      </w:r>
      <w:proofErr w:type="spellStart"/>
      <w:r w:rsidRPr="00F04491">
        <w:rPr>
          <w:rFonts w:ascii="Arial" w:hAnsi="Arial" w:cs="Arial"/>
          <w:i/>
        </w:rPr>
        <w:t>Leningrada</w:t>
      </w:r>
      <w:proofErr w:type="spellEnd"/>
      <w:r w:rsidRPr="00F04491">
        <w:rPr>
          <w:rFonts w:ascii="Arial" w:hAnsi="Arial" w:cs="Arial"/>
        </w:rPr>
        <w:t xml:space="preserve"> 1996 NR 355 at 361B-C.</w:t>
      </w:r>
    </w:p>
  </w:footnote>
  <w:footnote w:id="6">
    <w:p w:rsidR="0067337F" w:rsidRPr="009204BA" w:rsidRDefault="0067337F" w:rsidP="0067337F">
      <w:pPr>
        <w:pStyle w:val="FootnoteText"/>
        <w:jc w:val="both"/>
        <w:rPr>
          <w:rFonts w:ascii="Arial" w:hAnsi="Arial" w:cs="Arial"/>
        </w:rPr>
      </w:pPr>
      <w:r w:rsidRPr="009204BA">
        <w:rPr>
          <w:rStyle w:val="FootnoteReference"/>
          <w:rFonts w:ascii="Arial" w:hAnsi="Arial" w:cs="Arial"/>
        </w:rPr>
        <w:footnoteRef/>
      </w:r>
      <w:r w:rsidRPr="009204BA">
        <w:rPr>
          <w:rFonts w:ascii="Arial" w:hAnsi="Arial" w:cs="Arial"/>
        </w:rPr>
        <w:t xml:space="preserve"> GC </w:t>
      </w:r>
      <w:proofErr w:type="spellStart"/>
      <w:r w:rsidRPr="009204BA">
        <w:rPr>
          <w:rFonts w:ascii="Arial" w:hAnsi="Arial" w:cs="Arial"/>
        </w:rPr>
        <w:t>Thorton</w:t>
      </w:r>
      <w:proofErr w:type="spellEnd"/>
      <w:r w:rsidRPr="009204BA">
        <w:rPr>
          <w:rFonts w:ascii="Arial" w:hAnsi="Arial" w:cs="Arial"/>
        </w:rPr>
        <w:t xml:space="preserve"> QC </w:t>
      </w:r>
      <w:r w:rsidRPr="009204BA">
        <w:rPr>
          <w:rFonts w:ascii="Arial" w:hAnsi="Arial" w:cs="Arial"/>
          <w:i/>
        </w:rPr>
        <w:t>Legislative Drafting</w:t>
      </w:r>
      <w:r w:rsidRPr="009204BA">
        <w:rPr>
          <w:rFonts w:ascii="Arial" w:hAnsi="Arial" w:cs="Arial"/>
        </w:rPr>
        <w:t xml:space="preserve"> 3ed (1987) at 358.</w:t>
      </w:r>
    </w:p>
  </w:footnote>
  <w:footnote w:id="7">
    <w:p w:rsidR="00F24AF8" w:rsidRPr="00F24AF8" w:rsidRDefault="00F24AF8">
      <w:pPr>
        <w:pStyle w:val="FootnoteText"/>
        <w:rPr>
          <w:lang w:val="en-GB"/>
        </w:rPr>
      </w:pPr>
      <w:r w:rsidRPr="009204BA">
        <w:rPr>
          <w:rStyle w:val="FootnoteReference"/>
          <w:rFonts w:ascii="Arial" w:hAnsi="Arial" w:cs="Arial"/>
        </w:rPr>
        <w:footnoteRef/>
      </w:r>
      <w:r w:rsidRPr="009204BA">
        <w:rPr>
          <w:rFonts w:ascii="Arial" w:hAnsi="Arial" w:cs="Arial"/>
        </w:rPr>
        <w:t xml:space="preserve"> </w:t>
      </w:r>
      <w:r w:rsidR="009204BA" w:rsidRPr="009204BA">
        <w:rPr>
          <w:rFonts w:ascii="Arial" w:hAnsi="Arial" w:cs="Arial"/>
          <w:i/>
        </w:rPr>
        <w:t xml:space="preserve">Namibia Tourism Board v </w:t>
      </w:r>
      <w:proofErr w:type="spellStart"/>
      <w:r w:rsidR="009204BA" w:rsidRPr="009204BA">
        <w:rPr>
          <w:rFonts w:ascii="Arial" w:hAnsi="Arial" w:cs="Arial"/>
          <w:i/>
        </w:rPr>
        <w:t>Kauapirura-Angula</w:t>
      </w:r>
      <w:proofErr w:type="spellEnd"/>
      <w:r w:rsidR="009204BA" w:rsidRPr="009204BA">
        <w:rPr>
          <w:rFonts w:ascii="Arial" w:hAnsi="Arial" w:cs="Arial"/>
          <w:lang w:val="en-GB"/>
        </w:rPr>
        <w:t xml:space="preserve"> </w:t>
      </w:r>
      <w:r w:rsidRPr="009204BA">
        <w:rPr>
          <w:rFonts w:ascii="Arial" w:hAnsi="Arial" w:cs="Arial"/>
          <w:lang w:val="en-GB"/>
        </w:rPr>
        <w:t>[2009] NAHCMD</w:t>
      </w:r>
      <w:r w:rsidR="00DB028C">
        <w:rPr>
          <w:rFonts w:ascii="Arial" w:hAnsi="Arial" w:cs="Arial"/>
          <w:lang w:val="en-GB"/>
        </w:rPr>
        <w:t xml:space="preserve"> </w:t>
      </w:r>
      <w:r w:rsidRPr="009204BA">
        <w:rPr>
          <w:rFonts w:ascii="Arial" w:hAnsi="Arial" w:cs="Arial"/>
          <w:lang w:val="en-GB"/>
        </w:rPr>
        <w:t>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21263E">
          <w:rPr>
            <w:rFonts w:ascii="Arial" w:hAnsi="Arial" w:cs="Arial"/>
            <w:sz w:val="24"/>
            <w:szCs w:val="24"/>
          </w:rPr>
          <w:fldChar w:fldCharType="begin"/>
        </w:r>
        <w:r w:rsidRPr="0021263E">
          <w:rPr>
            <w:rFonts w:ascii="Arial" w:hAnsi="Arial" w:cs="Arial"/>
            <w:sz w:val="24"/>
            <w:szCs w:val="24"/>
          </w:rPr>
          <w:instrText xml:space="preserve"> PAGE   \* MERGEFORMAT </w:instrText>
        </w:r>
        <w:r w:rsidRPr="0021263E">
          <w:rPr>
            <w:rFonts w:ascii="Arial" w:hAnsi="Arial" w:cs="Arial"/>
            <w:sz w:val="24"/>
            <w:szCs w:val="24"/>
          </w:rPr>
          <w:fldChar w:fldCharType="separate"/>
        </w:r>
        <w:r w:rsidR="00BC688D">
          <w:rPr>
            <w:rFonts w:ascii="Arial" w:hAnsi="Arial" w:cs="Arial"/>
            <w:noProof/>
            <w:sz w:val="24"/>
            <w:szCs w:val="24"/>
          </w:rPr>
          <w:t>8</w:t>
        </w:r>
        <w:r w:rsidRPr="0021263E">
          <w:rPr>
            <w:rFonts w:ascii="Arial" w:hAnsi="Arial" w:cs="Arial"/>
            <w:noProof/>
            <w:sz w:val="24"/>
            <w:szCs w:val="24"/>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4CFB"/>
    <w:rsid w:val="00013ACC"/>
    <w:rsid w:val="000142CE"/>
    <w:rsid w:val="00015808"/>
    <w:rsid w:val="000200BD"/>
    <w:rsid w:val="00023ED2"/>
    <w:rsid w:val="00030A66"/>
    <w:rsid w:val="000328D4"/>
    <w:rsid w:val="000350E0"/>
    <w:rsid w:val="00042815"/>
    <w:rsid w:val="00043B46"/>
    <w:rsid w:val="00052806"/>
    <w:rsid w:val="00053646"/>
    <w:rsid w:val="00054F2C"/>
    <w:rsid w:val="0005626C"/>
    <w:rsid w:val="00076695"/>
    <w:rsid w:val="00082D28"/>
    <w:rsid w:val="0008405D"/>
    <w:rsid w:val="00086963"/>
    <w:rsid w:val="000929C5"/>
    <w:rsid w:val="000A5CD9"/>
    <w:rsid w:val="000A6E7F"/>
    <w:rsid w:val="000B2590"/>
    <w:rsid w:val="000C1B84"/>
    <w:rsid w:val="000D2C5E"/>
    <w:rsid w:val="000E2F57"/>
    <w:rsid w:val="000E7C99"/>
    <w:rsid w:val="000F39A3"/>
    <w:rsid w:val="000F4381"/>
    <w:rsid w:val="000F681E"/>
    <w:rsid w:val="00101CDC"/>
    <w:rsid w:val="00103B9A"/>
    <w:rsid w:val="001151F0"/>
    <w:rsid w:val="00116AFB"/>
    <w:rsid w:val="001223B7"/>
    <w:rsid w:val="00124C63"/>
    <w:rsid w:val="00136505"/>
    <w:rsid w:val="00146FF3"/>
    <w:rsid w:val="00152FEA"/>
    <w:rsid w:val="00175B35"/>
    <w:rsid w:val="00176658"/>
    <w:rsid w:val="001820B0"/>
    <w:rsid w:val="0018718C"/>
    <w:rsid w:val="001B3825"/>
    <w:rsid w:val="001C3AA7"/>
    <w:rsid w:val="001D3000"/>
    <w:rsid w:val="001D332D"/>
    <w:rsid w:val="001E097B"/>
    <w:rsid w:val="001E2A2D"/>
    <w:rsid w:val="001E34D4"/>
    <w:rsid w:val="001E491D"/>
    <w:rsid w:val="001E65A7"/>
    <w:rsid w:val="00206720"/>
    <w:rsid w:val="00211766"/>
    <w:rsid w:val="00211DE9"/>
    <w:rsid w:val="0021263E"/>
    <w:rsid w:val="00217744"/>
    <w:rsid w:val="00224808"/>
    <w:rsid w:val="002317B0"/>
    <w:rsid w:val="0023549A"/>
    <w:rsid w:val="00244057"/>
    <w:rsid w:val="002536EA"/>
    <w:rsid w:val="00264F8B"/>
    <w:rsid w:val="00266C72"/>
    <w:rsid w:val="00270576"/>
    <w:rsid w:val="00276736"/>
    <w:rsid w:val="00281B69"/>
    <w:rsid w:val="00291CA0"/>
    <w:rsid w:val="002A4AA3"/>
    <w:rsid w:val="002B38E0"/>
    <w:rsid w:val="002C1EF6"/>
    <w:rsid w:val="002D20C5"/>
    <w:rsid w:val="002E61B2"/>
    <w:rsid w:val="002E738E"/>
    <w:rsid w:val="002F4122"/>
    <w:rsid w:val="002F5E37"/>
    <w:rsid w:val="0031523D"/>
    <w:rsid w:val="00322F39"/>
    <w:rsid w:val="00323AAF"/>
    <w:rsid w:val="00323E22"/>
    <w:rsid w:val="00334459"/>
    <w:rsid w:val="00340EA6"/>
    <w:rsid w:val="003419D2"/>
    <w:rsid w:val="003519E0"/>
    <w:rsid w:val="00362DAE"/>
    <w:rsid w:val="00371B8F"/>
    <w:rsid w:val="0038382D"/>
    <w:rsid w:val="003A18AD"/>
    <w:rsid w:val="003B10E0"/>
    <w:rsid w:val="003C2574"/>
    <w:rsid w:val="003C30D8"/>
    <w:rsid w:val="003C67AE"/>
    <w:rsid w:val="003D165C"/>
    <w:rsid w:val="003D3059"/>
    <w:rsid w:val="00404B70"/>
    <w:rsid w:val="00412278"/>
    <w:rsid w:val="0042391D"/>
    <w:rsid w:val="00426C60"/>
    <w:rsid w:val="00426DC3"/>
    <w:rsid w:val="00431A65"/>
    <w:rsid w:val="004352E5"/>
    <w:rsid w:val="004358E2"/>
    <w:rsid w:val="00436C2B"/>
    <w:rsid w:val="004413F0"/>
    <w:rsid w:val="00461F0D"/>
    <w:rsid w:val="00463486"/>
    <w:rsid w:val="004665B1"/>
    <w:rsid w:val="00466B36"/>
    <w:rsid w:val="00474C2A"/>
    <w:rsid w:val="00475B7A"/>
    <w:rsid w:val="00477EC4"/>
    <w:rsid w:val="004811CE"/>
    <w:rsid w:val="00482E25"/>
    <w:rsid w:val="004907E4"/>
    <w:rsid w:val="004936A7"/>
    <w:rsid w:val="0049615E"/>
    <w:rsid w:val="004A06CD"/>
    <w:rsid w:val="004A2D48"/>
    <w:rsid w:val="004A44BE"/>
    <w:rsid w:val="004A58C3"/>
    <w:rsid w:val="004A6DD1"/>
    <w:rsid w:val="004B1C6E"/>
    <w:rsid w:val="004C646F"/>
    <w:rsid w:val="004C7C43"/>
    <w:rsid w:val="004D7A13"/>
    <w:rsid w:val="004D7DD6"/>
    <w:rsid w:val="004E41EE"/>
    <w:rsid w:val="00503F36"/>
    <w:rsid w:val="0051347B"/>
    <w:rsid w:val="00513982"/>
    <w:rsid w:val="005274A9"/>
    <w:rsid w:val="00533624"/>
    <w:rsid w:val="00535F29"/>
    <w:rsid w:val="00536EFF"/>
    <w:rsid w:val="005629DA"/>
    <w:rsid w:val="00574AD0"/>
    <w:rsid w:val="00594F6C"/>
    <w:rsid w:val="0059740A"/>
    <w:rsid w:val="005A4D90"/>
    <w:rsid w:val="005B62A0"/>
    <w:rsid w:val="005C0E24"/>
    <w:rsid w:val="005C1C07"/>
    <w:rsid w:val="005C21D7"/>
    <w:rsid w:val="005C3354"/>
    <w:rsid w:val="005C3763"/>
    <w:rsid w:val="005E6A33"/>
    <w:rsid w:val="005F325C"/>
    <w:rsid w:val="005F32EB"/>
    <w:rsid w:val="00603B6F"/>
    <w:rsid w:val="00610BF1"/>
    <w:rsid w:val="006115E2"/>
    <w:rsid w:val="00622B5F"/>
    <w:rsid w:val="00623DA0"/>
    <w:rsid w:val="006269DB"/>
    <w:rsid w:val="0063263B"/>
    <w:rsid w:val="00661194"/>
    <w:rsid w:val="00662A12"/>
    <w:rsid w:val="00672C76"/>
    <w:rsid w:val="0067337F"/>
    <w:rsid w:val="00685FFD"/>
    <w:rsid w:val="0069060B"/>
    <w:rsid w:val="00695745"/>
    <w:rsid w:val="0069665B"/>
    <w:rsid w:val="006976D9"/>
    <w:rsid w:val="006A0BA4"/>
    <w:rsid w:val="006A4410"/>
    <w:rsid w:val="006B0E0D"/>
    <w:rsid w:val="006B2B75"/>
    <w:rsid w:val="006B5854"/>
    <w:rsid w:val="006B7521"/>
    <w:rsid w:val="006D0991"/>
    <w:rsid w:val="006D4AF1"/>
    <w:rsid w:val="006D7450"/>
    <w:rsid w:val="006E0FD4"/>
    <w:rsid w:val="006F07B3"/>
    <w:rsid w:val="00702C62"/>
    <w:rsid w:val="00703171"/>
    <w:rsid w:val="007149A0"/>
    <w:rsid w:val="00721848"/>
    <w:rsid w:val="00731037"/>
    <w:rsid w:val="00736DA4"/>
    <w:rsid w:val="0074272F"/>
    <w:rsid w:val="00746C0C"/>
    <w:rsid w:val="00760AE0"/>
    <w:rsid w:val="00764F4F"/>
    <w:rsid w:val="0076681A"/>
    <w:rsid w:val="00766C68"/>
    <w:rsid w:val="0078274D"/>
    <w:rsid w:val="007853D8"/>
    <w:rsid w:val="007943EA"/>
    <w:rsid w:val="007950C8"/>
    <w:rsid w:val="007979CA"/>
    <w:rsid w:val="007A013F"/>
    <w:rsid w:val="007B4433"/>
    <w:rsid w:val="007B7320"/>
    <w:rsid w:val="007C3955"/>
    <w:rsid w:val="007D0792"/>
    <w:rsid w:val="007D152A"/>
    <w:rsid w:val="007D6C74"/>
    <w:rsid w:val="007E77DD"/>
    <w:rsid w:val="007F2347"/>
    <w:rsid w:val="007F2D76"/>
    <w:rsid w:val="007F68C4"/>
    <w:rsid w:val="00800215"/>
    <w:rsid w:val="008006A3"/>
    <w:rsid w:val="0080198C"/>
    <w:rsid w:val="00810E4A"/>
    <w:rsid w:val="00812409"/>
    <w:rsid w:val="00816D5D"/>
    <w:rsid w:val="00821A0C"/>
    <w:rsid w:val="008275AC"/>
    <w:rsid w:val="00832987"/>
    <w:rsid w:val="00835300"/>
    <w:rsid w:val="00840FCF"/>
    <w:rsid w:val="008414B4"/>
    <w:rsid w:val="0084224D"/>
    <w:rsid w:val="00845C93"/>
    <w:rsid w:val="00846A7D"/>
    <w:rsid w:val="00852CB7"/>
    <w:rsid w:val="008604D7"/>
    <w:rsid w:val="00874CB9"/>
    <w:rsid w:val="00882F73"/>
    <w:rsid w:val="00890A20"/>
    <w:rsid w:val="00892D9A"/>
    <w:rsid w:val="008A1447"/>
    <w:rsid w:val="008C0C0F"/>
    <w:rsid w:val="008C2200"/>
    <w:rsid w:val="008E0730"/>
    <w:rsid w:val="008F59A0"/>
    <w:rsid w:val="0090725C"/>
    <w:rsid w:val="00911378"/>
    <w:rsid w:val="009204BA"/>
    <w:rsid w:val="009279BE"/>
    <w:rsid w:val="00937C89"/>
    <w:rsid w:val="009723CD"/>
    <w:rsid w:val="009733A9"/>
    <w:rsid w:val="009826E3"/>
    <w:rsid w:val="009919F6"/>
    <w:rsid w:val="00997C11"/>
    <w:rsid w:val="009A008D"/>
    <w:rsid w:val="009A7A59"/>
    <w:rsid w:val="009B21F6"/>
    <w:rsid w:val="009B5BA7"/>
    <w:rsid w:val="009B6C6E"/>
    <w:rsid w:val="009C35C9"/>
    <w:rsid w:val="009C6F3F"/>
    <w:rsid w:val="009D2099"/>
    <w:rsid w:val="009D27E8"/>
    <w:rsid w:val="009D5BA7"/>
    <w:rsid w:val="00A0055C"/>
    <w:rsid w:val="00A0270C"/>
    <w:rsid w:val="00A03378"/>
    <w:rsid w:val="00A05C47"/>
    <w:rsid w:val="00A10DD7"/>
    <w:rsid w:val="00A10E40"/>
    <w:rsid w:val="00A15CD1"/>
    <w:rsid w:val="00A20F9D"/>
    <w:rsid w:val="00A2173A"/>
    <w:rsid w:val="00A22E0F"/>
    <w:rsid w:val="00A2391E"/>
    <w:rsid w:val="00A26B7B"/>
    <w:rsid w:val="00A31E0C"/>
    <w:rsid w:val="00A3327E"/>
    <w:rsid w:val="00A42711"/>
    <w:rsid w:val="00A50F13"/>
    <w:rsid w:val="00A6151E"/>
    <w:rsid w:val="00A6244B"/>
    <w:rsid w:val="00A66511"/>
    <w:rsid w:val="00A75ED6"/>
    <w:rsid w:val="00A85792"/>
    <w:rsid w:val="00AA3ECB"/>
    <w:rsid w:val="00AA59F9"/>
    <w:rsid w:val="00AB4C40"/>
    <w:rsid w:val="00AC44AB"/>
    <w:rsid w:val="00AC7049"/>
    <w:rsid w:val="00AC74EB"/>
    <w:rsid w:val="00AD2D5E"/>
    <w:rsid w:val="00AD72DD"/>
    <w:rsid w:val="00B01B6C"/>
    <w:rsid w:val="00B03467"/>
    <w:rsid w:val="00B121EA"/>
    <w:rsid w:val="00B17407"/>
    <w:rsid w:val="00B22109"/>
    <w:rsid w:val="00B2232E"/>
    <w:rsid w:val="00B23D77"/>
    <w:rsid w:val="00B27A9E"/>
    <w:rsid w:val="00B40844"/>
    <w:rsid w:val="00B42683"/>
    <w:rsid w:val="00B43939"/>
    <w:rsid w:val="00B463E9"/>
    <w:rsid w:val="00B47800"/>
    <w:rsid w:val="00B50C99"/>
    <w:rsid w:val="00B513CF"/>
    <w:rsid w:val="00B56E34"/>
    <w:rsid w:val="00B5737E"/>
    <w:rsid w:val="00B61AC7"/>
    <w:rsid w:val="00B62EC1"/>
    <w:rsid w:val="00B65E6B"/>
    <w:rsid w:val="00B808CB"/>
    <w:rsid w:val="00B81ADD"/>
    <w:rsid w:val="00B845CF"/>
    <w:rsid w:val="00B92DE7"/>
    <w:rsid w:val="00B930A7"/>
    <w:rsid w:val="00B931B5"/>
    <w:rsid w:val="00B9407E"/>
    <w:rsid w:val="00B95B14"/>
    <w:rsid w:val="00BB13F4"/>
    <w:rsid w:val="00BB3273"/>
    <w:rsid w:val="00BB7E1A"/>
    <w:rsid w:val="00BC2131"/>
    <w:rsid w:val="00BC5931"/>
    <w:rsid w:val="00BC688D"/>
    <w:rsid w:val="00BD246E"/>
    <w:rsid w:val="00BE0022"/>
    <w:rsid w:val="00BE31AD"/>
    <w:rsid w:val="00BE4DFC"/>
    <w:rsid w:val="00C04F28"/>
    <w:rsid w:val="00C06E05"/>
    <w:rsid w:val="00C06EB4"/>
    <w:rsid w:val="00C209BE"/>
    <w:rsid w:val="00C2633E"/>
    <w:rsid w:val="00C34E5E"/>
    <w:rsid w:val="00C453A7"/>
    <w:rsid w:val="00C66695"/>
    <w:rsid w:val="00C73D5D"/>
    <w:rsid w:val="00C93229"/>
    <w:rsid w:val="00CA26FC"/>
    <w:rsid w:val="00CA7995"/>
    <w:rsid w:val="00CC6F62"/>
    <w:rsid w:val="00CC7431"/>
    <w:rsid w:val="00CD62C0"/>
    <w:rsid w:val="00CF4A25"/>
    <w:rsid w:val="00D02443"/>
    <w:rsid w:val="00D113DD"/>
    <w:rsid w:val="00D17DF5"/>
    <w:rsid w:val="00D214DC"/>
    <w:rsid w:val="00D24453"/>
    <w:rsid w:val="00D25285"/>
    <w:rsid w:val="00D30D4D"/>
    <w:rsid w:val="00D30F86"/>
    <w:rsid w:val="00D37DAA"/>
    <w:rsid w:val="00D41BB8"/>
    <w:rsid w:val="00D44E3A"/>
    <w:rsid w:val="00D5070E"/>
    <w:rsid w:val="00D547B6"/>
    <w:rsid w:val="00D61E82"/>
    <w:rsid w:val="00D6224D"/>
    <w:rsid w:val="00D624C6"/>
    <w:rsid w:val="00D7471E"/>
    <w:rsid w:val="00D74D48"/>
    <w:rsid w:val="00D77A87"/>
    <w:rsid w:val="00D80947"/>
    <w:rsid w:val="00D813D2"/>
    <w:rsid w:val="00D878A9"/>
    <w:rsid w:val="00D951F5"/>
    <w:rsid w:val="00D960EA"/>
    <w:rsid w:val="00DA5803"/>
    <w:rsid w:val="00DB028C"/>
    <w:rsid w:val="00DB5AA2"/>
    <w:rsid w:val="00DB5F1A"/>
    <w:rsid w:val="00DB6370"/>
    <w:rsid w:val="00DD05C9"/>
    <w:rsid w:val="00DD2B56"/>
    <w:rsid w:val="00DD76E7"/>
    <w:rsid w:val="00DE0266"/>
    <w:rsid w:val="00DE058E"/>
    <w:rsid w:val="00DE1273"/>
    <w:rsid w:val="00DF1296"/>
    <w:rsid w:val="00DF1569"/>
    <w:rsid w:val="00DF2B2F"/>
    <w:rsid w:val="00DF7D60"/>
    <w:rsid w:val="00E0395A"/>
    <w:rsid w:val="00E049EE"/>
    <w:rsid w:val="00E0573A"/>
    <w:rsid w:val="00E221FD"/>
    <w:rsid w:val="00E41BE5"/>
    <w:rsid w:val="00E5326C"/>
    <w:rsid w:val="00E533BE"/>
    <w:rsid w:val="00E62DB3"/>
    <w:rsid w:val="00E73735"/>
    <w:rsid w:val="00E806A9"/>
    <w:rsid w:val="00E94E67"/>
    <w:rsid w:val="00E95426"/>
    <w:rsid w:val="00E95C20"/>
    <w:rsid w:val="00E96F9E"/>
    <w:rsid w:val="00EA18B9"/>
    <w:rsid w:val="00EA2DE2"/>
    <w:rsid w:val="00EA4044"/>
    <w:rsid w:val="00EA55B5"/>
    <w:rsid w:val="00EB1AE0"/>
    <w:rsid w:val="00EB315E"/>
    <w:rsid w:val="00EB683C"/>
    <w:rsid w:val="00ED5B76"/>
    <w:rsid w:val="00ED7008"/>
    <w:rsid w:val="00ED76B2"/>
    <w:rsid w:val="00EF184A"/>
    <w:rsid w:val="00EF2FFD"/>
    <w:rsid w:val="00F0235A"/>
    <w:rsid w:val="00F04491"/>
    <w:rsid w:val="00F05CAB"/>
    <w:rsid w:val="00F07029"/>
    <w:rsid w:val="00F0783D"/>
    <w:rsid w:val="00F21EDB"/>
    <w:rsid w:val="00F24AF8"/>
    <w:rsid w:val="00F30552"/>
    <w:rsid w:val="00F32E93"/>
    <w:rsid w:val="00F4726A"/>
    <w:rsid w:val="00F522FC"/>
    <w:rsid w:val="00F65529"/>
    <w:rsid w:val="00F65903"/>
    <w:rsid w:val="00F72231"/>
    <w:rsid w:val="00F7313C"/>
    <w:rsid w:val="00F7691A"/>
    <w:rsid w:val="00F82EDF"/>
    <w:rsid w:val="00F82F91"/>
    <w:rsid w:val="00F92D04"/>
    <w:rsid w:val="00F93139"/>
    <w:rsid w:val="00F960D4"/>
    <w:rsid w:val="00FA256F"/>
    <w:rsid w:val="00FB2E9E"/>
    <w:rsid w:val="00FB5F14"/>
    <w:rsid w:val="00FC2237"/>
    <w:rsid w:val="00FC6F2E"/>
    <w:rsid w:val="00FD62DF"/>
    <w:rsid w:val="00FD68B7"/>
    <w:rsid w:val="00FF33D3"/>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2023-07-18T18:30:00+00:00</Judgment_x0020_Date>
    <Year xmlns="aec0a7e9-5f5c-4ba9-87b2-85cfc8a38b86">2023</Year>
  </documentManagement>
</p:properties>
</file>

<file path=customXml/itemProps1.xml><?xml version="1.0" encoding="utf-8"?>
<ds:datastoreItem xmlns:ds="http://schemas.openxmlformats.org/officeDocument/2006/customXml" ds:itemID="{FE95CF7F-40B2-4A4B-8073-4931FF682939}"/>
</file>

<file path=customXml/itemProps2.xml><?xml version="1.0" encoding="utf-8"?>
<ds:datastoreItem xmlns:ds="http://schemas.openxmlformats.org/officeDocument/2006/customXml" ds:itemID="{4C182044-FC5B-4810-BF45-DB3960C83321}"/>
</file>

<file path=customXml/itemProps3.xml><?xml version="1.0" encoding="utf-8"?>
<ds:datastoreItem xmlns:ds="http://schemas.openxmlformats.org/officeDocument/2006/customXml" ds:itemID="{F8E89AC9-15E8-458F-9630-C4622559123C}"/>
</file>

<file path=customXml/itemProps4.xml><?xml version="1.0" encoding="utf-8"?>
<ds:datastoreItem xmlns:ds="http://schemas.openxmlformats.org/officeDocument/2006/customXml" ds:itemID="{0F057659-E9FE-4A3B-B646-47D4277E76DA}"/>
</file>

<file path=docProps/app.xml><?xml version="1.0" encoding="utf-8"?>
<Properties xmlns="http://schemas.openxmlformats.org/officeDocument/2006/extended-properties" xmlns:vt="http://schemas.openxmlformats.org/officeDocument/2006/docPropsVTypes">
  <Template>Normal</Template>
  <TotalTime>122</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Kapapero N.O v Silumbu (HC-MD-LAB-MOT-REV-202200209) [2023] NALCMD 30 (19 July 2023)</dc:title>
  <dc:subject/>
  <dc:creator>shomany keister</dc:creator>
  <cp:keywords/>
  <dc:description/>
  <cp:lastModifiedBy>Lusia Simon</cp:lastModifiedBy>
  <cp:revision>19</cp:revision>
  <cp:lastPrinted>2023-07-18T14:11:00Z</cp:lastPrinted>
  <dcterms:created xsi:type="dcterms:W3CDTF">2023-06-30T06:56:00Z</dcterms:created>
  <dcterms:modified xsi:type="dcterms:W3CDTF">2023-07-18T14:15:00Z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