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D74D3" w14:textId="1B413A0B" w:rsidR="00853524" w:rsidRPr="00D24E4F" w:rsidRDefault="00853524" w:rsidP="00C036D4">
      <w:pPr>
        <w:jc w:val="center"/>
        <w:rPr>
          <w:b/>
        </w:rPr>
      </w:pPr>
      <w:r w:rsidRPr="00D24E4F">
        <w:rPr>
          <w:b/>
        </w:rPr>
        <w:t>REPUBLIC OF NAMIBIA</w:t>
      </w:r>
    </w:p>
    <w:p w14:paraId="4D884DEA" w14:textId="05633A06" w:rsidR="00853524" w:rsidRPr="00D24E4F" w:rsidRDefault="00853524" w:rsidP="00C036D4">
      <w:pPr>
        <w:jc w:val="center"/>
        <w:rPr>
          <w:b/>
          <w:sz w:val="32"/>
          <w:szCs w:val="32"/>
        </w:rPr>
      </w:pPr>
      <w:r w:rsidRPr="00D24E4F">
        <w:rPr>
          <w:b/>
          <w:noProof/>
          <w:sz w:val="32"/>
          <w:szCs w:val="32"/>
          <w:lang w:val="en-US"/>
        </w:rPr>
        <w:drawing>
          <wp:inline distT="0" distB="0" distL="0" distR="0" wp14:anchorId="35A986BC" wp14:editId="43A2A18E">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r w:rsidR="00920F28" w:rsidRPr="00D24E4F">
        <w:rPr>
          <w:b/>
          <w:sz w:val="32"/>
          <w:szCs w:val="32"/>
        </w:rPr>
        <w:t xml:space="preserve"> </w:t>
      </w:r>
    </w:p>
    <w:p w14:paraId="0121DDEF" w14:textId="77777777" w:rsidR="00853524" w:rsidRDefault="00853524" w:rsidP="00C036D4">
      <w:pPr>
        <w:jc w:val="center"/>
        <w:rPr>
          <w:b/>
        </w:rPr>
      </w:pPr>
      <w:r w:rsidRPr="00D24E4F">
        <w:rPr>
          <w:b/>
        </w:rPr>
        <w:t>HIGH COURT OF NAMIBIA MAIN DIVISION, WINDHOEK</w:t>
      </w:r>
    </w:p>
    <w:p w14:paraId="50E684A9" w14:textId="77777777" w:rsidR="00DB0279" w:rsidRPr="00D24E4F" w:rsidRDefault="00DB0279" w:rsidP="00C036D4">
      <w:pPr>
        <w:jc w:val="center"/>
        <w:rPr>
          <w:bCs/>
        </w:rPr>
      </w:pPr>
    </w:p>
    <w:p w14:paraId="0B4BB7B9" w14:textId="3BD27F62" w:rsidR="00853524" w:rsidRPr="00D24E4F" w:rsidRDefault="005161DD" w:rsidP="00C036D4">
      <w:pPr>
        <w:jc w:val="center"/>
        <w:rPr>
          <w:b/>
        </w:rPr>
      </w:pPr>
      <w:r>
        <w:rPr>
          <w:b/>
        </w:rPr>
        <w:t xml:space="preserve">EX TEMPORE </w:t>
      </w:r>
      <w:r w:rsidR="00140A9D" w:rsidRPr="00D24E4F">
        <w:rPr>
          <w:b/>
        </w:rPr>
        <w:t>JUDGMENT</w:t>
      </w:r>
    </w:p>
    <w:p w14:paraId="4AB5AAC2" w14:textId="77777777" w:rsidR="00140A9D" w:rsidRPr="00D24E4F" w:rsidRDefault="00140A9D" w:rsidP="00C036D4">
      <w:pPr>
        <w:jc w:val="center"/>
        <w:rPr>
          <w:b/>
        </w:rPr>
      </w:pPr>
    </w:p>
    <w:p w14:paraId="656267F7" w14:textId="173E700E" w:rsidR="00853524" w:rsidRPr="00D24E4F" w:rsidRDefault="00853524" w:rsidP="00C036D4">
      <w:pPr>
        <w:jc w:val="right"/>
        <w:rPr>
          <w:b/>
          <w:bCs/>
        </w:rPr>
      </w:pPr>
      <w:r w:rsidRPr="00D24E4F">
        <w:t xml:space="preserve">             Case no:</w:t>
      </w:r>
      <w:r w:rsidRPr="00D24E4F">
        <w:tab/>
      </w:r>
      <w:r w:rsidR="005161DD" w:rsidRPr="005161DD">
        <w:rPr>
          <w:bCs/>
        </w:rPr>
        <w:t>HC-MD-LAB-MOT-REV-2023/00014</w:t>
      </w:r>
    </w:p>
    <w:p w14:paraId="0B3B6951" w14:textId="77777777" w:rsidR="00853524" w:rsidRPr="00D24E4F" w:rsidRDefault="00853524" w:rsidP="00C036D4"/>
    <w:p w14:paraId="01440233" w14:textId="77777777" w:rsidR="00853524" w:rsidRPr="00D24E4F" w:rsidRDefault="00853524" w:rsidP="00C036D4">
      <w:r w:rsidRPr="00D24E4F">
        <w:t>In the matter between:</w:t>
      </w:r>
    </w:p>
    <w:p w14:paraId="291513BA" w14:textId="77777777" w:rsidR="00853524" w:rsidRDefault="00853524" w:rsidP="00C036D4"/>
    <w:p w14:paraId="1494B83F" w14:textId="2303699F" w:rsidR="00C34B32" w:rsidRPr="00C34B32" w:rsidRDefault="005161DD" w:rsidP="00C036D4">
      <w:pPr>
        <w:rPr>
          <w:b/>
        </w:rPr>
      </w:pPr>
      <w:r w:rsidRPr="005161DD">
        <w:rPr>
          <w:b/>
        </w:rPr>
        <w:t>SERVE INVESTMENTS 84 (PTY) LTD</w:t>
      </w:r>
      <w:r w:rsidR="00C34B32" w:rsidRPr="00C34B32">
        <w:rPr>
          <w:b/>
        </w:rPr>
        <w:tab/>
        <w:t xml:space="preserve"> </w:t>
      </w:r>
      <w:r w:rsidR="00C34B32">
        <w:rPr>
          <w:b/>
        </w:rPr>
        <w:t xml:space="preserve">        </w:t>
      </w:r>
      <w:r>
        <w:rPr>
          <w:b/>
        </w:rPr>
        <w:tab/>
      </w:r>
      <w:r>
        <w:rPr>
          <w:b/>
        </w:rPr>
        <w:tab/>
      </w:r>
      <w:r>
        <w:rPr>
          <w:b/>
        </w:rPr>
        <w:tab/>
        <w:t xml:space="preserve">       APPLICANT</w:t>
      </w:r>
    </w:p>
    <w:p w14:paraId="4DF7A1C4" w14:textId="77777777" w:rsidR="00C34B32" w:rsidRDefault="00C34B32" w:rsidP="00C036D4"/>
    <w:p w14:paraId="35124039" w14:textId="77777777" w:rsidR="00853524" w:rsidRPr="00D24E4F" w:rsidRDefault="00853524" w:rsidP="00C036D4">
      <w:r w:rsidRPr="00D24E4F">
        <w:t>and</w:t>
      </w:r>
    </w:p>
    <w:p w14:paraId="3005B25F" w14:textId="77777777" w:rsidR="00C34B32" w:rsidRDefault="00C34B32" w:rsidP="00C036D4">
      <w:pPr>
        <w:rPr>
          <w:b/>
          <w:color w:val="000000" w:themeColor="text1"/>
        </w:rPr>
      </w:pPr>
    </w:p>
    <w:p w14:paraId="72A36D59" w14:textId="0E095A61" w:rsidR="008B1836" w:rsidRDefault="005161DD" w:rsidP="00C036D4">
      <w:pPr>
        <w:rPr>
          <w:b/>
          <w:color w:val="000000" w:themeColor="text1"/>
        </w:rPr>
      </w:pPr>
      <w:r w:rsidRPr="005161DD">
        <w:rPr>
          <w:b/>
          <w:color w:val="000000" w:themeColor="text1"/>
        </w:rPr>
        <w:t>SAREL VAN DER MERWE</w:t>
      </w:r>
      <w:r>
        <w:rPr>
          <w:b/>
          <w:color w:val="000000" w:themeColor="text1"/>
        </w:rPr>
        <w:tab/>
      </w:r>
      <w:r>
        <w:rPr>
          <w:b/>
          <w:color w:val="000000" w:themeColor="text1"/>
        </w:rPr>
        <w:tab/>
      </w:r>
      <w:r>
        <w:rPr>
          <w:b/>
          <w:color w:val="000000" w:themeColor="text1"/>
        </w:rPr>
        <w:tab/>
      </w:r>
      <w:r>
        <w:rPr>
          <w:b/>
          <w:color w:val="000000" w:themeColor="text1"/>
        </w:rPr>
        <w:tab/>
        <w:t xml:space="preserve">  </w:t>
      </w:r>
      <w:r w:rsidR="00B203D2">
        <w:rPr>
          <w:b/>
          <w:color w:val="000000" w:themeColor="text1"/>
        </w:rPr>
        <w:t xml:space="preserve">FIRST </w:t>
      </w:r>
      <w:r>
        <w:rPr>
          <w:b/>
          <w:color w:val="000000" w:themeColor="text1"/>
        </w:rPr>
        <w:t>RESPONDENT</w:t>
      </w:r>
    </w:p>
    <w:p w14:paraId="61B4683A" w14:textId="68814146" w:rsidR="005161DD" w:rsidRDefault="005161DD" w:rsidP="00C036D4">
      <w:pPr>
        <w:rPr>
          <w:b/>
          <w:color w:val="000000" w:themeColor="text1"/>
        </w:rPr>
      </w:pPr>
      <w:r w:rsidRPr="005161DD">
        <w:rPr>
          <w:b/>
          <w:color w:val="000000" w:themeColor="text1"/>
        </w:rPr>
        <w:t>JACOLINE VAN DER MERWE</w:t>
      </w:r>
      <w:r>
        <w:rPr>
          <w:b/>
          <w:color w:val="000000" w:themeColor="text1"/>
        </w:rPr>
        <w:tab/>
      </w:r>
      <w:r>
        <w:rPr>
          <w:b/>
          <w:color w:val="000000" w:themeColor="text1"/>
        </w:rPr>
        <w:tab/>
      </w:r>
      <w:r>
        <w:rPr>
          <w:b/>
          <w:color w:val="000000" w:themeColor="text1"/>
        </w:rPr>
        <w:tab/>
        <w:t xml:space="preserve">         SECOND</w:t>
      </w:r>
      <w:r w:rsidRPr="005161DD">
        <w:rPr>
          <w:b/>
          <w:color w:val="000000" w:themeColor="text1"/>
        </w:rPr>
        <w:t xml:space="preserve"> RESPONDENT</w:t>
      </w:r>
    </w:p>
    <w:p w14:paraId="13E49F1D" w14:textId="3B5A9420" w:rsidR="005161DD" w:rsidRDefault="005161DD" w:rsidP="00C036D4">
      <w:pPr>
        <w:rPr>
          <w:b/>
          <w:color w:val="000000" w:themeColor="text1"/>
        </w:rPr>
      </w:pPr>
      <w:r w:rsidRPr="005161DD">
        <w:rPr>
          <w:b/>
          <w:color w:val="000000" w:themeColor="text1"/>
        </w:rPr>
        <w:t>BESTER MAIBA SINVULA N.O.</w:t>
      </w:r>
      <w:r w:rsidRPr="005161DD">
        <w:t xml:space="preserve"> </w:t>
      </w:r>
      <w:r>
        <w:t xml:space="preserve">                                       </w:t>
      </w:r>
      <w:r>
        <w:rPr>
          <w:b/>
          <w:color w:val="000000" w:themeColor="text1"/>
        </w:rPr>
        <w:t>THIRD</w:t>
      </w:r>
      <w:r w:rsidRPr="005161DD">
        <w:rPr>
          <w:b/>
          <w:color w:val="000000" w:themeColor="text1"/>
        </w:rPr>
        <w:t xml:space="preserve"> RESPONDENT</w:t>
      </w:r>
    </w:p>
    <w:p w14:paraId="2EAE5FF1" w14:textId="4CED42DE" w:rsidR="008B1836" w:rsidRPr="00D24E4F" w:rsidRDefault="005161DD" w:rsidP="00C036D4">
      <w:pPr>
        <w:rPr>
          <w:b/>
          <w:color w:val="000000" w:themeColor="text1"/>
        </w:rPr>
      </w:pPr>
      <w:r w:rsidRPr="005161DD">
        <w:rPr>
          <w:b/>
          <w:color w:val="000000" w:themeColor="text1"/>
        </w:rPr>
        <w:t>THE LABOUR COMMISSIONER</w:t>
      </w:r>
      <w:r w:rsidR="00F40790">
        <w:rPr>
          <w:b/>
          <w:color w:val="000000" w:themeColor="text1"/>
        </w:rPr>
        <w:t xml:space="preserve">                 </w:t>
      </w:r>
      <w:r>
        <w:rPr>
          <w:b/>
          <w:color w:val="000000" w:themeColor="text1"/>
        </w:rPr>
        <w:t xml:space="preserve">                   FOURTH</w:t>
      </w:r>
      <w:r w:rsidRPr="005161DD">
        <w:rPr>
          <w:b/>
          <w:color w:val="000000" w:themeColor="text1"/>
        </w:rPr>
        <w:t xml:space="preserve"> RESPONDENT</w:t>
      </w:r>
      <w:r w:rsidR="00F40790">
        <w:rPr>
          <w:b/>
          <w:color w:val="000000" w:themeColor="text1"/>
        </w:rPr>
        <w:t xml:space="preserve">                                             </w:t>
      </w:r>
    </w:p>
    <w:p w14:paraId="11C06559" w14:textId="77777777" w:rsidR="00853524" w:rsidRPr="00D24E4F" w:rsidRDefault="00853524" w:rsidP="00C036D4">
      <w:pPr>
        <w:rPr>
          <w:b/>
          <w:u w:val="single"/>
        </w:rPr>
      </w:pPr>
    </w:p>
    <w:p w14:paraId="0ABF9CB7" w14:textId="794EC7E5" w:rsidR="002764ED" w:rsidRDefault="00853524" w:rsidP="002764ED">
      <w:pPr>
        <w:ind w:left="2160" w:hanging="2160"/>
        <w:rPr>
          <w:color w:val="000000" w:themeColor="text1"/>
        </w:rPr>
      </w:pPr>
      <w:r w:rsidRPr="00D24E4F">
        <w:rPr>
          <w:b/>
        </w:rPr>
        <w:t>Neutral citation</w:t>
      </w:r>
      <w:r w:rsidR="001076B6" w:rsidRPr="00D24E4F">
        <w:rPr>
          <w:b/>
        </w:rPr>
        <w:t>:</w:t>
      </w:r>
      <w:r w:rsidRPr="00D24E4F">
        <w:rPr>
          <w:b/>
        </w:rPr>
        <w:tab/>
      </w:r>
      <w:r w:rsidR="005161DD">
        <w:rPr>
          <w:i/>
          <w:iCs/>
          <w:color w:val="000000" w:themeColor="text1"/>
        </w:rPr>
        <w:t>Serve Investments 84 (Pty) Ltd</w:t>
      </w:r>
      <w:r w:rsidR="00B203D2">
        <w:rPr>
          <w:i/>
          <w:iCs/>
          <w:color w:val="000000" w:themeColor="text1"/>
        </w:rPr>
        <w:t xml:space="preserve"> v </w:t>
      </w:r>
      <w:r w:rsidR="005161DD">
        <w:rPr>
          <w:i/>
          <w:iCs/>
          <w:color w:val="000000" w:themeColor="text1"/>
        </w:rPr>
        <w:t xml:space="preserve">Van der Merwe </w:t>
      </w:r>
      <w:r w:rsidR="007935D2" w:rsidRPr="00D24E4F">
        <w:rPr>
          <w:color w:val="000000" w:themeColor="text1"/>
        </w:rPr>
        <w:t>(</w:t>
      </w:r>
      <w:r w:rsidR="005161DD" w:rsidRPr="005161DD">
        <w:rPr>
          <w:color w:val="000000" w:themeColor="text1"/>
        </w:rPr>
        <w:t xml:space="preserve">HC-MD-LAB-MOT-REV-2023/00014 </w:t>
      </w:r>
      <w:r w:rsidR="006539B7" w:rsidRPr="00D24E4F">
        <w:rPr>
          <w:color w:val="000000" w:themeColor="text1"/>
        </w:rPr>
        <w:t>[</w:t>
      </w:r>
      <w:r w:rsidR="00382515" w:rsidRPr="00D24E4F">
        <w:rPr>
          <w:color w:val="000000" w:themeColor="text1"/>
        </w:rPr>
        <w:t>202</w:t>
      </w:r>
      <w:r w:rsidR="00210D9A">
        <w:rPr>
          <w:color w:val="000000" w:themeColor="text1"/>
        </w:rPr>
        <w:t>3</w:t>
      </w:r>
      <w:r w:rsidR="006539B7" w:rsidRPr="00D24E4F">
        <w:rPr>
          <w:color w:val="000000" w:themeColor="text1"/>
        </w:rPr>
        <w:t xml:space="preserve">] </w:t>
      </w:r>
      <w:r w:rsidR="005161DD">
        <w:rPr>
          <w:color w:val="000000" w:themeColor="text1"/>
        </w:rPr>
        <w:t>NAL</w:t>
      </w:r>
      <w:r w:rsidR="008463F4">
        <w:rPr>
          <w:color w:val="000000" w:themeColor="text1"/>
        </w:rPr>
        <w:t>CMD 32</w:t>
      </w:r>
    </w:p>
    <w:p w14:paraId="1CFCD256" w14:textId="73EBD625" w:rsidR="00853524" w:rsidRPr="002764ED" w:rsidRDefault="006539B7" w:rsidP="002764ED">
      <w:pPr>
        <w:ind w:left="2160"/>
        <w:rPr>
          <w:color w:val="000000" w:themeColor="text1"/>
        </w:rPr>
      </w:pPr>
      <w:r w:rsidRPr="00D24E4F">
        <w:rPr>
          <w:color w:val="000000" w:themeColor="text1"/>
        </w:rPr>
        <w:t>(</w:t>
      </w:r>
      <w:r w:rsidR="002764ED" w:rsidRPr="002764ED">
        <w:t xml:space="preserve">8 August </w:t>
      </w:r>
      <w:r w:rsidR="001D4E59" w:rsidRPr="002764ED">
        <w:t>2023</w:t>
      </w:r>
      <w:r w:rsidRPr="002764ED">
        <w:t>)</w:t>
      </w:r>
    </w:p>
    <w:p w14:paraId="2A1E0044" w14:textId="77777777" w:rsidR="00853524" w:rsidRPr="00D24E4F" w:rsidRDefault="00853524" w:rsidP="00C036D4">
      <w:pPr>
        <w:ind w:left="2160" w:hanging="2160"/>
      </w:pPr>
    </w:p>
    <w:p w14:paraId="6CFF978A" w14:textId="18B81DB5" w:rsidR="006D65BF" w:rsidRPr="00D24E4F" w:rsidRDefault="00853524" w:rsidP="00C036D4">
      <w:pPr>
        <w:ind w:left="2160" w:hanging="2160"/>
        <w:rPr>
          <w:b/>
          <w:i/>
        </w:rPr>
      </w:pPr>
      <w:r w:rsidRPr="00D24E4F">
        <w:rPr>
          <w:b/>
        </w:rPr>
        <w:t>Coram</w:t>
      </w:r>
      <w:r w:rsidR="001076B6" w:rsidRPr="00D24E4F">
        <w:rPr>
          <w:b/>
        </w:rPr>
        <w:t>:</w:t>
      </w:r>
      <w:r w:rsidR="008B1836" w:rsidRPr="00D24E4F">
        <w:tab/>
        <w:t>Schimming</w:t>
      </w:r>
      <w:r w:rsidR="00F40790">
        <w:t>-</w:t>
      </w:r>
      <w:r w:rsidRPr="00D24E4F">
        <w:t>Chase J</w:t>
      </w:r>
    </w:p>
    <w:p w14:paraId="1145F951" w14:textId="584823DD" w:rsidR="00853524" w:rsidRPr="00D24E4F" w:rsidRDefault="00853524" w:rsidP="00C036D4">
      <w:pPr>
        <w:ind w:left="2160" w:hanging="2160"/>
      </w:pPr>
      <w:r w:rsidRPr="00D24E4F">
        <w:rPr>
          <w:b/>
          <w:bCs/>
        </w:rPr>
        <w:t>Heard</w:t>
      </w:r>
      <w:r w:rsidR="001076B6" w:rsidRPr="00D24E4F">
        <w:rPr>
          <w:b/>
          <w:bCs/>
        </w:rPr>
        <w:t>:</w:t>
      </w:r>
      <w:r w:rsidRPr="00D24E4F">
        <w:tab/>
      </w:r>
      <w:r w:rsidR="005161DD">
        <w:rPr>
          <w:b/>
        </w:rPr>
        <w:t>4 August</w:t>
      </w:r>
      <w:r w:rsidR="00C34B32" w:rsidRPr="00C05E22">
        <w:rPr>
          <w:b/>
        </w:rPr>
        <w:t xml:space="preserve"> 2023</w:t>
      </w:r>
    </w:p>
    <w:p w14:paraId="447A448F" w14:textId="16FDDDE0" w:rsidR="00853524" w:rsidRDefault="005161DD" w:rsidP="00C036D4">
      <w:pPr>
        <w:ind w:left="2160" w:hanging="2160"/>
        <w:rPr>
          <w:b/>
          <w:bCs/>
        </w:rPr>
      </w:pPr>
      <w:r>
        <w:rPr>
          <w:b/>
          <w:bCs/>
        </w:rPr>
        <w:t>Order</w:t>
      </w:r>
      <w:r w:rsidR="001076B6" w:rsidRPr="00D24E4F">
        <w:rPr>
          <w:b/>
          <w:bCs/>
        </w:rPr>
        <w:t>:</w:t>
      </w:r>
      <w:r w:rsidR="00334AFC" w:rsidRPr="00D24E4F">
        <w:rPr>
          <w:b/>
          <w:bCs/>
        </w:rPr>
        <w:tab/>
      </w:r>
      <w:r>
        <w:rPr>
          <w:b/>
          <w:bCs/>
        </w:rPr>
        <w:t>4</w:t>
      </w:r>
      <w:r w:rsidR="00B203D2">
        <w:rPr>
          <w:b/>
          <w:bCs/>
        </w:rPr>
        <w:t xml:space="preserve"> August</w:t>
      </w:r>
      <w:r w:rsidR="00C05E22">
        <w:rPr>
          <w:b/>
          <w:bCs/>
        </w:rPr>
        <w:t xml:space="preserve"> 2023</w:t>
      </w:r>
    </w:p>
    <w:p w14:paraId="7E1BDC77" w14:textId="34B7A16A" w:rsidR="00DB0279" w:rsidRDefault="002764ED" w:rsidP="005161DD">
      <w:pPr>
        <w:ind w:left="2160" w:hanging="2160"/>
      </w:pPr>
      <w:r>
        <w:rPr>
          <w:b/>
          <w:bCs/>
        </w:rPr>
        <w:t>Written reasons:</w:t>
      </w:r>
      <w:r>
        <w:rPr>
          <w:b/>
          <w:bCs/>
        </w:rPr>
        <w:tab/>
        <w:t>8 August 2023</w:t>
      </w:r>
    </w:p>
    <w:p w14:paraId="5788A31E" w14:textId="77777777" w:rsidR="00207C35" w:rsidRDefault="00207C35" w:rsidP="00C036D4">
      <w:pPr>
        <w:rPr>
          <w:bCs/>
        </w:rPr>
      </w:pPr>
    </w:p>
    <w:p w14:paraId="40FEA472" w14:textId="77777777" w:rsidR="00B91C93" w:rsidRPr="00D24E4F" w:rsidRDefault="00B91C93" w:rsidP="00C036D4">
      <w:pPr>
        <w:rPr>
          <w:bCs/>
        </w:rPr>
      </w:pPr>
    </w:p>
    <w:p w14:paraId="6BE47DE3" w14:textId="77777777" w:rsidR="00853524" w:rsidRPr="00D24E4F" w:rsidRDefault="00000000" w:rsidP="00C036D4">
      <w:pPr>
        <w:rPr>
          <w:bCs/>
        </w:rPr>
      </w:pPr>
      <w:r>
        <w:rPr>
          <w:bCs/>
        </w:rPr>
        <w:lastRenderedPageBreak/>
        <w:pict w14:anchorId="5E7E26FB">
          <v:rect id="_x0000_i1025" style="width:0;height:1.5pt" o:hralign="center" o:hrstd="t" o:hr="t" fillcolor="#a0a0a0" stroked="f"/>
        </w:pict>
      </w:r>
    </w:p>
    <w:p w14:paraId="37BE7084" w14:textId="4192C691" w:rsidR="00853524" w:rsidRPr="00D24E4F" w:rsidRDefault="001F6CB9" w:rsidP="00C036D4">
      <w:pPr>
        <w:jc w:val="center"/>
        <w:rPr>
          <w:b/>
          <w:bCs/>
        </w:rPr>
      </w:pPr>
      <w:r w:rsidRPr="00D24E4F">
        <w:rPr>
          <w:b/>
          <w:bCs/>
        </w:rPr>
        <w:t>ORDER</w:t>
      </w:r>
    </w:p>
    <w:p w14:paraId="1FEF45F5" w14:textId="77777777" w:rsidR="00853524" w:rsidRPr="00D24E4F" w:rsidRDefault="00000000" w:rsidP="00C036D4">
      <w:pPr>
        <w:jc w:val="center"/>
        <w:rPr>
          <w:b/>
          <w:bCs/>
        </w:rPr>
      </w:pPr>
      <w:r>
        <w:rPr>
          <w:bCs/>
        </w:rPr>
        <w:pict w14:anchorId="28AA4E8A">
          <v:rect id="_x0000_i1026" style="width:0;height:1.5pt" o:hralign="center" o:hrstd="t" o:hr="t" fillcolor="#a0a0a0" stroked="f"/>
        </w:pict>
      </w:r>
    </w:p>
    <w:p w14:paraId="395B7EDA" w14:textId="77777777" w:rsidR="00853524" w:rsidRPr="00D24E4F" w:rsidRDefault="00853524" w:rsidP="00C036D4">
      <w:pPr>
        <w:rPr>
          <w:bCs/>
        </w:rPr>
      </w:pPr>
    </w:p>
    <w:p w14:paraId="34633E4E" w14:textId="20DC660F" w:rsidR="00B91C93" w:rsidRPr="000E65E0" w:rsidRDefault="000E65E0" w:rsidP="000E65E0">
      <w:pPr>
        <w:ind w:left="720" w:hanging="360"/>
        <w:rPr>
          <w:lang w:val="en-GB"/>
        </w:rPr>
      </w:pPr>
      <w:r>
        <w:rPr>
          <w:rFonts w:eastAsia="Calibri" w:cs="Times New Roman"/>
          <w:spacing w:val="0"/>
          <w:szCs w:val="22"/>
          <w:lang w:val="en-GB"/>
        </w:rPr>
        <w:t>1.</w:t>
      </w:r>
      <w:r>
        <w:rPr>
          <w:rFonts w:eastAsia="Calibri" w:cs="Times New Roman"/>
          <w:spacing w:val="0"/>
          <w:szCs w:val="22"/>
          <w:lang w:val="en-GB"/>
        </w:rPr>
        <w:tab/>
      </w:r>
      <w:r w:rsidR="00B91C93" w:rsidRPr="000E65E0">
        <w:rPr>
          <w:lang w:val="en-GB"/>
        </w:rPr>
        <w:t>The arbitration award under case number NERU 21-21 is hereby reviewed and set aside.</w:t>
      </w:r>
    </w:p>
    <w:p w14:paraId="3CA4C8A1" w14:textId="77777777" w:rsidR="00B91C93" w:rsidRDefault="00B91C93" w:rsidP="00B91C93">
      <w:pPr>
        <w:pStyle w:val="ListParagraph"/>
        <w:rPr>
          <w:lang w:val="en-GB"/>
        </w:rPr>
      </w:pPr>
    </w:p>
    <w:p w14:paraId="76545C68" w14:textId="1DA333F3" w:rsidR="00B91C93" w:rsidRPr="000E65E0" w:rsidRDefault="000E65E0" w:rsidP="000E65E0">
      <w:pPr>
        <w:ind w:left="720" w:hanging="360"/>
        <w:rPr>
          <w:lang w:val="en-GB"/>
        </w:rPr>
      </w:pPr>
      <w:r>
        <w:rPr>
          <w:rFonts w:eastAsia="Calibri" w:cs="Times New Roman"/>
          <w:spacing w:val="0"/>
          <w:szCs w:val="22"/>
          <w:lang w:val="en-GB"/>
        </w:rPr>
        <w:t>2.</w:t>
      </w:r>
      <w:r>
        <w:rPr>
          <w:rFonts w:eastAsia="Calibri" w:cs="Times New Roman"/>
          <w:spacing w:val="0"/>
          <w:szCs w:val="22"/>
          <w:lang w:val="en-GB"/>
        </w:rPr>
        <w:tab/>
      </w:r>
      <w:r w:rsidR="00B91C93" w:rsidRPr="000E65E0">
        <w:rPr>
          <w:lang w:val="en-GB"/>
        </w:rPr>
        <w:t xml:space="preserve">The matter is </w:t>
      </w:r>
      <w:proofErr w:type="gramStart"/>
      <w:r w:rsidR="00B91C93" w:rsidRPr="000E65E0">
        <w:rPr>
          <w:lang w:val="en-GB"/>
        </w:rPr>
        <w:t>referred back</w:t>
      </w:r>
      <w:proofErr w:type="gramEnd"/>
      <w:r w:rsidR="00B91C93" w:rsidRPr="000E65E0">
        <w:rPr>
          <w:lang w:val="en-GB"/>
        </w:rPr>
        <w:t xml:space="preserve"> to the office of the Labour Commissioner to conduct the arbitration de novo before a different arbitrator.</w:t>
      </w:r>
    </w:p>
    <w:p w14:paraId="0611BB5A" w14:textId="77777777" w:rsidR="00B91C93" w:rsidRPr="00B91C93" w:rsidRDefault="00B91C93" w:rsidP="00B91C93">
      <w:pPr>
        <w:pStyle w:val="ListParagraph"/>
        <w:rPr>
          <w:lang w:val="en-GB"/>
        </w:rPr>
      </w:pPr>
    </w:p>
    <w:p w14:paraId="139E75A9" w14:textId="1F052777" w:rsidR="00B91C93" w:rsidRPr="000E65E0" w:rsidRDefault="000E65E0" w:rsidP="000E65E0">
      <w:pPr>
        <w:ind w:left="720" w:hanging="360"/>
        <w:rPr>
          <w:lang w:val="en-GB"/>
        </w:rPr>
      </w:pPr>
      <w:r w:rsidRPr="00B91C93">
        <w:rPr>
          <w:rFonts w:eastAsia="Calibri" w:cs="Times New Roman"/>
          <w:spacing w:val="0"/>
          <w:szCs w:val="22"/>
          <w:lang w:val="en-GB"/>
        </w:rPr>
        <w:t>3.</w:t>
      </w:r>
      <w:r w:rsidRPr="00B91C93">
        <w:rPr>
          <w:rFonts w:eastAsia="Calibri" w:cs="Times New Roman"/>
          <w:spacing w:val="0"/>
          <w:szCs w:val="22"/>
          <w:lang w:val="en-GB"/>
        </w:rPr>
        <w:tab/>
      </w:r>
      <w:r w:rsidR="00B91C93" w:rsidRPr="000E65E0">
        <w:rPr>
          <w:lang w:val="en-GB"/>
        </w:rPr>
        <w:t>The matter is regarded as finalised and removed from the roll.</w:t>
      </w:r>
    </w:p>
    <w:p w14:paraId="6BCDA908" w14:textId="77777777" w:rsidR="00853524" w:rsidRPr="00D24E4F" w:rsidRDefault="00000000" w:rsidP="00C036D4">
      <w:pPr>
        <w:rPr>
          <w:bCs/>
        </w:rPr>
      </w:pPr>
      <w:r>
        <w:rPr>
          <w:bCs/>
        </w:rPr>
        <w:pict w14:anchorId="2893D86E">
          <v:rect id="_x0000_i1027" style="width:0;height:1.5pt" o:hralign="center" o:hrstd="t" o:hr="t" fillcolor="#a0a0a0" stroked="f"/>
        </w:pict>
      </w:r>
    </w:p>
    <w:p w14:paraId="4BDA99AF" w14:textId="283B76EE" w:rsidR="00853524" w:rsidRPr="00D24E4F" w:rsidRDefault="001F6CB9" w:rsidP="00C036D4">
      <w:pPr>
        <w:jc w:val="center"/>
        <w:rPr>
          <w:b/>
        </w:rPr>
      </w:pPr>
      <w:r w:rsidRPr="00D24E4F">
        <w:rPr>
          <w:b/>
        </w:rPr>
        <w:t>JUDGMENT</w:t>
      </w:r>
    </w:p>
    <w:p w14:paraId="1C469921" w14:textId="77777777" w:rsidR="00853524" w:rsidRPr="00D24E4F" w:rsidRDefault="00000000" w:rsidP="00C036D4">
      <w:pPr>
        <w:jc w:val="center"/>
        <w:rPr>
          <w:b/>
        </w:rPr>
      </w:pPr>
      <w:r>
        <w:rPr>
          <w:bCs/>
        </w:rPr>
        <w:pict w14:anchorId="4AE2B4B3">
          <v:rect id="_x0000_i1028" style="width:0;height:1.5pt" o:hralign="center" o:hrstd="t" o:hr="t" fillcolor="#a0a0a0" stroked="f"/>
        </w:pict>
      </w:r>
    </w:p>
    <w:p w14:paraId="249A22DE" w14:textId="77777777" w:rsidR="005368A3" w:rsidRDefault="005368A3" w:rsidP="00C036D4"/>
    <w:p w14:paraId="0C9EA869" w14:textId="2FB096E9" w:rsidR="00853524" w:rsidRPr="00D24E4F" w:rsidRDefault="006F4DCB" w:rsidP="00C036D4">
      <w:r w:rsidRPr="00D24E4F">
        <w:t>SCHIMMING-CHASE</w:t>
      </w:r>
      <w:r w:rsidR="00853524" w:rsidRPr="00D24E4F">
        <w:t xml:space="preserve"> J</w:t>
      </w:r>
      <w:r w:rsidRPr="00D24E4F">
        <w:t>:</w:t>
      </w:r>
    </w:p>
    <w:p w14:paraId="6D51B05E" w14:textId="77777777" w:rsidR="00E07289" w:rsidRPr="00D24E4F" w:rsidRDefault="00E07289" w:rsidP="00C036D4">
      <w:pPr>
        <w:ind w:left="1440" w:hanging="1440"/>
        <w:rPr>
          <w:b/>
          <w:i/>
        </w:rPr>
      </w:pPr>
    </w:p>
    <w:p w14:paraId="3EDA3D24" w14:textId="3BD03A7E" w:rsidR="001B5B78" w:rsidRDefault="000E65E0" w:rsidP="000E65E0">
      <w:r>
        <w:rPr>
          <w:rFonts w:cs="Times New Roman"/>
          <w:spacing w:val="0"/>
          <w:szCs w:val="22"/>
          <w:lang w:val="en-US"/>
        </w:rPr>
        <w:t>[1]</w:t>
      </w:r>
      <w:r>
        <w:rPr>
          <w:rFonts w:cs="Times New Roman"/>
          <w:spacing w:val="0"/>
          <w:szCs w:val="22"/>
          <w:lang w:val="en-US"/>
        </w:rPr>
        <w:tab/>
      </w:r>
      <w:r w:rsidR="00E90499">
        <w:t>On 1 F</w:t>
      </w:r>
      <w:r w:rsidR="00FA4560">
        <w:t>ebruary 2023, the applicant launched</w:t>
      </w:r>
      <w:r w:rsidR="00E90499">
        <w:t xml:space="preserve"> an application seeking an order that the arbitration award made by the thir</w:t>
      </w:r>
      <w:r w:rsidR="00056726">
        <w:t>d respondent</w:t>
      </w:r>
      <w:r w:rsidR="00E90499">
        <w:t xml:space="preserve"> under case number NER</w:t>
      </w:r>
      <w:r w:rsidR="00056726">
        <w:t>U</w:t>
      </w:r>
      <w:r w:rsidR="00E90499">
        <w:t xml:space="preserve"> 21-21 be reviewed and set aside, and that the matter be </w:t>
      </w:r>
      <w:proofErr w:type="gramStart"/>
      <w:r w:rsidR="00E90499">
        <w:t>referred back</w:t>
      </w:r>
      <w:proofErr w:type="gramEnd"/>
      <w:r w:rsidR="00E90499">
        <w:t xml:space="preserve"> to th</w:t>
      </w:r>
      <w:r w:rsidR="00E451EE">
        <w:t>e fourth respondent to conduct the a</w:t>
      </w:r>
      <w:r w:rsidR="00E90499">
        <w:t>rbitration de novo before a different arbitrator.</w:t>
      </w:r>
    </w:p>
    <w:p w14:paraId="697C7727" w14:textId="77777777" w:rsidR="009E1E21" w:rsidRDefault="009E1E21" w:rsidP="009E1E21">
      <w:pPr>
        <w:pStyle w:val="ListParagraph"/>
        <w:ind w:left="0"/>
      </w:pPr>
    </w:p>
    <w:p w14:paraId="2916D7A9" w14:textId="1EB69B9E" w:rsidR="00056726" w:rsidRDefault="000E65E0" w:rsidP="000E65E0">
      <w:r>
        <w:rPr>
          <w:rFonts w:cs="Times New Roman"/>
          <w:spacing w:val="0"/>
          <w:szCs w:val="22"/>
          <w:lang w:val="en-US"/>
        </w:rPr>
        <w:t>[2]</w:t>
      </w:r>
      <w:r>
        <w:rPr>
          <w:rFonts w:cs="Times New Roman"/>
          <w:spacing w:val="0"/>
          <w:szCs w:val="22"/>
          <w:lang w:val="en-US"/>
        </w:rPr>
        <w:tab/>
      </w:r>
      <w:r w:rsidR="00E90499">
        <w:t>The applicant is Serve Investments 84 (Pty) Ltd., a company duly registered in accordance with the company laws of Namibia, and conducting business at No.3 Kerby Street, Windhoek, Republic of Namibia.</w:t>
      </w:r>
    </w:p>
    <w:p w14:paraId="2A7A20E9" w14:textId="77777777" w:rsidR="00056726" w:rsidRDefault="00056726" w:rsidP="00056726">
      <w:pPr>
        <w:pStyle w:val="ListParagraph"/>
      </w:pPr>
    </w:p>
    <w:p w14:paraId="72E6F6FE" w14:textId="4A79FB10" w:rsidR="00E90499" w:rsidRDefault="000E65E0" w:rsidP="000E65E0">
      <w:r>
        <w:rPr>
          <w:rFonts w:cs="Times New Roman"/>
          <w:spacing w:val="0"/>
          <w:szCs w:val="22"/>
          <w:lang w:val="en-US"/>
        </w:rPr>
        <w:t>[3]</w:t>
      </w:r>
      <w:r>
        <w:rPr>
          <w:rFonts w:cs="Times New Roman"/>
          <w:spacing w:val="0"/>
          <w:szCs w:val="22"/>
          <w:lang w:val="en-US"/>
        </w:rPr>
        <w:tab/>
      </w:r>
      <w:r w:rsidR="00E90499">
        <w:t xml:space="preserve">The first respondent is Mr </w:t>
      </w:r>
      <w:proofErr w:type="spellStart"/>
      <w:r w:rsidR="00E90499">
        <w:t>Sarel</w:t>
      </w:r>
      <w:proofErr w:type="spellEnd"/>
      <w:r w:rsidR="00E90499">
        <w:t xml:space="preserve"> van der Merwe</w:t>
      </w:r>
      <w:r w:rsidR="009E1E21">
        <w:t xml:space="preserve"> (‘Mr van der Merwe’)</w:t>
      </w:r>
      <w:r w:rsidR="00E90499">
        <w:t xml:space="preserve">, an adult male person, residing at Farm </w:t>
      </w:r>
      <w:proofErr w:type="spellStart"/>
      <w:r w:rsidR="00E90499">
        <w:t>Shitemu</w:t>
      </w:r>
      <w:proofErr w:type="spellEnd"/>
      <w:r w:rsidR="00E90499">
        <w:t>, Kavango East, Republic of Namibia. The second respondent is Jacoline van der Merwe</w:t>
      </w:r>
      <w:r w:rsidR="009E1E21">
        <w:t xml:space="preserve"> (‘Ms van der Merwe’)</w:t>
      </w:r>
      <w:r w:rsidR="00E90499">
        <w:t>, an adult female person residing at Farm Shitemu, Kavango East, Republic of Namibia.</w:t>
      </w:r>
    </w:p>
    <w:p w14:paraId="2F8B4557" w14:textId="77777777" w:rsidR="009E1E21" w:rsidRDefault="009E1E21" w:rsidP="009E1E21">
      <w:pPr>
        <w:pStyle w:val="ListParagraph"/>
        <w:ind w:left="0"/>
      </w:pPr>
    </w:p>
    <w:p w14:paraId="16F8E202" w14:textId="136C1B6B" w:rsidR="00FB1FC0" w:rsidRDefault="000E65E0" w:rsidP="000E65E0">
      <w:r>
        <w:rPr>
          <w:rFonts w:cs="Times New Roman"/>
          <w:spacing w:val="0"/>
          <w:szCs w:val="22"/>
          <w:lang w:val="en-US"/>
        </w:rPr>
        <w:lastRenderedPageBreak/>
        <w:t>[4]</w:t>
      </w:r>
      <w:r>
        <w:rPr>
          <w:rFonts w:cs="Times New Roman"/>
          <w:spacing w:val="0"/>
          <w:szCs w:val="22"/>
          <w:lang w:val="en-US"/>
        </w:rPr>
        <w:tab/>
      </w:r>
      <w:r w:rsidR="00E90499">
        <w:t xml:space="preserve">The third respondent is </w:t>
      </w:r>
      <w:r w:rsidR="00BA132A">
        <w:t xml:space="preserve">Mr </w:t>
      </w:r>
      <w:r w:rsidR="00E90499">
        <w:t xml:space="preserve">Bester </w:t>
      </w:r>
      <w:proofErr w:type="spellStart"/>
      <w:r w:rsidR="00E90499">
        <w:t>Maiba</w:t>
      </w:r>
      <w:proofErr w:type="spellEnd"/>
      <w:r w:rsidR="00E90499">
        <w:t xml:space="preserve"> </w:t>
      </w:r>
      <w:proofErr w:type="spellStart"/>
      <w:r w:rsidR="00E90499">
        <w:t>Sinvula</w:t>
      </w:r>
      <w:proofErr w:type="spellEnd"/>
      <w:r w:rsidR="00E90499">
        <w:t xml:space="preserve"> </w:t>
      </w:r>
      <w:proofErr w:type="gramStart"/>
      <w:r w:rsidR="00E90499">
        <w:t>N.O.</w:t>
      </w:r>
      <w:r w:rsidR="009E1E21">
        <w:t>(</w:t>
      </w:r>
      <w:proofErr w:type="gramEnd"/>
      <w:r w:rsidR="009E1E21">
        <w:t xml:space="preserve">‘Mr </w:t>
      </w:r>
      <w:proofErr w:type="spellStart"/>
      <w:r w:rsidR="009E1E21">
        <w:t>Sinvula</w:t>
      </w:r>
      <w:proofErr w:type="spellEnd"/>
      <w:r w:rsidR="009E1E21">
        <w:t>’)</w:t>
      </w:r>
      <w:r w:rsidR="00E90499">
        <w:t>, cited in his official capacity as</w:t>
      </w:r>
      <w:r w:rsidR="00BA132A">
        <w:t xml:space="preserve"> arbitrator, in terms of s</w:t>
      </w:r>
      <w:r w:rsidR="00E90499">
        <w:t xml:space="preserve"> 85(3) and (4) of the Labour Act 11 of 2007 (‘the Labour Act’). The office of the third respondent is situated at Boma Road, Katima Mulilo, Republic of Namibia. The fourth respondent is the Labour Commissioner, appointed as such in terms of s 120(1) of the Labour Act, with its head offices located at 32 Mercede</w:t>
      </w:r>
      <w:r w:rsidR="009E1E21">
        <w:t>s Street, Khomasdal, Windhoek, Republic of Namibia.</w:t>
      </w:r>
    </w:p>
    <w:p w14:paraId="75831F62" w14:textId="77777777" w:rsidR="00772A53" w:rsidRDefault="00772A53" w:rsidP="00772A53">
      <w:pPr>
        <w:pStyle w:val="ListParagraph"/>
      </w:pPr>
    </w:p>
    <w:p w14:paraId="7656A84A" w14:textId="6F151E24" w:rsidR="00772A53" w:rsidRDefault="000E65E0" w:rsidP="000E65E0">
      <w:r>
        <w:rPr>
          <w:rFonts w:cs="Times New Roman"/>
          <w:spacing w:val="0"/>
          <w:szCs w:val="22"/>
          <w:lang w:val="en-US"/>
        </w:rPr>
        <w:t>[5]</w:t>
      </w:r>
      <w:r>
        <w:rPr>
          <w:rFonts w:cs="Times New Roman"/>
          <w:spacing w:val="0"/>
          <w:szCs w:val="22"/>
          <w:lang w:val="en-US"/>
        </w:rPr>
        <w:tab/>
      </w:r>
      <w:r w:rsidR="00772A53">
        <w:t>On</w:t>
      </w:r>
      <w:r w:rsidR="00056726">
        <w:t xml:space="preserve"> 11 March 2021,</w:t>
      </w:r>
      <w:r w:rsidR="00772A53">
        <w:t xml:space="preserve"> Mr and Ms van der Merwe referred a dispute to the Labour Commissioner, seeking an order for payment of alleged outstanding overtime. Serve Investments contends </w:t>
      </w:r>
      <w:r w:rsidR="00FA4560">
        <w:t xml:space="preserve">that </w:t>
      </w:r>
      <w:r w:rsidR="00772A53">
        <w:t>when the matter was instituted, the LC 21 form – the referral, was never served on it.</w:t>
      </w:r>
      <w:r w:rsidR="00772A53">
        <w:rPr>
          <w:rStyle w:val="FootnoteReference"/>
        </w:rPr>
        <w:footnoteReference w:id="1"/>
      </w:r>
    </w:p>
    <w:p w14:paraId="0313A148" w14:textId="77777777" w:rsidR="00772A53" w:rsidRDefault="00772A53" w:rsidP="00772A53">
      <w:pPr>
        <w:pStyle w:val="ListParagraph"/>
      </w:pPr>
    </w:p>
    <w:p w14:paraId="214CF0CC" w14:textId="63B2A449" w:rsidR="00772A53" w:rsidRDefault="000E65E0" w:rsidP="000E65E0">
      <w:r>
        <w:rPr>
          <w:rFonts w:cs="Times New Roman"/>
          <w:spacing w:val="0"/>
          <w:szCs w:val="22"/>
          <w:lang w:val="en-US"/>
        </w:rPr>
        <w:t>[6]</w:t>
      </w:r>
      <w:r>
        <w:rPr>
          <w:rFonts w:cs="Times New Roman"/>
          <w:spacing w:val="0"/>
          <w:szCs w:val="22"/>
          <w:lang w:val="en-US"/>
        </w:rPr>
        <w:tab/>
      </w:r>
      <w:r w:rsidR="00772A53">
        <w:t>On 10 March 2022, a year after the referral was lodged, the deponent on behalf of Serve Investment</w:t>
      </w:r>
      <w:r w:rsidR="00056726">
        <w:t>s</w:t>
      </w:r>
      <w:r w:rsidR="00BA132A">
        <w:t>, a certain Mr Venter,</w:t>
      </w:r>
      <w:r w:rsidR="00772A53">
        <w:t xml:space="preserve"> the director and operations manager of Serve </w:t>
      </w:r>
      <w:r w:rsidR="00B91C93">
        <w:t>Investments</w:t>
      </w:r>
      <w:r w:rsidR="00BA132A">
        <w:t>,</w:t>
      </w:r>
      <w:r w:rsidR="00772A53">
        <w:t xml:space="preserve"> received a text message requesting </w:t>
      </w:r>
      <w:r w:rsidR="00E451EE">
        <w:t xml:space="preserve">that </w:t>
      </w:r>
      <w:r w:rsidR="00772A53">
        <w:t>he send his email address for service</w:t>
      </w:r>
      <w:r w:rsidR="00E451EE">
        <w:t xml:space="preserve"> of a notice. Mr Venter submits that,</w:t>
      </w:r>
      <w:r w:rsidR="00772A53">
        <w:t xml:space="preserve"> at the time, he had no idea who sent him the text message or what it was about, and as a result, he ignored the message.</w:t>
      </w:r>
    </w:p>
    <w:p w14:paraId="7CC0FAB7" w14:textId="77777777" w:rsidR="00871600" w:rsidRDefault="00871600" w:rsidP="00871600">
      <w:pPr>
        <w:pStyle w:val="ListParagraph"/>
      </w:pPr>
    </w:p>
    <w:p w14:paraId="44048722" w14:textId="758BB1BF" w:rsidR="00871600" w:rsidRDefault="000E65E0" w:rsidP="000E65E0">
      <w:r>
        <w:rPr>
          <w:rFonts w:cs="Times New Roman"/>
          <w:spacing w:val="0"/>
          <w:szCs w:val="22"/>
          <w:lang w:val="en-US"/>
        </w:rPr>
        <w:t>[7]</w:t>
      </w:r>
      <w:r>
        <w:rPr>
          <w:rFonts w:cs="Times New Roman"/>
          <w:spacing w:val="0"/>
          <w:szCs w:val="22"/>
          <w:lang w:val="en-US"/>
        </w:rPr>
        <w:tab/>
      </w:r>
      <w:r w:rsidR="00871600">
        <w:t>On 14 Marc</w:t>
      </w:r>
      <w:r w:rsidR="00056726">
        <w:t xml:space="preserve">h 2022, Mr </w:t>
      </w:r>
      <w:proofErr w:type="spellStart"/>
      <w:r w:rsidR="00056726">
        <w:t>Sinvula</w:t>
      </w:r>
      <w:proofErr w:type="spellEnd"/>
      <w:r w:rsidR="00056726">
        <w:t xml:space="preserve"> contacted Mr Venter</w:t>
      </w:r>
      <w:r w:rsidR="00871600">
        <w:t xml:space="preserve"> telephonically and i</w:t>
      </w:r>
      <w:r w:rsidR="00FA4560">
        <w:t xml:space="preserve">nformed him of the </w:t>
      </w:r>
      <w:proofErr w:type="gramStart"/>
      <w:r w:rsidR="00FA4560">
        <w:t>referral,</w:t>
      </w:r>
      <w:r w:rsidR="00871600">
        <w:t xml:space="preserve"> </w:t>
      </w:r>
      <w:r w:rsidR="00BA132A">
        <w:t>and</w:t>
      </w:r>
      <w:proofErr w:type="gramEnd"/>
      <w:r w:rsidR="00BA132A">
        <w:t xml:space="preserve"> </w:t>
      </w:r>
      <w:r w:rsidR="00871600">
        <w:t xml:space="preserve">requested </w:t>
      </w:r>
      <w:r w:rsidR="00E451EE">
        <w:t xml:space="preserve">that </w:t>
      </w:r>
      <w:r w:rsidR="00871600">
        <w:t>he provide his email address for service o</w:t>
      </w:r>
      <w:r w:rsidR="00E451EE">
        <w:t>f the notice. Mr Venter states that</w:t>
      </w:r>
      <w:r w:rsidR="00871600">
        <w:t>, he immediately cooperated with Mr Sinvula and sent him a text message with his email address.</w:t>
      </w:r>
    </w:p>
    <w:p w14:paraId="6DA45F50" w14:textId="77777777" w:rsidR="00871600" w:rsidRDefault="00871600" w:rsidP="00871600">
      <w:pPr>
        <w:pStyle w:val="ListParagraph"/>
      </w:pPr>
    </w:p>
    <w:p w14:paraId="5C2AB666" w14:textId="6BC4F2CC" w:rsidR="00871600" w:rsidRDefault="000E65E0" w:rsidP="000E65E0">
      <w:r>
        <w:rPr>
          <w:rFonts w:cs="Times New Roman"/>
          <w:spacing w:val="0"/>
          <w:szCs w:val="22"/>
          <w:lang w:val="en-US"/>
        </w:rPr>
        <w:t>[8]</w:t>
      </w:r>
      <w:r>
        <w:rPr>
          <w:rFonts w:cs="Times New Roman"/>
          <w:spacing w:val="0"/>
          <w:szCs w:val="22"/>
          <w:lang w:val="en-US"/>
        </w:rPr>
        <w:tab/>
      </w:r>
      <w:r w:rsidR="00871600">
        <w:t xml:space="preserve">Mr </w:t>
      </w:r>
      <w:proofErr w:type="spellStart"/>
      <w:r w:rsidR="00871600">
        <w:t>Sinvula</w:t>
      </w:r>
      <w:proofErr w:type="spellEnd"/>
      <w:r w:rsidR="00871600">
        <w:t xml:space="preserve"> subsequently sent him an email with a notice of set down dated 31 January 2022, for </w:t>
      </w:r>
      <w:r w:rsidR="00056726">
        <w:t xml:space="preserve">a </w:t>
      </w:r>
      <w:r w:rsidR="00871600">
        <w:t>hearing on 16 March 2022 at 09h00, in Rundu.</w:t>
      </w:r>
    </w:p>
    <w:p w14:paraId="79B583B7" w14:textId="77777777" w:rsidR="00871600" w:rsidRDefault="00871600" w:rsidP="00871600">
      <w:pPr>
        <w:pStyle w:val="ListParagraph"/>
      </w:pPr>
    </w:p>
    <w:p w14:paraId="3844F859" w14:textId="64826479" w:rsidR="00506A93" w:rsidRDefault="000E65E0" w:rsidP="000E65E0">
      <w:r>
        <w:rPr>
          <w:rFonts w:cs="Times New Roman"/>
          <w:spacing w:val="0"/>
          <w:szCs w:val="22"/>
          <w:lang w:val="en-US"/>
        </w:rPr>
        <w:lastRenderedPageBreak/>
        <w:t>[9]</w:t>
      </w:r>
      <w:r>
        <w:rPr>
          <w:rFonts w:cs="Times New Roman"/>
          <w:spacing w:val="0"/>
          <w:szCs w:val="22"/>
          <w:lang w:val="en-US"/>
        </w:rPr>
        <w:tab/>
      </w:r>
      <w:r w:rsidR="00871600">
        <w:t>Mr</w:t>
      </w:r>
      <w:r w:rsidR="00056726">
        <w:t xml:space="preserve"> Venter</w:t>
      </w:r>
      <w:r w:rsidR="00871600">
        <w:t xml:space="preserve"> informed Mr </w:t>
      </w:r>
      <w:proofErr w:type="spellStart"/>
      <w:r w:rsidR="00871600">
        <w:t>Sinvula</w:t>
      </w:r>
      <w:proofErr w:type="spellEnd"/>
      <w:r w:rsidR="00871600">
        <w:t xml:space="preserve"> that, at no stage did he (Mr Venter) agree to a shorter notice period, and that the two days’ notice was insufficient. Mr Venter further requested a postponement to April 2022. In the same email</w:t>
      </w:r>
      <w:r w:rsidR="00056726">
        <w:t>,</w:t>
      </w:r>
      <w:r w:rsidR="00871600">
        <w:t xml:space="preserve"> he requested </w:t>
      </w:r>
      <w:r w:rsidR="005738C7">
        <w:t xml:space="preserve">that </w:t>
      </w:r>
      <w:r w:rsidR="00871600">
        <w:t>Mr Sinvula inform him of the new date for the hearing. Mr Venter furt</w:t>
      </w:r>
      <w:r w:rsidR="00506A93">
        <w:t>her avers</w:t>
      </w:r>
      <w:r w:rsidR="00F90BE3">
        <w:t xml:space="preserve"> that</w:t>
      </w:r>
      <w:r w:rsidR="00506A93">
        <w:t>, he never heard from Mr Sinvula again.</w:t>
      </w:r>
    </w:p>
    <w:p w14:paraId="798ADF6B" w14:textId="77777777" w:rsidR="00506A93" w:rsidRDefault="00506A93" w:rsidP="00506A93">
      <w:pPr>
        <w:pStyle w:val="ListParagraph"/>
      </w:pPr>
    </w:p>
    <w:p w14:paraId="43BB0B83" w14:textId="7EFDF490" w:rsidR="00871600" w:rsidRDefault="000E65E0" w:rsidP="000E65E0">
      <w:r>
        <w:rPr>
          <w:rFonts w:cs="Times New Roman"/>
          <w:spacing w:val="0"/>
          <w:szCs w:val="22"/>
          <w:lang w:val="en-US"/>
        </w:rPr>
        <w:t>[10]</w:t>
      </w:r>
      <w:r>
        <w:rPr>
          <w:rFonts w:cs="Times New Roman"/>
          <w:spacing w:val="0"/>
          <w:szCs w:val="22"/>
          <w:lang w:val="en-US"/>
        </w:rPr>
        <w:tab/>
      </w:r>
      <w:r w:rsidR="00506A93">
        <w:t>On</w:t>
      </w:r>
      <w:r w:rsidR="00056726">
        <w:t xml:space="preserve"> 19 January 2023,</w:t>
      </w:r>
      <w:r w:rsidR="005738C7">
        <w:t xml:space="preserve"> Mr Venter</w:t>
      </w:r>
      <w:r w:rsidR="00506A93">
        <w:t xml:space="preserve"> received a message via ‘WhatsApp’ from Ms van der Merwe. The message contained a screenshot of an email sent to her by the office of the Labour Commissioner, containing an arbitrat</w:t>
      </w:r>
      <w:r w:rsidR="005738C7">
        <w:t>ion award. T</w:t>
      </w:r>
      <w:r w:rsidR="00506A93">
        <w:t xml:space="preserve">he arbitration award </w:t>
      </w:r>
      <w:r w:rsidR="00056726">
        <w:t>is dated 23 October 2022, yet</w:t>
      </w:r>
      <w:r w:rsidR="00506A93">
        <w:t xml:space="preserve"> 19 January 2023, was the first time</w:t>
      </w:r>
      <w:r w:rsidR="00F90BE3">
        <w:t xml:space="preserve"> that</w:t>
      </w:r>
      <w:r w:rsidR="00506A93">
        <w:t xml:space="preserve"> he and Serve Investments learned </w:t>
      </w:r>
      <w:r w:rsidR="00F90BE3">
        <w:t>of the award. Mr Venter states that</w:t>
      </w:r>
      <w:r w:rsidR="00506A93">
        <w:t>, until date of his founding affida</w:t>
      </w:r>
      <w:r w:rsidR="0000496C">
        <w:t xml:space="preserve">vit </w:t>
      </w:r>
      <w:r w:rsidR="00506A93">
        <w:t>31 January 2023, neith</w:t>
      </w:r>
      <w:r w:rsidR="0000496C">
        <w:t>er he nor Serve Investments had</w:t>
      </w:r>
      <w:r w:rsidR="00506A93">
        <w:t xml:space="preserve"> been served with the arbitration award.</w:t>
      </w:r>
    </w:p>
    <w:p w14:paraId="38E5C1CF" w14:textId="77777777" w:rsidR="001B5B78" w:rsidRDefault="001B5B78" w:rsidP="001B5B78">
      <w:pPr>
        <w:pStyle w:val="ListParagraph"/>
        <w:ind w:left="0"/>
      </w:pPr>
    </w:p>
    <w:p w14:paraId="595572E3" w14:textId="234D9DB3" w:rsidR="00506A93" w:rsidRDefault="000E65E0" w:rsidP="000E65E0">
      <w:r>
        <w:rPr>
          <w:rFonts w:cs="Times New Roman"/>
          <w:spacing w:val="0"/>
          <w:szCs w:val="22"/>
          <w:lang w:val="en-US"/>
        </w:rPr>
        <w:t>[11]</w:t>
      </w:r>
      <w:r>
        <w:rPr>
          <w:rFonts w:cs="Times New Roman"/>
          <w:spacing w:val="0"/>
          <w:szCs w:val="22"/>
          <w:lang w:val="en-US"/>
        </w:rPr>
        <w:tab/>
      </w:r>
      <w:r w:rsidR="001B5B78">
        <w:t xml:space="preserve">In terms of the provisions of s 89(4) and (5) of the </w:t>
      </w:r>
      <w:r w:rsidR="005738C7">
        <w:t xml:space="preserve">Labour </w:t>
      </w:r>
      <w:r w:rsidR="001B5B78">
        <w:t xml:space="preserve">Act, a litigant may apply for the review of an arbitral award in circumstances where it is </w:t>
      </w:r>
      <w:proofErr w:type="gramStart"/>
      <w:r w:rsidR="001B5B78">
        <w:t>alleged</w:t>
      </w:r>
      <w:proofErr w:type="gramEnd"/>
      <w:r w:rsidR="001B5B78">
        <w:t xml:space="preserve"> and the reviewing court is satisfied that there is a defect in the award. This presupposes that the arbitrator committ</w:t>
      </w:r>
      <w:r w:rsidR="00056726">
        <w:t>ed</w:t>
      </w:r>
      <w:r w:rsidR="005738C7">
        <w:t xml:space="preserve"> misconduct in relation to his or her</w:t>
      </w:r>
      <w:r w:rsidR="001B5B78">
        <w:t xml:space="preserve"> duties; committed a gross irregularity in the arbitration proceedings, or he or she exceeded the powers conferred by the Act.</w:t>
      </w:r>
      <w:r w:rsidR="001B5B78">
        <w:rPr>
          <w:rStyle w:val="FootnoteReference"/>
        </w:rPr>
        <w:footnoteReference w:id="2"/>
      </w:r>
    </w:p>
    <w:p w14:paraId="4558D6B0" w14:textId="77777777" w:rsidR="00506A93" w:rsidRDefault="00506A93" w:rsidP="00506A93">
      <w:pPr>
        <w:pStyle w:val="ListParagraph"/>
      </w:pPr>
    </w:p>
    <w:p w14:paraId="0A71A879" w14:textId="7EFD0BA3" w:rsidR="00506A93" w:rsidRDefault="000E65E0" w:rsidP="000E65E0">
      <w:r>
        <w:rPr>
          <w:rFonts w:cs="Times New Roman"/>
          <w:spacing w:val="0"/>
          <w:szCs w:val="22"/>
          <w:lang w:val="en-US"/>
        </w:rPr>
        <w:t>[12]</w:t>
      </w:r>
      <w:r>
        <w:rPr>
          <w:rFonts w:cs="Times New Roman"/>
          <w:spacing w:val="0"/>
          <w:szCs w:val="22"/>
          <w:lang w:val="en-US"/>
        </w:rPr>
        <w:tab/>
      </w:r>
      <w:r w:rsidR="00506A93">
        <w:t xml:space="preserve">As a result, Mr Venter submits, in terms of s 86(3) read with s 129 and rule 6 of the </w:t>
      </w:r>
      <w:r w:rsidR="00751AB1">
        <w:t>Conciliation</w:t>
      </w:r>
      <w:r w:rsidR="00506A93">
        <w:t xml:space="preserve"> and Arbitration Rules, Serve Investments was never served with the LC 21 (referral) or the LC 49 (notic</w:t>
      </w:r>
      <w:r w:rsidR="005738C7">
        <w:t>e of set down), further exacerbated</w:t>
      </w:r>
      <w:r w:rsidR="00506A93">
        <w:t xml:space="preserve"> by the fact that the LG 36 affidavit</w:t>
      </w:r>
      <w:r w:rsidR="00854FA6">
        <w:t xml:space="preserve"> (proof of service of documents)</w:t>
      </w:r>
      <w:r w:rsidR="00506A93">
        <w:t xml:space="preserve"> is defective.</w:t>
      </w:r>
    </w:p>
    <w:p w14:paraId="5C81E6CA" w14:textId="77777777" w:rsidR="00506A93" w:rsidRDefault="00506A93" w:rsidP="00506A93">
      <w:pPr>
        <w:pStyle w:val="ListParagraph"/>
      </w:pPr>
    </w:p>
    <w:p w14:paraId="00B2B10E" w14:textId="4C2428EE" w:rsidR="00854FA6" w:rsidRDefault="000E65E0" w:rsidP="000E65E0">
      <w:r>
        <w:rPr>
          <w:rFonts w:cs="Times New Roman"/>
          <w:spacing w:val="0"/>
          <w:szCs w:val="22"/>
          <w:lang w:val="en-US"/>
        </w:rPr>
        <w:t>[13]</w:t>
      </w:r>
      <w:r>
        <w:rPr>
          <w:rFonts w:cs="Times New Roman"/>
          <w:spacing w:val="0"/>
          <w:szCs w:val="22"/>
          <w:lang w:val="en-US"/>
        </w:rPr>
        <w:tab/>
      </w:r>
      <w:r w:rsidR="005738C7">
        <w:t>He states further that</w:t>
      </w:r>
      <w:r w:rsidR="00506A93">
        <w:t xml:space="preserve">, when he initially received notice on 14 March 2022, the two </w:t>
      </w:r>
      <w:r w:rsidR="00751AB1">
        <w:t>days’ notice</w:t>
      </w:r>
      <w:r w:rsidR="00506A93">
        <w:t xml:space="preserve"> was too short, and in any event</w:t>
      </w:r>
      <w:r w:rsidR="00056726">
        <w:t>,</w:t>
      </w:r>
      <w:r w:rsidR="00506A93">
        <w:t xml:space="preserve"> fell short of the required 14 </w:t>
      </w:r>
      <w:r w:rsidR="00751AB1">
        <w:t>days’ notice</w:t>
      </w:r>
      <w:r w:rsidR="005738C7">
        <w:t>. N</w:t>
      </w:r>
      <w:r w:rsidR="00506A93">
        <w:t xml:space="preserve">either he nor Serve Investments was served with any notice of set </w:t>
      </w:r>
      <w:r w:rsidR="00506A93">
        <w:lastRenderedPageBreak/>
        <w:t xml:space="preserve">down for the </w:t>
      </w:r>
      <w:r w:rsidR="00F90BE3">
        <w:t>hearing of 1 June 2022, and</w:t>
      </w:r>
      <w:r w:rsidR="00506A93">
        <w:t xml:space="preserve"> M</w:t>
      </w:r>
      <w:r w:rsidR="00F90BE3">
        <w:t>r Sinvula failed in his duty as</w:t>
      </w:r>
      <w:r w:rsidR="00056726">
        <w:t xml:space="preserve"> </w:t>
      </w:r>
      <w:r w:rsidR="00506A93">
        <w:t>arbitrator to satisfy himself that Serve Investments had notice of the hearing, and further that Mr Sinvula made no effort to contact him on the day of the hearing to enquire about his absence.</w:t>
      </w:r>
    </w:p>
    <w:p w14:paraId="014FAD1E" w14:textId="77777777" w:rsidR="00506A93" w:rsidRDefault="00506A93" w:rsidP="00506A93">
      <w:pPr>
        <w:pStyle w:val="ListParagraph"/>
      </w:pPr>
    </w:p>
    <w:p w14:paraId="55D5ACB6" w14:textId="516A83FD" w:rsidR="00506A93" w:rsidRDefault="000E65E0" w:rsidP="000E65E0">
      <w:r>
        <w:rPr>
          <w:rFonts w:cs="Times New Roman"/>
          <w:spacing w:val="0"/>
          <w:szCs w:val="22"/>
          <w:lang w:val="en-US"/>
        </w:rPr>
        <w:t>[14]</w:t>
      </w:r>
      <w:r>
        <w:rPr>
          <w:rFonts w:cs="Times New Roman"/>
          <w:spacing w:val="0"/>
          <w:szCs w:val="22"/>
          <w:lang w:val="en-US"/>
        </w:rPr>
        <w:tab/>
      </w:r>
      <w:r w:rsidR="00506A93">
        <w:t>In light of the above, Mr Venter contends</w:t>
      </w:r>
      <w:r w:rsidR="0000496C">
        <w:t xml:space="preserve"> that</w:t>
      </w:r>
      <w:r w:rsidR="00506A93">
        <w:t xml:space="preserve"> the arbitr</w:t>
      </w:r>
      <w:r w:rsidR="00F90BE3">
        <w:t>ation proceedings were conducted in</w:t>
      </w:r>
      <w:r w:rsidR="0000496C">
        <w:t xml:space="preserve"> a</w:t>
      </w:r>
      <w:r w:rsidR="00506A93">
        <w:t xml:space="preserve"> procedurally unfair </w:t>
      </w:r>
      <w:r w:rsidR="005738C7">
        <w:t xml:space="preserve">manner </w:t>
      </w:r>
      <w:r w:rsidR="00506A93">
        <w:t>and to the detriment of Serve Investments.</w:t>
      </w:r>
    </w:p>
    <w:p w14:paraId="1FF98CD3" w14:textId="77777777" w:rsidR="00854FA6" w:rsidRDefault="00854FA6" w:rsidP="00854FA6">
      <w:pPr>
        <w:pStyle w:val="ListParagraph"/>
      </w:pPr>
    </w:p>
    <w:p w14:paraId="05977F41" w14:textId="5B63A960" w:rsidR="00854FA6" w:rsidRDefault="000E65E0" w:rsidP="000E65E0">
      <w:r>
        <w:rPr>
          <w:rFonts w:cs="Times New Roman"/>
          <w:spacing w:val="0"/>
          <w:szCs w:val="22"/>
          <w:lang w:val="en-US"/>
        </w:rPr>
        <w:t>[15]</w:t>
      </w:r>
      <w:r>
        <w:rPr>
          <w:rFonts w:cs="Times New Roman"/>
          <w:spacing w:val="0"/>
          <w:szCs w:val="22"/>
          <w:lang w:val="en-US"/>
        </w:rPr>
        <w:tab/>
      </w:r>
      <w:r w:rsidR="00854FA6">
        <w:t xml:space="preserve">During case management, the court </w:t>
      </w:r>
      <w:proofErr w:type="spellStart"/>
      <w:r w:rsidR="00854FA6">
        <w:t>mero</w:t>
      </w:r>
      <w:proofErr w:type="spellEnd"/>
      <w:r w:rsidR="00854FA6">
        <w:t xml:space="preserve"> motu raised the question of service with the legal practitioner of Serve Investments. The court further invited the legal practitioner to address the court during the hearing of the review, on whether service was proper and in terms of the rules</w:t>
      </w:r>
      <w:r w:rsidR="005738C7">
        <w:t xml:space="preserve"> of Court</w:t>
      </w:r>
      <w:r w:rsidR="00854FA6">
        <w:t>. The legal practitioner fi</w:t>
      </w:r>
      <w:r w:rsidR="0000496C">
        <w:t>led a supplementary affidavit deposed to by</w:t>
      </w:r>
      <w:r w:rsidR="00854FA6">
        <w:t xml:space="preserve"> the temporary Acting Deputy Sheriff, Mr Gunther von Francois, confirming the content of his returns of service, and further that the full process (that is, the notice of motion, founding affidavit of Mr Venter, annexures A to H and J) were personally served by him on Mr van der Merwe, and on behalf of Ms van der Merwe, as they are married.</w:t>
      </w:r>
      <w:r w:rsidR="00854FA6">
        <w:rPr>
          <w:rStyle w:val="FootnoteReference"/>
        </w:rPr>
        <w:footnoteReference w:id="3"/>
      </w:r>
      <w:r w:rsidR="00854FA6">
        <w:t xml:space="preserve"> The process was also</w:t>
      </w:r>
      <w:r w:rsidR="00056726">
        <w:t xml:space="preserve"> personally</w:t>
      </w:r>
      <w:r w:rsidR="00854FA6">
        <w:t xml:space="preserve"> served on Mr Sinvula.</w:t>
      </w:r>
      <w:r w:rsidR="00854FA6">
        <w:rPr>
          <w:rStyle w:val="FootnoteReference"/>
        </w:rPr>
        <w:footnoteReference w:id="4"/>
      </w:r>
      <w:r w:rsidR="00056726">
        <w:t xml:space="preserve"> Neither Mr nor Ms van der Merwe opposed the relief sought.</w:t>
      </w:r>
    </w:p>
    <w:p w14:paraId="57E0F60D" w14:textId="77777777" w:rsidR="000E76B8" w:rsidRDefault="000E76B8" w:rsidP="000E76B8">
      <w:pPr>
        <w:pStyle w:val="ListParagraph"/>
      </w:pPr>
    </w:p>
    <w:p w14:paraId="41D3074E" w14:textId="735DBF55" w:rsidR="000E76B8" w:rsidRDefault="000E65E0" w:rsidP="000E65E0">
      <w:r>
        <w:rPr>
          <w:rFonts w:cs="Times New Roman"/>
          <w:spacing w:val="0"/>
          <w:szCs w:val="22"/>
          <w:lang w:val="en-US"/>
        </w:rPr>
        <w:t>[16]</w:t>
      </w:r>
      <w:r>
        <w:rPr>
          <w:rFonts w:cs="Times New Roman"/>
          <w:spacing w:val="0"/>
          <w:szCs w:val="22"/>
          <w:lang w:val="en-US"/>
        </w:rPr>
        <w:tab/>
      </w:r>
      <w:r w:rsidR="000E76B8">
        <w:t>The relevant provisions of the Labour Act provide:</w:t>
      </w:r>
      <w:r w:rsidR="000E76B8">
        <w:rPr>
          <w:rStyle w:val="FootnoteReference"/>
        </w:rPr>
        <w:footnoteReference w:id="5"/>
      </w:r>
    </w:p>
    <w:p w14:paraId="31BA33AA" w14:textId="77777777" w:rsidR="000E76B8" w:rsidRDefault="000E76B8" w:rsidP="000E76B8">
      <w:pPr>
        <w:pStyle w:val="ListParagraph"/>
        <w:ind w:left="0"/>
        <w:rPr>
          <w:rFonts w:cs="Arial"/>
          <w:spacing w:val="-3"/>
          <w:szCs w:val="24"/>
          <w:lang w:val="en-ZA"/>
        </w:rPr>
      </w:pPr>
    </w:p>
    <w:p w14:paraId="60451F53" w14:textId="390A59A9" w:rsidR="000E76B8" w:rsidRDefault="000E76B8" w:rsidP="000E76B8">
      <w:pPr>
        <w:pStyle w:val="ListParagraph"/>
        <w:ind w:left="0"/>
        <w:rPr>
          <w:sz w:val="22"/>
          <w:lang w:val="en-ZA"/>
        </w:rPr>
      </w:pPr>
      <w:r>
        <w:rPr>
          <w:sz w:val="22"/>
          <w:lang w:val="en-ZA"/>
        </w:rPr>
        <w:tab/>
        <w:t>‘</w:t>
      </w:r>
      <w:r w:rsidRPr="000E76B8">
        <w:rPr>
          <w:sz w:val="22"/>
          <w:lang w:val="en-ZA"/>
        </w:rPr>
        <w:t xml:space="preserve">(4) A party to a dispute who alleges a defect in any arbitration proceedings in terms of this Part may apply to the Labour Court for an order reviewing and setting aside the award </w:t>
      </w:r>
      <w:r>
        <w:rPr>
          <w:sz w:val="22"/>
          <w:lang w:val="en-ZA"/>
        </w:rPr>
        <w:t>–</w:t>
      </w:r>
      <w:r w:rsidRPr="000E76B8">
        <w:rPr>
          <w:sz w:val="22"/>
          <w:lang w:val="en-ZA"/>
        </w:rPr>
        <w:t xml:space="preserve"> </w:t>
      </w:r>
    </w:p>
    <w:p w14:paraId="353420CC" w14:textId="77777777" w:rsidR="000E76B8" w:rsidRDefault="000E76B8" w:rsidP="000E76B8">
      <w:pPr>
        <w:pStyle w:val="ListParagraph"/>
        <w:ind w:left="0"/>
        <w:rPr>
          <w:sz w:val="22"/>
          <w:lang w:val="en-ZA"/>
        </w:rPr>
      </w:pPr>
    </w:p>
    <w:p w14:paraId="56409527" w14:textId="77777777" w:rsidR="000E76B8" w:rsidRDefault="000E76B8" w:rsidP="000E76B8">
      <w:pPr>
        <w:pStyle w:val="ListParagraph"/>
        <w:ind w:left="0"/>
        <w:rPr>
          <w:sz w:val="22"/>
          <w:lang w:val="en-ZA"/>
        </w:rPr>
      </w:pPr>
      <w:r w:rsidRPr="000E76B8">
        <w:rPr>
          <w:sz w:val="22"/>
          <w:lang w:val="en-ZA"/>
        </w:rPr>
        <w:t xml:space="preserve">(a) within 30 days after the award was served on the party, unless the alleged defect involves corruption; or </w:t>
      </w:r>
    </w:p>
    <w:p w14:paraId="48C047FC" w14:textId="77777777" w:rsidR="000E76B8" w:rsidRDefault="000E76B8" w:rsidP="000E76B8">
      <w:pPr>
        <w:pStyle w:val="ListParagraph"/>
        <w:ind w:left="0"/>
        <w:rPr>
          <w:sz w:val="22"/>
          <w:lang w:val="en-ZA"/>
        </w:rPr>
      </w:pPr>
      <w:r w:rsidRPr="000E76B8">
        <w:rPr>
          <w:sz w:val="22"/>
          <w:lang w:val="en-ZA"/>
        </w:rPr>
        <w:lastRenderedPageBreak/>
        <w:t xml:space="preserve">(b) if the alleged defect involves corruption, within six weeks after the date that the applicant discovers the corruption. </w:t>
      </w:r>
    </w:p>
    <w:p w14:paraId="0CF8A696" w14:textId="77777777" w:rsidR="000E76B8" w:rsidRDefault="000E76B8" w:rsidP="000E76B8">
      <w:pPr>
        <w:pStyle w:val="ListParagraph"/>
        <w:ind w:left="0"/>
        <w:rPr>
          <w:sz w:val="22"/>
          <w:lang w:val="en-ZA"/>
        </w:rPr>
      </w:pPr>
    </w:p>
    <w:p w14:paraId="3A1B8DF4" w14:textId="5683981B" w:rsidR="000E76B8" w:rsidRDefault="000E76B8" w:rsidP="000E76B8">
      <w:pPr>
        <w:pStyle w:val="ListParagraph"/>
        <w:ind w:left="0"/>
        <w:rPr>
          <w:sz w:val="22"/>
          <w:lang w:val="en-ZA"/>
        </w:rPr>
      </w:pPr>
      <w:r w:rsidRPr="000E76B8">
        <w:rPr>
          <w:sz w:val="22"/>
          <w:lang w:val="en-ZA"/>
        </w:rPr>
        <w:t xml:space="preserve">(5) A defect referred to in subsection (4) means </w:t>
      </w:r>
      <w:r>
        <w:rPr>
          <w:sz w:val="22"/>
          <w:lang w:val="en-ZA"/>
        </w:rPr>
        <w:t>–</w:t>
      </w:r>
      <w:r w:rsidRPr="000E76B8">
        <w:rPr>
          <w:sz w:val="22"/>
          <w:lang w:val="en-ZA"/>
        </w:rPr>
        <w:t xml:space="preserve"> </w:t>
      </w:r>
    </w:p>
    <w:p w14:paraId="2BDAF46C" w14:textId="77777777" w:rsidR="000E76B8" w:rsidRDefault="000E76B8" w:rsidP="000E76B8">
      <w:pPr>
        <w:pStyle w:val="ListParagraph"/>
        <w:ind w:left="0"/>
        <w:rPr>
          <w:sz w:val="22"/>
          <w:lang w:val="en-ZA"/>
        </w:rPr>
      </w:pPr>
    </w:p>
    <w:p w14:paraId="116F34BB" w14:textId="2C24FE5F" w:rsidR="000E76B8" w:rsidRDefault="000E76B8" w:rsidP="000E76B8">
      <w:pPr>
        <w:pStyle w:val="ListParagraph"/>
        <w:ind w:left="0"/>
        <w:rPr>
          <w:sz w:val="22"/>
          <w:lang w:val="en-ZA"/>
        </w:rPr>
      </w:pPr>
      <w:r w:rsidRPr="000E76B8">
        <w:rPr>
          <w:sz w:val="22"/>
          <w:lang w:val="en-ZA"/>
        </w:rPr>
        <w:t xml:space="preserve">(a) that the arbitrator </w:t>
      </w:r>
      <w:r>
        <w:rPr>
          <w:sz w:val="22"/>
          <w:lang w:val="en-ZA"/>
        </w:rPr>
        <w:t>–</w:t>
      </w:r>
      <w:r w:rsidRPr="000E76B8">
        <w:rPr>
          <w:sz w:val="22"/>
          <w:lang w:val="en-ZA"/>
        </w:rPr>
        <w:t xml:space="preserve"> </w:t>
      </w:r>
    </w:p>
    <w:p w14:paraId="223F4ABF" w14:textId="4086EC04" w:rsidR="000E76B8" w:rsidRDefault="000E76B8" w:rsidP="000E76B8">
      <w:pPr>
        <w:pStyle w:val="ListParagraph"/>
        <w:ind w:left="0"/>
        <w:rPr>
          <w:sz w:val="22"/>
          <w:lang w:val="en-ZA"/>
        </w:rPr>
      </w:pPr>
      <w:r>
        <w:rPr>
          <w:sz w:val="22"/>
          <w:lang w:val="en-ZA"/>
        </w:rPr>
        <w:tab/>
      </w:r>
      <w:r w:rsidRPr="000E76B8">
        <w:rPr>
          <w:sz w:val="22"/>
          <w:lang w:val="en-ZA"/>
        </w:rPr>
        <w:t xml:space="preserve">(i) committed misconduct in relation to the duties of an arbitrator; </w:t>
      </w:r>
    </w:p>
    <w:p w14:paraId="6F454D3B" w14:textId="04AD9E1D" w:rsidR="000E76B8" w:rsidRDefault="000E76B8" w:rsidP="000E76B8">
      <w:pPr>
        <w:pStyle w:val="ListParagraph"/>
        <w:ind w:left="0"/>
        <w:rPr>
          <w:sz w:val="22"/>
          <w:lang w:val="en-ZA"/>
        </w:rPr>
      </w:pPr>
      <w:r>
        <w:rPr>
          <w:sz w:val="22"/>
          <w:lang w:val="en-ZA"/>
        </w:rPr>
        <w:tab/>
      </w:r>
      <w:r w:rsidRPr="000E76B8">
        <w:rPr>
          <w:sz w:val="22"/>
          <w:lang w:val="en-ZA"/>
        </w:rPr>
        <w:t xml:space="preserve">(ii) committed a gross irregularity in the conduct </w:t>
      </w:r>
      <w:r>
        <w:rPr>
          <w:sz w:val="22"/>
          <w:lang w:val="en-ZA"/>
        </w:rPr>
        <w:t xml:space="preserve">of the arbitration proceedings; </w:t>
      </w:r>
      <w:r>
        <w:rPr>
          <w:sz w:val="22"/>
          <w:lang w:val="en-ZA"/>
        </w:rPr>
        <w:tab/>
      </w:r>
      <w:r w:rsidRPr="000E76B8">
        <w:rPr>
          <w:sz w:val="22"/>
          <w:lang w:val="en-ZA"/>
        </w:rPr>
        <w:t xml:space="preserve">or </w:t>
      </w:r>
    </w:p>
    <w:p w14:paraId="26D6F647" w14:textId="13977A1B" w:rsidR="000E76B8" w:rsidRDefault="000E76B8" w:rsidP="000E76B8">
      <w:pPr>
        <w:pStyle w:val="ListParagraph"/>
        <w:ind w:left="0"/>
        <w:rPr>
          <w:sz w:val="22"/>
          <w:lang w:val="en-ZA"/>
        </w:rPr>
      </w:pPr>
      <w:r>
        <w:rPr>
          <w:sz w:val="22"/>
          <w:lang w:val="en-ZA"/>
        </w:rPr>
        <w:tab/>
      </w:r>
      <w:r w:rsidRPr="000E76B8">
        <w:rPr>
          <w:sz w:val="22"/>
          <w:lang w:val="en-ZA"/>
        </w:rPr>
        <w:t xml:space="preserve">(iii) exceeded the arbitrator’s power; or </w:t>
      </w:r>
    </w:p>
    <w:p w14:paraId="2F2075AD" w14:textId="326AA69F" w:rsidR="000E76B8" w:rsidRPr="000E76B8" w:rsidRDefault="000E76B8" w:rsidP="000E76B8">
      <w:pPr>
        <w:pStyle w:val="ListParagraph"/>
        <w:ind w:left="0"/>
        <w:rPr>
          <w:sz w:val="22"/>
        </w:rPr>
      </w:pPr>
      <w:r w:rsidRPr="000E76B8">
        <w:rPr>
          <w:sz w:val="22"/>
          <w:lang w:val="en-ZA"/>
        </w:rPr>
        <w:t>(b) that the award has been improperly obtained.</w:t>
      </w:r>
      <w:r>
        <w:rPr>
          <w:sz w:val="22"/>
          <w:lang w:val="en-ZA"/>
        </w:rPr>
        <w:t>’</w:t>
      </w:r>
    </w:p>
    <w:p w14:paraId="371D0C77" w14:textId="77777777" w:rsidR="00506A93" w:rsidRDefault="00506A93" w:rsidP="00506A93">
      <w:pPr>
        <w:pStyle w:val="ListParagraph"/>
      </w:pPr>
    </w:p>
    <w:p w14:paraId="42134CA2" w14:textId="7AC9B2F7" w:rsidR="00473DE6" w:rsidRDefault="000E65E0" w:rsidP="000E65E0">
      <w:r>
        <w:rPr>
          <w:rFonts w:cs="Times New Roman"/>
          <w:spacing w:val="0"/>
          <w:szCs w:val="22"/>
          <w:lang w:val="en-US"/>
        </w:rPr>
        <w:t>[17]</w:t>
      </w:r>
      <w:r>
        <w:rPr>
          <w:rFonts w:cs="Times New Roman"/>
          <w:spacing w:val="0"/>
          <w:szCs w:val="22"/>
          <w:lang w:val="en-US"/>
        </w:rPr>
        <w:tab/>
      </w:r>
      <w:r w:rsidR="008767CC">
        <w:t>Serve Investment</w:t>
      </w:r>
      <w:r w:rsidR="005738C7">
        <w:t>s</w:t>
      </w:r>
      <w:r w:rsidR="008767CC">
        <w:t xml:space="preserve"> contends</w:t>
      </w:r>
      <w:r w:rsidR="00F90BE3">
        <w:t xml:space="preserve"> that</w:t>
      </w:r>
      <w:r w:rsidR="008767CC">
        <w:t xml:space="preserve">, Mr </w:t>
      </w:r>
      <w:proofErr w:type="spellStart"/>
      <w:r w:rsidR="008767CC">
        <w:t>Sinvula</w:t>
      </w:r>
      <w:proofErr w:type="spellEnd"/>
      <w:r w:rsidR="008767CC">
        <w:t xml:space="preserve"> failed to ensure</w:t>
      </w:r>
      <w:r w:rsidR="00F90BE3">
        <w:t xml:space="preserve"> that</w:t>
      </w:r>
      <w:r w:rsidR="008767CC">
        <w:t xml:space="preserve"> its right to procedural fairness was protected, and that Mr </w:t>
      </w:r>
      <w:proofErr w:type="spellStart"/>
      <w:r w:rsidR="008767CC">
        <w:t>Sinvula</w:t>
      </w:r>
      <w:proofErr w:type="spellEnd"/>
      <w:r w:rsidR="008767CC">
        <w:t xml:space="preserve"> co</w:t>
      </w:r>
      <w:r w:rsidR="005738C7">
        <w:t>mmitted misconduct and</w:t>
      </w:r>
      <w:r w:rsidR="008767CC">
        <w:t xml:space="preserve"> a gross irregularity in the conduct of the arbitration proceedings.</w:t>
      </w:r>
    </w:p>
    <w:p w14:paraId="7E193768" w14:textId="77777777" w:rsidR="00B91C93" w:rsidRDefault="00B91C93" w:rsidP="00B91C93">
      <w:pPr>
        <w:pStyle w:val="ListParagraph"/>
        <w:ind w:left="0"/>
      </w:pPr>
    </w:p>
    <w:p w14:paraId="5640A8E4" w14:textId="1F484FAF" w:rsidR="00B91C93" w:rsidRPr="00B91C93" w:rsidRDefault="000E65E0" w:rsidP="000E65E0">
      <w:r w:rsidRPr="00B91C93">
        <w:rPr>
          <w:rFonts w:cs="Times New Roman"/>
          <w:spacing w:val="0"/>
          <w:szCs w:val="22"/>
          <w:lang w:val="en-US"/>
        </w:rPr>
        <w:t>[18]</w:t>
      </w:r>
      <w:r w:rsidRPr="00B91C93">
        <w:rPr>
          <w:rFonts w:cs="Times New Roman"/>
          <w:spacing w:val="0"/>
          <w:szCs w:val="22"/>
          <w:lang w:val="en-US"/>
        </w:rPr>
        <w:tab/>
      </w:r>
      <w:r w:rsidR="00473DE6" w:rsidRPr="000E65E0">
        <w:rPr>
          <w:rFonts w:eastAsia="Calibri"/>
        </w:rPr>
        <w:t xml:space="preserve">In </w:t>
      </w:r>
      <w:r w:rsidR="00473DE6" w:rsidRPr="000E65E0">
        <w:rPr>
          <w:rFonts w:eastAsia="Calibri"/>
          <w:i/>
        </w:rPr>
        <w:t>Total Support Management (Pty) Ltd and Another v Diversified Health Systems (SA) (Pty) Ltd and Another,</w:t>
      </w:r>
      <w:r w:rsidR="00473DE6" w:rsidRPr="00473DE6">
        <w:rPr>
          <w:rFonts w:eastAsia="Calibri"/>
          <w:vertAlign w:val="superscript"/>
        </w:rPr>
        <w:footnoteReference w:id="6"/>
      </w:r>
      <w:r w:rsidR="00473DE6" w:rsidRPr="000E65E0">
        <w:rPr>
          <w:rFonts w:eastAsia="Calibri"/>
        </w:rPr>
        <w:t xml:space="preserve"> the South African Supreme Court of Appeal held that:</w:t>
      </w:r>
      <w:r w:rsidR="00EA6D7C">
        <w:rPr>
          <w:rStyle w:val="FootnoteReference"/>
          <w:rFonts w:eastAsia="Calibri"/>
        </w:rPr>
        <w:footnoteReference w:id="7"/>
      </w:r>
    </w:p>
    <w:p w14:paraId="7A055A73" w14:textId="77777777" w:rsidR="00B91C93" w:rsidRPr="00B91C93" w:rsidRDefault="00B91C93" w:rsidP="00B91C93">
      <w:pPr>
        <w:pStyle w:val="ListParagraph"/>
        <w:ind w:left="0"/>
      </w:pPr>
    </w:p>
    <w:p w14:paraId="2C4651CE" w14:textId="2BC15F75" w:rsidR="00EA6D7C" w:rsidRDefault="00473DE6" w:rsidP="00B91C93">
      <w:pPr>
        <w:pStyle w:val="ListParagraph"/>
        <w:ind w:left="0" w:firstLine="720"/>
        <w:rPr>
          <w:rFonts w:eastAsia="Calibri"/>
          <w:sz w:val="22"/>
        </w:rPr>
      </w:pPr>
      <w:r w:rsidRPr="00B91C93">
        <w:rPr>
          <w:rFonts w:eastAsia="Calibri"/>
          <w:sz w:val="22"/>
        </w:rPr>
        <w:t xml:space="preserve">'Proof that the second respondent misconducted himself in relation to his duties or committed a gross irregularity in the conduct of the arbitration is a prerequisite for setting aside the award. The </w:t>
      </w:r>
      <w:r w:rsidRPr="00B91C93">
        <w:rPr>
          <w:rFonts w:eastAsia="Calibri"/>
          <w:i/>
          <w:sz w:val="22"/>
        </w:rPr>
        <w:t>onus</w:t>
      </w:r>
      <w:r w:rsidRPr="00B91C93">
        <w:rPr>
          <w:rFonts w:eastAsia="Calibri"/>
          <w:sz w:val="22"/>
        </w:rPr>
        <w:t xml:space="preserve"> rests upon the appellants in this regard. As appears from the authorities to which I have referred, the basis on which an award will be set aside on the grounds of misconduct is a very narrow one. A gross or manifest mistake is not per se misconduct. At best it provides evidence of misconduct … which, taken alone or in conjunction with other considerations, will ultimately have to be sufficiently compelling to justify an inference (as the most likely inference) of what has variously been described as wrongful and improper…dishonesty and </w:t>
      </w:r>
      <w:r w:rsidRPr="00B91C93">
        <w:rPr>
          <w:rFonts w:eastAsia="Calibri"/>
          <w:i/>
          <w:sz w:val="22"/>
        </w:rPr>
        <w:t>mala fides</w:t>
      </w:r>
      <w:r w:rsidRPr="00B91C93">
        <w:rPr>
          <w:rFonts w:eastAsia="Calibri"/>
          <w:sz w:val="22"/>
        </w:rPr>
        <w:t xml:space="preserve"> or partiality … and moral turpitude ... '</w:t>
      </w:r>
    </w:p>
    <w:p w14:paraId="62822E8E" w14:textId="77777777" w:rsidR="00B91C93" w:rsidRPr="00B91C93" w:rsidRDefault="00B91C93" w:rsidP="00B91C93"/>
    <w:p w14:paraId="272D80A6" w14:textId="0DC8E2DD" w:rsidR="00444A96" w:rsidRPr="00444A96" w:rsidRDefault="000E65E0" w:rsidP="000E65E0">
      <w:pPr>
        <w:pStyle w:val="Heading1"/>
        <w:numPr>
          <w:ilvl w:val="0"/>
          <w:numId w:val="0"/>
        </w:numPr>
      </w:pPr>
      <w:r w:rsidRPr="00444A96">
        <w:t>[19]</w:t>
      </w:r>
      <w:r w:rsidRPr="00444A96">
        <w:tab/>
      </w:r>
      <w:r w:rsidR="00444A96" w:rsidRPr="00444A96">
        <w:rPr>
          <w:lang w:val="en-GB"/>
        </w:rPr>
        <w:t xml:space="preserve">Further, in </w:t>
      </w:r>
      <w:r w:rsidR="00444A96" w:rsidRPr="00444A96">
        <w:rPr>
          <w:i/>
        </w:rPr>
        <w:t>Ellis v Morgan,</w:t>
      </w:r>
      <w:r w:rsidR="00444A96" w:rsidRPr="00444A96">
        <w:rPr>
          <w:vertAlign w:val="superscript"/>
        </w:rPr>
        <w:footnoteReference w:id="8"/>
      </w:r>
      <w:r w:rsidR="005738C7">
        <w:t xml:space="preserve"> Mason J explained </w:t>
      </w:r>
      <w:r w:rsidR="00444A96" w:rsidRPr="00444A96">
        <w:t>the meaning of ‘gross irregularity’</w:t>
      </w:r>
      <w:r w:rsidR="00056726">
        <w:t>:</w:t>
      </w:r>
    </w:p>
    <w:p w14:paraId="67D0DAD3" w14:textId="77777777" w:rsidR="00444A96" w:rsidRDefault="00444A96" w:rsidP="00444A96">
      <w:pPr>
        <w:pStyle w:val="Heading1"/>
        <w:numPr>
          <w:ilvl w:val="0"/>
          <w:numId w:val="0"/>
        </w:numPr>
      </w:pPr>
    </w:p>
    <w:p w14:paraId="5267B5E1" w14:textId="2FE63745" w:rsidR="00444A96" w:rsidRDefault="00444A96" w:rsidP="00B91C93">
      <w:pPr>
        <w:pStyle w:val="Heading1"/>
        <w:numPr>
          <w:ilvl w:val="0"/>
          <w:numId w:val="0"/>
        </w:numPr>
        <w:rPr>
          <w:sz w:val="22"/>
        </w:rPr>
      </w:pPr>
      <w:r>
        <w:rPr>
          <w:sz w:val="22"/>
        </w:rPr>
        <w:tab/>
      </w:r>
      <w:r w:rsidRPr="00444A96">
        <w:rPr>
          <w:sz w:val="22"/>
        </w:rPr>
        <w:t>‘But an irregularity in proceedings does not mean an incorrect judgment; it refers not to the result, but to the methods of a trial, such as, for example, some high-handed or mistaken action which has prevented the aggrieved party from having his case fully and fairly determined.’</w:t>
      </w:r>
    </w:p>
    <w:p w14:paraId="6CE36758" w14:textId="77777777" w:rsidR="00056726" w:rsidRPr="00056726" w:rsidRDefault="00056726" w:rsidP="00056726"/>
    <w:p w14:paraId="6533AF97" w14:textId="56E79841" w:rsidR="00B91C93" w:rsidRDefault="000E65E0" w:rsidP="000E65E0">
      <w:pPr>
        <w:tabs>
          <w:tab w:val="decimal" w:pos="288"/>
          <w:tab w:val="decimal" w:pos="360"/>
        </w:tabs>
      </w:pPr>
      <w:r>
        <w:rPr>
          <w:rFonts w:cs="Times New Roman"/>
          <w:spacing w:val="0"/>
          <w:szCs w:val="22"/>
          <w:lang w:val="en-US"/>
        </w:rPr>
        <w:t>[19]</w:t>
      </w:r>
      <w:r>
        <w:rPr>
          <w:rFonts w:cs="Times New Roman"/>
          <w:spacing w:val="0"/>
          <w:szCs w:val="22"/>
          <w:lang w:val="en-US"/>
        </w:rPr>
        <w:tab/>
      </w:r>
      <w:r w:rsidR="00B91C93">
        <w:t>In</w:t>
      </w:r>
      <w:r w:rsidR="00B91C93" w:rsidRPr="001A5670">
        <w:t xml:space="preserve"> </w:t>
      </w:r>
      <w:r w:rsidR="00B91C93" w:rsidRPr="000E65E0">
        <w:rPr>
          <w:i/>
        </w:rPr>
        <w:t>Goldfields Investment Ltd v City Council of Johannesburg,</w:t>
      </w:r>
      <w:r w:rsidR="00B91C93" w:rsidRPr="001A5670">
        <w:rPr>
          <w:rStyle w:val="FootnoteReference"/>
          <w:i/>
        </w:rPr>
        <w:footnoteReference w:id="9"/>
      </w:r>
      <w:r w:rsidR="00B91C93" w:rsidRPr="001A5670">
        <w:t xml:space="preserve"> </w:t>
      </w:r>
      <w:r w:rsidR="00B91C93">
        <w:t>Schreiner J found</w:t>
      </w:r>
      <w:r w:rsidR="00B91C93" w:rsidRPr="001A5670">
        <w:t>:</w:t>
      </w:r>
      <w:r w:rsidR="00B91C93">
        <w:rPr>
          <w:rStyle w:val="FootnoteReference"/>
        </w:rPr>
        <w:footnoteReference w:id="10"/>
      </w:r>
    </w:p>
    <w:p w14:paraId="4FD12699" w14:textId="73A6C8D2" w:rsidR="00444A96" w:rsidRPr="00B91C93" w:rsidRDefault="00B91C93" w:rsidP="00B91C93">
      <w:pPr>
        <w:tabs>
          <w:tab w:val="decimal" w:pos="288"/>
          <w:tab w:val="decimal" w:pos="360"/>
        </w:tabs>
        <w:ind w:firstLine="851"/>
        <w:rPr>
          <w:sz w:val="22"/>
        </w:rPr>
      </w:pPr>
      <w:r w:rsidRPr="00B91C93">
        <w:rPr>
          <w:sz w:val="22"/>
        </w:rPr>
        <w:t xml:space="preserve">‘The law, as stated in </w:t>
      </w:r>
      <w:r w:rsidRPr="00B91C93">
        <w:rPr>
          <w:i/>
          <w:sz w:val="22"/>
        </w:rPr>
        <w:t xml:space="preserve">Ellis v </w:t>
      </w:r>
      <w:proofErr w:type="gramStart"/>
      <w:r w:rsidRPr="00B91C93">
        <w:rPr>
          <w:i/>
          <w:sz w:val="22"/>
        </w:rPr>
        <w:t>Morgan</w:t>
      </w:r>
      <w:r w:rsidRPr="00B91C93">
        <w:rPr>
          <w:sz w:val="22"/>
        </w:rPr>
        <w:t xml:space="preserve">  has</w:t>
      </w:r>
      <w:proofErr w:type="gramEnd"/>
      <w:r w:rsidRPr="00B91C93">
        <w:rPr>
          <w:sz w:val="22"/>
        </w:rPr>
        <w:t xml:space="preserve"> been accepted in subsequent cases, and the passage which has been quoted from that case shows that it is not merely high-handed or arbitrary conduct which is described as a gross irregularity; behaviour which is perfectly well intentioned and </w:t>
      </w:r>
      <w:r w:rsidRPr="00B91C93">
        <w:rPr>
          <w:i/>
          <w:sz w:val="22"/>
        </w:rPr>
        <w:t>bona fide</w:t>
      </w:r>
      <w:r w:rsidRPr="00B91C93">
        <w:rPr>
          <w:sz w:val="22"/>
        </w:rPr>
        <w:t>, though mistaken, may come under that description. The crucial question is whether it prevented a fair trial of the issues. If it did prevent a fair trial of the issues then it will amount to a gross irregularity.’</w:t>
      </w:r>
    </w:p>
    <w:p w14:paraId="632DD2AB" w14:textId="77777777" w:rsidR="00444A96" w:rsidRPr="00444A96" w:rsidRDefault="00444A96" w:rsidP="00444A96">
      <w:pPr>
        <w:rPr>
          <w:lang w:val="en-GB"/>
        </w:rPr>
      </w:pPr>
    </w:p>
    <w:p w14:paraId="549DEE81" w14:textId="4F458FF3" w:rsidR="00796488" w:rsidRDefault="000E65E0" w:rsidP="000E65E0">
      <w:pPr>
        <w:pStyle w:val="Heading1"/>
        <w:numPr>
          <w:ilvl w:val="0"/>
          <w:numId w:val="0"/>
        </w:numPr>
        <w:rPr>
          <w:lang w:val="en-GB"/>
        </w:rPr>
      </w:pPr>
      <w:r>
        <w:rPr>
          <w:lang w:val="en-GB"/>
        </w:rPr>
        <w:t>[20]</w:t>
      </w:r>
      <w:r>
        <w:rPr>
          <w:lang w:val="en-GB"/>
        </w:rPr>
        <w:tab/>
      </w:r>
      <w:r w:rsidR="008767CC">
        <w:rPr>
          <w:lang w:val="en-GB"/>
        </w:rPr>
        <w:t>S</w:t>
      </w:r>
      <w:r w:rsidR="0000496C">
        <w:rPr>
          <w:lang w:val="en-GB"/>
        </w:rPr>
        <w:t>ection</w:t>
      </w:r>
      <w:r w:rsidR="008767CC">
        <w:rPr>
          <w:lang w:val="en-GB"/>
        </w:rPr>
        <w:t xml:space="preserve"> 86(3) of the Labour Act places a duty on the referring party to satisfy the Labour Commissioner that all parties to the dispute have been served with a copy of the referral. Mr Sinvula in the arbitration award contends</w:t>
      </w:r>
      <w:r w:rsidR="005738C7">
        <w:rPr>
          <w:lang w:val="en-GB"/>
        </w:rPr>
        <w:t xml:space="preserve"> that</w:t>
      </w:r>
      <w:r w:rsidR="008767CC">
        <w:rPr>
          <w:lang w:val="en-GB"/>
        </w:rPr>
        <w:t>, he is satisfied with the manner in which the parties were notifie</w:t>
      </w:r>
      <w:r w:rsidR="003E005E">
        <w:rPr>
          <w:lang w:val="en-GB"/>
        </w:rPr>
        <w:t>d, and that</w:t>
      </w:r>
      <w:r w:rsidR="008767CC">
        <w:rPr>
          <w:lang w:val="en-GB"/>
        </w:rPr>
        <w:t xml:space="preserve"> both parties were duly notified.</w:t>
      </w:r>
      <w:r w:rsidR="008767CC">
        <w:rPr>
          <w:rStyle w:val="FootnoteReference"/>
          <w:lang w:val="en-GB"/>
        </w:rPr>
        <w:footnoteReference w:id="11"/>
      </w:r>
      <w:r w:rsidR="008767CC">
        <w:rPr>
          <w:lang w:val="en-GB"/>
        </w:rPr>
        <w:t xml:space="preserve"> Mr Sinvula however fails to provide any exp</w:t>
      </w:r>
      <w:r w:rsidR="007E026C">
        <w:rPr>
          <w:lang w:val="en-GB"/>
        </w:rPr>
        <w:t xml:space="preserve">lanation as to how service was </w:t>
      </w:r>
      <w:proofErr w:type="gramStart"/>
      <w:r w:rsidR="007E026C">
        <w:rPr>
          <w:lang w:val="en-GB"/>
        </w:rPr>
        <w:t>e</w:t>
      </w:r>
      <w:r w:rsidR="008767CC">
        <w:rPr>
          <w:lang w:val="en-GB"/>
        </w:rPr>
        <w:t>ffected</w:t>
      </w:r>
      <w:proofErr w:type="gramEnd"/>
      <w:r w:rsidR="008767CC">
        <w:rPr>
          <w:lang w:val="en-GB"/>
        </w:rPr>
        <w:t xml:space="preserve">, and how he </w:t>
      </w:r>
      <w:r w:rsidR="007E026C">
        <w:rPr>
          <w:lang w:val="en-GB"/>
        </w:rPr>
        <w:t>satisfied</w:t>
      </w:r>
      <w:r w:rsidR="008767CC">
        <w:rPr>
          <w:lang w:val="en-GB"/>
        </w:rPr>
        <w:t xml:space="preserve"> himself that such service constituted proper service.</w:t>
      </w:r>
      <w:r w:rsidR="00796488">
        <w:rPr>
          <w:lang w:val="en-GB"/>
        </w:rPr>
        <w:t xml:space="preserve"> </w:t>
      </w:r>
    </w:p>
    <w:p w14:paraId="5B5ED127" w14:textId="77777777" w:rsidR="00796488" w:rsidRPr="00796488" w:rsidRDefault="00796488" w:rsidP="00796488">
      <w:pPr>
        <w:rPr>
          <w:lang w:val="en-GB"/>
        </w:rPr>
      </w:pPr>
    </w:p>
    <w:p w14:paraId="1012BE25" w14:textId="22E89269" w:rsidR="00473DE6" w:rsidRDefault="000E65E0" w:rsidP="000E65E0">
      <w:pPr>
        <w:pStyle w:val="Heading1"/>
        <w:numPr>
          <w:ilvl w:val="0"/>
          <w:numId w:val="0"/>
        </w:numPr>
        <w:rPr>
          <w:lang w:val="en-GB"/>
        </w:rPr>
      </w:pPr>
      <w:r>
        <w:rPr>
          <w:lang w:val="en-GB"/>
        </w:rPr>
        <w:t>[21]</w:t>
      </w:r>
      <w:r>
        <w:rPr>
          <w:lang w:val="en-GB"/>
        </w:rPr>
        <w:tab/>
      </w:r>
      <w:r w:rsidR="00796488" w:rsidRPr="00A72436">
        <w:rPr>
          <w:lang w:val="en-GB"/>
        </w:rPr>
        <w:t xml:space="preserve">Ex facie the record before court appears two LG 36 affidavits. I refer to annexure </w:t>
      </w:r>
      <w:r w:rsidR="005F7024" w:rsidRPr="00A72436">
        <w:rPr>
          <w:lang w:val="en-GB"/>
        </w:rPr>
        <w:t>C to Mr Venter’s founding affidavit,</w:t>
      </w:r>
      <w:r w:rsidR="005F7024">
        <w:rPr>
          <w:rStyle w:val="FootnoteReference"/>
          <w:lang w:val="en-GB"/>
        </w:rPr>
        <w:footnoteReference w:id="12"/>
      </w:r>
      <w:r w:rsidR="005F7024" w:rsidRPr="00A72436">
        <w:rPr>
          <w:lang w:val="en-GB"/>
        </w:rPr>
        <w:t xml:space="preserve"> and a second copy of the same </w:t>
      </w:r>
      <w:r w:rsidR="005F7024" w:rsidRPr="00A72436">
        <w:rPr>
          <w:lang w:val="en-GB"/>
        </w:rPr>
        <w:lastRenderedPageBreak/>
        <w:t>affidavit later in the record</w:t>
      </w:r>
      <w:r w:rsidR="005F7024">
        <w:rPr>
          <w:rStyle w:val="FootnoteReference"/>
          <w:lang w:val="en-GB"/>
        </w:rPr>
        <w:footnoteReference w:id="13"/>
      </w:r>
      <w:r w:rsidR="005F7024" w:rsidRPr="00A72436">
        <w:rPr>
          <w:lang w:val="en-GB"/>
        </w:rPr>
        <w:t>. The former affidavit is incomplete</w:t>
      </w:r>
      <w:r w:rsidR="0000496C">
        <w:rPr>
          <w:lang w:val="en-GB"/>
        </w:rPr>
        <w:t>,</w:t>
      </w:r>
      <w:r w:rsidR="005F7024" w:rsidRPr="00A72436">
        <w:rPr>
          <w:lang w:val="en-GB"/>
        </w:rPr>
        <w:t xml:space="preserve"> in that, it fails to make any allegation as to who was served and in what manner, while the latter affidavit evinced purported service on Mr Venter on </w:t>
      </w:r>
      <w:r w:rsidR="005F7024" w:rsidRPr="00F90BE3">
        <w:rPr>
          <w:lang w:val="en-GB"/>
        </w:rPr>
        <w:t>11 March 202</w:t>
      </w:r>
      <w:r w:rsidR="00F90BE3" w:rsidRPr="00F90BE3">
        <w:rPr>
          <w:lang w:val="en-GB"/>
        </w:rPr>
        <w:t>1</w:t>
      </w:r>
      <w:r w:rsidR="005F7024" w:rsidRPr="00A72436">
        <w:rPr>
          <w:lang w:val="en-GB"/>
        </w:rPr>
        <w:t xml:space="preserve">, by Ms van </w:t>
      </w:r>
      <w:r w:rsidR="00A72436">
        <w:rPr>
          <w:lang w:val="en-GB"/>
        </w:rPr>
        <w:t xml:space="preserve">der Merwe. </w:t>
      </w:r>
      <w:r w:rsidR="003E005E">
        <w:rPr>
          <w:lang w:val="en-GB"/>
        </w:rPr>
        <w:t>It was contended on behalf of the applicant</w:t>
      </w:r>
      <w:r w:rsidR="00B42FF2">
        <w:rPr>
          <w:lang w:val="en-GB"/>
        </w:rPr>
        <w:t xml:space="preserve"> that, </w:t>
      </w:r>
      <w:r w:rsidR="00A72436">
        <w:rPr>
          <w:lang w:val="en-GB"/>
        </w:rPr>
        <w:t xml:space="preserve">even if the court accepts </w:t>
      </w:r>
      <w:r w:rsidR="00F90BE3">
        <w:rPr>
          <w:lang w:val="en-GB"/>
        </w:rPr>
        <w:t xml:space="preserve">that </w:t>
      </w:r>
      <w:r w:rsidR="00A72436">
        <w:rPr>
          <w:lang w:val="en-GB"/>
        </w:rPr>
        <w:t xml:space="preserve">the applicant </w:t>
      </w:r>
      <w:r w:rsidR="00B42FF2">
        <w:rPr>
          <w:lang w:val="en-GB"/>
        </w:rPr>
        <w:t xml:space="preserve">or </w:t>
      </w:r>
      <w:r w:rsidR="00A72436">
        <w:rPr>
          <w:lang w:val="en-GB"/>
        </w:rPr>
        <w:t>Mr Venter was served with the initial notice of se</w:t>
      </w:r>
      <w:r w:rsidR="00B42FF2">
        <w:rPr>
          <w:lang w:val="en-GB"/>
        </w:rPr>
        <w:t>t down, all subsequent notices,</w:t>
      </w:r>
      <w:r w:rsidR="00A72436">
        <w:rPr>
          <w:lang w:val="en-GB"/>
        </w:rPr>
        <w:t xml:space="preserve"> when the arbi</w:t>
      </w:r>
      <w:r w:rsidR="00B42FF2">
        <w:rPr>
          <w:lang w:val="en-GB"/>
        </w:rPr>
        <w:t xml:space="preserve">tration was </w:t>
      </w:r>
      <w:proofErr w:type="gramStart"/>
      <w:r w:rsidR="00B42FF2">
        <w:rPr>
          <w:lang w:val="en-GB"/>
        </w:rPr>
        <w:t>actually held</w:t>
      </w:r>
      <w:proofErr w:type="gramEnd"/>
      <w:r w:rsidR="00B42FF2">
        <w:rPr>
          <w:lang w:val="en-GB"/>
        </w:rPr>
        <w:t>, were still</w:t>
      </w:r>
      <w:r w:rsidR="00A72436">
        <w:rPr>
          <w:lang w:val="en-GB"/>
        </w:rPr>
        <w:t xml:space="preserve"> not served on the applicant or Mr Venter.</w:t>
      </w:r>
      <w:r w:rsidR="00F90BE3">
        <w:rPr>
          <w:lang w:val="en-GB"/>
        </w:rPr>
        <w:t xml:space="preserve"> It was submitted</w:t>
      </w:r>
      <w:r w:rsidR="00B5721D">
        <w:rPr>
          <w:lang w:val="en-GB"/>
        </w:rPr>
        <w:t xml:space="preserve"> that it is also clear from the record that no conciliation took place, and all this was done despite the request by Mr Venter to have the proceedings postponed. </w:t>
      </w:r>
      <w:r w:rsidR="003E005E">
        <w:rPr>
          <w:lang w:val="en-GB"/>
        </w:rPr>
        <w:t>T</w:t>
      </w:r>
      <w:r w:rsidR="00B5721D">
        <w:rPr>
          <w:lang w:val="en-GB"/>
        </w:rPr>
        <w:t>here was no communication to Mr Venter, until Ms van der Merwe sent the award to him</w:t>
      </w:r>
      <w:r w:rsidR="00FB1FC0">
        <w:rPr>
          <w:lang w:val="en-GB"/>
        </w:rPr>
        <w:t xml:space="preserve"> via WhatsApp.</w:t>
      </w:r>
    </w:p>
    <w:p w14:paraId="2A848E28" w14:textId="77777777" w:rsidR="00A72436" w:rsidRPr="00A72436" w:rsidRDefault="00A72436" w:rsidP="00A72436">
      <w:pPr>
        <w:rPr>
          <w:lang w:val="en-GB"/>
        </w:rPr>
      </w:pPr>
    </w:p>
    <w:p w14:paraId="71E9E9C0" w14:textId="55BBDBB5" w:rsidR="00473DE6" w:rsidRDefault="000E65E0" w:rsidP="000E65E0">
      <w:pPr>
        <w:pStyle w:val="Heading1"/>
        <w:numPr>
          <w:ilvl w:val="0"/>
          <w:numId w:val="0"/>
        </w:numPr>
        <w:rPr>
          <w:lang w:val="en-GB"/>
        </w:rPr>
      </w:pPr>
      <w:r>
        <w:rPr>
          <w:lang w:val="en-GB"/>
        </w:rPr>
        <w:t>[22]</w:t>
      </w:r>
      <w:r>
        <w:rPr>
          <w:lang w:val="en-GB"/>
        </w:rPr>
        <w:tab/>
      </w:r>
      <w:r w:rsidR="00B42FF2">
        <w:rPr>
          <w:lang w:val="en-GB"/>
        </w:rPr>
        <w:t xml:space="preserve">It is however evident, </w:t>
      </w:r>
      <w:r w:rsidR="005F7024" w:rsidRPr="00473DE6">
        <w:rPr>
          <w:lang w:val="en-GB"/>
        </w:rPr>
        <w:t xml:space="preserve">if regard is had to the remainder of the record, </w:t>
      </w:r>
      <w:r w:rsidR="003E005E">
        <w:rPr>
          <w:lang w:val="en-GB"/>
        </w:rPr>
        <w:t>t</w:t>
      </w:r>
      <w:r w:rsidR="005F7024" w:rsidRPr="00473DE6">
        <w:rPr>
          <w:lang w:val="en-GB"/>
        </w:rPr>
        <w:t>he first</w:t>
      </w:r>
      <w:r w:rsidR="00343264">
        <w:rPr>
          <w:lang w:val="en-GB"/>
        </w:rPr>
        <w:t xml:space="preserve"> notice of set down</w:t>
      </w:r>
      <w:r w:rsidR="005F7024" w:rsidRPr="00473DE6">
        <w:rPr>
          <w:lang w:val="en-GB"/>
        </w:rPr>
        <w:t xml:space="preserve"> is dated 6 April 2021, which set the matter down for 6 May 2021.</w:t>
      </w:r>
      <w:r w:rsidR="005F7024">
        <w:rPr>
          <w:rStyle w:val="FootnoteReference"/>
          <w:lang w:val="en-GB"/>
        </w:rPr>
        <w:footnoteReference w:id="14"/>
      </w:r>
      <w:r w:rsidR="005F7024" w:rsidRPr="00473DE6">
        <w:rPr>
          <w:lang w:val="en-GB"/>
        </w:rPr>
        <w:t xml:space="preserve"> The second notice is dated 16 November 2021, which set the matter down for 7 December 2021.</w:t>
      </w:r>
      <w:r w:rsidR="005F7024">
        <w:rPr>
          <w:rStyle w:val="FootnoteReference"/>
          <w:lang w:val="en-GB"/>
        </w:rPr>
        <w:footnoteReference w:id="15"/>
      </w:r>
    </w:p>
    <w:p w14:paraId="220469F3" w14:textId="77777777" w:rsidR="00473DE6" w:rsidRPr="00473DE6" w:rsidRDefault="00473DE6" w:rsidP="00473DE6">
      <w:pPr>
        <w:rPr>
          <w:lang w:val="en-GB"/>
        </w:rPr>
      </w:pPr>
    </w:p>
    <w:p w14:paraId="62B738C9" w14:textId="53894F81" w:rsidR="00B91C93" w:rsidRPr="00B91C93" w:rsidRDefault="000E65E0" w:rsidP="000E65E0">
      <w:pPr>
        <w:pStyle w:val="Heading1"/>
        <w:numPr>
          <w:ilvl w:val="0"/>
          <w:numId w:val="0"/>
        </w:numPr>
        <w:rPr>
          <w:lang w:val="en-GB"/>
        </w:rPr>
      </w:pPr>
      <w:r w:rsidRPr="00B91C93">
        <w:rPr>
          <w:lang w:val="en-GB"/>
        </w:rPr>
        <w:t>[23]</w:t>
      </w:r>
      <w:r w:rsidRPr="00B91C93">
        <w:rPr>
          <w:lang w:val="en-GB"/>
        </w:rPr>
        <w:tab/>
      </w:r>
      <w:r w:rsidR="005F7024" w:rsidRPr="00473DE6">
        <w:rPr>
          <w:lang w:val="en-GB"/>
        </w:rPr>
        <w:t xml:space="preserve">No notice of set down for the hearing of 1 June 2022 is found in the record. </w:t>
      </w:r>
      <w:r w:rsidR="00473DE6" w:rsidRPr="00473DE6">
        <w:rPr>
          <w:lang w:val="en-GB"/>
        </w:rPr>
        <w:t xml:space="preserve">Part of the record however indicates, under the hand of Mr Sinvula, that the arbitration </w:t>
      </w:r>
      <w:r w:rsidR="003E005E">
        <w:rPr>
          <w:lang w:val="en-GB"/>
        </w:rPr>
        <w:t xml:space="preserve">indeed </w:t>
      </w:r>
      <w:r w:rsidR="00473DE6" w:rsidRPr="00473DE6">
        <w:rPr>
          <w:lang w:val="en-GB"/>
        </w:rPr>
        <w:t>took place on 1 June 2022.</w:t>
      </w:r>
      <w:r w:rsidR="00056726">
        <w:rPr>
          <w:lang w:val="en-GB"/>
        </w:rPr>
        <w:t xml:space="preserve"> T</w:t>
      </w:r>
      <w:r w:rsidR="005F7024" w:rsidRPr="00473DE6">
        <w:rPr>
          <w:lang w:val="en-GB"/>
        </w:rPr>
        <w:t xml:space="preserve">his is gainsaid by the content of the arbitration award, which reads </w:t>
      </w:r>
      <w:r w:rsidR="003E005E">
        <w:rPr>
          <w:lang w:val="en-GB"/>
        </w:rPr>
        <w:t xml:space="preserve">that </w:t>
      </w:r>
      <w:r w:rsidR="00343264">
        <w:rPr>
          <w:lang w:val="en-GB"/>
        </w:rPr>
        <w:t xml:space="preserve">the </w:t>
      </w:r>
      <w:r w:rsidR="005F7024" w:rsidRPr="00473DE6">
        <w:rPr>
          <w:lang w:val="en-GB"/>
        </w:rPr>
        <w:t>arbitration took place on 23 October 2022</w:t>
      </w:r>
      <w:r w:rsidR="00473DE6" w:rsidRPr="00473DE6">
        <w:rPr>
          <w:lang w:val="en-GB"/>
        </w:rPr>
        <w:t>,</w:t>
      </w:r>
      <w:r w:rsidR="00473DE6">
        <w:rPr>
          <w:rStyle w:val="FootnoteReference"/>
          <w:lang w:val="en-GB"/>
        </w:rPr>
        <w:footnoteReference w:id="16"/>
      </w:r>
      <w:r w:rsidR="00056726">
        <w:rPr>
          <w:lang w:val="en-GB"/>
        </w:rPr>
        <w:t xml:space="preserve"> </w:t>
      </w:r>
      <w:r w:rsidR="00473DE6" w:rsidRPr="00473DE6">
        <w:rPr>
          <w:lang w:val="en-GB"/>
        </w:rPr>
        <w:t>supported by the certificate issued by Mr Sinvula on 17 February 2023,</w:t>
      </w:r>
      <w:r w:rsidR="00473DE6">
        <w:rPr>
          <w:rStyle w:val="FootnoteReference"/>
          <w:lang w:val="en-GB"/>
        </w:rPr>
        <w:footnoteReference w:id="17"/>
      </w:r>
      <w:r w:rsidR="00473DE6" w:rsidRPr="00473DE6">
        <w:rPr>
          <w:lang w:val="en-GB"/>
        </w:rPr>
        <w:t xml:space="preserve"> that the record is complete, </w:t>
      </w:r>
      <w:proofErr w:type="gramStart"/>
      <w:r w:rsidR="00473DE6" w:rsidRPr="00473DE6">
        <w:rPr>
          <w:lang w:val="en-GB"/>
        </w:rPr>
        <w:t>true</w:t>
      </w:r>
      <w:proofErr w:type="gramEnd"/>
      <w:r w:rsidR="00473DE6" w:rsidRPr="00473DE6">
        <w:rPr>
          <w:lang w:val="en-GB"/>
        </w:rPr>
        <w:t xml:space="preserve"> and correct.</w:t>
      </w:r>
      <w:r w:rsidR="00B91C93">
        <w:rPr>
          <w:lang w:val="en-GB"/>
        </w:rPr>
        <w:t xml:space="preserve"> </w:t>
      </w:r>
      <w:r w:rsidR="00B91C93" w:rsidRPr="00B91C93">
        <w:rPr>
          <w:lang w:val="en-GB"/>
        </w:rPr>
        <w:t>It is thus clear, ex facie the record before court</w:t>
      </w:r>
      <w:r w:rsidR="003E005E">
        <w:rPr>
          <w:lang w:val="en-GB"/>
        </w:rPr>
        <w:t xml:space="preserve"> that</w:t>
      </w:r>
      <w:r w:rsidR="00B91C93" w:rsidRPr="00B91C93">
        <w:rPr>
          <w:lang w:val="en-GB"/>
        </w:rPr>
        <w:t>, the conduct of the arbitration before Mr Sinvula and the record in and of itself is fraught with gross</w:t>
      </w:r>
      <w:r w:rsidR="00343264">
        <w:rPr>
          <w:lang w:val="en-GB"/>
        </w:rPr>
        <w:t xml:space="preserve"> irregularities. It follows</w:t>
      </w:r>
      <w:r w:rsidR="00B91C93" w:rsidRPr="00B91C93">
        <w:rPr>
          <w:lang w:val="en-GB"/>
        </w:rPr>
        <w:t xml:space="preserve"> in terms s 89, </w:t>
      </w:r>
      <w:r w:rsidR="00343264">
        <w:rPr>
          <w:lang w:val="en-GB"/>
        </w:rPr>
        <w:t xml:space="preserve">that </w:t>
      </w:r>
      <w:r w:rsidR="00B91C93" w:rsidRPr="00B91C93">
        <w:rPr>
          <w:lang w:val="en-GB"/>
        </w:rPr>
        <w:t>the arbitration award stands to be set aside.</w:t>
      </w:r>
    </w:p>
    <w:p w14:paraId="4667FB86" w14:textId="77777777" w:rsidR="00473DE6" w:rsidRPr="00473DE6" w:rsidRDefault="00473DE6" w:rsidP="00473DE6">
      <w:pPr>
        <w:rPr>
          <w:lang w:val="en-GB"/>
        </w:rPr>
      </w:pPr>
    </w:p>
    <w:p w14:paraId="4B21103F" w14:textId="7A5D5D6B" w:rsidR="007B6923" w:rsidRPr="00473DE6" w:rsidRDefault="000E65E0" w:rsidP="000E65E0">
      <w:pPr>
        <w:pStyle w:val="Heading1"/>
        <w:numPr>
          <w:ilvl w:val="0"/>
          <w:numId w:val="0"/>
        </w:numPr>
        <w:rPr>
          <w:color w:val="FF0000"/>
          <w:lang w:val="en-GB"/>
        </w:rPr>
      </w:pPr>
      <w:r w:rsidRPr="00473DE6">
        <w:rPr>
          <w:lang w:val="en-GB"/>
        </w:rPr>
        <w:t>[24]</w:t>
      </w:r>
      <w:r w:rsidRPr="00473DE6">
        <w:rPr>
          <w:lang w:val="en-GB"/>
        </w:rPr>
        <w:tab/>
      </w:r>
      <w:r w:rsidR="007B6923" w:rsidRPr="00473DE6">
        <w:rPr>
          <w:lang w:val="en-GB"/>
        </w:rPr>
        <w:t>In the result, I make the following order:</w:t>
      </w:r>
    </w:p>
    <w:p w14:paraId="54439997" w14:textId="77777777" w:rsidR="00B558A1" w:rsidRDefault="00B558A1" w:rsidP="00B558A1">
      <w:pPr>
        <w:pStyle w:val="ListParagraph"/>
        <w:tabs>
          <w:tab w:val="left" w:pos="0"/>
          <w:tab w:val="left" w:pos="567"/>
        </w:tabs>
        <w:ind w:left="0"/>
        <w:rPr>
          <w:lang w:val="en-GB"/>
        </w:rPr>
      </w:pPr>
    </w:p>
    <w:p w14:paraId="6E1ED784" w14:textId="53082417" w:rsidR="00207C35" w:rsidRDefault="000E65E0" w:rsidP="000E65E0">
      <w:pPr>
        <w:tabs>
          <w:tab w:val="left" w:pos="1560"/>
        </w:tabs>
        <w:ind w:left="720" w:hanging="360"/>
        <w:rPr>
          <w:lang w:val="en-GB"/>
        </w:rPr>
      </w:pPr>
      <w:r>
        <w:rPr>
          <w:lang w:val="en-GB"/>
        </w:rPr>
        <w:lastRenderedPageBreak/>
        <w:t>1.</w:t>
      </w:r>
      <w:r>
        <w:rPr>
          <w:lang w:val="en-GB"/>
        </w:rPr>
        <w:tab/>
      </w:r>
      <w:r w:rsidR="00B91C93">
        <w:rPr>
          <w:lang w:val="en-GB"/>
        </w:rPr>
        <w:t>The arbitration award under case number NERU 21-21 is hereby reviewed and set aside.</w:t>
      </w:r>
    </w:p>
    <w:p w14:paraId="68E8CC5A" w14:textId="77777777" w:rsidR="00B91C93" w:rsidRDefault="00B91C93" w:rsidP="00B91C93">
      <w:pPr>
        <w:tabs>
          <w:tab w:val="left" w:pos="1560"/>
        </w:tabs>
        <w:ind w:left="720"/>
        <w:rPr>
          <w:lang w:val="en-GB"/>
        </w:rPr>
      </w:pPr>
    </w:p>
    <w:p w14:paraId="269BC784" w14:textId="68A31276" w:rsidR="00B91C93" w:rsidRDefault="000E65E0" w:rsidP="000E65E0">
      <w:pPr>
        <w:tabs>
          <w:tab w:val="left" w:pos="1560"/>
        </w:tabs>
        <w:ind w:left="720" w:hanging="360"/>
        <w:rPr>
          <w:lang w:val="en-GB"/>
        </w:rPr>
      </w:pPr>
      <w:r>
        <w:rPr>
          <w:lang w:val="en-GB"/>
        </w:rPr>
        <w:t>2.</w:t>
      </w:r>
      <w:r>
        <w:rPr>
          <w:lang w:val="en-GB"/>
        </w:rPr>
        <w:tab/>
      </w:r>
      <w:r w:rsidR="00B91C93">
        <w:rPr>
          <w:lang w:val="en-GB"/>
        </w:rPr>
        <w:t xml:space="preserve">The matter is </w:t>
      </w:r>
      <w:proofErr w:type="gramStart"/>
      <w:r w:rsidR="00B91C93">
        <w:rPr>
          <w:lang w:val="en-GB"/>
        </w:rPr>
        <w:t>referred back</w:t>
      </w:r>
      <w:proofErr w:type="gramEnd"/>
      <w:r w:rsidR="00B91C93">
        <w:rPr>
          <w:lang w:val="en-GB"/>
        </w:rPr>
        <w:t xml:space="preserve"> to the office of the Labour Commissioner to conduct the arbitration de novo before a different arbitrator.</w:t>
      </w:r>
    </w:p>
    <w:p w14:paraId="22769551" w14:textId="77777777" w:rsidR="00B203D2" w:rsidRPr="00B17E22" w:rsidRDefault="00B203D2" w:rsidP="00BF4EF3">
      <w:pPr>
        <w:tabs>
          <w:tab w:val="left" w:pos="1560"/>
        </w:tabs>
        <w:ind w:left="720"/>
        <w:rPr>
          <w:lang w:val="en-GB"/>
        </w:rPr>
      </w:pPr>
    </w:p>
    <w:p w14:paraId="303EDE36" w14:textId="7418708F" w:rsidR="00207C35" w:rsidRPr="00B17E22" w:rsidRDefault="000E65E0" w:rsidP="000E65E0">
      <w:pPr>
        <w:tabs>
          <w:tab w:val="left" w:pos="1560"/>
        </w:tabs>
        <w:ind w:left="720" w:hanging="360"/>
        <w:rPr>
          <w:lang w:val="en-GB"/>
        </w:rPr>
      </w:pPr>
      <w:r w:rsidRPr="00B17E22">
        <w:rPr>
          <w:lang w:val="en-GB"/>
        </w:rPr>
        <w:t>3.</w:t>
      </w:r>
      <w:r w:rsidRPr="00B17E22">
        <w:rPr>
          <w:lang w:val="en-GB"/>
        </w:rPr>
        <w:tab/>
      </w:r>
      <w:r w:rsidR="00207C35" w:rsidRPr="00B17E22">
        <w:rPr>
          <w:lang w:val="en-GB"/>
        </w:rPr>
        <w:t>The matter is regarded as finalised and removed from the roll.</w:t>
      </w:r>
    </w:p>
    <w:p w14:paraId="6FA070B5" w14:textId="77777777" w:rsidR="00F41A65" w:rsidRPr="005F6024" w:rsidRDefault="00F41A65" w:rsidP="005F6024">
      <w:pPr>
        <w:rPr>
          <w:lang w:val="en-GB"/>
        </w:rPr>
      </w:pPr>
    </w:p>
    <w:p w14:paraId="260D8D05" w14:textId="77777777" w:rsidR="00F41A65" w:rsidRDefault="00F41A65" w:rsidP="00F41A65">
      <w:pPr>
        <w:tabs>
          <w:tab w:val="left" w:pos="0"/>
          <w:tab w:val="left" w:pos="567"/>
        </w:tabs>
        <w:rPr>
          <w:lang w:val="en-GB"/>
        </w:rPr>
      </w:pPr>
    </w:p>
    <w:p w14:paraId="70E7BB93" w14:textId="77777777" w:rsidR="00F41A65" w:rsidRPr="00F41A65" w:rsidRDefault="00F41A65" w:rsidP="00F41A65">
      <w:pPr>
        <w:tabs>
          <w:tab w:val="left" w:pos="0"/>
          <w:tab w:val="left" w:pos="567"/>
        </w:tabs>
        <w:rPr>
          <w:lang w:val="en-GB"/>
        </w:rPr>
      </w:pPr>
    </w:p>
    <w:p w14:paraId="7B24043E" w14:textId="2EE47296" w:rsidR="00853524" w:rsidRPr="00D24E4F" w:rsidRDefault="00C34B32" w:rsidP="00C34B32">
      <w:pPr>
        <w:pStyle w:val="NoSpacing"/>
        <w:jc w:val="right"/>
      </w:pPr>
      <w:r>
        <w:t>_</w:t>
      </w:r>
      <w:r w:rsidR="00853524" w:rsidRPr="00D24E4F">
        <w:t>____________________</w:t>
      </w:r>
    </w:p>
    <w:p w14:paraId="2FC3ACD2" w14:textId="138029EB" w:rsidR="00853524" w:rsidRPr="00D24E4F" w:rsidRDefault="00853524" w:rsidP="00C34B32">
      <w:pPr>
        <w:pStyle w:val="NoSpacing"/>
        <w:jc w:val="right"/>
      </w:pPr>
      <w:r w:rsidRPr="00D24E4F">
        <w:t>E</w:t>
      </w:r>
      <w:r w:rsidR="009A4927">
        <w:t xml:space="preserve"> </w:t>
      </w:r>
      <w:r w:rsidRPr="00D24E4F">
        <w:t>M SCHIMMING-CHASE</w:t>
      </w:r>
    </w:p>
    <w:p w14:paraId="46B13592" w14:textId="05513FDA" w:rsidR="00147336" w:rsidRDefault="00853524" w:rsidP="00C34B32">
      <w:pPr>
        <w:pStyle w:val="NoSpacing"/>
        <w:jc w:val="right"/>
      </w:pPr>
      <w:r w:rsidRPr="00D24E4F">
        <w:t>Judg</w:t>
      </w:r>
      <w:r w:rsidR="0012505E" w:rsidRPr="00D24E4F">
        <w:t>e</w:t>
      </w:r>
      <w:r w:rsidR="00147336">
        <w:br w:type="page"/>
      </w:r>
    </w:p>
    <w:p w14:paraId="1C4F74C7" w14:textId="24680C6B" w:rsidR="00853524" w:rsidRPr="00D24E4F" w:rsidRDefault="00853524" w:rsidP="00C036D4">
      <w:pPr>
        <w:widowControl/>
        <w:jc w:val="left"/>
      </w:pPr>
      <w:r w:rsidRPr="00D24E4F">
        <w:lastRenderedPageBreak/>
        <w:t>APPEARANCES</w:t>
      </w:r>
    </w:p>
    <w:p w14:paraId="2F3FACC4" w14:textId="77777777" w:rsidR="00853524" w:rsidRPr="00D24E4F" w:rsidRDefault="00853524" w:rsidP="00C036D4">
      <w:pPr>
        <w:pStyle w:val="BodyText"/>
        <w:autoSpaceDE w:val="0"/>
        <w:autoSpaceDN w:val="0"/>
        <w:adjustRightInd w:val="0"/>
        <w:spacing w:line="360" w:lineRule="auto"/>
        <w:jc w:val="both"/>
        <w:rPr>
          <w:rFonts w:ascii="Arial" w:hAnsi="Arial" w:cs="Arial"/>
        </w:rPr>
      </w:pPr>
    </w:p>
    <w:p w14:paraId="38E7BE9D" w14:textId="2BCAACF8" w:rsidR="00766343" w:rsidRDefault="005F6024" w:rsidP="00C036D4">
      <w:r>
        <w:t>APPLICANT:</w:t>
      </w:r>
      <w:r>
        <w:tab/>
      </w:r>
      <w:r>
        <w:tab/>
      </w:r>
      <w:r>
        <w:tab/>
        <w:t xml:space="preserve">      </w:t>
      </w:r>
      <w:r w:rsidR="007A6CA5">
        <w:tab/>
      </w:r>
      <w:r w:rsidR="007A6CA5">
        <w:tab/>
      </w:r>
      <w:r w:rsidR="007A6CA5">
        <w:tab/>
      </w:r>
      <w:r>
        <w:t>M Kutzner</w:t>
      </w:r>
    </w:p>
    <w:p w14:paraId="1917F5CE" w14:textId="4BAA8351" w:rsidR="00766343" w:rsidRDefault="007A6CA5" w:rsidP="00C036D4">
      <w:r>
        <w:tab/>
      </w:r>
      <w:r>
        <w:tab/>
      </w:r>
      <w:r>
        <w:tab/>
      </w:r>
      <w:r>
        <w:tab/>
        <w:t xml:space="preserve">      </w:t>
      </w:r>
      <w:r>
        <w:tab/>
      </w:r>
      <w:r>
        <w:tab/>
      </w:r>
      <w:r>
        <w:tab/>
        <w:t>O</w:t>
      </w:r>
      <w:r w:rsidR="005161DD">
        <w:t>f Engling, Stritter, &amp; Partners,</w:t>
      </w:r>
    </w:p>
    <w:p w14:paraId="3CAA1AD7" w14:textId="766A71FC" w:rsidR="00053826" w:rsidRPr="00D24E4F" w:rsidRDefault="005161DD" w:rsidP="005161DD">
      <w:r>
        <w:tab/>
      </w:r>
      <w:r>
        <w:tab/>
      </w:r>
      <w:r>
        <w:tab/>
      </w:r>
      <w:r>
        <w:tab/>
        <w:t xml:space="preserve">     </w:t>
      </w:r>
      <w:r w:rsidR="007A6CA5">
        <w:tab/>
      </w:r>
      <w:r w:rsidR="007A6CA5">
        <w:tab/>
      </w:r>
      <w:r w:rsidR="007A6CA5">
        <w:tab/>
      </w:r>
      <w:r w:rsidR="00766343">
        <w:t>Windhoek</w:t>
      </w:r>
    </w:p>
    <w:p w14:paraId="64D1943B" w14:textId="77777777" w:rsidR="00EC1726" w:rsidRPr="00D24E4F" w:rsidRDefault="00EC1726" w:rsidP="00C036D4">
      <w:pPr>
        <w:tabs>
          <w:tab w:val="left" w:pos="1394"/>
          <w:tab w:val="left" w:pos="2528"/>
          <w:tab w:val="left" w:pos="3780"/>
        </w:tabs>
      </w:pPr>
    </w:p>
    <w:sectPr w:rsidR="00EC1726" w:rsidRPr="00D24E4F" w:rsidSect="00866EC4">
      <w:headerReference w:type="even" r:id="rId12"/>
      <w:headerReference w:type="default" r:id="rId13"/>
      <w:type w:val="continuous"/>
      <w:pgSz w:w="11907" w:h="16840" w:code="9"/>
      <w:pgMar w:top="1440" w:right="1800" w:bottom="1440" w:left="1800" w:header="720" w:footer="720" w:gutter="0"/>
      <w:pgNumType w:chapSep="period"/>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5CC74" w14:textId="77777777" w:rsidR="00C02D8F" w:rsidRDefault="00C02D8F" w:rsidP="00867D73">
      <w:pPr>
        <w:spacing w:line="240" w:lineRule="auto"/>
      </w:pPr>
      <w:r>
        <w:separator/>
      </w:r>
    </w:p>
  </w:endnote>
  <w:endnote w:type="continuationSeparator" w:id="0">
    <w:p w14:paraId="349AE691" w14:textId="77777777" w:rsidR="00C02D8F" w:rsidRDefault="00C02D8F" w:rsidP="00867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36594" w14:textId="77777777" w:rsidR="00C02D8F" w:rsidRDefault="00C02D8F" w:rsidP="00867D73">
      <w:pPr>
        <w:spacing w:line="240" w:lineRule="auto"/>
      </w:pPr>
      <w:r>
        <w:separator/>
      </w:r>
    </w:p>
  </w:footnote>
  <w:footnote w:type="continuationSeparator" w:id="0">
    <w:p w14:paraId="2BDD7702" w14:textId="77777777" w:rsidR="00C02D8F" w:rsidRDefault="00C02D8F" w:rsidP="00867D73">
      <w:pPr>
        <w:spacing w:line="240" w:lineRule="auto"/>
      </w:pPr>
      <w:r>
        <w:continuationSeparator/>
      </w:r>
    </w:p>
  </w:footnote>
  <w:footnote w:id="1">
    <w:p w14:paraId="20F990B9" w14:textId="15E22FB5" w:rsidR="005738C7" w:rsidRPr="00772A53" w:rsidRDefault="005738C7" w:rsidP="00B91C93">
      <w:pPr>
        <w:pStyle w:val="FootnoteText"/>
        <w:rPr>
          <w:lang w:val="en-US"/>
        </w:rPr>
      </w:pPr>
      <w:r>
        <w:rPr>
          <w:rStyle w:val="FootnoteReference"/>
        </w:rPr>
        <w:footnoteRef/>
      </w:r>
      <w:r>
        <w:t xml:space="preserve"> </w:t>
      </w:r>
      <w:r>
        <w:rPr>
          <w:lang w:val="en-US"/>
        </w:rPr>
        <w:t>Supported by the blank service affidavit – form LG 36, annexure C to the applicant’s founding affidavit.</w:t>
      </w:r>
    </w:p>
  </w:footnote>
  <w:footnote w:id="2">
    <w:p w14:paraId="18C61442" w14:textId="4B8913C9" w:rsidR="005738C7" w:rsidRPr="001B5B78" w:rsidRDefault="005738C7" w:rsidP="00B91C93">
      <w:pPr>
        <w:pStyle w:val="FootnoteText"/>
        <w:rPr>
          <w:lang w:val="en-US"/>
        </w:rPr>
      </w:pPr>
      <w:r>
        <w:rPr>
          <w:rStyle w:val="FootnoteReference"/>
        </w:rPr>
        <w:footnoteRef/>
      </w:r>
      <w:r>
        <w:t xml:space="preserve"> </w:t>
      </w:r>
      <w:r w:rsidRPr="001B5B78">
        <w:rPr>
          <w:i/>
          <w:lang w:val="en-GB"/>
        </w:rPr>
        <w:t xml:space="preserve">Beukes v Khrohne </w:t>
      </w:r>
      <w:r w:rsidRPr="001B5B78">
        <w:rPr>
          <w:lang w:val="en-GB"/>
        </w:rPr>
        <w:t xml:space="preserve">(HC-MD-LAB-MOT-REV-2020/00068) [2022] NALCMD 1 </w:t>
      </w:r>
      <w:r>
        <w:rPr>
          <w:lang w:val="en-GB"/>
        </w:rPr>
        <w:t>(20 January 2022) para 43.</w:t>
      </w:r>
    </w:p>
  </w:footnote>
  <w:footnote w:id="3">
    <w:p w14:paraId="6FE8D012" w14:textId="699056B0" w:rsidR="005738C7" w:rsidRPr="00854FA6" w:rsidRDefault="005738C7" w:rsidP="0000496C">
      <w:pPr>
        <w:pStyle w:val="FootnoteText"/>
        <w:rPr>
          <w:lang w:val="en-US"/>
        </w:rPr>
      </w:pPr>
      <w:r>
        <w:rPr>
          <w:rStyle w:val="FootnoteReference"/>
        </w:rPr>
        <w:footnoteRef/>
      </w:r>
      <w:r>
        <w:t xml:space="preserve"> </w:t>
      </w:r>
      <w:r>
        <w:rPr>
          <w:lang w:val="en-US"/>
        </w:rPr>
        <w:t>Pages 29 – 30 of the record.</w:t>
      </w:r>
    </w:p>
  </w:footnote>
  <w:footnote w:id="4">
    <w:p w14:paraId="6F1217EF" w14:textId="42580602" w:rsidR="005738C7" w:rsidRPr="00854FA6" w:rsidRDefault="005738C7" w:rsidP="0000496C">
      <w:pPr>
        <w:pStyle w:val="FootnoteText"/>
        <w:rPr>
          <w:lang w:val="en-US"/>
        </w:rPr>
      </w:pPr>
      <w:r>
        <w:rPr>
          <w:rStyle w:val="FootnoteReference"/>
        </w:rPr>
        <w:footnoteRef/>
      </w:r>
      <w:r>
        <w:t xml:space="preserve"> </w:t>
      </w:r>
      <w:r>
        <w:rPr>
          <w:lang w:val="en-US"/>
        </w:rPr>
        <w:t>Page 30 of the record para 10.</w:t>
      </w:r>
    </w:p>
  </w:footnote>
  <w:footnote w:id="5">
    <w:p w14:paraId="65DC57E9" w14:textId="30D0FA7F" w:rsidR="005738C7" w:rsidRPr="000E76B8" w:rsidRDefault="005738C7" w:rsidP="0000496C">
      <w:pPr>
        <w:pStyle w:val="FootnoteText"/>
        <w:rPr>
          <w:lang w:val="en-US"/>
        </w:rPr>
      </w:pPr>
      <w:r>
        <w:rPr>
          <w:rStyle w:val="FootnoteReference"/>
        </w:rPr>
        <w:footnoteRef/>
      </w:r>
      <w:r>
        <w:t xml:space="preserve"> </w:t>
      </w:r>
      <w:r w:rsidR="0000496C">
        <w:rPr>
          <w:lang w:val="en-US"/>
        </w:rPr>
        <w:t>Section 89 of the Labour Act 11 of 2007.</w:t>
      </w:r>
    </w:p>
  </w:footnote>
  <w:footnote w:id="6">
    <w:p w14:paraId="35E9B338" w14:textId="631FDBA8" w:rsidR="005738C7" w:rsidRPr="002622E1" w:rsidRDefault="005738C7" w:rsidP="00B91C93">
      <w:pPr>
        <w:pStyle w:val="FootnoteText"/>
      </w:pPr>
      <w:r w:rsidRPr="002622E1">
        <w:rPr>
          <w:rStyle w:val="FootnoteReference"/>
        </w:rPr>
        <w:footnoteRef/>
      </w:r>
      <w:r>
        <w:t xml:space="preserve"> </w:t>
      </w:r>
      <w:r w:rsidRPr="002622E1">
        <w:rPr>
          <w:i/>
        </w:rPr>
        <w:t>Total Support Management (Pty) Ltd and Another v Diversified Health Systems (SA) (Pty) Ltd and Another</w:t>
      </w:r>
      <w:r w:rsidRPr="002622E1">
        <w:t xml:space="preserve"> 2002</w:t>
      </w:r>
      <w:r>
        <w:t xml:space="preserve"> (4) SA 661 (SCA) para 21, and the authorities there collected.</w:t>
      </w:r>
    </w:p>
  </w:footnote>
  <w:footnote w:id="7">
    <w:p w14:paraId="7B0282E3" w14:textId="220E692E" w:rsidR="005738C7" w:rsidRPr="00EA6D7C" w:rsidRDefault="005738C7" w:rsidP="00B91C93">
      <w:pPr>
        <w:pStyle w:val="FootnoteText"/>
        <w:rPr>
          <w:lang w:val="en-US"/>
        </w:rPr>
      </w:pPr>
      <w:r>
        <w:rPr>
          <w:rStyle w:val="FootnoteReference"/>
        </w:rPr>
        <w:footnoteRef/>
      </w:r>
      <w:r>
        <w:t xml:space="preserve"> See </w:t>
      </w:r>
      <w:r w:rsidRPr="00EA6D7C">
        <w:rPr>
          <w:i/>
        </w:rPr>
        <w:t>Swartz v Namwater Corporation Ltd</w:t>
      </w:r>
      <w:r w:rsidRPr="00EA6D7C">
        <w:t xml:space="preserve"> (HC-MD-LAB-MOT-REV-2021/00180) [2023] NALCMD 6 (14 February 2023)</w:t>
      </w:r>
      <w:r>
        <w:t xml:space="preserve"> para 19.</w:t>
      </w:r>
    </w:p>
  </w:footnote>
  <w:footnote w:id="8">
    <w:p w14:paraId="768043C8" w14:textId="4D9745EA" w:rsidR="005738C7" w:rsidRPr="001A5670" w:rsidRDefault="005738C7" w:rsidP="00B91C93">
      <w:pPr>
        <w:pStyle w:val="FootnoteText"/>
        <w:tabs>
          <w:tab w:val="left" w:pos="426"/>
        </w:tabs>
      </w:pPr>
      <w:r w:rsidRPr="001A5670">
        <w:rPr>
          <w:rStyle w:val="FootnoteReference"/>
        </w:rPr>
        <w:footnoteRef/>
      </w:r>
      <w:r>
        <w:t xml:space="preserve"> </w:t>
      </w:r>
      <w:r w:rsidRPr="001A5670">
        <w:rPr>
          <w:i/>
        </w:rPr>
        <w:t>Ellis v Morgan; Ellis v Dessai</w:t>
      </w:r>
      <w:r w:rsidRPr="001A5670">
        <w:t xml:space="preserve"> 1909 TS 576 at 581</w:t>
      </w:r>
      <w:r>
        <w:t>.</w:t>
      </w:r>
    </w:p>
  </w:footnote>
  <w:footnote w:id="9">
    <w:p w14:paraId="6E71C358" w14:textId="47B7B8D0" w:rsidR="005738C7" w:rsidRPr="001A5670" w:rsidRDefault="005738C7" w:rsidP="00B91C93">
      <w:pPr>
        <w:pStyle w:val="FootnoteText"/>
        <w:tabs>
          <w:tab w:val="left" w:pos="284"/>
        </w:tabs>
        <w:ind w:left="142" w:hanging="142"/>
      </w:pPr>
      <w:r w:rsidRPr="001A5670">
        <w:rPr>
          <w:rStyle w:val="FootnoteReference"/>
        </w:rPr>
        <w:footnoteRef/>
      </w:r>
      <w:r>
        <w:t xml:space="preserve"> </w:t>
      </w:r>
      <w:r w:rsidRPr="001A5670">
        <w:rPr>
          <w:i/>
        </w:rPr>
        <w:t>Goldfields Investment Ltd v City Council of Johannesburg</w:t>
      </w:r>
      <w:r w:rsidRPr="001A5670">
        <w:t xml:space="preserve"> 19</w:t>
      </w:r>
      <w:r>
        <w:t>38 TPD 551. Also see</w:t>
      </w:r>
      <w:r w:rsidR="004C306B">
        <w:t xml:space="preserve"> </w:t>
      </w:r>
      <w:r w:rsidRPr="001A5670">
        <w:rPr>
          <w:rStyle w:val="Emphasis"/>
          <w:color w:val="212529"/>
          <w:shd w:val="clear" w:color="auto" w:fill="FFFFFF"/>
        </w:rPr>
        <w:t>Telcordia Technologies Inc v Telkom SA Limited 2007</w:t>
      </w:r>
      <w:r w:rsidRPr="001A5670">
        <w:rPr>
          <w:color w:val="212529"/>
          <w:shd w:val="clear" w:color="auto" w:fill="FFFFFF"/>
        </w:rPr>
        <w:t> (3) SA 266 (SCA), para 4, 47-48 and 52 – 79</w:t>
      </w:r>
      <w:r>
        <w:rPr>
          <w:color w:val="212529"/>
          <w:shd w:val="clear" w:color="auto" w:fill="FFFFFF"/>
        </w:rPr>
        <w:t>.</w:t>
      </w:r>
    </w:p>
  </w:footnote>
  <w:footnote w:id="10">
    <w:p w14:paraId="37F7FE75" w14:textId="1E0E7621" w:rsidR="005738C7" w:rsidRPr="00B91C93" w:rsidRDefault="005738C7" w:rsidP="00B91C93">
      <w:pPr>
        <w:pStyle w:val="FootnoteText"/>
        <w:rPr>
          <w:lang w:val="en-US"/>
        </w:rPr>
      </w:pPr>
      <w:r>
        <w:rPr>
          <w:rStyle w:val="FootnoteReference"/>
        </w:rPr>
        <w:footnoteRef/>
      </w:r>
      <w:r>
        <w:t xml:space="preserve"> </w:t>
      </w:r>
      <w:r w:rsidRPr="00B91C93">
        <w:rPr>
          <w:i/>
        </w:rPr>
        <w:t xml:space="preserve">Swartz v Namwater Corporation Ltd </w:t>
      </w:r>
      <w:r w:rsidRPr="00B91C93">
        <w:t>(HC-MD-LAB-MOT-REV-2021/00180) [2023] NALCMD 6 (14 February 2023)</w:t>
      </w:r>
      <w:r>
        <w:t xml:space="preserve"> para 22.</w:t>
      </w:r>
    </w:p>
  </w:footnote>
  <w:footnote w:id="11">
    <w:p w14:paraId="4211BF56" w14:textId="19CC5D68" w:rsidR="005738C7" w:rsidRPr="008767CC" w:rsidRDefault="005738C7" w:rsidP="00B91C93">
      <w:pPr>
        <w:pStyle w:val="FootnoteText"/>
        <w:rPr>
          <w:lang w:val="en-US"/>
        </w:rPr>
      </w:pPr>
      <w:r>
        <w:rPr>
          <w:rStyle w:val="FootnoteReference"/>
        </w:rPr>
        <w:footnoteRef/>
      </w:r>
      <w:r>
        <w:t xml:space="preserve"> </w:t>
      </w:r>
      <w:r>
        <w:rPr>
          <w:lang w:val="en-US"/>
        </w:rPr>
        <w:t>Page 74 of the record.</w:t>
      </w:r>
    </w:p>
  </w:footnote>
  <w:footnote w:id="12">
    <w:p w14:paraId="27E27444" w14:textId="3EB30785" w:rsidR="005738C7" w:rsidRPr="005F7024" w:rsidRDefault="005738C7" w:rsidP="00B91C93">
      <w:pPr>
        <w:pStyle w:val="FootnoteText"/>
        <w:rPr>
          <w:lang w:val="en-US"/>
        </w:rPr>
      </w:pPr>
      <w:r>
        <w:rPr>
          <w:rStyle w:val="FootnoteReference"/>
        </w:rPr>
        <w:footnoteRef/>
      </w:r>
      <w:r>
        <w:t xml:space="preserve"> </w:t>
      </w:r>
      <w:r>
        <w:rPr>
          <w:lang w:val="en-US"/>
        </w:rPr>
        <w:t>Page 13 of the record.</w:t>
      </w:r>
    </w:p>
  </w:footnote>
  <w:footnote w:id="13">
    <w:p w14:paraId="102AD95A" w14:textId="73A0AB3A" w:rsidR="005738C7" w:rsidRPr="005F7024" w:rsidRDefault="005738C7" w:rsidP="00B91C93">
      <w:pPr>
        <w:pStyle w:val="FootnoteText"/>
        <w:rPr>
          <w:lang w:val="en-US"/>
        </w:rPr>
      </w:pPr>
      <w:r>
        <w:rPr>
          <w:rStyle w:val="FootnoteReference"/>
        </w:rPr>
        <w:footnoteRef/>
      </w:r>
      <w:r>
        <w:t xml:space="preserve"> </w:t>
      </w:r>
      <w:r>
        <w:rPr>
          <w:lang w:val="en-US"/>
        </w:rPr>
        <w:t>Page 78 of the record.</w:t>
      </w:r>
    </w:p>
  </w:footnote>
  <w:footnote w:id="14">
    <w:p w14:paraId="45B749BA" w14:textId="1BD357F4" w:rsidR="005738C7" w:rsidRPr="005F7024" w:rsidRDefault="005738C7" w:rsidP="00B91C93">
      <w:pPr>
        <w:pStyle w:val="FootnoteText"/>
        <w:rPr>
          <w:lang w:val="en-US"/>
        </w:rPr>
      </w:pPr>
      <w:r>
        <w:rPr>
          <w:rStyle w:val="FootnoteReference"/>
        </w:rPr>
        <w:footnoteRef/>
      </w:r>
      <w:r>
        <w:t xml:space="preserve"> </w:t>
      </w:r>
      <w:r>
        <w:rPr>
          <w:lang w:val="en-US"/>
        </w:rPr>
        <w:t>Page 84 of the record.</w:t>
      </w:r>
    </w:p>
  </w:footnote>
  <w:footnote w:id="15">
    <w:p w14:paraId="628B24CA" w14:textId="5084733D" w:rsidR="005738C7" w:rsidRPr="005F7024" w:rsidRDefault="005738C7" w:rsidP="00B91C93">
      <w:pPr>
        <w:pStyle w:val="FootnoteText"/>
        <w:rPr>
          <w:lang w:val="en-US"/>
        </w:rPr>
      </w:pPr>
      <w:r>
        <w:rPr>
          <w:rStyle w:val="FootnoteReference"/>
        </w:rPr>
        <w:footnoteRef/>
      </w:r>
      <w:r>
        <w:t xml:space="preserve"> </w:t>
      </w:r>
      <w:r>
        <w:rPr>
          <w:lang w:val="en-US"/>
        </w:rPr>
        <w:t>Page 93 of the record.</w:t>
      </w:r>
    </w:p>
  </w:footnote>
  <w:footnote w:id="16">
    <w:p w14:paraId="395D4552" w14:textId="6134AB11" w:rsidR="005738C7" w:rsidRPr="00473DE6" w:rsidRDefault="005738C7" w:rsidP="00B91C93">
      <w:pPr>
        <w:pStyle w:val="FootnoteText"/>
        <w:rPr>
          <w:lang w:val="en-US"/>
        </w:rPr>
      </w:pPr>
      <w:r>
        <w:rPr>
          <w:rStyle w:val="FootnoteReference"/>
        </w:rPr>
        <w:footnoteRef/>
      </w:r>
      <w:r>
        <w:t xml:space="preserve"> </w:t>
      </w:r>
      <w:r>
        <w:rPr>
          <w:lang w:val="en-US"/>
        </w:rPr>
        <w:t>Page 73 of the record.</w:t>
      </w:r>
    </w:p>
  </w:footnote>
  <w:footnote w:id="17">
    <w:p w14:paraId="6D5A61A8" w14:textId="3C939C05" w:rsidR="005738C7" w:rsidRPr="00473DE6" w:rsidRDefault="005738C7" w:rsidP="00B91C93">
      <w:pPr>
        <w:pStyle w:val="FootnoteText"/>
        <w:rPr>
          <w:lang w:val="en-US"/>
        </w:rPr>
      </w:pPr>
      <w:r>
        <w:rPr>
          <w:rStyle w:val="FootnoteReference"/>
        </w:rPr>
        <w:footnoteRef/>
      </w:r>
      <w:r>
        <w:t xml:space="preserve"> </w:t>
      </w:r>
      <w:r>
        <w:rPr>
          <w:lang w:val="en-US"/>
        </w:rPr>
        <w:t>Page 70 of the record.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9FC7" w14:textId="77777777" w:rsidR="005738C7" w:rsidRDefault="005738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36492" w14:textId="77777777" w:rsidR="005738C7" w:rsidRDefault="005738C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95FD" w14:textId="77777777" w:rsidR="005738C7" w:rsidRDefault="005738C7">
    <w:pPr>
      <w:ind w:right="360"/>
      <w:jc w:val="right"/>
    </w:pPr>
    <w:r>
      <w:rPr>
        <w:rStyle w:val="PageNumber"/>
      </w:rPr>
      <w:fldChar w:fldCharType="begin"/>
    </w:r>
    <w:r>
      <w:rPr>
        <w:rStyle w:val="PageNumber"/>
      </w:rPr>
      <w:instrText xml:space="preserve"> PAGE </w:instrText>
    </w:r>
    <w:r>
      <w:rPr>
        <w:rStyle w:val="PageNumber"/>
      </w:rPr>
      <w:fldChar w:fldCharType="separate"/>
    </w:r>
    <w:r w:rsidR="004C306B">
      <w:rPr>
        <w:rStyle w:val="PageNumber"/>
        <w:noProof/>
      </w:rPr>
      <w:t>8</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97C75F8"/>
    <w:lvl w:ilvl="0">
      <w:start w:val="19"/>
      <w:numFmt w:val="decimal"/>
      <w:pStyle w:val="Heading1"/>
      <w:lvlText w:val="[%1]"/>
      <w:lvlJc w:val="left"/>
      <w:pPr>
        <w:ind w:left="1211" w:hanging="360"/>
      </w:pPr>
      <w:rPr>
        <w:rFonts w:hint="default"/>
        <w:color w:val="auto"/>
      </w:rPr>
    </w:lvl>
    <w:lvl w:ilvl="1">
      <w:start w:val="1"/>
      <w:numFmt w:val="decimal"/>
      <w:lvlText w:val="%1.%2."/>
      <w:lvlJc w:val="left"/>
      <w:pPr>
        <w:tabs>
          <w:tab w:val="num" w:pos="0"/>
        </w:tabs>
        <w:ind w:left="1457" w:hanging="720"/>
      </w:pPr>
      <w:rPr>
        <w:rFonts w:hint="default"/>
      </w:rPr>
    </w:lvl>
    <w:lvl w:ilvl="2">
      <w:start w:val="1"/>
      <w:numFmt w:val="decimal"/>
      <w:lvlText w:val="%1.%2.%3."/>
      <w:lvlJc w:val="left"/>
      <w:pPr>
        <w:tabs>
          <w:tab w:val="num" w:pos="1571"/>
        </w:tabs>
        <w:ind w:left="851" w:firstLine="0"/>
      </w:pPr>
      <w:rPr>
        <w:rFonts w:hint="default"/>
      </w:rPr>
    </w:lvl>
    <w:lvl w:ilvl="3">
      <w:start w:val="1"/>
      <w:numFmt w:val="decimal"/>
      <w:pStyle w:val="Heading4"/>
      <w:lvlText w:val="%1.%2.%3.%4."/>
      <w:lvlJc w:val="left"/>
      <w:pPr>
        <w:tabs>
          <w:tab w:val="num" w:pos="0"/>
        </w:tabs>
        <w:ind w:left="2897" w:hanging="720"/>
      </w:pPr>
      <w:rPr>
        <w:rFonts w:hint="default"/>
      </w:rPr>
    </w:lvl>
    <w:lvl w:ilvl="4">
      <w:start w:val="1"/>
      <w:numFmt w:val="decimal"/>
      <w:pStyle w:val="Heading5"/>
      <w:lvlText w:val="%1.%2.%3.%4.%5."/>
      <w:lvlJc w:val="left"/>
      <w:pPr>
        <w:tabs>
          <w:tab w:val="num" w:pos="0"/>
        </w:tabs>
        <w:ind w:left="3617" w:hanging="720"/>
      </w:pPr>
      <w:rPr>
        <w:rFonts w:hint="default"/>
      </w:rPr>
    </w:lvl>
    <w:lvl w:ilvl="5">
      <w:start w:val="1"/>
      <w:numFmt w:val="decimal"/>
      <w:pStyle w:val="Heading6"/>
      <w:lvlText w:val="%1.%2.%3.%4.%5.%6."/>
      <w:lvlJc w:val="left"/>
      <w:pPr>
        <w:tabs>
          <w:tab w:val="num" w:pos="0"/>
        </w:tabs>
        <w:ind w:left="4337" w:hanging="720"/>
      </w:pPr>
      <w:rPr>
        <w:rFonts w:hint="default"/>
      </w:rPr>
    </w:lvl>
    <w:lvl w:ilvl="6">
      <w:start w:val="1"/>
      <w:numFmt w:val="decimal"/>
      <w:pStyle w:val="Heading7"/>
      <w:lvlText w:val="%1.%2.%3.%4.%5.%6.%7."/>
      <w:lvlJc w:val="left"/>
      <w:pPr>
        <w:tabs>
          <w:tab w:val="num" w:pos="0"/>
        </w:tabs>
        <w:ind w:left="5057" w:hanging="720"/>
      </w:pPr>
      <w:rPr>
        <w:rFonts w:hint="default"/>
      </w:rPr>
    </w:lvl>
    <w:lvl w:ilvl="7">
      <w:start w:val="1"/>
      <w:numFmt w:val="decimal"/>
      <w:pStyle w:val="Heading8"/>
      <w:lvlText w:val="%1.%2.%3.%4.%5.%6.%7.%8."/>
      <w:lvlJc w:val="left"/>
      <w:pPr>
        <w:tabs>
          <w:tab w:val="num" w:pos="0"/>
        </w:tabs>
        <w:ind w:left="5777" w:hanging="720"/>
      </w:pPr>
      <w:rPr>
        <w:rFonts w:hint="default"/>
      </w:rPr>
    </w:lvl>
    <w:lvl w:ilvl="8">
      <w:start w:val="1"/>
      <w:numFmt w:val="decimal"/>
      <w:pStyle w:val="Heading9"/>
      <w:lvlText w:val="%1.%2.%3.%4.%5.%6.%7.%8.%9."/>
      <w:lvlJc w:val="left"/>
      <w:pPr>
        <w:tabs>
          <w:tab w:val="num" w:pos="0"/>
        </w:tabs>
        <w:ind w:left="6497" w:hanging="720"/>
      </w:pPr>
      <w:rPr>
        <w:rFonts w:hint="default"/>
      </w:rPr>
    </w:lvl>
  </w:abstractNum>
  <w:abstractNum w:abstractNumId="1" w15:restartNumberingAfterBreak="0">
    <w:nsid w:val="00000002"/>
    <w:multiLevelType w:val="singleLevel"/>
    <w:tmpl w:val="00000002"/>
    <w:name w:val="WW8Num18"/>
    <w:lvl w:ilvl="0">
      <w:start w:val="1"/>
      <w:numFmt w:val="lowerLetter"/>
      <w:lvlText w:val="(%1)"/>
      <w:lvlJc w:val="left"/>
      <w:pPr>
        <w:ind w:left="1350" w:hanging="630"/>
      </w:pPr>
      <w:rPr>
        <w:i/>
      </w:rPr>
    </w:lvl>
  </w:abstractNum>
  <w:abstractNum w:abstractNumId="2" w15:restartNumberingAfterBreak="0">
    <w:nsid w:val="09507DA0"/>
    <w:multiLevelType w:val="hybridMultilevel"/>
    <w:tmpl w:val="47F01B14"/>
    <w:lvl w:ilvl="0" w:tplc="FCCCE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9000E"/>
    <w:multiLevelType w:val="hybridMultilevel"/>
    <w:tmpl w:val="82B83E00"/>
    <w:lvl w:ilvl="0" w:tplc="11EE3888">
      <w:start w:val="44"/>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B59A2"/>
    <w:multiLevelType w:val="hybridMultilevel"/>
    <w:tmpl w:val="2EE0AFC8"/>
    <w:lvl w:ilvl="0" w:tplc="976EF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50821"/>
    <w:multiLevelType w:val="hybridMultilevel"/>
    <w:tmpl w:val="5B86A49A"/>
    <w:lvl w:ilvl="0" w:tplc="040213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746133"/>
    <w:multiLevelType w:val="hybridMultilevel"/>
    <w:tmpl w:val="2EE0AFC8"/>
    <w:lvl w:ilvl="0" w:tplc="976EF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573F8"/>
    <w:multiLevelType w:val="hybridMultilevel"/>
    <w:tmpl w:val="6FA4798E"/>
    <w:lvl w:ilvl="0" w:tplc="FCCCE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A70A8C"/>
    <w:multiLevelType w:val="hybridMultilevel"/>
    <w:tmpl w:val="9C585BBA"/>
    <w:lvl w:ilvl="0" w:tplc="9B0A5B26">
      <w:start w:val="1"/>
      <w:numFmt w:val="lowerLetter"/>
      <w:pStyle w:val="Heading2"/>
      <w:lvlText w:val="(%1)"/>
      <w:lvlJc w:val="left"/>
      <w:pPr>
        <w:ind w:left="1454" w:hanging="360"/>
      </w:pPr>
      <w:rPr>
        <w:rFonts w:ascii="Arial" w:hAnsi="Arial" w:hint="default"/>
        <w:sz w:val="24"/>
      </w:rPr>
    </w:lvl>
    <w:lvl w:ilvl="1" w:tplc="08090019" w:tentative="1">
      <w:start w:val="1"/>
      <w:numFmt w:val="lowerLetter"/>
      <w:lvlText w:val="%2."/>
      <w:lvlJc w:val="left"/>
      <w:pPr>
        <w:ind w:left="2174" w:hanging="360"/>
      </w:pPr>
    </w:lvl>
    <w:lvl w:ilvl="2" w:tplc="0809001B" w:tentative="1">
      <w:start w:val="1"/>
      <w:numFmt w:val="lowerRoman"/>
      <w:lvlText w:val="%3."/>
      <w:lvlJc w:val="right"/>
      <w:pPr>
        <w:ind w:left="2894" w:hanging="180"/>
      </w:pPr>
    </w:lvl>
    <w:lvl w:ilvl="3" w:tplc="0809000F" w:tentative="1">
      <w:start w:val="1"/>
      <w:numFmt w:val="decimal"/>
      <w:lvlText w:val="%4."/>
      <w:lvlJc w:val="left"/>
      <w:pPr>
        <w:ind w:left="3614" w:hanging="360"/>
      </w:pPr>
    </w:lvl>
    <w:lvl w:ilvl="4" w:tplc="08090019" w:tentative="1">
      <w:start w:val="1"/>
      <w:numFmt w:val="lowerLetter"/>
      <w:lvlText w:val="%5."/>
      <w:lvlJc w:val="left"/>
      <w:pPr>
        <w:ind w:left="4334" w:hanging="360"/>
      </w:pPr>
    </w:lvl>
    <w:lvl w:ilvl="5" w:tplc="0809001B" w:tentative="1">
      <w:start w:val="1"/>
      <w:numFmt w:val="lowerRoman"/>
      <w:lvlText w:val="%6."/>
      <w:lvlJc w:val="right"/>
      <w:pPr>
        <w:ind w:left="5054" w:hanging="180"/>
      </w:pPr>
    </w:lvl>
    <w:lvl w:ilvl="6" w:tplc="0809000F" w:tentative="1">
      <w:start w:val="1"/>
      <w:numFmt w:val="decimal"/>
      <w:lvlText w:val="%7."/>
      <w:lvlJc w:val="left"/>
      <w:pPr>
        <w:ind w:left="5774" w:hanging="360"/>
      </w:pPr>
    </w:lvl>
    <w:lvl w:ilvl="7" w:tplc="08090019" w:tentative="1">
      <w:start w:val="1"/>
      <w:numFmt w:val="lowerLetter"/>
      <w:lvlText w:val="%8."/>
      <w:lvlJc w:val="left"/>
      <w:pPr>
        <w:ind w:left="6494" w:hanging="360"/>
      </w:pPr>
    </w:lvl>
    <w:lvl w:ilvl="8" w:tplc="0809001B" w:tentative="1">
      <w:start w:val="1"/>
      <w:numFmt w:val="lowerRoman"/>
      <w:lvlText w:val="%9."/>
      <w:lvlJc w:val="right"/>
      <w:pPr>
        <w:ind w:left="7214" w:hanging="180"/>
      </w:pPr>
    </w:lvl>
  </w:abstractNum>
  <w:abstractNum w:abstractNumId="9" w15:restartNumberingAfterBreak="0">
    <w:nsid w:val="2F2D0F53"/>
    <w:multiLevelType w:val="hybridMultilevel"/>
    <w:tmpl w:val="CACA20A4"/>
    <w:lvl w:ilvl="0" w:tplc="73888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FD5ED6"/>
    <w:multiLevelType w:val="hybridMultilevel"/>
    <w:tmpl w:val="11426A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666DA0"/>
    <w:multiLevelType w:val="hybridMultilevel"/>
    <w:tmpl w:val="BEB6C65A"/>
    <w:lvl w:ilvl="0" w:tplc="FCCCE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0B4A12"/>
    <w:multiLevelType w:val="hybridMultilevel"/>
    <w:tmpl w:val="C1D47436"/>
    <w:lvl w:ilvl="0" w:tplc="A06E421C">
      <w:start w:val="43"/>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944142"/>
    <w:multiLevelType w:val="hybridMultilevel"/>
    <w:tmpl w:val="6510A078"/>
    <w:lvl w:ilvl="0" w:tplc="3C4EE2D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3F49E3"/>
    <w:multiLevelType w:val="hybridMultilevel"/>
    <w:tmpl w:val="1C2897B8"/>
    <w:lvl w:ilvl="0" w:tplc="B0265040">
      <w:start w:val="1"/>
      <w:numFmt w:val="decimal"/>
      <w:lvlText w:val="%1."/>
      <w:lvlJc w:val="left"/>
      <w:pPr>
        <w:ind w:left="990" w:hanging="63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0A93ACC"/>
    <w:multiLevelType w:val="hybridMultilevel"/>
    <w:tmpl w:val="BA24A15C"/>
    <w:lvl w:ilvl="0" w:tplc="86B4253E">
      <w:start w:val="1"/>
      <w:numFmt w:val="lowerRoman"/>
      <w:pStyle w:val="Heading3"/>
      <w:lvlText w:val="(%1)"/>
      <w:lvlJc w:val="left"/>
      <w:pPr>
        <w:ind w:left="2160" w:hanging="360"/>
      </w:pPr>
      <w:rPr>
        <w:rFonts w:hint="default"/>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16" w15:restartNumberingAfterBreak="0">
    <w:nsid w:val="51766BAC"/>
    <w:multiLevelType w:val="hybridMultilevel"/>
    <w:tmpl w:val="D9AC524E"/>
    <w:lvl w:ilvl="0" w:tplc="3B58314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DE4829"/>
    <w:multiLevelType w:val="hybridMultilevel"/>
    <w:tmpl w:val="8B782086"/>
    <w:lvl w:ilvl="0" w:tplc="D3BE9E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44286F"/>
    <w:multiLevelType w:val="hybridMultilevel"/>
    <w:tmpl w:val="102819D4"/>
    <w:lvl w:ilvl="0" w:tplc="976EF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A4CA3"/>
    <w:multiLevelType w:val="hybridMultilevel"/>
    <w:tmpl w:val="8F7AD97A"/>
    <w:lvl w:ilvl="0" w:tplc="FCCCE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9E4796"/>
    <w:multiLevelType w:val="hybridMultilevel"/>
    <w:tmpl w:val="00643CC8"/>
    <w:lvl w:ilvl="0" w:tplc="98E86AC0">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607655"/>
    <w:multiLevelType w:val="hybridMultilevel"/>
    <w:tmpl w:val="B51EAEA0"/>
    <w:lvl w:ilvl="0" w:tplc="2C6C862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DE799C"/>
    <w:multiLevelType w:val="hybridMultilevel"/>
    <w:tmpl w:val="102819D4"/>
    <w:lvl w:ilvl="0" w:tplc="976EF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DC76BC"/>
    <w:multiLevelType w:val="hybridMultilevel"/>
    <w:tmpl w:val="A0A8B664"/>
    <w:lvl w:ilvl="0" w:tplc="48846AF0">
      <w:start w:val="45"/>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8261514">
    <w:abstractNumId w:val="0"/>
  </w:num>
  <w:num w:numId="2" w16cid:durableId="779296386">
    <w:abstractNumId w:val="8"/>
  </w:num>
  <w:num w:numId="3" w16cid:durableId="2102945022">
    <w:abstractNumId w:val="15"/>
  </w:num>
  <w:num w:numId="4" w16cid:durableId="1550258889">
    <w:abstractNumId w:val="14"/>
  </w:num>
  <w:num w:numId="5" w16cid:durableId="1879663003">
    <w:abstractNumId w:val="17"/>
  </w:num>
  <w:num w:numId="6" w16cid:durableId="189339122">
    <w:abstractNumId w:val="21"/>
  </w:num>
  <w:num w:numId="7" w16cid:durableId="1685396315">
    <w:abstractNumId w:val="10"/>
  </w:num>
  <w:num w:numId="8" w16cid:durableId="1005203766">
    <w:abstractNumId w:val="3"/>
  </w:num>
  <w:num w:numId="9" w16cid:durableId="440496227">
    <w:abstractNumId w:val="9"/>
  </w:num>
  <w:num w:numId="10" w16cid:durableId="1829787206">
    <w:abstractNumId w:val="7"/>
  </w:num>
  <w:num w:numId="11" w16cid:durableId="672492153">
    <w:abstractNumId w:val="6"/>
  </w:num>
  <w:num w:numId="12" w16cid:durableId="425468945">
    <w:abstractNumId w:val="19"/>
  </w:num>
  <w:num w:numId="13" w16cid:durableId="1918243745">
    <w:abstractNumId w:val="18"/>
  </w:num>
  <w:num w:numId="14" w16cid:durableId="2116517311">
    <w:abstractNumId w:val="22"/>
  </w:num>
  <w:num w:numId="15" w16cid:durableId="540242565">
    <w:abstractNumId w:val="4"/>
  </w:num>
  <w:num w:numId="16" w16cid:durableId="1365253473">
    <w:abstractNumId w:val="12"/>
  </w:num>
  <w:num w:numId="17" w16cid:durableId="1300190954">
    <w:abstractNumId w:val="13"/>
  </w:num>
  <w:num w:numId="18" w16cid:durableId="1624582170">
    <w:abstractNumId w:val="23"/>
  </w:num>
  <w:num w:numId="19" w16cid:durableId="417215861">
    <w:abstractNumId w:val="5"/>
  </w:num>
  <w:num w:numId="20" w16cid:durableId="1756513761">
    <w:abstractNumId w:val="2"/>
  </w:num>
  <w:num w:numId="21" w16cid:durableId="123895055">
    <w:abstractNumId w:val="11"/>
  </w:num>
  <w:num w:numId="22" w16cid:durableId="2027245805">
    <w:abstractNumId w:val="20"/>
  </w:num>
  <w:num w:numId="23" w16cid:durableId="972563781">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524"/>
    <w:rsid w:val="00000AD3"/>
    <w:rsid w:val="00001E44"/>
    <w:rsid w:val="000031EF"/>
    <w:rsid w:val="00003613"/>
    <w:rsid w:val="0000496C"/>
    <w:rsid w:val="00005673"/>
    <w:rsid w:val="00005C16"/>
    <w:rsid w:val="0001020A"/>
    <w:rsid w:val="00010EE2"/>
    <w:rsid w:val="00013787"/>
    <w:rsid w:val="00014C91"/>
    <w:rsid w:val="00015776"/>
    <w:rsid w:val="00015BDA"/>
    <w:rsid w:val="00016FEE"/>
    <w:rsid w:val="000178BA"/>
    <w:rsid w:val="000226A9"/>
    <w:rsid w:val="00027D48"/>
    <w:rsid w:val="00031710"/>
    <w:rsid w:val="000324F3"/>
    <w:rsid w:val="00045453"/>
    <w:rsid w:val="0005073F"/>
    <w:rsid w:val="0005086D"/>
    <w:rsid w:val="00051121"/>
    <w:rsid w:val="00051574"/>
    <w:rsid w:val="00053826"/>
    <w:rsid w:val="00056726"/>
    <w:rsid w:val="00063685"/>
    <w:rsid w:val="000650A6"/>
    <w:rsid w:val="00070A8F"/>
    <w:rsid w:val="0007119C"/>
    <w:rsid w:val="00072ED7"/>
    <w:rsid w:val="00072F8E"/>
    <w:rsid w:val="0007640E"/>
    <w:rsid w:val="00083864"/>
    <w:rsid w:val="00083B84"/>
    <w:rsid w:val="00085D64"/>
    <w:rsid w:val="00086C46"/>
    <w:rsid w:val="00087A71"/>
    <w:rsid w:val="000921AF"/>
    <w:rsid w:val="0009323A"/>
    <w:rsid w:val="00093246"/>
    <w:rsid w:val="00093CE9"/>
    <w:rsid w:val="00095B46"/>
    <w:rsid w:val="000975CD"/>
    <w:rsid w:val="00097B54"/>
    <w:rsid w:val="000B1663"/>
    <w:rsid w:val="000B1AE2"/>
    <w:rsid w:val="000B54CC"/>
    <w:rsid w:val="000B66A4"/>
    <w:rsid w:val="000B7750"/>
    <w:rsid w:val="000C20ED"/>
    <w:rsid w:val="000C4BBF"/>
    <w:rsid w:val="000C4C61"/>
    <w:rsid w:val="000C54BA"/>
    <w:rsid w:val="000C75F9"/>
    <w:rsid w:val="000C79EF"/>
    <w:rsid w:val="000C7A3B"/>
    <w:rsid w:val="000D23CD"/>
    <w:rsid w:val="000D3986"/>
    <w:rsid w:val="000D490E"/>
    <w:rsid w:val="000D617B"/>
    <w:rsid w:val="000D661F"/>
    <w:rsid w:val="000D7D2D"/>
    <w:rsid w:val="000E0AC9"/>
    <w:rsid w:val="000E1E31"/>
    <w:rsid w:val="000E321B"/>
    <w:rsid w:val="000E3CA3"/>
    <w:rsid w:val="000E59B9"/>
    <w:rsid w:val="000E61B8"/>
    <w:rsid w:val="000E6332"/>
    <w:rsid w:val="000E65E0"/>
    <w:rsid w:val="000E76B8"/>
    <w:rsid w:val="000F32D0"/>
    <w:rsid w:val="000F3ED7"/>
    <w:rsid w:val="000F7007"/>
    <w:rsid w:val="000F7F8A"/>
    <w:rsid w:val="0010488E"/>
    <w:rsid w:val="00105F5C"/>
    <w:rsid w:val="001063BC"/>
    <w:rsid w:val="001076B6"/>
    <w:rsid w:val="00110892"/>
    <w:rsid w:val="00115C5D"/>
    <w:rsid w:val="001173DC"/>
    <w:rsid w:val="00117DD9"/>
    <w:rsid w:val="0012505E"/>
    <w:rsid w:val="0013471F"/>
    <w:rsid w:val="00135CE1"/>
    <w:rsid w:val="001367FF"/>
    <w:rsid w:val="00140A9D"/>
    <w:rsid w:val="0014460F"/>
    <w:rsid w:val="00144C57"/>
    <w:rsid w:val="0014505C"/>
    <w:rsid w:val="00145751"/>
    <w:rsid w:val="00145ADF"/>
    <w:rsid w:val="00147336"/>
    <w:rsid w:val="00157754"/>
    <w:rsid w:val="001600D3"/>
    <w:rsid w:val="00161ADB"/>
    <w:rsid w:val="00162921"/>
    <w:rsid w:val="00162FA5"/>
    <w:rsid w:val="0016314E"/>
    <w:rsid w:val="00163EA6"/>
    <w:rsid w:val="0016544A"/>
    <w:rsid w:val="00165969"/>
    <w:rsid w:val="00171961"/>
    <w:rsid w:val="00174E15"/>
    <w:rsid w:val="0017586A"/>
    <w:rsid w:val="001763A5"/>
    <w:rsid w:val="00176DB6"/>
    <w:rsid w:val="00180C19"/>
    <w:rsid w:val="001825ED"/>
    <w:rsid w:val="001846B9"/>
    <w:rsid w:val="001846FB"/>
    <w:rsid w:val="00185464"/>
    <w:rsid w:val="00186562"/>
    <w:rsid w:val="0019079A"/>
    <w:rsid w:val="00192E95"/>
    <w:rsid w:val="00193D82"/>
    <w:rsid w:val="0019695F"/>
    <w:rsid w:val="0019700F"/>
    <w:rsid w:val="001A04CE"/>
    <w:rsid w:val="001A0782"/>
    <w:rsid w:val="001A3988"/>
    <w:rsid w:val="001A4178"/>
    <w:rsid w:val="001A7011"/>
    <w:rsid w:val="001B2CB6"/>
    <w:rsid w:val="001B3027"/>
    <w:rsid w:val="001B39A8"/>
    <w:rsid w:val="001B5B78"/>
    <w:rsid w:val="001B6D0D"/>
    <w:rsid w:val="001C373C"/>
    <w:rsid w:val="001C5C4C"/>
    <w:rsid w:val="001C727F"/>
    <w:rsid w:val="001D4C80"/>
    <w:rsid w:val="001D4E59"/>
    <w:rsid w:val="001D6F76"/>
    <w:rsid w:val="001E1CC2"/>
    <w:rsid w:val="001E20BF"/>
    <w:rsid w:val="001E46B3"/>
    <w:rsid w:val="001E5489"/>
    <w:rsid w:val="001F4D61"/>
    <w:rsid w:val="001F5190"/>
    <w:rsid w:val="001F6CB9"/>
    <w:rsid w:val="002023D0"/>
    <w:rsid w:val="002025F8"/>
    <w:rsid w:val="00203CDF"/>
    <w:rsid w:val="002076B9"/>
    <w:rsid w:val="00207C35"/>
    <w:rsid w:val="00210D9A"/>
    <w:rsid w:val="00211B5D"/>
    <w:rsid w:val="0021237A"/>
    <w:rsid w:val="00214E82"/>
    <w:rsid w:val="00216928"/>
    <w:rsid w:val="002215B2"/>
    <w:rsid w:val="00222B92"/>
    <w:rsid w:val="00231AB5"/>
    <w:rsid w:val="00236184"/>
    <w:rsid w:val="00237278"/>
    <w:rsid w:val="0024093F"/>
    <w:rsid w:val="00240999"/>
    <w:rsid w:val="00241AD6"/>
    <w:rsid w:val="00243407"/>
    <w:rsid w:val="0024419B"/>
    <w:rsid w:val="00244899"/>
    <w:rsid w:val="00247EF9"/>
    <w:rsid w:val="0025315E"/>
    <w:rsid w:val="0025677F"/>
    <w:rsid w:val="0025751D"/>
    <w:rsid w:val="00257636"/>
    <w:rsid w:val="00257D35"/>
    <w:rsid w:val="00260E2B"/>
    <w:rsid w:val="00264113"/>
    <w:rsid w:val="00266D54"/>
    <w:rsid w:val="0027073E"/>
    <w:rsid w:val="002719BF"/>
    <w:rsid w:val="00275A07"/>
    <w:rsid w:val="00275A78"/>
    <w:rsid w:val="002764ED"/>
    <w:rsid w:val="00277B56"/>
    <w:rsid w:val="00277E0C"/>
    <w:rsid w:val="002812F7"/>
    <w:rsid w:val="00285FF7"/>
    <w:rsid w:val="002861D9"/>
    <w:rsid w:val="0028655E"/>
    <w:rsid w:val="00287908"/>
    <w:rsid w:val="00290268"/>
    <w:rsid w:val="002A0EEB"/>
    <w:rsid w:val="002A217F"/>
    <w:rsid w:val="002A4EDC"/>
    <w:rsid w:val="002A7773"/>
    <w:rsid w:val="002A7BCD"/>
    <w:rsid w:val="002B1453"/>
    <w:rsid w:val="002B24D7"/>
    <w:rsid w:val="002B6CD0"/>
    <w:rsid w:val="002B7099"/>
    <w:rsid w:val="002C4A2B"/>
    <w:rsid w:val="002C5751"/>
    <w:rsid w:val="002D035C"/>
    <w:rsid w:val="002D08EE"/>
    <w:rsid w:val="002D0A9C"/>
    <w:rsid w:val="002D1C5A"/>
    <w:rsid w:val="002D31C9"/>
    <w:rsid w:val="002D47EB"/>
    <w:rsid w:val="002D4990"/>
    <w:rsid w:val="002D6750"/>
    <w:rsid w:val="002D6836"/>
    <w:rsid w:val="002D6B87"/>
    <w:rsid w:val="002D786B"/>
    <w:rsid w:val="002E30DE"/>
    <w:rsid w:val="002E380C"/>
    <w:rsid w:val="002E3BF2"/>
    <w:rsid w:val="002E6D61"/>
    <w:rsid w:val="002F09FA"/>
    <w:rsid w:val="002F1084"/>
    <w:rsid w:val="002F1D9B"/>
    <w:rsid w:val="002F3C44"/>
    <w:rsid w:val="003016C4"/>
    <w:rsid w:val="0030298A"/>
    <w:rsid w:val="00307C87"/>
    <w:rsid w:val="00311B99"/>
    <w:rsid w:val="00316EA0"/>
    <w:rsid w:val="00320515"/>
    <w:rsid w:val="003209AD"/>
    <w:rsid w:val="00321344"/>
    <w:rsid w:val="003219ED"/>
    <w:rsid w:val="003259A1"/>
    <w:rsid w:val="00333E79"/>
    <w:rsid w:val="00334677"/>
    <w:rsid w:val="00334AFC"/>
    <w:rsid w:val="003403D6"/>
    <w:rsid w:val="00340D6A"/>
    <w:rsid w:val="003428D2"/>
    <w:rsid w:val="00343264"/>
    <w:rsid w:val="00344767"/>
    <w:rsid w:val="00345554"/>
    <w:rsid w:val="00347D03"/>
    <w:rsid w:val="00350278"/>
    <w:rsid w:val="003504E0"/>
    <w:rsid w:val="003517F4"/>
    <w:rsid w:val="00352F30"/>
    <w:rsid w:val="00354402"/>
    <w:rsid w:val="00357DBA"/>
    <w:rsid w:val="00365991"/>
    <w:rsid w:val="0037192F"/>
    <w:rsid w:val="00373CDF"/>
    <w:rsid w:val="00375051"/>
    <w:rsid w:val="00376F2E"/>
    <w:rsid w:val="003770DD"/>
    <w:rsid w:val="00382515"/>
    <w:rsid w:val="00383735"/>
    <w:rsid w:val="00383E88"/>
    <w:rsid w:val="00384959"/>
    <w:rsid w:val="00391047"/>
    <w:rsid w:val="00392518"/>
    <w:rsid w:val="0039415D"/>
    <w:rsid w:val="00394CCF"/>
    <w:rsid w:val="003A3CF2"/>
    <w:rsid w:val="003A3E0C"/>
    <w:rsid w:val="003A5FD0"/>
    <w:rsid w:val="003A636A"/>
    <w:rsid w:val="003A667E"/>
    <w:rsid w:val="003A7C97"/>
    <w:rsid w:val="003A7D0A"/>
    <w:rsid w:val="003B1674"/>
    <w:rsid w:val="003C07FB"/>
    <w:rsid w:val="003C1894"/>
    <w:rsid w:val="003C30BF"/>
    <w:rsid w:val="003C3175"/>
    <w:rsid w:val="003C3E52"/>
    <w:rsid w:val="003C3EA1"/>
    <w:rsid w:val="003C42F0"/>
    <w:rsid w:val="003D158E"/>
    <w:rsid w:val="003D180E"/>
    <w:rsid w:val="003D1B0D"/>
    <w:rsid w:val="003D70E6"/>
    <w:rsid w:val="003E005E"/>
    <w:rsid w:val="003E1043"/>
    <w:rsid w:val="003E2C84"/>
    <w:rsid w:val="003E364B"/>
    <w:rsid w:val="003E3AA8"/>
    <w:rsid w:val="003E6394"/>
    <w:rsid w:val="003E6A8B"/>
    <w:rsid w:val="003E6BED"/>
    <w:rsid w:val="003E70D0"/>
    <w:rsid w:val="003E7333"/>
    <w:rsid w:val="003F2D61"/>
    <w:rsid w:val="003F2FCA"/>
    <w:rsid w:val="003F4C9B"/>
    <w:rsid w:val="003F5776"/>
    <w:rsid w:val="003F5D86"/>
    <w:rsid w:val="003F6093"/>
    <w:rsid w:val="003F6F0E"/>
    <w:rsid w:val="00400D96"/>
    <w:rsid w:val="004032BD"/>
    <w:rsid w:val="00403581"/>
    <w:rsid w:val="0040448F"/>
    <w:rsid w:val="00406D74"/>
    <w:rsid w:val="00410928"/>
    <w:rsid w:val="00412510"/>
    <w:rsid w:val="00414D46"/>
    <w:rsid w:val="00414F89"/>
    <w:rsid w:val="00415368"/>
    <w:rsid w:val="00417D2D"/>
    <w:rsid w:val="00422636"/>
    <w:rsid w:val="004229A8"/>
    <w:rsid w:val="00423CFC"/>
    <w:rsid w:val="00423DC4"/>
    <w:rsid w:val="004278AA"/>
    <w:rsid w:val="00430666"/>
    <w:rsid w:val="0043111A"/>
    <w:rsid w:val="0043412B"/>
    <w:rsid w:val="004375AE"/>
    <w:rsid w:val="00437C3B"/>
    <w:rsid w:val="00440A23"/>
    <w:rsid w:val="004412A9"/>
    <w:rsid w:val="0044133E"/>
    <w:rsid w:val="00441FD6"/>
    <w:rsid w:val="00442B69"/>
    <w:rsid w:val="00444A96"/>
    <w:rsid w:val="00444DD0"/>
    <w:rsid w:val="00450C86"/>
    <w:rsid w:val="00452D35"/>
    <w:rsid w:val="00454186"/>
    <w:rsid w:val="00457F74"/>
    <w:rsid w:val="004604DB"/>
    <w:rsid w:val="00467F45"/>
    <w:rsid w:val="0047151B"/>
    <w:rsid w:val="00472891"/>
    <w:rsid w:val="00473DE6"/>
    <w:rsid w:val="00480A13"/>
    <w:rsid w:val="00487CB0"/>
    <w:rsid w:val="00493180"/>
    <w:rsid w:val="004931C1"/>
    <w:rsid w:val="00495BDE"/>
    <w:rsid w:val="00497186"/>
    <w:rsid w:val="004A24AC"/>
    <w:rsid w:val="004A2820"/>
    <w:rsid w:val="004A334F"/>
    <w:rsid w:val="004A3A4C"/>
    <w:rsid w:val="004A4AF2"/>
    <w:rsid w:val="004A5900"/>
    <w:rsid w:val="004A762E"/>
    <w:rsid w:val="004B0D1F"/>
    <w:rsid w:val="004B2778"/>
    <w:rsid w:val="004B3FC8"/>
    <w:rsid w:val="004B4279"/>
    <w:rsid w:val="004B762D"/>
    <w:rsid w:val="004C0E9A"/>
    <w:rsid w:val="004C2460"/>
    <w:rsid w:val="004C306B"/>
    <w:rsid w:val="004C3E57"/>
    <w:rsid w:val="004C3E5C"/>
    <w:rsid w:val="004C3E84"/>
    <w:rsid w:val="004C4E6C"/>
    <w:rsid w:val="004C574D"/>
    <w:rsid w:val="004C6DB6"/>
    <w:rsid w:val="004C713A"/>
    <w:rsid w:val="004D008F"/>
    <w:rsid w:val="004D7CF8"/>
    <w:rsid w:val="004E0048"/>
    <w:rsid w:val="004E16FD"/>
    <w:rsid w:val="004E2466"/>
    <w:rsid w:val="004E24E2"/>
    <w:rsid w:val="004E3A5D"/>
    <w:rsid w:val="004E3AEA"/>
    <w:rsid w:val="004E4C08"/>
    <w:rsid w:val="004E7BF8"/>
    <w:rsid w:val="004F0EA1"/>
    <w:rsid w:val="004F3395"/>
    <w:rsid w:val="004F3D79"/>
    <w:rsid w:val="00500299"/>
    <w:rsid w:val="0050055E"/>
    <w:rsid w:val="005011FC"/>
    <w:rsid w:val="00502403"/>
    <w:rsid w:val="00503AAD"/>
    <w:rsid w:val="00504963"/>
    <w:rsid w:val="00504DF7"/>
    <w:rsid w:val="00506A93"/>
    <w:rsid w:val="00507804"/>
    <w:rsid w:val="0051036D"/>
    <w:rsid w:val="00515B97"/>
    <w:rsid w:val="005161DD"/>
    <w:rsid w:val="00520746"/>
    <w:rsid w:val="00521176"/>
    <w:rsid w:val="0052144B"/>
    <w:rsid w:val="00522C0C"/>
    <w:rsid w:val="00524FCF"/>
    <w:rsid w:val="00531A75"/>
    <w:rsid w:val="00531ADD"/>
    <w:rsid w:val="00534EC6"/>
    <w:rsid w:val="005368A3"/>
    <w:rsid w:val="00536902"/>
    <w:rsid w:val="00536A0A"/>
    <w:rsid w:val="00536C1B"/>
    <w:rsid w:val="00537BF1"/>
    <w:rsid w:val="00544BA8"/>
    <w:rsid w:val="00547F1F"/>
    <w:rsid w:val="0055152A"/>
    <w:rsid w:val="0055547B"/>
    <w:rsid w:val="00556AB7"/>
    <w:rsid w:val="00562A56"/>
    <w:rsid w:val="00563F4D"/>
    <w:rsid w:val="00564800"/>
    <w:rsid w:val="00564D69"/>
    <w:rsid w:val="00564FD2"/>
    <w:rsid w:val="0056666C"/>
    <w:rsid w:val="0056674E"/>
    <w:rsid w:val="0056681E"/>
    <w:rsid w:val="00570A7D"/>
    <w:rsid w:val="005718E1"/>
    <w:rsid w:val="005738C7"/>
    <w:rsid w:val="0057516D"/>
    <w:rsid w:val="005807C6"/>
    <w:rsid w:val="00583CCB"/>
    <w:rsid w:val="00590E8B"/>
    <w:rsid w:val="00591F68"/>
    <w:rsid w:val="005A31E6"/>
    <w:rsid w:val="005A6786"/>
    <w:rsid w:val="005A6ECB"/>
    <w:rsid w:val="005B04B8"/>
    <w:rsid w:val="005B28AD"/>
    <w:rsid w:val="005B3279"/>
    <w:rsid w:val="005B39C1"/>
    <w:rsid w:val="005B3AF2"/>
    <w:rsid w:val="005B4B91"/>
    <w:rsid w:val="005B6574"/>
    <w:rsid w:val="005B6D6B"/>
    <w:rsid w:val="005B78E3"/>
    <w:rsid w:val="005C03A3"/>
    <w:rsid w:val="005C0AD7"/>
    <w:rsid w:val="005C183C"/>
    <w:rsid w:val="005C2F88"/>
    <w:rsid w:val="005C4415"/>
    <w:rsid w:val="005C5E86"/>
    <w:rsid w:val="005C5F32"/>
    <w:rsid w:val="005C6E7F"/>
    <w:rsid w:val="005D5F13"/>
    <w:rsid w:val="005E2068"/>
    <w:rsid w:val="005E3952"/>
    <w:rsid w:val="005E51A6"/>
    <w:rsid w:val="005E5496"/>
    <w:rsid w:val="005F05E6"/>
    <w:rsid w:val="005F2313"/>
    <w:rsid w:val="005F2BBE"/>
    <w:rsid w:val="005F3EC0"/>
    <w:rsid w:val="005F6024"/>
    <w:rsid w:val="005F7024"/>
    <w:rsid w:val="005F7044"/>
    <w:rsid w:val="0060209D"/>
    <w:rsid w:val="00603B05"/>
    <w:rsid w:val="00604C91"/>
    <w:rsid w:val="006050CC"/>
    <w:rsid w:val="006146AC"/>
    <w:rsid w:val="00615357"/>
    <w:rsid w:val="006201EB"/>
    <w:rsid w:val="0062079B"/>
    <w:rsid w:val="00622353"/>
    <w:rsid w:val="00625494"/>
    <w:rsid w:val="00630E6B"/>
    <w:rsid w:val="006313FB"/>
    <w:rsid w:val="00633456"/>
    <w:rsid w:val="00635001"/>
    <w:rsid w:val="00635820"/>
    <w:rsid w:val="00636471"/>
    <w:rsid w:val="00640853"/>
    <w:rsid w:val="00642C9C"/>
    <w:rsid w:val="00643D8B"/>
    <w:rsid w:val="006461DE"/>
    <w:rsid w:val="00646AA0"/>
    <w:rsid w:val="00647FE5"/>
    <w:rsid w:val="006517D3"/>
    <w:rsid w:val="006539B7"/>
    <w:rsid w:val="00655DE0"/>
    <w:rsid w:val="006563E5"/>
    <w:rsid w:val="006573D4"/>
    <w:rsid w:val="00667C0B"/>
    <w:rsid w:val="006805BF"/>
    <w:rsid w:val="00680C7F"/>
    <w:rsid w:val="006814B2"/>
    <w:rsid w:val="00682AC4"/>
    <w:rsid w:val="006860BD"/>
    <w:rsid w:val="00687B62"/>
    <w:rsid w:val="00691776"/>
    <w:rsid w:val="00692E4F"/>
    <w:rsid w:val="00693E19"/>
    <w:rsid w:val="00695CD4"/>
    <w:rsid w:val="006A1816"/>
    <w:rsid w:val="006A42D1"/>
    <w:rsid w:val="006A7D62"/>
    <w:rsid w:val="006B3EE2"/>
    <w:rsid w:val="006B4221"/>
    <w:rsid w:val="006B4A65"/>
    <w:rsid w:val="006C1B65"/>
    <w:rsid w:val="006C22CB"/>
    <w:rsid w:val="006C4FAE"/>
    <w:rsid w:val="006C7366"/>
    <w:rsid w:val="006D524F"/>
    <w:rsid w:val="006D6564"/>
    <w:rsid w:val="006D65BF"/>
    <w:rsid w:val="006E0D29"/>
    <w:rsid w:val="006E0F9A"/>
    <w:rsid w:val="006E1F65"/>
    <w:rsid w:val="006E3EA2"/>
    <w:rsid w:val="006E5F8D"/>
    <w:rsid w:val="006E66BB"/>
    <w:rsid w:val="006E69A8"/>
    <w:rsid w:val="006F133F"/>
    <w:rsid w:val="006F3377"/>
    <w:rsid w:val="006F4907"/>
    <w:rsid w:val="006F4DCB"/>
    <w:rsid w:val="006F720F"/>
    <w:rsid w:val="007070E0"/>
    <w:rsid w:val="00710297"/>
    <w:rsid w:val="00710F10"/>
    <w:rsid w:val="00712D16"/>
    <w:rsid w:val="007155E4"/>
    <w:rsid w:val="007200FB"/>
    <w:rsid w:val="00721509"/>
    <w:rsid w:val="007233E5"/>
    <w:rsid w:val="00723A0A"/>
    <w:rsid w:val="00724FDC"/>
    <w:rsid w:val="0072582D"/>
    <w:rsid w:val="0072692A"/>
    <w:rsid w:val="00726BD2"/>
    <w:rsid w:val="0072728C"/>
    <w:rsid w:val="00732EFE"/>
    <w:rsid w:val="007330E9"/>
    <w:rsid w:val="00733CC2"/>
    <w:rsid w:val="00740067"/>
    <w:rsid w:val="00740AB0"/>
    <w:rsid w:val="007427DE"/>
    <w:rsid w:val="00742A5D"/>
    <w:rsid w:val="007442DD"/>
    <w:rsid w:val="0075040C"/>
    <w:rsid w:val="007510C8"/>
    <w:rsid w:val="00751AB1"/>
    <w:rsid w:val="00753359"/>
    <w:rsid w:val="00754C6F"/>
    <w:rsid w:val="00755D63"/>
    <w:rsid w:val="007603F4"/>
    <w:rsid w:val="00762395"/>
    <w:rsid w:val="00765944"/>
    <w:rsid w:val="00765DD2"/>
    <w:rsid w:val="00766343"/>
    <w:rsid w:val="0077034D"/>
    <w:rsid w:val="00772A53"/>
    <w:rsid w:val="00772D12"/>
    <w:rsid w:val="00780102"/>
    <w:rsid w:val="00785D24"/>
    <w:rsid w:val="007865B5"/>
    <w:rsid w:val="0078709B"/>
    <w:rsid w:val="007903F6"/>
    <w:rsid w:val="007935D2"/>
    <w:rsid w:val="00793607"/>
    <w:rsid w:val="00796488"/>
    <w:rsid w:val="00796EA0"/>
    <w:rsid w:val="007A5F4E"/>
    <w:rsid w:val="007A6CA5"/>
    <w:rsid w:val="007B1D29"/>
    <w:rsid w:val="007B2F5C"/>
    <w:rsid w:val="007B52EA"/>
    <w:rsid w:val="007B6923"/>
    <w:rsid w:val="007B7AF6"/>
    <w:rsid w:val="007C6C30"/>
    <w:rsid w:val="007D1502"/>
    <w:rsid w:val="007D1F48"/>
    <w:rsid w:val="007D3D85"/>
    <w:rsid w:val="007D4F0A"/>
    <w:rsid w:val="007D71AB"/>
    <w:rsid w:val="007D71E0"/>
    <w:rsid w:val="007D7ABE"/>
    <w:rsid w:val="007D7D0B"/>
    <w:rsid w:val="007E026C"/>
    <w:rsid w:val="007E0468"/>
    <w:rsid w:val="007E0621"/>
    <w:rsid w:val="007E12E4"/>
    <w:rsid w:val="007E2130"/>
    <w:rsid w:val="007F2B89"/>
    <w:rsid w:val="007F3450"/>
    <w:rsid w:val="007F41F2"/>
    <w:rsid w:val="007F42EA"/>
    <w:rsid w:val="007F4A84"/>
    <w:rsid w:val="007F5084"/>
    <w:rsid w:val="007F6100"/>
    <w:rsid w:val="007F6554"/>
    <w:rsid w:val="007F7ABD"/>
    <w:rsid w:val="0080635A"/>
    <w:rsid w:val="00806373"/>
    <w:rsid w:val="008077F3"/>
    <w:rsid w:val="00812109"/>
    <w:rsid w:val="00814E3A"/>
    <w:rsid w:val="00814FE2"/>
    <w:rsid w:val="00815061"/>
    <w:rsid w:val="0081590F"/>
    <w:rsid w:val="0081727A"/>
    <w:rsid w:val="008173A5"/>
    <w:rsid w:val="00822342"/>
    <w:rsid w:val="00824AE6"/>
    <w:rsid w:val="00824C4F"/>
    <w:rsid w:val="00834AA4"/>
    <w:rsid w:val="008358E8"/>
    <w:rsid w:val="00836131"/>
    <w:rsid w:val="00840FFD"/>
    <w:rsid w:val="008411B2"/>
    <w:rsid w:val="00844780"/>
    <w:rsid w:val="008463F4"/>
    <w:rsid w:val="008507E5"/>
    <w:rsid w:val="00851776"/>
    <w:rsid w:val="00853524"/>
    <w:rsid w:val="00854FA6"/>
    <w:rsid w:val="008552C7"/>
    <w:rsid w:val="00862509"/>
    <w:rsid w:val="00862DBC"/>
    <w:rsid w:val="008665CF"/>
    <w:rsid w:val="00866EC4"/>
    <w:rsid w:val="00867D73"/>
    <w:rsid w:val="0087008D"/>
    <w:rsid w:val="00871600"/>
    <w:rsid w:val="008767CC"/>
    <w:rsid w:val="0088248A"/>
    <w:rsid w:val="008844A5"/>
    <w:rsid w:val="008855E7"/>
    <w:rsid w:val="00885655"/>
    <w:rsid w:val="008861A0"/>
    <w:rsid w:val="008870E9"/>
    <w:rsid w:val="0088723F"/>
    <w:rsid w:val="00892889"/>
    <w:rsid w:val="00893153"/>
    <w:rsid w:val="008939CB"/>
    <w:rsid w:val="008A1B50"/>
    <w:rsid w:val="008A1DC0"/>
    <w:rsid w:val="008A443F"/>
    <w:rsid w:val="008A4842"/>
    <w:rsid w:val="008A670E"/>
    <w:rsid w:val="008A68C2"/>
    <w:rsid w:val="008A7105"/>
    <w:rsid w:val="008B1118"/>
    <w:rsid w:val="008B1836"/>
    <w:rsid w:val="008B259C"/>
    <w:rsid w:val="008B2C30"/>
    <w:rsid w:val="008B5984"/>
    <w:rsid w:val="008B61FB"/>
    <w:rsid w:val="008C0CAD"/>
    <w:rsid w:val="008C3EDC"/>
    <w:rsid w:val="008C3EE3"/>
    <w:rsid w:val="008C3F7C"/>
    <w:rsid w:val="008C724F"/>
    <w:rsid w:val="008D5327"/>
    <w:rsid w:val="008D7A77"/>
    <w:rsid w:val="008E1361"/>
    <w:rsid w:val="008E324A"/>
    <w:rsid w:val="008E35C3"/>
    <w:rsid w:val="008E3D66"/>
    <w:rsid w:val="008E5D02"/>
    <w:rsid w:val="008E6309"/>
    <w:rsid w:val="008F29DB"/>
    <w:rsid w:val="008F59B4"/>
    <w:rsid w:val="008F6648"/>
    <w:rsid w:val="008F70BF"/>
    <w:rsid w:val="00900D62"/>
    <w:rsid w:val="00900EFC"/>
    <w:rsid w:val="0090176D"/>
    <w:rsid w:val="00903C6E"/>
    <w:rsid w:val="00904FF4"/>
    <w:rsid w:val="00906BF4"/>
    <w:rsid w:val="00906D61"/>
    <w:rsid w:val="00911CFE"/>
    <w:rsid w:val="00912CA6"/>
    <w:rsid w:val="00912EA1"/>
    <w:rsid w:val="00913B34"/>
    <w:rsid w:val="00913E2F"/>
    <w:rsid w:val="00914691"/>
    <w:rsid w:val="00915DAC"/>
    <w:rsid w:val="0092066C"/>
    <w:rsid w:val="00920F28"/>
    <w:rsid w:val="0092115E"/>
    <w:rsid w:val="0092146F"/>
    <w:rsid w:val="009240AC"/>
    <w:rsid w:val="00925473"/>
    <w:rsid w:val="0093023C"/>
    <w:rsid w:val="009326D1"/>
    <w:rsid w:val="00932E18"/>
    <w:rsid w:val="00933E6B"/>
    <w:rsid w:val="00934A94"/>
    <w:rsid w:val="009366F1"/>
    <w:rsid w:val="00937089"/>
    <w:rsid w:val="00942B5B"/>
    <w:rsid w:val="00942F45"/>
    <w:rsid w:val="009462CD"/>
    <w:rsid w:val="009462FC"/>
    <w:rsid w:val="00950943"/>
    <w:rsid w:val="00950B99"/>
    <w:rsid w:val="00952D40"/>
    <w:rsid w:val="00953461"/>
    <w:rsid w:val="00953FFC"/>
    <w:rsid w:val="0096179E"/>
    <w:rsid w:val="00965051"/>
    <w:rsid w:val="0097405C"/>
    <w:rsid w:val="00976BDB"/>
    <w:rsid w:val="00980D52"/>
    <w:rsid w:val="009824E5"/>
    <w:rsid w:val="00986AC9"/>
    <w:rsid w:val="009930C3"/>
    <w:rsid w:val="009933FE"/>
    <w:rsid w:val="00993D08"/>
    <w:rsid w:val="009A2CA1"/>
    <w:rsid w:val="009A4927"/>
    <w:rsid w:val="009A707B"/>
    <w:rsid w:val="009B026F"/>
    <w:rsid w:val="009B07B0"/>
    <w:rsid w:val="009B4960"/>
    <w:rsid w:val="009C016C"/>
    <w:rsid w:val="009C0647"/>
    <w:rsid w:val="009C2458"/>
    <w:rsid w:val="009C2E0A"/>
    <w:rsid w:val="009C43E4"/>
    <w:rsid w:val="009C45F1"/>
    <w:rsid w:val="009C4958"/>
    <w:rsid w:val="009C5980"/>
    <w:rsid w:val="009D0A59"/>
    <w:rsid w:val="009D1158"/>
    <w:rsid w:val="009D2A5B"/>
    <w:rsid w:val="009D34E9"/>
    <w:rsid w:val="009D555E"/>
    <w:rsid w:val="009D6CC5"/>
    <w:rsid w:val="009E1E21"/>
    <w:rsid w:val="009E215A"/>
    <w:rsid w:val="009E5BF3"/>
    <w:rsid w:val="009E6C5E"/>
    <w:rsid w:val="009F3851"/>
    <w:rsid w:val="009F40B4"/>
    <w:rsid w:val="009F531F"/>
    <w:rsid w:val="009F6AC2"/>
    <w:rsid w:val="009F7910"/>
    <w:rsid w:val="009F7B94"/>
    <w:rsid w:val="00A00520"/>
    <w:rsid w:val="00A00DBD"/>
    <w:rsid w:val="00A04557"/>
    <w:rsid w:val="00A04BAD"/>
    <w:rsid w:val="00A058CE"/>
    <w:rsid w:val="00A066DB"/>
    <w:rsid w:val="00A1072B"/>
    <w:rsid w:val="00A11A32"/>
    <w:rsid w:val="00A134C3"/>
    <w:rsid w:val="00A14D17"/>
    <w:rsid w:val="00A164F9"/>
    <w:rsid w:val="00A20919"/>
    <w:rsid w:val="00A24450"/>
    <w:rsid w:val="00A26A4B"/>
    <w:rsid w:val="00A3136C"/>
    <w:rsid w:val="00A341ED"/>
    <w:rsid w:val="00A4258A"/>
    <w:rsid w:val="00A44195"/>
    <w:rsid w:val="00A46120"/>
    <w:rsid w:val="00A514A6"/>
    <w:rsid w:val="00A52125"/>
    <w:rsid w:val="00A55F19"/>
    <w:rsid w:val="00A57B46"/>
    <w:rsid w:val="00A57E84"/>
    <w:rsid w:val="00A6569C"/>
    <w:rsid w:val="00A65B85"/>
    <w:rsid w:val="00A66A69"/>
    <w:rsid w:val="00A67FA9"/>
    <w:rsid w:val="00A72436"/>
    <w:rsid w:val="00A72A55"/>
    <w:rsid w:val="00A72E3E"/>
    <w:rsid w:val="00A7452A"/>
    <w:rsid w:val="00A8094D"/>
    <w:rsid w:val="00A824DB"/>
    <w:rsid w:val="00A83182"/>
    <w:rsid w:val="00A87EE2"/>
    <w:rsid w:val="00A9094A"/>
    <w:rsid w:val="00A92315"/>
    <w:rsid w:val="00A9317E"/>
    <w:rsid w:val="00A94D0B"/>
    <w:rsid w:val="00A94FA6"/>
    <w:rsid w:val="00A973AE"/>
    <w:rsid w:val="00AA420E"/>
    <w:rsid w:val="00AA4837"/>
    <w:rsid w:val="00AA4D49"/>
    <w:rsid w:val="00AA58B7"/>
    <w:rsid w:val="00AA5C68"/>
    <w:rsid w:val="00AA73BA"/>
    <w:rsid w:val="00AA7A97"/>
    <w:rsid w:val="00AB126A"/>
    <w:rsid w:val="00AB2B3C"/>
    <w:rsid w:val="00AB56AC"/>
    <w:rsid w:val="00AB5D12"/>
    <w:rsid w:val="00AB6647"/>
    <w:rsid w:val="00AC0A1A"/>
    <w:rsid w:val="00AC6678"/>
    <w:rsid w:val="00AD1D1B"/>
    <w:rsid w:val="00AD4E77"/>
    <w:rsid w:val="00AD4FF1"/>
    <w:rsid w:val="00AD5017"/>
    <w:rsid w:val="00AD5553"/>
    <w:rsid w:val="00AE2106"/>
    <w:rsid w:val="00AE477D"/>
    <w:rsid w:val="00AF09D9"/>
    <w:rsid w:val="00B00B9A"/>
    <w:rsid w:val="00B01433"/>
    <w:rsid w:val="00B023C5"/>
    <w:rsid w:val="00B05917"/>
    <w:rsid w:val="00B15B75"/>
    <w:rsid w:val="00B17B51"/>
    <w:rsid w:val="00B17E22"/>
    <w:rsid w:val="00B203D2"/>
    <w:rsid w:val="00B211D8"/>
    <w:rsid w:val="00B217A5"/>
    <w:rsid w:val="00B21F75"/>
    <w:rsid w:val="00B2259D"/>
    <w:rsid w:val="00B23222"/>
    <w:rsid w:val="00B234EC"/>
    <w:rsid w:val="00B263DA"/>
    <w:rsid w:val="00B308EF"/>
    <w:rsid w:val="00B31D5E"/>
    <w:rsid w:val="00B322D3"/>
    <w:rsid w:val="00B32CC1"/>
    <w:rsid w:val="00B33DAF"/>
    <w:rsid w:val="00B4256E"/>
    <w:rsid w:val="00B42FF2"/>
    <w:rsid w:val="00B43B5B"/>
    <w:rsid w:val="00B46439"/>
    <w:rsid w:val="00B50397"/>
    <w:rsid w:val="00B5074D"/>
    <w:rsid w:val="00B50EF2"/>
    <w:rsid w:val="00B51244"/>
    <w:rsid w:val="00B512B8"/>
    <w:rsid w:val="00B5234D"/>
    <w:rsid w:val="00B527CC"/>
    <w:rsid w:val="00B52869"/>
    <w:rsid w:val="00B558A1"/>
    <w:rsid w:val="00B5721D"/>
    <w:rsid w:val="00B57D38"/>
    <w:rsid w:val="00B630F5"/>
    <w:rsid w:val="00B6528F"/>
    <w:rsid w:val="00B662F2"/>
    <w:rsid w:val="00B70DB8"/>
    <w:rsid w:val="00B755B0"/>
    <w:rsid w:val="00B80D4B"/>
    <w:rsid w:val="00B80EF8"/>
    <w:rsid w:val="00B81E8B"/>
    <w:rsid w:val="00B8223D"/>
    <w:rsid w:val="00B8303E"/>
    <w:rsid w:val="00B83486"/>
    <w:rsid w:val="00B85363"/>
    <w:rsid w:val="00B85E7B"/>
    <w:rsid w:val="00B91C93"/>
    <w:rsid w:val="00B936E0"/>
    <w:rsid w:val="00B95662"/>
    <w:rsid w:val="00B973FC"/>
    <w:rsid w:val="00B97C49"/>
    <w:rsid w:val="00B97D48"/>
    <w:rsid w:val="00B97ECE"/>
    <w:rsid w:val="00BA094C"/>
    <w:rsid w:val="00BA132A"/>
    <w:rsid w:val="00BA17B4"/>
    <w:rsid w:val="00BA203B"/>
    <w:rsid w:val="00BA2BA0"/>
    <w:rsid w:val="00BA3661"/>
    <w:rsid w:val="00BA47D8"/>
    <w:rsid w:val="00BA5707"/>
    <w:rsid w:val="00BA5F62"/>
    <w:rsid w:val="00BA62E3"/>
    <w:rsid w:val="00BA7207"/>
    <w:rsid w:val="00BB03B8"/>
    <w:rsid w:val="00BB2281"/>
    <w:rsid w:val="00BB540C"/>
    <w:rsid w:val="00BB7C52"/>
    <w:rsid w:val="00BC0919"/>
    <w:rsid w:val="00BC303B"/>
    <w:rsid w:val="00BC45E4"/>
    <w:rsid w:val="00BC5027"/>
    <w:rsid w:val="00BC7ABA"/>
    <w:rsid w:val="00BD04DE"/>
    <w:rsid w:val="00BD09A7"/>
    <w:rsid w:val="00BD1B30"/>
    <w:rsid w:val="00BD48E2"/>
    <w:rsid w:val="00BE0263"/>
    <w:rsid w:val="00BE72A7"/>
    <w:rsid w:val="00BF37FD"/>
    <w:rsid w:val="00BF4616"/>
    <w:rsid w:val="00BF4EF3"/>
    <w:rsid w:val="00BF5362"/>
    <w:rsid w:val="00C00517"/>
    <w:rsid w:val="00C02436"/>
    <w:rsid w:val="00C02A42"/>
    <w:rsid w:val="00C02D8F"/>
    <w:rsid w:val="00C036D4"/>
    <w:rsid w:val="00C03808"/>
    <w:rsid w:val="00C05E22"/>
    <w:rsid w:val="00C07101"/>
    <w:rsid w:val="00C077DA"/>
    <w:rsid w:val="00C148C6"/>
    <w:rsid w:val="00C15F41"/>
    <w:rsid w:val="00C2159C"/>
    <w:rsid w:val="00C22E73"/>
    <w:rsid w:val="00C30673"/>
    <w:rsid w:val="00C34B32"/>
    <w:rsid w:val="00C35AEF"/>
    <w:rsid w:val="00C4026A"/>
    <w:rsid w:val="00C44826"/>
    <w:rsid w:val="00C44B26"/>
    <w:rsid w:val="00C45A81"/>
    <w:rsid w:val="00C522FD"/>
    <w:rsid w:val="00C53115"/>
    <w:rsid w:val="00C53674"/>
    <w:rsid w:val="00C53E83"/>
    <w:rsid w:val="00C54B9D"/>
    <w:rsid w:val="00C5721E"/>
    <w:rsid w:val="00C6409F"/>
    <w:rsid w:val="00C64774"/>
    <w:rsid w:val="00C6531B"/>
    <w:rsid w:val="00C65F21"/>
    <w:rsid w:val="00C66999"/>
    <w:rsid w:val="00C66DC7"/>
    <w:rsid w:val="00C670F1"/>
    <w:rsid w:val="00C7534F"/>
    <w:rsid w:val="00C75D3B"/>
    <w:rsid w:val="00C76811"/>
    <w:rsid w:val="00C8033C"/>
    <w:rsid w:val="00C81590"/>
    <w:rsid w:val="00C83803"/>
    <w:rsid w:val="00C860B6"/>
    <w:rsid w:val="00C91BD0"/>
    <w:rsid w:val="00CA0000"/>
    <w:rsid w:val="00CA6F10"/>
    <w:rsid w:val="00CB37F9"/>
    <w:rsid w:val="00CB50B6"/>
    <w:rsid w:val="00CB73FA"/>
    <w:rsid w:val="00CC2442"/>
    <w:rsid w:val="00CC6E9C"/>
    <w:rsid w:val="00CD1079"/>
    <w:rsid w:val="00CD23C2"/>
    <w:rsid w:val="00CD266B"/>
    <w:rsid w:val="00CD2876"/>
    <w:rsid w:val="00CD6D81"/>
    <w:rsid w:val="00CE1B04"/>
    <w:rsid w:val="00CE736A"/>
    <w:rsid w:val="00CE7F02"/>
    <w:rsid w:val="00CF196E"/>
    <w:rsid w:val="00CF3519"/>
    <w:rsid w:val="00CF3876"/>
    <w:rsid w:val="00CF4FDD"/>
    <w:rsid w:val="00CF68DF"/>
    <w:rsid w:val="00CF7085"/>
    <w:rsid w:val="00D01238"/>
    <w:rsid w:val="00D03261"/>
    <w:rsid w:val="00D03BE9"/>
    <w:rsid w:val="00D05290"/>
    <w:rsid w:val="00D059C9"/>
    <w:rsid w:val="00D06B02"/>
    <w:rsid w:val="00D07B8E"/>
    <w:rsid w:val="00D1074F"/>
    <w:rsid w:val="00D1244C"/>
    <w:rsid w:val="00D16257"/>
    <w:rsid w:val="00D2082C"/>
    <w:rsid w:val="00D22901"/>
    <w:rsid w:val="00D24D9A"/>
    <w:rsid w:val="00D24E4F"/>
    <w:rsid w:val="00D25820"/>
    <w:rsid w:val="00D31624"/>
    <w:rsid w:val="00D316B5"/>
    <w:rsid w:val="00D32E28"/>
    <w:rsid w:val="00D33086"/>
    <w:rsid w:val="00D332BF"/>
    <w:rsid w:val="00D35271"/>
    <w:rsid w:val="00D40695"/>
    <w:rsid w:val="00D52ADD"/>
    <w:rsid w:val="00D56C6C"/>
    <w:rsid w:val="00D6339D"/>
    <w:rsid w:val="00D6476E"/>
    <w:rsid w:val="00D65318"/>
    <w:rsid w:val="00D65C7F"/>
    <w:rsid w:val="00D6713E"/>
    <w:rsid w:val="00D70565"/>
    <w:rsid w:val="00D709D1"/>
    <w:rsid w:val="00D70F34"/>
    <w:rsid w:val="00D7245B"/>
    <w:rsid w:val="00D83A3C"/>
    <w:rsid w:val="00D846C8"/>
    <w:rsid w:val="00D84C43"/>
    <w:rsid w:val="00D85042"/>
    <w:rsid w:val="00D852DE"/>
    <w:rsid w:val="00D86343"/>
    <w:rsid w:val="00D877B1"/>
    <w:rsid w:val="00D90631"/>
    <w:rsid w:val="00D920BA"/>
    <w:rsid w:val="00D92F77"/>
    <w:rsid w:val="00D9358D"/>
    <w:rsid w:val="00D944AE"/>
    <w:rsid w:val="00D96A2B"/>
    <w:rsid w:val="00D96B8A"/>
    <w:rsid w:val="00DA04DF"/>
    <w:rsid w:val="00DA14A2"/>
    <w:rsid w:val="00DA7497"/>
    <w:rsid w:val="00DB0279"/>
    <w:rsid w:val="00DB11FB"/>
    <w:rsid w:val="00DB33AA"/>
    <w:rsid w:val="00DB3816"/>
    <w:rsid w:val="00DB4581"/>
    <w:rsid w:val="00DB5EC5"/>
    <w:rsid w:val="00DB652D"/>
    <w:rsid w:val="00DC0A0D"/>
    <w:rsid w:val="00DC2989"/>
    <w:rsid w:val="00DC52B4"/>
    <w:rsid w:val="00DC5344"/>
    <w:rsid w:val="00DC5B78"/>
    <w:rsid w:val="00DC620E"/>
    <w:rsid w:val="00DD04F8"/>
    <w:rsid w:val="00DD063D"/>
    <w:rsid w:val="00DD1A53"/>
    <w:rsid w:val="00DD3657"/>
    <w:rsid w:val="00DD410E"/>
    <w:rsid w:val="00DD69EF"/>
    <w:rsid w:val="00DD6AAE"/>
    <w:rsid w:val="00DD79D1"/>
    <w:rsid w:val="00DE1F12"/>
    <w:rsid w:val="00DE21AA"/>
    <w:rsid w:val="00DE36E3"/>
    <w:rsid w:val="00DE385D"/>
    <w:rsid w:val="00DE4815"/>
    <w:rsid w:val="00DE4A11"/>
    <w:rsid w:val="00DE607E"/>
    <w:rsid w:val="00DE687F"/>
    <w:rsid w:val="00DE6AD4"/>
    <w:rsid w:val="00DE77EF"/>
    <w:rsid w:val="00DF2462"/>
    <w:rsid w:val="00DF2F71"/>
    <w:rsid w:val="00DF5360"/>
    <w:rsid w:val="00E05C98"/>
    <w:rsid w:val="00E06B6F"/>
    <w:rsid w:val="00E070CA"/>
    <w:rsid w:val="00E07289"/>
    <w:rsid w:val="00E10A90"/>
    <w:rsid w:val="00E121F1"/>
    <w:rsid w:val="00E1232E"/>
    <w:rsid w:val="00E13FE5"/>
    <w:rsid w:val="00E157C7"/>
    <w:rsid w:val="00E168BC"/>
    <w:rsid w:val="00E16F0B"/>
    <w:rsid w:val="00E17D36"/>
    <w:rsid w:val="00E207D2"/>
    <w:rsid w:val="00E20D1F"/>
    <w:rsid w:val="00E2339A"/>
    <w:rsid w:val="00E251D5"/>
    <w:rsid w:val="00E30A24"/>
    <w:rsid w:val="00E335FF"/>
    <w:rsid w:val="00E355DF"/>
    <w:rsid w:val="00E37357"/>
    <w:rsid w:val="00E403C2"/>
    <w:rsid w:val="00E42669"/>
    <w:rsid w:val="00E432D1"/>
    <w:rsid w:val="00E451EE"/>
    <w:rsid w:val="00E45A50"/>
    <w:rsid w:val="00E53984"/>
    <w:rsid w:val="00E539DE"/>
    <w:rsid w:val="00E54F9E"/>
    <w:rsid w:val="00E5618B"/>
    <w:rsid w:val="00E562FB"/>
    <w:rsid w:val="00E574E7"/>
    <w:rsid w:val="00E6075F"/>
    <w:rsid w:val="00E60D91"/>
    <w:rsid w:val="00E6196B"/>
    <w:rsid w:val="00E6327F"/>
    <w:rsid w:val="00E63BC8"/>
    <w:rsid w:val="00E669F4"/>
    <w:rsid w:val="00E66A15"/>
    <w:rsid w:val="00E72B55"/>
    <w:rsid w:val="00E75AEA"/>
    <w:rsid w:val="00E7645E"/>
    <w:rsid w:val="00E82B50"/>
    <w:rsid w:val="00E83597"/>
    <w:rsid w:val="00E84EC5"/>
    <w:rsid w:val="00E87B59"/>
    <w:rsid w:val="00E90341"/>
    <w:rsid w:val="00E90499"/>
    <w:rsid w:val="00E90C91"/>
    <w:rsid w:val="00E92B40"/>
    <w:rsid w:val="00E930A8"/>
    <w:rsid w:val="00E940F5"/>
    <w:rsid w:val="00E9475D"/>
    <w:rsid w:val="00E952DA"/>
    <w:rsid w:val="00E9744D"/>
    <w:rsid w:val="00E97F85"/>
    <w:rsid w:val="00EA1B5F"/>
    <w:rsid w:val="00EA2D24"/>
    <w:rsid w:val="00EA50DB"/>
    <w:rsid w:val="00EA6D7C"/>
    <w:rsid w:val="00EA6D85"/>
    <w:rsid w:val="00EA7AB5"/>
    <w:rsid w:val="00EB17AD"/>
    <w:rsid w:val="00EB2E89"/>
    <w:rsid w:val="00EB3609"/>
    <w:rsid w:val="00EB4524"/>
    <w:rsid w:val="00EB60B6"/>
    <w:rsid w:val="00EB71C4"/>
    <w:rsid w:val="00EC1167"/>
    <w:rsid w:val="00EC1726"/>
    <w:rsid w:val="00EC40A6"/>
    <w:rsid w:val="00EC4E96"/>
    <w:rsid w:val="00EC5429"/>
    <w:rsid w:val="00EC587D"/>
    <w:rsid w:val="00ED20FB"/>
    <w:rsid w:val="00ED4799"/>
    <w:rsid w:val="00EE3A01"/>
    <w:rsid w:val="00EF1A8B"/>
    <w:rsid w:val="00EF4530"/>
    <w:rsid w:val="00EF46F6"/>
    <w:rsid w:val="00EF504B"/>
    <w:rsid w:val="00EF638E"/>
    <w:rsid w:val="00F0054C"/>
    <w:rsid w:val="00F03820"/>
    <w:rsid w:val="00F071D4"/>
    <w:rsid w:val="00F079AF"/>
    <w:rsid w:val="00F108D7"/>
    <w:rsid w:val="00F124D0"/>
    <w:rsid w:val="00F12DCC"/>
    <w:rsid w:val="00F14228"/>
    <w:rsid w:val="00F14D6F"/>
    <w:rsid w:val="00F15446"/>
    <w:rsid w:val="00F168F9"/>
    <w:rsid w:val="00F21787"/>
    <w:rsid w:val="00F24CC4"/>
    <w:rsid w:val="00F250FE"/>
    <w:rsid w:val="00F26BA3"/>
    <w:rsid w:val="00F27103"/>
    <w:rsid w:val="00F31D14"/>
    <w:rsid w:val="00F326C8"/>
    <w:rsid w:val="00F331DF"/>
    <w:rsid w:val="00F33C9C"/>
    <w:rsid w:val="00F35357"/>
    <w:rsid w:val="00F366C4"/>
    <w:rsid w:val="00F40092"/>
    <w:rsid w:val="00F40790"/>
    <w:rsid w:val="00F40E48"/>
    <w:rsid w:val="00F41A65"/>
    <w:rsid w:val="00F441D3"/>
    <w:rsid w:val="00F47FFB"/>
    <w:rsid w:val="00F50E6D"/>
    <w:rsid w:val="00F5326C"/>
    <w:rsid w:val="00F54433"/>
    <w:rsid w:val="00F54B07"/>
    <w:rsid w:val="00F54D3C"/>
    <w:rsid w:val="00F5636F"/>
    <w:rsid w:val="00F602D6"/>
    <w:rsid w:val="00F60487"/>
    <w:rsid w:val="00F6058D"/>
    <w:rsid w:val="00F6200D"/>
    <w:rsid w:val="00F62CE4"/>
    <w:rsid w:val="00F6471C"/>
    <w:rsid w:val="00F65290"/>
    <w:rsid w:val="00F6608A"/>
    <w:rsid w:val="00F67B26"/>
    <w:rsid w:val="00F73040"/>
    <w:rsid w:val="00F7418D"/>
    <w:rsid w:val="00F75287"/>
    <w:rsid w:val="00F77FAE"/>
    <w:rsid w:val="00F82F17"/>
    <w:rsid w:val="00F84F29"/>
    <w:rsid w:val="00F85335"/>
    <w:rsid w:val="00F86D0D"/>
    <w:rsid w:val="00F90BE3"/>
    <w:rsid w:val="00F91F2B"/>
    <w:rsid w:val="00F92D72"/>
    <w:rsid w:val="00F97355"/>
    <w:rsid w:val="00F97417"/>
    <w:rsid w:val="00F9779C"/>
    <w:rsid w:val="00F977CD"/>
    <w:rsid w:val="00F97D17"/>
    <w:rsid w:val="00FA4560"/>
    <w:rsid w:val="00FB1263"/>
    <w:rsid w:val="00FB1FC0"/>
    <w:rsid w:val="00FB2E23"/>
    <w:rsid w:val="00FB30C6"/>
    <w:rsid w:val="00FB3696"/>
    <w:rsid w:val="00FC2247"/>
    <w:rsid w:val="00FC2E89"/>
    <w:rsid w:val="00FC4D83"/>
    <w:rsid w:val="00FC67C0"/>
    <w:rsid w:val="00FD07D9"/>
    <w:rsid w:val="00FD375B"/>
    <w:rsid w:val="00FD5F0D"/>
    <w:rsid w:val="00FE320D"/>
    <w:rsid w:val="00FE6385"/>
    <w:rsid w:val="00FE6902"/>
    <w:rsid w:val="00FF26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021F"/>
  <w15:docId w15:val="{BC9A0E22-F90D-4F9B-A8D1-65052823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22"/>
    <w:pPr>
      <w:widowControl w:val="0"/>
      <w:spacing w:line="360" w:lineRule="auto"/>
      <w:jc w:val="both"/>
    </w:pPr>
    <w:rPr>
      <w:rFonts w:ascii="Arial" w:hAnsi="Arial" w:cs="Arial"/>
      <w:spacing w:val="-3"/>
      <w:sz w:val="24"/>
      <w:szCs w:val="24"/>
      <w:lang w:eastAsia="en-US"/>
    </w:rPr>
  </w:style>
  <w:style w:type="paragraph" w:styleId="Heading1">
    <w:name w:val="heading 1"/>
    <w:basedOn w:val="Normal"/>
    <w:next w:val="Normal"/>
    <w:link w:val="Heading1Char"/>
    <w:uiPriority w:val="9"/>
    <w:qFormat/>
    <w:rsid w:val="005368A3"/>
    <w:pPr>
      <w:numPr>
        <w:numId w:val="1"/>
      </w:numPr>
      <w:outlineLvl w:val="0"/>
    </w:pPr>
  </w:style>
  <w:style w:type="paragraph" w:styleId="Heading2">
    <w:name w:val="heading 2"/>
    <w:basedOn w:val="Normal"/>
    <w:next w:val="Normal"/>
    <w:link w:val="Heading2Char"/>
    <w:qFormat/>
    <w:rsid w:val="00257D35"/>
    <w:pPr>
      <w:numPr>
        <w:numId w:val="2"/>
      </w:numPr>
      <w:ind w:left="720" w:firstLine="0"/>
      <w:outlineLvl w:val="1"/>
    </w:pPr>
  </w:style>
  <w:style w:type="paragraph" w:styleId="Heading3">
    <w:name w:val="heading 3"/>
    <w:basedOn w:val="Normal"/>
    <w:next w:val="Normal"/>
    <w:qFormat/>
    <w:rsid w:val="0072728C"/>
    <w:pPr>
      <w:numPr>
        <w:numId w:val="3"/>
      </w:numPr>
      <w:ind w:left="1440" w:firstLine="0"/>
      <w:outlineLvl w:val="2"/>
    </w:pPr>
  </w:style>
  <w:style w:type="paragraph" w:styleId="Heading4">
    <w:name w:val="heading 4"/>
    <w:basedOn w:val="Normal"/>
    <w:next w:val="Normal"/>
    <w:qFormat/>
    <w:rsid w:val="00942F45"/>
    <w:pPr>
      <w:numPr>
        <w:ilvl w:val="3"/>
        <w:numId w:val="1"/>
      </w:numPr>
      <w:outlineLvl w:val="3"/>
    </w:pPr>
  </w:style>
  <w:style w:type="paragraph" w:styleId="Heading5">
    <w:name w:val="heading 5"/>
    <w:basedOn w:val="Normal"/>
    <w:next w:val="Normal"/>
    <w:qFormat/>
    <w:rsid w:val="00E7645E"/>
    <w:pPr>
      <w:numPr>
        <w:ilvl w:val="4"/>
        <w:numId w:val="1"/>
      </w:numPr>
      <w:outlineLvl w:val="4"/>
    </w:pPr>
  </w:style>
  <w:style w:type="paragraph" w:styleId="Heading6">
    <w:name w:val="heading 6"/>
    <w:basedOn w:val="Normal"/>
    <w:next w:val="Normal"/>
    <w:qFormat/>
    <w:rsid w:val="00E7645E"/>
    <w:pPr>
      <w:numPr>
        <w:ilvl w:val="5"/>
        <w:numId w:val="1"/>
      </w:numPr>
      <w:outlineLvl w:val="5"/>
    </w:pPr>
    <w:rPr>
      <w:i/>
      <w:sz w:val="22"/>
    </w:rPr>
  </w:style>
  <w:style w:type="paragraph" w:styleId="Heading7">
    <w:name w:val="heading 7"/>
    <w:basedOn w:val="Normal"/>
    <w:next w:val="Normal"/>
    <w:qFormat/>
    <w:rsid w:val="00E7645E"/>
    <w:pPr>
      <w:numPr>
        <w:ilvl w:val="6"/>
        <w:numId w:val="1"/>
      </w:numPr>
      <w:outlineLvl w:val="6"/>
    </w:pPr>
  </w:style>
  <w:style w:type="paragraph" w:styleId="Heading8">
    <w:name w:val="heading 8"/>
    <w:basedOn w:val="Normal"/>
    <w:next w:val="Normal"/>
    <w:qFormat/>
    <w:rsid w:val="00E7645E"/>
    <w:pPr>
      <w:numPr>
        <w:ilvl w:val="7"/>
        <w:numId w:val="1"/>
      </w:numPr>
      <w:outlineLvl w:val="7"/>
    </w:pPr>
    <w:rPr>
      <w:i/>
    </w:rPr>
  </w:style>
  <w:style w:type="paragraph" w:styleId="Heading9">
    <w:name w:val="heading 9"/>
    <w:basedOn w:val="Normal"/>
    <w:next w:val="Normal"/>
    <w:qFormat/>
    <w:rsid w:val="00E7645E"/>
    <w:pPr>
      <w:numPr>
        <w:ilvl w:val="8"/>
        <w:numId w:val="1"/>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E7645E"/>
  </w:style>
  <w:style w:type="paragraph" w:styleId="EnvelopeReturn">
    <w:name w:val="envelope return"/>
    <w:basedOn w:val="Normal"/>
    <w:semiHidden/>
    <w:rsid w:val="00E7645E"/>
    <w:rPr>
      <w:sz w:val="16"/>
    </w:rPr>
  </w:style>
  <w:style w:type="paragraph" w:styleId="Footer">
    <w:name w:val="footer"/>
    <w:basedOn w:val="Normal"/>
    <w:semiHidden/>
    <w:rsid w:val="00E7645E"/>
    <w:pPr>
      <w:tabs>
        <w:tab w:val="center" w:pos="4320"/>
        <w:tab w:val="right" w:pos="8640"/>
      </w:tabs>
    </w:pPr>
  </w:style>
  <w:style w:type="paragraph" w:styleId="Header">
    <w:name w:val="header"/>
    <w:basedOn w:val="Normal"/>
    <w:semiHidden/>
    <w:rsid w:val="00E7645E"/>
    <w:pPr>
      <w:tabs>
        <w:tab w:val="center" w:pos="4320"/>
        <w:tab w:val="right" w:pos="8640"/>
      </w:tabs>
    </w:pPr>
  </w:style>
  <w:style w:type="paragraph" w:styleId="ListBullet">
    <w:name w:val="List Bullet"/>
    <w:basedOn w:val="Normal"/>
    <w:next w:val="Normal"/>
    <w:autoRedefine/>
    <w:semiHidden/>
    <w:rsid w:val="00E7645E"/>
    <w:pPr>
      <w:spacing w:after="360"/>
      <w:ind w:left="357" w:hanging="357"/>
    </w:pPr>
  </w:style>
  <w:style w:type="paragraph" w:styleId="ListNumber">
    <w:name w:val="List Number"/>
    <w:basedOn w:val="Normal"/>
    <w:semiHidden/>
    <w:rsid w:val="00E7645E"/>
    <w:pPr>
      <w:ind w:left="360" w:hanging="360"/>
    </w:pPr>
  </w:style>
  <w:style w:type="character" w:styleId="PageNumber">
    <w:name w:val="page number"/>
    <w:basedOn w:val="DefaultParagraphFont"/>
    <w:semiHidden/>
    <w:rsid w:val="00E7645E"/>
    <w:rPr>
      <w:rFonts w:ascii="Arial" w:hAnsi="Arial"/>
    </w:rPr>
  </w:style>
  <w:style w:type="paragraph" w:styleId="Subtitle">
    <w:name w:val="Subtitle"/>
    <w:basedOn w:val="Normal"/>
    <w:qFormat/>
    <w:rsid w:val="00E7645E"/>
    <w:pPr>
      <w:spacing w:after="60"/>
      <w:jc w:val="center"/>
    </w:pPr>
    <w:rPr>
      <w:i/>
    </w:rPr>
  </w:style>
  <w:style w:type="paragraph" w:styleId="BodyText">
    <w:name w:val="Body Text"/>
    <w:basedOn w:val="Normal"/>
    <w:link w:val="BodyTextChar"/>
    <w:rsid w:val="00853524"/>
    <w:pPr>
      <w:widowControl/>
      <w:spacing w:line="240" w:lineRule="auto"/>
      <w:jc w:val="center"/>
    </w:pPr>
    <w:rPr>
      <w:rFonts w:ascii="Times New Roman" w:hAnsi="Times New Roman" w:cs="Times New Roman"/>
      <w:spacing w:val="0"/>
    </w:rPr>
  </w:style>
  <w:style w:type="character" w:customStyle="1" w:styleId="BodyTextChar">
    <w:name w:val="Body Text Char"/>
    <w:basedOn w:val="DefaultParagraphFont"/>
    <w:link w:val="BodyText"/>
    <w:rsid w:val="00853524"/>
    <w:rPr>
      <w:sz w:val="24"/>
      <w:szCs w:val="24"/>
      <w:lang w:val="en-GB" w:eastAsia="en-US"/>
    </w:rPr>
  </w:style>
  <w:style w:type="paragraph" w:styleId="BodyTextIndent">
    <w:name w:val="Body Text Indent"/>
    <w:basedOn w:val="Normal"/>
    <w:link w:val="BodyTextIndentChar"/>
    <w:rsid w:val="00853524"/>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basedOn w:val="DefaultParagraphFont"/>
    <w:link w:val="BodyTextIndent"/>
    <w:rsid w:val="00853524"/>
    <w:rPr>
      <w:sz w:val="24"/>
      <w:szCs w:val="24"/>
      <w:lang w:val="en-GB" w:eastAsia="en-US"/>
    </w:r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Car"/>
    <w:basedOn w:val="Normal"/>
    <w:link w:val="FootnoteTextChar"/>
    <w:uiPriority w:val="99"/>
    <w:qFormat/>
    <w:rsid w:val="00853524"/>
    <w:rPr>
      <w:sz w:val="20"/>
      <w:szCs w:val="20"/>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853524"/>
    <w:rPr>
      <w:rFonts w:ascii="Arial" w:hAnsi="Arial" w:cs="Arial"/>
      <w:spacing w:val="-3"/>
      <w:lang w:val="en-GB" w:eastAsia="en-US"/>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qFormat/>
    <w:rsid w:val="00853524"/>
    <w:rPr>
      <w:vertAlign w:val="superscript"/>
    </w:rPr>
  </w:style>
  <w:style w:type="character" w:customStyle="1" w:styleId="Heading1Char">
    <w:name w:val="Heading 1 Char"/>
    <w:basedOn w:val="DefaultParagraphFont"/>
    <w:link w:val="Heading1"/>
    <w:uiPriority w:val="9"/>
    <w:rsid w:val="005368A3"/>
    <w:rPr>
      <w:rFonts w:ascii="Arial" w:hAnsi="Arial" w:cs="Arial"/>
      <w:spacing w:val="-3"/>
      <w:sz w:val="24"/>
      <w:szCs w:val="24"/>
      <w:lang w:eastAsia="en-US"/>
    </w:rPr>
  </w:style>
  <w:style w:type="character" w:customStyle="1" w:styleId="Heading2Char">
    <w:name w:val="Heading 2 Char"/>
    <w:basedOn w:val="DefaultParagraphFont"/>
    <w:link w:val="Heading2"/>
    <w:rsid w:val="00257D35"/>
    <w:rPr>
      <w:rFonts w:ascii="Arial" w:hAnsi="Arial" w:cs="Arial"/>
      <w:spacing w:val="-3"/>
      <w:sz w:val="24"/>
      <w:szCs w:val="24"/>
      <w:lang w:eastAsia="en-US"/>
    </w:rPr>
  </w:style>
  <w:style w:type="paragraph" w:styleId="BalloonText">
    <w:name w:val="Balloon Text"/>
    <w:basedOn w:val="Normal"/>
    <w:link w:val="BalloonTextChar"/>
    <w:uiPriority w:val="99"/>
    <w:semiHidden/>
    <w:unhideWhenUsed/>
    <w:rsid w:val="008E3D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D66"/>
    <w:rPr>
      <w:rFonts w:ascii="Segoe UI" w:hAnsi="Segoe UI" w:cs="Segoe UI"/>
      <w:spacing w:val="-3"/>
      <w:sz w:val="18"/>
      <w:szCs w:val="18"/>
      <w:lang w:val="en-GB" w:eastAsia="en-US"/>
    </w:rPr>
  </w:style>
  <w:style w:type="paragraph" w:styleId="ListParagraph">
    <w:name w:val="List Paragraph"/>
    <w:basedOn w:val="Normal"/>
    <w:uiPriority w:val="34"/>
    <w:qFormat/>
    <w:rsid w:val="004C574D"/>
    <w:pPr>
      <w:widowControl/>
      <w:spacing w:after="200"/>
      <w:ind w:left="720"/>
      <w:contextualSpacing/>
    </w:pPr>
    <w:rPr>
      <w:rFonts w:cs="Times New Roman"/>
      <w:spacing w:val="0"/>
      <w:szCs w:val="22"/>
      <w:lang w:val="en-US"/>
    </w:rPr>
  </w:style>
  <w:style w:type="paragraph" w:styleId="NormalWeb">
    <w:name w:val="Normal (Web)"/>
    <w:basedOn w:val="Normal"/>
    <w:uiPriority w:val="99"/>
    <w:unhideWhenUsed/>
    <w:rsid w:val="00135CE1"/>
    <w:pPr>
      <w:widowControl/>
      <w:spacing w:before="100" w:beforeAutospacing="1" w:after="100" w:afterAutospacing="1" w:line="240" w:lineRule="auto"/>
      <w:jc w:val="left"/>
    </w:pPr>
    <w:rPr>
      <w:rFonts w:ascii="Times New Roman" w:hAnsi="Times New Roman" w:cs="Times New Roman"/>
      <w:spacing w:val="0"/>
    </w:rPr>
  </w:style>
  <w:style w:type="paragraph" w:customStyle="1" w:styleId="Default">
    <w:name w:val="Default"/>
    <w:rsid w:val="00257D35"/>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257D35"/>
    <w:rPr>
      <w:color w:val="auto"/>
    </w:rPr>
  </w:style>
  <w:style w:type="paragraph" w:customStyle="1" w:styleId="CM11">
    <w:name w:val="CM11"/>
    <w:basedOn w:val="Default"/>
    <w:next w:val="Default"/>
    <w:uiPriority w:val="99"/>
    <w:rsid w:val="00257D35"/>
    <w:rPr>
      <w:color w:val="auto"/>
    </w:rPr>
  </w:style>
  <w:style w:type="paragraph" w:customStyle="1" w:styleId="CM12">
    <w:name w:val="CM12"/>
    <w:basedOn w:val="Default"/>
    <w:next w:val="Default"/>
    <w:uiPriority w:val="99"/>
    <w:rsid w:val="00257D35"/>
    <w:rPr>
      <w:color w:val="auto"/>
    </w:rPr>
  </w:style>
  <w:style w:type="paragraph" w:customStyle="1" w:styleId="CM3">
    <w:name w:val="CM3"/>
    <w:basedOn w:val="Default"/>
    <w:next w:val="Default"/>
    <w:uiPriority w:val="99"/>
    <w:rsid w:val="00257D35"/>
    <w:pPr>
      <w:spacing w:line="413" w:lineRule="atLeast"/>
    </w:pPr>
    <w:rPr>
      <w:color w:val="auto"/>
    </w:rPr>
  </w:style>
  <w:style w:type="paragraph" w:customStyle="1" w:styleId="CM13">
    <w:name w:val="CM13"/>
    <w:basedOn w:val="Default"/>
    <w:next w:val="Default"/>
    <w:uiPriority w:val="99"/>
    <w:rsid w:val="00257D35"/>
    <w:rPr>
      <w:color w:val="auto"/>
    </w:rPr>
  </w:style>
  <w:style w:type="paragraph" w:customStyle="1" w:styleId="CM5">
    <w:name w:val="CM5"/>
    <w:basedOn w:val="Default"/>
    <w:next w:val="Default"/>
    <w:uiPriority w:val="99"/>
    <w:rsid w:val="00257D35"/>
    <w:rPr>
      <w:color w:val="auto"/>
    </w:rPr>
  </w:style>
  <w:style w:type="paragraph" w:customStyle="1" w:styleId="CM6">
    <w:name w:val="CM6"/>
    <w:basedOn w:val="Default"/>
    <w:next w:val="Default"/>
    <w:uiPriority w:val="99"/>
    <w:rsid w:val="00257D35"/>
    <w:pPr>
      <w:spacing w:line="416" w:lineRule="atLeast"/>
    </w:pPr>
    <w:rPr>
      <w:color w:val="auto"/>
    </w:rPr>
  </w:style>
  <w:style w:type="paragraph" w:customStyle="1" w:styleId="CM15">
    <w:name w:val="CM15"/>
    <w:basedOn w:val="Default"/>
    <w:next w:val="Default"/>
    <w:uiPriority w:val="99"/>
    <w:rsid w:val="00257D35"/>
    <w:rPr>
      <w:color w:val="auto"/>
    </w:rPr>
  </w:style>
  <w:style w:type="paragraph" w:customStyle="1" w:styleId="CM9">
    <w:name w:val="CM9"/>
    <w:basedOn w:val="Default"/>
    <w:next w:val="Default"/>
    <w:uiPriority w:val="99"/>
    <w:rsid w:val="00257D35"/>
    <w:pPr>
      <w:spacing w:line="416" w:lineRule="atLeast"/>
    </w:pPr>
    <w:rPr>
      <w:color w:val="auto"/>
    </w:rPr>
  </w:style>
  <w:style w:type="paragraph" w:customStyle="1" w:styleId="CM14">
    <w:name w:val="CM14"/>
    <w:basedOn w:val="Default"/>
    <w:next w:val="Default"/>
    <w:uiPriority w:val="99"/>
    <w:rsid w:val="00257D35"/>
    <w:rPr>
      <w:color w:val="auto"/>
    </w:rPr>
  </w:style>
  <w:style w:type="paragraph" w:customStyle="1" w:styleId="CM10">
    <w:name w:val="CM10"/>
    <w:basedOn w:val="Default"/>
    <w:next w:val="Default"/>
    <w:uiPriority w:val="99"/>
    <w:rsid w:val="00257D35"/>
    <w:pPr>
      <w:spacing w:line="413" w:lineRule="atLeast"/>
    </w:pPr>
    <w:rPr>
      <w:color w:val="auto"/>
    </w:rPr>
  </w:style>
  <w:style w:type="paragraph" w:customStyle="1" w:styleId="CM16">
    <w:name w:val="CM16"/>
    <w:basedOn w:val="Default"/>
    <w:next w:val="Default"/>
    <w:uiPriority w:val="99"/>
    <w:rsid w:val="00257D35"/>
    <w:rPr>
      <w:color w:val="auto"/>
    </w:rPr>
  </w:style>
  <w:style w:type="character" w:styleId="CommentReference">
    <w:name w:val="annotation reference"/>
    <w:basedOn w:val="DefaultParagraphFont"/>
    <w:uiPriority w:val="99"/>
    <w:semiHidden/>
    <w:unhideWhenUsed/>
    <w:rsid w:val="002D035C"/>
    <w:rPr>
      <w:sz w:val="16"/>
      <w:szCs w:val="16"/>
    </w:rPr>
  </w:style>
  <w:style w:type="paragraph" w:styleId="CommentText">
    <w:name w:val="annotation text"/>
    <w:basedOn w:val="Normal"/>
    <w:link w:val="CommentTextChar"/>
    <w:uiPriority w:val="99"/>
    <w:semiHidden/>
    <w:unhideWhenUsed/>
    <w:rsid w:val="002D035C"/>
    <w:pPr>
      <w:spacing w:line="240" w:lineRule="auto"/>
    </w:pPr>
    <w:rPr>
      <w:sz w:val="20"/>
      <w:szCs w:val="20"/>
    </w:rPr>
  </w:style>
  <w:style w:type="character" w:customStyle="1" w:styleId="CommentTextChar">
    <w:name w:val="Comment Text Char"/>
    <w:basedOn w:val="DefaultParagraphFont"/>
    <w:link w:val="CommentText"/>
    <w:uiPriority w:val="99"/>
    <w:semiHidden/>
    <w:rsid w:val="002D035C"/>
    <w:rPr>
      <w:rFonts w:ascii="Arial" w:hAnsi="Arial" w:cs="Arial"/>
      <w:spacing w:val="-3"/>
      <w:lang w:val="en-GB" w:eastAsia="en-US"/>
    </w:rPr>
  </w:style>
  <w:style w:type="paragraph" w:styleId="CommentSubject">
    <w:name w:val="annotation subject"/>
    <w:basedOn w:val="CommentText"/>
    <w:next w:val="CommentText"/>
    <w:link w:val="CommentSubjectChar"/>
    <w:uiPriority w:val="99"/>
    <w:semiHidden/>
    <w:unhideWhenUsed/>
    <w:rsid w:val="002D035C"/>
    <w:rPr>
      <w:b/>
      <w:bCs/>
    </w:rPr>
  </w:style>
  <w:style w:type="character" w:customStyle="1" w:styleId="CommentSubjectChar">
    <w:name w:val="Comment Subject Char"/>
    <w:basedOn w:val="CommentTextChar"/>
    <w:link w:val="CommentSubject"/>
    <w:uiPriority w:val="99"/>
    <w:semiHidden/>
    <w:rsid w:val="002D035C"/>
    <w:rPr>
      <w:rFonts w:ascii="Arial" w:hAnsi="Arial" w:cs="Arial"/>
      <w:b/>
      <w:bCs/>
      <w:spacing w:val="-3"/>
      <w:lang w:val="en-GB" w:eastAsia="en-US"/>
    </w:rPr>
  </w:style>
  <w:style w:type="character" w:customStyle="1" w:styleId="footnoteanchor">
    <w:name w:val="footnoteanchor"/>
    <w:basedOn w:val="DefaultParagraphFont"/>
    <w:rsid w:val="00934A94"/>
  </w:style>
  <w:style w:type="character" w:styleId="Hyperlink">
    <w:name w:val="Hyperlink"/>
    <w:basedOn w:val="DefaultParagraphFont"/>
    <w:uiPriority w:val="99"/>
    <w:semiHidden/>
    <w:unhideWhenUsed/>
    <w:rsid w:val="00934A94"/>
    <w:rPr>
      <w:color w:val="0000FF"/>
      <w:u w:val="single"/>
    </w:rPr>
  </w:style>
  <w:style w:type="character" w:customStyle="1" w:styleId="mc">
    <w:name w:val="mc"/>
    <w:basedOn w:val="DefaultParagraphFont"/>
    <w:rsid w:val="00934A94"/>
  </w:style>
  <w:style w:type="paragraph" w:styleId="Revision">
    <w:name w:val="Revision"/>
    <w:hidden/>
    <w:uiPriority w:val="99"/>
    <w:semiHidden/>
    <w:rsid w:val="009B07B0"/>
    <w:rPr>
      <w:rFonts w:ascii="Arial" w:hAnsi="Arial" w:cs="Arial"/>
      <w:spacing w:val="-3"/>
      <w:sz w:val="24"/>
      <w:szCs w:val="24"/>
      <w:lang w:val="en-GB" w:eastAsia="en-US"/>
    </w:rPr>
  </w:style>
  <w:style w:type="paragraph" w:styleId="NoSpacing">
    <w:name w:val="No Spacing"/>
    <w:uiPriority w:val="1"/>
    <w:qFormat/>
    <w:rsid w:val="00C34B32"/>
    <w:pPr>
      <w:widowControl w:val="0"/>
      <w:jc w:val="both"/>
    </w:pPr>
    <w:rPr>
      <w:rFonts w:ascii="Arial" w:hAnsi="Arial" w:cs="Arial"/>
      <w:spacing w:val="-3"/>
      <w:sz w:val="24"/>
      <w:szCs w:val="24"/>
      <w:lang w:eastAsia="en-US"/>
    </w:rPr>
  </w:style>
  <w:style w:type="character" w:styleId="Emphasis">
    <w:name w:val="Emphasis"/>
    <w:uiPriority w:val="20"/>
    <w:qFormat/>
    <w:rsid w:val="00B91C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244189">
      <w:bodyDiv w:val="1"/>
      <w:marLeft w:val="0"/>
      <w:marRight w:val="0"/>
      <w:marTop w:val="0"/>
      <w:marBottom w:val="0"/>
      <w:divBdr>
        <w:top w:val="none" w:sz="0" w:space="0" w:color="auto"/>
        <w:left w:val="none" w:sz="0" w:space="0" w:color="auto"/>
        <w:bottom w:val="none" w:sz="0" w:space="0" w:color="auto"/>
        <w:right w:val="none" w:sz="0" w:space="0" w:color="auto"/>
      </w:divBdr>
    </w:div>
    <w:div w:id="2096782120">
      <w:bodyDiv w:val="1"/>
      <w:marLeft w:val="0"/>
      <w:marRight w:val="0"/>
      <w:marTop w:val="0"/>
      <w:marBottom w:val="0"/>
      <w:divBdr>
        <w:top w:val="none" w:sz="0" w:space="0" w:color="auto"/>
        <w:left w:val="none" w:sz="0" w:space="0" w:color="auto"/>
        <w:bottom w:val="none" w:sz="0" w:space="0" w:color="auto"/>
        <w:right w:val="none" w:sz="0" w:space="0" w:color="auto"/>
      </w:divBdr>
    </w:div>
    <w:div w:id="2100439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a\Documents\Custom%20Office%20Templates\Pleadings\Affidav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2023-08-07T18:30:00+00:00</Judgment_x0020_Date>
    <Year xmlns="aec0a7e9-5f5c-4ba9-87b2-85cfc8a38b86">2023</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A62BFC-63D1-4BAC-B634-C122E3DEE4DA}">
  <ds:schemaRefs>
    <ds:schemaRef ds:uri="http://schemas.microsoft.com/office/2006/metadata/properties"/>
    <ds:schemaRef ds:uri="http://schemas.microsoft.com/office/infopath/2007/PartnerControls"/>
    <ds:schemaRef ds:uri="17a0f4bd-1162-49ac-b85f-dfe96a90bc01"/>
    <ds:schemaRef ds:uri="aec0a7e9-5f5c-4ba9-87b2-85cfc8a38b86"/>
  </ds:schemaRefs>
</ds:datastoreItem>
</file>

<file path=customXml/itemProps2.xml><?xml version="1.0" encoding="utf-8"?>
<ds:datastoreItem xmlns:ds="http://schemas.openxmlformats.org/officeDocument/2006/customXml" ds:itemID="{5A14A305-00C7-427F-89B3-01BFCDD227D9}">
  <ds:schemaRefs>
    <ds:schemaRef ds:uri="http://schemas.microsoft.com/sharepoint/v3/contenttype/forms"/>
  </ds:schemaRefs>
</ds:datastoreItem>
</file>

<file path=customXml/itemProps3.xml><?xml version="1.0" encoding="utf-8"?>
<ds:datastoreItem xmlns:ds="http://schemas.openxmlformats.org/officeDocument/2006/customXml" ds:itemID="{2FFD5186-F9DC-4B87-9099-E432E3E5A54B}">
  <ds:schemaRefs>
    <ds:schemaRef ds:uri="http://schemas.openxmlformats.org/officeDocument/2006/bibliography"/>
  </ds:schemaRefs>
</ds:datastoreItem>
</file>

<file path=customXml/itemProps4.xml><?xml version="1.0" encoding="utf-8"?>
<ds:datastoreItem xmlns:ds="http://schemas.openxmlformats.org/officeDocument/2006/customXml" ds:itemID="{ABD9B6E7-45FF-4B5B-B301-03DB6FE4E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ec0a7e9-5f5c-4ba9-87b2-85cfc8a38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Affidavit</Template>
  <TotalTime>3050</TotalTime>
  <Pages>10</Pages>
  <Words>1932</Words>
  <Characters>10764</Characters>
  <Application>Microsoft Office Word</Application>
  <DocSecurity>0</DocSecurity>
  <Lines>1345</Lines>
  <Paragraphs>746</Paragraphs>
  <ScaleCrop>false</ScaleCrop>
  <HeadingPairs>
    <vt:vector size="2" baseType="variant">
      <vt:variant>
        <vt:lpstr>Title</vt:lpstr>
      </vt:variant>
      <vt:variant>
        <vt:i4>1</vt:i4>
      </vt:variant>
    </vt:vector>
  </HeadingPairs>
  <TitlesOfParts>
    <vt:vector size="1" baseType="lpstr">
      <vt:lpstr>IN THE HIGH COURT OF NAMIBIA</vt:lpstr>
    </vt:vector>
  </TitlesOfParts>
  <Company>Gardens Chambers</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Serve Investments 84 (Pty) Ltd v Van der Merwe (HC-MD-LAB-MOT-REV-202300014) [2023] NALCMD 32 (8 August 2023)</dc:title>
  <dc:subject/>
  <dc:creator>Monica</dc:creator>
  <cp:keywords/>
  <dc:description/>
  <cp:lastModifiedBy>Mariana Anguelov</cp:lastModifiedBy>
  <cp:revision>189</cp:revision>
  <cp:lastPrinted>2023-08-04T08:21:00Z</cp:lastPrinted>
  <dcterms:created xsi:type="dcterms:W3CDTF">2023-01-22T13:10:00Z</dcterms:created>
  <dcterms:modified xsi:type="dcterms:W3CDTF">2023-08-14T17:35:00Z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b6910caf408c31acfb96933886e011f04a99956a06965b9bd9452ad5b6b4abbc</vt:lpwstr>
  </property>
  <property fmtid="{D5CDD505-2E9C-101B-9397-08002B2CF9AE}" pid="3" name="ContentTypeId">
    <vt:lpwstr>0x0101008CCF6D66F229EE4D8B714E6AF2A2557D</vt:lpwstr>
  </property>
</Properties>
</file>