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A91522">
      <w:pPr>
        <w:spacing w:after="160" w:line="254" w:lineRule="auto"/>
        <w:jc w:val="center"/>
        <w:rPr>
          <w:rFonts w:ascii="Arial" w:hAnsi="Arial" w:cs="Arial"/>
          <w:b/>
          <w:sz w:val="24"/>
          <w:szCs w:val="24"/>
          <w:lang w:val="en-US"/>
        </w:rPr>
      </w:pPr>
      <w:r w:rsidRPr="009C6FAA">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A91522">
      <w:pPr>
        <w:spacing w:after="160" w:line="254" w:lineRule="auto"/>
        <w:jc w:val="center"/>
        <w:rPr>
          <w:rFonts w:ascii="Arial" w:hAnsi="Arial" w:cs="Arial"/>
          <w:b/>
          <w:sz w:val="24"/>
          <w:szCs w:val="24"/>
          <w:lang w:val="en-US"/>
        </w:rPr>
      </w:pPr>
    </w:p>
    <w:p w:rsidR="00A91522" w:rsidRPr="009C6FAA" w:rsidRDefault="00AB4A8B" w:rsidP="00A91522">
      <w:pPr>
        <w:spacing w:after="160" w:line="254" w:lineRule="auto"/>
        <w:jc w:val="center"/>
        <w:rPr>
          <w:rFonts w:ascii="Arial" w:hAnsi="Arial" w:cs="Arial"/>
          <w:b/>
          <w:sz w:val="24"/>
          <w:szCs w:val="24"/>
          <w:lang w:val="en-US"/>
        </w:rPr>
      </w:pPr>
      <w:r>
        <w:rPr>
          <w:rFonts w:ascii="Arial" w:hAnsi="Arial" w:cs="Arial"/>
          <w:b/>
          <w:sz w:val="24"/>
          <w:szCs w:val="24"/>
          <w:lang w:val="en-US"/>
        </w:rPr>
        <w:t>IN THE LABOUR</w:t>
      </w:r>
      <w:r w:rsidR="00A91522" w:rsidRPr="009C6FAA">
        <w:rPr>
          <w:rFonts w:ascii="Arial" w:hAnsi="Arial" w:cs="Arial"/>
          <w:b/>
          <w:sz w:val="24"/>
          <w:szCs w:val="24"/>
          <w:lang w:val="en-US"/>
        </w:rPr>
        <w:t xml:space="preserve"> COURT OF NAMIBIA, MAIN DIVISION, WINDHOEK</w:t>
      </w:r>
    </w:p>
    <w:p w:rsidR="00870C22" w:rsidRDefault="00870C22" w:rsidP="00AC5B2B">
      <w:pPr>
        <w:spacing w:after="0" w:line="360" w:lineRule="auto"/>
        <w:jc w:val="center"/>
        <w:rPr>
          <w:rFonts w:ascii="Arial" w:hAnsi="Arial" w:cs="Arial"/>
          <w:b/>
          <w:sz w:val="24"/>
          <w:szCs w:val="24"/>
        </w:rPr>
      </w:pPr>
      <w:r>
        <w:rPr>
          <w:rFonts w:ascii="Arial" w:hAnsi="Arial" w:cs="Arial"/>
          <w:b/>
          <w:sz w:val="24"/>
          <w:szCs w:val="24"/>
        </w:rPr>
        <w:t>RULING</w:t>
      </w:r>
    </w:p>
    <w:p w:rsidR="00870C22" w:rsidRDefault="00870C22" w:rsidP="00870C22">
      <w:pPr>
        <w:spacing w:after="0" w:line="360" w:lineRule="auto"/>
        <w:jc w:val="center"/>
        <w:rPr>
          <w:rFonts w:ascii="Arial" w:hAnsi="Arial" w:cs="Arial"/>
          <w:b/>
          <w:sz w:val="24"/>
          <w:szCs w:val="24"/>
        </w:rPr>
      </w:pPr>
      <w:r>
        <w:rPr>
          <w:rFonts w:ascii="Arial" w:hAnsi="Arial" w:cs="Arial"/>
          <w:b/>
          <w:sz w:val="24"/>
          <w:szCs w:val="24"/>
        </w:rPr>
        <w:t>PRACTICE DIRECTION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A91522">
            <w:pPr>
              <w:spacing w:after="0" w:line="360" w:lineRule="auto"/>
              <w:jc w:val="both"/>
              <w:rPr>
                <w:rFonts w:ascii="Arial" w:hAnsi="Arial" w:cs="Arial"/>
                <w:b/>
                <w:sz w:val="24"/>
                <w:szCs w:val="24"/>
              </w:rPr>
            </w:pPr>
          </w:p>
          <w:p w:rsidR="008F156A" w:rsidRPr="00870C22" w:rsidRDefault="00870C22" w:rsidP="008F156A">
            <w:pPr>
              <w:spacing w:after="160" w:line="259" w:lineRule="auto"/>
              <w:rPr>
                <w:rFonts w:ascii="Arial" w:hAnsi="Arial" w:cs="Arial"/>
                <w:sz w:val="24"/>
                <w:szCs w:val="24"/>
                <w:shd w:val="clear" w:color="auto" w:fill="FFFFFF"/>
              </w:rPr>
            </w:pPr>
            <w:r w:rsidRPr="00870C22">
              <w:rPr>
                <w:rFonts w:ascii="Arial" w:hAnsi="Arial" w:cs="Arial"/>
                <w:sz w:val="24"/>
                <w:szCs w:val="24"/>
              </w:rPr>
              <w:t>INTERNATIONAL TRAINING COLLEGE - LINGUA</w:t>
            </w:r>
            <w:r w:rsidRPr="00870C22">
              <w:rPr>
                <w:rFonts w:ascii="Arial" w:hAnsi="Arial" w:cs="Arial"/>
                <w:sz w:val="24"/>
                <w:szCs w:val="24"/>
                <w:shd w:val="clear" w:color="auto" w:fill="FFFFFF"/>
              </w:rPr>
              <w:t xml:space="preserve"> // </w:t>
            </w:r>
            <w:r w:rsidRPr="00870C22">
              <w:rPr>
                <w:rFonts w:ascii="Arial" w:hAnsi="Arial" w:cs="Arial"/>
                <w:sz w:val="24"/>
                <w:szCs w:val="24"/>
              </w:rPr>
              <w:t>KNOWLEDGE RUSERE &amp;  OTHERS</w:t>
            </w:r>
            <w:r w:rsidRPr="00870C22">
              <w:rPr>
                <w:rFonts w:ascii="Arial" w:hAnsi="Arial" w:cs="Arial"/>
                <w:sz w:val="24"/>
                <w:szCs w:val="24"/>
                <w:shd w:val="clear" w:color="auto" w:fill="FFFFFF"/>
              </w:rPr>
              <w:t xml:space="preserve"> </w:t>
            </w:r>
          </w:p>
          <w:p w:rsidR="00F96C8E" w:rsidRPr="00CD7E34" w:rsidRDefault="00F96C8E" w:rsidP="00870C22">
            <w:pPr>
              <w:spacing w:after="160" w:line="259" w:lineRule="auto"/>
              <w:rPr>
                <w:rFonts w:ascii="Arial" w:hAnsi="Arial" w:cs="Arial"/>
                <w:sz w:val="16"/>
                <w:szCs w:val="16"/>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8F156A" w:rsidP="0036498D">
            <w:pPr>
              <w:spacing w:after="0" w:line="360" w:lineRule="auto"/>
              <w:ind w:left="34" w:firstLine="23"/>
              <w:jc w:val="both"/>
              <w:rPr>
                <w:rFonts w:ascii="Arial" w:hAnsi="Arial" w:cs="Arial"/>
                <w:sz w:val="24"/>
                <w:szCs w:val="24"/>
              </w:rPr>
            </w:pPr>
            <w:r w:rsidRPr="008F156A">
              <w:rPr>
                <w:rFonts w:ascii="Arial" w:hAnsi="Arial" w:cs="Arial"/>
                <w:sz w:val="24"/>
                <w:szCs w:val="24"/>
              </w:rPr>
              <w:t>HC-MD-LAB-MOT-GEN-2023/00027</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8F156A" w:rsidP="008F156A">
            <w:pPr>
              <w:spacing w:after="0" w:line="360" w:lineRule="auto"/>
              <w:jc w:val="both"/>
              <w:rPr>
                <w:rFonts w:ascii="Arial" w:hAnsi="Arial" w:cs="Arial"/>
                <w:b/>
                <w:sz w:val="24"/>
                <w:szCs w:val="24"/>
              </w:rPr>
            </w:pPr>
            <w:r>
              <w:rPr>
                <w:rFonts w:ascii="Arial" w:hAnsi="Arial" w:cs="Arial"/>
                <w:sz w:val="24"/>
                <w:szCs w:val="24"/>
              </w:rPr>
              <w:t>24 July</w:t>
            </w:r>
            <w:r w:rsidR="00AC2047" w:rsidRPr="00AC2047">
              <w:rPr>
                <w:rFonts w:ascii="Arial" w:hAnsi="Arial" w:cs="Arial"/>
                <w:sz w:val="24"/>
                <w:szCs w:val="24"/>
              </w:rPr>
              <w:t xml:space="preserve"> 2023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870C22" w:rsidP="009870D2">
            <w:pPr>
              <w:spacing w:after="0" w:line="360" w:lineRule="auto"/>
              <w:jc w:val="both"/>
              <w:rPr>
                <w:rFonts w:ascii="Arial" w:hAnsi="Arial" w:cs="Arial"/>
                <w:sz w:val="12"/>
                <w:szCs w:val="12"/>
              </w:rPr>
            </w:pPr>
            <w:r w:rsidRPr="00CA7995">
              <w:rPr>
                <w:rFonts w:ascii="Arial" w:hAnsi="Arial" w:cs="Arial"/>
                <w:sz w:val="24"/>
                <w:szCs w:val="24"/>
              </w:rPr>
              <w:t xml:space="preserve">HONOURABLE MR JUSTICE </w:t>
            </w:r>
            <w:r>
              <w:rPr>
                <w:rFonts w:ascii="Arial" w:hAnsi="Arial" w:cs="Arial"/>
                <w:sz w:val="24"/>
                <w:szCs w:val="24"/>
              </w:rPr>
              <w:t>PARKER</w:t>
            </w:r>
            <w:r w:rsidRPr="00CA7995">
              <w:rPr>
                <w:rFonts w:ascii="Arial" w:hAnsi="Arial" w:cs="Arial"/>
                <w:sz w:val="24"/>
                <w:szCs w:val="24"/>
              </w:rPr>
              <w:t xml:space="preserve">, </w:t>
            </w:r>
            <w:r>
              <w:rPr>
                <w:rFonts w:ascii="Arial" w:hAnsi="Arial" w:cs="Arial"/>
                <w:sz w:val="24"/>
                <w:szCs w:val="24"/>
              </w:rPr>
              <w:t>ACTING</w:t>
            </w: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8F156A" w:rsidP="008F156A">
            <w:pPr>
              <w:spacing w:after="0" w:line="360" w:lineRule="auto"/>
              <w:jc w:val="both"/>
              <w:rPr>
                <w:rFonts w:ascii="Arial" w:hAnsi="Arial" w:cs="Arial"/>
                <w:sz w:val="24"/>
                <w:szCs w:val="24"/>
              </w:rPr>
            </w:pPr>
            <w:r>
              <w:rPr>
                <w:rFonts w:ascii="Arial" w:hAnsi="Arial" w:cs="Arial"/>
                <w:sz w:val="24"/>
                <w:szCs w:val="24"/>
              </w:rPr>
              <w:t>4 September</w:t>
            </w:r>
            <w:r w:rsidR="00AC2047" w:rsidRPr="00AC2047">
              <w:rPr>
                <w:rFonts w:ascii="Arial" w:hAnsi="Arial" w:cs="Arial"/>
                <w:sz w:val="24"/>
                <w:szCs w:val="24"/>
              </w:rPr>
              <w:t xml:space="preserve"> 2023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5E3514" w:rsidRPr="00A81F7C" w:rsidRDefault="00A91522" w:rsidP="00EF79DF">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r w:rsidR="008F156A" w:rsidRPr="008F156A">
              <w:rPr>
                <w:rFonts w:ascii="Arial" w:hAnsi="Arial" w:cs="Arial"/>
                <w:i/>
                <w:sz w:val="24"/>
                <w:szCs w:val="24"/>
              </w:rPr>
              <w:t xml:space="preserve">International Training College–Lingua </w:t>
            </w:r>
            <w:r w:rsidR="004347DC" w:rsidRPr="0048371F">
              <w:rPr>
                <w:rFonts w:ascii="Arial" w:hAnsi="Arial" w:cs="Arial"/>
                <w:i/>
                <w:sz w:val="24"/>
                <w:szCs w:val="24"/>
              </w:rPr>
              <w:t>v</w:t>
            </w:r>
            <w:r w:rsidR="004347DC" w:rsidRPr="004347DC">
              <w:rPr>
                <w:rFonts w:ascii="Arial" w:hAnsi="Arial" w:cs="Arial"/>
                <w:i/>
                <w:sz w:val="24"/>
                <w:szCs w:val="24"/>
              </w:rPr>
              <w:t xml:space="preserve"> </w:t>
            </w:r>
            <w:proofErr w:type="spellStart"/>
            <w:r w:rsidR="008F156A" w:rsidRPr="008F156A">
              <w:rPr>
                <w:rFonts w:ascii="Arial" w:hAnsi="Arial" w:cs="Arial"/>
                <w:i/>
                <w:sz w:val="24"/>
                <w:szCs w:val="24"/>
              </w:rPr>
              <w:t>Rusere</w:t>
            </w:r>
            <w:proofErr w:type="spellEnd"/>
            <w:r w:rsidR="008F156A" w:rsidRPr="008F156A">
              <w:rPr>
                <w:rFonts w:ascii="Arial" w:hAnsi="Arial" w:cs="Arial"/>
                <w:i/>
                <w:sz w:val="24"/>
                <w:szCs w:val="24"/>
              </w:rPr>
              <w:t xml:space="preserve"> </w:t>
            </w:r>
            <w:r w:rsidRPr="0036498D">
              <w:rPr>
                <w:rFonts w:ascii="Arial" w:hAnsi="Arial" w:cs="Arial"/>
                <w:sz w:val="24"/>
                <w:szCs w:val="24"/>
              </w:rPr>
              <w:t>(</w:t>
            </w:r>
            <w:r w:rsidR="008F156A" w:rsidRPr="008F156A">
              <w:rPr>
                <w:rFonts w:ascii="Arial" w:hAnsi="Arial" w:cs="Arial"/>
                <w:sz w:val="24"/>
                <w:szCs w:val="24"/>
              </w:rPr>
              <w:t>HC-MD-LAB-MOT-GEN-2023/00027</w:t>
            </w:r>
            <w:r w:rsidRPr="00A81F7C">
              <w:rPr>
                <w:rFonts w:ascii="Arial" w:hAnsi="Arial" w:cs="Arial"/>
                <w:sz w:val="24"/>
                <w:szCs w:val="24"/>
              </w:rPr>
              <w:t>) [202</w:t>
            </w:r>
            <w:r w:rsidR="00BE0DBA">
              <w:rPr>
                <w:rFonts w:ascii="Arial" w:hAnsi="Arial" w:cs="Arial"/>
                <w:sz w:val="24"/>
                <w:szCs w:val="24"/>
              </w:rPr>
              <w:t>3</w:t>
            </w:r>
            <w:r w:rsidR="00AB4A8B">
              <w:rPr>
                <w:rFonts w:ascii="Arial" w:hAnsi="Arial" w:cs="Arial"/>
                <w:sz w:val="24"/>
                <w:szCs w:val="24"/>
              </w:rPr>
              <w:t>] NA</w:t>
            </w:r>
            <w:r w:rsidR="008F156A">
              <w:rPr>
                <w:rFonts w:ascii="Arial" w:hAnsi="Arial" w:cs="Arial"/>
                <w:sz w:val="24"/>
                <w:szCs w:val="24"/>
              </w:rPr>
              <w:t>L</w:t>
            </w:r>
            <w:r w:rsidRPr="00A81F7C">
              <w:rPr>
                <w:rFonts w:ascii="Arial" w:hAnsi="Arial" w:cs="Arial"/>
                <w:sz w:val="24"/>
                <w:szCs w:val="24"/>
              </w:rPr>
              <w:t>C</w:t>
            </w:r>
            <w:r w:rsidR="00AB4A8B">
              <w:rPr>
                <w:rFonts w:ascii="Arial" w:hAnsi="Arial" w:cs="Arial"/>
                <w:sz w:val="24"/>
                <w:szCs w:val="24"/>
              </w:rPr>
              <w:t>M</w:t>
            </w:r>
            <w:r w:rsidR="009A00F9" w:rsidRPr="00A81F7C">
              <w:rPr>
                <w:rFonts w:ascii="Arial" w:hAnsi="Arial" w:cs="Arial"/>
                <w:sz w:val="24"/>
                <w:szCs w:val="24"/>
              </w:rPr>
              <w:t xml:space="preserve">D </w:t>
            </w:r>
            <w:r w:rsidR="00C51B09">
              <w:rPr>
                <w:rFonts w:ascii="Arial" w:hAnsi="Arial" w:cs="Arial"/>
                <w:sz w:val="24"/>
                <w:szCs w:val="24"/>
              </w:rPr>
              <w:t>42</w:t>
            </w:r>
            <w:r w:rsidR="000D0F54">
              <w:rPr>
                <w:rFonts w:ascii="Arial" w:hAnsi="Arial" w:cs="Arial"/>
                <w:sz w:val="24"/>
                <w:szCs w:val="24"/>
              </w:rPr>
              <w:t xml:space="preserve"> </w:t>
            </w:r>
            <w:r w:rsidR="00E21A68" w:rsidRPr="00A81F7C">
              <w:rPr>
                <w:rFonts w:ascii="Arial" w:hAnsi="Arial" w:cs="Arial"/>
                <w:sz w:val="24"/>
                <w:szCs w:val="24"/>
              </w:rPr>
              <w:t>(</w:t>
            </w:r>
            <w:r w:rsidR="008F156A">
              <w:rPr>
                <w:rFonts w:ascii="Arial" w:hAnsi="Arial" w:cs="Arial"/>
                <w:sz w:val="24"/>
                <w:szCs w:val="24"/>
              </w:rPr>
              <w:t xml:space="preserve">4 September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870C22" w:rsidRDefault="00870C22" w:rsidP="005217F2">
            <w:pPr>
              <w:spacing w:after="160" w:line="360" w:lineRule="auto"/>
              <w:ind w:left="885" w:hanging="743"/>
              <w:jc w:val="both"/>
              <w:rPr>
                <w:rFonts w:ascii="Arial" w:hAnsi="Arial" w:cs="Arial"/>
                <w:sz w:val="24"/>
                <w:szCs w:val="24"/>
              </w:rPr>
            </w:pPr>
          </w:p>
          <w:p w:rsidR="005217F2" w:rsidRPr="005217F2" w:rsidRDefault="005217F2" w:rsidP="005217F2">
            <w:pPr>
              <w:spacing w:after="160" w:line="360" w:lineRule="auto"/>
              <w:ind w:left="885" w:hanging="743"/>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Pr="005217F2">
              <w:rPr>
                <w:rFonts w:ascii="Arial" w:hAnsi="Arial" w:cs="Arial"/>
                <w:sz w:val="24"/>
                <w:szCs w:val="24"/>
              </w:rPr>
              <w:t xml:space="preserve">The </w:t>
            </w:r>
            <w:r w:rsidR="00CD7E34">
              <w:rPr>
                <w:rFonts w:ascii="Arial" w:hAnsi="Arial" w:cs="Arial"/>
                <w:sz w:val="24"/>
                <w:szCs w:val="24"/>
              </w:rPr>
              <w:t>application is dismissed.</w:t>
            </w:r>
          </w:p>
          <w:p w:rsidR="005217F2" w:rsidRPr="005217F2" w:rsidRDefault="005217F2" w:rsidP="005217F2">
            <w:pPr>
              <w:spacing w:after="160" w:line="360" w:lineRule="auto"/>
              <w:ind w:left="885" w:hanging="743"/>
              <w:jc w:val="both"/>
              <w:rPr>
                <w:rFonts w:ascii="Arial" w:hAnsi="Arial" w:cs="Arial"/>
                <w:sz w:val="24"/>
                <w:szCs w:val="24"/>
              </w:rPr>
            </w:pPr>
            <w:r w:rsidRPr="005217F2">
              <w:rPr>
                <w:rFonts w:ascii="Arial" w:hAnsi="Arial" w:cs="Arial"/>
                <w:sz w:val="24"/>
                <w:szCs w:val="24"/>
              </w:rPr>
              <w:t>2</w:t>
            </w:r>
            <w:r w:rsidR="00CD7E34">
              <w:rPr>
                <w:rFonts w:ascii="Arial" w:hAnsi="Arial" w:cs="Arial"/>
                <w:sz w:val="24"/>
                <w:szCs w:val="24"/>
              </w:rPr>
              <w:t>.</w:t>
            </w:r>
            <w:r w:rsidR="00CD7E34">
              <w:rPr>
                <w:rFonts w:ascii="Arial" w:hAnsi="Arial" w:cs="Arial"/>
                <w:sz w:val="24"/>
                <w:szCs w:val="24"/>
              </w:rPr>
              <w:tab/>
              <w:t xml:space="preserve">There is </w:t>
            </w:r>
            <w:r w:rsidRPr="005217F2">
              <w:rPr>
                <w:rFonts w:ascii="Arial" w:hAnsi="Arial" w:cs="Arial"/>
                <w:sz w:val="24"/>
                <w:szCs w:val="24"/>
              </w:rPr>
              <w:t>no order as to costs.</w:t>
            </w:r>
          </w:p>
          <w:p w:rsidR="00B131EA" w:rsidRPr="00A91522" w:rsidRDefault="005217F2" w:rsidP="00CD7E34">
            <w:pPr>
              <w:spacing w:after="160" w:line="360" w:lineRule="auto"/>
              <w:ind w:left="885" w:hanging="743"/>
              <w:jc w:val="both"/>
              <w:rPr>
                <w:rFonts w:ascii="Arial" w:hAnsi="Arial" w:cs="Arial"/>
                <w:b/>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Pr="005217F2">
              <w:rPr>
                <w:rFonts w:ascii="Arial" w:hAnsi="Arial" w:cs="Arial"/>
                <w:sz w:val="24"/>
                <w:szCs w:val="24"/>
              </w:rPr>
              <w:t xml:space="preserve">The matter </w:t>
            </w:r>
            <w:r w:rsidR="00CD7E34">
              <w:rPr>
                <w:rFonts w:ascii="Arial" w:hAnsi="Arial" w:cs="Arial"/>
                <w:sz w:val="24"/>
                <w:szCs w:val="24"/>
              </w:rPr>
              <w:t xml:space="preserve">is </w:t>
            </w:r>
            <w:proofErr w:type="spellStart"/>
            <w:r w:rsidR="00CD7E34">
              <w:rPr>
                <w:rFonts w:ascii="Arial" w:hAnsi="Arial" w:cs="Arial"/>
                <w:sz w:val="24"/>
                <w:szCs w:val="24"/>
              </w:rPr>
              <w:t>finalised</w:t>
            </w:r>
            <w:proofErr w:type="spellEnd"/>
            <w:r w:rsidR="00CD7E34">
              <w:rPr>
                <w:rFonts w:ascii="Arial" w:hAnsi="Arial" w:cs="Arial"/>
                <w:sz w:val="24"/>
                <w:szCs w:val="24"/>
              </w:rPr>
              <w:t xml:space="preserve"> and removed from the roll.</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870C22">
            <w:pPr>
              <w:spacing w:after="0" w:line="360" w:lineRule="auto"/>
              <w:jc w:val="both"/>
              <w:rPr>
                <w:rFonts w:ascii="Arial" w:hAnsi="Arial" w:cs="Arial"/>
                <w:sz w:val="24"/>
                <w:szCs w:val="24"/>
              </w:rPr>
            </w:pPr>
          </w:p>
          <w:p w:rsidR="001E32E7" w:rsidRDefault="00C51B09" w:rsidP="00870C22">
            <w:pPr>
              <w:spacing w:after="0" w:line="360" w:lineRule="auto"/>
              <w:jc w:val="both"/>
              <w:rPr>
                <w:rFonts w:ascii="Arial" w:hAnsi="Arial" w:cs="Arial"/>
                <w:sz w:val="24"/>
                <w:szCs w:val="24"/>
              </w:rPr>
            </w:pPr>
            <w:r>
              <w:rPr>
                <w:rFonts w:ascii="Arial" w:hAnsi="Arial" w:cs="Arial"/>
                <w:sz w:val="24"/>
                <w:szCs w:val="24"/>
              </w:rPr>
              <w:t>PARKER</w:t>
            </w:r>
            <w:r w:rsidR="0010189B">
              <w:rPr>
                <w:rFonts w:ascii="Arial" w:hAnsi="Arial" w:cs="Arial"/>
                <w:sz w:val="24"/>
                <w:szCs w:val="24"/>
              </w:rPr>
              <w:t xml:space="preserve"> A</w:t>
            </w:r>
            <w:r w:rsidR="00AB7AEF">
              <w:rPr>
                <w:rFonts w:ascii="Arial" w:hAnsi="Arial" w:cs="Arial"/>
                <w:sz w:val="24"/>
                <w:szCs w:val="24"/>
              </w:rPr>
              <w:t>J</w:t>
            </w:r>
          </w:p>
          <w:p w:rsidR="00870C22" w:rsidRDefault="00870C22" w:rsidP="00870C22">
            <w:pPr>
              <w:spacing w:after="0" w:line="360" w:lineRule="auto"/>
              <w:jc w:val="both"/>
              <w:rPr>
                <w:rFonts w:ascii="Arial" w:hAnsi="Arial" w:cs="Arial"/>
                <w:sz w:val="24"/>
                <w:szCs w:val="24"/>
              </w:rPr>
            </w:pPr>
          </w:p>
          <w:p w:rsidR="004855FD" w:rsidRPr="004855FD" w:rsidRDefault="004855FD" w:rsidP="00870C22">
            <w:pPr>
              <w:spacing w:after="0" w:line="360" w:lineRule="auto"/>
              <w:jc w:val="both"/>
              <w:rPr>
                <w:rFonts w:ascii="Arial" w:hAnsi="Arial" w:cs="Arial"/>
                <w:sz w:val="24"/>
                <w:szCs w:val="24"/>
                <w:u w:val="single"/>
              </w:rPr>
            </w:pPr>
            <w:r>
              <w:rPr>
                <w:rFonts w:ascii="Arial" w:hAnsi="Arial" w:cs="Arial"/>
                <w:sz w:val="24"/>
                <w:szCs w:val="24"/>
                <w:u w:val="single"/>
              </w:rPr>
              <w:t>Introduction</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10189B">
              <w:rPr>
                <w:rFonts w:ascii="Arial" w:hAnsi="Arial" w:cs="Arial"/>
                <w:sz w:val="24"/>
                <w:szCs w:val="24"/>
              </w:rPr>
              <w:t xml:space="preserve">The applicant seeks an order in terms of the notice of motion. </w:t>
            </w:r>
            <w:proofErr w:type="spellStart"/>
            <w:r w:rsidR="0010189B">
              <w:rPr>
                <w:rFonts w:ascii="Arial" w:hAnsi="Arial" w:cs="Arial"/>
                <w:sz w:val="24"/>
                <w:szCs w:val="24"/>
              </w:rPr>
              <w:t>Ms</w:t>
            </w:r>
            <w:proofErr w:type="spellEnd"/>
            <w:r w:rsidR="0010189B">
              <w:rPr>
                <w:rFonts w:ascii="Arial" w:hAnsi="Arial" w:cs="Arial"/>
                <w:sz w:val="24"/>
                <w:szCs w:val="24"/>
              </w:rPr>
              <w:t xml:space="preserve"> </w:t>
            </w:r>
            <w:proofErr w:type="spellStart"/>
            <w:r w:rsidR="0010189B">
              <w:rPr>
                <w:rFonts w:ascii="Arial" w:hAnsi="Arial" w:cs="Arial"/>
                <w:sz w:val="24"/>
                <w:szCs w:val="24"/>
              </w:rPr>
              <w:t>Shipindo</w:t>
            </w:r>
            <w:proofErr w:type="spellEnd"/>
            <w:r w:rsidR="0010189B">
              <w:rPr>
                <w:rFonts w:ascii="Arial" w:hAnsi="Arial" w:cs="Arial"/>
                <w:sz w:val="24"/>
                <w:szCs w:val="24"/>
              </w:rPr>
              <w:t xml:space="preserve"> represents the applicant, and </w:t>
            </w:r>
            <w:proofErr w:type="spellStart"/>
            <w:r w:rsidR="0010189B">
              <w:rPr>
                <w:rFonts w:ascii="Arial" w:hAnsi="Arial" w:cs="Arial"/>
                <w:sz w:val="24"/>
                <w:szCs w:val="24"/>
              </w:rPr>
              <w:t>Ms</w:t>
            </w:r>
            <w:proofErr w:type="spellEnd"/>
            <w:r w:rsidR="0010189B">
              <w:rPr>
                <w:rFonts w:ascii="Arial" w:hAnsi="Arial" w:cs="Arial"/>
                <w:sz w:val="24"/>
                <w:szCs w:val="24"/>
              </w:rPr>
              <w:t xml:space="preserve"> </w:t>
            </w:r>
            <w:proofErr w:type="spellStart"/>
            <w:r w:rsidR="0010189B">
              <w:rPr>
                <w:rFonts w:ascii="Arial" w:hAnsi="Arial" w:cs="Arial"/>
                <w:sz w:val="24"/>
                <w:szCs w:val="24"/>
              </w:rPr>
              <w:t>Amupolo</w:t>
            </w:r>
            <w:proofErr w:type="spellEnd"/>
            <w:r w:rsidR="0010189B">
              <w:rPr>
                <w:rFonts w:ascii="Arial" w:hAnsi="Arial" w:cs="Arial"/>
                <w:sz w:val="24"/>
                <w:szCs w:val="24"/>
              </w:rPr>
              <w:t xml:space="preserve"> the first respondent. The determination of the application tur</w:t>
            </w:r>
            <w:r w:rsidR="009C30B9">
              <w:rPr>
                <w:rFonts w:ascii="Arial" w:hAnsi="Arial" w:cs="Arial"/>
                <w:sz w:val="24"/>
                <w:szCs w:val="24"/>
              </w:rPr>
              <w:t>n</w:t>
            </w:r>
            <w:r w:rsidR="0010189B">
              <w:rPr>
                <w:rFonts w:ascii="Arial" w:hAnsi="Arial" w:cs="Arial"/>
                <w:sz w:val="24"/>
                <w:szCs w:val="24"/>
              </w:rPr>
              <w:t xml:space="preserve">s on a </w:t>
            </w:r>
            <w:r w:rsidR="0010189B">
              <w:rPr>
                <w:rFonts w:ascii="Arial" w:hAnsi="Arial" w:cs="Arial"/>
                <w:sz w:val="24"/>
                <w:szCs w:val="24"/>
              </w:rPr>
              <w:lastRenderedPageBreak/>
              <w:t xml:space="preserve">very short and narrow compass. </w:t>
            </w:r>
            <w:r w:rsidR="009C30B9">
              <w:rPr>
                <w:rFonts w:ascii="Arial" w:hAnsi="Arial" w:cs="Arial"/>
                <w:sz w:val="24"/>
                <w:szCs w:val="24"/>
              </w:rPr>
              <w:t xml:space="preserve"> </w:t>
            </w:r>
            <w:r w:rsidR="00FF7452">
              <w:rPr>
                <w:rFonts w:ascii="Arial" w:hAnsi="Arial" w:cs="Arial"/>
                <w:sz w:val="24"/>
                <w:szCs w:val="24"/>
              </w:rPr>
              <w:t>It concerns the interpretation and application of s 87 (1</w:t>
            </w:r>
            <w:proofErr w:type="gramStart"/>
            <w:r w:rsidR="00FF7452">
              <w:rPr>
                <w:rFonts w:ascii="Arial" w:hAnsi="Arial" w:cs="Arial"/>
                <w:sz w:val="24"/>
                <w:szCs w:val="24"/>
              </w:rPr>
              <w:t>)</w:t>
            </w:r>
            <w:r w:rsidR="00FF7452" w:rsidRPr="00F7300D">
              <w:rPr>
                <w:rFonts w:ascii="Arial" w:hAnsi="Arial" w:cs="Arial"/>
                <w:i/>
                <w:sz w:val="24"/>
                <w:szCs w:val="24"/>
              </w:rPr>
              <w:t>(</w:t>
            </w:r>
            <w:proofErr w:type="gramEnd"/>
            <w:r w:rsidR="00FF7452" w:rsidRPr="00F7300D">
              <w:rPr>
                <w:rFonts w:ascii="Arial" w:hAnsi="Arial" w:cs="Arial"/>
                <w:i/>
                <w:sz w:val="24"/>
                <w:szCs w:val="24"/>
              </w:rPr>
              <w:t xml:space="preserve">b) </w:t>
            </w:r>
            <w:r w:rsidR="00FF7452">
              <w:rPr>
                <w:rFonts w:ascii="Arial" w:hAnsi="Arial" w:cs="Arial"/>
                <w:sz w:val="24"/>
                <w:szCs w:val="24"/>
              </w:rPr>
              <w:t xml:space="preserve">of the Labour Act 11 of 2007. </w:t>
            </w:r>
            <w:r w:rsidR="009C30B9">
              <w:rPr>
                <w:rFonts w:ascii="Arial" w:hAnsi="Arial" w:cs="Arial"/>
                <w:sz w:val="24"/>
                <w:szCs w:val="24"/>
              </w:rPr>
              <w:t xml:space="preserve"> </w:t>
            </w:r>
            <w:r w:rsidR="00FF7452">
              <w:rPr>
                <w:rFonts w:ascii="Arial" w:hAnsi="Arial" w:cs="Arial"/>
                <w:sz w:val="24"/>
                <w:szCs w:val="24"/>
              </w:rPr>
              <w:t>In sum, the questions that arise for determination are these:</w:t>
            </w:r>
          </w:p>
          <w:p w:rsidR="00FC211E" w:rsidRDefault="00FC211E" w:rsidP="00FC211E">
            <w:pPr>
              <w:spacing w:after="0" w:line="360" w:lineRule="auto"/>
              <w:jc w:val="both"/>
              <w:rPr>
                <w:rFonts w:ascii="Arial" w:hAnsi="Arial" w:cs="Arial"/>
                <w:sz w:val="24"/>
                <w:szCs w:val="24"/>
              </w:rPr>
            </w:pPr>
          </w:p>
          <w:p w:rsidR="00FF7452" w:rsidRDefault="00FF7452" w:rsidP="00FC211E">
            <w:pPr>
              <w:spacing w:after="0" w:line="360" w:lineRule="auto"/>
              <w:jc w:val="both"/>
              <w:rPr>
                <w:rFonts w:ascii="Arial" w:hAnsi="Arial" w:cs="Arial"/>
                <w:sz w:val="24"/>
                <w:szCs w:val="24"/>
              </w:rPr>
            </w:pPr>
            <w:r>
              <w:rPr>
                <w:rFonts w:ascii="Arial" w:hAnsi="Arial" w:cs="Arial"/>
                <w:sz w:val="24"/>
                <w:szCs w:val="24"/>
              </w:rPr>
              <w:t>1</w:t>
            </w:r>
            <w:r w:rsidR="009C30B9">
              <w:rPr>
                <w:rFonts w:ascii="Arial" w:hAnsi="Arial" w:cs="Arial"/>
                <w:sz w:val="24"/>
                <w:szCs w:val="24"/>
              </w:rPr>
              <w:t>.</w:t>
            </w:r>
            <w:r>
              <w:rPr>
                <w:rFonts w:ascii="Arial" w:hAnsi="Arial" w:cs="Arial"/>
                <w:sz w:val="24"/>
                <w:szCs w:val="24"/>
              </w:rPr>
              <w:tab/>
              <w:t xml:space="preserve">Is the </w:t>
            </w:r>
            <w:proofErr w:type="spellStart"/>
            <w:r>
              <w:rPr>
                <w:rFonts w:ascii="Arial" w:hAnsi="Arial" w:cs="Arial"/>
                <w:sz w:val="24"/>
                <w:szCs w:val="24"/>
              </w:rPr>
              <w:t>Labour</w:t>
            </w:r>
            <w:proofErr w:type="spellEnd"/>
            <w:r>
              <w:rPr>
                <w:rFonts w:ascii="Arial" w:hAnsi="Arial" w:cs="Arial"/>
                <w:sz w:val="24"/>
                <w:szCs w:val="24"/>
              </w:rPr>
              <w:t xml:space="preserve"> Court competent to rescind an order which came into being by the application of s 87(1</w:t>
            </w:r>
            <w:proofErr w:type="gramStart"/>
            <w:r>
              <w:rPr>
                <w:rFonts w:ascii="Arial" w:hAnsi="Arial" w:cs="Arial"/>
                <w:sz w:val="24"/>
                <w:szCs w:val="24"/>
              </w:rPr>
              <w:t>)</w:t>
            </w:r>
            <w:r w:rsidRPr="00F7300D">
              <w:rPr>
                <w:rFonts w:ascii="Arial" w:hAnsi="Arial" w:cs="Arial"/>
                <w:i/>
                <w:sz w:val="24"/>
                <w:szCs w:val="24"/>
              </w:rPr>
              <w:t>(</w:t>
            </w:r>
            <w:proofErr w:type="gramEnd"/>
            <w:r w:rsidRPr="00F7300D">
              <w:rPr>
                <w:rFonts w:ascii="Arial" w:hAnsi="Arial" w:cs="Arial"/>
                <w:i/>
                <w:sz w:val="24"/>
                <w:szCs w:val="24"/>
              </w:rPr>
              <w:t xml:space="preserve">b) </w:t>
            </w:r>
            <w:r>
              <w:rPr>
                <w:rFonts w:ascii="Arial" w:hAnsi="Arial" w:cs="Arial"/>
                <w:sz w:val="24"/>
                <w:szCs w:val="24"/>
              </w:rPr>
              <w:t xml:space="preserve">of the </w:t>
            </w:r>
            <w:proofErr w:type="spellStart"/>
            <w:r>
              <w:rPr>
                <w:rFonts w:ascii="Arial" w:hAnsi="Arial" w:cs="Arial"/>
                <w:sz w:val="24"/>
                <w:szCs w:val="24"/>
              </w:rPr>
              <w:t>Labour</w:t>
            </w:r>
            <w:proofErr w:type="spellEnd"/>
            <w:r>
              <w:rPr>
                <w:rFonts w:ascii="Arial" w:hAnsi="Arial" w:cs="Arial"/>
                <w:sz w:val="24"/>
                <w:szCs w:val="24"/>
              </w:rPr>
              <w:t xml:space="preserve"> Act (</w:t>
            </w:r>
            <w:proofErr w:type="spellStart"/>
            <w:r>
              <w:rPr>
                <w:rFonts w:ascii="Arial" w:hAnsi="Arial" w:cs="Arial"/>
                <w:sz w:val="24"/>
                <w:szCs w:val="24"/>
              </w:rPr>
              <w:t>ie</w:t>
            </w:r>
            <w:proofErr w:type="spellEnd"/>
            <w:r>
              <w:rPr>
                <w:rFonts w:ascii="Arial" w:hAnsi="Arial" w:cs="Arial"/>
                <w:sz w:val="24"/>
                <w:szCs w:val="24"/>
              </w:rPr>
              <w:t xml:space="preserve"> para 1 of the notice of motion)?</w:t>
            </w:r>
          </w:p>
          <w:p w:rsidR="009C30B9" w:rsidRDefault="009C30B9" w:rsidP="00FC211E">
            <w:pPr>
              <w:spacing w:after="0" w:line="360" w:lineRule="auto"/>
              <w:jc w:val="both"/>
              <w:rPr>
                <w:rFonts w:ascii="Arial" w:hAnsi="Arial" w:cs="Arial"/>
                <w:sz w:val="24"/>
                <w:szCs w:val="24"/>
              </w:rPr>
            </w:pPr>
          </w:p>
          <w:p w:rsidR="00FF7452" w:rsidRDefault="00FF7452" w:rsidP="00FC211E">
            <w:pPr>
              <w:spacing w:after="0" w:line="360" w:lineRule="auto"/>
              <w:jc w:val="both"/>
              <w:rPr>
                <w:rFonts w:ascii="Arial" w:hAnsi="Arial" w:cs="Arial"/>
                <w:sz w:val="24"/>
                <w:szCs w:val="24"/>
              </w:rPr>
            </w:pPr>
            <w:r>
              <w:rPr>
                <w:rFonts w:ascii="Arial" w:hAnsi="Arial" w:cs="Arial"/>
                <w:sz w:val="24"/>
                <w:szCs w:val="24"/>
              </w:rPr>
              <w:t>2</w:t>
            </w:r>
            <w:r w:rsidR="009C30B9">
              <w:rPr>
                <w:rFonts w:ascii="Arial" w:hAnsi="Arial" w:cs="Arial"/>
                <w:sz w:val="24"/>
                <w:szCs w:val="24"/>
              </w:rPr>
              <w:t>.</w:t>
            </w:r>
            <w:r>
              <w:rPr>
                <w:rFonts w:ascii="Arial" w:hAnsi="Arial" w:cs="Arial"/>
                <w:sz w:val="24"/>
                <w:szCs w:val="24"/>
              </w:rPr>
              <w:tab/>
              <w:t xml:space="preserve">Is the </w:t>
            </w:r>
            <w:proofErr w:type="spellStart"/>
            <w:r>
              <w:rPr>
                <w:rFonts w:ascii="Arial" w:hAnsi="Arial" w:cs="Arial"/>
                <w:sz w:val="24"/>
                <w:szCs w:val="24"/>
              </w:rPr>
              <w:t>Labour</w:t>
            </w:r>
            <w:proofErr w:type="spellEnd"/>
            <w:r>
              <w:rPr>
                <w:rFonts w:ascii="Arial" w:hAnsi="Arial" w:cs="Arial"/>
                <w:sz w:val="24"/>
                <w:szCs w:val="24"/>
              </w:rPr>
              <w:t xml:space="preserve"> Court which is a division of the High Court competent to rescind the judgment </w:t>
            </w:r>
            <w:r w:rsidR="009C30B9">
              <w:rPr>
                <w:rFonts w:ascii="Arial" w:hAnsi="Arial" w:cs="Arial"/>
                <w:sz w:val="24"/>
                <w:szCs w:val="24"/>
              </w:rPr>
              <w:t>(</w:t>
            </w:r>
            <w:r w:rsidR="00F7300D">
              <w:rPr>
                <w:rFonts w:ascii="Arial" w:hAnsi="Arial" w:cs="Arial"/>
                <w:sz w:val="24"/>
                <w:szCs w:val="24"/>
              </w:rPr>
              <w:t xml:space="preserve">or award of an inferior </w:t>
            </w:r>
            <w:r w:rsidR="00F7300D" w:rsidRPr="00E34763">
              <w:rPr>
                <w:rFonts w:ascii="Arial" w:hAnsi="Arial" w:cs="Arial"/>
                <w:color w:val="000000" w:themeColor="text1"/>
                <w:sz w:val="24"/>
                <w:szCs w:val="24"/>
              </w:rPr>
              <w:t>tri</w:t>
            </w:r>
            <w:r w:rsidR="00E34763" w:rsidRPr="00E34763">
              <w:rPr>
                <w:rFonts w:ascii="Arial" w:hAnsi="Arial" w:cs="Arial"/>
                <w:color w:val="000000" w:themeColor="text1"/>
                <w:sz w:val="24"/>
                <w:szCs w:val="24"/>
              </w:rPr>
              <w:t>bun</w:t>
            </w:r>
            <w:r w:rsidR="00F7300D" w:rsidRPr="00E34763">
              <w:rPr>
                <w:rFonts w:ascii="Arial" w:hAnsi="Arial" w:cs="Arial"/>
                <w:color w:val="000000" w:themeColor="text1"/>
                <w:sz w:val="24"/>
                <w:szCs w:val="24"/>
              </w:rPr>
              <w:t xml:space="preserve">al) </w:t>
            </w:r>
            <w:r>
              <w:rPr>
                <w:rFonts w:ascii="Arial" w:hAnsi="Arial" w:cs="Arial"/>
                <w:sz w:val="24"/>
                <w:szCs w:val="24"/>
              </w:rPr>
              <w:t>(</w:t>
            </w:r>
            <w:proofErr w:type="spellStart"/>
            <w:r>
              <w:rPr>
                <w:rFonts w:ascii="Arial" w:hAnsi="Arial" w:cs="Arial"/>
                <w:sz w:val="24"/>
                <w:szCs w:val="24"/>
              </w:rPr>
              <w:t>ie</w:t>
            </w:r>
            <w:proofErr w:type="spellEnd"/>
            <w:r>
              <w:rPr>
                <w:rFonts w:ascii="Arial" w:hAnsi="Arial" w:cs="Arial"/>
                <w:sz w:val="24"/>
                <w:szCs w:val="24"/>
              </w:rPr>
              <w:t xml:space="preserve"> p</w:t>
            </w:r>
            <w:r w:rsidR="00F7300D">
              <w:rPr>
                <w:rFonts w:ascii="Arial" w:hAnsi="Arial" w:cs="Arial"/>
                <w:sz w:val="24"/>
                <w:szCs w:val="24"/>
              </w:rPr>
              <w:t>ara 2 of the notice of motion)?</w:t>
            </w:r>
          </w:p>
          <w:p w:rsidR="00FF7452" w:rsidRPr="00FC211E" w:rsidRDefault="00FF7452" w:rsidP="00FC211E">
            <w:pPr>
              <w:spacing w:after="0" w:line="360" w:lineRule="auto"/>
              <w:jc w:val="both"/>
              <w:rPr>
                <w:rFonts w:ascii="Arial" w:hAnsi="Arial" w:cs="Arial"/>
                <w:sz w:val="24"/>
                <w:szCs w:val="24"/>
              </w:rPr>
            </w:pPr>
          </w:p>
          <w:p w:rsid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F7300D">
              <w:rPr>
                <w:rFonts w:ascii="Arial" w:hAnsi="Arial" w:cs="Arial"/>
                <w:sz w:val="24"/>
                <w:szCs w:val="24"/>
              </w:rPr>
              <w:t>Plainly, the determination of the two questions set out in para 2 above rests on the interpretation of s 87 (1</w:t>
            </w:r>
            <w:proofErr w:type="gramStart"/>
            <w:r w:rsidR="00F7300D">
              <w:rPr>
                <w:rFonts w:ascii="Arial" w:hAnsi="Arial" w:cs="Arial"/>
                <w:sz w:val="24"/>
                <w:szCs w:val="24"/>
              </w:rPr>
              <w:t>)</w:t>
            </w:r>
            <w:r w:rsidR="00F7300D" w:rsidRPr="00F7300D">
              <w:rPr>
                <w:rFonts w:ascii="Arial" w:hAnsi="Arial" w:cs="Arial"/>
                <w:i/>
                <w:sz w:val="24"/>
                <w:szCs w:val="24"/>
              </w:rPr>
              <w:t>(</w:t>
            </w:r>
            <w:proofErr w:type="gramEnd"/>
            <w:r w:rsidR="00F7300D" w:rsidRPr="00F7300D">
              <w:rPr>
                <w:rFonts w:ascii="Arial" w:hAnsi="Arial" w:cs="Arial"/>
                <w:i/>
                <w:sz w:val="24"/>
                <w:szCs w:val="24"/>
              </w:rPr>
              <w:t xml:space="preserve">b) </w:t>
            </w:r>
            <w:r w:rsidR="00F7300D">
              <w:rPr>
                <w:rFonts w:ascii="Arial" w:hAnsi="Arial" w:cs="Arial"/>
                <w:sz w:val="24"/>
                <w:szCs w:val="24"/>
              </w:rPr>
              <w:t>of the La</w:t>
            </w:r>
            <w:r w:rsidR="002E3588">
              <w:rPr>
                <w:rFonts w:ascii="Arial" w:hAnsi="Arial" w:cs="Arial"/>
                <w:sz w:val="24"/>
                <w:szCs w:val="24"/>
              </w:rPr>
              <w:t>b</w:t>
            </w:r>
            <w:r w:rsidR="00F7300D">
              <w:rPr>
                <w:rFonts w:ascii="Arial" w:hAnsi="Arial" w:cs="Arial"/>
                <w:sz w:val="24"/>
                <w:szCs w:val="24"/>
              </w:rPr>
              <w:t xml:space="preserve">our Act. </w:t>
            </w:r>
            <w:r w:rsidR="009C30B9">
              <w:rPr>
                <w:rFonts w:ascii="Arial" w:hAnsi="Arial" w:cs="Arial"/>
                <w:sz w:val="24"/>
                <w:szCs w:val="24"/>
              </w:rPr>
              <w:t xml:space="preserve"> </w:t>
            </w:r>
            <w:r w:rsidR="00F7300D">
              <w:rPr>
                <w:rFonts w:ascii="Arial" w:hAnsi="Arial" w:cs="Arial"/>
                <w:sz w:val="24"/>
                <w:szCs w:val="24"/>
              </w:rPr>
              <w:t>Fo</w:t>
            </w:r>
            <w:r w:rsidR="009C30B9">
              <w:rPr>
                <w:rFonts w:ascii="Arial" w:hAnsi="Arial" w:cs="Arial"/>
                <w:sz w:val="24"/>
                <w:szCs w:val="24"/>
              </w:rPr>
              <w:t>rtunately, the Supreme Court has</w:t>
            </w:r>
            <w:r w:rsidR="00F7300D">
              <w:rPr>
                <w:rFonts w:ascii="Arial" w:hAnsi="Arial" w:cs="Arial"/>
                <w:sz w:val="24"/>
                <w:szCs w:val="24"/>
              </w:rPr>
              <w:t xml:space="preserve"> interpreted s 87 (1)</w:t>
            </w:r>
            <w:r w:rsidR="00F7300D" w:rsidRPr="00F7300D">
              <w:rPr>
                <w:rFonts w:ascii="Arial" w:hAnsi="Arial" w:cs="Arial"/>
                <w:i/>
                <w:sz w:val="24"/>
                <w:szCs w:val="24"/>
              </w:rPr>
              <w:t>(b)</w:t>
            </w:r>
            <w:r w:rsidR="00F7300D">
              <w:rPr>
                <w:rFonts w:ascii="Arial" w:hAnsi="Arial" w:cs="Arial"/>
                <w:sz w:val="24"/>
                <w:szCs w:val="24"/>
              </w:rPr>
              <w:t xml:space="preserve"> in </w:t>
            </w:r>
            <w:r w:rsidR="00F7300D" w:rsidRPr="00F7300D">
              <w:rPr>
                <w:rFonts w:ascii="Arial" w:hAnsi="Arial" w:cs="Arial"/>
                <w:i/>
                <w:sz w:val="24"/>
                <w:szCs w:val="24"/>
              </w:rPr>
              <w:t xml:space="preserve">National Housing Enterprise v Maureen </w:t>
            </w:r>
            <w:proofErr w:type="spellStart"/>
            <w:r w:rsidR="00F7300D" w:rsidRPr="00F7300D">
              <w:rPr>
                <w:rFonts w:ascii="Arial" w:hAnsi="Arial" w:cs="Arial"/>
                <w:i/>
                <w:sz w:val="24"/>
                <w:szCs w:val="24"/>
              </w:rPr>
              <w:t>Hinda</w:t>
            </w:r>
            <w:proofErr w:type="spellEnd"/>
            <w:r w:rsidR="00F7300D" w:rsidRPr="00F7300D">
              <w:rPr>
                <w:rFonts w:ascii="Arial" w:hAnsi="Arial" w:cs="Arial"/>
                <w:i/>
                <w:sz w:val="24"/>
                <w:szCs w:val="24"/>
              </w:rPr>
              <w:t>–</w:t>
            </w:r>
            <w:proofErr w:type="spellStart"/>
            <w:r w:rsidR="00F7300D" w:rsidRPr="00F7300D">
              <w:rPr>
                <w:rFonts w:ascii="Arial" w:hAnsi="Arial" w:cs="Arial"/>
                <w:i/>
                <w:sz w:val="24"/>
                <w:szCs w:val="24"/>
              </w:rPr>
              <w:t>Mbazira</w:t>
            </w:r>
            <w:proofErr w:type="spellEnd"/>
            <w:r w:rsidR="00F7300D">
              <w:rPr>
                <w:rFonts w:ascii="Arial" w:hAnsi="Arial" w:cs="Arial"/>
                <w:sz w:val="24"/>
                <w:szCs w:val="24"/>
              </w:rPr>
              <w:t xml:space="preserve"> thus:</w:t>
            </w:r>
          </w:p>
          <w:p w:rsidR="00C51C8D" w:rsidRDefault="00C51C8D" w:rsidP="00FC211E">
            <w:pPr>
              <w:spacing w:after="0" w:line="360" w:lineRule="auto"/>
              <w:jc w:val="both"/>
              <w:rPr>
                <w:rFonts w:ascii="Arial" w:hAnsi="Arial" w:cs="Arial"/>
                <w:sz w:val="24"/>
                <w:szCs w:val="24"/>
              </w:rPr>
            </w:pPr>
          </w:p>
          <w:p w:rsidR="001D4E2E" w:rsidRPr="001D4E2E" w:rsidRDefault="001D4E2E" w:rsidP="009C30B9">
            <w:pPr>
              <w:spacing w:after="0" w:line="360" w:lineRule="auto"/>
              <w:jc w:val="both"/>
              <w:rPr>
                <w:rFonts w:ascii="Arial" w:hAnsi="Arial" w:cs="Arial"/>
              </w:rPr>
            </w:pPr>
            <w:r>
              <w:rPr>
                <w:rFonts w:ascii="Arial" w:hAnsi="Arial" w:cs="Arial"/>
              </w:rPr>
              <w:tab/>
              <w:t>‘</w:t>
            </w:r>
            <w:r w:rsidRPr="001D4E2E">
              <w:rPr>
                <w:rFonts w:ascii="Arial" w:hAnsi="Arial" w:cs="Arial"/>
              </w:rPr>
              <w:t>[58]</w:t>
            </w:r>
            <w:r w:rsidRPr="001D4E2E">
              <w:rPr>
                <w:rFonts w:ascii="Arial" w:hAnsi="Arial" w:cs="Arial"/>
              </w:rPr>
              <w:tab/>
              <w:t xml:space="preserve">Our view of the matter is that the provision enabling the person in whose </w:t>
            </w:r>
            <w:proofErr w:type="spellStart"/>
            <w:r w:rsidRPr="001D4E2E">
              <w:rPr>
                <w:rFonts w:ascii="Arial" w:hAnsi="Arial" w:cs="Arial"/>
              </w:rPr>
              <w:t>favour</w:t>
            </w:r>
            <w:proofErr w:type="spellEnd"/>
            <w:r w:rsidRPr="001D4E2E">
              <w:rPr>
                <w:rFonts w:ascii="Arial" w:hAnsi="Arial" w:cs="Arial"/>
              </w:rPr>
              <w:t xml:space="preserve"> an arbitrator makes an award is borne of the practical reality that without it being so made an order of court, execution thereon would be impossible. </w:t>
            </w:r>
            <w:r w:rsidR="009C30B9">
              <w:rPr>
                <w:rFonts w:ascii="Arial" w:hAnsi="Arial" w:cs="Arial"/>
              </w:rPr>
              <w:t xml:space="preserve"> </w:t>
            </w:r>
            <w:r w:rsidRPr="001D4E2E">
              <w:rPr>
                <w:rFonts w:ascii="Arial" w:hAnsi="Arial" w:cs="Arial"/>
              </w:rPr>
              <w:t xml:space="preserve">Had such a provision not existed, the awardee would have had to approach a court to make it binding on the party against whom it was awarded and to give it the legal force necessary for awardee to enforce it through execution.  Thus, in the absence of s 87 of the Labour Act, an award of an arbitrator under the Labour Act would be no different from that by an arbitrator under a private arbitration in terms of the Arbitration Act 1965. </w:t>
            </w:r>
            <w:r w:rsidR="009C30B9">
              <w:rPr>
                <w:rFonts w:ascii="Arial" w:hAnsi="Arial" w:cs="Arial"/>
              </w:rPr>
              <w:t xml:space="preserve"> </w:t>
            </w:r>
            <w:r w:rsidRPr="001D4E2E">
              <w:rPr>
                <w:rFonts w:ascii="Arial" w:hAnsi="Arial" w:cs="Arial"/>
              </w:rPr>
              <w:t>It is trite that in order for an arbitration award under the Arbitration Act to be enforced, it requires an order of court making it binding on the parties. The reason for s 87 is to eschew the need for a party approaching a court to enforce an award. It clearly was not intended to have the effect contended for by the Respondent.</w:t>
            </w:r>
          </w:p>
          <w:p w:rsidR="001D4E2E" w:rsidRPr="001D4E2E" w:rsidRDefault="001D4E2E" w:rsidP="009C30B9">
            <w:pPr>
              <w:spacing w:after="0" w:line="360" w:lineRule="auto"/>
              <w:jc w:val="both"/>
              <w:rPr>
                <w:rFonts w:ascii="Arial" w:hAnsi="Arial" w:cs="Arial"/>
              </w:rPr>
            </w:pPr>
          </w:p>
          <w:p w:rsidR="001D4E2E" w:rsidRPr="001D4E2E" w:rsidRDefault="001D4E2E" w:rsidP="009C30B9">
            <w:pPr>
              <w:spacing w:after="0" w:line="360" w:lineRule="auto"/>
              <w:jc w:val="both"/>
              <w:rPr>
                <w:rFonts w:ascii="Arial" w:hAnsi="Arial" w:cs="Arial"/>
              </w:rPr>
            </w:pPr>
            <w:r w:rsidRPr="001D4E2E">
              <w:rPr>
                <w:rFonts w:ascii="Arial" w:hAnsi="Arial" w:cs="Arial"/>
              </w:rPr>
              <w:t>[59]</w:t>
            </w:r>
            <w:r w:rsidRPr="001D4E2E">
              <w:rPr>
                <w:rFonts w:ascii="Arial" w:hAnsi="Arial" w:cs="Arial"/>
              </w:rPr>
              <w:tab/>
              <w:t>Accordingly, there is no merit in the respondent’s argument that the appellant first had to set aside the order of court before it could pursue an appeal against the award made by the arbitrator.</w:t>
            </w:r>
          </w:p>
          <w:p w:rsidR="001D4E2E" w:rsidRPr="001D4E2E" w:rsidRDefault="001D4E2E" w:rsidP="009C30B9">
            <w:pPr>
              <w:spacing w:after="0" w:line="360" w:lineRule="auto"/>
              <w:jc w:val="both"/>
              <w:rPr>
                <w:rFonts w:ascii="Arial" w:hAnsi="Arial" w:cs="Arial"/>
              </w:rPr>
            </w:pPr>
          </w:p>
          <w:p w:rsidR="001D4E2E" w:rsidRDefault="001D4E2E" w:rsidP="009C30B9">
            <w:pPr>
              <w:spacing w:after="0" w:line="360" w:lineRule="auto"/>
              <w:jc w:val="both"/>
              <w:rPr>
                <w:rFonts w:ascii="Arial" w:hAnsi="Arial" w:cs="Arial"/>
              </w:rPr>
            </w:pPr>
            <w:r w:rsidRPr="001D4E2E">
              <w:rPr>
                <w:rFonts w:ascii="Arial" w:hAnsi="Arial" w:cs="Arial"/>
              </w:rPr>
              <w:t>[60]</w:t>
            </w:r>
            <w:r w:rsidRPr="001D4E2E">
              <w:rPr>
                <w:rFonts w:ascii="Arial" w:hAnsi="Arial" w:cs="Arial"/>
              </w:rPr>
              <w:tab/>
              <w:t>Appellant’s argument would have been valid if s 87 was worded similarly to s 158(1</w:t>
            </w:r>
            <w:proofErr w:type="gramStart"/>
            <w:r w:rsidRPr="001D4E2E">
              <w:rPr>
                <w:rFonts w:ascii="Arial" w:hAnsi="Arial" w:cs="Arial"/>
              </w:rPr>
              <w:t>)</w:t>
            </w:r>
            <w:r w:rsidRPr="00105C3D">
              <w:rPr>
                <w:rFonts w:ascii="Arial" w:hAnsi="Arial" w:cs="Arial"/>
                <w:i/>
              </w:rPr>
              <w:t>(</w:t>
            </w:r>
            <w:proofErr w:type="gramEnd"/>
            <w:r w:rsidRPr="00105C3D">
              <w:rPr>
                <w:rFonts w:ascii="Arial" w:hAnsi="Arial" w:cs="Arial"/>
                <w:i/>
              </w:rPr>
              <w:t>c)</w:t>
            </w:r>
            <w:r w:rsidRPr="001D4E2E">
              <w:rPr>
                <w:rFonts w:ascii="Arial" w:hAnsi="Arial" w:cs="Arial"/>
              </w:rPr>
              <w:t xml:space="preserve"> of the </w:t>
            </w:r>
            <w:r w:rsidR="00105C3D">
              <w:rPr>
                <w:rFonts w:ascii="Arial" w:hAnsi="Arial" w:cs="Arial"/>
              </w:rPr>
              <w:t xml:space="preserve">South African </w:t>
            </w:r>
            <w:r w:rsidRPr="001D4E2E">
              <w:rPr>
                <w:rFonts w:ascii="Arial" w:hAnsi="Arial" w:cs="Arial"/>
              </w:rPr>
              <w:t>LRA. Section 87 should be read together with s 89 and 90. Both sections make reference to an arbitration award, in other words, even where the award has become an order of the Labour Court, in terms of s 87(1</w:t>
            </w:r>
            <w:proofErr w:type="gramStart"/>
            <w:r w:rsidRPr="001D4E2E">
              <w:rPr>
                <w:rFonts w:ascii="Arial" w:hAnsi="Arial" w:cs="Arial"/>
              </w:rPr>
              <w:t>)</w:t>
            </w:r>
            <w:r w:rsidRPr="001D4E2E">
              <w:rPr>
                <w:rFonts w:ascii="Arial" w:hAnsi="Arial" w:cs="Arial"/>
                <w:i/>
              </w:rPr>
              <w:t>(</w:t>
            </w:r>
            <w:proofErr w:type="gramEnd"/>
            <w:r w:rsidRPr="001D4E2E">
              <w:rPr>
                <w:rFonts w:ascii="Arial" w:hAnsi="Arial" w:cs="Arial"/>
                <w:i/>
              </w:rPr>
              <w:t xml:space="preserve">b) </w:t>
            </w:r>
            <w:r w:rsidRPr="001D4E2E">
              <w:rPr>
                <w:rFonts w:ascii="Arial" w:hAnsi="Arial" w:cs="Arial"/>
              </w:rPr>
              <w:t>it remains the arbitration award. If it were an award made in terms of s 158(1</w:t>
            </w:r>
            <w:proofErr w:type="gramStart"/>
            <w:r w:rsidRPr="001D4E2E">
              <w:rPr>
                <w:rFonts w:ascii="Arial" w:hAnsi="Arial" w:cs="Arial"/>
              </w:rPr>
              <w:t>)</w:t>
            </w:r>
            <w:r w:rsidRPr="001D4E2E">
              <w:rPr>
                <w:rFonts w:ascii="Arial" w:hAnsi="Arial" w:cs="Arial"/>
                <w:i/>
              </w:rPr>
              <w:t>(</w:t>
            </w:r>
            <w:proofErr w:type="gramEnd"/>
            <w:r w:rsidRPr="001D4E2E">
              <w:rPr>
                <w:rFonts w:ascii="Arial" w:hAnsi="Arial" w:cs="Arial"/>
                <w:i/>
              </w:rPr>
              <w:t>c)</w:t>
            </w:r>
            <w:r w:rsidRPr="001D4E2E">
              <w:rPr>
                <w:rFonts w:ascii="Arial" w:hAnsi="Arial" w:cs="Arial"/>
              </w:rPr>
              <w:t xml:space="preserve"> of the South African Labour Relations Act, its weight would have been no different from the weight that </w:t>
            </w:r>
            <w:r w:rsidR="00105C3D">
              <w:rPr>
                <w:rFonts w:ascii="Arial" w:hAnsi="Arial" w:cs="Arial"/>
              </w:rPr>
              <w:t>any other order of Court bears.</w:t>
            </w:r>
          </w:p>
          <w:p w:rsidR="00105C3D" w:rsidRPr="001D4E2E" w:rsidRDefault="00105C3D" w:rsidP="009C30B9">
            <w:pPr>
              <w:spacing w:after="0" w:line="360" w:lineRule="auto"/>
              <w:jc w:val="both"/>
              <w:rPr>
                <w:rFonts w:ascii="Arial" w:hAnsi="Arial" w:cs="Arial"/>
              </w:rPr>
            </w:pPr>
          </w:p>
          <w:p w:rsidR="001D4E2E" w:rsidRPr="00105C3D" w:rsidRDefault="001D4E2E" w:rsidP="009C30B9">
            <w:pPr>
              <w:spacing w:after="0" w:line="360" w:lineRule="auto"/>
              <w:jc w:val="both"/>
              <w:rPr>
                <w:rFonts w:ascii="Arial" w:hAnsi="Arial" w:cs="Arial"/>
              </w:rPr>
            </w:pPr>
            <w:r w:rsidRPr="001D4E2E">
              <w:rPr>
                <w:rFonts w:ascii="Arial" w:hAnsi="Arial" w:cs="Arial"/>
              </w:rPr>
              <w:t>[61]</w:t>
            </w:r>
            <w:r w:rsidRPr="001D4E2E">
              <w:rPr>
                <w:rFonts w:ascii="Arial" w:hAnsi="Arial" w:cs="Arial"/>
              </w:rPr>
              <w:tab/>
              <w:t xml:space="preserve">Therefore, when </w:t>
            </w:r>
            <w:proofErr w:type="spellStart"/>
            <w:r w:rsidRPr="001D4E2E">
              <w:rPr>
                <w:rFonts w:ascii="Arial" w:hAnsi="Arial" w:cs="Arial"/>
              </w:rPr>
              <w:t>Unengu</w:t>
            </w:r>
            <w:proofErr w:type="spellEnd"/>
            <w:r w:rsidRPr="001D4E2E">
              <w:rPr>
                <w:rFonts w:ascii="Arial" w:hAnsi="Arial" w:cs="Arial"/>
              </w:rPr>
              <w:t xml:space="preserve"> AJ purported to make the arbitration award an order of Court, he did so without jurisdiction</w:t>
            </w:r>
            <w:r w:rsidR="00105C3D">
              <w:rPr>
                <w:rFonts w:ascii="Arial" w:hAnsi="Arial" w:cs="Arial"/>
              </w:rPr>
              <w:t>,</w:t>
            </w:r>
            <w:r w:rsidRPr="001D4E2E">
              <w:rPr>
                <w:rFonts w:ascii="Arial" w:hAnsi="Arial" w:cs="Arial"/>
              </w:rPr>
              <w:t xml:space="preserve"> making that order invalid and since Parker J had jurisdiction to hear the appeal it was </w:t>
            </w:r>
            <w:r w:rsidRPr="001D4E2E">
              <w:rPr>
                <w:rFonts w:ascii="Arial" w:hAnsi="Arial" w:cs="Arial"/>
              </w:rPr>
              <w:lastRenderedPageBreak/>
              <w:t>competent for the appellant to raise at that forum the  concerns concerning  the legitimacy or otherwise of the award.’</w:t>
            </w:r>
            <w:r w:rsidR="00105C3D">
              <w:rPr>
                <w:rStyle w:val="FootnoteReference"/>
                <w:rFonts w:ascii="Arial" w:hAnsi="Arial" w:cs="Arial"/>
                <w:i/>
                <w:sz w:val="24"/>
                <w:szCs w:val="24"/>
              </w:rPr>
              <w:t xml:space="preserve"> </w:t>
            </w:r>
            <w:r w:rsidR="00105C3D" w:rsidRPr="00105C3D">
              <w:rPr>
                <w:rStyle w:val="FootnoteReference"/>
                <w:rFonts w:ascii="Arial" w:hAnsi="Arial" w:cs="Arial"/>
                <w:sz w:val="24"/>
                <w:szCs w:val="24"/>
              </w:rPr>
              <w:footnoteReference w:id="1"/>
            </w:r>
          </w:p>
          <w:p w:rsidR="00FC211E" w:rsidRPr="00FC211E" w:rsidRDefault="00FC211E" w:rsidP="009C30B9">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F7300D">
              <w:rPr>
                <w:rFonts w:ascii="Arial" w:hAnsi="Arial" w:cs="Arial"/>
                <w:sz w:val="24"/>
                <w:szCs w:val="24"/>
              </w:rPr>
              <w:t xml:space="preserve">Sadly, </w:t>
            </w:r>
            <w:proofErr w:type="spellStart"/>
            <w:r w:rsidR="00F7300D">
              <w:rPr>
                <w:rFonts w:ascii="Arial" w:hAnsi="Arial" w:cs="Arial"/>
                <w:sz w:val="24"/>
                <w:szCs w:val="24"/>
              </w:rPr>
              <w:t>Ms</w:t>
            </w:r>
            <w:proofErr w:type="spellEnd"/>
            <w:r w:rsidR="00F7300D">
              <w:rPr>
                <w:rFonts w:ascii="Arial" w:hAnsi="Arial" w:cs="Arial"/>
                <w:sz w:val="24"/>
                <w:szCs w:val="24"/>
              </w:rPr>
              <w:t xml:space="preserve"> </w:t>
            </w:r>
            <w:proofErr w:type="spellStart"/>
            <w:r w:rsidR="00F7300D">
              <w:rPr>
                <w:rFonts w:ascii="Arial" w:hAnsi="Arial" w:cs="Arial"/>
                <w:sz w:val="24"/>
                <w:szCs w:val="24"/>
              </w:rPr>
              <w:t>Shipindo</w:t>
            </w:r>
            <w:proofErr w:type="spellEnd"/>
            <w:r w:rsidR="00F7300D">
              <w:rPr>
                <w:rFonts w:ascii="Arial" w:hAnsi="Arial" w:cs="Arial"/>
                <w:sz w:val="24"/>
                <w:szCs w:val="24"/>
              </w:rPr>
              <w:t xml:space="preserve"> is not aware of that judgment</w:t>
            </w:r>
            <w:r w:rsidR="00CB4CEB">
              <w:rPr>
                <w:rFonts w:ascii="Arial" w:hAnsi="Arial" w:cs="Arial"/>
                <w:sz w:val="24"/>
                <w:szCs w:val="24"/>
              </w:rPr>
              <w:t xml:space="preserve">. The </w:t>
            </w:r>
            <w:r w:rsidR="00CB4CEB" w:rsidRPr="00CB4CEB">
              <w:rPr>
                <w:rFonts w:ascii="Arial" w:hAnsi="Arial" w:cs="Arial"/>
                <w:i/>
                <w:sz w:val="24"/>
                <w:szCs w:val="24"/>
              </w:rPr>
              <w:t xml:space="preserve">ratio </w:t>
            </w:r>
            <w:proofErr w:type="spellStart"/>
            <w:r w:rsidR="00CB4CEB" w:rsidRPr="00CB4CEB">
              <w:rPr>
                <w:rFonts w:ascii="Arial" w:hAnsi="Arial" w:cs="Arial"/>
                <w:i/>
                <w:sz w:val="24"/>
                <w:szCs w:val="24"/>
              </w:rPr>
              <w:t>decidendi</w:t>
            </w:r>
            <w:proofErr w:type="spellEnd"/>
            <w:r w:rsidR="00CB4CEB">
              <w:rPr>
                <w:rFonts w:ascii="Arial" w:hAnsi="Arial" w:cs="Arial"/>
                <w:sz w:val="24"/>
                <w:szCs w:val="24"/>
              </w:rPr>
              <w:t xml:space="preserve"> of the Supreme Court decision is that ‘even where the award has become an order of the Labour Court, in term s 87 (1</w:t>
            </w:r>
            <w:proofErr w:type="gramStart"/>
            <w:r w:rsidR="00CB4CEB">
              <w:rPr>
                <w:rFonts w:ascii="Arial" w:hAnsi="Arial" w:cs="Arial"/>
                <w:sz w:val="24"/>
                <w:szCs w:val="24"/>
              </w:rPr>
              <w:t>)</w:t>
            </w:r>
            <w:r w:rsidR="00CB4CEB" w:rsidRPr="00CB4CEB">
              <w:rPr>
                <w:rFonts w:ascii="Arial" w:hAnsi="Arial" w:cs="Arial"/>
                <w:i/>
                <w:sz w:val="24"/>
                <w:szCs w:val="24"/>
              </w:rPr>
              <w:t>(</w:t>
            </w:r>
            <w:proofErr w:type="gramEnd"/>
            <w:r w:rsidR="00CB4CEB" w:rsidRPr="00CB4CEB">
              <w:rPr>
                <w:rFonts w:ascii="Arial" w:hAnsi="Arial" w:cs="Arial"/>
                <w:i/>
                <w:sz w:val="24"/>
                <w:szCs w:val="24"/>
              </w:rPr>
              <w:t xml:space="preserve">b) </w:t>
            </w:r>
            <w:r w:rsidR="00CB4CEB">
              <w:rPr>
                <w:rFonts w:ascii="Arial" w:hAnsi="Arial" w:cs="Arial"/>
                <w:sz w:val="24"/>
                <w:szCs w:val="24"/>
              </w:rPr>
              <w:t xml:space="preserve">it remains the arbitration award’. Significantly </w:t>
            </w:r>
            <w:r w:rsidR="00105C3D">
              <w:rPr>
                <w:rFonts w:ascii="Arial" w:hAnsi="Arial" w:cs="Arial"/>
                <w:sz w:val="24"/>
                <w:szCs w:val="24"/>
              </w:rPr>
              <w:t xml:space="preserve">the Supreme Court drew a distinction </w:t>
            </w:r>
            <w:r w:rsidR="00CB4CEB">
              <w:rPr>
                <w:rFonts w:ascii="Arial" w:hAnsi="Arial" w:cs="Arial"/>
                <w:sz w:val="24"/>
                <w:szCs w:val="24"/>
              </w:rPr>
              <w:t>between Namibia’s s 87(1</w:t>
            </w:r>
            <w:proofErr w:type="gramStart"/>
            <w:r w:rsidR="00CB4CEB">
              <w:rPr>
                <w:rFonts w:ascii="Arial" w:hAnsi="Arial" w:cs="Arial"/>
                <w:sz w:val="24"/>
                <w:szCs w:val="24"/>
              </w:rPr>
              <w:t>)</w:t>
            </w:r>
            <w:r w:rsidR="00CB4CEB" w:rsidRPr="00CB4CEB">
              <w:rPr>
                <w:rFonts w:ascii="Arial" w:hAnsi="Arial" w:cs="Arial"/>
                <w:i/>
                <w:sz w:val="24"/>
                <w:szCs w:val="24"/>
              </w:rPr>
              <w:t>(</w:t>
            </w:r>
            <w:proofErr w:type="gramEnd"/>
            <w:r w:rsidR="00CB4CEB" w:rsidRPr="00CB4CEB">
              <w:rPr>
                <w:rFonts w:ascii="Arial" w:hAnsi="Arial" w:cs="Arial"/>
                <w:i/>
                <w:sz w:val="24"/>
                <w:szCs w:val="24"/>
              </w:rPr>
              <w:t>b)</w:t>
            </w:r>
            <w:r w:rsidR="00CB4CEB">
              <w:rPr>
                <w:rFonts w:ascii="Arial" w:hAnsi="Arial" w:cs="Arial"/>
                <w:sz w:val="24"/>
                <w:szCs w:val="24"/>
              </w:rPr>
              <w:t xml:space="preserve"> from South </w:t>
            </w:r>
            <w:r w:rsidR="00CA0125">
              <w:rPr>
                <w:rFonts w:ascii="Arial" w:hAnsi="Arial" w:cs="Arial"/>
                <w:sz w:val="24"/>
                <w:szCs w:val="24"/>
              </w:rPr>
              <w:t>A</w:t>
            </w:r>
            <w:r w:rsidR="00CB4CEB">
              <w:rPr>
                <w:rFonts w:ascii="Arial" w:hAnsi="Arial" w:cs="Arial"/>
                <w:sz w:val="24"/>
                <w:szCs w:val="24"/>
              </w:rPr>
              <w:t>frica’s s 158 (1)</w:t>
            </w:r>
            <w:r w:rsidR="00CB4CEB" w:rsidRPr="004928B0">
              <w:rPr>
                <w:rFonts w:ascii="Arial" w:hAnsi="Arial" w:cs="Arial"/>
                <w:i/>
                <w:sz w:val="24"/>
                <w:szCs w:val="24"/>
              </w:rPr>
              <w:t xml:space="preserve">(c) </w:t>
            </w:r>
            <w:r w:rsidR="00CB4CEB">
              <w:rPr>
                <w:rFonts w:ascii="Arial" w:hAnsi="Arial" w:cs="Arial"/>
                <w:sz w:val="24"/>
                <w:szCs w:val="24"/>
              </w:rPr>
              <w:t xml:space="preserve">of that country’s Industrial Relations </w:t>
            </w:r>
            <w:r w:rsidR="00EF79DF">
              <w:rPr>
                <w:rFonts w:ascii="Arial" w:hAnsi="Arial" w:cs="Arial"/>
                <w:sz w:val="24"/>
                <w:szCs w:val="24"/>
              </w:rPr>
              <w:t>A</w:t>
            </w:r>
            <w:r w:rsidR="00CB4CEB">
              <w:rPr>
                <w:rFonts w:ascii="Arial" w:hAnsi="Arial" w:cs="Arial"/>
                <w:sz w:val="24"/>
                <w:szCs w:val="24"/>
              </w:rPr>
              <w:t>ct 66 of 1995.</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[4]</w:t>
            </w:r>
            <w:r w:rsidRPr="00FC211E">
              <w:rPr>
                <w:rFonts w:ascii="Arial" w:hAnsi="Arial" w:cs="Arial"/>
                <w:sz w:val="24"/>
                <w:szCs w:val="24"/>
              </w:rPr>
              <w:tab/>
            </w:r>
            <w:r w:rsidR="00A34D9D">
              <w:rPr>
                <w:rFonts w:ascii="Arial" w:hAnsi="Arial" w:cs="Arial"/>
                <w:sz w:val="24"/>
                <w:szCs w:val="24"/>
              </w:rPr>
              <w:t>In 2011</w:t>
            </w:r>
            <w:r w:rsidR="00C51B09">
              <w:rPr>
                <w:rFonts w:ascii="Arial" w:hAnsi="Arial" w:cs="Arial"/>
                <w:sz w:val="24"/>
                <w:szCs w:val="24"/>
              </w:rPr>
              <w:t>,</w:t>
            </w:r>
            <w:r w:rsidR="00A34D9D">
              <w:rPr>
                <w:rFonts w:ascii="Arial" w:hAnsi="Arial" w:cs="Arial"/>
                <w:sz w:val="24"/>
                <w:szCs w:val="24"/>
              </w:rPr>
              <w:t xml:space="preserve"> in </w:t>
            </w:r>
            <w:r w:rsidR="00A34D9D" w:rsidRPr="004928B0">
              <w:rPr>
                <w:rFonts w:ascii="Arial" w:hAnsi="Arial" w:cs="Arial"/>
                <w:i/>
                <w:sz w:val="24"/>
                <w:szCs w:val="24"/>
              </w:rPr>
              <w:t>National Hou</w:t>
            </w:r>
            <w:r w:rsidR="00EF79DF">
              <w:rPr>
                <w:rFonts w:ascii="Arial" w:hAnsi="Arial" w:cs="Arial"/>
                <w:i/>
                <w:sz w:val="24"/>
                <w:szCs w:val="24"/>
              </w:rPr>
              <w:t xml:space="preserve">sing Enterprise v Maureen </w:t>
            </w:r>
            <w:proofErr w:type="spellStart"/>
            <w:r w:rsidR="00EF79DF">
              <w:rPr>
                <w:rFonts w:ascii="Arial" w:hAnsi="Arial" w:cs="Arial"/>
                <w:i/>
                <w:sz w:val="24"/>
                <w:szCs w:val="24"/>
              </w:rPr>
              <w:t>Hinda</w:t>
            </w:r>
            <w:proofErr w:type="spellEnd"/>
            <w:r w:rsidR="00A34D9D" w:rsidRPr="004928B0">
              <w:rPr>
                <w:rFonts w:ascii="Arial" w:hAnsi="Arial" w:cs="Arial"/>
                <w:i/>
                <w:sz w:val="24"/>
                <w:szCs w:val="24"/>
              </w:rPr>
              <w:t>–</w:t>
            </w:r>
            <w:proofErr w:type="spellStart"/>
            <w:r w:rsidR="00A34D9D" w:rsidRPr="004928B0">
              <w:rPr>
                <w:rFonts w:ascii="Arial" w:hAnsi="Arial" w:cs="Arial"/>
                <w:i/>
                <w:sz w:val="24"/>
                <w:szCs w:val="24"/>
              </w:rPr>
              <w:t>Mbazira</w:t>
            </w:r>
            <w:proofErr w:type="spellEnd"/>
            <w:r w:rsidR="00A34D9D">
              <w:rPr>
                <w:rStyle w:val="FootnoteReference"/>
                <w:rFonts w:ascii="Arial" w:hAnsi="Arial" w:cs="Arial"/>
                <w:i/>
                <w:sz w:val="24"/>
                <w:szCs w:val="24"/>
              </w:rPr>
              <w:footnoteReference w:id="2"/>
            </w:r>
            <w:r w:rsidR="00A34D9D">
              <w:rPr>
                <w:rFonts w:ascii="Arial" w:hAnsi="Arial" w:cs="Arial"/>
                <w:sz w:val="24"/>
                <w:szCs w:val="24"/>
              </w:rPr>
              <w:t xml:space="preserve">, </w:t>
            </w:r>
            <w:proofErr w:type="spellStart"/>
            <w:r w:rsidR="00A34D9D">
              <w:rPr>
                <w:rFonts w:ascii="Arial" w:hAnsi="Arial" w:cs="Arial"/>
                <w:sz w:val="24"/>
                <w:szCs w:val="24"/>
              </w:rPr>
              <w:t>Unengu</w:t>
            </w:r>
            <w:proofErr w:type="spellEnd"/>
            <w:r w:rsidR="00A34D9D">
              <w:rPr>
                <w:rFonts w:ascii="Arial" w:hAnsi="Arial" w:cs="Arial"/>
                <w:sz w:val="24"/>
                <w:szCs w:val="24"/>
              </w:rPr>
              <w:t xml:space="preserve"> AJ relied on the South African case of </w:t>
            </w:r>
            <w:proofErr w:type="spellStart"/>
            <w:r w:rsidR="00DE23FA">
              <w:rPr>
                <w:rFonts w:ascii="Arial" w:hAnsi="Arial" w:cs="Arial"/>
                <w:i/>
                <w:sz w:val="24"/>
                <w:szCs w:val="24"/>
              </w:rPr>
              <w:t>Potch</w:t>
            </w:r>
            <w:proofErr w:type="spellEnd"/>
            <w:r w:rsidR="00DE23FA">
              <w:rPr>
                <w:rFonts w:ascii="Arial" w:hAnsi="Arial" w:cs="Arial"/>
                <w:i/>
                <w:sz w:val="24"/>
                <w:szCs w:val="24"/>
              </w:rPr>
              <w:t xml:space="preserve"> Speed Den</w:t>
            </w:r>
            <w:r w:rsidR="00A34D9D" w:rsidRPr="004928B0">
              <w:rPr>
                <w:rFonts w:ascii="Arial" w:hAnsi="Arial" w:cs="Arial"/>
                <w:i/>
                <w:sz w:val="24"/>
                <w:szCs w:val="24"/>
              </w:rPr>
              <w:t xml:space="preserve"> v Rajah</w:t>
            </w:r>
            <w:r w:rsidR="00A34D9D">
              <w:rPr>
                <w:rStyle w:val="FootnoteReference"/>
                <w:rFonts w:ascii="Arial" w:hAnsi="Arial" w:cs="Arial"/>
                <w:i/>
                <w:sz w:val="24"/>
                <w:szCs w:val="24"/>
              </w:rPr>
              <w:footnoteReference w:id="3"/>
            </w:r>
            <w:r w:rsidR="00A34D9D">
              <w:rPr>
                <w:rFonts w:ascii="Arial" w:hAnsi="Arial" w:cs="Arial"/>
                <w:sz w:val="24"/>
                <w:szCs w:val="24"/>
              </w:rPr>
              <w:t xml:space="preserve">. But </w:t>
            </w:r>
            <w:r w:rsidR="00A34D9D" w:rsidRPr="00DE23FA">
              <w:rPr>
                <w:rFonts w:ascii="Arial" w:hAnsi="Arial" w:cs="Arial"/>
                <w:i/>
                <w:sz w:val="24"/>
                <w:szCs w:val="24"/>
              </w:rPr>
              <w:t>Rajah</w:t>
            </w:r>
            <w:r w:rsidR="00A34D9D">
              <w:rPr>
                <w:rFonts w:ascii="Arial" w:hAnsi="Arial" w:cs="Arial"/>
                <w:sz w:val="24"/>
                <w:szCs w:val="24"/>
              </w:rPr>
              <w:t xml:space="preserve"> was interpreting s 158 (1</w:t>
            </w:r>
            <w:proofErr w:type="gramStart"/>
            <w:r w:rsidR="00A34D9D">
              <w:rPr>
                <w:rFonts w:ascii="Arial" w:hAnsi="Arial" w:cs="Arial"/>
                <w:sz w:val="24"/>
                <w:szCs w:val="24"/>
              </w:rPr>
              <w:t>)</w:t>
            </w:r>
            <w:r w:rsidR="00A34D9D" w:rsidRPr="004928B0">
              <w:rPr>
                <w:rFonts w:ascii="Arial" w:hAnsi="Arial" w:cs="Arial"/>
                <w:i/>
                <w:sz w:val="24"/>
                <w:szCs w:val="24"/>
              </w:rPr>
              <w:t>(</w:t>
            </w:r>
            <w:proofErr w:type="gramEnd"/>
            <w:r w:rsidR="00A34D9D" w:rsidRPr="004928B0">
              <w:rPr>
                <w:rFonts w:ascii="Arial" w:hAnsi="Arial" w:cs="Arial"/>
                <w:i/>
                <w:sz w:val="24"/>
                <w:szCs w:val="24"/>
              </w:rPr>
              <w:t>c)</w:t>
            </w:r>
            <w:r w:rsidR="00A34D9D">
              <w:rPr>
                <w:rFonts w:ascii="Arial" w:hAnsi="Arial" w:cs="Arial"/>
                <w:sz w:val="24"/>
                <w:szCs w:val="24"/>
              </w:rPr>
              <w:t xml:space="preserve"> of South Africa’s Labour Relations Act</w:t>
            </w:r>
            <w:r w:rsidR="00A34D9D">
              <w:rPr>
                <w:rStyle w:val="FootnoteReference"/>
                <w:rFonts w:ascii="Arial" w:hAnsi="Arial" w:cs="Arial"/>
                <w:sz w:val="24"/>
                <w:szCs w:val="24"/>
              </w:rPr>
              <w:footnoteReference w:id="4"/>
            </w:r>
            <w:r w:rsidR="00A34D9D">
              <w:rPr>
                <w:rFonts w:ascii="Arial" w:hAnsi="Arial" w:cs="Arial"/>
                <w:sz w:val="24"/>
                <w:szCs w:val="24"/>
              </w:rPr>
              <w:t xml:space="preserve">. Indeed, in </w:t>
            </w:r>
            <w:r w:rsidR="00A34D9D" w:rsidRPr="004928B0">
              <w:rPr>
                <w:rFonts w:ascii="Arial" w:hAnsi="Arial" w:cs="Arial"/>
                <w:i/>
                <w:sz w:val="24"/>
                <w:szCs w:val="24"/>
              </w:rPr>
              <w:t xml:space="preserve">National Housing Enterprises v Maureen </w:t>
            </w:r>
            <w:proofErr w:type="spellStart"/>
            <w:r w:rsidR="00A34D9D" w:rsidRPr="004928B0">
              <w:rPr>
                <w:rFonts w:ascii="Arial" w:hAnsi="Arial" w:cs="Arial"/>
                <w:i/>
                <w:sz w:val="24"/>
                <w:szCs w:val="24"/>
              </w:rPr>
              <w:t>Hinda</w:t>
            </w:r>
            <w:proofErr w:type="spellEnd"/>
            <w:r w:rsidR="00A34D9D" w:rsidRPr="004928B0">
              <w:rPr>
                <w:rFonts w:ascii="Arial" w:hAnsi="Arial" w:cs="Arial"/>
                <w:i/>
                <w:sz w:val="24"/>
                <w:szCs w:val="24"/>
              </w:rPr>
              <w:t>–</w:t>
            </w:r>
            <w:proofErr w:type="spellStart"/>
            <w:r w:rsidR="00A34D9D" w:rsidRPr="004928B0">
              <w:rPr>
                <w:rFonts w:ascii="Arial" w:hAnsi="Arial" w:cs="Arial"/>
                <w:i/>
                <w:sz w:val="24"/>
                <w:szCs w:val="24"/>
              </w:rPr>
              <w:t>Mbazira</w:t>
            </w:r>
            <w:proofErr w:type="spellEnd"/>
            <w:r w:rsidR="00DE23FA">
              <w:rPr>
                <w:rFonts w:ascii="Arial" w:hAnsi="Arial" w:cs="Arial"/>
                <w:sz w:val="24"/>
                <w:szCs w:val="24"/>
              </w:rPr>
              <w:t xml:space="preserve">, the Supreme Court overturned </w:t>
            </w:r>
            <w:proofErr w:type="spellStart"/>
            <w:r w:rsidR="00DE23FA">
              <w:rPr>
                <w:rFonts w:ascii="Arial" w:hAnsi="Arial" w:cs="Arial"/>
                <w:sz w:val="24"/>
                <w:szCs w:val="24"/>
              </w:rPr>
              <w:t>Unengu</w:t>
            </w:r>
            <w:proofErr w:type="spellEnd"/>
            <w:r w:rsidR="00DE23FA">
              <w:rPr>
                <w:rFonts w:ascii="Arial" w:hAnsi="Arial" w:cs="Arial"/>
                <w:sz w:val="24"/>
                <w:szCs w:val="24"/>
              </w:rPr>
              <w:t xml:space="preserve"> AJ’s decision in </w:t>
            </w:r>
            <w:r w:rsidR="00DE23FA" w:rsidRPr="004928B0">
              <w:rPr>
                <w:rFonts w:ascii="Arial" w:hAnsi="Arial" w:cs="Arial"/>
                <w:i/>
                <w:sz w:val="24"/>
                <w:szCs w:val="24"/>
              </w:rPr>
              <w:t xml:space="preserve">National Housing Enterprises v Maureen </w:t>
            </w:r>
            <w:proofErr w:type="spellStart"/>
            <w:r w:rsidR="00DE23FA" w:rsidRPr="004928B0">
              <w:rPr>
                <w:rFonts w:ascii="Arial" w:hAnsi="Arial" w:cs="Arial"/>
                <w:i/>
                <w:sz w:val="24"/>
                <w:szCs w:val="24"/>
              </w:rPr>
              <w:t>Hinda</w:t>
            </w:r>
            <w:proofErr w:type="spellEnd"/>
            <w:r w:rsidR="00DE23FA" w:rsidRPr="004928B0">
              <w:rPr>
                <w:rFonts w:ascii="Arial" w:hAnsi="Arial" w:cs="Arial"/>
                <w:i/>
                <w:sz w:val="24"/>
                <w:szCs w:val="24"/>
              </w:rPr>
              <w:t>–</w:t>
            </w:r>
            <w:proofErr w:type="spellStart"/>
            <w:r w:rsidR="00DE23FA" w:rsidRPr="004928B0">
              <w:rPr>
                <w:rFonts w:ascii="Arial" w:hAnsi="Arial" w:cs="Arial"/>
                <w:i/>
                <w:sz w:val="24"/>
                <w:szCs w:val="24"/>
              </w:rPr>
              <w:t>Mbazira</w:t>
            </w:r>
            <w:proofErr w:type="spellEnd"/>
            <w:r w:rsidR="00A34D9D">
              <w:rPr>
                <w:rStyle w:val="FootnoteReference"/>
                <w:rFonts w:ascii="Arial" w:hAnsi="Arial" w:cs="Arial"/>
                <w:i/>
                <w:sz w:val="24"/>
                <w:szCs w:val="24"/>
              </w:rPr>
              <w:footnoteReference w:id="5"/>
            </w:r>
            <w:r w:rsidR="00A34D9D">
              <w:rPr>
                <w:rFonts w:ascii="Arial" w:hAnsi="Arial" w:cs="Arial"/>
                <w:sz w:val="24"/>
                <w:szCs w:val="24"/>
              </w:rPr>
              <w:t xml:space="preserve">. But in 2015 in </w:t>
            </w:r>
            <w:r w:rsidR="00A34D9D" w:rsidRPr="004928B0">
              <w:rPr>
                <w:rFonts w:ascii="Arial" w:hAnsi="Arial" w:cs="Arial"/>
                <w:i/>
                <w:sz w:val="24"/>
                <w:szCs w:val="24"/>
              </w:rPr>
              <w:t xml:space="preserve">Air Namibia Limited v </w:t>
            </w:r>
            <w:proofErr w:type="spellStart"/>
            <w:r w:rsidR="00A34D9D" w:rsidRPr="004928B0">
              <w:rPr>
                <w:rFonts w:ascii="Arial" w:hAnsi="Arial" w:cs="Arial"/>
                <w:i/>
                <w:sz w:val="24"/>
                <w:szCs w:val="24"/>
              </w:rPr>
              <w:t>Sheelongo</w:t>
            </w:r>
            <w:proofErr w:type="spellEnd"/>
            <w:r w:rsidR="00A34D9D">
              <w:rPr>
                <w:rStyle w:val="FootnoteReference"/>
                <w:rFonts w:ascii="Arial" w:hAnsi="Arial" w:cs="Arial"/>
                <w:i/>
                <w:sz w:val="24"/>
                <w:szCs w:val="24"/>
              </w:rPr>
              <w:footnoteReference w:id="6"/>
            </w:r>
            <w:r w:rsidR="00A34D9D">
              <w:rPr>
                <w:rFonts w:ascii="Arial" w:hAnsi="Arial" w:cs="Arial"/>
                <w:sz w:val="24"/>
                <w:szCs w:val="24"/>
              </w:rPr>
              <w:t xml:space="preserve">, </w:t>
            </w:r>
            <w:proofErr w:type="spellStart"/>
            <w:r w:rsidR="00A34D9D">
              <w:rPr>
                <w:rFonts w:ascii="Arial" w:hAnsi="Arial" w:cs="Arial"/>
                <w:sz w:val="24"/>
                <w:szCs w:val="24"/>
              </w:rPr>
              <w:t>Ueitele</w:t>
            </w:r>
            <w:proofErr w:type="spellEnd"/>
            <w:r w:rsidR="00A34D9D">
              <w:rPr>
                <w:rFonts w:ascii="Arial" w:hAnsi="Arial" w:cs="Arial"/>
                <w:sz w:val="24"/>
                <w:szCs w:val="24"/>
              </w:rPr>
              <w:t xml:space="preserve"> J relied on </w:t>
            </w:r>
            <w:proofErr w:type="spellStart"/>
            <w:r w:rsidR="00A34D9D">
              <w:rPr>
                <w:rFonts w:ascii="Arial" w:hAnsi="Arial" w:cs="Arial"/>
                <w:sz w:val="24"/>
                <w:szCs w:val="24"/>
              </w:rPr>
              <w:t>Unengu</w:t>
            </w:r>
            <w:proofErr w:type="spellEnd"/>
            <w:r w:rsidR="00A34D9D">
              <w:rPr>
                <w:rFonts w:ascii="Arial" w:hAnsi="Arial" w:cs="Arial"/>
                <w:sz w:val="24"/>
                <w:szCs w:val="24"/>
              </w:rPr>
              <w:t xml:space="preserve"> AJ’s decision in </w:t>
            </w:r>
            <w:r w:rsidR="00A34D9D" w:rsidRPr="005C4CB6">
              <w:rPr>
                <w:rFonts w:ascii="Arial" w:hAnsi="Arial" w:cs="Arial"/>
                <w:i/>
                <w:sz w:val="24"/>
                <w:szCs w:val="24"/>
              </w:rPr>
              <w:t xml:space="preserve">Maureen </w:t>
            </w:r>
            <w:proofErr w:type="spellStart"/>
            <w:r w:rsidR="00A34D9D" w:rsidRPr="005C4CB6">
              <w:rPr>
                <w:rFonts w:ascii="Arial" w:hAnsi="Arial" w:cs="Arial"/>
                <w:i/>
                <w:sz w:val="24"/>
                <w:szCs w:val="24"/>
              </w:rPr>
              <w:t>Hinda</w:t>
            </w:r>
            <w:proofErr w:type="spellEnd"/>
            <w:r w:rsidR="00A34D9D" w:rsidRPr="005C4CB6">
              <w:rPr>
                <w:rFonts w:ascii="Arial" w:hAnsi="Arial" w:cs="Arial"/>
                <w:i/>
                <w:sz w:val="24"/>
                <w:szCs w:val="24"/>
              </w:rPr>
              <w:t>–</w:t>
            </w:r>
            <w:proofErr w:type="spellStart"/>
            <w:r w:rsidR="00A34D9D" w:rsidRPr="005C4CB6">
              <w:rPr>
                <w:rFonts w:ascii="Arial" w:hAnsi="Arial" w:cs="Arial"/>
                <w:i/>
                <w:sz w:val="24"/>
                <w:szCs w:val="24"/>
              </w:rPr>
              <w:t>Mbazira</w:t>
            </w:r>
            <w:proofErr w:type="spellEnd"/>
            <w:r w:rsidR="00A34D9D">
              <w:rPr>
                <w:rFonts w:ascii="Arial" w:hAnsi="Arial" w:cs="Arial"/>
                <w:sz w:val="24"/>
                <w:szCs w:val="24"/>
              </w:rPr>
              <w:t xml:space="preserve"> which the Supreme Court had </w:t>
            </w:r>
            <w:r w:rsidR="00DE23FA" w:rsidRPr="00DE23FA">
              <w:rPr>
                <w:rFonts w:ascii="Arial" w:hAnsi="Arial" w:cs="Arial"/>
                <w:color w:val="000000" w:themeColor="text1"/>
                <w:sz w:val="24"/>
                <w:szCs w:val="24"/>
              </w:rPr>
              <w:t>overturned</w:t>
            </w:r>
            <w:r w:rsidR="00A34D9D">
              <w:rPr>
                <w:rFonts w:ascii="Arial" w:hAnsi="Arial" w:cs="Arial"/>
                <w:sz w:val="24"/>
                <w:szCs w:val="24"/>
              </w:rPr>
              <w:t xml:space="preserve"> in 2014.</w:t>
            </w:r>
          </w:p>
          <w:p w:rsidR="00FC211E" w:rsidRPr="00FC211E" w:rsidRDefault="00FC211E" w:rsidP="00FC211E">
            <w:pPr>
              <w:spacing w:after="0" w:line="360" w:lineRule="auto"/>
              <w:jc w:val="both"/>
              <w:rPr>
                <w:rFonts w:ascii="Arial" w:hAnsi="Arial" w:cs="Arial"/>
                <w:sz w:val="24"/>
                <w:szCs w:val="24"/>
              </w:rPr>
            </w:pPr>
          </w:p>
          <w:p w:rsid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[5]</w:t>
            </w:r>
            <w:r w:rsidRPr="00FC211E">
              <w:rPr>
                <w:rFonts w:ascii="Arial" w:hAnsi="Arial" w:cs="Arial"/>
                <w:sz w:val="24"/>
                <w:szCs w:val="24"/>
              </w:rPr>
              <w:tab/>
            </w:r>
            <w:r w:rsidR="00C87082">
              <w:rPr>
                <w:rFonts w:ascii="Arial" w:hAnsi="Arial" w:cs="Arial"/>
                <w:sz w:val="24"/>
                <w:szCs w:val="24"/>
              </w:rPr>
              <w:t>Additionally</w:t>
            </w:r>
            <w:r w:rsidR="00A34D9D">
              <w:rPr>
                <w:rFonts w:ascii="Arial" w:hAnsi="Arial" w:cs="Arial"/>
                <w:sz w:val="24"/>
                <w:szCs w:val="24"/>
              </w:rPr>
              <w:t xml:space="preserve">, </w:t>
            </w:r>
            <w:r w:rsidR="00A34D9D" w:rsidRPr="00A34D9D">
              <w:rPr>
                <w:rFonts w:ascii="Arial" w:hAnsi="Arial" w:cs="Arial"/>
                <w:i/>
                <w:sz w:val="24"/>
                <w:szCs w:val="24"/>
              </w:rPr>
              <w:t xml:space="preserve">Transnamib Holdings Limited v </w:t>
            </w:r>
            <w:proofErr w:type="spellStart"/>
            <w:r w:rsidR="00A34D9D" w:rsidRPr="00A34D9D">
              <w:rPr>
                <w:rFonts w:ascii="Arial" w:hAnsi="Arial" w:cs="Arial"/>
                <w:i/>
                <w:sz w:val="24"/>
                <w:szCs w:val="24"/>
              </w:rPr>
              <w:t>Tjivikua</w:t>
            </w:r>
            <w:proofErr w:type="spellEnd"/>
            <w:r w:rsidR="00A34D9D">
              <w:rPr>
                <w:rStyle w:val="FootnoteReference"/>
                <w:rFonts w:ascii="Arial" w:hAnsi="Arial" w:cs="Arial"/>
                <w:sz w:val="24"/>
                <w:szCs w:val="24"/>
              </w:rPr>
              <w:footnoteReference w:id="7"/>
            </w:r>
            <w:r w:rsidR="00A34D9D">
              <w:rPr>
                <w:rFonts w:ascii="Arial" w:hAnsi="Arial" w:cs="Arial"/>
                <w:sz w:val="24"/>
                <w:szCs w:val="24"/>
              </w:rPr>
              <w:t xml:space="preserve"> decided in 2019 and referred to the court </w:t>
            </w:r>
            <w:r w:rsidR="00C87082">
              <w:rPr>
                <w:rFonts w:ascii="Arial" w:hAnsi="Arial" w:cs="Arial"/>
                <w:sz w:val="24"/>
                <w:szCs w:val="24"/>
              </w:rPr>
              <w:t xml:space="preserve">by </w:t>
            </w:r>
            <w:proofErr w:type="spellStart"/>
            <w:r w:rsidR="00C87082">
              <w:rPr>
                <w:rFonts w:ascii="Arial" w:hAnsi="Arial" w:cs="Arial"/>
                <w:sz w:val="24"/>
                <w:szCs w:val="24"/>
              </w:rPr>
              <w:t>Ms</w:t>
            </w:r>
            <w:proofErr w:type="spellEnd"/>
            <w:r w:rsidR="00C87082">
              <w:rPr>
                <w:rFonts w:ascii="Arial" w:hAnsi="Arial" w:cs="Arial"/>
                <w:sz w:val="24"/>
                <w:szCs w:val="24"/>
              </w:rPr>
              <w:t xml:space="preserve"> </w:t>
            </w:r>
            <w:proofErr w:type="spellStart"/>
            <w:r w:rsidR="00C87082">
              <w:rPr>
                <w:rFonts w:ascii="Arial" w:hAnsi="Arial" w:cs="Arial"/>
                <w:sz w:val="24"/>
                <w:szCs w:val="24"/>
              </w:rPr>
              <w:t>Shipindo</w:t>
            </w:r>
            <w:proofErr w:type="spellEnd"/>
            <w:r w:rsidR="00C87082">
              <w:rPr>
                <w:rFonts w:ascii="Arial" w:hAnsi="Arial" w:cs="Arial"/>
                <w:sz w:val="24"/>
                <w:szCs w:val="24"/>
              </w:rPr>
              <w:t>, stands in the same boat of wrong decisions on the point under consideration.</w:t>
            </w:r>
          </w:p>
          <w:p w:rsidR="003D5F1E" w:rsidRDefault="003D5F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[6]</w:t>
            </w:r>
            <w:r w:rsidRPr="00FC211E">
              <w:rPr>
                <w:rFonts w:ascii="Arial" w:hAnsi="Arial" w:cs="Arial"/>
                <w:sz w:val="24"/>
                <w:szCs w:val="24"/>
              </w:rPr>
              <w:tab/>
            </w:r>
            <w:r w:rsidR="00C87082">
              <w:rPr>
                <w:rFonts w:ascii="Arial" w:hAnsi="Arial" w:cs="Arial"/>
                <w:sz w:val="24"/>
                <w:szCs w:val="24"/>
              </w:rPr>
              <w:t xml:space="preserve">The </w:t>
            </w:r>
            <w:r w:rsidR="00DE23FA" w:rsidRPr="00DE23FA">
              <w:rPr>
                <w:rFonts w:ascii="Arial" w:hAnsi="Arial" w:cs="Arial"/>
                <w:color w:val="000000" w:themeColor="text1"/>
                <w:sz w:val="24"/>
                <w:szCs w:val="24"/>
              </w:rPr>
              <w:t>irrefragable</w:t>
            </w:r>
            <w:r w:rsidR="00C87082">
              <w:rPr>
                <w:rFonts w:ascii="Arial" w:hAnsi="Arial" w:cs="Arial"/>
                <w:sz w:val="24"/>
                <w:szCs w:val="24"/>
              </w:rPr>
              <w:t xml:space="preserve"> result is the following: This Labour Court is not competent to rescind the order of the Labour Court which came into being by virtue of s 87(1</w:t>
            </w:r>
            <w:proofErr w:type="gramStart"/>
            <w:r w:rsidR="00C87082">
              <w:rPr>
                <w:rFonts w:ascii="Arial" w:hAnsi="Arial" w:cs="Arial"/>
                <w:sz w:val="24"/>
                <w:szCs w:val="24"/>
              </w:rPr>
              <w:t>)</w:t>
            </w:r>
            <w:r w:rsidR="00C87082" w:rsidRPr="00C87082">
              <w:rPr>
                <w:rFonts w:ascii="Arial" w:hAnsi="Arial" w:cs="Arial"/>
                <w:i/>
                <w:sz w:val="24"/>
                <w:szCs w:val="24"/>
              </w:rPr>
              <w:t>(</w:t>
            </w:r>
            <w:proofErr w:type="gramEnd"/>
            <w:r w:rsidR="00C87082" w:rsidRPr="00C87082">
              <w:rPr>
                <w:rFonts w:ascii="Arial" w:hAnsi="Arial" w:cs="Arial"/>
                <w:i/>
                <w:sz w:val="24"/>
                <w:szCs w:val="24"/>
              </w:rPr>
              <w:t>b)</w:t>
            </w:r>
            <w:r w:rsidR="00C87082">
              <w:rPr>
                <w:rFonts w:ascii="Arial" w:hAnsi="Arial" w:cs="Arial"/>
                <w:sz w:val="24"/>
                <w:szCs w:val="24"/>
              </w:rPr>
              <w:t xml:space="preserve"> of the Labour </w:t>
            </w:r>
            <w:r w:rsidR="00C51B09">
              <w:rPr>
                <w:rFonts w:ascii="Arial" w:hAnsi="Arial" w:cs="Arial"/>
                <w:sz w:val="24"/>
                <w:szCs w:val="24"/>
              </w:rPr>
              <w:t>Act</w:t>
            </w:r>
            <w:r w:rsidR="00C87082">
              <w:rPr>
                <w:rFonts w:ascii="Arial" w:hAnsi="Arial" w:cs="Arial"/>
                <w:sz w:val="24"/>
                <w:szCs w:val="24"/>
              </w:rPr>
              <w:t xml:space="preserve">. The award </w:t>
            </w:r>
            <w:r w:rsidR="00DE23FA">
              <w:rPr>
                <w:rFonts w:ascii="Arial" w:hAnsi="Arial" w:cs="Arial"/>
                <w:sz w:val="24"/>
                <w:szCs w:val="24"/>
              </w:rPr>
              <w:t xml:space="preserve">of the arbitrator ‘remains the arbitration award’ despite the award </w:t>
            </w:r>
            <w:r w:rsidR="00C87082">
              <w:rPr>
                <w:rFonts w:ascii="Arial" w:hAnsi="Arial" w:cs="Arial"/>
                <w:sz w:val="24"/>
                <w:szCs w:val="24"/>
              </w:rPr>
              <w:t>having become an order of the Labour Court.</w:t>
            </w:r>
            <w:r w:rsidR="00C87082">
              <w:rPr>
                <w:rStyle w:val="FootnoteReference"/>
                <w:rFonts w:ascii="Arial" w:hAnsi="Arial" w:cs="Arial"/>
                <w:sz w:val="24"/>
                <w:szCs w:val="24"/>
              </w:rPr>
              <w:footnoteReference w:id="8"/>
            </w:r>
            <w:r w:rsidR="00C87082">
              <w:rPr>
                <w:rFonts w:ascii="Arial" w:hAnsi="Arial" w:cs="Arial"/>
                <w:sz w:val="24"/>
                <w:szCs w:val="24"/>
              </w:rPr>
              <w:t xml:space="preserve"> </w:t>
            </w:r>
            <w:r w:rsidR="00C21AB5">
              <w:rPr>
                <w:rFonts w:ascii="Arial" w:hAnsi="Arial" w:cs="Arial"/>
                <w:sz w:val="24"/>
                <w:szCs w:val="24"/>
              </w:rPr>
              <w:t xml:space="preserve">Only the arbitration tribunal that made the award is competent, as the first </w:t>
            </w:r>
            <w:r w:rsidR="00EF79DF">
              <w:rPr>
                <w:rFonts w:ascii="Arial" w:hAnsi="Arial" w:cs="Arial"/>
                <w:sz w:val="24"/>
                <w:szCs w:val="24"/>
              </w:rPr>
              <w:t>-</w:t>
            </w:r>
            <w:r w:rsidR="00C21AB5">
              <w:rPr>
                <w:rFonts w:ascii="Arial" w:hAnsi="Arial" w:cs="Arial"/>
                <w:sz w:val="24"/>
                <w:szCs w:val="24"/>
              </w:rPr>
              <w:t xml:space="preserve"> instant forum, to rescind the arbitration award in question.</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[7]</w:t>
            </w:r>
            <w:r w:rsidRPr="00FC211E">
              <w:rPr>
                <w:rFonts w:ascii="Arial" w:hAnsi="Arial" w:cs="Arial"/>
                <w:sz w:val="24"/>
                <w:szCs w:val="24"/>
              </w:rPr>
              <w:tab/>
            </w:r>
            <w:r w:rsidR="00C21AB5">
              <w:rPr>
                <w:rFonts w:ascii="Arial" w:hAnsi="Arial" w:cs="Arial"/>
                <w:sz w:val="24"/>
                <w:szCs w:val="24"/>
              </w:rPr>
              <w:t xml:space="preserve">I know of no authority – and none was referred to me by </w:t>
            </w:r>
            <w:proofErr w:type="spellStart"/>
            <w:r w:rsidR="00C21AB5">
              <w:rPr>
                <w:rFonts w:ascii="Arial" w:hAnsi="Arial" w:cs="Arial"/>
                <w:sz w:val="24"/>
                <w:szCs w:val="24"/>
              </w:rPr>
              <w:t>Ms</w:t>
            </w:r>
            <w:proofErr w:type="spellEnd"/>
            <w:r w:rsidR="00C21AB5">
              <w:rPr>
                <w:rFonts w:ascii="Arial" w:hAnsi="Arial" w:cs="Arial"/>
                <w:sz w:val="24"/>
                <w:szCs w:val="24"/>
              </w:rPr>
              <w:t xml:space="preserve"> </w:t>
            </w:r>
            <w:proofErr w:type="spellStart"/>
            <w:r w:rsidR="00C21AB5">
              <w:rPr>
                <w:rFonts w:ascii="Arial" w:hAnsi="Arial" w:cs="Arial"/>
                <w:sz w:val="24"/>
                <w:szCs w:val="24"/>
              </w:rPr>
              <w:t>Shipindo</w:t>
            </w:r>
            <w:proofErr w:type="spellEnd"/>
            <w:r w:rsidR="00C21AB5">
              <w:rPr>
                <w:rFonts w:ascii="Arial" w:hAnsi="Arial" w:cs="Arial"/>
                <w:sz w:val="24"/>
                <w:szCs w:val="24"/>
              </w:rPr>
              <w:t xml:space="preserve"> – that a superior court is competent to re</w:t>
            </w:r>
            <w:r w:rsidR="00D30ED1">
              <w:rPr>
                <w:rFonts w:ascii="Arial" w:hAnsi="Arial" w:cs="Arial"/>
                <w:sz w:val="24"/>
                <w:szCs w:val="24"/>
              </w:rPr>
              <w:t>scind the decision (</w:t>
            </w:r>
            <w:proofErr w:type="spellStart"/>
            <w:r w:rsidR="00D30ED1">
              <w:rPr>
                <w:rFonts w:ascii="Arial" w:hAnsi="Arial" w:cs="Arial"/>
                <w:sz w:val="24"/>
                <w:szCs w:val="24"/>
              </w:rPr>
              <w:t>eg</w:t>
            </w:r>
            <w:proofErr w:type="spellEnd"/>
            <w:r w:rsidR="00D30ED1">
              <w:rPr>
                <w:rFonts w:ascii="Arial" w:hAnsi="Arial" w:cs="Arial"/>
                <w:sz w:val="24"/>
                <w:szCs w:val="24"/>
              </w:rPr>
              <w:t xml:space="preserve"> an</w:t>
            </w:r>
            <w:r w:rsidR="002E5C9B">
              <w:rPr>
                <w:rFonts w:ascii="Arial" w:hAnsi="Arial" w:cs="Arial"/>
                <w:sz w:val="24"/>
                <w:szCs w:val="24"/>
              </w:rPr>
              <w:t xml:space="preserve"> award) of an inferior tribunal</w:t>
            </w:r>
            <w:r w:rsidR="00D30ED1">
              <w:rPr>
                <w:rFonts w:ascii="Arial" w:hAnsi="Arial" w:cs="Arial"/>
                <w:sz w:val="24"/>
                <w:szCs w:val="24"/>
              </w:rPr>
              <w:t xml:space="preserve"> in the absence of a statutory provision giving to the superior court such power.</w:t>
            </w:r>
          </w:p>
          <w:p w:rsidR="00FC211E" w:rsidRPr="00FC211E" w:rsidRDefault="00FC211E" w:rsidP="00FC211E">
            <w:pPr>
              <w:spacing w:after="0" w:line="360" w:lineRule="auto"/>
              <w:jc w:val="both"/>
              <w:rPr>
                <w:rFonts w:ascii="Arial" w:hAnsi="Arial" w:cs="Arial"/>
                <w:sz w:val="24"/>
                <w:szCs w:val="24"/>
              </w:rPr>
            </w:pPr>
          </w:p>
          <w:p w:rsidR="00FC211E" w:rsidRP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lastRenderedPageBreak/>
              <w:t>[8]</w:t>
            </w:r>
            <w:r w:rsidRPr="00FC211E">
              <w:rPr>
                <w:rFonts w:ascii="Arial" w:hAnsi="Arial" w:cs="Arial"/>
                <w:sz w:val="24"/>
                <w:szCs w:val="24"/>
              </w:rPr>
              <w:tab/>
            </w:r>
            <w:r w:rsidR="00A34D9D">
              <w:rPr>
                <w:rFonts w:ascii="Arial" w:hAnsi="Arial" w:cs="Arial"/>
                <w:sz w:val="24"/>
                <w:szCs w:val="24"/>
              </w:rPr>
              <w:t xml:space="preserve">In any case, </w:t>
            </w:r>
            <w:r w:rsidR="007225E2">
              <w:rPr>
                <w:rFonts w:ascii="Arial" w:hAnsi="Arial" w:cs="Arial"/>
                <w:sz w:val="24"/>
                <w:szCs w:val="24"/>
              </w:rPr>
              <w:t xml:space="preserve">in </w:t>
            </w:r>
            <w:r w:rsidR="00A34D9D">
              <w:rPr>
                <w:rFonts w:ascii="Arial" w:hAnsi="Arial" w:cs="Arial"/>
                <w:sz w:val="24"/>
                <w:szCs w:val="24"/>
              </w:rPr>
              <w:t xml:space="preserve">our </w:t>
            </w:r>
            <w:proofErr w:type="spellStart"/>
            <w:r w:rsidR="00A34D9D">
              <w:rPr>
                <w:rFonts w:ascii="Arial" w:hAnsi="Arial" w:cs="Arial"/>
                <w:sz w:val="24"/>
                <w:szCs w:val="24"/>
              </w:rPr>
              <w:t>Labour</w:t>
            </w:r>
            <w:proofErr w:type="spellEnd"/>
            <w:r w:rsidR="00A34D9D">
              <w:rPr>
                <w:rFonts w:ascii="Arial" w:hAnsi="Arial" w:cs="Arial"/>
                <w:sz w:val="24"/>
                <w:szCs w:val="24"/>
              </w:rPr>
              <w:t xml:space="preserve"> Law, the rescission of judgment or order by the Labour Court is governed by rule 16, read with rule 7 of the Labour Court Rules (‘the rules’)</w:t>
            </w:r>
            <w:r w:rsidR="00A34D9D">
              <w:rPr>
                <w:rStyle w:val="FootnoteReference"/>
                <w:rFonts w:ascii="Arial" w:hAnsi="Arial" w:cs="Arial"/>
                <w:sz w:val="24"/>
                <w:szCs w:val="24"/>
              </w:rPr>
              <w:footnoteReference w:id="9"/>
            </w:r>
            <w:r w:rsidR="00A34D9D">
              <w:rPr>
                <w:rFonts w:ascii="Arial" w:hAnsi="Arial" w:cs="Arial"/>
                <w:sz w:val="24"/>
                <w:szCs w:val="24"/>
              </w:rPr>
              <w:t xml:space="preserve">. </w:t>
            </w:r>
            <w:proofErr w:type="spellStart"/>
            <w:r w:rsidR="00A34D9D">
              <w:rPr>
                <w:rFonts w:ascii="Arial" w:hAnsi="Arial" w:cs="Arial"/>
                <w:sz w:val="24"/>
                <w:szCs w:val="24"/>
              </w:rPr>
              <w:t>Subrule</w:t>
            </w:r>
            <w:proofErr w:type="spellEnd"/>
            <w:r w:rsidR="00A34D9D">
              <w:rPr>
                <w:rFonts w:ascii="Arial" w:hAnsi="Arial" w:cs="Arial"/>
                <w:sz w:val="24"/>
                <w:szCs w:val="24"/>
              </w:rPr>
              <w:t xml:space="preserve"> (1) of rule 16 provides for the rescission or (the varying) of a judgment or order where judgment by default is given in terms of rule 7 of the rules. And rule 7 deals with the hearing of applications. The court has not given a judgment by default in </w:t>
            </w:r>
            <w:r w:rsidR="002E5C9B">
              <w:rPr>
                <w:rFonts w:ascii="Arial" w:hAnsi="Arial" w:cs="Arial"/>
                <w:sz w:val="24"/>
                <w:szCs w:val="24"/>
              </w:rPr>
              <w:t xml:space="preserve">an </w:t>
            </w:r>
            <w:r w:rsidR="00A34D9D">
              <w:rPr>
                <w:rFonts w:ascii="Arial" w:hAnsi="Arial" w:cs="Arial"/>
                <w:sz w:val="24"/>
                <w:szCs w:val="24"/>
              </w:rPr>
              <w:t>application brought in terms of rule 7 which the court could rescind in terms of rule 16, read with rule (7), of the rules.</w:t>
            </w:r>
          </w:p>
          <w:p w:rsidR="00FC211E" w:rsidRPr="00FC211E" w:rsidRDefault="00FC211E" w:rsidP="00FC211E">
            <w:pPr>
              <w:spacing w:after="0" w:line="360" w:lineRule="auto"/>
              <w:jc w:val="both"/>
              <w:rPr>
                <w:rFonts w:ascii="Arial" w:hAnsi="Arial" w:cs="Arial"/>
                <w:sz w:val="24"/>
                <w:szCs w:val="24"/>
              </w:rPr>
            </w:pPr>
          </w:p>
          <w:p w:rsidR="00FC211E" w:rsidRDefault="00FC211E" w:rsidP="00FC211E">
            <w:pPr>
              <w:spacing w:after="0" w:line="360" w:lineRule="auto"/>
              <w:jc w:val="both"/>
              <w:rPr>
                <w:rFonts w:ascii="Arial" w:hAnsi="Arial" w:cs="Arial"/>
                <w:sz w:val="24"/>
                <w:szCs w:val="24"/>
              </w:rPr>
            </w:pPr>
            <w:r w:rsidRPr="00FC211E">
              <w:rPr>
                <w:rFonts w:ascii="Arial" w:hAnsi="Arial" w:cs="Arial"/>
                <w:sz w:val="24"/>
                <w:szCs w:val="24"/>
              </w:rPr>
              <w:t>[9]</w:t>
            </w:r>
            <w:r w:rsidRPr="00FC211E">
              <w:rPr>
                <w:rFonts w:ascii="Arial" w:hAnsi="Arial" w:cs="Arial"/>
                <w:sz w:val="24"/>
                <w:szCs w:val="24"/>
              </w:rPr>
              <w:tab/>
            </w:r>
            <w:r w:rsidR="00552C69">
              <w:rPr>
                <w:rFonts w:ascii="Arial" w:hAnsi="Arial" w:cs="Arial"/>
                <w:sz w:val="24"/>
                <w:szCs w:val="24"/>
              </w:rPr>
              <w:t xml:space="preserve">Based on these reasons, I hold that the instant application has not a tincture of merit and it fails. In </w:t>
            </w:r>
            <w:r w:rsidR="007225E2">
              <w:rPr>
                <w:rFonts w:ascii="Arial" w:hAnsi="Arial" w:cs="Arial"/>
                <w:sz w:val="24"/>
                <w:szCs w:val="24"/>
              </w:rPr>
              <w:t>the result, I order as follows</w:t>
            </w:r>
            <w:r w:rsidR="00C755FC">
              <w:rPr>
                <w:rFonts w:ascii="Arial" w:hAnsi="Arial" w:cs="Arial"/>
                <w:sz w:val="24"/>
                <w:szCs w:val="24"/>
              </w:rPr>
              <w:t>:</w:t>
            </w:r>
          </w:p>
          <w:p w:rsidR="00552C69" w:rsidRPr="00FC211E" w:rsidRDefault="00552C69" w:rsidP="00FC211E">
            <w:pPr>
              <w:spacing w:after="0" w:line="360" w:lineRule="auto"/>
              <w:jc w:val="both"/>
              <w:rPr>
                <w:rFonts w:ascii="Arial" w:hAnsi="Arial" w:cs="Arial"/>
                <w:sz w:val="24"/>
                <w:szCs w:val="24"/>
              </w:rPr>
            </w:pPr>
          </w:p>
          <w:p w:rsidR="00C755FC" w:rsidRPr="007225E2" w:rsidRDefault="00C755FC" w:rsidP="007225E2">
            <w:pPr>
              <w:pStyle w:val="ListParagraph"/>
              <w:numPr>
                <w:ilvl w:val="0"/>
                <w:numId w:val="46"/>
              </w:numPr>
              <w:spacing w:after="0" w:line="360" w:lineRule="auto"/>
              <w:jc w:val="both"/>
              <w:rPr>
                <w:rFonts w:ascii="Arial" w:hAnsi="Arial" w:cs="Arial"/>
                <w:sz w:val="24"/>
                <w:szCs w:val="24"/>
              </w:rPr>
            </w:pPr>
            <w:r w:rsidRPr="007225E2">
              <w:rPr>
                <w:rFonts w:ascii="Arial" w:hAnsi="Arial" w:cs="Arial"/>
                <w:sz w:val="24"/>
                <w:szCs w:val="24"/>
              </w:rPr>
              <w:t>The application is dismissed.</w:t>
            </w:r>
          </w:p>
          <w:p w:rsidR="007225E2" w:rsidRPr="007225E2" w:rsidRDefault="007225E2" w:rsidP="007225E2">
            <w:pPr>
              <w:pStyle w:val="ListParagraph"/>
              <w:spacing w:after="0" w:line="360" w:lineRule="auto"/>
              <w:ind w:left="754"/>
              <w:jc w:val="both"/>
              <w:rPr>
                <w:rFonts w:ascii="Arial" w:hAnsi="Arial" w:cs="Arial"/>
                <w:sz w:val="24"/>
                <w:szCs w:val="24"/>
              </w:rPr>
            </w:pPr>
          </w:p>
          <w:p w:rsidR="00C755FC" w:rsidRPr="007225E2" w:rsidRDefault="00C755FC" w:rsidP="007225E2">
            <w:pPr>
              <w:pStyle w:val="ListParagraph"/>
              <w:numPr>
                <w:ilvl w:val="0"/>
                <w:numId w:val="46"/>
              </w:numPr>
              <w:spacing w:after="0" w:line="360" w:lineRule="auto"/>
              <w:jc w:val="both"/>
              <w:rPr>
                <w:rFonts w:ascii="Arial" w:hAnsi="Arial" w:cs="Arial"/>
                <w:sz w:val="24"/>
                <w:szCs w:val="24"/>
              </w:rPr>
            </w:pPr>
            <w:r w:rsidRPr="007225E2">
              <w:rPr>
                <w:rFonts w:ascii="Arial" w:hAnsi="Arial" w:cs="Arial"/>
                <w:sz w:val="24"/>
                <w:szCs w:val="24"/>
              </w:rPr>
              <w:t>There is no order as to costs.</w:t>
            </w:r>
          </w:p>
          <w:p w:rsidR="007225E2" w:rsidRPr="007225E2" w:rsidRDefault="007225E2" w:rsidP="007225E2">
            <w:pPr>
              <w:pStyle w:val="ListParagraph"/>
              <w:spacing w:after="0" w:line="360" w:lineRule="auto"/>
              <w:ind w:left="754"/>
              <w:jc w:val="both"/>
              <w:rPr>
                <w:rFonts w:ascii="Arial" w:hAnsi="Arial" w:cs="Arial"/>
                <w:sz w:val="24"/>
                <w:szCs w:val="24"/>
              </w:rPr>
            </w:pPr>
          </w:p>
          <w:p w:rsidR="00670050" w:rsidRPr="00670050" w:rsidRDefault="00C755FC" w:rsidP="007225E2">
            <w:pPr>
              <w:spacing w:after="0" w:line="360" w:lineRule="auto"/>
              <w:ind w:left="743" w:hanging="709"/>
              <w:jc w:val="both"/>
              <w:rPr>
                <w:rFonts w:ascii="Arial" w:hAnsi="Arial" w:cs="Arial"/>
                <w:sz w:val="24"/>
                <w:szCs w:val="24"/>
              </w:rPr>
            </w:pPr>
            <w:r w:rsidRPr="00C755FC">
              <w:rPr>
                <w:rFonts w:ascii="Arial" w:hAnsi="Arial" w:cs="Arial"/>
                <w:sz w:val="24"/>
                <w:szCs w:val="24"/>
              </w:rPr>
              <w:t>3.</w:t>
            </w:r>
            <w:r w:rsidRPr="00C755FC">
              <w:rPr>
                <w:rFonts w:ascii="Arial" w:hAnsi="Arial" w:cs="Arial"/>
                <w:sz w:val="24"/>
                <w:szCs w:val="24"/>
              </w:rPr>
              <w:tab/>
              <w:t xml:space="preserve">The matter is </w:t>
            </w:r>
            <w:proofErr w:type="spellStart"/>
            <w:r w:rsidRPr="00C755FC">
              <w:rPr>
                <w:rFonts w:ascii="Arial" w:hAnsi="Arial" w:cs="Arial"/>
                <w:sz w:val="24"/>
                <w:szCs w:val="24"/>
              </w:rPr>
              <w:t>finalised</w:t>
            </w:r>
            <w:proofErr w:type="spellEnd"/>
            <w:r w:rsidRPr="00C755FC">
              <w:rPr>
                <w:rFonts w:ascii="Arial" w:hAnsi="Arial" w:cs="Arial"/>
                <w:sz w:val="24"/>
                <w:szCs w:val="24"/>
              </w:rPr>
              <w:t xml:space="preserve"> and removed from the roll.</w:t>
            </w:r>
          </w:p>
          <w:p w:rsidR="00626D05" w:rsidRPr="00A91522" w:rsidRDefault="00C755FC" w:rsidP="00C755FC">
            <w:pPr>
              <w:spacing w:after="0" w:line="360" w:lineRule="auto"/>
              <w:jc w:val="both"/>
              <w:rPr>
                <w:rFonts w:ascii="Arial" w:hAnsi="Arial" w:cs="Arial"/>
                <w:sz w:val="24"/>
                <w:szCs w:val="24"/>
              </w:rPr>
            </w:pPr>
            <w:r>
              <w:rPr>
                <w:rFonts w:ascii="Arial" w:hAnsi="Arial" w:cs="Arial"/>
                <w:sz w:val="24"/>
                <w:szCs w:val="24"/>
              </w:rPr>
              <w:t xml:space="preserve"> </w:t>
            </w:r>
          </w:p>
        </w:tc>
      </w:tr>
      <w:tr w:rsidR="00A91522" w:rsidRPr="00A91522" w:rsidTr="00870C22">
        <w:trPr>
          <w:trHeight w:val="362"/>
        </w:trPr>
        <w:tc>
          <w:tcPr>
            <w:tcW w:w="5245" w:type="dxa"/>
            <w:tcBorders>
              <w:top w:val="single" w:sz="4" w:space="0" w:color="auto"/>
              <w:left w:val="single" w:sz="4" w:space="0" w:color="auto"/>
              <w:bottom w:val="single" w:sz="4" w:space="0" w:color="auto"/>
              <w:right w:val="single" w:sz="4" w:space="0" w:color="auto"/>
            </w:tcBorders>
            <w:hideMark/>
          </w:tcPr>
          <w:p w:rsidR="002C66E4" w:rsidRPr="00870C22" w:rsidRDefault="00496D60" w:rsidP="00870C22">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B37415" w:rsidRDefault="00B37415" w:rsidP="00BF7E1C">
            <w:pPr>
              <w:spacing w:after="0" w:line="360" w:lineRule="auto"/>
              <w:jc w:val="center"/>
              <w:rPr>
                <w:rFonts w:ascii="Arial" w:hAnsi="Arial" w:cs="Arial"/>
                <w:sz w:val="24"/>
                <w:szCs w:val="24"/>
              </w:rPr>
            </w:pPr>
          </w:p>
          <w:p w:rsidR="00870C22" w:rsidRDefault="00870C22" w:rsidP="00BF7E1C">
            <w:pPr>
              <w:spacing w:after="0" w:line="360" w:lineRule="auto"/>
              <w:jc w:val="center"/>
              <w:rPr>
                <w:rFonts w:ascii="Arial" w:hAnsi="Arial" w:cs="Arial"/>
                <w:sz w:val="24"/>
                <w:szCs w:val="24"/>
              </w:rPr>
            </w:pPr>
          </w:p>
          <w:p w:rsidR="00870C22" w:rsidRDefault="00870C22" w:rsidP="00BF7E1C">
            <w:pPr>
              <w:spacing w:after="0" w:line="360" w:lineRule="auto"/>
              <w:jc w:val="center"/>
              <w:rPr>
                <w:rFonts w:ascii="Arial" w:hAnsi="Arial" w:cs="Arial"/>
                <w:sz w:val="24"/>
                <w:szCs w:val="24"/>
              </w:rPr>
            </w:pPr>
          </w:p>
          <w:p w:rsidR="00870C22" w:rsidRPr="000D0F54" w:rsidRDefault="00870C22" w:rsidP="00BF7E1C">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870C22">
            <w:pPr>
              <w:spacing w:after="0" w:line="360" w:lineRule="auto"/>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870C22" w:rsidP="005B7BF9">
            <w:pPr>
              <w:spacing w:after="0" w:line="360" w:lineRule="auto"/>
              <w:jc w:val="center"/>
              <w:rPr>
                <w:rFonts w:ascii="Arial" w:hAnsi="Arial" w:cs="Arial"/>
                <w:b/>
                <w:sz w:val="24"/>
                <w:szCs w:val="24"/>
              </w:rPr>
            </w:pPr>
            <w:r>
              <w:rPr>
                <w:rFonts w:ascii="Arial" w:hAnsi="Arial" w:cs="Arial"/>
                <w:b/>
                <w:sz w:val="24"/>
                <w:szCs w:val="24"/>
              </w:rPr>
              <w:t>Applicant</w:t>
            </w:r>
            <w:r w:rsidR="005B7BF9" w:rsidRPr="00AC2047">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BE7170" w:rsidP="00B131EA">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w:t>
            </w:r>
            <w:r w:rsidR="00870C22">
              <w:rPr>
                <w:rFonts w:ascii="Arial" w:eastAsia="Times New Roman" w:hAnsi="Arial" w:cs="Arial"/>
                <w:b/>
                <w:sz w:val="24"/>
                <w:szCs w:val="24"/>
                <w:lang w:eastAsia="en-GB"/>
              </w:rPr>
              <w:t>Respondent</w:t>
            </w:r>
            <w:r w:rsidR="004378DA"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BE7170" w:rsidRPr="00BE7170" w:rsidRDefault="00BE7170" w:rsidP="00870C22">
            <w:pPr>
              <w:spacing w:after="0" w:line="360" w:lineRule="auto"/>
              <w:jc w:val="center"/>
              <w:rPr>
                <w:rFonts w:ascii="Arial" w:hAnsi="Arial" w:cs="Arial"/>
                <w:sz w:val="24"/>
                <w:szCs w:val="24"/>
                <w:shd w:val="clear" w:color="auto" w:fill="FFFFFF"/>
              </w:rPr>
            </w:pPr>
            <w:r w:rsidRPr="00BE7170">
              <w:rPr>
                <w:rFonts w:ascii="Arial" w:hAnsi="Arial" w:cs="Arial"/>
                <w:sz w:val="24"/>
                <w:szCs w:val="24"/>
              </w:rPr>
              <w:t xml:space="preserve">R </w:t>
            </w:r>
            <w:proofErr w:type="spellStart"/>
            <w:r w:rsidRPr="00BE7170">
              <w:rPr>
                <w:rFonts w:ascii="Arial" w:hAnsi="Arial" w:cs="Arial"/>
                <w:sz w:val="24"/>
                <w:szCs w:val="24"/>
              </w:rPr>
              <w:t>Shipindo</w:t>
            </w:r>
            <w:proofErr w:type="spellEnd"/>
            <w:r w:rsidRPr="00BE7170">
              <w:rPr>
                <w:rFonts w:ascii="Arial" w:hAnsi="Arial" w:cs="Arial"/>
                <w:sz w:val="24"/>
                <w:szCs w:val="24"/>
                <w:shd w:val="clear" w:color="auto" w:fill="FFFFFF"/>
              </w:rPr>
              <w:t xml:space="preserve"> </w:t>
            </w:r>
          </w:p>
          <w:p w:rsidR="00870C22" w:rsidRDefault="00BE7170" w:rsidP="00870C22">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Of</w:t>
            </w:r>
          </w:p>
          <w:p w:rsidR="005B7BF9" w:rsidRPr="00AC2047" w:rsidRDefault="00BE7170" w:rsidP="00870C22">
            <w:pPr>
              <w:spacing w:after="0" w:line="360" w:lineRule="auto"/>
              <w:jc w:val="center"/>
              <w:rPr>
                <w:rFonts w:ascii="Arial" w:hAnsi="Arial" w:cs="Arial"/>
                <w:sz w:val="24"/>
                <w:szCs w:val="24"/>
                <w:shd w:val="clear" w:color="auto" w:fill="FFFFFF"/>
              </w:rPr>
            </w:pPr>
            <w:proofErr w:type="spellStart"/>
            <w:r w:rsidRPr="00BE7170">
              <w:rPr>
                <w:rFonts w:ascii="Arial" w:hAnsi="Arial" w:cs="Arial"/>
                <w:sz w:val="24"/>
                <w:szCs w:val="24"/>
              </w:rPr>
              <w:t>Shipindo</w:t>
            </w:r>
            <w:proofErr w:type="spellEnd"/>
            <w:r w:rsidRPr="00BE7170">
              <w:rPr>
                <w:rFonts w:ascii="Arial" w:hAnsi="Arial" w:cs="Arial"/>
                <w:sz w:val="24"/>
                <w:szCs w:val="24"/>
              </w:rPr>
              <w:t xml:space="preserve"> &amp; Associates Incorporated</w:t>
            </w:r>
            <w:r w:rsidR="00AC2047" w:rsidRPr="00AC2047">
              <w:rPr>
                <w:rFonts w:ascii="Arial" w:hAnsi="Arial" w:cs="Arial"/>
                <w:sz w:val="24"/>
                <w:szCs w:val="24"/>
                <w:shd w:val="clear" w:color="auto" w:fill="FFFFFF"/>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411B22" w:rsidRPr="00411B22" w:rsidRDefault="00C51B09" w:rsidP="00870C22">
            <w:pPr>
              <w:spacing w:after="0" w:line="360" w:lineRule="auto"/>
              <w:jc w:val="center"/>
              <w:rPr>
                <w:rFonts w:ascii="Arial" w:hAnsi="Arial" w:cs="Arial"/>
                <w:sz w:val="24"/>
                <w:szCs w:val="24"/>
                <w:shd w:val="clear" w:color="auto" w:fill="FFFFFF"/>
              </w:rPr>
            </w:pPr>
            <w:r>
              <w:rPr>
                <w:rFonts w:ascii="Arial" w:hAnsi="Arial" w:cs="Arial"/>
                <w:sz w:val="24"/>
                <w:szCs w:val="24"/>
              </w:rPr>
              <w:t xml:space="preserve">M </w:t>
            </w:r>
            <w:proofErr w:type="spellStart"/>
            <w:r>
              <w:rPr>
                <w:rFonts w:ascii="Arial" w:hAnsi="Arial" w:cs="Arial"/>
                <w:sz w:val="24"/>
                <w:szCs w:val="24"/>
              </w:rPr>
              <w:t>M</w:t>
            </w:r>
            <w:proofErr w:type="spellEnd"/>
            <w:r>
              <w:rPr>
                <w:rFonts w:ascii="Arial" w:hAnsi="Arial" w:cs="Arial"/>
                <w:sz w:val="24"/>
                <w:szCs w:val="24"/>
              </w:rPr>
              <w:t xml:space="preserve"> </w:t>
            </w:r>
            <w:proofErr w:type="spellStart"/>
            <w:r w:rsidR="00411B22" w:rsidRPr="00411B22">
              <w:rPr>
                <w:rFonts w:ascii="Arial" w:hAnsi="Arial" w:cs="Arial"/>
                <w:sz w:val="24"/>
                <w:szCs w:val="24"/>
              </w:rPr>
              <w:t>Amupolo</w:t>
            </w:r>
            <w:proofErr w:type="spellEnd"/>
            <w:r w:rsidR="00411B22" w:rsidRPr="00411B22">
              <w:rPr>
                <w:rFonts w:ascii="Arial" w:hAnsi="Arial" w:cs="Arial"/>
                <w:sz w:val="24"/>
                <w:szCs w:val="24"/>
                <w:shd w:val="clear" w:color="auto" w:fill="FFFFFF"/>
              </w:rPr>
              <w:t xml:space="preserve"> </w:t>
            </w:r>
          </w:p>
          <w:p w:rsidR="00870C22" w:rsidRDefault="00411B22" w:rsidP="00870C22">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Of</w:t>
            </w:r>
            <w:r w:rsidR="00AC2047">
              <w:rPr>
                <w:rFonts w:ascii="Arial" w:hAnsi="Arial" w:cs="Arial"/>
                <w:sz w:val="24"/>
                <w:szCs w:val="24"/>
                <w:shd w:val="clear" w:color="auto" w:fill="FFFFFF"/>
              </w:rPr>
              <w:t xml:space="preserve"> </w:t>
            </w:r>
          </w:p>
          <w:p w:rsidR="00D149DB" w:rsidRPr="00AC2047" w:rsidRDefault="00BE7170" w:rsidP="00BE7170">
            <w:pPr>
              <w:spacing w:after="0" w:line="360" w:lineRule="auto"/>
              <w:jc w:val="center"/>
              <w:rPr>
                <w:rFonts w:ascii="Arial" w:eastAsia="Times New Roman" w:hAnsi="Arial" w:cs="Arial"/>
                <w:sz w:val="24"/>
                <w:szCs w:val="24"/>
                <w:lang w:eastAsia="en-GB"/>
              </w:rPr>
            </w:pPr>
            <w:r w:rsidRPr="00BE7170">
              <w:rPr>
                <w:rFonts w:ascii="Arial" w:hAnsi="Arial" w:cs="Arial"/>
                <w:sz w:val="24"/>
                <w:szCs w:val="24"/>
              </w:rPr>
              <w:t xml:space="preserve">Jacobs </w:t>
            </w:r>
            <w:proofErr w:type="spellStart"/>
            <w:r w:rsidRPr="00BE7170">
              <w:rPr>
                <w:rFonts w:ascii="Arial" w:hAnsi="Arial" w:cs="Arial"/>
                <w:sz w:val="24"/>
                <w:szCs w:val="24"/>
              </w:rPr>
              <w:t>Amupolo</w:t>
            </w:r>
            <w:proofErr w:type="spellEnd"/>
            <w:r w:rsidRPr="00BE7170">
              <w:rPr>
                <w:rFonts w:ascii="Arial" w:hAnsi="Arial" w:cs="Arial"/>
                <w:sz w:val="24"/>
                <w:szCs w:val="24"/>
              </w:rPr>
              <w:t xml:space="preserve"> Lawyers &amp; Conveyancers</w:t>
            </w:r>
            <w:r w:rsidR="00AC2047" w:rsidRPr="00AC2047">
              <w:rPr>
                <w:rFonts w:ascii="Arial" w:hAnsi="Arial" w:cs="Arial"/>
                <w:sz w:val="24"/>
                <w:szCs w:val="24"/>
                <w:shd w:val="clear" w:color="auto" w:fill="FFFFFF"/>
              </w:rPr>
              <w:t>, Windhoek</w:t>
            </w:r>
          </w:p>
        </w:tc>
      </w:tr>
    </w:tbl>
    <w:p w:rsidR="003E2176" w:rsidRPr="00AC2047" w:rsidRDefault="003E2176" w:rsidP="003E2176">
      <w:pPr>
        <w:spacing w:line="360" w:lineRule="auto"/>
        <w:jc w:val="both"/>
        <w:rPr>
          <w:rFonts w:ascii="Arial" w:hAnsi="Arial" w:cs="Arial"/>
          <w:sz w:val="24"/>
          <w:szCs w:val="24"/>
        </w:rPr>
      </w:pPr>
      <w:bookmarkStart w:id="0" w:name="_GoBack"/>
      <w:bookmarkEnd w:id="0"/>
    </w:p>
    <w:sectPr w:rsidR="003E2176"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7E" w:rsidRDefault="007A467E" w:rsidP="001B7253">
      <w:pPr>
        <w:spacing w:after="0" w:line="240" w:lineRule="auto"/>
      </w:pPr>
      <w:r>
        <w:separator/>
      </w:r>
    </w:p>
  </w:endnote>
  <w:endnote w:type="continuationSeparator" w:id="0">
    <w:p w:rsidR="007A467E" w:rsidRDefault="007A467E"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7E" w:rsidRDefault="007A467E" w:rsidP="001B7253">
      <w:pPr>
        <w:spacing w:after="0" w:line="240" w:lineRule="auto"/>
      </w:pPr>
      <w:r>
        <w:separator/>
      </w:r>
    </w:p>
  </w:footnote>
  <w:footnote w:type="continuationSeparator" w:id="0">
    <w:p w:rsidR="007A467E" w:rsidRDefault="007A467E" w:rsidP="001B7253">
      <w:pPr>
        <w:spacing w:after="0" w:line="240" w:lineRule="auto"/>
      </w:pPr>
      <w:r>
        <w:continuationSeparator/>
      </w:r>
    </w:p>
  </w:footnote>
  <w:footnote w:id="1">
    <w:p w:rsidR="00105C3D" w:rsidRPr="003D5F1E" w:rsidRDefault="00105C3D" w:rsidP="00105C3D">
      <w:pPr>
        <w:pStyle w:val="FootnoteText"/>
        <w:jc w:val="both"/>
        <w:rPr>
          <w:rFonts w:ascii="Arial" w:hAnsi="Arial" w:cs="Arial"/>
        </w:rPr>
      </w:pPr>
      <w:r w:rsidRPr="003D5F1E">
        <w:rPr>
          <w:rStyle w:val="FootnoteReference"/>
          <w:rFonts w:ascii="Arial" w:hAnsi="Arial" w:cs="Arial"/>
        </w:rPr>
        <w:footnoteRef/>
      </w:r>
      <w:r w:rsidRPr="003D5F1E">
        <w:rPr>
          <w:rFonts w:ascii="Arial" w:hAnsi="Arial" w:cs="Arial"/>
        </w:rPr>
        <w:t xml:space="preserve"> </w:t>
      </w:r>
      <w:r w:rsidRPr="003D5F1E">
        <w:rPr>
          <w:rFonts w:ascii="Arial" w:hAnsi="Arial" w:cs="Arial"/>
          <w:i/>
        </w:rPr>
        <w:t xml:space="preserve">National Housing Enterprise v Maureen </w:t>
      </w:r>
      <w:proofErr w:type="spellStart"/>
      <w:r w:rsidRPr="003D5F1E">
        <w:rPr>
          <w:rFonts w:ascii="Arial" w:hAnsi="Arial" w:cs="Arial"/>
          <w:i/>
        </w:rPr>
        <w:t>Hinda</w:t>
      </w:r>
      <w:proofErr w:type="spellEnd"/>
      <w:r w:rsidRPr="003D5F1E">
        <w:rPr>
          <w:rFonts w:ascii="Arial" w:hAnsi="Arial" w:cs="Arial"/>
          <w:i/>
        </w:rPr>
        <w:t>–</w:t>
      </w:r>
      <w:proofErr w:type="spellStart"/>
      <w:r w:rsidRPr="003D5F1E">
        <w:rPr>
          <w:rFonts w:ascii="Arial" w:hAnsi="Arial" w:cs="Arial"/>
          <w:i/>
        </w:rPr>
        <w:t>Mbazira</w:t>
      </w:r>
      <w:proofErr w:type="spellEnd"/>
      <w:r w:rsidRPr="003D5F1E">
        <w:rPr>
          <w:rFonts w:ascii="Arial" w:hAnsi="Arial" w:cs="Arial"/>
        </w:rPr>
        <w:t xml:space="preserve"> 2014 (4) NR 1046 (SC).</w:t>
      </w:r>
    </w:p>
  </w:footnote>
  <w:footnote w:id="2">
    <w:p w:rsidR="00A34D9D" w:rsidRPr="003D5F1E" w:rsidRDefault="00A34D9D" w:rsidP="00105C3D">
      <w:pPr>
        <w:pStyle w:val="FootnoteText"/>
        <w:jc w:val="both"/>
        <w:rPr>
          <w:rFonts w:ascii="Arial" w:hAnsi="Arial" w:cs="Arial"/>
        </w:rPr>
      </w:pPr>
      <w:r w:rsidRPr="003D5F1E">
        <w:rPr>
          <w:rStyle w:val="FootnoteReference"/>
          <w:rFonts w:ascii="Arial" w:hAnsi="Arial" w:cs="Arial"/>
        </w:rPr>
        <w:footnoteRef/>
      </w:r>
      <w:r w:rsidRPr="003D5F1E">
        <w:rPr>
          <w:rFonts w:ascii="Arial" w:hAnsi="Arial" w:cs="Arial"/>
        </w:rPr>
        <w:t xml:space="preserve"> </w:t>
      </w:r>
      <w:r w:rsidR="002E5C9B" w:rsidRPr="003D5F1E">
        <w:rPr>
          <w:rFonts w:ascii="Arial" w:hAnsi="Arial" w:cs="Arial"/>
          <w:i/>
        </w:rPr>
        <w:t xml:space="preserve">National Housing Enterprise v Maureen </w:t>
      </w:r>
      <w:proofErr w:type="spellStart"/>
      <w:r w:rsidR="002E5C9B" w:rsidRPr="003D5F1E">
        <w:rPr>
          <w:rFonts w:ascii="Arial" w:hAnsi="Arial" w:cs="Arial"/>
          <w:i/>
        </w:rPr>
        <w:t>Hinda</w:t>
      </w:r>
      <w:proofErr w:type="spellEnd"/>
      <w:r w:rsidR="002E5C9B" w:rsidRPr="003D5F1E">
        <w:rPr>
          <w:rFonts w:ascii="Arial" w:hAnsi="Arial" w:cs="Arial"/>
          <w:i/>
        </w:rPr>
        <w:t>–</w:t>
      </w:r>
      <w:proofErr w:type="spellStart"/>
      <w:r w:rsidR="002E5C9B" w:rsidRPr="003D5F1E">
        <w:rPr>
          <w:rFonts w:ascii="Arial" w:hAnsi="Arial" w:cs="Arial"/>
          <w:i/>
        </w:rPr>
        <w:t>Mbazira</w:t>
      </w:r>
      <w:proofErr w:type="spellEnd"/>
      <w:r w:rsidR="002E5C9B" w:rsidRPr="003D5F1E">
        <w:rPr>
          <w:rFonts w:ascii="Arial" w:hAnsi="Arial" w:cs="Arial"/>
        </w:rPr>
        <w:t xml:space="preserve"> </w:t>
      </w:r>
      <w:r w:rsidRPr="003D5F1E">
        <w:rPr>
          <w:rFonts w:ascii="Arial" w:hAnsi="Arial" w:cs="Arial"/>
        </w:rPr>
        <w:t>Case No. LC 20/2011 (1 April 2011).</w:t>
      </w:r>
    </w:p>
  </w:footnote>
  <w:footnote w:id="3">
    <w:p w:rsidR="00A34D9D" w:rsidRPr="003D5F1E" w:rsidRDefault="00A34D9D" w:rsidP="00105C3D">
      <w:pPr>
        <w:pStyle w:val="FootnoteText"/>
        <w:jc w:val="both"/>
        <w:rPr>
          <w:rFonts w:ascii="Arial" w:hAnsi="Arial" w:cs="Arial"/>
        </w:rPr>
      </w:pPr>
      <w:r w:rsidRPr="003D5F1E">
        <w:rPr>
          <w:rStyle w:val="FootnoteReference"/>
          <w:rFonts w:ascii="Arial" w:hAnsi="Arial" w:cs="Arial"/>
        </w:rPr>
        <w:footnoteRef/>
      </w:r>
      <w:r w:rsidRPr="003D5F1E">
        <w:rPr>
          <w:rFonts w:ascii="Arial" w:hAnsi="Arial" w:cs="Arial"/>
        </w:rPr>
        <w:t xml:space="preserve"> </w:t>
      </w:r>
      <w:proofErr w:type="spellStart"/>
      <w:r w:rsidR="002E5C9B" w:rsidRPr="002E5C9B">
        <w:rPr>
          <w:rFonts w:ascii="Arial" w:hAnsi="Arial" w:cs="Arial"/>
          <w:i/>
        </w:rPr>
        <w:t>Potch</w:t>
      </w:r>
      <w:proofErr w:type="spellEnd"/>
      <w:r w:rsidR="002E5C9B" w:rsidRPr="002E5C9B">
        <w:rPr>
          <w:rFonts w:ascii="Arial" w:hAnsi="Arial" w:cs="Arial"/>
          <w:i/>
        </w:rPr>
        <w:t xml:space="preserve"> Speed Den v Rajah</w:t>
      </w:r>
      <w:r w:rsidR="002E5C9B" w:rsidRPr="003D5F1E">
        <w:rPr>
          <w:rFonts w:ascii="Arial" w:hAnsi="Arial" w:cs="Arial"/>
        </w:rPr>
        <w:t xml:space="preserve"> </w:t>
      </w:r>
      <w:r w:rsidRPr="003D5F1E">
        <w:rPr>
          <w:rFonts w:ascii="Arial" w:hAnsi="Arial" w:cs="Arial"/>
        </w:rPr>
        <w:t>(1999) 20 ILJ 2676 (LC).</w:t>
      </w:r>
    </w:p>
  </w:footnote>
  <w:footnote w:id="4">
    <w:p w:rsidR="00A34D9D" w:rsidRPr="003D5F1E" w:rsidRDefault="00A34D9D" w:rsidP="00105C3D">
      <w:pPr>
        <w:pStyle w:val="FootnoteText"/>
        <w:jc w:val="both"/>
        <w:rPr>
          <w:rFonts w:ascii="Arial" w:hAnsi="Arial" w:cs="Arial"/>
        </w:rPr>
      </w:pPr>
      <w:r w:rsidRPr="003D5F1E">
        <w:rPr>
          <w:rStyle w:val="FootnoteReference"/>
          <w:rFonts w:ascii="Arial" w:hAnsi="Arial" w:cs="Arial"/>
        </w:rPr>
        <w:footnoteRef/>
      </w:r>
      <w:r w:rsidRPr="003D5F1E">
        <w:rPr>
          <w:rFonts w:ascii="Arial" w:hAnsi="Arial" w:cs="Arial"/>
        </w:rPr>
        <w:t xml:space="preserve"> See </w:t>
      </w:r>
      <w:r w:rsidRPr="003D5F1E">
        <w:rPr>
          <w:rFonts w:ascii="Arial" w:hAnsi="Arial" w:cs="Arial"/>
          <w:i/>
        </w:rPr>
        <w:t>National</w:t>
      </w:r>
      <w:r>
        <w:rPr>
          <w:rFonts w:ascii="Arial" w:hAnsi="Arial" w:cs="Arial"/>
          <w:i/>
        </w:rPr>
        <w:t xml:space="preserve"> Housing E</w:t>
      </w:r>
      <w:r w:rsidRPr="003D5F1E">
        <w:rPr>
          <w:rFonts w:ascii="Arial" w:hAnsi="Arial" w:cs="Arial"/>
          <w:i/>
        </w:rPr>
        <w:t xml:space="preserve">nterprise v </w:t>
      </w:r>
      <w:proofErr w:type="spellStart"/>
      <w:r w:rsidR="002E5C9B" w:rsidRPr="003D5F1E">
        <w:rPr>
          <w:rFonts w:ascii="Arial" w:hAnsi="Arial" w:cs="Arial"/>
          <w:i/>
        </w:rPr>
        <w:t>Hinda</w:t>
      </w:r>
      <w:proofErr w:type="spellEnd"/>
      <w:r w:rsidR="002E5C9B" w:rsidRPr="003D5F1E">
        <w:rPr>
          <w:rFonts w:ascii="Arial" w:hAnsi="Arial" w:cs="Arial"/>
          <w:i/>
        </w:rPr>
        <w:t>–</w:t>
      </w:r>
      <w:proofErr w:type="spellStart"/>
      <w:r w:rsidR="002E5C9B" w:rsidRPr="003D5F1E">
        <w:rPr>
          <w:rFonts w:ascii="Arial" w:hAnsi="Arial" w:cs="Arial"/>
          <w:i/>
        </w:rPr>
        <w:t>Mbazira</w:t>
      </w:r>
      <w:proofErr w:type="spellEnd"/>
      <w:r w:rsidRPr="003D5F1E">
        <w:rPr>
          <w:rFonts w:ascii="Arial" w:hAnsi="Arial" w:cs="Arial"/>
        </w:rPr>
        <w:t xml:space="preserve"> footnote 1 para 60.</w:t>
      </w:r>
    </w:p>
  </w:footnote>
  <w:footnote w:id="5">
    <w:p w:rsidR="00A34D9D" w:rsidRPr="003D5F1E" w:rsidRDefault="00A34D9D" w:rsidP="00105C3D">
      <w:pPr>
        <w:pStyle w:val="FootnoteText"/>
        <w:jc w:val="both"/>
        <w:rPr>
          <w:rFonts w:ascii="Arial" w:hAnsi="Arial" w:cs="Arial"/>
        </w:rPr>
      </w:pPr>
      <w:r w:rsidRPr="003D5F1E">
        <w:rPr>
          <w:rStyle w:val="FootnoteReference"/>
          <w:rFonts w:ascii="Arial" w:hAnsi="Arial" w:cs="Arial"/>
        </w:rPr>
        <w:footnoteRef/>
      </w:r>
      <w:r w:rsidRPr="003D5F1E">
        <w:rPr>
          <w:rFonts w:ascii="Arial" w:hAnsi="Arial" w:cs="Arial"/>
        </w:rPr>
        <w:t xml:space="preserve"> See </w:t>
      </w:r>
      <w:r w:rsidRPr="003D5F1E">
        <w:rPr>
          <w:rFonts w:ascii="Arial" w:hAnsi="Arial" w:cs="Arial"/>
          <w:i/>
        </w:rPr>
        <w:t>National</w:t>
      </w:r>
      <w:r>
        <w:rPr>
          <w:rFonts w:ascii="Arial" w:hAnsi="Arial" w:cs="Arial"/>
          <w:i/>
        </w:rPr>
        <w:t xml:space="preserve"> Housing E</w:t>
      </w:r>
      <w:r w:rsidRPr="003D5F1E">
        <w:rPr>
          <w:rFonts w:ascii="Arial" w:hAnsi="Arial" w:cs="Arial"/>
          <w:i/>
        </w:rPr>
        <w:t xml:space="preserve">nterprise v </w:t>
      </w:r>
      <w:proofErr w:type="spellStart"/>
      <w:r w:rsidR="002E5C9B" w:rsidRPr="003D5F1E">
        <w:rPr>
          <w:rFonts w:ascii="Arial" w:hAnsi="Arial" w:cs="Arial"/>
          <w:i/>
        </w:rPr>
        <w:t>Hinda</w:t>
      </w:r>
      <w:proofErr w:type="spellEnd"/>
      <w:r w:rsidR="002E5C9B" w:rsidRPr="003D5F1E">
        <w:rPr>
          <w:rFonts w:ascii="Arial" w:hAnsi="Arial" w:cs="Arial"/>
          <w:i/>
        </w:rPr>
        <w:t>–</w:t>
      </w:r>
      <w:proofErr w:type="spellStart"/>
      <w:r w:rsidR="002E5C9B" w:rsidRPr="003D5F1E">
        <w:rPr>
          <w:rFonts w:ascii="Arial" w:hAnsi="Arial" w:cs="Arial"/>
          <w:i/>
        </w:rPr>
        <w:t>Mbazira</w:t>
      </w:r>
      <w:proofErr w:type="spellEnd"/>
      <w:r w:rsidRPr="003D5F1E">
        <w:rPr>
          <w:rFonts w:ascii="Arial" w:hAnsi="Arial" w:cs="Arial"/>
        </w:rPr>
        <w:t xml:space="preserve"> footnote 2.</w:t>
      </w:r>
    </w:p>
  </w:footnote>
  <w:footnote w:id="6">
    <w:p w:rsidR="00A34D9D" w:rsidRDefault="00A34D9D" w:rsidP="00105C3D">
      <w:pPr>
        <w:pStyle w:val="FootnoteText"/>
        <w:jc w:val="both"/>
      </w:pPr>
      <w:r w:rsidRPr="003D5F1E">
        <w:rPr>
          <w:rStyle w:val="FootnoteReference"/>
          <w:rFonts w:ascii="Arial" w:hAnsi="Arial" w:cs="Arial"/>
        </w:rPr>
        <w:footnoteRef/>
      </w:r>
      <w:r w:rsidRPr="003D5F1E">
        <w:rPr>
          <w:rFonts w:ascii="Arial" w:hAnsi="Arial" w:cs="Arial"/>
        </w:rPr>
        <w:t xml:space="preserve"> </w:t>
      </w:r>
      <w:r w:rsidRPr="003D5F1E">
        <w:rPr>
          <w:rFonts w:ascii="Arial" w:hAnsi="Arial" w:cs="Arial"/>
          <w:i/>
        </w:rPr>
        <w:t xml:space="preserve">Air Namibia Limited v </w:t>
      </w:r>
      <w:proofErr w:type="spellStart"/>
      <w:r w:rsidRPr="003D5F1E">
        <w:rPr>
          <w:rFonts w:ascii="Arial" w:hAnsi="Arial" w:cs="Arial"/>
          <w:i/>
        </w:rPr>
        <w:t>Sheelongo</w:t>
      </w:r>
      <w:proofErr w:type="spellEnd"/>
      <w:r w:rsidRPr="003D5F1E">
        <w:rPr>
          <w:rFonts w:ascii="Arial" w:hAnsi="Arial" w:cs="Arial"/>
        </w:rPr>
        <w:t xml:space="preserve"> [2015] NALCMD 14 (17 June 2015).</w:t>
      </w:r>
    </w:p>
  </w:footnote>
  <w:footnote w:id="7">
    <w:p w:rsidR="00A34D9D" w:rsidRPr="00A34D9D" w:rsidRDefault="00A34D9D" w:rsidP="00105C3D">
      <w:pPr>
        <w:pStyle w:val="FootnoteText"/>
        <w:jc w:val="both"/>
        <w:rPr>
          <w:rFonts w:ascii="Arial" w:hAnsi="Arial" w:cs="Arial"/>
        </w:rPr>
      </w:pPr>
      <w:r w:rsidRPr="00A34D9D">
        <w:rPr>
          <w:rStyle w:val="FootnoteReference"/>
          <w:rFonts w:ascii="Arial" w:hAnsi="Arial" w:cs="Arial"/>
        </w:rPr>
        <w:footnoteRef/>
      </w:r>
      <w:r w:rsidRPr="00A34D9D">
        <w:rPr>
          <w:rFonts w:ascii="Arial" w:hAnsi="Arial" w:cs="Arial"/>
        </w:rPr>
        <w:t xml:space="preserve"> </w:t>
      </w:r>
      <w:r w:rsidRPr="00A34D9D">
        <w:rPr>
          <w:rFonts w:ascii="Arial" w:hAnsi="Arial" w:cs="Arial"/>
          <w:i/>
        </w:rPr>
        <w:t xml:space="preserve">Transnamib Holdings Limited v </w:t>
      </w:r>
      <w:proofErr w:type="spellStart"/>
      <w:r w:rsidRPr="00A34D9D">
        <w:rPr>
          <w:rFonts w:ascii="Arial" w:hAnsi="Arial" w:cs="Arial"/>
          <w:i/>
        </w:rPr>
        <w:t>Tjivikua</w:t>
      </w:r>
      <w:proofErr w:type="spellEnd"/>
      <w:r>
        <w:rPr>
          <w:rFonts w:ascii="Arial" w:hAnsi="Arial" w:cs="Arial"/>
        </w:rPr>
        <w:t xml:space="preserve"> [2019] NAHCMD 19 (21 June 2019).</w:t>
      </w:r>
    </w:p>
  </w:footnote>
  <w:footnote w:id="8">
    <w:p w:rsidR="00C87082" w:rsidRPr="00C87082" w:rsidRDefault="00C87082" w:rsidP="00105C3D">
      <w:pPr>
        <w:pStyle w:val="FootnoteText"/>
        <w:jc w:val="both"/>
        <w:rPr>
          <w:rFonts w:ascii="Arial" w:hAnsi="Arial" w:cs="Arial"/>
        </w:rPr>
      </w:pPr>
      <w:r w:rsidRPr="00C87082">
        <w:rPr>
          <w:rStyle w:val="FootnoteReference"/>
          <w:rFonts w:ascii="Arial" w:hAnsi="Arial" w:cs="Arial"/>
        </w:rPr>
        <w:footnoteRef/>
      </w:r>
      <w:r w:rsidRPr="00C87082">
        <w:rPr>
          <w:rFonts w:ascii="Arial" w:hAnsi="Arial" w:cs="Arial"/>
        </w:rPr>
        <w:t xml:space="preserve"> </w:t>
      </w:r>
      <w:r w:rsidRPr="00C87082">
        <w:rPr>
          <w:rFonts w:ascii="Arial" w:hAnsi="Arial" w:cs="Arial"/>
          <w:i/>
        </w:rPr>
        <w:t xml:space="preserve">National Housing Enterprise v Maureen </w:t>
      </w:r>
      <w:proofErr w:type="spellStart"/>
      <w:r w:rsidR="002E5C9B" w:rsidRPr="003D5F1E">
        <w:rPr>
          <w:rFonts w:ascii="Arial" w:hAnsi="Arial" w:cs="Arial"/>
          <w:i/>
        </w:rPr>
        <w:t>Hinda</w:t>
      </w:r>
      <w:proofErr w:type="spellEnd"/>
      <w:r w:rsidR="002E5C9B" w:rsidRPr="003D5F1E">
        <w:rPr>
          <w:rFonts w:ascii="Arial" w:hAnsi="Arial" w:cs="Arial"/>
          <w:i/>
        </w:rPr>
        <w:t>–</w:t>
      </w:r>
      <w:proofErr w:type="spellStart"/>
      <w:r w:rsidR="002E5C9B" w:rsidRPr="003D5F1E">
        <w:rPr>
          <w:rFonts w:ascii="Arial" w:hAnsi="Arial" w:cs="Arial"/>
          <w:i/>
        </w:rPr>
        <w:t>Mbazira</w:t>
      </w:r>
      <w:proofErr w:type="spellEnd"/>
      <w:r>
        <w:rPr>
          <w:rFonts w:ascii="Arial" w:hAnsi="Arial" w:cs="Arial"/>
        </w:rPr>
        <w:t xml:space="preserve"> </w:t>
      </w:r>
      <w:r w:rsidR="00E34763">
        <w:rPr>
          <w:rFonts w:ascii="Arial" w:hAnsi="Arial" w:cs="Arial"/>
        </w:rPr>
        <w:t>foot</w:t>
      </w:r>
      <w:r>
        <w:rPr>
          <w:rFonts w:ascii="Arial" w:hAnsi="Arial" w:cs="Arial"/>
        </w:rPr>
        <w:t>note 1 para 60.</w:t>
      </w:r>
    </w:p>
  </w:footnote>
  <w:footnote w:id="9">
    <w:p w:rsidR="00A34D9D" w:rsidRPr="00A34D9D" w:rsidRDefault="00A34D9D" w:rsidP="00105C3D">
      <w:pPr>
        <w:pStyle w:val="FootnoteText"/>
        <w:jc w:val="both"/>
        <w:rPr>
          <w:rFonts w:ascii="Arial" w:hAnsi="Arial" w:cs="Arial"/>
        </w:rPr>
      </w:pPr>
      <w:r w:rsidRPr="00A34D9D">
        <w:rPr>
          <w:rStyle w:val="FootnoteReference"/>
          <w:rFonts w:ascii="Arial" w:hAnsi="Arial" w:cs="Arial"/>
        </w:rPr>
        <w:footnoteRef/>
      </w:r>
      <w:r w:rsidRPr="00A34D9D">
        <w:rPr>
          <w:rFonts w:ascii="Arial" w:hAnsi="Arial" w:cs="Arial"/>
        </w:rPr>
        <w:t xml:space="preserve"> </w:t>
      </w:r>
      <w:proofErr w:type="spellStart"/>
      <w:r w:rsidRPr="00A34D9D">
        <w:rPr>
          <w:rFonts w:ascii="Arial" w:hAnsi="Arial" w:cs="Arial"/>
          <w:i/>
        </w:rPr>
        <w:t>Kapapero</w:t>
      </w:r>
      <w:proofErr w:type="spellEnd"/>
      <w:r w:rsidRPr="00A34D9D">
        <w:rPr>
          <w:rFonts w:ascii="Arial" w:hAnsi="Arial" w:cs="Arial"/>
          <w:i/>
        </w:rPr>
        <w:t xml:space="preserve"> NO v </w:t>
      </w:r>
      <w:proofErr w:type="spellStart"/>
      <w:r w:rsidRPr="00A34D9D">
        <w:rPr>
          <w:rFonts w:ascii="Arial" w:hAnsi="Arial" w:cs="Arial"/>
          <w:i/>
        </w:rPr>
        <w:t>Silumbu</w:t>
      </w:r>
      <w:proofErr w:type="spellEnd"/>
      <w:r>
        <w:rPr>
          <w:rFonts w:ascii="Arial" w:hAnsi="Arial" w:cs="Arial"/>
        </w:rPr>
        <w:t xml:space="preserve"> [2023] NALCMD 30 (19 July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C51B09">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2C2EB8"/>
    <w:multiLevelType w:val="hybridMultilevel"/>
    <w:tmpl w:val="9796D046"/>
    <w:lvl w:ilvl="0" w:tplc="FCFAB490">
      <w:start w:val="1"/>
      <w:numFmt w:val="decimal"/>
      <w:lvlText w:val="%1."/>
      <w:lvlJc w:val="lef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4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4"/>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3"/>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5"/>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189B"/>
    <w:rsid w:val="001026BD"/>
    <w:rsid w:val="00102AFF"/>
    <w:rsid w:val="00102CCD"/>
    <w:rsid w:val="001035B8"/>
    <w:rsid w:val="001039E8"/>
    <w:rsid w:val="00105B0E"/>
    <w:rsid w:val="00105B20"/>
    <w:rsid w:val="00105C3D"/>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4E2E"/>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40"/>
    <w:rsid w:val="002603E6"/>
    <w:rsid w:val="002616D1"/>
    <w:rsid w:val="0026521E"/>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71B"/>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588"/>
    <w:rsid w:val="002E386B"/>
    <w:rsid w:val="002E3FF2"/>
    <w:rsid w:val="002E5C9B"/>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5B2"/>
    <w:rsid w:val="003D1908"/>
    <w:rsid w:val="003D2DB2"/>
    <w:rsid w:val="003D46DC"/>
    <w:rsid w:val="003D5F1E"/>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B22"/>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8B0"/>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C69"/>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4CB6"/>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2D7F"/>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456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25E2"/>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467E"/>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C22"/>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156A"/>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0B9"/>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4D9D"/>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85990"/>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2B94"/>
    <w:rsid w:val="00AB4A8B"/>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5CF"/>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170"/>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1AB5"/>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1B09"/>
    <w:rsid w:val="00C51C8D"/>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55FC"/>
    <w:rsid w:val="00C76597"/>
    <w:rsid w:val="00C76D72"/>
    <w:rsid w:val="00C77301"/>
    <w:rsid w:val="00C82B15"/>
    <w:rsid w:val="00C834A5"/>
    <w:rsid w:val="00C8350D"/>
    <w:rsid w:val="00C84628"/>
    <w:rsid w:val="00C84E7C"/>
    <w:rsid w:val="00C84FEE"/>
    <w:rsid w:val="00C85CAF"/>
    <w:rsid w:val="00C85F51"/>
    <w:rsid w:val="00C85FB0"/>
    <w:rsid w:val="00C87082"/>
    <w:rsid w:val="00C87DD7"/>
    <w:rsid w:val="00C916B0"/>
    <w:rsid w:val="00C91F12"/>
    <w:rsid w:val="00C93372"/>
    <w:rsid w:val="00C94371"/>
    <w:rsid w:val="00C96BA1"/>
    <w:rsid w:val="00CA0125"/>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4CEB"/>
    <w:rsid w:val="00CB5855"/>
    <w:rsid w:val="00CB5865"/>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D7E34"/>
    <w:rsid w:val="00CE0E4B"/>
    <w:rsid w:val="00CE1D35"/>
    <w:rsid w:val="00CE1D49"/>
    <w:rsid w:val="00CE3C59"/>
    <w:rsid w:val="00CE4C55"/>
    <w:rsid w:val="00CE62E0"/>
    <w:rsid w:val="00CF123E"/>
    <w:rsid w:val="00CF12CF"/>
    <w:rsid w:val="00CF1ABC"/>
    <w:rsid w:val="00CF1EA8"/>
    <w:rsid w:val="00CF279C"/>
    <w:rsid w:val="00CF4C65"/>
    <w:rsid w:val="00CF5E1A"/>
    <w:rsid w:val="00CF60F4"/>
    <w:rsid w:val="00CF7076"/>
    <w:rsid w:val="00CF7CA8"/>
    <w:rsid w:val="00D00BC8"/>
    <w:rsid w:val="00D01A31"/>
    <w:rsid w:val="00D033CC"/>
    <w:rsid w:val="00D0362F"/>
    <w:rsid w:val="00D03D3E"/>
    <w:rsid w:val="00D071F4"/>
    <w:rsid w:val="00D10952"/>
    <w:rsid w:val="00D10C26"/>
    <w:rsid w:val="00D11025"/>
    <w:rsid w:val="00D1188E"/>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0ED1"/>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3FA"/>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180"/>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763"/>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EF79DF"/>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67F79"/>
    <w:rsid w:val="00F704FA"/>
    <w:rsid w:val="00F71B92"/>
    <w:rsid w:val="00F7245F"/>
    <w:rsid w:val="00F72B44"/>
    <w:rsid w:val="00F7300D"/>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452"/>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2023-09-03T18:30:00+00:00</Judgment_x0020_Date>
    <Year xmlns="aec0a7e9-5f5c-4ba9-87b2-85cfc8a38b86">2023</Year>
  </documentManagement>
</p:properties>
</file>

<file path=customXml/itemProps1.xml><?xml version="1.0" encoding="utf-8"?>
<ds:datastoreItem xmlns:ds="http://schemas.openxmlformats.org/officeDocument/2006/customXml" ds:itemID="{ACE11F22-D4E9-4A9F-BB75-E0F2CCEE7A6F}"/>
</file>

<file path=customXml/itemProps2.xml><?xml version="1.0" encoding="utf-8"?>
<ds:datastoreItem xmlns:ds="http://schemas.openxmlformats.org/officeDocument/2006/customXml" ds:itemID="{84EC7E4E-246B-42C5-B10A-AE7E6E44053E}"/>
</file>

<file path=customXml/itemProps3.xml><?xml version="1.0" encoding="utf-8"?>
<ds:datastoreItem xmlns:ds="http://schemas.openxmlformats.org/officeDocument/2006/customXml" ds:itemID="{51E6E281-5611-4FB5-9ED6-102D6E1DFA29}"/>
</file>

<file path=customXml/itemProps4.xml><?xml version="1.0" encoding="utf-8"?>
<ds:datastoreItem xmlns:ds="http://schemas.openxmlformats.org/officeDocument/2006/customXml" ds:itemID="{2BDBFAD0-EB7E-4945-806D-0BBB53042D64}"/>
</file>

<file path=docProps/app.xml><?xml version="1.0" encoding="utf-8"?>
<Properties xmlns="http://schemas.openxmlformats.org/officeDocument/2006/extended-properties" xmlns:vt="http://schemas.openxmlformats.org/officeDocument/2006/docPropsVTypes">
  <Template>Normal</Template>
  <TotalTime>264</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Training College–Lingua v Rusere (HC-MD-LAB-MOT-GEN-202300027) [2023] NALCMD 42 (4 September 2023)</dc:title>
  <dc:subject/>
  <dc:creator>Selma Nambahu</dc:creator>
  <cp:keywords/>
  <dc:description/>
  <cp:lastModifiedBy>Lusia Simon</cp:lastModifiedBy>
  <cp:revision>12</cp:revision>
  <cp:lastPrinted>2021-04-28T08:59:00Z</cp:lastPrinted>
  <dcterms:created xsi:type="dcterms:W3CDTF">2023-08-02T08:57:00Z</dcterms:created>
  <dcterms:modified xsi:type="dcterms:W3CDTF">2023-09-04T07:39:00Z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