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D74D3" w14:textId="1B413A0B" w:rsidR="00853524" w:rsidRPr="00EC35D7" w:rsidRDefault="00853524" w:rsidP="009838FE">
      <w:pPr>
        <w:jc w:val="center"/>
        <w:rPr>
          <w:b/>
        </w:rPr>
      </w:pPr>
      <w:r w:rsidRPr="00EC35D7">
        <w:rPr>
          <w:b/>
        </w:rPr>
        <w:t>REPUBLIC OF NAMIBIA</w:t>
      </w:r>
    </w:p>
    <w:p w14:paraId="4D884DEA" w14:textId="05633A06" w:rsidR="00853524" w:rsidRPr="00EC35D7" w:rsidRDefault="00853524" w:rsidP="009838FE">
      <w:pPr>
        <w:jc w:val="center"/>
        <w:rPr>
          <w:b/>
          <w:sz w:val="32"/>
          <w:szCs w:val="32"/>
        </w:rPr>
      </w:pPr>
      <w:r w:rsidRPr="00EC35D7">
        <w:rPr>
          <w:b/>
          <w:noProof/>
          <w:sz w:val="32"/>
          <w:szCs w:val="32"/>
          <w:lang w:val="en-ZA" w:eastAsia="en-ZA"/>
        </w:rPr>
        <w:drawing>
          <wp:inline distT="0" distB="0" distL="0" distR="0" wp14:anchorId="35A986BC" wp14:editId="43A2A18E">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r w:rsidR="00920F28" w:rsidRPr="00EC35D7">
        <w:rPr>
          <w:b/>
          <w:sz w:val="32"/>
          <w:szCs w:val="32"/>
        </w:rPr>
        <w:t xml:space="preserve"> </w:t>
      </w:r>
    </w:p>
    <w:p w14:paraId="0121DDEF" w14:textId="77777777" w:rsidR="00853524" w:rsidRPr="00EC35D7" w:rsidRDefault="00853524" w:rsidP="009838FE">
      <w:pPr>
        <w:jc w:val="center"/>
        <w:rPr>
          <w:bCs/>
        </w:rPr>
      </w:pPr>
      <w:r w:rsidRPr="00EC35D7">
        <w:rPr>
          <w:b/>
        </w:rPr>
        <w:t>HIGH COURT OF NAMIBIA MAIN DIVISION, WINDHOEK</w:t>
      </w:r>
    </w:p>
    <w:p w14:paraId="0B4BB7B9" w14:textId="36649F42" w:rsidR="00853524" w:rsidRPr="00EC35D7" w:rsidRDefault="00140A9D" w:rsidP="009838FE">
      <w:pPr>
        <w:jc w:val="center"/>
        <w:rPr>
          <w:b/>
        </w:rPr>
      </w:pPr>
      <w:r w:rsidRPr="00EC35D7">
        <w:rPr>
          <w:b/>
        </w:rPr>
        <w:t>JUDGMENT</w:t>
      </w:r>
    </w:p>
    <w:p w14:paraId="10002988" w14:textId="77777777" w:rsidR="0088323A" w:rsidRPr="00EC35D7" w:rsidRDefault="0088323A" w:rsidP="009838FE">
      <w:pPr>
        <w:jc w:val="center"/>
        <w:rPr>
          <w:b/>
        </w:rPr>
      </w:pPr>
    </w:p>
    <w:p w14:paraId="0B3B6951" w14:textId="3A48ACD5" w:rsidR="00853524" w:rsidRPr="00EC35D7" w:rsidRDefault="008F2C0E" w:rsidP="009838FE">
      <w:pPr>
        <w:ind w:left="2880"/>
      </w:pPr>
      <w:r>
        <w:t xml:space="preserve">           </w:t>
      </w:r>
      <w:r w:rsidR="00853524" w:rsidRPr="00EC35D7">
        <w:t>Case no:</w:t>
      </w:r>
      <w:r w:rsidR="0088323A" w:rsidRPr="00EC35D7">
        <w:t xml:space="preserve"> </w:t>
      </w:r>
      <w:r w:rsidR="00C5310A" w:rsidRPr="00ED40B3">
        <w:rPr>
          <w:bCs/>
        </w:rPr>
        <w:t>HC-MD-LAB-APP-AAA-2020/00069</w:t>
      </w:r>
    </w:p>
    <w:p w14:paraId="1B893506" w14:textId="77777777" w:rsidR="009F4BED" w:rsidRPr="00EC35D7" w:rsidRDefault="009F4BED" w:rsidP="009838FE"/>
    <w:p w14:paraId="6DC7213D" w14:textId="77777777" w:rsidR="009F4BED" w:rsidRPr="00EC35D7" w:rsidRDefault="009F4BED" w:rsidP="009838FE"/>
    <w:p w14:paraId="01440233" w14:textId="79C3F627" w:rsidR="00853524" w:rsidRPr="00EC35D7" w:rsidRDefault="00853524" w:rsidP="009838FE">
      <w:r w:rsidRPr="00EC35D7">
        <w:t>In the matter between:</w:t>
      </w:r>
    </w:p>
    <w:p w14:paraId="291513BA" w14:textId="77777777" w:rsidR="00853524" w:rsidRPr="00EC35D7" w:rsidRDefault="00853524" w:rsidP="009838FE"/>
    <w:p w14:paraId="15FACE8A" w14:textId="2E11740A" w:rsidR="00C5310A" w:rsidRPr="00EC35D7" w:rsidRDefault="00C5310A" w:rsidP="009838FE">
      <w:pPr>
        <w:pStyle w:val="NoSpacing"/>
        <w:spacing w:line="360" w:lineRule="auto"/>
        <w:rPr>
          <w:b/>
          <w:lang w:val="en-GB"/>
        </w:rPr>
      </w:pPr>
      <w:r w:rsidRPr="00EC35D7">
        <w:rPr>
          <w:b/>
          <w:lang w:val="en-GB"/>
        </w:rPr>
        <w:t xml:space="preserve">TITUS ANDREAS </w:t>
      </w:r>
      <w:proofErr w:type="gramStart"/>
      <w:r w:rsidRPr="00EC35D7">
        <w:rPr>
          <w:b/>
          <w:lang w:val="en-GB"/>
        </w:rPr>
        <w:t xml:space="preserve">SHIKEMENI  </w:t>
      </w:r>
      <w:r w:rsidRPr="00EC35D7">
        <w:rPr>
          <w:b/>
          <w:lang w:val="en-GB"/>
        </w:rPr>
        <w:tab/>
      </w:r>
      <w:proofErr w:type="gramEnd"/>
      <w:r w:rsidRPr="00EC35D7">
        <w:rPr>
          <w:b/>
          <w:lang w:val="en-GB"/>
        </w:rPr>
        <w:tab/>
      </w:r>
      <w:r w:rsidRPr="00EC35D7">
        <w:rPr>
          <w:b/>
          <w:lang w:val="en-GB"/>
        </w:rPr>
        <w:tab/>
      </w:r>
      <w:r w:rsidRPr="00EC35D7">
        <w:rPr>
          <w:b/>
          <w:lang w:val="en-GB"/>
        </w:rPr>
        <w:tab/>
        <w:t>FIRST APPELLANT</w:t>
      </w:r>
    </w:p>
    <w:p w14:paraId="4886001D" w14:textId="65E80753" w:rsidR="00883895" w:rsidRPr="006C1871" w:rsidRDefault="00C5310A" w:rsidP="006C1871">
      <w:pPr>
        <w:pStyle w:val="NoSpacing"/>
        <w:spacing w:line="360" w:lineRule="auto"/>
        <w:rPr>
          <w:b/>
          <w:lang w:val="en-GB"/>
        </w:rPr>
      </w:pPr>
      <w:r w:rsidRPr="00EC35D7">
        <w:rPr>
          <w:b/>
          <w:lang w:val="en-GB"/>
        </w:rPr>
        <w:t>BEN SEROGWE</w:t>
      </w:r>
      <w:r w:rsidRPr="00EC35D7">
        <w:rPr>
          <w:b/>
          <w:lang w:val="en-GB"/>
        </w:rPr>
        <w:tab/>
      </w:r>
      <w:r w:rsidRPr="00EC35D7">
        <w:rPr>
          <w:b/>
          <w:lang w:val="en-GB"/>
        </w:rPr>
        <w:tab/>
      </w:r>
      <w:r w:rsidRPr="00EC35D7">
        <w:rPr>
          <w:b/>
          <w:lang w:val="en-GB"/>
        </w:rPr>
        <w:tab/>
      </w:r>
      <w:r w:rsidRPr="00EC35D7">
        <w:rPr>
          <w:b/>
          <w:lang w:val="en-GB"/>
        </w:rPr>
        <w:tab/>
      </w:r>
      <w:r w:rsidRPr="00EC35D7">
        <w:rPr>
          <w:b/>
          <w:lang w:val="en-GB"/>
        </w:rPr>
        <w:tab/>
        <w:t xml:space="preserve">      SECOND APPELLANT</w:t>
      </w:r>
      <w:r w:rsidRPr="00EC35D7">
        <w:rPr>
          <w:b/>
          <w:lang w:val="en-GB"/>
        </w:rPr>
        <w:tab/>
      </w:r>
      <w:r w:rsidRPr="00EC35D7">
        <w:rPr>
          <w:b/>
          <w:lang w:val="en-GB"/>
        </w:rPr>
        <w:tab/>
        <w:t xml:space="preserve">           </w:t>
      </w:r>
    </w:p>
    <w:p w14:paraId="35124039" w14:textId="77777777" w:rsidR="00853524" w:rsidRPr="00EC35D7" w:rsidRDefault="00853524" w:rsidP="009838FE">
      <w:r w:rsidRPr="00EC35D7">
        <w:t>and</w:t>
      </w:r>
    </w:p>
    <w:p w14:paraId="72A36D59" w14:textId="367884A8" w:rsidR="008B1836" w:rsidRPr="00EC35D7" w:rsidRDefault="00883895" w:rsidP="009838FE">
      <w:r w:rsidRPr="00EC35D7">
        <w:t xml:space="preserve">   </w:t>
      </w:r>
    </w:p>
    <w:p w14:paraId="5CE8A920" w14:textId="2C4CEAE7" w:rsidR="00883895" w:rsidRPr="00EC35D7" w:rsidRDefault="00165567" w:rsidP="009838FE">
      <w:pPr>
        <w:rPr>
          <w:b/>
        </w:rPr>
      </w:pPr>
      <w:r w:rsidRPr="00EC35D7">
        <w:rPr>
          <w:b/>
        </w:rPr>
        <w:t>TRANSNAMIB</w:t>
      </w:r>
      <w:r w:rsidR="00C5310A" w:rsidRPr="00EC35D7">
        <w:rPr>
          <w:b/>
        </w:rPr>
        <w:t xml:space="preserve"> HOLDING</w:t>
      </w:r>
      <w:r w:rsidR="008F2C0E">
        <w:rPr>
          <w:b/>
        </w:rPr>
        <w:t>S</w:t>
      </w:r>
      <w:r w:rsidR="00C5310A" w:rsidRPr="00EC35D7">
        <w:rPr>
          <w:b/>
        </w:rPr>
        <w:tab/>
      </w:r>
      <w:r w:rsidR="00C5310A" w:rsidRPr="00EC35D7">
        <w:rPr>
          <w:b/>
        </w:rPr>
        <w:tab/>
      </w:r>
      <w:r w:rsidR="00883895" w:rsidRPr="00EC35D7">
        <w:rPr>
          <w:b/>
        </w:rPr>
        <w:t xml:space="preserve">     </w:t>
      </w:r>
      <w:r w:rsidR="008968DB">
        <w:rPr>
          <w:b/>
        </w:rPr>
        <w:tab/>
        <w:t xml:space="preserve">      </w:t>
      </w:r>
      <w:r w:rsidR="00883895" w:rsidRPr="00EC35D7">
        <w:rPr>
          <w:b/>
        </w:rPr>
        <w:t>FIRST RESPONDENT</w:t>
      </w:r>
    </w:p>
    <w:p w14:paraId="2C88C0FC" w14:textId="543EE3C5" w:rsidR="00883895" w:rsidRPr="00EC35D7" w:rsidRDefault="00C5310A" w:rsidP="009838FE">
      <w:pPr>
        <w:rPr>
          <w:b/>
        </w:rPr>
      </w:pPr>
      <w:r w:rsidRPr="00EC35D7">
        <w:rPr>
          <w:b/>
        </w:rPr>
        <w:t>MEMORY SINFWA</w:t>
      </w:r>
      <w:r w:rsidR="00883895" w:rsidRPr="00EC35D7">
        <w:rPr>
          <w:b/>
        </w:rPr>
        <w:t xml:space="preserve"> </w:t>
      </w:r>
      <w:r w:rsidR="00883895" w:rsidRPr="00EC35D7">
        <w:rPr>
          <w:b/>
        </w:rPr>
        <w:tab/>
      </w:r>
      <w:proofErr w:type="gramStart"/>
      <w:r w:rsidR="00883895" w:rsidRPr="00EC35D7">
        <w:rPr>
          <w:b/>
        </w:rPr>
        <w:tab/>
        <w:t xml:space="preserve">  </w:t>
      </w:r>
      <w:r w:rsidRPr="00EC35D7">
        <w:rPr>
          <w:b/>
        </w:rPr>
        <w:tab/>
      </w:r>
      <w:proofErr w:type="gramEnd"/>
      <w:r w:rsidRPr="00EC35D7">
        <w:rPr>
          <w:b/>
        </w:rPr>
        <w:t xml:space="preserve"> </w:t>
      </w:r>
      <w:r w:rsidRPr="00EC35D7">
        <w:rPr>
          <w:b/>
        </w:rPr>
        <w:tab/>
      </w:r>
      <w:r w:rsidR="00A57E15" w:rsidRPr="00EC35D7">
        <w:rPr>
          <w:b/>
        </w:rPr>
        <w:tab/>
        <w:t xml:space="preserve">  </w:t>
      </w:r>
      <w:r w:rsidR="00883895" w:rsidRPr="00EC35D7">
        <w:rPr>
          <w:b/>
        </w:rPr>
        <w:t>SECOND RESPONDENT</w:t>
      </w:r>
    </w:p>
    <w:p w14:paraId="2EAE5FF1" w14:textId="57409A20" w:rsidR="008B1836" w:rsidRPr="00EC35D7" w:rsidRDefault="008B1836" w:rsidP="009838FE">
      <w:pPr>
        <w:rPr>
          <w:b/>
        </w:rPr>
      </w:pPr>
    </w:p>
    <w:p w14:paraId="11C06559" w14:textId="77777777" w:rsidR="00853524" w:rsidRPr="00EC35D7" w:rsidRDefault="00853524" w:rsidP="009838FE">
      <w:pPr>
        <w:rPr>
          <w:b/>
          <w:u w:val="single"/>
        </w:rPr>
      </w:pPr>
    </w:p>
    <w:p w14:paraId="1CFCD256" w14:textId="2E2EA3DF" w:rsidR="00853524" w:rsidRPr="00EC35D7" w:rsidRDefault="00853524" w:rsidP="009838FE">
      <w:pPr>
        <w:rPr>
          <w:color w:val="000000" w:themeColor="text1"/>
        </w:rPr>
      </w:pPr>
      <w:r w:rsidRPr="00EC35D7">
        <w:rPr>
          <w:b/>
        </w:rPr>
        <w:t>Neutral citation</w:t>
      </w:r>
      <w:r w:rsidR="001076B6" w:rsidRPr="00EC35D7">
        <w:rPr>
          <w:b/>
        </w:rPr>
        <w:t>:</w:t>
      </w:r>
      <w:r w:rsidR="00892367" w:rsidRPr="00EC35D7">
        <w:rPr>
          <w:b/>
        </w:rPr>
        <w:tab/>
      </w:r>
      <w:proofErr w:type="spellStart"/>
      <w:r w:rsidR="00C5310A" w:rsidRPr="00EC35D7">
        <w:rPr>
          <w:i/>
        </w:rPr>
        <w:t>Shikemeni</w:t>
      </w:r>
      <w:proofErr w:type="spellEnd"/>
      <w:r w:rsidR="0088323A" w:rsidRPr="00EC35D7">
        <w:rPr>
          <w:i/>
        </w:rPr>
        <w:t xml:space="preserve"> v </w:t>
      </w:r>
      <w:proofErr w:type="spellStart"/>
      <w:r w:rsidR="00165567" w:rsidRPr="00EC35D7">
        <w:rPr>
          <w:i/>
        </w:rPr>
        <w:t>TransNamib</w:t>
      </w:r>
      <w:proofErr w:type="spellEnd"/>
      <w:r w:rsidR="00C5310A" w:rsidRPr="00EC35D7">
        <w:rPr>
          <w:i/>
        </w:rPr>
        <w:t xml:space="preserve"> Holding </w:t>
      </w:r>
      <w:r w:rsidR="007935D2" w:rsidRPr="00EC35D7">
        <w:rPr>
          <w:color w:val="000000" w:themeColor="text1"/>
        </w:rPr>
        <w:t>(</w:t>
      </w:r>
      <w:r w:rsidR="00C5310A" w:rsidRPr="00EC35D7">
        <w:rPr>
          <w:color w:val="000000" w:themeColor="text1"/>
        </w:rPr>
        <w:t>HC-MD-LAB-APP-AAA-2020/00069</w:t>
      </w:r>
      <w:r w:rsidR="007935D2" w:rsidRPr="00EC35D7">
        <w:rPr>
          <w:color w:val="000000" w:themeColor="text1"/>
        </w:rPr>
        <w:t xml:space="preserve">) </w:t>
      </w:r>
      <w:r w:rsidR="006539B7" w:rsidRPr="00EC35D7">
        <w:rPr>
          <w:color w:val="000000" w:themeColor="text1"/>
        </w:rPr>
        <w:t>[</w:t>
      </w:r>
      <w:r w:rsidR="00382515" w:rsidRPr="00EC35D7">
        <w:rPr>
          <w:color w:val="000000" w:themeColor="text1"/>
        </w:rPr>
        <w:t>202</w:t>
      </w:r>
      <w:r w:rsidR="00210D9A" w:rsidRPr="00EC35D7">
        <w:rPr>
          <w:color w:val="000000" w:themeColor="text1"/>
        </w:rPr>
        <w:t>3</w:t>
      </w:r>
      <w:r w:rsidR="00C5310A" w:rsidRPr="00EC35D7">
        <w:rPr>
          <w:color w:val="000000" w:themeColor="text1"/>
        </w:rPr>
        <w:t>] NAL</w:t>
      </w:r>
      <w:r w:rsidR="006539B7" w:rsidRPr="00EC35D7">
        <w:rPr>
          <w:color w:val="000000" w:themeColor="text1"/>
        </w:rPr>
        <w:t xml:space="preserve">CMD </w:t>
      </w:r>
      <w:r w:rsidR="008968DB" w:rsidRPr="008968DB">
        <w:rPr>
          <w:color w:val="000000" w:themeColor="text1"/>
        </w:rPr>
        <w:t>45</w:t>
      </w:r>
      <w:r w:rsidR="006539B7" w:rsidRPr="00EC35D7">
        <w:rPr>
          <w:color w:val="000000" w:themeColor="text1"/>
        </w:rPr>
        <w:t xml:space="preserve"> (</w:t>
      </w:r>
      <w:r w:rsidR="008F2C0E">
        <w:t xml:space="preserve">18 </w:t>
      </w:r>
      <w:r w:rsidR="00C5310A" w:rsidRPr="00EC35D7">
        <w:t>September</w:t>
      </w:r>
      <w:r w:rsidR="0088323A" w:rsidRPr="00EC35D7">
        <w:t xml:space="preserve"> </w:t>
      </w:r>
      <w:r w:rsidR="001D4E59" w:rsidRPr="00EC35D7">
        <w:t>2023</w:t>
      </w:r>
      <w:r w:rsidR="006539B7" w:rsidRPr="00EC35D7">
        <w:rPr>
          <w:color w:val="000000" w:themeColor="text1"/>
        </w:rPr>
        <w:t>)</w:t>
      </w:r>
    </w:p>
    <w:p w14:paraId="2A1E0044" w14:textId="77777777" w:rsidR="00853524" w:rsidRPr="00EC35D7" w:rsidRDefault="00853524" w:rsidP="009838FE">
      <w:pPr>
        <w:ind w:left="2160" w:hanging="2160"/>
      </w:pPr>
    </w:p>
    <w:p w14:paraId="6CFF978A" w14:textId="18B81DB5" w:rsidR="006D65BF" w:rsidRPr="00EC35D7" w:rsidRDefault="00853524" w:rsidP="009838FE">
      <w:pPr>
        <w:ind w:left="2160" w:hanging="2160"/>
        <w:rPr>
          <w:b/>
          <w:i/>
        </w:rPr>
      </w:pPr>
      <w:r w:rsidRPr="00EC35D7">
        <w:rPr>
          <w:b/>
        </w:rPr>
        <w:t>Coram</w:t>
      </w:r>
      <w:r w:rsidR="001076B6" w:rsidRPr="00EC35D7">
        <w:rPr>
          <w:b/>
        </w:rPr>
        <w:t>:</w:t>
      </w:r>
      <w:r w:rsidR="008B1836" w:rsidRPr="00EC35D7">
        <w:tab/>
        <w:t>Schimming</w:t>
      </w:r>
      <w:r w:rsidR="00F40790" w:rsidRPr="00EC35D7">
        <w:t>-</w:t>
      </w:r>
      <w:r w:rsidRPr="00EC35D7">
        <w:t>Chase J</w:t>
      </w:r>
    </w:p>
    <w:p w14:paraId="20A06BDB" w14:textId="657364D2" w:rsidR="00883895" w:rsidRPr="008F2C0E" w:rsidRDefault="00853524" w:rsidP="009838FE">
      <w:pPr>
        <w:ind w:left="2160" w:hanging="2160"/>
        <w:rPr>
          <w:b/>
          <w:bCs/>
        </w:rPr>
      </w:pPr>
      <w:r w:rsidRPr="00EC35D7">
        <w:rPr>
          <w:b/>
          <w:bCs/>
        </w:rPr>
        <w:t>Heard</w:t>
      </w:r>
      <w:r w:rsidR="001076B6" w:rsidRPr="00EC35D7">
        <w:rPr>
          <w:b/>
          <w:bCs/>
        </w:rPr>
        <w:t>:</w:t>
      </w:r>
      <w:r w:rsidRPr="00EC35D7">
        <w:tab/>
      </w:r>
      <w:r w:rsidR="00C5310A" w:rsidRPr="008F2C0E">
        <w:rPr>
          <w:b/>
          <w:bCs/>
        </w:rPr>
        <w:t>30 March</w:t>
      </w:r>
      <w:r w:rsidR="00883895" w:rsidRPr="008F2C0E">
        <w:rPr>
          <w:b/>
          <w:bCs/>
        </w:rPr>
        <w:t xml:space="preserve"> 2023</w:t>
      </w:r>
    </w:p>
    <w:p w14:paraId="447A448F" w14:textId="478DAF9B" w:rsidR="00853524" w:rsidRPr="008F2C0E" w:rsidRDefault="00117DD9" w:rsidP="009838FE">
      <w:pPr>
        <w:ind w:left="2160" w:hanging="2160"/>
        <w:rPr>
          <w:b/>
          <w:bCs/>
        </w:rPr>
      </w:pPr>
      <w:r w:rsidRPr="008F2C0E">
        <w:rPr>
          <w:b/>
          <w:bCs/>
        </w:rPr>
        <w:t>Delivered</w:t>
      </w:r>
      <w:r w:rsidR="001076B6" w:rsidRPr="008F2C0E">
        <w:rPr>
          <w:b/>
          <w:bCs/>
        </w:rPr>
        <w:t>:</w:t>
      </w:r>
      <w:r w:rsidR="00334AFC" w:rsidRPr="008F2C0E">
        <w:rPr>
          <w:b/>
          <w:bCs/>
        </w:rPr>
        <w:tab/>
      </w:r>
      <w:r w:rsidR="00E7486B" w:rsidRPr="008F2C0E">
        <w:rPr>
          <w:b/>
          <w:bCs/>
        </w:rPr>
        <w:t>18</w:t>
      </w:r>
      <w:r w:rsidR="00C5310A" w:rsidRPr="008F2C0E">
        <w:rPr>
          <w:b/>
          <w:bCs/>
        </w:rPr>
        <w:t xml:space="preserve"> September </w:t>
      </w:r>
      <w:r w:rsidR="00DA7497" w:rsidRPr="008F2C0E">
        <w:rPr>
          <w:b/>
          <w:bCs/>
        </w:rPr>
        <w:t>2023</w:t>
      </w:r>
    </w:p>
    <w:p w14:paraId="514826F6" w14:textId="41065798" w:rsidR="00853524" w:rsidRPr="00EC35D7" w:rsidRDefault="00853524" w:rsidP="009838FE">
      <w:pPr>
        <w:ind w:left="1440" w:hanging="1440"/>
      </w:pPr>
    </w:p>
    <w:p w14:paraId="3C99E07D" w14:textId="42283E01" w:rsidR="000B66A4" w:rsidRPr="00EC35D7" w:rsidRDefault="00853524" w:rsidP="009838FE">
      <w:pPr>
        <w:rPr>
          <w:bCs/>
        </w:rPr>
      </w:pPr>
      <w:proofErr w:type="spellStart"/>
      <w:r w:rsidRPr="00EC35D7">
        <w:rPr>
          <w:b/>
        </w:rPr>
        <w:t>Flynote</w:t>
      </w:r>
      <w:proofErr w:type="spellEnd"/>
      <w:r w:rsidR="00F40790" w:rsidRPr="00EC35D7">
        <w:rPr>
          <w:b/>
        </w:rPr>
        <w:t>:</w:t>
      </w:r>
      <w:r w:rsidRPr="00EC35D7">
        <w:rPr>
          <w:b/>
        </w:rPr>
        <w:tab/>
      </w:r>
      <w:r w:rsidR="00E067C8" w:rsidRPr="00EC35D7">
        <w:rPr>
          <w:bCs/>
        </w:rPr>
        <w:t>Labour Act</w:t>
      </w:r>
      <w:r w:rsidR="008F2C0E">
        <w:rPr>
          <w:bCs/>
        </w:rPr>
        <w:t xml:space="preserve"> </w:t>
      </w:r>
      <w:r w:rsidR="001F4294" w:rsidRPr="00EC35D7">
        <w:rPr>
          <w:bCs/>
        </w:rPr>
        <w:t xml:space="preserve">11 of 2007 </w:t>
      </w:r>
      <w:r w:rsidR="00E067C8" w:rsidRPr="00EC35D7">
        <w:rPr>
          <w:bCs/>
        </w:rPr>
        <w:t>– Section 86(2)(</w:t>
      </w:r>
      <w:r w:rsidR="00E067C8" w:rsidRPr="008F2C0E">
        <w:rPr>
          <w:bCs/>
          <w:i/>
          <w:iCs/>
        </w:rPr>
        <w:t>b</w:t>
      </w:r>
      <w:r w:rsidR="00E067C8" w:rsidRPr="00EC35D7">
        <w:rPr>
          <w:bCs/>
        </w:rPr>
        <w:t>) – Labour dispute</w:t>
      </w:r>
      <w:r w:rsidR="00C95359" w:rsidRPr="00EC35D7">
        <w:rPr>
          <w:bCs/>
        </w:rPr>
        <w:t>s</w:t>
      </w:r>
      <w:r w:rsidR="00E067C8" w:rsidRPr="00EC35D7">
        <w:rPr>
          <w:bCs/>
        </w:rPr>
        <w:t>, except for dispute</w:t>
      </w:r>
      <w:r w:rsidR="00C95359" w:rsidRPr="00EC35D7">
        <w:rPr>
          <w:bCs/>
        </w:rPr>
        <w:t>s</w:t>
      </w:r>
      <w:r w:rsidR="00E067C8" w:rsidRPr="00EC35D7">
        <w:rPr>
          <w:bCs/>
        </w:rPr>
        <w:t xml:space="preserve"> relating to dismissals, must be referred to the Labour Commissioner within a year of the dispute arising.</w:t>
      </w:r>
    </w:p>
    <w:p w14:paraId="580B7B3D" w14:textId="1C9DE175" w:rsidR="00853524" w:rsidRPr="00EC35D7" w:rsidRDefault="00853524" w:rsidP="009838FE"/>
    <w:p w14:paraId="2B124276" w14:textId="6FE858F2" w:rsidR="00F82FDB" w:rsidRPr="00EC35D7" w:rsidRDefault="00853524" w:rsidP="009838FE">
      <w:pPr>
        <w:rPr>
          <w:bCs/>
        </w:rPr>
      </w:pPr>
      <w:r w:rsidRPr="00EC35D7">
        <w:rPr>
          <w:b/>
        </w:rPr>
        <w:t>Summary</w:t>
      </w:r>
      <w:r w:rsidR="00F40790" w:rsidRPr="00EC35D7">
        <w:rPr>
          <w:b/>
        </w:rPr>
        <w:t>:</w:t>
      </w:r>
      <w:r w:rsidRPr="00EC35D7">
        <w:rPr>
          <w:b/>
        </w:rPr>
        <w:tab/>
      </w:r>
      <w:r w:rsidR="00F82FDB" w:rsidRPr="00EC35D7">
        <w:rPr>
          <w:bCs/>
        </w:rPr>
        <w:t xml:space="preserve">During 2017, the appellants referred a labour dispute for the payment of overtime to the office of the Labour Commissioner. </w:t>
      </w:r>
      <w:r w:rsidR="00C95359" w:rsidRPr="00EC35D7">
        <w:rPr>
          <w:bCs/>
        </w:rPr>
        <w:t>After some time</w:t>
      </w:r>
      <w:r w:rsidR="00F82FDB" w:rsidRPr="00EC35D7">
        <w:rPr>
          <w:bCs/>
        </w:rPr>
        <w:t>, and the appellants being dissatisfied with the progress of the referral, the appellants withdrew the referral, and instituted a fresh referral</w:t>
      </w:r>
      <w:r w:rsidR="005133DF" w:rsidRPr="00EC35D7">
        <w:rPr>
          <w:bCs/>
        </w:rPr>
        <w:t xml:space="preserve"> in November 2019</w:t>
      </w:r>
      <w:r w:rsidR="00F82FDB" w:rsidRPr="00EC35D7">
        <w:rPr>
          <w:bCs/>
        </w:rPr>
        <w:t>.</w:t>
      </w:r>
    </w:p>
    <w:p w14:paraId="738AEEAA" w14:textId="77777777" w:rsidR="00F82FDB" w:rsidRPr="00EC35D7" w:rsidRDefault="00F82FDB" w:rsidP="009838FE">
      <w:pPr>
        <w:rPr>
          <w:bCs/>
        </w:rPr>
      </w:pPr>
    </w:p>
    <w:p w14:paraId="0591344C" w14:textId="45A7A329" w:rsidR="00F82FDB" w:rsidRPr="00EC35D7" w:rsidRDefault="00F82FDB" w:rsidP="009838FE">
      <w:pPr>
        <w:rPr>
          <w:bCs/>
        </w:rPr>
      </w:pPr>
      <w:r w:rsidRPr="00EC35D7">
        <w:rPr>
          <w:bCs/>
        </w:rPr>
        <w:t xml:space="preserve">During arbitration proceedings, the employer of the appellants – </w:t>
      </w:r>
      <w:proofErr w:type="spellStart"/>
      <w:r w:rsidR="00165567" w:rsidRPr="00EC35D7">
        <w:rPr>
          <w:bCs/>
        </w:rPr>
        <w:t>TransNamib</w:t>
      </w:r>
      <w:proofErr w:type="spellEnd"/>
      <w:r w:rsidR="00ED40B3">
        <w:rPr>
          <w:bCs/>
        </w:rPr>
        <w:t>-</w:t>
      </w:r>
      <w:r w:rsidRPr="00EC35D7">
        <w:rPr>
          <w:bCs/>
        </w:rPr>
        <w:t xml:space="preserve"> took a point </w:t>
      </w:r>
      <w:r w:rsidRPr="00EC35D7">
        <w:rPr>
          <w:bCs/>
          <w:i/>
          <w:iCs/>
        </w:rPr>
        <w:t xml:space="preserve">in </w:t>
      </w:r>
      <w:proofErr w:type="spellStart"/>
      <w:r w:rsidRPr="00EC35D7">
        <w:rPr>
          <w:bCs/>
          <w:i/>
          <w:iCs/>
        </w:rPr>
        <w:t>limine</w:t>
      </w:r>
      <w:proofErr w:type="spellEnd"/>
      <w:r w:rsidRPr="00EC35D7">
        <w:rPr>
          <w:bCs/>
        </w:rPr>
        <w:t xml:space="preserve"> that on the version of the appellants, the dispute arose during 2017 and the referral was only </w:t>
      </w:r>
      <w:r w:rsidR="00D806AF" w:rsidRPr="00EC35D7">
        <w:rPr>
          <w:bCs/>
        </w:rPr>
        <w:t>instituted</w:t>
      </w:r>
      <w:r w:rsidRPr="00EC35D7">
        <w:rPr>
          <w:bCs/>
        </w:rPr>
        <w:t xml:space="preserve"> during 2019. In terms of s</w:t>
      </w:r>
      <w:r w:rsidR="009E1DE2" w:rsidRPr="00EC35D7">
        <w:rPr>
          <w:bCs/>
        </w:rPr>
        <w:t xml:space="preserve"> </w:t>
      </w:r>
      <w:r w:rsidRPr="00EC35D7">
        <w:rPr>
          <w:bCs/>
        </w:rPr>
        <w:t>86(2)(</w:t>
      </w:r>
      <w:r w:rsidRPr="00EC35D7">
        <w:rPr>
          <w:bCs/>
          <w:i/>
          <w:iCs/>
        </w:rPr>
        <w:t>b</w:t>
      </w:r>
      <w:r w:rsidRPr="00EC35D7">
        <w:rPr>
          <w:bCs/>
        </w:rPr>
        <w:t>)</w:t>
      </w:r>
      <w:r w:rsidR="008F2C0E">
        <w:rPr>
          <w:bCs/>
        </w:rPr>
        <w:t xml:space="preserve"> of the Labour Act</w:t>
      </w:r>
      <w:r w:rsidRPr="00EC35D7">
        <w:rPr>
          <w:bCs/>
        </w:rPr>
        <w:t>, any labour dispute</w:t>
      </w:r>
      <w:r w:rsidR="008F2C0E">
        <w:rPr>
          <w:bCs/>
        </w:rPr>
        <w:t>,</w:t>
      </w:r>
      <w:r w:rsidR="00ED40B3">
        <w:rPr>
          <w:bCs/>
        </w:rPr>
        <w:t xml:space="preserve"> e</w:t>
      </w:r>
      <w:r w:rsidRPr="00EC35D7">
        <w:rPr>
          <w:bCs/>
        </w:rPr>
        <w:t xml:space="preserve">xcept disputes relating to the dismissal of an employee, must be </w:t>
      </w:r>
      <w:r w:rsidR="009E1DE2" w:rsidRPr="00EC35D7">
        <w:rPr>
          <w:bCs/>
        </w:rPr>
        <w:t xml:space="preserve">referred </w:t>
      </w:r>
      <w:r w:rsidRPr="00EC35D7">
        <w:rPr>
          <w:bCs/>
        </w:rPr>
        <w:t xml:space="preserve">within a year of the dispute arising. </w:t>
      </w:r>
      <w:proofErr w:type="spellStart"/>
      <w:r w:rsidR="00165567" w:rsidRPr="00EC35D7">
        <w:rPr>
          <w:bCs/>
        </w:rPr>
        <w:t>TransNamib</w:t>
      </w:r>
      <w:proofErr w:type="spellEnd"/>
      <w:r w:rsidRPr="00EC35D7">
        <w:rPr>
          <w:bCs/>
        </w:rPr>
        <w:t xml:space="preserve"> contended </w:t>
      </w:r>
      <w:r w:rsidR="009E1DE2" w:rsidRPr="00EC35D7">
        <w:rPr>
          <w:bCs/>
        </w:rPr>
        <w:t xml:space="preserve">that </w:t>
      </w:r>
      <w:r w:rsidRPr="00EC35D7">
        <w:rPr>
          <w:bCs/>
        </w:rPr>
        <w:t xml:space="preserve">the dispute was thus referred late, and the arbitrator could not determine the matter. The arbitrator upheld the point </w:t>
      </w:r>
      <w:r w:rsidRPr="00EC35D7">
        <w:rPr>
          <w:bCs/>
          <w:i/>
          <w:iCs/>
        </w:rPr>
        <w:t xml:space="preserve">in </w:t>
      </w:r>
      <w:proofErr w:type="spellStart"/>
      <w:r w:rsidRPr="00EC35D7">
        <w:rPr>
          <w:bCs/>
          <w:i/>
          <w:iCs/>
        </w:rPr>
        <w:t>limine</w:t>
      </w:r>
      <w:proofErr w:type="spellEnd"/>
      <w:r w:rsidRPr="00EC35D7">
        <w:rPr>
          <w:bCs/>
        </w:rPr>
        <w:t>.</w:t>
      </w:r>
    </w:p>
    <w:p w14:paraId="02505E47" w14:textId="77777777" w:rsidR="00F82FDB" w:rsidRPr="00EC35D7" w:rsidRDefault="00F82FDB" w:rsidP="009838FE">
      <w:pPr>
        <w:rPr>
          <w:bCs/>
        </w:rPr>
      </w:pPr>
    </w:p>
    <w:p w14:paraId="345CF653" w14:textId="5A090922" w:rsidR="00F82FDB" w:rsidRPr="00EC35D7" w:rsidRDefault="009E1DE2" w:rsidP="009838FE">
      <w:pPr>
        <w:rPr>
          <w:bCs/>
        </w:rPr>
      </w:pPr>
      <w:r w:rsidRPr="00EC35D7">
        <w:rPr>
          <w:bCs/>
        </w:rPr>
        <w:t>D</w:t>
      </w:r>
      <w:r w:rsidR="00F82FDB" w:rsidRPr="00EC35D7">
        <w:rPr>
          <w:bCs/>
        </w:rPr>
        <w:t>issatisfied with the award of the arbitrator, the appellants noted an appeal against the award. The appellant</w:t>
      </w:r>
      <w:r w:rsidR="000352A0" w:rsidRPr="00EC35D7">
        <w:rPr>
          <w:bCs/>
        </w:rPr>
        <w:t>s</w:t>
      </w:r>
      <w:r w:rsidR="00F82FDB" w:rsidRPr="00EC35D7">
        <w:rPr>
          <w:bCs/>
        </w:rPr>
        <w:t xml:space="preserve"> </w:t>
      </w:r>
      <w:r w:rsidR="000352A0" w:rsidRPr="00EC35D7">
        <w:rPr>
          <w:bCs/>
        </w:rPr>
        <w:t xml:space="preserve">argued </w:t>
      </w:r>
      <w:r w:rsidRPr="00EC35D7">
        <w:rPr>
          <w:bCs/>
        </w:rPr>
        <w:t xml:space="preserve">that </w:t>
      </w:r>
      <w:r w:rsidR="000352A0" w:rsidRPr="00EC35D7">
        <w:rPr>
          <w:bCs/>
        </w:rPr>
        <w:t>they have been prosecuting th</w:t>
      </w:r>
      <w:r w:rsidR="00D806AF" w:rsidRPr="00EC35D7">
        <w:rPr>
          <w:bCs/>
        </w:rPr>
        <w:t>eir case</w:t>
      </w:r>
      <w:r w:rsidR="000352A0" w:rsidRPr="00EC35D7">
        <w:rPr>
          <w:bCs/>
        </w:rPr>
        <w:t xml:space="preserve"> without the assistance of a legal practitioner had no intention to withdraw the initial 2017 referral. Further, that the arbitrator erred in finding </w:t>
      </w:r>
      <w:r w:rsidR="00ED40B3">
        <w:rPr>
          <w:bCs/>
        </w:rPr>
        <w:t xml:space="preserve">that </w:t>
      </w:r>
      <w:r w:rsidR="000352A0" w:rsidRPr="00EC35D7">
        <w:rPr>
          <w:bCs/>
        </w:rPr>
        <w:t xml:space="preserve">the subsequent 2019 referral had lapsed in terms of the </w:t>
      </w:r>
      <w:r w:rsidR="001F4294" w:rsidRPr="00EC35D7">
        <w:rPr>
          <w:bCs/>
        </w:rPr>
        <w:t xml:space="preserve">Labour </w:t>
      </w:r>
      <w:r w:rsidR="000352A0" w:rsidRPr="00EC35D7">
        <w:rPr>
          <w:bCs/>
        </w:rPr>
        <w:t>Act</w:t>
      </w:r>
      <w:r w:rsidR="00E7486B" w:rsidRPr="00EC35D7">
        <w:rPr>
          <w:bCs/>
        </w:rPr>
        <w:t>.</w:t>
      </w:r>
    </w:p>
    <w:p w14:paraId="73FAE3DC" w14:textId="5E6F56AE" w:rsidR="00E7486B" w:rsidRPr="00EC35D7" w:rsidRDefault="00E7486B" w:rsidP="009838FE">
      <w:pPr>
        <w:rPr>
          <w:bCs/>
        </w:rPr>
      </w:pPr>
    </w:p>
    <w:p w14:paraId="6BA4837D" w14:textId="6F59AC1F" w:rsidR="00E7486B" w:rsidRPr="00EC35D7" w:rsidRDefault="00E7486B" w:rsidP="009838FE">
      <w:pPr>
        <w:rPr>
          <w:bCs/>
        </w:rPr>
      </w:pPr>
      <w:r w:rsidRPr="00EC35D7">
        <w:rPr>
          <w:bCs/>
          <w:i/>
          <w:iCs/>
        </w:rPr>
        <w:t>Held that</w:t>
      </w:r>
      <w:r w:rsidRPr="00EC35D7">
        <w:rPr>
          <w:bCs/>
        </w:rPr>
        <w:t>, app</w:t>
      </w:r>
      <w:r w:rsidR="00CA67DE" w:rsidRPr="00EC35D7">
        <w:rPr>
          <w:bCs/>
        </w:rPr>
        <w:t>ellants</w:t>
      </w:r>
      <w:r w:rsidRPr="00EC35D7">
        <w:rPr>
          <w:bCs/>
        </w:rPr>
        <w:t xml:space="preserve"> completed and signed the LC 48 form, recording their clear and unequivocal intention to withdraw the 2017 referral, and to refer a</w:t>
      </w:r>
      <w:r w:rsidR="00ED40B3">
        <w:rPr>
          <w:bCs/>
        </w:rPr>
        <w:t xml:space="preserve"> fresh</w:t>
      </w:r>
      <w:r w:rsidRPr="00EC35D7">
        <w:rPr>
          <w:bCs/>
        </w:rPr>
        <w:t xml:space="preserve"> dispute to the office of the Labour Commissioner.</w:t>
      </w:r>
    </w:p>
    <w:p w14:paraId="6DBA2D4B" w14:textId="77777777" w:rsidR="00E7486B" w:rsidRPr="00EC35D7" w:rsidRDefault="00E7486B" w:rsidP="009838FE">
      <w:pPr>
        <w:rPr>
          <w:bCs/>
        </w:rPr>
      </w:pPr>
    </w:p>
    <w:p w14:paraId="14B2107E" w14:textId="77777777" w:rsidR="00E7486B" w:rsidRPr="00EC35D7" w:rsidRDefault="00E7486B" w:rsidP="009838FE">
      <w:pPr>
        <w:rPr>
          <w:bCs/>
        </w:rPr>
      </w:pPr>
      <w:r w:rsidRPr="00EC35D7">
        <w:rPr>
          <w:bCs/>
          <w:i/>
          <w:iCs/>
        </w:rPr>
        <w:t>Held that</w:t>
      </w:r>
      <w:r w:rsidRPr="00EC35D7">
        <w:rPr>
          <w:bCs/>
        </w:rPr>
        <w:t xml:space="preserve">, judicial interruption of prescription is only successful if the proceedings are prosecuted to their finality. The withdrawal of proceedings renders the interruption of no force, and </w:t>
      </w:r>
      <w:r w:rsidRPr="00EC35D7">
        <w:rPr>
          <w:bCs/>
          <w:i/>
          <w:iCs/>
        </w:rPr>
        <w:t xml:space="preserve">pro non </w:t>
      </w:r>
      <w:proofErr w:type="spellStart"/>
      <w:r w:rsidRPr="00EC35D7">
        <w:rPr>
          <w:bCs/>
          <w:i/>
          <w:iCs/>
        </w:rPr>
        <w:t>scripto</w:t>
      </w:r>
      <w:proofErr w:type="spellEnd"/>
      <w:r w:rsidRPr="00EC35D7">
        <w:rPr>
          <w:bCs/>
        </w:rPr>
        <w:t>.</w:t>
      </w:r>
    </w:p>
    <w:p w14:paraId="4D546283" w14:textId="77777777" w:rsidR="00E7486B" w:rsidRPr="00EC35D7" w:rsidRDefault="00E7486B" w:rsidP="009838FE">
      <w:pPr>
        <w:rPr>
          <w:bCs/>
        </w:rPr>
      </w:pPr>
    </w:p>
    <w:p w14:paraId="3510BD30" w14:textId="66A86E5E" w:rsidR="00E7486B" w:rsidRPr="00EC35D7" w:rsidRDefault="00ED40B3" w:rsidP="009838FE">
      <w:pPr>
        <w:rPr>
          <w:bCs/>
        </w:rPr>
      </w:pPr>
      <w:r>
        <w:rPr>
          <w:bCs/>
          <w:i/>
          <w:iCs/>
        </w:rPr>
        <w:t>Held</w:t>
      </w:r>
      <w:r w:rsidR="00E7486B" w:rsidRPr="00EC35D7">
        <w:rPr>
          <w:bCs/>
          <w:i/>
          <w:iCs/>
        </w:rPr>
        <w:t xml:space="preserve"> that</w:t>
      </w:r>
      <w:r w:rsidR="00E7486B" w:rsidRPr="00EC35D7">
        <w:rPr>
          <w:bCs/>
        </w:rPr>
        <w:t>, the latest date the appellants arguably had knowledge of the dispute was during 2017</w:t>
      </w:r>
      <w:r>
        <w:rPr>
          <w:bCs/>
        </w:rPr>
        <w:t>,</w:t>
      </w:r>
      <w:r w:rsidR="00D806AF" w:rsidRPr="00EC35D7">
        <w:rPr>
          <w:bCs/>
        </w:rPr>
        <w:t xml:space="preserve"> and</w:t>
      </w:r>
      <w:r w:rsidR="00E7486B" w:rsidRPr="00EC35D7">
        <w:rPr>
          <w:bCs/>
        </w:rPr>
        <w:t xml:space="preserve"> 2019, when the second referral was instituted, the appellants had done so out of time in terms of s 86(2)(</w:t>
      </w:r>
      <w:r w:rsidR="00E7486B" w:rsidRPr="00EC35D7">
        <w:rPr>
          <w:bCs/>
          <w:i/>
          <w:iCs/>
        </w:rPr>
        <w:t>b</w:t>
      </w:r>
      <w:r w:rsidR="00E7486B" w:rsidRPr="00EC35D7">
        <w:rPr>
          <w:bCs/>
        </w:rPr>
        <w:t xml:space="preserve">) of the </w:t>
      </w:r>
      <w:r w:rsidR="001F4294" w:rsidRPr="00EC35D7">
        <w:rPr>
          <w:bCs/>
        </w:rPr>
        <w:t xml:space="preserve">Labour </w:t>
      </w:r>
      <w:proofErr w:type="gramStart"/>
      <w:r w:rsidR="00E7486B" w:rsidRPr="00EC35D7">
        <w:rPr>
          <w:bCs/>
        </w:rPr>
        <w:t>Act, and</w:t>
      </w:r>
      <w:proofErr w:type="gramEnd"/>
      <w:r w:rsidR="00E7486B" w:rsidRPr="00EC35D7">
        <w:rPr>
          <w:bCs/>
        </w:rPr>
        <w:t xml:space="preserve"> placed no argument before court that the finding of the arbitrator was perverse. As a result, the appeal is dismissed with no order as to costs.</w:t>
      </w:r>
    </w:p>
    <w:p w14:paraId="0CCDB336" w14:textId="4A60D35E" w:rsidR="00F168F9" w:rsidRPr="00EC35D7" w:rsidRDefault="00F168F9" w:rsidP="009838FE">
      <w:pPr>
        <w:rPr>
          <w:bCs/>
        </w:rPr>
      </w:pPr>
    </w:p>
    <w:p w14:paraId="6BE47DE3" w14:textId="77777777" w:rsidR="00853524" w:rsidRPr="00EC35D7" w:rsidRDefault="00000000" w:rsidP="009838FE">
      <w:pPr>
        <w:rPr>
          <w:bCs/>
        </w:rPr>
      </w:pPr>
      <w:r>
        <w:rPr>
          <w:bCs/>
        </w:rPr>
        <w:lastRenderedPageBreak/>
        <w:pict w14:anchorId="5E7E26FB">
          <v:rect id="_x0000_i1025" style="width:0;height:1.5pt" o:hralign="center" o:hrstd="t" o:hr="t" fillcolor="#a0a0a0" stroked="f"/>
        </w:pict>
      </w:r>
    </w:p>
    <w:p w14:paraId="37BE7084" w14:textId="4192C691" w:rsidR="00853524" w:rsidRPr="00EC35D7" w:rsidRDefault="001F6CB9" w:rsidP="009838FE">
      <w:pPr>
        <w:jc w:val="center"/>
        <w:rPr>
          <w:b/>
          <w:bCs/>
        </w:rPr>
      </w:pPr>
      <w:r w:rsidRPr="00EC35D7">
        <w:rPr>
          <w:b/>
          <w:bCs/>
        </w:rPr>
        <w:t>ORDER</w:t>
      </w:r>
    </w:p>
    <w:p w14:paraId="1FEF45F5" w14:textId="77777777" w:rsidR="00853524" w:rsidRPr="00EC35D7" w:rsidRDefault="00000000" w:rsidP="009838FE">
      <w:pPr>
        <w:jc w:val="center"/>
        <w:rPr>
          <w:b/>
          <w:bCs/>
        </w:rPr>
      </w:pPr>
      <w:r>
        <w:rPr>
          <w:bCs/>
        </w:rPr>
        <w:pict w14:anchorId="28AA4E8A">
          <v:rect id="_x0000_i1026" style="width:0;height:1.5pt" o:hralign="center" o:hrstd="t" o:hr="t" fillcolor="#a0a0a0" stroked="f"/>
        </w:pict>
      </w:r>
    </w:p>
    <w:p w14:paraId="395B7EDA" w14:textId="77777777" w:rsidR="00853524" w:rsidRPr="00EC35D7" w:rsidRDefault="00853524" w:rsidP="009838FE">
      <w:pPr>
        <w:rPr>
          <w:bCs/>
        </w:rPr>
      </w:pPr>
    </w:p>
    <w:p w14:paraId="38FC617F" w14:textId="4D1FEB06" w:rsidR="00CA67DE" w:rsidRPr="00EC35D7" w:rsidRDefault="00712CD2" w:rsidP="00712CD2">
      <w:pPr>
        <w:pStyle w:val="Heading1"/>
        <w:numPr>
          <w:ilvl w:val="0"/>
          <w:numId w:val="0"/>
        </w:numPr>
      </w:pPr>
      <w:bookmarkStart w:id="0" w:name="_Hlk112176695"/>
      <w:r w:rsidRPr="00EC35D7">
        <w:t>1.</w:t>
      </w:r>
      <w:r w:rsidRPr="00EC35D7">
        <w:tab/>
      </w:r>
      <w:r w:rsidR="00E7486B" w:rsidRPr="00EC35D7">
        <w:t xml:space="preserve">The appeal against the </w:t>
      </w:r>
      <w:r w:rsidR="00CA67DE" w:rsidRPr="00EC35D7">
        <w:t>arbitrator’s award issued under case number CRWK 1308-19 is dismissed.</w:t>
      </w:r>
    </w:p>
    <w:p w14:paraId="2756991A" w14:textId="77777777" w:rsidR="00E751A8" w:rsidRPr="00EC35D7" w:rsidRDefault="00E751A8" w:rsidP="009838FE"/>
    <w:p w14:paraId="5DED69DB" w14:textId="6228AA73" w:rsidR="00CA67DE" w:rsidRPr="00712CD2" w:rsidRDefault="00712CD2" w:rsidP="00712CD2">
      <w:r w:rsidRPr="00EC35D7">
        <w:rPr>
          <w:rFonts w:cs="Times New Roman"/>
          <w:spacing w:val="0"/>
          <w:szCs w:val="22"/>
        </w:rPr>
        <w:t>2.</w:t>
      </w:r>
      <w:r w:rsidRPr="00EC35D7">
        <w:rPr>
          <w:rFonts w:cs="Times New Roman"/>
          <w:spacing w:val="0"/>
          <w:szCs w:val="22"/>
        </w:rPr>
        <w:tab/>
      </w:r>
      <w:r w:rsidR="00CA67DE" w:rsidRPr="00712CD2">
        <w:t>There is no order as to costs.</w:t>
      </w:r>
    </w:p>
    <w:p w14:paraId="626C695E" w14:textId="77777777" w:rsidR="00E751A8" w:rsidRPr="00EC35D7" w:rsidRDefault="00E751A8" w:rsidP="009838FE">
      <w:pPr>
        <w:pStyle w:val="ListParagraph"/>
        <w:spacing w:after="0"/>
        <w:ind w:left="0"/>
        <w:contextualSpacing w:val="0"/>
        <w:rPr>
          <w:lang w:val="en-GB"/>
        </w:rPr>
      </w:pPr>
    </w:p>
    <w:p w14:paraId="37B0D662" w14:textId="372D0E2A" w:rsidR="00CA67DE" w:rsidRPr="00712CD2" w:rsidRDefault="00712CD2" w:rsidP="00712CD2">
      <w:r w:rsidRPr="00EC35D7">
        <w:rPr>
          <w:rFonts w:cs="Times New Roman"/>
          <w:spacing w:val="0"/>
          <w:szCs w:val="22"/>
        </w:rPr>
        <w:t>3.</w:t>
      </w:r>
      <w:r w:rsidRPr="00EC35D7">
        <w:rPr>
          <w:rFonts w:cs="Times New Roman"/>
          <w:spacing w:val="0"/>
          <w:szCs w:val="22"/>
        </w:rPr>
        <w:tab/>
      </w:r>
      <w:r w:rsidR="00CA67DE" w:rsidRPr="00712CD2">
        <w:t>The matter is regarded as finali</w:t>
      </w:r>
      <w:r w:rsidR="009838FE" w:rsidRPr="00712CD2">
        <w:t>s</w:t>
      </w:r>
      <w:r w:rsidR="00CA67DE" w:rsidRPr="00712CD2">
        <w:t>ed and removed from the roll.</w:t>
      </w:r>
    </w:p>
    <w:p w14:paraId="5AF89302" w14:textId="77777777" w:rsidR="00E751A8" w:rsidRPr="00EC35D7" w:rsidRDefault="00E751A8" w:rsidP="009838FE">
      <w:pPr>
        <w:pStyle w:val="ListParagraph"/>
        <w:spacing w:after="0"/>
        <w:ind w:left="0"/>
        <w:contextualSpacing w:val="0"/>
        <w:rPr>
          <w:lang w:val="en-GB"/>
        </w:rPr>
      </w:pPr>
    </w:p>
    <w:bookmarkEnd w:id="0"/>
    <w:p w14:paraId="6BCDA908" w14:textId="60531FA8" w:rsidR="00853524" w:rsidRPr="00EC35D7" w:rsidRDefault="00000000" w:rsidP="009838FE">
      <w:pPr>
        <w:rPr>
          <w:bCs/>
        </w:rPr>
      </w:pPr>
      <w:r>
        <w:rPr>
          <w:bCs/>
        </w:rPr>
        <w:pict w14:anchorId="2893D86E">
          <v:rect id="_x0000_i1027" style="width:0;height:1.5pt" o:hralign="center" o:hrstd="t" o:hr="t" fillcolor="#a0a0a0" stroked="f"/>
        </w:pict>
      </w:r>
    </w:p>
    <w:p w14:paraId="4BDA99AF" w14:textId="283B76EE" w:rsidR="00853524" w:rsidRPr="00EC35D7" w:rsidRDefault="001F6CB9" w:rsidP="009838FE">
      <w:pPr>
        <w:jc w:val="center"/>
        <w:rPr>
          <w:b/>
        </w:rPr>
      </w:pPr>
      <w:r w:rsidRPr="00EC35D7">
        <w:rPr>
          <w:b/>
        </w:rPr>
        <w:t>JUDGMENT</w:t>
      </w:r>
    </w:p>
    <w:p w14:paraId="1C469921" w14:textId="77777777" w:rsidR="00853524" w:rsidRPr="00EC35D7" w:rsidRDefault="00000000" w:rsidP="009838FE">
      <w:pPr>
        <w:jc w:val="center"/>
        <w:rPr>
          <w:b/>
        </w:rPr>
      </w:pPr>
      <w:r>
        <w:rPr>
          <w:bCs/>
        </w:rPr>
        <w:pict w14:anchorId="4AE2B4B3">
          <v:rect id="_x0000_i1028" style="width:0;height:1.5pt" o:hralign="center" o:hrstd="t" o:hr="t" fillcolor="#a0a0a0" stroked="f"/>
        </w:pict>
      </w:r>
    </w:p>
    <w:p w14:paraId="51DC1470" w14:textId="77777777" w:rsidR="008F2C0E" w:rsidRDefault="008F2C0E" w:rsidP="009838FE"/>
    <w:p w14:paraId="0C9EA869" w14:textId="4B2B294C" w:rsidR="00853524" w:rsidRPr="00EC35D7" w:rsidRDefault="006F4DCB" w:rsidP="009838FE">
      <w:r w:rsidRPr="00EC35D7">
        <w:t>SCHIMMING-CHASE</w:t>
      </w:r>
      <w:r w:rsidR="00853524" w:rsidRPr="00EC35D7">
        <w:t xml:space="preserve"> J</w:t>
      </w:r>
      <w:r w:rsidRPr="00EC35D7">
        <w:t>:</w:t>
      </w:r>
    </w:p>
    <w:p w14:paraId="6D51B05E" w14:textId="77777777" w:rsidR="00E07289" w:rsidRPr="00EC35D7" w:rsidRDefault="00E07289" w:rsidP="009838FE">
      <w:pPr>
        <w:ind w:left="1440" w:hanging="1440"/>
        <w:rPr>
          <w:b/>
          <w:i/>
        </w:rPr>
      </w:pPr>
    </w:p>
    <w:p w14:paraId="06E2E0D2" w14:textId="204D040F" w:rsidR="00F97355" w:rsidRPr="00EC35D7" w:rsidRDefault="00A26A4B" w:rsidP="009838FE">
      <w:pPr>
        <w:rPr>
          <w:iCs/>
          <w:u w:val="single"/>
        </w:rPr>
      </w:pPr>
      <w:r w:rsidRPr="00EC35D7">
        <w:rPr>
          <w:iCs/>
          <w:u w:val="single"/>
        </w:rPr>
        <w:t>Introduction</w:t>
      </w:r>
    </w:p>
    <w:p w14:paraId="2482980D" w14:textId="77777777" w:rsidR="00F97355" w:rsidRPr="00EC35D7" w:rsidRDefault="00F97355" w:rsidP="009838FE">
      <w:pPr>
        <w:rPr>
          <w:u w:val="single"/>
        </w:rPr>
      </w:pPr>
    </w:p>
    <w:p w14:paraId="15740474" w14:textId="10A2A4F4" w:rsidR="00A57E15" w:rsidRPr="00EC35D7" w:rsidRDefault="00712CD2" w:rsidP="00712CD2">
      <w:pPr>
        <w:pStyle w:val="Heading1"/>
        <w:numPr>
          <w:ilvl w:val="0"/>
          <w:numId w:val="0"/>
        </w:numPr>
      </w:pPr>
      <w:r w:rsidRPr="00EC35D7">
        <w:t>[1]</w:t>
      </w:r>
      <w:r w:rsidRPr="00EC35D7">
        <w:tab/>
      </w:r>
      <w:r w:rsidR="00A57E15" w:rsidRPr="00EC35D7">
        <w:t xml:space="preserve">Before court is a labour appeal, brought by Mr Titus </w:t>
      </w:r>
      <w:proofErr w:type="spellStart"/>
      <w:r w:rsidR="00A57E15" w:rsidRPr="00EC35D7">
        <w:t>Shikemeni</w:t>
      </w:r>
      <w:proofErr w:type="spellEnd"/>
      <w:r w:rsidR="00A57E15" w:rsidRPr="00EC35D7">
        <w:t xml:space="preserve">, the first appellant, </w:t>
      </w:r>
      <w:r w:rsidR="006C1871">
        <w:t xml:space="preserve">and </w:t>
      </w:r>
      <w:r w:rsidR="00A57E15" w:rsidRPr="00EC35D7">
        <w:t xml:space="preserve">Mr Ben </w:t>
      </w:r>
      <w:proofErr w:type="spellStart"/>
      <w:r w:rsidR="00A57E15" w:rsidRPr="00EC35D7">
        <w:t>Serogwe</w:t>
      </w:r>
      <w:proofErr w:type="spellEnd"/>
      <w:r w:rsidR="006C1871">
        <w:t>.</w:t>
      </w:r>
      <w:r w:rsidR="00A57E15" w:rsidRPr="00EC35D7">
        <w:t xml:space="preserve"> I refer to </w:t>
      </w:r>
      <w:r w:rsidR="006C1871">
        <w:t>them as “</w:t>
      </w:r>
      <w:r w:rsidR="00A57E15" w:rsidRPr="00EC35D7">
        <w:t>the appellants</w:t>
      </w:r>
      <w:r w:rsidR="006C1871">
        <w:t>”</w:t>
      </w:r>
      <w:r w:rsidR="00165567" w:rsidRPr="00EC35D7">
        <w:t xml:space="preserve"> in this judgment</w:t>
      </w:r>
      <w:r w:rsidR="00A57E15" w:rsidRPr="00EC35D7">
        <w:t>.</w:t>
      </w:r>
    </w:p>
    <w:p w14:paraId="609B28E2" w14:textId="77777777" w:rsidR="003D78EE" w:rsidRPr="00EC35D7" w:rsidRDefault="003D78EE" w:rsidP="009838FE"/>
    <w:p w14:paraId="1C8FCBE7" w14:textId="29FAABEE" w:rsidR="00350365" w:rsidRPr="00EC35D7" w:rsidRDefault="00712CD2" w:rsidP="00712CD2">
      <w:pPr>
        <w:pStyle w:val="Heading1"/>
        <w:numPr>
          <w:ilvl w:val="0"/>
          <w:numId w:val="0"/>
        </w:numPr>
      </w:pPr>
      <w:r w:rsidRPr="00EC35D7">
        <w:t>[2]</w:t>
      </w:r>
      <w:r w:rsidRPr="00EC35D7">
        <w:tab/>
      </w:r>
      <w:r w:rsidR="00A57E15" w:rsidRPr="00EC35D7">
        <w:t xml:space="preserve">The first respondent is </w:t>
      </w:r>
      <w:proofErr w:type="spellStart"/>
      <w:r w:rsidR="00165567" w:rsidRPr="00EC35D7">
        <w:t>TransNamib</w:t>
      </w:r>
      <w:proofErr w:type="spellEnd"/>
      <w:r w:rsidR="00A57E15" w:rsidRPr="00EC35D7">
        <w:t xml:space="preserve"> Holdings Limited</w:t>
      </w:r>
      <w:r w:rsidR="00165567" w:rsidRPr="00EC35D7">
        <w:t xml:space="preserve"> (“</w:t>
      </w:r>
      <w:proofErr w:type="spellStart"/>
      <w:r w:rsidR="00165567" w:rsidRPr="00EC35D7">
        <w:t>TransNamib</w:t>
      </w:r>
      <w:proofErr w:type="spellEnd"/>
      <w:r w:rsidR="00165567" w:rsidRPr="00EC35D7">
        <w:t>”)</w:t>
      </w:r>
      <w:r w:rsidR="00ED40B3">
        <w:t>.</w:t>
      </w:r>
      <w:r w:rsidR="00A57E15" w:rsidRPr="00EC35D7">
        <w:t xml:space="preserve"> The second respondent is Memory </w:t>
      </w:r>
      <w:proofErr w:type="spellStart"/>
      <w:r w:rsidR="00A57E15" w:rsidRPr="00EC35D7">
        <w:t>Sinfwa</w:t>
      </w:r>
      <w:proofErr w:type="spellEnd"/>
      <w:r w:rsidR="00A26AF1" w:rsidRPr="00EC35D7">
        <w:t xml:space="preserve"> (“the arbitrator”)</w:t>
      </w:r>
      <w:r w:rsidR="00A57E15" w:rsidRPr="00EC35D7">
        <w:t>, a</w:t>
      </w:r>
      <w:r w:rsidR="00ED40B3">
        <w:t xml:space="preserve"> duly </w:t>
      </w:r>
      <w:proofErr w:type="gramStart"/>
      <w:r w:rsidR="00ED40B3">
        <w:t xml:space="preserve">appointed </w:t>
      </w:r>
      <w:r w:rsidR="00A57E15" w:rsidRPr="00EC35D7">
        <w:t xml:space="preserve"> arbitrator</w:t>
      </w:r>
      <w:proofErr w:type="gramEnd"/>
      <w:r w:rsidR="00A57E15" w:rsidRPr="00EC35D7">
        <w:t xml:space="preserve">, employed as such at the Office of the Labour Commissioner. </w:t>
      </w:r>
    </w:p>
    <w:p w14:paraId="7516C4A3" w14:textId="77777777" w:rsidR="00350365" w:rsidRPr="00EC35D7" w:rsidRDefault="00350365" w:rsidP="009838FE"/>
    <w:p w14:paraId="0582A95D" w14:textId="31A5354D" w:rsidR="00350365" w:rsidRPr="00EC35D7" w:rsidRDefault="00712CD2" w:rsidP="00712CD2">
      <w:pPr>
        <w:pStyle w:val="Heading1"/>
        <w:numPr>
          <w:ilvl w:val="0"/>
          <w:numId w:val="0"/>
        </w:numPr>
      </w:pPr>
      <w:r w:rsidRPr="00EC35D7">
        <w:t>[3]</w:t>
      </w:r>
      <w:r w:rsidRPr="00EC35D7">
        <w:tab/>
      </w:r>
      <w:r w:rsidR="00115E8B" w:rsidRPr="00EC35D7">
        <w:t xml:space="preserve">It is the case of the appellants that they were employed as security guards by </w:t>
      </w:r>
      <w:proofErr w:type="spellStart"/>
      <w:r w:rsidR="00165567" w:rsidRPr="00EC35D7">
        <w:t>TransNamib</w:t>
      </w:r>
      <w:proofErr w:type="spellEnd"/>
      <w:r w:rsidR="00115E8B" w:rsidRPr="00EC35D7">
        <w:t>, a</w:t>
      </w:r>
      <w:r w:rsidR="005E5D0A" w:rsidRPr="00EC35D7">
        <w:t>nd</w:t>
      </w:r>
      <w:r w:rsidR="00115E8B" w:rsidRPr="00EC35D7">
        <w:t xml:space="preserve"> that from 1999 and/or 2002</w:t>
      </w:r>
      <w:r w:rsidR="00ED40B3">
        <w:t xml:space="preserve"> </w:t>
      </w:r>
      <w:r w:rsidR="008F2C0E">
        <w:t>to</w:t>
      </w:r>
      <w:r w:rsidR="00115E8B" w:rsidRPr="00EC35D7">
        <w:t xml:space="preserve"> 2013, they worked overtime </w:t>
      </w:r>
      <w:r w:rsidR="00A26AF1" w:rsidRPr="00EC35D7">
        <w:t xml:space="preserve">and </w:t>
      </w:r>
      <w:r w:rsidR="00115E8B" w:rsidRPr="00EC35D7">
        <w:t xml:space="preserve">were not compensated. On their versions, </w:t>
      </w:r>
      <w:r w:rsidR="00A26AF1" w:rsidRPr="00EC35D7">
        <w:t xml:space="preserve">the appellants </w:t>
      </w:r>
      <w:r w:rsidR="00115E8B" w:rsidRPr="00EC35D7">
        <w:t xml:space="preserve">became aware </w:t>
      </w:r>
      <w:r w:rsidR="00A26AF1" w:rsidRPr="00EC35D7">
        <w:t xml:space="preserve">that </w:t>
      </w:r>
      <w:r w:rsidR="00115E8B" w:rsidRPr="00EC35D7">
        <w:t xml:space="preserve">they could claim for the </w:t>
      </w:r>
      <w:r w:rsidR="005E5D0A" w:rsidRPr="00EC35D7">
        <w:t xml:space="preserve">alleged </w:t>
      </w:r>
      <w:r w:rsidR="00115E8B" w:rsidRPr="00EC35D7">
        <w:t xml:space="preserve">overtime during 2017, when </w:t>
      </w:r>
      <w:proofErr w:type="spellStart"/>
      <w:r w:rsidR="00165567" w:rsidRPr="00EC35D7">
        <w:t>TransNamib</w:t>
      </w:r>
      <w:proofErr w:type="spellEnd"/>
      <w:r w:rsidR="005E5D0A" w:rsidRPr="00EC35D7">
        <w:t xml:space="preserve"> </w:t>
      </w:r>
      <w:r w:rsidR="00115E8B" w:rsidRPr="00EC35D7">
        <w:t xml:space="preserve">made payment to a group of security guards who </w:t>
      </w:r>
      <w:r w:rsidR="00A26AF1" w:rsidRPr="00EC35D7">
        <w:t xml:space="preserve">had </w:t>
      </w:r>
      <w:r w:rsidR="00115E8B" w:rsidRPr="00EC35D7">
        <w:t>referred a claim for overtime to the office of the Labour Commissioner</w:t>
      </w:r>
      <w:r w:rsidR="001F4294" w:rsidRPr="00EC35D7">
        <w:t xml:space="preserve"> during 2008</w:t>
      </w:r>
      <w:r w:rsidR="00115E8B" w:rsidRPr="00EC35D7">
        <w:t>. The appellants were not cited in the 2008 referral, as such, they did not benefit from the 2017 payment.</w:t>
      </w:r>
    </w:p>
    <w:p w14:paraId="7E25B935" w14:textId="77777777" w:rsidR="00350365" w:rsidRPr="00EC35D7" w:rsidRDefault="00350365" w:rsidP="009838FE"/>
    <w:p w14:paraId="3069F5BC" w14:textId="50E6645D" w:rsidR="00350365" w:rsidRPr="00EC35D7" w:rsidRDefault="00712CD2" w:rsidP="00712CD2">
      <w:pPr>
        <w:pStyle w:val="Heading1"/>
        <w:numPr>
          <w:ilvl w:val="0"/>
          <w:numId w:val="0"/>
        </w:numPr>
      </w:pPr>
      <w:r w:rsidRPr="00EC35D7">
        <w:t>[4]</w:t>
      </w:r>
      <w:r w:rsidRPr="00EC35D7">
        <w:tab/>
      </w:r>
      <w:r w:rsidR="007407F7" w:rsidRPr="00EC35D7">
        <w:t>The appellants</w:t>
      </w:r>
      <w:r w:rsidR="001F4294" w:rsidRPr="00EC35D7">
        <w:t xml:space="preserve"> then</w:t>
      </w:r>
      <w:r w:rsidR="007407F7" w:rsidRPr="00EC35D7">
        <w:t xml:space="preserve">, </w:t>
      </w:r>
      <w:r w:rsidR="001F4294" w:rsidRPr="00EC35D7">
        <w:t xml:space="preserve">and </w:t>
      </w:r>
      <w:r w:rsidR="007407F7" w:rsidRPr="00EC35D7">
        <w:t>in terms of s 86 of the Labour Act 11 of 2007</w:t>
      </w:r>
      <w:r w:rsidR="001F4294" w:rsidRPr="00EC35D7">
        <w:t xml:space="preserve"> </w:t>
      </w:r>
      <w:r w:rsidR="007407F7" w:rsidRPr="00EC35D7">
        <w:t xml:space="preserve">(“the </w:t>
      </w:r>
      <w:r w:rsidR="001F4294" w:rsidRPr="00EC35D7">
        <w:t xml:space="preserve">Labour </w:t>
      </w:r>
      <w:r w:rsidR="007407F7" w:rsidRPr="00EC35D7">
        <w:t>Act”), referred an overtime dispute to the office of the Labour Commissioner</w:t>
      </w:r>
      <w:r w:rsidR="005A6091" w:rsidRPr="00EC35D7">
        <w:t xml:space="preserve"> (“the first referral”)</w:t>
      </w:r>
      <w:r w:rsidR="007407F7" w:rsidRPr="00EC35D7">
        <w:t xml:space="preserve">. The </w:t>
      </w:r>
      <w:r w:rsidR="00ED40B3">
        <w:t xml:space="preserve">first </w:t>
      </w:r>
      <w:r w:rsidR="007407F7" w:rsidRPr="00EC35D7">
        <w:t xml:space="preserve">referral was </w:t>
      </w:r>
      <w:r w:rsidR="006C3A9D" w:rsidRPr="00EC35D7">
        <w:t xml:space="preserve">undertaken </w:t>
      </w:r>
      <w:r w:rsidR="007407F7" w:rsidRPr="00EC35D7">
        <w:t>sometime during 2017, under case number CRWK 371-2017</w:t>
      </w:r>
      <w:r w:rsidR="006C3A9D" w:rsidRPr="00EC35D7">
        <w:t xml:space="preserve">.  It was then withdrawn </w:t>
      </w:r>
      <w:r w:rsidR="005E5D0A" w:rsidRPr="00EC35D7">
        <w:t xml:space="preserve">during </w:t>
      </w:r>
      <w:r w:rsidR="007407F7" w:rsidRPr="00EC35D7">
        <w:t xml:space="preserve">November 2019, following what the appellants term a delay by the arbitrator – Mr </w:t>
      </w:r>
      <w:proofErr w:type="spellStart"/>
      <w:r w:rsidR="007407F7" w:rsidRPr="00EC35D7">
        <w:t>Mwandingi</w:t>
      </w:r>
      <w:proofErr w:type="spellEnd"/>
      <w:r w:rsidR="00ED40B3">
        <w:t xml:space="preserve"> -</w:t>
      </w:r>
      <w:r w:rsidR="007407F7" w:rsidRPr="00EC35D7">
        <w:t xml:space="preserve"> during </w:t>
      </w:r>
      <w:r w:rsidR="00ED40B3">
        <w:t xml:space="preserve">the </w:t>
      </w:r>
      <w:r w:rsidR="007407F7" w:rsidRPr="00EC35D7">
        <w:t xml:space="preserve">arbitration proceedings, </w:t>
      </w:r>
      <w:r w:rsidR="00ED40B3">
        <w:t xml:space="preserve">where </w:t>
      </w:r>
      <w:proofErr w:type="spellStart"/>
      <w:r w:rsidR="00165567" w:rsidRPr="00EC35D7">
        <w:t>TransNamib</w:t>
      </w:r>
      <w:proofErr w:type="spellEnd"/>
      <w:r w:rsidR="007407F7" w:rsidRPr="00EC35D7">
        <w:t xml:space="preserve"> </w:t>
      </w:r>
      <w:r w:rsidR="006C3A9D" w:rsidRPr="00EC35D7">
        <w:t xml:space="preserve">apparently </w:t>
      </w:r>
      <w:r w:rsidR="007407F7" w:rsidRPr="00EC35D7">
        <w:t>made countless promises to the appellants that it would pay the overtime</w:t>
      </w:r>
      <w:r w:rsidR="006C3A9D" w:rsidRPr="00EC35D7">
        <w:t xml:space="preserve"> to them</w:t>
      </w:r>
      <w:r w:rsidR="005E5D0A" w:rsidRPr="00EC35D7">
        <w:t>.</w:t>
      </w:r>
    </w:p>
    <w:p w14:paraId="083F1BAC" w14:textId="77777777" w:rsidR="00350365" w:rsidRPr="00EC35D7" w:rsidRDefault="00350365" w:rsidP="009838FE"/>
    <w:p w14:paraId="198140AE" w14:textId="682E3CFB" w:rsidR="00350365" w:rsidRPr="00EC35D7" w:rsidRDefault="00712CD2" w:rsidP="00712CD2">
      <w:pPr>
        <w:pStyle w:val="Heading1"/>
        <w:numPr>
          <w:ilvl w:val="0"/>
          <w:numId w:val="0"/>
        </w:numPr>
      </w:pPr>
      <w:r w:rsidRPr="00EC35D7">
        <w:t>[5]</w:t>
      </w:r>
      <w:r w:rsidRPr="00EC35D7">
        <w:tab/>
      </w:r>
      <w:r w:rsidR="006C3A9D" w:rsidRPr="00EC35D7">
        <w:t>On 11 November 2019, t</w:t>
      </w:r>
      <w:r w:rsidR="007407F7" w:rsidRPr="00EC35D7">
        <w:t>he appellants instituted a fresh refer</w:t>
      </w:r>
      <w:r w:rsidR="005E5D0A" w:rsidRPr="00EC35D7">
        <w:t>ral</w:t>
      </w:r>
      <w:r w:rsidR="007407F7" w:rsidRPr="00EC35D7">
        <w:t xml:space="preserve"> under case number CRWK 371-2019</w:t>
      </w:r>
      <w:r w:rsidR="00CA525E" w:rsidRPr="00EC35D7">
        <w:t xml:space="preserve"> (“the second referral”). D</w:t>
      </w:r>
      <w:r w:rsidR="007407F7" w:rsidRPr="00EC35D7">
        <w:t xml:space="preserve">uring </w:t>
      </w:r>
      <w:r w:rsidR="00CA525E" w:rsidRPr="00EC35D7">
        <w:t xml:space="preserve">these </w:t>
      </w:r>
      <w:r w:rsidR="007407F7" w:rsidRPr="00EC35D7">
        <w:t xml:space="preserve">arbitration proceedings, </w:t>
      </w:r>
      <w:proofErr w:type="spellStart"/>
      <w:r w:rsidR="00165567" w:rsidRPr="00EC35D7">
        <w:t>TransNamib</w:t>
      </w:r>
      <w:proofErr w:type="spellEnd"/>
      <w:r w:rsidR="007407F7" w:rsidRPr="00EC35D7">
        <w:t xml:space="preserve"> raised a point </w:t>
      </w:r>
      <w:r w:rsidR="007407F7" w:rsidRPr="00EC35D7">
        <w:rPr>
          <w:i/>
          <w:iCs/>
        </w:rPr>
        <w:t xml:space="preserve">in </w:t>
      </w:r>
      <w:proofErr w:type="spellStart"/>
      <w:r w:rsidR="007407F7" w:rsidRPr="00EC35D7">
        <w:rPr>
          <w:i/>
          <w:iCs/>
        </w:rPr>
        <w:t>limine</w:t>
      </w:r>
      <w:proofErr w:type="spellEnd"/>
      <w:r w:rsidR="007407F7" w:rsidRPr="00EC35D7">
        <w:t>, that in terms of s 86(2)(</w:t>
      </w:r>
      <w:r w:rsidR="007407F7" w:rsidRPr="00EC35D7">
        <w:rPr>
          <w:i/>
          <w:iCs/>
        </w:rPr>
        <w:t>b</w:t>
      </w:r>
      <w:r w:rsidR="007407F7" w:rsidRPr="00EC35D7">
        <w:t xml:space="preserve">) of the </w:t>
      </w:r>
      <w:r w:rsidR="005A6091" w:rsidRPr="00EC35D7">
        <w:t xml:space="preserve">Labour </w:t>
      </w:r>
      <w:r w:rsidR="007407F7" w:rsidRPr="00EC35D7">
        <w:t>Act, the dispute under case number CRWK 371-2019 was referred to the office of the Labour Commissioner more than one year after it arose.</w:t>
      </w:r>
    </w:p>
    <w:p w14:paraId="78153ADF" w14:textId="77777777" w:rsidR="00350365" w:rsidRPr="00EC35D7" w:rsidRDefault="00350365" w:rsidP="009838FE"/>
    <w:p w14:paraId="61806F5A" w14:textId="0AF15A9F" w:rsidR="00350365" w:rsidRPr="00EC35D7" w:rsidRDefault="00712CD2" w:rsidP="00712CD2">
      <w:pPr>
        <w:pStyle w:val="Heading1"/>
        <w:numPr>
          <w:ilvl w:val="0"/>
          <w:numId w:val="0"/>
        </w:numPr>
      </w:pPr>
      <w:r w:rsidRPr="00EC35D7">
        <w:t>[6]</w:t>
      </w:r>
      <w:r w:rsidRPr="00EC35D7">
        <w:tab/>
      </w:r>
      <w:r w:rsidR="00CA525E" w:rsidRPr="00EC35D7">
        <w:t>The arbitration proceeded o</w:t>
      </w:r>
      <w:r w:rsidR="007407F7" w:rsidRPr="00EC35D7">
        <w:t xml:space="preserve">n 19 August 2020, </w:t>
      </w:r>
      <w:r w:rsidR="00CA525E" w:rsidRPr="00EC35D7">
        <w:t xml:space="preserve">and the point </w:t>
      </w:r>
      <w:r w:rsidR="00CA525E" w:rsidRPr="00EC35D7">
        <w:rPr>
          <w:i/>
          <w:iCs/>
        </w:rPr>
        <w:t xml:space="preserve">in </w:t>
      </w:r>
      <w:proofErr w:type="spellStart"/>
      <w:r w:rsidR="00CA525E" w:rsidRPr="00EC35D7">
        <w:rPr>
          <w:i/>
          <w:iCs/>
        </w:rPr>
        <w:t>limine</w:t>
      </w:r>
      <w:proofErr w:type="spellEnd"/>
      <w:r w:rsidR="00CA525E" w:rsidRPr="00EC35D7">
        <w:t xml:space="preserve"> was argued. After the delivery of heads of argument by both parties, the </w:t>
      </w:r>
      <w:r w:rsidR="007407F7" w:rsidRPr="00EC35D7">
        <w:t>arbitrator mad</w:t>
      </w:r>
      <w:r w:rsidR="008E22B2" w:rsidRPr="00EC35D7">
        <w:t>e her rulin</w:t>
      </w:r>
      <w:r w:rsidR="00BA104A" w:rsidRPr="00EC35D7">
        <w:t>g on 26 October 2020</w:t>
      </w:r>
      <w:r w:rsidR="008E22B2" w:rsidRPr="00EC35D7">
        <w:t>,</w:t>
      </w:r>
      <w:r w:rsidR="00350365" w:rsidRPr="00EC35D7">
        <w:t xml:space="preserve"> upholding the point </w:t>
      </w:r>
      <w:r w:rsidR="00350365" w:rsidRPr="00EC35D7">
        <w:rPr>
          <w:i/>
          <w:iCs/>
        </w:rPr>
        <w:t xml:space="preserve">in </w:t>
      </w:r>
      <w:proofErr w:type="spellStart"/>
      <w:r w:rsidR="00350365" w:rsidRPr="00EC35D7">
        <w:rPr>
          <w:i/>
          <w:iCs/>
        </w:rPr>
        <w:t>limine</w:t>
      </w:r>
      <w:proofErr w:type="spellEnd"/>
      <w:r w:rsidR="00350365" w:rsidRPr="00EC35D7">
        <w:t>.</w:t>
      </w:r>
    </w:p>
    <w:p w14:paraId="64B4282D" w14:textId="77777777" w:rsidR="00350365" w:rsidRPr="00EC35D7" w:rsidRDefault="00350365" w:rsidP="009838FE"/>
    <w:p w14:paraId="417628C0" w14:textId="63CEADE0" w:rsidR="00350365" w:rsidRPr="00EC35D7" w:rsidRDefault="00712CD2" w:rsidP="00712CD2">
      <w:pPr>
        <w:pStyle w:val="Heading1"/>
        <w:numPr>
          <w:ilvl w:val="0"/>
          <w:numId w:val="0"/>
        </w:numPr>
      </w:pPr>
      <w:r w:rsidRPr="00EC35D7">
        <w:t>[7]</w:t>
      </w:r>
      <w:r w:rsidRPr="00EC35D7">
        <w:tab/>
      </w:r>
      <w:r w:rsidR="00673690" w:rsidRPr="00EC35D7">
        <w:t>In her ruling, the arbitrator found</w:t>
      </w:r>
      <w:r w:rsidR="0065224D" w:rsidRPr="00EC35D7">
        <w:t xml:space="preserve"> that </w:t>
      </w:r>
      <w:r w:rsidR="00673690" w:rsidRPr="00EC35D7">
        <w:t xml:space="preserve">the appellants became aware of </w:t>
      </w:r>
      <w:r w:rsidR="0065224D" w:rsidRPr="00EC35D7">
        <w:t>t</w:t>
      </w:r>
      <w:r w:rsidR="00673690" w:rsidRPr="00EC35D7">
        <w:t>he</w:t>
      </w:r>
      <w:r w:rsidR="0065224D" w:rsidRPr="00EC35D7">
        <w:t>ir</w:t>
      </w:r>
      <w:r w:rsidR="00673690" w:rsidRPr="00EC35D7">
        <w:t xml:space="preserve"> entitlement </w:t>
      </w:r>
      <w:r w:rsidR="0065224D" w:rsidRPr="00EC35D7">
        <w:t xml:space="preserve">to overtime </w:t>
      </w:r>
      <w:r w:rsidR="00673690" w:rsidRPr="00EC35D7">
        <w:t xml:space="preserve">at the end of 2017, when they realised </w:t>
      </w:r>
      <w:r w:rsidR="0065224D" w:rsidRPr="00EC35D7">
        <w:t xml:space="preserve">that </w:t>
      </w:r>
      <w:r w:rsidR="00673690" w:rsidRPr="00EC35D7">
        <w:t xml:space="preserve">their </w:t>
      </w:r>
      <w:r w:rsidR="005E5D0A" w:rsidRPr="00EC35D7">
        <w:t>colleagues</w:t>
      </w:r>
      <w:r w:rsidR="00673690" w:rsidRPr="00EC35D7">
        <w:t xml:space="preserve"> in the 2008 referral were paid, and they were not </w:t>
      </w:r>
      <w:r w:rsidR="005E5D0A" w:rsidRPr="00EC35D7">
        <w:t>included in the payment.</w:t>
      </w:r>
      <w:r w:rsidR="00673690" w:rsidRPr="00EC35D7">
        <w:t xml:space="preserve"> </w:t>
      </w:r>
      <w:r w:rsidR="0065224D" w:rsidRPr="00EC35D7">
        <w:t xml:space="preserve">Further, that the </w:t>
      </w:r>
      <w:r w:rsidR="00673690" w:rsidRPr="00EC35D7">
        <w:t xml:space="preserve">appellants then instituted </w:t>
      </w:r>
      <w:r w:rsidR="0065224D" w:rsidRPr="00EC35D7">
        <w:t xml:space="preserve">the first </w:t>
      </w:r>
      <w:r w:rsidR="00673690" w:rsidRPr="00EC35D7">
        <w:t xml:space="preserve">referral during 2017, before Mr </w:t>
      </w:r>
      <w:proofErr w:type="spellStart"/>
      <w:r w:rsidR="00673690" w:rsidRPr="00EC35D7">
        <w:t>Mwandingi</w:t>
      </w:r>
      <w:proofErr w:type="spellEnd"/>
      <w:r w:rsidR="00673690" w:rsidRPr="00EC35D7">
        <w:t xml:space="preserve"> – which they withdrew, </w:t>
      </w:r>
      <w:r w:rsidR="0065224D" w:rsidRPr="00EC35D7">
        <w:t xml:space="preserve">after which they </w:t>
      </w:r>
      <w:r w:rsidR="005E5D0A" w:rsidRPr="00EC35D7">
        <w:t>instituted</w:t>
      </w:r>
      <w:r w:rsidR="00673690" w:rsidRPr="00EC35D7">
        <w:t xml:space="preserve"> a fresh referral, the subject matter of her ruling.</w:t>
      </w:r>
    </w:p>
    <w:p w14:paraId="6E762235" w14:textId="77777777" w:rsidR="00350365" w:rsidRPr="00EC35D7" w:rsidRDefault="00350365" w:rsidP="009838FE"/>
    <w:p w14:paraId="15A7BBDB" w14:textId="474CAE7C" w:rsidR="005B7D17" w:rsidRPr="00EC35D7" w:rsidRDefault="00712CD2" w:rsidP="00712CD2">
      <w:pPr>
        <w:pStyle w:val="Heading1"/>
        <w:numPr>
          <w:ilvl w:val="0"/>
          <w:numId w:val="0"/>
        </w:numPr>
      </w:pPr>
      <w:r w:rsidRPr="00EC35D7">
        <w:t>[8]</w:t>
      </w:r>
      <w:r w:rsidRPr="00EC35D7">
        <w:tab/>
      </w:r>
      <w:r w:rsidR="00673690" w:rsidRPr="00EC35D7">
        <w:t>She found</w:t>
      </w:r>
      <w:r w:rsidR="0065224D" w:rsidRPr="00EC35D7">
        <w:t xml:space="preserve"> that </w:t>
      </w:r>
      <w:r w:rsidR="00673690" w:rsidRPr="00EC35D7">
        <w:t xml:space="preserve">about two years had passed, which </w:t>
      </w:r>
      <w:r w:rsidR="0065224D" w:rsidRPr="00EC35D7">
        <w:t xml:space="preserve">fell </w:t>
      </w:r>
      <w:proofErr w:type="spellStart"/>
      <w:r w:rsidR="005E5D0A" w:rsidRPr="00EC35D7">
        <w:t>foul</w:t>
      </w:r>
      <w:proofErr w:type="spellEnd"/>
      <w:r w:rsidR="00673690" w:rsidRPr="00EC35D7">
        <w:t xml:space="preserve"> of </w:t>
      </w:r>
      <w:r w:rsidR="00E1721E">
        <w:t xml:space="preserve">the provisions </w:t>
      </w:r>
      <w:r w:rsidR="00673690" w:rsidRPr="00EC35D7">
        <w:t>s 86(2)(</w:t>
      </w:r>
      <w:r w:rsidR="00673690" w:rsidRPr="00EC35D7">
        <w:rPr>
          <w:i/>
          <w:iCs/>
        </w:rPr>
        <w:t>b</w:t>
      </w:r>
      <w:r w:rsidR="00673690" w:rsidRPr="00EC35D7">
        <w:t xml:space="preserve">) of the </w:t>
      </w:r>
      <w:r w:rsidR="005A6091" w:rsidRPr="00EC35D7">
        <w:t xml:space="preserve">Labour </w:t>
      </w:r>
      <w:r w:rsidR="00673690" w:rsidRPr="00EC35D7">
        <w:t xml:space="preserve">Act, which requires a </w:t>
      </w:r>
      <w:r w:rsidR="005E5D0A" w:rsidRPr="00EC35D7">
        <w:t>dispute be referred</w:t>
      </w:r>
      <w:r w:rsidR="00673690" w:rsidRPr="00EC35D7">
        <w:t xml:space="preserve"> within one year</w:t>
      </w:r>
      <w:r w:rsidR="00090BFE" w:rsidRPr="00EC35D7">
        <w:t xml:space="preserve"> after the dispute arising. She </w:t>
      </w:r>
      <w:r w:rsidR="002E27AF" w:rsidRPr="00EC35D7">
        <w:t xml:space="preserve">stated that </w:t>
      </w:r>
      <w:r w:rsidR="00090BFE" w:rsidRPr="00EC35D7">
        <w:t xml:space="preserve">the appellants could not rely on the </w:t>
      </w:r>
      <w:r w:rsidR="002E27AF" w:rsidRPr="00EC35D7">
        <w:t xml:space="preserve">first </w:t>
      </w:r>
      <w:r w:rsidR="00090BFE" w:rsidRPr="00EC35D7">
        <w:t xml:space="preserve">referral to stave off the prescription point in the </w:t>
      </w:r>
      <w:r w:rsidR="002E27AF" w:rsidRPr="00EC35D7">
        <w:t xml:space="preserve">second </w:t>
      </w:r>
      <w:r w:rsidR="00090BFE" w:rsidRPr="00EC35D7">
        <w:t xml:space="preserve">referral. </w:t>
      </w:r>
      <w:r w:rsidR="002E27AF" w:rsidRPr="00EC35D7">
        <w:t>S</w:t>
      </w:r>
      <w:r w:rsidR="00090BFE" w:rsidRPr="00EC35D7">
        <w:t>he found</w:t>
      </w:r>
      <w:r w:rsidR="002E27AF" w:rsidRPr="00EC35D7">
        <w:t xml:space="preserve"> in this regard that </w:t>
      </w:r>
      <w:r w:rsidR="00090BFE" w:rsidRPr="00EC35D7">
        <w:t xml:space="preserve">the appellants were well placed to request the reassignment of the </w:t>
      </w:r>
      <w:r w:rsidR="00E1721E">
        <w:t xml:space="preserve">first </w:t>
      </w:r>
      <w:r w:rsidR="00090BFE" w:rsidRPr="00EC35D7">
        <w:t>referral to another arbitrator</w:t>
      </w:r>
      <w:r w:rsidR="002E27AF" w:rsidRPr="00EC35D7">
        <w:t xml:space="preserve"> and that the </w:t>
      </w:r>
      <w:r w:rsidR="005E5D0A" w:rsidRPr="00EC35D7">
        <w:t>withdrawal</w:t>
      </w:r>
      <w:r w:rsidR="00090BFE" w:rsidRPr="00EC35D7">
        <w:t xml:space="preserve"> of the </w:t>
      </w:r>
      <w:r w:rsidR="002F78C8" w:rsidRPr="00EC35D7">
        <w:t xml:space="preserve">first </w:t>
      </w:r>
      <w:r w:rsidR="00090BFE" w:rsidRPr="00EC35D7">
        <w:t xml:space="preserve">referral </w:t>
      </w:r>
      <w:r w:rsidR="000A2825" w:rsidRPr="00EC35D7">
        <w:t xml:space="preserve">did </w:t>
      </w:r>
      <w:r w:rsidR="00090BFE" w:rsidRPr="00EC35D7">
        <w:t>not change the date on which the dispute arose</w:t>
      </w:r>
      <w:r w:rsidR="002F78C8" w:rsidRPr="00EC35D7">
        <w:t xml:space="preserve">, namely </w:t>
      </w:r>
      <w:r w:rsidR="00090BFE" w:rsidRPr="00EC35D7">
        <w:t>when the appellants became aware of the entitlement</w:t>
      </w:r>
      <w:r w:rsidR="00EC35D7" w:rsidRPr="00EC35D7">
        <w:t xml:space="preserve"> to overtime in 2017</w:t>
      </w:r>
      <w:r w:rsidR="00E1721E">
        <w:t>. This</w:t>
      </w:r>
      <w:r w:rsidR="00090BFE" w:rsidRPr="00EC35D7">
        <w:t xml:space="preserve"> led to the </w:t>
      </w:r>
      <w:r w:rsidR="00EC35D7" w:rsidRPr="00EC35D7">
        <w:t xml:space="preserve">first referral which </w:t>
      </w:r>
      <w:r w:rsidR="00EC35D7" w:rsidRPr="00EC35D7">
        <w:lastRenderedPageBreak/>
        <w:t xml:space="preserve">was later withdrawn. The arbitrator </w:t>
      </w:r>
      <w:r w:rsidR="00090BFE" w:rsidRPr="00EC35D7">
        <w:t xml:space="preserve">accordingly upheld the point </w:t>
      </w:r>
      <w:r w:rsidR="00090BFE" w:rsidRPr="00EC35D7">
        <w:rPr>
          <w:i/>
          <w:iCs/>
        </w:rPr>
        <w:t xml:space="preserve">in </w:t>
      </w:r>
      <w:proofErr w:type="spellStart"/>
      <w:r w:rsidR="00090BFE" w:rsidRPr="00EC35D7">
        <w:rPr>
          <w:i/>
          <w:iCs/>
        </w:rPr>
        <w:t>limi</w:t>
      </w:r>
      <w:r w:rsidR="005E5D0A" w:rsidRPr="00EC35D7">
        <w:rPr>
          <w:i/>
          <w:iCs/>
        </w:rPr>
        <w:t>n</w:t>
      </w:r>
      <w:r w:rsidR="00090BFE" w:rsidRPr="00EC35D7">
        <w:rPr>
          <w:i/>
          <w:iCs/>
        </w:rPr>
        <w:t>e</w:t>
      </w:r>
      <w:proofErr w:type="spellEnd"/>
      <w:r w:rsidR="00090BFE" w:rsidRPr="00EC35D7">
        <w:t xml:space="preserve"> by </w:t>
      </w:r>
      <w:proofErr w:type="spellStart"/>
      <w:proofErr w:type="gramStart"/>
      <w:r w:rsidR="00165567" w:rsidRPr="00EC35D7">
        <w:t>TransNamib</w:t>
      </w:r>
      <w:proofErr w:type="spellEnd"/>
      <w:r w:rsidR="00090BFE" w:rsidRPr="00EC35D7">
        <w:t xml:space="preserve">, </w:t>
      </w:r>
      <w:r w:rsidR="005E5D0A" w:rsidRPr="00EC35D7">
        <w:t>and</w:t>
      </w:r>
      <w:proofErr w:type="gramEnd"/>
      <w:r w:rsidR="005E5D0A" w:rsidRPr="00EC35D7">
        <w:t xml:space="preserve"> </w:t>
      </w:r>
      <w:r w:rsidR="00090BFE" w:rsidRPr="00EC35D7">
        <w:t xml:space="preserve">dismissed the </w:t>
      </w:r>
      <w:r w:rsidR="00EC35D7" w:rsidRPr="00EC35D7">
        <w:t xml:space="preserve">second </w:t>
      </w:r>
      <w:r w:rsidR="00090BFE" w:rsidRPr="00EC35D7">
        <w:t>referral by the appellant</w:t>
      </w:r>
      <w:r w:rsidR="005E5D0A" w:rsidRPr="00EC35D7">
        <w:t>s</w:t>
      </w:r>
      <w:r w:rsidR="00090BFE" w:rsidRPr="00EC35D7">
        <w:t>. It is against this ruling, that this appeal lies.</w:t>
      </w:r>
    </w:p>
    <w:p w14:paraId="6C8072D6" w14:textId="77777777" w:rsidR="005B7D17" w:rsidRPr="00EC35D7" w:rsidRDefault="005B7D17" w:rsidP="009838FE"/>
    <w:p w14:paraId="16C2774D" w14:textId="20E68A19" w:rsidR="005B7D17" w:rsidRPr="00EC35D7" w:rsidRDefault="00712CD2" w:rsidP="00712CD2">
      <w:pPr>
        <w:pStyle w:val="Heading1"/>
        <w:numPr>
          <w:ilvl w:val="0"/>
          <w:numId w:val="0"/>
        </w:numPr>
      </w:pPr>
      <w:r w:rsidRPr="00EC35D7">
        <w:t>[9]</w:t>
      </w:r>
      <w:r w:rsidRPr="00EC35D7">
        <w:tab/>
      </w:r>
      <w:r w:rsidR="008716FE" w:rsidRPr="00EC35D7">
        <w:t xml:space="preserve">The appellants </w:t>
      </w:r>
      <w:r w:rsidR="00EC35D7">
        <w:t xml:space="preserve">noted their appeal </w:t>
      </w:r>
      <w:r w:rsidR="008716FE" w:rsidRPr="00EC35D7">
        <w:t>on 19 November 2020 which was not prosecuted in time. The appellants allege</w:t>
      </w:r>
      <w:r w:rsidR="002C5516">
        <w:t xml:space="preserve"> that</w:t>
      </w:r>
      <w:r w:rsidR="008716FE" w:rsidRPr="00EC35D7">
        <w:t xml:space="preserve"> since the noting of the appeal, the</w:t>
      </w:r>
      <w:r w:rsidR="002C5516">
        <w:t>y</w:t>
      </w:r>
      <w:r w:rsidR="008716FE" w:rsidRPr="00EC35D7">
        <w:t xml:space="preserve"> were represented by a labour consultant who is not an admitted legal practitioner of this court</w:t>
      </w:r>
      <w:r w:rsidR="008777FB">
        <w:t>.</w:t>
      </w:r>
      <w:r w:rsidR="008716FE" w:rsidRPr="00EC35D7">
        <w:t xml:space="preserve"> </w:t>
      </w:r>
      <w:r w:rsidR="008777FB">
        <w:t>A</w:t>
      </w:r>
      <w:r w:rsidR="008716FE" w:rsidRPr="00EC35D7">
        <w:t>s such</w:t>
      </w:r>
      <w:r w:rsidR="008777FB">
        <w:t>,</w:t>
      </w:r>
      <w:r w:rsidR="008716FE" w:rsidRPr="00EC35D7">
        <w:t xml:space="preserve"> they were unrepresented </w:t>
      </w:r>
      <w:r w:rsidR="008777FB">
        <w:t xml:space="preserve">at all material times. </w:t>
      </w:r>
      <w:r w:rsidR="008716FE" w:rsidRPr="00EC35D7">
        <w:t xml:space="preserve">During February 2021, </w:t>
      </w:r>
      <w:r w:rsidR="008777FB">
        <w:t xml:space="preserve">the appellants </w:t>
      </w:r>
      <w:r w:rsidR="008716FE" w:rsidRPr="00EC35D7">
        <w:t xml:space="preserve">applied for legal aid, and </w:t>
      </w:r>
      <w:r w:rsidR="008777FB">
        <w:t xml:space="preserve">were </w:t>
      </w:r>
      <w:r w:rsidR="008716FE" w:rsidRPr="00EC35D7">
        <w:t>advised to resubmit their application after 17 March 2021</w:t>
      </w:r>
      <w:r w:rsidR="008777FB">
        <w:t>.  D</w:t>
      </w:r>
      <w:r w:rsidR="008716FE" w:rsidRPr="00EC35D7">
        <w:t xml:space="preserve">uring April 2021, the Directorate of Legal Aid informed </w:t>
      </w:r>
      <w:r w:rsidR="005F74FA">
        <w:t xml:space="preserve">the appellants that the Directorate </w:t>
      </w:r>
      <w:r w:rsidR="008716FE" w:rsidRPr="00EC35D7">
        <w:t xml:space="preserve">could not instruct a legal practitioner to act on their </w:t>
      </w:r>
      <w:r w:rsidR="005E5D0A" w:rsidRPr="00EC35D7">
        <w:t>behalf</w:t>
      </w:r>
      <w:r w:rsidR="008716FE" w:rsidRPr="00EC35D7">
        <w:t xml:space="preserve">, </w:t>
      </w:r>
      <w:r w:rsidR="005F74FA">
        <w:t xml:space="preserve">due to </w:t>
      </w:r>
      <w:r w:rsidR="008716FE" w:rsidRPr="00EC35D7">
        <w:t xml:space="preserve">a moratorium </w:t>
      </w:r>
      <w:r w:rsidR="005F74FA">
        <w:t xml:space="preserve">placed on </w:t>
      </w:r>
      <w:r w:rsidR="008716FE" w:rsidRPr="00EC35D7">
        <w:t xml:space="preserve">instructions to private legal practitioners. </w:t>
      </w:r>
      <w:r w:rsidR="005F74FA">
        <w:t>D</w:t>
      </w:r>
      <w:r w:rsidR="00017490" w:rsidRPr="00EC35D7">
        <w:t xml:space="preserve">uring July 2021, </w:t>
      </w:r>
      <w:r w:rsidR="005F74FA">
        <w:t xml:space="preserve">and </w:t>
      </w:r>
      <w:r w:rsidR="00017490" w:rsidRPr="00EC35D7">
        <w:t xml:space="preserve">unassisted, </w:t>
      </w:r>
      <w:r w:rsidR="005F74FA">
        <w:t xml:space="preserve">the appellants delivered </w:t>
      </w:r>
      <w:r w:rsidR="00017490" w:rsidRPr="00EC35D7">
        <w:t xml:space="preserve">an application for condonation and reinstatement of the appeal. </w:t>
      </w:r>
      <w:r w:rsidR="008716FE" w:rsidRPr="00EC35D7">
        <w:t>During August 2021, the appellants once more sought the assistance of the Directorate Legal Aid</w:t>
      </w:r>
      <w:r w:rsidR="00017490" w:rsidRPr="00EC35D7">
        <w:t xml:space="preserve">. Ms </w:t>
      </w:r>
      <w:proofErr w:type="spellStart"/>
      <w:r w:rsidR="00017490" w:rsidRPr="00EC35D7">
        <w:t>Shikale</w:t>
      </w:r>
      <w:proofErr w:type="spellEnd"/>
      <w:r w:rsidR="00017490" w:rsidRPr="00EC35D7">
        <w:t xml:space="preserve"> of </w:t>
      </w:r>
      <w:proofErr w:type="spellStart"/>
      <w:r w:rsidR="00017490" w:rsidRPr="00EC35D7">
        <w:t>Shikale</w:t>
      </w:r>
      <w:proofErr w:type="spellEnd"/>
      <w:r w:rsidR="00017490" w:rsidRPr="00EC35D7">
        <w:t xml:space="preserve"> &amp; Associates, came on record for the appellants</w:t>
      </w:r>
      <w:r w:rsidR="005F74FA">
        <w:t xml:space="preserve"> during December 2021</w:t>
      </w:r>
      <w:r w:rsidR="00017490" w:rsidRPr="00EC35D7">
        <w:t xml:space="preserve">, and </w:t>
      </w:r>
      <w:r w:rsidR="005F74FA">
        <w:t xml:space="preserve">delivered </w:t>
      </w:r>
      <w:r w:rsidR="00017490" w:rsidRPr="00EC35D7">
        <w:t xml:space="preserve">an amended notice of appeal during March 2022, before her withdrawal from the matter </w:t>
      </w:r>
      <w:r w:rsidR="005F74FA">
        <w:t xml:space="preserve">in </w:t>
      </w:r>
      <w:r w:rsidR="00017490" w:rsidRPr="00EC35D7">
        <w:t>April 2022.</w:t>
      </w:r>
    </w:p>
    <w:p w14:paraId="547EEFDF" w14:textId="3D678CAE" w:rsidR="00017490" w:rsidRPr="00EC35D7" w:rsidRDefault="00017490" w:rsidP="009838FE">
      <w:pPr>
        <w:pStyle w:val="Heading1"/>
        <w:numPr>
          <w:ilvl w:val="0"/>
          <w:numId w:val="0"/>
        </w:numPr>
      </w:pPr>
      <w:r w:rsidRPr="00EC35D7">
        <w:t xml:space="preserve"> </w:t>
      </w:r>
    </w:p>
    <w:p w14:paraId="1582949C" w14:textId="022A03F5" w:rsidR="00017490" w:rsidRPr="00EC35D7" w:rsidRDefault="00712CD2" w:rsidP="00712CD2">
      <w:pPr>
        <w:pStyle w:val="Heading1"/>
        <w:numPr>
          <w:ilvl w:val="0"/>
          <w:numId w:val="0"/>
        </w:numPr>
      </w:pPr>
      <w:r w:rsidRPr="00EC35D7">
        <w:t>[10]</w:t>
      </w:r>
      <w:r w:rsidRPr="00EC35D7">
        <w:tab/>
      </w:r>
      <w:r w:rsidR="00017490" w:rsidRPr="00EC35D7">
        <w:t xml:space="preserve">Following the amended notice to appeal, </w:t>
      </w:r>
      <w:proofErr w:type="spellStart"/>
      <w:r w:rsidR="00165567" w:rsidRPr="00EC35D7">
        <w:t>TransNamib</w:t>
      </w:r>
      <w:proofErr w:type="spellEnd"/>
      <w:r w:rsidR="00017490" w:rsidRPr="00EC35D7">
        <w:t xml:space="preserve"> filed a notice of intention to oppose the appeal and its grounds of opposition. </w:t>
      </w:r>
    </w:p>
    <w:p w14:paraId="488CC288" w14:textId="77777777" w:rsidR="005B7D17" w:rsidRPr="00EC35D7" w:rsidRDefault="005B7D17" w:rsidP="009838FE"/>
    <w:p w14:paraId="1A0D0EE9" w14:textId="0B7427DD" w:rsidR="00017490" w:rsidRPr="00EC35D7" w:rsidRDefault="00712CD2" w:rsidP="00712CD2">
      <w:pPr>
        <w:pStyle w:val="Heading1"/>
        <w:numPr>
          <w:ilvl w:val="0"/>
          <w:numId w:val="0"/>
        </w:numPr>
      </w:pPr>
      <w:r w:rsidRPr="00EC35D7">
        <w:t>[11]</w:t>
      </w:r>
      <w:r w:rsidRPr="00EC35D7">
        <w:tab/>
      </w:r>
      <w:r w:rsidR="00017490" w:rsidRPr="00EC35D7">
        <w:t>On 14 July 2022, Mr Esau of the Directorate of Legal Aid, came on record for the appellants</w:t>
      </w:r>
      <w:r w:rsidR="00D806AF" w:rsidRPr="00EC35D7">
        <w:t>.</w:t>
      </w:r>
    </w:p>
    <w:p w14:paraId="5B0FB4A5" w14:textId="77777777" w:rsidR="005B7D17" w:rsidRPr="00EC35D7" w:rsidRDefault="005B7D17" w:rsidP="009838FE"/>
    <w:p w14:paraId="5DD49A3B" w14:textId="1B32EB28" w:rsidR="005B7D17" w:rsidRPr="00EC35D7" w:rsidRDefault="00712CD2" w:rsidP="00712CD2">
      <w:pPr>
        <w:pStyle w:val="Heading1"/>
        <w:numPr>
          <w:ilvl w:val="0"/>
          <w:numId w:val="0"/>
        </w:numPr>
      </w:pPr>
      <w:r w:rsidRPr="00EC35D7">
        <w:t>[12]</w:t>
      </w:r>
      <w:r w:rsidRPr="00EC35D7">
        <w:tab/>
      </w:r>
      <w:r w:rsidR="00017490" w:rsidRPr="00EC35D7">
        <w:t>However undesirable in form and substance,</w:t>
      </w:r>
      <w:r w:rsidR="008F2C0E">
        <w:t xml:space="preserve"> </w:t>
      </w:r>
      <w:r w:rsidR="00017490" w:rsidRPr="00EC35D7">
        <w:t>even following the appearance of the legal practitioner of record for the appellants, the application for condonation and reinstatement of the appeal is unopposed</w:t>
      </w:r>
      <w:r w:rsidR="00FC3CBD">
        <w:t xml:space="preserve">. </w:t>
      </w:r>
      <w:r w:rsidR="00017490" w:rsidRPr="00EC35D7">
        <w:t xml:space="preserve">I accept </w:t>
      </w:r>
      <w:r w:rsidR="00FC3CBD">
        <w:t xml:space="preserve">that </w:t>
      </w:r>
      <w:r w:rsidR="00017490" w:rsidRPr="00EC35D7">
        <w:t xml:space="preserve">during the time </w:t>
      </w:r>
      <w:r w:rsidR="00FC3CBD">
        <w:t>that the application was launched,</w:t>
      </w:r>
      <w:r w:rsidR="008F2C0E">
        <w:t xml:space="preserve"> </w:t>
      </w:r>
      <w:r w:rsidR="00017490" w:rsidRPr="00EC35D7">
        <w:t xml:space="preserve">the appellants were unrepresented, with due effort made to obtain legal aid. The condonation is thus granted, and the appeal </w:t>
      </w:r>
      <w:r w:rsidR="00FC3CBD">
        <w:t xml:space="preserve">is </w:t>
      </w:r>
      <w:r w:rsidR="00017490" w:rsidRPr="00EC35D7">
        <w:t>reinstated</w:t>
      </w:r>
      <w:r w:rsidR="00EF5417" w:rsidRPr="00EC35D7">
        <w:t>.</w:t>
      </w:r>
    </w:p>
    <w:p w14:paraId="04920499" w14:textId="77777777" w:rsidR="005B7D17" w:rsidRPr="00EC35D7" w:rsidRDefault="005B7D17" w:rsidP="009838FE"/>
    <w:p w14:paraId="1967FCE0" w14:textId="0684440A" w:rsidR="00EF5417" w:rsidRPr="00EC35D7" w:rsidRDefault="00712CD2" w:rsidP="00712CD2">
      <w:pPr>
        <w:pStyle w:val="Heading1"/>
        <w:numPr>
          <w:ilvl w:val="0"/>
          <w:numId w:val="0"/>
        </w:numPr>
      </w:pPr>
      <w:r w:rsidRPr="00EC35D7">
        <w:t>[13]</w:t>
      </w:r>
      <w:r w:rsidRPr="00EC35D7">
        <w:tab/>
      </w:r>
      <w:r w:rsidR="00EF5417" w:rsidRPr="00EC35D7">
        <w:t>According to the amended notice of appeal, the question of fact or law appealed against in the arbitrator’s ruling are as follows:</w:t>
      </w:r>
    </w:p>
    <w:p w14:paraId="4AC22562" w14:textId="77777777" w:rsidR="00EF5417" w:rsidRPr="00EC35D7" w:rsidRDefault="00EF5417" w:rsidP="009838FE"/>
    <w:p w14:paraId="1520EA8F" w14:textId="410DAAE3" w:rsidR="00EF5417" w:rsidRPr="00EC35D7" w:rsidRDefault="005B7D17" w:rsidP="009838FE">
      <w:pPr>
        <w:ind w:left="720"/>
        <w:rPr>
          <w:sz w:val="22"/>
          <w:szCs w:val="22"/>
        </w:rPr>
      </w:pPr>
      <w:r w:rsidRPr="00EC35D7">
        <w:rPr>
          <w:sz w:val="22"/>
          <w:szCs w:val="22"/>
        </w:rPr>
        <w:t>‘</w:t>
      </w:r>
      <w:r w:rsidR="00EF5417" w:rsidRPr="00EC35D7">
        <w:rPr>
          <w:sz w:val="22"/>
          <w:szCs w:val="22"/>
        </w:rPr>
        <w:t xml:space="preserve">1. </w:t>
      </w:r>
      <w:r w:rsidR="00FC3CBD">
        <w:rPr>
          <w:sz w:val="22"/>
          <w:szCs w:val="22"/>
        </w:rPr>
        <w:tab/>
      </w:r>
      <w:r w:rsidR="00EF5417" w:rsidRPr="00EC35D7">
        <w:rPr>
          <w:sz w:val="22"/>
          <w:szCs w:val="22"/>
        </w:rPr>
        <w:t>Whether or not the office of the Labour Commissioner had jurisdiction to hear the matter and/or whether the dispute the had prescribed?</w:t>
      </w:r>
    </w:p>
    <w:p w14:paraId="2A2F2D20" w14:textId="77777777" w:rsidR="00EF5417" w:rsidRPr="00EC35D7" w:rsidRDefault="00EF5417" w:rsidP="009838FE">
      <w:pPr>
        <w:rPr>
          <w:sz w:val="22"/>
          <w:szCs w:val="22"/>
        </w:rPr>
      </w:pPr>
    </w:p>
    <w:p w14:paraId="6EE2ED9A" w14:textId="3FF9E686" w:rsidR="00EF5417" w:rsidRPr="00EC35D7" w:rsidRDefault="00EF5417" w:rsidP="009838FE">
      <w:pPr>
        <w:ind w:left="720"/>
        <w:rPr>
          <w:sz w:val="22"/>
          <w:szCs w:val="22"/>
        </w:rPr>
      </w:pPr>
      <w:r w:rsidRPr="00EC35D7">
        <w:rPr>
          <w:sz w:val="22"/>
          <w:szCs w:val="22"/>
        </w:rPr>
        <w:t xml:space="preserve">2. </w:t>
      </w:r>
      <w:r w:rsidR="00FC3CBD">
        <w:rPr>
          <w:sz w:val="22"/>
          <w:szCs w:val="22"/>
        </w:rPr>
        <w:tab/>
      </w:r>
      <w:r w:rsidRPr="00EC35D7">
        <w:rPr>
          <w:sz w:val="22"/>
          <w:szCs w:val="22"/>
        </w:rPr>
        <w:t xml:space="preserve">Whether about two years had lapsed before the dispute in terms of Section 86(2)(b) was </w:t>
      </w:r>
      <w:r w:rsidR="005B7D17" w:rsidRPr="00EC35D7">
        <w:rPr>
          <w:sz w:val="22"/>
          <w:szCs w:val="22"/>
        </w:rPr>
        <w:t>referred to the Labour Commissioner.</w:t>
      </w:r>
    </w:p>
    <w:p w14:paraId="4071E092" w14:textId="77777777" w:rsidR="005B7D17" w:rsidRPr="00EC35D7" w:rsidRDefault="005B7D17" w:rsidP="009838FE">
      <w:pPr>
        <w:rPr>
          <w:sz w:val="22"/>
          <w:szCs w:val="22"/>
        </w:rPr>
      </w:pPr>
    </w:p>
    <w:p w14:paraId="6BC11C13" w14:textId="710D68BC" w:rsidR="005B7D17" w:rsidRPr="00EC35D7" w:rsidRDefault="005B7D17" w:rsidP="009838FE">
      <w:pPr>
        <w:ind w:left="720"/>
        <w:rPr>
          <w:sz w:val="22"/>
          <w:szCs w:val="22"/>
        </w:rPr>
      </w:pPr>
      <w:r w:rsidRPr="00EC35D7">
        <w:rPr>
          <w:sz w:val="22"/>
          <w:szCs w:val="22"/>
        </w:rPr>
        <w:t xml:space="preserve">3. </w:t>
      </w:r>
      <w:r w:rsidR="00FC3CBD">
        <w:rPr>
          <w:sz w:val="22"/>
          <w:szCs w:val="22"/>
        </w:rPr>
        <w:tab/>
      </w:r>
      <w:r w:rsidRPr="00EC35D7">
        <w:rPr>
          <w:sz w:val="22"/>
          <w:szCs w:val="22"/>
        </w:rPr>
        <w:t>Whether the Appellants can refer to the dispute that they referred to the Labour Commissioner during 2017 and if that referral is sufficient to ward off prescription.</w:t>
      </w:r>
    </w:p>
    <w:p w14:paraId="08EADBAC" w14:textId="77777777" w:rsidR="005B7D17" w:rsidRPr="00EC35D7" w:rsidRDefault="005B7D17" w:rsidP="009838FE">
      <w:pPr>
        <w:rPr>
          <w:sz w:val="22"/>
          <w:szCs w:val="22"/>
        </w:rPr>
      </w:pPr>
    </w:p>
    <w:p w14:paraId="34FA03DE" w14:textId="2A77EE22" w:rsidR="005B7D17" w:rsidRPr="00EC35D7" w:rsidRDefault="005B7D17" w:rsidP="009838FE">
      <w:pPr>
        <w:ind w:left="720"/>
        <w:rPr>
          <w:sz w:val="22"/>
          <w:szCs w:val="22"/>
        </w:rPr>
      </w:pPr>
      <w:r w:rsidRPr="00EC35D7">
        <w:rPr>
          <w:sz w:val="22"/>
          <w:szCs w:val="22"/>
        </w:rPr>
        <w:t xml:space="preserve">4. </w:t>
      </w:r>
      <w:r w:rsidR="00FC3CBD">
        <w:rPr>
          <w:sz w:val="22"/>
          <w:szCs w:val="22"/>
        </w:rPr>
        <w:tab/>
      </w:r>
      <w:r w:rsidRPr="00EC35D7">
        <w:rPr>
          <w:sz w:val="22"/>
          <w:szCs w:val="22"/>
        </w:rPr>
        <w:t>Whether the ruling is in accordance with the peremptory provisions of Rule 86(18).</w:t>
      </w:r>
    </w:p>
    <w:p w14:paraId="0E62B1B5" w14:textId="77777777" w:rsidR="005B7D17" w:rsidRPr="00EC35D7" w:rsidRDefault="005B7D17" w:rsidP="009838FE">
      <w:pPr>
        <w:rPr>
          <w:sz w:val="22"/>
          <w:szCs w:val="22"/>
        </w:rPr>
      </w:pPr>
    </w:p>
    <w:p w14:paraId="7B482F5D" w14:textId="55F74F50" w:rsidR="005B7D17" w:rsidRPr="00EC35D7" w:rsidRDefault="005B7D17" w:rsidP="009838FE">
      <w:pPr>
        <w:ind w:left="720"/>
        <w:rPr>
          <w:sz w:val="22"/>
          <w:szCs w:val="22"/>
        </w:rPr>
      </w:pPr>
      <w:r w:rsidRPr="00EC35D7">
        <w:rPr>
          <w:sz w:val="22"/>
          <w:szCs w:val="22"/>
        </w:rPr>
        <w:t xml:space="preserve">5. </w:t>
      </w:r>
      <w:r w:rsidR="00FC3CBD">
        <w:rPr>
          <w:sz w:val="22"/>
          <w:szCs w:val="22"/>
        </w:rPr>
        <w:tab/>
      </w:r>
      <w:r w:rsidRPr="00EC35D7">
        <w:rPr>
          <w:sz w:val="22"/>
          <w:szCs w:val="22"/>
        </w:rPr>
        <w:t>Whether the acknowledgement of debt made by the first Respondent’s legal practitioner interrupted prescription.’</w:t>
      </w:r>
    </w:p>
    <w:p w14:paraId="3AF1A8CC" w14:textId="77777777" w:rsidR="00B62AE5" w:rsidRPr="00EC35D7" w:rsidRDefault="00B62AE5" w:rsidP="009838FE"/>
    <w:p w14:paraId="1ACB71DD" w14:textId="5F9C3403" w:rsidR="00E1721E" w:rsidRDefault="00712CD2" w:rsidP="00712CD2">
      <w:pPr>
        <w:pStyle w:val="Heading1"/>
        <w:numPr>
          <w:ilvl w:val="0"/>
          <w:numId w:val="0"/>
        </w:numPr>
      </w:pPr>
      <w:r>
        <w:t>[14]</w:t>
      </w:r>
      <w:r>
        <w:tab/>
      </w:r>
      <w:r w:rsidR="003C2229" w:rsidRPr="00EC35D7">
        <w:t>Counsel for the appellants, in attempt to advance the position of the appellants,</w:t>
      </w:r>
      <w:r w:rsidR="002241AE" w:rsidRPr="00EC35D7">
        <w:t xml:space="preserve"> argued </w:t>
      </w:r>
      <w:r w:rsidR="00FC3CBD">
        <w:t xml:space="preserve">that </w:t>
      </w:r>
      <w:r w:rsidR="002241AE" w:rsidRPr="00EC35D7">
        <w:t>the appellants act</w:t>
      </w:r>
      <w:r w:rsidR="00E1721E">
        <w:t>ed</w:t>
      </w:r>
      <w:r w:rsidR="002241AE" w:rsidRPr="00EC35D7">
        <w:t xml:space="preserve"> without the assistance of a legal practitioner</w:t>
      </w:r>
      <w:r w:rsidR="00E1721E">
        <w:t xml:space="preserve"> and</w:t>
      </w:r>
      <w:r w:rsidR="002241AE" w:rsidRPr="00EC35D7">
        <w:t xml:space="preserve"> had no intention to withdraw the </w:t>
      </w:r>
      <w:r w:rsidR="00F76C17">
        <w:t xml:space="preserve">first </w:t>
      </w:r>
      <w:r w:rsidR="002241AE" w:rsidRPr="00EC35D7">
        <w:t>referral</w:t>
      </w:r>
      <w:r w:rsidR="00E1721E">
        <w:t xml:space="preserve">. It was argued that this is evident </w:t>
      </w:r>
      <w:r w:rsidR="002241AE" w:rsidRPr="00F76C17">
        <w:rPr>
          <w:i/>
          <w:iCs/>
        </w:rPr>
        <w:t>ex facie</w:t>
      </w:r>
      <w:r w:rsidR="002241AE" w:rsidRPr="00EC35D7">
        <w:t xml:space="preserve"> the LC 48 </w:t>
      </w:r>
      <w:r w:rsidR="00F76C17">
        <w:t>form</w:t>
      </w:r>
      <w:r w:rsidR="008F2C0E">
        <w:t>,</w:t>
      </w:r>
      <w:r w:rsidR="00F76C17">
        <w:t xml:space="preserve"> </w:t>
      </w:r>
      <w:r w:rsidR="002241AE" w:rsidRPr="00EC35D7">
        <w:t xml:space="preserve">that the appellants had intended to “refer another dispute”. </w:t>
      </w:r>
    </w:p>
    <w:p w14:paraId="53FD8500" w14:textId="77777777" w:rsidR="00E1721E" w:rsidRPr="00E1721E" w:rsidRDefault="00E1721E" w:rsidP="00E1721E"/>
    <w:p w14:paraId="02771089" w14:textId="6257DBE8" w:rsidR="00B62AE5" w:rsidRPr="00EC35D7" w:rsidRDefault="00712CD2" w:rsidP="00712CD2">
      <w:pPr>
        <w:pStyle w:val="Heading1"/>
        <w:numPr>
          <w:ilvl w:val="0"/>
          <w:numId w:val="0"/>
        </w:numPr>
      </w:pPr>
      <w:r w:rsidRPr="00EC35D7">
        <w:t>[15]</w:t>
      </w:r>
      <w:r w:rsidRPr="00EC35D7">
        <w:tab/>
      </w:r>
      <w:r w:rsidR="002241AE" w:rsidRPr="00EC35D7">
        <w:t>On th</w:t>
      </w:r>
      <w:r w:rsidR="00F76C17">
        <w:t xml:space="preserve">is </w:t>
      </w:r>
      <w:r w:rsidR="002241AE" w:rsidRPr="00EC35D7">
        <w:t xml:space="preserve">ground of appeal, I must reject the argument of counsel. If regard is had to the LC 48 form, it is </w:t>
      </w:r>
      <w:r w:rsidR="00E1721E">
        <w:t>apparent</w:t>
      </w:r>
      <w:r w:rsidR="002241AE" w:rsidRPr="00EC35D7">
        <w:t xml:space="preserve"> that although the app</w:t>
      </w:r>
      <w:r w:rsidR="00E1721E">
        <w:t>ellants</w:t>
      </w:r>
      <w:r w:rsidR="002241AE" w:rsidRPr="00EC35D7">
        <w:t xml:space="preserve"> </w:t>
      </w:r>
      <w:r w:rsidR="00F76C17">
        <w:t xml:space="preserve">drew </w:t>
      </w:r>
      <w:r w:rsidR="002241AE" w:rsidRPr="00EC35D7">
        <w:t xml:space="preserve">a line through the portion of the form reading </w:t>
      </w:r>
      <w:r w:rsidR="00E1721E">
        <w:t>‘</w:t>
      </w:r>
      <w:r w:rsidR="002241AE" w:rsidRPr="00EC35D7">
        <w:t>and forthwith abandon my claims agains</w:t>
      </w:r>
      <w:r w:rsidR="00D806AF" w:rsidRPr="00EC35D7">
        <w:t>t</w:t>
      </w:r>
      <w:r w:rsidR="002241AE" w:rsidRPr="00EC35D7">
        <w:t xml:space="preserve"> the respondent</w:t>
      </w:r>
      <w:r w:rsidR="00E1721E">
        <w:t>’</w:t>
      </w:r>
      <w:r w:rsidR="002241AE" w:rsidRPr="00EC35D7">
        <w:t>, the</w:t>
      </w:r>
      <w:r w:rsidR="00E1721E">
        <w:t>y still</w:t>
      </w:r>
      <w:r w:rsidR="00D806AF" w:rsidRPr="00EC35D7">
        <w:t xml:space="preserve"> </w:t>
      </w:r>
      <w:r w:rsidR="002241AE" w:rsidRPr="00EC35D7">
        <w:t xml:space="preserve">withdrew the referral and recorded </w:t>
      </w:r>
      <w:r w:rsidR="00E1721E">
        <w:t>‘</w:t>
      </w:r>
      <w:r w:rsidR="002241AE" w:rsidRPr="00EC35D7">
        <w:t>hereb</w:t>
      </w:r>
      <w:r w:rsidR="00D806AF" w:rsidRPr="00EC35D7">
        <w:t xml:space="preserve">y </w:t>
      </w:r>
      <w:r w:rsidR="002241AE" w:rsidRPr="00EC35D7">
        <w:t>refer another dispute with more particulars to the matter</w:t>
      </w:r>
      <w:r w:rsidR="00E1721E">
        <w:t>’</w:t>
      </w:r>
      <w:r w:rsidR="002241AE" w:rsidRPr="00EC35D7">
        <w:t>. Whether it was the intention of the app</w:t>
      </w:r>
      <w:r w:rsidR="00D806AF" w:rsidRPr="00EC35D7">
        <w:t>ellants</w:t>
      </w:r>
      <w:r w:rsidR="002241AE" w:rsidRPr="00EC35D7">
        <w:t xml:space="preserve"> to abandon what they deem their cause</w:t>
      </w:r>
      <w:r w:rsidR="00E1721E">
        <w:t xml:space="preserve"> or not</w:t>
      </w:r>
      <w:r w:rsidR="002241AE" w:rsidRPr="00EC35D7">
        <w:t xml:space="preserve">, for purposes of evaluating the ground of appeal – is of no moment. I say so </w:t>
      </w:r>
      <w:proofErr w:type="gramStart"/>
      <w:r w:rsidR="002241AE" w:rsidRPr="00EC35D7">
        <w:t>considering the fact that</w:t>
      </w:r>
      <w:proofErr w:type="gramEnd"/>
      <w:r w:rsidR="002241AE" w:rsidRPr="00EC35D7">
        <w:t xml:space="preserve"> the </w:t>
      </w:r>
      <w:bookmarkStart w:id="1" w:name="_Hlk145330050"/>
      <w:r w:rsidR="002241AE" w:rsidRPr="00EC35D7">
        <w:t>app</w:t>
      </w:r>
      <w:r w:rsidR="00D806AF" w:rsidRPr="00EC35D7">
        <w:t>ellants</w:t>
      </w:r>
      <w:r w:rsidR="002241AE" w:rsidRPr="00EC35D7">
        <w:t xml:space="preserve"> completed and </w:t>
      </w:r>
      <w:r w:rsidR="00541057" w:rsidRPr="00EC35D7">
        <w:t xml:space="preserve">signed the LC 48 form, recording their clear and unequivocal intention to withdraw the </w:t>
      </w:r>
      <w:r w:rsidR="00F76C17">
        <w:t xml:space="preserve">first </w:t>
      </w:r>
      <w:r w:rsidR="00541057" w:rsidRPr="00EC35D7">
        <w:t xml:space="preserve">referral and to refer another dispute to the </w:t>
      </w:r>
      <w:r w:rsidR="008F2C0E">
        <w:t>O</w:t>
      </w:r>
      <w:r w:rsidR="00541057" w:rsidRPr="00EC35D7">
        <w:t>ffice of the Labour Commissioner.</w:t>
      </w:r>
      <w:bookmarkEnd w:id="1"/>
    </w:p>
    <w:p w14:paraId="2C86926E" w14:textId="77777777" w:rsidR="00B62AE5" w:rsidRPr="00EC35D7" w:rsidRDefault="00B62AE5" w:rsidP="009838FE"/>
    <w:p w14:paraId="0250BED5" w14:textId="6B70D2E7" w:rsidR="00B62AE5" w:rsidRPr="00EC35D7" w:rsidRDefault="00712CD2" w:rsidP="00712CD2">
      <w:pPr>
        <w:pStyle w:val="Heading1"/>
        <w:numPr>
          <w:ilvl w:val="0"/>
          <w:numId w:val="0"/>
        </w:numPr>
      </w:pPr>
      <w:r w:rsidRPr="00EC35D7">
        <w:t>[16]</w:t>
      </w:r>
      <w:r w:rsidRPr="00EC35D7">
        <w:tab/>
      </w:r>
      <w:r w:rsidR="00F76C17">
        <w:t>C</w:t>
      </w:r>
      <w:r w:rsidR="00541057" w:rsidRPr="00EC35D7">
        <w:t xml:space="preserve">ounsel for the appellants </w:t>
      </w:r>
      <w:r w:rsidR="00D62FF4">
        <w:t xml:space="preserve">further </w:t>
      </w:r>
      <w:r w:rsidR="00541057" w:rsidRPr="00EC35D7">
        <w:t xml:space="preserve">argued that </w:t>
      </w:r>
      <w:r w:rsidR="002241AE" w:rsidRPr="00EC35D7">
        <w:t xml:space="preserve">the arbitrator erred in finding </w:t>
      </w:r>
      <w:r w:rsidR="00D62FF4">
        <w:lastRenderedPageBreak/>
        <w:t xml:space="preserve">that </w:t>
      </w:r>
      <w:r w:rsidR="002241AE" w:rsidRPr="00EC35D7">
        <w:t xml:space="preserve">the </w:t>
      </w:r>
      <w:r w:rsidR="00D62FF4">
        <w:t xml:space="preserve">second </w:t>
      </w:r>
      <w:r w:rsidR="002241AE" w:rsidRPr="00EC35D7">
        <w:t xml:space="preserve">referral had lapsed in terms of the </w:t>
      </w:r>
      <w:r w:rsidR="005A6091" w:rsidRPr="00EC35D7">
        <w:t xml:space="preserve">Labour </w:t>
      </w:r>
      <w:r w:rsidR="002241AE" w:rsidRPr="00EC35D7">
        <w:t>Act.</w:t>
      </w:r>
      <w:r w:rsidR="00681BFC" w:rsidRPr="00EC35D7">
        <w:t xml:space="preserve"> The </w:t>
      </w:r>
      <w:r w:rsidR="00D62FF4">
        <w:t xml:space="preserve">basis of the argument was that </w:t>
      </w:r>
      <w:r w:rsidR="00681BFC" w:rsidRPr="00EC35D7">
        <w:t xml:space="preserve">the appellants in their heads of </w:t>
      </w:r>
      <w:r w:rsidR="00D806AF" w:rsidRPr="00EC35D7">
        <w:t>argument</w:t>
      </w:r>
      <w:r w:rsidR="00681BFC" w:rsidRPr="00EC35D7">
        <w:t xml:space="preserve"> in the arbitration </w:t>
      </w:r>
      <w:proofErr w:type="gramStart"/>
      <w:r w:rsidR="00681BFC" w:rsidRPr="00EC35D7">
        <w:t>proceedings</w:t>
      </w:r>
      <w:r w:rsidR="008F2C0E">
        <w:t xml:space="preserve">, </w:t>
      </w:r>
      <w:r w:rsidR="00681BFC" w:rsidRPr="00EC35D7">
        <w:t xml:space="preserve"> stated</w:t>
      </w:r>
      <w:proofErr w:type="gramEnd"/>
      <w:r w:rsidR="00D62FF4">
        <w:t xml:space="preserve"> that</w:t>
      </w:r>
      <w:r w:rsidR="00681BFC" w:rsidRPr="00EC35D7">
        <w:t xml:space="preserve"> </w:t>
      </w:r>
      <w:proofErr w:type="spellStart"/>
      <w:r w:rsidR="00165567" w:rsidRPr="00EC35D7">
        <w:t>TransNamib</w:t>
      </w:r>
      <w:proofErr w:type="spellEnd"/>
      <w:r w:rsidR="00681BFC" w:rsidRPr="00EC35D7">
        <w:t xml:space="preserve"> had admitted liab</w:t>
      </w:r>
      <w:r w:rsidR="00D62FF4">
        <w:t>ility</w:t>
      </w:r>
      <w:r w:rsidR="00681BFC" w:rsidRPr="00EC35D7">
        <w:t xml:space="preserve"> to them for the payment of the overtime. These averments, </w:t>
      </w:r>
      <w:r w:rsidR="00D62FF4">
        <w:t>so it was</w:t>
      </w:r>
      <w:r w:rsidR="00681BFC" w:rsidRPr="00EC35D7">
        <w:t xml:space="preserve"> contended, were not </w:t>
      </w:r>
      <w:proofErr w:type="gramStart"/>
      <w:r w:rsidR="00681BFC" w:rsidRPr="00EC35D7">
        <w:t>dispute</w:t>
      </w:r>
      <w:r w:rsidR="00D62FF4">
        <w:t>d</w:t>
      </w:r>
      <w:proofErr w:type="gramEnd"/>
      <w:r w:rsidR="00681BFC" w:rsidRPr="00EC35D7">
        <w:t xml:space="preserve"> or responded to by </w:t>
      </w:r>
      <w:proofErr w:type="spellStart"/>
      <w:r w:rsidR="00165567" w:rsidRPr="00EC35D7">
        <w:t>TransNamib</w:t>
      </w:r>
      <w:proofErr w:type="spellEnd"/>
      <w:r w:rsidR="00681BFC" w:rsidRPr="00EC35D7">
        <w:t xml:space="preserve"> in its heads of argument, and that if proven, prescription would be interrupted.</w:t>
      </w:r>
    </w:p>
    <w:p w14:paraId="4B56C227" w14:textId="77777777" w:rsidR="00B62AE5" w:rsidRPr="00EC35D7" w:rsidRDefault="00B62AE5" w:rsidP="009838FE"/>
    <w:p w14:paraId="15893634" w14:textId="3DC937DC" w:rsidR="00B62AE5" w:rsidRPr="00EC35D7" w:rsidRDefault="00712CD2" w:rsidP="00712CD2">
      <w:pPr>
        <w:pStyle w:val="Heading1"/>
        <w:numPr>
          <w:ilvl w:val="0"/>
          <w:numId w:val="0"/>
        </w:numPr>
      </w:pPr>
      <w:r w:rsidRPr="00EC35D7">
        <w:t>[17]</w:t>
      </w:r>
      <w:r w:rsidRPr="00EC35D7">
        <w:tab/>
      </w:r>
      <w:r w:rsidR="00681BFC" w:rsidRPr="00EC35D7">
        <w:t>Counsel referred</w:t>
      </w:r>
      <w:r w:rsidR="00717FD6">
        <w:t xml:space="preserve"> the court</w:t>
      </w:r>
      <w:r w:rsidR="00681BFC" w:rsidRPr="00EC35D7">
        <w:t xml:space="preserve"> to the matter of </w:t>
      </w:r>
      <w:r w:rsidR="00681BFC" w:rsidRPr="00EC35D7">
        <w:rPr>
          <w:i/>
          <w:iCs/>
        </w:rPr>
        <w:t>Member of the Executive Council for the Department of Health, Easter Cape v Gamede</w:t>
      </w:r>
      <w:r w:rsidR="00681BFC" w:rsidRPr="00EC35D7">
        <w:t>,</w:t>
      </w:r>
      <w:r w:rsidR="00D62FF4">
        <w:t xml:space="preserve"> </w:t>
      </w:r>
      <w:r w:rsidR="00681BFC" w:rsidRPr="00EC35D7">
        <w:rPr>
          <w:rStyle w:val="FootnoteReference"/>
        </w:rPr>
        <w:footnoteReference w:id="1"/>
      </w:r>
      <w:r w:rsidR="00681BFC" w:rsidRPr="00EC35D7">
        <w:t xml:space="preserve"> arguing that the onus to prove the date of inception of the prescriptive period and the date of completion thereof rests on the party </w:t>
      </w:r>
      <w:r w:rsidR="00840672">
        <w:t xml:space="preserve">raising </w:t>
      </w:r>
      <w:r w:rsidR="00681BFC" w:rsidRPr="00EC35D7">
        <w:t>prescription as a defence</w:t>
      </w:r>
      <w:r w:rsidR="00840672">
        <w:t xml:space="preserve">.  In the </w:t>
      </w:r>
      <w:r w:rsidR="004D3F8C" w:rsidRPr="00EC35D7">
        <w:t xml:space="preserve">result, it was for </w:t>
      </w:r>
      <w:proofErr w:type="spellStart"/>
      <w:r w:rsidR="00165567" w:rsidRPr="00EC35D7">
        <w:t>TransNamib</w:t>
      </w:r>
      <w:proofErr w:type="spellEnd"/>
      <w:r w:rsidR="004D3F8C" w:rsidRPr="00EC35D7">
        <w:t xml:space="preserve"> to prove </w:t>
      </w:r>
      <w:r w:rsidR="00840672">
        <w:t xml:space="preserve">that </w:t>
      </w:r>
      <w:r w:rsidR="004D3F8C" w:rsidRPr="00EC35D7">
        <w:t xml:space="preserve">the dispute arose during 2017 and not after </w:t>
      </w:r>
      <w:proofErr w:type="spellStart"/>
      <w:r w:rsidR="00165567" w:rsidRPr="00EC35D7">
        <w:t>TransNamib</w:t>
      </w:r>
      <w:proofErr w:type="spellEnd"/>
      <w:r w:rsidR="004D3F8C" w:rsidRPr="00EC35D7">
        <w:t xml:space="preserve"> admitted liability.</w:t>
      </w:r>
    </w:p>
    <w:p w14:paraId="7ED0F1AD" w14:textId="77777777" w:rsidR="00B62AE5" w:rsidRPr="00EC35D7" w:rsidRDefault="00B62AE5" w:rsidP="009838FE"/>
    <w:p w14:paraId="58D877BC" w14:textId="59200E16" w:rsidR="00B62AE5" w:rsidRPr="00EC35D7" w:rsidRDefault="00712CD2" w:rsidP="00712CD2">
      <w:pPr>
        <w:pStyle w:val="Heading1"/>
        <w:numPr>
          <w:ilvl w:val="0"/>
          <w:numId w:val="0"/>
        </w:numPr>
      </w:pPr>
      <w:r w:rsidRPr="00EC35D7">
        <w:t>[18]</w:t>
      </w:r>
      <w:r w:rsidRPr="00EC35D7">
        <w:tab/>
      </w:r>
      <w:r w:rsidR="000A7AF3" w:rsidRPr="00EC35D7">
        <w:t xml:space="preserve">Counsel </w:t>
      </w:r>
      <w:r w:rsidR="00840672">
        <w:t xml:space="preserve">for </w:t>
      </w:r>
      <w:proofErr w:type="spellStart"/>
      <w:r w:rsidR="00165567" w:rsidRPr="00EC35D7">
        <w:t>TransNamib</w:t>
      </w:r>
      <w:proofErr w:type="spellEnd"/>
      <w:r w:rsidR="00840672">
        <w:t xml:space="preserve"> </w:t>
      </w:r>
      <w:r w:rsidR="000A7AF3" w:rsidRPr="00EC35D7">
        <w:t>argu</w:t>
      </w:r>
      <w:r w:rsidR="00840672">
        <w:t>ed that</w:t>
      </w:r>
      <w:r w:rsidR="000A7AF3" w:rsidRPr="00EC35D7">
        <w:t xml:space="preserve"> the appellants were aware of the litigation between </w:t>
      </w:r>
      <w:proofErr w:type="spellStart"/>
      <w:r w:rsidR="00165567" w:rsidRPr="00EC35D7">
        <w:t>TransNamib</w:t>
      </w:r>
      <w:proofErr w:type="spellEnd"/>
      <w:r w:rsidR="000A7AF3" w:rsidRPr="00EC35D7">
        <w:t xml:space="preserve"> and 33 security guards </w:t>
      </w:r>
      <w:r w:rsidR="00840672">
        <w:t xml:space="preserve">relating to the </w:t>
      </w:r>
      <w:r w:rsidR="000A7AF3" w:rsidRPr="00EC35D7">
        <w:t>overtime payment, and they had elected not to partake in th</w:t>
      </w:r>
      <w:r w:rsidR="00E1721E">
        <w:t>at</w:t>
      </w:r>
      <w:r w:rsidR="000A7AF3" w:rsidRPr="00EC35D7">
        <w:t xml:space="preserve"> process. Even if their version is accepted, </w:t>
      </w:r>
      <w:r w:rsidR="00840672">
        <w:t xml:space="preserve">it </w:t>
      </w:r>
      <w:r w:rsidR="000A7AF3" w:rsidRPr="00EC35D7">
        <w:t xml:space="preserve">leads to the conclusion that the dispute arose at the end of 2017, when payment was </w:t>
      </w:r>
      <w:proofErr w:type="gramStart"/>
      <w:r w:rsidR="003828B4">
        <w:t>e</w:t>
      </w:r>
      <w:r w:rsidR="00D806AF" w:rsidRPr="00EC35D7">
        <w:t>ffected</w:t>
      </w:r>
      <w:proofErr w:type="gramEnd"/>
      <w:r w:rsidR="000A7AF3" w:rsidRPr="00EC35D7">
        <w:t xml:space="preserve"> to the 33 guards. Argument further proceeded that the version of the appellants took many turns, as the appellants </w:t>
      </w:r>
      <w:r w:rsidR="00423B08">
        <w:t xml:space="preserve">provided </w:t>
      </w:r>
      <w:r w:rsidR="000A7AF3" w:rsidRPr="00EC35D7">
        <w:t xml:space="preserve">the arbitrator </w:t>
      </w:r>
      <w:r w:rsidR="00423B08">
        <w:t xml:space="preserve">with </w:t>
      </w:r>
      <w:r w:rsidR="000A7AF3" w:rsidRPr="00EC35D7">
        <w:t>at least three different dates on which they allege they obtained knowledge, those being: during or about the end of 2017, 22 July 20</w:t>
      </w:r>
      <w:r w:rsidR="00423B08">
        <w:t>17</w:t>
      </w:r>
      <w:r w:rsidR="000A7AF3" w:rsidRPr="00EC35D7">
        <w:t>, and August 2019.</w:t>
      </w:r>
      <w:r w:rsidR="00423B08">
        <w:t xml:space="preserve"> </w:t>
      </w:r>
      <w:r w:rsidR="000A7AF3" w:rsidRPr="00EC35D7">
        <w:rPr>
          <w:rStyle w:val="FootnoteReference"/>
        </w:rPr>
        <w:footnoteReference w:id="2"/>
      </w:r>
    </w:p>
    <w:p w14:paraId="6E23058D" w14:textId="77777777" w:rsidR="00B62AE5" w:rsidRPr="00EC35D7" w:rsidRDefault="00B62AE5" w:rsidP="009838FE"/>
    <w:p w14:paraId="3537D560" w14:textId="06071793" w:rsidR="00B62AE5" w:rsidRPr="00EC35D7" w:rsidRDefault="00712CD2" w:rsidP="00712CD2">
      <w:pPr>
        <w:pStyle w:val="Heading1"/>
        <w:numPr>
          <w:ilvl w:val="0"/>
          <w:numId w:val="0"/>
        </w:numPr>
      </w:pPr>
      <w:r w:rsidRPr="00EC35D7">
        <w:t>[19]</w:t>
      </w:r>
      <w:r w:rsidRPr="00EC35D7">
        <w:tab/>
      </w:r>
      <w:r w:rsidR="000A7356" w:rsidRPr="00EC35D7">
        <w:t xml:space="preserve">Counsel further argued that the appeal record before court does not contain the </w:t>
      </w:r>
      <w:r w:rsidR="00423B08">
        <w:t xml:space="preserve">first </w:t>
      </w:r>
      <w:r w:rsidR="000A7356" w:rsidRPr="00EC35D7">
        <w:t>referral, and that the appellants are confined to the four corners of the record</w:t>
      </w:r>
      <w:r w:rsidR="00E1721E">
        <w:t xml:space="preserve"> before court</w:t>
      </w:r>
      <w:r w:rsidR="000A7356" w:rsidRPr="00EC35D7">
        <w:t>,</w:t>
      </w:r>
      <w:r w:rsidR="00423B08">
        <w:t xml:space="preserve"> </w:t>
      </w:r>
      <w:r w:rsidR="000A7356" w:rsidRPr="00EC35D7">
        <w:rPr>
          <w:rStyle w:val="FootnoteReference"/>
        </w:rPr>
        <w:footnoteReference w:id="3"/>
      </w:r>
      <w:r w:rsidR="000A7356" w:rsidRPr="00EC35D7">
        <w:t xml:space="preserve"> and that as </w:t>
      </w:r>
      <w:r w:rsidR="00717FD6">
        <w:t xml:space="preserve">a </w:t>
      </w:r>
      <w:r w:rsidR="000A7356" w:rsidRPr="00EC35D7">
        <w:t xml:space="preserve">result, this court is not </w:t>
      </w:r>
      <w:proofErr w:type="gramStart"/>
      <w:r w:rsidR="00423B08">
        <w:t>in a position</w:t>
      </w:r>
      <w:proofErr w:type="gramEnd"/>
      <w:r w:rsidR="00423B08">
        <w:t xml:space="preserve"> </w:t>
      </w:r>
      <w:r w:rsidR="000A7356" w:rsidRPr="00EC35D7">
        <w:t xml:space="preserve">to know when the dispute arose and when it was referred to the </w:t>
      </w:r>
      <w:r w:rsidR="008F2C0E">
        <w:t>O</w:t>
      </w:r>
      <w:r w:rsidR="000A7356" w:rsidRPr="00EC35D7">
        <w:t>ffice of the Labour Commissioner.</w:t>
      </w:r>
      <w:r w:rsidR="00226FEB" w:rsidRPr="00EC35D7">
        <w:t xml:space="preserve"> Counsel however readily concede</w:t>
      </w:r>
      <w:r w:rsidR="00DF6841">
        <w:t>d</w:t>
      </w:r>
      <w:r w:rsidR="00226FEB" w:rsidRPr="00EC35D7">
        <w:t xml:space="preserve"> in his written heads of </w:t>
      </w:r>
      <w:r w:rsidR="00226FEB" w:rsidRPr="00EC35D7">
        <w:lastRenderedPageBreak/>
        <w:t>argument that the referral number bears the year when the dispute was referred to the office of the Labour Commissioner. This concession is rightly made and accepted, and it is considered common cause between the parties that</w:t>
      </w:r>
      <w:r w:rsidR="00DF6841">
        <w:t xml:space="preserve"> the first </w:t>
      </w:r>
      <w:r w:rsidR="00226FEB" w:rsidRPr="00EC35D7">
        <w:t xml:space="preserve">referral was </w:t>
      </w:r>
      <w:r w:rsidR="00DF6841">
        <w:t xml:space="preserve">undertaken </w:t>
      </w:r>
      <w:r w:rsidR="00226FEB" w:rsidRPr="00EC35D7">
        <w:t>during 2017.</w:t>
      </w:r>
    </w:p>
    <w:p w14:paraId="6C1D5ADD" w14:textId="77777777" w:rsidR="00B62AE5" w:rsidRPr="00EC35D7" w:rsidRDefault="00B62AE5" w:rsidP="009838FE"/>
    <w:p w14:paraId="4C049542" w14:textId="7AF437A1" w:rsidR="00B62AE5" w:rsidRPr="00EC35D7" w:rsidRDefault="00712CD2" w:rsidP="00712CD2">
      <w:pPr>
        <w:pStyle w:val="Heading1"/>
        <w:numPr>
          <w:ilvl w:val="0"/>
          <w:numId w:val="0"/>
        </w:numPr>
      </w:pPr>
      <w:r w:rsidRPr="00EC35D7">
        <w:t>[20]</w:t>
      </w:r>
      <w:r w:rsidRPr="00EC35D7">
        <w:tab/>
      </w:r>
      <w:r w:rsidR="00226FEB" w:rsidRPr="00EC35D7">
        <w:t xml:space="preserve">Counsel </w:t>
      </w:r>
      <w:r w:rsidR="00DF6841">
        <w:t xml:space="preserve">also </w:t>
      </w:r>
      <w:r w:rsidR="00226FEB" w:rsidRPr="00EC35D7">
        <w:t xml:space="preserve">argued </w:t>
      </w:r>
      <w:r w:rsidR="00DF6841">
        <w:t xml:space="preserve">that </w:t>
      </w:r>
      <w:r w:rsidR="00226FEB" w:rsidRPr="00EC35D7">
        <w:t xml:space="preserve">the arbitrator was correct in </w:t>
      </w:r>
      <w:r w:rsidR="00DF6841">
        <w:t xml:space="preserve">her </w:t>
      </w:r>
      <w:proofErr w:type="gramStart"/>
      <w:r w:rsidR="00226FEB" w:rsidRPr="00EC35D7">
        <w:t>finding</w:t>
      </w:r>
      <w:proofErr w:type="gramEnd"/>
      <w:r w:rsidR="00DF6841">
        <w:t xml:space="preserve"> and</w:t>
      </w:r>
      <w:r w:rsidR="00226FEB" w:rsidRPr="00EC35D7">
        <w:t xml:space="preserve"> should the appellants not have found satisfaction with the initial arbitrator, they could have </w:t>
      </w:r>
      <w:r w:rsidR="00D806AF" w:rsidRPr="00EC35D7">
        <w:t>requested</w:t>
      </w:r>
      <w:r w:rsidR="00226FEB" w:rsidRPr="00EC35D7">
        <w:t xml:space="preserve"> the reassignment of the referral to a different arbitrator, but instead, the appellants opted to withdr</w:t>
      </w:r>
      <w:r w:rsidR="00872294">
        <w:t>a</w:t>
      </w:r>
      <w:r w:rsidR="00226FEB" w:rsidRPr="00EC35D7">
        <w:t>w the referral and institute a fresh referral</w:t>
      </w:r>
      <w:r w:rsidR="00872294">
        <w:t xml:space="preserve">.  The </w:t>
      </w:r>
      <w:r w:rsidR="00226FEB" w:rsidRPr="00EC35D7">
        <w:t>fact that they withdrew the referral has no bearing on the date on which the dispute arose.</w:t>
      </w:r>
    </w:p>
    <w:p w14:paraId="0E283456" w14:textId="77777777" w:rsidR="00B62AE5" w:rsidRPr="00EC35D7" w:rsidRDefault="00B62AE5" w:rsidP="009838FE"/>
    <w:p w14:paraId="4B911394" w14:textId="2FA8D4B0" w:rsidR="00226FEB" w:rsidRPr="00EC35D7" w:rsidRDefault="00712CD2" w:rsidP="00712CD2">
      <w:pPr>
        <w:pStyle w:val="Heading1"/>
        <w:numPr>
          <w:ilvl w:val="0"/>
          <w:numId w:val="0"/>
        </w:numPr>
      </w:pPr>
      <w:r w:rsidRPr="00EC35D7">
        <w:t>[21]</w:t>
      </w:r>
      <w:r w:rsidRPr="00EC35D7">
        <w:tab/>
      </w:r>
      <w:r w:rsidR="00226FEB" w:rsidRPr="00EC35D7">
        <w:t xml:space="preserve">Counsel referred the court to </w:t>
      </w:r>
      <w:r w:rsidR="00044DDF" w:rsidRPr="00872294">
        <w:rPr>
          <w:i/>
          <w:iCs/>
        </w:rPr>
        <w:t>Minister of Safety and Security and Another v Patterson</w:t>
      </w:r>
      <w:r w:rsidR="00044DDF" w:rsidRPr="00EC35D7">
        <w:t>,</w:t>
      </w:r>
      <w:r w:rsidR="00872294">
        <w:t xml:space="preserve"> </w:t>
      </w:r>
      <w:r w:rsidR="00226FEB" w:rsidRPr="00EC35D7">
        <w:rPr>
          <w:rStyle w:val="FootnoteReference"/>
        </w:rPr>
        <w:footnoteReference w:id="4"/>
      </w:r>
      <w:r w:rsidR="00044DDF" w:rsidRPr="00EC35D7">
        <w:t xml:space="preserve"> </w:t>
      </w:r>
      <w:r w:rsidR="00872294">
        <w:t>where the following was stated</w:t>
      </w:r>
      <w:r w:rsidR="00044DDF" w:rsidRPr="00EC35D7">
        <w:t>:</w:t>
      </w:r>
    </w:p>
    <w:p w14:paraId="324186EB" w14:textId="77777777" w:rsidR="00F82FDB" w:rsidRPr="00EC35D7" w:rsidRDefault="00F82FDB" w:rsidP="009838FE"/>
    <w:p w14:paraId="51D4BC3B" w14:textId="7966132A" w:rsidR="00044DDF" w:rsidRPr="00EC35D7" w:rsidRDefault="00044DDF" w:rsidP="009838FE">
      <w:pPr>
        <w:ind w:left="720"/>
        <w:rPr>
          <w:sz w:val="22"/>
          <w:szCs w:val="22"/>
        </w:rPr>
      </w:pPr>
      <w:proofErr w:type="gramStart"/>
      <w:r w:rsidRPr="00EC35D7">
        <w:rPr>
          <w:sz w:val="22"/>
          <w:szCs w:val="22"/>
        </w:rPr>
        <w:t>‘ . . .</w:t>
      </w:r>
      <w:proofErr w:type="gramEnd"/>
      <w:r w:rsidRPr="00EC35D7">
        <w:rPr>
          <w:sz w:val="22"/>
          <w:szCs w:val="22"/>
        </w:rPr>
        <w:t xml:space="preserve"> The effect of the withdrawal of the action under case no. 7595/2004 was that the interrupting effect on prescription of service of the summons in that action was thereby negated.</w:t>
      </w:r>
    </w:p>
    <w:p w14:paraId="3C1D6A49" w14:textId="77777777" w:rsidR="00044DDF" w:rsidRPr="00EC35D7" w:rsidRDefault="00044DDF" w:rsidP="009838FE">
      <w:pPr>
        <w:rPr>
          <w:sz w:val="22"/>
          <w:szCs w:val="22"/>
        </w:rPr>
      </w:pPr>
    </w:p>
    <w:p w14:paraId="7B8DF1A9" w14:textId="25790B18" w:rsidR="00044DDF" w:rsidRPr="00EC35D7" w:rsidRDefault="00044DDF" w:rsidP="009838FE">
      <w:pPr>
        <w:ind w:firstLine="720"/>
        <w:rPr>
          <w:sz w:val="22"/>
          <w:szCs w:val="22"/>
        </w:rPr>
      </w:pPr>
      <w:r w:rsidRPr="00EC35D7">
        <w:rPr>
          <w:sz w:val="22"/>
          <w:szCs w:val="22"/>
        </w:rPr>
        <w:t xml:space="preserve">. . . </w:t>
      </w:r>
    </w:p>
    <w:p w14:paraId="5CA989B8" w14:textId="77777777" w:rsidR="00044DDF" w:rsidRPr="00EC35D7" w:rsidRDefault="00044DDF" w:rsidP="009838FE">
      <w:pPr>
        <w:rPr>
          <w:sz w:val="22"/>
          <w:szCs w:val="22"/>
        </w:rPr>
      </w:pPr>
    </w:p>
    <w:p w14:paraId="490F0C71" w14:textId="5BFA1ADB" w:rsidR="002241AE" w:rsidRPr="00EC35D7" w:rsidRDefault="00044DDF" w:rsidP="009838FE">
      <w:pPr>
        <w:ind w:left="720"/>
        <w:rPr>
          <w:sz w:val="22"/>
          <w:szCs w:val="22"/>
        </w:rPr>
      </w:pPr>
      <w:r w:rsidRPr="00EC35D7">
        <w:rPr>
          <w:sz w:val="22"/>
          <w:szCs w:val="22"/>
        </w:rPr>
        <w:t xml:space="preserve">[21] </w:t>
      </w:r>
      <w:r w:rsidR="00872294">
        <w:rPr>
          <w:sz w:val="22"/>
          <w:szCs w:val="22"/>
        </w:rPr>
        <w:tab/>
      </w:r>
      <w:r w:rsidRPr="00EC35D7">
        <w:rPr>
          <w:sz w:val="22"/>
          <w:szCs w:val="22"/>
        </w:rPr>
        <w:t>The effect of withdrawing the action instituted in terms of the summons in case no. 7595/2004 meant that the respondent failed to prosecute his claim to success ‘under the process in question’, with the result that the interruption of prescription that had intervened when the summons was served thereupon lapsed, and the running of prescription was deemed not to have been interrupted.  The effect was of a statutory character that was beyond the power of any court to moderate or avoid.’</w:t>
      </w:r>
    </w:p>
    <w:p w14:paraId="4BFB8068" w14:textId="77777777" w:rsidR="002241AE" w:rsidRPr="00EC35D7" w:rsidRDefault="002241AE" w:rsidP="009838FE"/>
    <w:p w14:paraId="018FEB38" w14:textId="0C0991A1" w:rsidR="003530F6" w:rsidRDefault="00712CD2" w:rsidP="00712CD2">
      <w:pPr>
        <w:pStyle w:val="Heading1"/>
        <w:numPr>
          <w:ilvl w:val="0"/>
          <w:numId w:val="0"/>
        </w:numPr>
      </w:pPr>
      <w:r>
        <w:t>[22]</w:t>
      </w:r>
      <w:r>
        <w:tab/>
      </w:r>
      <w:r w:rsidR="00F82FDB" w:rsidRPr="00EC35D7">
        <w:t>Although</w:t>
      </w:r>
      <w:r w:rsidR="002806FA">
        <w:t xml:space="preserve"> the above case cited was not a labour matter, </w:t>
      </w:r>
      <w:r w:rsidR="00F82FDB" w:rsidRPr="00EC35D7">
        <w:t xml:space="preserve">counsel did not address the court on why the application of the principle will be any different in </w:t>
      </w:r>
      <w:r w:rsidR="00F82FDB" w:rsidRPr="00EC35D7">
        <w:lastRenderedPageBreak/>
        <w:t xml:space="preserve">labour proceedings, and I find no reason either. As in civil proceedings, judicial interruption of prescription is only successful if the proceedings are prosecuted to their finality. The withdrawal of proceedings renders the interruption of no force, and </w:t>
      </w:r>
      <w:r w:rsidR="00F82FDB" w:rsidRPr="00EC35D7">
        <w:rPr>
          <w:i/>
          <w:iCs/>
        </w:rPr>
        <w:t xml:space="preserve">pro non </w:t>
      </w:r>
      <w:proofErr w:type="spellStart"/>
      <w:r w:rsidR="00F82FDB" w:rsidRPr="00EC35D7">
        <w:rPr>
          <w:i/>
          <w:iCs/>
        </w:rPr>
        <w:t>scripto</w:t>
      </w:r>
      <w:proofErr w:type="spellEnd"/>
      <w:r w:rsidR="00F82FDB" w:rsidRPr="00EC35D7">
        <w:t xml:space="preserve">. I am thus not convinced by the appellants’ argument that the arbitrator erred in finding </w:t>
      </w:r>
      <w:r w:rsidR="009838FE">
        <w:t xml:space="preserve">that </w:t>
      </w:r>
      <w:r w:rsidR="00F82FDB" w:rsidRPr="00EC35D7">
        <w:t xml:space="preserve">the </w:t>
      </w:r>
      <w:r w:rsidR="003530F6">
        <w:t xml:space="preserve">second </w:t>
      </w:r>
      <w:r w:rsidR="00F82FDB" w:rsidRPr="00EC35D7">
        <w:t xml:space="preserve">referral prescribed, as her reasoning follows, at best, the appellants obtained knowledge of the dispute during 2017. </w:t>
      </w:r>
    </w:p>
    <w:p w14:paraId="6159B7FF" w14:textId="77777777" w:rsidR="003530F6" w:rsidRDefault="003530F6" w:rsidP="009838FE">
      <w:pPr>
        <w:pStyle w:val="Heading1"/>
        <w:numPr>
          <w:ilvl w:val="0"/>
          <w:numId w:val="0"/>
        </w:numPr>
      </w:pPr>
    </w:p>
    <w:p w14:paraId="5905BCA9" w14:textId="1112746F" w:rsidR="00044DDF" w:rsidRPr="00EC35D7" w:rsidRDefault="00712CD2" w:rsidP="00712CD2">
      <w:pPr>
        <w:pStyle w:val="Heading1"/>
        <w:numPr>
          <w:ilvl w:val="0"/>
          <w:numId w:val="0"/>
        </w:numPr>
      </w:pPr>
      <w:r w:rsidRPr="00EC35D7">
        <w:t>[23]</w:t>
      </w:r>
      <w:r w:rsidRPr="00EC35D7">
        <w:tab/>
      </w:r>
      <w:r w:rsidR="00F82FDB" w:rsidRPr="00EC35D7">
        <w:t>By 2019, when the second referral was instituted, the appellants had done so out of time in terms of s 86(2)(</w:t>
      </w:r>
      <w:r w:rsidR="00F82FDB" w:rsidRPr="00EC35D7">
        <w:rPr>
          <w:i/>
          <w:iCs/>
        </w:rPr>
        <w:t>b</w:t>
      </w:r>
      <w:r w:rsidR="00F82FDB" w:rsidRPr="00EC35D7">
        <w:t xml:space="preserve">) of the </w:t>
      </w:r>
      <w:r w:rsidR="005A6091" w:rsidRPr="00EC35D7">
        <w:t xml:space="preserve">Labour </w:t>
      </w:r>
      <w:r w:rsidR="00D806AF" w:rsidRPr="00EC35D7">
        <w:t>Act</w:t>
      </w:r>
      <w:r w:rsidR="009838FE">
        <w:t xml:space="preserve">.  </w:t>
      </w:r>
      <w:r w:rsidR="00717FD6">
        <w:t>A</w:t>
      </w:r>
      <w:r w:rsidR="009838FE">
        <w:t>ccordingly</w:t>
      </w:r>
      <w:r w:rsidR="00717FD6">
        <w:t>,</w:t>
      </w:r>
      <w:r w:rsidR="009838FE">
        <w:t xml:space="preserve"> the appellants have </w:t>
      </w:r>
      <w:r w:rsidR="00E7486B" w:rsidRPr="00EC35D7">
        <w:t>not shown how or where the arbitrator made any perverse finding</w:t>
      </w:r>
      <w:r w:rsidR="002806FA">
        <w:t>s</w:t>
      </w:r>
      <w:r w:rsidR="00E7486B" w:rsidRPr="00EC35D7">
        <w:t xml:space="preserve"> on the </w:t>
      </w:r>
      <w:r w:rsidR="002806FA">
        <w:t xml:space="preserve">facts or the </w:t>
      </w:r>
      <w:r w:rsidR="00E7486B" w:rsidRPr="00EC35D7">
        <w:t>law.</w:t>
      </w:r>
    </w:p>
    <w:p w14:paraId="07FD23D3" w14:textId="77777777" w:rsidR="00044DDF" w:rsidRPr="00EC35D7" w:rsidRDefault="00044DDF" w:rsidP="009838FE"/>
    <w:p w14:paraId="478425FD" w14:textId="447D2C1F" w:rsidR="00E20D1F" w:rsidRPr="00EC35D7" w:rsidRDefault="00712CD2" w:rsidP="00712CD2">
      <w:pPr>
        <w:pStyle w:val="Heading1"/>
        <w:numPr>
          <w:ilvl w:val="0"/>
          <w:numId w:val="0"/>
        </w:numPr>
      </w:pPr>
      <w:r w:rsidRPr="00EC35D7">
        <w:t>[24]</w:t>
      </w:r>
      <w:r w:rsidRPr="00EC35D7">
        <w:tab/>
      </w:r>
      <w:r w:rsidR="003F4AAC" w:rsidRPr="00EC35D7">
        <w:t>I</w:t>
      </w:r>
      <w:r w:rsidR="002D035C" w:rsidRPr="00EC35D7">
        <w:t xml:space="preserve">n light of the foregoing, </w:t>
      </w:r>
      <w:r w:rsidR="00E20D1F" w:rsidRPr="00EC35D7">
        <w:t>the following order is made</w:t>
      </w:r>
      <w:r w:rsidR="00635820" w:rsidRPr="00EC35D7">
        <w:t>:</w:t>
      </w:r>
    </w:p>
    <w:p w14:paraId="3C0727C6" w14:textId="77777777" w:rsidR="004229A8" w:rsidRPr="00EC35D7" w:rsidRDefault="004229A8" w:rsidP="009838FE"/>
    <w:p w14:paraId="2E111AC6" w14:textId="0815B995" w:rsidR="00CA67DE" w:rsidRPr="00712CD2" w:rsidRDefault="00712CD2" w:rsidP="00712CD2">
      <w:pPr>
        <w:ind w:left="720"/>
      </w:pPr>
      <w:r>
        <w:rPr>
          <w:rFonts w:cs="Times New Roman"/>
          <w:spacing w:val="0"/>
          <w:szCs w:val="22"/>
        </w:rPr>
        <w:t>1.</w:t>
      </w:r>
      <w:r>
        <w:rPr>
          <w:rFonts w:cs="Times New Roman"/>
          <w:spacing w:val="0"/>
          <w:szCs w:val="22"/>
        </w:rPr>
        <w:tab/>
      </w:r>
      <w:r w:rsidR="00CA67DE" w:rsidRPr="00712CD2">
        <w:t>The appeal against the arbitrator’s award issued under case number CRWK 1308-19 is dismissed.</w:t>
      </w:r>
    </w:p>
    <w:p w14:paraId="38719293" w14:textId="77777777" w:rsidR="009838FE" w:rsidRPr="00EC35D7" w:rsidRDefault="009838FE" w:rsidP="009838FE">
      <w:pPr>
        <w:pStyle w:val="ListParagraph"/>
        <w:spacing w:after="0"/>
        <w:contextualSpacing w:val="0"/>
        <w:rPr>
          <w:lang w:val="en-GB"/>
        </w:rPr>
      </w:pPr>
    </w:p>
    <w:p w14:paraId="613CD8E6" w14:textId="32D99E2B" w:rsidR="00CA67DE" w:rsidRPr="00712CD2" w:rsidRDefault="00712CD2" w:rsidP="00712CD2">
      <w:pPr>
        <w:ind w:left="720"/>
      </w:pPr>
      <w:r>
        <w:rPr>
          <w:rFonts w:cs="Times New Roman"/>
          <w:spacing w:val="0"/>
          <w:szCs w:val="22"/>
        </w:rPr>
        <w:t>2.</w:t>
      </w:r>
      <w:r>
        <w:rPr>
          <w:rFonts w:cs="Times New Roman"/>
          <w:spacing w:val="0"/>
          <w:szCs w:val="22"/>
        </w:rPr>
        <w:tab/>
      </w:r>
      <w:r w:rsidR="00CA67DE" w:rsidRPr="00712CD2">
        <w:t>There is no order as to costs.</w:t>
      </w:r>
    </w:p>
    <w:p w14:paraId="7540F8B5" w14:textId="77777777" w:rsidR="009838FE" w:rsidRPr="009838FE" w:rsidRDefault="009838FE" w:rsidP="009838FE">
      <w:pPr>
        <w:pStyle w:val="ListParagraph"/>
        <w:spacing w:after="0"/>
        <w:contextualSpacing w:val="0"/>
        <w:rPr>
          <w:lang w:val="en-GB"/>
        </w:rPr>
      </w:pPr>
    </w:p>
    <w:p w14:paraId="7659C784" w14:textId="49D8967B" w:rsidR="00CA67DE" w:rsidRPr="00712CD2" w:rsidRDefault="00712CD2" w:rsidP="00712CD2">
      <w:pPr>
        <w:ind w:left="720"/>
      </w:pPr>
      <w:r w:rsidRPr="00EC35D7">
        <w:rPr>
          <w:rFonts w:cs="Times New Roman"/>
          <w:spacing w:val="0"/>
          <w:szCs w:val="22"/>
        </w:rPr>
        <w:t>3.</w:t>
      </w:r>
      <w:r w:rsidRPr="00EC35D7">
        <w:rPr>
          <w:rFonts w:cs="Times New Roman"/>
          <w:spacing w:val="0"/>
          <w:szCs w:val="22"/>
        </w:rPr>
        <w:tab/>
      </w:r>
      <w:r w:rsidR="00CA67DE" w:rsidRPr="00712CD2">
        <w:t>The matter is regarded as finali</w:t>
      </w:r>
      <w:r w:rsidR="009838FE" w:rsidRPr="00712CD2">
        <w:t>s</w:t>
      </w:r>
      <w:r w:rsidR="00CA67DE" w:rsidRPr="00712CD2">
        <w:t>ed and removed from the roll.</w:t>
      </w:r>
    </w:p>
    <w:p w14:paraId="57C51389" w14:textId="7DED5F58" w:rsidR="00BB03B8" w:rsidRPr="00EC35D7" w:rsidRDefault="00BB03B8" w:rsidP="009838FE">
      <w:pPr>
        <w:pStyle w:val="ListParagraph"/>
        <w:spacing w:after="0"/>
        <w:ind w:left="0"/>
        <w:contextualSpacing w:val="0"/>
        <w:rPr>
          <w:lang w:val="en-GB"/>
        </w:rPr>
      </w:pPr>
    </w:p>
    <w:p w14:paraId="00509BA4" w14:textId="77777777" w:rsidR="00BB03B8" w:rsidRPr="00EC35D7" w:rsidRDefault="00BB03B8" w:rsidP="009838FE">
      <w:pPr>
        <w:widowControl/>
        <w:jc w:val="left"/>
      </w:pPr>
    </w:p>
    <w:p w14:paraId="7B24043E" w14:textId="5FD2778A" w:rsidR="00853524" w:rsidRPr="00EC35D7" w:rsidRDefault="00853524" w:rsidP="009838FE">
      <w:pPr>
        <w:widowControl/>
        <w:ind w:left="4320" w:firstLine="720"/>
        <w:jc w:val="left"/>
      </w:pPr>
      <w:r w:rsidRPr="00EC35D7">
        <w:t>____________________</w:t>
      </w:r>
    </w:p>
    <w:p w14:paraId="2FC3ACD2" w14:textId="5A997C87" w:rsidR="00853524" w:rsidRPr="00EC35D7" w:rsidRDefault="00853524" w:rsidP="009838FE">
      <w:pPr>
        <w:ind w:left="4320" w:firstLine="720"/>
      </w:pPr>
      <w:r w:rsidRPr="00EC35D7">
        <w:t>EM SCHIMMING-CHASE</w:t>
      </w:r>
    </w:p>
    <w:p w14:paraId="46B13592" w14:textId="4D4B2F58" w:rsidR="00147336" w:rsidRPr="00EC35D7" w:rsidRDefault="00853524" w:rsidP="009838FE">
      <w:pPr>
        <w:ind w:left="4320" w:firstLine="720"/>
      </w:pPr>
      <w:r w:rsidRPr="00EC35D7">
        <w:t>Judg</w:t>
      </w:r>
      <w:r w:rsidR="0012505E" w:rsidRPr="00EC35D7">
        <w:t>e</w:t>
      </w:r>
      <w:r w:rsidR="00147336" w:rsidRPr="00EC35D7">
        <w:br w:type="page"/>
      </w:r>
    </w:p>
    <w:p w14:paraId="1C4F74C7" w14:textId="24680C6B" w:rsidR="00853524" w:rsidRPr="00EC35D7" w:rsidRDefault="00853524" w:rsidP="009838FE">
      <w:pPr>
        <w:widowControl/>
        <w:jc w:val="left"/>
      </w:pPr>
      <w:r w:rsidRPr="00EC35D7">
        <w:lastRenderedPageBreak/>
        <w:t>APPEARANCES</w:t>
      </w:r>
    </w:p>
    <w:p w14:paraId="2F3FACC4" w14:textId="77777777" w:rsidR="00853524" w:rsidRPr="00EC35D7" w:rsidRDefault="00853524" w:rsidP="009838FE">
      <w:pPr>
        <w:pStyle w:val="BodyText"/>
        <w:autoSpaceDE w:val="0"/>
        <w:autoSpaceDN w:val="0"/>
        <w:adjustRightInd w:val="0"/>
        <w:spacing w:line="360" w:lineRule="auto"/>
        <w:jc w:val="both"/>
        <w:rPr>
          <w:rFonts w:ascii="Arial" w:hAnsi="Arial" w:cs="Arial"/>
        </w:rPr>
      </w:pPr>
    </w:p>
    <w:p w14:paraId="38D3B711" w14:textId="4F02C432" w:rsidR="00853524" w:rsidRPr="00EC35D7" w:rsidRDefault="003D78EE" w:rsidP="009838FE">
      <w:r w:rsidRPr="00EC35D7">
        <w:t>APPELLANTS</w:t>
      </w:r>
      <w:r w:rsidR="000E59B9" w:rsidRPr="00EC35D7">
        <w:t>:</w:t>
      </w:r>
      <w:r w:rsidR="000E59B9" w:rsidRPr="00EC35D7">
        <w:tab/>
      </w:r>
      <w:r w:rsidR="000E59B9" w:rsidRPr="00EC35D7">
        <w:tab/>
      </w:r>
      <w:r w:rsidR="000E59B9" w:rsidRPr="00EC35D7">
        <w:tab/>
      </w:r>
      <w:r w:rsidR="000E59B9" w:rsidRPr="00EC35D7">
        <w:tab/>
      </w:r>
      <w:r w:rsidRPr="00EC35D7">
        <w:t>D Esau</w:t>
      </w:r>
    </w:p>
    <w:p w14:paraId="5E511384" w14:textId="12CC0D38" w:rsidR="00132DC7" w:rsidRPr="00EC35D7" w:rsidRDefault="003D78EE" w:rsidP="009838FE">
      <w:pPr>
        <w:ind w:left="3600" w:firstLine="720"/>
        <w:jc w:val="left"/>
      </w:pPr>
      <w:r w:rsidRPr="00EC35D7">
        <w:t>Directorate of Legal Aid</w:t>
      </w:r>
      <w:r w:rsidR="00132DC7" w:rsidRPr="00EC35D7">
        <w:t xml:space="preserve"> </w:t>
      </w:r>
    </w:p>
    <w:p w14:paraId="2C58FC8F" w14:textId="6766AA5C" w:rsidR="00853524" w:rsidRPr="00EC35D7" w:rsidRDefault="00132DC7" w:rsidP="009838FE">
      <w:pPr>
        <w:ind w:left="3600" w:firstLine="720"/>
        <w:jc w:val="left"/>
      </w:pPr>
      <w:r w:rsidRPr="00EC35D7">
        <w:t>Windhoek</w:t>
      </w:r>
      <w:r w:rsidR="00A52125" w:rsidRPr="00EC35D7">
        <w:t xml:space="preserve"> </w:t>
      </w:r>
    </w:p>
    <w:p w14:paraId="3CAA1AD7" w14:textId="77777777" w:rsidR="00053826" w:rsidRPr="00EC35D7" w:rsidRDefault="00053826" w:rsidP="009838FE">
      <w:pPr>
        <w:ind w:left="3600"/>
        <w:jc w:val="left"/>
      </w:pPr>
    </w:p>
    <w:p w14:paraId="555C4456" w14:textId="2C5BCC2D" w:rsidR="00EC1726" w:rsidRPr="00EC35D7" w:rsidRDefault="003D78EE" w:rsidP="009838FE">
      <w:pPr>
        <w:autoSpaceDE w:val="0"/>
        <w:autoSpaceDN w:val="0"/>
        <w:adjustRightInd w:val="0"/>
      </w:pPr>
      <w:r w:rsidRPr="00EC35D7">
        <w:t>FIRST RESPONDENT:</w:t>
      </w:r>
      <w:r w:rsidRPr="00EC35D7">
        <w:tab/>
      </w:r>
      <w:r w:rsidRPr="00EC35D7">
        <w:tab/>
      </w:r>
      <w:r w:rsidRPr="00EC35D7">
        <w:tab/>
        <w:t>R Walters</w:t>
      </w:r>
    </w:p>
    <w:p w14:paraId="1FE518CA" w14:textId="14E01B82" w:rsidR="003D78EE" w:rsidRPr="00EC35D7" w:rsidRDefault="003D78EE" w:rsidP="009838FE">
      <w:pPr>
        <w:autoSpaceDE w:val="0"/>
        <w:autoSpaceDN w:val="0"/>
        <w:adjustRightInd w:val="0"/>
        <w:ind w:left="4320"/>
      </w:pPr>
      <w:r w:rsidRPr="00EC35D7">
        <w:t xml:space="preserve">Adv SS </w:t>
      </w:r>
      <w:proofErr w:type="spellStart"/>
      <w:r w:rsidR="00D806AF" w:rsidRPr="00EC35D7">
        <w:t>Mak</w:t>
      </w:r>
      <w:r w:rsidR="002617B5">
        <w:t>ando</w:t>
      </w:r>
      <w:proofErr w:type="spellEnd"/>
      <w:r w:rsidRPr="00EC35D7">
        <w:t xml:space="preserve"> Chambers</w:t>
      </w:r>
      <w:r w:rsidR="00A52125" w:rsidRPr="00EC35D7">
        <w:t xml:space="preserve"> </w:t>
      </w:r>
    </w:p>
    <w:p w14:paraId="0AEC7E2F" w14:textId="32F4C218" w:rsidR="0012505E" w:rsidRPr="00EC35D7" w:rsidRDefault="00A52125" w:rsidP="009838FE">
      <w:pPr>
        <w:autoSpaceDE w:val="0"/>
        <w:autoSpaceDN w:val="0"/>
        <w:adjustRightInd w:val="0"/>
        <w:ind w:left="4320"/>
      </w:pPr>
      <w:r w:rsidRPr="00EC35D7">
        <w:t>Windhoek</w:t>
      </w:r>
    </w:p>
    <w:p w14:paraId="64D1943B" w14:textId="77777777" w:rsidR="00EC1726" w:rsidRPr="00EC35D7" w:rsidRDefault="00EC1726" w:rsidP="009838FE">
      <w:pPr>
        <w:tabs>
          <w:tab w:val="left" w:pos="1394"/>
          <w:tab w:val="left" w:pos="2528"/>
          <w:tab w:val="left" w:pos="3780"/>
        </w:tabs>
      </w:pPr>
    </w:p>
    <w:sectPr w:rsidR="00EC1726" w:rsidRPr="00EC35D7" w:rsidSect="009F4BED">
      <w:headerReference w:type="even" r:id="rId12"/>
      <w:headerReference w:type="default" r:id="rId13"/>
      <w:type w:val="continuous"/>
      <w:pgSz w:w="11907" w:h="16840" w:code="9"/>
      <w:pgMar w:top="1440" w:right="1800" w:bottom="1440" w:left="1800" w:header="720" w:footer="720" w:gutter="0"/>
      <w:pgNumType w:chapSep="period"/>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A0C8D" w14:textId="77777777" w:rsidR="00B14104" w:rsidRPr="00EC35D7" w:rsidRDefault="00B14104" w:rsidP="00867D73">
      <w:pPr>
        <w:spacing w:line="240" w:lineRule="auto"/>
      </w:pPr>
      <w:r w:rsidRPr="00EC35D7">
        <w:separator/>
      </w:r>
    </w:p>
  </w:endnote>
  <w:endnote w:type="continuationSeparator" w:id="0">
    <w:p w14:paraId="3DAB0451" w14:textId="77777777" w:rsidR="00B14104" w:rsidRPr="00EC35D7" w:rsidRDefault="00B14104" w:rsidP="00867D73">
      <w:pPr>
        <w:spacing w:line="240" w:lineRule="auto"/>
      </w:pPr>
      <w:r w:rsidRPr="00EC35D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1E2BD" w14:textId="77777777" w:rsidR="00B14104" w:rsidRPr="00EC35D7" w:rsidRDefault="00B14104" w:rsidP="00867D73">
      <w:pPr>
        <w:spacing w:line="240" w:lineRule="auto"/>
      </w:pPr>
      <w:r w:rsidRPr="00EC35D7">
        <w:separator/>
      </w:r>
    </w:p>
  </w:footnote>
  <w:footnote w:type="continuationSeparator" w:id="0">
    <w:p w14:paraId="4BE9C13E" w14:textId="77777777" w:rsidR="00B14104" w:rsidRPr="00EC35D7" w:rsidRDefault="00B14104" w:rsidP="00867D73">
      <w:pPr>
        <w:spacing w:line="240" w:lineRule="auto"/>
      </w:pPr>
      <w:r w:rsidRPr="00EC35D7">
        <w:continuationSeparator/>
      </w:r>
    </w:p>
  </w:footnote>
  <w:footnote w:id="1">
    <w:p w14:paraId="7627282C" w14:textId="2B3CCAC4" w:rsidR="00681BFC" w:rsidRPr="00EC35D7" w:rsidRDefault="00681BFC">
      <w:pPr>
        <w:pStyle w:val="FootnoteText"/>
      </w:pPr>
      <w:r w:rsidRPr="00EC35D7">
        <w:rPr>
          <w:rStyle w:val="FootnoteReference"/>
        </w:rPr>
        <w:footnoteRef/>
      </w:r>
      <w:r w:rsidRPr="00EC35D7">
        <w:t xml:space="preserve"> </w:t>
      </w:r>
      <w:r w:rsidRPr="00EC35D7">
        <w:rPr>
          <w:i/>
          <w:iCs/>
        </w:rPr>
        <w:t xml:space="preserve">Member of the Executive Council for the Department of Health, Easter Cape v Gamede </w:t>
      </w:r>
      <w:r w:rsidRPr="00EC35D7">
        <w:t xml:space="preserve">(CA 05/2022) [2022] ZAECMHC 45 (29 </w:t>
      </w:r>
      <w:r w:rsidR="00D806AF" w:rsidRPr="00EC35D7">
        <w:t>November</w:t>
      </w:r>
      <w:r w:rsidRPr="00EC35D7">
        <w:t xml:space="preserve"> 2022) para 14.</w:t>
      </w:r>
    </w:p>
  </w:footnote>
  <w:footnote w:id="2">
    <w:p w14:paraId="4004F40E" w14:textId="36BB3413" w:rsidR="000A7AF3" w:rsidRPr="00EC35D7" w:rsidRDefault="000A7AF3">
      <w:pPr>
        <w:pStyle w:val="FootnoteText"/>
      </w:pPr>
      <w:r w:rsidRPr="00EC35D7">
        <w:rPr>
          <w:rStyle w:val="FootnoteReference"/>
        </w:rPr>
        <w:footnoteRef/>
      </w:r>
      <w:r w:rsidRPr="00EC35D7">
        <w:t xml:space="preserve"> Para 16 of </w:t>
      </w:r>
      <w:r w:rsidR="00165567" w:rsidRPr="00EC35D7">
        <w:t>TransNamib</w:t>
      </w:r>
      <w:r w:rsidRPr="00EC35D7">
        <w:t>’s heads of argument.</w:t>
      </w:r>
    </w:p>
  </w:footnote>
  <w:footnote w:id="3">
    <w:p w14:paraId="3463D33F" w14:textId="3CAC8443" w:rsidR="000A7356" w:rsidRPr="00EC35D7" w:rsidRDefault="000A7356" w:rsidP="000A7356">
      <w:pPr>
        <w:pStyle w:val="FootnoteText"/>
      </w:pPr>
      <w:r w:rsidRPr="00EC35D7">
        <w:rPr>
          <w:rStyle w:val="FootnoteReference"/>
        </w:rPr>
        <w:footnoteRef/>
      </w:r>
      <w:r w:rsidRPr="00EC35D7">
        <w:t xml:space="preserve"> </w:t>
      </w:r>
      <w:r w:rsidRPr="00DF6841">
        <w:rPr>
          <w:i/>
          <w:iCs/>
        </w:rPr>
        <w:t>Likoro v S</w:t>
      </w:r>
      <w:r w:rsidRPr="00EC35D7">
        <w:t xml:space="preserve"> (CA 19/2016) [2017] NAHCMD 355 (08 December 2017) para 14.</w:t>
      </w:r>
    </w:p>
  </w:footnote>
  <w:footnote w:id="4">
    <w:p w14:paraId="4B7E53A8" w14:textId="4EE3767D" w:rsidR="00226FEB" w:rsidRPr="002617B5" w:rsidRDefault="00226FEB" w:rsidP="002617B5">
      <w:pPr>
        <w:pStyle w:val="Heading2"/>
        <w:numPr>
          <w:ilvl w:val="0"/>
          <w:numId w:val="0"/>
        </w:numPr>
        <w:shd w:val="clear" w:color="auto" w:fill="FFFFFF"/>
        <w:spacing w:before="240" w:after="180" w:line="288" w:lineRule="atLeast"/>
        <w:rPr>
          <w:spacing w:val="0"/>
          <w:sz w:val="20"/>
          <w:szCs w:val="20"/>
        </w:rPr>
      </w:pPr>
      <w:r w:rsidRPr="00EC35D7">
        <w:rPr>
          <w:rStyle w:val="FootnoteReference"/>
        </w:rPr>
        <w:footnoteRef/>
      </w:r>
      <w:r w:rsidRPr="00EC35D7">
        <w:t xml:space="preserve"> </w:t>
      </w:r>
      <w:r w:rsidR="002617B5" w:rsidRPr="002617B5">
        <w:rPr>
          <w:i/>
          <w:iCs/>
          <w:spacing w:val="0"/>
          <w:sz w:val="20"/>
          <w:szCs w:val="20"/>
        </w:rPr>
        <w:t>Minister of Safety and Security and Another v Patterson</w:t>
      </w:r>
      <w:r w:rsidR="002617B5" w:rsidRPr="002617B5">
        <w:rPr>
          <w:spacing w:val="0"/>
          <w:sz w:val="20"/>
          <w:szCs w:val="20"/>
        </w:rPr>
        <w:t xml:space="preserve"> (A371/2013) [2016] ZAWCHC 169 (22 November 2016)</w:t>
      </w:r>
      <w:r w:rsidR="002617B5">
        <w:rPr>
          <w:spacing w:val="0"/>
          <w:sz w:val="20"/>
          <w:szCs w:val="20"/>
        </w:rPr>
        <w:t xml:space="preserve"> </w:t>
      </w:r>
      <w:r w:rsidR="00044DDF" w:rsidRPr="002617B5">
        <w:rPr>
          <w:sz w:val="20"/>
          <w:szCs w:val="20"/>
        </w:rPr>
        <w:t xml:space="preserve">paras </w:t>
      </w:r>
      <w:r w:rsidR="002617B5">
        <w:rPr>
          <w:sz w:val="20"/>
          <w:szCs w:val="20"/>
        </w:rPr>
        <w:t>[</w:t>
      </w:r>
      <w:r w:rsidR="00044DDF" w:rsidRPr="002617B5">
        <w:rPr>
          <w:sz w:val="20"/>
          <w:szCs w:val="20"/>
        </w:rPr>
        <w:t>19</w:t>
      </w:r>
      <w:r w:rsidR="002617B5">
        <w:rPr>
          <w:sz w:val="20"/>
          <w:szCs w:val="20"/>
        </w:rPr>
        <w:t>]</w:t>
      </w:r>
      <w:r w:rsidR="00044DDF" w:rsidRPr="002617B5">
        <w:rPr>
          <w:sz w:val="20"/>
          <w:szCs w:val="20"/>
        </w:rPr>
        <w:t xml:space="preserve"> – </w:t>
      </w:r>
      <w:r w:rsidR="002617B5">
        <w:rPr>
          <w:sz w:val="20"/>
          <w:szCs w:val="20"/>
        </w:rPr>
        <w:t>[</w:t>
      </w:r>
      <w:r w:rsidR="00044DDF" w:rsidRPr="002617B5">
        <w:rPr>
          <w:sz w:val="20"/>
          <w:szCs w:val="20"/>
        </w:rPr>
        <w:t>21</w:t>
      </w:r>
      <w:r w:rsidR="002617B5">
        <w:rPr>
          <w:sz w:val="20"/>
          <w:szCs w:val="20"/>
        </w:rPr>
        <w:t>]</w:t>
      </w:r>
      <w:r w:rsidR="00044DDF" w:rsidRPr="00EC35D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9FC7" w14:textId="77777777" w:rsidR="00EF5417" w:rsidRPr="00EC35D7" w:rsidRDefault="00EF5417">
    <w:pPr>
      <w:pStyle w:val="Header"/>
      <w:framePr w:wrap="around" w:vAnchor="text" w:hAnchor="margin" w:xAlign="right" w:y="1"/>
      <w:rPr>
        <w:rStyle w:val="PageNumber"/>
      </w:rPr>
    </w:pPr>
    <w:r w:rsidRPr="00EC35D7">
      <w:rPr>
        <w:rStyle w:val="PageNumber"/>
      </w:rPr>
      <w:fldChar w:fldCharType="begin"/>
    </w:r>
    <w:r w:rsidRPr="00EC35D7">
      <w:rPr>
        <w:rStyle w:val="PageNumber"/>
      </w:rPr>
      <w:instrText xml:space="preserve">PAGE  </w:instrText>
    </w:r>
    <w:r w:rsidRPr="00EC35D7">
      <w:rPr>
        <w:rStyle w:val="PageNumber"/>
      </w:rPr>
      <w:fldChar w:fldCharType="end"/>
    </w:r>
  </w:p>
  <w:p w14:paraId="21F36492" w14:textId="77777777" w:rsidR="00EF5417" w:rsidRPr="00EC35D7" w:rsidRDefault="00EF541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95FD" w14:textId="77777777" w:rsidR="00EF5417" w:rsidRPr="00EC35D7" w:rsidRDefault="00EF5417">
    <w:pPr>
      <w:ind w:right="360"/>
      <w:jc w:val="right"/>
    </w:pPr>
    <w:r w:rsidRPr="00EC35D7">
      <w:rPr>
        <w:rStyle w:val="PageNumber"/>
      </w:rPr>
      <w:fldChar w:fldCharType="begin"/>
    </w:r>
    <w:r w:rsidRPr="00EC35D7">
      <w:rPr>
        <w:rStyle w:val="PageNumber"/>
      </w:rPr>
      <w:instrText xml:space="preserve"> PAGE </w:instrText>
    </w:r>
    <w:r w:rsidRPr="00EC35D7">
      <w:rPr>
        <w:rStyle w:val="PageNumber"/>
      </w:rPr>
      <w:fldChar w:fldCharType="separate"/>
    </w:r>
    <w:r w:rsidR="000F0EE0">
      <w:rPr>
        <w:rStyle w:val="PageNumber"/>
        <w:noProof/>
      </w:rPr>
      <w:t>4</w:t>
    </w:r>
    <w:r w:rsidRPr="00EC35D7">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A60DD1A"/>
    <w:lvl w:ilvl="0">
      <w:start w:val="1"/>
      <w:numFmt w:val="decimal"/>
      <w:pStyle w:val="Heading1"/>
      <w:lvlText w:val="[%1]"/>
      <w:lvlJc w:val="left"/>
      <w:pPr>
        <w:ind w:left="360" w:hanging="360"/>
      </w:pPr>
      <w:rPr>
        <w:rFonts w:hint="default"/>
      </w:r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1" w15:restartNumberingAfterBreak="0">
    <w:nsid w:val="00000002"/>
    <w:multiLevelType w:val="singleLevel"/>
    <w:tmpl w:val="00000002"/>
    <w:name w:val="WW8Num18"/>
    <w:lvl w:ilvl="0">
      <w:start w:val="1"/>
      <w:numFmt w:val="lowerLetter"/>
      <w:lvlText w:val="(%1)"/>
      <w:lvlJc w:val="left"/>
      <w:pPr>
        <w:ind w:left="1350" w:hanging="630"/>
      </w:pPr>
      <w:rPr>
        <w:i/>
      </w:rPr>
    </w:lvl>
  </w:abstractNum>
  <w:abstractNum w:abstractNumId="2" w15:restartNumberingAfterBreak="0">
    <w:nsid w:val="0179318C"/>
    <w:multiLevelType w:val="hybridMultilevel"/>
    <w:tmpl w:val="6C4AD844"/>
    <w:lvl w:ilvl="0" w:tplc="AD2E349A">
      <w:start w:val="1"/>
      <w:numFmt w:val="lowerLetter"/>
      <w:lvlText w:val="(%1)"/>
      <w:lvlJc w:val="left"/>
      <w:pPr>
        <w:ind w:left="1097" w:hanging="360"/>
      </w:pPr>
      <w:rPr>
        <w:rFonts w:hint="default"/>
      </w:rPr>
    </w:lvl>
    <w:lvl w:ilvl="1" w:tplc="20000019" w:tentative="1">
      <w:start w:val="1"/>
      <w:numFmt w:val="lowerLetter"/>
      <w:lvlText w:val="%2."/>
      <w:lvlJc w:val="left"/>
      <w:pPr>
        <w:ind w:left="1817" w:hanging="360"/>
      </w:pPr>
    </w:lvl>
    <w:lvl w:ilvl="2" w:tplc="2000001B" w:tentative="1">
      <w:start w:val="1"/>
      <w:numFmt w:val="lowerRoman"/>
      <w:lvlText w:val="%3."/>
      <w:lvlJc w:val="right"/>
      <w:pPr>
        <w:ind w:left="2537" w:hanging="180"/>
      </w:pPr>
    </w:lvl>
    <w:lvl w:ilvl="3" w:tplc="2000000F" w:tentative="1">
      <w:start w:val="1"/>
      <w:numFmt w:val="decimal"/>
      <w:lvlText w:val="%4."/>
      <w:lvlJc w:val="left"/>
      <w:pPr>
        <w:ind w:left="3257" w:hanging="360"/>
      </w:pPr>
    </w:lvl>
    <w:lvl w:ilvl="4" w:tplc="20000019" w:tentative="1">
      <w:start w:val="1"/>
      <w:numFmt w:val="lowerLetter"/>
      <w:lvlText w:val="%5."/>
      <w:lvlJc w:val="left"/>
      <w:pPr>
        <w:ind w:left="3977" w:hanging="360"/>
      </w:pPr>
    </w:lvl>
    <w:lvl w:ilvl="5" w:tplc="2000001B" w:tentative="1">
      <w:start w:val="1"/>
      <w:numFmt w:val="lowerRoman"/>
      <w:lvlText w:val="%6."/>
      <w:lvlJc w:val="right"/>
      <w:pPr>
        <w:ind w:left="4697" w:hanging="180"/>
      </w:pPr>
    </w:lvl>
    <w:lvl w:ilvl="6" w:tplc="2000000F" w:tentative="1">
      <w:start w:val="1"/>
      <w:numFmt w:val="decimal"/>
      <w:lvlText w:val="%7."/>
      <w:lvlJc w:val="left"/>
      <w:pPr>
        <w:ind w:left="5417" w:hanging="360"/>
      </w:pPr>
    </w:lvl>
    <w:lvl w:ilvl="7" w:tplc="20000019" w:tentative="1">
      <w:start w:val="1"/>
      <w:numFmt w:val="lowerLetter"/>
      <w:lvlText w:val="%8."/>
      <w:lvlJc w:val="left"/>
      <w:pPr>
        <w:ind w:left="6137" w:hanging="360"/>
      </w:pPr>
    </w:lvl>
    <w:lvl w:ilvl="8" w:tplc="2000001B" w:tentative="1">
      <w:start w:val="1"/>
      <w:numFmt w:val="lowerRoman"/>
      <w:lvlText w:val="%9."/>
      <w:lvlJc w:val="right"/>
      <w:pPr>
        <w:ind w:left="6857" w:hanging="180"/>
      </w:pPr>
    </w:lvl>
  </w:abstractNum>
  <w:abstractNum w:abstractNumId="3" w15:restartNumberingAfterBreak="0">
    <w:nsid w:val="054D0E97"/>
    <w:multiLevelType w:val="multilevel"/>
    <w:tmpl w:val="E0AA6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076FD8"/>
    <w:multiLevelType w:val="hybridMultilevel"/>
    <w:tmpl w:val="1C2897B8"/>
    <w:lvl w:ilvl="0" w:tplc="FFFFFFFF">
      <w:start w:val="1"/>
      <w:numFmt w:val="decimal"/>
      <w:lvlText w:val="%1."/>
      <w:lvlJc w:val="left"/>
      <w:pPr>
        <w:ind w:left="990" w:hanging="63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0F3F1F"/>
    <w:multiLevelType w:val="hybridMultilevel"/>
    <w:tmpl w:val="22A22744"/>
    <w:lvl w:ilvl="0" w:tplc="9886C370">
      <w:start w:val="1"/>
      <w:numFmt w:val="lowerLetter"/>
      <w:lvlText w:val="(%1)"/>
      <w:lvlJc w:val="left"/>
      <w:pPr>
        <w:ind w:left="2157" w:hanging="465"/>
      </w:pPr>
      <w:rPr>
        <w:rFonts w:hint="default"/>
      </w:rPr>
    </w:lvl>
    <w:lvl w:ilvl="1" w:tplc="20000019" w:tentative="1">
      <w:start w:val="1"/>
      <w:numFmt w:val="lowerLetter"/>
      <w:lvlText w:val="%2."/>
      <w:lvlJc w:val="left"/>
      <w:pPr>
        <w:ind w:left="2772" w:hanging="360"/>
      </w:pPr>
    </w:lvl>
    <w:lvl w:ilvl="2" w:tplc="2000001B" w:tentative="1">
      <w:start w:val="1"/>
      <w:numFmt w:val="lowerRoman"/>
      <w:lvlText w:val="%3."/>
      <w:lvlJc w:val="right"/>
      <w:pPr>
        <w:ind w:left="3492" w:hanging="180"/>
      </w:pPr>
    </w:lvl>
    <w:lvl w:ilvl="3" w:tplc="2000000F" w:tentative="1">
      <w:start w:val="1"/>
      <w:numFmt w:val="decimal"/>
      <w:lvlText w:val="%4."/>
      <w:lvlJc w:val="left"/>
      <w:pPr>
        <w:ind w:left="4212" w:hanging="360"/>
      </w:pPr>
    </w:lvl>
    <w:lvl w:ilvl="4" w:tplc="20000019" w:tentative="1">
      <w:start w:val="1"/>
      <w:numFmt w:val="lowerLetter"/>
      <w:lvlText w:val="%5."/>
      <w:lvlJc w:val="left"/>
      <w:pPr>
        <w:ind w:left="4932" w:hanging="360"/>
      </w:pPr>
    </w:lvl>
    <w:lvl w:ilvl="5" w:tplc="2000001B" w:tentative="1">
      <w:start w:val="1"/>
      <w:numFmt w:val="lowerRoman"/>
      <w:lvlText w:val="%6."/>
      <w:lvlJc w:val="right"/>
      <w:pPr>
        <w:ind w:left="5652" w:hanging="180"/>
      </w:pPr>
    </w:lvl>
    <w:lvl w:ilvl="6" w:tplc="2000000F" w:tentative="1">
      <w:start w:val="1"/>
      <w:numFmt w:val="decimal"/>
      <w:lvlText w:val="%7."/>
      <w:lvlJc w:val="left"/>
      <w:pPr>
        <w:ind w:left="6372" w:hanging="360"/>
      </w:pPr>
    </w:lvl>
    <w:lvl w:ilvl="7" w:tplc="20000019" w:tentative="1">
      <w:start w:val="1"/>
      <w:numFmt w:val="lowerLetter"/>
      <w:lvlText w:val="%8."/>
      <w:lvlJc w:val="left"/>
      <w:pPr>
        <w:ind w:left="7092" w:hanging="360"/>
      </w:pPr>
    </w:lvl>
    <w:lvl w:ilvl="8" w:tplc="2000001B" w:tentative="1">
      <w:start w:val="1"/>
      <w:numFmt w:val="lowerRoman"/>
      <w:lvlText w:val="%9."/>
      <w:lvlJc w:val="right"/>
      <w:pPr>
        <w:ind w:left="7812" w:hanging="180"/>
      </w:pPr>
    </w:lvl>
  </w:abstractNum>
  <w:abstractNum w:abstractNumId="6" w15:restartNumberingAfterBreak="0">
    <w:nsid w:val="18A81963"/>
    <w:multiLevelType w:val="hybridMultilevel"/>
    <w:tmpl w:val="09D48D9C"/>
    <w:lvl w:ilvl="0" w:tplc="2C1CAC6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216B3B9C"/>
    <w:multiLevelType w:val="hybridMultilevel"/>
    <w:tmpl w:val="32241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D74B3"/>
    <w:multiLevelType w:val="hybridMultilevel"/>
    <w:tmpl w:val="D338BE96"/>
    <w:lvl w:ilvl="0" w:tplc="1FD815EE">
      <w:start w:val="1"/>
      <w:numFmt w:val="lowerLetter"/>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23302880"/>
    <w:multiLevelType w:val="hybridMultilevel"/>
    <w:tmpl w:val="D652C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70A8C"/>
    <w:multiLevelType w:val="hybridMultilevel"/>
    <w:tmpl w:val="9C585BBA"/>
    <w:lvl w:ilvl="0" w:tplc="9B0A5B26">
      <w:start w:val="1"/>
      <w:numFmt w:val="lowerLetter"/>
      <w:pStyle w:val="Heading2"/>
      <w:lvlText w:val="(%1)"/>
      <w:lvlJc w:val="left"/>
      <w:pPr>
        <w:ind w:left="1454" w:hanging="360"/>
      </w:pPr>
      <w:rPr>
        <w:rFonts w:ascii="Arial" w:hAnsi="Arial" w:hint="default"/>
        <w:sz w:val="24"/>
      </w:rPr>
    </w:lvl>
    <w:lvl w:ilvl="1" w:tplc="08090019" w:tentative="1">
      <w:start w:val="1"/>
      <w:numFmt w:val="lowerLetter"/>
      <w:lvlText w:val="%2."/>
      <w:lvlJc w:val="left"/>
      <w:pPr>
        <w:ind w:left="2174" w:hanging="360"/>
      </w:pPr>
    </w:lvl>
    <w:lvl w:ilvl="2" w:tplc="0809001B" w:tentative="1">
      <w:start w:val="1"/>
      <w:numFmt w:val="lowerRoman"/>
      <w:lvlText w:val="%3."/>
      <w:lvlJc w:val="right"/>
      <w:pPr>
        <w:ind w:left="2894" w:hanging="180"/>
      </w:pPr>
    </w:lvl>
    <w:lvl w:ilvl="3" w:tplc="0809000F" w:tentative="1">
      <w:start w:val="1"/>
      <w:numFmt w:val="decimal"/>
      <w:lvlText w:val="%4."/>
      <w:lvlJc w:val="left"/>
      <w:pPr>
        <w:ind w:left="3614" w:hanging="360"/>
      </w:pPr>
    </w:lvl>
    <w:lvl w:ilvl="4" w:tplc="08090019" w:tentative="1">
      <w:start w:val="1"/>
      <w:numFmt w:val="lowerLetter"/>
      <w:lvlText w:val="%5."/>
      <w:lvlJc w:val="left"/>
      <w:pPr>
        <w:ind w:left="4334" w:hanging="360"/>
      </w:pPr>
    </w:lvl>
    <w:lvl w:ilvl="5" w:tplc="0809001B" w:tentative="1">
      <w:start w:val="1"/>
      <w:numFmt w:val="lowerRoman"/>
      <w:lvlText w:val="%6."/>
      <w:lvlJc w:val="right"/>
      <w:pPr>
        <w:ind w:left="5054" w:hanging="180"/>
      </w:pPr>
    </w:lvl>
    <w:lvl w:ilvl="6" w:tplc="0809000F" w:tentative="1">
      <w:start w:val="1"/>
      <w:numFmt w:val="decimal"/>
      <w:lvlText w:val="%7."/>
      <w:lvlJc w:val="left"/>
      <w:pPr>
        <w:ind w:left="5774" w:hanging="360"/>
      </w:pPr>
    </w:lvl>
    <w:lvl w:ilvl="7" w:tplc="08090019" w:tentative="1">
      <w:start w:val="1"/>
      <w:numFmt w:val="lowerLetter"/>
      <w:lvlText w:val="%8."/>
      <w:lvlJc w:val="left"/>
      <w:pPr>
        <w:ind w:left="6494" w:hanging="360"/>
      </w:pPr>
    </w:lvl>
    <w:lvl w:ilvl="8" w:tplc="0809001B" w:tentative="1">
      <w:start w:val="1"/>
      <w:numFmt w:val="lowerRoman"/>
      <w:lvlText w:val="%9."/>
      <w:lvlJc w:val="right"/>
      <w:pPr>
        <w:ind w:left="7214" w:hanging="180"/>
      </w:pPr>
    </w:lvl>
  </w:abstractNum>
  <w:abstractNum w:abstractNumId="11" w15:restartNumberingAfterBreak="0">
    <w:nsid w:val="2EDC5B8D"/>
    <w:multiLevelType w:val="hybridMultilevel"/>
    <w:tmpl w:val="80CC9BB4"/>
    <w:lvl w:ilvl="0" w:tplc="81F89736">
      <w:start w:val="1"/>
      <w:numFmt w:val="lowerLetter"/>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86F4701"/>
    <w:multiLevelType w:val="hybridMultilevel"/>
    <w:tmpl w:val="81C4BC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F670A9"/>
    <w:multiLevelType w:val="hybridMultilevel"/>
    <w:tmpl w:val="83AE4872"/>
    <w:lvl w:ilvl="0" w:tplc="85766732">
      <w:start w:val="1"/>
      <w:numFmt w:val="lowerLetter"/>
      <w:lvlText w:val="(%1)"/>
      <w:lvlJc w:val="left"/>
      <w:pPr>
        <w:ind w:left="2157" w:hanging="465"/>
      </w:pPr>
      <w:rPr>
        <w:rFonts w:hint="default"/>
      </w:rPr>
    </w:lvl>
    <w:lvl w:ilvl="1" w:tplc="20000019" w:tentative="1">
      <w:start w:val="1"/>
      <w:numFmt w:val="lowerLetter"/>
      <w:lvlText w:val="%2."/>
      <w:lvlJc w:val="left"/>
      <w:pPr>
        <w:ind w:left="2772" w:hanging="360"/>
      </w:pPr>
    </w:lvl>
    <w:lvl w:ilvl="2" w:tplc="2000001B" w:tentative="1">
      <w:start w:val="1"/>
      <w:numFmt w:val="lowerRoman"/>
      <w:lvlText w:val="%3."/>
      <w:lvlJc w:val="right"/>
      <w:pPr>
        <w:ind w:left="3492" w:hanging="180"/>
      </w:pPr>
    </w:lvl>
    <w:lvl w:ilvl="3" w:tplc="2000000F" w:tentative="1">
      <w:start w:val="1"/>
      <w:numFmt w:val="decimal"/>
      <w:lvlText w:val="%4."/>
      <w:lvlJc w:val="left"/>
      <w:pPr>
        <w:ind w:left="4212" w:hanging="360"/>
      </w:pPr>
    </w:lvl>
    <w:lvl w:ilvl="4" w:tplc="20000019" w:tentative="1">
      <w:start w:val="1"/>
      <w:numFmt w:val="lowerLetter"/>
      <w:lvlText w:val="%5."/>
      <w:lvlJc w:val="left"/>
      <w:pPr>
        <w:ind w:left="4932" w:hanging="360"/>
      </w:pPr>
    </w:lvl>
    <w:lvl w:ilvl="5" w:tplc="2000001B" w:tentative="1">
      <w:start w:val="1"/>
      <w:numFmt w:val="lowerRoman"/>
      <w:lvlText w:val="%6."/>
      <w:lvlJc w:val="right"/>
      <w:pPr>
        <w:ind w:left="5652" w:hanging="180"/>
      </w:pPr>
    </w:lvl>
    <w:lvl w:ilvl="6" w:tplc="2000000F" w:tentative="1">
      <w:start w:val="1"/>
      <w:numFmt w:val="decimal"/>
      <w:lvlText w:val="%7."/>
      <w:lvlJc w:val="left"/>
      <w:pPr>
        <w:ind w:left="6372" w:hanging="360"/>
      </w:pPr>
    </w:lvl>
    <w:lvl w:ilvl="7" w:tplc="20000019" w:tentative="1">
      <w:start w:val="1"/>
      <w:numFmt w:val="lowerLetter"/>
      <w:lvlText w:val="%8."/>
      <w:lvlJc w:val="left"/>
      <w:pPr>
        <w:ind w:left="7092" w:hanging="360"/>
      </w:pPr>
    </w:lvl>
    <w:lvl w:ilvl="8" w:tplc="2000001B" w:tentative="1">
      <w:start w:val="1"/>
      <w:numFmt w:val="lowerRoman"/>
      <w:lvlText w:val="%9."/>
      <w:lvlJc w:val="right"/>
      <w:pPr>
        <w:ind w:left="7812" w:hanging="180"/>
      </w:pPr>
    </w:lvl>
  </w:abstractNum>
  <w:abstractNum w:abstractNumId="14" w15:restartNumberingAfterBreak="0">
    <w:nsid w:val="4157651F"/>
    <w:multiLevelType w:val="hybridMultilevel"/>
    <w:tmpl w:val="55FE6882"/>
    <w:lvl w:ilvl="0" w:tplc="D910EA98">
      <w:start w:val="1"/>
      <w:numFmt w:val="lowerLetter"/>
      <w:lvlText w:val="(%1)"/>
      <w:lvlJc w:val="left"/>
      <w:pPr>
        <w:ind w:left="4680" w:hanging="360"/>
      </w:pPr>
      <w:rPr>
        <w:rFonts w:ascii="Arial" w:eastAsia="Times New Roman" w:hAnsi="Arial" w:cs="Times New Roman"/>
      </w:rPr>
    </w:lvl>
    <w:lvl w:ilvl="1" w:tplc="20000019" w:tentative="1">
      <w:start w:val="1"/>
      <w:numFmt w:val="lowerLetter"/>
      <w:lvlText w:val="%2."/>
      <w:lvlJc w:val="left"/>
      <w:pPr>
        <w:ind w:left="5400" w:hanging="360"/>
      </w:pPr>
    </w:lvl>
    <w:lvl w:ilvl="2" w:tplc="2000001B" w:tentative="1">
      <w:start w:val="1"/>
      <w:numFmt w:val="lowerRoman"/>
      <w:lvlText w:val="%3."/>
      <w:lvlJc w:val="right"/>
      <w:pPr>
        <w:ind w:left="6120" w:hanging="180"/>
      </w:pPr>
    </w:lvl>
    <w:lvl w:ilvl="3" w:tplc="2000000F" w:tentative="1">
      <w:start w:val="1"/>
      <w:numFmt w:val="decimal"/>
      <w:lvlText w:val="%4."/>
      <w:lvlJc w:val="left"/>
      <w:pPr>
        <w:ind w:left="6840" w:hanging="360"/>
      </w:pPr>
    </w:lvl>
    <w:lvl w:ilvl="4" w:tplc="20000019" w:tentative="1">
      <w:start w:val="1"/>
      <w:numFmt w:val="lowerLetter"/>
      <w:lvlText w:val="%5."/>
      <w:lvlJc w:val="left"/>
      <w:pPr>
        <w:ind w:left="7560" w:hanging="360"/>
      </w:pPr>
    </w:lvl>
    <w:lvl w:ilvl="5" w:tplc="2000001B" w:tentative="1">
      <w:start w:val="1"/>
      <w:numFmt w:val="lowerRoman"/>
      <w:lvlText w:val="%6."/>
      <w:lvlJc w:val="right"/>
      <w:pPr>
        <w:ind w:left="8280" w:hanging="180"/>
      </w:pPr>
    </w:lvl>
    <w:lvl w:ilvl="6" w:tplc="2000000F" w:tentative="1">
      <w:start w:val="1"/>
      <w:numFmt w:val="decimal"/>
      <w:lvlText w:val="%7."/>
      <w:lvlJc w:val="left"/>
      <w:pPr>
        <w:ind w:left="9000" w:hanging="360"/>
      </w:pPr>
    </w:lvl>
    <w:lvl w:ilvl="7" w:tplc="20000019" w:tentative="1">
      <w:start w:val="1"/>
      <w:numFmt w:val="lowerLetter"/>
      <w:lvlText w:val="%8."/>
      <w:lvlJc w:val="left"/>
      <w:pPr>
        <w:ind w:left="9720" w:hanging="360"/>
      </w:pPr>
    </w:lvl>
    <w:lvl w:ilvl="8" w:tplc="2000001B" w:tentative="1">
      <w:start w:val="1"/>
      <w:numFmt w:val="lowerRoman"/>
      <w:lvlText w:val="%9."/>
      <w:lvlJc w:val="right"/>
      <w:pPr>
        <w:ind w:left="10440" w:hanging="180"/>
      </w:pPr>
    </w:lvl>
  </w:abstractNum>
  <w:abstractNum w:abstractNumId="15" w15:restartNumberingAfterBreak="0">
    <w:nsid w:val="45B4562D"/>
    <w:multiLevelType w:val="hybridMultilevel"/>
    <w:tmpl w:val="D82E0F3C"/>
    <w:lvl w:ilvl="0" w:tplc="343678F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499D5707"/>
    <w:multiLevelType w:val="hybridMultilevel"/>
    <w:tmpl w:val="C0F89D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F22BF"/>
    <w:multiLevelType w:val="hybridMultilevel"/>
    <w:tmpl w:val="7CB6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3F49E3"/>
    <w:multiLevelType w:val="multilevel"/>
    <w:tmpl w:val="0B9E15C6"/>
    <w:lvl w:ilvl="0">
      <w:start w:val="1"/>
      <w:numFmt w:val="decimal"/>
      <w:lvlText w:val="%1."/>
      <w:lvlJc w:val="left"/>
      <w:pPr>
        <w:ind w:left="990" w:hanging="63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E781811"/>
    <w:multiLevelType w:val="hybridMultilevel"/>
    <w:tmpl w:val="37DA0688"/>
    <w:lvl w:ilvl="0" w:tplc="CB122204">
      <w:start w:val="1"/>
      <w:numFmt w:val="lowerLetter"/>
      <w:lvlText w:val="(%1)"/>
      <w:lvlJc w:val="left"/>
      <w:pPr>
        <w:ind w:left="1097" w:hanging="360"/>
      </w:pPr>
      <w:rPr>
        <w:rFonts w:hint="default"/>
      </w:rPr>
    </w:lvl>
    <w:lvl w:ilvl="1" w:tplc="20000019" w:tentative="1">
      <w:start w:val="1"/>
      <w:numFmt w:val="lowerLetter"/>
      <w:lvlText w:val="%2."/>
      <w:lvlJc w:val="left"/>
      <w:pPr>
        <w:ind w:left="1817" w:hanging="360"/>
      </w:pPr>
    </w:lvl>
    <w:lvl w:ilvl="2" w:tplc="2000001B" w:tentative="1">
      <w:start w:val="1"/>
      <w:numFmt w:val="lowerRoman"/>
      <w:lvlText w:val="%3."/>
      <w:lvlJc w:val="right"/>
      <w:pPr>
        <w:ind w:left="2537" w:hanging="180"/>
      </w:pPr>
    </w:lvl>
    <w:lvl w:ilvl="3" w:tplc="2000000F" w:tentative="1">
      <w:start w:val="1"/>
      <w:numFmt w:val="decimal"/>
      <w:lvlText w:val="%4."/>
      <w:lvlJc w:val="left"/>
      <w:pPr>
        <w:ind w:left="3257" w:hanging="360"/>
      </w:pPr>
    </w:lvl>
    <w:lvl w:ilvl="4" w:tplc="20000019" w:tentative="1">
      <w:start w:val="1"/>
      <w:numFmt w:val="lowerLetter"/>
      <w:lvlText w:val="%5."/>
      <w:lvlJc w:val="left"/>
      <w:pPr>
        <w:ind w:left="3977" w:hanging="360"/>
      </w:pPr>
    </w:lvl>
    <w:lvl w:ilvl="5" w:tplc="2000001B" w:tentative="1">
      <w:start w:val="1"/>
      <w:numFmt w:val="lowerRoman"/>
      <w:lvlText w:val="%6."/>
      <w:lvlJc w:val="right"/>
      <w:pPr>
        <w:ind w:left="4697" w:hanging="180"/>
      </w:pPr>
    </w:lvl>
    <w:lvl w:ilvl="6" w:tplc="2000000F" w:tentative="1">
      <w:start w:val="1"/>
      <w:numFmt w:val="decimal"/>
      <w:lvlText w:val="%7."/>
      <w:lvlJc w:val="left"/>
      <w:pPr>
        <w:ind w:left="5417" w:hanging="360"/>
      </w:pPr>
    </w:lvl>
    <w:lvl w:ilvl="7" w:tplc="20000019" w:tentative="1">
      <w:start w:val="1"/>
      <w:numFmt w:val="lowerLetter"/>
      <w:lvlText w:val="%8."/>
      <w:lvlJc w:val="left"/>
      <w:pPr>
        <w:ind w:left="6137" w:hanging="360"/>
      </w:pPr>
    </w:lvl>
    <w:lvl w:ilvl="8" w:tplc="2000001B" w:tentative="1">
      <w:start w:val="1"/>
      <w:numFmt w:val="lowerRoman"/>
      <w:lvlText w:val="%9."/>
      <w:lvlJc w:val="right"/>
      <w:pPr>
        <w:ind w:left="6857" w:hanging="180"/>
      </w:pPr>
    </w:lvl>
  </w:abstractNum>
  <w:abstractNum w:abstractNumId="20" w15:restartNumberingAfterBreak="0">
    <w:nsid w:val="4F5F2DEF"/>
    <w:multiLevelType w:val="hybridMultilevel"/>
    <w:tmpl w:val="1C2897B8"/>
    <w:lvl w:ilvl="0" w:tplc="FFFFFFFF">
      <w:start w:val="1"/>
      <w:numFmt w:val="decimal"/>
      <w:lvlText w:val="%1."/>
      <w:lvlJc w:val="left"/>
      <w:pPr>
        <w:ind w:left="990" w:hanging="63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0A93ACC"/>
    <w:multiLevelType w:val="hybridMultilevel"/>
    <w:tmpl w:val="BA24A15C"/>
    <w:lvl w:ilvl="0" w:tplc="86B4253E">
      <w:start w:val="1"/>
      <w:numFmt w:val="lowerRoman"/>
      <w:pStyle w:val="Heading3"/>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22" w15:restartNumberingAfterBreak="0">
    <w:nsid w:val="57FD48A5"/>
    <w:multiLevelType w:val="hybridMultilevel"/>
    <w:tmpl w:val="1592D0A2"/>
    <w:lvl w:ilvl="0" w:tplc="A1EC7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EB750A"/>
    <w:multiLevelType w:val="hybridMultilevel"/>
    <w:tmpl w:val="9F6C7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602CC7"/>
    <w:multiLevelType w:val="hybridMultilevel"/>
    <w:tmpl w:val="EDE04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663DD2"/>
    <w:multiLevelType w:val="hybridMultilevel"/>
    <w:tmpl w:val="50FC440A"/>
    <w:lvl w:ilvl="0" w:tplc="5B925D36">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6" w15:restartNumberingAfterBreak="0">
    <w:nsid w:val="661637F0"/>
    <w:multiLevelType w:val="hybridMultilevel"/>
    <w:tmpl w:val="6A9C79D8"/>
    <w:lvl w:ilvl="0" w:tplc="FCCCE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500B8A"/>
    <w:multiLevelType w:val="hybridMultilevel"/>
    <w:tmpl w:val="D4149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1B4A03"/>
    <w:multiLevelType w:val="multilevel"/>
    <w:tmpl w:val="477E26DC"/>
    <w:lvl w:ilvl="0">
      <w:start w:val="110"/>
      <w:numFmt w:val="decimal"/>
      <w:lvlText w:val="%1"/>
      <w:lvlJc w:val="left"/>
      <w:pPr>
        <w:ind w:left="590" w:hanging="590"/>
      </w:pPr>
      <w:rPr>
        <w:rFonts w:hint="default"/>
      </w:rPr>
    </w:lvl>
    <w:lvl w:ilvl="1">
      <w:start w:val="1"/>
      <w:numFmt w:val="decimal"/>
      <w:lvlText w:val="%1.%2"/>
      <w:lvlJc w:val="left"/>
      <w:pPr>
        <w:ind w:left="1310" w:hanging="5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735797C"/>
    <w:multiLevelType w:val="hybridMultilevel"/>
    <w:tmpl w:val="A27E46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3145944">
    <w:abstractNumId w:val="0"/>
  </w:num>
  <w:num w:numId="2" w16cid:durableId="1236354205">
    <w:abstractNumId w:val="0"/>
  </w:num>
  <w:num w:numId="3" w16cid:durableId="219368507">
    <w:abstractNumId w:val="24"/>
  </w:num>
  <w:num w:numId="4" w16cid:durableId="432166707">
    <w:abstractNumId w:val="10"/>
  </w:num>
  <w:num w:numId="5" w16cid:durableId="661742705">
    <w:abstractNumId w:val="21"/>
  </w:num>
  <w:num w:numId="6" w16cid:durableId="1815366636">
    <w:abstractNumId w:val="10"/>
    <w:lvlOverride w:ilvl="0">
      <w:startOverride w:val="1"/>
    </w:lvlOverride>
  </w:num>
  <w:num w:numId="7" w16cid:durableId="564147528">
    <w:abstractNumId w:val="10"/>
    <w:lvlOverride w:ilvl="0">
      <w:startOverride w:val="1"/>
    </w:lvlOverride>
  </w:num>
  <w:num w:numId="8" w16cid:durableId="2142267983">
    <w:abstractNumId w:val="10"/>
    <w:lvlOverride w:ilvl="0">
      <w:startOverride w:val="1"/>
    </w:lvlOverride>
  </w:num>
  <w:num w:numId="9" w16cid:durableId="825167969">
    <w:abstractNumId w:val="10"/>
    <w:lvlOverride w:ilvl="0">
      <w:startOverride w:val="1"/>
    </w:lvlOverride>
  </w:num>
  <w:num w:numId="10" w16cid:durableId="683169102">
    <w:abstractNumId w:val="10"/>
    <w:lvlOverride w:ilvl="0">
      <w:startOverride w:val="1"/>
    </w:lvlOverride>
  </w:num>
  <w:num w:numId="11" w16cid:durableId="567493517">
    <w:abstractNumId w:val="10"/>
    <w:lvlOverride w:ilvl="0">
      <w:startOverride w:val="5"/>
    </w:lvlOverride>
  </w:num>
  <w:num w:numId="12" w16cid:durableId="309092815">
    <w:abstractNumId w:val="10"/>
    <w:lvlOverride w:ilvl="0">
      <w:startOverride w:val="1"/>
    </w:lvlOverride>
  </w:num>
  <w:num w:numId="13" w16cid:durableId="2016154938">
    <w:abstractNumId w:val="11"/>
  </w:num>
  <w:num w:numId="14" w16cid:durableId="476072232">
    <w:abstractNumId w:val="13"/>
  </w:num>
  <w:num w:numId="15" w16cid:durableId="2142721489">
    <w:abstractNumId w:val="5"/>
  </w:num>
  <w:num w:numId="16" w16cid:durableId="675573744">
    <w:abstractNumId w:val="19"/>
  </w:num>
  <w:num w:numId="17" w16cid:durableId="513881579">
    <w:abstractNumId w:val="2"/>
  </w:num>
  <w:num w:numId="18" w16cid:durableId="1330332833">
    <w:abstractNumId w:val="28"/>
  </w:num>
  <w:num w:numId="19" w16cid:durableId="998457889">
    <w:abstractNumId w:val="6"/>
  </w:num>
  <w:num w:numId="20" w16cid:durableId="243875898">
    <w:abstractNumId w:val="14"/>
  </w:num>
  <w:num w:numId="21" w16cid:durableId="1014768822">
    <w:abstractNumId w:val="15"/>
  </w:num>
  <w:num w:numId="22" w16cid:durableId="2082172534">
    <w:abstractNumId w:val="8"/>
  </w:num>
  <w:num w:numId="23" w16cid:durableId="126435015">
    <w:abstractNumId w:val="1"/>
  </w:num>
  <w:num w:numId="24" w16cid:durableId="970671643">
    <w:abstractNumId w:val="22"/>
  </w:num>
  <w:num w:numId="25" w16cid:durableId="1971088127">
    <w:abstractNumId w:val="18"/>
  </w:num>
  <w:num w:numId="26" w16cid:durableId="1479344502">
    <w:abstractNumId w:val="20"/>
  </w:num>
  <w:num w:numId="27" w16cid:durableId="1190215779">
    <w:abstractNumId w:val="4"/>
  </w:num>
  <w:num w:numId="28" w16cid:durableId="431709259">
    <w:abstractNumId w:val="25"/>
  </w:num>
  <w:num w:numId="29" w16cid:durableId="775177216">
    <w:abstractNumId w:val="9"/>
  </w:num>
  <w:num w:numId="30" w16cid:durableId="920678845">
    <w:abstractNumId w:val="17"/>
  </w:num>
  <w:num w:numId="31" w16cid:durableId="1360668824">
    <w:abstractNumId w:val="26"/>
  </w:num>
  <w:num w:numId="32" w16cid:durableId="915699501">
    <w:abstractNumId w:val="7"/>
  </w:num>
  <w:num w:numId="33" w16cid:durableId="874732467">
    <w:abstractNumId w:val="27"/>
  </w:num>
  <w:num w:numId="34" w16cid:durableId="2065331144">
    <w:abstractNumId w:val="29"/>
  </w:num>
  <w:num w:numId="35" w16cid:durableId="58284467">
    <w:abstractNumId w:val="12"/>
  </w:num>
  <w:num w:numId="36" w16cid:durableId="475799696">
    <w:abstractNumId w:val="16"/>
  </w:num>
  <w:num w:numId="37" w16cid:durableId="829322141">
    <w:abstractNumId w:val="23"/>
  </w:num>
  <w:num w:numId="38" w16cid:durableId="1631662826">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524"/>
    <w:rsid w:val="00000AD3"/>
    <w:rsid w:val="00001E44"/>
    <w:rsid w:val="000031EF"/>
    <w:rsid w:val="00005673"/>
    <w:rsid w:val="0001020A"/>
    <w:rsid w:val="00010EE2"/>
    <w:rsid w:val="00013787"/>
    <w:rsid w:val="00014C91"/>
    <w:rsid w:val="00015776"/>
    <w:rsid w:val="00016FEE"/>
    <w:rsid w:val="00017490"/>
    <w:rsid w:val="000178BA"/>
    <w:rsid w:val="000226A9"/>
    <w:rsid w:val="00027D48"/>
    <w:rsid w:val="000324F3"/>
    <w:rsid w:val="000352A0"/>
    <w:rsid w:val="00044DDF"/>
    <w:rsid w:val="00045453"/>
    <w:rsid w:val="000504D1"/>
    <w:rsid w:val="0005086D"/>
    <w:rsid w:val="00051121"/>
    <w:rsid w:val="00051574"/>
    <w:rsid w:val="00053826"/>
    <w:rsid w:val="00062718"/>
    <w:rsid w:val="00063685"/>
    <w:rsid w:val="000650A6"/>
    <w:rsid w:val="00070A8F"/>
    <w:rsid w:val="0007119C"/>
    <w:rsid w:val="00072ED7"/>
    <w:rsid w:val="00072F8E"/>
    <w:rsid w:val="00083864"/>
    <w:rsid w:val="00083B84"/>
    <w:rsid w:val="00085D64"/>
    <w:rsid w:val="00087A71"/>
    <w:rsid w:val="00090BFE"/>
    <w:rsid w:val="00093246"/>
    <w:rsid w:val="00093CE9"/>
    <w:rsid w:val="000975CD"/>
    <w:rsid w:val="00097B54"/>
    <w:rsid w:val="000A2825"/>
    <w:rsid w:val="000A47D8"/>
    <w:rsid w:val="000A7356"/>
    <w:rsid w:val="000A7AF3"/>
    <w:rsid w:val="000B1663"/>
    <w:rsid w:val="000B66A4"/>
    <w:rsid w:val="000B7750"/>
    <w:rsid w:val="000C20ED"/>
    <w:rsid w:val="000C4BBF"/>
    <w:rsid w:val="000C4C61"/>
    <w:rsid w:val="000C54BA"/>
    <w:rsid w:val="000C75F9"/>
    <w:rsid w:val="000D490E"/>
    <w:rsid w:val="000D617B"/>
    <w:rsid w:val="000D661F"/>
    <w:rsid w:val="000E1E31"/>
    <w:rsid w:val="000E321B"/>
    <w:rsid w:val="000E3CA3"/>
    <w:rsid w:val="000E59B9"/>
    <w:rsid w:val="000E61B8"/>
    <w:rsid w:val="000E6332"/>
    <w:rsid w:val="000F0EE0"/>
    <w:rsid w:val="000F3ED7"/>
    <w:rsid w:val="000F7F8A"/>
    <w:rsid w:val="0010488E"/>
    <w:rsid w:val="001063BC"/>
    <w:rsid w:val="001076B6"/>
    <w:rsid w:val="001076FB"/>
    <w:rsid w:val="00115E8B"/>
    <w:rsid w:val="001173DC"/>
    <w:rsid w:val="00117DD9"/>
    <w:rsid w:val="0012505E"/>
    <w:rsid w:val="00132DC7"/>
    <w:rsid w:val="0013471F"/>
    <w:rsid w:val="00135CE1"/>
    <w:rsid w:val="001367FF"/>
    <w:rsid w:val="00140A9D"/>
    <w:rsid w:val="0014460F"/>
    <w:rsid w:val="0014505C"/>
    <w:rsid w:val="00145ADF"/>
    <w:rsid w:val="00147336"/>
    <w:rsid w:val="001600D3"/>
    <w:rsid w:val="00162921"/>
    <w:rsid w:val="00162FA5"/>
    <w:rsid w:val="0016314E"/>
    <w:rsid w:val="0016544A"/>
    <w:rsid w:val="00165567"/>
    <w:rsid w:val="00165969"/>
    <w:rsid w:val="00165F92"/>
    <w:rsid w:val="001763A5"/>
    <w:rsid w:val="00176DB6"/>
    <w:rsid w:val="001825ED"/>
    <w:rsid w:val="001846B9"/>
    <w:rsid w:val="001846FB"/>
    <w:rsid w:val="00185464"/>
    <w:rsid w:val="00186562"/>
    <w:rsid w:val="0019079A"/>
    <w:rsid w:val="00193D82"/>
    <w:rsid w:val="0019695F"/>
    <w:rsid w:val="0019700F"/>
    <w:rsid w:val="001A4178"/>
    <w:rsid w:val="001A5253"/>
    <w:rsid w:val="001A7011"/>
    <w:rsid w:val="001B3027"/>
    <w:rsid w:val="001B39A8"/>
    <w:rsid w:val="001B6D0D"/>
    <w:rsid w:val="001C373C"/>
    <w:rsid w:val="001C5C4C"/>
    <w:rsid w:val="001C727F"/>
    <w:rsid w:val="001D4C80"/>
    <w:rsid w:val="001D4E59"/>
    <w:rsid w:val="001E1CC2"/>
    <w:rsid w:val="001E20BF"/>
    <w:rsid w:val="001E46B3"/>
    <w:rsid w:val="001E5489"/>
    <w:rsid w:val="001F4294"/>
    <w:rsid w:val="001F4D61"/>
    <w:rsid w:val="001F5190"/>
    <w:rsid w:val="001F6CB9"/>
    <w:rsid w:val="002023D0"/>
    <w:rsid w:val="002076B9"/>
    <w:rsid w:val="00210D9A"/>
    <w:rsid w:val="00211B5D"/>
    <w:rsid w:val="00214E82"/>
    <w:rsid w:val="00216928"/>
    <w:rsid w:val="00222B92"/>
    <w:rsid w:val="002241AE"/>
    <w:rsid w:val="00226FEB"/>
    <w:rsid w:val="00237278"/>
    <w:rsid w:val="0024093F"/>
    <w:rsid w:val="00240999"/>
    <w:rsid w:val="00241AD6"/>
    <w:rsid w:val="0024419B"/>
    <w:rsid w:val="00244899"/>
    <w:rsid w:val="00247EF9"/>
    <w:rsid w:val="0025315E"/>
    <w:rsid w:val="0025677F"/>
    <w:rsid w:val="00257D35"/>
    <w:rsid w:val="002617B5"/>
    <w:rsid w:val="00264113"/>
    <w:rsid w:val="00266D54"/>
    <w:rsid w:val="0027073E"/>
    <w:rsid w:val="002719BF"/>
    <w:rsid w:val="00275A78"/>
    <w:rsid w:val="00277E0C"/>
    <w:rsid w:val="002806FA"/>
    <w:rsid w:val="00285FF7"/>
    <w:rsid w:val="00290268"/>
    <w:rsid w:val="002A4EDC"/>
    <w:rsid w:val="002A7BCD"/>
    <w:rsid w:val="002B1453"/>
    <w:rsid w:val="002B24D7"/>
    <w:rsid w:val="002B54D8"/>
    <w:rsid w:val="002B6CD0"/>
    <w:rsid w:val="002B7099"/>
    <w:rsid w:val="002C5516"/>
    <w:rsid w:val="002C5751"/>
    <w:rsid w:val="002D035C"/>
    <w:rsid w:val="002D08EE"/>
    <w:rsid w:val="002D0A9C"/>
    <w:rsid w:val="002D1C5A"/>
    <w:rsid w:val="002D3BD5"/>
    <w:rsid w:val="002D47EB"/>
    <w:rsid w:val="002D4990"/>
    <w:rsid w:val="002D6750"/>
    <w:rsid w:val="002D6836"/>
    <w:rsid w:val="002D786B"/>
    <w:rsid w:val="002E27AF"/>
    <w:rsid w:val="002E30DE"/>
    <w:rsid w:val="002E380C"/>
    <w:rsid w:val="002E6D61"/>
    <w:rsid w:val="002F09FA"/>
    <w:rsid w:val="002F1084"/>
    <w:rsid w:val="002F3C44"/>
    <w:rsid w:val="002F78C8"/>
    <w:rsid w:val="003016C4"/>
    <w:rsid w:val="00307C87"/>
    <w:rsid w:val="00311B99"/>
    <w:rsid w:val="00316EA0"/>
    <w:rsid w:val="003209AD"/>
    <w:rsid w:val="00321344"/>
    <w:rsid w:val="00333E79"/>
    <w:rsid w:val="00334AFC"/>
    <w:rsid w:val="00340D6A"/>
    <w:rsid w:val="003428D2"/>
    <w:rsid w:val="00347D03"/>
    <w:rsid w:val="00350278"/>
    <w:rsid w:val="00350365"/>
    <w:rsid w:val="003504E0"/>
    <w:rsid w:val="003517F4"/>
    <w:rsid w:val="00352F30"/>
    <w:rsid w:val="003530F6"/>
    <w:rsid w:val="00354402"/>
    <w:rsid w:val="00365991"/>
    <w:rsid w:val="0036736C"/>
    <w:rsid w:val="0037192F"/>
    <w:rsid w:val="00373CDF"/>
    <w:rsid w:val="00376F2E"/>
    <w:rsid w:val="003770DD"/>
    <w:rsid w:val="00382515"/>
    <w:rsid w:val="003828B4"/>
    <w:rsid w:val="00383735"/>
    <w:rsid w:val="00383E88"/>
    <w:rsid w:val="00391047"/>
    <w:rsid w:val="0039415D"/>
    <w:rsid w:val="00394CCF"/>
    <w:rsid w:val="003A3CF2"/>
    <w:rsid w:val="003A3E0C"/>
    <w:rsid w:val="003A5FD0"/>
    <w:rsid w:val="003A636A"/>
    <w:rsid w:val="003A667E"/>
    <w:rsid w:val="003A7C97"/>
    <w:rsid w:val="003B1674"/>
    <w:rsid w:val="003C07FB"/>
    <w:rsid w:val="003C1894"/>
    <w:rsid w:val="003C2229"/>
    <w:rsid w:val="003C30BF"/>
    <w:rsid w:val="003C3175"/>
    <w:rsid w:val="003C3E52"/>
    <w:rsid w:val="003C3EA1"/>
    <w:rsid w:val="003D158E"/>
    <w:rsid w:val="003D180E"/>
    <w:rsid w:val="003D70E6"/>
    <w:rsid w:val="003D78EE"/>
    <w:rsid w:val="003E2C84"/>
    <w:rsid w:val="003E364B"/>
    <w:rsid w:val="003E3AA8"/>
    <w:rsid w:val="003E6394"/>
    <w:rsid w:val="003E6BED"/>
    <w:rsid w:val="003E70D0"/>
    <w:rsid w:val="003E7333"/>
    <w:rsid w:val="003F4AAC"/>
    <w:rsid w:val="003F4C9B"/>
    <w:rsid w:val="003F5776"/>
    <w:rsid w:val="003F5D86"/>
    <w:rsid w:val="003F6093"/>
    <w:rsid w:val="003F6F0E"/>
    <w:rsid w:val="00400D96"/>
    <w:rsid w:val="00403581"/>
    <w:rsid w:val="004037A1"/>
    <w:rsid w:val="00414D46"/>
    <w:rsid w:val="00414F89"/>
    <w:rsid w:val="00415368"/>
    <w:rsid w:val="00422636"/>
    <w:rsid w:val="004229A8"/>
    <w:rsid w:val="00423B08"/>
    <w:rsid w:val="00430666"/>
    <w:rsid w:val="0043111A"/>
    <w:rsid w:val="004375AE"/>
    <w:rsid w:val="00437C3B"/>
    <w:rsid w:val="00440A23"/>
    <w:rsid w:val="0044133E"/>
    <w:rsid w:val="00442B69"/>
    <w:rsid w:val="00452D35"/>
    <w:rsid w:val="00457F74"/>
    <w:rsid w:val="00467F45"/>
    <w:rsid w:val="0047151B"/>
    <w:rsid w:val="00472891"/>
    <w:rsid w:val="00480A13"/>
    <w:rsid w:val="00487CB0"/>
    <w:rsid w:val="00493180"/>
    <w:rsid w:val="00495BDE"/>
    <w:rsid w:val="00497186"/>
    <w:rsid w:val="004A24AC"/>
    <w:rsid w:val="004A2820"/>
    <w:rsid w:val="004A334F"/>
    <w:rsid w:val="004A3A4C"/>
    <w:rsid w:val="004A5900"/>
    <w:rsid w:val="004A762E"/>
    <w:rsid w:val="004B2778"/>
    <w:rsid w:val="004B3FC8"/>
    <w:rsid w:val="004C0E9A"/>
    <w:rsid w:val="004C3E57"/>
    <w:rsid w:val="004C3E84"/>
    <w:rsid w:val="004C4E6C"/>
    <w:rsid w:val="004C574D"/>
    <w:rsid w:val="004C713A"/>
    <w:rsid w:val="004D008F"/>
    <w:rsid w:val="004D3F8C"/>
    <w:rsid w:val="004E0048"/>
    <w:rsid w:val="004E16FD"/>
    <w:rsid w:val="004E3AEA"/>
    <w:rsid w:val="004E4C08"/>
    <w:rsid w:val="004E7BF8"/>
    <w:rsid w:val="004F3D79"/>
    <w:rsid w:val="00500299"/>
    <w:rsid w:val="0050055E"/>
    <w:rsid w:val="005011FC"/>
    <w:rsid w:val="00502403"/>
    <w:rsid w:val="00504963"/>
    <w:rsid w:val="00504DF7"/>
    <w:rsid w:val="005133DF"/>
    <w:rsid w:val="00515B97"/>
    <w:rsid w:val="00520746"/>
    <w:rsid w:val="00521176"/>
    <w:rsid w:val="0052144B"/>
    <w:rsid w:val="00522C0C"/>
    <w:rsid w:val="00531A75"/>
    <w:rsid w:val="00534EC6"/>
    <w:rsid w:val="00536902"/>
    <w:rsid w:val="00536A0A"/>
    <w:rsid w:val="00536C1B"/>
    <w:rsid w:val="00541057"/>
    <w:rsid w:val="00547F1F"/>
    <w:rsid w:val="0055152A"/>
    <w:rsid w:val="00556AB7"/>
    <w:rsid w:val="00562A56"/>
    <w:rsid w:val="00564D69"/>
    <w:rsid w:val="00564FD2"/>
    <w:rsid w:val="0056666C"/>
    <w:rsid w:val="0056674E"/>
    <w:rsid w:val="0056681E"/>
    <w:rsid w:val="005718E1"/>
    <w:rsid w:val="005807C6"/>
    <w:rsid w:val="00590E8B"/>
    <w:rsid w:val="00591F68"/>
    <w:rsid w:val="005A31E6"/>
    <w:rsid w:val="005A6091"/>
    <w:rsid w:val="005A6786"/>
    <w:rsid w:val="005B04B8"/>
    <w:rsid w:val="005B28AD"/>
    <w:rsid w:val="005B3279"/>
    <w:rsid w:val="005B3AF2"/>
    <w:rsid w:val="005B6574"/>
    <w:rsid w:val="005B6D6B"/>
    <w:rsid w:val="005B78E3"/>
    <w:rsid w:val="005B7D17"/>
    <w:rsid w:val="005C03A3"/>
    <w:rsid w:val="005C0AD7"/>
    <w:rsid w:val="005C183C"/>
    <w:rsid w:val="005C2F88"/>
    <w:rsid w:val="005C4415"/>
    <w:rsid w:val="005C5E86"/>
    <w:rsid w:val="005C5F32"/>
    <w:rsid w:val="005D5F13"/>
    <w:rsid w:val="005E2068"/>
    <w:rsid w:val="005E3952"/>
    <w:rsid w:val="005E51A6"/>
    <w:rsid w:val="005E5D0A"/>
    <w:rsid w:val="005F05E6"/>
    <w:rsid w:val="005F2313"/>
    <w:rsid w:val="005F2BBE"/>
    <w:rsid w:val="005F3EC0"/>
    <w:rsid w:val="005F7044"/>
    <w:rsid w:val="005F74FA"/>
    <w:rsid w:val="0060209D"/>
    <w:rsid w:val="00603B05"/>
    <w:rsid w:val="006146AC"/>
    <w:rsid w:val="00615357"/>
    <w:rsid w:val="006201EB"/>
    <w:rsid w:val="0062079B"/>
    <w:rsid w:val="00625494"/>
    <w:rsid w:val="00630E6B"/>
    <w:rsid w:val="006313FB"/>
    <w:rsid w:val="00633456"/>
    <w:rsid w:val="00635001"/>
    <w:rsid w:val="00635820"/>
    <w:rsid w:val="00636471"/>
    <w:rsid w:val="00640853"/>
    <w:rsid w:val="00643D8B"/>
    <w:rsid w:val="006461DE"/>
    <w:rsid w:val="00646AA0"/>
    <w:rsid w:val="00647FE5"/>
    <w:rsid w:val="006517D3"/>
    <w:rsid w:val="0065224D"/>
    <w:rsid w:val="006539B7"/>
    <w:rsid w:val="00655DE0"/>
    <w:rsid w:val="006563E5"/>
    <w:rsid w:val="006573D4"/>
    <w:rsid w:val="00667C0B"/>
    <w:rsid w:val="00673690"/>
    <w:rsid w:val="00680C7F"/>
    <w:rsid w:val="006814B2"/>
    <w:rsid w:val="00681BFC"/>
    <w:rsid w:val="00682AC4"/>
    <w:rsid w:val="006860BD"/>
    <w:rsid w:val="00687B62"/>
    <w:rsid w:val="00691776"/>
    <w:rsid w:val="00693E19"/>
    <w:rsid w:val="00695CD4"/>
    <w:rsid w:val="006A1816"/>
    <w:rsid w:val="006A42D1"/>
    <w:rsid w:val="006B3EE2"/>
    <w:rsid w:val="006B4221"/>
    <w:rsid w:val="006C006E"/>
    <w:rsid w:val="006C1871"/>
    <w:rsid w:val="006C1B65"/>
    <w:rsid w:val="006C3A9D"/>
    <w:rsid w:val="006C4FAE"/>
    <w:rsid w:val="006C7366"/>
    <w:rsid w:val="006D6564"/>
    <w:rsid w:val="006D65BF"/>
    <w:rsid w:val="006E0D29"/>
    <w:rsid w:val="006E5F8D"/>
    <w:rsid w:val="006E69A8"/>
    <w:rsid w:val="006F133F"/>
    <w:rsid w:val="006F3377"/>
    <w:rsid w:val="006F4DCB"/>
    <w:rsid w:val="006F720F"/>
    <w:rsid w:val="007070E0"/>
    <w:rsid w:val="00712CD2"/>
    <w:rsid w:val="00712D16"/>
    <w:rsid w:val="007155E4"/>
    <w:rsid w:val="00717FD6"/>
    <w:rsid w:val="007200FB"/>
    <w:rsid w:val="00721509"/>
    <w:rsid w:val="007233E5"/>
    <w:rsid w:val="00723A0A"/>
    <w:rsid w:val="00724FDC"/>
    <w:rsid w:val="0072692A"/>
    <w:rsid w:val="00726BD2"/>
    <w:rsid w:val="0072728C"/>
    <w:rsid w:val="00732EFE"/>
    <w:rsid w:val="007330E9"/>
    <w:rsid w:val="00740067"/>
    <w:rsid w:val="007407F7"/>
    <w:rsid w:val="00740AB0"/>
    <w:rsid w:val="00742A5D"/>
    <w:rsid w:val="007442DD"/>
    <w:rsid w:val="0075040C"/>
    <w:rsid w:val="007510C8"/>
    <w:rsid w:val="00753359"/>
    <w:rsid w:val="00754C6F"/>
    <w:rsid w:val="00755D63"/>
    <w:rsid w:val="007603F4"/>
    <w:rsid w:val="00762395"/>
    <w:rsid w:val="00762F9D"/>
    <w:rsid w:val="00765944"/>
    <w:rsid w:val="0077034D"/>
    <w:rsid w:val="00772D12"/>
    <w:rsid w:val="00780102"/>
    <w:rsid w:val="00785D24"/>
    <w:rsid w:val="007935D2"/>
    <w:rsid w:val="007A5F4E"/>
    <w:rsid w:val="007B1D29"/>
    <w:rsid w:val="007B2F5C"/>
    <w:rsid w:val="007B52EA"/>
    <w:rsid w:val="007B6309"/>
    <w:rsid w:val="007B7AF6"/>
    <w:rsid w:val="007D1502"/>
    <w:rsid w:val="007D3D85"/>
    <w:rsid w:val="007D4F0A"/>
    <w:rsid w:val="007D71AB"/>
    <w:rsid w:val="007D7ABE"/>
    <w:rsid w:val="007E0468"/>
    <w:rsid w:val="007E12E4"/>
    <w:rsid w:val="007F2B89"/>
    <w:rsid w:val="007F5084"/>
    <w:rsid w:val="007F7ABD"/>
    <w:rsid w:val="0080139F"/>
    <w:rsid w:val="0080635A"/>
    <w:rsid w:val="00806373"/>
    <w:rsid w:val="008077F3"/>
    <w:rsid w:val="00814E3A"/>
    <w:rsid w:val="00815061"/>
    <w:rsid w:val="0081590F"/>
    <w:rsid w:val="008173A5"/>
    <w:rsid w:val="00822342"/>
    <w:rsid w:val="00824AE6"/>
    <w:rsid w:val="00824C4F"/>
    <w:rsid w:val="00831C6E"/>
    <w:rsid w:val="00834AA4"/>
    <w:rsid w:val="008358E8"/>
    <w:rsid w:val="00836131"/>
    <w:rsid w:val="00840672"/>
    <w:rsid w:val="00840FFD"/>
    <w:rsid w:val="008411B2"/>
    <w:rsid w:val="00844780"/>
    <w:rsid w:val="008507E5"/>
    <w:rsid w:val="00851776"/>
    <w:rsid w:val="00853524"/>
    <w:rsid w:val="008552C7"/>
    <w:rsid w:val="00862DBC"/>
    <w:rsid w:val="008665CF"/>
    <w:rsid w:val="00867D73"/>
    <w:rsid w:val="0087008D"/>
    <w:rsid w:val="008716FE"/>
    <w:rsid w:val="00872294"/>
    <w:rsid w:val="008777FB"/>
    <w:rsid w:val="0088248A"/>
    <w:rsid w:val="0088323A"/>
    <w:rsid w:val="00883895"/>
    <w:rsid w:val="008844A5"/>
    <w:rsid w:val="00885655"/>
    <w:rsid w:val="0088723F"/>
    <w:rsid w:val="00892367"/>
    <w:rsid w:val="00892889"/>
    <w:rsid w:val="00893153"/>
    <w:rsid w:val="008939CB"/>
    <w:rsid w:val="008968DB"/>
    <w:rsid w:val="008A443F"/>
    <w:rsid w:val="008A670E"/>
    <w:rsid w:val="008A7105"/>
    <w:rsid w:val="008B1118"/>
    <w:rsid w:val="008B1836"/>
    <w:rsid w:val="008B2C30"/>
    <w:rsid w:val="008B5984"/>
    <w:rsid w:val="008B61FB"/>
    <w:rsid w:val="008C3EE3"/>
    <w:rsid w:val="008C3F7C"/>
    <w:rsid w:val="008D5327"/>
    <w:rsid w:val="008D7A77"/>
    <w:rsid w:val="008E22B2"/>
    <w:rsid w:val="008E35C3"/>
    <w:rsid w:val="008E3D66"/>
    <w:rsid w:val="008E5D02"/>
    <w:rsid w:val="008E6309"/>
    <w:rsid w:val="008F29DB"/>
    <w:rsid w:val="008F2C0E"/>
    <w:rsid w:val="008F6648"/>
    <w:rsid w:val="008F70BF"/>
    <w:rsid w:val="00900D62"/>
    <w:rsid w:val="00900EFC"/>
    <w:rsid w:val="00903C6E"/>
    <w:rsid w:val="00904FF4"/>
    <w:rsid w:val="00906BF4"/>
    <w:rsid w:val="00906D61"/>
    <w:rsid w:val="009079C9"/>
    <w:rsid w:val="00913B34"/>
    <w:rsid w:val="00913E2F"/>
    <w:rsid w:val="00914691"/>
    <w:rsid w:val="00915DAC"/>
    <w:rsid w:val="0092066C"/>
    <w:rsid w:val="00920F28"/>
    <w:rsid w:val="0092115E"/>
    <w:rsid w:val="0092146F"/>
    <w:rsid w:val="009240AC"/>
    <w:rsid w:val="0093023C"/>
    <w:rsid w:val="00934A94"/>
    <w:rsid w:val="009366F1"/>
    <w:rsid w:val="00942B5B"/>
    <w:rsid w:val="00942F45"/>
    <w:rsid w:val="00950943"/>
    <w:rsid w:val="00950B99"/>
    <w:rsid w:val="00952D40"/>
    <w:rsid w:val="00953461"/>
    <w:rsid w:val="00953FFC"/>
    <w:rsid w:val="0096179E"/>
    <w:rsid w:val="00976BDB"/>
    <w:rsid w:val="00980D52"/>
    <w:rsid w:val="009824E5"/>
    <w:rsid w:val="009838FE"/>
    <w:rsid w:val="00986AC9"/>
    <w:rsid w:val="009930C3"/>
    <w:rsid w:val="009A707B"/>
    <w:rsid w:val="009B07B0"/>
    <w:rsid w:val="009B4960"/>
    <w:rsid w:val="009C0647"/>
    <w:rsid w:val="009C43E4"/>
    <w:rsid w:val="009C45F1"/>
    <w:rsid w:val="009D0A59"/>
    <w:rsid w:val="009D1158"/>
    <w:rsid w:val="009D2A5B"/>
    <w:rsid w:val="009D4A93"/>
    <w:rsid w:val="009D555E"/>
    <w:rsid w:val="009E1DE2"/>
    <w:rsid w:val="009E215A"/>
    <w:rsid w:val="009F3851"/>
    <w:rsid w:val="009F40B4"/>
    <w:rsid w:val="009F4BED"/>
    <w:rsid w:val="009F531F"/>
    <w:rsid w:val="009F6AC2"/>
    <w:rsid w:val="009F7910"/>
    <w:rsid w:val="009F7B94"/>
    <w:rsid w:val="00A00520"/>
    <w:rsid w:val="00A04557"/>
    <w:rsid w:val="00A04BAD"/>
    <w:rsid w:val="00A05283"/>
    <w:rsid w:val="00A058CE"/>
    <w:rsid w:val="00A066DB"/>
    <w:rsid w:val="00A11A32"/>
    <w:rsid w:val="00A134C3"/>
    <w:rsid w:val="00A164F9"/>
    <w:rsid w:val="00A20919"/>
    <w:rsid w:val="00A26A4B"/>
    <w:rsid w:val="00A26AF1"/>
    <w:rsid w:val="00A3136C"/>
    <w:rsid w:val="00A341ED"/>
    <w:rsid w:val="00A4258A"/>
    <w:rsid w:val="00A44195"/>
    <w:rsid w:val="00A46120"/>
    <w:rsid w:val="00A4655E"/>
    <w:rsid w:val="00A514A6"/>
    <w:rsid w:val="00A52125"/>
    <w:rsid w:val="00A55F19"/>
    <w:rsid w:val="00A57B46"/>
    <w:rsid w:val="00A57E15"/>
    <w:rsid w:val="00A57E84"/>
    <w:rsid w:val="00A6569C"/>
    <w:rsid w:val="00A65B85"/>
    <w:rsid w:val="00A6686B"/>
    <w:rsid w:val="00A67FA9"/>
    <w:rsid w:val="00A72E3E"/>
    <w:rsid w:val="00A7452A"/>
    <w:rsid w:val="00A8094D"/>
    <w:rsid w:val="00A824DB"/>
    <w:rsid w:val="00A83182"/>
    <w:rsid w:val="00A87EE2"/>
    <w:rsid w:val="00A9094A"/>
    <w:rsid w:val="00A94D0B"/>
    <w:rsid w:val="00A973AE"/>
    <w:rsid w:val="00AA4D49"/>
    <w:rsid w:val="00AA58B7"/>
    <w:rsid w:val="00AA5C68"/>
    <w:rsid w:val="00AA73BA"/>
    <w:rsid w:val="00AA7A97"/>
    <w:rsid w:val="00AB56AC"/>
    <w:rsid w:val="00AB5D12"/>
    <w:rsid w:val="00AB6647"/>
    <w:rsid w:val="00AC4DC4"/>
    <w:rsid w:val="00AC6678"/>
    <w:rsid w:val="00AD1D1B"/>
    <w:rsid w:val="00AD4E77"/>
    <w:rsid w:val="00AD4FF1"/>
    <w:rsid w:val="00AD5017"/>
    <w:rsid w:val="00AE477D"/>
    <w:rsid w:val="00AF09D9"/>
    <w:rsid w:val="00B01433"/>
    <w:rsid w:val="00B023C5"/>
    <w:rsid w:val="00B05917"/>
    <w:rsid w:val="00B14104"/>
    <w:rsid w:val="00B15B75"/>
    <w:rsid w:val="00B17B51"/>
    <w:rsid w:val="00B211D8"/>
    <w:rsid w:val="00B21F75"/>
    <w:rsid w:val="00B2259D"/>
    <w:rsid w:val="00B23222"/>
    <w:rsid w:val="00B234EC"/>
    <w:rsid w:val="00B263DA"/>
    <w:rsid w:val="00B308EF"/>
    <w:rsid w:val="00B322D3"/>
    <w:rsid w:val="00B32CC1"/>
    <w:rsid w:val="00B33DAF"/>
    <w:rsid w:val="00B4256E"/>
    <w:rsid w:val="00B43B5B"/>
    <w:rsid w:val="00B46439"/>
    <w:rsid w:val="00B50397"/>
    <w:rsid w:val="00B5074D"/>
    <w:rsid w:val="00B51244"/>
    <w:rsid w:val="00B512B8"/>
    <w:rsid w:val="00B5234D"/>
    <w:rsid w:val="00B52869"/>
    <w:rsid w:val="00B57D38"/>
    <w:rsid w:val="00B62AE5"/>
    <w:rsid w:val="00B630F5"/>
    <w:rsid w:val="00B6528F"/>
    <w:rsid w:val="00B662F2"/>
    <w:rsid w:val="00B70DB8"/>
    <w:rsid w:val="00B80D4B"/>
    <w:rsid w:val="00B80EF8"/>
    <w:rsid w:val="00B81E8B"/>
    <w:rsid w:val="00B8223D"/>
    <w:rsid w:val="00B8303E"/>
    <w:rsid w:val="00B85363"/>
    <w:rsid w:val="00B85E7B"/>
    <w:rsid w:val="00B936E0"/>
    <w:rsid w:val="00B95662"/>
    <w:rsid w:val="00B973FC"/>
    <w:rsid w:val="00B97C49"/>
    <w:rsid w:val="00B97ECE"/>
    <w:rsid w:val="00BA104A"/>
    <w:rsid w:val="00BA17B4"/>
    <w:rsid w:val="00BA2BA0"/>
    <w:rsid w:val="00BA3661"/>
    <w:rsid w:val="00BA5707"/>
    <w:rsid w:val="00BA5F62"/>
    <w:rsid w:val="00BA62E3"/>
    <w:rsid w:val="00BA7207"/>
    <w:rsid w:val="00BB03B8"/>
    <w:rsid w:val="00BB2281"/>
    <w:rsid w:val="00BB540C"/>
    <w:rsid w:val="00BB7C52"/>
    <w:rsid w:val="00BC0919"/>
    <w:rsid w:val="00BC303B"/>
    <w:rsid w:val="00BC5027"/>
    <w:rsid w:val="00BD04DE"/>
    <w:rsid w:val="00BD09A7"/>
    <w:rsid w:val="00BD48E2"/>
    <w:rsid w:val="00BE0263"/>
    <w:rsid w:val="00BE72A7"/>
    <w:rsid w:val="00BF36A9"/>
    <w:rsid w:val="00BF4616"/>
    <w:rsid w:val="00C00517"/>
    <w:rsid w:val="00C02A42"/>
    <w:rsid w:val="00C03808"/>
    <w:rsid w:val="00C077DA"/>
    <w:rsid w:val="00C148C6"/>
    <w:rsid w:val="00C15F41"/>
    <w:rsid w:val="00C16AC8"/>
    <w:rsid w:val="00C22E73"/>
    <w:rsid w:val="00C30673"/>
    <w:rsid w:val="00C35AEF"/>
    <w:rsid w:val="00C4026A"/>
    <w:rsid w:val="00C44B26"/>
    <w:rsid w:val="00C45A81"/>
    <w:rsid w:val="00C522FD"/>
    <w:rsid w:val="00C5310A"/>
    <w:rsid w:val="00C53115"/>
    <w:rsid w:val="00C53367"/>
    <w:rsid w:val="00C53E83"/>
    <w:rsid w:val="00C54B9D"/>
    <w:rsid w:val="00C5721E"/>
    <w:rsid w:val="00C64774"/>
    <w:rsid w:val="00C65F21"/>
    <w:rsid w:val="00C66999"/>
    <w:rsid w:val="00C66DC7"/>
    <w:rsid w:val="00C670F1"/>
    <w:rsid w:val="00C76811"/>
    <w:rsid w:val="00C8033C"/>
    <w:rsid w:val="00C81590"/>
    <w:rsid w:val="00C83803"/>
    <w:rsid w:val="00C860B6"/>
    <w:rsid w:val="00C91BD0"/>
    <w:rsid w:val="00C95359"/>
    <w:rsid w:val="00CA525E"/>
    <w:rsid w:val="00CA67DE"/>
    <w:rsid w:val="00CA6F10"/>
    <w:rsid w:val="00CB37F9"/>
    <w:rsid w:val="00CB50B6"/>
    <w:rsid w:val="00CC2442"/>
    <w:rsid w:val="00CD1079"/>
    <w:rsid w:val="00CD23C2"/>
    <w:rsid w:val="00CD266B"/>
    <w:rsid w:val="00CD2876"/>
    <w:rsid w:val="00CD6D81"/>
    <w:rsid w:val="00CE7F02"/>
    <w:rsid w:val="00CF3519"/>
    <w:rsid w:val="00CF4FDD"/>
    <w:rsid w:val="00CF68DF"/>
    <w:rsid w:val="00CF7085"/>
    <w:rsid w:val="00D01238"/>
    <w:rsid w:val="00D03261"/>
    <w:rsid w:val="00D05290"/>
    <w:rsid w:val="00D06B02"/>
    <w:rsid w:val="00D07B8E"/>
    <w:rsid w:val="00D1074F"/>
    <w:rsid w:val="00D16257"/>
    <w:rsid w:val="00D2082C"/>
    <w:rsid w:val="00D22901"/>
    <w:rsid w:val="00D24E4F"/>
    <w:rsid w:val="00D25820"/>
    <w:rsid w:val="00D31624"/>
    <w:rsid w:val="00D316B5"/>
    <w:rsid w:val="00D32E28"/>
    <w:rsid w:val="00D35271"/>
    <w:rsid w:val="00D52ADD"/>
    <w:rsid w:val="00D56C6C"/>
    <w:rsid w:val="00D62FF4"/>
    <w:rsid w:val="00D6339D"/>
    <w:rsid w:val="00D6476E"/>
    <w:rsid w:val="00D6713E"/>
    <w:rsid w:val="00D67BB3"/>
    <w:rsid w:val="00D709D1"/>
    <w:rsid w:val="00D70F34"/>
    <w:rsid w:val="00D7245B"/>
    <w:rsid w:val="00D806AF"/>
    <w:rsid w:val="00D846C8"/>
    <w:rsid w:val="00D84C43"/>
    <w:rsid w:val="00D85042"/>
    <w:rsid w:val="00D877B1"/>
    <w:rsid w:val="00D920BA"/>
    <w:rsid w:val="00D92F77"/>
    <w:rsid w:val="00D9358D"/>
    <w:rsid w:val="00D944AE"/>
    <w:rsid w:val="00D96B8A"/>
    <w:rsid w:val="00DA04DF"/>
    <w:rsid w:val="00DA3CD1"/>
    <w:rsid w:val="00DA7497"/>
    <w:rsid w:val="00DB33AA"/>
    <w:rsid w:val="00DB5EC5"/>
    <w:rsid w:val="00DC0A0D"/>
    <w:rsid w:val="00DC1807"/>
    <w:rsid w:val="00DC2989"/>
    <w:rsid w:val="00DC52B4"/>
    <w:rsid w:val="00DC5B78"/>
    <w:rsid w:val="00DC620E"/>
    <w:rsid w:val="00DD18F9"/>
    <w:rsid w:val="00DD1A53"/>
    <w:rsid w:val="00DD3657"/>
    <w:rsid w:val="00DD410E"/>
    <w:rsid w:val="00DD69EF"/>
    <w:rsid w:val="00DD79D1"/>
    <w:rsid w:val="00DE21AA"/>
    <w:rsid w:val="00DE36E3"/>
    <w:rsid w:val="00DE4815"/>
    <w:rsid w:val="00DE687F"/>
    <w:rsid w:val="00DE6AD4"/>
    <w:rsid w:val="00DE77EF"/>
    <w:rsid w:val="00DF2F71"/>
    <w:rsid w:val="00DF6841"/>
    <w:rsid w:val="00E0416E"/>
    <w:rsid w:val="00E05C98"/>
    <w:rsid w:val="00E067C8"/>
    <w:rsid w:val="00E06B6F"/>
    <w:rsid w:val="00E070CA"/>
    <w:rsid w:val="00E07289"/>
    <w:rsid w:val="00E121F1"/>
    <w:rsid w:val="00E13FE5"/>
    <w:rsid w:val="00E157C7"/>
    <w:rsid w:val="00E168BC"/>
    <w:rsid w:val="00E1721E"/>
    <w:rsid w:val="00E17D36"/>
    <w:rsid w:val="00E207D2"/>
    <w:rsid w:val="00E20D1F"/>
    <w:rsid w:val="00E251D5"/>
    <w:rsid w:val="00E30A24"/>
    <w:rsid w:val="00E335FF"/>
    <w:rsid w:val="00E37357"/>
    <w:rsid w:val="00E403C2"/>
    <w:rsid w:val="00E42669"/>
    <w:rsid w:val="00E432D1"/>
    <w:rsid w:val="00E539DE"/>
    <w:rsid w:val="00E54F9E"/>
    <w:rsid w:val="00E5618B"/>
    <w:rsid w:val="00E562FB"/>
    <w:rsid w:val="00E574E7"/>
    <w:rsid w:val="00E6075F"/>
    <w:rsid w:val="00E60D91"/>
    <w:rsid w:val="00E6196B"/>
    <w:rsid w:val="00E6327F"/>
    <w:rsid w:val="00E669F4"/>
    <w:rsid w:val="00E66A15"/>
    <w:rsid w:val="00E7486B"/>
    <w:rsid w:val="00E751A8"/>
    <w:rsid w:val="00E7645E"/>
    <w:rsid w:val="00E82B50"/>
    <w:rsid w:val="00E83597"/>
    <w:rsid w:val="00E87B59"/>
    <w:rsid w:val="00E90C91"/>
    <w:rsid w:val="00E92B40"/>
    <w:rsid w:val="00E930A8"/>
    <w:rsid w:val="00E93DA2"/>
    <w:rsid w:val="00E940F5"/>
    <w:rsid w:val="00E9475D"/>
    <w:rsid w:val="00E952DA"/>
    <w:rsid w:val="00E9744D"/>
    <w:rsid w:val="00E97F85"/>
    <w:rsid w:val="00EA1B5F"/>
    <w:rsid w:val="00EA2D24"/>
    <w:rsid w:val="00EA50DB"/>
    <w:rsid w:val="00EA6D85"/>
    <w:rsid w:val="00EB17AD"/>
    <w:rsid w:val="00EB60B6"/>
    <w:rsid w:val="00EB6A8E"/>
    <w:rsid w:val="00EB71C4"/>
    <w:rsid w:val="00EC1167"/>
    <w:rsid w:val="00EC1726"/>
    <w:rsid w:val="00EC35D7"/>
    <w:rsid w:val="00EC40A6"/>
    <w:rsid w:val="00EC5429"/>
    <w:rsid w:val="00EC587D"/>
    <w:rsid w:val="00ED40B3"/>
    <w:rsid w:val="00ED4799"/>
    <w:rsid w:val="00ED51BE"/>
    <w:rsid w:val="00EE3A01"/>
    <w:rsid w:val="00EF1A8B"/>
    <w:rsid w:val="00EF3AEA"/>
    <w:rsid w:val="00EF4530"/>
    <w:rsid w:val="00EF46F6"/>
    <w:rsid w:val="00EF504B"/>
    <w:rsid w:val="00EF5417"/>
    <w:rsid w:val="00EF638E"/>
    <w:rsid w:val="00F0054C"/>
    <w:rsid w:val="00F062C4"/>
    <w:rsid w:val="00F071D4"/>
    <w:rsid w:val="00F079AF"/>
    <w:rsid w:val="00F12DCC"/>
    <w:rsid w:val="00F14228"/>
    <w:rsid w:val="00F14D6F"/>
    <w:rsid w:val="00F168F9"/>
    <w:rsid w:val="00F21787"/>
    <w:rsid w:val="00F24CC4"/>
    <w:rsid w:val="00F250FE"/>
    <w:rsid w:val="00F27103"/>
    <w:rsid w:val="00F31D14"/>
    <w:rsid w:val="00F326C8"/>
    <w:rsid w:val="00F331DF"/>
    <w:rsid w:val="00F33C9C"/>
    <w:rsid w:val="00F35357"/>
    <w:rsid w:val="00F366C4"/>
    <w:rsid w:val="00F40092"/>
    <w:rsid w:val="00F40790"/>
    <w:rsid w:val="00F40E48"/>
    <w:rsid w:val="00F441D3"/>
    <w:rsid w:val="00F50E6D"/>
    <w:rsid w:val="00F54433"/>
    <w:rsid w:val="00F54B07"/>
    <w:rsid w:val="00F54D3C"/>
    <w:rsid w:val="00F5531B"/>
    <w:rsid w:val="00F5636F"/>
    <w:rsid w:val="00F602D6"/>
    <w:rsid w:val="00F60487"/>
    <w:rsid w:val="00F6058D"/>
    <w:rsid w:val="00F6200D"/>
    <w:rsid w:val="00F62CE4"/>
    <w:rsid w:val="00F6471C"/>
    <w:rsid w:val="00F6608A"/>
    <w:rsid w:val="00F67B26"/>
    <w:rsid w:val="00F73040"/>
    <w:rsid w:val="00F7418D"/>
    <w:rsid w:val="00F75287"/>
    <w:rsid w:val="00F76C17"/>
    <w:rsid w:val="00F77FAE"/>
    <w:rsid w:val="00F82F17"/>
    <w:rsid w:val="00F82FDB"/>
    <w:rsid w:val="00F84F29"/>
    <w:rsid w:val="00F8556C"/>
    <w:rsid w:val="00F92D72"/>
    <w:rsid w:val="00F97355"/>
    <w:rsid w:val="00F97417"/>
    <w:rsid w:val="00F9779C"/>
    <w:rsid w:val="00F977CD"/>
    <w:rsid w:val="00F97D17"/>
    <w:rsid w:val="00FB1263"/>
    <w:rsid w:val="00FB2E23"/>
    <w:rsid w:val="00FB30C6"/>
    <w:rsid w:val="00FC2247"/>
    <w:rsid w:val="00FC3CBD"/>
    <w:rsid w:val="00FC67C0"/>
    <w:rsid w:val="00FD07D9"/>
    <w:rsid w:val="00FD5F0D"/>
    <w:rsid w:val="00FE320D"/>
    <w:rsid w:val="00FE6385"/>
    <w:rsid w:val="00FE6902"/>
    <w:rsid w:val="00FF26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021F"/>
  <w15:docId w15:val="{BC9A0E22-F90D-4F9B-A8D1-65052823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524"/>
    <w:pPr>
      <w:widowControl w:val="0"/>
      <w:spacing w:line="360" w:lineRule="auto"/>
      <w:jc w:val="both"/>
    </w:pPr>
    <w:rPr>
      <w:rFonts w:ascii="Arial" w:hAnsi="Arial" w:cs="Arial"/>
      <w:spacing w:val="-3"/>
      <w:sz w:val="24"/>
      <w:szCs w:val="24"/>
      <w:lang w:val="en-GB" w:eastAsia="en-US"/>
    </w:rPr>
  </w:style>
  <w:style w:type="paragraph" w:styleId="Heading1">
    <w:name w:val="heading 1"/>
    <w:basedOn w:val="Normal"/>
    <w:next w:val="Normal"/>
    <w:link w:val="Heading1Char"/>
    <w:uiPriority w:val="9"/>
    <w:qFormat/>
    <w:rsid w:val="00E751A8"/>
    <w:pPr>
      <w:numPr>
        <w:numId w:val="1"/>
      </w:numPr>
      <w:ind w:left="0" w:firstLine="0"/>
      <w:outlineLvl w:val="0"/>
    </w:pPr>
  </w:style>
  <w:style w:type="paragraph" w:styleId="Heading2">
    <w:name w:val="heading 2"/>
    <w:basedOn w:val="Normal"/>
    <w:next w:val="Normal"/>
    <w:link w:val="Heading2Char"/>
    <w:qFormat/>
    <w:rsid w:val="00257D35"/>
    <w:pPr>
      <w:numPr>
        <w:numId w:val="4"/>
      </w:numPr>
      <w:ind w:left="720" w:firstLine="0"/>
      <w:outlineLvl w:val="1"/>
    </w:pPr>
  </w:style>
  <w:style w:type="paragraph" w:styleId="Heading3">
    <w:name w:val="heading 3"/>
    <w:basedOn w:val="Normal"/>
    <w:next w:val="Normal"/>
    <w:qFormat/>
    <w:rsid w:val="0072728C"/>
    <w:pPr>
      <w:numPr>
        <w:numId w:val="5"/>
      </w:numPr>
      <w:ind w:left="1440" w:firstLine="0"/>
      <w:outlineLvl w:val="2"/>
    </w:pPr>
  </w:style>
  <w:style w:type="paragraph" w:styleId="Heading4">
    <w:name w:val="heading 4"/>
    <w:basedOn w:val="Normal"/>
    <w:next w:val="Normal"/>
    <w:qFormat/>
    <w:rsid w:val="00942F45"/>
    <w:pPr>
      <w:numPr>
        <w:ilvl w:val="3"/>
        <w:numId w:val="1"/>
      </w:numPr>
      <w:outlineLvl w:val="3"/>
    </w:pPr>
  </w:style>
  <w:style w:type="paragraph" w:styleId="Heading5">
    <w:name w:val="heading 5"/>
    <w:basedOn w:val="Normal"/>
    <w:next w:val="Normal"/>
    <w:qFormat/>
    <w:rsid w:val="00E7645E"/>
    <w:pPr>
      <w:numPr>
        <w:ilvl w:val="4"/>
        <w:numId w:val="1"/>
      </w:numPr>
      <w:outlineLvl w:val="4"/>
    </w:pPr>
  </w:style>
  <w:style w:type="paragraph" w:styleId="Heading6">
    <w:name w:val="heading 6"/>
    <w:basedOn w:val="Normal"/>
    <w:next w:val="Normal"/>
    <w:qFormat/>
    <w:rsid w:val="00E7645E"/>
    <w:pPr>
      <w:numPr>
        <w:ilvl w:val="5"/>
        <w:numId w:val="1"/>
      </w:numPr>
      <w:outlineLvl w:val="5"/>
    </w:pPr>
    <w:rPr>
      <w:i/>
      <w:sz w:val="22"/>
    </w:rPr>
  </w:style>
  <w:style w:type="paragraph" w:styleId="Heading7">
    <w:name w:val="heading 7"/>
    <w:basedOn w:val="Normal"/>
    <w:next w:val="Normal"/>
    <w:qFormat/>
    <w:rsid w:val="00E7645E"/>
    <w:pPr>
      <w:numPr>
        <w:ilvl w:val="6"/>
        <w:numId w:val="1"/>
      </w:numPr>
      <w:outlineLvl w:val="6"/>
    </w:pPr>
  </w:style>
  <w:style w:type="paragraph" w:styleId="Heading8">
    <w:name w:val="heading 8"/>
    <w:basedOn w:val="Normal"/>
    <w:next w:val="Normal"/>
    <w:qFormat/>
    <w:rsid w:val="00E7645E"/>
    <w:pPr>
      <w:numPr>
        <w:ilvl w:val="7"/>
        <w:numId w:val="1"/>
      </w:numPr>
      <w:outlineLvl w:val="7"/>
    </w:pPr>
    <w:rPr>
      <w:i/>
    </w:rPr>
  </w:style>
  <w:style w:type="paragraph" w:styleId="Heading9">
    <w:name w:val="heading 9"/>
    <w:basedOn w:val="Normal"/>
    <w:next w:val="Normal"/>
    <w:qFormat/>
    <w:rsid w:val="00E7645E"/>
    <w:pPr>
      <w:numPr>
        <w:ilvl w:val="8"/>
        <w:numId w:val="1"/>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E7645E"/>
  </w:style>
  <w:style w:type="paragraph" w:styleId="EnvelopeReturn">
    <w:name w:val="envelope return"/>
    <w:basedOn w:val="Normal"/>
    <w:semiHidden/>
    <w:rsid w:val="00E7645E"/>
    <w:rPr>
      <w:sz w:val="16"/>
    </w:rPr>
  </w:style>
  <w:style w:type="paragraph" w:styleId="Footer">
    <w:name w:val="footer"/>
    <w:basedOn w:val="Normal"/>
    <w:semiHidden/>
    <w:rsid w:val="00E7645E"/>
    <w:pPr>
      <w:tabs>
        <w:tab w:val="center" w:pos="4320"/>
        <w:tab w:val="right" w:pos="8640"/>
      </w:tabs>
    </w:pPr>
  </w:style>
  <w:style w:type="paragraph" w:styleId="Header">
    <w:name w:val="header"/>
    <w:basedOn w:val="Normal"/>
    <w:semiHidden/>
    <w:rsid w:val="00E7645E"/>
    <w:pPr>
      <w:tabs>
        <w:tab w:val="center" w:pos="4320"/>
        <w:tab w:val="right" w:pos="8640"/>
      </w:tabs>
    </w:pPr>
  </w:style>
  <w:style w:type="paragraph" w:styleId="ListBullet">
    <w:name w:val="List Bullet"/>
    <w:basedOn w:val="Normal"/>
    <w:next w:val="Normal"/>
    <w:autoRedefine/>
    <w:semiHidden/>
    <w:rsid w:val="00E7645E"/>
    <w:pPr>
      <w:spacing w:after="360"/>
      <w:ind w:left="357" w:hanging="357"/>
    </w:pPr>
  </w:style>
  <w:style w:type="paragraph" w:styleId="ListNumber">
    <w:name w:val="List Number"/>
    <w:basedOn w:val="Normal"/>
    <w:semiHidden/>
    <w:rsid w:val="00E7645E"/>
    <w:pPr>
      <w:ind w:left="360" w:hanging="360"/>
    </w:pPr>
  </w:style>
  <w:style w:type="character" w:styleId="PageNumber">
    <w:name w:val="page number"/>
    <w:basedOn w:val="DefaultParagraphFont"/>
    <w:semiHidden/>
    <w:rsid w:val="00E7645E"/>
    <w:rPr>
      <w:rFonts w:ascii="Arial" w:hAnsi="Arial"/>
    </w:rPr>
  </w:style>
  <w:style w:type="paragraph" w:styleId="Subtitle">
    <w:name w:val="Subtitle"/>
    <w:basedOn w:val="Normal"/>
    <w:qFormat/>
    <w:rsid w:val="00E7645E"/>
    <w:pPr>
      <w:spacing w:after="60"/>
      <w:jc w:val="center"/>
    </w:pPr>
    <w:rPr>
      <w:i/>
    </w:rPr>
  </w:style>
  <w:style w:type="paragraph" w:styleId="BodyText">
    <w:name w:val="Body Text"/>
    <w:basedOn w:val="Normal"/>
    <w:link w:val="BodyTextChar"/>
    <w:rsid w:val="00853524"/>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853524"/>
    <w:rPr>
      <w:sz w:val="24"/>
      <w:szCs w:val="24"/>
      <w:lang w:val="en-GB" w:eastAsia="en-US"/>
    </w:rPr>
  </w:style>
  <w:style w:type="paragraph" w:styleId="BodyTextIndent">
    <w:name w:val="Body Text Indent"/>
    <w:basedOn w:val="Normal"/>
    <w:link w:val="BodyTextIndentChar"/>
    <w:rsid w:val="00853524"/>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853524"/>
    <w:rPr>
      <w:sz w:val="24"/>
      <w:szCs w:val="24"/>
      <w:lang w:val="en-GB" w:eastAsia="en-US"/>
    </w:rPr>
  </w:style>
  <w:style w:type="paragraph" w:styleId="FootnoteText">
    <w:name w:val="footnote text"/>
    <w:basedOn w:val="Normal"/>
    <w:link w:val="FootnoteTextChar"/>
    <w:uiPriority w:val="99"/>
    <w:rsid w:val="00853524"/>
    <w:rPr>
      <w:sz w:val="20"/>
      <w:szCs w:val="20"/>
    </w:rPr>
  </w:style>
  <w:style w:type="character" w:customStyle="1" w:styleId="FootnoteTextChar">
    <w:name w:val="Footnote Text Char"/>
    <w:basedOn w:val="DefaultParagraphFont"/>
    <w:link w:val="FootnoteText"/>
    <w:uiPriority w:val="99"/>
    <w:rsid w:val="00853524"/>
    <w:rPr>
      <w:rFonts w:ascii="Arial" w:hAnsi="Arial" w:cs="Arial"/>
      <w:spacing w:val="-3"/>
      <w:lang w:val="en-GB" w:eastAsia="en-US"/>
    </w:rPr>
  </w:style>
  <w:style w:type="character" w:styleId="FootnoteReference">
    <w:name w:val="footnote reference"/>
    <w:basedOn w:val="DefaultParagraphFont"/>
    <w:uiPriority w:val="99"/>
    <w:rsid w:val="00853524"/>
    <w:rPr>
      <w:vertAlign w:val="superscript"/>
    </w:rPr>
  </w:style>
  <w:style w:type="character" w:customStyle="1" w:styleId="Heading1Char">
    <w:name w:val="Heading 1 Char"/>
    <w:basedOn w:val="DefaultParagraphFont"/>
    <w:link w:val="Heading1"/>
    <w:uiPriority w:val="9"/>
    <w:rsid w:val="00E751A8"/>
    <w:rPr>
      <w:rFonts w:ascii="Arial" w:hAnsi="Arial" w:cs="Arial"/>
      <w:spacing w:val="-3"/>
      <w:sz w:val="24"/>
      <w:szCs w:val="24"/>
      <w:lang w:eastAsia="en-US"/>
    </w:rPr>
  </w:style>
  <w:style w:type="character" w:customStyle="1" w:styleId="Heading2Char">
    <w:name w:val="Heading 2 Char"/>
    <w:basedOn w:val="DefaultParagraphFont"/>
    <w:link w:val="Heading2"/>
    <w:rsid w:val="00257D35"/>
    <w:rPr>
      <w:rFonts w:ascii="Arial" w:hAnsi="Arial" w:cs="Arial"/>
      <w:spacing w:val="-3"/>
      <w:sz w:val="24"/>
      <w:szCs w:val="24"/>
      <w:lang w:val="en-GB" w:eastAsia="en-US"/>
    </w:rPr>
  </w:style>
  <w:style w:type="paragraph" w:styleId="BalloonText">
    <w:name w:val="Balloon Text"/>
    <w:basedOn w:val="Normal"/>
    <w:link w:val="BalloonTextChar"/>
    <w:uiPriority w:val="99"/>
    <w:semiHidden/>
    <w:unhideWhenUsed/>
    <w:rsid w:val="008E3D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D66"/>
    <w:rPr>
      <w:rFonts w:ascii="Segoe UI" w:hAnsi="Segoe UI" w:cs="Segoe UI"/>
      <w:spacing w:val="-3"/>
      <w:sz w:val="18"/>
      <w:szCs w:val="18"/>
      <w:lang w:val="en-GB" w:eastAsia="en-US"/>
    </w:rPr>
  </w:style>
  <w:style w:type="paragraph" w:styleId="ListParagraph">
    <w:name w:val="List Paragraph"/>
    <w:basedOn w:val="Normal"/>
    <w:uiPriority w:val="34"/>
    <w:qFormat/>
    <w:rsid w:val="004C574D"/>
    <w:pPr>
      <w:widowControl/>
      <w:spacing w:after="200"/>
      <w:ind w:left="720"/>
      <w:contextualSpacing/>
    </w:pPr>
    <w:rPr>
      <w:rFonts w:cs="Times New Roman"/>
      <w:spacing w:val="0"/>
      <w:szCs w:val="22"/>
      <w:lang w:val="en-US"/>
    </w:rPr>
  </w:style>
  <w:style w:type="paragraph" w:styleId="NormalWeb">
    <w:name w:val="Normal (Web)"/>
    <w:basedOn w:val="Normal"/>
    <w:uiPriority w:val="99"/>
    <w:unhideWhenUsed/>
    <w:rsid w:val="00135CE1"/>
    <w:pPr>
      <w:widowControl/>
      <w:spacing w:before="100" w:beforeAutospacing="1" w:after="100" w:afterAutospacing="1" w:line="240" w:lineRule="auto"/>
      <w:jc w:val="left"/>
    </w:pPr>
    <w:rPr>
      <w:rFonts w:ascii="Times New Roman" w:hAnsi="Times New Roman" w:cs="Times New Roman"/>
      <w:spacing w:val="0"/>
    </w:rPr>
  </w:style>
  <w:style w:type="paragraph" w:customStyle="1" w:styleId="Default">
    <w:name w:val="Default"/>
    <w:rsid w:val="00257D35"/>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257D35"/>
    <w:rPr>
      <w:color w:val="auto"/>
    </w:rPr>
  </w:style>
  <w:style w:type="paragraph" w:customStyle="1" w:styleId="CM11">
    <w:name w:val="CM11"/>
    <w:basedOn w:val="Default"/>
    <w:next w:val="Default"/>
    <w:uiPriority w:val="99"/>
    <w:rsid w:val="00257D35"/>
    <w:rPr>
      <w:color w:val="auto"/>
    </w:rPr>
  </w:style>
  <w:style w:type="paragraph" w:customStyle="1" w:styleId="CM12">
    <w:name w:val="CM12"/>
    <w:basedOn w:val="Default"/>
    <w:next w:val="Default"/>
    <w:uiPriority w:val="99"/>
    <w:rsid w:val="00257D35"/>
    <w:rPr>
      <w:color w:val="auto"/>
    </w:rPr>
  </w:style>
  <w:style w:type="paragraph" w:customStyle="1" w:styleId="CM3">
    <w:name w:val="CM3"/>
    <w:basedOn w:val="Default"/>
    <w:next w:val="Default"/>
    <w:uiPriority w:val="99"/>
    <w:rsid w:val="00257D35"/>
    <w:pPr>
      <w:spacing w:line="413" w:lineRule="atLeast"/>
    </w:pPr>
    <w:rPr>
      <w:color w:val="auto"/>
    </w:rPr>
  </w:style>
  <w:style w:type="paragraph" w:customStyle="1" w:styleId="CM13">
    <w:name w:val="CM13"/>
    <w:basedOn w:val="Default"/>
    <w:next w:val="Default"/>
    <w:uiPriority w:val="99"/>
    <w:rsid w:val="00257D35"/>
    <w:rPr>
      <w:color w:val="auto"/>
    </w:rPr>
  </w:style>
  <w:style w:type="paragraph" w:customStyle="1" w:styleId="CM5">
    <w:name w:val="CM5"/>
    <w:basedOn w:val="Default"/>
    <w:next w:val="Default"/>
    <w:uiPriority w:val="99"/>
    <w:rsid w:val="00257D35"/>
    <w:rPr>
      <w:color w:val="auto"/>
    </w:rPr>
  </w:style>
  <w:style w:type="paragraph" w:customStyle="1" w:styleId="CM6">
    <w:name w:val="CM6"/>
    <w:basedOn w:val="Default"/>
    <w:next w:val="Default"/>
    <w:uiPriority w:val="99"/>
    <w:rsid w:val="00257D35"/>
    <w:pPr>
      <w:spacing w:line="416" w:lineRule="atLeast"/>
    </w:pPr>
    <w:rPr>
      <w:color w:val="auto"/>
    </w:rPr>
  </w:style>
  <w:style w:type="paragraph" w:customStyle="1" w:styleId="CM15">
    <w:name w:val="CM15"/>
    <w:basedOn w:val="Default"/>
    <w:next w:val="Default"/>
    <w:uiPriority w:val="99"/>
    <w:rsid w:val="00257D35"/>
    <w:rPr>
      <w:color w:val="auto"/>
    </w:rPr>
  </w:style>
  <w:style w:type="paragraph" w:customStyle="1" w:styleId="CM9">
    <w:name w:val="CM9"/>
    <w:basedOn w:val="Default"/>
    <w:next w:val="Default"/>
    <w:uiPriority w:val="99"/>
    <w:rsid w:val="00257D35"/>
    <w:pPr>
      <w:spacing w:line="416" w:lineRule="atLeast"/>
    </w:pPr>
    <w:rPr>
      <w:color w:val="auto"/>
    </w:rPr>
  </w:style>
  <w:style w:type="paragraph" w:customStyle="1" w:styleId="CM14">
    <w:name w:val="CM14"/>
    <w:basedOn w:val="Default"/>
    <w:next w:val="Default"/>
    <w:uiPriority w:val="99"/>
    <w:rsid w:val="00257D35"/>
    <w:rPr>
      <w:color w:val="auto"/>
    </w:rPr>
  </w:style>
  <w:style w:type="paragraph" w:customStyle="1" w:styleId="CM10">
    <w:name w:val="CM10"/>
    <w:basedOn w:val="Default"/>
    <w:next w:val="Default"/>
    <w:uiPriority w:val="99"/>
    <w:rsid w:val="00257D35"/>
    <w:pPr>
      <w:spacing w:line="413" w:lineRule="atLeast"/>
    </w:pPr>
    <w:rPr>
      <w:color w:val="auto"/>
    </w:rPr>
  </w:style>
  <w:style w:type="paragraph" w:customStyle="1" w:styleId="CM16">
    <w:name w:val="CM16"/>
    <w:basedOn w:val="Default"/>
    <w:next w:val="Default"/>
    <w:uiPriority w:val="99"/>
    <w:rsid w:val="00257D35"/>
    <w:rPr>
      <w:color w:val="auto"/>
    </w:rPr>
  </w:style>
  <w:style w:type="character" w:styleId="CommentReference">
    <w:name w:val="annotation reference"/>
    <w:basedOn w:val="DefaultParagraphFont"/>
    <w:uiPriority w:val="99"/>
    <w:semiHidden/>
    <w:unhideWhenUsed/>
    <w:rsid w:val="002D035C"/>
    <w:rPr>
      <w:sz w:val="16"/>
      <w:szCs w:val="16"/>
    </w:rPr>
  </w:style>
  <w:style w:type="paragraph" w:styleId="CommentText">
    <w:name w:val="annotation text"/>
    <w:basedOn w:val="Normal"/>
    <w:link w:val="CommentTextChar"/>
    <w:uiPriority w:val="99"/>
    <w:semiHidden/>
    <w:unhideWhenUsed/>
    <w:rsid w:val="002D035C"/>
    <w:pPr>
      <w:spacing w:line="240" w:lineRule="auto"/>
    </w:pPr>
    <w:rPr>
      <w:sz w:val="20"/>
      <w:szCs w:val="20"/>
    </w:rPr>
  </w:style>
  <w:style w:type="character" w:customStyle="1" w:styleId="CommentTextChar">
    <w:name w:val="Comment Text Char"/>
    <w:basedOn w:val="DefaultParagraphFont"/>
    <w:link w:val="CommentText"/>
    <w:uiPriority w:val="99"/>
    <w:semiHidden/>
    <w:rsid w:val="002D035C"/>
    <w:rPr>
      <w:rFonts w:ascii="Arial" w:hAnsi="Arial" w:cs="Arial"/>
      <w:spacing w:val="-3"/>
      <w:lang w:val="en-GB" w:eastAsia="en-US"/>
    </w:rPr>
  </w:style>
  <w:style w:type="paragraph" w:styleId="CommentSubject">
    <w:name w:val="annotation subject"/>
    <w:basedOn w:val="CommentText"/>
    <w:next w:val="CommentText"/>
    <w:link w:val="CommentSubjectChar"/>
    <w:uiPriority w:val="99"/>
    <w:semiHidden/>
    <w:unhideWhenUsed/>
    <w:rsid w:val="002D035C"/>
    <w:rPr>
      <w:b/>
      <w:bCs/>
    </w:rPr>
  </w:style>
  <w:style w:type="character" w:customStyle="1" w:styleId="CommentSubjectChar">
    <w:name w:val="Comment Subject Char"/>
    <w:basedOn w:val="CommentTextChar"/>
    <w:link w:val="CommentSubject"/>
    <w:uiPriority w:val="99"/>
    <w:semiHidden/>
    <w:rsid w:val="002D035C"/>
    <w:rPr>
      <w:rFonts w:ascii="Arial" w:hAnsi="Arial" w:cs="Arial"/>
      <w:b/>
      <w:bCs/>
      <w:spacing w:val="-3"/>
      <w:lang w:val="en-GB" w:eastAsia="en-US"/>
    </w:rPr>
  </w:style>
  <w:style w:type="character" w:customStyle="1" w:styleId="footnoteanchor">
    <w:name w:val="footnoteanchor"/>
    <w:basedOn w:val="DefaultParagraphFont"/>
    <w:rsid w:val="00934A94"/>
  </w:style>
  <w:style w:type="character" w:styleId="Hyperlink">
    <w:name w:val="Hyperlink"/>
    <w:basedOn w:val="DefaultParagraphFont"/>
    <w:uiPriority w:val="99"/>
    <w:semiHidden/>
    <w:unhideWhenUsed/>
    <w:rsid w:val="00934A94"/>
    <w:rPr>
      <w:color w:val="0000FF"/>
      <w:u w:val="single"/>
    </w:rPr>
  </w:style>
  <w:style w:type="character" w:customStyle="1" w:styleId="mc">
    <w:name w:val="mc"/>
    <w:basedOn w:val="DefaultParagraphFont"/>
    <w:rsid w:val="00934A94"/>
  </w:style>
  <w:style w:type="paragraph" w:styleId="Revision">
    <w:name w:val="Revision"/>
    <w:hidden/>
    <w:uiPriority w:val="99"/>
    <w:semiHidden/>
    <w:rsid w:val="009B07B0"/>
    <w:rPr>
      <w:rFonts w:ascii="Arial" w:hAnsi="Arial" w:cs="Arial"/>
      <w:spacing w:val="-3"/>
      <w:sz w:val="24"/>
      <w:szCs w:val="24"/>
      <w:lang w:val="en-GB" w:eastAsia="en-US"/>
    </w:rPr>
  </w:style>
  <w:style w:type="paragraph" w:styleId="NoSpacing">
    <w:name w:val="No Spacing"/>
    <w:uiPriority w:val="1"/>
    <w:qFormat/>
    <w:rsid w:val="00883895"/>
    <w:pPr>
      <w:widowControl w:val="0"/>
      <w:jc w:val="both"/>
    </w:pPr>
    <w:rPr>
      <w:rFonts w:ascii="Arial" w:hAnsi="Arial" w:cs="Arial"/>
      <w:spacing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7911">
      <w:bodyDiv w:val="1"/>
      <w:marLeft w:val="0"/>
      <w:marRight w:val="0"/>
      <w:marTop w:val="0"/>
      <w:marBottom w:val="0"/>
      <w:divBdr>
        <w:top w:val="none" w:sz="0" w:space="0" w:color="auto"/>
        <w:left w:val="none" w:sz="0" w:space="0" w:color="auto"/>
        <w:bottom w:val="none" w:sz="0" w:space="0" w:color="auto"/>
        <w:right w:val="none" w:sz="0" w:space="0" w:color="auto"/>
      </w:divBdr>
      <w:divsChild>
        <w:div w:id="404643754">
          <w:blockQuote w:val="1"/>
          <w:marLeft w:val="600"/>
          <w:marRight w:val="0"/>
          <w:marTop w:val="0"/>
          <w:marBottom w:val="0"/>
          <w:divBdr>
            <w:top w:val="none" w:sz="0" w:space="0" w:color="auto"/>
            <w:left w:val="none" w:sz="0" w:space="0" w:color="auto"/>
            <w:bottom w:val="none" w:sz="0" w:space="0" w:color="auto"/>
            <w:right w:val="none" w:sz="0" w:space="0" w:color="auto"/>
          </w:divBdr>
        </w:div>
        <w:div w:id="748620474">
          <w:blockQuote w:val="1"/>
          <w:marLeft w:val="600"/>
          <w:marRight w:val="0"/>
          <w:marTop w:val="0"/>
          <w:marBottom w:val="0"/>
          <w:divBdr>
            <w:top w:val="none" w:sz="0" w:space="0" w:color="auto"/>
            <w:left w:val="none" w:sz="0" w:space="0" w:color="auto"/>
            <w:bottom w:val="none" w:sz="0" w:space="0" w:color="auto"/>
            <w:right w:val="none" w:sz="0" w:space="0" w:color="auto"/>
          </w:divBdr>
        </w:div>
        <w:div w:id="4518036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82766244">
      <w:bodyDiv w:val="1"/>
      <w:marLeft w:val="0"/>
      <w:marRight w:val="0"/>
      <w:marTop w:val="0"/>
      <w:marBottom w:val="0"/>
      <w:divBdr>
        <w:top w:val="none" w:sz="0" w:space="0" w:color="auto"/>
        <w:left w:val="none" w:sz="0" w:space="0" w:color="auto"/>
        <w:bottom w:val="none" w:sz="0" w:space="0" w:color="auto"/>
        <w:right w:val="none" w:sz="0" w:space="0" w:color="auto"/>
      </w:divBdr>
    </w:div>
    <w:div w:id="1772244189">
      <w:bodyDiv w:val="1"/>
      <w:marLeft w:val="0"/>
      <w:marRight w:val="0"/>
      <w:marTop w:val="0"/>
      <w:marBottom w:val="0"/>
      <w:divBdr>
        <w:top w:val="none" w:sz="0" w:space="0" w:color="auto"/>
        <w:left w:val="none" w:sz="0" w:space="0" w:color="auto"/>
        <w:bottom w:val="none" w:sz="0" w:space="0" w:color="auto"/>
        <w:right w:val="none" w:sz="0" w:space="0" w:color="auto"/>
      </w:divBdr>
    </w:div>
    <w:div w:id="2100439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Documents\Custom%20Office%20Templates\Pleadings\Affidav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2023-09-17T18:30:00+00:00</Judgment_x0020_Date>
    <Year xmlns="aec0a7e9-5f5c-4ba9-87b2-85cfc8a38b86">2023</Year>
  </documentManagement>
</p:properties>
</file>

<file path=customXml/itemProps1.xml><?xml version="1.0" encoding="utf-8"?>
<ds:datastoreItem xmlns:ds="http://schemas.openxmlformats.org/officeDocument/2006/customXml" ds:itemID="{433DF9B9-3B17-4164-B80F-40CF1C460784}">
  <ds:schemaRefs>
    <ds:schemaRef ds:uri="http://schemas.microsoft.com/sharepoint/v3/contenttype/forms"/>
  </ds:schemaRefs>
</ds:datastoreItem>
</file>

<file path=customXml/itemProps2.xml><?xml version="1.0" encoding="utf-8"?>
<ds:datastoreItem xmlns:ds="http://schemas.openxmlformats.org/officeDocument/2006/customXml" ds:itemID="{C30C5BE8-1052-4652-A3E9-21C89890D4EC}">
  <ds:schemaRefs>
    <ds:schemaRef ds:uri="http://schemas.openxmlformats.org/officeDocument/2006/bibliography"/>
  </ds:schemaRefs>
</ds:datastoreItem>
</file>

<file path=customXml/itemProps3.xml><?xml version="1.0" encoding="utf-8"?>
<ds:datastoreItem xmlns:ds="http://schemas.openxmlformats.org/officeDocument/2006/customXml" ds:itemID="{AF796C4D-EBA9-4616-9195-5A59EBF02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ec0a7e9-5f5c-4ba9-87b2-85cfc8a38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5291B9-C0D0-4E29-868A-9F8BE6CF1B8B}">
  <ds:schemaRefs>
    <ds:schemaRef ds:uri="http://schemas.microsoft.com/office/2006/metadata/properties"/>
    <ds:schemaRef ds:uri="http://schemas.microsoft.com/office/infopath/2007/PartnerControls"/>
    <ds:schemaRef ds:uri="17a0f4bd-1162-49ac-b85f-dfe96a90bc01"/>
    <ds:schemaRef ds:uri="aec0a7e9-5f5c-4ba9-87b2-85cfc8a38b86"/>
  </ds:schemaRefs>
</ds:datastoreItem>
</file>

<file path=docProps/app.xml><?xml version="1.0" encoding="utf-8"?>
<Properties xmlns="http://schemas.openxmlformats.org/officeDocument/2006/extended-properties" xmlns:vt="http://schemas.openxmlformats.org/officeDocument/2006/docPropsVTypes">
  <Template>Affidavit</Template>
  <TotalTime>0</TotalTime>
  <Pages>10</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Shikemeni v TransNamib Holding (HC-MD-LAB-APP-AAA-2020-00069) [2023] NALCMD 45 (18 September 2023)</dc:title>
  <dc:subject/>
  <dc:creator>Monica</dc:creator>
  <cp:keywords/>
  <dc:description/>
  <cp:lastModifiedBy>Mariana Anguelov</cp:lastModifiedBy>
  <cp:revision>3</cp:revision>
  <cp:lastPrinted>2023-09-18T13:17:00Z</cp:lastPrinted>
  <dcterms:created xsi:type="dcterms:W3CDTF">2023-09-18T14:34:00Z</dcterms:created>
  <dcterms:modified xsi:type="dcterms:W3CDTF">2023-09-25T08:28:00Z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b6910caf408c31acfb96933886e011f04a99956a06965b9bd9452ad5b6b4abbc</vt:lpwstr>
  </property>
  <property fmtid="{D5CDD505-2E9C-101B-9397-08002B2CF9AE}" pid="3" name="ContentTypeId">
    <vt:lpwstr>0x0101008CCF6D66F229EE4D8B714E6AF2A2557D</vt:lpwstr>
  </property>
</Properties>
</file>