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5DC8" w14:textId="7AFE4662" w:rsidR="00061C47" w:rsidRPr="00A54A5B" w:rsidRDefault="00A55183" w:rsidP="00A54A5B">
      <w:pPr>
        <w:spacing w:line="360" w:lineRule="auto"/>
        <w:jc w:val="center"/>
        <w:rPr>
          <w:rFonts w:ascii="Arial" w:hAnsi="Arial" w:cs="Arial"/>
          <w:b/>
          <w:bCs/>
          <w:lang w:val="en-US"/>
        </w:rPr>
      </w:pPr>
      <w:r>
        <w:rPr>
          <w:rFonts w:ascii="Arial" w:hAnsi="Arial" w:cs="Arial"/>
          <w:b/>
          <w:bCs/>
          <w:noProof/>
          <w:lang w:val="en-US"/>
        </w:rPr>
        <mc:AlternateContent>
          <mc:Choice Requires="wps">
            <w:drawing>
              <wp:anchor distT="0" distB="0" distL="114300" distR="114300" simplePos="0" relativeHeight="251659264" behindDoc="0" locked="0" layoutInCell="1" allowOverlap="1" wp14:anchorId="07DF11D2" wp14:editId="5A4FBE02">
                <wp:simplePos x="0" y="0"/>
                <wp:positionH relativeFrom="column">
                  <wp:posOffset>3696335</wp:posOffset>
                </wp:positionH>
                <wp:positionV relativeFrom="paragraph">
                  <wp:posOffset>-413385</wp:posOffset>
                </wp:positionV>
                <wp:extent cx="187642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7642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FF3B0B" w14:textId="02206041" w:rsidR="00A55183" w:rsidRPr="00A55183" w:rsidRDefault="00A55183" w:rsidP="00A55183">
                            <w:pPr>
                              <w:jc w:val="right"/>
                              <w:rPr>
                                <w:rFonts w:ascii="Arial" w:hAnsi="Arial" w:cs="Arial"/>
                                <w:lang w:val="en-US"/>
                              </w:rPr>
                            </w:pPr>
                            <w:r w:rsidRPr="00A55183">
                              <w:rPr>
                                <w:rFonts w:ascii="Arial" w:hAnsi="Arial" w:cs="Arial"/>
                                <w:lang w:val="en-US"/>
                              </w:rPr>
                              <w:t>REPORTABLE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DF11D2" id="_x0000_t202" coordsize="21600,21600" o:spt="202" path="m,l,21600r21600,l21600,xe">
                <v:stroke joinstyle="miter"/>
                <v:path gradientshapeok="t" o:connecttype="rect"/>
              </v:shapetype>
              <v:shape id="Text Box 1" o:spid="_x0000_s1026" type="#_x0000_t202" style="position:absolute;left:0;text-align:left;margin-left:291.05pt;margin-top:-32.55pt;width:147.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" fillcolor="white [3201]" strokecolor="white [3212]" strokeweight=".5pt">
                <v:textbox>
                  <w:txbxContent>
                    <w:p w14:paraId="21FF3B0B" w14:textId="02206041" w:rsidR="00A55183" w:rsidRPr="00A55183" w:rsidRDefault="00A55183" w:rsidP="00A55183">
                      <w:pPr>
                        <w:jc w:val="right"/>
                        <w:rPr>
                          <w:rFonts w:ascii="Arial" w:hAnsi="Arial" w:cs="Arial"/>
                          <w:lang w:val="en-US"/>
                        </w:rPr>
                      </w:pPr>
                      <w:r w:rsidRPr="00A55183">
                        <w:rPr>
                          <w:rFonts w:ascii="Arial" w:hAnsi="Arial" w:cs="Arial"/>
                          <w:lang w:val="en-US"/>
                        </w:rPr>
                        <w:t>REPORTABLE</w:t>
                      </w:r>
                    </w:p>
                  </w:txbxContent>
                </v:textbox>
              </v:shape>
            </w:pict>
          </mc:Fallback>
        </mc:AlternateContent>
      </w:r>
      <w:r w:rsidR="00A54A5B">
        <w:rPr>
          <w:rFonts w:ascii="Arial" w:hAnsi="Arial" w:cs="Arial"/>
          <w:b/>
          <w:bCs/>
          <w:lang w:val="en-US"/>
        </w:rPr>
        <w:t>REPUBLIC OF NAMIBIA</w:t>
      </w:r>
    </w:p>
    <w:p w14:paraId="046F61C2" w14:textId="4F51A201" w:rsidR="00FE7F68" w:rsidRDefault="00A54A5B" w:rsidP="00AF7D5F">
      <w:pPr>
        <w:spacing w:line="360" w:lineRule="auto"/>
        <w:jc w:val="center"/>
        <w:rPr>
          <w:rFonts w:ascii="Arial" w:hAnsi="Arial" w:cs="Arial"/>
          <w:lang w:val="en-US"/>
        </w:rPr>
      </w:pPr>
      <w:r w:rsidRPr="00A54A5B">
        <w:rPr>
          <w:rFonts w:ascii="Arial" w:hAnsi="Arial" w:cs="Arial"/>
          <w:b/>
          <w:noProof/>
          <w:lang w:val="en-US"/>
        </w:rPr>
        <w:drawing>
          <wp:inline distT="0" distB="0" distL="0" distR="0" wp14:anchorId="29A032EE" wp14:editId="01CE8ADD">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bookmarkStart w:id="0" w:name="_GoBack"/>
      <w:bookmarkEnd w:id="0"/>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3827"/>
        <w:gridCol w:w="2835"/>
      </w:tblGrid>
      <w:tr w:rsidR="00AF7D5F" w:rsidRPr="00FE7F68" w14:paraId="229DB763" w14:textId="77777777" w:rsidTr="00155B26">
        <w:tc>
          <w:tcPr>
            <w:tcW w:w="8789" w:type="dxa"/>
            <w:gridSpan w:val="4"/>
          </w:tcPr>
          <w:p w14:paraId="0C4BB454" w14:textId="1BA2D51D" w:rsidR="00AF7D5F" w:rsidRDefault="00AC04D5" w:rsidP="00AF7D5F">
            <w:pPr>
              <w:spacing w:line="360" w:lineRule="auto"/>
              <w:jc w:val="center"/>
              <w:rPr>
                <w:rFonts w:ascii="Arial" w:hAnsi="Arial" w:cs="Arial"/>
                <w:b/>
                <w:bCs/>
                <w:lang w:val="en-US"/>
              </w:rPr>
            </w:pPr>
            <w:r>
              <w:rPr>
                <w:rFonts w:ascii="Arial" w:hAnsi="Arial" w:cs="Arial"/>
                <w:b/>
                <w:bCs/>
                <w:lang w:val="en-US"/>
              </w:rPr>
              <w:t>LABOUR</w:t>
            </w:r>
            <w:r w:rsidR="00AF7D5F">
              <w:rPr>
                <w:rFonts w:ascii="Arial" w:hAnsi="Arial" w:cs="Arial"/>
                <w:b/>
                <w:bCs/>
                <w:lang w:val="en-US"/>
              </w:rPr>
              <w:t xml:space="preserve"> COURT OF NAMIBIA</w:t>
            </w:r>
            <w:r w:rsidR="00A81C32">
              <w:rPr>
                <w:rFonts w:ascii="Arial" w:hAnsi="Arial" w:cs="Arial"/>
                <w:b/>
                <w:bCs/>
                <w:lang w:val="en-US"/>
              </w:rPr>
              <w:t>,</w:t>
            </w:r>
            <w:r w:rsidR="00AF7D5F">
              <w:rPr>
                <w:rFonts w:ascii="Arial" w:hAnsi="Arial" w:cs="Arial"/>
                <w:b/>
                <w:bCs/>
                <w:lang w:val="en-US"/>
              </w:rPr>
              <w:t xml:space="preserve"> MAIN DIVISION, WIN</w:t>
            </w:r>
            <w:r w:rsidR="0046215F">
              <w:rPr>
                <w:rFonts w:ascii="Arial" w:hAnsi="Arial" w:cs="Arial"/>
                <w:b/>
                <w:bCs/>
                <w:lang w:val="en-US"/>
              </w:rPr>
              <w:t>D</w:t>
            </w:r>
            <w:r w:rsidR="00AF7D5F">
              <w:rPr>
                <w:rFonts w:ascii="Arial" w:hAnsi="Arial" w:cs="Arial"/>
                <w:b/>
                <w:bCs/>
                <w:lang w:val="en-US"/>
              </w:rPr>
              <w:t>HOEK</w:t>
            </w:r>
          </w:p>
          <w:p w14:paraId="580A6A52" w14:textId="13D8E8E9" w:rsidR="00AF7D5F" w:rsidRPr="00FE7F68" w:rsidRDefault="00AF7D5F" w:rsidP="00AF7D5F">
            <w:pPr>
              <w:spacing w:line="360" w:lineRule="auto"/>
              <w:jc w:val="center"/>
              <w:rPr>
                <w:rFonts w:ascii="Arial" w:hAnsi="Arial" w:cs="Arial"/>
                <w:b/>
                <w:bCs/>
                <w:highlight w:val="yellow"/>
                <w:lang w:val="en-US"/>
              </w:rPr>
            </w:pPr>
          </w:p>
        </w:tc>
      </w:tr>
      <w:tr w:rsidR="00AF7D5F" w:rsidRPr="00FE7F68" w14:paraId="197DA8BE" w14:textId="77777777" w:rsidTr="00155B26">
        <w:tc>
          <w:tcPr>
            <w:tcW w:w="8789" w:type="dxa"/>
            <w:gridSpan w:val="4"/>
          </w:tcPr>
          <w:p w14:paraId="279F5FEF" w14:textId="0872730B" w:rsidR="00AF7D5F" w:rsidRDefault="00AC04D5" w:rsidP="00AF7D5F">
            <w:pPr>
              <w:spacing w:line="360" w:lineRule="auto"/>
              <w:jc w:val="center"/>
              <w:rPr>
                <w:rFonts w:ascii="Arial" w:hAnsi="Arial" w:cs="Arial"/>
                <w:b/>
                <w:bCs/>
                <w:lang w:val="en-US"/>
              </w:rPr>
            </w:pPr>
            <w:r>
              <w:rPr>
                <w:rFonts w:ascii="Arial" w:hAnsi="Arial" w:cs="Arial"/>
                <w:b/>
                <w:bCs/>
                <w:lang w:val="en-US"/>
              </w:rPr>
              <w:t>RULING</w:t>
            </w:r>
          </w:p>
          <w:p w14:paraId="730ECA8E" w14:textId="39AF505D" w:rsidR="00AF7D5F" w:rsidRDefault="00AF7D5F" w:rsidP="00AF7D5F">
            <w:pPr>
              <w:spacing w:line="360" w:lineRule="auto"/>
              <w:jc w:val="center"/>
              <w:rPr>
                <w:rFonts w:ascii="Arial" w:hAnsi="Arial" w:cs="Arial"/>
                <w:lang w:val="en-US"/>
              </w:rPr>
            </w:pPr>
          </w:p>
        </w:tc>
      </w:tr>
      <w:tr w:rsidR="00AF7D5F" w:rsidRPr="00FE7F68" w14:paraId="613B65F0" w14:textId="77777777" w:rsidTr="00155B26">
        <w:tc>
          <w:tcPr>
            <w:tcW w:w="8789" w:type="dxa"/>
            <w:gridSpan w:val="4"/>
          </w:tcPr>
          <w:p w14:paraId="11B37741" w14:textId="6FCDA55F" w:rsidR="00AF7D5F" w:rsidRDefault="00AF7D5F" w:rsidP="00AF7D5F">
            <w:pPr>
              <w:spacing w:line="360" w:lineRule="auto"/>
              <w:jc w:val="right"/>
              <w:rPr>
                <w:rFonts w:ascii="Arial" w:hAnsi="Arial" w:cs="Arial"/>
                <w:lang w:val="en-US"/>
              </w:rPr>
            </w:pPr>
            <w:r>
              <w:rPr>
                <w:rFonts w:ascii="Arial" w:hAnsi="Arial" w:cs="Arial"/>
                <w:lang w:val="en-US"/>
              </w:rPr>
              <w:t xml:space="preserve">Case number: </w:t>
            </w:r>
            <w:r w:rsidR="00AC04D5">
              <w:rPr>
                <w:rFonts w:ascii="Arial" w:hAnsi="Arial" w:cs="Arial"/>
                <w:lang w:val="en-US"/>
              </w:rPr>
              <w:t>INT-HC-OTH-2023/00274</w:t>
            </w:r>
          </w:p>
          <w:p w14:paraId="372B4E07" w14:textId="65EE1894" w:rsidR="00AC04D5" w:rsidRDefault="00AC04D5" w:rsidP="00AF7D5F">
            <w:pPr>
              <w:spacing w:line="360" w:lineRule="auto"/>
              <w:jc w:val="right"/>
              <w:rPr>
                <w:rFonts w:ascii="Arial" w:hAnsi="Arial" w:cs="Arial"/>
                <w:lang w:val="en-US"/>
              </w:rPr>
            </w:pPr>
            <w:r>
              <w:rPr>
                <w:rFonts w:ascii="Arial" w:hAnsi="Arial" w:cs="Arial"/>
                <w:lang w:val="en-US"/>
              </w:rPr>
              <w:t>Main case number: HC-MD-LAB-APP-AAA-2022/00033</w:t>
            </w:r>
          </w:p>
          <w:p w14:paraId="29CE0FA8" w14:textId="58560F30" w:rsidR="00AF7D5F" w:rsidRDefault="00AF7D5F" w:rsidP="00AF7D5F">
            <w:pPr>
              <w:spacing w:line="360" w:lineRule="auto"/>
              <w:jc w:val="right"/>
              <w:rPr>
                <w:rFonts w:ascii="Arial" w:hAnsi="Arial" w:cs="Arial"/>
                <w:lang w:val="en-US"/>
              </w:rPr>
            </w:pPr>
          </w:p>
        </w:tc>
      </w:tr>
      <w:tr w:rsidR="00AF7D5F" w:rsidRPr="00FE7F68" w14:paraId="10C4EC0D" w14:textId="77777777" w:rsidTr="00155B26">
        <w:tc>
          <w:tcPr>
            <w:tcW w:w="8789" w:type="dxa"/>
            <w:gridSpan w:val="4"/>
          </w:tcPr>
          <w:p w14:paraId="3B304EC7" w14:textId="77777777" w:rsidR="00AF7D5F" w:rsidRDefault="00AF7D5F" w:rsidP="00AF7D5F">
            <w:pPr>
              <w:spacing w:line="360" w:lineRule="auto"/>
              <w:rPr>
                <w:rFonts w:ascii="Arial" w:hAnsi="Arial" w:cs="Arial"/>
                <w:lang w:val="en-US"/>
              </w:rPr>
            </w:pPr>
            <w:r>
              <w:rPr>
                <w:rFonts w:ascii="Arial" w:hAnsi="Arial" w:cs="Arial"/>
                <w:lang w:val="en-US"/>
              </w:rPr>
              <w:t>In the matter between:</w:t>
            </w:r>
          </w:p>
          <w:p w14:paraId="1BAB2C08" w14:textId="042AE4E0" w:rsidR="00AF7D5F" w:rsidRDefault="00AF7D5F" w:rsidP="00AF7D5F">
            <w:pPr>
              <w:spacing w:line="360" w:lineRule="auto"/>
              <w:rPr>
                <w:rFonts w:ascii="Arial" w:hAnsi="Arial" w:cs="Arial"/>
                <w:b/>
                <w:bCs/>
                <w:highlight w:val="yellow"/>
                <w:lang w:val="en-US"/>
              </w:rPr>
            </w:pPr>
          </w:p>
        </w:tc>
      </w:tr>
      <w:tr w:rsidR="00FE7F68" w:rsidRPr="00FE7F68" w14:paraId="34CCEAD3" w14:textId="77777777" w:rsidTr="00155B26">
        <w:tc>
          <w:tcPr>
            <w:tcW w:w="5954" w:type="dxa"/>
            <w:gridSpan w:val="3"/>
          </w:tcPr>
          <w:p w14:paraId="649039EA" w14:textId="77777777" w:rsidR="00FE7F68" w:rsidRDefault="00AC04D5" w:rsidP="00FE7F68">
            <w:pPr>
              <w:spacing w:line="360" w:lineRule="auto"/>
              <w:rPr>
                <w:rFonts w:ascii="Arial" w:hAnsi="Arial" w:cs="Arial"/>
                <w:b/>
                <w:bCs/>
                <w:lang w:val="en-US"/>
              </w:rPr>
            </w:pPr>
            <w:r>
              <w:rPr>
                <w:rFonts w:ascii="Arial" w:hAnsi="Arial" w:cs="Arial"/>
                <w:b/>
                <w:bCs/>
                <w:lang w:val="en-US"/>
              </w:rPr>
              <w:t>AT HELSMAN GROUP (PTY) LTD</w:t>
            </w:r>
          </w:p>
          <w:p w14:paraId="5D832CEA" w14:textId="69FD6F4C" w:rsidR="002B462E" w:rsidRPr="00AC04D5" w:rsidRDefault="002B462E" w:rsidP="00FE7F68">
            <w:pPr>
              <w:spacing w:line="360" w:lineRule="auto"/>
              <w:rPr>
                <w:rFonts w:ascii="Arial" w:hAnsi="Arial" w:cs="Arial"/>
                <w:b/>
                <w:bCs/>
                <w:lang w:val="en-US"/>
              </w:rPr>
            </w:pPr>
          </w:p>
        </w:tc>
        <w:tc>
          <w:tcPr>
            <w:tcW w:w="2835" w:type="dxa"/>
          </w:tcPr>
          <w:p w14:paraId="0C5F0845" w14:textId="59B2141B" w:rsidR="00FE7F68" w:rsidRPr="00AC04D5" w:rsidRDefault="00AC04D5" w:rsidP="00FE7F68">
            <w:pPr>
              <w:spacing w:line="360" w:lineRule="auto"/>
              <w:jc w:val="right"/>
              <w:rPr>
                <w:rFonts w:ascii="Arial" w:hAnsi="Arial" w:cs="Arial"/>
                <w:b/>
                <w:bCs/>
                <w:lang w:val="en-US"/>
              </w:rPr>
            </w:pPr>
            <w:r w:rsidRPr="00AC04D5">
              <w:rPr>
                <w:rFonts w:ascii="Arial" w:hAnsi="Arial" w:cs="Arial"/>
                <w:b/>
                <w:bCs/>
                <w:lang w:val="en-US"/>
              </w:rPr>
              <w:t>APPLICANT</w:t>
            </w:r>
          </w:p>
        </w:tc>
      </w:tr>
      <w:tr w:rsidR="00FE7F68" w14:paraId="0E075A5C" w14:textId="77777777" w:rsidTr="00155B26">
        <w:tc>
          <w:tcPr>
            <w:tcW w:w="8789" w:type="dxa"/>
            <w:gridSpan w:val="4"/>
          </w:tcPr>
          <w:p w14:paraId="0F52719E" w14:textId="77777777" w:rsidR="00FE7F68" w:rsidRDefault="00FE7F68" w:rsidP="00FE7F68">
            <w:pPr>
              <w:spacing w:line="360" w:lineRule="auto"/>
              <w:jc w:val="both"/>
              <w:rPr>
                <w:rFonts w:ascii="Arial" w:hAnsi="Arial" w:cs="Arial"/>
                <w:lang w:val="en-US"/>
              </w:rPr>
            </w:pPr>
            <w:r>
              <w:rPr>
                <w:rFonts w:ascii="Arial" w:hAnsi="Arial" w:cs="Arial"/>
                <w:lang w:val="en-US"/>
              </w:rPr>
              <w:t>and</w:t>
            </w:r>
          </w:p>
          <w:p w14:paraId="7105FEA8" w14:textId="5A938592" w:rsidR="002B462E" w:rsidRDefault="002B462E" w:rsidP="00FE7F68">
            <w:pPr>
              <w:spacing w:line="360" w:lineRule="auto"/>
              <w:jc w:val="both"/>
              <w:rPr>
                <w:rFonts w:ascii="Arial" w:hAnsi="Arial" w:cs="Arial"/>
                <w:lang w:val="en-US"/>
              </w:rPr>
            </w:pPr>
          </w:p>
        </w:tc>
      </w:tr>
      <w:tr w:rsidR="00FE7F68" w:rsidRPr="00AC04D5" w14:paraId="04F81E39" w14:textId="77777777" w:rsidTr="00155B26">
        <w:tc>
          <w:tcPr>
            <w:tcW w:w="5954" w:type="dxa"/>
            <w:gridSpan w:val="3"/>
          </w:tcPr>
          <w:p w14:paraId="00D8DE7D" w14:textId="2A30DACC" w:rsidR="00FE7F68" w:rsidRPr="00AC04D5" w:rsidRDefault="00AC04D5" w:rsidP="00FE7F68">
            <w:pPr>
              <w:spacing w:line="360" w:lineRule="auto"/>
              <w:rPr>
                <w:rFonts w:ascii="Arial" w:hAnsi="Arial" w:cs="Arial"/>
                <w:b/>
                <w:bCs/>
                <w:lang w:val="en-US"/>
              </w:rPr>
            </w:pPr>
            <w:r>
              <w:rPr>
                <w:rFonts w:ascii="Arial" w:hAnsi="Arial" w:cs="Arial"/>
                <w:b/>
                <w:bCs/>
                <w:lang w:val="en-US"/>
              </w:rPr>
              <w:t>ERNST DAWID FREDERIK</w:t>
            </w:r>
          </w:p>
        </w:tc>
        <w:tc>
          <w:tcPr>
            <w:tcW w:w="2835" w:type="dxa"/>
          </w:tcPr>
          <w:p w14:paraId="4626FC98" w14:textId="28CC0D01" w:rsidR="00FE7F68" w:rsidRPr="00AC04D5" w:rsidRDefault="00AC04D5" w:rsidP="00FE7F68">
            <w:pPr>
              <w:spacing w:line="360" w:lineRule="auto"/>
              <w:jc w:val="right"/>
              <w:rPr>
                <w:rFonts w:ascii="Arial" w:hAnsi="Arial" w:cs="Arial"/>
                <w:b/>
                <w:bCs/>
                <w:lang w:val="en-US"/>
              </w:rPr>
            </w:pPr>
            <w:r w:rsidRPr="00AC04D5">
              <w:rPr>
                <w:rFonts w:ascii="Arial" w:hAnsi="Arial" w:cs="Arial"/>
                <w:b/>
                <w:bCs/>
                <w:lang w:val="en-US"/>
              </w:rPr>
              <w:t>RESPONDENT</w:t>
            </w:r>
          </w:p>
          <w:p w14:paraId="1ADBFFFC" w14:textId="77D6B9DD" w:rsidR="00AC04D5" w:rsidRPr="00AC04D5" w:rsidRDefault="00AC04D5" w:rsidP="00FE7F68">
            <w:pPr>
              <w:spacing w:line="360" w:lineRule="auto"/>
              <w:jc w:val="right"/>
              <w:rPr>
                <w:rFonts w:ascii="Arial" w:hAnsi="Arial" w:cs="Arial"/>
                <w:b/>
                <w:bCs/>
                <w:lang w:val="en-US"/>
              </w:rPr>
            </w:pPr>
          </w:p>
        </w:tc>
      </w:tr>
      <w:tr w:rsidR="00AF7D5F" w:rsidRPr="00FE7F68" w14:paraId="41CF2B70" w14:textId="77777777" w:rsidTr="00155B26">
        <w:tc>
          <w:tcPr>
            <w:tcW w:w="2127" w:type="dxa"/>
            <w:gridSpan w:val="2"/>
          </w:tcPr>
          <w:p w14:paraId="487AC033" w14:textId="3EB28DE0" w:rsidR="00AF7D5F" w:rsidRPr="00AF7D5F" w:rsidRDefault="00AF7D5F" w:rsidP="00AF7D5F">
            <w:pPr>
              <w:spacing w:line="360" w:lineRule="auto"/>
              <w:jc w:val="both"/>
              <w:rPr>
                <w:rFonts w:ascii="Arial" w:hAnsi="Arial" w:cs="Arial"/>
                <w:b/>
                <w:bCs/>
                <w:highlight w:val="yellow"/>
                <w:lang w:val="en-US"/>
              </w:rPr>
            </w:pPr>
            <w:r w:rsidRPr="00AF7D5F">
              <w:rPr>
                <w:rFonts w:ascii="Arial" w:hAnsi="Arial" w:cs="Arial"/>
                <w:b/>
                <w:bCs/>
                <w:lang w:val="en-US"/>
              </w:rPr>
              <w:t>Neutral citation:</w:t>
            </w:r>
          </w:p>
        </w:tc>
        <w:tc>
          <w:tcPr>
            <w:tcW w:w="6662" w:type="dxa"/>
            <w:gridSpan w:val="2"/>
          </w:tcPr>
          <w:p w14:paraId="251DFA2E" w14:textId="2E8A660C" w:rsidR="00AF7D5F" w:rsidRPr="009462C0" w:rsidRDefault="009462C0" w:rsidP="00AF7D5F">
            <w:pPr>
              <w:spacing w:line="360" w:lineRule="auto"/>
              <w:jc w:val="both"/>
              <w:rPr>
                <w:rFonts w:ascii="Arial" w:hAnsi="Arial" w:cs="Arial"/>
                <w:lang w:val="en-US"/>
              </w:rPr>
            </w:pPr>
            <w:r w:rsidRPr="009462C0">
              <w:rPr>
                <w:rFonts w:ascii="Arial" w:hAnsi="Arial" w:cs="Arial"/>
                <w:i/>
                <w:iCs/>
                <w:lang w:val="en-US"/>
              </w:rPr>
              <w:t xml:space="preserve">At Helsman Group (Pty) Ltd v Frederik </w:t>
            </w:r>
            <w:r w:rsidRPr="009462C0">
              <w:rPr>
                <w:rFonts w:ascii="Arial" w:hAnsi="Arial" w:cs="Arial"/>
                <w:lang w:val="en-US"/>
              </w:rPr>
              <w:t>(HC-MD-LAB-APP-AAA-2022/00033) [2024] NA</w:t>
            </w:r>
            <w:r w:rsidR="003A26AF">
              <w:rPr>
                <w:rFonts w:ascii="Arial" w:hAnsi="Arial" w:cs="Arial"/>
                <w:lang w:val="en-US"/>
              </w:rPr>
              <w:t>L</w:t>
            </w:r>
            <w:r w:rsidRPr="009462C0">
              <w:rPr>
                <w:rFonts w:ascii="Arial" w:hAnsi="Arial" w:cs="Arial"/>
                <w:lang w:val="en-US"/>
              </w:rPr>
              <w:t xml:space="preserve">CMD </w:t>
            </w:r>
            <w:r w:rsidR="00A42417">
              <w:rPr>
                <w:rFonts w:ascii="Arial" w:hAnsi="Arial" w:cs="Arial"/>
                <w:lang w:val="en-US"/>
              </w:rPr>
              <w:t>3</w:t>
            </w:r>
            <w:r w:rsidRPr="009462C0">
              <w:rPr>
                <w:rFonts w:ascii="Arial" w:hAnsi="Arial" w:cs="Arial"/>
                <w:lang w:val="en-US"/>
              </w:rPr>
              <w:t xml:space="preserve"> </w:t>
            </w:r>
            <w:r w:rsidRPr="0079574A">
              <w:rPr>
                <w:rFonts w:ascii="Arial" w:hAnsi="Arial" w:cs="Arial"/>
                <w:lang w:val="en-US"/>
              </w:rPr>
              <w:t>(14 February 2024)</w:t>
            </w:r>
          </w:p>
          <w:p w14:paraId="282C2D36" w14:textId="5C4EF553" w:rsidR="00AF7D5F" w:rsidRPr="009462C0" w:rsidRDefault="00AF7D5F" w:rsidP="00AF7D5F">
            <w:pPr>
              <w:spacing w:line="360" w:lineRule="auto"/>
              <w:jc w:val="both"/>
              <w:rPr>
                <w:rFonts w:ascii="Arial" w:hAnsi="Arial" w:cs="Arial"/>
                <w:lang w:val="en-US"/>
              </w:rPr>
            </w:pPr>
          </w:p>
        </w:tc>
      </w:tr>
      <w:tr w:rsidR="00AF7D5F" w:rsidRPr="00155B26" w14:paraId="27AE6A1D" w14:textId="77777777" w:rsidTr="00155B26">
        <w:tc>
          <w:tcPr>
            <w:tcW w:w="1418" w:type="dxa"/>
          </w:tcPr>
          <w:p w14:paraId="6BF613A4" w14:textId="39079173"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Coram:</w:t>
            </w:r>
          </w:p>
        </w:tc>
        <w:tc>
          <w:tcPr>
            <w:tcW w:w="7371" w:type="dxa"/>
            <w:gridSpan w:val="3"/>
          </w:tcPr>
          <w:p w14:paraId="5A5C72D6" w14:textId="21306A88" w:rsidR="00AF7D5F" w:rsidRPr="00155B26" w:rsidRDefault="00155B26" w:rsidP="00AF7D5F">
            <w:pPr>
              <w:spacing w:line="360" w:lineRule="auto"/>
              <w:jc w:val="both"/>
              <w:rPr>
                <w:rFonts w:ascii="Arial" w:hAnsi="Arial" w:cs="Arial"/>
                <w:lang w:val="en-US"/>
              </w:rPr>
            </w:pPr>
            <w:r>
              <w:rPr>
                <w:rFonts w:ascii="Arial" w:hAnsi="Arial" w:cs="Arial"/>
                <w:lang w:val="en-US"/>
              </w:rPr>
              <w:t>DE JAGER AJ</w:t>
            </w:r>
          </w:p>
        </w:tc>
      </w:tr>
      <w:tr w:rsidR="00AF7D5F" w:rsidRPr="00155B26" w14:paraId="6AA370E6" w14:textId="77777777" w:rsidTr="00155B26">
        <w:tc>
          <w:tcPr>
            <w:tcW w:w="1418" w:type="dxa"/>
          </w:tcPr>
          <w:p w14:paraId="0FD33D8F" w14:textId="392CB1F0" w:rsidR="00AF7D5F" w:rsidRPr="00AC04D5" w:rsidRDefault="00AF7D5F" w:rsidP="00AF7D5F">
            <w:pPr>
              <w:spacing w:line="360" w:lineRule="auto"/>
              <w:jc w:val="both"/>
              <w:rPr>
                <w:rFonts w:ascii="Arial" w:hAnsi="Arial" w:cs="Arial"/>
                <w:b/>
                <w:bCs/>
                <w:lang w:val="en-US"/>
              </w:rPr>
            </w:pPr>
            <w:r w:rsidRPr="00AC04D5">
              <w:rPr>
                <w:rFonts w:ascii="Arial" w:hAnsi="Arial" w:cs="Arial"/>
                <w:b/>
                <w:bCs/>
                <w:lang w:val="en-US"/>
              </w:rPr>
              <w:t>Heard:</w:t>
            </w:r>
          </w:p>
        </w:tc>
        <w:tc>
          <w:tcPr>
            <w:tcW w:w="7371" w:type="dxa"/>
            <w:gridSpan w:val="3"/>
          </w:tcPr>
          <w:p w14:paraId="35ED4601" w14:textId="773F6B11" w:rsidR="00AF7D5F" w:rsidRPr="00155B26" w:rsidRDefault="00AC04D5" w:rsidP="00AF7D5F">
            <w:pPr>
              <w:spacing w:line="360" w:lineRule="auto"/>
              <w:jc w:val="both"/>
              <w:rPr>
                <w:rFonts w:ascii="Arial" w:hAnsi="Arial" w:cs="Arial"/>
                <w:b/>
                <w:bCs/>
                <w:lang w:val="en-US"/>
              </w:rPr>
            </w:pPr>
            <w:r w:rsidRPr="00AC04D5">
              <w:rPr>
                <w:rFonts w:ascii="Arial" w:hAnsi="Arial" w:cs="Arial"/>
                <w:b/>
                <w:bCs/>
                <w:lang w:val="en-US"/>
              </w:rPr>
              <w:t>18 January</w:t>
            </w:r>
            <w:r w:rsidR="00155B26" w:rsidRPr="00AC04D5">
              <w:rPr>
                <w:rFonts w:ascii="Arial" w:hAnsi="Arial" w:cs="Arial"/>
                <w:b/>
                <w:bCs/>
                <w:lang w:val="en-US"/>
              </w:rPr>
              <w:t xml:space="preserve"> 2024</w:t>
            </w:r>
          </w:p>
        </w:tc>
      </w:tr>
      <w:tr w:rsidR="00AF7D5F" w:rsidRPr="00AF7D5F" w14:paraId="655093C6" w14:textId="77777777" w:rsidTr="00155B26">
        <w:tc>
          <w:tcPr>
            <w:tcW w:w="1418" w:type="dxa"/>
          </w:tcPr>
          <w:p w14:paraId="550E49EA" w14:textId="221779FF" w:rsidR="00AF7D5F" w:rsidRPr="0079574A" w:rsidRDefault="00AF7D5F" w:rsidP="00AF7D5F">
            <w:pPr>
              <w:spacing w:line="360" w:lineRule="auto"/>
              <w:jc w:val="both"/>
              <w:rPr>
                <w:rFonts w:ascii="Arial" w:hAnsi="Arial" w:cs="Arial"/>
                <w:b/>
                <w:bCs/>
                <w:lang w:val="en-US"/>
              </w:rPr>
            </w:pPr>
            <w:r w:rsidRPr="0079574A">
              <w:rPr>
                <w:rFonts w:ascii="Arial" w:hAnsi="Arial" w:cs="Arial"/>
                <w:b/>
                <w:bCs/>
                <w:lang w:val="en-US"/>
              </w:rPr>
              <w:t>Delivered:</w:t>
            </w:r>
          </w:p>
        </w:tc>
        <w:tc>
          <w:tcPr>
            <w:tcW w:w="7371" w:type="dxa"/>
            <w:gridSpan w:val="3"/>
          </w:tcPr>
          <w:p w14:paraId="3BB7DE40" w14:textId="14066F9D" w:rsidR="00AF7D5F" w:rsidRPr="0079574A" w:rsidRDefault="00AC04D5" w:rsidP="00AF7D5F">
            <w:pPr>
              <w:spacing w:line="360" w:lineRule="auto"/>
              <w:jc w:val="both"/>
              <w:rPr>
                <w:rFonts w:ascii="Arial" w:hAnsi="Arial" w:cs="Arial"/>
                <w:b/>
                <w:bCs/>
                <w:lang w:val="en-US"/>
              </w:rPr>
            </w:pPr>
            <w:r w:rsidRPr="0079574A">
              <w:rPr>
                <w:rFonts w:ascii="Arial" w:hAnsi="Arial" w:cs="Arial"/>
                <w:b/>
                <w:bCs/>
                <w:lang w:val="en-US"/>
              </w:rPr>
              <w:t>14 February</w:t>
            </w:r>
            <w:r w:rsidR="00155B26" w:rsidRPr="0079574A">
              <w:rPr>
                <w:rFonts w:ascii="Arial" w:hAnsi="Arial" w:cs="Arial"/>
                <w:b/>
                <w:bCs/>
                <w:lang w:val="en-US"/>
              </w:rPr>
              <w:t xml:space="preserve"> 2024</w:t>
            </w:r>
          </w:p>
          <w:p w14:paraId="20367C70" w14:textId="78A3FD94" w:rsidR="00155B26" w:rsidRPr="0079574A" w:rsidRDefault="00155B26" w:rsidP="00AF7D5F">
            <w:pPr>
              <w:spacing w:line="360" w:lineRule="auto"/>
              <w:jc w:val="both"/>
              <w:rPr>
                <w:rFonts w:ascii="Arial" w:hAnsi="Arial" w:cs="Arial"/>
                <w:lang w:val="en-US"/>
              </w:rPr>
            </w:pPr>
          </w:p>
        </w:tc>
      </w:tr>
    </w:tbl>
    <w:p w14:paraId="66E95BF7" w14:textId="65EC370D" w:rsidR="007A0259" w:rsidRDefault="00155B26" w:rsidP="007A0259">
      <w:pPr>
        <w:pStyle w:val="ListParagraph"/>
        <w:spacing w:line="360" w:lineRule="auto"/>
        <w:ind w:left="0"/>
        <w:jc w:val="both"/>
        <w:rPr>
          <w:rFonts w:ascii="Arial" w:hAnsi="Arial" w:cs="Arial"/>
          <w:lang w:val="en-US"/>
        </w:rPr>
      </w:pPr>
      <w:r w:rsidRPr="00180ADC">
        <w:rPr>
          <w:rFonts w:ascii="Arial" w:hAnsi="Arial" w:cs="Arial"/>
          <w:b/>
          <w:bCs/>
          <w:lang w:val="en-US"/>
        </w:rPr>
        <w:t>Flynote:</w:t>
      </w:r>
      <w:r w:rsidRPr="00180ADC">
        <w:rPr>
          <w:rFonts w:ascii="Arial" w:hAnsi="Arial" w:cs="Arial"/>
          <w:b/>
          <w:bCs/>
          <w:lang w:val="en-US"/>
        </w:rPr>
        <w:tab/>
      </w:r>
      <w:r w:rsidR="00180ADC" w:rsidRPr="00180ADC">
        <w:rPr>
          <w:rFonts w:ascii="Arial" w:hAnsi="Arial" w:cs="Arial"/>
          <w:lang w:val="en-US"/>
        </w:rPr>
        <w:t>S</w:t>
      </w:r>
      <w:r w:rsidR="00D80F3D">
        <w:rPr>
          <w:rFonts w:ascii="Arial" w:hAnsi="Arial" w:cs="Arial"/>
          <w:lang w:val="en-US"/>
        </w:rPr>
        <w:t xml:space="preserve">tatute – </w:t>
      </w:r>
      <w:r w:rsidR="003A26AF">
        <w:rPr>
          <w:rFonts w:ascii="Arial" w:hAnsi="Arial" w:cs="Arial"/>
          <w:lang w:val="en-US"/>
        </w:rPr>
        <w:t>I</w:t>
      </w:r>
      <w:r w:rsidR="00D80F3D">
        <w:rPr>
          <w:rFonts w:ascii="Arial" w:hAnsi="Arial" w:cs="Arial"/>
          <w:lang w:val="en-US"/>
        </w:rPr>
        <w:t xml:space="preserve">nterpretation – </w:t>
      </w:r>
      <w:r w:rsidR="003A26AF">
        <w:rPr>
          <w:rFonts w:ascii="Arial" w:hAnsi="Arial" w:cs="Arial"/>
          <w:lang w:val="en-US"/>
        </w:rPr>
        <w:t>W</w:t>
      </w:r>
      <w:r w:rsidR="00D664E3">
        <w:rPr>
          <w:rFonts w:ascii="Arial" w:hAnsi="Arial" w:cs="Arial"/>
          <w:lang w:val="en-US"/>
        </w:rPr>
        <w:t xml:space="preserve">ord ‘days’ in </w:t>
      </w:r>
      <w:r w:rsidR="00AE57CE">
        <w:rPr>
          <w:rFonts w:ascii="Arial" w:hAnsi="Arial" w:cs="Arial"/>
          <w:lang w:val="en-US"/>
        </w:rPr>
        <w:t xml:space="preserve">s </w:t>
      </w:r>
      <w:r w:rsidR="00180ADC" w:rsidRPr="00180ADC">
        <w:rPr>
          <w:rFonts w:ascii="Arial" w:hAnsi="Arial" w:cs="Arial"/>
          <w:lang w:val="en-US"/>
        </w:rPr>
        <w:t xml:space="preserve">89(2) </w:t>
      </w:r>
      <w:r w:rsidR="00D80F3D">
        <w:rPr>
          <w:rFonts w:ascii="Arial" w:hAnsi="Arial" w:cs="Arial"/>
          <w:lang w:val="en-US"/>
        </w:rPr>
        <w:t xml:space="preserve">Labour </w:t>
      </w:r>
      <w:r w:rsidR="00180ADC" w:rsidRPr="00180ADC">
        <w:rPr>
          <w:rFonts w:ascii="Arial" w:hAnsi="Arial" w:cs="Arial"/>
          <w:lang w:val="en-US"/>
        </w:rPr>
        <w:t>Act</w:t>
      </w:r>
      <w:r w:rsidR="00D80F3D">
        <w:rPr>
          <w:rFonts w:ascii="Arial" w:hAnsi="Arial" w:cs="Arial"/>
          <w:lang w:val="en-US"/>
        </w:rPr>
        <w:t xml:space="preserve"> 11 of 2007</w:t>
      </w:r>
      <w:r w:rsidR="006128D8">
        <w:rPr>
          <w:rFonts w:ascii="Arial" w:hAnsi="Arial" w:cs="Arial"/>
          <w:lang w:val="en-US"/>
        </w:rPr>
        <w:t xml:space="preserve"> </w:t>
      </w:r>
      <w:r w:rsidR="00D664E3">
        <w:rPr>
          <w:rFonts w:ascii="Arial" w:hAnsi="Arial" w:cs="Arial"/>
          <w:lang w:val="en-US"/>
        </w:rPr>
        <w:t xml:space="preserve">and Conciliation and Arbitration </w:t>
      </w:r>
      <w:r w:rsidR="003A26AF">
        <w:rPr>
          <w:rFonts w:ascii="Arial" w:hAnsi="Arial" w:cs="Arial"/>
          <w:lang w:val="en-US"/>
        </w:rPr>
        <w:t>r</w:t>
      </w:r>
      <w:r w:rsidR="00D664E3">
        <w:rPr>
          <w:rFonts w:ascii="Arial" w:hAnsi="Arial" w:cs="Arial"/>
          <w:lang w:val="en-US"/>
        </w:rPr>
        <w:t xml:space="preserve"> 23(2)</w:t>
      </w:r>
      <w:r w:rsidR="00AE57CE">
        <w:rPr>
          <w:rFonts w:ascii="Arial" w:hAnsi="Arial" w:cs="Arial"/>
          <w:lang w:val="en-US"/>
        </w:rPr>
        <w:t xml:space="preserve"> </w:t>
      </w:r>
      <w:r w:rsidR="00A73922">
        <w:rPr>
          <w:rFonts w:ascii="Arial" w:hAnsi="Arial" w:cs="Arial"/>
          <w:lang w:val="en-US"/>
        </w:rPr>
        <w:t xml:space="preserve">not defined </w:t>
      </w:r>
      <w:r w:rsidR="00AE57CE">
        <w:rPr>
          <w:rFonts w:ascii="Arial" w:hAnsi="Arial" w:cs="Arial"/>
          <w:lang w:val="en-US"/>
        </w:rPr>
        <w:t>therein</w:t>
      </w:r>
      <w:r w:rsidR="00FD2333">
        <w:rPr>
          <w:rFonts w:ascii="Arial" w:hAnsi="Arial" w:cs="Arial"/>
          <w:lang w:val="en-US"/>
        </w:rPr>
        <w:t xml:space="preserve"> </w:t>
      </w:r>
      <w:r w:rsidR="00180ADC" w:rsidRPr="00180ADC">
        <w:rPr>
          <w:rFonts w:ascii="Arial" w:hAnsi="Arial" w:cs="Arial"/>
          <w:lang w:val="en-US"/>
        </w:rPr>
        <w:t xml:space="preserve">– </w:t>
      </w:r>
      <w:r w:rsidR="003A26AF">
        <w:rPr>
          <w:rFonts w:ascii="Arial" w:hAnsi="Arial" w:cs="Arial"/>
          <w:lang w:val="en-US"/>
        </w:rPr>
        <w:t>Section</w:t>
      </w:r>
      <w:r w:rsidR="00180ADC" w:rsidRPr="00180ADC">
        <w:rPr>
          <w:rFonts w:ascii="Arial" w:hAnsi="Arial" w:cs="Arial"/>
          <w:lang w:val="en-US"/>
        </w:rPr>
        <w:t xml:space="preserve"> 4 Interpretation of Laws Proclamation 37 of 1920</w:t>
      </w:r>
      <w:r w:rsidR="00D664E3">
        <w:rPr>
          <w:rFonts w:ascii="Arial" w:hAnsi="Arial" w:cs="Arial"/>
          <w:lang w:val="en-US"/>
        </w:rPr>
        <w:t xml:space="preserve"> applies</w:t>
      </w:r>
      <w:r w:rsidR="00387978">
        <w:rPr>
          <w:rFonts w:ascii="Arial" w:hAnsi="Arial" w:cs="Arial"/>
          <w:lang w:val="en-US"/>
        </w:rPr>
        <w:t>.</w:t>
      </w:r>
    </w:p>
    <w:p w14:paraId="217A0A8B" w14:textId="77777777" w:rsidR="007A0259" w:rsidRPr="00EB0655" w:rsidRDefault="007A0259" w:rsidP="007A0259">
      <w:pPr>
        <w:pStyle w:val="ListParagraph"/>
        <w:rPr>
          <w:rFonts w:ascii="Arial" w:eastAsia="Calibri" w:hAnsi="Arial" w:cs="Arial"/>
          <w:bCs/>
        </w:rPr>
      </w:pPr>
    </w:p>
    <w:p w14:paraId="2A1610D3" w14:textId="022344D0" w:rsidR="007A0259" w:rsidRDefault="00D80F3D" w:rsidP="007A0259">
      <w:pPr>
        <w:pStyle w:val="ListParagraph"/>
        <w:spacing w:line="360" w:lineRule="auto"/>
        <w:ind w:left="0"/>
        <w:jc w:val="both"/>
        <w:rPr>
          <w:rFonts w:ascii="Arial" w:hAnsi="Arial" w:cs="Arial"/>
          <w:lang w:val="en-US"/>
        </w:rPr>
      </w:pPr>
      <w:r>
        <w:rPr>
          <w:rFonts w:ascii="Arial" w:hAnsi="Arial" w:cs="Arial"/>
          <w:lang w:val="en-US"/>
        </w:rPr>
        <w:t xml:space="preserve">Statute – </w:t>
      </w:r>
      <w:r w:rsidR="003A26AF">
        <w:rPr>
          <w:rFonts w:ascii="Arial" w:hAnsi="Arial" w:cs="Arial"/>
          <w:lang w:val="en-US"/>
        </w:rPr>
        <w:t>I</w:t>
      </w:r>
      <w:r>
        <w:rPr>
          <w:rFonts w:ascii="Arial" w:hAnsi="Arial" w:cs="Arial"/>
          <w:lang w:val="en-US"/>
        </w:rPr>
        <w:t xml:space="preserve">nterpretation – </w:t>
      </w:r>
      <w:r w:rsidR="003A26AF">
        <w:rPr>
          <w:rFonts w:ascii="Arial" w:hAnsi="Arial" w:cs="Arial"/>
          <w:lang w:val="en-US"/>
        </w:rPr>
        <w:t>Section</w:t>
      </w:r>
      <w:r>
        <w:rPr>
          <w:rFonts w:ascii="Arial" w:hAnsi="Arial" w:cs="Arial"/>
          <w:lang w:val="en-US"/>
        </w:rPr>
        <w:t xml:space="preserve"> </w:t>
      </w:r>
      <w:r w:rsidRPr="00180ADC">
        <w:rPr>
          <w:rFonts w:ascii="Arial" w:hAnsi="Arial" w:cs="Arial"/>
          <w:lang w:val="en-US"/>
        </w:rPr>
        <w:t xml:space="preserve"> 89(2) </w:t>
      </w:r>
      <w:r>
        <w:rPr>
          <w:rFonts w:ascii="Arial" w:hAnsi="Arial" w:cs="Arial"/>
          <w:lang w:val="en-US"/>
        </w:rPr>
        <w:t>Labour</w:t>
      </w:r>
      <w:r w:rsidRPr="00180ADC">
        <w:rPr>
          <w:rFonts w:ascii="Arial" w:hAnsi="Arial" w:cs="Arial"/>
          <w:lang w:val="en-US"/>
        </w:rPr>
        <w:t xml:space="preserve"> Act</w:t>
      </w:r>
      <w:r>
        <w:rPr>
          <w:rFonts w:ascii="Arial" w:hAnsi="Arial" w:cs="Arial"/>
          <w:lang w:val="en-US"/>
        </w:rPr>
        <w:t xml:space="preserve"> 11 of 2007 – </w:t>
      </w:r>
      <w:r w:rsidR="003A26AF">
        <w:rPr>
          <w:rFonts w:ascii="Arial" w:hAnsi="Arial" w:cs="Arial"/>
          <w:lang w:val="en-US"/>
        </w:rPr>
        <w:t>A</w:t>
      </w:r>
      <w:r w:rsidR="00180ADC" w:rsidRPr="00180ADC">
        <w:rPr>
          <w:rFonts w:ascii="Arial" w:hAnsi="Arial" w:cs="Arial"/>
          <w:lang w:val="en-US"/>
        </w:rPr>
        <w:t>war</w:t>
      </w:r>
      <w:r w:rsidR="002B2CD6">
        <w:rPr>
          <w:rFonts w:ascii="Arial" w:hAnsi="Arial" w:cs="Arial"/>
          <w:lang w:val="en-US"/>
        </w:rPr>
        <w:t>d</w:t>
      </w:r>
      <w:r w:rsidR="003973F9">
        <w:rPr>
          <w:rFonts w:ascii="Arial" w:hAnsi="Arial" w:cs="Arial"/>
          <w:lang w:val="en-US"/>
        </w:rPr>
        <w:t xml:space="preserve"> being served</w:t>
      </w:r>
      <w:r w:rsidR="002B2CD6">
        <w:rPr>
          <w:rFonts w:ascii="Arial" w:hAnsi="Arial" w:cs="Arial"/>
          <w:lang w:val="en-US"/>
        </w:rPr>
        <w:t xml:space="preserve"> </w:t>
      </w:r>
      <w:r w:rsidR="00180ADC" w:rsidRPr="00180ADC">
        <w:rPr>
          <w:rFonts w:ascii="Arial" w:hAnsi="Arial" w:cs="Arial"/>
          <w:lang w:val="en-US"/>
        </w:rPr>
        <w:t>–</w:t>
      </w:r>
      <w:r w:rsidR="003A26AF">
        <w:rPr>
          <w:rFonts w:ascii="Arial" w:hAnsi="Arial" w:cs="Arial"/>
          <w:lang w:val="en-US"/>
        </w:rPr>
        <w:t xml:space="preserve"> S</w:t>
      </w:r>
      <w:r w:rsidR="002B2CD6" w:rsidRPr="00180ADC">
        <w:rPr>
          <w:rFonts w:ascii="Arial" w:hAnsi="Arial" w:cs="Arial"/>
          <w:lang w:val="en-US"/>
        </w:rPr>
        <w:t>ervice of award</w:t>
      </w:r>
      <w:r w:rsidR="00D664E3">
        <w:rPr>
          <w:rFonts w:ascii="Arial" w:hAnsi="Arial" w:cs="Arial"/>
          <w:lang w:val="en-US"/>
        </w:rPr>
        <w:t xml:space="preserve"> and word ‘serve’ </w:t>
      </w:r>
      <w:r w:rsidR="002B2CD6" w:rsidRPr="00180ADC">
        <w:rPr>
          <w:rFonts w:ascii="Arial" w:hAnsi="Arial" w:cs="Arial"/>
          <w:lang w:val="en-US"/>
        </w:rPr>
        <w:t>not defined in</w:t>
      </w:r>
      <w:r w:rsidR="002B2CD6">
        <w:rPr>
          <w:rFonts w:ascii="Arial" w:hAnsi="Arial" w:cs="Arial"/>
          <w:lang w:val="en-US"/>
        </w:rPr>
        <w:t xml:space="preserve"> </w:t>
      </w:r>
      <w:r w:rsidR="002B2CD6" w:rsidRPr="00180ADC">
        <w:rPr>
          <w:rFonts w:ascii="Arial" w:hAnsi="Arial" w:cs="Arial"/>
          <w:lang w:val="en-US"/>
        </w:rPr>
        <w:t>Act</w:t>
      </w:r>
      <w:r w:rsidR="00FD2333">
        <w:rPr>
          <w:rFonts w:ascii="Arial" w:hAnsi="Arial" w:cs="Arial"/>
          <w:lang w:val="en-US"/>
        </w:rPr>
        <w:t xml:space="preserve"> </w:t>
      </w:r>
      <w:r w:rsidR="002B2CD6">
        <w:rPr>
          <w:rFonts w:ascii="Arial" w:hAnsi="Arial" w:cs="Arial"/>
          <w:lang w:val="en-US"/>
        </w:rPr>
        <w:t xml:space="preserve">– </w:t>
      </w:r>
      <w:r w:rsidR="003A26AF">
        <w:rPr>
          <w:rFonts w:ascii="Arial" w:hAnsi="Arial" w:cs="Arial"/>
          <w:lang w:val="en-US"/>
        </w:rPr>
        <w:t>Section</w:t>
      </w:r>
      <w:r w:rsidR="00180ADC" w:rsidRPr="00180ADC">
        <w:rPr>
          <w:rFonts w:ascii="Arial" w:hAnsi="Arial" w:cs="Arial"/>
          <w:lang w:val="en-US"/>
        </w:rPr>
        <w:t xml:space="preserve"> 129</w:t>
      </w:r>
      <w:r w:rsidR="00D36D25">
        <w:rPr>
          <w:rFonts w:ascii="Arial" w:hAnsi="Arial" w:cs="Arial"/>
          <w:lang w:val="en-US"/>
        </w:rPr>
        <w:t xml:space="preserve"> </w:t>
      </w:r>
      <w:r w:rsidR="003A26AF">
        <w:rPr>
          <w:rFonts w:ascii="Arial" w:hAnsi="Arial" w:cs="Arial"/>
          <w:lang w:val="en-US"/>
        </w:rPr>
        <w:t xml:space="preserve">of </w:t>
      </w:r>
      <w:r w:rsidR="003A26AF">
        <w:rPr>
          <w:rFonts w:ascii="Arial" w:hAnsi="Arial" w:cs="Arial"/>
          <w:lang w:val="en-US"/>
        </w:rPr>
        <w:lastRenderedPageBreak/>
        <w:t xml:space="preserve">the </w:t>
      </w:r>
      <w:r w:rsidR="00D36D25">
        <w:rPr>
          <w:rFonts w:ascii="Arial" w:hAnsi="Arial" w:cs="Arial"/>
          <w:lang w:val="en-US"/>
        </w:rPr>
        <w:t>Act</w:t>
      </w:r>
      <w:r w:rsidR="00D664E3">
        <w:rPr>
          <w:rFonts w:ascii="Arial" w:hAnsi="Arial" w:cs="Arial"/>
          <w:lang w:val="en-US"/>
        </w:rPr>
        <w:t xml:space="preserve"> </w:t>
      </w:r>
      <w:r w:rsidR="00180ADC" w:rsidRPr="00180ADC">
        <w:rPr>
          <w:rFonts w:ascii="Arial" w:hAnsi="Arial" w:cs="Arial"/>
          <w:lang w:val="en-US"/>
        </w:rPr>
        <w:t xml:space="preserve">– </w:t>
      </w:r>
      <w:r w:rsidR="003A26AF">
        <w:rPr>
          <w:rFonts w:ascii="Arial" w:hAnsi="Arial" w:cs="Arial"/>
          <w:lang w:val="en-US"/>
        </w:rPr>
        <w:t>S</w:t>
      </w:r>
      <w:r w:rsidR="00180ADC" w:rsidRPr="00180ADC">
        <w:rPr>
          <w:rFonts w:ascii="Arial" w:hAnsi="Arial" w:cs="Arial"/>
          <w:lang w:val="en-US"/>
        </w:rPr>
        <w:t>ervice of documents –</w:t>
      </w:r>
      <w:r w:rsidR="00AE57CE">
        <w:rPr>
          <w:rFonts w:ascii="Arial" w:hAnsi="Arial" w:cs="Arial"/>
          <w:lang w:val="en-US"/>
        </w:rPr>
        <w:t xml:space="preserve"> </w:t>
      </w:r>
      <w:r w:rsidR="003A26AF">
        <w:rPr>
          <w:rFonts w:ascii="Arial" w:hAnsi="Arial" w:cs="Arial"/>
          <w:lang w:val="en-US"/>
        </w:rPr>
        <w:t>Section</w:t>
      </w:r>
      <w:r w:rsidR="003C6368">
        <w:rPr>
          <w:rFonts w:ascii="Arial" w:hAnsi="Arial" w:cs="Arial"/>
          <w:lang w:val="en-US"/>
        </w:rPr>
        <w:t xml:space="preserve"> 129(2) </w:t>
      </w:r>
      <w:r w:rsidR="003A26AF">
        <w:rPr>
          <w:rFonts w:ascii="Arial" w:hAnsi="Arial" w:cs="Arial"/>
          <w:lang w:val="en-US"/>
        </w:rPr>
        <w:t xml:space="preserve">of the </w:t>
      </w:r>
      <w:r w:rsidR="003C6368">
        <w:rPr>
          <w:rFonts w:ascii="Arial" w:hAnsi="Arial" w:cs="Arial"/>
          <w:lang w:val="en-US"/>
        </w:rPr>
        <w:t>Act</w:t>
      </w:r>
      <w:r w:rsidR="007E3CE1">
        <w:rPr>
          <w:rFonts w:ascii="Arial" w:hAnsi="Arial" w:cs="Arial"/>
          <w:lang w:val="en-US"/>
        </w:rPr>
        <w:t xml:space="preserve"> </w:t>
      </w:r>
      <w:r w:rsidR="003678FB">
        <w:rPr>
          <w:rFonts w:ascii="Arial" w:hAnsi="Arial" w:cs="Arial"/>
          <w:lang w:val="en-US"/>
        </w:rPr>
        <w:t xml:space="preserve">does </w:t>
      </w:r>
      <w:r w:rsidR="003C6368">
        <w:rPr>
          <w:rFonts w:ascii="Arial" w:hAnsi="Arial" w:cs="Arial"/>
          <w:lang w:val="en-US"/>
        </w:rPr>
        <w:t>not appl</w:t>
      </w:r>
      <w:r w:rsidR="003678FB">
        <w:rPr>
          <w:rFonts w:ascii="Arial" w:hAnsi="Arial" w:cs="Arial"/>
          <w:lang w:val="en-US"/>
        </w:rPr>
        <w:t>y</w:t>
      </w:r>
      <w:r w:rsidR="003C6368">
        <w:rPr>
          <w:rFonts w:ascii="Arial" w:hAnsi="Arial" w:cs="Arial"/>
          <w:lang w:val="en-US"/>
        </w:rPr>
        <w:t xml:space="preserve"> to service of award</w:t>
      </w:r>
      <w:r w:rsidR="000347B9">
        <w:rPr>
          <w:rFonts w:ascii="Arial" w:hAnsi="Arial" w:cs="Arial"/>
          <w:lang w:val="en-US"/>
        </w:rPr>
        <w:t xml:space="preserve"> </w:t>
      </w:r>
      <w:r w:rsidR="004C2355">
        <w:rPr>
          <w:rFonts w:ascii="Arial" w:hAnsi="Arial" w:cs="Arial"/>
          <w:lang w:val="en-US"/>
        </w:rPr>
        <w:t xml:space="preserve">– </w:t>
      </w:r>
      <w:r w:rsidR="00180ADC" w:rsidRPr="00180ADC">
        <w:rPr>
          <w:rFonts w:ascii="Arial" w:hAnsi="Arial" w:cs="Arial"/>
          <w:lang w:val="en-US"/>
        </w:rPr>
        <w:t xml:space="preserve">Conciliation and Arbitration </w:t>
      </w:r>
      <w:r w:rsidR="003A26AF">
        <w:rPr>
          <w:rFonts w:ascii="Arial" w:hAnsi="Arial" w:cs="Arial"/>
          <w:lang w:val="en-US"/>
        </w:rPr>
        <w:t>r</w:t>
      </w:r>
      <w:r w:rsidR="00180ADC" w:rsidRPr="00180ADC">
        <w:rPr>
          <w:rFonts w:ascii="Arial" w:hAnsi="Arial" w:cs="Arial"/>
          <w:lang w:val="en-US"/>
        </w:rPr>
        <w:t xml:space="preserve"> 21(1)</w:t>
      </w:r>
      <w:r w:rsidR="00AE57CE">
        <w:rPr>
          <w:rFonts w:ascii="Arial" w:hAnsi="Arial" w:cs="Arial"/>
          <w:lang w:val="en-US"/>
        </w:rPr>
        <w:t xml:space="preserve"> read with r 1(1) and 6 apply </w:t>
      </w:r>
      <w:r w:rsidR="00180ADC" w:rsidRPr="00180ADC">
        <w:rPr>
          <w:rFonts w:ascii="Arial" w:hAnsi="Arial" w:cs="Arial"/>
          <w:lang w:val="en-US"/>
        </w:rPr>
        <w:t>–</w:t>
      </w:r>
      <w:r w:rsidR="002E1187">
        <w:rPr>
          <w:rFonts w:ascii="Arial" w:hAnsi="Arial" w:cs="Arial"/>
          <w:lang w:val="en-US"/>
        </w:rPr>
        <w:t xml:space="preserve"> </w:t>
      </w:r>
      <w:r w:rsidR="003A26AF">
        <w:rPr>
          <w:rFonts w:ascii="Arial" w:hAnsi="Arial" w:cs="Arial"/>
          <w:lang w:val="en-US"/>
        </w:rPr>
        <w:t>A</w:t>
      </w:r>
      <w:r w:rsidR="00577CFF">
        <w:rPr>
          <w:rFonts w:ascii="Arial" w:hAnsi="Arial" w:cs="Arial"/>
          <w:lang w:val="en-US"/>
        </w:rPr>
        <w:t>rbitrator must serve award</w:t>
      </w:r>
      <w:r w:rsidR="003C6368">
        <w:rPr>
          <w:rFonts w:ascii="Arial" w:hAnsi="Arial" w:cs="Arial"/>
          <w:lang w:val="en-US"/>
        </w:rPr>
        <w:t xml:space="preserve"> on parties</w:t>
      </w:r>
      <w:r w:rsidR="00577CFF">
        <w:rPr>
          <w:rFonts w:ascii="Arial" w:hAnsi="Arial" w:cs="Arial"/>
          <w:lang w:val="en-US"/>
        </w:rPr>
        <w:t xml:space="preserve"> </w:t>
      </w:r>
      <w:r w:rsidR="0046215F">
        <w:rPr>
          <w:rFonts w:ascii="Arial" w:hAnsi="Arial" w:cs="Arial"/>
          <w:lang w:val="en-US"/>
        </w:rPr>
        <w:t>under</w:t>
      </w:r>
      <w:r w:rsidR="00577CFF">
        <w:rPr>
          <w:rFonts w:ascii="Arial" w:hAnsi="Arial" w:cs="Arial"/>
          <w:lang w:val="en-US"/>
        </w:rPr>
        <w:t xml:space="preserve"> </w:t>
      </w:r>
      <w:r w:rsidR="00180ADC" w:rsidRPr="00180ADC">
        <w:rPr>
          <w:rFonts w:ascii="Arial" w:hAnsi="Arial" w:cs="Arial"/>
          <w:lang w:val="en-US"/>
        </w:rPr>
        <w:t xml:space="preserve">Conciliation and Arbitration </w:t>
      </w:r>
      <w:r w:rsidR="003A26AF">
        <w:rPr>
          <w:rFonts w:ascii="Arial" w:hAnsi="Arial" w:cs="Arial"/>
          <w:lang w:val="en-US"/>
        </w:rPr>
        <w:t>r</w:t>
      </w:r>
      <w:r w:rsidR="00180ADC" w:rsidRPr="00180ADC">
        <w:rPr>
          <w:rFonts w:ascii="Arial" w:hAnsi="Arial" w:cs="Arial"/>
          <w:lang w:val="en-US"/>
        </w:rPr>
        <w:t xml:space="preserve"> 6</w:t>
      </w:r>
      <w:r w:rsidR="00AE57CE">
        <w:rPr>
          <w:rFonts w:ascii="Arial" w:hAnsi="Arial" w:cs="Arial"/>
          <w:lang w:val="en-US"/>
        </w:rPr>
        <w:t xml:space="preserve"> – </w:t>
      </w:r>
      <w:r w:rsidR="00180ADC" w:rsidRPr="00180ADC">
        <w:rPr>
          <w:rFonts w:ascii="Arial" w:hAnsi="Arial" w:cs="Arial"/>
          <w:lang w:val="en-US"/>
        </w:rPr>
        <w:t>Conciliation and Arbitration</w:t>
      </w:r>
      <w:r w:rsidR="00971600">
        <w:rPr>
          <w:rFonts w:ascii="Arial" w:hAnsi="Arial" w:cs="Arial"/>
          <w:lang w:val="en-US"/>
        </w:rPr>
        <w:t xml:space="preserve"> </w:t>
      </w:r>
      <w:r w:rsidR="003A26AF">
        <w:rPr>
          <w:rFonts w:ascii="Arial" w:hAnsi="Arial" w:cs="Arial"/>
          <w:lang w:val="en-US"/>
        </w:rPr>
        <w:t>r</w:t>
      </w:r>
      <w:r w:rsidR="00180ADC" w:rsidRPr="00180ADC">
        <w:rPr>
          <w:rFonts w:ascii="Arial" w:hAnsi="Arial" w:cs="Arial"/>
          <w:lang w:val="en-US"/>
        </w:rPr>
        <w:t xml:space="preserve"> 6(</w:t>
      </w:r>
      <w:r w:rsidR="006402B3">
        <w:rPr>
          <w:rFonts w:ascii="Arial" w:hAnsi="Arial" w:cs="Arial"/>
          <w:lang w:val="en-US"/>
        </w:rPr>
        <w:t>3</w:t>
      </w:r>
      <w:r w:rsidR="00180ADC" w:rsidRPr="00180ADC">
        <w:rPr>
          <w:rFonts w:ascii="Arial" w:hAnsi="Arial" w:cs="Arial"/>
          <w:lang w:val="en-US"/>
        </w:rPr>
        <w:t>)</w:t>
      </w:r>
      <w:r w:rsidR="00180ADC" w:rsidRPr="002B462E">
        <w:rPr>
          <w:rFonts w:ascii="Arial" w:hAnsi="Arial" w:cs="Arial"/>
          <w:i/>
          <w:iCs/>
          <w:lang w:val="en-US"/>
        </w:rPr>
        <w:t>(</w:t>
      </w:r>
      <w:r w:rsidR="006402B3" w:rsidRPr="002B462E">
        <w:rPr>
          <w:rFonts w:ascii="Arial" w:hAnsi="Arial" w:cs="Arial"/>
          <w:i/>
          <w:iCs/>
          <w:lang w:val="en-US"/>
        </w:rPr>
        <w:t>a</w:t>
      </w:r>
      <w:r w:rsidR="00180ADC" w:rsidRPr="002B462E">
        <w:rPr>
          <w:rFonts w:ascii="Arial" w:hAnsi="Arial" w:cs="Arial"/>
          <w:i/>
          <w:iCs/>
          <w:lang w:val="en-US"/>
        </w:rPr>
        <w:t>)</w:t>
      </w:r>
      <w:r w:rsidR="00971600">
        <w:rPr>
          <w:rFonts w:ascii="Arial" w:hAnsi="Arial" w:cs="Arial"/>
          <w:lang w:val="en-US"/>
        </w:rPr>
        <w:t xml:space="preserve"> </w:t>
      </w:r>
      <w:r w:rsidR="00180ADC" w:rsidRPr="00180ADC">
        <w:rPr>
          <w:rFonts w:ascii="Arial" w:hAnsi="Arial" w:cs="Arial"/>
          <w:lang w:val="en-US"/>
        </w:rPr>
        <w:t>–</w:t>
      </w:r>
      <w:r w:rsidR="00971600">
        <w:rPr>
          <w:rFonts w:ascii="Arial" w:hAnsi="Arial" w:cs="Arial"/>
          <w:lang w:val="en-US"/>
        </w:rPr>
        <w:t xml:space="preserve"> </w:t>
      </w:r>
      <w:r w:rsidR="003A26AF">
        <w:rPr>
          <w:rFonts w:ascii="Arial" w:hAnsi="Arial" w:cs="Arial"/>
          <w:lang w:val="en-US"/>
        </w:rPr>
        <w:t>S</w:t>
      </w:r>
      <w:r w:rsidR="00971600">
        <w:rPr>
          <w:rFonts w:ascii="Arial" w:hAnsi="Arial" w:cs="Arial"/>
          <w:lang w:val="en-US"/>
        </w:rPr>
        <w:t xml:space="preserve">ervice </w:t>
      </w:r>
      <w:r w:rsidR="006402B3">
        <w:rPr>
          <w:rFonts w:ascii="Arial" w:hAnsi="Arial" w:cs="Arial"/>
          <w:lang w:val="en-US"/>
        </w:rPr>
        <w:t xml:space="preserve">on company </w:t>
      </w:r>
      <w:r w:rsidR="00971600">
        <w:rPr>
          <w:rFonts w:ascii="Arial" w:hAnsi="Arial" w:cs="Arial"/>
          <w:lang w:val="en-US"/>
        </w:rPr>
        <w:t xml:space="preserve">– </w:t>
      </w:r>
      <w:r w:rsidR="003A26AF">
        <w:rPr>
          <w:rFonts w:ascii="Arial" w:hAnsi="Arial" w:cs="Arial"/>
          <w:lang w:val="en-US"/>
        </w:rPr>
        <w:t>I</w:t>
      </w:r>
      <w:r w:rsidR="000028BC">
        <w:rPr>
          <w:rFonts w:ascii="Arial" w:hAnsi="Arial" w:cs="Arial"/>
          <w:lang w:val="en-US"/>
        </w:rPr>
        <w:t>rregular s</w:t>
      </w:r>
      <w:r w:rsidR="00A61D6F">
        <w:rPr>
          <w:rFonts w:ascii="Arial" w:hAnsi="Arial" w:cs="Arial"/>
          <w:lang w:val="en-US"/>
        </w:rPr>
        <w:t xml:space="preserve">ervice of </w:t>
      </w:r>
      <w:r w:rsidR="00D60BA6">
        <w:rPr>
          <w:rFonts w:ascii="Arial" w:hAnsi="Arial" w:cs="Arial"/>
          <w:lang w:val="en-US"/>
        </w:rPr>
        <w:t>ruling</w:t>
      </w:r>
      <w:r w:rsidR="00A61D6F">
        <w:rPr>
          <w:rFonts w:ascii="Arial" w:hAnsi="Arial" w:cs="Arial"/>
          <w:lang w:val="en-US"/>
        </w:rPr>
        <w:t xml:space="preserve"> </w:t>
      </w:r>
      <w:r w:rsidR="00D60BA6">
        <w:rPr>
          <w:rFonts w:ascii="Arial" w:hAnsi="Arial" w:cs="Arial"/>
          <w:lang w:val="en-US"/>
        </w:rPr>
        <w:t xml:space="preserve">on </w:t>
      </w:r>
      <w:r w:rsidR="00E72E33">
        <w:rPr>
          <w:rFonts w:ascii="Arial" w:hAnsi="Arial" w:cs="Arial"/>
          <w:lang w:val="en-US"/>
        </w:rPr>
        <w:t>a</w:t>
      </w:r>
      <w:r w:rsidR="00D60BA6">
        <w:rPr>
          <w:rFonts w:ascii="Arial" w:hAnsi="Arial" w:cs="Arial"/>
          <w:lang w:val="en-US"/>
        </w:rPr>
        <w:t>pplicant company by email</w:t>
      </w:r>
      <w:r w:rsidR="00A61D6F">
        <w:rPr>
          <w:rFonts w:ascii="Arial" w:hAnsi="Arial" w:cs="Arial"/>
          <w:lang w:val="en-US"/>
        </w:rPr>
        <w:t xml:space="preserve"> </w:t>
      </w:r>
      <w:r w:rsidR="00265607">
        <w:rPr>
          <w:rFonts w:ascii="Arial" w:hAnsi="Arial" w:cs="Arial"/>
          <w:lang w:val="en-US"/>
        </w:rPr>
        <w:t>–</w:t>
      </w:r>
      <w:r w:rsidR="000028BC">
        <w:rPr>
          <w:rFonts w:ascii="Arial" w:hAnsi="Arial" w:cs="Arial"/>
          <w:lang w:val="en-US"/>
        </w:rPr>
        <w:t xml:space="preserve"> </w:t>
      </w:r>
      <w:r w:rsidR="003A26AF">
        <w:rPr>
          <w:rFonts w:ascii="Arial" w:hAnsi="Arial" w:cs="Arial"/>
          <w:lang w:val="en-US"/>
        </w:rPr>
        <w:t>N</w:t>
      </w:r>
      <w:r w:rsidR="00D60BA6">
        <w:rPr>
          <w:rFonts w:ascii="Arial" w:hAnsi="Arial" w:cs="Arial"/>
          <w:lang w:val="en-US"/>
        </w:rPr>
        <w:t xml:space="preserve">ot </w:t>
      </w:r>
      <w:r w:rsidR="0046215F">
        <w:rPr>
          <w:rFonts w:ascii="Arial" w:hAnsi="Arial" w:cs="Arial"/>
          <w:lang w:val="en-US"/>
        </w:rPr>
        <w:t xml:space="preserve">a </w:t>
      </w:r>
      <w:r w:rsidR="00D60BA6">
        <w:rPr>
          <w:rFonts w:ascii="Arial" w:hAnsi="Arial" w:cs="Arial"/>
          <w:lang w:val="en-US"/>
        </w:rPr>
        <w:t xml:space="preserve">complete </w:t>
      </w:r>
      <w:r w:rsidR="00D60BA6" w:rsidRPr="0046215F">
        <w:rPr>
          <w:rFonts w:ascii="Arial" w:hAnsi="Arial" w:cs="Arial"/>
        </w:rPr>
        <w:t>failure</w:t>
      </w:r>
      <w:r w:rsidR="00D60BA6">
        <w:rPr>
          <w:rFonts w:ascii="Arial" w:hAnsi="Arial" w:cs="Arial"/>
          <w:lang w:val="en-US"/>
        </w:rPr>
        <w:t xml:space="preserve"> of service</w:t>
      </w:r>
      <w:r w:rsidR="00AE57CE">
        <w:rPr>
          <w:rFonts w:ascii="Arial" w:hAnsi="Arial" w:cs="Arial"/>
          <w:lang w:val="en-US"/>
        </w:rPr>
        <w:t xml:space="preserve"> – </w:t>
      </w:r>
      <w:r w:rsidR="003A26AF">
        <w:rPr>
          <w:rFonts w:ascii="Arial" w:hAnsi="Arial" w:cs="Arial"/>
          <w:lang w:val="en-US"/>
        </w:rPr>
        <w:t>S</w:t>
      </w:r>
      <w:r w:rsidR="00AE57CE">
        <w:rPr>
          <w:rFonts w:ascii="Arial" w:hAnsi="Arial" w:cs="Arial"/>
          <w:lang w:val="en-US"/>
        </w:rPr>
        <w:t>ubstantial</w:t>
      </w:r>
      <w:r w:rsidR="00265607">
        <w:rPr>
          <w:rFonts w:ascii="Arial" w:hAnsi="Arial" w:cs="Arial"/>
          <w:lang w:val="en-US"/>
        </w:rPr>
        <w:t xml:space="preserve"> compliance with </w:t>
      </w:r>
      <w:r w:rsidR="00F0600E">
        <w:rPr>
          <w:rFonts w:ascii="Arial" w:hAnsi="Arial" w:cs="Arial"/>
          <w:lang w:val="en-US"/>
        </w:rPr>
        <w:t>rule</w:t>
      </w:r>
      <w:r w:rsidR="006402B3">
        <w:rPr>
          <w:rFonts w:ascii="Arial" w:hAnsi="Arial" w:cs="Arial"/>
          <w:lang w:val="en-US"/>
        </w:rPr>
        <w:t xml:space="preserve"> </w:t>
      </w:r>
      <w:r w:rsidR="00180ADC" w:rsidRPr="00180ADC">
        <w:rPr>
          <w:rFonts w:ascii="Arial" w:hAnsi="Arial" w:cs="Arial"/>
          <w:lang w:val="en-US"/>
        </w:rPr>
        <w:t>–</w:t>
      </w:r>
      <w:r w:rsidR="002E1187">
        <w:rPr>
          <w:rFonts w:ascii="Arial" w:hAnsi="Arial" w:cs="Arial"/>
          <w:lang w:val="en-US"/>
        </w:rPr>
        <w:t xml:space="preserve"> </w:t>
      </w:r>
      <w:r w:rsidR="003A26AF">
        <w:rPr>
          <w:rFonts w:ascii="Arial" w:hAnsi="Arial" w:cs="Arial"/>
          <w:lang w:val="en-US"/>
        </w:rPr>
        <w:t>I</w:t>
      </w:r>
      <w:r w:rsidR="002E1187">
        <w:rPr>
          <w:rFonts w:ascii="Arial" w:hAnsi="Arial" w:cs="Arial"/>
          <w:lang w:val="en-US"/>
        </w:rPr>
        <w:t>n this instance</w:t>
      </w:r>
      <w:r w:rsidR="00AE57CE">
        <w:rPr>
          <w:rFonts w:ascii="Arial" w:hAnsi="Arial" w:cs="Arial"/>
          <w:lang w:val="en-US"/>
        </w:rPr>
        <w:t xml:space="preserve"> interpretation of </w:t>
      </w:r>
      <w:r w:rsidR="00CB595B">
        <w:rPr>
          <w:rFonts w:ascii="Arial" w:hAnsi="Arial" w:cs="Arial"/>
          <w:lang w:val="en-US"/>
        </w:rPr>
        <w:t xml:space="preserve">word </w:t>
      </w:r>
      <w:r w:rsidR="00AE57CE">
        <w:rPr>
          <w:rFonts w:ascii="Arial" w:hAnsi="Arial" w:cs="Arial"/>
          <w:lang w:val="en-US"/>
        </w:rPr>
        <w:t>‘</w:t>
      </w:r>
      <w:r w:rsidR="00CB595B">
        <w:rPr>
          <w:rFonts w:ascii="Arial" w:hAnsi="Arial" w:cs="Arial"/>
          <w:lang w:val="en-US"/>
        </w:rPr>
        <w:t>must</w:t>
      </w:r>
      <w:r w:rsidR="00AE57CE">
        <w:rPr>
          <w:rFonts w:ascii="Arial" w:hAnsi="Arial" w:cs="Arial"/>
          <w:lang w:val="en-US"/>
        </w:rPr>
        <w:t xml:space="preserve">’ therein </w:t>
      </w:r>
      <w:r w:rsidR="007F2BD6">
        <w:rPr>
          <w:rFonts w:ascii="Arial" w:hAnsi="Arial" w:cs="Arial"/>
          <w:lang w:val="en-US"/>
        </w:rPr>
        <w:t xml:space="preserve">directory and permissive </w:t>
      </w:r>
      <w:r w:rsidR="007F2BD6" w:rsidRPr="00180ADC">
        <w:rPr>
          <w:rFonts w:ascii="Arial" w:hAnsi="Arial" w:cs="Arial"/>
          <w:lang w:val="en-US"/>
        </w:rPr>
        <w:t>requiring substantial compliance</w:t>
      </w:r>
      <w:r w:rsidR="005C26D7">
        <w:rPr>
          <w:rFonts w:ascii="Arial" w:hAnsi="Arial" w:cs="Arial"/>
          <w:lang w:val="en-US"/>
        </w:rPr>
        <w:t xml:space="preserve"> with rule</w:t>
      </w:r>
      <w:r w:rsidR="002E1187">
        <w:rPr>
          <w:rFonts w:ascii="Arial" w:hAnsi="Arial" w:cs="Arial"/>
          <w:lang w:val="en-US"/>
        </w:rPr>
        <w:t xml:space="preserve"> </w:t>
      </w:r>
      <w:r w:rsidR="007F2BD6">
        <w:rPr>
          <w:rFonts w:ascii="Arial" w:hAnsi="Arial" w:cs="Arial"/>
          <w:lang w:val="en-US"/>
        </w:rPr>
        <w:t>–</w:t>
      </w:r>
      <w:r w:rsidR="002E1187">
        <w:rPr>
          <w:rFonts w:ascii="Arial" w:hAnsi="Arial" w:cs="Arial"/>
          <w:lang w:val="en-US"/>
        </w:rPr>
        <w:t xml:space="preserve"> </w:t>
      </w:r>
      <w:r w:rsidR="003A26AF">
        <w:rPr>
          <w:rFonts w:ascii="Arial" w:hAnsi="Arial" w:cs="Arial"/>
          <w:lang w:val="en-US"/>
        </w:rPr>
        <w:t>A</w:t>
      </w:r>
      <w:r w:rsidR="004D2255">
        <w:rPr>
          <w:rFonts w:ascii="Arial" w:hAnsi="Arial" w:cs="Arial"/>
          <w:lang w:val="en-US"/>
        </w:rPr>
        <w:t>ppeal noted timeously</w:t>
      </w:r>
      <w:r w:rsidR="00387978">
        <w:rPr>
          <w:rFonts w:ascii="Arial" w:hAnsi="Arial" w:cs="Arial"/>
          <w:lang w:val="en-US"/>
        </w:rPr>
        <w:t>.</w:t>
      </w:r>
    </w:p>
    <w:p w14:paraId="2B902F9E" w14:textId="77777777" w:rsidR="007A0259" w:rsidRPr="00EB0655" w:rsidRDefault="007A0259" w:rsidP="007A0259">
      <w:pPr>
        <w:pStyle w:val="ListParagraph"/>
        <w:rPr>
          <w:rFonts w:ascii="Arial" w:eastAsia="Calibri" w:hAnsi="Arial" w:cs="Arial"/>
          <w:bCs/>
        </w:rPr>
      </w:pPr>
    </w:p>
    <w:p w14:paraId="498312BE" w14:textId="713EA9D2" w:rsidR="007A0259" w:rsidRDefault="00103732" w:rsidP="007A0259">
      <w:pPr>
        <w:pStyle w:val="ListParagraph"/>
        <w:spacing w:line="360" w:lineRule="auto"/>
        <w:ind w:left="0"/>
        <w:jc w:val="both"/>
        <w:rPr>
          <w:rFonts w:ascii="Arial" w:hAnsi="Arial" w:cs="Arial"/>
          <w:lang w:val="en-US"/>
        </w:rPr>
      </w:pPr>
      <w:r>
        <w:rPr>
          <w:rFonts w:ascii="Arial" w:hAnsi="Arial" w:cs="Arial"/>
          <w:lang w:val="en-US"/>
        </w:rPr>
        <w:t xml:space="preserve">Practice – </w:t>
      </w:r>
      <w:r w:rsidR="002E1187">
        <w:rPr>
          <w:rFonts w:ascii="Arial" w:hAnsi="Arial" w:cs="Arial"/>
          <w:lang w:val="en-US"/>
        </w:rPr>
        <w:t xml:space="preserve">Labour Court </w:t>
      </w:r>
      <w:r w:rsidR="003A26AF">
        <w:rPr>
          <w:rFonts w:ascii="Arial" w:hAnsi="Arial" w:cs="Arial"/>
          <w:lang w:val="en-US"/>
        </w:rPr>
        <w:t>r</w:t>
      </w:r>
      <w:r w:rsidR="002E1187">
        <w:rPr>
          <w:rFonts w:ascii="Arial" w:hAnsi="Arial" w:cs="Arial"/>
          <w:lang w:val="en-US"/>
        </w:rPr>
        <w:t xml:space="preserve"> 17(1) – </w:t>
      </w:r>
      <w:r w:rsidR="003A26AF">
        <w:rPr>
          <w:rFonts w:ascii="Arial" w:hAnsi="Arial" w:cs="Arial"/>
          <w:lang w:val="en-US"/>
        </w:rPr>
        <w:t>D</w:t>
      </w:r>
      <w:r w:rsidR="002E1187">
        <w:rPr>
          <w:rFonts w:ascii="Arial" w:hAnsi="Arial" w:cs="Arial"/>
          <w:lang w:val="en-US"/>
        </w:rPr>
        <w:t xml:space="preserve">ifferent types of appeal – </w:t>
      </w:r>
      <w:r>
        <w:rPr>
          <w:rFonts w:ascii="Arial" w:hAnsi="Arial" w:cs="Arial"/>
          <w:lang w:val="en-US"/>
        </w:rPr>
        <w:t xml:space="preserve">Labour Court </w:t>
      </w:r>
      <w:r w:rsidR="003A26AF">
        <w:rPr>
          <w:rFonts w:ascii="Arial" w:hAnsi="Arial" w:cs="Arial"/>
          <w:lang w:val="en-US"/>
        </w:rPr>
        <w:t>r</w:t>
      </w:r>
      <w:r>
        <w:rPr>
          <w:rFonts w:ascii="Arial" w:hAnsi="Arial" w:cs="Arial"/>
          <w:lang w:val="en-US"/>
        </w:rPr>
        <w:t xml:space="preserve"> 17(1)</w:t>
      </w:r>
      <w:r w:rsidRPr="002B462E">
        <w:rPr>
          <w:rFonts w:ascii="Arial" w:hAnsi="Arial" w:cs="Arial"/>
          <w:i/>
          <w:iCs/>
          <w:lang w:val="en-US"/>
        </w:rPr>
        <w:t>(c)</w:t>
      </w:r>
      <w:r>
        <w:rPr>
          <w:rFonts w:ascii="Arial" w:hAnsi="Arial" w:cs="Arial"/>
          <w:lang w:val="en-US"/>
        </w:rPr>
        <w:t xml:space="preserve"> – </w:t>
      </w:r>
      <w:r w:rsidR="003A26AF">
        <w:rPr>
          <w:rFonts w:ascii="Arial" w:hAnsi="Arial" w:cs="Arial"/>
          <w:lang w:val="en-US"/>
        </w:rPr>
        <w:t>A</w:t>
      </w:r>
      <w:r w:rsidR="00C124A0">
        <w:rPr>
          <w:rFonts w:ascii="Arial" w:hAnsi="Arial" w:cs="Arial"/>
          <w:lang w:val="en-US"/>
        </w:rPr>
        <w:t>ppeal against arbitration tribunal award</w:t>
      </w:r>
      <w:r>
        <w:rPr>
          <w:rFonts w:ascii="Arial" w:hAnsi="Arial" w:cs="Arial"/>
          <w:lang w:val="en-US"/>
        </w:rPr>
        <w:t xml:space="preserve"> </w:t>
      </w:r>
      <w:r w:rsidR="00C124A0">
        <w:rPr>
          <w:rFonts w:ascii="Arial" w:hAnsi="Arial" w:cs="Arial"/>
          <w:lang w:val="en-US"/>
        </w:rPr>
        <w:t xml:space="preserve">– </w:t>
      </w:r>
      <w:r w:rsidR="00180ADC" w:rsidRPr="00180ADC">
        <w:rPr>
          <w:rFonts w:ascii="Arial" w:hAnsi="Arial" w:cs="Arial"/>
          <w:lang w:val="en-US"/>
        </w:rPr>
        <w:t xml:space="preserve">Labour Court </w:t>
      </w:r>
      <w:r w:rsidR="003A26AF">
        <w:rPr>
          <w:rFonts w:ascii="Arial" w:hAnsi="Arial" w:cs="Arial"/>
          <w:lang w:val="en-US"/>
        </w:rPr>
        <w:t>r</w:t>
      </w:r>
      <w:r w:rsidR="00180ADC" w:rsidRPr="00180ADC">
        <w:rPr>
          <w:rFonts w:ascii="Arial" w:hAnsi="Arial" w:cs="Arial"/>
          <w:lang w:val="en-US"/>
        </w:rPr>
        <w:t xml:space="preserve"> 17(3) </w:t>
      </w:r>
      <w:r>
        <w:rPr>
          <w:rFonts w:ascii="Arial" w:hAnsi="Arial" w:cs="Arial"/>
          <w:lang w:val="en-US"/>
        </w:rPr>
        <w:t>appli</w:t>
      </w:r>
      <w:r w:rsidR="003678FB">
        <w:rPr>
          <w:rFonts w:ascii="Arial" w:hAnsi="Arial" w:cs="Arial"/>
          <w:lang w:val="en-US"/>
        </w:rPr>
        <w:t>es</w:t>
      </w:r>
      <w:r>
        <w:rPr>
          <w:rFonts w:ascii="Arial" w:hAnsi="Arial" w:cs="Arial"/>
          <w:lang w:val="en-US"/>
        </w:rPr>
        <w:t xml:space="preserve"> together</w:t>
      </w:r>
      <w:r w:rsidR="00C124A0">
        <w:rPr>
          <w:rFonts w:ascii="Arial" w:hAnsi="Arial" w:cs="Arial"/>
          <w:lang w:val="en-US"/>
        </w:rPr>
        <w:t xml:space="preserve"> with Conciliation and Arbitration </w:t>
      </w:r>
      <w:r w:rsidR="003A26AF">
        <w:rPr>
          <w:rFonts w:ascii="Arial" w:hAnsi="Arial" w:cs="Arial"/>
          <w:lang w:val="en-US"/>
        </w:rPr>
        <w:t>r</w:t>
      </w:r>
      <w:r w:rsidR="00C124A0">
        <w:rPr>
          <w:rFonts w:ascii="Arial" w:hAnsi="Arial" w:cs="Arial"/>
          <w:lang w:val="en-US"/>
        </w:rPr>
        <w:t xml:space="preserve"> 23 – Labour Court </w:t>
      </w:r>
      <w:r w:rsidR="003A26AF">
        <w:rPr>
          <w:rFonts w:ascii="Arial" w:hAnsi="Arial" w:cs="Arial"/>
          <w:lang w:val="en-US"/>
        </w:rPr>
        <w:t>r</w:t>
      </w:r>
      <w:r w:rsidR="00C124A0">
        <w:rPr>
          <w:rFonts w:ascii="Arial" w:hAnsi="Arial" w:cs="Arial"/>
          <w:lang w:val="en-US"/>
        </w:rPr>
        <w:t xml:space="preserve"> 17(2) </w:t>
      </w:r>
      <w:r w:rsidR="003678FB">
        <w:rPr>
          <w:rFonts w:ascii="Arial" w:hAnsi="Arial" w:cs="Arial"/>
          <w:lang w:val="en-US"/>
        </w:rPr>
        <w:t xml:space="preserve">does </w:t>
      </w:r>
      <w:r w:rsidR="003A6FDE">
        <w:rPr>
          <w:rFonts w:ascii="Arial" w:hAnsi="Arial" w:cs="Arial"/>
          <w:lang w:val="en-US"/>
        </w:rPr>
        <w:t>not appl</w:t>
      </w:r>
      <w:r w:rsidR="003678FB">
        <w:rPr>
          <w:rFonts w:ascii="Arial" w:hAnsi="Arial" w:cs="Arial"/>
          <w:lang w:val="en-US"/>
        </w:rPr>
        <w:t>y</w:t>
      </w:r>
      <w:r w:rsidR="003A6FDE">
        <w:rPr>
          <w:rFonts w:ascii="Arial" w:hAnsi="Arial" w:cs="Arial"/>
          <w:lang w:val="en-US"/>
        </w:rPr>
        <w:t xml:space="preserve"> </w:t>
      </w:r>
      <w:r>
        <w:rPr>
          <w:rFonts w:ascii="Arial" w:hAnsi="Arial" w:cs="Arial"/>
          <w:lang w:val="en-US"/>
        </w:rPr>
        <w:t>–</w:t>
      </w:r>
      <w:r w:rsidR="002E1187">
        <w:rPr>
          <w:rFonts w:ascii="Arial" w:hAnsi="Arial" w:cs="Arial"/>
          <w:lang w:val="en-US"/>
        </w:rPr>
        <w:t xml:space="preserve"> </w:t>
      </w:r>
      <w:r w:rsidR="007153A7">
        <w:rPr>
          <w:rFonts w:ascii="Arial" w:hAnsi="Arial" w:cs="Arial"/>
          <w:lang w:val="en-US"/>
        </w:rPr>
        <w:t>Labour Court</w:t>
      </w:r>
      <w:r w:rsidR="008937B5">
        <w:rPr>
          <w:rFonts w:ascii="Arial" w:hAnsi="Arial" w:cs="Arial"/>
          <w:lang w:val="en-US"/>
        </w:rPr>
        <w:t xml:space="preserve"> </w:t>
      </w:r>
      <w:r w:rsidR="003A26AF">
        <w:rPr>
          <w:rFonts w:ascii="Arial" w:hAnsi="Arial" w:cs="Arial"/>
          <w:lang w:val="en-US"/>
        </w:rPr>
        <w:t>r</w:t>
      </w:r>
      <w:r w:rsidR="00456CB0">
        <w:rPr>
          <w:rFonts w:ascii="Arial" w:hAnsi="Arial" w:cs="Arial"/>
          <w:lang w:val="en-US"/>
        </w:rPr>
        <w:t xml:space="preserve"> </w:t>
      </w:r>
      <w:r w:rsidR="008937B5">
        <w:rPr>
          <w:rFonts w:ascii="Arial" w:hAnsi="Arial" w:cs="Arial"/>
          <w:lang w:val="en-US"/>
        </w:rPr>
        <w:t xml:space="preserve">17(3) </w:t>
      </w:r>
      <w:r w:rsidR="002E1187">
        <w:rPr>
          <w:rFonts w:ascii="Arial" w:hAnsi="Arial" w:cs="Arial"/>
          <w:lang w:val="en-US"/>
        </w:rPr>
        <w:t xml:space="preserve">does </w:t>
      </w:r>
      <w:r w:rsidR="008937B5">
        <w:rPr>
          <w:rFonts w:ascii="Arial" w:hAnsi="Arial" w:cs="Arial"/>
          <w:lang w:val="en-US"/>
        </w:rPr>
        <w:t>not requi</w:t>
      </w:r>
      <w:r w:rsidR="002E1187">
        <w:rPr>
          <w:rFonts w:ascii="Arial" w:hAnsi="Arial" w:cs="Arial"/>
          <w:lang w:val="en-US"/>
        </w:rPr>
        <w:t>re</w:t>
      </w:r>
      <w:r w:rsidR="008937B5">
        <w:rPr>
          <w:rFonts w:ascii="Arial" w:hAnsi="Arial" w:cs="Arial"/>
          <w:lang w:val="en-US"/>
        </w:rPr>
        <w:t xml:space="preserve"> grounds of appeal </w:t>
      </w:r>
      <w:r w:rsidR="002E1187">
        <w:rPr>
          <w:rFonts w:ascii="Arial" w:hAnsi="Arial" w:cs="Arial"/>
          <w:lang w:val="en-US"/>
        </w:rPr>
        <w:t>to be set out</w:t>
      </w:r>
      <w:r w:rsidR="008937B5">
        <w:rPr>
          <w:rFonts w:ascii="Arial" w:hAnsi="Arial" w:cs="Arial"/>
          <w:lang w:val="en-US"/>
        </w:rPr>
        <w:t xml:space="preserve"> </w:t>
      </w:r>
      <w:r w:rsidR="002E1187">
        <w:rPr>
          <w:rFonts w:ascii="Arial" w:hAnsi="Arial" w:cs="Arial"/>
          <w:lang w:val="en-US"/>
        </w:rPr>
        <w:t xml:space="preserve">in </w:t>
      </w:r>
      <w:r w:rsidR="008937B5">
        <w:rPr>
          <w:rFonts w:ascii="Arial" w:hAnsi="Arial" w:cs="Arial"/>
          <w:lang w:val="en-US"/>
        </w:rPr>
        <w:t>Form 11</w:t>
      </w:r>
      <w:r w:rsidR="002E1187">
        <w:rPr>
          <w:rFonts w:ascii="Arial" w:hAnsi="Arial" w:cs="Arial"/>
          <w:lang w:val="en-US"/>
        </w:rPr>
        <w:t xml:space="preserve"> for appeal against award</w:t>
      </w:r>
      <w:r w:rsidR="008937B5">
        <w:rPr>
          <w:rFonts w:ascii="Arial" w:hAnsi="Arial" w:cs="Arial"/>
          <w:lang w:val="en-US"/>
        </w:rPr>
        <w:t xml:space="preserve"> – </w:t>
      </w:r>
      <w:r w:rsidR="007153A7">
        <w:rPr>
          <w:rFonts w:ascii="Arial" w:hAnsi="Arial" w:cs="Arial"/>
          <w:lang w:val="en-US"/>
        </w:rPr>
        <w:t>Labour Court</w:t>
      </w:r>
      <w:r w:rsidR="008937B5">
        <w:rPr>
          <w:rFonts w:ascii="Arial" w:hAnsi="Arial" w:cs="Arial"/>
          <w:lang w:val="en-US"/>
        </w:rPr>
        <w:t xml:space="preserve"> </w:t>
      </w:r>
      <w:r w:rsidR="003A26AF">
        <w:rPr>
          <w:rFonts w:ascii="Arial" w:hAnsi="Arial" w:cs="Arial"/>
          <w:lang w:val="en-US"/>
        </w:rPr>
        <w:t>r</w:t>
      </w:r>
      <w:r w:rsidR="008937B5">
        <w:rPr>
          <w:rFonts w:ascii="Arial" w:hAnsi="Arial" w:cs="Arial"/>
          <w:lang w:val="en-US"/>
        </w:rPr>
        <w:t xml:space="preserve"> 17(2) requiring grounds of appeal in Form 11 </w:t>
      </w:r>
      <w:r w:rsidR="002E1187">
        <w:rPr>
          <w:rFonts w:ascii="Arial" w:hAnsi="Arial" w:cs="Arial"/>
          <w:lang w:val="en-US"/>
        </w:rPr>
        <w:t xml:space="preserve">for other types of appeal </w:t>
      </w:r>
      <w:r w:rsidR="008937B5">
        <w:rPr>
          <w:rFonts w:ascii="Arial" w:hAnsi="Arial" w:cs="Arial"/>
          <w:lang w:val="en-US"/>
        </w:rPr>
        <w:t xml:space="preserve">distinguished </w:t>
      </w:r>
      <w:r w:rsidR="00180ADC" w:rsidRPr="00180ADC">
        <w:rPr>
          <w:rFonts w:ascii="Arial" w:hAnsi="Arial" w:cs="Arial"/>
          <w:lang w:val="en-US"/>
        </w:rPr>
        <w:t>–</w:t>
      </w:r>
      <w:r w:rsidR="002E1187">
        <w:rPr>
          <w:rFonts w:ascii="Arial" w:hAnsi="Arial" w:cs="Arial"/>
          <w:lang w:val="en-US"/>
        </w:rPr>
        <w:t xml:space="preserve"> </w:t>
      </w:r>
      <w:r w:rsidR="00E72E33">
        <w:rPr>
          <w:rFonts w:ascii="Arial" w:hAnsi="Arial" w:cs="Arial"/>
          <w:lang w:val="en-US"/>
        </w:rPr>
        <w:t>a</w:t>
      </w:r>
      <w:r w:rsidR="008937B5">
        <w:rPr>
          <w:rFonts w:ascii="Arial" w:hAnsi="Arial" w:cs="Arial"/>
          <w:lang w:val="en-US"/>
        </w:rPr>
        <w:t>pplicant’s Form 11 not defective</w:t>
      </w:r>
      <w:r w:rsidR="00387978">
        <w:rPr>
          <w:rFonts w:ascii="Arial" w:hAnsi="Arial" w:cs="Arial"/>
          <w:lang w:val="en-US"/>
        </w:rPr>
        <w:t>.</w:t>
      </w:r>
    </w:p>
    <w:p w14:paraId="4472E10F" w14:textId="77777777" w:rsidR="007A0259" w:rsidRPr="00EB0655" w:rsidRDefault="007A0259" w:rsidP="007A0259">
      <w:pPr>
        <w:pStyle w:val="ListParagraph"/>
        <w:rPr>
          <w:rFonts w:ascii="Arial" w:eastAsia="Calibri" w:hAnsi="Arial" w:cs="Arial"/>
          <w:bCs/>
        </w:rPr>
      </w:pPr>
    </w:p>
    <w:p w14:paraId="07D0BF46" w14:textId="0C0505E0" w:rsidR="007A0259" w:rsidRDefault="00103732" w:rsidP="007A0259">
      <w:pPr>
        <w:pStyle w:val="ListParagraph"/>
        <w:spacing w:line="360" w:lineRule="auto"/>
        <w:ind w:left="0"/>
        <w:jc w:val="both"/>
        <w:rPr>
          <w:rFonts w:ascii="Arial" w:hAnsi="Arial" w:cs="Arial"/>
          <w:lang w:val="en-US"/>
        </w:rPr>
      </w:pPr>
      <w:r w:rsidRPr="00180ADC">
        <w:rPr>
          <w:rFonts w:ascii="Arial" w:hAnsi="Arial" w:cs="Arial"/>
          <w:lang w:val="en-US"/>
        </w:rPr>
        <w:t xml:space="preserve">Condonation – </w:t>
      </w:r>
      <w:r w:rsidR="003A26AF">
        <w:rPr>
          <w:rFonts w:ascii="Arial" w:hAnsi="Arial" w:cs="Arial"/>
          <w:lang w:val="en-US"/>
        </w:rPr>
        <w:t>L</w:t>
      </w:r>
      <w:r w:rsidRPr="00180ADC">
        <w:rPr>
          <w:rFonts w:ascii="Arial" w:hAnsi="Arial" w:cs="Arial"/>
          <w:lang w:val="en-US"/>
        </w:rPr>
        <w:t xml:space="preserve">ate prosecution and reinstatement of appeal </w:t>
      </w:r>
      <w:r>
        <w:rPr>
          <w:rFonts w:ascii="Arial" w:hAnsi="Arial" w:cs="Arial"/>
          <w:lang w:val="en-US"/>
        </w:rPr>
        <w:t xml:space="preserve">– </w:t>
      </w:r>
      <w:r w:rsidRPr="00180ADC">
        <w:rPr>
          <w:rFonts w:ascii="Arial" w:hAnsi="Arial" w:cs="Arial"/>
          <w:lang w:val="en-US"/>
        </w:rPr>
        <w:t xml:space="preserve">Labour Court </w:t>
      </w:r>
      <w:r w:rsidR="003A26AF">
        <w:rPr>
          <w:rFonts w:ascii="Arial" w:hAnsi="Arial" w:cs="Arial"/>
          <w:lang w:val="en-US"/>
        </w:rPr>
        <w:t>r</w:t>
      </w:r>
      <w:r w:rsidRPr="00180ADC">
        <w:rPr>
          <w:rFonts w:ascii="Arial" w:hAnsi="Arial" w:cs="Arial"/>
          <w:lang w:val="en-US"/>
        </w:rPr>
        <w:t xml:space="preserve"> 15 – </w:t>
      </w:r>
      <w:r w:rsidR="003A26AF">
        <w:rPr>
          <w:rFonts w:ascii="Arial" w:hAnsi="Arial" w:cs="Arial"/>
          <w:lang w:val="en-US"/>
        </w:rPr>
        <w:t>M</w:t>
      </w:r>
      <w:r w:rsidR="00456CB0">
        <w:rPr>
          <w:rFonts w:ascii="Arial" w:hAnsi="Arial" w:cs="Arial"/>
          <w:lang w:val="en-US"/>
        </w:rPr>
        <w:t xml:space="preserve">ust show </w:t>
      </w:r>
      <w:r w:rsidRPr="00180ADC">
        <w:rPr>
          <w:rFonts w:ascii="Arial" w:hAnsi="Arial" w:cs="Arial"/>
          <w:lang w:val="en-US"/>
        </w:rPr>
        <w:t>good cause</w:t>
      </w:r>
      <w:r>
        <w:rPr>
          <w:rFonts w:ascii="Arial" w:hAnsi="Arial" w:cs="Arial"/>
          <w:lang w:val="en-US"/>
        </w:rPr>
        <w:t xml:space="preserve"> – </w:t>
      </w:r>
      <w:r w:rsidR="003A26AF">
        <w:rPr>
          <w:rFonts w:ascii="Arial" w:hAnsi="Arial" w:cs="Arial"/>
          <w:lang w:val="en-US"/>
        </w:rPr>
        <w:t>T</w:t>
      </w:r>
      <w:r w:rsidR="00456CB0">
        <w:rPr>
          <w:rFonts w:ascii="Arial" w:hAnsi="Arial" w:cs="Arial"/>
          <w:lang w:val="en-US"/>
        </w:rPr>
        <w:t xml:space="preserve">wo </w:t>
      </w:r>
      <w:r>
        <w:rPr>
          <w:rFonts w:ascii="Arial" w:hAnsi="Arial" w:cs="Arial"/>
          <w:lang w:val="en-US"/>
        </w:rPr>
        <w:t>requirements</w:t>
      </w:r>
      <w:r w:rsidR="002E1187">
        <w:rPr>
          <w:rFonts w:ascii="Arial" w:hAnsi="Arial" w:cs="Arial"/>
          <w:lang w:val="en-US"/>
        </w:rPr>
        <w:t xml:space="preserve"> restated </w:t>
      </w:r>
      <w:r w:rsidR="00456CB0">
        <w:rPr>
          <w:rFonts w:ascii="Arial" w:hAnsi="Arial" w:cs="Arial"/>
          <w:lang w:val="en-US"/>
        </w:rPr>
        <w:t>–</w:t>
      </w:r>
      <w:r w:rsidR="0081583B">
        <w:rPr>
          <w:rFonts w:ascii="Arial" w:hAnsi="Arial" w:cs="Arial"/>
          <w:lang w:val="en-US"/>
        </w:rPr>
        <w:t xml:space="preserve"> </w:t>
      </w:r>
      <w:r w:rsidR="003A26AF">
        <w:rPr>
          <w:rFonts w:ascii="Arial" w:hAnsi="Arial" w:cs="Arial"/>
          <w:lang w:val="en-US"/>
        </w:rPr>
        <w:t>P</w:t>
      </w:r>
      <w:r w:rsidR="00840CF8">
        <w:rPr>
          <w:rFonts w:ascii="Arial" w:hAnsi="Arial" w:cs="Arial"/>
          <w:lang w:val="en-US"/>
        </w:rPr>
        <w:t>rinciples and factors restated</w:t>
      </w:r>
      <w:r>
        <w:rPr>
          <w:rFonts w:ascii="Arial" w:hAnsi="Arial" w:cs="Arial"/>
          <w:lang w:val="en-US"/>
        </w:rPr>
        <w:t xml:space="preserve"> </w:t>
      </w:r>
      <w:r w:rsidR="00840CF8">
        <w:rPr>
          <w:rFonts w:ascii="Arial" w:hAnsi="Arial" w:cs="Arial"/>
          <w:lang w:val="en-US"/>
        </w:rPr>
        <w:t xml:space="preserve">– </w:t>
      </w:r>
      <w:r w:rsidR="003A26AF">
        <w:rPr>
          <w:rFonts w:ascii="Arial" w:hAnsi="Arial" w:cs="Arial"/>
          <w:lang w:val="en-US"/>
        </w:rPr>
        <w:t>B</w:t>
      </w:r>
      <w:r w:rsidR="00840CF8">
        <w:rPr>
          <w:rFonts w:ascii="Arial" w:hAnsi="Arial" w:cs="Arial"/>
          <w:lang w:val="en-US"/>
        </w:rPr>
        <w:t>alancing exercise</w:t>
      </w:r>
      <w:r w:rsidR="00387978">
        <w:rPr>
          <w:rFonts w:ascii="Arial" w:hAnsi="Arial" w:cs="Arial"/>
          <w:lang w:val="en-US"/>
        </w:rPr>
        <w:t>.</w:t>
      </w:r>
    </w:p>
    <w:p w14:paraId="6E46A6C9" w14:textId="77777777" w:rsidR="007A0259" w:rsidRPr="00EB0655" w:rsidRDefault="007A0259" w:rsidP="007A0259">
      <w:pPr>
        <w:pStyle w:val="ListParagraph"/>
        <w:rPr>
          <w:rFonts w:ascii="Arial" w:eastAsia="Calibri" w:hAnsi="Arial" w:cs="Arial"/>
          <w:bCs/>
        </w:rPr>
      </w:pPr>
    </w:p>
    <w:p w14:paraId="287811F9" w14:textId="098795A0" w:rsidR="007A0259" w:rsidRDefault="002D2FE1" w:rsidP="007A0259">
      <w:pPr>
        <w:pStyle w:val="ListParagraph"/>
        <w:spacing w:line="360" w:lineRule="auto"/>
        <w:ind w:left="0"/>
        <w:jc w:val="both"/>
        <w:rPr>
          <w:rFonts w:ascii="Arial" w:hAnsi="Arial" w:cs="Arial"/>
          <w:lang w:val="en-US"/>
        </w:rPr>
      </w:pPr>
      <w:r w:rsidRPr="002D2FE1">
        <w:rPr>
          <w:rFonts w:ascii="Arial" w:hAnsi="Arial" w:cs="Arial"/>
          <w:lang w:val="en-US"/>
        </w:rPr>
        <w:t>Rescission application – s 88</w:t>
      </w:r>
      <w:r w:rsidRPr="00A365A3">
        <w:rPr>
          <w:rFonts w:ascii="Arial" w:hAnsi="Arial" w:cs="Arial"/>
          <w:i/>
          <w:iCs/>
          <w:lang w:val="en-US"/>
        </w:rPr>
        <w:t>(a)</w:t>
      </w:r>
      <w:r w:rsidRPr="002D2FE1">
        <w:rPr>
          <w:rFonts w:ascii="Arial" w:hAnsi="Arial" w:cs="Arial"/>
          <w:lang w:val="en-US"/>
        </w:rPr>
        <w:t xml:space="preserve"> Labour Act 11 of 2007 –</w:t>
      </w:r>
      <w:r w:rsidR="00034FF9">
        <w:rPr>
          <w:rFonts w:ascii="Arial" w:hAnsi="Arial" w:cs="Arial"/>
          <w:lang w:val="en-US"/>
        </w:rPr>
        <w:t xml:space="preserve"> </w:t>
      </w:r>
      <w:r>
        <w:rPr>
          <w:rFonts w:ascii="Arial" w:hAnsi="Arial" w:cs="Arial"/>
        </w:rPr>
        <w:t xml:space="preserve">principles </w:t>
      </w:r>
      <w:r w:rsidR="00034FF9">
        <w:rPr>
          <w:rFonts w:ascii="Arial" w:hAnsi="Arial" w:cs="Arial"/>
        </w:rPr>
        <w:t xml:space="preserve">of </w:t>
      </w:r>
      <w:r w:rsidRPr="002D2FE1">
        <w:rPr>
          <w:rFonts w:ascii="Arial" w:hAnsi="Arial" w:cs="Arial"/>
        </w:rPr>
        <w:t xml:space="preserve">High Court </w:t>
      </w:r>
      <w:r w:rsidR="003A26AF">
        <w:rPr>
          <w:rFonts w:ascii="Arial" w:hAnsi="Arial" w:cs="Arial"/>
        </w:rPr>
        <w:t>r</w:t>
      </w:r>
      <w:r w:rsidRPr="002D2FE1">
        <w:rPr>
          <w:rFonts w:ascii="Arial" w:hAnsi="Arial" w:cs="Arial"/>
        </w:rPr>
        <w:t xml:space="preserve"> 103(1)</w:t>
      </w:r>
      <w:r w:rsidRPr="00A365A3">
        <w:rPr>
          <w:rFonts w:ascii="Arial" w:hAnsi="Arial" w:cs="Arial"/>
          <w:i/>
          <w:iCs/>
        </w:rPr>
        <w:t>(a)</w:t>
      </w:r>
      <w:r w:rsidRPr="002D2FE1">
        <w:rPr>
          <w:rFonts w:ascii="Arial" w:hAnsi="Arial" w:cs="Arial"/>
        </w:rPr>
        <w:t xml:space="preserve"> appl</w:t>
      </w:r>
      <w:r w:rsidR="00064B1E">
        <w:rPr>
          <w:rFonts w:ascii="Arial" w:hAnsi="Arial" w:cs="Arial"/>
        </w:rPr>
        <w:t>y</w:t>
      </w:r>
      <w:r w:rsidRPr="002D2FE1">
        <w:rPr>
          <w:rFonts w:ascii="Arial" w:hAnsi="Arial" w:cs="Arial"/>
        </w:rPr>
        <w:t xml:space="preserve"> to s 88(1) </w:t>
      </w:r>
      <w:r>
        <w:rPr>
          <w:rFonts w:ascii="Arial" w:hAnsi="Arial" w:cs="Arial"/>
        </w:rPr>
        <w:t>–</w:t>
      </w:r>
      <w:r w:rsidRPr="002D2FE1">
        <w:rPr>
          <w:rFonts w:ascii="Arial" w:hAnsi="Arial" w:cs="Arial"/>
        </w:rPr>
        <w:t xml:space="preserve"> </w:t>
      </w:r>
      <w:r w:rsidR="00E72E33">
        <w:rPr>
          <w:rFonts w:ascii="Arial" w:hAnsi="Arial" w:cs="Arial"/>
        </w:rPr>
        <w:t xml:space="preserve">an </w:t>
      </w:r>
      <w:r w:rsidRPr="002D2FE1">
        <w:rPr>
          <w:rFonts w:ascii="Arial" w:hAnsi="Arial" w:cs="Arial"/>
          <w:lang w:val="en-US"/>
        </w:rPr>
        <w:t xml:space="preserve">applicant need not show good cause – such judgment or order should be rescinded without further enquiry </w:t>
      </w:r>
      <w:r>
        <w:rPr>
          <w:rFonts w:ascii="Arial" w:hAnsi="Arial" w:cs="Arial"/>
          <w:lang w:val="en-US"/>
        </w:rPr>
        <w:t>–</w:t>
      </w:r>
      <w:r w:rsidRPr="002D2FE1">
        <w:rPr>
          <w:rFonts w:ascii="Arial" w:hAnsi="Arial" w:cs="Arial"/>
          <w:lang w:val="en-US"/>
        </w:rPr>
        <w:t xml:space="preserve"> court entitled to have regard not only to record </w:t>
      </w:r>
      <w:r w:rsidR="00034FF9">
        <w:rPr>
          <w:rFonts w:ascii="Arial" w:hAnsi="Arial" w:cs="Arial"/>
          <w:lang w:val="en-US"/>
        </w:rPr>
        <w:t xml:space="preserve">of </w:t>
      </w:r>
      <w:r w:rsidRPr="002D2FE1">
        <w:rPr>
          <w:rFonts w:ascii="Arial" w:hAnsi="Arial" w:cs="Arial"/>
          <w:lang w:val="en-US"/>
        </w:rPr>
        <w:t xml:space="preserve">proceedings of court concerned but also facts set out in affidavit </w:t>
      </w:r>
      <w:r>
        <w:rPr>
          <w:rFonts w:ascii="Arial" w:hAnsi="Arial" w:cs="Arial"/>
          <w:lang w:val="en-US"/>
        </w:rPr>
        <w:t xml:space="preserve">– </w:t>
      </w:r>
      <w:r w:rsidRPr="002D2FE1">
        <w:rPr>
          <w:rFonts w:ascii="Arial" w:hAnsi="Arial" w:cs="Arial"/>
        </w:rPr>
        <w:t>order granted</w:t>
      </w:r>
      <w:r>
        <w:rPr>
          <w:rFonts w:ascii="Arial" w:hAnsi="Arial" w:cs="Arial"/>
        </w:rPr>
        <w:t xml:space="preserve"> </w:t>
      </w:r>
      <w:r w:rsidRPr="002D2FE1">
        <w:rPr>
          <w:rFonts w:ascii="Arial" w:hAnsi="Arial" w:cs="Arial"/>
        </w:rPr>
        <w:t>erroneously</w:t>
      </w:r>
      <w:r>
        <w:rPr>
          <w:rFonts w:ascii="Arial" w:hAnsi="Arial" w:cs="Arial"/>
        </w:rPr>
        <w:t xml:space="preserve"> where no proper service</w:t>
      </w:r>
      <w:r w:rsidR="00387978">
        <w:rPr>
          <w:rFonts w:ascii="Arial" w:hAnsi="Arial" w:cs="Arial"/>
        </w:rPr>
        <w:t>.</w:t>
      </w:r>
    </w:p>
    <w:p w14:paraId="21563C06" w14:textId="77777777" w:rsidR="007A0259" w:rsidRPr="00EB0655" w:rsidRDefault="007A0259" w:rsidP="007A0259">
      <w:pPr>
        <w:pStyle w:val="ListParagraph"/>
        <w:rPr>
          <w:rFonts w:ascii="Arial" w:eastAsia="Calibri" w:hAnsi="Arial" w:cs="Arial"/>
          <w:bCs/>
        </w:rPr>
      </w:pPr>
    </w:p>
    <w:p w14:paraId="44324647" w14:textId="39AADFBA" w:rsidR="007A0259" w:rsidRDefault="00155B26" w:rsidP="007A0259">
      <w:pPr>
        <w:pStyle w:val="ListParagraph"/>
        <w:spacing w:line="360" w:lineRule="auto"/>
        <w:ind w:left="0"/>
        <w:jc w:val="both"/>
        <w:rPr>
          <w:rFonts w:ascii="Arial" w:hAnsi="Arial" w:cs="Arial"/>
          <w:lang w:val="en-US"/>
        </w:rPr>
      </w:pPr>
      <w:r w:rsidRPr="00200F4A">
        <w:rPr>
          <w:rFonts w:ascii="Arial" w:hAnsi="Arial" w:cs="Arial"/>
          <w:b/>
          <w:bCs/>
          <w:lang w:val="en-US"/>
        </w:rPr>
        <w:t>Summary:</w:t>
      </w:r>
      <w:r w:rsidRPr="00200F4A">
        <w:rPr>
          <w:rFonts w:ascii="Arial" w:hAnsi="Arial" w:cs="Arial"/>
          <w:b/>
          <w:bCs/>
          <w:lang w:val="en-US"/>
        </w:rPr>
        <w:tab/>
      </w:r>
      <w:r w:rsidR="00034FF9">
        <w:rPr>
          <w:rFonts w:ascii="Arial" w:hAnsi="Arial" w:cs="Arial"/>
          <w:bCs/>
        </w:rPr>
        <w:t>The</w:t>
      </w:r>
      <w:r w:rsidR="00200F4A" w:rsidRPr="00200F4A">
        <w:rPr>
          <w:rFonts w:ascii="Arial" w:hAnsi="Arial" w:cs="Arial"/>
          <w:bCs/>
        </w:rPr>
        <w:t xml:space="preserve"> </w:t>
      </w:r>
      <w:r w:rsidR="0019379D">
        <w:rPr>
          <w:rFonts w:ascii="Arial" w:hAnsi="Arial" w:cs="Arial"/>
          <w:bCs/>
        </w:rPr>
        <w:t>r</w:t>
      </w:r>
      <w:r w:rsidR="00200F4A" w:rsidRPr="00200F4A">
        <w:rPr>
          <w:rFonts w:ascii="Arial" w:hAnsi="Arial" w:cs="Arial"/>
          <w:bCs/>
        </w:rPr>
        <w:t>espondent</w:t>
      </w:r>
      <w:r w:rsidR="00034FF9">
        <w:rPr>
          <w:rFonts w:ascii="Arial" w:hAnsi="Arial" w:cs="Arial"/>
          <w:bCs/>
        </w:rPr>
        <w:t xml:space="preserve"> referred a dispute of </w:t>
      </w:r>
      <w:r w:rsidR="00200F4A" w:rsidRPr="00200F4A">
        <w:rPr>
          <w:rFonts w:ascii="Arial" w:hAnsi="Arial" w:cs="Arial"/>
          <w:bCs/>
        </w:rPr>
        <w:t>unfair labour practice</w:t>
      </w:r>
      <w:r w:rsidR="002D3EAD">
        <w:rPr>
          <w:rFonts w:ascii="Arial" w:hAnsi="Arial" w:cs="Arial"/>
          <w:bCs/>
        </w:rPr>
        <w:t xml:space="preserve">, </w:t>
      </w:r>
      <w:r w:rsidR="00200F4A" w:rsidRPr="00200F4A">
        <w:rPr>
          <w:rFonts w:ascii="Arial" w:hAnsi="Arial" w:cs="Arial"/>
          <w:bCs/>
        </w:rPr>
        <w:t>unfair dismissal</w:t>
      </w:r>
      <w:r w:rsidR="002D3EAD">
        <w:rPr>
          <w:rFonts w:ascii="Arial" w:hAnsi="Arial" w:cs="Arial"/>
          <w:bCs/>
        </w:rPr>
        <w:t xml:space="preserve"> and withholding remuneration</w:t>
      </w:r>
      <w:r w:rsidR="00034FF9">
        <w:rPr>
          <w:rFonts w:ascii="Arial" w:hAnsi="Arial" w:cs="Arial"/>
          <w:bCs/>
        </w:rPr>
        <w:t xml:space="preserve"> to the Labour Commissioner. The Arbitrator dealt with the dispute</w:t>
      </w:r>
      <w:r w:rsidR="00200F4A" w:rsidRPr="00200F4A">
        <w:rPr>
          <w:rFonts w:ascii="Arial" w:hAnsi="Arial" w:cs="Arial"/>
          <w:bCs/>
        </w:rPr>
        <w:t xml:space="preserve"> in the </w:t>
      </w:r>
      <w:r w:rsidR="00E72E33">
        <w:rPr>
          <w:rFonts w:ascii="Arial" w:hAnsi="Arial" w:cs="Arial"/>
          <w:bCs/>
        </w:rPr>
        <w:t>a</w:t>
      </w:r>
      <w:r w:rsidR="00200F4A" w:rsidRPr="00200F4A">
        <w:rPr>
          <w:rFonts w:ascii="Arial" w:hAnsi="Arial" w:cs="Arial"/>
          <w:bCs/>
        </w:rPr>
        <w:t xml:space="preserve">pplicant’s absence and made an award dated 7 December 2021 in </w:t>
      </w:r>
      <w:r w:rsidR="00200F4A">
        <w:rPr>
          <w:rFonts w:ascii="Arial" w:hAnsi="Arial" w:cs="Arial"/>
          <w:bCs/>
        </w:rPr>
        <w:t xml:space="preserve">favour of </w:t>
      </w:r>
      <w:r w:rsidR="00200F4A" w:rsidRPr="00200F4A">
        <w:rPr>
          <w:rFonts w:ascii="Arial" w:hAnsi="Arial" w:cs="Arial"/>
          <w:bCs/>
        </w:rPr>
        <w:t xml:space="preserve">the </w:t>
      </w:r>
      <w:r w:rsidR="0019379D">
        <w:rPr>
          <w:rFonts w:ascii="Arial" w:hAnsi="Arial" w:cs="Arial"/>
          <w:bCs/>
        </w:rPr>
        <w:t>r</w:t>
      </w:r>
      <w:r w:rsidR="00200F4A" w:rsidRPr="00200F4A">
        <w:rPr>
          <w:rFonts w:ascii="Arial" w:hAnsi="Arial" w:cs="Arial"/>
          <w:bCs/>
        </w:rPr>
        <w:t>espondent</w:t>
      </w:r>
      <w:r w:rsidR="00200F4A">
        <w:rPr>
          <w:rFonts w:ascii="Arial" w:hAnsi="Arial" w:cs="Arial"/>
          <w:bCs/>
        </w:rPr>
        <w:t xml:space="preserve">. </w:t>
      </w:r>
      <w:r w:rsidR="00200F4A" w:rsidRPr="00200F4A">
        <w:rPr>
          <w:rFonts w:ascii="Arial" w:hAnsi="Arial" w:cs="Arial"/>
          <w:bCs/>
        </w:rPr>
        <w:t xml:space="preserve">In a ruling dated 23 March 2022, the </w:t>
      </w:r>
      <w:r w:rsidR="00D27602">
        <w:rPr>
          <w:rFonts w:ascii="Arial" w:hAnsi="Arial" w:cs="Arial"/>
          <w:bCs/>
        </w:rPr>
        <w:t>A</w:t>
      </w:r>
      <w:r w:rsidR="00200F4A" w:rsidRPr="00200F4A">
        <w:rPr>
          <w:rFonts w:ascii="Arial" w:hAnsi="Arial" w:cs="Arial"/>
          <w:bCs/>
        </w:rPr>
        <w:t xml:space="preserve">rbitrator dismissed the </w:t>
      </w:r>
      <w:r w:rsidR="00E72E33">
        <w:rPr>
          <w:rFonts w:ascii="Arial" w:hAnsi="Arial" w:cs="Arial"/>
          <w:bCs/>
        </w:rPr>
        <w:t>a</w:t>
      </w:r>
      <w:r w:rsidR="00200F4A" w:rsidRPr="00200F4A">
        <w:rPr>
          <w:rFonts w:ascii="Arial" w:hAnsi="Arial" w:cs="Arial"/>
          <w:bCs/>
        </w:rPr>
        <w:t xml:space="preserve">pplicant’s </w:t>
      </w:r>
      <w:r w:rsidR="00200F4A">
        <w:rPr>
          <w:rFonts w:ascii="Arial" w:hAnsi="Arial" w:cs="Arial"/>
          <w:bCs/>
        </w:rPr>
        <w:t xml:space="preserve">rescission </w:t>
      </w:r>
      <w:r w:rsidR="00200F4A" w:rsidRPr="00200F4A">
        <w:rPr>
          <w:rFonts w:ascii="Arial" w:hAnsi="Arial" w:cs="Arial"/>
          <w:bCs/>
        </w:rPr>
        <w:t>application</w:t>
      </w:r>
      <w:r w:rsidR="004D2B22">
        <w:rPr>
          <w:rFonts w:ascii="Arial" w:hAnsi="Arial" w:cs="Arial"/>
          <w:bCs/>
        </w:rPr>
        <w:t xml:space="preserve"> </w:t>
      </w:r>
      <w:r w:rsidR="00200F4A" w:rsidRPr="00200F4A">
        <w:rPr>
          <w:rFonts w:ascii="Arial" w:hAnsi="Arial" w:cs="Arial"/>
          <w:bCs/>
        </w:rPr>
        <w:t>in terms of s 88 of the Labour Act 11 of 2007. The ruling</w:t>
      </w:r>
      <w:r w:rsidR="004D2B22">
        <w:rPr>
          <w:rFonts w:ascii="Arial" w:hAnsi="Arial" w:cs="Arial"/>
          <w:bCs/>
        </w:rPr>
        <w:t xml:space="preserve"> </w:t>
      </w:r>
      <w:r w:rsidR="00200F4A" w:rsidRPr="00200F4A">
        <w:rPr>
          <w:rFonts w:ascii="Arial" w:hAnsi="Arial" w:cs="Arial"/>
          <w:bCs/>
        </w:rPr>
        <w:t xml:space="preserve">came to the </w:t>
      </w:r>
      <w:r w:rsidR="00E72E33">
        <w:rPr>
          <w:rFonts w:ascii="Arial" w:hAnsi="Arial" w:cs="Arial"/>
          <w:bCs/>
        </w:rPr>
        <w:t>a</w:t>
      </w:r>
      <w:r w:rsidR="00200F4A" w:rsidRPr="00200F4A">
        <w:rPr>
          <w:rFonts w:ascii="Arial" w:hAnsi="Arial" w:cs="Arial"/>
          <w:bCs/>
        </w:rPr>
        <w:t xml:space="preserve">pplicant’s attention on 20 April 2022 </w:t>
      </w:r>
      <w:r w:rsidR="00200F4A">
        <w:rPr>
          <w:rFonts w:ascii="Arial" w:hAnsi="Arial" w:cs="Arial"/>
          <w:bCs/>
        </w:rPr>
        <w:t>after it</w:t>
      </w:r>
      <w:r w:rsidR="00200F4A" w:rsidRPr="00200F4A">
        <w:rPr>
          <w:rFonts w:ascii="Arial" w:hAnsi="Arial" w:cs="Arial"/>
          <w:bCs/>
        </w:rPr>
        <w:t xml:space="preserve"> was emailed to the </w:t>
      </w:r>
      <w:r w:rsidR="00E72E33">
        <w:rPr>
          <w:rFonts w:ascii="Arial" w:hAnsi="Arial" w:cs="Arial"/>
          <w:bCs/>
        </w:rPr>
        <w:t>a</w:t>
      </w:r>
      <w:r w:rsidR="00200F4A" w:rsidRPr="00200F4A">
        <w:rPr>
          <w:rFonts w:ascii="Arial" w:hAnsi="Arial" w:cs="Arial"/>
          <w:bCs/>
        </w:rPr>
        <w:t>pplicant on 24 March 2022.</w:t>
      </w:r>
      <w:r w:rsidR="004D2B22">
        <w:rPr>
          <w:rFonts w:ascii="Arial" w:hAnsi="Arial" w:cs="Arial"/>
          <w:bCs/>
        </w:rPr>
        <w:t xml:space="preserve"> </w:t>
      </w:r>
      <w:r w:rsidR="00200F4A">
        <w:rPr>
          <w:rFonts w:ascii="Arial" w:hAnsi="Arial" w:cs="Arial"/>
          <w:bCs/>
        </w:rPr>
        <w:t xml:space="preserve">The </w:t>
      </w:r>
      <w:r w:rsidR="00E72E33">
        <w:rPr>
          <w:rFonts w:ascii="Arial" w:hAnsi="Arial" w:cs="Arial"/>
          <w:bCs/>
        </w:rPr>
        <w:t>a</w:t>
      </w:r>
      <w:r w:rsidR="00200F4A">
        <w:rPr>
          <w:rFonts w:ascii="Arial" w:hAnsi="Arial" w:cs="Arial"/>
          <w:bCs/>
        </w:rPr>
        <w:t>pplicant sa</w:t>
      </w:r>
      <w:r w:rsidR="0081583B">
        <w:rPr>
          <w:rFonts w:ascii="Arial" w:hAnsi="Arial" w:cs="Arial"/>
          <w:bCs/>
        </w:rPr>
        <w:t>id</w:t>
      </w:r>
      <w:r w:rsidR="004D2B22">
        <w:rPr>
          <w:rFonts w:ascii="Arial" w:hAnsi="Arial" w:cs="Arial"/>
          <w:bCs/>
        </w:rPr>
        <w:t xml:space="preserve"> </w:t>
      </w:r>
      <w:r w:rsidR="00200F4A">
        <w:rPr>
          <w:rFonts w:ascii="Arial" w:hAnsi="Arial" w:cs="Arial"/>
          <w:bCs/>
        </w:rPr>
        <w:t>the ruling was not properly served</w:t>
      </w:r>
      <w:r w:rsidR="004D2B22">
        <w:rPr>
          <w:rFonts w:ascii="Arial" w:hAnsi="Arial" w:cs="Arial"/>
          <w:bCs/>
        </w:rPr>
        <w:t xml:space="preserve"> on it</w:t>
      </w:r>
      <w:r w:rsidR="00840CF8">
        <w:rPr>
          <w:rFonts w:ascii="Arial" w:hAnsi="Arial" w:cs="Arial"/>
          <w:bCs/>
        </w:rPr>
        <w:t xml:space="preserve"> but acknowledge</w:t>
      </w:r>
      <w:r w:rsidR="0081583B">
        <w:rPr>
          <w:rFonts w:ascii="Arial" w:hAnsi="Arial" w:cs="Arial"/>
          <w:bCs/>
        </w:rPr>
        <w:t>d</w:t>
      </w:r>
      <w:r w:rsidR="00840CF8">
        <w:rPr>
          <w:rFonts w:ascii="Arial" w:hAnsi="Arial" w:cs="Arial"/>
          <w:bCs/>
        </w:rPr>
        <w:t xml:space="preserve"> receipt </w:t>
      </w:r>
      <w:r w:rsidR="00840CF8">
        <w:rPr>
          <w:rFonts w:ascii="Arial" w:hAnsi="Arial" w:cs="Arial"/>
          <w:bCs/>
        </w:rPr>
        <w:lastRenderedPageBreak/>
        <w:t>of the ruling on 20 April 2022</w:t>
      </w:r>
      <w:r w:rsidR="00200F4A">
        <w:rPr>
          <w:rFonts w:ascii="Arial" w:hAnsi="Arial" w:cs="Arial"/>
          <w:bCs/>
        </w:rPr>
        <w:t>.</w:t>
      </w:r>
      <w:r w:rsidR="004D2B22">
        <w:rPr>
          <w:rFonts w:ascii="Arial" w:hAnsi="Arial" w:cs="Arial"/>
          <w:bCs/>
        </w:rPr>
        <w:t xml:space="preserve"> </w:t>
      </w:r>
      <w:r w:rsidR="00200F4A" w:rsidRPr="00200F4A">
        <w:rPr>
          <w:rFonts w:ascii="Arial" w:hAnsi="Arial" w:cs="Arial"/>
          <w:bCs/>
        </w:rPr>
        <w:t>On 27 April 2022</w:t>
      </w:r>
      <w:r w:rsidR="0059357A">
        <w:rPr>
          <w:rFonts w:ascii="Arial" w:hAnsi="Arial" w:cs="Arial"/>
          <w:bCs/>
        </w:rPr>
        <w:t>,</w:t>
      </w:r>
      <w:r w:rsidR="00200F4A" w:rsidRPr="00200F4A">
        <w:rPr>
          <w:rFonts w:ascii="Arial" w:hAnsi="Arial" w:cs="Arial"/>
          <w:bCs/>
        </w:rPr>
        <w:t xml:space="preserve"> the </w:t>
      </w:r>
      <w:r w:rsidR="00E72E33">
        <w:rPr>
          <w:rFonts w:ascii="Arial" w:hAnsi="Arial" w:cs="Arial"/>
          <w:bCs/>
        </w:rPr>
        <w:t>a</w:t>
      </w:r>
      <w:r w:rsidR="00200F4A" w:rsidRPr="00200F4A">
        <w:rPr>
          <w:rFonts w:ascii="Arial" w:hAnsi="Arial" w:cs="Arial"/>
          <w:bCs/>
        </w:rPr>
        <w:t>pplicant noted an appeal against the award and the ruling.</w:t>
      </w:r>
      <w:r w:rsidR="004D2B22">
        <w:rPr>
          <w:rFonts w:ascii="Arial" w:hAnsi="Arial" w:cs="Arial"/>
          <w:bCs/>
        </w:rPr>
        <w:t xml:space="preserve"> The </w:t>
      </w:r>
      <w:r w:rsidR="0019379D">
        <w:rPr>
          <w:rFonts w:ascii="Arial" w:hAnsi="Arial" w:cs="Arial"/>
          <w:bCs/>
        </w:rPr>
        <w:t>r</w:t>
      </w:r>
      <w:r w:rsidR="004D2B22">
        <w:rPr>
          <w:rFonts w:ascii="Arial" w:hAnsi="Arial" w:cs="Arial"/>
          <w:bCs/>
        </w:rPr>
        <w:t>espondent sa</w:t>
      </w:r>
      <w:r w:rsidR="0081583B">
        <w:rPr>
          <w:rFonts w:ascii="Arial" w:hAnsi="Arial" w:cs="Arial"/>
          <w:bCs/>
        </w:rPr>
        <w:t>id</w:t>
      </w:r>
      <w:r w:rsidR="004D2B22">
        <w:rPr>
          <w:rFonts w:ascii="Arial" w:hAnsi="Arial" w:cs="Arial"/>
          <w:bCs/>
        </w:rPr>
        <w:t xml:space="preserve"> the appeal was noted out of time and that the </w:t>
      </w:r>
      <w:r w:rsidR="00E72E33">
        <w:rPr>
          <w:rFonts w:ascii="Arial" w:hAnsi="Arial" w:cs="Arial"/>
          <w:bCs/>
        </w:rPr>
        <w:t>a</w:t>
      </w:r>
      <w:r w:rsidR="004D2B22">
        <w:rPr>
          <w:rFonts w:ascii="Arial" w:hAnsi="Arial" w:cs="Arial"/>
          <w:bCs/>
        </w:rPr>
        <w:t xml:space="preserve">pplicant’s </w:t>
      </w:r>
      <w:r w:rsidR="00840CF8">
        <w:rPr>
          <w:rFonts w:ascii="Arial" w:hAnsi="Arial" w:cs="Arial"/>
          <w:bCs/>
        </w:rPr>
        <w:t xml:space="preserve">notice of appeal </w:t>
      </w:r>
      <w:r w:rsidR="004D2B22">
        <w:rPr>
          <w:rFonts w:ascii="Arial" w:hAnsi="Arial" w:cs="Arial"/>
          <w:bCs/>
        </w:rPr>
        <w:t xml:space="preserve">Form 11 </w:t>
      </w:r>
      <w:r w:rsidR="0081583B">
        <w:rPr>
          <w:rFonts w:ascii="Arial" w:hAnsi="Arial" w:cs="Arial"/>
          <w:bCs/>
        </w:rPr>
        <w:t>i</w:t>
      </w:r>
      <w:r w:rsidR="004D2B22">
        <w:rPr>
          <w:rFonts w:ascii="Arial" w:hAnsi="Arial" w:cs="Arial"/>
          <w:bCs/>
        </w:rPr>
        <w:t xml:space="preserve">s fatally defective. </w:t>
      </w:r>
      <w:r w:rsidR="00AE40F2">
        <w:rPr>
          <w:rFonts w:ascii="Arial" w:hAnsi="Arial" w:cs="Arial"/>
          <w:bCs/>
        </w:rPr>
        <w:t xml:space="preserve">By 26 July 2022, the </w:t>
      </w:r>
      <w:r w:rsidR="00387978">
        <w:rPr>
          <w:rFonts w:ascii="Arial" w:hAnsi="Arial" w:cs="Arial"/>
          <w:bCs/>
        </w:rPr>
        <w:t>ninetieth</w:t>
      </w:r>
      <w:r w:rsidR="00AE40F2">
        <w:rPr>
          <w:rFonts w:ascii="Arial" w:hAnsi="Arial" w:cs="Arial"/>
          <w:bCs/>
        </w:rPr>
        <w:t xml:space="preserve"> day after the appeal was noted, the appeal had not been prosecuted</w:t>
      </w:r>
      <w:r w:rsidR="0046215F">
        <w:rPr>
          <w:rFonts w:ascii="Arial" w:hAnsi="Arial" w:cs="Arial"/>
          <w:bCs/>
        </w:rPr>
        <w:t>, and the appeal wa</w:t>
      </w:r>
      <w:r w:rsidR="00AE40F2">
        <w:rPr>
          <w:rFonts w:ascii="Arial" w:hAnsi="Arial" w:cs="Arial"/>
          <w:bCs/>
        </w:rPr>
        <w:t>s deemed to have lapsed</w:t>
      </w:r>
      <w:r w:rsidR="00200F4A" w:rsidRPr="00200F4A">
        <w:rPr>
          <w:rFonts w:ascii="Arial" w:hAnsi="Arial" w:cs="Arial"/>
          <w:bCs/>
        </w:rPr>
        <w:t>. On 6 October 2022</w:t>
      </w:r>
      <w:r w:rsidR="0059357A">
        <w:rPr>
          <w:rFonts w:ascii="Arial" w:hAnsi="Arial" w:cs="Arial"/>
          <w:bCs/>
        </w:rPr>
        <w:t>,</w:t>
      </w:r>
      <w:r w:rsidR="00200F4A" w:rsidRPr="00200F4A">
        <w:rPr>
          <w:rFonts w:ascii="Arial" w:hAnsi="Arial" w:cs="Arial"/>
          <w:bCs/>
        </w:rPr>
        <w:t xml:space="preserve"> </w:t>
      </w:r>
      <w:r w:rsidR="004D2B22">
        <w:rPr>
          <w:rFonts w:ascii="Arial" w:hAnsi="Arial" w:cs="Arial"/>
          <w:bCs/>
        </w:rPr>
        <w:t xml:space="preserve">the </w:t>
      </w:r>
      <w:r w:rsidR="00E72E33">
        <w:rPr>
          <w:rFonts w:ascii="Arial" w:hAnsi="Arial" w:cs="Arial"/>
          <w:bCs/>
        </w:rPr>
        <w:t>a</w:t>
      </w:r>
      <w:r w:rsidR="004D2B22">
        <w:rPr>
          <w:rFonts w:ascii="Arial" w:hAnsi="Arial" w:cs="Arial"/>
          <w:bCs/>
        </w:rPr>
        <w:t>pplicant</w:t>
      </w:r>
      <w:r w:rsidR="00200F4A" w:rsidRPr="00200F4A">
        <w:rPr>
          <w:rFonts w:ascii="Arial" w:hAnsi="Arial" w:cs="Arial"/>
          <w:bCs/>
        </w:rPr>
        <w:t xml:space="preserve"> </w:t>
      </w:r>
      <w:r w:rsidR="004D2B22">
        <w:rPr>
          <w:rFonts w:ascii="Arial" w:hAnsi="Arial" w:cs="Arial"/>
          <w:bCs/>
        </w:rPr>
        <w:t>sought</w:t>
      </w:r>
      <w:r w:rsidR="00200F4A" w:rsidRPr="00200F4A">
        <w:rPr>
          <w:rFonts w:ascii="Arial" w:hAnsi="Arial" w:cs="Arial"/>
          <w:bCs/>
        </w:rPr>
        <w:t xml:space="preserve"> condonation for the late prosecution of the appeal and reinstatement of the appeal together with certain ancillary relief.</w:t>
      </w:r>
    </w:p>
    <w:p w14:paraId="57BEED6E" w14:textId="77777777" w:rsidR="007A0259" w:rsidRPr="00EB0655" w:rsidRDefault="007A0259" w:rsidP="007A0259">
      <w:pPr>
        <w:pStyle w:val="ListParagraph"/>
        <w:rPr>
          <w:rFonts w:ascii="Arial" w:eastAsia="Calibri" w:hAnsi="Arial" w:cs="Arial"/>
          <w:bCs/>
        </w:rPr>
      </w:pPr>
    </w:p>
    <w:p w14:paraId="52ABEAA1" w14:textId="24B87691" w:rsidR="007A0259" w:rsidRDefault="00155B26" w:rsidP="007A0259">
      <w:pPr>
        <w:pStyle w:val="ListParagraph"/>
        <w:spacing w:line="360" w:lineRule="auto"/>
        <w:ind w:left="0"/>
        <w:jc w:val="both"/>
        <w:rPr>
          <w:rFonts w:ascii="Arial" w:hAnsi="Arial" w:cs="Arial"/>
          <w:lang w:val="en-US"/>
        </w:rPr>
      </w:pPr>
      <w:r w:rsidRPr="009921AE">
        <w:rPr>
          <w:rFonts w:ascii="Arial" w:hAnsi="Arial" w:cs="Arial"/>
          <w:i/>
          <w:iCs/>
          <w:lang w:val="en-US"/>
        </w:rPr>
        <w:t>Held tha</w:t>
      </w:r>
      <w:r w:rsidR="0046215F">
        <w:rPr>
          <w:rFonts w:ascii="Arial" w:hAnsi="Arial" w:cs="Arial"/>
          <w:i/>
          <w:iCs/>
          <w:lang w:val="en-US"/>
        </w:rPr>
        <w:t>t</w:t>
      </w:r>
      <w:r w:rsidRPr="009921AE">
        <w:rPr>
          <w:rFonts w:ascii="Arial" w:hAnsi="Arial" w:cs="Arial"/>
          <w:lang w:val="en-US"/>
        </w:rPr>
        <w:t xml:space="preserve"> </w:t>
      </w:r>
      <w:r w:rsidR="004D2255">
        <w:rPr>
          <w:rFonts w:ascii="Arial" w:hAnsi="Arial" w:cs="Arial"/>
          <w:lang w:val="en-US"/>
        </w:rPr>
        <w:t>whereas the word ‘days’ is not defined in the Labour Act 11 of 2007</w:t>
      </w:r>
      <w:r w:rsidR="006128D8">
        <w:rPr>
          <w:rFonts w:ascii="Arial" w:hAnsi="Arial" w:cs="Arial"/>
          <w:lang w:val="en-US"/>
        </w:rPr>
        <w:t xml:space="preserve"> (the Act)</w:t>
      </w:r>
      <w:r w:rsidR="004D2255">
        <w:rPr>
          <w:rFonts w:ascii="Arial" w:hAnsi="Arial" w:cs="Arial"/>
          <w:lang w:val="en-US"/>
        </w:rPr>
        <w:t xml:space="preserve"> or the Conciliation and Arbitration Rules</w:t>
      </w:r>
      <w:r w:rsidR="00423D75" w:rsidRPr="00423D75">
        <w:rPr>
          <w:rFonts w:ascii="Arial" w:hAnsi="Arial" w:cs="Arial"/>
          <w:lang w:val="en-US"/>
        </w:rPr>
        <w:t xml:space="preserve">, </w:t>
      </w:r>
      <w:r w:rsidR="004D2255" w:rsidRPr="00423D75">
        <w:rPr>
          <w:rFonts w:ascii="Arial" w:hAnsi="Arial" w:cs="Arial"/>
          <w:lang w:val="en-US"/>
        </w:rPr>
        <w:t>s 4 of the Interpretation of Laws Proclamation 37 of 1920</w:t>
      </w:r>
      <w:r w:rsidR="004D2255">
        <w:rPr>
          <w:rFonts w:ascii="Arial" w:hAnsi="Arial" w:cs="Arial"/>
          <w:lang w:val="en-US"/>
        </w:rPr>
        <w:t xml:space="preserve"> appli</w:t>
      </w:r>
      <w:r w:rsidR="003678FB">
        <w:rPr>
          <w:rFonts w:ascii="Arial" w:hAnsi="Arial" w:cs="Arial"/>
          <w:lang w:val="en-US"/>
        </w:rPr>
        <w:t>es</w:t>
      </w:r>
      <w:r w:rsidR="0046215F">
        <w:rPr>
          <w:rFonts w:ascii="Arial" w:hAnsi="Arial" w:cs="Arial"/>
          <w:lang w:val="en-US"/>
        </w:rPr>
        <w:t>. T</w:t>
      </w:r>
      <w:r w:rsidR="00423D75" w:rsidRPr="00423D75">
        <w:rPr>
          <w:rFonts w:ascii="Arial" w:hAnsi="Arial" w:cs="Arial"/>
          <w:lang w:val="en-US"/>
        </w:rPr>
        <w:t>he 30</w:t>
      </w:r>
      <w:r w:rsidR="0046215F">
        <w:rPr>
          <w:rFonts w:ascii="Arial" w:hAnsi="Arial" w:cs="Arial"/>
          <w:lang w:val="en-US"/>
        </w:rPr>
        <w:t xml:space="preserve"> days</w:t>
      </w:r>
      <w:r w:rsidR="00423D75" w:rsidRPr="00423D75">
        <w:rPr>
          <w:rFonts w:ascii="Arial" w:hAnsi="Arial" w:cs="Arial"/>
          <w:lang w:val="en-US"/>
        </w:rPr>
        <w:t xml:space="preserve"> in </w:t>
      </w:r>
      <w:r w:rsidR="0059357A">
        <w:rPr>
          <w:rFonts w:ascii="Arial" w:hAnsi="Arial" w:cs="Arial"/>
          <w:lang w:val="en-US"/>
        </w:rPr>
        <w:t>s</w:t>
      </w:r>
      <w:r w:rsidR="00423D75" w:rsidRPr="00423D75">
        <w:rPr>
          <w:rFonts w:ascii="Arial" w:hAnsi="Arial" w:cs="Arial"/>
          <w:lang w:val="en-US"/>
        </w:rPr>
        <w:t xml:space="preserve"> 89(2) </w:t>
      </w:r>
      <w:r w:rsidR="004D2255">
        <w:rPr>
          <w:rFonts w:ascii="Arial" w:hAnsi="Arial" w:cs="Arial"/>
          <w:lang w:val="en-US"/>
        </w:rPr>
        <w:t xml:space="preserve">and </w:t>
      </w:r>
      <w:r w:rsidR="0081583B">
        <w:rPr>
          <w:rFonts w:ascii="Arial" w:hAnsi="Arial" w:cs="Arial"/>
          <w:lang w:val="en-US"/>
        </w:rPr>
        <w:t>r</w:t>
      </w:r>
      <w:r w:rsidR="004D2255">
        <w:rPr>
          <w:rFonts w:ascii="Arial" w:hAnsi="Arial" w:cs="Arial"/>
          <w:lang w:val="en-US"/>
        </w:rPr>
        <w:t xml:space="preserve"> 23(2)</w:t>
      </w:r>
      <w:r w:rsidR="00523E5B">
        <w:rPr>
          <w:rFonts w:ascii="Arial" w:hAnsi="Arial" w:cs="Arial"/>
          <w:lang w:val="en-US"/>
        </w:rPr>
        <w:t xml:space="preserve"> within which an appeal m</w:t>
      </w:r>
      <w:r w:rsidR="009C1135">
        <w:rPr>
          <w:rFonts w:ascii="Arial" w:hAnsi="Arial" w:cs="Arial"/>
          <w:lang w:val="en-US"/>
        </w:rPr>
        <w:t>ust</w:t>
      </w:r>
      <w:r w:rsidR="00523E5B">
        <w:rPr>
          <w:rFonts w:ascii="Arial" w:hAnsi="Arial" w:cs="Arial"/>
          <w:lang w:val="en-US"/>
        </w:rPr>
        <w:t xml:space="preserve"> be noted</w:t>
      </w:r>
      <w:r w:rsidR="004D2255">
        <w:rPr>
          <w:rFonts w:ascii="Arial" w:hAnsi="Arial" w:cs="Arial"/>
          <w:lang w:val="en-US"/>
        </w:rPr>
        <w:t>,</w:t>
      </w:r>
      <w:r w:rsidR="00423D75" w:rsidRPr="00423D75">
        <w:rPr>
          <w:rFonts w:ascii="Arial" w:hAnsi="Arial" w:cs="Arial"/>
          <w:lang w:val="en-US"/>
        </w:rPr>
        <w:t xml:space="preserve"> is</w:t>
      </w:r>
      <w:r w:rsidR="004D2255">
        <w:rPr>
          <w:rFonts w:ascii="Arial" w:hAnsi="Arial" w:cs="Arial"/>
          <w:lang w:val="en-US"/>
        </w:rPr>
        <w:t xml:space="preserve"> </w:t>
      </w:r>
      <w:r w:rsidR="00423D75" w:rsidRPr="00423D75">
        <w:rPr>
          <w:rFonts w:ascii="Arial" w:hAnsi="Arial" w:cs="Arial"/>
          <w:lang w:val="en-US"/>
        </w:rPr>
        <w:t>reckoned exclusively of the first and inclusively of the last day unless the last day falls on a Sunday or a public holiday, in which case it is reckoned exclusively of the first day and exclusively also of every such Sunday or public holiday.</w:t>
      </w:r>
    </w:p>
    <w:p w14:paraId="28550CD0" w14:textId="77777777" w:rsidR="007A0259" w:rsidRPr="00EB0655" w:rsidRDefault="007A0259" w:rsidP="007A0259">
      <w:pPr>
        <w:pStyle w:val="ListParagraph"/>
        <w:rPr>
          <w:rFonts w:ascii="Arial" w:eastAsia="Calibri" w:hAnsi="Arial" w:cs="Arial"/>
          <w:bCs/>
        </w:rPr>
      </w:pPr>
    </w:p>
    <w:p w14:paraId="6CE23C65" w14:textId="200A8B42" w:rsidR="007A0259" w:rsidRDefault="0096203D" w:rsidP="007A0259">
      <w:pPr>
        <w:pStyle w:val="ListParagraph"/>
        <w:spacing w:line="360" w:lineRule="auto"/>
        <w:ind w:left="0"/>
        <w:jc w:val="both"/>
        <w:rPr>
          <w:rFonts w:ascii="Arial" w:hAnsi="Arial" w:cs="Arial"/>
          <w:lang w:val="en-US"/>
        </w:rPr>
      </w:pPr>
      <w:r>
        <w:rPr>
          <w:rFonts w:ascii="Arial" w:hAnsi="Arial" w:cs="Arial"/>
          <w:i/>
          <w:iCs/>
          <w:lang w:val="en-US"/>
        </w:rPr>
        <w:t xml:space="preserve">Held that </w:t>
      </w:r>
      <w:r w:rsidR="00947C8F">
        <w:rPr>
          <w:rFonts w:ascii="Arial" w:hAnsi="Arial" w:cs="Arial"/>
          <w:lang w:val="en-US"/>
        </w:rPr>
        <w:t xml:space="preserve">the Act 11 of 2007 </w:t>
      </w:r>
      <w:r w:rsidR="001C0F36">
        <w:rPr>
          <w:rFonts w:ascii="Arial" w:hAnsi="Arial" w:cs="Arial"/>
          <w:lang w:val="en-US"/>
        </w:rPr>
        <w:t xml:space="preserve">does not </w:t>
      </w:r>
      <w:r w:rsidR="00947C8F">
        <w:rPr>
          <w:rFonts w:ascii="Arial" w:hAnsi="Arial" w:cs="Arial"/>
          <w:lang w:val="en-US"/>
        </w:rPr>
        <w:t>requir</w:t>
      </w:r>
      <w:r w:rsidR="001C0F36">
        <w:rPr>
          <w:rFonts w:ascii="Arial" w:hAnsi="Arial" w:cs="Arial"/>
          <w:lang w:val="en-US"/>
        </w:rPr>
        <w:t>e</w:t>
      </w:r>
      <w:r w:rsidR="00947C8F">
        <w:rPr>
          <w:rFonts w:ascii="Arial" w:hAnsi="Arial" w:cs="Arial"/>
          <w:lang w:val="en-US"/>
        </w:rPr>
        <w:t xml:space="preserve"> an award to be served in terms of the Act and </w:t>
      </w:r>
      <w:r w:rsidR="00D60BA6">
        <w:rPr>
          <w:rFonts w:ascii="Arial" w:hAnsi="Arial" w:cs="Arial"/>
          <w:lang w:val="en-US"/>
        </w:rPr>
        <w:t>s 129(2) of the Act</w:t>
      </w:r>
      <w:r w:rsidR="00947C8F">
        <w:rPr>
          <w:rFonts w:ascii="Arial" w:hAnsi="Arial" w:cs="Arial"/>
          <w:lang w:val="en-US"/>
        </w:rPr>
        <w:t xml:space="preserve"> </w:t>
      </w:r>
      <w:r w:rsidR="003678FB">
        <w:rPr>
          <w:rFonts w:ascii="Arial" w:hAnsi="Arial" w:cs="Arial"/>
          <w:lang w:val="en-US"/>
        </w:rPr>
        <w:t>does</w:t>
      </w:r>
      <w:r w:rsidR="00D60BA6">
        <w:rPr>
          <w:rFonts w:ascii="Arial" w:hAnsi="Arial" w:cs="Arial"/>
          <w:lang w:val="en-US"/>
        </w:rPr>
        <w:t xml:space="preserve"> not appl</w:t>
      </w:r>
      <w:r w:rsidR="003678FB">
        <w:rPr>
          <w:rFonts w:ascii="Arial" w:hAnsi="Arial" w:cs="Arial"/>
          <w:lang w:val="en-US"/>
        </w:rPr>
        <w:t>y</w:t>
      </w:r>
      <w:r w:rsidR="00D60BA6">
        <w:rPr>
          <w:rFonts w:ascii="Arial" w:hAnsi="Arial" w:cs="Arial"/>
          <w:lang w:val="en-US"/>
        </w:rPr>
        <w:t xml:space="preserve"> to </w:t>
      </w:r>
      <w:r w:rsidR="001F1E3A">
        <w:rPr>
          <w:rFonts w:ascii="Arial" w:hAnsi="Arial" w:cs="Arial"/>
          <w:lang w:val="en-US"/>
        </w:rPr>
        <w:t>service</w:t>
      </w:r>
      <w:r w:rsidR="00D60BA6">
        <w:rPr>
          <w:rFonts w:ascii="Arial" w:hAnsi="Arial" w:cs="Arial"/>
          <w:lang w:val="en-US"/>
        </w:rPr>
        <w:t xml:space="preserve"> of an award</w:t>
      </w:r>
      <w:r w:rsidR="0081583B">
        <w:rPr>
          <w:rFonts w:ascii="Arial" w:hAnsi="Arial" w:cs="Arial"/>
          <w:lang w:val="en-US"/>
        </w:rPr>
        <w:t>. I</w:t>
      </w:r>
      <w:r w:rsidR="001C0F36">
        <w:rPr>
          <w:rFonts w:ascii="Arial" w:hAnsi="Arial" w:cs="Arial"/>
          <w:lang w:val="en-US"/>
        </w:rPr>
        <w:t xml:space="preserve">n terms of </w:t>
      </w:r>
      <w:r w:rsidR="00947C8F">
        <w:rPr>
          <w:rFonts w:ascii="Arial" w:hAnsi="Arial" w:cs="Arial"/>
          <w:lang w:val="en-US"/>
        </w:rPr>
        <w:t xml:space="preserve">Conciliation and Arbitration </w:t>
      </w:r>
      <w:r w:rsidR="003A26AF">
        <w:rPr>
          <w:rFonts w:ascii="Arial" w:hAnsi="Arial" w:cs="Arial"/>
          <w:lang w:val="en-US"/>
        </w:rPr>
        <w:t>r</w:t>
      </w:r>
      <w:r w:rsidR="00947C8F">
        <w:rPr>
          <w:rFonts w:ascii="Arial" w:hAnsi="Arial" w:cs="Arial"/>
          <w:lang w:val="en-US"/>
        </w:rPr>
        <w:t xml:space="preserve"> 21(1), read with r 1(1), </w:t>
      </w:r>
      <w:r w:rsidR="004C2355">
        <w:rPr>
          <w:rFonts w:ascii="Arial" w:hAnsi="Arial" w:cs="Arial"/>
          <w:lang w:val="en-US"/>
        </w:rPr>
        <w:t>a</w:t>
      </w:r>
      <w:r w:rsidR="008B00A8">
        <w:rPr>
          <w:rFonts w:ascii="Arial" w:hAnsi="Arial" w:cs="Arial"/>
          <w:lang w:val="en-US"/>
        </w:rPr>
        <w:t>n</w:t>
      </w:r>
      <w:r w:rsidR="00E21669">
        <w:rPr>
          <w:rFonts w:ascii="Arial" w:hAnsi="Arial" w:cs="Arial"/>
          <w:lang w:val="en-US"/>
        </w:rPr>
        <w:t xml:space="preserve"> arbitrator must serve an</w:t>
      </w:r>
      <w:r w:rsidR="008B00A8">
        <w:rPr>
          <w:rFonts w:ascii="Arial" w:hAnsi="Arial" w:cs="Arial"/>
          <w:lang w:val="en-US"/>
        </w:rPr>
        <w:t xml:space="preserve"> award</w:t>
      </w:r>
      <w:r w:rsidR="00E21669">
        <w:rPr>
          <w:rFonts w:ascii="Arial" w:hAnsi="Arial" w:cs="Arial"/>
          <w:lang w:val="en-US"/>
        </w:rPr>
        <w:t xml:space="preserve"> </w:t>
      </w:r>
      <w:r w:rsidR="005B2067">
        <w:rPr>
          <w:rFonts w:ascii="Arial" w:hAnsi="Arial" w:cs="Arial"/>
          <w:lang w:val="en-US"/>
        </w:rPr>
        <w:t xml:space="preserve">on the parties </w:t>
      </w:r>
      <w:r w:rsidR="0046215F">
        <w:rPr>
          <w:rFonts w:ascii="Arial" w:hAnsi="Arial" w:cs="Arial"/>
          <w:lang w:val="en-US"/>
        </w:rPr>
        <w:t>under</w:t>
      </w:r>
      <w:r>
        <w:rPr>
          <w:rFonts w:ascii="Arial" w:hAnsi="Arial" w:cs="Arial"/>
          <w:lang w:val="en-US"/>
        </w:rPr>
        <w:t xml:space="preserve"> Conciliation and Arbitration </w:t>
      </w:r>
      <w:r w:rsidR="003A26AF">
        <w:rPr>
          <w:rFonts w:ascii="Arial" w:hAnsi="Arial" w:cs="Arial"/>
          <w:lang w:val="en-US"/>
        </w:rPr>
        <w:t>r</w:t>
      </w:r>
      <w:r>
        <w:rPr>
          <w:rFonts w:ascii="Arial" w:hAnsi="Arial" w:cs="Arial"/>
          <w:lang w:val="en-US"/>
        </w:rPr>
        <w:t xml:space="preserve"> 6</w:t>
      </w:r>
      <w:r w:rsidR="00947C8F">
        <w:rPr>
          <w:rFonts w:ascii="Arial" w:hAnsi="Arial" w:cs="Arial"/>
          <w:lang w:val="en-US"/>
        </w:rPr>
        <w:t>.</w:t>
      </w:r>
    </w:p>
    <w:p w14:paraId="3E33ED2C" w14:textId="77777777" w:rsidR="007A0259" w:rsidRPr="00EB0655" w:rsidRDefault="007A0259" w:rsidP="007A0259">
      <w:pPr>
        <w:pStyle w:val="ListParagraph"/>
        <w:rPr>
          <w:rFonts w:ascii="Arial" w:eastAsia="Calibri" w:hAnsi="Arial" w:cs="Arial"/>
          <w:bCs/>
        </w:rPr>
      </w:pPr>
    </w:p>
    <w:p w14:paraId="76B79968" w14:textId="42880E74" w:rsidR="007A0259" w:rsidRDefault="00A61D6F" w:rsidP="007A0259">
      <w:pPr>
        <w:pStyle w:val="ListParagraph"/>
        <w:spacing w:line="360" w:lineRule="auto"/>
        <w:ind w:left="0"/>
        <w:jc w:val="both"/>
        <w:rPr>
          <w:rFonts w:ascii="Arial" w:hAnsi="Arial" w:cs="Arial"/>
          <w:lang w:val="en-US"/>
        </w:rPr>
      </w:pPr>
      <w:r>
        <w:rPr>
          <w:rFonts w:ascii="Arial" w:hAnsi="Arial" w:cs="Arial"/>
          <w:i/>
          <w:iCs/>
          <w:lang w:val="en-US"/>
        </w:rPr>
        <w:t xml:space="preserve">Held that </w:t>
      </w:r>
      <w:r w:rsidR="001C0F36">
        <w:rPr>
          <w:rFonts w:ascii="Arial" w:hAnsi="Arial" w:cs="Arial"/>
          <w:lang w:val="en-US"/>
        </w:rPr>
        <w:t>in terms</w:t>
      </w:r>
      <w:r w:rsidR="00ED4844">
        <w:rPr>
          <w:rFonts w:ascii="Arial" w:hAnsi="Arial" w:cs="Arial"/>
          <w:lang w:val="en-US"/>
        </w:rPr>
        <w:t xml:space="preserve"> of </w:t>
      </w:r>
      <w:r w:rsidR="004C2355">
        <w:rPr>
          <w:rFonts w:ascii="Arial" w:hAnsi="Arial" w:cs="Arial"/>
          <w:lang w:val="en-US"/>
        </w:rPr>
        <w:t>Conciliation</w:t>
      </w:r>
      <w:r w:rsidR="00ED4844">
        <w:rPr>
          <w:rFonts w:ascii="Arial" w:hAnsi="Arial" w:cs="Arial"/>
          <w:lang w:val="en-US"/>
        </w:rPr>
        <w:t xml:space="preserve"> and Arbitration </w:t>
      </w:r>
      <w:r w:rsidR="003A26AF">
        <w:rPr>
          <w:rFonts w:ascii="Arial" w:hAnsi="Arial" w:cs="Arial"/>
          <w:lang w:val="en-US"/>
        </w:rPr>
        <w:t>r</w:t>
      </w:r>
      <w:r w:rsidR="00ED4844">
        <w:rPr>
          <w:rFonts w:ascii="Arial" w:hAnsi="Arial" w:cs="Arial"/>
          <w:lang w:val="en-US"/>
        </w:rPr>
        <w:t xml:space="preserve"> 6(3</w:t>
      </w:r>
      <w:r w:rsidR="00A365A3">
        <w:rPr>
          <w:rFonts w:ascii="Arial" w:hAnsi="Arial" w:cs="Arial"/>
          <w:lang w:val="en-US"/>
        </w:rPr>
        <w:t>)</w:t>
      </w:r>
      <w:r w:rsidR="00ED4844" w:rsidRPr="00A365A3">
        <w:rPr>
          <w:rFonts w:ascii="Arial" w:hAnsi="Arial" w:cs="Arial"/>
          <w:i/>
          <w:iCs/>
          <w:lang w:val="en-US"/>
        </w:rPr>
        <w:t>(a)</w:t>
      </w:r>
      <w:r w:rsidR="00ED4844">
        <w:rPr>
          <w:rFonts w:ascii="Arial" w:hAnsi="Arial" w:cs="Arial"/>
          <w:lang w:val="en-US"/>
        </w:rPr>
        <w:t xml:space="preserve">, </w:t>
      </w:r>
      <w:r>
        <w:rPr>
          <w:rFonts w:ascii="Arial" w:hAnsi="Arial" w:cs="Arial"/>
          <w:lang w:val="en-US"/>
        </w:rPr>
        <w:t xml:space="preserve">an arbitrator may serve an award on a company by handing a copy of </w:t>
      </w:r>
      <w:r w:rsidR="00D60BA6">
        <w:rPr>
          <w:rFonts w:ascii="Arial" w:hAnsi="Arial" w:cs="Arial"/>
          <w:lang w:val="en-US"/>
        </w:rPr>
        <w:t>the award</w:t>
      </w:r>
      <w:r>
        <w:rPr>
          <w:rFonts w:ascii="Arial" w:hAnsi="Arial" w:cs="Arial"/>
          <w:lang w:val="en-US"/>
        </w:rPr>
        <w:t xml:space="preserve"> to a responsible employee of the company at </w:t>
      </w:r>
      <w:r w:rsidR="00034FF9">
        <w:rPr>
          <w:rFonts w:ascii="Arial" w:hAnsi="Arial" w:cs="Arial"/>
          <w:lang w:val="en-US"/>
        </w:rPr>
        <w:t>its</w:t>
      </w:r>
      <w:r>
        <w:rPr>
          <w:rFonts w:ascii="Arial" w:hAnsi="Arial" w:cs="Arial"/>
          <w:lang w:val="en-US"/>
        </w:rPr>
        <w:t xml:space="preserve"> registered office or principal place of business in Namibia or at </w:t>
      </w:r>
      <w:r w:rsidR="00034FF9">
        <w:rPr>
          <w:rFonts w:ascii="Arial" w:hAnsi="Arial" w:cs="Arial"/>
          <w:lang w:val="en-US"/>
        </w:rPr>
        <w:t>its</w:t>
      </w:r>
      <w:r>
        <w:rPr>
          <w:rFonts w:ascii="Arial" w:hAnsi="Arial" w:cs="Arial"/>
          <w:lang w:val="en-US"/>
        </w:rPr>
        <w:t xml:space="preserve"> main place of business within </w:t>
      </w:r>
      <w:r w:rsidR="00D60BA6">
        <w:rPr>
          <w:rFonts w:ascii="Arial" w:hAnsi="Arial" w:cs="Arial"/>
          <w:lang w:val="en-US"/>
        </w:rPr>
        <w:t xml:space="preserve">the </w:t>
      </w:r>
      <w:r>
        <w:rPr>
          <w:rFonts w:ascii="Arial" w:hAnsi="Arial" w:cs="Arial"/>
          <w:lang w:val="en-US"/>
        </w:rPr>
        <w:t xml:space="preserve">region where </w:t>
      </w:r>
      <w:r w:rsidR="00D60BA6">
        <w:rPr>
          <w:rFonts w:ascii="Arial" w:hAnsi="Arial" w:cs="Arial"/>
          <w:lang w:val="en-US"/>
        </w:rPr>
        <w:t xml:space="preserve">the </w:t>
      </w:r>
      <w:r>
        <w:rPr>
          <w:rFonts w:ascii="Arial" w:hAnsi="Arial" w:cs="Arial"/>
          <w:lang w:val="en-US"/>
        </w:rPr>
        <w:t>dispute first arose.</w:t>
      </w:r>
    </w:p>
    <w:p w14:paraId="7C85212A" w14:textId="77777777" w:rsidR="007A0259" w:rsidRPr="00EB0655" w:rsidRDefault="007A0259" w:rsidP="007A0259">
      <w:pPr>
        <w:pStyle w:val="ListParagraph"/>
        <w:rPr>
          <w:rFonts w:ascii="Arial" w:eastAsia="Calibri" w:hAnsi="Arial" w:cs="Arial"/>
          <w:bCs/>
        </w:rPr>
      </w:pPr>
    </w:p>
    <w:p w14:paraId="5C05C7D4" w14:textId="4E7BB894" w:rsidR="007A0259" w:rsidRDefault="00A61D6F" w:rsidP="007A0259">
      <w:pPr>
        <w:pStyle w:val="ListParagraph"/>
        <w:spacing w:line="360" w:lineRule="auto"/>
        <w:ind w:left="0"/>
        <w:jc w:val="both"/>
        <w:rPr>
          <w:rFonts w:ascii="Arial" w:hAnsi="Arial" w:cs="Arial"/>
          <w:lang w:val="en-US"/>
        </w:rPr>
      </w:pPr>
      <w:r>
        <w:rPr>
          <w:rFonts w:ascii="Arial" w:hAnsi="Arial" w:cs="Arial"/>
          <w:i/>
          <w:iCs/>
          <w:lang w:val="en-US"/>
        </w:rPr>
        <w:t>Held tha</w:t>
      </w:r>
      <w:r w:rsidR="0046215F">
        <w:rPr>
          <w:rFonts w:ascii="Arial" w:hAnsi="Arial" w:cs="Arial"/>
          <w:i/>
          <w:iCs/>
          <w:lang w:val="en-US"/>
        </w:rPr>
        <w:t>t</w:t>
      </w:r>
      <w:r>
        <w:rPr>
          <w:rFonts w:ascii="Arial" w:hAnsi="Arial" w:cs="Arial"/>
          <w:i/>
          <w:iCs/>
          <w:lang w:val="en-US"/>
        </w:rPr>
        <w:t xml:space="preserve"> </w:t>
      </w:r>
      <w:r w:rsidR="00D60BA6">
        <w:rPr>
          <w:rFonts w:ascii="Arial" w:hAnsi="Arial" w:cs="Arial"/>
          <w:lang w:val="en-US"/>
        </w:rPr>
        <w:t xml:space="preserve">service of the ruling by the </w:t>
      </w:r>
      <w:r w:rsidR="00D27602">
        <w:rPr>
          <w:rFonts w:ascii="Arial" w:hAnsi="Arial" w:cs="Arial"/>
          <w:lang w:val="en-US"/>
        </w:rPr>
        <w:t>A</w:t>
      </w:r>
      <w:r w:rsidR="00D60BA6">
        <w:rPr>
          <w:rFonts w:ascii="Arial" w:hAnsi="Arial" w:cs="Arial"/>
          <w:lang w:val="en-US"/>
        </w:rPr>
        <w:t xml:space="preserve">rbitrator on the </w:t>
      </w:r>
      <w:r w:rsidR="00E72E33">
        <w:rPr>
          <w:rFonts w:ascii="Arial" w:hAnsi="Arial" w:cs="Arial"/>
          <w:lang w:val="en-US"/>
        </w:rPr>
        <w:t>a</w:t>
      </w:r>
      <w:r w:rsidR="00D60BA6">
        <w:rPr>
          <w:rFonts w:ascii="Arial" w:hAnsi="Arial" w:cs="Arial"/>
          <w:lang w:val="en-US"/>
        </w:rPr>
        <w:t xml:space="preserve">pplicant </w:t>
      </w:r>
      <w:r w:rsidR="001C0F36">
        <w:rPr>
          <w:rFonts w:ascii="Arial" w:hAnsi="Arial" w:cs="Arial"/>
          <w:lang w:val="en-US"/>
        </w:rPr>
        <w:t xml:space="preserve">company </w:t>
      </w:r>
      <w:r w:rsidR="00D60BA6">
        <w:rPr>
          <w:rFonts w:ascii="Arial" w:hAnsi="Arial" w:cs="Arial"/>
          <w:lang w:val="en-US"/>
        </w:rPr>
        <w:t>by email was irregular but not a complete failure of service</w:t>
      </w:r>
      <w:r w:rsidR="0081583B">
        <w:rPr>
          <w:rFonts w:ascii="Arial" w:hAnsi="Arial" w:cs="Arial"/>
          <w:lang w:val="en-US"/>
        </w:rPr>
        <w:t>. A</w:t>
      </w:r>
      <w:r w:rsidR="000028BC">
        <w:rPr>
          <w:rFonts w:ascii="Arial" w:hAnsi="Arial" w:cs="Arial"/>
          <w:lang w:val="en-US"/>
        </w:rPr>
        <w:t>s the purpose of service was met when t</w:t>
      </w:r>
      <w:r w:rsidR="00D60BA6">
        <w:rPr>
          <w:rFonts w:ascii="Arial" w:hAnsi="Arial" w:cs="Arial"/>
          <w:lang w:val="en-US"/>
        </w:rPr>
        <w:t>he ruling c</w:t>
      </w:r>
      <w:r w:rsidR="000028BC">
        <w:rPr>
          <w:rFonts w:ascii="Arial" w:hAnsi="Arial" w:cs="Arial"/>
          <w:lang w:val="en-US"/>
        </w:rPr>
        <w:t>a</w:t>
      </w:r>
      <w:r w:rsidR="00D60BA6">
        <w:rPr>
          <w:rFonts w:ascii="Arial" w:hAnsi="Arial" w:cs="Arial"/>
          <w:lang w:val="en-US"/>
        </w:rPr>
        <w:t xml:space="preserve">me to the </w:t>
      </w:r>
      <w:r w:rsidR="00E72E33">
        <w:rPr>
          <w:rFonts w:ascii="Arial" w:hAnsi="Arial" w:cs="Arial"/>
          <w:lang w:val="en-US"/>
        </w:rPr>
        <w:t>a</w:t>
      </w:r>
      <w:r w:rsidR="00D60BA6">
        <w:rPr>
          <w:rFonts w:ascii="Arial" w:hAnsi="Arial" w:cs="Arial"/>
          <w:lang w:val="en-US"/>
        </w:rPr>
        <w:t>pplicant’s attention</w:t>
      </w:r>
      <w:r w:rsidR="001C0F36">
        <w:rPr>
          <w:rFonts w:ascii="Arial" w:hAnsi="Arial" w:cs="Arial"/>
          <w:lang w:val="en-US"/>
        </w:rPr>
        <w:t xml:space="preserve"> </w:t>
      </w:r>
      <w:r w:rsidR="00D60BA6">
        <w:rPr>
          <w:rFonts w:ascii="Arial" w:hAnsi="Arial" w:cs="Arial"/>
          <w:lang w:val="en-US"/>
        </w:rPr>
        <w:t>on 20 April 2022</w:t>
      </w:r>
      <w:r w:rsidR="0046215F">
        <w:rPr>
          <w:rFonts w:ascii="Arial" w:hAnsi="Arial" w:cs="Arial"/>
          <w:lang w:val="en-US"/>
        </w:rPr>
        <w:t>,</w:t>
      </w:r>
      <w:r w:rsidR="00B202D8">
        <w:rPr>
          <w:rFonts w:ascii="Arial" w:hAnsi="Arial" w:cs="Arial"/>
          <w:lang w:val="en-US"/>
        </w:rPr>
        <w:t xml:space="preserve"> and the </w:t>
      </w:r>
      <w:r w:rsidR="00E72E33">
        <w:rPr>
          <w:rFonts w:ascii="Arial" w:hAnsi="Arial" w:cs="Arial"/>
          <w:lang w:val="en-US"/>
        </w:rPr>
        <w:t>a</w:t>
      </w:r>
      <w:r w:rsidR="00B202D8">
        <w:rPr>
          <w:rFonts w:ascii="Arial" w:hAnsi="Arial" w:cs="Arial"/>
          <w:lang w:val="en-US"/>
        </w:rPr>
        <w:t>pplicant acknowledge</w:t>
      </w:r>
      <w:r w:rsidR="0081583B">
        <w:rPr>
          <w:rFonts w:ascii="Arial" w:hAnsi="Arial" w:cs="Arial"/>
          <w:lang w:val="en-US"/>
        </w:rPr>
        <w:t>d</w:t>
      </w:r>
      <w:r w:rsidR="00B202D8">
        <w:rPr>
          <w:rFonts w:ascii="Arial" w:hAnsi="Arial" w:cs="Arial"/>
          <w:lang w:val="en-US"/>
        </w:rPr>
        <w:t xml:space="preserve"> its receipt</w:t>
      </w:r>
      <w:r w:rsidR="000028BC">
        <w:rPr>
          <w:rFonts w:ascii="Arial" w:hAnsi="Arial" w:cs="Arial"/>
          <w:lang w:val="en-US"/>
        </w:rPr>
        <w:t>,</w:t>
      </w:r>
      <w:r w:rsidR="00D60BA6">
        <w:rPr>
          <w:rFonts w:ascii="Arial" w:hAnsi="Arial" w:cs="Arial"/>
          <w:lang w:val="en-US"/>
        </w:rPr>
        <w:t xml:space="preserve"> </w:t>
      </w:r>
      <w:r w:rsidR="000028BC">
        <w:rPr>
          <w:rFonts w:ascii="Arial" w:hAnsi="Arial" w:cs="Arial"/>
          <w:lang w:val="en-US"/>
        </w:rPr>
        <w:t xml:space="preserve">there was </w:t>
      </w:r>
      <w:r w:rsidR="00D60BA6">
        <w:rPr>
          <w:rFonts w:ascii="Arial" w:hAnsi="Arial" w:cs="Arial"/>
          <w:lang w:val="en-US"/>
        </w:rPr>
        <w:t>substantial compliance with the rule</w:t>
      </w:r>
      <w:r w:rsidR="000028BC">
        <w:rPr>
          <w:rFonts w:ascii="Arial" w:hAnsi="Arial" w:cs="Arial"/>
          <w:lang w:val="en-US"/>
        </w:rPr>
        <w:t>.</w:t>
      </w:r>
    </w:p>
    <w:p w14:paraId="64CFFF22" w14:textId="77777777" w:rsidR="007A0259" w:rsidRPr="00EB0655" w:rsidRDefault="007A0259" w:rsidP="007A0259">
      <w:pPr>
        <w:pStyle w:val="ListParagraph"/>
        <w:rPr>
          <w:rFonts w:ascii="Arial" w:eastAsia="Calibri" w:hAnsi="Arial" w:cs="Arial"/>
          <w:bCs/>
        </w:rPr>
      </w:pPr>
    </w:p>
    <w:p w14:paraId="6919DE76" w14:textId="5412AF57" w:rsidR="007A0259" w:rsidRDefault="002E537A" w:rsidP="007A0259">
      <w:pPr>
        <w:pStyle w:val="ListParagraph"/>
        <w:spacing w:line="360" w:lineRule="auto"/>
        <w:ind w:left="0"/>
        <w:jc w:val="both"/>
        <w:rPr>
          <w:rFonts w:ascii="Arial" w:hAnsi="Arial" w:cs="Arial"/>
          <w:lang w:val="en-US"/>
        </w:rPr>
      </w:pPr>
      <w:r>
        <w:rPr>
          <w:rFonts w:ascii="Arial" w:hAnsi="Arial" w:cs="Arial"/>
          <w:i/>
          <w:iCs/>
          <w:lang w:val="en-US"/>
        </w:rPr>
        <w:t>Held tha</w:t>
      </w:r>
      <w:r w:rsidR="0046215F">
        <w:rPr>
          <w:rFonts w:ascii="Arial" w:hAnsi="Arial" w:cs="Arial"/>
          <w:i/>
          <w:iCs/>
          <w:lang w:val="en-US"/>
        </w:rPr>
        <w:t xml:space="preserve">t </w:t>
      </w:r>
      <w:r w:rsidR="00D838A2">
        <w:rPr>
          <w:rFonts w:ascii="Arial" w:hAnsi="Arial" w:cs="Arial"/>
          <w:lang w:val="en-US"/>
        </w:rPr>
        <w:t xml:space="preserve">the interpretation of the word </w:t>
      </w:r>
      <w:r w:rsidR="001C7C54">
        <w:rPr>
          <w:rFonts w:ascii="Arial" w:hAnsi="Arial" w:cs="Arial"/>
          <w:lang w:val="en-US"/>
        </w:rPr>
        <w:t>‘</w:t>
      </w:r>
      <w:r w:rsidR="00D838A2">
        <w:rPr>
          <w:rFonts w:ascii="Arial" w:hAnsi="Arial" w:cs="Arial"/>
          <w:lang w:val="en-US"/>
        </w:rPr>
        <w:t>must</w:t>
      </w:r>
      <w:r w:rsidR="001C7C54">
        <w:rPr>
          <w:rFonts w:ascii="Arial" w:hAnsi="Arial" w:cs="Arial"/>
          <w:lang w:val="en-US"/>
        </w:rPr>
        <w:t>’</w:t>
      </w:r>
      <w:r w:rsidR="00D838A2">
        <w:rPr>
          <w:rFonts w:ascii="Arial" w:hAnsi="Arial" w:cs="Arial"/>
          <w:lang w:val="en-US"/>
        </w:rPr>
        <w:t xml:space="preserve"> in Conciliation and Arbitration </w:t>
      </w:r>
      <w:r w:rsidR="003A26AF">
        <w:rPr>
          <w:rFonts w:ascii="Arial" w:hAnsi="Arial" w:cs="Arial"/>
          <w:lang w:val="en-US"/>
        </w:rPr>
        <w:t>r</w:t>
      </w:r>
      <w:r w:rsidR="00D838A2">
        <w:rPr>
          <w:rFonts w:ascii="Arial" w:hAnsi="Arial" w:cs="Arial"/>
          <w:lang w:val="en-US"/>
        </w:rPr>
        <w:t xml:space="preserve"> 21(1), read with r 1(1) a</w:t>
      </w:r>
      <w:r w:rsidR="00034FF9">
        <w:rPr>
          <w:rFonts w:ascii="Arial" w:hAnsi="Arial" w:cs="Arial"/>
          <w:lang w:val="en-US"/>
        </w:rPr>
        <w:t>nd</w:t>
      </w:r>
      <w:r w:rsidR="00D838A2">
        <w:rPr>
          <w:rFonts w:ascii="Arial" w:hAnsi="Arial" w:cs="Arial"/>
          <w:lang w:val="en-US"/>
        </w:rPr>
        <w:t xml:space="preserve"> 6(3)</w:t>
      </w:r>
      <w:r w:rsidR="00D838A2" w:rsidRPr="00A365A3">
        <w:rPr>
          <w:rFonts w:ascii="Arial" w:hAnsi="Arial" w:cs="Arial"/>
          <w:i/>
          <w:iCs/>
          <w:lang w:val="en-US"/>
        </w:rPr>
        <w:t>(a)</w:t>
      </w:r>
      <w:r w:rsidR="00D838A2">
        <w:rPr>
          <w:rFonts w:ascii="Arial" w:hAnsi="Arial" w:cs="Arial"/>
          <w:lang w:val="en-US"/>
        </w:rPr>
        <w:t xml:space="preserve">, should take into account </w:t>
      </w:r>
      <w:r w:rsidR="00AB7CAD">
        <w:rPr>
          <w:rFonts w:ascii="Arial" w:hAnsi="Arial" w:cs="Arial"/>
          <w:lang w:val="en-US"/>
        </w:rPr>
        <w:t xml:space="preserve">the scope and </w:t>
      </w:r>
      <w:r w:rsidR="00AB7CAD">
        <w:rPr>
          <w:rFonts w:ascii="Arial" w:hAnsi="Arial" w:cs="Arial"/>
          <w:lang w:val="en-US"/>
        </w:rPr>
        <w:lastRenderedPageBreak/>
        <w:t>purpose of the Act</w:t>
      </w:r>
      <w:r w:rsidR="00D838A2">
        <w:rPr>
          <w:rFonts w:ascii="Arial" w:hAnsi="Arial" w:cs="Arial"/>
          <w:lang w:val="en-US"/>
        </w:rPr>
        <w:t xml:space="preserve"> </w:t>
      </w:r>
      <w:r w:rsidR="001C7C54">
        <w:rPr>
          <w:rFonts w:ascii="Arial" w:hAnsi="Arial" w:cs="Arial"/>
          <w:lang w:val="en-US"/>
        </w:rPr>
        <w:t xml:space="preserve">11 of 2007 </w:t>
      </w:r>
      <w:r w:rsidR="00D838A2">
        <w:rPr>
          <w:rFonts w:ascii="Arial" w:hAnsi="Arial" w:cs="Arial"/>
          <w:lang w:val="en-US"/>
        </w:rPr>
        <w:t xml:space="preserve">and </w:t>
      </w:r>
      <w:r w:rsidR="00AB7CAD">
        <w:rPr>
          <w:rFonts w:ascii="Arial" w:hAnsi="Arial" w:cs="Arial"/>
          <w:lang w:val="en-US"/>
        </w:rPr>
        <w:t xml:space="preserve">the Conciliation and Arbitration </w:t>
      </w:r>
      <w:r w:rsidR="003A26AF">
        <w:rPr>
          <w:rFonts w:ascii="Arial" w:hAnsi="Arial" w:cs="Arial"/>
          <w:lang w:val="en-US"/>
        </w:rPr>
        <w:t>r</w:t>
      </w:r>
      <w:r w:rsidR="00AB7CAD">
        <w:rPr>
          <w:rFonts w:ascii="Arial" w:hAnsi="Arial" w:cs="Arial"/>
          <w:lang w:val="en-US"/>
        </w:rPr>
        <w:t>ules</w:t>
      </w:r>
      <w:r w:rsidR="00D838A2">
        <w:rPr>
          <w:rFonts w:ascii="Arial" w:hAnsi="Arial" w:cs="Arial"/>
          <w:lang w:val="en-US"/>
        </w:rPr>
        <w:t xml:space="preserve"> a</w:t>
      </w:r>
      <w:r w:rsidR="001C7C54">
        <w:rPr>
          <w:rFonts w:ascii="Arial" w:hAnsi="Arial" w:cs="Arial"/>
          <w:lang w:val="en-US"/>
        </w:rPr>
        <w:t>s well as</w:t>
      </w:r>
      <w:r w:rsidR="00D838A2">
        <w:rPr>
          <w:rFonts w:ascii="Arial" w:hAnsi="Arial" w:cs="Arial"/>
          <w:lang w:val="en-US"/>
        </w:rPr>
        <w:t xml:space="preserve"> the purpose of service</w:t>
      </w:r>
      <w:r w:rsidR="0081583B">
        <w:rPr>
          <w:rFonts w:ascii="Arial" w:hAnsi="Arial" w:cs="Arial"/>
          <w:lang w:val="en-US"/>
        </w:rPr>
        <w:t xml:space="preserve">. </w:t>
      </w:r>
      <w:r w:rsidR="00255DEB">
        <w:rPr>
          <w:rFonts w:ascii="Arial" w:hAnsi="Arial" w:cs="Arial"/>
          <w:lang w:val="en-US"/>
        </w:rPr>
        <w:t>In this instance, the court</w:t>
      </w:r>
      <w:r w:rsidRPr="002E537A">
        <w:rPr>
          <w:rFonts w:ascii="Arial" w:hAnsi="Arial" w:cs="Arial"/>
          <w:lang w:val="en-US"/>
        </w:rPr>
        <w:t xml:space="preserve"> deviate</w:t>
      </w:r>
      <w:r w:rsidR="00890F30">
        <w:rPr>
          <w:rFonts w:ascii="Arial" w:hAnsi="Arial" w:cs="Arial"/>
          <w:lang w:val="en-US"/>
        </w:rPr>
        <w:t>s</w:t>
      </w:r>
      <w:r w:rsidRPr="002E537A">
        <w:rPr>
          <w:rFonts w:ascii="Arial" w:hAnsi="Arial" w:cs="Arial"/>
          <w:lang w:val="en-US"/>
        </w:rPr>
        <w:t xml:space="preserve"> from the cardinal rule of interpretation</w:t>
      </w:r>
      <w:r w:rsidR="001C7C54">
        <w:rPr>
          <w:rFonts w:ascii="Arial" w:hAnsi="Arial" w:cs="Arial"/>
          <w:lang w:val="en-US"/>
        </w:rPr>
        <w:t xml:space="preserve"> </w:t>
      </w:r>
      <w:r>
        <w:rPr>
          <w:rFonts w:ascii="Arial" w:hAnsi="Arial" w:cs="Arial"/>
          <w:lang w:val="en-US"/>
        </w:rPr>
        <w:t>and</w:t>
      </w:r>
      <w:r w:rsidR="00DD2AF3">
        <w:rPr>
          <w:rFonts w:ascii="Arial" w:hAnsi="Arial" w:cs="Arial"/>
          <w:lang w:val="en-US"/>
        </w:rPr>
        <w:t xml:space="preserve"> </w:t>
      </w:r>
      <w:r w:rsidRPr="00D02390">
        <w:rPr>
          <w:rFonts w:ascii="Arial" w:hAnsi="Arial" w:cs="Arial"/>
          <w:lang w:val="en-US"/>
        </w:rPr>
        <w:t>interpret</w:t>
      </w:r>
      <w:r>
        <w:rPr>
          <w:rFonts w:ascii="Arial" w:hAnsi="Arial" w:cs="Arial"/>
          <w:lang w:val="en-US"/>
        </w:rPr>
        <w:t>s</w:t>
      </w:r>
      <w:r w:rsidRPr="00D02390">
        <w:rPr>
          <w:rFonts w:ascii="Arial" w:hAnsi="Arial" w:cs="Arial"/>
          <w:lang w:val="en-US"/>
        </w:rPr>
        <w:t xml:space="preserve"> </w:t>
      </w:r>
      <w:r>
        <w:rPr>
          <w:rFonts w:ascii="Arial" w:hAnsi="Arial" w:cs="Arial"/>
          <w:lang w:val="en-US"/>
        </w:rPr>
        <w:t xml:space="preserve">the </w:t>
      </w:r>
      <w:r w:rsidR="00890F30">
        <w:rPr>
          <w:rFonts w:ascii="Arial" w:hAnsi="Arial" w:cs="Arial"/>
          <w:lang w:val="en-US"/>
        </w:rPr>
        <w:t xml:space="preserve">rule </w:t>
      </w:r>
      <w:r w:rsidRPr="00D02390">
        <w:rPr>
          <w:rFonts w:ascii="Arial" w:hAnsi="Arial" w:cs="Arial"/>
          <w:lang w:val="en-US"/>
        </w:rPr>
        <w:t xml:space="preserve">as </w:t>
      </w:r>
      <w:r w:rsidR="000D4BA5">
        <w:rPr>
          <w:rFonts w:ascii="Arial" w:hAnsi="Arial" w:cs="Arial"/>
          <w:lang w:val="en-US"/>
        </w:rPr>
        <w:t xml:space="preserve">directory and </w:t>
      </w:r>
      <w:r w:rsidRPr="00D02390">
        <w:rPr>
          <w:rFonts w:ascii="Arial" w:hAnsi="Arial" w:cs="Arial"/>
          <w:lang w:val="en-US"/>
        </w:rPr>
        <w:t>permissive</w:t>
      </w:r>
      <w:r w:rsidR="00255DEB">
        <w:rPr>
          <w:rFonts w:ascii="Arial" w:hAnsi="Arial" w:cs="Arial"/>
          <w:lang w:val="en-US"/>
        </w:rPr>
        <w:t>,</w:t>
      </w:r>
      <w:r w:rsidRPr="00D02390">
        <w:rPr>
          <w:rFonts w:ascii="Arial" w:hAnsi="Arial" w:cs="Arial"/>
          <w:lang w:val="en-US"/>
        </w:rPr>
        <w:t xml:space="preserve"> requiring substantial compliance with the </w:t>
      </w:r>
      <w:r w:rsidR="005D5E35">
        <w:rPr>
          <w:rFonts w:ascii="Arial" w:hAnsi="Arial" w:cs="Arial"/>
          <w:lang w:val="en-US"/>
        </w:rPr>
        <w:t>rule</w:t>
      </w:r>
      <w:r w:rsidR="00255DEB">
        <w:rPr>
          <w:rFonts w:ascii="Arial" w:hAnsi="Arial" w:cs="Arial"/>
          <w:lang w:val="en-US"/>
        </w:rPr>
        <w:t>. S</w:t>
      </w:r>
      <w:r w:rsidR="00D838A2">
        <w:rPr>
          <w:rFonts w:ascii="Arial" w:hAnsi="Arial" w:cs="Arial"/>
          <w:lang w:val="en-US"/>
        </w:rPr>
        <w:t>uch interpretation achieve</w:t>
      </w:r>
      <w:r w:rsidR="001C7C54">
        <w:rPr>
          <w:rFonts w:ascii="Arial" w:hAnsi="Arial" w:cs="Arial"/>
          <w:lang w:val="en-US"/>
        </w:rPr>
        <w:t>s</w:t>
      </w:r>
      <w:r w:rsidR="00D838A2">
        <w:rPr>
          <w:rFonts w:ascii="Arial" w:hAnsi="Arial" w:cs="Arial"/>
          <w:lang w:val="en-US"/>
        </w:rPr>
        <w:t xml:space="preserve"> the object and </w:t>
      </w:r>
      <w:r w:rsidR="00D838A2" w:rsidRPr="002E537A">
        <w:rPr>
          <w:rFonts w:ascii="Arial" w:hAnsi="Arial" w:cs="Arial"/>
          <w:lang w:val="en-US"/>
        </w:rPr>
        <w:t>avoid</w:t>
      </w:r>
      <w:r w:rsidR="001C7C54">
        <w:rPr>
          <w:rFonts w:ascii="Arial" w:hAnsi="Arial" w:cs="Arial"/>
          <w:lang w:val="en-US"/>
        </w:rPr>
        <w:t>s</w:t>
      </w:r>
      <w:r w:rsidR="00D838A2" w:rsidRPr="002E537A">
        <w:rPr>
          <w:rFonts w:ascii="Arial" w:hAnsi="Arial" w:cs="Arial"/>
          <w:lang w:val="en-US"/>
        </w:rPr>
        <w:t xml:space="preserve"> a manifest absurdity</w:t>
      </w:r>
      <w:r w:rsidR="00D838A2">
        <w:rPr>
          <w:rFonts w:ascii="Arial" w:hAnsi="Arial" w:cs="Arial"/>
          <w:lang w:val="en-US"/>
        </w:rPr>
        <w:t xml:space="preserve"> and gross injustice to the </w:t>
      </w:r>
      <w:r w:rsidR="0019379D">
        <w:rPr>
          <w:rFonts w:ascii="Arial" w:hAnsi="Arial" w:cs="Arial"/>
          <w:lang w:val="en-US"/>
        </w:rPr>
        <w:t>r</w:t>
      </w:r>
      <w:r w:rsidR="00D838A2">
        <w:rPr>
          <w:rFonts w:ascii="Arial" w:hAnsi="Arial" w:cs="Arial"/>
          <w:lang w:val="en-US"/>
        </w:rPr>
        <w:t>espondent who ha</w:t>
      </w:r>
      <w:r w:rsidR="0081583B">
        <w:rPr>
          <w:rFonts w:ascii="Arial" w:hAnsi="Arial" w:cs="Arial"/>
          <w:lang w:val="en-US"/>
        </w:rPr>
        <w:t>d</w:t>
      </w:r>
      <w:r w:rsidR="00D838A2">
        <w:rPr>
          <w:rFonts w:ascii="Arial" w:hAnsi="Arial" w:cs="Arial"/>
          <w:lang w:val="en-US"/>
        </w:rPr>
        <w:t xml:space="preserve"> no control over </w:t>
      </w:r>
      <w:r w:rsidR="00255DEB">
        <w:rPr>
          <w:rFonts w:ascii="Arial" w:hAnsi="Arial" w:cs="Arial"/>
          <w:lang w:val="en-US"/>
        </w:rPr>
        <w:t>exercising</w:t>
      </w:r>
      <w:r w:rsidR="00D838A2">
        <w:rPr>
          <w:rFonts w:ascii="Arial" w:hAnsi="Arial" w:cs="Arial"/>
          <w:lang w:val="en-US"/>
        </w:rPr>
        <w:t xml:space="preserve"> the </w:t>
      </w:r>
      <w:r w:rsidR="00D27602">
        <w:rPr>
          <w:rFonts w:ascii="Arial" w:hAnsi="Arial" w:cs="Arial"/>
          <w:lang w:val="en-US"/>
        </w:rPr>
        <w:t>A</w:t>
      </w:r>
      <w:r w:rsidR="00D838A2">
        <w:rPr>
          <w:rFonts w:ascii="Arial" w:hAnsi="Arial" w:cs="Arial"/>
          <w:lang w:val="en-US"/>
        </w:rPr>
        <w:t>rbitrator’s duty to serve the award on the parties.</w:t>
      </w:r>
    </w:p>
    <w:p w14:paraId="2078444A" w14:textId="77777777" w:rsidR="007A0259" w:rsidRPr="00EB0655" w:rsidRDefault="007A0259" w:rsidP="007A0259">
      <w:pPr>
        <w:pStyle w:val="ListParagraph"/>
        <w:rPr>
          <w:rFonts w:ascii="Arial" w:eastAsia="Calibri" w:hAnsi="Arial" w:cs="Arial"/>
          <w:bCs/>
        </w:rPr>
      </w:pPr>
    </w:p>
    <w:p w14:paraId="0E0CC789" w14:textId="2C6C0A38" w:rsidR="007A0259" w:rsidRDefault="008B352D" w:rsidP="007A0259">
      <w:pPr>
        <w:pStyle w:val="ListParagraph"/>
        <w:spacing w:line="360" w:lineRule="auto"/>
        <w:ind w:left="0"/>
        <w:jc w:val="both"/>
        <w:rPr>
          <w:rFonts w:ascii="Arial" w:hAnsi="Arial" w:cs="Arial"/>
          <w:lang w:val="en-US"/>
        </w:rPr>
      </w:pPr>
      <w:r>
        <w:rPr>
          <w:rFonts w:ascii="Arial" w:hAnsi="Arial" w:cs="Arial"/>
          <w:i/>
          <w:iCs/>
          <w:lang w:val="en-US"/>
        </w:rPr>
        <w:t xml:space="preserve">Held that </w:t>
      </w:r>
      <w:r w:rsidR="002E537A">
        <w:rPr>
          <w:rFonts w:ascii="Arial" w:hAnsi="Arial" w:cs="Arial"/>
          <w:lang w:val="en-US"/>
        </w:rPr>
        <w:t xml:space="preserve">the ruling was served on the </w:t>
      </w:r>
      <w:r w:rsidR="00E72E33">
        <w:rPr>
          <w:rFonts w:ascii="Arial" w:hAnsi="Arial" w:cs="Arial"/>
          <w:lang w:val="en-US"/>
        </w:rPr>
        <w:t>a</w:t>
      </w:r>
      <w:r w:rsidR="002E537A">
        <w:rPr>
          <w:rFonts w:ascii="Arial" w:hAnsi="Arial" w:cs="Arial"/>
          <w:lang w:val="en-US"/>
        </w:rPr>
        <w:t>pplicant on 20 April 2022</w:t>
      </w:r>
      <w:r>
        <w:rPr>
          <w:rFonts w:ascii="Arial" w:hAnsi="Arial" w:cs="Arial"/>
          <w:lang w:val="en-US"/>
        </w:rPr>
        <w:t xml:space="preserve"> </w:t>
      </w:r>
      <w:r w:rsidR="00890F30">
        <w:rPr>
          <w:rFonts w:ascii="Arial" w:hAnsi="Arial" w:cs="Arial"/>
          <w:lang w:val="en-US"/>
        </w:rPr>
        <w:t xml:space="preserve">when </w:t>
      </w:r>
      <w:r w:rsidR="00D838A2">
        <w:rPr>
          <w:rFonts w:ascii="Arial" w:hAnsi="Arial" w:cs="Arial"/>
          <w:lang w:val="en-US"/>
        </w:rPr>
        <w:t>the ruling</w:t>
      </w:r>
      <w:r w:rsidR="00DD2AF3">
        <w:rPr>
          <w:rFonts w:ascii="Arial" w:hAnsi="Arial" w:cs="Arial"/>
          <w:lang w:val="en-US"/>
        </w:rPr>
        <w:t xml:space="preserve">, on the </w:t>
      </w:r>
      <w:r w:rsidR="00E72E33">
        <w:rPr>
          <w:rFonts w:ascii="Arial" w:hAnsi="Arial" w:cs="Arial"/>
          <w:lang w:val="en-US"/>
        </w:rPr>
        <w:t>a</w:t>
      </w:r>
      <w:r w:rsidR="00DD2AF3">
        <w:rPr>
          <w:rFonts w:ascii="Arial" w:hAnsi="Arial" w:cs="Arial"/>
          <w:lang w:val="en-US"/>
        </w:rPr>
        <w:t>pplicant’s version,</w:t>
      </w:r>
      <w:r w:rsidR="00890F30">
        <w:rPr>
          <w:rFonts w:ascii="Arial" w:hAnsi="Arial" w:cs="Arial"/>
          <w:lang w:val="en-US"/>
        </w:rPr>
        <w:t xml:space="preserve"> came to </w:t>
      </w:r>
      <w:r w:rsidR="00DD2AF3">
        <w:rPr>
          <w:rFonts w:ascii="Arial" w:hAnsi="Arial" w:cs="Arial"/>
          <w:lang w:val="en-US"/>
        </w:rPr>
        <w:t>its</w:t>
      </w:r>
      <w:r w:rsidR="00890F30">
        <w:rPr>
          <w:rFonts w:ascii="Arial" w:hAnsi="Arial" w:cs="Arial"/>
          <w:lang w:val="en-US"/>
        </w:rPr>
        <w:t xml:space="preserve"> attention</w:t>
      </w:r>
      <w:r w:rsidR="009D3FBB">
        <w:rPr>
          <w:rFonts w:ascii="Arial" w:hAnsi="Arial" w:cs="Arial"/>
          <w:lang w:val="en-US"/>
        </w:rPr>
        <w:t xml:space="preserve">, </w:t>
      </w:r>
      <w:r>
        <w:rPr>
          <w:rFonts w:ascii="Arial" w:hAnsi="Arial" w:cs="Arial"/>
          <w:lang w:val="en-US"/>
        </w:rPr>
        <w:t>and the appeal was noted timeously</w:t>
      </w:r>
      <w:r w:rsidR="002E537A">
        <w:rPr>
          <w:rFonts w:ascii="Arial" w:hAnsi="Arial" w:cs="Arial"/>
          <w:lang w:val="en-US"/>
        </w:rPr>
        <w:t>.</w:t>
      </w:r>
    </w:p>
    <w:p w14:paraId="1B4F8DBE" w14:textId="77777777" w:rsidR="007A0259" w:rsidRPr="00EB0655" w:rsidRDefault="007A0259" w:rsidP="007A0259">
      <w:pPr>
        <w:pStyle w:val="ListParagraph"/>
        <w:rPr>
          <w:rFonts w:ascii="Arial" w:eastAsia="Calibri" w:hAnsi="Arial" w:cs="Arial"/>
          <w:bCs/>
        </w:rPr>
      </w:pPr>
    </w:p>
    <w:p w14:paraId="6358671B" w14:textId="5A98063A" w:rsidR="007A0259" w:rsidRDefault="001C7C54" w:rsidP="007A0259">
      <w:pPr>
        <w:pStyle w:val="ListParagraph"/>
        <w:spacing w:line="360" w:lineRule="auto"/>
        <w:ind w:left="0"/>
        <w:jc w:val="both"/>
        <w:rPr>
          <w:rFonts w:ascii="Arial" w:hAnsi="Arial" w:cs="Arial"/>
          <w:lang w:val="en-US"/>
        </w:rPr>
      </w:pPr>
      <w:r>
        <w:rPr>
          <w:rFonts w:ascii="Arial" w:hAnsi="Arial" w:cs="Arial"/>
          <w:i/>
          <w:iCs/>
          <w:lang w:val="en-US"/>
        </w:rPr>
        <w:t>Held tha</w:t>
      </w:r>
      <w:r w:rsidR="0046215F">
        <w:rPr>
          <w:rFonts w:ascii="Arial" w:hAnsi="Arial" w:cs="Arial"/>
          <w:i/>
          <w:iCs/>
          <w:lang w:val="en-US"/>
        </w:rPr>
        <w:t>t</w:t>
      </w:r>
      <w:r>
        <w:rPr>
          <w:rFonts w:ascii="Arial" w:hAnsi="Arial" w:cs="Arial"/>
          <w:lang w:val="en-US"/>
        </w:rPr>
        <w:t xml:space="preserve"> in respect of an appeal against an arbitration tribunal award </w:t>
      </w:r>
      <w:r w:rsidR="00034FF9">
        <w:rPr>
          <w:rFonts w:ascii="Arial" w:hAnsi="Arial" w:cs="Arial"/>
          <w:lang w:val="en-US"/>
        </w:rPr>
        <w:t>referred to in</w:t>
      </w:r>
      <w:r>
        <w:rPr>
          <w:rFonts w:ascii="Arial" w:hAnsi="Arial" w:cs="Arial"/>
          <w:lang w:val="en-US"/>
        </w:rPr>
        <w:t xml:space="preserve"> Labour Court </w:t>
      </w:r>
      <w:r w:rsidR="003A26AF">
        <w:rPr>
          <w:rFonts w:ascii="Arial" w:hAnsi="Arial" w:cs="Arial"/>
          <w:lang w:val="en-US"/>
        </w:rPr>
        <w:t>r</w:t>
      </w:r>
      <w:r>
        <w:rPr>
          <w:rFonts w:ascii="Arial" w:hAnsi="Arial" w:cs="Arial"/>
          <w:lang w:val="en-US"/>
        </w:rPr>
        <w:t xml:space="preserve"> 17(1)</w:t>
      </w:r>
      <w:r w:rsidRPr="00034FF9">
        <w:rPr>
          <w:rFonts w:ascii="Arial" w:hAnsi="Arial" w:cs="Arial"/>
          <w:i/>
          <w:iCs/>
          <w:lang w:val="en-US"/>
        </w:rPr>
        <w:t>(c)</w:t>
      </w:r>
      <w:r>
        <w:rPr>
          <w:rFonts w:ascii="Arial" w:hAnsi="Arial" w:cs="Arial"/>
          <w:lang w:val="en-US"/>
        </w:rPr>
        <w:t xml:space="preserve">, Labour Court </w:t>
      </w:r>
      <w:r w:rsidR="003A26AF">
        <w:rPr>
          <w:rFonts w:ascii="Arial" w:hAnsi="Arial" w:cs="Arial"/>
          <w:lang w:val="en-US"/>
        </w:rPr>
        <w:t>r</w:t>
      </w:r>
      <w:r>
        <w:rPr>
          <w:rFonts w:ascii="Arial" w:hAnsi="Arial" w:cs="Arial"/>
          <w:lang w:val="en-US"/>
        </w:rPr>
        <w:t xml:space="preserve"> 17(3) appli</w:t>
      </w:r>
      <w:r w:rsidR="003678FB">
        <w:rPr>
          <w:rFonts w:ascii="Arial" w:hAnsi="Arial" w:cs="Arial"/>
          <w:lang w:val="en-US"/>
        </w:rPr>
        <w:t>es</w:t>
      </w:r>
      <w:r>
        <w:rPr>
          <w:rFonts w:ascii="Arial" w:hAnsi="Arial" w:cs="Arial"/>
          <w:lang w:val="en-US"/>
        </w:rPr>
        <w:t xml:space="preserve"> together with Conciliation and Arbitration </w:t>
      </w:r>
      <w:r w:rsidR="00DB4942">
        <w:rPr>
          <w:rFonts w:ascii="Arial" w:hAnsi="Arial" w:cs="Arial"/>
          <w:lang w:val="en-US"/>
        </w:rPr>
        <w:t>r</w:t>
      </w:r>
      <w:r>
        <w:rPr>
          <w:rFonts w:ascii="Arial" w:hAnsi="Arial" w:cs="Arial"/>
          <w:lang w:val="en-US"/>
        </w:rPr>
        <w:t xml:space="preserve"> </w:t>
      </w:r>
      <w:r w:rsidR="003678FB">
        <w:rPr>
          <w:rFonts w:ascii="Arial" w:hAnsi="Arial" w:cs="Arial"/>
          <w:lang w:val="en-US"/>
        </w:rPr>
        <w:t>23</w:t>
      </w:r>
      <w:r w:rsidR="002E4265">
        <w:rPr>
          <w:rFonts w:ascii="Arial" w:hAnsi="Arial" w:cs="Arial"/>
          <w:lang w:val="en-US"/>
        </w:rPr>
        <w:t>,</w:t>
      </w:r>
      <w:r w:rsidR="003678FB">
        <w:rPr>
          <w:rFonts w:ascii="Arial" w:hAnsi="Arial" w:cs="Arial"/>
          <w:lang w:val="en-US"/>
        </w:rPr>
        <w:t xml:space="preserve"> and in respect of such appeal</w:t>
      </w:r>
      <w:r w:rsidR="002E4265">
        <w:rPr>
          <w:rFonts w:ascii="Arial" w:hAnsi="Arial" w:cs="Arial"/>
          <w:lang w:val="en-US"/>
        </w:rPr>
        <w:t>,</w:t>
      </w:r>
      <w:r w:rsidR="003678FB">
        <w:rPr>
          <w:rFonts w:ascii="Arial" w:hAnsi="Arial" w:cs="Arial"/>
          <w:lang w:val="en-US"/>
        </w:rPr>
        <w:t xml:space="preserve"> Labour Court </w:t>
      </w:r>
      <w:r w:rsidR="003A26AF">
        <w:rPr>
          <w:rFonts w:ascii="Arial" w:hAnsi="Arial" w:cs="Arial"/>
          <w:lang w:val="en-US"/>
        </w:rPr>
        <w:t>r</w:t>
      </w:r>
      <w:r w:rsidR="003678FB">
        <w:rPr>
          <w:rFonts w:ascii="Arial" w:hAnsi="Arial" w:cs="Arial"/>
          <w:lang w:val="en-US"/>
        </w:rPr>
        <w:t xml:space="preserve"> 17(2) does not apply. </w:t>
      </w:r>
    </w:p>
    <w:p w14:paraId="51786208" w14:textId="77777777" w:rsidR="007A0259" w:rsidRPr="00EB0655" w:rsidRDefault="007A0259" w:rsidP="007A0259">
      <w:pPr>
        <w:pStyle w:val="ListParagraph"/>
        <w:rPr>
          <w:rFonts w:ascii="Arial" w:eastAsia="Calibri" w:hAnsi="Arial" w:cs="Arial"/>
          <w:bCs/>
        </w:rPr>
      </w:pPr>
    </w:p>
    <w:p w14:paraId="2A832DE3" w14:textId="6C3CBD3F" w:rsidR="007A0259" w:rsidRDefault="003678FB" w:rsidP="007A0259">
      <w:pPr>
        <w:pStyle w:val="ListParagraph"/>
        <w:spacing w:line="360" w:lineRule="auto"/>
        <w:ind w:left="0"/>
        <w:jc w:val="both"/>
        <w:rPr>
          <w:rFonts w:ascii="Arial" w:hAnsi="Arial" w:cs="Arial"/>
          <w:lang w:val="en-US"/>
        </w:rPr>
      </w:pPr>
      <w:r>
        <w:rPr>
          <w:rFonts w:ascii="Arial" w:hAnsi="Arial" w:cs="Arial"/>
          <w:i/>
          <w:iCs/>
          <w:lang w:val="en-US"/>
        </w:rPr>
        <w:t>Held tha</w:t>
      </w:r>
      <w:r w:rsidR="0046215F">
        <w:rPr>
          <w:rFonts w:ascii="Arial" w:hAnsi="Arial" w:cs="Arial"/>
          <w:i/>
          <w:iCs/>
          <w:lang w:val="en-US"/>
        </w:rPr>
        <w:t>t</w:t>
      </w:r>
      <w:r>
        <w:rPr>
          <w:rFonts w:ascii="Arial" w:hAnsi="Arial" w:cs="Arial"/>
          <w:i/>
          <w:iCs/>
          <w:lang w:val="en-US"/>
        </w:rPr>
        <w:t xml:space="preserve"> </w:t>
      </w:r>
      <w:r w:rsidR="002E4265">
        <w:rPr>
          <w:rFonts w:ascii="Arial" w:hAnsi="Arial" w:cs="Arial"/>
          <w:lang w:val="en-US"/>
        </w:rPr>
        <w:t xml:space="preserve">in terms of Labour Court </w:t>
      </w:r>
      <w:r w:rsidR="003A26AF">
        <w:rPr>
          <w:rFonts w:ascii="Arial" w:hAnsi="Arial" w:cs="Arial"/>
          <w:lang w:val="en-US"/>
        </w:rPr>
        <w:t>r</w:t>
      </w:r>
      <w:r w:rsidR="002E4265">
        <w:rPr>
          <w:rFonts w:ascii="Arial" w:hAnsi="Arial" w:cs="Arial"/>
          <w:lang w:val="en-US"/>
        </w:rPr>
        <w:t xml:space="preserve"> 17(3)</w:t>
      </w:r>
      <w:r w:rsidR="0046215F">
        <w:rPr>
          <w:rFonts w:ascii="Arial" w:hAnsi="Arial" w:cs="Arial"/>
          <w:lang w:val="en-US"/>
        </w:rPr>
        <w:t>,</w:t>
      </w:r>
      <w:r w:rsidR="002E4265">
        <w:rPr>
          <w:rFonts w:ascii="Arial" w:hAnsi="Arial" w:cs="Arial"/>
          <w:lang w:val="en-US"/>
        </w:rPr>
        <w:t xml:space="preserve"> </w:t>
      </w:r>
      <w:r>
        <w:rPr>
          <w:rFonts w:ascii="Arial" w:hAnsi="Arial" w:cs="Arial"/>
          <w:lang w:val="en-US"/>
        </w:rPr>
        <w:t>an appeal against an award</w:t>
      </w:r>
      <w:r w:rsidR="002E4265">
        <w:rPr>
          <w:rFonts w:ascii="Arial" w:hAnsi="Arial" w:cs="Arial"/>
          <w:lang w:val="en-US"/>
        </w:rPr>
        <w:t xml:space="preserve"> </w:t>
      </w:r>
      <w:r>
        <w:rPr>
          <w:rFonts w:ascii="Arial" w:hAnsi="Arial" w:cs="Arial"/>
          <w:lang w:val="en-US"/>
        </w:rPr>
        <w:t>must</w:t>
      </w:r>
      <w:r w:rsidR="002E4265">
        <w:rPr>
          <w:rFonts w:ascii="Arial" w:hAnsi="Arial" w:cs="Arial"/>
          <w:lang w:val="en-US"/>
        </w:rPr>
        <w:t xml:space="preserve"> </w:t>
      </w:r>
      <w:r>
        <w:rPr>
          <w:rFonts w:ascii="Arial" w:hAnsi="Arial" w:cs="Arial"/>
          <w:lang w:val="en-US"/>
        </w:rPr>
        <w:t xml:space="preserve">be noted in terms of the </w:t>
      </w:r>
      <w:r w:rsidRPr="003678FB">
        <w:rPr>
          <w:rFonts w:ascii="Arial" w:hAnsi="Arial" w:cs="Arial"/>
          <w:lang w:val="en-US"/>
        </w:rPr>
        <w:t>Conciliation and Arbitration Rules</w:t>
      </w:r>
      <w:r w:rsidR="002A2694">
        <w:rPr>
          <w:rFonts w:ascii="Arial" w:hAnsi="Arial" w:cs="Arial"/>
          <w:lang w:val="en-US"/>
        </w:rPr>
        <w:t>, the</w:t>
      </w:r>
      <w:r w:rsidRPr="003678FB">
        <w:rPr>
          <w:rFonts w:ascii="Arial" w:hAnsi="Arial" w:cs="Arial"/>
          <w:lang w:val="en-US"/>
        </w:rPr>
        <w:t xml:space="preserve"> relevant parts of </w:t>
      </w:r>
      <w:r w:rsidR="009D3FBB">
        <w:rPr>
          <w:rFonts w:ascii="Arial" w:hAnsi="Arial" w:cs="Arial"/>
          <w:lang w:val="en-US"/>
        </w:rPr>
        <w:t xml:space="preserve">a notice of appeal </w:t>
      </w:r>
      <w:r w:rsidRPr="003678FB">
        <w:rPr>
          <w:rFonts w:ascii="Arial" w:hAnsi="Arial" w:cs="Arial"/>
          <w:lang w:val="en-US"/>
        </w:rPr>
        <w:t>Form 11</w:t>
      </w:r>
      <w:r w:rsidR="002A2694">
        <w:rPr>
          <w:rFonts w:ascii="Arial" w:hAnsi="Arial" w:cs="Arial"/>
          <w:lang w:val="en-US"/>
        </w:rPr>
        <w:t xml:space="preserve"> (part B) must be completed</w:t>
      </w:r>
      <w:r w:rsidR="0046215F">
        <w:rPr>
          <w:rFonts w:ascii="Arial" w:hAnsi="Arial" w:cs="Arial"/>
          <w:lang w:val="en-US"/>
        </w:rPr>
        <w:t>,</w:t>
      </w:r>
      <w:r w:rsidR="002A2694">
        <w:rPr>
          <w:rFonts w:ascii="Arial" w:hAnsi="Arial" w:cs="Arial"/>
          <w:lang w:val="en-US"/>
        </w:rPr>
        <w:t xml:space="preserve"> and the </w:t>
      </w:r>
      <w:r w:rsidRPr="003678FB">
        <w:rPr>
          <w:rFonts w:ascii="Arial" w:hAnsi="Arial" w:cs="Arial"/>
          <w:lang w:val="en-US"/>
        </w:rPr>
        <w:t xml:space="preserve">completed Form 11 together with </w:t>
      </w:r>
      <w:r w:rsidR="002A2694">
        <w:rPr>
          <w:rFonts w:ascii="Arial" w:hAnsi="Arial" w:cs="Arial"/>
          <w:lang w:val="en-US"/>
        </w:rPr>
        <w:t xml:space="preserve">a </w:t>
      </w:r>
      <w:r w:rsidRPr="003678FB">
        <w:rPr>
          <w:rFonts w:ascii="Arial" w:hAnsi="Arial" w:cs="Arial"/>
          <w:lang w:val="en-US"/>
        </w:rPr>
        <w:t xml:space="preserve">notice of appeal </w:t>
      </w:r>
      <w:r w:rsidR="009D3FBB">
        <w:rPr>
          <w:rFonts w:ascii="Arial" w:hAnsi="Arial" w:cs="Arial"/>
          <w:lang w:val="en-US"/>
        </w:rPr>
        <w:t xml:space="preserve">Form LC 41 </w:t>
      </w:r>
      <w:r w:rsidRPr="003678FB">
        <w:rPr>
          <w:rFonts w:ascii="Arial" w:hAnsi="Arial" w:cs="Arial"/>
          <w:lang w:val="en-US"/>
        </w:rPr>
        <w:t xml:space="preserve">in terms of Conciliation and Arbitration Rules </w:t>
      </w:r>
      <w:r w:rsidR="002A2694">
        <w:rPr>
          <w:rFonts w:ascii="Arial" w:hAnsi="Arial" w:cs="Arial"/>
          <w:lang w:val="en-US"/>
        </w:rPr>
        <w:t>must be delivered to the Registrar, the Labour Commissioner</w:t>
      </w:r>
      <w:r w:rsidR="0046215F">
        <w:rPr>
          <w:rFonts w:ascii="Arial" w:hAnsi="Arial" w:cs="Arial"/>
          <w:lang w:val="en-US"/>
        </w:rPr>
        <w:t>,</w:t>
      </w:r>
      <w:r w:rsidR="002A2694">
        <w:rPr>
          <w:rFonts w:ascii="Arial" w:hAnsi="Arial" w:cs="Arial"/>
          <w:lang w:val="en-US"/>
        </w:rPr>
        <w:t xml:space="preserve"> and the other parties.</w:t>
      </w:r>
    </w:p>
    <w:p w14:paraId="05841DD5" w14:textId="77777777" w:rsidR="007A0259" w:rsidRPr="00EB0655" w:rsidRDefault="007A0259" w:rsidP="007A0259">
      <w:pPr>
        <w:pStyle w:val="ListParagraph"/>
        <w:rPr>
          <w:rFonts w:ascii="Arial" w:eastAsia="Calibri" w:hAnsi="Arial" w:cs="Arial"/>
          <w:bCs/>
        </w:rPr>
      </w:pPr>
    </w:p>
    <w:p w14:paraId="18E6BB30" w14:textId="28EC6277" w:rsidR="007A0259" w:rsidRDefault="002A2694" w:rsidP="007A0259">
      <w:pPr>
        <w:pStyle w:val="ListParagraph"/>
        <w:spacing w:line="360" w:lineRule="auto"/>
        <w:ind w:left="0"/>
        <w:jc w:val="both"/>
        <w:rPr>
          <w:rFonts w:ascii="Arial" w:hAnsi="Arial" w:cs="Arial"/>
          <w:lang w:val="en-US"/>
        </w:rPr>
      </w:pPr>
      <w:r>
        <w:rPr>
          <w:rFonts w:ascii="Arial" w:hAnsi="Arial" w:cs="Arial"/>
          <w:i/>
          <w:iCs/>
          <w:lang w:val="en-US"/>
        </w:rPr>
        <w:t xml:space="preserve">Held that </w:t>
      </w:r>
      <w:r>
        <w:rPr>
          <w:rFonts w:ascii="Arial" w:hAnsi="Arial" w:cs="Arial"/>
          <w:lang w:val="en-US"/>
        </w:rPr>
        <w:t xml:space="preserve">Labour Court </w:t>
      </w:r>
      <w:r w:rsidR="003A26AF">
        <w:rPr>
          <w:rFonts w:ascii="Arial" w:hAnsi="Arial" w:cs="Arial"/>
          <w:lang w:val="en-US"/>
        </w:rPr>
        <w:t>r</w:t>
      </w:r>
      <w:r>
        <w:rPr>
          <w:rFonts w:ascii="Arial" w:hAnsi="Arial" w:cs="Arial"/>
          <w:lang w:val="en-US"/>
        </w:rPr>
        <w:t xml:space="preserve"> 17(3) does not require </w:t>
      </w:r>
      <w:r w:rsidR="002E4265">
        <w:rPr>
          <w:rFonts w:ascii="Arial" w:hAnsi="Arial" w:cs="Arial"/>
          <w:lang w:val="en-US"/>
        </w:rPr>
        <w:t xml:space="preserve">that the </w:t>
      </w:r>
      <w:r>
        <w:rPr>
          <w:rFonts w:ascii="Arial" w:hAnsi="Arial" w:cs="Arial"/>
          <w:lang w:val="en-US"/>
        </w:rPr>
        <w:t>grounds of appeal</w:t>
      </w:r>
      <w:r w:rsidR="002E4265">
        <w:rPr>
          <w:rFonts w:ascii="Arial" w:hAnsi="Arial" w:cs="Arial"/>
          <w:lang w:val="en-US"/>
        </w:rPr>
        <w:t xml:space="preserve"> </w:t>
      </w:r>
      <w:r>
        <w:rPr>
          <w:rFonts w:ascii="Arial" w:hAnsi="Arial" w:cs="Arial"/>
          <w:lang w:val="en-US"/>
        </w:rPr>
        <w:t xml:space="preserve">be set out in Form 11 </w:t>
      </w:r>
      <w:r w:rsidR="009D3FBB">
        <w:rPr>
          <w:rFonts w:ascii="Arial" w:hAnsi="Arial" w:cs="Arial"/>
          <w:lang w:val="en-US"/>
        </w:rPr>
        <w:t xml:space="preserve">for an appeal against an award </w:t>
      </w:r>
      <w:r>
        <w:rPr>
          <w:rFonts w:ascii="Arial" w:hAnsi="Arial" w:cs="Arial"/>
          <w:lang w:val="en-US"/>
        </w:rPr>
        <w:t xml:space="preserve">as required in Labour Court </w:t>
      </w:r>
      <w:r w:rsidR="003A26AF">
        <w:rPr>
          <w:rFonts w:ascii="Arial" w:hAnsi="Arial" w:cs="Arial"/>
          <w:lang w:val="en-US"/>
        </w:rPr>
        <w:t>r</w:t>
      </w:r>
      <w:r>
        <w:rPr>
          <w:rFonts w:ascii="Arial" w:hAnsi="Arial" w:cs="Arial"/>
          <w:lang w:val="en-US"/>
        </w:rPr>
        <w:t xml:space="preserve"> 17(2) </w:t>
      </w:r>
      <w:r w:rsidR="009D3FBB">
        <w:rPr>
          <w:rFonts w:ascii="Arial" w:hAnsi="Arial" w:cs="Arial"/>
          <w:lang w:val="en-US"/>
        </w:rPr>
        <w:t>for other types of appeals</w:t>
      </w:r>
      <w:r w:rsidR="0046215F">
        <w:rPr>
          <w:rFonts w:ascii="Arial" w:hAnsi="Arial" w:cs="Arial"/>
          <w:lang w:val="en-US"/>
        </w:rPr>
        <w:t>. I</w:t>
      </w:r>
      <w:r w:rsidR="00B202D8">
        <w:rPr>
          <w:rFonts w:ascii="Arial" w:hAnsi="Arial" w:cs="Arial"/>
          <w:lang w:val="en-US"/>
        </w:rPr>
        <w:t xml:space="preserve">t is not </w:t>
      </w:r>
      <w:r w:rsidR="0046215F">
        <w:rPr>
          <w:rFonts w:ascii="Arial" w:hAnsi="Arial" w:cs="Arial"/>
          <w:lang w:val="en-US"/>
        </w:rPr>
        <w:t>necessary</w:t>
      </w:r>
      <w:r w:rsidR="00B202D8">
        <w:rPr>
          <w:rFonts w:ascii="Arial" w:hAnsi="Arial" w:cs="Arial"/>
          <w:lang w:val="en-US"/>
        </w:rPr>
        <w:t xml:space="preserve"> to set out</w:t>
      </w:r>
      <w:r>
        <w:rPr>
          <w:rFonts w:ascii="Arial" w:hAnsi="Arial" w:cs="Arial"/>
          <w:lang w:val="en-US"/>
        </w:rPr>
        <w:t xml:space="preserve"> </w:t>
      </w:r>
      <w:r w:rsidR="002E4265">
        <w:rPr>
          <w:rFonts w:ascii="Arial" w:hAnsi="Arial" w:cs="Arial"/>
          <w:lang w:val="en-US"/>
        </w:rPr>
        <w:t xml:space="preserve">the </w:t>
      </w:r>
      <w:r>
        <w:rPr>
          <w:rFonts w:ascii="Arial" w:hAnsi="Arial" w:cs="Arial"/>
          <w:lang w:val="en-US"/>
        </w:rPr>
        <w:t>grounds of appeal in Form 11 for an appeal against an award</w:t>
      </w:r>
      <w:r w:rsidR="0046215F">
        <w:rPr>
          <w:rFonts w:ascii="Arial" w:hAnsi="Arial" w:cs="Arial"/>
          <w:lang w:val="en-US"/>
        </w:rPr>
        <w:t>,</w:t>
      </w:r>
      <w:r>
        <w:rPr>
          <w:rFonts w:ascii="Arial" w:hAnsi="Arial" w:cs="Arial"/>
          <w:lang w:val="en-US"/>
        </w:rPr>
        <w:t xml:space="preserve"> but </w:t>
      </w:r>
      <w:r w:rsidR="00B202D8">
        <w:rPr>
          <w:rFonts w:ascii="Arial" w:hAnsi="Arial" w:cs="Arial"/>
          <w:lang w:val="en-US"/>
        </w:rPr>
        <w:t xml:space="preserve">it is a peremptory requirement to set out </w:t>
      </w:r>
      <w:r>
        <w:rPr>
          <w:rFonts w:ascii="Arial" w:hAnsi="Arial" w:cs="Arial"/>
          <w:lang w:val="en-US"/>
        </w:rPr>
        <w:t>the grounds of appeal in Form LC 41.</w:t>
      </w:r>
    </w:p>
    <w:p w14:paraId="66A7CDEB" w14:textId="77777777" w:rsidR="007A0259" w:rsidRPr="00EB0655" w:rsidRDefault="007A0259" w:rsidP="007A0259">
      <w:pPr>
        <w:pStyle w:val="ListParagraph"/>
        <w:rPr>
          <w:rFonts w:ascii="Arial" w:eastAsia="Calibri" w:hAnsi="Arial" w:cs="Arial"/>
          <w:bCs/>
        </w:rPr>
      </w:pPr>
    </w:p>
    <w:p w14:paraId="0F081EF4" w14:textId="1EBFA8B9" w:rsidR="007A0259" w:rsidRDefault="00EE168B" w:rsidP="007A0259">
      <w:pPr>
        <w:pStyle w:val="ListParagraph"/>
        <w:spacing w:line="360" w:lineRule="auto"/>
        <w:ind w:left="0"/>
        <w:jc w:val="both"/>
        <w:rPr>
          <w:rFonts w:ascii="Arial" w:hAnsi="Arial" w:cs="Arial"/>
          <w:lang w:val="en-US"/>
        </w:rPr>
      </w:pPr>
      <w:r>
        <w:rPr>
          <w:rFonts w:ascii="Arial" w:hAnsi="Arial" w:cs="Arial"/>
          <w:i/>
          <w:iCs/>
          <w:lang w:val="en-US"/>
        </w:rPr>
        <w:t>Held tha</w:t>
      </w:r>
      <w:r w:rsidR="0046215F">
        <w:rPr>
          <w:rFonts w:ascii="Arial" w:hAnsi="Arial" w:cs="Arial"/>
          <w:i/>
          <w:iCs/>
          <w:lang w:val="en-US"/>
        </w:rPr>
        <w:t>t</w:t>
      </w:r>
      <w:r>
        <w:rPr>
          <w:rFonts w:ascii="Arial" w:hAnsi="Arial" w:cs="Arial"/>
          <w:i/>
          <w:iCs/>
          <w:lang w:val="en-US"/>
        </w:rPr>
        <w:t xml:space="preserve"> </w:t>
      </w:r>
      <w:r>
        <w:rPr>
          <w:rFonts w:ascii="Arial" w:hAnsi="Arial" w:cs="Arial"/>
          <w:lang w:val="en-US"/>
        </w:rPr>
        <w:t xml:space="preserve">whereas the appeal is against an award in terms of Labour Court </w:t>
      </w:r>
      <w:r w:rsidR="003A26AF">
        <w:rPr>
          <w:rFonts w:ascii="Arial" w:hAnsi="Arial" w:cs="Arial"/>
          <w:lang w:val="en-US"/>
        </w:rPr>
        <w:t>r</w:t>
      </w:r>
      <w:r>
        <w:rPr>
          <w:rFonts w:ascii="Arial" w:hAnsi="Arial" w:cs="Arial"/>
          <w:lang w:val="en-US"/>
        </w:rPr>
        <w:t xml:space="preserve"> 17(3) and not an appeal against a decision of the Labour Commissioner or a compliance order in terms of Labour Court </w:t>
      </w:r>
      <w:r w:rsidR="003A26AF">
        <w:rPr>
          <w:rFonts w:ascii="Arial" w:hAnsi="Arial" w:cs="Arial"/>
          <w:lang w:val="en-US"/>
        </w:rPr>
        <w:t>r</w:t>
      </w:r>
      <w:r>
        <w:rPr>
          <w:rFonts w:ascii="Arial" w:hAnsi="Arial" w:cs="Arial"/>
          <w:lang w:val="en-US"/>
        </w:rPr>
        <w:t xml:space="preserve"> 17(2), it is not a requirement </w:t>
      </w:r>
      <w:r w:rsidR="002E4265">
        <w:rPr>
          <w:rFonts w:ascii="Arial" w:hAnsi="Arial" w:cs="Arial"/>
          <w:lang w:val="en-US"/>
        </w:rPr>
        <w:t>that</w:t>
      </w:r>
      <w:r>
        <w:rPr>
          <w:rFonts w:ascii="Arial" w:hAnsi="Arial" w:cs="Arial"/>
          <w:lang w:val="en-US"/>
        </w:rPr>
        <w:t xml:space="preserve"> the </w:t>
      </w:r>
      <w:r w:rsidR="00E72E33">
        <w:rPr>
          <w:rFonts w:ascii="Arial" w:hAnsi="Arial" w:cs="Arial"/>
          <w:lang w:val="en-US"/>
        </w:rPr>
        <w:t>a</w:t>
      </w:r>
      <w:r>
        <w:rPr>
          <w:rFonts w:ascii="Arial" w:hAnsi="Arial" w:cs="Arial"/>
          <w:lang w:val="en-US"/>
        </w:rPr>
        <w:t xml:space="preserve">pplicant’s grounds of appeal </w:t>
      </w:r>
      <w:r w:rsidR="002E4265">
        <w:rPr>
          <w:rFonts w:ascii="Arial" w:hAnsi="Arial" w:cs="Arial"/>
          <w:lang w:val="en-US"/>
        </w:rPr>
        <w:t xml:space="preserve">must </w:t>
      </w:r>
      <w:r w:rsidR="00830673">
        <w:rPr>
          <w:rFonts w:ascii="Arial" w:hAnsi="Arial" w:cs="Arial"/>
          <w:lang w:val="en-US"/>
        </w:rPr>
        <w:t>be</w:t>
      </w:r>
      <w:r>
        <w:rPr>
          <w:rFonts w:ascii="Arial" w:hAnsi="Arial" w:cs="Arial"/>
          <w:lang w:val="en-US"/>
        </w:rPr>
        <w:t xml:space="preserve"> set out in its Form 11 and the </w:t>
      </w:r>
      <w:r w:rsidR="00E72E33">
        <w:rPr>
          <w:rFonts w:ascii="Arial" w:hAnsi="Arial" w:cs="Arial"/>
          <w:lang w:val="en-US"/>
        </w:rPr>
        <w:t>a</w:t>
      </w:r>
      <w:r>
        <w:rPr>
          <w:rFonts w:ascii="Arial" w:hAnsi="Arial" w:cs="Arial"/>
          <w:lang w:val="en-US"/>
        </w:rPr>
        <w:t xml:space="preserve">pplicant’s Form 11 is not defective. </w:t>
      </w:r>
    </w:p>
    <w:p w14:paraId="45982938" w14:textId="77777777" w:rsidR="007A0259" w:rsidRPr="00EB0655" w:rsidRDefault="007A0259" w:rsidP="007A0259">
      <w:pPr>
        <w:pStyle w:val="ListParagraph"/>
        <w:rPr>
          <w:rFonts w:ascii="Arial" w:eastAsia="Calibri" w:hAnsi="Arial" w:cs="Arial"/>
          <w:bCs/>
        </w:rPr>
      </w:pPr>
    </w:p>
    <w:p w14:paraId="0A33BBD5" w14:textId="770790B9" w:rsidR="007A0259" w:rsidRDefault="001551D2" w:rsidP="007A0259">
      <w:pPr>
        <w:pStyle w:val="ListParagraph"/>
        <w:spacing w:line="360" w:lineRule="auto"/>
        <w:ind w:left="0"/>
        <w:jc w:val="both"/>
        <w:rPr>
          <w:rFonts w:ascii="Arial" w:hAnsi="Arial" w:cs="Arial"/>
          <w:lang w:val="en-US"/>
        </w:rPr>
      </w:pPr>
      <w:r>
        <w:rPr>
          <w:rFonts w:ascii="Arial" w:hAnsi="Arial" w:cs="Arial"/>
          <w:i/>
          <w:iCs/>
          <w:lang w:val="en-US"/>
        </w:rPr>
        <w:lastRenderedPageBreak/>
        <w:t>Held that</w:t>
      </w:r>
      <w:r>
        <w:rPr>
          <w:rFonts w:ascii="Arial" w:hAnsi="Arial" w:cs="Arial"/>
          <w:lang w:val="en-US"/>
        </w:rPr>
        <w:t xml:space="preserve"> </w:t>
      </w:r>
      <w:r w:rsidR="008F68B0">
        <w:rPr>
          <w:rFonts w:ascii="Arial" w:hAnsi="Arial" w:cs="Arial"/>
          <w:lang w:val="en-US"/>
        </w:rPr>
        <w:t xml:space="preserve">in terms of Labour Court </w:t>
      </w:r>
      <w:r w:rsidR="003A26AF">
        <w:rPr>
          <w:rFonts w:ascii="Arial" w:hAnsi="Arial" w:cs="Arial"/>
          <w:lang w:val="en-US"/>
        </w:rPr>
        <w:t>r</w:t>
      </w:r>
      <w:r w:rsidR="008F68B0">
        <w:rPr>
          <w:rFonts w:ascii="Arial" w:hAnsi="Arial" w:cs="Arial"/>
          <w:lang w:val="en-US"/>
        </w:rPr>
        <w:t xml:space="preserve"> 15</w:t>
      </w:r>
      <w:r w:rsidR="0046215F">
        <w:rPr>
          <w:rFonts w:ascii="Arial" w:hAnsi="Arial" w:cs="Arial"/>
          <w:lang w:val="en-US"/>
        </w:rPr>
        <w:t>,</w:t>
      </w:r>
      <w:r>
        <w:rPr>
          <w:rFonts w:ascii="Arial" w:hAnsi="Arial" w:cs="Arial"/>
          <w:lang w:val="en-US"/>
        </w:rPr>
        <w:t xml:space="preserve"> </w:t>
      </w:r>
      <w:r w:rsidR="00EE168B">
        <w:rPr>
          <w:rFonts w:ascii="Arial" w:hAnsi="Arial" w:cs="Arial"/>
          <w:lang w:val="en-US"/>
        </w:rPr>
        <w:t xml:space="preserve">the </w:t>
      </w:r>
      <w:r w:rsidR="00E72E33">
        <w:rPr>
          <w:rFonts w:ascii="Arial" w:hAnsi="Arial" w:cs="Arial"/>
          <w:lang w:val="en-US"/>
        </w:rPr>
        <w:t>a</w:t>
      </w:r>
      <w:r w:rsidR="00EE168B">
        <w:rPr>
          <w:rFonts w:ascii="Arial" w:hAnsi="Arial" w:cs="Arial"/>
          <w:lang w:val="en-US"/>
        </w:rPr>
        <w:t xml:space="preserve">pplicant must </w:t>
      </w:r>
      <w:r>
        <w:rPr>
          <w:rFonts w:ascii="Arial" w:hAnsi="Arial" w:cs="Arial"/>
          <w:lang w:val="en-US"/>
        </w:rPr>
        <w:t>show good cause</w:t>
      </w:r>
      <w:r w:rsidR="00E0216A">
        <w:rPr>
          <w:rFonts w:ascii="Arial" w:hAnsi="Arial" w:cs="Arial"/>
          <w:lang w:val="en-US"/>
        </w:rPr>
        <w:t>,</w:t>
      </w:r>
      <w:r>
        <w:rPr>
          <w:rFonts w:ascii="Arial" w:hAnsi="Arial" w:cs="Arial"/>
          <w:lang w:val="en-US"/>
        </w:rPr>
        <w:t xml:space="preserve"> which </w:t>
      </w:r>
      <w:r w:rsidR="008F68B0">
        <w:rPr>
          <w:rFonts w:ascii="Arial" w:hAnsi="Arial" w:cs="Arial"/>
          <w:lang w:val="en-US"/>
        </w:rPr>
        <w:t xml:space="preserve">concept </w:t>
      </w:r>
      <w:r w:rsidR="00EE168B">
        <w:rPr>
          <w:rFonts w:ascii="Arial" w:hAnsi="Arial" w:cs="Arial"/>
          <w:lang w:val="en-US"/>
        </w:rPr>
        <w:t>has</w:t>
      </w:r>
      <w:r>
        <w:rPr>
          <w:rFonts w:ascii="Arial" w:hAnsi="Arial" w:cs="Arial"/>
          <w:lang w:val="en-US"/>
        </w:rPr>
        <w:t xml:space="preserve"> two requirements</w:t>
      </w:r>
      <w:r w:rsidR="000D4BA5">
        <w:rPr>
          <w:rFonts w:ascii="Arial" w:hAnsi="Arial" w:cs="Arial"/>
          <w:lang w:val="en-US"/>
        </w:rPr>
        <w:t xml:space="preserve">. The first is a </w:t>
      </w:r>
      <w:r w:rsidR="00485084">
        <w:rPr>
          <w:rFonts w:ascii="Arial" w:hAnsi="Arial" w:cs="Arial"/>
          <w:lang w:val="en-US"/>
        </w:rPr>
        <w:t xml:space="preserve">bona fide </w:t>
      </w:r>
      <w:r w:rsidR="00EE168B">
        <w:rPr>
          <w:rFonts w:ascii="Arial" w:hAnsi="Arial" w:cs="Arial"/>
          <w:lang w:val="en-US"/>
        </w:rPr>
        <w:t xml:space="preserve">reasonable and acceptable </w:t>
      </w:r>
      <w:r w:rsidR="00EE168B" w:rsidRPr="00EE168B">
        <w:rPr>
          <w:rFonts w:ascii="Arial" w:hAnsi="Arial" w:cs="Arial"/>
          <w:lang w:val="en-US"/>
        </w:rPr>
        <w:t xml:space="preserve">explanation </w:t>
      </w:r>
      <w:r w:rsidR="00D91267">
        <w:rPr>
          <w:rFonts w:ascii="Arial" w:hAnsi="Arial" w:cs="Arial"/>
          <w:lang w:val="en-US"/>
        </w:rPr>
        <w:t xml:space="preserve">for the </w:t>
      </w:r>
      <w:r w:rsidR="00ED68E5">
        <w:rPr>
          <w:rFonts w:ascii="Arial" w:hAnsi="Arial" w:cs="Arial"/>
          <w:lang w:val="en-US"/>
        </w:rPr>
        <w:t>non-compliance</w:t>
      </w:r>
      <w:r w:rsidR="00D91267">
        <w:rPr>
          <w:rFonts w:ascii="Arial" w:hAnsi="Arial" w:cs="Arial"/>
          <w:lang w:val="en-US"/>
        </w:rPr>
        <w:t xml:space="preserve"> and delay</w:t>
      </w:r>
      <w:r w:rsidR="0046215F">
        <w:rPr>
          <w:rFonts w:ascii="Arial" w:hAnsi="Arial" w:cs="Arial"/>
          <w:lang w:val="en-US"/>
        </w:rPr>
        <w:t xml:space="preserve">, which must be full, detailed, and accurate for the entire </w:t>
      </w:r>
      <w:r w:rsidR="00346606">
        <w:rPr>
          <w:rFonts w:ascii="Arial" w:hAnsi="Arial" w:cs="Arial"/>
          <w:lang w:val="en-US"/>
        </w:rPr>
        <w:t>delay period, including the condonation application's timing</w:t>
      </w:r>
      <w:r w:rsidR="00EE168B">
        <w:rPr>
          <w:rFonts w:ascii="Arial" w:hAnsi="Arial" w:cs="Arial"/>
          <w:lang w:val="en-US"/>
        </w:rPr>
        <w:t>. The se</w:t>
      </w:r>
      <w:r w:rsidR="00EE168B" w:rsidRPr="00EE168B">
        <w:rPr>
          <w:rFonts w:ascii="Arial" w:hAnsi="Arial" w:cs="Arial"/>
          <w:lang w:val="en-US"/>
        </w:rPr>
        <w:t>cond</w:t>
      </w:r>
      <w:r w:rsidR="00EE168B">
        <w:rPr>
          <w:rFonts w:ascii="Arial" w:hAnsi="Arial" w:cs="Arial"/>
          <w:lang w:val="en-US"/>
        </w:rPr>
        <w:t xml:space="preserve"> is</w:t>
      </w:r>
      <w:r w:rsidR="00EE168B" w:rsidRPr="00EE168B">
        <w:rPr>
          <w:rFonts w:ascii="Arial" w:hAnsi="Arial" w:cs="Arial"/>
          <w:lang w:val="en-US"/>
        </w:rPr>
        <w:t xml:space="preserve"> </w:t>
      </w:r>
      <w:r w:rsidR="009B69EB">
        <w:rPr>
          <w:rFonts w:ascii="Arial" w:hAnsi="Arial" w:cs="Arial"/>
          <w:lang w:val="en-US"/>
        </w:rPr>
        <w:t xml:space="preserve">reasonable (not good) </w:t>
      </w:r>
      <w:r w:rsidR="00EE168B" w:rsidRPr="00EE168B">
        <w:rPr>
          <w:rFonts w:ascii="Arial" w:hAnsi="Arial" w:cs="Arial"/>
          <w:lang w:val="en-US"/>
        </w:rPr>
        <w:t>prospects of success on the merits</w:t>
      </w:r>
      <w:r w:rsidR="00EE168B">
        <w:rPr>
          <w:rFonts w:ascii="Arial" w:hAnsi="Arial" w:cs="Arial"/>
          <w:lang w:val="en-US"/>
        </w:rPr>
        <w:t xml:space="preserve">. </w:t>
      </w:r>
    </w:p>
    <w:p w14:paraId="7DB98AA1" w14:textId="77777777" w:rsidR="007A0259" w:rsidRPr="00EB0655" w:rsidRDefault="007A0259" w:rsidP="007A0259">
      <w:pPr>
        <w:pStyle w:val="ListParagraph"/>
        <w:rPr>
          <w:rFonts w:ascii="Arial" w:eastAsia="Calibri" w:hAnsi="Arial" w:cs="Arial"/>
          <w:bCs/>
        </w:rPr>
      </w:pPr>
    </w:p>
    <w:p w14:paraId="63528007" w14:textId="56DE1C2F" w:rsidR="007A0259" w:rsidRDefault="002D2FE1" w:rsidP="007A0259">
      <w:pPr>
        <w:pStyle w:val="ListParagraph"/>
        <w:spacing w:line="360" w:lineRule="auto"/>
        <w:ind w:left="0"/>
        <w:jc w:val="both"/>
        <w:rPr>
          <w:rFonts w:ascii="Arial" w:hAnsi="Arial" w:cs="Arial"/>
          <w:lang w:val="en-US"/>
        </w:rPr>
      </w:pPr>
      <w:r w:rsidRPr="002D2FE1">
        <w:rPr>
          <w:rFonts w:ascii="Arial" w:hAnsi="Arial" w:cs="Arial"/>
          <w:i/>
          <w:iCs/>
          <w:lang w:val="en-US"/>
        </w:rPr>
        <w:t>Held that</w:t>
      </w:r>
      <w:r w:rsidR="0046215F">
        <w:rPr>
          <w:rFonts w:ascii="Arial" w:hAnsi="Arial" w:cs="Arial"/>
          <w:lang w:val="en-US"/>
        </w:rPr>
        <w:t xml:space="preserve"> </w:t>
      </w:r>
      <w:r w:rsidR="0059433F">
        <w:rPr>
          <w:rFonts w:ascii="Arial" w:hAnsi="Arial" w:cs="Arial"/>
          <w:lang w:val="en-US"/>
        </w:rPr>
        <w:t xml:space="preserve">the principles applicable to a recission application in terms of High Court </w:t>
      </w:r>
      <w:r w:rsidR="003A26AF">
        <w:rPr>
          <w:rFonts w:ascii="Arial" w:hAnsi="Arial" w:cs="Arial"/>
          <w:lang w:val="en-US"/>
        </w:rPr>
        <w:t>r</w:t>
      </w:r>
      <w:r w:rsidR="0059433F">
        <w:rPr>
          <w:rFonts w:ascii="Arial" w:hAnsi="Arial" w:cs="Arial"/>
          <w:lang w:val="en-US"/>
        </w:rPr>
        <w:t xml:space="preserve"> 103(1)</w:t>
      </w:r>
      <w:r w:rsidR="0059433F" w:rsidRPr="002B462E">
        <w:rPr>
          <w:rFonts w:ascii="Arial" w:hAnsi="Arial" w:cs="Arial"/>
          <w:i/>
          <w:iCs/>
          <w:lang w:val="en-US"/>
        </w:rPr>
        <w:t>(a)</w:t>
      </w:r>
      <w:r w:rsidR="0059433F">
        <w:rPr>
          <w:rFonts w:ascii="Arial" w:hAnsi="Arial" w:cs="Arial"/>
          <w:lang w:val="en-US"/>
        </w:rPr>
        <w:t xml:space="preserve"> apply to s</w:t>
      </w:r>
      <w:r w:rsidRPr="002D2FE1">
        <w:rPr>
          <w:rFonts w:ascii="Arial" w:hAnsi="Arial" w:cs="Arial"/>
          <w:lang w:val="en-US"/>
        </w:rPr>
        <w:t xml:space="preserve"> 88</w:t>
      </w:r>
      <w:r w:rsidRPr="002B462E">
        <w:rPr>
          <w:rFonts w:ascii="Arial" w:hAnsi="Arial" w:cs="Arial"/>
          <w:i/>
          <w:iCs/>
          <w:lang w:val="en-US"/>
        </w:rPr>
        <w:t>(a)</w:t>
      </w:r>
      <w:r w:rsidRPr="002D2FE1">
        <w:rPr>
          <w:rFonts w:ascii="Arial" w:hAnsi="Arial" w:cs="Arial"/>
          <w:lang w:val="en-US"/>
        </w:rPr>
        <w:t xml:space="preserve"> </w:t>
      </w:r>
      <w:r w:rsidR="0059433F">
        <w:rPr>
          <w:rFonts w:ascii="Arial" w:hAnsi="Arial" w:cs="Arial"/>
          <w:lang w:val="en-US"/>
        </w:rPr>
        <w:t>of the Act 11 of 2007</w:t>
      </w:r>
      <w:r w:rsidR="00E0216A">
        <w:rPr>
          <w:rFonts w:ascii="Arial" w:hAnsi="Arial" w:cs="Arial"/>
          <w:lang w:val="en-US"/>
        </w:rPr>
        <w:t>,</w:t>
      </w:r>
      <w:r w:rsidR="0059433F">
        <w:rPr>
          <w:rFonts w:ascii="Arial" w:hAnsi="Arial" w:cs="Arial"/>
          <w:lang w:val="en-US"/>
        </w:rPr>
        <w:t xml:space="preserve"> and an applicant in a rescission application in terms of s 88</w:t>
      </w:r>
      <w:r w:rsidR="0059433F" w:rsidRPr="002B462E">
        <w:rPr>
          <w:rFonts w:ascii="Arial" w:hAnsi="Arial" w:cs="Arial"/>
          <w:i/>
          <w:iCs/>
          <w:lang w:val="en-US"/>
        </w:rPr>
        <w:t>(a)</w:t>
      </w:r>
      <w:r w:rsidR="0059433F">
        <w:rPr>
          <w:rFonts w:ascii="Arial" w:hAnsi="Arial" w:cs="Arial"/>
          <w:lang w:val="en-US"/>
        </w:rPr>
        <w:t xml:space="preserve"> </w:t>
      </w:r>
      <w:r w:rsidRPr="002D2FE1">
        <w:rPr>
          <w:rFonts w:ascii="Arial" w:hAnsi="Arial" w:cs="Arial"/>
          <w:lang w:val="en-US"/>
        </w:rPr>
        <w:t>need not show good cause</w:t>
      </w:r>
      <w:r w:rsidR="0081583B">
        <w:rPr>
          <w:rFonts w:ascii="Arial" w:hAnsi="Arial" w:cs="Arial"/>
          <w:lang w:val="en-US"/>
        </w:rPr>
        <w:t>. A</w:t>
      </w:r>
      <w:r w:rsidR="0059433F">
        <w:rPr>
          <w:rFonts w:ascii="Arial" w:hAnsi="Arial" w:cs="Arial"/>
          <w:lang w:val="en-US"/>
        </w:rPr>
        <w:t xml:space="preserve"> judgment or order </w:t>
      </w:r>
      <w:r w:rsidRPr="002D2FE1">
        <w:rPr>
          <w:rFonts w:ascii="Arial" w:hAnsi="Arial" w:cs="Arial"/>
          <w:lang w:val="en-US"/>
        </w:rPr>
        <w:t>erroneously sought or granted in the absence of a</w:t>
      </w:r>
      <w:r w:rsidR="0059433F">
        <w:rPr>
          <w:rFonts w:ascii="Arial" w:hAnsi="Arial" w:cs="Arial"/>
          <w:lang w:val="en-US"/>
        </w:rPr>
        <w:t xml:space="preserve">n affected </w:t>
      </w:r>
      <w:r w:rsidR="00E0216A">
        <w:rPr>
          <w:rFonts w:ascii="Arial" w:hAnsi="Arial" w:cs="Arial"/>
          <w:lang w:val="en-US"/>
        </w:rPr>
        <w:t xml:space="preserve">party </w:t>
      </w:r>
      <w:r w:rsidRPr="002D2FE1">
        <w:rPr>
          <w:rFonts w:ascii="Arial" w:hAnsi="Arial" w:cs="Arial"/>
          <w:lang w:val="en-US"/>
        </w:rPr>
        <w:t xml:space="preserve">should </w:t>
      </w:r>
      <w:r w:rsidR="0059433F">
        <w:rPr>
          <w:rFonts w:ascii="Arial" w:hAnsi="Arial" w:cs="Arial"/>
          <w:lang w:val="en-US"/>
        </w:rPr>
        <w:t xml:space="preserve">be rescinded </w:t>
      </w:r>
      <w:r w:rsidRPr="002D2FE1">
        <w:rPr>
          <w:rFonts w:ascii="Arial" w:hAnsi="Arial" w:cs="Arial"/>
          <w:lang w:val="en-US"/>
        </w:rPr>
        <w:t>without further enquiry</w:t>
      </w:r>
      <w:r w:rsidR="00346606">
        <w:rPr>
          <w:rFonts w:ascii="Arial" w:hAnsi="Arial" w:cs="Arial"/>
          <w:lang w:val="en-US"/>
        </w:rPr>
        <w:t>. T</w:t>
      </w:r>
      <w:r w:rsidRPr="002D2FE1">
        <w:rPr>
          <w:rFonts w:ascii="Arial" w:hAnsi="Arial" w:cs="Arial"/>
          <w:lang w:val="en-US"/>
        </w:rPr>
        <w:t xml:space="preserve">he court would be entitled to have regard not only to the record of the </w:t>
      </w:r>
      <w:r w:rsidR="00255DEB">
        <w:rPr>
          <w:rFonts w:ascii="Arial" w:hAnsi="Arial" w:cs="Arial"/>
          <w:lang w:val="en-US"/>
        </w:rPr>
        <w:t>court's proceedings</w:t>
      </w:r>
      <w:r w:rsidRPr="002D2FE1">
        <w:rPr>
          <w:rFonts w:ascii="Arial" w:hAnsi="Arial" w:cs="Arial"/>
          <w:lang w:val="en-US"/>
        </w:rPr>
        <w:t xml:space="preserve"> </w:t>
      </w:r>
      <w:r w:rsidR="0059433F">
        <w:rPr>
          <w:rFonts w:ascii="Arial" w:hAnsi="Arial" w:cs="Arial"/>
          <w:lang w:val="en-US"/>
        </w:rPr>
        <w:t xml:space="preserve">making the impugned judgment or order </w:t>
      </w:r>
      <w:r w:rsidRPr="002D2FE1">
        <w:rPr>
          <w:rFonts w:ascii="Arial" w:hAnsi="Arial" w:cs="Arial"/>
          <w:lang w:val="en-US"/>
        </w:rPr>
        <w:t>but also to</w:t>
      </w:r>
      <w:r w:rsidR="0059433F">
        <w:rPr>
          <w:rFonts w:ascii="Arial" w:hAnsi="Arial" w:cs="Arial"/>
          <w:lang w:val="en-US"/>
        </w:rPr>
        <w:t xml:space="preserve"> </w:t>
      </w:r>
      <w:r w:rsidR="007A0259">
        <w:rPr>
          <w:rFonts w:ascii="Arial" w:hAnsi="Arial" w:cs="Arial"/>
          <w:lang w:val="en-US"/>
        </w:rPr>
        <w:t xml:space="preserve">the </w:t>
      </w:r>
      <w:r w:rsidRPr="002D2FE1">
        <w:rPr>
          <w:rFonts w:ascii="Arial" w:hAnsi="Arial" w:cs="Arial"/>
          <w:lang w:val="en-US"/>
        </w:rPr>
        <w:t xml:space="preserve">facts set out in the affidavit to the rescission </w:t>
      </w:r>
      <w:r w:rsidR="0059433F">
        <w:rPr>
          <w:rFonts w:ascii="Arial" w:hAnsi="Arial" w:cs="Arial"/>
          <w:lang w:val="en-US"/>
        </w:rPr>
        <w:t>application</w:t>
      </w:r>
      <w:r w:rsidR="0081583B">
        <w:rPr>
          <w:rFonts w:ascii="Arial" w:hAnsi="Arial" w:cs="Arial"/>
          <w:lang w:val="en-US"/>
        </w:rPr>
        <w:t>. W</w:t>
      </w:r>
      <w:r w:rsidRPr="002D2FE1">
        <w:rPr>
          <w:rFonts w:ascii="Arial" w:hAnsi="Arial" w:cs="Arial"/>
        </w:rPr>
        <w:t xml:space="preserve">here there </w:t>
      </w:r>
      <w:r w:rsidR="0059433F">
        <w:rPr>
          <w:rFonts w:ascii="Arial" w:hAnsi="Arial" w:cs="Arial"/>
        </w:rPr>
        <w:t>is no</w:t>
      </w:r>
      <w:r w:rsidRPr="002D2FE1">
        <w:rPr>
          <w:rFonts w:ascii="Arial" w:hAnsi="Arial" w:cs="Arial"/>
        </w:rPr>
        <w:t xml:space="preserve"> proper notice of the proceedings to the party seeking rescission</w:t>
      </w:r>
      <w:r w:rsidR="00255DEB">
        <w:rPr>
          <w:rFonts w:ascii="Arial" w:hAnsi="Arial" w:cs="Arial"/>
        </w:rPr>
        <w:t>,</w:t>
      </w:r>
      <w:r w:rsidR="0059433F">
        <w:rPr>
          <w:rFonts w:ascii="Arial" w:hAnsi="Arial" w:cs="Arial"/>
        </w:rPr>
        <w:t xml:space="preserve"> the order was </w:t>
      </w:r>
      <w:r w:rsidRPr="002D2FE1">
        <w:rPr>
          <w:rFonts w:ascii="Arial" w:hAnsi="Arial" w:cs="Arial"/>
        </w:rPr>
        <w:t>granted erroneously.</w:t>
      </w:r>
    </w:p>
    <w:p w14:paraId="6F067883" w14:textId="77777777" w:rsidR="007A0259" w:rsidRPr="00EB0655" w:rsidRDefault="007A0259" w:rsidP="007A0259">
      <w:pPr>
        <w:pStyle w:val="ListParagraph"/>
        <w:rPr>
          <w:rFonts w:ascii="Arial" w:eastAsia="Calibri" w:hAnsi="Arial" w:cs="Arial"/>
          <w:bCs/>
        </w:rPr>
      </w:pPr>
    </w:p>
    <w:p w14:paraId="79A6FE82" w14:textId="2D5176C6" w:rsidR="00064B1E" w:rsidRPr="0081583B" w:rsidRDefault="00890F30" w:rsidP="0096203D">
      <w:pPr>
        <w:spacing w:line="360" w:lineRule="auto"/>
        <w:jc w:val="both"/>
        <w:rPr>
          <w:rFonts w:ascii="Arial" w:hAnsi="Arial" w:cs="Arial"/>
          <w:bCs/>
        </w:rPr>
      </w:pPr>
      <w:r>
        <w:rPr>
          <w:rFonts w:ascii="Arial" w:hAnsi="Arial" w:cs="Arial"/>
          <w:i/>
          <w:iCs/>
          <w:lang w:val="en-US"/>
        </w:rPr>
        <w:t xml:space="preserve">Held that </w:t>
      </w:r>
      <w:r>
        <w:rPr>
          <w:rFonts w:ascii="Arial" w:hAnsi="Arial" w:cs="Arial"/>
          <w:bCs/>
        </w:rPr>
        <w:t>t</w:t>
      </w:r>
      <w:r w:rsidRPr="00D95CC8">
        <w:rPr>
          <w:rFonts w:ascii="Arial" w:hAnsi="Arial" w:cs="Arial"/>
          <w:bCs/>
        </w:rPr>
        <w:t xml:space="preserve">he </w:t>
      </w:r>
      <w:r w:rsidR="00E72E33">
        <w:rPr>
          <w:rFonts w:ascii="Arial" w:hAnsi="Arial" w:cs="Arial"/>
          <w:bCs/>
        </w:rPr>
        <w:t>a</w:t>
      </w:r>
      <w:r w:rsidRPr="00D95CC8">
        <w:rPr>
          <w:rFonts w:ascii="Arial" w:hAnsi="Arial" w:cs="Arial"/>
          <w:bCs/>
        </w:rPr>
        <w:t>pplicant provide</w:t>
      </w:r>
      <w:r w:rsidR="00DB1134">
        <w:rPr>
          <w:rFonts w:ascii="Arial" w:hAnsi="Arial" w:cs="Arial"/>
          <w:bCs/>
        </w:rPr>
        <w:t xml:space="preserve">d </w:t>
      </w:r>
      <w:r w:rsidR="00CF6221">
        <w:rPr>
          <w:rFonts w:ascii="Arial" w:hAnsi="Arial" w:cs="Arial"/>
          <w:bCs/>
        </w:rPr>
        <w:t>a weak</w:t>
      </w:r>
      <w:r w:rsidR="00DB1134">
        <w:rPr>
          <w:rFonts w:ascii="Arial" w:hAnsi="Arial" w:cs="Arial"/>
          <w:bCs/>
        </w:rPr>
        <w:t xml:space="preserve"> explanation</w:t>
      </w:r>
      <w:r w:rsidR="009B69EB">
        <w:rPr>
          <w:rFonts w:ascii="Arial" w:hAnsi="Arial" w:cs="Arial"/>
          <w:bCs/>
        </w:rPr>
        <w:t xml:space="preserve"> for the non-compliance and the delay</w:t>
      </w:r>
      <w:r w:rsidR="00CF6221">
        <w:rPr>
          <w:rFonts w:ascii="Arial" w:hAnsi="Arial" w:cs="Arial"/>
          <w:bCs/>
        </w:rPr>
        <w:t xml:space="preserve"> </w:t>
      </w:r>
      <w:r w:rsidR="00A646BF">
        <w:rPr>
          <w:rFonts w:ascii="Arial" w:hAnsi="Arial" w:cs="Arial"/>
          <w:bCs/>
        </w:rPr>
        <w:t>that followed up to 28 September 2022 when the need for the application was realised</w:t>
      </w:r>
      <w:r w:rsidR="00255DEB">
        <w:rPr>
          <w:rFonts w:ascii="Arial" w:hAnsi="Arial" w:cs="Arial"/>
          <w:bCs/>
        </w:rPr>
        <w:t>,</w:t>
      </w:r>
      <w:r w:rsidR="00A646BF">
        <w:rPr>
          <w:rFonts w:ascii="Arial" w:hAnsi="Arial" w:cs="Arial"/>
          <w:bCs/>
        </w:rPr>
        <w:t xml:space="preserve"> </w:t>
      </w:r>
      <w:r w:rsidR="00CF6221">
        <w:rPr>
          <w:rFonts w:ascii="Arial" w:hAnsi="Arial" w:cs="Arial"/>
          <w:bCs/>
        </w:rPr>
        <w:t>and little</w:t>
      </w:r>
      <w:r w:rsidR="00CB1930">
        <w:rPr>
          <w:rFonts w:ascii="Arial" w:hAnsi="Arial" w:cs="Arial"/>
          <w:bCs/>
        </w:rPr>
        <w:t xml:space="preserve"> weight </w:t>
      </w:r>
      <w:r w:rsidR="00DC4DEF">
        <w:rPr>
          <w:rFonts w:ascii="Arial" w:hAnsi="Arial" w:cs="Arial"/>
          <w:bCs/>
        </w:rPr>
        <w:t>is attached</w:t>
      </w:r>
      <w:r w:rsidR="00346606">
        <w:rPr>
          <w:rFonts w:ascii="Arial" w:hAnsi="Arial" w:cs="Arial"/>
          <w:bCs/>
        </w:rPr>
        <w:t xml:space="preserve">. The period it has taken since then to launch the application is reasonable, and a fair amount of weight is attached. The </w:t>
      </w:r>
      <w:r w:rsidR="00E72E33">
        <w:rPr>
          <w:rFonts w:ascii="Arial" w:hAnsi="Arial" w:cs="Arial"/>
          <w:bCs/>
        </w:rPr>
        <w:t>a</w:t>
      </w:r>
      <w:r w:rsidR="00346606">
        <w:rPr>
          <w:rFonts w:ascii="Arial" w:hAnsi="Arial" w:cs="Arial"/>
          <w:bCs/>
        </w:rPr>
        <w:t>pplicant illustrated reasonable prospects of success on the merits</w:t>
      </w:r>
      <w:r w:rsidR="00255DEB">
        <w:rPr>
          <w:rFonts w:ascii="Arial" w:hAnsi="Arial" w:cs="Arial"/>
          <w:bCs/>
        </w:rPr>
        <w:t>,</w:t>
      </w:r>
      <w:r w:rsidR="00346606">
        <w:rPr>
          <w:rFonts w:ascii="Arial" w:hAnsi="Arial" w:cs="Arial"/>
          <w:bCs/>
        </w:rPr>
        <w:t xml:space="preserve"> </w:t>
      </w:r>
      <w:r w:rsidR="0081583B">
        <w:rPr>
          <w:rFonts w:ascii="Arial" w:hAnsi="Arial" w:cs="Arial"/>
          <w:bCs/>
        </w:rPr>
        <w:t>and</w:t>
      </w:r>
      <w:r w:rsidR="00346606">
        <w:rPr>
          <w:rFonts w:ascii="Arial" w:hAnsi="Arial" w:cs="Arial"/>
          <w:bCs/>
        </w:rPr>
        <w:t xml:space="preserve"> a considerable amount of weight is attached. C</w:t>
      </w:r>
      <w:r w:rsidR="002C0EDA">
        <w:rPr>
          <w:rFonts w:ascii="Arial" w:hAnsi="Arial" w:cs="Arial"/>
          <w:bCs/>
        </w:rPr>
        <w:t>onjunctively</w:t>
      </w:r>
      <w:r w:rsidR="00346606">
        <w:rPr>
          <w:rFonts w:ascii="Arial" w:hAnsi="Arial" w:cs="Arial"/>
          <w:bCs/>
        </w:rPr>
        <w:t>, the court is satisfied that a case has been</w:t>
      </w:r>
      <w:r w:rsidR="002C0EDA">
        <w:rPr>
          <w:rFonts w:ascii="Arial" w:hAnsi="Arial" w:cs="Arial"/>
          <w:bCs/>
        </w:rPr>
        <w:t xml:space="preserve"> made out for the relief sought</w:t>
      </w:r>
      <w:r w:rsidR="00CB1930">
        <w:rPr>
          <w:rFonts w:ascii="Arial" w:hAnsi="Arial" w:cs="Arial"/>
          <w:bCs/>
        </w:rPr>
        <w:t>.</w:t>
      </w:r>
    </w:p>
    <w:p w14:paraId="20E21D6E" w14:textId="182F6BE9" w:rsidR="00AC04D5" w:rsidRDefault="00AC04D5" w:rsidP="00FE7F68">
      <w:pPr>
        <w:spacing w:line="360" w:lineRule="auto"/>
        <w:jc w:val="both"/>
        <w:rPr>
          <w:rFonts w:ascii="Arial" w:hAnsi="Arial" w:cs="Arial"/>
          <w:lang w:val="en-US"/>
        </w:rPr>
      </w:pPr>
      <w:r>
        <w:rPr>
          <w:rFonts w:ascii="Arial" w:hAnsi="Arial" w:cs="Arial"/>
          <w:lang w:val="en-US"/>
        </w:rPr>
        <w:t>_______________________________________________________________</w:t>
      </w:r>
    </w:p>
    <w:p w14:paraId="4E2AA7C6" w14:textId="77777777" w:rsidR="00AC04D5" w:rsidRPr="00AC04D5" w:rsidRDefault="00AC04D5" w:rsidP="00AC04D5">
      <w:pPr>
        <w:spacing w:line="360" w:lineRule="auto"/>
        <w:jc w:val="center"/>
        <w:rPr>
          <w:rFonts w:ascii="Arial" w:hAnsi="Arial" w:cs="Arial"/>
          <w:b/>
          <w:bCs/>
          <w:sz w:val="15"/>
          <w:szCs w:val="15"/>
          <w:lang w:val="en-US"/>
        </w:rPr>
      </w:pPr>
    </w:p>
    <w:p w14:paraId="63E03F57" w14:textId="47F647BB" w:rsidR="00AC04D5" w:rsidRDefault="00AC04D5" w:rsidP="00AC04D5">
      <w:pPr>
        <w:spacing w:line="360" w:lineRule="auto"/>
        <w:jc w:val="center"/>
        <w:rPr>
          <w:rFonts w:ascii="Arial" w:hAnsi="Arial" w:cs="Arial"/>
          <w:b/>
          <w:bCs/>
          <w:lang w:val="en-US"/>
        </w:rPr>
      </w:pPr>
      <w:r>
        <w:rPr>
          <w:rFonts w:ascii="Arial" w:hAnsi="Arial" w:cs="Arial"/>
          <w:b/>
          <w:bCs/>
          <w:lang w:val="en-US"/>
        </w:rPr>
        <w:t>ORDER</w:t>
      </w:r>
    </w:p>
    <w:p w14:paraId="2FD0DA86" w14:textId="77777777" w:rsidR="009921AE" w:rsidRDefault="009921AE" w:rsidP="009921AE">
      <w:pPr>
        <w:spacing w:line="360" w:lineRule="auto"/>
        <w:jc w:val="both"/>
        <w:rPr>
          <w:rFonts w:ascii="Arial" w:hAnsi="Arial" w:cs="Arial"/>
          <w:lang w:val="en-US"/>
        </w:rPr>
      </w:pPr>
      <w:r>
        <w:rPr>
          <w:rFonts w:ascii="Arial" w:hAnsi="Arial" w:cs="Arial"/>
          <w:lang w:val="en-US"/>
        </w:rPr>
        <w:t>_______________________________________________________________</w:t>
      </w:r>
    </w:p>
    <w:p w14:paraId="7A0CF8D2" w14:textId="77777777" w:rsidR="00AC04D5" w:rsidRPr="00AC04D5" w:rsidRDefault="00AC04D5" w:rsidP="00AC04D5">
      <w:pPr>
        <w:spacing w:line="360" w:lineRule="auto"/>
        <w:jc w:val="center"/>
        <w:rPr>
          <w:rFonts w:ascii="Arial" w:hAnsi="Arial" w:cs="Arial"/>
          <w:b/>
          <w:bCs/>
          <w:lang w:val="en-US"/>
        </w:rPr>
      </w:pPr>
    </w:p>
    <w:p w14:paraId="56FF243D" w14:textId="7831A665" w:rsidR="00CC1146" w:rsidRDefault="00CC1146" w:rsidP="00183EF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P</w:t>
      </w:r>
      <w:r w:rsidRPr="00EB0655">
        <w:rPr>
          <w:rFonts w:ascii="Arial" w:hAnsi="Arial" w:cs="Arial"/>
          <w:lang w:val="en-US"/>
        </w:rPr>
        <w:t xml:space="preserve">rayer 4 of </w:t>
      </w:r>
      <w:r>
        <w:rPr>
          <w:rFonts w:ascii="Arial" w:hAnsi="Arial" w:cs="Arial"/>
          <w:lang w:val="en-US"/>
        </w:rPr>
        <w:t>the</w:t>
      </w:r>
      <w:r w:rsidRPr="00EB0655">
        <w:rPr>
          <w:rFonts w:ascii="Arial" w:hAnsi="Arial" w:cs="Arial"/>
          <w:lang w:val="en-US"/>
        </w:rPr>
        <w:t xml:space="preserve"> notice of motion</w:t>
      </w:r>
      <w:r>
        <w:rPr>
          <w:rFonts w:ascii="Arial" w:hAnsi="Arial" w:cs="Arial"/>
          <w:lang w:val="en-US"/>
        </w:rPr>
        <w:t xml:space="preserve"> is amended</w:t>
      </w:r>
      <w:r w:rsidRPr="00EB0655">
        <w:rPr>
          <w:rFonts w:ascii="Arial" w:hAnsi="Arial" w:cs="Arial"/>
          <w:lang w:val="en-US"/>
        </w:rPr>
        <w:t xml:space="preserve"> </w:t>
      </w:r>
      <w:r>
        <w:rPr>
          <w:rFonts w:ascii="Arial" w:hAnsi="Arial" w:cs="Arial"/>
          <w:lang w:val="en-US"/>
        </w:rPr>
        <w:t xml:space="preserve">by </w:t>
      </w:r>
      <w:r w:rsidRPr="00EB0655">
        <w:rPr>
          <w:rFonts w:ascii="Arial" w:hAnsi="Arial" w:cs="Arial"/>
          <w:lang w:val="en-US"/>
        </w:rPr>
        <w:t>substitut</w:t>
      </w:r>
      <w:r>
        <w:rPr>
          <w:rFonts w:ascii="Arial" w:hAnsi="Arial" w:cs="Arial"/>
          <w:lang w:val="en-US"/>
        </w:rPr>
        <w:t>ing</w:t>
      </w:r>
      <w:r w:rsidRPr="00EB0655">
        <w:rPr>
          <w:rFonts w:ascii="Arial" w:hAnsi="Arial" w:cs="Arial"/>
          <w:lang w:val="en-US"/>
        </w:rPr>
        <w:t xml:space="preserve"> the </w:t>
      </w:r>
      <w:r w:rsidR="00346606">
        <w:rPr>
          <w:rFonts w:ascii="Arial" w:hAnsi="Arial" w:cs="Arial"/>
          <w:lang w:val="en-US"/>
        </w:rPr>
        <w:t>ten days</w:t>
      </w:r>
      <w:r w:rsidRPr="00EB0655">
        <w:rPr>
          <w:rFonts w:ascii="Arial" w:hAnsi="Arial" w:cs="Arial"/>
          <w:lang w:val="en-US"/>
        </w:rPr>
        <w:t xml:space="preserve"> </w:t>
      </w:r>
      <w:r>
        <w:rPr>
          <w:rFonts w:ascii="Arial" w:hAnsi="Arial" w:cs="Arial"/>
          <w:lang w:val="en-US"/>
        </w:rPr>
        <w:t>contained</w:t>
      </w:r>
      <w:r w:rsidRPr="00EB0655">
        <w:rPr>
          <w:rFonts w:ascii="Arial" w:hAnsi="Arial" w:cs="Arial"/>
          <w:lang w:val="en-US"/>
        </w:rPr>
        <w:t xml:space="preserve"> therein with </w:t>
      </w:r>
      <w:r w:rsidR="00346606">
        <w:rPr>
          <w:rFonts w:ascii="Arial" w:hAnsi="Arial" w:cs="Arial"/>
          <w:lang w:val="en-US"/>
        </w:rPr>
        <w:t>30 days</w:t>
      </w:r>
      <w:r>
        <w:rPr>
          <w:rFonts w:ascii="Arial" w:hAnsi="Arial" w:cs="Arial"/>
          <w:lang w:val="en-US"/>
        </w:rPr>
        <w:t>.</w:t>
      </w:r>
    </w:p>
    <w:p w14:paraId="151E215D" w14:textId="77777777" w:rsidR="00CC1146" w:rsidRPr="004E5F07" w:rsidRDefault="00CC1146" w:rsidP="00183EF5">
      <w:pPr>
        <w:pStyle w:val="ListParagraph"/>
        <w:ind w:left="0"/>
        <w:rPr>
          <w:rFonts w:ascii="Arial" w:hAnsi="Arial" w:cs="Arial"/>
          <w:lang w:val="en-US"/>
        </w:rPr>
      </w:pPr>
    </w:p>
    <w:p w14:paraId="676E785B" w14:textId="3FF2A129" w:rsidR="004E5F07" w:rsidRDefault="00CB1930" w:rsidP="00183EF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The late prosecution of the appeal under HC-MD-LAB-APP-AAA-2022/00033 is condoned</w:t>
      </w:r>
      <w:r w:rsidR="00BE25F4">
        <w:rPr>
          <w:rFonts w:ascii="Arial" w:hAnsi="Arial" w:cs="Arial"/>
          <w:lang w:val="en-US"/>
        </w:rPr>
        <w:t>.</w:t>
      </w:r>
    </w:p>
    <w:p w14:paraId="140C3B7D" w14:textId="77777777" w:rsidR="004E5F07" w:rsidRPr="004E5F07" w:rsidRDefault="004E5F07" w:rsidP="00183EF5">
      <w:pPr>
        <w:pStyle w:val="ListParagraph"/>
        <w:ind w:left="0"/>
        <w:rPr>
          <w:rFonts w:ascii="Arial" w:hAnsi="Arial" w:cs="Arial"/>
          <w:lang w:val="en-US"/>
        </w:rPr>
      </w:pPr>
    </w:p>
    <w:p w14:paraId="4BE2AC8C" w14:textId="259243DE" w:rsidR="00CB1930" w:rsidRDefault="00CB1930" w:rsidP="00183EF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lastRenderedPageBreak/>
        <w:t>The appeal under HC-MD-LAB-APP-AAA-2022/00033 is reinstated</w:t>
      </w:r>
      <w:r w:rsidR="00BE25F4">
        <w:rPr>
          <w:rFonts w:ascii="Arial" w:hAnsi="Arial" w:cs="Arial"/>
          <w:lang w:val="en-US"/>
        </w:rPr>
        <w:t>.</w:t>
      </w:r>
    </w:p>
    <w:p w14:paraId="5202509F" w14:textId="77777777" w:rsidR="00CB1930" w:rsidRPr="00CB1930" w:rsidRDefault="00CB1930" w:rsidP="00183EF5">
      <w:pPr>
        <w:pStyle w:val="ListParagraph"/>
        <w:ind w:left="0"/>
        <w:rPr>
          <w:rFonts w:ascii="Arial" w:hAnsi="Arial" w:cs="Arial"/>
          <w:lang w:val="en-US"/>
        </w:rPr>
      </w:pPr>
    </w:p>
    <w:p w14:paraId="0684BC42" w14:textId="671A32A3" w:rsidR="00CB1930" w:rsidRDefault="00CB1930" w:rsidP="00183EF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w:t>
      </w:r>
      <w:r w:rsidRPr="00CB1930">
        <w:rPr>
          <w:rFonts w:ascii="Arial" w:hAnsi="Arial" w:cs="Arial"/>
          <w:lang w:val="en-US"/>
        </w:rPr>
        <w:t xml:space="preserve">he late filing of the certificate under Labour Court </w:t>
      </w:r>
      <w:r w:rsidR="003A26AF">
        <w:rPr>
          <w:rFonts w:ascii="Arial" w:hAnsi="Arial" w:cs="Arial"/>
          <w:lang w:val="en-US"/>
        </w:rPr>
        <w:t>r</w:t>
      </w:r>
      <w:r w:rsidRPr="00CB1930">
        <w:rPr>
          <w:rFonts w:ascii="Arial" w:hAnsi="Arial" w:cs="Arial"/>
          <w:lang w:val="en-US"/>
        </w:rPr>
        <w:t xml:space="preserve"> 17(12)</w:t>
      </w:r>
      <w:r>
        <w:rPr>
          <w:rFonts w:ascii="Arial" w:hAnsi="Arial" w:cs="Arial"/>
          <w:lang w:val="en-US"/>
        </w:rPr>
        <w:t xml:space="preserve"> is condoned.</w:t>
      </w:r>
    </w:p>
    <w:p w14:paraId="2D36E148" w14:textId="77777777" w:rsidR="00CB1930" w:rsidRPr="00CB1930" w:rsidRDefault="00CB1930" w:rsidP="00183EF5">
      <w:pPr>
        <w:pStyle w:val="ListParagraph"/>
        <w:ind w:left="0"/>
        <w:rPr>
          <w:rFonts w:ascii="Arial" w:hAnsi="Arial" w:cs="Arial"/>
          <w:lang w:val="en-US"/>
        </w:rPr>
      </w:pPr>
    </w:p>
    <w:p w14:paraId="0F064373" w14:textId="2B819783" w:rsidR="00CB1930" w:rsidRDefault="00CB1930" w:rsidP="00183EF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w:t>
      </w:r>
      <w:r w:rsidRPr="00CB1930">
        <w:rPr>
          <w:rFonts w:ascii="Arial" w:hAnsi="Arial" w:cs="Arial"/>
          <w:lang w:val="en-US"/>
        </w:rPr>
        <w:t xml:space="preserve">he time for compliance with Labour Court </w:t>
      </w:r>
      <w:r w:rsidR="003A26AF">
        <w:rPr>
          <w:rFonts w:ascii="Arial" w:hAnsi="Arial" w:cs="Arial"/>
          <w:lang w:val="en-US"/>
        </w:rPr>
        <w:t>r</w:t>
      </w:r>
      <w:r w:rsidRPr="00CB1930">
        <w:rPr>
          <w:rFonts w:ascii="Arial" w:hAnsi="Arial" w:cs="Arial"/>
          <w:lang w:val="en-US"/>
        </w:rPr>
        <w:t xml:space="preserve"> 17(12) to 17(16) </w:t>
      </w:r>
      <w:r>
        <w:rPr>
          <w:rFonts w:ascii="Arial" w:hAnsi="Arial" w:cs="Arial"/>
          <w:lang w:val="en-US"/>
        </w:rPr>
        <w:t xml:space="preserve">is extended </w:t>
      </w:r>
      <w:r w:rsidRPr="00CB1930">
        <w:rPr>
          <w:rFonts w:ascii="Arial" w:hAnsi="Arial" w:cs="Arial"/>
          <w:lang w:val="en-US"/>
        </w:rPr>
        <w:t>to 30 days after the date of th</w:t>
      </w:r>
      <w:r>
        <w:rPr>
          <w:rFonts w:ascii="Arial" w:hAnsi="Arial" w:cs="Arial"/>
          <w:lang w:val="en-US"/>
        </w:rPr>
        <w:t>is</w:t>
      </w:r>
      <w:r w:rsidRPr="00CB1930">
        <w:rPr>
          <w:rFonts w:ascii="Arial" w:hAnsi="Arial" w:cs="Arial"/>
          <w:lang w:val="en-US"/>
        </w:rPr>
        <w:t xml:space="preserve"> order</w:t>
      </w:r>
      <w:r>
        <w:rPr>
          <w:rFonts w:ascii="Arial" w:hAnsi="Arial" w:cs="Arial"/>
          <w:lang w:val="en-US"/>
        </w:rPr>
        <w:t>.</w:t>
      </w:r>
    </w:p>
    <w:p w14:paraId="1AA375CA" w14:textId="77777777" w:rsidR="00CB1930" w:rsidRPr="00CB1930" w:rsidRDefault="00CB1930" w:rsidP="00183EF5">
      <w:pPr>
        <w:pStyle w:val="ListParagraph"/>
        <w:ind w:left="0"/>
        <w:rPr>
          <w:rFonts w:ascii="Arial" w:hAnsi="Arial" w:cs="Arial"/>
          <w:lang w:val="en-US"/>
        </w:rPr>
      </w:pPr>
    </w:p>
    <w:p w14:paraId="672BE956" w14:textId="2C33EFFA" w:rsidR="00CB1930" w:rsidRPr="00CB1930" w:rsidRDefault="00CB1930" w:rsidP="00183EF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 xml:space="preserve">There </w:t>
      </w:r>
      <w:r w:rsidR="007629B6">
        <w:rPr>
          <w:rFonts w:ascii="Arial" w:hAnsi="Arial" w:cs="Arial"/>
          <w:lang w:val="en-US"/>
        </w:rPr>
        <w:t>is</w:t>
      </w:r>
      <w:r>
        <w:rPr>
          <w:rFonts w:ascii="Arial" w:hAnsi="Arial" w:cs="Arial"/>
          <w:lang w:val="en-US"/>
        </w:rPr>
        <w:t xml:space="preserve"> no order as to costs.</w:t>
      </w:r>
    </w:p>
    <w:p w14:paraId="35A98BA3" w14:textId="77777777" w:rsidR="004E5F07" w:rsidRPr="004E5F07" w:rsidRDefault="004E5F07" w:rsidP="00183EF5">
      <w:pPr>
        <w:pStyle w:val="ListParagraph"/>
        <w:ind w:left="0"/>
        <w:rPr>
          <w:rFonts w:ascii="Arial" w:hAnsi="Arial" w:cs="Arial"/>
          <w:lang w:val="en-US"/>
        </w:rPr>
      </w:pPr>
    </w:p>
    <w:p w14:paraId="4951E8B9" w14:textId="5FAF69DC" w:rsidR="00CB1930" w:rsidRPr="00CB1930" w:rsidRDefault="00BE25F4" w:rsidP="00183EF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The matter</w:t>
      </w:r>
      <w:r w:rsidR="00CB1930">
        <w:rPr>
          <w:rFonts w:ascii="Arial" w:hAnsi="Arial" w:cs="Arial"/>
          <w:lang w:val="en-US"/>
        </w:rPr>
        <w:t xml:space="preserve"> under</w:t>
      </w:r>
      <w:r>
        <w:rPr>
          <w:rFonts w:ascii="Arial" w:hAnsi="Arial" w:cs="Arial"/>
          <w:lang w:val="en-US"/>
        </w:rPr>
        <w:t xml:space="preserve"> </w:t>
      </w:r>
      <w:r w:rsidR="00CB1930">
        <w:rPr>
          <w:rFonts w:ascii="Arial" w:hAnsi="Arial" w:cs="Arial"/>
          <w:lang w:val="en-US"/>
        </w:rPr>
        <w:t>INT-HC-OTH-2023/00274</w:t>
      </w:r>
      <w:r>
        <w:rPr>
          <w:rFonts w:ascii="Arial" w:hAnsi="Arial" w:cs="Arial"/>
          <w:lang w:val="en-US"/>
        </w:rPr>
        <w:t xml:space="preserve"> </w:t>
      </w:r>
      <w:r w:rsidR="00CB1930">
        <w:rPr>
          <w:rFonts w:ascii="Arial" w:hAnsi="Arial" w:cs="Arial"/>
          <w:lang w:val="en-US"/>
        </w:rPr>
        <w:t xml:space="preserve">is </w:t>
      </w:r>
      <w:r>
        <w:rPr>
          <w:rFonts w:ascii="Arial" w:hAnsi="Arial" w:cs="Arial"/>
          <w:lang w:val="en-US"/>
        </w:rPr>
        <w:t>regarded as finalised and removed from the roll.</w:t>
      </w:r>
    </w:p>
    <w:p w14:paraId="7167B95C" w14:textId="77777777" w:rsidR="00AC04D5" w:rsidRDefault="00AC04D5" w:rsidP="00AC04D5">
      <w:pPr>
        <w:spacing w:line="360" w:lineRule="auto"/>
        <w:jc w:val="both"/>
        <w:rPr>
          <w:rFonts w:ascii="Arial" w:hAnsi="Arial" w:cs="Arial"/>
          <w:lang w:val="en-US"/>
        </w:rPr>
      </w:pPr>
      <w:r>
        <w:rPr>
          <w:rFonts w:ascii="Arial" w:hAnsi="Arial" w:cs="Arial"/>
          <w:lang w:val="en-US"/>
        </w:rPr>
        <w:t>_______________________________________________________________</w:t>
      </w:r>
    </w:p>
    <w:p w14:paraId="333EECDE" w14:textId="77777777" w:rsidR="00AC04D5" w:rsidRPr="00AC04D5" w:rsidRDefault="00AC04D5" w:rsidP="00AC04D5">
      <w:pPr>
        <w:spacing w:line="360" w:lineRule="auto"/>
        <w:jc w:val="center"/>
        <w:rPr>
          <w:rFonts w:ascii="Arial" w:hAnsi="Arial" w:cs="Arial"/>
          <w:b/>
          <w:bCs/>
          <w:sz w:val="15"/>
          <w:szCs w:val="15"/>
          <w:lang w:val="en-US"/>
        </w:rPr>
      </w:pPr>
    </w:p>
    <w:p w14:paraId="1011D09A" w14:textId="77559197" w:rsidR="00AC04D5" w:rsidRDefault="00AC04D5" w:rsidP="00AC04D5">
      <w:pPr>
        <w:spacing w:line="360" w:lineRule="auto"/>
        <w:jc w:val="center"/>
        <w:rPr>
          <w:rFonts w:ascii="Arial" w:hAnsi="Arial" w:cs="Arial"/>
          <w:b/>
          <w:bCs/>
          <w:lang w:val="en-US"/>
        </w:rPr>
      </w:pPr>
      <w:r>
        <w:rPr>
          <w:rFonts w:ascii="Arial" w:hAnsi="Arial" w:cs="Arial"/>
          <w:b/>
          <w:bCs/>
          <w:lang w:val="en-US"/>
        </w:rPr>
        <w:t>RULING</w:t>
      </w:r>
    </w:p>
    <w:p w14:paraId="21D691AA" w14:textId="77777777" w:rsidR="009921AE" w:rsidRDefault="009921AE" w:rsidP="009921AE">
      <w:pPr>
        <w:spacing w:line="360" w:lineRule="auto"/>
        <w:jc w:val="both"/>
        <w:rPr>
          <w:rFonts w:ascii="Arial" w:hAnsi="Arial" w:cs="Arial"/>
          <w:lang w:val="en-US"/>
        </w:rPr>
      </w:pPr>
      <w:r>
        <w:rPr>
          <w:rFonts w:ascii="Arial" w:hAnsi="Arial" w:cs="Arial"/>
          <w:lang w:val="en-US"/>
        </w:rPr>
        <w:t>_______________________________________________________________</w:t>
      </w:r>
    </w:p>
    <w:p w14:paraId="5D9D3C12" w14:textId="77777777" w:rsidR="004E5F07" w:rsidRDefault="004E5F07" w:rsidP="004E5F07">
      <w:pPr>
        <w:pStyle w:val="ListParagraph"/>
        <w:spacing w:line="360" w:lineRule="auto"/>
        <w:ind w:left="0"/>
        <w:jc w:val="both"/>
        <w:rPr>
          <w:rFonts w:ascii="Arial" w:hAnsi="Arial" w:cs="Arial"/>
          <w:lang w:val="en-US"/>
        </w:rPr>
      </w:pPr>
    </w:p>
    <w:p w14:paraId="14AEC4D4" w14:textId="77777777" w:rsidR="00EB0655" w:rsidRDefault="003A0FF4" w:rsidP="00EB0655">
      <w:pPr>
        <w:pStyle w:val="ListParagraph"/>
        <w:spacing w:line="360" w:lineRule="auto"/>
        <w:ind w:left="0"/>
        <w:jc w:val="both"/>
        <w:rPr>
          <w:rFonts w:ascii="Arial" w:hAnsi="Arial" w:cs="Arial"/>
          <w:lang w:val="en-US"/>
        </w:rPr>
      </w:pPr>
      <w:r>
        <w:rPr>
          <w:rFonts w:ascii="Arial" w:hAnsi="Arial" w:cs="Arial"/>
          <w:lang w:val="en-US"/>
        </w:rPr>
        <w:t>DE JAGER AJ:</w:t>
      </w:r>
    </w:p>
    <w:p w14:paraId="0FC1A560" w14:textId="77777777" w:rsidR="00EB0655" w:rsidRPr="00EB0655" w:rsidRDefault="00EB0655" w:rsidP="00EB0655">
      <w:pPr>
        <w:pStyle w:val="ListParagraph"/>
        <w:rPr>
          <w:rFonts w:ascii="Arial" w:hAnsi="Arial" w:cs="Arial"/>
          <w:lang w:val="en-US"/>
        </w:rPr>
      </w:pPr>
    </w:p>
    <w:p w14:paraId="0CBC1964" w14:textId="12F21BBC" w:rsidR="00EB0655" w:rsidRDefault="003A0FF4" w:rsidP="00EB0655">
      <w:pPr>
        <w:pStyle w:val="ListParagraph"/>
        <w:spacing w:line="360" w:lineRule="auto"/>
        <w:ind w:left="0"/>
        <w:jc w:val="both"/>
        <w:rPr>
          <w:rFonts w:ascii="Arial" w:hAnsi="Arial" w:cs="Arial"/>
          <w:lang w:val="en-US"/>
        </w:rPr>
      </w:pPr>
      <w:r w:rsidRPr="00EB0655">
        <w:rPr>
          <w:rFonts w:ascii="Arial" w:hAnsi="Arial" w:cs="Arial"/>
          <w:u w:val="single"/>
          <w:lang w:val="en-US"/>
        </w:rPr>
        <w:t>Introduction</w:t>
      </w:r>
    </w:p>
    <w:p w14:paraId="2726B5F8" w14:textId="77777777" w:rsidR="00EB0655" w:rsidRPr="00EB0655" w:rsidRDefault="00EB0655" w:rsidP="00EB0655">
      <w:pPr>
        <w:pStyle w:val="ListParagraph"/>
        <w:rPr>
          <w:rFonts w:ascii="Arial" w:hAnsi="Arial" w:cs="Arial"/>
          <w:lang w:val="en-US"/>
        </w:rPr>
      </w:pPr>
    </w:p>
    <w:p w14:paraId="3F4AB63E" w14:textId="5623B994" w:rsidR="00EB0655" w:rsidRDefault="0079574A" w:rsidP="00EB0655">
      <w:pPr>
        <w:pStyle w:val="ListParagraph"/>
        <w:numPr>
          <w:ilvl w:val="0"/>
          <w:numId w:val="6"/>
        </w:numPr>
        <w:spacing w:line="360" w:lineRule="auto"/>
        <w:ind w:left="0" w:firstLine="0"/>
        <w:jc w:val="both"/>
        <w:rPr>
          <w:rFonts w:ascii="Arial" w:hAnsi="Arial" w:cs="Arial"/>
          <w:lang w:val="en-US"/>
        </w:rPr>
      </w:pPr>
      <w:r w:rsidRPr="00EB0655">
        <w:rPr>
          <w:rFonts w:ascii="Arial" w:hAnsi="Arial" w:cs="Arial"/>
          <w:lang w:val="en-US"/>
        </w:rPr>
        <w:t xml:space="preserve">The </w:t>
      </w:r>
      <w:r w:rsidR="00E72E33">
        <w:rPr>
          <w:rFonts w:ascii="Arial" w:hAnsi="Arial" w:cs="Arial"/>
          <w:lang w:val="en-US"/>
        </w:rPr>
        <w:t>a</w:t>
      </w:r>
      <w:r w:rsidRPr="00EB0655">
        <w:rPr>
          <w:rFonts w:ascii="Arial" w:hAnsi="Arial" w:cs="Arial"/>
          <w:lang w:val="en-US"/>
        </w:rPr>
        <w:t xml:space="preserve">pplicant and the </w:t>
      </w:r>
      <w:r w:rsidR="0019379D">
        <w:rPr>
          <w:rFonts w:ascii="Arial" w:hAnsi="Arial" w:cs="Arial"/>
          <w:lang w:val="en-US"/>
        </w:rPr>
        <w:t>r</w:t>
      </w:r>
      <w:r w:rsidRPr="00EB0655">
        <w:rPr>
          <w:rFonts w:ascii="Arial" w:hAnsi="Arial" w:cs="Arial"/>
          <w:lang w:val="en-US"/>
        </w:rPr>
        <w:t>espondent used to share an employer-employee relationship.</w:t>
      </w:r>
      <w:r w:rsidR="00090F36" w:rsidRPr="00EB0655">
        <w:rPr>
          <w:rFonts w:ascii="Arial" w:hAnsi="Arial" w:cs="Arial"/>
          <w:lang w:val="en-US"/>
        </w:rPr>
        <w:t xml:space="preserve"> </w:t>
      </w:r>
      <w:r w:rsidRPr="00EB0655">
        <w:rPr>
          <w:rFonts w:ascii="Arial" w:hAnsi="Arial" w:cs="Arial"/>
          <w:lang w:val="en-US"/>
        </w:rPr>
        <w:t xml:space="preserve">After the </w:t>
      </w:r>
      <w:r w:rsidR="0019379D">
        <w:rPr>
          <w:rFonts w:ascii="Arial" w:hAnsi="Arial" w:cs="Arial"/>
          <w:lang w:val="en-US"/>
        </w:rPr>
        <w:t>r</w:t>
      </w:r>
      <w:r w:rsidRPr="00EB0655">
        <w:rPr>
          <w:rFonts w:ascii="Arial" w:hAnsi="Arial" w:cs="Arial"/>
          <w:lang w:val="en-US"/>
        </w:rPr>
        <w:t>espondent</w:t>
      </w:r>
      <w:r w:rsidR="00DD4054">
        <w:rPr>
          <w:rFonts w:ascii="Arial" w:hAnsi="Arial" w:cs="Arial"/>
          <w:lang w:val="en-US"/>
        </w:rPr>
        <w:t xml:space="preserve"> (</w:t>
      </w:r>
      <w:r w:rsidRPr="00EB0655">
        <w:rPr>
          <w:rFonts w:ascii="Arial" w:hAnsi="Arial" w:cs="Arial"/>
          <w:lang w:val="en-US"/>
        </w:rPr>
        <w:t>the employee</w:t>
      </w:r>
      <w:r w:rsidR="00DD4054">
        <w:rPr>
          <w:rFonts w:ascii="Arial" w:hAnsi="Arial" w:cs="Arial"/>
          <w:lang w:val="en-US"/>
        </w:rPr>
        <w:t>)</w:t>
      </w:r>
      <w:r w:rsidRPr="00EB0655">
        <w:rPr>
          <w:rFonts w:ascii="Arial" w:hAnsi="Arial" w:cs="Arial"/>
          <w:lang w:val="en-US"/>
        </w:rPr>
        <w:t xml:space="preserve"> obtained an arbitration award in his favour</w:t>
      </w:r>
      <w:r w:rsidR="00FF3ECF">
        <w:rPr>
          <w:rFonts w:ascii="Arial" w:hAnsi="Arial" w:cs="Arial"/>
          <w:lang w:val="en-US"/>
        </w:rPr>
        <w:t xml:space="preserve"> against the </w:t>
      </w:r>
      <w:r w:rsidR="00E72E33">
        <w:rPr>
          <w:rFonts w:ascii="Arial" w:hAnsi="Arial" w:cs="Arial"/>
          <w:lang w:val="en-US"/>
        </w:rPr>
        <w:t>a</w:t>
      </w:r>
      <w:r w:rsidR="00FF3ECF">
        <w:rPr>
          <w:rFonts w:ascii="Arial" w:hAnsi="Arial" w:cs="Arial"/>
          <w:lang w:val="en-US"/>
        </w:rPr>
        <w:t>pplicant</w:t>
      </w:r>
      <w:r w:rsidR="00DD4054">
        <w:rPr>
          <w:rFonts w:ascii="Arial" w:hAnsi="Arial" w:cs="Arial"/>
          <w:lang w:val="en-US"/>
        </w:rPr>
        <w:t xml:space="preserve"> (</w:t>
      </w:r>
      <w:r w:rsidR="00FF3ECF">
        <w:rPr>
          <w:rFonts w:ascii="Arial" w:hAnsi="Arial" w:cs="Arial"/>
          <w:lang w:val="en-US"/>
        </w:rPr>
        <w:t>the employer</w:t>
      </w:r>
      <w:r w:rsidR="00DD4054">
        <w:rPr>
          <w:rFonts w:ascii="Arial" w:hAnsi="Arial" w:cs="Arial"/>
          <w:lang w:val="en-US"/>
        </w:rPr>
        <w:t>)</w:t>
      </w:r>
      <w:r w:rsidR="00826693">
        <w:rPr>
          <w:rFonts w:ascii="Arial" w:hAnsi="Arial" w:cs="Arial"/>
          <w:lang w:val="en-US"/>
        </w:rPr>
        <w:t>,</w:t>
      </w:r>
      <w:r w:rsidR="00090F36" w:rsidRPr="00EB0655">
        <w:rPr>
          <w:rFonts w:ascii="Arial" w:hAnsi="Arial" w:cs="Arial"/>
          <w:lang w:val="en-US"/>
        </w:rPr>
        <w:t xml:space="preserve"> </w:t>
      </w:r>
      <w:r w:rsidRPr="00EB0655">
        <w:rPr>
          <w:rFonts w:ascii="Arial" w:hAnsi="Arial" w:cs="Arial"/>
          <w:lang w:val="en-US"/>
        </w:rPr>
        <w:t xml:space="preserve">and the </w:t>
      </w:r>
      <w:r w:rsidR="00E72E33">
        <w:rPr>
          <w:rFonts w:ascii="Arial" w:hAnsi="Arial" w:cs="Arial"/>
          <w:lang w:val="en-US"/>
        </w:rPr>
        <w:t>a</w:t>
      </w:r>
      <w:r w:rsidRPr="00EB0655">
        <w:rPr>
          <w:rFonts w:ascii="Arial" w:hAnsi="Arial" w:cs="Arial"/>
          <w:lang w:val="en-US"/>
        </w:rPr>
        <w:t xml:space="preserve">pplicant’s application </w:t>
      </w:r>
      <w:r w:rsidR="00BE25F4">
        <w:rPr>
          <w:rFonts w:ascii="Arial" w:hAnsi="Arial" w:cs="Arial"/>
          <w:lang w:val="en-US"/>
        </w:rPr>
        <w:t xml:space="preserve">to the </w:t>
      </w:r>
      <w:r w:rsidR="00D27602">
        <w:rPr>
          <w:rFonts w:ascii="Arial" w:hAnsi="Arial" w:cs="Arial"/>
          <w:lang w:val="en-US"/>
        </w:rPr>
        <w:t>A</w:t>
      </w:r>
      <w:r w:rsidR="00BE25F4">
        <w:rPr>
          <w:rFonts w:ascii="Arial" w:hAnsi="Arial" w:cs="Arial"/>
          <w:lang w:val="en-US"/>
        </w:rPr>
        <w:t xml:space="preserve">rbitrator </w:t>
      </w:r>
      <w:r w:rsidR="00090F36" w:rsidRPr="00EB0655">
        <w:rPr>
          <w:rFonts w:ascii="Arial" w:hAnsi="Arial" w:cs="Arial"/>
          <w:lang w:val="en-US"/>
        </w:rPr>
        <w:t xml:space="preserve">to have </w:t>
      </w:r>
      <w:r w:rsidR="00FF3ECF">
        <w:rPr>
          <w:rFonts w:ascii="Arial" w:hAnsi="Arial" w:cs="Arial"/>
          <w:lang w:val="en-US"/>
        </w:rPr>
        <w:t>the award</w:t>
      </w:r>
      <w:r w:rsidR="00090F36" w:rsidRPr="00EB0655">
        <w:rPr>
          <w:rFonts w:ascii="Arial" w:hAnsi="Arial" w:cs="Arial"/>
          <w:lang w:val="en-US"/>
        </w:rPr>
        <w:t xml:space="preserve"> rescinded </w:t>
      </w:r>
      <w:r w:rsidRPr="00EB0655">
        <w:rPr>
          <w:rFonts w:ascii="Arial" w:hAnsi="Arial" w:cs="Arial"/>
          <w:lang w:val="en-US"/>
        </w:rPr>
        <w:t xml:space="preserve">was dismissed, the </w:t>
      </w:r>
      <w:r w:rsidR="00E72E33">
        <w:rPr>
          <w:rFonts w:ascii="Arial" w:hAnsi="Arial" w:cs="Arial"/>
          <w:lang w:val="en-US"/>
        </w:rPr>
        <w:t>a</w:t>
      </w:r>
      <w:r w:rsidRPr="00EB0655">
        <w:rPr>
          <w:rFonts w:ascii="Arial" w:hAnsi="Arial" w:cs="Arial"/>
          <w:lang w:val="en-US"/>
        </w:rPr>
        <w:t>pplicant</w:t>
      </w:r>
      <w:r w:rsidR="00FF3ECF">
        <w:rPr>
          <w:rFonts w:ascii="Arial" w:hAnsi="Arial" w:cs="Arial"/>
          <w:lang w:val="en-US"/>
        </w:rPr>
        <w:t xml:space="preserve"> </w:t>
      </w:r>
      <w:r w:rsidRPr="00EB0655">
        <w:rPr>
          <w:rFonts w:ascii="Arial" w:hAnsi="Arial" w:cs="Arial"/>
          <w:lang w:val="en-US"/>
        </w:rPr>
        <w:t>proceeded to note an appeal to this court.</w:t>
      </w:r>
      <w:r w:rsidR="00090F36" w:rsidRPr="00EB0655">
        <w:rPr>
          <w:rFonts w:ascii="Arial" w:hAnsi="Arial" w:cs="Arial"/>
          <w:lang w:val="en-US"/>
        </w:rPr>
        <w:t xml:space="preserve"> </w:t>
      </w:r>
      <w:r w:rsidRPr="00EB0655">
        <w:rPr>
          <w:rFonts w:ascii="Arial" w:hAnsi="Arial" w:cs="Arial"/>
          <w:lang w:val="en-US"/>
        </w:rPr>
        <w:t xml:space="preserve">The appeal is deemed to have lapsed </w:t>
      </w:r>
      <w:r w:rsidR="00090F36" w:rsidRPr="00EB0655">
        <w:rPr>
          <w:rFonts w:ascii="Arial" w:hAnsi="Arial" w:cs="Arial"/>
          <w:lang w:val="en-US"/>
        </w:rPr>
        <w:t>for lack of timeous prosecutio</w:t>
      </w:r>
      <w:r w:rsidR="00B07FC7">
        <w:rPr>
          <w:rFonts w:ascii="Arial" w:hAnsi="Arial" w:cs="Arial"/>
          <w:lang w:val="en-US"/>
        </w:rPr>
        <w:t>n</w:t>
      </w:r>
      <w:r w:rsidR="00346606">
        <w:rPr>
          <w:rFonts w:ascii="Arial" w:hAnsi="Arial" w:cs="Arial"/>
          <w:lang w:val="en-US"/>
        </w:rPr>
        <w:t>,</w:t>
      </w:r>
      <w:r w:rsidR="00B07FC7">
        <w:rPr>
          <w:rFonts w:ascii="Arial" w:hAnsi="Arial" w:cs="Arial"/>
          <w:lang w:val="en-US"/>
        </w:rPr>
        <w:t xml:space="preserve"> and t</w:t>
      </w:r>
      <w:r w:rsidR="00090F36" w:rsidRPr="00EB0655">
        <w:rPr>
          <w:rFonts w:ascii="Arial" w:hAnsi="Arial" w:cs="Arial"/>
          <w:lang w:val="en-US"/>
        </w:rPr>
        <w:t>h</w:t>
      </w:r>
      <w:r w:rsidR="00FF3ECF">
        <w:rPr>
          <w:rFonts w:ascii="Arial" w:hAnsi="Arial" w:cs="Arial"/>
          <w:lang w:val="en-US"/>
        </w:rPr>
        <w:t>at</w:t>
      </w:r>
      <w:r w:rsidR="00B07FC7">
        <w:rPr>
          <w:rFonts w:ascii="Arial" w:hAnsi="Arial" w:cs="Arial"/>
          <w:lang w:val="en-US"/>
        </w:rPr>
        <w:t xml:space="preserve"> </w:t>
      </w:r>
      <w:r w:rsidR="00090F36" w:rsidRPr="00EB0655">
        <w:rPr>
          <w:rFonts w:ascii="Arial" w:hAnsi="Arial" w:cs="Arial"/>
          <w:lang w:val="en-US"/>
        </w:rPr>
        <w:t xml:space="preserve">sparked the application </w:t>
      </w:r>
      <w:r w:rsidR="00FF3ECF">
        <w:rPr>
          <w:rFonts w:ascii="Arial" w:hAnsi="Arial" w:cs="Arial"/>
          <w:lang w:val="en-US"/>
        </w:rPr>
        <w:t>now</w:t>
      </w:r>
      <w:r w:rsidR="00090F36" w:rsidRPr="00EB0655">
        <w:rPr>
          <w:rFonts w:ascii="Arial" w:hAnsi="Arial" w:cs="Arial"/>
          <w:lang w:val="en-US"/>
        </w:rPr>
        <w:t xml:space="preserve"> before </w:t>
      </w:r>
      <w:r w:rsidR="00346606">
        <w:rPr>
          <w:rFonts w:ascii="Arial" w:hAnsi="Arial" w:cs="Arial"/>
          <w:lang w:val="en-US"/>
        </w:rPr>
        <w:t xml:space="preserve">the </w:t>
      </w:r>
      <w:r w:rsidR="00090F36" w:rsidRPr="00EB0655">
        <w:rPr>
          <w:rFonts w:ascii="Arial" w:hAnsi="Arial" w:cs="Arial"/>
          <w:lang w:val="en-US"/>
        </w:rPr>
        <w:t xml:space="preserve">court </w:t>
      </w:r>
      <w:r w:rsidR="009921AE" w:rsidRPr="00EB0655">
        <w:rPr>
          <w:rFonts w:ascii="Arial" w:hAnsi="Arial" w:cs="Arial"/>
          <w:lang w:val="en-US"/>
        </w:rPr>
        <w:t>for an order:</w:t>
      </w:r>
    </w:p>
    <w:p w14:paraId="303E4822" w14:textId="77777777" w:rsidR="00EB0655" w:rsidRPr="00EB0655" w:rsidRDefault="00EB0655" w:rsidP="00EB0655">
      <w:pPr>
        <w:pStyle w:val="ListParagraph"/>
        <w:rPr>
          <w:rFonts w:ascii="Arial" w:hAnsi="Arial" w:cs="Arial"/>
          <w:lang w:val="en-US"/>
        </w:rPr>
      </w:pPr>
    </w:p>
    <w:p w14:paraId="7D7D3C22" w14:textId="77777777" w:rsidR="00EB0655" w:rsidRDefault="009921AE" w:rsidP="00EB0655">
      <w:pPr>
        <w:pStyle w:val="ListParagraph"/>
        <w:numPr>
          <w:ilvl w:val="0"/>
          <w:numId w:val="10"/>
        </w:numPr>
        <w:spacing w:line="360" w:lineRule="auto"/>
        <w:ind w:left="0" w:firstLine="0"/>
        <w:jc w:val="both"/>
        <w:rPr>
          <w:rFonts w:ascii="Arial" w:hAnsi="Arial" w:cs="Arial"/>
          <w:lang w:val="en-US"/>
        </w:rPr>
      </w:pPr>
      <w:r w:rsidRPr="00EB0655">
        <w:rPr>
          <w:rFonts w:ascii="Arial" w:hAnsi="Arial" w:cs="Arial"/>
          <w:lang w:val="en-US"/>
        </w:rPr>
        <w:t>condoning the late prosecution of the appeal;</w:t>
      </w:r>
    </w:p>
    <w:p w14:paraId="4878D079" w14:textId="77777777" w:rsidR="00EB0655" w:rsidRPr="00EB0655" w:rsidRDefault="00EB0655" w:rsidP="00EB0655">
      <w:pPr>
        <w:pStyle w:val="ListParagraph"/>
        <w:ind w:left="0"/>
        <w:rPr>
          <w:rFonts w:ascii="Arial" w:hAnsi="Arial" w:cs="Arial"/>
          <w:lang w:val="en-US"/>
        </w:rPr>
      </w:pPr>
    </w:p>
    <w:p w14:paraId="7E32F45E" w14:textId="5DE28FFE" w:rsidR="00EB0655" w:rsidRDefault="009921AE" w:rsidP="00EB0655">
      <w:pPr>
        <w:pStyle w:val="ListParagraph"/>
        <w:numPr>
          <w:ilvl w:val="0"/>
          <w:numId w:val="10"/>
        </w:numPr>
        <w:spacing w:line="360" w:lineRule="auto"/>
        <w:ind w:left="0" w:firstLine="0"/>
        <w:jc w:val="both"/>
        <w:rPr>
          <w:rFonts w:ascii="Arial" w:hAnsi="Arial" w:cs="Arial"/>
          <w:lang w:val="en-US"/>
        </w:rPr>
      </w:pPr>
      <w:r w:rsidRPr="00EB0655">
        <w:rPr>
          <w:rFonts w:ascii="Arial" w:hAnsi="Arial" w:cs="Arial"/>
          <w:lang w:val="en-US"/>
        </w:rPr>
        <w:t>reinstating the appeal;</w:t>
      </w:r>
    </w:p>
    <w:p w14:paraId="03D5C632" w14:textId="77777777" w:rsidR="00EB0655" w:rsidRPr="00EB0655" w:rsidRDefault="00EB0655" w:rsidP="00EB0655">
      <w:pPr>
        <w:pStyle w:val="ListParagraph"/>
        <w:ind w:left="0"/>
        <w:rPr>
          <w:rFonts w:ascii="Arial" w:hAnsi="Arial" w:cs="Arial"/>
          <w:lang w:val="en-US"/>
        </w:rPr>
      </w:pPr>
    </w:p>
    <w:p w14:paraId="21729A65" w14:textId="28D84355" w:rsidR="00EB0655" w:rsidRDefault="009921AE" w:rsidP="00EB0655">
      <w:pPr>
        <w:pStyle w:val="ListParagraph"/>
        <w:numPr>
          <w:ilvl w:val="0"/>
          <w:numId w:val="10"/>
        </w:numPr>
        <w:spacing w:line="360" w:lineRule="auto"/>
        <w:ind w:left="0" w:firstLine="0"/>
        <w:jc w:val="both"/>
        <w:rPr>
          <w:rFonts w:ascii="Arial" w:hAnsi="Arial" w:cs="Arial"/>
          <w:lang w:val="en-US"/>
        </w:rPr>
      </w:pPr>
      <w:r w:rsidRPr="00EB0655">
        <w:rPr>
          <w:rFonts w:ascii="Arial" w:hAnsi="Arial" w:cs="Arial"/>
          <w:lang w:val="en-US"/>
        </w:rPr>
        <w:t xml:space="preserve">condoning the late filing of the certificate under Labour Court </w:t>
      </w:r>
      <w:r w:rsidR="003A26AF">
        <w:rPr>
          <w:rFonts w:ascii="Arial" w:hAnsi="Arial" w:cs="Arial"/>
          <w:lang w:val="en-US"/>
        </w:rPr>
        <w:t>r</w:t>
      </w:r>
      <w:r w:rsidRPr="00EB0655">
        <w:rPr>
          <w:rFonts w:ascii="Arial" w:hAnsi="Arial" w:cs="Arial"/>
          <w:lang w:val="en-US"/>
        </w:rPr>
        <w:t xml:space="preserve"> 17(12);</w:t>
      </w:r>
    </w:p>
    <w:p w14:paraId="4499E1F1" w14:textId="77777777" w:rsidR="00EB0655" w:rsidRPr="00EB0655" w:rsidRDefault="00EB0655" w:rsidP="00EB0655">
      <w:pPr>
        <w:pStyle w:val="ListParagraph"/>
        <w:ind w:left="0"/>
        <w:rPr>
          <w:rFonts w:ascii="Arial" w:hAnsi="Arial" w:cs="Arial"/>
          <w:lang w:val="en-US"/>
        </w:rPr>
      </w:pPr>
    </w:p>
    <w:p w14:paraId="2B383411" w14:textId="7E205267" w:rsidR="00EB0655" w:rsidRDefault="009921AE" w:rsidP="00EB0655">
      <w:pPr>
        <w:pStyle w:val="ListParagraph"/>
        <w:numPr>
          <w:ilvl w:val="0"/>
          <w:numId w:val="10"/>
        </w:numPr>
        <w:spacing w:line="360" w:lineRule="auto"/>
        <w:ind w:left="0" w:firstLine="0"/>
        <w:jc w:val="both"/>
        <w:rPr>
          <w:rFonts w:ascii="Arial" w:hAnsi="Arial" w:cs="Arial"/>
          <w:lang w:val="en-US"/>
        </w:rPr>
      </w:pPr>
      <w:r w:rsidRPr="00EB0655">
        <w:rPr>
          <w:rFonts w:ascii="Arial" w:hAnsi="Arial" w:cs="Arial"/>
          <w:lang w:val="en-US"/>
        </w:rPr>
        <w:t xml:space="preserve">extending the time for compliance with Labour Court </w:t>
      </w:r>
      <w:r w:rsidR="003A26AF">
        <w:rPr>
          <w:rFonts w:ascii="Arial" w:hAnsi="Arial" w:cs="Arial"/>
          <w:lang w:val="en-US"/>
        </w:rPr>
        <w:t>r</w:t>
      </w:r>
      <w:r w:rsidRPr="00EB0655">
        <w:rPr>
          <w:rFonts w:ascii="Arial" w:hAnsi="Arial" w:cs="Arial"/>
          <w:lang w:val="en-US"/>
        </w:rPr>
        <w:t xml:space="preserve"> 17(12) to 17(16) to 30 days after the date of th</w:t>
      </w:r>
      <w:r w:rsidR="00DD4054">
        <w:rPr>
          <w:rFonts w:ascii="Arial" w:hAnsi="Arial" w:cs="Arial"/>
          <w:lang w:val="en-US"/>
        </w:rPr>
        <w:t>e</w:t>
      </w:r>
      <w:r w:rsidRPr="00EB0655">
        <w:rPr>
          <w:rFonts w:ascii="Arial" w:hAnsi="Arial" w:cs="Arial"/>
          <w:lang w:val="en-US"/>
        </w:rPr>
        <w:t xml:space="preserve"> order</w:t>
      </w:r>
      <w:r w:rsidR="008D14EB">
        <w:rPr>
          <w:rFonts w:ascii="Arial" w:hAnsi="Arial" w:cs="Arial"/>
          <w:lang w:val="en-US"/>
        </w:rPr>
        <w:t>;</w:t>
      </w:r>
    </w:p>
    <w:p w14:paraId="3B337259" w14:textId="77777777" w:rsidR="008D14EB" w:rsidRPr="008D14EB" w:rsidRDefault="008D14EB" w:rsidP="008D14EB">
      <w:pPr>
        <w:pStyle w:val="ListParagraph"/>
        <w:rPr>
          <w:rFonts w:ascii="Arial" w:hAnsi="Arial" w:cs="Arial"/>
          <w:lang w:val="en-US"/>
        </w:rPr>
      </w:pPr>
    </w:p>
    <w:p w14:paraId="1B482EAD" w14:textId="00094464" w:rsidR="008D14EB" w:rsidRDefault="008D14EB" w:rsidP="00EB0655">
      <w:pPr>
        <w:pStyle w:val="ListParagraph"/>
        <w:numPr>
          <w:ilvl w:val="0"/>
          <w:numId w:val="10"/>
        </w:numPr>
        <w:spacing w:line="360" w:lineRule="auto"/>
        <w:ind w:left="0" w:firstLine="0"/>
        <w:jc w:val="both"/>
        <w:rPr>
          <w:rFonts w:ascii="Arial" w:hAnsi="Arial" w:cs="Arial"/>
          <w:lang w:val="en-US"/>
        </w:rPr>
      </w:pPr>
      <w:r>
        <w:rPr>
          <w:rFonts w:ascii="Arial" w:hAnsi="Arial" w:cs="Arial"/>
          <w:lang w:val="en-US"/>
        </w:rPr>
        <w:t>further and/or alternative relief.</w:t>
      </w:r>
    </w:p>
    <w:p w14:paraId="515B15E4" w14:textId="77777777" w:rsidR="009E10BE" w:rsidRPr="009E10BE" w:rsidRDefault="009E10BE" w:rsidP="009E10BE">
      <w:pPr>
        <w:pStyle w:val="ListParagraph"/>
        <w:rPr>
          <w:rFonts w:ascii="Arial" w:hAnsi="Arial" w:cs="Arial"/>
          <w:lang w:val="en-US"/>
        </w:rPr>
      </w:pPr>
    </w:p>
    <w:p w14:paraId="0670EA5F" w14:textId="536390C0" w:rsidR="00EB0655" w:rsidRDefault="00C876B2" w:rsidP="00EB0655">
      <w:pPr>
        <w:pStyle w:val="ListParagraph"/>
        <w:numPr>
          <w:ilvl w:val="0"/>
          <w:numId w:val="6"/>
        </w:numPr>
        <w:spacing w:line="360" w:lineRule="auto"/>
        <w:ind w:left="0" w:firstLine="0"/>
        <w:jc w:val="both"/>
        <w:rPr>
          <w:rFonts w:ascii="Arial" w:hAnsi="Arial" w:cs="Arial"/>
          <w:lang w:val="en-US"/>
        </w:rPr>
      </w:pPr>
      <w:r w:rsidRPr="00EB0655">
        <w:rPr>
          <w:rFonts w:ascii="Arial" w:hAnsi="Arial" w:cs="Arial"/>
          <w:lang w:val="en-US"/>
        </w:rPr>
        <w:t>When the matter was heard o</w:t>
      </w:r>
      <w:r w:rsidR="009921AE" w:rsidRPr="00EB0655">
        <w:rPr>
          <w:rFonts w:ascii="Arial" w:hAnsi="Arial" w:cs="Arial"/>
          <w:lang w:val="en-US"/>
        </w:rPr>
        <w:t xml:space="preserve">n 18 January 2024, the </w:t>
      </w:r>
      <w:r w:rsidR="00E72E33">
        <w:rPr>
          <w:rFonts w:ascii="Arial" w:hAnsi="Arial" w:cs="Arial"/>
          <w:lang w:val="en-US"/>
        </w:rPr>
        <w:t>a</w:t>
      </w:r>
      <w:r w:rsidR="009921AE" w:rsidRPr="00EB0655">
        <w:rPr>
          <w:rFonts w:ascii="Arial" w:hAnsi="Arial" w:cs="Arial"/>
          <w:lang w:val="en-US"/>
        </w:rPr>
        <w:t xml:space="preserve">pplicant moved </w:t>
      </w:r>
      <w:r w:rsidR="00346606">
        <w:rPr>
          <w:rFonts w:ascii="Arial" w:hAnsi="Arial" w:cs="Arial"/>
          <w:lang w:val="en-US"/>
        </w:rPr>
        <w:t>to amend</w:t>
      </w:r>
      <w:r w:rsidR="009921AE" w:rsidRPr="00EB0655">
        <w:rPr>
          <w:rFonts w:ascii="Arial" w:hAnsi="Arial" w:cs="Arial"/>
          <w:lang w:val="en-US"/>
        </w:rPr>
        <w:t xml:space="preserve"> prayer 4 of its notice of motion </w:t>
      </w:r>
      <w:r w:rsidR="00196EA2" w:rsidRPr="00EB0655">
        <w:rPr>
          <w:rFonts w:ascii="Arial" w:hAnsi="Arial" w:cs="Arial"/>
          <w:lang w:val="en-US"/>
        </w:rPr>
        <w:t>to</w:t>
      </w:r>
      <w:r w:rsidR="009921AE" w:rsidRPr="00EB0655">
        <w:rPr>
          <w:rFonts w:ascii="Arial" w:hAnsi="Arial" w:cs="Arial"/>
          <w:lang w:val="en-US"/>
        </w:rPr>
        <w:t xml:space="preserve"> substitute the </w:t>
      </w:r>
      <w:r w:rsidR="00346606">
        <w:rPr>
          <w:rFonts w:ascii="Arial" w:hAnsi="Arial" w:cs="Arial"/>
          <w:lang w:val="en-US"/>
        </w:rPr>
        <w:t>ten days</w:t>
      </w:r>
      <w:r w:rsidR="009921AE" w:rsidRPr="00EB0655">
        <w:rPr>
          <w:rFonts w:ascii="Arial" w:hAnsi="Arial" w:cs="Arial"/>
          <w:lang w:val="en-US"/>
        </w:rPr>
        <w:t xml:space="preserve"> </w:t>
      </w:r>
      <w:r w:rsidR="00826693">
        <w:rPr>
          <w:rFonts w:ascii="Arial" w:hAnsi="Arial" w:cs="Arial"/>
          <w:lang w:val="en-US"/>
        </w:rPr>
        <w:t>contained</w:t>
      </w:r>
      <w:r w:rsidR="009921AE" w:rsidRPr="00EB0655">
        <w:rPr>
          <w:rFonts w:ascii="Arial" w:hAnsi="Arial" w:cs="Arial"/>
          <w:lang w:val="en-US"/>
        </w:rPr>
        <w:t xml:space="preserve"> therein with </w:t>
      </w:r>
      <w:r w:rsidR="00B07FC7">
        <w:rPr>
          <w:rFonts w:ascii="Arial" w:hAnsi="Arial" w:cs="Arial"/>
          <w:lang w:val="en-US"/>
        </w:rPr>
        <w:t>the</w:t>
      </w:r>
      <w:r w:rsidR="009921AE" w:rsidRPr="00EB0655">
        <w:rPr>
          <w:rFonts w:ascii="Arial" w:hAnsi="Arial" w:cs="Arial"/>
          <w:lang w:val="en-US"/>
        </w:rPr>
        <w:t xml:space="preserve"> 30</w:t>
      </w:r>
      <w:r w:rsidR="00346606">
        <w:rPr>
          <w:rFonts w:ascii="Arial" w:hAnsi="Arial" w:cs="Arial"/>
          <w:lang w:val="en-US"/>
        </w:rPr>
        <w:t xml:space="preserve"> days</w:t>
      </w:r>
      <w:r w:rsidR="009921AE" w:rsidRPr="00EB0655">
        <w:rPr>
          <w:rFonts w:ascii="Arial" w:hAnsi="Arial" w:cs="Arial"/>
          <w:lang w:val="en-US"/>
        </w:rPr>
        <w:t xml:space="preserve"> reflected in paragraph [1](</w:t>
      </w:r>
      <w:r w:rsidRPr="00EB0655">
        <w:rPr>
          <w:rFonts w:ascii="Arial" w:hAnsi="Arial" w:cs="Arial"/>
          <w:lang w:val="en-US"/>
        </w:rPr>
        <w:t>d</w:t>
      </w:r>
      <w:r w:rsidR="009921AE" w:rsidRPr="00EB0655">
        <w:rPr>
          <w:rFonts w:ascii="Arial" w:hAnsi="Arial" w:cs="Arial"/>
          <w:lang w:val="en-US"/>
        </w:rPr>
        <w:t>) above</w:t>
      </w:r>
      <w:r w:rsidRPr="00EB0655">
        <w:rPr>
          <w:rFonts w:ascii="Arial" w:hAnsi="Arial" w:cs="Arial"/>
          <w:lang w:val="en-US"/>
        </w:rPr>
        <w:t>.</w:t>
      </w:r>
      <w:r w:rsidR="00B07FC7">
        <w:rPr>
          <w:rFonts w:ascii="Arial" w:hAnsi="Arial" w:cs="Arial"/>
          <w:lang w:val="en-US"/>
        </w:rPr>
        <w:t xml:space="preserve"> T</w:t>
      </w:r>
      <w:r w:rsidR="009921AE" w:rsidRPr="00EB0655">
        <w:rPr>
          <w:rFonts w:ascii="Arial" w:hAnsi="Arial" w:cs="Arial"/>
          <w:lang w:val="en-US"/>
        </w:rPr>
        <w:t xml:space="preserve">he </w:t>
      </w:r>
      <w:r w:rsidR="0019379D">
        <w:rPr>
          <w:rFonts w:ascii="Arial" w:hAnsi="Arial" w:cs="Arial"/>
          <w:lang w:val="en-US"/>
        </w:rPr>
        <w:t>r</w:t>
      </w:r>
      <w:r w:rsidR="009921AE" w:rsidRPr="00EB0655">
        <w:rPr>
          <w:rFonts w:ascii="Arial" w:hAnsi="Arial" w:cs="Arial"/>
          <w:lang w:val="en-US"/>
        </w:rPr>
        <w:t>espondent had no objection</w:t>
      </w:r>
      <w:r w:rsidRPr="00EB0655">
        <w:rPr>
          <w:rFonts w:ascii="Arial" w:hAnsi="Arial" w:cs="Arial"/>
          <w:lang w:val="en-US"/>
        </w:rPr>
        <w:t xml:space="preserve"> to the amendment sought</w:t>
      </w:r>
      <w:r w:rsidR="009921AE" w:rsidRPr="00EB0655">
        <w:rPr>
          <w:rFonts w:ascii="Arial" w:hAnsi="Arial" w:cs="Arial"/>
          <w:lang w:val="en-US"/>
        </w:rPr>
        <w:t>. The amendment</w:t>
      </w:r>
      <w:r w:rsidR="00C31874">
        <w:rPr>
          <w:rFonts w:ascii="Arial" w:hAnsi="Arial" w:cs="Arial"/>
          <w:lang w:val="en-US"/>
        </w:rPr>
        <w:t xml:space="preserve"> sought</w:t>
      </w:r>
      <w:r w:rsidR="009921AE" w:rsidRPr="00EB0655">
        <w:rPr>
          <w:rFonts w:ascii="Arial" w:hAnsi="Arial" w:cs="Arial"/>
          <w:lang w:val="en-US"/>
        </w:rPr>
        <w:t xml:space="preserve"> is granted.</w:t>
      </w:r>
    </w:p>
    <w:p w14:paraId="34DBEDDE" w14:textId="77777777" w:rsidR="00EB0655" w:rsidRPr="00EB0655" w:rsidRDefault="00EB0655" w:rsidP="00EB0655">
      <w:pPr>
        <w:pStyle w:val="ListParagraph"/>
        <w:rPr>
          <w:rFonts w:ascii="Arial" w:eastAsia="Calibri" w:hAnsi="Arial" w:cs="Arial"/>
          <w:bCs/>
        </w:rPr>
      </w:pPr>
    </w:p>
    <w:p w14:paraId="0CAE53AF" w14:textId="45A0142D" w:rsidR="00EB0655" w:rsidRDefault="00C876B2" w:rsidP="00EB0655">
      <w:pPr>
        <w:pStyle w:val="ListParagraph"/>
        <w:numPr>
          <w:ilvl w:val="0"/>
          <w:numId w:val="6"/>
        </w:numPr>
        <w:spacing w:line="360" w:lineRule="auto"/>
        <w:ind w:left="0" w:firstLine="0"/>
        <w:jc w:val="both"/>
        <w:rPr>
          <w:rFonts w:ascii="Arial" w:hAnsi="Arial" w:cs="Arial"/>
          <w:lang w:val="en-US"/>
        </w:rPr>
      </w:pPr>
      <w:r w:rsidRPr="00EB0655">
        <w:rPr>
          <w:rFonts w:ascii="Arial" w:eastAsia="Calibri" w:hAnsi="Arial" w:cs="Arial"/>
          <w:bCs/>
        </w:rPr>
        <w:t>The application is opposed on the bas</w:t>
      </w:r>
      <w:r w:rsidR="00B7360B">
        <w:rPr>
          <w:rFonts w:ascii="Arial" w:eastAsia="Calibri" w:hAnsi="Arial" w:cs="Arial"/>
          <w:bCs/>
        </w:rPr>
        <w:t>i</w:t>
      </w:r>
      <w:r w:rsidRPr="00EB0655">
        <w:rPr>
          <w:rFonts w:ascii="Arial" w:eastAsia="Calibri" w:hAnsi="Arial" w:cs="Arial"/>
          <w:bCs/>
        </w:rPr>
        <w:t xml:space="preserve">s that </w:t>
      </w:r>
      <w:r w:rsidR="00AF3199" w:rsidRPr="00EB0655">
        <w:rPr>
          <w:rFonts w:ascii="Arial" w:eastAsia="Calibri" w:hAnsi="Arial" w:cs="Arial"/>
          <w:bCs/>
        </w:rPr>
        <w:t xml:space="preserve">the </w:t>
      </w:r>
      <w:r w:rsidR="00E72E33">
        <w:rPr>
          <w:rFonts w:ascii="Arial" w:eastAsia="Calibri" w:hAnsi="Arial" w:cs="Arial"/>
          <w:bCs/>
        </w:rPr>
        <w:t>a</w:t>
      </w:r>
      <w:r w:rsidR="00AF3199" w:rsidRPr="00EB0655">
        <w:rPr>
          <w:rFonts w:ascii="Arial" w:eastAsia="Calibri" w:hAnsi="Arial" w:cs="Arial"/>
          <w:bCs/>
        </w:rPr>
        <w:t>pplicant</w:t>
      </w:r>
      <w:r w:rsidR="0045169D" w:rsidRPr="00EB0655">
        <w:rPr>
          <w:rFonts w:ascii="Arial" w:eastAsia="Calibri" w:hAnsi="Arial" w:cs="Arial"/>
          <w:bCs/>
        </w:rPr>
        <w:t>, in its founding papers,</w:t>
      </w:r>
      <w:r w:rsidR="00AF3199" w:rsidRPr="00EB0655">
        <w:rPr>
          <w:rFonts w:ascii="Arial" w:eastAsia="Calibri" w:hAnsi="Arial" w:cs="Arial"/>
          <w:bCs/>
        </w:rPr>
        <w:t xml:space="preserve"> failed to make out </w:t>
      </w:r>
      <w:r w:rsidR="00090F36" w:rsidRPr="00EB0655">
        <w:rPr>
          <w:rFonts w:ascii="Arial" w:eastAsia="Calibri" w:hAnsi="Arial" w:cs="Arial"/>
          <w:bCs/>
        </w:rPr>
        <w:t xml:space="preserve">a </w:t>
      </w:r>
      <w:r w:rsidRPr="00EB0655">
        <w:rPr>
          <w:rFonts w:ascii="Arial" w:eastAsia="Calibri" w:hAnsi="Arial" w:cs="Arial"/>
          <w:bCs/>
        </w:rPr>
        <w:t xml:space="preserve">case </w:t>
      </w:r>
      <w:r w:rsidR="00AF3199" w:rsidRPr="00EB0655">
        <w:rPr>
          <w:rFonts w:ascii="Arial" w:eastAsia="Calibri" w:hAnsi="Arial" w:cs="Arial"/>
          <w:bCs/>
        </w:rPr>
        <w:t xml:space="preserve">for the relief sought and </w:t>
      </w:r>
      <w:r w:rsidR="00D02C89" w:rsidRPr="00EB0655">
        <w:rPr>
          <w:rFonts w:ascii="Arial" w:hAnsi="Arial" w:cs="Arial"/>
          <w:lang w:val="en-US"/>
        </w:rPr>
        <w:t>that</w:t>
      </w:r>
      <w:r w:rsidR="00AF3199" w:rsidRPr="00EB0655">
        <w:rPr>
          <w:rFonts w:ascii="Arial" w:hAnsi="Arial" w:cs="Arial"/>
          <w:lang w:val="en-US"/>
        </w:rPr>
        <w:t xml:space="preserve"> </w:t>
      </w:r>
      <w:r w:rsidR="00762FA0" w:rsidRPr="00EB0655">
        <w:rPr>
          <w:rFonts w:ascii="Arial" w:hAnsi="Arial" w:cs="Arial"/>
          <w:lang w:val="en-US"/>
        </w:rPr>
        <w:t>the application cannot succeed because</w:t>
      </w:r>
      <w:r w:rsidR="00C31874">
        <w:rPr>
          <w:rFonts w:ascii="Arial" w:hAnsi="Arial" w:cs="Arial"/>
          <w:lang w:val="en-US"/>
        </w:rPr>
        <w:t>,</w:t>
      </w:r>
      <w:r w:rsidR="00762FA0" w:rsidRPr="00EB0655">
        <w:rPr>
          <w:rFonts w:ascii="Arial" w:hAnsi="Arial" w:cs="Arial"/>
          <w:lang w:val="en-US"/>
        </w:rPr>
        <w:t xml:space="preserve"> for the following reasons</w:t>
      </w:r>
      <w:r w:rsidR="00E0216A">
        <w:rPr>
          <w:rFonts w:ascii="Arial" w:hAnsi="Arial" w:cs="Arial"/>
          <w:lang w:val="en-US"/>
        </w:rPr>
        <w:t>,</w:t>
      </w:r>
      <w:r w:rsidR="00762FA0" w:rsidRPr="00EB0655">
        <w:rPr>
          <w:rFonts w:ascii="Arial" w:hAnsi="Arial" w:cs="Arial"/>
          <w:lang w:val="en-US"/>
        </w:rPr>
        <w:t xml:space="preserve"> there is no appeal before </w:t>
      </w:r>
      <w:r w:rsidR="00346606">
        <w:rPr>
          <w:rFonts w:ascii="Arial" w:hAnsi="Arial" w:cs="Arial"/>
          <w:lang w:val="en-US"/>
        </w:rPr>
        <w:t xml:space="preserve">the </w:t>
      </w:r>
      <w:r w:rsidR="00762FA0" w:rsidRPr="00EB0655">
        <w:rPr>
          <w:rFonts w:ascii="Arial" w:hAnsi="Arial" w:cs="Arial"/>
          <w:lang w:val="en-US"/>
        </w:rPr>
        <w:t>court:</w:t>
      </w:r>
    </w:p>
    <w:p w14:paraId="16CD06DE" w14:textId="77777777" w:rsidR="00EB0655" w:rsidRPr="00EB0655" w:rsidRDefault="00EB0655" w:rsidP="00EB0655">
      <w:pPr>
        <w:pStyle w:val="ListParagraph"/>
        <w:rPr>
          <w:rFonts w:ascii="Arial" w:hAnsi="Arial" w:cs="Arial"/>
          <w:lang w:val="en-US"/>
        </w:rPr>
      </w:pPr>
    </w:p>
    <w:p w14:paraId="545381C4" w14:textId="5F7CF495" w:rsidR="003647E4" w:rsidRDefault="00FF3ECF" w:rsidP="003647E4">
      <w:pPr>
        <w:pStyle w:val="ListParagraph"/>
        <w:numPr>
          <w:ilvl w:val="0"/>
          <w:numId w:val="11"/>
        </w:numPr>
        <w:spacing w:line="360" w:lineRule="auto"/>
        <w:ind w:left="0" w:firstLine="0"/>
        <w:jc w:val="both"/>
        <w:rPr>
          <w:rFonts w:ascii="Arial" w:hAnsi="Arial" w:cs="Arial"/>
          <w:lang w:val="en-US"/>
        </w:rPr>
      </w:pPr>
      <w:r>
        <w:rPr>
          <w:rFonts w:ascii="Arial" w:hAnsi="Arial" w:cs="Arial"/>
          <w:lang w:val="en-US"/>
        </w:rPr>
        <w:t>T</w:t>
      </w:r>
      <w:r w:rsidR="00762FA0" w:rsidRPr="00EB0655">
        <w:rPr>
          <w:rFonts w:ascii="Arial" w:hAnsi="Arial" w:cs="Arial"/>
          <w:lang w:val="en-US"/>
        </w:rPr>
        <w:t>he appeal was noted out of time</w:t>
      </w:r>
      <w:r w:rsidR="00346606">
        <w:rPr>
          <w:rFonts w:ascii="Arial" w:hAnsi="Arial" w:cs="Arial"/>
          <w:lang w:val="en-US"/>
        </w:rPr>
        <w:t>,</w:t>
      </w:r>
      <w:r w:rsidR="00762FA0" w:rsidRPr="00EB0655">
        <w:rPr>
          <w:rFonts w:ascii="Arial" w:hAnsi="Arial" w:cs="Arial"/>
          <w:lang w:val="en-US"/>
        </w:rPr>
        <w:t xml:space="preserve"> and there is no condonation application for the late noting of the appeal</w:t>
      </w:r>
      <w:r>
        <w:rPr>
          <w:rFonts w:ascii="Arial" w:hAnsi="Arial" w:cs="Arial"/>
          <w:lang w:val="en-US"/>
        </w:rPr>
        <w:t>.</w:t>
      </w:r>
    </w:p>
    <w:p w14:paraId="22A61765" w14:textId="77777777" w:rsidR="003647E4" w:rsidRPr="003647E4" w:rsidRDefault="003647E4" w:rsidP="003647E4">
      <w:pPr>
        <w:pStyle w:val="ListParagraph"/>
        <w:ind w:left="0"/>
        <w:rPr>
          <w:rFonts w:ascii="Arial" w:hAnsi="Arial" w:cs="Arial"/>
          <w:lang w:val="en-US"/>
        </w:rPr>
      </w:pPr>
    </w:p>
    <w:p w14:paraId="0AF1B7FD" w14:textId="20DC7C1A" w:rsidR="003647E4" w:rsidRPr="003647E4" w:rsidRDefault="00FF3ECF" w:rsidP="003647E4">
      <w:pPr>
        <w:pStyle w:val="ListParagraph"/>
        <w:numPr>
          <w:ilvl w:val="0"/>
          <w:numId w:val="11"/>
        </w:numPr>
        <w:spacing w:line="360" w:lineRule="auto"/>
        <w:ind w:left="0" w:firstLine="0"/>
        <w:jc w:val="both"/>
        <w:rPr>
          <w:rFonts w:ascii="Arial" w:hAnsi="Arial" w:cs="Arial"/>
          <w:lang w:val="en-US"/>
        </w:rPr>
      </w:pPr>
      <w:r>
        <w:rPr>
          <w:rFonts w:ascii="Arial" w:hAnsi="Arial" w:cs="Arial"/>
          <w:lang w:val="en-US"/>
        </w:rPr>
        <w:t>T</w:t>
      </w:r>
      <w:r w:rsidR="00762FA0" w:rsidRPr="00EB0655">
        <w:rPr>
          <w:rFonts w:ascii="Arial" w:hAnsi="Arial" w:cs="Arial"/>
          <w:lang w:val="en-US"/>
        </w:rPr>
        <w:t xml:space="preserve">he </w:t>
      </w:r>
      <w:r w:rsidR="00E72E33">
        <w:rPr>
          <w:rFonts w:ascii="Arial" w:hAnsi="Arial" w:cs="Arial"/>
          <w:lang w:val="en-US"/>
        </w:rPr>
        <w:t>a</w:t>
      </w:r>
      <w:r w:rsidR="00762FA0" w:rsidRPr="00EB0655">
        <w:rPr>
          <w:rFonts w:ascii="Arial" w:hAnsi="Arial" w:cs="Arial"/>
          <w:lang w:val="en-US"/>
        </w:rPr>
        <w:t xml:space="preserve">pplicant failed to comply </w:t>
      </w:r>
      <w:r w:rsidR="00AF3199" w:rsidRPr="00EB0655">
        <w:rPr>
          <w:rFonts w:ascii="Arial" w:hAnsi="Arial" w:cs="Arial"/>
          <w:lang w:val="en-US"/>
        </w:rPr>
        <w:t xml:space="preserve">with the provisions of </w:t>
      </w:r>
      <w:r w:rsidR="0045169D" w:rsidRPr="00EB0655">
        <w:rPr>
          <w:rFonts w:ascii="Arial" w:hAnsi="Arial" w:cs="Arial"/>
          <w:lang w:val="en-US"/>
        </w:rPr>
        <w:t xml:space="preserve">Labour Court </w:t>
      </w:r>
      <w:r w:rsidR="003A26AF">
        <w:rPr>
          <w:rFonts w:ascii="Arial" w:hAnsi="Arial" w:cs="Arial"/>
          <w:lang w:val="en-US"/>
        </w:rPr>
        <w:t>r</w:t>
      </w:r>
      <w:r w:rsidR="00AF3199" w:rsidRPr="00EB0655">
        <w:rPr>
          <w:rFonts w:ascii="Arial" w:hAnsi="Arial" w:cs="Arial"/>
          <w:lang w:val="en-US"/>
        </w:rPr>
        <w:t xml:space="preserve"> 17(2)</w:t>
      </w:r>
      <w:r w:rsidR="00762FA0" w:rsidRPr="00EB0655">
        <w:rPr>
          <w:rFonts w:ascii="Arial" w:hAnsi="Arial" w:cs="Arial"/>
          <w:lang w:val="en-US"/>
        </w:rPr>
        <w:t xml:space="preserve"> </w:t>
      </w:r>
      <w:r w:rsidR="00AF3199" w:rsidRPr="00EB0655">
        <w:rPr>
          <w:rFonts w:ascii="Arial" w:hAnsi="Arial" w:cs="Arial"/>
          <w:lang w:val="en-US"/>
        </w:rPr>
        <w:t>in that</w:t>
      </w:r>
      <w:r w:rsidR="00DD4054">
        <w:rPr>
          <w:rFonts w:ascii="Arial" w:hAnsi="Arial" w:cs="Arial"/>
          <w:lang w:val="en-US"/>
        </w:rPr>
        <w:t xml:space="preserve"> </w:t>
      </w:r>
      <w:r w:rsidR="00762FA0" w:rsidRPr="00EB0655">
        <w:rPr>
          <w:rFonts w:ascii="Arial" w:hAnsi="Arial" w:cs="Arial"/>
          <w:lang w:val="en-US"/>
        </w:rPr>
        <w:t>it</w:t>
      </w:r>
      <w:r w:rsidR="00AF3199" w:rsidRPr="00EB0655">
        <w:rPr>
          <w:rFonts w:ascii="Arial" w:hAnsi="Arial" w:cs="Arial"/>
          <w:lang w:val="en-US"/>
        </w:rPr>
        <w:t xml:space="preserve"> failed to set </w:t>
      </w:r>
      <w:r>
        <w:rPr>
          <w:rFonts w:ascii="Arial" w:hAnsi="Arial" w:cs="Arial"/>
          <w:lang w:val="en-US"/>
        </w:rPr>
        <w:t>out</w:t>
      </w:r>
      <w:r w:rsidR="00AF3199" w:rsidRPr="00EB0655">
        <w:rPr>
          <w:rFonts w:ascii="Arial" w:hAnsi="Arial" w:cs="Arial"/>
          <w:lang w:val="en-US"/>
        </w:rPr>
        <w:t xml:space="preserve"> grounds of appeal</w:t>
      </w:r>
      <w:r w:rsidR="00DD4054">
        <w:rPr>
          <w:rFonts w:ascii="Arial" w:hAnsi="Arial" w:cs="Arial"/>
          <w:lang w:val="en-US"/>
        </w:rPr>
        <w:t xml:space="preserve"> in its </w:t>
      </w:r>
      <w:r w:rsidR="00D27602">
        <w:rPr>
          <w:rFonts w:ascii="Arial" w:hAnsi="Arial" w:cs="Arial"/>
          <w:lang w:val="en-US"/>
        </w:rPr>
        <w:t xml:space="preserve">notice of appeal </w:t>
      </w:r>
      <w:r w:rsidR="00DD4054">
        <w:rPr>
          <w:rFonts w:ascii="Arial" w:hAnsi="Arial" w:cs="Arial"/>
          <w:lang w:val="en-US"/>
        </w:rPr>
        <w:t>Form 11</w:t>
      </w:r>
      <w:r w:rsidR="003A0FF4" w:rsidRPr="00EB0655">
        <w:rPr>
          <w:rFonts w:ascii="Arial" w:hAnsi="Arial" w:cs="Arial"/>
          <w:lang w:val="en-US"/>
        </w:rPr>
        <w:t>.</w:t>
      </w:r>
    </w:p>
    <w:p w14:paraId="538D5E89" w14:textId="77777777" w:rsidR="00EB0655" w:rsidRPr="00EB0655" w:rsidRDefault="00EB0655" w:rsidP="00EB0655">
      <w:pPr>
        <w:pStyle w:val="ListParagraph"/>
        <w:rPr>
          <w:rFonts w:ascii="Arial" w:eastAsia="Calibri" w:hAnsi="Arial" w:cs="Arial"/>
          <w:bCs/>
          <w:u w:val="single"/>
        </w:rPr>
      </w:pPr>
    </w:p>
    <w:p w14:paraId="1BA24020" w14:textId="7CEBD27B" w:rsidR="00EB0655" w:rsidRDefault="003106E5" w:rsidP="003647E4">
      <w:pPr>
        <w:pStyle w:val="ListParagraph"/>
        <w:spacing w:line="360" w:lineRule="auto"/>
        <w:ind w:left="0"/>
        <w:jc w:val="both"/>
        <w:rPr>
          <w:rFonts w:ascii="Arial" w:hAnsi="Arial" w:cs="Arial"/>
          <w:lang w:val="en-US"/>
        </w:rPr>
      </w:pPr>
      <w:r w:rsidRPr="00EB0655">
        <w:rPr>
          <w:rFonts w:ascii="Arial" w:eastAsia="Calibri" w:hAnsi="Arial" w:cs="Arial"/>
          <w:bCs/>
          <w:u w:val="single"/>
        </w:rPr>
        <w:t>The facts</w:t>
      </w:r>
    </w:p>
    <w:p w14:paraId="3A82DDF9" w14:textId="77777777" w:rsidR="00EB0655" w:rsidRPr="00EB0655" w:rsidRDefault="00EB0655" w:rsidP="00EB0655">
      <w:pPr>
        <w:pStyle w:val="ListParagraph"/>
        <w:rPr>
          <w:rFonts w:ascii="Arial" w:eastAsia="Calibri" w:hAnsi="Arial" w:cs="Arial"/>
          <w:bCs/>
        </w:rPr>
      </w:pPr>
    </w:p>
    <w:p w14:paraId="6D633C9B" w14:textId="5C3A4DA0" w:rsidR="00EB0655" w:rsidRDefault="00346606" w:rsidP="00EB0655">
      <w:pPr>
        <w:pStyle w:val="ListParagraph"/>
        <w:numPr>
          <w:ilvl w:val="0"/>
          <w:numId w:val="6"/>
        </w:numPr>
        <w:spacing w:line="360" w:lineRule="auto"/>
        <w:ind w:left="0" w:firstLine="0"/>
        <w:jc w:val="both"/>
        <w:rPr>
          <w:rFonts w:ascii="Arial" w:hAnsi="Arial" w:cs="Arial"/>
          <w:lang w:val="en-US"/>
        </w:rPr>
      </w:pPr>
      <w:r>
        <w:rPr>
          <w:rFonts w:ascii="Arial" w:eastAsia="Calibri" w:hAnsi="Arial" w:cs="Arial"/>
          <w:bCs/>
        </w:rPr>
        <w:t xml:space="preserve">In July 2021, the </w:t>
      </w:r>
      <w:r w:rsidR="0019379D">
        <w:rPr>
          <w:rFonts w:ascii="Arial" w:eastAsia="Calibri" w:hAnsi="Arial" w:cs="Arial"/>
          <w:bCs/>
        </w:rPr>
        <w:t>r</w:t>
      </w:r>
      <w:r>
        <w:rPr>
          <w:rFonts w:ascii="Arial" w:eastAsia="Calibri" w:hAnsi="Arial" w:cs="Arial"/>
          <w:bCs/>
        </w:rPr>
        <w:t>espondent referred a dispute of unfair labour practice, unfair dismissal,</w:t>
      </w:r>
      <w:r w:rsidR="002D3EAD">
        <w:rPr>
          <w:rFonts w:ascii="Arial" w:eastAsia="Calibri" w:hAnsi="Arial" w:cs="Arial"/>
          <w:bCs/>
        </w:rPr>
        <w:t xml:space="preserve"> and withholding remuneration</w:t>
      </w:r>
      <w:r w:rsidR="003106E5" w:rsidRPr="00EB0655">
        <w:rPr>
          <w:rFonts w:ascii="Arial" w:eastAsia="Calibri" w:hAnsi="Arial" w:cs="Arial"/>
          <w:bCs/>
        </w:rPr>
        <w:t xml:space="preserve"> to the Labour Commissioner.</w:t>
      </w:r>
      <w:r w:rsidR="003106E5" w:rsidRPr="00EB0655">
        <w:rPr>
          <w:rFonts w:ascii="Arial" w:hAnsi="Arial" w:cs="Arial"/>
          <w:lang w:val="en-US"/>
        </w:rPr>
        <w:t xml:space="preserve"> </w:t>
      </w:r>
      <w:r w:rsidR="003106E5" w:rsidRPr="00EB0655">
        <w:rPr>
          <w:rFonts w:ascii="Arial" w:eastAsia="Calibri" w:hAnsi="Arial" w:cs="Arial"/>
          <w:bCs/>
        </w:rPr>
        <w:t xml:space="preserve">The </w:t>
      </w:r>
      <w:r w:rsidR="00D27602">
        <w:rPr>
          <w:rFonts w:ascii="Arial" w:eastAsia="Calibri" w:hAnsi="Arial" w:cs="Arial"/>
          <w:bCs/>
        </w:rPr>
        <w:t>A</w:t>
      </w:r>
      <w:r w:rsidR="003106E5" w:rsidRPr="00EB0655">
        <w:rPr>
          <w:rFonts w:ascii="Arial" w:eastAsia="Calibri" w:hAnsi="Arial" w:cs="Arial"/>
          <w:bCs/>
        </w:rPr>
        <w:t xml:space="preserve">rbitrator dealt with the dispute on 3 November 2021 in the </w:t>
      </w:r>
      <w:r w:rsidR="00E72E33">
        <w:rPr>
          <w:rFonts w:ascii="Arial" w:eastAsia="Calibri" w:hAnsi="Arial" w:cs="Arial"/>
          <w:bCs/>
        </w:rPr>
        <w:t>a</w:t>
      </w:r>
      <w:r w:rsidR="003106E5" w:rsidRPr="00EB0655">
        <w:rPr>
          <w:rFonts w:ascii="Arial" w:eastAsia="Calibri" w:hAnsi="Arial" w:cs="Arial"/>
          <w:bCs/>
        </w:rPr>
        <w:t>pplicant’s absence</w:t>
      </w:r>
      <w:r w:rsidR="006B16AA" w:rsidRPr="00EB0655">
        <w:rPr>
          <w:rFonts w:ascii="Arial" w:eastAsia="Calibri" w:hAnsi="Arial" w:cs="Arial"/>
          <w:bCs/>
        </w:rPr>
        <w:t xml:space="preserve"> </w:t>
      </w:r>
      <w:r w:rsidR="003106E5" w:rsidRPr="00EB0655">
        <w:rPr>
          <w:rFonts w:ascii="Arial" w:eastAsia="Calibri" w:hAnsi="Arial" w:cs="Arial"/>
          <w:bCs/>
        </w:rPr>
        <w:t xml:space="preserve">and delivered an award dated 7 December 2021 in favour of the </w:t>
      </w:r>
      <w:r w:rsidR="0019379D">
        <w:rPr>
          <w:rFonts w:ascii="Arial" w:eastAsia="Calibri" w:hAnsi="Arial" w:cs="Arial"/>
          <w:bCs/>
        </w:rPr>
        <w:t>r</w:t>
      </w:r>
      <w:r w:rsidR="003106E5" w:rsidRPr="00EB0655">
        <w:rPr>
          <w:rFonts w:ascii="Arial" w:eastAsia="Calibri" w:hAnsi="Arial" w:cs="Arial"/>
          <w:bCs/>
        </w:rPr>
        <w:t>espondent.</w:t>
      </w:r>
      <w:r w:rsidR="0010541C">
        <w:rPr>
          <w:rFonts w:ascii="Arial" w:eastAsia="Calibri" w:hAnsi="Arial" w:cs="Arial"/>
          <w:bCs/>
        </w:rPr>
        <w:t xml:space="preserve"> </w:t>
      </w:r>
      <w:r w:rsidR="0010541C" w:rsidRPr="00EB0655">
        <w:rPr>
          <w:rFonts w:ascii="Arial" w:eastAsia="Calibri" w:hAnsi="Arial" w:cs="Arial"/>
          <w:bCs/>
        </w:rPr>
        <w:t xml:space="preserve">The </w:t>
      </w:r>
      <w:r w:rsidR="0019379D">
        <w:rPr>
          <w:rFonts w:ascii="Arial" w:eastAsia="Calibri" w:hAnsi="Arial" w:cs="Arial"/>
          <w:bCs/>
        </w:rPr>
        <w:t>r</w:t>
      </w:r>
      <w:r w:rsidR="0010541C" w:rsidRPr="00EB0655">
        <w:rPr>
          <w:rFonts w:ascii="Arial" w:eastAsia="Calibri" w:hAnsi="Arial" w:cs="Arial"/>
          <w:bCs/>
        </w:rPr>
        <w:t xml:space="preserve">espondent received the award on </w:t>
      </w:r>
      <w:r w:rsidR="0010541C">
        <w:rPr>
          <w:rFonts w:ascii="Arial" w:eastAsia="Calibri" w:hAnsi="Arial" w:cs="Arial"/>
          <w:bCs/>
        </w:rPr>
        <w:t>even</w:t>
      </w:r>
      <w:r w:rsidR="00DD4054">
        <w:rPr>
          <w:rFonts w:ascii="Arial" w:eastAsia="Calibri" w:hAnsi="Arial" w:cs="Arial"/>
          <w:bCs/>
        </w:rPr>
        <w:t xml:space="preserve"> date</w:t>
      </w:r>
      <w:r w:rsidR="00C31874">
        <w:rPr>
          <w:rFonts w:ascii="Arial" w:eastAsia="Calibri" w:hAnsi="Arial" w:cs="Arial"/>
          <w:bCs/>
        </w:rPr>
        <w:t>,</w:t>
      </w:r>
      <w:r w:rsidR="0010541C" w:rsidRPr="00EB0655">
        <w:rPr>
          <w:rFonts w:ascii="Arial" w:eastAsia="Calibri" w:hAnsi="Arial" w:cs="Arial"/>
          <w:bCs/>
        </w:rPr>
        <w:t xml:space="preserve"> and he </w:t>
      </w:r>
      <w:r>
        <w:rPr>
          <w:rFonts w:ascii="Arial" w:eastAsia="Calibri" w:hAnsi="Arial" w:cs="Arial"/>
          <w:bCs/>
        </w:rPr>
        <w:t>d</w:t>
      </w:r>
      <w:r w:rsidR="00B7360B">
        <w:rPr>
          <w:rFonts w:ascii="Arial" w:eastAsia="Calibri" w:hAnsi="Arial" w:cs="Arial"/>
          <w:bCs/>
        </w:rPr>
        <w:t>oes</w:t>
      </w:r>
      <w:r>
        <w:rPr>
          <w:rFonts w:ascii="Arial" w:eastAsia="Calibri" w:hAnsi="Arial" w:cs="Arial"/>
          <w:bCs/>
        </w:rPr>
        <w:t xml:space="preserve"> not know </w:t>
      </w:r>
      <w:r w:rsidR="0010541C" w:rsidRPr="00EB0655">
        <w:rPr>
          <w:rFonts w:ascii="Arial" w:eastAsia="Calibri" w:hAnsi="Arial" w:cs="Arial"/>
          <w:bCs/>
        </w:rPr>
        <w:t xml:space="preserve">when the </w:t>
      </w:r>
      <w:r w:rsidR="00E72E33">
        <w:rPr>
          <w:rFonts w:ascii="Arial" w:eastAsia="Calibri" w:hAnsi="Arial" w:cs="Arial"/>
          <w:bCs/>
        </w:rPr>
        <w:t>a</w:t>
      </w:r>
      <w:r w:rsidR="0010541C" w:rsidRPr="00EB0655">
        <w:rPr>
          <w:rFonts w:ascii="Arial" w:eastAsia="Calibri" w:hAnsi="Arial" w:cs="Arial"/>
          <w:bCs/>
        </w:rPr>
        <w:t xml:space="preserve">pplicant received it. The </w:t>
      </w:r>
      <w:r w:rsidR="00E72E33">
        <w:rPr>
          <w:rFonts w:ascii="Arial" w:eastAsia="Calibri" w:hAnsi="Arial" w:cs="Arial"/>
          <w:bCs/>
        </w:rPr>
        <w:t>a</w:t>
      </w:r>
      <w:r w:rsidR="0010541C" w:rsidRPr="00EB0655">
        <w:rPr>
          <w:rFonts w:ascii="Arial" w:eastAsia="Calibri" w:hAnsi="Arial" w:cs="Arial"/>
          <w:bCs/>
        </w:rPr>
        <w:t>pplicant sa</w:t>
      </w:r>
      <w:r w:rsidR="00B7360B">
        <w:rPr>
          <w:rFonts w:ascii="Arial" w:eastAsia="Calibri" w:hAnsi="Arial" w:cs="Arial"/>
          <w:bCs/>
        </w:rPr>
        <w:t>id</w:t>
      </w:r>
      <w:r w:rsidR="0010541C" w:rsidRPr="00EB0655">
        <w:rPr>
          <w:rFonts w:ascii="Arial" w:eastAsia="Calibri" w:hAnsi="Arial" w:cs="Arial"/>
          <w:bCs/>
        </w:rPr>
        <w:t xml:space="preserve"> that it received the award on 9 December 202</w:t>
      </w:r>
      <w:r w:rsidR="00E0216A">
        <w:rPr>
          <w:rFonts w:ascii="Arial" w:eastAsia="Calibri" w:hAnsi="Arial" w:cs="Arial"/>
          <w:bCs/>
        </w:rPr>
        <w:t>1</w:t>
      </w:r>
      <w:r w:rsidR="0010541C" w:rsidRPr="00EB0655">
        <w:rPr>
          <w:rFonts w:ascii="Arial" w:eastAsia="Calibri" w:hAnsi="Arial" w:cs="Arial"/>
          <w:bCs/>
        </w:rPr>
        <w:t>.</w:t>
      </w:r>
      <w:r w:rsidR="003106E5" w:rsidRPr="00EB0655">
        <w:rPr>
          <w:rFonts w:ascii="Arial" w:eastAsia="Calibri" w:hAnsi="Arial" w:cs="Arial"/>
          <w:bCs/>
        </w:rPr>
        <w:t xml:space="preserve"> </w:t>
      </w:r>
    </w:p>
    <w:p w14:paraId="13190876" w14:textId="77777777" w:rsidR="00EB0655" w:rsidRPr="00EB0655" w:rsidRDefault="00EB0655" w:rsidP="00EB0655">
      <w:pPr>
        <w:pStyle w:val="ListParagraph"/>
        <w:rPr>
          <w:rFonts w:ascii="Arial" w:eastAsia="Calibri" w:hAnsi="Arial" w:cs="Arial"/>
          <w:bCs/>
        </w:rPr>
      </w:pPr>
    </w:p>
    <w:p w14:paraId="4D6C84E1" w14:textId="55B4FAB6" w:rsidR="0010541C" w:rsidRPr="0010541C" w:rsidRDefault="003106E5" w:rsidP="0010541C">
      <w:pPr>
        <w:pStyle w:val="ListParagraph"/>
        <w:numPr>
          <w:ilvl w:val="0"/>
          <w:numId w:val="6"/>
        </w:numPr>
        <w:spacing w:line="360" w:lineRule="auto"/>
        <w:ind w:left="0" w:firstLine="0"/>
        <w:jc w:val="both"/>
        <w:rPr>
          <w:rFonts w:ascii="Arial" w:hAnsi="Arial" w:cs="Arial"/>
          <w:lang w:val="en-US"/>
        </w:rPr>
      </w:pPr>
      <w:r w:rsidRPr="00EB0655">
        <w:rPr>
          <w:rFonts w:ascii="Arial" w:eastAsia="Calibri" w:hAnsi="Arial" w:cs="Arial"/>
          <w:bCs/>
        </w:rPr>
        <w:t>On 21 December 2021</w:t>
      </w:r>
      <w:r w:rsidR="0059357A">
        <w:rPr>
          <w:rFonts w:ascii="Arial" w:eastAsia="Calibri" w:hAnsi="Arial" w:cs="Arial"/>
          <w:bCs/>
        </w:rPr>
        <w:t>,</w:t>
      </w:r>
      <w:r w:rsidR="00826693">
        <w:rPr>
          <w:rFonts w:ascii="Arial" w:eastAsia="Calibri" w:hAnsi="Arial" w:cs="Arial"/>
          <w:bCs/>
        </w:rPr>
        <w:t xml:space="preserve"> </w:t>
      </w:r>
      <w:r w:rsidRPr="00EB0655">
        <w:rPr>
          <w:rFonts w:ascii="Arial" w:eastAsia="Calibri" w:hAnsi="Arial" w:cs="Arial"/>
          <w:bCs/>
        </w:rPr>
        <w:t xml:space="preserve">the </w:t>
      </w:r>
      <w:r w:rsidR="00E72E33">
        <w:rPr>
          <w:rFonts w:ascii="Arial" w:eastAsia="Calibri" w:hAnsi="Arial" w:cs="Arial"/>
          <w:bCs/>
        </w:rPr>
        <w:t>a</w:t>
      </w:r>
      <w:r w:rsidRPr="00EB0655">
        <w:rPr>
          <w:rFonts w:ascii="Arial" w:eastAsia="Calibri" w:hAnsi="Arial" w:cs="Arial"/>
          <w:bCs/>
        </w:rPr>
        <w:t xml:space="preserve">pplicant applied </w:t>
      </w:r>
      <w:r w:rsidR="0045169D" w:rsidRPr="00EB0655">
        <w:rPr>
          <w:rFonts w:ascii="Arial" w:eastAsia="Calibri" w:hAnsi="Arial" w:cs="Arial"/>
          <w:bCs/>
        </w:rPr>
        <w:t>for rescission of</w:t>
      </w:r>
      <w:r w:rsidRPr="00EB0655">
        <w:rPr>
          <w:rFonts w:ascii="Arial" w:eastAsia="Calibri" w:hAnsi="Arial" w:cs="Arial"/>
          <w:bCs/>
        </w:rPr>
        <w:t xml:space="preserve"> the award in terms of </w:t>
      </w:r>
      <w:r w:rsidR="0045169D" w:rsidRPr="00EB0655">
        <w:rPr>
          <w:rFonts w:ascii="Arial" w:eastAsia="Calibri" w:hAnsi="Arial" w:cs="Arial"/>
          <w:bCs/>
        </w:rPr>
        <w:t>s</w:t>
      </w:r>
      <w:r w:rsidRPr="00EB0655">
        <w:rPr>
          <w:rFonts w:ascii="Arial" w:eastAsia="Calibri" w:hAnsi="Arial" w:cs="Arial"/>
          <w:bCs/>
        </w:rPr>
        <w:t xml:space="preserve"> 88 of the Labour Act 11 of 2007</w:t>
      </w:r>
      <w:r w:rsidR="006128D8">
        <w:rPr>
          <w:rFonts w:ascii="Arial" w:eastAsia="Calibri" w:hAnsi="Arial" w:cs="Arial"/>
          <w:bCs/>
        </w:rPr>
        <w:t xml:space="preserve"> (the Act)</w:t>
      </w:r>
      <w:r w:rsidRPr="00EB0655">
        <w:rPr>
          <w:rFonts w:ascii="Arial" w:eastAsia="Calibri" w:hAnsi="Arial" w:cs="Arial"/>
          <w:bCs/>
        </w:rPr>
        <w:t xml:space="preserve">. The </w:t>
      </w:r>
      <w:r w:rsidR="00D27602">
        <w:rPr>
          <w:rFonts w:ascii="Arial" w:eastAsia="Calibri" w:hAnsi="Arial" w:cs="Arial"/>
          <w:bCs/>
        </w:rPr>
        <w:t>A</w:t>
      </w:r>
      <w:r w:rsidRPr="00EB0655">
        <w:rPr>
          <w:rFonts w:ascii="Arial" w:eastAsia="Calibri" w:hAnsi="Arial" w:cs="Arial"/>
          <w:bCs/>
        </w:rPr>
        <w:t>rbitrator dismissed the rescission application in a ruling dated 23 March 2022.</w:t>
      </w:r>
      <w:r w:rsidR="0010541C">
        <w:rPr>
          <w:rFonts w:ascii="Arial" w:hAnsi="Arial" w:cs="Arial"/>
          <w:lang w:val="en-US"/>
        </w:rPr>
        <w:t xml:space="preserve"> </w:t>
      </w:r>
      <w:r w:rsidR="0010541C" w:rsidRPr="0010541C">
        <w:rPr>
          <w:rFonts w:ascii="Arial" w:eastAsia="Calibri" w:hAnsi="Arial" w:cs="Arial"/>
          <w:bCs/>
        </w:rPr>
        <w:t xml:space="preserve">According to the </w:t>
      </w:r>
      <w:r w:rsidR="0019379D">
        <w:rPr>
          <w:rFonts w:ascii="Arial" w:eastAsia="Calibri" w:hAnsi="Arial" w:cs="Arial"/>
          <w:bCs/>
        </w:rPr>
        <w:t>r</w:t>
      </w:r>
      <w:r w:rsidR="0010541C" w:rsidRPr="0010541C">
        <w:rPr>
          <w:rFonts w:ascii="Arial" w:eastAsia="Calibri" w:hAnsi="Arial" w:cs="Arial"/>
          <w:bCs/>
        </w:rPr>
        <w:t xml:space="preserve">espondent, the </w:t>
      </w:r>
      <w:r w:rsidR="00E72E33">
        <w:rPr>
          <w:rFonts w:ascii="Arial" w:eastAsia="Calibri" w:hAnsi="Arial" w:cs="Arial"/>
          <w:bCs/>
        </w:rPr>
        <w:t>a</w:t>
      </w:r>
      <w:r w:rsidR="00B07FC7">
        <w:rPr>
          <w:rFonts w:ascii="Arial" w:eastAsia="Calibri" w:hAnsi="Arial" w:cs="Arial"/>
          <w:bCs/>
        </w:rPr>
        <w:t xml:space="preserve">pplicant received the ruling </w:t>
      </w:r>
      <w:r w:rsidR="0010541C" w:rsidRPr="0010541C">
        <w:rPr>
          <w:rFonts w:ascii="Arial" w:eastAsia="Calibri" w:hAnsi="Arial" w:cs="Arial"/>
          <w:bCs/>
        </w:rPr>
        <w:t>on 24 March 2022</w:t>
      </w:r>
      <w:r w:rsidR="00B07FC7">
        <w:rPr>
          <w:rFonts w:ascii="Arial" w:eastAsia="Calibri" w:hAnsi="Arial" w:cs="Arial"/>
          <w:bCs/>
        </w:rPr>
        <w:t xml:space="preserve"> when it was emailed to </w:t>
      </w:r>
      <w:r w:rsidR="00826693">
        <w:rPr>
          <w:rFonts w:ascii="Arial" w:eastAsia="Calibri" w:hAnsi="Arial" w:cs="Arial"/>
          <w:bCs/>
        </w:rPr>
        <w:t xml:space="preserve">the </w:t>
      </w:r>
      <w:r w:rsidR="00E72E33">
        <w:rPr>
          <w:rFonts w:ascii="Arial" w:eastAsia="Calibri" w:hAnsi="Arial" w:cs="Arial"/>
          <w:bCs/>
        </w:rPr>
        <w:t>a</w:t>
      </w:r>
      <w:r w:rsidR="00826693">
        <w:rPr>
          <w:rFonts w:ascii="Arial" w:eastAsia="Calibri" w:hAnsi="Arial" w:cs="Arial"/>
          <w:bCs/>
        </w:rPr>
        <w:t>pplicant</w:t>
      </w:r>
      <w:r w:rsidR="0010541C" w:rsidRPr="0010541C">
        <w:rPr>
          <w:rFonts w:ascii="Arial" w:eastAsia="Calibri" w:hAnsi="Arial" w:cs="Arial"/>
          <w:bCs/>
        </w:rPr>
        <w:t xml:space="preserve">. The </w:t>
      </w:r>
      <w:r w:rsidR="00E72E33">
        <w:rPr>
          <w:rFonts w:ascii="Arial" w:eastAsia="Calibri" w:hAnsi="Arial" w:cs="Arial"/>
          <w:bCs/>
        </w:rPr>
        <w:t>a</w:t>
      </w:r>
      <w:r w:rsidR="0010541C" w:rsidRPr="0010541C">
        <w:rPr>
          <w:rFonts w:ascii="Arial" w:eastAsia="Calibri" w:hAnsi="Arial" w:cs="Arial"/>
          <w:bCs/>
        </w:rPr>
        <w:t>pplicant disagree</w:t>
      </w:r>
      <w:r w:rsidR="00B7360B">
        <w:rPr>
          <w:rFonts w:ascii="Arial" w:eastAsia="Calibri" w:hAnsi="Arial" w:cs="Arial"/>
          <w:bCs/>
        </w:rPr>
        <w:t>d</w:t>
      </w:r>
      <w:r w:rsidR="0010541C" w:rsidRPr="0010541C">
        <w:rPr>
          <w:rFonts w:ascii="Arial" w:eastAsia="Calibri" w:hAnsi="Arial" w:cs="Arial"/>
          <w:bCs/>
        </w:rPr>
        <w:t>. It</w:t>
      </w:r>
      <w:r w:rsidR="0010541C">
        <w:rPr>
          <w:rFonts w:ascii="Arial" w:eastAsia="Calibri" w:hAnsi="Arial" w:cs="Arial"/>
          <w:bCs/>
        </w:rPr>
        <w:t xml:space="preserve"> sa</w:t>
      </w:r>
      <w:r w:rsidR="00B7360B">
        <w:rPr>
          <w:rFonts w:ascii="Arial" w:eastAsia="Calibri" w:hAnsi="Arial" w:cs="Arial"/>
          <w:bCs/>
        </w:rPr>
        <w:t>id</w:t>
      </w:r>
      <w:r w:rsidR="0010541C">
        <w:rPr>
          <w:rFonts w:ascii="Arial" w:eastAsia="Calibri" w:hAnsi="Arial" w:cs="Arial"/>
          <w:bCs/>
        </w:rPr>
        <w:t xml:space="preserve"> </w:t>
      </w:r>
      <w:r w:rsidR="0010541C" w:rsidRPr="0010541C">
        <w:rPr>
          <w:rFonts w:ascii="Arial" w:eastAsia="Calibri" w:hAnsi="Arial" w:cs="Arial"/>
          <w:bCs/>
        </w:rPr>
        <w:t>the ruling only came to its attention on 20 April 2022</w:t>
      </w:r>
      <w:r w:rsidR="0010541C">
        <w:rPr>
          <w:rFonts w:ascii="Arial" w:eastAsia="Calibri" w:hAnsi="Arial" w:cs="Arial"/>
          <w:bCs/>
        </w:rPr>
        <w:t>.</w:t>
      </w:r>
    </w:p>
    <w:p w14:paraId="573282F4" w14:textId="77777777" w:rsidR="0010541C" w:rsidRPr="0010541C" w:rsidRDefault="0010541C" w:rsidP="0010541C">
      <w:pPr>
        <w:pStyle w:val="ListParagraph"/>
        <w:rPr>
          <w:rFonts w:ascii="Arial" w:hAnsi="Arial" w:cs="Arial"/>
          <w:lang w:val="en-US"/>
        </w:rPr>
      </w:pPr>
    </w:p>
    <w:p w14:paraId="25FBF4FD" w14:textId="77777777" w:rsidR="009E10BE" w:rsidRDefault="00627C7F" w:rsidP="009E10BE">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lastRenderedPageBreak/>
        <w:t>O</w:t>
      </w:r>
      <w:r w:rsidRPr="00EB0655">
        <w:rPr>
          <w:rFonts w:ascii="Arial" w:hAnsi="Arial" w:cs="Arial"/>
          <w:lang w:val="en-US"/>
        </w:rPr>
        <w:t>n 27 April 2022</w:t>
      </w:r>
      <w:r w:rsidR="0059357A">
        <w:rPr>
          <w:rFonts w:ascii="Arial" w:hAnsi="Arial" w:cs="Arial"/>
          <w:lang w:val="en-US"/>
        </w:rPr>
        <w:t>,</w:t>
      </w:r>
      <w:r w:rsidR="00B07FC7">
        <w:rPr>
          <w:rFonts w:ascii="Arial" w:hAnsi="Arial" w:cs="Arial"/>
          <w:lang w:val="en-US"/>
        </w:rPr>
        <w:t xml:space="preserve"> </w:t>
      </w:r>
      <w:r w:rsidR="003106E5" w:rsidRPr="00EB0655">
        <w:rPr>
          <w:rFonts w:ascii="Arial" w:hAnsi="Arial" w:cs="Arial"/>
          <w:lang w:val="en-US"/>
        </w:rPr>
        <w:t xml:space="preserve">the </w:t>
      </w:r>
      <w:r w:rsidR="00E72E33">
        <w:rPr>
          <w:rFonts w:ascii="Arial" w:hAnsi="Arial" w:cs="Arial"/>
          <w:lang w:val="en-US"/>
        </w:rPr>
        <w:t>a</w:t>
      </w:r>
      <w:r w:rsidR="003106E5" w:rsidRPr="00EB0655">
        <w:rPr>
          <w:rFonts w:ascii="Arial" w:hAnsi="Arial" w:cs="Arial"/>
          <w:lang w:val="en-US"/>
        </w:rPr>
        <w:t>pplicant</w:t>
      </w:r>
      <w:r w:rsidR="00273844">
        <w:rPr>
          <w:rFonts w:ascii="Arial" w:hAnsi="Arial" w:cs="Arial"/>
          <w:lang w:val="en-US"/>
        </w:rPr>
        <w:t xml:space="preserve"> </w:t>
      </w:r>
      <w:r w:rsidR="003106E5" w:rsidRPr="00EB0655">
        <w:rPr>
          <w:rFonts w:ascii="Arial" w:hAnsi="Arial" w:cs="Arial"/>
          <w:lang w:val="en-US"/>
        </w:rPr>
        <w:t xml:space="preserve">noted an appeal against </w:t>
      </w:r>
      <w:r w:rsidR="001202DB">
        <w:rPr>
          <w:rFonts w:ascii="Arial" w:hAnsi="Arial" w:cs="Arial"/>
          <w:lang w:val="en-US"/>
        </w:rPr>
        <w:t>‘</w:t>
      </w:r>
      <w:r w:rsidR="003106E5" w:rsidRPr="00EB0655">
        <w:rPr>
          <w:rFonts w:ascii="Arial" w:hAnsi="Arial" w:cs="Arial"/>
          <w:lang w:val="en-US"/>
        </w:rPr>
        <w:t>the awards</w:t>
      </w:r>
      <w:r w:rsidR="001202DB">
        <w:rPr>
          <w:rFonts w:ascii="Arial" w:hAnsi="Arial" w:cs="Arial"/>
          <w:lang w:val="en-US"/>
        </w:rPr>
        <w:t>’ issued on ‘7 December 2021 and 23 March 2022’,</w:t>
      </w:r>
      <w:r>
        <w:rPr>
          <w:rFonts w:ascii="Arial" w:hAnsi="Arial" w:cs="Arial"/>
          <w:lang w:val="en-US"/>
        </w:rPr>
        <w:t xml:space="preserve"> </w:t>
      </w:r>
      <w:r w:rsidR="00346606">
        <w:rPr>
          <w:rFonts w:ascii="Arial" w:hAnsi="Arial" w:cs="Arial"/>
          <w:lang w:val="en-US"/>
        </w:rPr>
        <w:t>the award and the ruling,</w:t>
      </w:r>
      <w:r>
        <w:rPr>
          <w:rFonts w:ascii="Arial" w:hAnsi="Arial" w:cs="Arial"/>
          <w:lang w:val="en-US"/>
        </w:rPr>
        <w:t xml:space="preserve"> respectively</w:t>
      </w:r>
      <w:r w:rsidR="003106E5" w:rsidRPr="00EB0655">
        <w:rPr>
          <w:rFonts w:ascii="Arial" w:hAnsi="Arial" w:cs="Arial"/>
          <w:lang w:val="en-US"/>
        </w:rPr>
        <w:t>.</w:t>
      </w:r>
    </w:p>
    <w:p w14:paraId="4DF26760" w14:textId="77777777" w:rsidR="009E10BE" w:rsidRPr="009E10BE" w:rsidRDefault="009E10BE" w:rsidP="009E10BE">
      <w:pPr>
        <w:pStyle w:val="ListParagraph"/>
        <w:rPr>
          <w:rFonts w:ascii="Arial" w:hAnsi="Arial" w:cs="Arial"/>
          <w:lang w:val="en-US"/>
        </w:rPr>
      </w:pPr>
    </w:p>
    <w:p w14:paraId="157A3B7C" w14:textId="58B4AA73" w:rsidR="00627C7F" w:rsidRPr="009E10BE" w:rsidRDefault="003106E5" w:rsidP="009E10BE">
      <w:pPr>
        <w:pStyle w:val="ListParagraph"/>
        <w:numPr>
          <w:ilvl w:val="0"/>
          <w:numId w:val="6"/>
        </w:numPr>
        <w:spacing w:line="360" w:lineRule="auto"/>
        <w:ind w:left="0" w:firstLine="0"/>
        <w:jc w:val="both"/>
        <w:rPr>
          <w:rFonts w:ascii="Arial" w:hAnsi="Arial" w:cs="Arial"/>
          <w:lang w:val="en-US"/>
        </w:rPr>
      </w:pPr>
      <w:r w:rsidRPr="009E10BE">
        <w:rPr>
          <w:rFonts w:ascii="Arial" w:hAnsi="Arial" w:cs="Arial"/>
          <w:lang w:val="en-US"/>
        </w:rPr>
        <w:t xml:space="preserve">On 27 May 2022, by virtue of a notice to prosecute timely, the registrar notified the </w:t>
      </w:r>
      <w:r w:rsidR="00E72E33" w:rsidRPr="009E10BE">
        <w:rPr>
          <w:rFonts w:ascii="Arial" w:hAnsi="Arial" w:cs="Arial"/>
          <w:lang w:val="en-US"/>
        </w:rPr>
        <w:t>a</w:t>
      </w:r>
      <w:r w:rsidRPr="009E10BE">
        <w:rPr>
          <w:rFonts w:ascii="Arial" w:hAnsi="Arial" w:cs="Arial"/>
          <w:lang w:val="en-US"/>
        </w:rPr>
        <w:t>pplicant that the appeal w</w:t>
      </w:r>
      <w:r w:rsidR="00346606" w:rsidRPr="009E10BE">
        <w:rPr>
          <w:rFonts w:ascii="Arial" w:hAnsi="Arial" w:cs="Arial"/>
          <w:lang w:val="en-US"/>
        </w:rPr>
        <w:t>ould</w:t>
      </w:r>
      <w:r w:rsidRPr="009E10BE">
        <w:rPr>
          <w:rFonts w:ascii="Arial" w:hAnsi="Arial" w:cs="Arial"/>
          <w:lang w:val="en-US"/>
        </w:rPr>
        <w:t xml:space="preserve"> lapse in 60 days.</w:t>
      </w:r>
    </w:p>
    <w:p w14:paraId="0D48D1C0" w14:textId="77777777" w:rsidR="00627C7F" w:rsidRPr="00627C7F" w:rsidRDefault="00627C7F" w:rsidP="00627C7F">
      <w:pPr>
        <w:pStyle w:val="ListParagraph"/>
        <w:rPr>
          <w:rFonts w:ascii="Arial" w:hAnsi="Arial" w:cs="Arial"/>
          <w:lang w:val="en-US"/>
        </w:rPr>
      </w:pPr>
    </w:p>
    <w:p w14:paraId="2BAC4EC5" w14:textId="69F7E230" w:rsidR="00627C7F" w:rsidRDefault="003106E5" w:rsidP="00627C7F">
      <w:pPr>
        <w:pStyle w:val="ListParagraph"/>
        <w:numPr>
          <w:ilvl w:val="0"/>
          <w:numId w:val="6"/>
        </w:numPr>
        <w:spacing w:line="360" w:lineRule="auto"/>
        <w:ind w:left="0" w:firstLine="0"/>
        <w:jc w:val="both"/>
        <w:rPr>
          <w:rFonts w:ascii="Arial" w:hAnsi="Arial" w:cs="Arial"/>
          <w:lang w:val="en-US"/>
        </w:rPr>
      </w:pPr>
      <w:r w:rsidRPr="00627C7F">
        <w:rPr>
          <w:rFonts w:ascii="Arial" w:hAnsi="Arial" w:cs="Arial"/>
          <w:lang w:val="en-US"/>
        </w:rPr>
        <w:t>The record was made available on 2 June 2022</w:t>
      </w:r>
      <w:r w:rsidR="00346606">
        <w:rPr>
          <w:rFonts w:ascii="Arial" w:hAnsi="Arial" w:cs="Arial"/>
          <w:lang w:val="en-US"/>
        </w:rPr>
        <w:t xml:space="preserve">, whereafter it was uplifted by the </w:t>
      </w:r>
      <w:r w:rsidR="00E72E33">
        <w:rPr>
          <w:rFonts w:ascii="Arial" w:hAnsi="Arial" w:cs="Arial"/>
          <w:lang w:val="en-US"/>
        </w:rPr>
        <w:t>a</w:t>
      </w:r>
      <w:r w:rsidR="00346606">
        <w:rPr>
          <w:rFonts w:ascii="Arial" w:hAnsi="Arial" w:cs="Arial"/>
          <w:lang w:val="en-US"/>
        </w:rPr>
        <w:t>pplicant’s legal practitioners,</w:t>
      </w:r>
      <w:r w:rsidRPr="00627C7F">
        <w:rPr>
          <w:rFonts w:ascii="Arial" w:hAnsi="Arial" w:cs="Arial"/>
          <w:lang w:val="en-US"/>
        </w:rPr>
        <w:t xml:space="preserve"> who prepared an index and </w:t>
      </w:r>
      <w:r w:rsidR="00B07FC7">
        <w:rPr>
          <w:rFonts w:ascii="Arial" w:hAnsi="Arial" w:cs="Arial"/>
          <w:lang w:val="en-US"/>
        </w:rPr>
        <w:t>filed</w:t>
      </w:r>
      <w:r w:rsidRPr="00627C7F">
        <w:rPr>
          <w:rFonts w:ascii="Arial" w:hAnsi="Arial" w:cs="Arial"/>
          <w:lang w:val="en-US"/>
        </w:rPr>
        <w:t xml:space="preserve"> </w:t>
      </w:r>
      <w:r w:rsidR="00346606">
        <w:rPr>
          <w:rFonts w:ascii="Arial" w:hAnsi="Arial" w:cs="Arial"/>
          <w:lang w:val="en-US"/>
        </w:rPr>
        <w:t>it</w:t>
      </w:r>
      <w:r w:rsidRPr="00627C7F">
        <w:rPr>
          <w:rFonts w:ascii="Arial" w:hAnsi="Arial" w:cs="Arial"/>
          <w:lang w:val="en-US"/>
        </w:rPr>
        <w:t xml:space="preserve"> with the record</w:t>
      </w:r>
      <w:r w:rsidR="00B07FC7">
        <w:rPr>
          <w:rFonts w:ascii="Arial" w:hAnsi="Arial" w:cs="Arial"/>
          <w:lang w:val="en-US"/>
        </w:rPr>
        <w:t xml:space="preserve"> </w:t>
      </w:r>
      <w:r w:rsidRPr="00627C7F">
        <w:rPr>
          <w:rFonts w:ascii="Arial" w:hAnsi="Arial" w:cs="Arial"/>
          <w:lang w:val="en-US"/>
        </w:rPr>
        <w:t>on 11 July 2022.</w:t>
      </w:r>
    </w:p>
    <w:p w14:paraId="0C56A9DF" w14:textId="77777777" w:rsidR="00627C7F" w:rsidRPr="00627C7F" w:rsidRDefault="00627C7F" w:rsidP="00627C7F">
      <w:pPr>
        <w:pStyle w:val="ListParagraph"/>
        <w:rPr>
          <w:rFonts w:ascii="Arial" w:hAnsi="Arial" w:cs="Arial"/>
          <w:lang w:val="en-US"/>
        </w:rPr>
      </w:pPr>
    </w:p>
    <w:p w14:paraId="3E7D3484" w14:textId="7D245A48" w:rsidR="00627C7F" w:rsidRDefault="00AE40F2" w:rsidP="00627C7F">
      <w:pPr>
        <w:pStyle w:val="ListParagraph"/>
        <w:numPr>
          <w:ilvl w:val="0"/>
          <w:numId w:val="6"/>
        </w:numPr>
        <w:spacing w:line="360" w:lineRule="auto"/>
        <w:ind w:left="0" w:firstLine="0"/>
        <w:jc w:val="both"/>
        <w:rPr>
          <w:rFonts w:ascii="Arial" w:hAnsi="Arial" w:cs="Arial"/>
          <w:lang w:val="en-US"/>
        </w:rPr>
      </w:pPr>
      <w:r>
        <w:rPr>
          <w:rFonts w:ascii="Arial" w:hAnsi="Arial" w:cs="Arial"/>
          <w:bCs/>
        </w:rPr>
        <w:t xml:space="preserve">By 26 July 2022, the </w:t>
      </w:r>
      <w:r w:rsidR="00387978">
        <w:rPr>
          <w:rFonts w:ascii="Arial" w:hAnsi="Arial" w:cs="Arial"/>
          <w:bCs/>
        </w:rPr>
        <w:t>ninetieth</w:t>
      </w:r>
      <w:r>
        <w:rPr>
          <w:rFonts w:ascii="Arial" w:hAnsi="Arial" w:cs="Arial"/>
          <w:bCs/>
        </w:rPr>
        <w:t xml:space="preserve"> day after the appeal was noted, the appeal had not been prosecuted</w:t>
      </w:r>
      <w:r w:rsidR="00346606">
        <w:rPr>
          <w:rFonts w:ascii="Arial" w:hAnsi="Arial" w:cs="Arial"/>
          <w:bCs/>
        </w:rPr>
        <w:t>, and the appeal wa</w:t>
      </w:r>
      <w:r>
        <w:rPr>
          <w:rFonts w:ascii="Arial" w:hAnsi="Arial" w:cs="Arial"/>
          <w:bCs/>
        </w:rPr>
        <w:t>s deemed to have lapsed</w:t>
      </w:r>
      <w:r w:rsidRPr="00200F4A">
        <w:rPr>
          <w:rFonts w:ascii="Arial" w:hAnsi="Arial" w:cs="Arial"/>
          <w:bCs/>
        </w:rPr>
        <w:t>.</w:t>
      </w:r>
    </w:p>
    <w:p w14:paraId="6454845E" w14:textId="77777777" w:rsidR="00627C7F" w:rsidRPr="00627C7F" w:rsidRDefault="00627C7F" w:rsidP="00627C7F">
      <w:pPr>
        <w:pStyle w:val="ListParagraph"/>
        <w:rPr>
          <w:rFonts w:ascii="Arial" w:hAnsi="Arial" w:cs="Arial"/>
          <w:lang w:val="en-US"/>
        </w:rPr>
      </w:pPr>
    </w:p>
    <w:p w14:paraId="32777B34" w14:textId="4EA9B630" w:rsidR="00B46EEF" w:rsidRDefault="00EA37C8" w:rsidP="00EF3004">
      <w:pPr>
        <w:pStyle w:val="ListParagraph"/>
        <w:numPr>
          <w:ilvl w:val="0"/>
          <w:numId w:val="6"/>
        </w:numPr>
        <w:spacing w:line="360" w:lineRule="auto"/>
        <w:ind w:left="0" w:firstLine="0"/>
        <w:jc w:val="both"/>
        <w:rPr>
          <w:rFonts w:ascii="Arial" w:hAnsi="Arial" w:cs="Arial"/>
          <w:lang w:val="en-US"/>
        </w:rPr>
      </w:pPr>
      <w:r w:rsidRPr="00627C7F">
        <w:rPr>
          <w:rFonts w:ascii="Arial" w:hAnsi="Arial" w:cs="Arial"/>
          <w:lang w:val="en-US"/>
        </w:rPr>
        <w:t xml:space="preserve">The application now before </w:t>
      </w:r>
      <w:r w:rsidR="00346606">
        <w:rPr>
          <w:rFonts w:ascii="Arial" w:hAnsi="Arial" w:cs="Arial"/>
          <w:lang w:val="en-US"/>
        </w:rPr>
        <w:t xml:space="preserve">the </w:t>
      </w:r>
      <w:r w:rsidRPr="00627C7F">
        <w:rPr>
          <w:rFonts w:ascii="Arial" w:hAnsi="Arial" w:cs="Arial"/>
          <w:lang w:val="en-US"/>
        </w:rPr>
        <w:t>court was launched on 6 October 2022.</w:t>
      </w:r>
    </w:p>
    <w:p w14:paraId="7528E2FC" w14:textId="77777777" w:rsidR="00B7360B" w:rsidRPr="00B7360B" w:rsidRDefault="00B7360B" w:rsidP="00B7360B">
      <w:pPr>
        <w:pStyle w:val="ListParagraph"/>
        <w:rPr>
          <w:rFonts w:ascii="Arial" w:hAnsi="Arial" w:cs="Arial"/>
          <w:lang w:val="en-US"/>
        </w:rPr>
      </w:pPr>
    </w:p>
    <w:p w14:paraId="656B408D" w14:textId="77777777" w:rsidR="00C014BE" w:rsidRDefault="00B7360B" w:rsidP="007A0259">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issues arising in the application, the relevant law, its application to the facts, and the parties’ arguments will be dealt with under </w:t>
      </w:r>
      <w:r w:rsidR="00C014BE">
        <w:rPr>
          <w:rFonts w:ascii="Arial" w:hAnsi="Arial" w:cs="Arial"/>
          <w:lang w:val="en-US"/>
        </w:rPr>
        <w:t>various</w:t>
      </w:r>
      <w:r>
        <w:rPr>
          <w:rFonts w:ascii="Arial" w:hAnsi="Arial" w:cs="Arial"/>
          <w:lang w:val="en-US"/>
        </w:rPr>
        <w:t xml:space="preserve"> subject headings to follow.</w:t>
      </w:r>
    </w:p>
    <w:p w14:paraId="5E984493" w14:textId="77777777" w:rsidR="00C014BE" w:rsidRPr="00C014BE" w:rsidRDefault="00C014BE" w:rsidP="00C014BE">
      <w:pPr>
        <w:pStyle w:val="ListParagraph"/>
        <w:rPr>
          <w:rFonts w:ascii="Arial" w:hAnsi="Arial" w:cs="Arial"/>
          <w:u w:val="single"/>
          <w:lang w:val="en-US"/>
        </w:rPr>
      </w:pPr>
    </w:p>
    <w:p w14:paraId="25571322" w14:textId="5DA3867D" w:rsidR="007A0259" w:rsidRPr="00C014BE" w:rsidRDefault="007A0259" w:rsidP="00C014BE">
      <w:pPr>
        <w:pStyle w:val="ListParagraph"/>
        <w:spacing w:line="360" w:lineRule="auto"/>
        <w:ind w:left="0"/>
        <w:jc w:val="both"/>
        <w:rPr>
          <w:rFonts w:ascii="Arial" w:hAnsi="Arial" w:cs="Arial"/>
          <w:lang w:val="en-US"/>
        </w:rPr>
      </w:pPr>
      <w:r w:rsidRPr="00C014BE">
        <w:rPr>
          <w:rFonts w:ascii="Arial" w:hAnsi="Arial" w:cs="Arial"/>
          <w:u w:val="single"/>
          <w:lang w:val="en-US"/>
        </w:rPr>
        <w:t>T</w:t>
      </w:r>
      <w:r w:rsidR="00B7360B" w:rsidRPr="00C014BE">
        <w:rPr>
          <w:rFonts w:ascii="Arial" w:hAnsi="Arial" w:cs="Arial"/>
          <w:u w:val="single"/>
          <w:lang w:val="en-US"/>
        </w:rPr>
        <w:t>he t</w:t>
      </w:r>
      <w:r w:rsidRPr="00C014BE">
        <w:rPr>
          <w:rFonts w:ascii="Arial" w:hAnsi="Arial" w:cs="Arial"/>
          <w:u w:val="single"/>
          <w:lang w:val="en-US"/>
        </w:rPr>
        <w:t xml:space="preserve">ime within which to note </w:t>
      </w:r>
      <w:r w:rsidR="00B7360B" w:rsidRPr="00C014BE">
        <w:rPr>
          <w:rFonts w:ascii="Arial" w:hAnsi="Arial" w:cs="Arial"/>
          <w:u w:val="single"/>
          <w:lang w:val="en-US"/>
        </w:rPr>
        <w:t xml:space="preserve">the </w:t>
      </w:r>
      <w:r w:rsidRPr="00C014BE">
        <w:rPr>
          <w:rFonts w:ascii="Arial" w:hAnsi="Arial" w:cs="Arial"/>
          <w:u w:val="single"/>
          <w:lang w:val="en-US"/>
        </w:rPr>
        <w:t>appeal</w:t>
      </w:r>
    </w:p>
    <w:p w14:paraId="1885CD94" w14:textId="77777777" w:rsidR="007A0259" w:rsidRPr="00EB0655" w:rsidRDefault="007A0259" w:rsidP="007A0259">
      <w:pPr>
        <w:pStyle w:val="ListParagraph"/>
        <w:rPr>
          <w:rFonts w:ascii="Arial" w:hAnsi="Arial" w:cs="Arial"/>
          <w:lang w:val="en-US"/>
        </w:rPr>
      </w:pPr>
    </w:p>
    <w:p w14:paraId="0791F85D" w14:textId="4B7635BA" w:rsidR="0099527E" w:rsidRDefault="0099527E" w:rsidP="001603F8">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In terms of s 89(2) of the Act, an appeal must be noted within 30 </w:t>
      </w:r>
      <w:r w:rsidR="00EF3004">
        <w:rPr>
          <w:rFonts w:ascii="Arial" w:hAnsi="Arial" w:cs="Arial"/>
          <w:lang w:val="en-US"/>
        </w:rPr>
        <w:t>‘</w:t>
      </w:r>
      <w:r>
        <w:rPr>
          <w:rFonts w:ascii="Arial" w:hAnsi="Arial" w:cs="Arial"/>
          <w:lang w:val="en-US"/>
        </w:rPr>
        <w:t>days</w:t>
      </w:r>
      <w:r w:rsidR="00EF3004">
        <w:rPr>
          <w:rFonts w:ascii="Arial" w:hAnsi="Arial" w:cs="Arial"/>
          <w:lang w:val="en-US"/>
        </w:rPr>
        <w:t>’</w:t>
      </w:r>
      <w:r>
        <w:rPr>
          <w:rFonts w:ascii="Arial" w:hAnsi="Arial" w:cs="Arial"/>
          <w:lang w:val="en-US"/>
        </w:rPr>
        <w:t xml:space="preserve"> after an award </w:t>
      </w:r>
      <w:r w:rsidR="00B90CE6">
        <w:rPr>
          <w:rFonts w:ascii="Arial" w:hAnsi="Arial" w:cs="Arial"/>
          <w:lang w:val="en-US"/>
        </w:rPr>
        <w:t>is</w:t>
      </w:r>
      <w:r>
        <w:rPr>
          <w:rFonts w:ascii="Arial" w:hAnsi="Arial" w:cs="Arial"/>
          <w:lang w:val="en-US"/>
        </w:rPr>
        <w:t xml:space="preserve"> </w:t>
      </w:r>
      <w:r w:rsidR="00EF3004">
        <w:rPr>
          <w:rFonts w:ascii="Arial" w:hAnsi="Arial" w:cs="Arial"/>
          <w:lang w:val="en-US"/>
        </w:rPr>
        <w:t>‘</w:t>
      </w:r>
      <w:r>
        <w:rPr>
          <w:rFonts w:ascii="Arial" w:hAnsi="Arial" w:cs="Arial"/>
          <w:lang w:val="en-US"/>
        </w:rPr>
        <w:t>served</w:t>
      </w:r>
      <w:r w:rsidR="00EF3004">
        <w:rPr>
          <w:rFonts w:ascii="Arial" w:hAnsi="Arial" w:cs="Arial"/>
          <w:lang w:val="en-US"/>
        </w:rPr>
        <w:t>’</w:t>
      </w:r>
      <w:r>
        <w:rPr>
          <w:rFonts w:ascii="Arial" w:hAnsi="Arial" w:cs="Arial"/>
          <w:lang w:val="en-US"/>
        </w:rPr>
        <w:t xml:space="preserve"> on </w:t>
      </w:r>
      <w:r w:rsidR="00DD4054">
        <w:rPr>
          <w:rFonts w:ascii="Arial" w:hAnsi="Arial" w:cs="Arial"/>
          <w:lang w:val="en-US"/>
        </w:rPr>
        <w:t>a</w:t>
      </w:r>
      <w:r>
        <w:rPr>
          <w:rFonts w:ascii="Arial" w:hAnsi="Arial" w:cs="Arial"/>
          <w:lang w:val="en-US"/>
        </w:rPr>
        <w:t xml:space="preserve"> party.</w:t>
      </w:r>
      <w:r w:rsidR="001C177F">
        <w:rPr>
          <w:rFonts w:ascii="Arial" w:hAnsi="Arial" w:cs="Arial"/>
          <w:lang w:val="en-US"/>
        </w:rPr>
        <w:t xml:space="preserve"> Rule 23(2) of the Rules Relating to the Conduct of Conciliation and Arbitration before the Labour Commissioner: Labour Act 11 of 2007, referred to as the Conciliation and Arbitration Rules, provides that an appeal must be noted within 30 ‘days’ of the party’s ‘receipt’ of the award.</w:t>
      </w:r>
    </w:p>
    <w:p w14:paraId="05F1AA42" w14:textId="77777777" w:rsidR="0099527E" w:rsidRPr="0099527E" w:rsidRDefault="0099527E" w:rsidP="0099527E">
      <w:pPr>
        <w:pStyle w:val="ListParagraph"/>
        <w:rPr>
          <w:rFonts w:ascii="Arial" w:hAnsi="Arial" w:cs="Arial"/>
          <w:lang w:val="en-US"/>
        </w:rPr>
      </w:pPr>
    </w:p>
    <w:p w14:paraId="5D9E0F78" w14:textId="18B0B11E" w:rsidR="0099527E" w:rsidRPr="0099527E" w:rsidRDefault="0099527E" w:rsidP="001603F8">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Due to the following arguments, the </w:t>
      </w:r>
      <w:r w:rsidR="00DD4054">
        <w:rPr>
          <w:rFonts w:ascii="Arial" w:hAnsi="Arial" w:cs="Arial"/>
          <w:lang w:val="en-US"/>
        </w:rPr>
        <w:t>words</w:t>
      </w:r>
      <w:r>
        <w:rPr>
          <w:rFonts w:ascii="Arial" w:hAnsi="Arial" w:cs="Arial"/>
          <w:lang w:val="en-US"/>
        </w:rPr>
        <w:t xml:space="preserve"> ‘days’</w:t>
      </w:r>
      <w:r w:rsidR="001C177F">
        <w:rPr>
          <w:rFonts w:ascii="Arial" w:hAnsi="Arial" w:cs="Arial"/>
          <w:lang w:val="en-US"/>
        </w:rPr>
        <w:t xml:space="preserve">, </w:t>
      </w:r>
      <w:r>
        <w:rPr>
          <w:rFonts w:ascii="Arial" w:hAnsi="Arial" w:cs="Arial"/>
          <w:lang w:val="en-US"/>
        </w:rPr>
        <w:t>‘served’</w:t>
      </w:r>
      <w:r w:rsidR="001C177F">
        <w:rPr>
          <w:rFonts w:ascii="Arial" w:hAnsi="Arial" w:cs="Arial"/>
          <w:lang w:val="en-US"/>
        </w:rPr>
        <w:t xml:space="preserve"> and ‘receipt’ </w:t>
      </w:r>
      <w:r>
        <w:rPr>
          <w:rFonts w:ascii="Arial" w:hAnsi="Arial" w:cs="Arial"/>
          <w:lang w:val="en-US"/>
        </w:rPr>
        <w:t xml:space="preserve">in s 89(2) </w:t>
      </w:r>
      <w:r w:rsidR="001C177F">
        <w:rPr>
          <w:rFonts w:ascii="Arial" w:hAnsi="Arial" w:cs="Arial"/>
          <w:lang w:val="en-US"/>
        </w:rPr>
        <w:t xml:space="preserve">and r 23(2) </w:t>
      </w:r>
      <w:r>
        <w:rPr>
          <w:rFonts w:ascii="Arial" w:hAnsi="Arial" w:cs="Arial"/>
          <w:lang w:val="en-US"/>
        </w:rPr>
        <w:t>require attention.</w:t>
      </w:r>
    </w:p>
    <w:p w14:paraId="13C458C5" w14:textId="77777777" w:rsidR="0099527E" w:rsidRPr="0099527E" w:rsidRDefault="0099527E" w:rsidP="0099527E">
      <w:pPr>
        <w:pStyle w:val="ListParagraph"/>
        <w:rPr>
          <w:rFonts w:ascii="Arial" w:eastAsia="Calibri" w:hAnsi="Arial" w:cs="Arial"/>
          <w:bCs/>
        </w:rPr>
      </w:pPr>
    </w:p>
    <w:p w14:paraId="6B67ACBF" w14:textId="5F30A5D3" w:rsidR="0099527E" w:rsidRPr="0099527E" w:rsidRDefault="00273844" w:rsidP="0099527E">
      <w:pPr>
        <w:pStyle w:val="ListParagraph"/>
        <w:numPr>
          <w:ilvl w:val="0"/>
          <w:numId w:val="18"/>
        </w:numPr>
        <w:spacing w:line="360" w:lineRule="auto"/>
        <w:ind w:left="0" w:firstLine="0"/>
        <w:jc w:val="both"/>
        <w:rPr>
          <w:rFonts w:ascii="Arial" w:hAnsi="Arial" w:cs="Arial"/>
          <w:lang w:val="en-US"/>
        </w:rPr>
      </w:pPr>
      <w:r>
        <w:rPr>
          <w:rFonts w:ascii="Arial" w:hAnsi="Arial" w:cs="Arial"/>
          <w:lang w:val="en-US"/>
        </w:rPr>
        <w:t xml:space="preserve">The </w:t>
      </w:r>
      <w:r w:rsidR="0019379D">
        <w:rPr>
          <w:rFonts w:ascii="Arial" w:hAnsi="Arial" w:cs="Arial"/>
          <w:lang w:val="en-US"/>
        </w:rPr>
        <w:t>r</w:t>
      </w:r>
      <w:r>
        <w:rPr>
          <w:rFonts w:ascii="Arial" w:hAnsi="Arial" w:cs="Arial"/>
          <w:lang w:val="en-US"/>
        </w:rPr>
        <w:t>espondent contend</w:t>
      </w:r>
      <w:r w:rsidR="003718B2">
        <w:rPr>
          <w:rFonts w:ascii="Arial" w:hAnsi="Arial" w:cs="Arial"/>
          <w:lang w:val="en-US"/>
        </w:rPr>
        <w:t>ed</w:t>
      </w:r>
      <w:r>
        <w:rPr>
          <w:rFonts w:ascii="Arial" w:hAnsi="Arial" w:cs="Arial"/>
          <w:lang w:val="en-US"/>
        </w:rPr>
        <w:t xml:space="preserve"> that the </w:t>
      </w:r>
      <w:r w:rsidRPr="00EB0655">
        <w:rPr>
          <w:rFonts w:ascii="Arial" w:eastAsia="Calibri" w:hAnsi="Arial" w:cs="Arial"/>
          <w:bCs/>
        </w:rPr>
        <w:t>appeal was noted out of time</w:t>
      </w:r>
      <w:r w:rsidR="00B90CE6">
        <w:rPr>
          <w:rFonts w:ascii="Arial" w:eastAsia="Calibri" w:hAnsi="Arial" w:cs="Arial"/>
          <w:bCs/>
        </w:rPr>
        <w:t>, and since no condonation is sought for its late noting, there is no appeal before th</w:t>
      </w:r>
      <w:r w:rsidRPr="00EB0655">
        <w:rPr>
          <w:rFonts w:ascii="Arial" w:eastAsia="Calibri" w:hAnsi="Arial" w:cs="Arial"/>
          <w:bCs/>
        </w:rPr>
        <w:t>e court to be reinstated.</w:t>
      </w:r>
      <w:r>
        <w:rPr>
          <w:rFonts w:ascii="Arial" w:eastAsia="Calibri" w:hAnsi="Arial" w:cs="Arial"/>
          <w:bCs/>
        </w:rPr>
        <w:t xml:space="preserve"> </w:t>
      </w:r>
    </w:p>
    <w:p w14:paraId="035B1A18" w14:textId="77777777" w:rsidR="0099527E" w:rsidRPr="0099527E" w:rsidRDefault="0099527E" w:rsidP="0099527E">
      <w:pPr>
        <w:pStyle w:val="ListParagraph"/>
        <w:rPr>
          <w:rFonts w:ascii="Arial" w:eastAsia="Calibri" w:hAnsi="Arial" w:cs="Arial"/>
          <w:bCs/>
        </w:rPr>
      </w:pPr>
    </w:p>
    <w:p w14:paraId="5C2E34C6" w14:textId="77777777" w:rsidR="009E10BE" w:rsidRDefault="00273844" w:rsidP="009E10BE">
      <w:pPr>
        <w:pStyle w:val="ListParagraph"/>
        <w:numPr>
          <w:ilvl w:val="0"/>
          <w:numId w:val="18"/>
        </w:numPr>
        <w:spacing w:line="360" w:lineRule="auto"/>
        <w:ind w:left="0" w:firstLine="0"/>
        <w:jc w:val="both"/>
        <w:rPr>
          <w:rFonts w:ascii="Arial" w:hAnsi="Arial" w:cs="Arial"/>
          <w:lang w:val="en-US"/>
        </w:rPr>
      </w:pPr>
      <w:r>
        <w:rPr>
          <w:rFonts w:ascii="Arial" w:eastAsia="Calibri" w:hAnsi="Arial" w:cs="Arial"/>
          <w:bCs/>
        </w:rPr>
        <w:t xml:space="preserve">The </w:t>
      </w:r>
      <w:r w:rsidR="00E72E33">
        <w:rPr>
          <w:rFonts w:ascii="Arial" w:eastAsia="Calibri" w:hAnsi="Arial" w:cs="Arial"/>
          <w:bCs/>
        </w:rPr>
        <w:t>a</w:t>
      </w:r>
      <w:r>
        <w:rPr>
          <w:rFonts w:ascii="Arial" w:eastAsia="Calibri" w:hAnsi="Arial" w:cs="Arial"/>
          <w:bCs/>
        </w:rPr>
        <w:t>pplicant disagree</w:t>
      </w:r>
      <w:r w:rsidR="003718B2">
        <w:rPr>
          <w:rFonts w:ascii="Arial" w:eastAsia="Calibri" w:hAnsi="Arial" w:cs="Arial"/>
          <w:bCs/>
        </w:rPr>
        <w:t>d</w:t>
      </w:r>
      <w:r>
        <w:rPr>
          <w:rFonts w:ascii="Arial" w:eastAsia="Calibri" w:hAnsi="Arial" w:cs="Arial"/>
          <w:bCs/>
        </w:rPr>
        <w:t>. It sa</w:t>
      </w:r>
      <w:r w:rsidR="003718B2">
        <w:rPr>
          <w:rFonts w:ascii="Arial" w:eastAsia="Calibri" w:hAnsi="Arial" w:cs="Arial"/>
          <w:bCs/>
        </w:rPr>
        <w:t>id</w:t>
      </w:r>
      <w:r w:rsidR="00ED29EC">
        <w:rPr>
          <w:rFonts w:ascii="Arial" w:eastAsia="Calibri" w:hAnsi="Arial" w:cs="Arial"/>
          <w:bCs/>
        </w:rPr>
        <w:t xml:space="preserve"> </w:t>
      </w:r>
      <w:r w:rsidRPr="00EB0655">
        <w:rPr>
          <w:rFonts w:ascii="Arial" w:eastAsia="Calibri" w:hAnsi="Arial" w:cs="Arial"/>
          <w:bCs/>
        </w:rPr>
        <w:t xml:space="preserve">the ruling was not </w:t>
      </w:r>
      <w:r w:rsidR="001C177F">
        <w:rPr>
          <w:rFonts w:ascii="Arial" w:eastAsia="Calibri" w:hAnsi="Arial" w:cs="Arial"/>
          <w:bCs/>
        </w:rPr>
        <w:t>‘</w:t>
      </w:r>
      <w:r w:rsidRPr="00EB0655">
        <w:rPr>
          <w:rFonts w:ascii="Arial" w:eastAsia="Calibri" w:hAnsi="Arial" w:cs="Arial"/>
          <w:bCs/>
        </w:rPr>
        <w:t>served</w:t>
      </w:r>
      <w:r w:rsidR="001C177F">
        <w:rPr>
          <w:rFonts w:ascii="Arial" w:eastAsia="Calibri" w:hAnsi="Arial" w:cs="Arial"/>
          <w:bCs/>
        </w:rPr>
        <w:t>’</w:t>
      </w:r>
      <w:r w:rsidRPr="00EB0655">
        <w:rPr>
          <w:rFonts w:ascii="Arial" w:eastAsia="Calibri" w:hAnsi="Arial" w:cs="Arial"/>
          <w:bCs/>
        </w:rPr>
        <w:t xml:space="preserve"> on it </w:t>
      </w:r>
      <w:r w:rsidR="00B90CE6">
        <w:rPr>
          <w:rFonts w:ascii="Arial" w:eastAsia="Calibri" w:hAnsi="Arial" w:cs="Arial"/>
          <w:bCs/>
        </w:rPr>
        <w:t>under</w:t>
      </w:r>
      <w:r w:rsidRPr="00EB0655">
        <w:rPr>
          <w:rFonts w:ascii="Arial" w:eastAsia="Calibri" w:hAnsi="Arial" w:cs="Arial"/>
          <w:bCs/>
        </w:rPr>
        <w:t xml:space="preserve"> s 129(2)</w:t>
      </w:r>
      <w:r w:rsidRPr="002B462E">
        <w:rPr>
          <w:rFonts w:ascii="Arial" w:eastAsia="Calibri" w:hAnsi="Arial" w:cs="Arial"/>
          <w:bCs/>
          <w:i/>
          <w:iCs/>
        </w:rPr>
        <w:t>(d)</w:t>
      </w:r>
      <w:r w:rsidRPr="00EB0655">
        <w:rPr>
          <w:rFonts w:ascii="Arial" w:eastAsia="Calibri" w:hAnsi="Arial" w:cs="Arial"/>
          <w:bCs/>
        </w:rPr>
        <w:t xml:space="preserve"> of the Act</w:t>
      </w:r>
      <w:r w:rsidR="00B90CE6">
        <w:rPr>
          <w:rFonts w:ascii="Arial" w:eastAsia="Calibri" w:hAnsi="Arial" w:cs="Arial"/>
          <w:bCs/>
        </w:rPr>
        <w:t>, and</w:t>
      </w:r>
      <w:r w:rsidRPr="00EB0655">
        <w:rPr>
          <w:rFonts w:ascii="Arial" w:eastAsia="Calibri" w:hAnsi="Arial" w:cs="Arial"/>
          <w:bCs/>
        </w:rPr>
        <w:t xml:space="preserve"> </w:t>
      </w:r>
      <w:r>
        <w:rPr>
          <w:rFonts w:ascii="Arial" w:eastAsia="Calibri" w:hAnsi="Arial" w:cs="Arial"/>
          <w:bCs/>
        </w:rPr>
        <w:t>since the ruling</w:t>
      </w:r>
      <w:r w:rsidRPr="00EB0655">
        <w:rPr>
          <w:rFonts w:ascii="Arial" w:eastAsia="Calibri" w:hAnsi="Arial" w:cs="Arial"/>
          <w:bCs/>
        </w:rPr>
        <w:t xml:space="preserve"> only came to its attention on 20 April </w:t>
      </w:r>
      <w:r w:rsidRPr="00EB0655">
        <w:rPr>
          <w:rFonts w:ascii="Arial" w:eastAsia="Calibri" w:hAnsi="Arial" w:cs="Arial"/>
          <w:bCs/>
        </w:rPr>
        <w:lastRenderedPageBreak/>
        <w:t xml:space="preserve">2022, the appeal was noted timeously. The </w:t>
      </w:r>
      <w:r w:rsidR="00E72E33">
        <w:rPr>
          <w:rFonts w:ascii="Arial" w:eastAsia="Calibri" w:hAnsi="Arial" w:cs="Arial"/>
          <w:bCs/>
        </w:rPr>
        <w:t>a</w:t>
      </w:r>
      <w:r w:rsidRPr="00EB0655">
        <w:rPr>
          <w:rFonts w:ascii="Arial" w:eastAsia="Calibri" w:hAnsi="Arial" w:cs="Arial"/>
          <w:bCs/>
        </w:rPr>
        <w:t>pplicant contend</w:t>
      </w:r>
      <w:r w:rsidR="003718B2">
        <w:rPr>
          <w:rFonts w:ascii="Arial" w:eastAsia="Calibri" w:hAnsi="Arial" w:cs="Arial"/>
          <w:bCs/>
        </w:rPr>
        <w:t>ed</w:t>
      </w:r>
      <w:r w:rsidRPr="00EB0655">
        <w:rPr>
          <w:rFonts w:ascii="Arial" w:eastAsia="Calibri" w:hAnsi="Arial" w:cs="Arial"/>
          <w:bCs/>
        </w:rPr>
        <w:t xml:space="preserve"> that the application</w:t>
      </w:r>
      <w:r w:rsidR="001C177F">
        <w:rPr>
          <w:rFonts w:ascii="Arial" w:eastAsia="Calibri" w:hAnsi="Arial" w:cs="Arial"/>
          <w:bCs/>
        </w:rPr>
        <w:t xml:space="preserve"> </w:t>
      </w:r>
      <w:r w:rsidRPr="00EB0655">
        <w:rPr>
          <w:rFonts w:ascii="Arial" w:eastAsia="Calibri" w:hAnsi="Arial" w:cs="Arial"/>
          <w:bCs/>
        </w:rPr>
        <w:t xml:space="preserve">is sufficient to extend </w:t>
      </w:r>
      <w:r>
        <w:rPr>
          <w:rFonts w:ascii="Arial" w:eastAsia="Calibri" w:hAnsi="Arial" w:cs="Arial"/>
          <w:bCs/>
        </w:rPr>
        <w:t xml:space="preserve">to </w:t>
      </w:r>
      <w:r w:rsidRPr="00EB0655">
        <w:rPr>
          <w:rFonts w:ascii="Arial" w:eastAsia="Calibri" w:hAnsi="Arial" w:cs="Arial"/>
          <w:bCs/>
        </w:rPr>
        <w:t>condonation for the late noting of the appeal</w:t>
      </w:r>
      <w:r>
        <w:rPr>
          <w:rFonts w:ascii="Arial" w:eastAsia="Calibri" w:hAnsi="Arial" w:cs="Arial"/>
          <w:bCs/>
        </w:rPr>
        <w:t xml:space="preserve"> </w:t>
      </w:r>
      <w:r w:rsidRPr="00EB0655">
        <w:rPr>
          <w:rFonts w:ascii="Arial" w:hAnsi="Arial" w:cs="Arial"/>
          <w:lang w:val="en-US"/>
        </w:rPr>
        <w:t>and</w:t>
      </w:r>
      <w:r w:rsidR="0099527E">
        <w:rPr>
          <w:rFonts w:ascii="Arial" w:hAnsi="Arial" w:cs="Arial"/>
          <w:lang w:val="en-US"/>
        </w:rPr>
        <w:t>,</w:t>
      </w:r>
      <w:r w:rsidRPr="00EB0655">
        <w:rPr>
          <w:rFonts w:ascii="Arial" w:hAnsi="Arial" w:cs="Arial"/>
          <w:lang w:val="en-US"/>
        </w:rPr>
        <w:t xml:space="preserve"> if the dies to have noted the appeal is taken to run from 24 March 2022, the appeal is late with only four days</w:t>
      </w:r>
      <w:r w:rsidRPr="00EB0655">
        <w:rPr>
          <w:rFonts w:ascii="Arial" w:eastAsia="Calibri" w:hAnsi="Arial" w:cs="Arial"/>
          <w:bCs/>
        </w:rPr>
        <w:t>.</w:t>
      </w:r>
    </w:p>
    <w:p w14:paraId="73AB75FB" w14:textId="77777777" w:rsidR="009E10BE" w:rsidRPr="009E10BE" w:rsidRDefault="009E10BE" w:rsidP="009E10BE">
      <w:pPr>
        <w:pStyle w:val="ListParagraph"/>
        <w:rPr>
          <w:rFonts w:ascii="Arial" w:hAnsi="Arial" w:cs="Arial"/>
          <w:lang w:val="en-US"/>
        </w:rPr>
      </w:pPr>
    </w:p>
    <w:p w14:paraId="587EACC8" w14:textId="660B57A5" w:rsidR="003718B2" w:rsidRPr="009E10BE" w:rsidRDefault="001C177F" w:rsidP="009E10BE">
      <w:pPr>
        <w:pStyle w:val="ListParagraph"/>
        <w:numPr>
          <w:ilvl w:val="0"/>
          <w:numId w:val="18"/>
        </w:numPr>
        <w:spacing w:line="360" w:lineRule="auto"/>
        <w:ind w:left="0" w:firstLine="0"/>
        <w:jc w:val="both"/>
        <w:rPr>
          <w:rFonts w:ascii="Arial" w:hAnsi="Arial" w:cs="Arial"/>
          <w:lang w:val="en-US"/>
        </w:rPr>
      </w:pPr>
      <w:r w:rsidRPr="009E10BE">
        <w:rPr>
          <w:rFonts w:ascii="Arial" w:hAnsi="Arial" w:cs="Arial"/>
          <w:lang w:val="en-US"/>
        </w:rPr>
        <w:t xml:space="preserve">The </w:t>
      </w:r>
      <w:r w:rsidR="009C1135" w:rsidRPr="009E10BE">
        <w:rPr>
          <w:rFonts w:ascii="Arial" w:hAnsi="Arial" w:cs="Arial"/>
          <w:lang w:val="en-US"/>
        </w:rPr>
        <w:t>word</w:t>
      </w:r>
      <w:r w:rsidR="004849E0" w:rsidRPr="009E10BE">
        <w:rPr>
          <w:rFonts w:ascii="Arial" w:hAnsi="Arial" w:cs="Arial"/>
          <w:lang w:val="en-US"/>
        </w:rPr>
        <w:t xml:space="preserve"> ‘days’</w:t>
      </w:r>
      <w:r w:rsidR="00CF15AB" w:rsidRPr="009E10BE">
        <w:rPr>
          <w:rFonts w:ascii="Arial" w:hAnsi="Arial" w:cs="Arial"/>
          <w:lang w:val="en-US"/>
        </w:rPr>
        <w:t xml:space="preserve"> in s 89(2)</w:t>
      </w:r>
      <w:r w:rsidRPr="009E10BE">
        <w:rPr>
          <w:rFonts w:ascii="Arial" w:hAnsi="Arial" w:cs="Arial"/>
          <w:lang w:val="en-US"/>
        </w:rPr>
        <w:t xml:space="preserve"> and r 23(2)</w:t>
      </w:r>
      <w:r w:rsidR="004849E0" w:rsidRPr="009E10BE">
        <w:rPr>
          <w:rFonts w:ascii="Arial" w:hAnsi="Arial" w:cs="Arial"/>
          <w:lang w:val="en-US"/>
        </w:rPr>
        <w:t xml:space="preserve"> is not defined in the Act</w:t>
      </w:r>
      <w:r w:rsidRPr="009E10BE">
        <w:rPr>
          <w:rFonts w:ascii="Arial" w:hAnsi="Arial" w:cs="Arial"/>
          <w:lang w:val="en-US"/>
        </w:rPr>
        <w:t xml:space="preserve"> or the Conciliation and Arbitration Rules. As a result, the court finds that s</w:t>
      </w:r>
      <w:r w:rsidR="000A3688" w:rsidRPr="009E10BE">
        <w:rPr>
          <w:rFonts w:ascii="Arial" w:hAnsi="Arial" w:cs="Arial"/>
          <w:lang w:val="en-US"/>
        </w:rPr>
        <w:t xml:space="preserve"> 4 of </w:t>
      </w:r>
      <w:r w:rsidR="004849E0" w:rsidRPr="009E10BE">
        <w:rPr>
          <w:rFonts w:ascii="Arial" w:hAnsi="Arial" w:cs="Arial"/>
          <w:lang w:val="en-US"/>
        </w:rPr>
        <w:t xml:space="preserve">the Interpretation </w:t>
      </w:r>
      <w:r w:rsidR="000A3688" w:rsidRPr="009E10BE">
        <w:rPr>
          <w:rFonts w:ascii="Arial" w:hAnsi="Arial" w:cs="Arial"/>
          <w:lang w:val="en-US"/>
        </w:rPr>
        <w:t xml:space="preserve">of Laws </w:t>
      </w:r>
      <w:r w:rsidR="004849E0" w:rsidRPr="009E10BE">
        <w:rPr>
          <w:rFonts w:ascii="Arial" w:hAnsi="Arial" w:cs="Arial"/>
          <w:lang w:val="en-US"/>
        </w:rPr>
        <w:t>Proclamation 3</w:t>
      </w:r>
      <w:r w:rsidR="000A3688" w:rsidRPr="009E10BE">
        <w:rPr>
          <w:rFonts w:ascii="Arial" w:hAnsi="Arial" w:cs="Arial"/>
          <w:lang w:val="en-US"/>
        </w:rPr>
        <w:t>7</w:t>
      </w:r>
      <w:r w:rsidR="004849E0" w:rsidRPr="009E10BE">
        <w:rPr>
          <w:rFonts w:ascii="Arial" w:hAnsi="Arial" w:cs="Arial"/>
          <w:lang w:val="en-US"/>
        </w:rPr>
        <w:t xml:space="preserve"> of 1920 </w:t>
      </w:r>
      <w:r w:rsidR="0046185A" w:rsidRPr="009E10BE">
        <w:rPr>
          <w:rFonts w:ascii="Arial" w:hAnsi="Arial" w:cs="Arial"/>
          <w:lang w:val="en-US"/>
        </w:rPr>
        <w:t>applies</w:t>
      </w:r>
      <w:r w:rsidR="00B90CE6" w:rsidRPr="009E10BE">
        <w:rPr>
          <w:rFonts w:ascii="Arial" w:hAnsi="Arial" w:cs="Arial"/>
          <w:lang w:val="en-US"/>
        </w:rPr>
        <w:t>. T</w:t>
      </w:r>
      <w:r w:rsidR="000A3688" w:rsidRPr="009E10BE">
        <w:rPr>
          <w:rFonts w:ascii="Arial" w:hAnsi="Arial" w:cs="Arial"/>
          <w:lang w:val="en-US"/>
        </w:rPr>
        <w:t>he 30</w:t>
      </w:r>
      <w:r w:rsidR="00B90CE6" w:rsidRPr="009E10BE">
        <w:rPr>
          <w:rFonts w:ascii="Arial" w:hAnsi="Arial" w:cs="Arial"/>
          <w:lang w:val="en-US"/>
        </w:rPr>
        <w:t xml:space="preserve"> days</w:t>
      </w:r>
      <w:r w:rsidR="00CF15AB" w:rsidRPr="009E10BE">
        <w:rPr>
          <w:rFonts w:ascii="Arial" w:hAnsi="Arial" w:cs="Arial"/>
          <w:lang w:val="en-US"/>
        </w:rPr>
        <w:t xml:space="preserve"> in s 89(2)</w:t>
      </w:r>
      <w:r w:rsidR="000A3688" w:rsidRPr="009E10BE">
        <w:rPr>
          <w:rFonts w:ascii="Arial" w:hAnsi="Arial" w:cs="Arial"/>
          <w:lang w:val="en-US"/>
        </w:rPr>
        <w:t xml:space="preserve"> </w:t>
      </w:r>
      <w:r w:rsidR="0046185A" w:rsidRPr="009E10BE">
        <w:rPr>
          <w:rFonts w:ascii="Arial" w:hAnsi="Arial" w:cs="Arial"/>
          <w:lang w:val="en-US"/>
        </w:rPr>
        <w:t xml:space="preserve">and r 23(2) </w:t>
      </w:r>
      <w:r w:rsidR="009C1135" w:rsidRPr="009E10BE">
        <w:rPr>
          <w:rFonts w:ascii="Arial" w:hAnsi="Arial" w:cs="Arial"/>
          <w:lang w:val="en-US"/>
        </w:rPr>
        <w:t>within which an appeal must be noted</w:t>
      </w:r>
      <w:r w:rsidR="0046185A" w:rsidRPr="009E10BE">
        <w:rPr>
          <w:rFonts w:ascii="Arial" w:hAnsi="Arial" w:cs="Arial"/>
          <w:lang w:val="en-US"/>
        </w:rPr>
        <w:t>,</w:t>
      </w:r>
      <w:r w:rsidR="009C1135" w:rsidRPr="009E10BE">
        <w:rPr>
          <w:rFonts w:ascii="Arial" w:hAnsi="Arial" w:cs="Arial"/>
          <w:lang w:val="en-US"/>
        </w:rPr>
        <w:t xml:space="preserve"> </w:t>
      </w:r>
      <w:r w:rsidR="000A3688" w:rsidRPr="009E10BE">
        <w:rPr>
          <w:rFonts w:ascii="Arial" w:hAnsi="Arial" w:cs="Arial"/>
          <w:lang w:val="en-US"/>
        </w:rPr>
        <w:t>is reckoned exclusively of the first and inclusively of the last day unless the last day falls on a Sunday or a public holiday</w:t>
      </w:r>
      <w:r w:rsidR="009C1135" w:rsidRPr="009E10BE">
        <w:rPr>
          <w:rFonts w:ascii="Arial" w:hAnsi="Arial" w:cs="Arial"/>
          <w:lang w:val="en-US"/>
        </w:rPr>
        <w:t>,</w:t>
      </w:r>
      <w:r w:rsidR="000A3688" w:rsidRPr="009E10BE">
        <w:rPr>
          <w:rFonts w:ascii="Arial" w:hAnsi="Arial" w:cs="Arial"/>
          <w:lang w:val="en-US"/>
        </w:rPr>
        <w:t xml:space="preserve"> in which case it is reckoned exclusively of the first day and exclusively also of every such Sunday or public holiday.</w:t>
      </w:r>
    </w:p>
    <w:p w14:paraId="0EB75B63" w14:textId="77777777" w:rsidR="003718B2" w:rsidRPr="001603F8" w:rsidRDefault="003718B2" w:rsidP="003718B2">
      <w:pPr>
        <w:pStyle w:val="ListParagraph"/>
        <w:rPr>
          <w:rFonts w:ascii="Arial" w:hAnsi="Arial" w:cs="Arial"/>
          <w:lang w:val="en-US"/>
        </w:rPr>
      </w:pPr>
    </w:p>
    <w:p w14:paraId="2A377C98" w14:textId="79E7C934" w:rsidR="003718B2" w:rsidRPr="00602E5B" w:rsidRDefault="003718B2" w:rsidP="00602E5B">
      <w:pPr>
        <w:pStyle w:val="ListParagraph"/>
        <w:numPr>
          <w:ilvl w:val="0"/>
          <w:numId w:val="6"/>
        </w:numPr>
        <w:spacing w:line="360" w:lineRule="auto"/>
        <w:ind w:left="0" w:firstLine="0"/>
        <w:jc w:val="both"/>
        <w:rPr>
          <w:rFonts w:ascii="Arial" w:hAnsi="Arial" w:cs="Arial"/>
          <w:lang w:val="en-US"/>
        </w:rPr>
      </w:pPr>
      <w:r w:rsidRPr="00602E5B">
        <w:rPr>
          <w:rFonts w:ascii="Arial" w:hAnsi="Arial" w:cs="Arial"/>
          <w:lang w:val="en-US"/>
        </w:rPr>
        <w:t>From which date should the 30</w:t>
      </w:r>
      <w:r>
        <w:rPr>
          <w:rFonts w:ascii="Arial" w:hAnsi="Arial" w:cs="Arial"/>
          <w:lang w:val="en-US"/>
        </w:rPr>
        <w:t xml:space="preserve"> days</w:t>
      </w:r>
      <w:r w:rsidRPr="00602E5B">
        <w:rPr>
          <w:rFonts w:ascii="Arial" w:hAnsi="Arial" w:cs="Arial"/>
          <w:lang w:val="en-US"/>
        </w:rPr>
        <w:t xml:space="preserve"> in </w:t>
      </w:r>
      <w:r>
        <w:rPr>
          <w:rFonts w:ascii="Arial" w:hAnsi="Arial" w:cs="Arial"/>
          <w:lang w:val="en-US"/>
        </w:rPr>
        <w:t>s</w:t>
      </w:r>
      <w:r w:rsidRPr="00602E5B">
        <w:rPr>
          <w:rFonts w:ascii="Arial" w:hAnsi="Arial" w:cs="Arial"/>
          <w:lang w:val="en-US"/>
        </w:rPr>
        <w:t xml:space="preserve"> 89(2) and r 23(2) be reckoned? That will depend on when the ruling was served on the </w:t>
      </w:r>
      <w:r w:rsidR="00E72E33">
        <w:rPr>
          <w:rFonts w:ascii="Arial" w:hAnsi="Arial" w:cs="Arial"/>
          <w:lang w:val="en-US"/>
        </w:rPr>
        <w:t>a</w:t>
      </w:r>
      <w:r w:rsidRPr="00602E5B">
        <w:rPr>
          <w:rFonts w:ascii="Arial" w:hAnsi="Arial" w:cs="Arial"/>
          <w:lang w:val="en-US"/>
        </w:rPr>
        <w:t>pplicant.</w:t>
      </w:r>
    </w:p>
    <w:p w14:paraId="2DF544A1" w14:textId="77777777" w:rsidR="00602E5B" w:rsidRPr="0046185A" w:rsidRDefault="00602E5B" w:rsidP="00602E5B">
      <w:pPr>
        <w:pStyle w:val="ListParagraph"/>
        <w:rPr>
          <w:rFonts w:ascii="Arial" w:hAnsi="Arial" w:cs="Arial"/>
          <w:lang w:val="en-US"/>
        </w:rPr>
      </w:pPr>
    </w:p>
    <w:p w14:paraId="522EED8D" w14:textId="12873734" w:rsidR="00602E5B" w:rsidRPr="003718B2" w:rsidRDefault="007A0259" w:rsidP="00602E5B">
      <w:pPr>
        <w:pStyle w:val="ListParagraph"/>
        <w:spacing w:line="360" w:lineRule="auto"/>
        <w:ind w:left="0"/>
        <w:jc w:val="both"/>
        <w:rPr>
          <w:rFonts w:ascii="Arial" w:hAnsi="Arial" w:cs="Arial"/>
          <w:u w:val="single"/>
          <w:lang w:val="en-US"/>
        </w:rPr>
      </w:pPr>
      <w:r w:rsidRPr="003718B2">
        <w:rPr>
          <w:rFonts w:ascii="Arial" w:hAnsi="Arial" w:cs="Arial"/>
          <w:u w:val="single"/>
          <w:lang w:val="en-US"/>
        </w:rPr>
        <w:t xml:space="preserve">Service of </w:t>
      </w:r>
      <w:r w:rsidR="003718B2">
        <w:rPr>
          <w:rFonts w:ascii="Arial" w:hAnsi="Arial" w:cs="Arial"/>
          <w:u w:val="single"/>
          <w:lang w:val="en-US"/>
        </w:rPr>
        <w:t xml:space="preserve">the </w:t>
      </w:r>
      <w:r w:rsidRPr="003718B2">
        <w:rPr>
          <w:rFonts w:ascii="Arial" w:hAnsi="Arial" w:cs="Arial"/>
          <w:u w:val="single"/>
          <w:lang w:val="en-US"/>
        </w:rPr>
        <w:t>award</w:t>
      </w:r>
      <w:r w:rsidR="003718B2">
        <w:rPr>
          <w:rFonts w:ascii="Arial" w:hAnsi="Arial" w:cs="Arial"/>
          <w:u w:val="single"/>
          <w:lang w:val="en-US"/>
        </w:rPr>
        <w:t xml:space="preserve"> (ruling)</w:t>
      </w:r>
    </w:p>
    <w:p w14:paraId="6D5C0E71" w14:textId="77777777" w:rsidR="00602E5B" w:rsidRPr="00602E5B" w:rsidRDefault="00602E5B" w:rsidP="00602E5B">
      <w:pPr>
        <w:pStyle w:val="ListParagraph"/>
        <w:rPr>
          <w:rFonts w:ascii="Arial" w:hAnsi="Arial" w:cs="Arial"/>
          <w:lang w:val="en-US"/>
        </w:rPr>
      </w:pPr>
    </w:p>
    <w:p w14:paraId="1E36BEBF" w14:textId="577E4868" w:rsidR="00587945" w:rsidRDefault="00587945" w:rsidP="00587945">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w:t>
      </w:r>
      <w:r w:rsidR="0019379D">
        <w:rPr>
          <w:rFonts w:ascii="Arial" w:hAnsi="Arial" w:cs="Arial"/>
          <w:lang w:val="en-US"/>
        </w:rPr>
        <w:t>r</w:t>
      </w:r>
      <w:r>
        <w:rPr>
          <w:rFonts w:ascii="Arial" w:hAnsi="Arial" w:cs="Arial"/>
          <w:lang w:val="en-US"/>
        </w:rPr>
        <w:t>espondent</w:t>
      </w:r>
      <w:r w:rsidR="006447A9">
        <w:rPr>
          <w:rFonts w:ascii="Arial" w:hAnsi="Arial" w:cs="Arial"/>
          <w:lang w:val="en-US"/>
        </w:rPr>
        <w:t xml:space="preserve"> relie</w:t>
      </w:r>
      <w:r w:rsidR="003718B2">
        <w:rPr>
          <w:rFonts w:ascii="Arial" w:hAnsi="Arial" w:cs="Arial"/>
          <w:lang w:val="en-US"/>
        </w:rPr>
        <w:t>d</w:t>
      </w:r>
      <w:r>
        <w:rPr>
          <w:rFonts w:ascii="Arial" w:hAnsi="Arial" w:cs="Arial"/>
          <w:lang w:val="en-US"/>
        </w:rPr>
        <w:t xml:space="preserve"> on the email dated 24 March 2022</w:t>
      </w:r>
      <w:r w:rsidR="00B90CE6">
        <w:rPr>
          <w:rFonts w:ascii="Arial" w:hAnsi="Arial" w:cs="Arial"/>
          <w:lang w:val="en-US"/>
        </w:rPr>
        <w:t>, whereby the ruling was emailed to the parties,</w:t>
      </w:r>
      <w:r w:rsidR="006447A9">
        <w:rPr>
          <w:rFonts w:ascii="Arial" w:hAnsi="Arial" w:cs="Arial"/>
          <w:lang w:val="en-US"/>
        </w:rPr>
        <w:t xml:space="preserve"> and </w:t>
      </w:r>
      <w:r w:rsidR="00ED29EC">
        <w:rPr>
          <w:rFonts w:ascii="Arial" w:hAnsi="Arial" w:cs="Arial"/>
          <w:lang w:val="en-US"/>
        </w:rPr>
        <w:t>contend</w:t>
      </w:r>
      <w:r w:rsidR="003718B2">
        <w:rPr>
          <w:rFonts w:ascii="Arial" w:hAnsi="Arial" w:cs="Arial"/>
          <w:lang w:val="en-US"/>
        </w:rPr>
        <w:t>ed</w:t>
      </w:r>
      <w:r w:rsidR="006447A9">
        <w:rPr>
          <w:rFonts w:ascii="Arial" w:hAnsi="Arial" w:cs="Arial"/>
          <w:lang w:val="en-US"/>
        </w:rPr>
        <w:t xml:space="preserve"> that the appeal was noted out of time.</w:t>
      </w:r>
    </w:p>
    <w:p w14:paraId="354069A6" w14:textId="77777777" w:rsidR="00587945" w:rsidRPr="00587945" w:rsidRDefault="00587945" w:rsidP="00587945">
      <w:pPr>
        <w:pStyle w:val="ListParagraph"/>
        <w:rPr>
          <w:rFonts w:ascii="Arial" w:hAnsi="Arial" w:cs="Arial"/>
          <w:lang w:val="en-US"/>
        </w:rPr>
      </w:pPr>
    </w:p>
    <w:p w14:paraId="07489C8A" w14:textId="4D36754F" w:rsidR="00610963" w:rsidRDefault="00356D10" w:rsidP="00610963">
      <w:pPr>
        <w:pStyle w:val="ListParagraph"/>
        <w:numPr>
          <w:ilvl w:val="0"/>
          <w:numId w:val="6"/>
        </w:numPr>
        <w:spacing w:line="360" w:lineRule="auto"/>
        <w:ind w:left="0" w:firstLine="0"/>
        <w:jc w:val="both"/>
        <w:rPr>
          <w:rFonts w:ascii="Arial" w:hAnsi="Arial" w:cs="Arial"/>
          <w:lang w:val="en-US"/>
        </w:rPr>
      </w:pPr>
      <w:r w:rsidRPr="00587945">
        <w:rPr>
          <w:rFonts w:ascii="Arial" w:hAnsi="Arial" w:cs="Arial"/>
          <w:lang w:val="en-US"/>
        </w:rPr>
        <w:t xml:space="preserve">The </w:t>
      </w:r>
      <w:r w:rsidR="00E72E33">
        <w:rPr>
          <w:rFonts w:ascii="Arial" w:hAnsi="Arial" w:cs="Arial"/>
          <w:lang w:val="en-US"/>
        </w:rPr>
        <w:t>a</w:t>
      </w:r>
      <w:r w:rsidRPr="00587945">
        <w:rPr>
          <w:rFonts w:ascii="Arial" w:hAnsi="Arial" w:cs="Arial"/>
          <w:lang w:val="en-US"/>
        </w:rPr>
        <w:t>pplicant argu</w:t>
      </w:r>
      <w:r w:rsidR="00AE1369" w:rsidRPr="00587945">
        <w:rPr>
          <w:rFonts w:ascii="Arial" w:hAnsi="Arial" w:cs="Arial"/>
          <w:lang w:val="en-US"/>
        </w:rPr>
        <w:t>e</w:t>
      </w:r>
      <w:r w:rsidR="003718B2">
        <w:rPr>
          <w:rFonts w:ascii="Arial" w:hAnsi="Arial" w:cs="Arial"/>
          <w:lang w:val="en-US"/>
        </w:rPr>
        <w:t>d</w:t>
      </w:r>
      <w:r w:rsidRPr="00587945">
        <w:rPr>
          <w:rFonts w:ascii="Arial" w:hAnsi="Arial" w:cs="Arial"/>
          <w:lang w:val="en-US"/>
        </w:rPr>
        <w:t xml:space="preserve"> that the </w:t>
      </w:r>
      <w:r w:rsidR="004B7419" w:rsidRPr="00587945">
        <w:rPr>
          <w:rFonts w:ascii="Arial" w:hAnsi="Arial" w:cs="Arial"/>
          <w:lang w:val="en-US"/>
        </w:rPr>
        <w:t>ruling</w:t>
      </w:r>
      <w:r w:rsidRPr="00587945">
        <w:rPr>
          <w:rFonts w:ascii="Arial" w:hAnsi="Arial" w:cs="Arial"/>
          <w:lang w:val="en-US"/>
        </w:rPr>
        <w:t xml:space="preserve"> </w:t>
      </w:r>
      <w:r w:rsidR="0046185A" w:rsidRPr="00587945">
        <w:rPr>
          <w:rFonts w:ascii="Arial" w:hAnsi="Arial" w:cs="Arial"/>
          <w:lang w:val="en-US"/>
        </w:rPr>
        <w:t xml:space="preserve">must have been served </w:t>
      </w:r>
      <w:r w:rsidR="00C014BE">
        <w:rPr>
          <w:rFonts w:ascii="Arial" w:hAnsi="Arial" w:cs="Arial"/>
          <w:lang w:val="en-US"/>
        </w:rPr>
        <w:t xml:space="preserve">on it </w:t>
      </w:r>
      <w:r w:rsidR="00B90CE6">
        <w:rPr>
          <w:rFonts w:ascii="Arial" w:hAnsi="Arial" w:cs="Arial"/>
          <w:lang w:val="en-US"/>
        </w:rPr>
        <w:t>under</w:t>
      </w:r>
      <w:r w:rsidR="0046185A" w:rsidRPr="00587945">
        <w:rPr>
          <w:rFonts w:ascii="Arial" w:hAnsi="Arial" w:cs="Arial"/>
          <w:lang w:val="en-US"/>
        </w:rPr>
        <w:t xml:space="preserve"> s 129(2)</w:t>
      </w:r>
      <w:r w:rsidR="0046185A" w:rsidRPr="002B462E">
        <w:rPr>
          <w:rFonts w:ascii="Arial" w:hAnsi="Arial" w:cs="Arial"/>
          <w:i/>
          <w:iCs/>
          <w:lang w:val="en-US"/>
        </w:rPr>
        <w:t>(d)</w:t>
      </w:r>
      <w:r w:rsidR="0046185A" w:rsidRPr="00587945">
        <w:rPr>
          <w:rFonts w:ascii="Arial" w:hAnsi="Arial" w:cs="Arial"/>
          <w:lang w:val="en-US"/>
        </w:rPr>
        <w:t xml:space="preserve"> of the Act</w:t>
      </w:r>
      <w:r w:rsidR="00C014BE">
        <w:rPr>
          <w:rFonts w:ascii="Arial" w:hAnsi="Arial" w:cs="Arial"/>
          <w:lang w:val="en-US"/>
        </w:rPr>
        <w:t>,</w:t>
      </w:r>
      <w:r w:rsidR="003718B2">
        <w:rPr>
          <w:rFonts w:ascii="Arial" w:hAnsi="Arial" w:cs="Arial"/>
          <w:lang w:val="en-US"/>
        </w:rPr>
        <w:t xml:space="preserve"> </w:t>
      </w:r>
      <w:r w:rsidR="00C014BE">
        <w:rPr>
          <w:rFonts w:ascii="Arial" w:hAnsi="Arial" w:cs="Arial"/>
          <w:lang w:val="en-US"/>
        </w:rPr>
        <w:t xml:space="preserve">which </w:t>
      </w:r>
      <w:r w:rsidR="0046185A" w:rsidRPr="00587945">
        <w:rPr>
          <w:rFonts w:ascii="Arial" w:hAnsi="Arial" w:cs="Arial"/>
          <w:lang w:val="en-US"/>
        </w:rPr>
        <w:t>provi</w:t>
      </w:r>
      <w:r w:rsidR="00587945">
        <w:rPr>
          <w:rFonts w:ascii="Arial" w:hAnsi="Arial" w:cs="Arial"/>
          <w:lang w:val="en-US"/>
        </w:rPr>
        <w:t>d</w:t>
      </w:r>
      <w:r w:rsidR="00C014BE">
        <w:rPr>
          <w:rFonts w:ascii="Arial" w:hAnsi="Arial" w:cs="Arial"/>
          <w:lang w:val="en-US"/>
        </w:rPr>
        <w:t>es</w:t>
      </w:r>
      <w:r w:rsidR="0046185A" w:rsidRPr="00587945">
        <w:rPr>
          <w:rFonts w:ascii="Arial" w:hAnsi="Arial" w:cs="Arial"/>
          <w:lang w:val="en-US"/>
        </w:rPr>
        <w:t xml:space="preserve"> for </w:t>
      </w:r>
      <w:r w:rsidR="00B90CE6">
        <w:rPr>
          <w:rFonts w:ascii="Arial" w:hAnsi="Arial" w:cs="Arial"/>
          <w:lang w:val="en-US"/>
        </w:rPr>
        <w:t xml:space="preserve">the </w:t>
      </w:r>
      <w:r w:rsidR="0046185A" w:rsidRPr="00587945">
        <w:rPr>
          <w:rFonts w:ascii="Arial" w:hAnsi="Arial" w:cs="Arial"/>
          <w:lang w:val="en-US"/>
        </w:rPr>
        <w:t>service of documents on a company</w:t>
      </w:r>
      <w:r w:rsidR="00C014BE">
        <w:rPr>
          <w:rFonts w:ascii="Arial" w:hAnsi="Arial" w:cs="Arial"/>
          <w:lang w:val="en-US"/>
        </w:rPr>
        <w:t>, and which does not make provision for service by email, and that the ruling was not served on it under that section.</w:t>
      </w:r>
      <w:r w:rsidR="0046185A" w:rsidRPr="00587945">
        <w:rPr>
          <w:rFonts w:ascii="Arial" w:hAnsi="Arial" w:cs="Arial"/>
          <w:lang w:val="en-US"/>
        </w:rPr>
        <w:t xml:space="preserve"> </w:t>
      </w:r>
      <w:r w:rsidR="00587945">
        <w:rPr>
          <w:rFonts w:ascii="Arial" w:hAnsi="Arial" w:cs="Arial"/>
          <w:lang w:val="en-US"/>
        </w:rPr>
        <w:t xml:space="preserve">The </w:t>
      </w:r>
      <w:r w:rsidR="00E72E33">
        <w:rPr>
          <w:rFonts w:ascii="Arial" w:hAnsi="Arial" w:cs="Arial"/>
          <w:lang w:val="en-US"/>
        </w:rPr>
        <w:t>a</w:t>
      </w:r>
      <w:r w:rsidR="00587945">
        <w:rPr>
          <w:rFonts w:ascii="Arial" w:hAnsi="Arial" w:cs="Arial"/>
          <w:lang w:val="en-US"/>
        </w:rPr>
        <w:t>pplicant</w:t>
      </w:r>
      <w:r w:rsidR="0046185A" w:rsidRPr="00587945">
        <w:rPr>
          <w:rFonts w:ascii="Arial" w:hAnsi="Arial" w:cs="Arial"/>
          <w:lang w:val="en-US"/>
        </w:rPr>
        <w:t xml:space="preserve"> sa</w:t>
      </w:r>
      <w:r w:rsidR="003718B2">
        <w:rPr>
          <w:rFonts w:ascii="Arial" w:hAnsi="Arial" w:cs="Arial"/>
          <w:lang w:val="en-US"/>
        </w:rPr>
        <w:t>id</w:t>
      </w:r>
      <w:r w:rsidR="0046185A" w:rsidRPr="00587945">
        <w:rPr>
          <w:rFonts w:ascii="Arial" w:hAnsi="Arial" w:cs="Arial"/>
          <w:lang w:val="en-US"/>
        </w:rPr>
        <w:t xml:space="preserve"> the ruling </w:t>
      </w:r>
      <w:r w:rsidRPr="00587945">
        <w:rPr>
          <w:rFonts w:ascii="Arial" w:hAnsi="Arial" w:cs="Arial"/>
          <w:lang w:val="en-US"/>
        </w:rPr>
        <w:t>w</w:t>
      </w:r>
      <w:r w:rsidR="003718B2">
        <w:rPr>
          <w:rFonts w:ascii="Arial" w:hAnsi="Arial" w:cs="Arial"/>
          <w:lang w:val="en-US"/>
        </w:rPr>
        <w:t xml:space="preserve">as </w:t>
      </w:r>
      <w:r w:rsidR="003718B2" w:rsidRPr="00587945">
        <w:rPr>
          <w:rFonts w:ascii="Arial" w:hAnsi="Arial" w:cs="Arial"/>
          <w:lang w:val="en-US"/>
        </w:rPr>
        <w:t xml:space="preserve">sent </w:t>
      </w:r>
      <w:r w:rsidR="003718B2">
        <w:rPr>
          <w:rFonts w:ascii="Arial" w:hAnsi="Arial" w:cs="Arial"/>
          <w:lang w:val="en-US"/>
        </w:rPr>
        <w:t>to it</w:t>
      </w:r>
      <w:r w:rsidR="003718B2" w:rsidRPr="00587945">
        <w:rPr>
          <w:rFonts w:ascii="Arial" w:hAnsi="Arial" w:cs="Arial"/>
          <w:lang w:val="en-US"/>
        </w:rPr>
        <w:t xml:space="preserve"> by email dated 24 March 2022</w:t>
      </w:r>
      <w:r w:rsidR="00C014BE">
        <w:rPr>
          <w:rFonts w:ascii="Arial" w:hAnsi="Arial" w:cs="Arial"/>
          <w:lang w:val="en-US"/>
        </w:rPr>
        <w:t>,</w:t>
      </w:r>
      <w:r w:rsidR="003718B2" w:rsidRPr="00587945">
        <w:rPr>
          <w:rFonts w:ascii="Arial" w:hAnsi="Arial" w:cs="Arial"/>
          <w:lang w:val="en-US"/>
        </w:rPr>
        <w:t xml:space="preserve"> unaccompanied by a delivery receipt that the email was indeed received and read on even date</w:t>
      </w:r>
      <w:r w:rsidR="00C014BE">
        <w:rPr>
          <w:rFonts w:ascii="Arial" w:hAnsi="Arial" w:cs="Arial"/>
          <w:lang w:val="en-US"/>
        </w:rPr>
        <w:t xml:space="preserve">. </w:t>
      </w:r>
      <w:r w:rsidR="006447A9">
        <w:rPr>
          <w:rFonts w:ascii="Arial" w:hAnsi="Arial" w:cs="Arial"/>
          <w:lang w:val="en-US"/>
        </w:rPr>
        <w:t>T</w:t>
      </w:r>
      <w:r w:rsidR="004B7419" w:rsidRPr="006447A9">
        <w:rPr>
          <w:rFonts w:ascii="Arial" w:hAnsi="Arial" w:cs="Arial"/>
          <w:lang w:val="en-US"/>
        </w:rPr>
        <w:t xml:space="preserve">he </w:t>
      </w:r>
      <w:r w:rsidR="00E72E33">
        <w:rPr>
          <w:rFonts w:ascii="Arial" w:hAnsi="Arial" w:cs="Arial"/>
          <w:lang w:val="en-US"/>
        </w:rPr>
        <w:t>a</w:t>
      </w:r>
      <w:r w:rsidR="004B7419" w:rsidRPr="006447A9">
        <w:rPr>
          <w:rFonts w:ascii="Arial" w:hAnsi="Arial" w:cs="Arial"/>
          <w:lang w:val="en-US"/>
        </w:rPr>
        <w:t>pplicant</w:t>
      </w:r>
      <w:r w:rsidR="0046185A" w:rsidRPr="006447A9">
        <w:rPr>
          <w:rFonts w:ascii="Arial" w:hAnsi="Arial" w:cs="Arial"/>
          <w:lang w:val="en-US"/>
        </w:rPr>
        <w:t>’s deponent explain</w:t>
      </w:r>
      <w:r w:rsidR="003718B2">
        <w:rPr>
          <w:rFonts w:ascii="Arial" w:hAnsi="Arial" w:cs="Arial"/>
          <w:lang w:val="en-US"/>
        </w:rPr>
        <w:t>ed</w:t>
      </w:r>
      <w:r w:rsidR="0046185A" w:rsidRPr="006447A9">
        <w:rPr>
          <w:rFonts w:ascii="Arial" w:hAnsi="Arial" w:cs="Arial"/>
          <w:lang w:val="en-US"/>
        </w:rPr>
        <w:t xml:space="preserve"> in reply </w:t>
      </w:r>
      <w:r w:rsidR="004B7419" w:rsidRPr="006447A9">
        <w:rPr>
          <w:rFonts w:ascii="Arial" w:hAnsi="Arial" w:cs="Arial"/>
          <w:lang w:val="en-US"/>
        </w:rPr>
        <w:t>that</w:t>
      </w:r>
      <w:r w:rsidR="00B90CE6">
        <w:rPr>
          <w:rFonts w:ascii="Arial" w:hAnsi="Arial" w:cs="Arial"/>
          <w:lang w:val="en-US"/>
        </w:rPr>
        <w:t xml:space="preserve"> the email address to which the ruling was emailed was assigned to Mr Ricardo Coleman and that only</w:t>
      </w:r>
      <w:r w:rsidR="00183EF5">
        <w:rPr>
          <w:rFonts w:ascii="Arial" w:hAnsi="Arial" w:cs="Arial"/>
          <w:lang w:val="en-US"/>
        </w:rPr>
        <w:t xml:space="preserve"> </w:t>
      </w:r>
      <w:r w:rsidR="00B90CE6">
        <w:rPr>
          <w:rFonts w:ascii="Arial" w:hAnsi="Arial" w:cs="Arial"/>
          <w:lang w:val="en-US"/>
        </w:rPr>
        <w:t>Coleman had access to it on his work-</w:t>
      </w:r>
      <w:r w:rsidR="004B7419" w:rsidRPr="006447A9">
        <w:rPr>
          <w:rFonts w:ascii="Arial" w:hAnsi="Arial" w:cs="Arial"/>
          <w:lang w:val="en-US"/>
        </w:rPr>
        <w:t>assigned computer.</w:t>
      </w:r>
      <w:r w:rsidR="00587945" w:rsidRPr="006447A9">
        <w:rPr>
          <w:rFonts w:ascii="Arial" w:hAnsi="Arial" w:cs="Arial"/>
          <w:lang w:val="en-US"/>
        </w:rPr>
        <w:t xml:space="preserve"> </w:t>
      </w:r>
      <w:r w:rsidR="004B7419" w:rsidRPr="006447A9">
        <w:rPr>
          <w:rFonts w:ascii="Arial" w:hAnsi="Arial" w:cs="Arial"/>
          <w:lang w:val="en-US"/>
        </w:rPr>
        <w:t xml:space="preserve">The </w:t>
      </w:r>
      <w:r w:rsidR="00E72E33">
        <w:rPr>
          <w:rFonts w:ascii="Arial" w:hAnsi="Arial" w:cs="Arial"/>
          <w:lang w:val="en-US"/>
        </w:rPr>
        <w:t>a</w:t>
      </w:r>
      <w:r w:rsidR="004B7419" w:rsidRPr="006447A9">
        <w:rPr>
          <w:rFonts w:ascii="Arial" w:hAnsi="Arial" w:cs="Arial"/>
          <w:lang w:val="en-US"/>
        </w:rPr>
        <w:t>pplicant</w:t>
      </w:r>
      <w:r w:rsidR="0046185A" w:rsidRPr="006447A9">
        <w:rPr>
          <w:rFonts w:ascii="Arial" w:hAnsi="Arial" w:cs="Arial"/>
          <w:lang w:val="en-US"/>
        </w:rPr>
        <w:t xml:space="preserve">’s deponent </w:t>
      </w:r>
      <w:r w:rsidR="004B7419" w:rsidRPr="006447A9">
        <w:rPr>
          <w:rFonts w:ascii="Arial" w:hAnsi="Arial" w:cs="Arial"/>
          <w:lang w:val="en-US"/>
        </w:rPr>
        <w:t>sa</w:t>
      </w:r>
      <w:r w:rsidR="003718B2">
        <w:rPr>
          <w:rFonts w:ascii="Arial" w:hAnsi="Arial" w:cs="Arial"/>
          <w:lang w:val="en-US"/>
        </w:rPr>
        <w:t>id</w:t>
      </w:r>
      <w:r w:rsidR="004B7419" w:rsidRPr="006447A9">
        <w:rPr>
          <w:rFonts w:ascii="Arial" w:hAnsi="Arial" w:cs="Arial"/>
          <w:lang w:val="en-US"/>
        </w:rPr>
        <w:t xml:space="preserve"> that</w:t>
      </w:r>
      <w:r w:rsidR="00CF15AB" w:rsidRPr="006447A9">
        <w:rPr>
          <w:rFonts w:ascii="Arial" w:hAnsi="Arial" w:cs="Arial"/>
          <w:lang w:val="en-US"/>
        </w:rPr>
        <w:t xml:space="preserve"> </w:t>
      </w:r>
      <w:r w:rsidR="0046185A" w:rsidRPr="006447A9">
        <w:rPr>
          <w:rFonts w:ascii="Arial" w:hAnsi="Arial" w:cs="Arial"/>
          <w:lang w:val="en-US"/>
        </w:rPr>
        <w:t xml:space="preserve">the </w:t>
      </w:r>
      <w:r w:rsidR="00E72E33">
        <w:rPr>
          <w:rFonts w:ascii="Arial" w:hAnsi="Arial" w:cs="Arial"/>
          <w:lang w:val="en-US"/>
        </w:rPr>
        <w:t>a</w:t>
      </w:r>
      <w:r w:rsidR="0046185A" w:rsidRPr="006447A9">
        <w:rPr>
          <w:rFonts w:ascii="Arial" w:hAnsi="Arial" w:cs="Arial"/>
          <w:lang w:val="en-US"/>
        </w:rPr>
        <w:t>pplicant</w:t>
      </w:r>
      <w:r w:rsidR="00CF15AB" w:rsidRPr="006447A9">
        <w:rPr>
          <w:rFonts w:ascii="Arial" w:hAnsi="Arial" w:cs="Arial"/>
          <w:lang w:val="en-US"/>
        </w:rPr>
        <w:t xml:space="preserve"> </w:t>
      </w:r>
      <w:r w:rsidR="004B7419" w:rsidRPr="006447A9">
        <w:rPr>
          <w:rFonts w:ascii="Arial" w:hAnsi="Arial" w:cs="Arial"/>
          <w:lang w:val="en-US"/>
        </w:rPr>
        <w:t xml:space="preserve">learned about the </w:t>
      </w:r>
      <w:r w:rsidR="0046185A" w:rsidRPr="006447A9">
        <w:rPr>
          <w:rFonts w:ascii="Arial" w:hAnsi="Arial" w:cs="Arial"/>
          <w:lang w:val="en-US"/>
        </w:rPr>
        <w:t xml:space="preserve">outcome of the recission (the </w:t>
      </w:r>
      <w:r w:rsidR="004B7419" w:rsidRPr="006447A9">
        <w:rPr>
          <w:rFonts w:ascii="Arial" w:hAnsi="Arial" w:cs="Arial"/>
          <w:lang w:val="en-US"/>
        </w:rPr>
        <w:t>ruling</w:t>
      </w:r>
      <w:r w:rsidR="0046185A" w:rsidRPr="006447A9">
        <w:rPr>
          <w:rFonts w:ascii="Arial" w:hAnsi="Arial" w:cs="Arial"/>
          <w:lang w:val="en-US"/>
        </w:rPr>
        <w:t>)</w:t>
      </w:r>
      <w:r w:rsidR="004B7419" w:rsidRPr="006447A9">
        <w:rPr>
          <w:rFonts w:ascii="Arial" w:hAnsi="Arial" w:cs="Arial"/>
          <w:lang w:val="en-US"/>
        </w:rPr>
        <w:t xml:space="preserve"> on 20 April 2022 when </w:t>
      </w:r>
      <w:r w:rsidR="001F1E3A" w:rsidRPr="006447A9">
        <w:rPr>
          <w:rFonts w:ascii="Arial" w:hAnsi="Arial" w:cs="Arial"/>
          <w:lang w:val="en-US"/>
        </w:rPr>
        <w:t>Coleman</w:t>
      </w:r>
      <w:r w:rsidR="004B7419" w:rsidRPr="006447A9">
        <w:rPr>
          <w:rFonts w:ascii="Arial" w:hAnsi="Arial" w:cs="Arial"/>
          <w:lang w:val="en-US"/>
        </w:rPr>
        <w:t xml:space="preserve"> returned to work from his leave of absence.</w:t>
      </w:r>
      <w:r w:rsidR="009C1135" w:rsidRPr="006447A9">
        <w:rPr>
          <w:rFonts w:ascii="Arial" w:hAnsi="Arial" w:cs="Arial"/>
          <w:lang w:val="en-US"/>
        </w:rPr>
        <w:t xml:space="preserve"> Coleman, in his capacity as </w:t>
      </w:r>
      <w:r w:rsidR="006447A9">
        <w:rPr>
          <w:rFonts w:ascii="Arial" w:hAnsi="Arial" w:cs="Arial"/>
          <w:lang w:val="en-US"/>
        </w:rPr>
        <w:t xml:space="preserve">the </w:t>
      </w:r>
      <w:r w:rsidR="00E72E33">
        <w:rPr>
          <w:rFonts w:ascii="Arial" w:hAnsi="Arial" w:cs="Arial"/>
          <w:lang w:val="en-US"/>
        </w:rPr>
        <w:t>a</w:t>
      </w:r>
      <w:r w:rsidR="006447A9">
        <w:rPr>
          <w:rFonts w:ascii="Arial" w:hAnsi="Arial" w:cs="Arial"/>
          <w:lang w:val="en-US"/>
        </w:rPr>
        <w:t>pplicant’s O</w:t>
      </w:r>
      <w:r w:rsidR="009C1135" w:rsidRPr="006447A9">
        <w:rPr>
          <w:rFonts w:ascii="Arial" w:hAnsi="Arial" w:cs="Arial"/>
          <w:lang w:val="en-US"/>
        </w:rPr>
        <w:t xml:space="preserve">perations </w:t>
      </w:r>
      <w:r w:rsidR="006447A9">
        <w:rPr>
          <w:rFonts w:ascii="Arial" w:hAnsi="Arial" w:cs="Arial"/>
          <w:lang w:val="en-US"/>
        </w:rPr>
        <w:t>M</w:t>
      </w:r>
      <w:r w:rsidR="009C1135" w:rsidRPr="006447A9">
        <w:rPr>
          <w:rFonts w:ascii="Arial" w:hAnsi="Arial" w:cs="Arial"/>
          <w:lang w:val="en-US"/>
        </w:rPr>
        <w:t xml:space="preserve">anager, </w:t>
      </w:r>
      <w:r w:rsidR="006447A9">
        <w:rPr>
          <w:rFonts w:ascii="Arial" w:hAnsi="Arial" w:cs="Arial"/>
          <w:lang w:val="en-US"/>
        </w:rPr>
        <w:t>deposed</w:t>
      </w:r>
      <w:r w:rsidR="009C1135" w:rsidRPr="006447A9">
        <w:rPr>
          <w:rFonts w:ascii="Arial" w:hAnsi="Arial" w:cs="Arial"/>
          <w:lang w:val="en-US"/>
        </w:rPr>
        <w:t xml:space="preserve"> to the founding affidavit.</w:t>
      </w:r>
      <w:r w:rsidR="006447A9">
        <w:rPr>
          <w:rFonts w:ascii="Arial" w:hAnsi="Arial" w:cs="Arial"/>
          <w:lang w:val="en-US"/>
        </w:rPr>
        <w:t xml:space="preserve"> The </w:t>
      </w:r>
      <w:r w:rsidR="00E72E33">
        <w:rPr>
          <w:rFonts w:ascii="Arial" w:hAnsi="Arial" w:cs="Arial"/>
          <w:lang w:val="en-US"/>
        </w:rPr>
        <w:lastRenderedPageBreak/>
        <w:t>a</w:t>
      </w:r>
      <w:r w:rsidR="006447A9">
        <w:rPr>
          <w:rFonts w:ascii="Arial" w:hAnsi="Arial" w:cs="Arial"/>
          <w:lang w:val="en-US"/>
        </w:rPr>
        <w:t>pplicant’s Managing Director deposed to the replying affidavit as, by th</w:t>
      </w:r>
      <w:r w:rsidR="00B90CE6">
        <w:rPr>
          <w:rFonts w:ascii="Arial" w:hAnsi="Arial" w:cs="Arial"/>
          <w:lang w:val="en-US"/>
        </w:rPr>
        <w:t>en</w:t>
      </w:r>
      <w:r w:rsidR="006447A9">
        <w:rPr>
          <w:rFonts w:ascii="Arial" w:hAnsi="Arial" w:cs="Arial"/>
          <w:lang w:val="en-US"/>
        </w:rPr>
        <w:t xml:space="preserve">, Coleman had left the </w:t>
      </w:r>
      <w:r w:rsidR="00E72E33">
        <w:rPr>
          <w:rFonts w:ascii="Arial" w:hAnsi="Arial" w:cs="Arial"/>
          <w:lang w:val="en-US"/>
        </w:rPr>
        <w:t>a</w:t>
      </w:r>
      <w:r w:rsidR="006447A9">
        <w:rPr>
          <w:rFonts w:ascii="Arial" w:hAnsi="Arial" w:cs="Arial"/>
          <w:lang w:val="en-US"/>
        </w:rPr>
        <w:t>pplicant’s employ.</w:t>
      </w:r>
    </w:p>
    <w:p w14:paraId="07AA10E9" w14:textId="77777777" w:rsidR="00610963" w:rsidRPr="00610963" w:rsidRDefault="00610963" w:rsidP="00610963">
      <w:pPr>
        <w:pStyle w:val="ListParagraph"/>
        <w:rPr>
          <w:rFonts w:ascii="Arial" w:hAnsi="Arial" w:cs="Arial"/>
          <w:lang w:val="en-US"/>
        </w:rPr>
      </w:pPr>
    </w:p>
    <w:p w14:paraId="260BEE10" w14:textId="51F63115" w:rsidR="00610963" w:rsidRDefault="00610963" w:rsidP="00610963">
      <w:pPr>
        <w:pStyle w:val="ListParagraph"/>
        <w:numPr>
          <w:ilvl w:val="0"/>
          <w:numId w:val="6"/>
        </w:numPr>
        <w:spacing w:line="360" w:lineRule="auto"/>
        <w:ind w:left="0" w:firstLine="0"/>
        <w:jc w:val="both"/>
        <w:rPr>
          <w:rFonts w:ascii="Arial" w:hAnsi="Arial" w:cs="Arial"/>
          <w:lang w:val="en-US"/>
        </w:rPr>
      </w:pPr>
      <w:r w:rsidRPr="00610963">
        <w:rPr>
          <w:rFonts w:ascii="Arial" w:hAnsi="Arial" w:cs="Arial"/>
          <w:lang w:val="en-US"/>
        </w:rPr>
        <w:t xml:space="preserve">In </w:t>
      </w:r>
      <w:r w:rsidRPr="00610963">
        <w:rPr>
          <w:rFonts w:ascii="Arial" w:hAnsi="Arial" w:cs="Arial"/>
          <w:i/>
          <w:iCs/>
          <w:lang w:val="en-US"/>
        </w:rPr>
        <w:t xml:space="preserve">Samicor Diamond Mining Ltd v </w:t>
      </w:r>
      <w:r w:rsidRPr="00E72E33">
        <w:rPr>
          <w:rFonts w:ascii="Arial" w:hAnsi="Arial" w:cs="Arial"/>
          <w:i/>
          <w:iCs/>
          <w:lang w:val="en-US"/>
        </w:rPr>
        <w:t>Hercules</w:t>
      </w:r>
      <w:r w:rsidR="00075B82" w:rsidRPr="0039658E">
        <w:rPr>
          <w:rStyle w:val="FootnoteReference"/>
          <w:rFonts w:ascii="Arial" w:hAnsi="Arial" w:cs="Arial"/>
          <w:lang w:val="en-US"/>
        </w:rPr>
        <w:footnoteReference w:id="1"/>
      </w:r>
      <w:r w:rsidR="0039658E" w:rsidRPr="0039658E">
        <w:rPr>
          <w:rFonts w:ascii="Arial" w:hAnsi="Arial" w:cs="Arial"/>
          <w:lang w:val="en-US"/>
        </w:rPr>
        <w:t>,</w:t>
      </w:r>
      <w:r w:rsidR="00075B82" w:rsidRPr="0039658E">
        <w:rPr>
          <w:rFonts w:ascii="Arial" w:hAnsi="Arial" w:cs="Arial"/>
          <w:lang w:val="en-US"/>
        </w:rPr>
        <w:t xml:space="preserve"> </w:t>
      </w:r>
      <w:r w:rsidRPr="0039658E">
        <w:rPr>
          <w:rFonts w:ascii="Arial" w:hAnsi="Arial" w:cs="Arial"/>
          <w:lang w:val="en-US"/>
        </w:rPr>
        <w:t>it</w:t>
      </w:r>
      <w:r w:rsidRPr="00075B82">
        <w:rPr>
          <w:rFonts w:ascii="Arial" w:hAnsi="Arial" w:cs="Arial"/>
          <w:lang w:val="en-US"/>
        </w:rPr>
        <w:t xml:space="preserve"> was</w:t>
      </w:r>
      <w:r w:rsidRPr="00610963">
        <w:rPr>
          <w:rFonts w:ascii="Arial" w:hAnsi="Arial" w:cs="Arial"/>
          <w:lang w:val="en-US"/>
        </w:rPr>
        <w:t xml:space="preserve"> held with reference to s 129 of the Act that the concept ‘served’ as used in s 89 is defined in the Act. It was further held that in </w:t>
      </w:r>
      <w:r w:rsidR="00B90CE6">
        <w:rPr>
          <w:rFonts w:ascii="Arial" w:hAnsi="Arial" w:cs="Arial"/>
          <w:lang w:val="en-US"/>
        </w:rPr>
        <w:t>a company's case, an award's service</w:t>
      </w:r>
      <w:r w:rsidRPr="00610963">
        <w:rPr>
          <w:rFonts w:ascii="Arial" w:hAnsi="Arial" w:cs="Arial"/>
          <w:lang w:val="en-US"/>
        </w:rPr>
        <w:t xml:space="preserve"> must be done in terms of s 129(2)</w:t>
      </w:r>
      <w:r w:rsidRPr="002B462E">
        <w:rPr>
          <w:rFonts w:ascii="Arial" w:hAnsi="Arial" w:cs="Arial"/>
          <w:i/>
          <w:iCs/>
          <w:lang w:val="en-US"/>
        </w:rPr>
        <w:t>(d)</w:t>
      </w:r>
      <w:r w:rsidRPr="00610963">
        <w:rPr>
          <w:rFonts w:ascii="Arial" w:hAnsi="Arial" w:cs="Arial"/>
          <w:lang w:val="en-US"/>
        </w:rPr>
        <w:t xml:space="preserve">. The court stated that reference to the regulations and rules promulgated under the Act is unnecessary because they are subject to the Act. With respect and for the following reasons, the court does not agree with the finding in </w:t>
      </w:r>
      <w:r w:rsidRPr="00610963">
        <w:rPr>
          <w:rFonts w:ascii="Arial" w:hAnsi="Arial" w:cs="Arial"/>
          <w:i/>
          <w:iCs/>
          <w:lang w:val="en-US"/>
        </w:rPr>
        <w:t>Samicor</w:t>
      </w:r>
      <w:r w:rsidRPr="00610963">
        <w:rPr>
          <w:rFonts w:ascii="Arial" w:hAnsi="Arial" w:cs="Arial"/>
          <w:lang w:val="en-US"/>
        </w:rPr>
        <w:t xml:space="preserve"> that service of an award must be done in terms of s 129(2)</w:t>
      </w:r>
      <w:r w:rsidRPr="002B462E">
        <w:rPr>
          <w:rFonts w:ascii="Arial" w:hAnsi="Arial" w:cs="Arial"/>
          <w:i/>
          <w:iCs/>
          <w:lang w:val="en-US"/>
        </w:rPr>
        <w:t>(d)</w:t>
      </w:r>
      <w:r w:rsidRPr="00610963">
        <w:rPr>
          <w:rFonts w:ascii="Arial" w:hAnsi="Arial" w:cs="Arial"/>
          <w:lang w:val="en-US"/>
        </w:rPr>
        <w:t xml:space="preserve"> of the Act.</w:t>
      </w:r>
      <w:r w:rsidR="009C1FE4">
        <w:rPr>
          <w:rFonts w:ascii="Arial" w:hAnsi="Arial" w:cs="Arial"/>
          <w:lang w:val="en-US"/>
        </w:rPr>
        <w:t xml:space="preserve"> </w:t>
      </w:r>
    </w:p>
    <w:p w14:paraId="32B891D6" w14:textId="77777777" w:rsidR="00610963" w:rsidRPr="00610963" w:rsidRDefault="00610963" w:rsidP="00610963">
      <w:pPr>
        <w:pStyle w:val="ListParagraph"/>
        <w:rPr>
          <w:rFonts w:ascii="Arial" w:hAnsi="Arial" w:cs="Arial"/>
          <w:lang w:val="en-US"/>
        </w:rPr>
      </w:pPr>
    </w:p>
    <w:p w14:paraId="5703CEB0" w14:textId="78A0FF49" w:rsidR="00610963" w:rsidRDefault="004A2894" w:rsidP="00610963">
      <w:pPr>
        <w:pStyle w:val="ListParagraph"/>
        <w:numPr>
          <w:ilvl w:val="0"/>
          <w:numId w:val="6"/>
        </w:numPr>
        <w:spacing w:line="360" w:lineRule="auto"/>
        <w:ind w:left="0" w:firstLine="0"/>
        <w:jc w:val="both"/>
        <w:rPr>
          <w:rFonts w:ascii="Arial" w:hAnsi="Arial" w:cs="Arial"/>
          <w:lang w:val="en-US"/>
        </w:rPr>
      </w:pPr>
      <w:r w:rsidRPr="00610963">
        <w:rPr>
          <w:rFonts w:ascii="Arial" w:hAnsi="Arial" w:cs="Arial"/>
          <w:lang w:val="en-US"/>
        </w:rPr>
        <w:t>Section 89(2) of the Act refers to an ‘award being served on the party’. There is</w:t>
      </w:r>
      <w:r w:rsidR="00B90CE6">
        <w:rPr>
          <w:rFonts w:ascii="Arial" w:hAnsi="Arial" w:cs="Arial"/>
          <w:lang w:val="en-US"/>
        </w:rPr>
        <w:t>, however,</w:t>
      </w:r>
      <w:r w:rsidRPr="00610963">
        <w:rPr>
          <w:rFonts w:ascii="Arial" w:hAnsi="Arial" w:cs="Arial"/>
          <w:lang w:val="en-US"/>
        </w:rPr>
        <w:t xml:space="preserve"> no express provision in the Act requiring an award to be served, let alone how an award is to be served. Service of an award is not defined in the Act, nor </w:t>
      </w:r>
      <w:r w:rsidR="008471B6" w:rsidRPr="00610963">
        <w:rPr>
          <w:rFonts w:ascii="Arial" w:hAnsi="Arial" w:cs="Arial"/>
          <w:lang w:val="en-US"/>
        </w:rPr>
        <w:t xml:space="preserve">is </w:t>
      </w:r>
      <w:r w:rsidRPr="00610963">
        <w:rPr>
          <w:rFonts w:ascii="Arial" w:hAnsi="Arial" w:cs="Arial"/>
          <w:lang w:val="en-US"/>
        </w:rPr>
        <w:t>the word ‘serve’</w:t>
      </w:r>
      <w:r w:rsidR="008471B6" w:rsidRPr="00610963">
        <w:rPr>
          <w:rFonts w:ascii="Arial" w:hAnsi="Arial" w:cs="Arial"/>
          <w:lang w:val="en-US"/>
        </w:rPr>
        <w:t xml:space="preserve"> defined in the Act</w:t>
      </w:r>
      <w:r w:rsidRPr="00610963">
        <w:rPr>
          <w:rFonts w:ascii="Arial" w:hAnsi="Arial" w:cs="Arial"/>
          <w:lang w:val="en-US"/>
        </w:rPr>
        <w:t xml:space="preserve">. </w:t>
      </w:r>
    </w:p>
    <w:p w14:paraId="481D17A5" w14:textId="77777777" w:rsidR="00610963" w:rsidRPr="00610963" w:rsidRDefault="00610963" w:rsidP="00610963">
      <w:pPr>
        <w:pStyle w:val="ListParagraph"/>
        <w:rPr>
          <w:rFonts w:ascii="Arial" w:hAnsi="Arial" w:cs="Arial"/>
          <w:lang w:val="en-US"/>
        </w:rPr>
      </w:pPr>
    </w:p>
    <w:p w14:paraId="0ABEFCA1" w14:textId="4C372A4D" w:rsidR="00686684" w:rsidRDefault="000A3688" w:rsidP="00610963">
      <w:pPr>
        <w:pStyle w:val="ListParagraph"/>
        <w:numPr>
          <w:ilvl w:val="0"/>
          <w:numId w:val="6"/>
        </w:numPr>
        <w:spacing w:line="360" w:lineRule="auto"/>
        <w:ind w:left="0" w:firstLine="0"/>
        <w:jc w:val="both"/>
        <w:rPr>
          <w:rFonts w:ascii="Arial" w:hAnsi="Arial" w:cs="Arial"/>
          <w:lang w:val="en-US"/>
        </w:rPr>
      </w:pPr>
      <w:r w:rsidRPr="00610963">
        <w:rPr>
          <w:rFonts w:ascii="Arial" w:hAnsi="Arial" w:cs="Arial"/>
          <w:lang w:val="en-US"/>
        </w:rPr>
        <w:t xml:space="preserve">Section 129 of the Act deals with </w:t>
      </w:r>
      <w:r w:rsidR="00B90CE6">
        <w:rPr>
          <w:rFonts w:ascii="Arial" w:hAnsi="Arial" w:cs="Arial"/>
          <w:lang w:val="en-US"/>
        </w:rPr>
        <w:t xml:space="preserve">the </w:t>
      </w:r>
      <w:r w:rsidRPr="00610963">
        <w:rPr>
          <w:rFonts w:ascii="Arial" w:hAnsi="Arial" w:cs="Arial"/>
          <w:lang w:val="en-US"/>
        </w:rPr>
        <w:t xml:space="preserve">‘service of </w:t>
      </w:r>
      <w:r w:rsidR="00C958B7" w:rsidRPr="00610963">
        <w:rPr>
          <w:rFonts w:ascii="Arial" w:hAnsi="Arial" w:cs="Arial"/>
          <w:lang w:val="en-US"/>
        </w:rPr>
        <w:t>documents’</w:t>
      </w:r>
      <w:r w:rsidR="008471B6" w:rsidRPr="00610963">
        <w:rPr>
          <w:rFonts w:ascii="Arial" w:hAnsi="Arial" w:cs="Arial"/>
          <w:lang w:val="en-US"/>
        </w:rPr>
        <w:t>.</w:t>
      </w:r>
      <w:r w:rsidR="00C208FD">
        <w:rPr>
          <w:rFonts w:ascii="Arial" w:hAnsi="Arial" w:cs="Arial"/>
          <w:lang w:val="en-US"/>
        </w:rPr>
        <w:t xml:space="preserve"> It </w:t>
      </w:r>
      <w:r w:rsidR="00C208FD" w:rsidRPr="00610963">
        <w:rPr>
          <w:rFonts w:ascii="Arial" w:hAnsi="Arial" w:cs="Arial"/>
          <w:lang w:val="en-US"/>
        </w:rPr>
        <w:t>provides what a document is for the purpose of the Act</w:t>
      </w:r>
      <w:r w:rsidR="00B90CE6">
        <w:rPr>
          <w:rFonts w:ascii="Arial" w:hAnsi="Arial" w:cs="Arial"/>
          <w:lang w:val="en-US"/>
        </w:rPr>
        <w:t xml:space="preserve"> and</w:t>
      </w:r>
      <w:r w:rsidR="00C208FD" w:rsidRPr="00610963">
        <w:rPr>
          <w:rFonts w:ascii="Arial" w:hAnsi="Arial" w:cs="Arial"/>
          <w:lang w:val="en-US"/>
        </w:rPr>
        <w:t xml:space="preserve"> prescribes how a document is served.</w:t>
      </w:r>
      <w:r w:rsidR="00C208FD">
        <w:rPr>
          <w:rFonts w:ascii="Arial" w:hAnsi="Arial" w:cs="Arial"/>
          <w:lang w:val="en-US"/>
        </w:rPr>
        <w:t xml:space="preserve"> </w:t>
      </w:r>
      <w:r w:rsidR="00686684">
        <w:rPr>
          <w:rFonts w:ascii="Arial" w:hAnsi="Arial" w:cs="Arial"/>
          <w:lang w:val="en-US"/>
        </w:rPr>
        <w:t xml:space="preserve">For ease of reference, s 129(1) and part of </w:t>
      </w:r>
      <w:r w:rsidR="00C208FD">
        <w:rPr>
          <w:rFonts w:ascii="Arial" w:hAnsi="Arial" w:cs="Arial"/>
          <w:lang w:val="en-US"/>
        </w:rPr>
        <w:t>s 129</w:t>
      </w:r>
      <w:r w:rsidR="00686684">
        <w:rPr>
          <w:rFonts w:ascii="Arial" w:hAnsi="Arial" w:cs="Arial"/>
          <w:lang w:val="en-US"/>
        </w:rPr>
        <w:t>(2) read as follows:</w:t>
      </w:r>
      <w:r w:rsidR="008471B6" w:rsidRPr="00610963">
        <w:rPr>
          <w:rFonts w:ascii="Arial" w:hAnsi="Arial" w:cs="Arial"/>
          <w:lang w:val="en-US"/>
        </w:rPr>
        <w:t xml:space="preserve"> </w:t>
      </w:r>
    </w:p>
    <w:p w14:paraId="2D743DAD" w14:textId="77777777" w:rsidR="00C208FD" w:rsidRPr="00C208FD" w:rsidRDefault="00C208FD" w:rsidP="00C208FD">
      <w:pPr>
        <w:pStyle w:val="ListParagraph"/>
        <w:rPr>
          <w:rFonts w:ascii="Arial" w:hAnsi="Arial" w:cs="Arial"/>
          <w:lang w:val="en-US"/>
        </w:rPr>
      </w:pPr>
    </w:p>
    <w:p w14:paraId="5CA5C130" w14:textId="43264A41" w:rsidR="00E7388E" w:rsidRPr="005A6F5B" w:rsidRDefault="00C208FD" w:rsidP="005A6F5B">
      <w:pPr>
        <w:spacing w:line="360" w:lineRule="auto"/>
        <w:ind w:firstLine="709"/>
        <w:jc w:val="both"/>
        <w:rPr>
          <w:rFonts w:ascii="Arial" w:hAnsi="Arial" w:cs="Arial"/>
          <w:sz w:val="22"/>
          <w:szCs w:val="22"/>
        </w:rPr>
      </w:pPr>
      <w:r w:rsidRPr="005A6F5B">
        <w:rPr>
          <w:rFonts w:ascii="Arial" w:hAnsi="Arial" w:cs="Arial"/>
        </w:rPr>
        <w:t>‘</w:t>
      </w:r>
      <w:r w:rsidR="00E7388E" w:rsidRPr="005A6F5B">
        <w:rPr>
          <w:rFonts w:ascii="Arial" w:hAnsi="Arial" w:cs="Arial"/>
          <w:sz w:val="22"/>
          <w:szCs w:val="22"/>
        </w:rPr>
        <w:t>Service of documents</w:t>
      </w:r>
    </w:p>
    <w:p w14:paraId="7291E08D" w14:textId="77777777" w:rsidR="00E7388E" w:rsidRPr="00E7388E" w:rsidRDefault="00E7388E" w:rsidP="00C208FD">
      <w:pPr>
        <w:pStyle w:val="ListParagraph"/>
        <w:spacing w:line="360" w:lineRule="auto"/>
        <w:ind w:left="0"/>
        <w:jc w:val="both"/>
        <w:rPr>
          <w:rFonts w:ascii="Arial" w:hAnsi="Arial" w:cs="Arial"/>
          <w:sz w:val="22"/>
          <w:szCs w:val="22"/>
        </w:rPr>
      </w:pPr>
    </w:p>
    <w:p w14:paraId="5479BD05" w14:textId="2DD4EB12" w:rsidR="00C208FD" w:rsidRPr="00C208FD" w:rsidRDefault="00C208FD" w:rsidP="00E7388E">
      <w:pPr>
        <w:pStyle w:val="ListParagraph"/>
        <w:spacing w:line="360" w:lineRule="auto"/>
        <w:ind w:left="567" w:hanging="567"/>
        <w:jc w:val="both"/>
        <w:rPr>
          <w:rFonts w:ascii="Arial" w:hAnsi="Arial" w:cs="Arial"/>
          <w:sz w:val="22"/>
          <w:szCs w:val="22"/>
        </w:rPr>
      </w:pPr>
      <w:r w:rsidRPr="00C208FD">
        <w:rPr>
          <w:rFonts w:ascii="Arial" w:hAnsi="Arial" w:cs="Arial"/>
          <w:sz w:val="22"/>
          <w:szCs w:val="22"/>
        </w:rPr>
        <w:t xml:space="preserve">129. </w:t>
      </w:r>
      <w:r w:rsidR="00E7388E">
        <w:rPr>
          <w:rFonts w:ascii="Arial" w:hAnsi="Arial" w:cs="Arial"/>
          <w:sz w:val="22"/>
          <w:szCs w:val="22"/>
        </w:rPr>
        <w:tab/>
      </w:r>
      <w:r w:rsidRPr="00C208FD">
        <w:rPr>
          <w:rFonts w:ascii="Arial" w:hAnsi="Arial" w:cs="Arial"/>
          <w:sz w:val="22"/>
          <w:szCs w:val="22"/>
        </w:rPr>
        <w:t xml:space="preserve">(1) For the purpose of this Act </w:t>
      </w:r>
      <w:r>
        <w:rPr>
          <w:rFonts w:ascii="Arial" w:hAnsi="Arial" w:cs="Arial"/>
          <w:sz w:val="22"/>
          <w:szCs w:val="22"/>
        </w:rPr>
        <w:t>–</w:t>
      </w:r>
      <w:r w:rsidRPr="00C208FD">
        <w:rPr>
          <w:rFonts w:ascii="Arial" w:hAnsi="Arial" w:cs="Arial"/>
          <w:sz w:val="22"/>
          <w:szCs w:val="22"/>
        </w:rPr>
        <w:t xml:space="preserve"> </w:t>
      </w:r>
    </w:p>
    <w:p w14:paraId="06AAE00D" w14:textId="0A59F57C" w:rsidR="00C208FD" w:rsidRDefault="00C208FD" w:rsidP="00D61EF5">
      <w:pPr>
        <w:pStyle w:val="ListParagraph"/>
        <w:spacing w:line="360" w:lineRule="auto"/>
        <w:ind w:left="0"/>
        <w:jc w:val="both"/>
        <w:rPr>
          <w:rFonts w:ascii="Arial" w:hAnsi="Arial" w:cs="Arial"/>
          <w:sz w:val="22"/>
          <w:szCs w:val="22"/>
        </w:rPr>
      </w:pPr>
      <w:r w:rsidRPr="00C208FD">
        <w:rPr>
          <w:rFonts w:ascii="Arial" w:hAnsi="Arial" w:cs="Arial"/>
          <w:sz w:val="22"/>
          <w:szCs w:val="22"/>
        </w:rPr>
        <w:t xml:space="preserve">(a) </w:t>
      </w:r>
      <w:r w:rsidR="00E7388E">
        <w:rPr>
          <w:rFonts w:ascii="Arial" w:hAnsi="Arial" w:cs="Arial"/>
          <w:sz w:val="22"/>
          <w:szCs w:val="22"/>
        </w:rPr>
        <w:tab/>
      </w:r>
      <w:r w:rsidRPr="00C208FD">
        <w:rPr>
          <w:rFonts w:ascii="Arial" w:hAnsi="Arial" w:cs="Arial"/>
          <w:sz w:val="22"/>
          <w:szCs w:val="22"/>
        </w:rPr>
        <w:t xml:space="preserve">a document includes any notice, referral or application required to be served in terms of this Act, except documents served in relation to a Labour Court case; and </w:t>
      </w:r>
    </w:p>
    <w:p w14:paraId="265CA764" w14:textId="382B3B70" w:rsidR="00C208FD" w:rsidRPr="00C208FD" w:rsidRDefault="00C208FD" w:rsidP="00D61EF5">
      <w:pPr>
        <w:pStyle w:val="ListParagraph"/>
        <w:spacing w:line="360" w:lineRule="auto"/>
        <w:ind w:left="0"/>
        <w:jc w:val="both"/>
        <w:rPr>
          <w:rFonts w:ascii="Arial" w:hAnsi="Arial" w:cs="Arial"/>
          <w:sz w:val="22"/>
          <w:szCs w:val="22"/>
        </w:rPr>
      </w:pPr>
      <w:r w:rsidRPr="00C208FD">
        <w:rPr>
          <w:rFonts w:ascii="Arial" w:hAnsi="Arial" w:cs="Arial"/>
          <w:sz w:val="22"/>
          <w:szCs w:val="22"/>
        </w:rPr>
        <w:t xml:space="preserve">(b) </w:t>
      </w:r>
      <w:r w:rsidR="00E7388E">
        <w:rPr>
          <w:rFonts w:ascii="Arial" w:hAnsi="Arial" w:cs="Arial"/>
          <w:sz w:val="22"/>
          <w:szCs w:val="22"/>
        </w:rPr>
        <w:tab/>
      </w:r>
      <w:r w:rsidRPr="00C208FD">
        <w:rPr>
          <w:rFonts w:ascii="Arial" w:hAnsi="Arial" w:cs="Arial"/>
          <w:sz w:val="22"/>
          <w:szCs w:val="22"/>
        </w:rPr>
        <w:t xml:space="preserve">an address includes a person’s residential or office address, post office box number, or private box of that employee’s employer. </w:t>
      </w:r>
    </w:p>
    <w:p w14:paraId="78F4CB10" w14:textId="77777777" w:rsidR="00E7388E" w:rsidRDefault="00E7388E" w:rsidP="00C208FD">
      <w:pPr>
        <w:pStyle w:val="ListParagraph"/>
        <w:spacing w:line="360" w:lineRule="auto"/>
        <w:ind w:left="0"/>
        <w:jc w:val="both"/>
        <w:rPr>
          <w:rFonts w:ascii="Arial" w:hAnsi="Arial" w:cs="Arial"/>
          <w:sz w:val="22"/>
          <w:szCs w:val="22"/>
        </w:rPr>
      </w:pPr>
    </w:p>
    <w:p w14:paraId="44773D37" w14:textId="2C98CFBF" w:rsidR="00C208FD" w:rsidRDefault="00C208FD" w:rsidP="00E7388E">
      <w:pPr>
        <w:pStyle w:val="ListParagraph"/>
        <w:spacing w:line="360" w:lineRule="auto"/>
        <w:ind w:left="567" w:hanging="567"/>
        <w:jc w:val="both"/>
        <w:rPr>
          <w:rFonts w:ascii="Arial" w:hAnsi="Arial" w:cs="Arial"/>
          <w:lang w:val="en-US"/>
        </w:rPr>
      </w:pPr>
      <w:r w:rsidRPr="00C208FD">
        <w:rPr>
          <w:rFonts w:ascii="Arial" w:hAnsi="Arial" w:cs="Arial"/>
          <w:sz w:val="22"/>
          <w:szCs w:val="22"/>
        </w:rPr>
        <w:t xml:space="preserve">(2) </w:t>
      </w:r>
      <w:r w:rsidR="00E7388E">
        <w:rPr>
          <w:rFonts w:ascii="Arial" w:hAnsi="Arial" w:cs="Arial"/>
          <w:sz w:val="22"/>
          <w:szCs w:val="22"/>
        </w:rPr>
        <w:tab/>
      </w:r>
      <w:r w:rsidRPr="00C208FD">
        <w:rPr>
          <w:rFonts w:ascii="Arial" w:hAnsi="Arial" w:cs="Arial"/>
          <w:sz w:val="22"/>
          <w:szCs w:val="22"/>
        </w:rPr>
        <w:t>A document is served on a person if it is - . . . .</w:t>
      </w:r>
      <w:r>
        <w:rPr>
          <w:rFonts w:ascii="Arial" w:hAnsi="Arial" w:cs="Arial"/>
        </w:rPr>
        <w:t>’</w:t>
      </w:r>
    </w:p>
    <w:p w14:paraId="5BEE6848" w14:textId="77777777" w:rsidR="00686684" w:rsidRPr="00686684" w:rsidRDefault="00686684" w:rsidP="00686684">
      <w:pPr>
        <w:pStyle w:val="ListParagraph"/>
        <w:rPr>
          <w:rFonts w:ascii="Arial" w:hAnsi="Arial" w:cs="Arial"/>
          <w:lang w:val="en-US"/>
        </w:rPr>
      </w:pPr>
    </w:p>
    <w:p w14:paraId="0879789F" w14:textId="6824889C" w:rsidR="00C208FD" w:rsidRPr="00C208FD" w:rsidRDefault="004A2894" w:rsidP="00C208FD">
      <w:pPr>
        <w:pStyle w:val="ListParagraph"/>
        <w:numPr>
          <w:ilvl w:val="0"/>
          <w:numId w:val="6"/>
        </w:numPr>
        <w:spacing w:line="360" w:lineRule="auto"/>
        <w:ind w:left="0" w:firstLine="0"/>
        <w:jc w:val="both"/>
        <w:rPr>
          <w:rFonts w:ascii="Arial" w:hAnsi="Arial" w:cs="Arial"/>
          <w:lang w:val="en-US"/>
        </w:rPr>
      </w:pPr>
      <w:r w:rsidRPr="00610963">
        <w:rPr>
          <w:rFonts w:ascii="Arial" w:hAnsi="Arial" w:cs="Arial"/>
          <w:lang w:val="en-US"/>
        </w:rPr>
        <w:t>The word ‘document’ contained in s 129 requires attention.</w:t>
      </w:r>
    </w:p>
    <w:p w14:paraId="37152289" w14:textId="77777777" w:rsidR="00C208FD" w:rsidRPr="00CF15AB" w:rsidRDefault="00C208FD" w:rsidP="00C208FD">
      <w:pPr>
        <w:pStyle w:val="ListParagraph"/>
        <w:rPr>
          <w:rFonts w:ascii="Arial" w:hAnsi="Arial" w:cs="Arial"/>
          <w:lang w:val="en-US"/>
        </w:rPr>
      </w:pPr>
    </w:p>
    <w:p w14:paraId="48A97065" w14:textId="647B0E1F" w:rsidR="00CF15AB" w:rsidRPr="00C208FD" w:rsidRDefault="00C208FD" w:rsidP="00C208FD">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The word ‘document’</w:t>
      </w:r>
      <w:r w:rsidR="00A61A6E">
        <w:rPr>
          <w:rFonts w:ascii="Arial" w:hAnsi="Arial" w:cs="Arial"/>
          <w:lang w:val="en-US"/>
        </w:rPr>
        <w:t xml:space="preserve"> </w:t>
      </w:r>
      <w:r>
        <w:rPr>
          <w:rFonts w:ascii="Arial" w:hAnsi="Arial" w:cs="Arial"/>
          <w:lang w:val="en-US"/>
        </w:rPr>
        <w:t>is not defined in the Act</w:t>
      </w:r>
      <w:r w:rsidR="00B90CE6">
        <w:rPr>
          <w:rFonts w:ascii="Arial" w:hAnsi="Arial" w:cs="Arial"/>
          <w:lang w:val="en-US"/>
        </w:rPr>
        <w:t>. Section</w:t>
      </w:r>
      <w:r w:rsidR="0059357A">
        <w:rPr>
          <w:rFonts w:ascii="Arial" w:hAnsi="Arial" w:cs="Arial"/>
          <w:lang w:val="en-US"/>
        </w:rPr>
        <w:t xml:space="preserve"> </w:t>
      </w:r>
      <w:r w:rsidR="000A3688" w:rsidRPr="00C208FD">
        <w:rPr>
          <w:rFonts w:ascii="Arial" w:hAnsi="Arial" w:cs="Arial"/>
          <w:lang w:val="en-US"/>
        </w:rPr>
        <w:t>129(1)</w:t>
      </w:r>
      <w:r w:rsidR="00E702DC" w:rsidRPr="002B462E">
        <w:rPr>
          <w:rFonts w:ascii="Arial" w:hAnsi="Arial" w:cs="Arial"/>
          <w:i/>
          <w:iCs/>
          <w:lang w:val="en-US"/>
        </w:rPr>
        <w:t>(a)</w:t>
      </w:r>
      <w:r w:rsidR="000A3688" w:rsidRPr="00C208FD">
        <w:rPr>
          <w:rFonts w:ascii="Arial" w:hAnsi="Arial" w:cs="Arial"/>
          <w:lang w:val="en-US"/>
        </w:rPr>
        <w:t xml:space="preserve"> </w:t>
      </w:r>
      <w:r w:rsidR="003929E3" w:rsidRPr="00C208FD">
        <w:rPr>
          <w:rFonts w:ascii="Arial" w:hAnsi="Arial" w:cs="Arial"/>
          <w:lang w:val="en-US"/>
        </w:rPr>
        <w:t xml:space="preserve">of the Act </w:t>
      </w:r>
      <w:r w:rsidR="000A3688" w:rsidRPr="00C208FD">
        <w:rPr>
          <w:rFonts w:ascii="Arial" w:hAnsi="Arial" w:cs="Arial"/>
          <w:lang w:val="en-US"/>
        </w:rPr>
        <w:t xml:space="preserve">provides that, for </w:t>
      </w:r>
      <w:r w:rsidR="004A2894" w:rsidRPr="00C208FD">
        <w:rPr>
          <w:rFonts w:ascii="Arial" w:hAnsi="Arial" w:cs="Arial"/>
          <w:lang w:val="en-US"/>
        </w:rPr>
        <w:t xml:space="preserve">the </w:t>
      </w:r>
      <w:r w:rsidR="000A3688" w:rsidRPr="00C208FD">
        <w:rPr>
          <w:rFonts w:ascii="Arial" w:hAnsi="Arial" w:cs="Arial"/>
          <w:lang w:val="en-US"/>
        </w:rPr>
        <w:t xml:space="preserve">purpose of the Act, </w:t>
      </w:r>
      <w:r w:rsidR="00CF15AB" w:rsidRPr="00C208FD">
        <w:rPr>
          <w:rFonts w:ascii="Arial" w:hAnsi="Arial" w:cs="Arial"/>
          <w:lang w:val="en-US"/>
        </w:rPr>
        <w:t>‘</w:t>
      </w:r>
      <w:r w:rsidR="000A3688" w:rsidRPr="00C208FD">
        <w:rPr>
          <w:rFonts w:ascii="Arial" w:hAnsi="Arial" w:cs="Arial"/>
          <w:lang w:val="en-US"/>
        </w:rPr>
        <w:t xml:space="preserve">a document includes any notice, referral </w:t>
      </w:r>
      <w:r w:rsidR="000A3688" w:rsidRPr="00C208FD">
        <w:rPr>
          <w:rFonts w:ascii="Arial" w:hAnsi="Arial" w:cs="Arial"/>
          <w:lang w:val="en-US"/>
        </w:rPr>
        <w:lastRenderedPageBreak/>
        <w:t>or application required to be served in terms of the Act, except documents served in relation to a Labour Court case</w:t>
      </w:r>
      <w:r w:rsidR="004A2894" w:rsidRPr="00C208FD">
        <w:rPr>
          <w:rFonts w:ascii="Arial" w:hAnsi="Arial" w:cs="Arial"/>
          <w:lang w:val="en-US"/>
        </w:rPr>
        <w:t>’</w:t>
      </w:r>
      <w:r w:rsidR="000A3688" w:rsidRPr="00C208FD">
        <w:rPr>
          <w:rFonts w:ascii="Arial" w:hAnsi="Arial" w:cs="Arial"/>
          <w:lang w:val="en-US"/>
        </w:rPr>
        <w:t>.</w:t>
      </w:r>
    </w:p>
    <w:p w14:paraId="2749A1F8" w14:textId="77777777" w:rsidR="00CF15AB" w:rsidRPr="00CF15AB" w:rsidRDefault="00CF15AB" w:rsidP="00CF15AB">
      <w:pPr>
        <w:pStyle w:val="ListParagraph"/>
        <w:rPr>
          <w:rFonts w:ascii="Arial" w:hAnsi="Arial" w:cs="Arial"/>
          <w:lang w:val="en-US"/>
        </w:rPr>
      </w:pPr>
    </w:p>
    <w:p w14:paraId="5F0E21BE" w14:textId="59E81ECF" w:rsidR="003929E3" w:rsidRDefault="00CF15AB" w:rsidP="003929E3">
      <w:pPr>
        <w:pStyle w:val="ListParagraph"/>
        <w:numPr>
          <w:ilvl w:val="0"/>
          <w:numId w:val="6"/>
        </w:numPr>
        <w:spacing w:line="360" w:lineRule="auto"/>
        <w:ind w:left="0" w:firstLine="0"/>
        <w:jc w:val="both"/>
        <w:rPr>
          <w:rFonts w:ascii="Arial" w:hAnsi="Arial" w:cs="Arial"/>
          <w:lang w:val="en-US"/>
        </w:rPr>
      </w:pPr>
      <w:r w:rsidRPr="004A2894">
        <w:rPr>
          <w:rFonts w:ascii="Arial" w:hAnsi="Arial" w:cs="Arial"/>
          <w:lang w:val="en-US"/>
        </w:rPr>
        <w:t xml:space="preserve">On a </w:t>
      </w:r>
      <w:r w:rsidR="00826852" w:rsidRPr="004A2894">
        <w:rPr>
          <w:rFonts w:ascii="Arial" w:hAnsi="Arial" w:cs="Arial"/>
          <w:lang w:val="en-US"/>
        </w:rPr>
        <w:t xml:space="preserve">plain </w:t>
      </w:r>
      <w:r w:rsidRPr="004A2894">
        <w:rPr>
          <w:rFonts w:ascii="Arial" w:hAnsi="Arial" w:cs="Arial"/>
          <w:lang w:val="en-US"/>
        </w:rPr>
        <w:t>reading</w:t>
      </w:r>
      <w:r w:rsidR="00826852" w:rsidRPr="004A2894">
        <w:rPr>
          <w:rFonts w:ascii="Arial" w:hAnsi="Arial" w:cs="Arial"/>
          <w:lang w:val="en-US"/>
        </w:rPr>
        <w:t xml:space="preserve"> of s 129(1)</w:t>
      </w:r>
      <w:r w:rsidR="003929E3">
        <w:rPr>
          <w:rFonts w:ascii="Arial" w:hAnsi="Arial" w:cs="Arial"/>
          <w:lang w:val="en-US"/>
        </w:rPr>
        <w:t xml:space="preserve"> of the Act</w:t>
      </w:r>
      <w:r w:rsidR="00826852" w:rsidRPr="004A2894">
        <w:rPr>
          <w:rFonts w:ascii="Arial" w:hAnsi="Arial" w:cs="Arial"/>
          <w:lang w:val="en-US"/>
        </w:rPr>
        <w:t>,</w:t>
      </w:r>
      <w:r w:rsidR="003929E3">
        <w:rPr>
          <w:rFonts w:ascii="Arial" w:hAnsi="Arial" w:cs="Arial"/>
          <w:lang w:val="en-US"/>
        </w:rPr>
        <w:t xml:space="preserve"> </w:t>
      </w:r>
      <w:r w:rsidR="004A2894" w:rsidRPr="004A2894">
        <w:rPr>
          <w:rFonts w:ascii="Arial" w:hAnsi="Arial" w:cs="Arial"/>
          <w:lang w:val="en-US"/>
        </w:rPr>
        <w:t xml:space="preserve">an award </w:t>
      </w:r>
      <w:r w:rsidR="00826852" w:rsidRPr="004A2894">
        <w:rPr>
          <w:rFonts w:ascii="Arial" w:hAnsi="Arial" w:cs="Arial"/>
          <w:lang w:val="en-US"/>
        </w:rPr>
        <w:t>is</w:t>
      </w:r>
      <w:r w:rsidR="004A2894" w:rsidRPr="004A2894">
        <w:rPr>
          <w:rFonts w:ascii="Arial" w:hAnsi="Arial" w:cs="Arial"/>
          <w:lang w:val="en-US"/>
        </w:rPr>
        <w:t xml:space="preserve"> not included </w:t>
      </w:r>
      <w:r w:rsidR="008471B6">
        <w:rPr>
          <w:rFonts w:ascii="Arial" w:hAnsi="Arial" w:cs="Arial"/>
          <w:lang w:val="en-US"/>
        </w:rPr>
        <w:t>amongst the</w:t>
      </w:r>
      <w:r w:rsidR="004A2894" w:rsidRPr="004A2894">
        <w:rPr>
          <w:rFonts w:ascii="Arial" w:hAnsi="Arial" w:cs="Arial"/>
          <w:lang w:val="en-US"/>
        </w:rPr>
        <w:t xml:space="preserve"> documents provided </w:t>
      </w:r>
      <w:r w:rsidR="008471B6">
        <w:rPr>
          <w:rFonts w:ascii="Arial" w:hAnsi="Arial" w:cs="Arial"/>
          <w:lang w:val="en-US"/>
        </w:rPr>
        <w:t xml:space="preserve">for therein </w:t>
      </w:r>
      <w:r w:rsidR="004A2894" w:rsidRPr="004A2894">
        <w:rPr>
          <w:rFonts w:ascii="Arial" w:hAnsi="Arial" w:cs="Arial"/>
          <w:lang w:val="en-US"/>
        </w:rPr>
        <w:t>to be included as</w:t>
      </w:r>
      <w:r w:rsidR="00826852" w:rsidRPr="004A2894">
        <w:rPr>
          <w:rFonts w:ascii="Arial" w:hAnsi="Arial" w:cs="Arial"/>
          <w:lang w:val="en-US"/>
        </w:rPr>
        <w:t xml:space="preserve"> </w:t>
      </w:r>
      <w:r w:rsidRPr="004A2894">
        <w:rPr>
          <w:rFonts w:ascii="Arial" w:hAnsi="Arial" w:cs="Arial"/>
          <w:lang w:val="en-US"/>
        </w:rPr>
        <w:t>‘</w:t>
      </w:r>
      <w:r w:rsidR="00826852" w:rsidRPr="004A2894">
        <w:rPr>
          <w:rFonts w:ascii="Arial" w:hAnsi="Arial" w:cs="Arial"/>
          <w:lang w:val="en-US"/>
        </w:rPr>
        <w:t xml:space="preserve">a document’ </w:t>
      </w:r>
      <w:r w:rsidR="004A2894" w:rsidRPr="004A2894">
        <w:rPr>
          <w:rFonts w:ascii="Arial" w:hAnsi="Arial" w:cs="Arial"/>
          <w:lang w:val="en-US"/>
        </w:rPr>
        <w:t>for the purpose of the Act.</w:t>
      </w:r>
      <w:r w:rsidR="004A2894">
        <w:rPr>
          <w:rFonts w:ascii="Arial" w:hAnsi="Arial" w:cs="Arial"/>
          <w:lang w:val="en-US"/>
        </w:rPr>
        <w:t xml:space="preserve"> Furthermore, a</w:t>
      </w:r>
      <w:r w:rsidR="004A2894" w:rsidRPr="004A2894">
        <w:rPr>
          <w:rFonts w:ascii="Arial" w:hAnsi="Arial" w:cs="Arial"/>
          <w:lang w:val="en-US"/>
        </w:rPr>
        <w:t xml:space="preserve">s stated before, the Act does not </w:t>
      </w:r>
      <w:r w:rsidR="003929E3">
        <w:rPr>
          <w:rFonts w:ascii="Arial" w:hAnsi="Arial" w:cs="Arial"/>
          <w:lang w:val="en-US"/>
        </w:rPr>
        <w:t xml:space="preserve">contain a provision requiring </w:t>
      </w:r>
      <w:r w:rsidR="008471B6">
        <w:rPr>
          <w:rFonts w:ascii="Arial" w:hAnsi="Arial" w:cs="Arial"/>
          <w:lang w:val="en-US"/>
        </w:rPr>
        <w:t>an award to be served</w:t>
      </w:r>
      <w:r w:rsidR="00C208FD">
        <w:rPr>
          <w:rFonts w:ascii="Arial" w:hAnsi="Arial" w:cs="Arial"/>
          <w:lang w:val="en-US"/>
        </w:rPr>
        <w:t xml:space="preserve"> ‘in terms of [the] Act’ as stated in s 129(1)</w:t>
      </w:r>
      <w:r w:rsidR="00C208FD" w:rsidRPr="002B462E">
        <w:rPr>
          <w:rFonts w:ascii="Arial" w:hAnsi="Arial" w:cs="Arial"/>
          <w:i/>
          <w:iCs/>
          <w:lang w:val="en-US"/>
        </w:rPr>
        <w:t>(a)</w:t>
      </w:r>
      <w:r w:rsidR="008471B6">
        <w:rPr>
          <w:rFonts w:ascii="Arial" w:hAnsi="Arial" w:cs="Arial"/>
          <w:lang w:val="en-US"/>
        </w:rPr>
        <w:t>.</w:t>
      </w:r>
    </w:p>
    <w:p w14:paraId="16D7A7D4" w14:textId="77777777" w:rsidR="00037D61" w:rsidRPr="00037D61" w:rsidRDefault="00037D61" w:rsidP="00037D61">
      <w:pPr>
        <w:pStyle w:val="ListParagraph"/>
        <w:rPr>
          <w:rFonts w:ascii="Arial" w:hAnsi="Arial" w:cs="Arial"/>
          <w:lang w:val="en-US"/>
        </w:rPr>
      </w:pPr>
    </w:p>
    <w:p w14:paraId="795040EC" w14:textId="3AFC176E" w:rsidR="00037D61" w:rsidRDefault="00037D61" w:rsidP="003929E3">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The court finds that the Act does not require an award to be served in terms of the Act</w:t>
      </w:r>
      <w:r w:rsidR="00B90CE6">
        <w:rPr>
          <w:rFonts w:ascii="Arial" w:hAnsi="Arial" w:cs="Arial"/>
          <w:lang w:val="en-US"/>
        </w:rPr>
        <w:t>,</w:t>
      </w:r>
      <w:r>
        <w:rPr>
          <w:rFonts w:ascii="Arial" w:hAnsi="Arial" w:cs="Arial"/>
          <w:lang w:val="en-US"/>
        </w:rPr>
        <w:t xml:space="preserve"> and s 129(2) does not apply to service of an award.</w:t>
      </w:r>
    </w:p>
    <w:p w14:paraId="3C3165AB" w14:textId="77777777" w:rsidR="003929E3" w:rsidRPr="003929E3" w:rsidRDefault="003929E3" w:rsidP="003929E3">
      <w:pPr>
        <w:pStyle w:val="ListParagraph"/>
        <w:rPr>
          <w:rFonts w:ascii="Arial" w:hAnsi="Arial" w:cs="Arial"/>
          <w:lang w:val="en-US"/>
        </w:rPr>
      </w:pPr>
    </w:p>
    <w:p w14:paraId="362EC85C" w14:textId="165E2791" w:rsidR="00686684" w:rsidRDefault="00686684" w:rsidP="00686684">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Where do th</w:t>
      </w:r>
      <w:r w:rsidR="00037D61">
        <w:rPr>
          <w:rFonts w:ascii="Arial" w:hAnsi="Arial" w:cs="Arial"/>
          <w:lang w:val="en-US"/>
        </w:rPr>
        <w:t>ose findings</w:t>
      </w:r>
      <w:r>
        <w:rPr>
          <w:rFonts w:ascii="Arial" w:hAnsi="Arial" w:cs="Arial"/>
          <w:lang w:val="en-US"/>
        </w:rPr>
        <w:t xml:space="preserve"> leave the issue of service of an award?</w:t>
      </w:r>
    </w:p>
    <w:p w14:paraId="3BC945DE" w14:textId="77777777" w:rsidR="00686684" w:rsidRPr="00686684" w:rsidRDefault="00686684" w:rsidP="00686684">
      <w:pPr>
        <w:pStyle w:val="ListParagraph"/>
        <w:rPr>
          <w:rFonts w:ascii="Arial" w:hAnsi="Arial" w:cs="Arial"/>
          <w:lang w:val="en-US"/>
        </w:rPr>
      </w:pPr>
    </w:p>
    <w:p w14:paraId="32ADECFB" w14:textId="5DF1B39A" w:rsidR="003929E3" w:rsidRPr="00686684" w:rsidRDefault="008471B6" w:rsidP="00686684">
      <w:pPr>
        <w:pStyle w:val="ListParagraph"/>
        <w:numPr>
          <w:ilvl w:val="0"/>
          <w:numId w:val="6"/>
        </w:numPr>
        <w:spacing w:line="360" w:lineRule="auto"/>
        <w:ind w:left="0" w:firstLine="0"/>
        <w:jc w:val="both"/>
        <w:rPr>
          <w:rFonts w:ascii="Arial" w:hAnsi="Arial" w:cs="Arial"/>
          <w:lang w:val="en-US"/>
        </w:rPr>
      </w:pPr>
      <w:r w:rsidRPr="00686684">
        <w:rPr>
          <w:rFonts w:ascii="Arial" w:hAnsi="Arial" w:cs="Arial"/>
          <w:lang w:val="en-US"/>
        </w:rPr>
        <w:t>The answer</w:t>
      </w:r>
      <w:r w:rsidR="003929E3" w:rsidRPr="00686684">
        <w:rPr>
          <w:rFonts w:ascii="Arial" w:hAnsi="Arial" w:cs="Arial"/>
          <w:lang w:val="en-US"/>
        </w:rPr>
        <w:t xml:space="preserve"> to service of an award</w:t>
      </w:r>
      <w:r w:rsidRPr="00686684">
        <w:rPr>
          <w:rFonts w:ascii="Arial" w:hAnsi="Arial" w:cs="Arial"/>
          <w:lang w:val="en-US"/>
        </w:rPr>
        <w:t xml:space="preserve"> lies in Conciliation and Arbitration </w:t>
      </w:r>
      <w:r w:rsidR="003A26AF">
        <w:rPr>
          <w:rFonts w:ascii="Arial" w:hAnsi="Arial" w:cs="Arial"/>
          <w:lang w:val="en-US"/>
        </w:rPr>
        <w:t>r</w:t>
      </w:r>
      <w:r w:rsidRPr="00686684">
        <w:rPr>
          <w:rFonts w:ascii="Arial" w:hAnsi="Arial" w:cs="Arial"/>
          <w:lang w:val="en-US"/>
        </w:rPr>
        <w:t xml:space="preserve"> 21(1)</w:t>
      </w:r>
      <w:r w:rsidR="00686684" w:rsidRPr="00686684">
        <w:rPr>
          <w:rFonts w:ascii="Arial" w:hAnsi="Arial" w:cs="Arial"/>
          <w:lang w:val="en-US"/>
        </w:rPr>
        <w:t>, read with r 1(1)</w:t>
      </w:r>
      <w:r w:rsidRPr="00686684">
        <w:rPr>
          <w:rFonts w:ascii="Arial" w:hAnsi="Arial" w:cs="Arial"/>
          <w:lang w:val="en-US"/>
        </w:rPr>
        <w:t>.</w:t>
      </w:r>
    </w:p>
    <w:p w14:paraId="07D12F65" w14:textId="77777777" w:rsidR="00686684" w:rsidRPr="00686684" w:rsidRDefault="00686684" w:rsidP="00686684">
      <w:pPr>
        <w:pStyle w:val="ListParagraph"/>
        <w:rPr>
          <w:rFonts w:ascii="Arial" w:hAnsi="Arial" w:cs="Arial"/>
          <w:lang w:val="en-US"/>
        </w:rPr>
      </w:pPr>
    </w:p>
    <w:p w14:paraId="0586C8B5" w14:textId="25B6E148" w:rsidR="00C208FD" w:rsidRDefault="00686684" w:rsidP="00686684">
      <w:pPr>
        <w:pStyle w:val="ListParagraph"/>
        <w:numPr>
          <w:ilvl w:val="0"/>
          <w:numId w:val="6"/>
        </w:numPr>
        <w:spacing w:line="360" w:lineRule="auto"/>
        <w:ind w:left="0" w:firstLine="0"/>
        <w:jc w:val="both"/>
        <w:rPr>
          <w:rFonts w:ascii="Arial" w:hAnsi="Arial" w:cs="Arial"/>
          <w:lang w:val="en-US"/>
        </w:rPr>
      </w:pPr>
      <w:r w:rsidRPr="003929E3">
        <w:rPr>
          <w:rFonts w:ascii="Arial" w:hAnsi="Arial" w:cs="Arial"/>
          <w:lang w:val="en-US"/>
        </w:rPr>
        <w:t xml:space="preserve">Conciliation and Arbitration </w:t>
      </w:r>
      <w:r w:rsidR="003A26AF">
        <w:rPr>
          <w:rFonts w:ascii="Arial" w:hAnsi="Arial" w:cs="Arial"/>
          <w:lang w:val="en-US"/>
        </w:rPr>
        <w:t>r</w:t>
      </w:r>
      <w:r w:rsidRPr="003929E3">
        <w:rPr>
          <w:rFonts w:ascii="Arial" w:hAnsi="Arial" w:cs="Arial"/>
          <w:lang w:val="en-US"/>
        </w:rPr>
        <w:t xml:space="preserve"> 21(1) expressly provides that </w:t>
      </w:r>
      <w:r w:rsidR="00CD06D4">
        <w:rPr>
          <w:rFonts w:ascii="Arial" w:hAnsi="Arial" w:cs="Arial"/>
          <w:lang w:val="en-US"/>
        </w:rPr>
        <w:t>the</w:t>
      </w:r>
      <w:r w:rsidRPr="003929E3">
        <w:rPr>
          <w:rFonts w:ascii="Arial" w:hAnsi="Arial" w:cs="Arial"/>
          <w:lang w:val="en-US"/>
        </w:rPr>
        <w:t xml:space="preserve"> </w:t>
      </w:r>
      <w:r>
        <w:rPr>
          <w:rFonts w:ascii="Arial" w:hAnsi="Arial" w:cs="Arial"/>
          <w:lang w:val="en-US"/>
        </w:rPr>
        <w:t>a</w:t>
      </w:r>
      <w:r w:rsidRPr="003929E3">
        <w:rPr>
          <w:rFonts w:ascii="Arial" w:hAnsi="Arial" w:cs="Arial"/>
          <w:lang w:val="en-US"/>
        </w:rPr>
        <w:t>rbitrator must ‘deliver’ the award.</w:t>
      </w:r>
      <w:r w:rsidR="00C208FD">
        <w:rPr>
          <w:rFonts w:ascii="Arial" w:hAnsi="Arial" w:cs="Arial"/>
          <w:lang w:val="en-US"/>
        </w:rPr>
        <w:t xml:space="preserve"> For ease of reference, the rule reads as follows:</w:t>
      </w:r>
    </w:p>
    <w:p w14:paraId="1ECE86D9" w14:textId="77777777" w:rsidR="00C208FD" w:rsidRPr="00C208FD" w:rsidRDefault="00C208FD" w:rsidP="00C208FD">
      <w:pPr>
        <w:pStyle w:val="ListParagraph"/>
        <w:rPr>
          <w:rFonts w:ascii="Arial" w:hAnsi="Arial" w:cs="Arial"/>
          <w:lang w:val="en-US"/>
        </w:rPr>
      </w:pPr>
    </w:p>
    <w:p w14:paraId="0960E7CA" w14:textId="21439030" w:rsidR="00C208FD" w:rsidRPr="00C208FD" w:rsidRDefault="00C208FD" w:rsidP="005A6F5B">
      <w:pPr>
        <w:pStyle w:val="ListParagraph"/>
        <w:spacing w:line="360" w:lineRule="auto"/>
        <w:ind w:left="0" w:firstLine="709"/>
        <w:jc w:val="both"/>
        <w:rPr>
          <w:rFonts w:ascii="Arial" w:hAnsi="Arial" w:cs="Arial"/>
        </w:rPr>
      </w:pPr>
      <w:r>
        <w:rPr>
          <w:rFonts w:ascii="Arial" w:hAnsi="Arial" w:cs="Arial"/>
        </w:rPr>
        <w:t>‘</w:t>
      </w:r>
      <w:r w:rsidRPr="005A6F5B">
        <w:rPr>
          <w:rFonts w:ascii="Arial" w:hAnsi="Arial" w:cs="Arial"/>
          <w:sz w:val="22"/>
          <w:szCs w:val="22"/>
        </w:rPr>
        <w:t>21. (1</w:t>
      </w:r>
      <w:r w:rsidRPr="00C208FD">
        <w:rPr>
          <w:rFonts w:ascii="Arial" w:hAnsi="Arial" w:cs="Arial"/>
          <w:sz w:val="22"/>
          <w:szCs w:val="22"/>
        </w:rPr>
        <w:t>) The arbitrator must, within 30 days of the conclusion of the arbitration proceedings, deliver an award giving concise reasons and he or she must sign and date the award.</w:t>
      </w:r>
      <w:r>
        <w:rPr>
          <w:rFonts w:ascii="Arial" w:hAnsi="Arial" w:cs="Arial"/>
          <w:lang w:val="en-US"/>
        </w:rPr>
        <w:t>’</w:t>
      </w:r>
    </w:p>
    <w:p w14:paraId="65A8DE76" w14:textId="77777777" w:rsidR="00C208FD" w:rsidRPr="00C208FD" w:rsidRDefault="00C208FD" w:rsidP="00C208FD">
      <w:pPr>
        <w:pStyle w:val="ListParagraph"/>
        <w:rPr>
          <w:rFonts w:ascii="Arial" w:hAnsi="Arial" w:cs="Arial"/>
          <w:lang w:val="en-US"/>
        </w:rPr>
      </w:pPr>
    </w:p>
    <w:p w14:paraId="3C28B4C1" w14:textId="438FA367" w:rsidR="00C208FD" w:rsidRPr="00CD06D4" w:rsidRDefault="00686684" w:rsidP="00CD06D4">
      <w:pPr>
        <w:pStyle w:val="ListParagraph"/>
        <w:numPr>
          <w:ilvl w:val="0"/>
          <w:numId w:val="6"/>
        </w:numPr>
        <w:spacing w:line="360" w:lineRule="auto"/>
        <w:ind w:left="0" w:firstLine="0"/>
        <w:jc w:val="both"/>
        <w:rPr>
          <w:rFonts w:ascii="Arial" w:hAnsi="Arial" w:cs="Arial"/>
          <w:lang w:val="en-US"/>
        </w:rPr>
      </w:pPr>
      <w:r w:rsidRPr="003929E3">
        <w:rPr>
          <w:rFonts w:ascii="Arial" w:hAnsi="Arial" w:cs="Arial"/>
          <w:lang w:val="en-US"/>
        </w:rPr>
        <w:t xml:space="preserve">The word ‘deliver’ </w:t>
      </w:r>
      <w:r w:rsidR="00C208FD">
        <w:rPr>
          <w:rFonts w:ascii="Arial" w:hAnsi="Arial" w:cs="Arial"/>
          <w:lang w:val="en-US"/>
        </w:rPr>
        <w:t xml:space="preserve">in Conciliation and Arbitration </w:t>
      </w:r>
      <w:r w:rsidR="003A26AF">
        <w:rPr>
          <w:rFonts w:ascii="Arial" w:hAnsi="Arial" w:cs="Arial"/>
          <w:lang w:val="en-US"/>
        </w:rPr>
        <w:t>r</w:t>
      </w:r>
      <w:r w:rsidR="00C208FD">
        <w:rPr>
          <w:rFonts w:ascii="Arial" w:hAnsi="Arial" w:cs="Arial"/>
          <w:lang w:val="en-US"/>
        </w:rPr>
        <w:t xml:space="preserve"> 21(1)</w:t>
      </w:r>
      <w:r w:rsidRPr="003929E3">
        <w:rPr>
          <w:rFonts w:ascii="Arial" w:hAnsi="Arial" w:cs="Arial"/>
          <w:lang w:val="en-US"/>
        </w:rPr>
        <w:t xml:space="preserve"> requires attention.</w:t>
      </w:r>
      <w:r w:rsidR="00CD06D4">
        <w:rPr>
          <w:rFonts w:ascii="Arial" w:hAnsi="Arial" w:cs="Arial"/>
          <w:lang w:val="en-US"/>
        </w:rPr>
        <w:t xml:space="preserve"> </w:t>
      </w:r>
      <w:r w:rsidRPr="00CD06D4">
        <w:rPr>
          <w:rFonts w:ascii="Arial" w:hAnsi="Arial" w:cs="Arial"/>
          <w:lang w:val="en-US"/>
        </w:rPr>
        <w:t xml:space="preserve">Conciliation and Arbitration </w:t>
      </w:r>
      <w:r w:rsidR="003A26AF">
        <w:rPr>
          <w:rFonts w:ascii="Arial" w:hAnsi="Arial" w:cs="Arial"/>
          <w:lang w:val="en-US"/>
        </w:rPr>
        <w:t>r</w:t>
      </w:r>
      <w:r w:rsidRPr="00CD06D4">
        <w:rPr>
          <w:rFonts w:ascii="Arial" w:hAnsi="Arial" w:cs="Arial"/>
          <w:lang w:val="en-US"/>
        </w:rPr>
        <w:t xml:space="preserve"> 1(1) expressly defines the word ‘deliver’ to mean</w:t>
      </w:r>
      <w:r w:rsidR="00C208FD" w:rsidRPr="00CD06D4">
        <w:rPr>
          <w:rFonts w:ascii="Arial" w:hAnsi="Arial" w:cs="Arial"/>
          <w:lang w:val="en-US"/>
        </w:rPr>
        <w:t>:</w:t>
      </w:r>
    </w:p>
    <w:p w14:paraId="00AB2277" w14:textId="77777777" w:rsidR="00C208FD" w:rsidRPr="00C208FD" w:rsidRDefault="00C208FD" w:rsidP="00C208FD">
      <w:pPr>
        <w:pStyle w:val="ListParagraph"/>
        <w:rPr>
          <w:rFonts w:ascii="Arial" w:hAnsi="Arial" w:cs="Arial"/>
          <w:lang w:val="en-US"/>
        </w:rPr>
      </w:pPr>
    </w:p>
    <w:p w14:paraId="493C3889" w14:textId="77777777" w:rsidR="00C208FD" w:rsidRDefault="00686684" w:rsidP="00A61A6E">
      <w:pPr>
        <w:pStyle w:val="ListParagraph"/>
        <w:spacing w:line="360" w:lineRule="auto"/>
        <w:ind w:left="0" w:firstLine="720"/>
        <w:jc w:val="both"/>
        <w:rPr>
          <w:rFonts w:ascii="Arial" w:hAnsi="Arial" w:cs="Arial"/>
          <w:lang w:val="en-US"/>
        </w:rPr>
      </w:pPr>
      <w:r w:rsidRPr="001F1E3A">
        <w:rPr>
          <w:rFonts w:ascii="Arial" w:hAnsi="Arial" w:cs="Arial"/>
          <w:lang w:val="en-US"/>
        </w:rPr>
        <w:t>‘</w:t>
      </w:r>
      <w:r w:rsidRPr="00C208FD">
        <w:rPr>
          <w:rFonts w:ascii="Arial" w:hAnsi="Arial" w:cs="Arial"/>
          <w:sz w:val="22"/>
          <w:szCs w:val="22"/>
          <w:lang w:val="en-US"/>
        </w:rPr>
        <w:t>serve on other parties and file with the Labour Commissioner</w:t>
      </w:r>
      <w:r w:rsidR="00C208FD">
        <w:rPr>
          <w:rFonts w:ascii="Arial" w:hAnsi="Arial" w:cs="Arial"/>
          <w:lang w:val="en-US"/>
        </w:rPr>
        <w:t>’</w:t>
      </w:r>
    </w:p>
    <w:p w14:paraId="29E2ABFC" w14:textId="77777777" w:rsidR="00C208FD" w:rsidRDefault="00C208FD" w:rsidP="00C208FD">
      <w:pPr>
        <w:pStyle w:val="ListParagraph"/>
        <w:spacing w:line="360" w:lineRule="auto"/>
        <w:ind w:left="0"/>
        <w:jc w:val="both"/>
        <w:rPr>
          <w:rFonts w:ascii="Arial" w:hAnsi="Arial" w:cs="Arial"/>
          <w:lang w:val="en-US"/>
        </w:rPr>
      </w:pPr>
    </w:p>
    <w:p w14:paraId="753CCD96" w14:textId="77777777" w:rsidR="00C208FD" w:rsidRDefault="00686684" w:rsidP="00C208FD">
      <w:pPr>
        <w:pStyle w:val="ListParagraph"/>
        <w:spacing w:line="360" w:lineRule="auto"/>
        <w:ind w:left="0"/>
        <w:jc w:val="both"/>
        <w:rPr>
          <w:rFonts w:ascii="Arial" w:hAnsi="Arial" w:cs="Arial"/>
          <w:lang w:val="en-US"/>
        </w:rPr>
      </w:pPr>
      <w:r w:rsidRPr="001F1E3A">
        <w:rPr>
          <w:rFonts w:ascii="Arial" w:hAnsi="Arial" w:cs="Arial"/>
          <w:lang w:val="en-US"/>
        </w:rPr>
        <w:t>and the word ‘serve’ to mean</w:t>
      </w:r>
      <w:r w:rsidR="00C208FD">
        <w:rPr>
          <w:rFonts w:ascii="Arial" w:hAnsi="Arial" w:cs="Arial"/>
          <w:lang w:val="en-US"/>
        </w:rPr>
        <w:t>:</w:t>
      </w:r>
    </w:p>
    <w:p w14:paraId="1A1DD4CD" w14:textId="77777777" w:rsidR="00C208FD" w:rsidRDefault="00C208FD" w:rsidP="00C208FD">
      <w:pPr>
        <w:pStyle w:val="ListParagraph"/>
        <w:spacing w:line="360" w:lineRule="auto"/>
        <w:ind w:left="0"/>
        <w:jc w:val="both"/>
        <w:rPr>
          <w:rFonts w:ascii="Arial" w:hAnsi="Arial" w:cs="Arial"/>
          <w:lang w:val="en-US"/>
        </w:rPr>
      </w:pPr>
    </w:p>
    <w:p w14:paraId="5D224C2D" w14:textId="2DE89BB4" w:rsidR="00686684" w:rsidRDefault="00C208FD" w:rsidP="00A61A6E">
      <w:pPr>
        <w:pStyle w:val="ListParagraph"/>
        <w:spacing w:line="360" w:lineRule="auto"/>
        <w:ind w:left="0" w:firstLine="720"/>
        <w:jc w:val="both"/>
        <w:rPr>
          <w:rFonts w:ascii="Arial" w:hAnsi="Arial" w:cs="Arial"/>
          <w:lang w:val="en-US"/>
        </w:rPr>
      </w:pPr>
      <w:r>
        <w:rPr>
          <w:rFonts w:ascii="Arial" w:hAnsi="Arial" w:cs="Arial"/>
          <w:lang w:val="en-US"/>
        </w:rPr>
        <w:t>‘</w:t>
      </w:r>
      <w:r w:rsidR="00686684" w:rsidRPr="00CD06D4">
        <w:rPr>
          <w:rFonts w:ascii="Arial" w:hAnsi="Arial" w:cs="Arial"/>
          <w:sz w:val="22"/>
          <w:szCs w:val="22"/>
          <w:lang w:val="en-US"/>
        </w:rPr>
        <w:t xml:space="preserve">serve in accordance with </w:t>
      </w:r>
      <w:r w:rsidRPr="00CD06D4">
        <w:rPr>
          <w:rFonts w:ascii="Arial" w:hAnsi="Arial" w:cs="Arial"/>
          <w:sz w:val="22"/>
          <w:szCs w:val="22"/>
          <w:lang w:val="en-US"/>
        </w:rPr>
        <w:t>rule</w:t>
      </w:r>
      <w:r w:rsidR="00686684" w:rsidRPr="00CD06D4">
        <w:rPr>
          <w:rFonts w:ascii="Arial" w:hAnsi="Arial" w:cs="Arial"/>
          <w:sz w:val="22"/>
          <w:szCs w:val="22"/>
          <w:lang w:val="en-US"/>
        </w:rPr>
        <w:t xml:space="preserve"> 6</w:t>
      </w:r>
      <w:r w:rsidR="00CD06D4">
        <w:rPr>
          <w:rFonts w:ascii="Arial" w:hAnsi="Arial" w:cs="Arial"/>
          <w:lang w:val="en-US"/>
        </w:rPr>
        <w:t>’.</w:t>
      </w:r>
    </w:p>
    <w:p w14:paraId="55691B1F" w14:textId="77777777" w:rsidR="003929E3" w:rsidRPr="003929E3" w:rsidRDefault="003929E3" w:rsidP="003929E3">
      <w:pPr>
        <w:pStyle w:val="ListParagraph"/>
        <w:rPr>
          <w:rFonts w:ascii="Arial" w:hAnsi="Arial" w:cs="Arial"/>
          <w:lang w:val="en-US"/>
        </w:rPr>
      </w:pPr>
    </w:p>
    <w:p w14:paraId="1D22EAC5" w14:textId="4688934A" w:rsidR="00037D61" w:rsidRDefault="00CD06D4" w:rsidP="00037D61">
      <w:pPr>
        <w:pStyle w:val="ListParagraph"/>
        <w:numPr>
          <w:ilvl w:val="0"/>
          <w:numId w:val="6"/>
        </w:numPr>
        <w:spacing w:line="360" w:lineRule="auto"/>
        <w:ind w:left="0" w:firstLine="0"/>
        <w:jc w:val="both"/>
        <w:rPr>
          <w:rFonts w:ascii="Arial" w:hAnsi="Arial" w:cs="Arial"/>
          <w:lang w:val="en-US"/>
        </w:rPr>
      </w:pPr>
      <w:r w:rsidRPr="003929E3">
        <w:rPr>
          <w:rFonts w:ascii="Arial" w:hAnsi="Arial" w:cs="Arial"/>
          <w:lang w:val="en-US"/>
        </w:rPr>
        <w:t xml:space="preserve">It appears that in </w:t>
      </w:r>
      <w:r w:rsidRPr="00E72E33">
        <w:rPr>
          <w:rFonts w:ascii="Arial" w:hAnsi="Arial" w:cs="Arial"/>
          <w:i/>
          <w:iCs/>
          <w:lang w:val="en-US"/>
        </w:rPr>
        <w:t>Samicor</w:t>
      </w:r>
      <w:r w:rsidR="00E0216A" w:rsidRPr="0039658E">
        <w:rPr>
          <w:rStyle w:val="FootnoteReference"/>
          <w:rFonts w:ascii="Arial" w:hAnsi="Arial" w:cs="Arial"/>
          <w:lang w:val="en-US"/>
        </w:rPr>
        <w:footnoteReference w:id="2"/>
      </w:r>
      <w:r w:rsidRPr="0039658E">
        <w:rPr>
          <w:rFonts w:ascii="Arial" w:hAnsi="Arial" w:cs="Arial"/>
          <w:lang w:val="en-US"/>
        </w:rPr>
        <w:t xml:space="preserve"> the </w:t>
      </w:r>
      <w:r w:rsidRPr="00E72E33">
        <w:rPr>
          <w:rFonts w:ascii="Arial" w:hAnsi="Arial" w:cs="Arial"/>
          <w:lang w:val="en-US"/>
        </w:rPr>
        <w:t xml:space="preserve">court </w:t>
      </w:r>
      <w:r w:rsidR="00A775CA" w:rsidRPr="00E72E33">
        <w:rPr>
          <w:rFonts w:ascii="Arial" w:hAnsi="Arial" w:cs="Arial"/>
          <w:lang w:val="en-US"/>
        </w:rPr>
        <w:t>did</w:t>
      </w:r>
      <w:r w:rsidR="00A775CA">
        <w:rPr>
          <w:rFonts w:ascii="Arial" w:hAnsi="Arial" w:cs="Arial"/>
          <w:lang w:val="en-US"/>
        </w:rPr>
        <w:t xml:space="preserve"> not consider</w:t>
      </w:r>
      <w:r w:rsidR="00E71660">
        <w:rPr>
          <w:rFonts w:ascii="Arial" w:hAnsi="Arial" w:cs="Arial"/>
          <w:lang w:val="en-US"/>
        </w:rPr>
        <w:t xml:space="preserve">, nor was it </w:t>
      </w:r>
      <w:r w:rsidR="002F47C5">
        <w:rPr>
          <w:rFonts w:ascii="Arial" w:hAnsi="Arial" w:cs="Arial"/>
          <w:lang w:val="en-US"/>
        </w:rPr>
        <w:t>refer</w:t>
      </w:r>
      <w:r w:rsidR="00E71660">
        <w:rPr>
          <w:rFonts w:ascii="Arial" w:hAnsi="Arial" w:cs="Arial"/>
          <w:lang w:val="en-US"/>
        </w:rPr>
        <w:t>red</w:t>
      </w:r>
      <w:r w:rsidRPr="003929E3">
        <w:rPr>
          <w:rFonts w:ascii="Arial" w:hAnsi="Arial" w:cs="Arial"/>
          <w:lang w:val="en-US"/>
        </w:rPr>
        <w:t xml:space="preserve"> to</w:t>
      </w:r>
      <w:r w:rsidR="00E71660">
        <w:rPr>
          <w:rFonts w:ascii="Arial" w:hAnsi="Arial" w:cs="Arial"/>
          <w:lang w:val="en-US"/>
        </w:rPr>
        <w:t>,</w:t>
      </w:r>
      <w:r w:rsidRPr="003929E3">
        <w:rPr>
          <w:rFonts w:ascii="Arial" w:hAnsi="Arial" w:cs="Arial"/>
          <w:lang w:val="en-US"/>
        </w:rPr>
        <w:t xml:space="preserve"> the provisions of s 129(1)</w:t>
      </w:r>
      <w:r w:rsidRPr="002B462E">
        <w:rPr>
          <w:rFonts w:ascii="Arial" w:hAnsi="Arial" w:cs="Arial"/>
          <w:i/>
          <w:iCs/>
          <w:lang w:val="en-US"/>
        </w:rPr>
        <w:t>(a)</w:t>
      </w:r>
      <w:r>
        <w:rPr>
          <w:rFonts w:ascii="Arial" w:hAnsi="Arial" w:cs="Arial"/>
          <w:lang w:val="en-US"/>
        </w:rPr>
        <w:t xml:space="preserve"> of the Act</w:t>
      </w:r>
      <w:r w:rsidRPr="003929E3">
        <w:rPr>
          <w:rFonts w:ascii="Arial" w:hAnsi="Arial" w:cs="Arial"/>
          <w:lang w:val="en-US"/>
        </w:rPr>
        <w:t xml:space="preserve">, which provide what ‘a document’ includes for </w:t>
      </w:r>
      <w:r>
        <w:rPr>
          <w:rFonts w:ascii="Arial" w:hAnsi="Arial" w:cs="Arial"/>
          <w:lang w:val="en-US"/>
        </w:rPr>
        <w:t xml:space="preserve">the </w:t>
      </w:r>
      <w:r w:rsidRPr="003929E3">
        <w:rPr>
          <w:rFonts w:ascii="Arial" w:hAnsi="Arial" w:cs="Arial"/>
          <w:lang w:val="en-US"/>
        </w:rPr>
        <w:t>purpose of the Act</w:t>
      </w:r>
      <w:r w:rsidR="00A775CA">
        <w:rPr>
          <w:rFonts w:ascii="Arial" w:hAnsi="Arial" w:cs="Arial"/>
          <w:lang w:val="en-US"/>
        </w:rPr>
        <w:t xml:space="preserve">. It </w:t>
      </w:r>
      <w:r w:rsidR="002F47C5">
        <w:rPr>
          <w:rFonts w:ascii="Arial" w:hAnsi="Arial" w:cs="Arial"/>
          <w:lang w:val="en-US"/>
        </w:rPr>
        <w:t xml:space="preserve">further </w:t>
      </w:r>
      <w:r w:rsidR="00A775CA">
        <w:rPr>
          <w:rFonts w:ascii="Arial" w:hAnsi="Arial" w:cs="Arial"/>
          <w:lang w:val="en-US"/>
        </w:rPr>
        <w:t>appears that the court</w:t>
      </w:r>
      <w:r w:rsidRPr="003929E3">
        <w:rPr>
          <w:rFonts w:ascii="Arial" w:hAnsi="Arial" w:cs="Arial"/>
          <w:lang w:val="en-US"/>
        </w:rPr>
        <w:t xml:space="preserve"> </w:t>
      </w:r>
      <w:r w:rsidR="00A775CA">
        <w:rPr>
          <w:rFonts w:ascii="Arial" w:hAnsi="Arial" w:cs="Arial"/>
          <w:lang w:val="en-US"/>
        </w:rPr>
        <w:t xml:space="preserve">did not </w:t>
      </w:r>
      <w:r w:rsidR="00A775CA">
        <w:rPr>
          <w:rFonts w:ascii="Arial" w:hAnsi="Arial" w:cs="Arial"/>
          <w:lang w:val="en-US"/>
        </w:rPr>
        <w:lastRenderedPageBreak/>
        <w:t>consider</w:t>
      </w:r>
      <w:r w:rsidR="00E71660">
        <w:rPr>
          <w:rFonts w:ascii="Arial" w:hAnsi="Arial" w:cs="Arial"/>
          <w:lang w:val="en-US"/>
        </w:rPr>
        <w:t xml:space="preserve">, nor was it </w:t>
      </w:r>
      <w:r w:rsidR="002F47C5">
        <w:rPr>
          <w:rFonts w:ascii="Arial" w:hAnsi="Arial" w:cs="Arial"/>
          <w:lang w:val="en-US"/>
        </w:rPr>
        <w:t>refer</w:t>
      </w:r>
      <w:r w:rsidR="00E71660">
        <w:rPr>
          <w:rFonts w:ascii="Arial" w:hAnsi="Arial" w:cs="Arial"/>
          <w:lang w:val="en-US"/>
        </w:rPr>
        <w:t>red</w:t>
      </w:r>
      <w:r w:rsidR="002F47C5">
        <w:rPr>
          <w:rFonts w:ascii="Arial" w:hAnsi="Arial" w:cs="Arial"/>
          <w:lang w:val="en-US"/>
        </w:rPr>
        <w:t xml:space="preserve"> to</w:t>
      </w:r>
      <w:r w:rsidR="00E71660">
        <w:rPr>
          <w:rFonts w:ascii="Arial" w:hAnsi="Arial" w:cs="Arial"/>
          <w:lang w:val="en-US"/>
        </w:rPr>
        <w:t>,</w:t>
      </w:r>
      <w:r w:rsidR="00A775CA">
        <w:rPr>
          <w:rFonts w:ascii="Arial" w:hAnsi="Arial" w:cs="Arial"/>
          <w:lang w:val="en-US"/>
        </w:rPr>
        <w:t xml:space="preserve"> </w:t>
      </w:r>
      <w:r w:rsidRPr="003929E3">
        <w:rPr>
          <w:rFonts w:ascii="Arial" w:hAnsi="Arial" w:cs="Arial"/>
          <w:lang w:val="en-US"/>
        </w:rPr>
        <w:t xml:space="preserve">Conciliation and Arbitration </w:t>
      </w:r>
      <w:r w:rsidR="003A26AF">
        <w:rPr>
          <w:rFonts w:ascii="Arial" w:hAnsi="Arial" w:cs="Arial"/>
          <w:lang w:val="en-US"/>
        </w:rPr>
        <w:t>r</w:t>
      </w:r>
      <w:r w:rsidRPr="003929E3">
        <w:rPr>
          <w:rFonts w:ascii="Arial" w:hAnsi="Arial" w:cs="Arial"/>
          <w:lang w:val="en-US"/>
        </w:rPr>
        <w:t xml:space="preserve"> 21(1)</w:t>
      </w:r>
      <w:r>
        <w:rPr>
          <w:rFonts w:ascii="Arial" w:hAnsi="Arial" w:cs="Arial"/>
          <w:lang w:val="en-US"/>
        </w:rPr>
        <w:t>, read with r 1(1) and 6</w:t>
      </w:r>
      <w:r w:rsidRPr="003929E3">
        <w:rPr>
          <w:rFonts w:ascii="Arial" w:hAnsi="Arial" w:cs="Arial"/>
          <w:lang w:val="en-US"/>
        </w:rPr>
        <w:t>.</w:t>
      </w:r>
      <w:r w:rsidR="00A775CA">
        <w:rPr>
          <w:rFonts w:ascii="Arial" w:hAnsi="Arial" w:cs="Arial"/>
          <w:lang w:val="en-US"/>
        </w:rPr>
        <w:t xml:space="preserve"> If the court considered it or if the court </w:t>
      </w:r>
      <w:r w:rsidR="00E71660">
        <w:rPr>
          <w:rFonts w:ascii="Arial" w:hAnsi="Arial" w:cs="Arial"/>
          <w:lang w:val="en-US"/>
        </w:rPr>
        <w:t xml:space="preserve">was </w:t>
      </w:r>
      <w:r w:rsidR="00A775CA">
        <w:rPr>
          <w:rFonts w:ascii="Arial" w:hAnsi="Arial" w:cs="Arial"/>
          <w:lang w:val="en-US"/>
        </w:rPr>
        <w:t>referred to it, the court may have arrived at a different conclusion</w:t>
      </w:r>
      <w:r w:rsidR="009C1FE4">
        <w:rPr>
          <w:rFonts w:ascii="Arial" w:hAnsi="Arial" w:cs="Arial"/>
          <w:lang w:val="en-US"/>
        </w:rPr>
        <w:t>.</w:t>
      </w:r>
    </w:p>
    <w:p w14:paraId="42BC0524" w14:textId="77777777" w:rsidR="00037D61" w:rsidRPr="005A4469" w:rsidRDefault="00037D61" w:rsidP="005A4469">
      <w:pPr>
        <w:rPr>
          <w:rFonts w:ascii="Arial" w:hAnsi="Arial" w:cs="Arial"/>
          <w:lang w:val="en-US"/>
        </w:rPr>
      </w:pPr>
    </w:p>
    <w:p w14:paraId="26CE2974" w14:textId="3BACBC00" w:rsidR="00037D61" w:rsidRDefault="00CD06D4" w:rsidP="00037D61">
      <w:pPr>
        <w:pStyle w:val="ListParagraph"/>
        <w:numPr>
          <w:ilvl w:val="0"/>
          <w:numId w:val="6"/>
        </w:numPr>
        <w:spacing w:line="360" w:lineRule="auto"/>
        <w:ind w:left="0" w:firstLine="0"/>
        <w:jc w:val="both"/>
        <w:rPr>
          <w:rFonts w:ascii="Arial" w:hAnsi="Arial" w:cs="Arial"/>
          <w:lang w:val="en-US"/>
        </w:rPr>
      </w:pPr>
      <w:r w:rsidRPr="00037D61">
        <w:rPr>
          <w:rFonts w:ascii="Arial" w:hAnsi="Arial" w:cs="Arial"/>
          <w:lang w:val="en-US"/>
        </w:rPr>
        <w:t xml:space="preserve">Whereas service of an award is expressly dealt with in </w:t>
      </w:r>
      <w:r w:rsidR="00037D61">
        <w:rPr>
          <w:rFonts w:ascii="Arial" w:hAnsi="Arial" w:cs="Arial"/>
          <w:lang w:val="en-US"/>
        </w:rPr>
        <w:t xml:space="preserve">Conciliation and Arbitration </w:t>
      </w:r>
      <w:r w:rsidR="003A26AF">
        <w:rPr>
          <w:rFonts w:ascii="Arial" w:hAnsi="Arial" w:cs="Arial"/>
          <w:lang w:val="en-US"/>
        </w:rPr>
        <w:t>r</w:t>
      </w:r>
      <w:r w:rsidR="005A4469">
        <w:rPr>
          <w:rFonts w:ascii="Arial" w:hAnsi="Arial" w:cs="Arial"/>
          <w:lang w:val="en-US"/>
        </w:rPr>
        <w:t xml:space="preserve"> 21(1), read with r 1(1)</w:t>
      </w:r>
      <w:r w:rsidRPr="00037D61">
        <w:rPr>
          <w:rFonts w:ascii="Arial" w:hAnsi="Arial" w:cs="Arial"/>
          <w:lang w:val="en-US"/>
        </w:rPr>
        <w:t>, while there is no similar provision in the Act, the court finds that</w:t>
      </w:r>
      <w:r w:rsidR="005A4469">
        <w:rPr>
          <w:rFonts w:ascii="Arial" w:hAnsi="Arial" w:cs="Arial"/>
          <w:lang w:val="en-US"/>
        </w:rPr>
        <w:t>,</w:t>
      </w:r>
      <w:r w:rsidR="00037D61">
        <w:rPr>
          <w:rFonts w:ascii="Arial" w:hAnsi="Arial" w:cs="Arial"/>
          <w:lang w:val="en-US"/>
        </w:rPr>
        <w:t xml:space="preserve"> in terms of Conciliation and Arbitration </w:t>
      </w:r>
      <w:r w:rsidR="003A26AF">
        <w:rPr>
          <w:rFonts w:ascii="Arial" w:hAnsi="Arial" w:cs="Arial"/>
          <w:lang w:val="en-US"/>
        </w:rPr>
        <w:t>r</w:t>
      </w:r>
      <w:r w:rsidR="00037D61">
        <w:rPr>
          <w:rFonts w:ascii="Arial" w:hAnsi="Arial" w:cs="Arial"/>
          <w:lang w:val="en-US"/>
        </w:rPr>
        <w:t xml:space="preserve"> 21(1), read with r 1(1), an arbitrator must serve an award on the parties </w:t>
      </w:r>
      <w:r w:rsidR="002F47C5">
        <w:rPr>
          <w:rFonts w:ascii="Arial" w:hAnsi="Arial" w:cs="Arial"/>
          <w:lang w:val="en-US"/>
        </w:rPr>
        <w:t>under</w:t>
      </w:r>
      <w:r w:rsidR="00037D61">
        <w:rPr>
          <w:rFonts w:ascii="Arial" w:hAnsi="Arial" w:cs="Arial"/>
          <w:lang w:val="en-US"/>
        </w:rPr>
        <w:t xml:space="preserve"> Conciliation and Arbitration </w:t>
      </w:r>
      <w:r w:rsidR="003A26AF">
        <w:rPr>
          <w:rFonts w:ascii="Arial" w:hAnsi="Arial" w:cs="Arial"/>
          <w:lang w:val="en-US"/>
        </w:rPr>
        <w:t>r</w:t>
      </w:r>
      <w:r w:rsidR="00037D61">
        <w:rPr>
          <w:rFonts w:ascii="Arial" w:hAnsi="Arial" w:cs="Arial"/>
          <w:lang w:val="en-US"/>
        </w:rPr>
        <w:t xml:space="preserve"> 6</w:t>
      </w:r>
      <w:r w:rsidR="00E71660">
        <w:rPr>
          <w:rFonts w:ascii="Arial" w:hAnsi="Arial" w:cs="Arial"/>
          <w:lang w:val="en-US"/>
        </w:rPr>
        <w:t>. D</w:t>
      </w:r>
      <w:r w:rsidR="00037D61">
        <w:rPr>
          <w:rFonts w:ascii="Arial" w:hAnsi="Arial" w:cs="Arial"/>
          <w:lang w:val="en-US"/>
        </w:rPr>
        <w:t>ue to the express provisions</w:t>
      </w:r>
      <w:r w:rsidR="005A4469">
        <w:rPr>
          <w:rFonts w:ascii="Arial" w:hAnsi="Arial" w:cs="Arial"/>
          <w:lang w:val="en-US"/>
        </w:rPr>
        <w:t xml:space="preserve"> of those rules</w:t>
      </w:r>
      <w:r w:rsidR="00E71660">
        <w:rPr>
          <w:rFonts w:ascii="Arial" w:hAnsi="Arial" w:cs="Arial"/>
          <w:lang w:val="en-US"/>
        </w:rPr>
        <w:t xml:space="preserve">, the court finds </w:t>
      </w:r>
      <w:r w:rsidRPr="00037D61">
        <w:rPr>
          <w:rFonts w:ascii="Arial" w:hAnsi="Arial" w:cs="Arial"/>
          <w:lang w:val="en-US"/>
        </w:rPr>
        <w:t xml:space="preserve">that </w:t>
      </w:r>
      <w:r w:rsidR="00E71660">
        <w:rPr>
          <w:rFonts w:ascii="Arial" w:hAnsi="Arial" w:cs="Arial"/>
          <w:lang w:val="en-US"/>
        </w:rPr>
        <w:t xml:space="preserve">that </w:t>
      </w:r>
      <w:r w:rsidRPr="00037D61">
        <w:rPr>
          <w:rFonts w:ascii="Arial" w:hAnsi="Arial" w:cs="Arial"/>
          <w:lang w:val="en-US"/>
        </w:rPr>
        <w:t xml:space="preserve">is </w:t>
      </w:r>
      <w:r w:rsidR="005A4469">
        <w:rPr>
          <w:rFonts w:ascii="Arial" w:hAnsi="Arial" w:cs="Arial"/>
          <w:lang w:val="en-US"/>
        </w:rPr>
        <w:t>the position</w:t>
      </w:r>
      <w:r w:rsidR="00E71660">
        <w:rPr>
          <w:rFonts w:ascii="Arial" w:hAnsi="Arial" w:cs="Arial"/>
          <w:lang w:val="en-US"/>
        </w:rPr>
        <w:t xml:space="preserve"> on service of an award</w:t>
      </w:r>
      <w:r w:rsidRPr="00037D61">
        <w:rPr>
          <w:rFonts w:ascii="Arial" w:hAnsi="Arial" w:cs="Arial"/>
          <w:lang w:val="en-US"/>
        </w:rPr>
        <w:t xml:space="preserve"> notwithstanding th</w:t>
      </w:r>
      <w:r w:rsidR="00037D61">
        <w:rPr>
          <w:rFonts w:ascii="Arial" w:hAnsi="Arial" w:cs="Arial"/>
          <w:lang w:val="en-US"/>
        </w:rPr>
        <w:t>ose</w:t>
      </w:r>
      <w:r w:rsidRPr="00037D61">
        <w:rPr>
          <w:rFonts w:ascii="Arial" w:hAnsi="Arial" w:cs="Arial"/>
          <w:lang w:val="en-US"/>
        </w:rPr>
        <w:t xml:space="preserve"> </w:t>
      </w:r>
      <w:r w:rsidR="00037D61">
        <w:rPr>
          <w:rFonts w:ascii="Arial" w:hAnsi="Arial" w:cs="Arial"/>
          <w:lang w:val="en-US"/>
        </w:rPr>
        <w:t>r</w:t>
      </w:r>
      <w:r w:rsidRPr="00037D61">
        <w:rPr>
          <w:rFonts w:ascii="Arial" w:hAnsi="Arial" w:cs="Arial"/>
          <w:lang w:val="en-US"/>
        </w:rPr>
        <w:t>ules being subject to the Act.</w:t>
      </w:r>
      <w:r w:rsidR="005A4469">
        <w:rPr>
          <w:rFonts w:ascii="Arial" w:hAnsi="Arial" w:cs="Arial"/>
          <w:lang w:val="en-US"/>
        </w:rPr>
        <w:t xml:space="preserve"> In terms of Conciliation and Arbitration </w:t>
      </w:r>
      <w:r w:rsidR="003A26AF">
        <w:rPr>
          <w:rFonts w:ascii="Arial" w:hAnsi="Arial" w:cs="Arial"/>
          <w:lang w:val="en-US"/>
        </w:rPr>
        <w:t>r</w:t>
      </w:r>
      <w:r w:rsidR="005A4469">
        <w:rPr>
          <w:rFonts w:ascii="Arial" w:hAnsi="Arial" w:cs="Arial"/>
          <w:lang w:val="en-US"/>
        </w:rPr>
        <w:t xml:space="preserve"> 21(4), an award must be sent to the parties with an accompanying notice informing the</w:t>
      </w:r>
      <w:r w:rsidR="002F47C5">
        <w:rPr>
          <w:rFonts w:ascii="Arial" w:hAnsi="Arial" w:cs="Arial"/>
          <w:lang w:val="en-US"/>
        </w:rPr>
        <w:t>m</w:t>
      </w:r>
      <w:r w:rsidR="005A4469">
        <w:rPr>
          <w:rFonts w:ascii="Arial" w:hAnsi="Arial" w:cs="Arial"/>
          <w:lang w:val="en-US"/>
        </w:rPr>
        <w:t xml:space="preserve"> of their rights.</w:t>
      </w:r>
      <w:r w:rsidR="00A775CA">
        <w:rPr>
          <w:rFonts w:ascii="Arial" w:hAnsi="Arial" w:cs="Arial"/>
          <w:lang w:val="en-US"/>
        </w:rPr>
        <w:t xml:space="preserve"> That duty</w:t>
      </w:r>
      <w:r w:rsidR="009C1FE4">
        <w:rPr>
          <w:rFonts w:ascii="Arial" w:hAnsi="Arial" w:cs="Arial"/>
          <w:lang w:val="en-US"/>
        </w:rPr>
        <w:t>, too,</w:t>
      </w:r>
      <w:r w:rsidR="00A775CA">
        <w:rPr>
          <w:rFonts w:ascii="Arial" w:hAnsi="Arial" w:cs="Arial"/>
          <w:lang w:val="en-US"/>
        </w:rPr>
        <w:t xml:space="preserve"> arises from the Conciliation and Arbitration Rules, not </w:t>
      </w:r>
      <w:r w:rsidR="00A61A6E">
        <w:rPr>
          <w:rFonts w:ascii="Arial" w:hAnsi="Arial" w:cs="Arial"/>
          <w:lang w:val="en-US"/>
        </w:rPr>
        <w:t xml:space="preserve">from </w:t>
      </w:r>
      <w:r w:rsidR="00A775CA">
        <w:rPr>
          <w:rFonts w:ascii="Arial" w:hAnsi="Arial" w:cs="Arial"/>
          <w:lang w:val="en-US"/>
        </w:rPr>
        <w:t>the Act.</w:t>
      </w:r>
    </w:p>
    <w:p w14:paraId="4E19069B" w14:textId="77777777" w:rsidR="00037D61" w:rsidRPr="00037D61" w:rsidRDefault="00037D61" w:rsidP="00037D61">
      <w:pPr>
        <w:pStyle w:val="ListParagraph"/>
        <w:rPr>
          <w:rFonts w:ascii="Arial" w:hAnsi="Arial" w:cs="Arial"/>
          <w:lang w:val="en-US"/>
        </w:rPr>
      </w:pPr>
    </w:p>
    <w:p w14:paraId="625E44CF" w14:textId="3CF1C615" w:rsidR="00A44619" w:rsidRDefault="00A44619" w:rsidP="00A44619">
      <w:pPr>
        <w:pStyle w:val="ListParagraph"/>
        <w:numPr>
          <w:ilvl w:val="0"/>
          <w:numId w:val="6"/>
        </w:numPr>
        <w:spacing w:line="360" w:lineRule="auto"/>
        <w:ind w:left="0" w:firstLine="0"/>
        <w:jc w:val="both"/>
        <w:rPr>
          <w:rFonts w:ascii="Arial" w:hAnsi="Arial" w:cs="Arial"/>
          <w:lang w:val="en-US"/>
        </w:rPr>
      </w:pPr>
      <w:r w:rsidRPr="00356D10">
        <w:rPr>
          <w:rFonts w:ascii="Arial" w:hAnsi="Arial" w:cs="Arial"/>
          <w:lang w:val="en-US"/>
        </w:rPr>
        <w:t xml:space="preserve">Where do </w:t>
      </w:r>
      <w:r>
        <w:rPr>
          <w:rFonts w:ascii="Arial" w:hAnsi="Arial" w:cs="Arial"/>
          <w:lang w:val="en-US"/>
        </w:rPr>
        <w:t>th</w:t>
      </w:r>
      <w:r w:rsidR="00A27601">
        <w:rPr>
          <w:rFonts w:ascii="Arial" w:hAnsi="Arial" w:cs="Arial"/>
          <w:lang w:val="en-US"/>
        </w:rPr>
        <w:t>ose</w:t>
      </w:r>
      <w:r>
        <w:rPr>
          <w:rFonts w:ascii="Arial" w:hAnsi="Arial" w:cs="Arial"/>
          <w:lang w:val="en-US"/>
        </w:rPr>
        <w:t xml:space="preserve"> findings on service of an award</w:t>
      </w:r>
      <w:r w:rsidR="005A4469">
        <w:rPr>
          <w:rFonts w:ascii="Arial" w:hAnsi="Arial" w:cs="Arial"/>
          <w:lang w:val="en-US"/>
        </w:rPr>
        <w:t xml:space="preserve"> </w:t>
      </w:r>
      <w:r w:rsidRPr="00356D10">
        <w:rPr>
          <w:rFonts w:ascii="Arial" w:hAnsi="Arial" w:cs="Arial"/>
          <w:lang w:val="en-US"/>
        </w:rPr>
        <w:t>leave the</w:t>
      </w:r>
      <w:r w:rsidR="005A4469">
        <w:rPr>
          <w:rFonts w:ascii="Arial" w:hAnsi="Arial" w:cs="Arial"/>
          <w:lang w:val="en-US"/>
        </w:rPr>
        <w:t xml:space="preserve"> </w:t>
      </w:r>
      <w:r w:rsidR="00E72E33">
        <w:rPr>
          <w:rFonts w:ascii="Arial" w:hAnsi="Arial" w:cs="Arial"/>
          <w:lang w:val="en-US"/>
        </w:rPr>
        <w:t>a</w:t>
      </w:r>
      <w:r w:rsidRPr="00356D10">
        <w:rPr>
          <w:rFonts w:ascii="Arial" w:hAnsi="Arial" w:cs="Arial"/>
          <w:lang w:val="en-US"/>
        </w:rPr>
        <w:t xml:space="preserve">pplicant’s argument </w:t>
      </w:r>
      <w:r w:rsidR="00D45800">
        <w:rPr>
          <w:rFonts w:ascii="Arial" w:hAnsi="Arial" w:cs="Arial"/>
          <w:lang w:val="en-US"/>
        </w:rPr>
        <w:t>on irregular service</w:t>
      </w:r>
      <w:r w:rsidR="00A27601">
        <w:rPr>
          <w:rFonts w:ascii="Arial" w:hAnsi="Arial" w:cs="Arial"/>
          <w:lang w:val="en-US"/>
        </w:rPr>
        <w:t xml:space="preserve"> of the ruling</w:t>
      </w:r>
      <w:r>
        <w:rPr>
          <w:rFonts w:ascii="Arial" w:hAnsi="Arial" w:cs="Arial"/>
          <w:lang w:val="en-US"/>
        </w:rPr>
        <w:t>?</w:t>
      </w:r>
    </w:p>
    <w:p w14:paraId="7301246D" w14:textId="77777777" w:rsidR="00E71660" w:rsidRPr="00E71660" w:rsidRDefault="00E71660" w:rsidP="00E71660">
      <w:pPr>
        <w:pStyle w:val="ListParagraph"/>
        <w:rPr>
          <w:rFonts w:ascii="Arial" w:hAnsi="Arial" w:cs="Arial"/>
          <w:lang w:val="en-US"/>
        </w:rPr>
      </w:pPr>
    </w:p>
    <w:p w14:paraId="1232200D" w14:textId="63CFC0E5" w:rsidR="00A44619" w:rsidRDefault="00A44619" w:rsidP="00D45800">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Service of the ruling had to be effected </w:t>
      </w:r>
      <w:r w:rsidR="009C1FE4">
        <w:rPr>
          <w:rFonts w:ascii="Arial" w:hAnsi="Arial" w:cs="Arial"/>
          <w:lang w:val="en-US"/>
        </w:rPr>
        <w:t>under</w:t>
      </w:r>
      <w:r>
        <w:rPr>
          <w:rFonts w:ascii="Arial" w:hAnsi="Arial" w:cs="Arial"/>
          <w:lang w:val="en-US"/>
        </w:rPr>
        <w:t xml:space="preserve"> Conciliation and Arbitration </w:t>
      </w:r>
      <w:r w:rsidR="003A26AF">
        <w:rPr>
          <w:rFonts w:ascii="Arial" w:hAnsi="Arial" w:cs="Arial"/>
          <w:lang w:val="en-US"/>
        </w:rPr>
        <w:t>r</w:t>
      </w:r>
      <w:r>
        <w:rPr>
          <w:rFonts w:ascii="Arial" w:hAnsi="Arial" w:cs="Arial"/>
          <w:lang w:val="en-US"/>
        </w:rPr>
        <w:t xml:space="preserve"> 6, not </w:t>
      </w:r>
      <w:r w:rsidR="009C1FE4">
        <w:rPr>
          <w:rFonts w:ascii="Arial" w:hAnsi="Arial" w:cs="Arial"/>
          <w:lang w:val="en-US"/>
        </w:rPr>
        <w:t>under</w:t>
      </w:r>
      <w:r w:rsidR="00A61A6E">
        <w:rPr>
          <w:rFonts w:ascii="Arial" w:hAnsi="Arial" w:cs="Arial"/>
          <w:lang w:val="en-US"/>
        </w:rPr>
        <w:t xml:space="preserve"> </w:t>
      </w:r>
      <w:r>
        <w:rPr>
          <w:rFonts w:ascii="Arial" w:hAnsi="Arial" w:cs="Arial"/>
          <w:lang w:val="en-US"/>
        </w:rPr>
        <w:t>s 129(2) of the Act. The</w:t>
      </w:r>
      <w:r w:rsidR="009C1FE4">
        <w:rPr>
          <w:rFonts w:ascii="Arial" w:hAnsi="Arial" w:cs="Arial"/>
          <w:lang w:val="en-US"/>
        </w:rPr>
        <w:t xml:space="preserve">refore, the </w:t>
      </w:r>
      <w:r w:rsidR="00E72E33">
        <w:rPr>
          <w:rFonts w:ascii="Arial" w:hAnsi="Arial" w:cs="Arial"/>
          <w:lang w:val="en-US"/>
        </w:rPr>
        <w:t>a</w:t>
      </w:r>
      <w:r w:rsidR="009C1FE4">
        <w:rPr>
          <w:rFonts w:ascii="Arial" w:hAnsi="Arial" w:cs="Arial"/>
          <w:lang w:val="en-US"/>
        </w:rPr>
        <w:t>pplicant’s argument that service had to be effected on it under s 129(2)</w:t>
      </w:r>
      <w:r w:rsidR="009C1FE4" w:rsidRPr="00A365A3">
        <w:rPr>
          <w:rFonts w:ascii="Arial" w:hAnsi="Arial" w:cs="Arial"/>
          <w:i/>
          <w:iCs/>
          <w:lang w:val="en-US"/>
        </w:rPr>
        <w:t>(d)</w:t>
      </w:r>
      <w:r w:rsidR="009C1FE4">
        <w:rPr>
          <w:rFonts w:ascii="Arial" w:hAnsi="Arial" w:cs="Arial"/>
          <w:lang w:val="en-US"/>
        </w:rPr>
        <w:t xml:space="preserve"> of the Act is</w:t>
      </w:r>
      <w:r>
        <w:rPr>
          <w:rFonts w:ascii="Arial" w:hAnsi="Arial" w:cs="Arial"/>
          <w:lang w:val="en-US"/>
        </w:rPr>
        <w:t xml:space="preserve"> </w:t>
      </w:r>
      <w:r w:rsidR="00130CD0">
        <w:rPr>
          <w:rFonts w:ascii="Arial" w:hAnsi="Arial" w:cs="Arial"/>
          <w:lang w:val="en-US"/>
        </w:rPr>
        <w:t>not upheld</w:t>
      </w:r>
      <w:r>
        <w:rPr>
          <w:rFonts w:ascii="Arial" w:hAnsi="Arial" w:cs="Arial"/>
          <w:lang w:val="en-US"/>
        </w:rPr>
        <w:t>.</w:t>
      </w:r>
      <w:r w:rsidR="00D45800">
        <w:rPr>
          <w:rFonts w:ascii="Arial" w:hAnsi="Arial" w:cs="Arial"/>
          <w:lang w:val="en-US"/>
        </w:rPr>
        <w:t xml:space="preserve"> </w:t>
      </w:r>
      <w:r w:rsidR="00D45800" w:rsidRPr="00D45800">
        <w:rPr>
          <w:rFonts w:ascii="Arial" w:hAnsi="Arial" w:cs="Arial"/>
          <w:lang w:val="en-US"/>
        </w:rPr>
        <w:t xml:space="preserve">Does that mean that service </w:t>
      </w:r>
      <w:r w:rsidR="00A27601">
        <w:rPr>
          <w:rFonts w:ascii="Arial" w:hAnsi="Arial" w:cs="Arial"/>
          <w:lang w:val="en-US"/>
        </w:rPr>
        <w:t xml:space="preserve">of the ruling </w:t>
      </w:r>
      <w:r w:rsidR="00D45800">
        <w:rPr>
          <w:rFonts w:ascii="Arial" w:hAnsi="Arial" w:cs="Arial"/>
          <w:lang w:val="en-US"/>
        </w:rPr>
        <w:t xml:space="preserve">on the </w:t>
      </w:r>
      <w:r w:rsidR="00E72E33">
        <w:rPr>
          <w:rFonts w:ascii="Arial" w:hAnsi="Arial" w:cs="Arial"/>
          <w:lang w:val="en-US"/>
        </w:rPr>
        <w:t>a</w:t>
      </w:r>
      <w:r w:rsidR="00D45800">
        <w:rPr>
          <w:rFonts w:ascii="Arial" w:hAnsi="Arial" w:cs="Arial"/>
          <w:lang w:val="en-US"/>
        </w:rPr>
        <w:t xml:space="preserve">pplicant </w:t>
      </w:r>
      <w:r w:rsidR="00D45800" w:rsidRPr="00D45800">
        <w:rPr>
          <w:rFonts w:ascii="Arial" w:hAnsi="Arial" w:cs="Arial"/>
          <w:lang w:val="en-US"/>
        </w:rPr>
        <w:t>was regular? No.</w:t>
      </w:r>
    </w:p>
    <w:p w14:paraId="72E9A0BB" w14:textId="77777777" w:rsidR="00E71660" w:rsidRPr="00E71660" w:rsidRDefault="00E71660" w:rsidP="00E71660">
      <w:pPr>
        <w:pStyle w:val="ListParagraph"/>
        <w:rPr>
          <w:rFonts w:ascii="Arial" w:hAnsi="Arial" w:cs="Arial"/>
          <w:lang w:val="en-US"/>
        </w:rPr>
      </w:pPr>
    </w:p>
    <w:p w14:paraId="19307448" w14:textId="2F0BD882" w:rsidR="00E71660" w:rsidRDefault="00E71660" w:rsidP="00E71660">
      <w:pPr>
        <w:pStyle w:val="ListParagraph"/>
        <w:spacing w:line="360" w:lineRule="auto"/>
        <w:ind w:left="0"/>
        <w:jc w:val="both"/>
        <w:rPr>
          <w:rFonts w:ascii="Arial" w:hAnsi="Arial" w:cs="Arial"/>
          <w:lang w:val="en-US"/>
        </w:rPr>
      </w:pPr>
      <w:r>
        <w:rPr>
          <w:rFonts w:ascii="Arial" w:hAnsi="Arial" w:cs="Arial"/>
          <w:u w:val="single"/>
          <w:lang w:val="en-US"/>
        </w:rPr>
        <w:t>Irregular service of the award (ruling)</w:t>
      </w:r>
    </w:p>
    <w:p w14:paraId="5267B16C" w14:textId="77777777" w:rsidR="00E71660" w:rsidRPr="00E71660" w:rsidRDefault="00E71660" w:rsidP="00E71660">
      <w:pPr>
        <w:pStyle w:val="ListParagraph"/>
        <w:rPr>
          <w:rFonts w:ascii="Arial" w:hAnsi="Arial" w:cs="Arial"/>
          <w:lang w:val="en-US"/>
        </w:rPr>
      </w:pPr>
    </w:p>
    <w:p w14:paraId="335EE1A9" w14:textId="6676FDDA" w:rsidR="00D45800" w:rsidRDefault="00A44619" w:rsidP="00D45800">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Conciliation and Arbitration </w:t>
      </w:r>
      <w:r w:rsidR="003A26AF">
        <w:rPr>
          <w:rFonts w:ascii="Arial" w:hAnsi="Arial" w:cs="Arial"/>
          <w:lang w:val="en-US"/>
        </w:rPr>
        <w:t>r</w:t>
      </w:r>
      <w:r>
        <w:rPr>
          <w:rFonts w:ascii="Arial" w:hAnsi="Arial" w:cs="Arial"/>
          <w:lang w:val="en-US"/>
        </w:rPr>
        <w:t xml:space="preserve"> 6(3)</w:t>
      </w:r>
      <w:r w:rsidRPr="002B462E">
        <w:rPr>
          <w:rFonts w:ascii="Arial" w:hAnsi="Arial" w:cs="Arial"/>
          <w:i/>
          <w:iCs/>
          <w:lang w:val="en-US"/>
        </w:rPr>
        <w:t>(a)</w:t>
      </w:r>
      <w:r>
        <w:rPr>
          <w:rFonts w:ascii="Arial" w:hAnsi="Arial" w:cs="Arial"/>
          <w:lang w:val="en-US"/>
        </w:rPr>
        <w:t xml:space="preserve"> provides that an arbitrator may serve an award on a company by handing a copy of the award to a responsible employee of the company at </w:t>
      </w:r>
      <w:r w:rsidR="00E0216A">
        <w:rPr>
          <w:rFonts w:ascii="Arial" w:hAnsi="Arial" w:cs="Arial"/>
          <w:lang w:val="en-US"/>
        </w:rPr>
        <w:t>its</w:t>
      </w:r>
      <w:r>
        <w:rPr>
          <w:rFonts w:ascii="Arial" w:hAnsi="Arial" w:cs="Arial"/>
          <w:lang w:val="en-US"/>
        </w:rPr>
        <w:t xml:space="preserve"> registered office or principal place of business in Namibia or at </w:t>
      </w:r>
      <w:r w:rsidR="00A61A6E">
        <w:rPr>
          <w:rFonts w:ascii="Arial" w:hAnsi="Arial" w:cs="Arial"/>
          <w:lang w:val="en-US"/>
        </w:rPr>
        <w:t>its</w:t>
      </w:r>
      <w:r>
        <w:rPr>
          <w:rFonts w:ascii="Arial" w:hAnsi="Arial" w:cs="Arial"/>
          <w:lang w:val="en-US"/>
        </w:rPr>
        <w:t xml:space="preserve"> main place of business within the region where the dispute first arose.</w:t>
      </w:r>
      <w:r w:rsidR="00D45800">
        <w:rPr>
          <w:rFonts w:ascii="Arial" w:hAnsi="Arial" w:cs="Arial"/>
          <w:lang w:val="en-US"/>
        </w:rPr>
        <w:t xml:space="preserve"> </w:t>
      </w:r>
      <w:r w:rsidR="00A775CA">
        <w:rPr>
          <w:rFonts w:ascii="Arial" w:hAnsi="Arial" w:cs="Arial"/>
          <w:lang w:val="en-US"/>
        </w:rPr>
        <w:t xml:space="preserve">Conciliation and Arbitration </w:t>
      </w:r>
      <w:r w:rsidR="003A26AF">
        <w:rPr>
          <w:rFonts w:ascii="Arial" w:hAnsi="Arial" w:cs="Arial"/>
          <w:lang w:val="en-US"/>
        </w:rPr>
        <w:t>r</w:t>
      </w:r>
      <w:r w:rsidR="00A775CA">
        <w:rPr>
          <w:rFonts w:ascii="Arial" w:hAnsi="Arial" w:cs="Arial"/>
          <w:lang w:val="en-US"/>
        </w:rPr>
        <w:t xml:space="preserve"> 6(2)</w:t>
      </w:r>
      <w:r w:rsidR="00A775CA" w:rsidRPr="002B462E">
        <w:rPr>
          <w:rFonts w:ascii="Arial" w:hAnsi="Arial" w:cs="Arial"/>
          <w:i/>
          <w:iCs/>
          <w:lang w:val="en-US"/>
        </w:rPr>
        <w:t>(c)</w:t>
      </w:r>
      <w:r w:rsidR="00A775CA">
        <w:rPr>
          <w:rFonts w:ascii="Arial" w:hAnsi="Arial" w:cs="Arial"/>
          <w:lang w:val="en-US"/>
        </w:rPr>
        <w:t xml:space="preserve"> provides for service by email to a ‘person’s</w:t>
      </w:r>
      <w:r w:rsidR="00A61A6E">
        <w:rPr>
          <w:rFonts w:ascii="Arial" w:hAnsi="Arial" w:cs="Arial"/>
          <w:lang w:val="en-US"/>
        </w:rPr>
        <w:t>’</w:t>
      </w:r>
      <w:r w:rsidR="00A775CA">
        <w:rPr>
          <w:rFonts w:ascii="Arial" w:hAnsi="Arial" w:cs="Arial"/>
          <w:lang w:val="en-US"/>
        </w:rPr>
        <w:t xml:space="preserve"> email address.</w:t>
      </w:r>
      <w:r w:rsidR="00DC4C1C">
        <w:rPr>
          <w:rFonts w:ascii="Arial" w:hAnsi="Arial" w:cs="Arial"/>
          <w:lang w:val="en-US"/>
        </w:rPr>
        <w:t xml:space="preserve"> The question arises whether the word ‘person’ should be interpreted to include a company. Th</w:t>
      </w:r>
      <w:r w:rsidR="009C1FE4">
        <w:rPr>
          <w:rFonts w:ascii="Arial" w:hAnsi="Arial" w:cs="Arial"/>
          <w:lang w:val="en-US"/>
        </w:rPr>
        <w:t>e parties did not canvas that issue, so</w:t>
      </w:r>
      <w:r w:rsidR="00DC4C1C">
        <w:rPr>
          <w:rFonts w:ascii="Arial" w:hAnsi="Arial" w:cs="Arial"/>
          <w:lang w:val="en-US"/>
        </w:rPr>
        <w:t xml:space="preserve"> the court does not deal with it. The court finds that</w:t>
      </w:r>
      <w:r w:rsidR="00A61A6E">
        <w:rPr>
          <w:rFonts w:ascii="Arial" w:hAnsi="Arial" w:cs="Arial"/>
          <w:lang w:val="en-US"/>
        </w:rPr>
        <w:t xml:space="preserve"> in this matter</w:t>
      </w:r>
      <w:r w:rsidR="00DC4C1C">
        <w:rPr>
          <w:rFonts w:ascii="Arial" w:hAnsi="Arial" w:cs="Arial"/>
          <w:lang w:val="en-US"/>
        </w:rPr>
        <w:t xml:space="preserve"> s</w:t>
      </w:r>
      <w:r w:rsidRPr="00D45800">
        <w:rPr>
          <w:rFonts w:ascii="Arial" w:hAnsi="Arial" w:cs="Arial"/>
          <w:lang w:val="en-US"/>
        </w:rPr>
        <w:t xml:space="preserve">ervice of the ruling by the Arbitrator on the </w:t>
      </w:r>
      <w:r w:rsidR="00E72E33">
        <w:rPr>
          <w:rFonts w:ascii="Arial" w:hAnsi="Arial" w:cs="Arial"/>
          <w:lang w:val="en-US"/>
        </w:rPr>
        <w:t>a</w:t>
      </w:r>
      <w:r w:rsidRPr="00D45800">
        <w:rPr>
          <w:rFonts w:ascii="Arial" w:hAnsi="Arial" w:cs="Arial"/>
          <w:lang w:val="en-US"/>
        </w:rPr>
        <w:t>pplicant by email was irregular</w:t>
      </w:r>
      <w:r w:rsidR="004C2355" w:rsidRPr="00D45800">
        <w:rPr>
          <w:rFonts w:ascii="Arial" w:hAnsi="Arial" w:cs="Arial"/>
          <w:lang w:val="en-US"/>
        </w:rPr>
        <w:t>.</w:t>
      </w:r>
      <w:r w:rsidR="00D45800">
        <w:rPr>
          <w:rFonts w:ascii="Arial" w:hAnsi="Arial" w:cs="Arial"/>
          <w:lang w:val="en-US"/>
        </w:rPr>
        <w:t xml:space="preserve"> </w:t>
      </w:r>
      <w:r w:rsidR="004C2355" w:rsidRPr="00D45800">
        <w:rPr>
          <w:rFonts w:ascii="Arial" w:hAnsi="Arial" w:cs="Arial"/>
          <w:lang w:val="en-US"/>
        </w:rPr>
        <w:t xml:space="preserve">Does that mean that the ruling was not served on the </w:t>
      </w:r>
      <w:r w:rsidR="00E72E33">
        <w:rPr>
          <w:rFonts w:ascii="Arial" w:hAnsi="Arial" w:cs="Arial"/>
          <w:lang w:val="en-US"/>
        </w:rPr>
        <w:t>a</w:t>
      </w:r>
      <w:r w:rsidR="004C2355" w:rsidRPr="00D45800">
        <w:rPr>
          <w:rFonts w:ascii="Arial" w:hAnsi="Arial" w:cs="Arial"/>
          <w:lang w:val="en-US"/>
        </w:rPr>
        <w:t>pplicant? No.</w:t>
      </w:r>
    </w:p>
    <w:p w14:paraId="5A03D241" w14:textId="77777777" w:rsidR="00D45800" w:rsidRDefault="00D45800" w:rsidP="00D45800">
      <w:pPr>
        <w:pStyle w:val="ListParagraph"/>
        <w:rPr>
          <w:rFonts w:ascii="Arial" w:hAnsi="Arial" w:cs="Arial"/>
          <w:lang w:val="en-US"/>
        </w:rPr>
      </w:pPr>
    </w:p>
    <w:p w14:paraId="315E3D96" w14:textId="77777777" w:rsidR="009E10BE" w:rsidRDefault="009E10BE" w:rsidP="00D45800">
      <w:pPr>
        <w:pStyle w:val="ListParagraph"/>
        <w:rPr>
          <w:rFonts w:ascii="Arial" w:hAnsi="Arial" w:cs="Arial"/>
          <w:lang w:val="en-US"/>
        </w:rPr>
      </w:pPr>
    </w:p>
    <w:p w14:paraId="5CB51314" w14:textId="5AC340F9" w:rsidR="00E71660" w:rsidRPr="00E71660" w:rsidRDefault="00E71660" w:rsidP="00E71660">
      <w:pPr>
        <w:pStyle w:val="ListParagraph"/>
        <w:spacing w:line="360" w:lineRule="auto"/>
        <w:ind w:left="0"/>
        <w:jc w:val="both"/>
        <w:rPr>
          <w:rFonts w:ascii="Arial" w:hAnsi="Arial" w:cs="Arial"/>
          <w:u w:val="single"/>
          <w:lang w:val="en-US"/>
        </w:rPr>
      </w:pPr>
      <w:r>
        <w:rPr>
          <w:rFonts w:ascii="Arial" w:hAnsi="Arial" w:cs="Arial"/>
          <w:u w:val="single"/>
          <w:lang w:val="en-US"/>
        </w:rPr>
        <w:lastRenderedPageBreak/>
        <w:t>Substantial compliance with the rule</w:t>
      </w:r>
    </w:p>
    <w:p w14:paraId="29A9CE6B" w14:textId="77777777" w:rsidR="00E71660" w:rsidRPr="00E71660" w:rsidRDefault="00E71660" w:rsidP="00E71660">
      <w:pPr>
        <w:pStyle w:val="ListParagraph"/>
        <w:rPr>
          <w:rFonts w:ascii="Arial" w:hAnsi="Arial" w:cs="Arial"/>
          <w:lang w:val="en-US"/>
        </w:rPr>
      </w:pPr>
    </w:p>
    <w:p w14:paraId="324ED9D8" w14:textId="37A9964E" w:rsidR="00D45800" w:rsidRDefault="004C2355" w:rsidP="00D45800">
      <w:pPr>
        <w:pStyle w:val="ListParagraph"/>
        <w:numPr>
          <w:ilvl w:val="0"/>
          <w:numId w:val="6"/>
        </w:numPr>
        <w:spacing w:line="360" w:lineRule="auto"/>
        <w:ind w:left="0" w:firstLine="0"/>
        <w:jc w:val="both"/>
        <w:rPr>
          <w:rFonts w:ascii="Arial" w:hAnsi="Arial" w:cs="Arial"/>
          <w:lang w:val="en-US"/>
        </w:rPr>
      </w:pPr>
      <w:r w:rsidRPr="00D45800">
        <w:rPr>
          <w:rFonts w:ascii="Arial" w:hAnsi="Arial" w:cs="Arial"/>
          <w:lang w:val="en-US"/>
        </w:rPr>
        <w:t xml:space="preserve">Irregular service of the ruling </w:t>
      </w:r>
      <w:r w:rsidR="00A44619" w:rsidRPr="00D45800">
        <w:rPr>
          <w:rFonts w:ascii="Arial" w:hAnsi="Arial" w:cs="Arial"/>
          <w:lang w:val="en-US"/>
        </w:rPr>
        <w:t>d</w:t>
      </w:r>
      <w:r w:rsidR="00D45800" w:rsidRPr="00D45800">
        <w:rPr>
          <w:rFonts w:ascii="Arial" w:hAnsi="Arial" w:cs="Arial"/>
          <w:lang w:val="en-US"/>
        </w:rPr>
        <w:t>oes</w:t>
      </w:r>
      <w:r w:rsidR="00A44619" w:rsidRPr="00D45800">
        <w:rPr>
          <w:rFonts w:ascii="Arial" w:hAnsi="Arial" w:cs="Arial"/>
          <w:lang w:val="en-US"/>
        </w:rPr>
        <w:t xml:space="preserve"> not constitute a complete failure of service</w:t>
      </w:r>
      <w:r w:rsidR="00CE35FB" w:rsidRPr="00D45800">
        <w:rPr>
          <w:rFonts w:ascii="Arial" w:hAnsi="Arial" w:cs="Arial"/>
          <w:lang w:val="en-US"/>
        </w:rPr>
        <w:t xml:space="preserve">. As stated in </w:t>
      </w:r>
      <w:r w:rsidR="00CE35FB" w:rsidRPr="00D45800">
        <w:rPr>
          <w:rFonts w:ascii="Arial" w:hAnsi="Arial" w:cs="Arial"/>
          <w:i/>
          <w:iCs/>
          <w:lang w:val="en-US"/>
        </w:rPr>
        <w:t>Standard Bank Namibia Ltd and Others v Maletzky and Others</w:t>
      </w:r>
      <w:r w:rsidR="00075B82" w:rsidRPr="0039658E">
        <w:rPr>
          <w:rStyle w:val="FootnoteReference"/>
          <w:rFonts w:ascii="Arial" w:hAnsi="Arial" w:cs="Arial"/>
          <w:lang w:val="en-US"/>
        </w:rPr>
        <w:footnoteReference w:id="3"/>
      </w:r>
      <w:r w:rsidR="00CE35FB" w:rsidRPr="0039658E">
        <w:rPr>
          <w:rFonts w:ascii="Arial" w:hAnsi="Arial" w:cs="Arial"/>
          <w:lang w:val="en-US"/>
        </w:rPr>
        <w:t xml:space="preserve"> </w:t>
      </w:r>
      <w:r w:rsidR="00D45800" w:rsidRPr="0039658E">
        <w:rPr>
          <w:rFonts w:ascii="Arial" w:hAnsi="Arial" w:cs="Arial"/>
          <w:lang w:val="en-US"/>
        </w:rPr>
        <w:t>‘</w:t>
      </w:r>
      <w:r w:rsidR="00CE35FB" w:rsidRPr="0039658E">
        <w:rPr>
          <w:rFonts w:ascii="Arial" w:hAnsi="Arial" w:cs="Arial"/>
          <w:lang w:val="en-US"/>
        </w:rPr>
        <w:t>the</w:t>
      </w:r>
      <w:r w:rsidR="00CE35FB" w:rsidRPr="00D45800">
        <w:rPr>
          <w:rFonts w:ascii="Arial" w:hAnsi="Arial" w:cs="Arial"/>
          <w:lang w:val="en-US"/>
        </w:rPr>
        <w:t xml:space="preserve"> purpose of service is to notify the person to be served of the nature and contents of the process </w:t>
      </w:r>
      <w:r w:rsidR="00D45800" w:rsidRPr="00D45800">
        <w:rPr>
          <w:rFonts w:ascii="Arial" w:hAnsi="Arial" w:cs="Arial"/>
          <w:lang w:val="en-US"/>
        </w:rPr>
        <w:t xml:space="preserve">of court </w:t>
      </w:r>
      <w:r w:rsidR="00CE35FB" w:rsidRPr="00D45800">
        <w:rPr>
          <w:rFonts w:ascii="Arial" w:hAnsi="Arial" w:cs="Arial"/>
          <w:lang w:val="en-US"/>
        </w:rPr>
        <w:t>and to provide proof that there has been such notice</w:t>
      </w:r>
      <w:r w:rsidR="00D45800" w:rsidRPr="00D45800">
        <w:rPr>
          <w:rFonts w:ascii="Arial" w:hAnsi="Arial" w:cs="Arial"/>
          <w:lang w:val="en-US"/>
        </w:rPr>
        <w:t>’</w:t>
      </w:r>
      <w:r w:rsidR="00CE35FB" w:rsidRPr="00D45800">
        <w:rPr>
          <w:rFonts w:ascii="Arial" w:hAnsi="Arial" w:cs="Arial"/>
          <w:lang w:val="en-US"/>
        </w:rPr>
        <w:t>. T</w:t>
      </w:r>
      <w:r w:rsidR="00A44619" w:rsidRPr="00D45800">
        <w:rPr>
          <w:rFonts w:ascii="Arial" w:hAnsi="Arial" w:cs="Arial"/>
          <w:lang w:val="en-US"/>
        </w:rPr>
        <w:t xml:space="preserve">he purpose of service was met </w:t>
      </w:r>
      <w:r w:rsidR="00CE35FB" w:rsidRPr="00D45800">
        <w:rPr>
          <w:rFonts w:ascii="Arial" w:hAnsi="Arial" w:cs="Arial"/>
          <w:lang w:val="en-US"/>
        </w:rPr>
        <w:t xml:space="preserve">when the </w:t>
      </w:r>
      <w:r w:rsidR="00E72E33">
        <w:rPr>
          <w:rFonts w:ascii="Arial" w:hAnsi="Arial" w:cs="Arial"/>
          <w:lang w:val="en-US"/>
        </w:rPr>
        <w:t>a</w:t>
      </w:r>
      <w:r w:rsidR="00CE35FB" w:rsidRPr="00D45800">
        <w:rPr>
          <w:rFonts w:ascii="Arial" w:hAnsi="Arial" w:cs="Arial"/>
          <w:lang w:val="en-US"/>
        </w:rPr>
        <w:t>pplicant go</w:t>
      </w:r>
      <w:r w:rsidR="00DC4C1C">
        <w:rPr>
          <w:rFonts w:ascii="Arial" w:hAnsi="Arial" w:cs="Arial"/>
          <w:lang w:val="en-US"/>
        </w:rPr>
        <w:t>t</w:t>
      </w:r>
      <w:r w:rsidR="00CE35FB" w:rsidRPr="00D45800">
        <w:rPr>
          <w:rFonts w:ascii="Arial" w:hAnsi="Arial" w:cs="Arial"/>
          <w:lang w:val="en-US"/>
        </w:rPr>
        <w:t xml:space="preserve"> notice of the ruling, </w:t>
      </w:r>
      <w:r w:rsidR="00A44619" w:rsidRPr="00D45800">
        <w:rPr>
          <w:rFonts w:ascii="Arial" w:hAnsi="Arial" w:cs="Arial"/>
          <w:lang w:val="en-US"/>
        </w:rPr>
        <w:t>albeit only on 20 April 2022</w:t>
      </w:r>
      <w:r w:rsidR="00CE35FB" w:rsidRPr="00D45800">
        <w:rPr>
          <w:rFonts w:ascii="Arial" w:hAnsi="Arial" w:cs="Arial"/>
          <w:lang w:val="en-US"/>
        </w:rPr>
        <w:t xml:space="preserve"> when</w:t>
      </w:r>
      <w:r w:rsidR="00183EF5">
        <w:rPr>
          <w:rFonts w:ascii="Arial" w:hAnsi="Arial" w:cs="Arial"/>
          <w:lang w:val="en-US"/>
        </w:rPr>
        <w:t xml:space="preserve"> </w:t>
      </w:r>
      <w:r w:rsidR="00CE35FB" w:rsidRPr="00D45800">
        <w:rPr>
          <w:rFonts w:ascii="Arial" w:hAnsi="Arial" w:cs="Arial"/>
          <w:lang w:val="en-US"/>
        </w:rPr>
        <w:t xml:space="preserve">Coleman, the </w:t>
      </w:r>
      <w:r w:rsidR="00E72E33">
        <w:rPr>
          <w:rFonts w:ascii="Arial" w:hAnsi="Arial" w:cs="Arial"/>
          <w:lang w:val="en-US"/>
        </w:rPr>
        <w:t>a</w:t>
      </w:r>
      <w:r w:rsidR="00CE35FB" w:rsidRPr="00D45800">
        <w:rPr>
          <w:rFonts w:ascii="Arial" w:hAnsi="Arial" w:cs="Arial"/>
          <w:lang w:val="en-US"/>
        </w:rPr>
        <w:t xml:space="preserve">pplicant’s </w:t>
      </w:r>
      <w:r w:rsidR="00D45800" w:rsidRPr="00D45800">
        <w:rPr>
          <w:rFonts w:ascii="Arial" w:hAnsi="Arial" w:cs="Arial"/>
          <w:lang w:val="en-US"/>
        </w:rPr>
        <w:t>O</w:t>
      </w:r>
      <w:r w:rsidR="00CE35FB" w:rsidRPr="00D45800">
        <w:rPr>
          <w:rFonts w:ascii="Arial" w:hAnsi="Arial" w:cs="Arial"/>
          <w:lang w:val="en-US"/>
        </w:rPr>
        <w:t xml:space="preserve">perations </w:t>
      </w:r>
      <w:r w:rsidR="00D45800" w:rsidRPr="00D45800">
        <w:rPr>
          <w:rFonts w:ascii="Arial" w:hAnsi="Arial" w:cs="Arial"/>
          <w:lang w:val="en-US"/>
        </w:rPr>
        <w:t>M</w:t>
      </w:r>
      <w:r w:rsidR="00CE35FB" w:rsidRPr="00D45800">
        <w:rPr>
          <w:rFonts w:ascii="Arial" w:hAnsi="Arial" w:cs="Arial"/>
          <w:lang w:val="en-US"/>
        </w:rPr>
        <w:t>anager</w:t>
      </w:r>
      <w:r w:rsidR="00D45800" w:rsidRPr="00D45800">
        <w:rPr>
          <w:rFonts w:ascii="Arial" w:hAnsi="Arial" w:cs="Arial"/>
          <w:lang w:val="en-US"/>
        </w:rPr>
        <w:t xml:space="preserve"> at the time</w:t>
      </w:r>
      <w:r w:rsidR="00CE35FB" w:rsidRPr="00D45800">
        <w:rPr>
          <w:rFonts w:ascii="Arial" w:hAnsi="Arial" w:cs="Arial"/>
          <w:lang w:val="en-US"/>
        </w:rPr>
        <w:t>, returned to work from his leave of absence</w:t>
      </w:r>
      <w:r w:rsidR="00DC4C1C">
        <w:rPr>
          <w:rFonts w:ascii="Arial" w:hAnsi="Arial" w:cs="Arial"/>
          <w:lang w:val="en-US"/>
        </w:rPr>
        <w:t xml:space="preserve"> and got access to the email address on his work</w:t>
      </w:r>
      <w:r w:rsidR="00E71660">
        <w:rPr>
          <w:rFonts w:ascii="Arial" w:hAnsi="Arial" w:cs="Arial"/>
          <w:lang w:val="en-US"/>
        </w:rPr>
        <w:t>-assigned</w:t>
      </w:r>
      <w:r w:rsidR="00DC4C1C">
        <w:rPr>
          <w:rFonts w:ascii="Arial" w:hAnsi="Arial" w:cs="Arial"/>
          <w:lang w:val="en-US"/>
        </w:rPr>
        <w:t xml:space="preserve"> computer</w:t>
      </w:r>
      <w:r w:rsidRPr="00D45800">
        <w:rPr>
          <w:rFonts w:ascii="Arial" w:hAnsi="Arial" w:cs="Arial"/>
          <w:lang w:val="en-US"/>
        </w:rPr>
        <w:t xml:space="preserve">. </w:t>
      </w:r>
      <w:r w:rsidR="00DC4C1C">
        <w:rPr>
          <w:rFonts w:ascii="Arial" w:hAnsi="Arial" w:cs="Arial"/>
          <w:lang w:val="en-US"/>
        </w:rPr>
        <w:t xml:space="preserve">Based on </w:t>
      </w:r>
      <w:r w:rsidRPr="00D45800">
        <w:rPr>
          <w:rFonts w:ascii="Arial" w:hAnsi="Arial" w:cs="Arial"/>
          <w:lang w:val="en-US"/>
        </w:rPr>
        <w:t>the facts</w:t>
      </w:r>
      <w:r w:rsidR="00DC4C1C">
        <w:rPr>
          <w:rFonts w:ascii="Arial" w:hAnsi="Arial" w:cs="Arial"/>
          <w:lang w:val="en-US"/>
        </w:rPr>
        <w:t>, the court finds</w:t>
      </w:r>
      <w:r w:rsidR="00D45800" w:rsidRPr="00D45800">
        <w:rPr>
          <w:rFonts w:ascii="Arial" w:hAnsi="Arial" w:cs="Arial"/>
          <w:lang w:val="en-US"/>
        </w:rPr>
        <w:t xml:space="preserve"> </w:t>
      </w:r>
      <w:r w:rsidR="0000081D">
        <w:rPr>
          <w:rFonts w:ascii="Arial" w:hAnsi="Arial" w:cs="Arial"/>
          <w:lang w:val="en-US"/>
        </w:rPr>
        <w:t xml:space="preserve">that </w:t>
      </w:r>
      <w:r w:rsidRPr="00D45800">
        <w:rPr>
          <w:rFonts w:ascii="Arial" w:hAnsi="Arial" w:cs="Arial"/>
          <w:lang w:val="en-US"/>
        </w:rPr>
        <w:t xml:space="preserve">Coleman was </w:t>
      </w:r>
      <w:r w:rsidR="00CE35FB" w:rsidRPr="00D45800">
        <w:rPr>
          <w:rFonts w:ascii="Arial" w:hAnsi="Arial" w:cs="Arial"/>
          <w:lang w:val="en-US"/>
        </w:rPr>
        <w:t xml:space="preserve">a responsible employee of the </w:t>
      </w:r>
      <w:r w:rsidR="00E72E33">
        <w:rPr>
          <w:rFonts w:ascii="Arial" w:hAnsi="Arial" w:cs="Arial"/>
          <w:lang w:val="en-US"/>
        </w:rPr>
        <w:t>a</w:t>
      </w:r>
      <w:r w:rsidR="00CE35FB" w:rsidRPr="00D45800">
        <w:rPr>
          <w:rFonts w:ascii="Arial" w:hAnsi="Arial" w:cs="Arial"/>
          <w:lang w:val="en-US"/>
        </w:rPr>
        <w:t>pplicant</w:t>
      </w:r>
      <w:r w:rsidRPr="00D45800">
        <w:rPr>
          <w:rFonts w:ascii="Arial" w:hAnsi="Arial" w:cs="Arial"/>
          <w:lang w:val="en-US"/>
        </w:rPr>
        <w:t xml:space="preserve"> and that he got notice of the </w:t>
      </w:r>
      <w:r w:rsidR="0000081D">
        <w:rPr>
          <w:rFonts w:ascii="Arial" w:hAnsi="Arial" w:cs="Arial"/>
          <w:lang w:val="en-US"/>
        </w:rPr>
        <w:t xml:space="preserve">ruling on behalf of the </w:t>
      </w:r>
      <w:r w:rsidR="00E72E33">
        <w:rPr>
          <w:rFonts w:ascii="Arial" w:hAnsi="Arial" w:cs="Arial"/>
          <w:lang w:val="en-US"/>
        </w:rPr>
        <w:t>a</w:t>
      </w:r>
      <w:r w:rsidR="0000081D">
        <w:rPr>
          <w:rFonts w:ascii="Arial" w:hAnsi="Arial" w:cs="Arial"/>
          <w:lang w:val="en-US"/>
        </w:rPr>
        <w:t>pplicant</w:t>
      </w:r>
      <w:r w:rsidRPr="00D45800">
        <w:rPr>
          <w:rFonts w:ascii="Arial" w:hAnsi="Arial" w:cs="Arial"/>
          <w:lang w:val="en-US"/>
        </w:rPr>
        <w:t xml:space="preserve"> at the </w:t>
      </w:r>
      <w:r w:rsidR="00E72E33">
        <w:rPr>
          <w:rFonts w:ascii="Arial" w:hAnsi="Arial" w:cs="Arial"/>
          <w:lang w:val="en-US"/>
        </w:rPr>
        <w:t>a</w:t>
      </w:r>
      <w:r w:rsidRPr="00D45800">
        <w:rPr>
          <w:rFonts w:ascii="Arial" w:hAnsi="Arial" w:cs="Arial"/>
          <w:lang w:val="en-US"/>
        </w:rPr>
        <w:t>pplicant’s place of business</w:t>
      </w:r>
      <w:r w:rsidR="00CE35FB" w:rsidRPr="00D45800">
        <w:rPr>
          <w:rFonts w:ascii="Arial" w:hAnsi="Arial" w:cs="Arial"/>
          <w:lang w:val="en-US"/>
        </w:rPr>
        <w:t>.</w:t>
      </w:r>
      <w:r w:rsidR="0000081D">
        <w:rPr>
          <w:rFonts w:ascii="Arial" w:hAnsi="Arial" w:cs="Arial"/>
          <w:lang w:val="en-US"/>
        </w:rPr>
        <w:t xml:space="preserve"> </w:t>
      </w:r>
      <w:r w:rsidR="00CE35FB" w:rsidRPr="00D45800">
        <w:rPr>
          <w:rFonts w:ascii="Arial" w:hAnsi="Arial" w:cs="Arial"/>
          <w:lang w:val="en-US"/>
        </w:rPr>
        <w:t xml:space="preserve"> </w:t>
      </w:r>
    </w:p>
    <w:p w14:paraId="16080FDC" w14:textId="77777777" w:rsidR="00D45800" w:rsidRPr="00D45800" w:rsidRDefault="00D45800" w:rsidP="00D45800">
      <w:pPr>
        <w:pStyle w:val="ListParagraph"/>
        <w:rPr>
          <w:rFonts w:ascii="Arial" w:hAnsi="Arial" w:cs="Arial"/>
          <w:lang w:val="en-US"/>
        </w:rPr>
      </w:pPr>
    </w:p>
    <w:p w14:paraId="0847F9ED" w14:textId="1EA6FD23" w:rsidR="00B43159" w:rsidRDefault="00A44619" w:rsidP="00B43159">
      <w:pPr>
        <w:pStyle w:val="ListParagraph"/>
        <w:numPr>
          <w:ilvl w:val="0"/>
          <w:numId w:val="6"/>
        </w:numPr>
        <w:spacing w:line="360" w:lineRule="auto"/>
        <w:ind w:left="0" w:firstLine="0"/>
        <w:jc w:val="both"/>
        <w:rPr>
          <w:rFonts w:ascii="Arial" w:hAnsi="Arial" w:cs="Arial"/>
          <w:lang w:val="en-US"/>
        </w:rPr>
      </w:pPr>
      <w:r w:rsidRPr="00D45800">
        <w:rPr>
          <w:rFonts w:ascii="Arial" w:hAnsi="Arial" w:cs="Arial"/>
          <w:lang w:val="en-US"/>
        </w:rPr>
        <w:t xml:space="preserve">Informed by </w:t>
      </w:r>
      <w:r w:rsidRPr="00D45800">
        <w:rPr>
          <w:rFonts w:ascii="Arial" w:hAnsi="Arial" w:cs="Arial"/>
          <w:i/>
          <w:iCs/>
          <w:lang w:val="en-US"/>
        </w:rPr>
        <w:t>Torbitt and Others v International University of Management</w:t>
      </w:r>
      <w:r w:rsidR="00075B82" w:rsidRPr="0039658E">
        <w:rPr>
          <w:rStyle w:val="FootnoteReference"/>
          <w:rFonts w:ascii="Arial" w:hAnsi="Arial" w:cs="Arial"/>
          <w:lang w:val="en-US"/>
        </w:rPr>
        <w:footnoteReference w:id="4"/>
      </w:r>
      <w:r w:rsidR="0039658E" w:rsidRPr="0039658E">
        <w:rPr>
          <w:rFonts w:ascii="Arial" w:hAnsi="Arial" w:cs="Arial"/>
          <w:lang w:val="en-US"/>
        </w:rPr>
        <w:t>,</w:t>
      </w:r>
      <w:r w:rsidRPr="0039658E">
        <w:rPr>
          <w:rFonts w:ascii="Arial" w:hAnsi="Arial" w:cs="Arial"/>
          <w:lang w:val="en-US"/>
        </w:rPr>
        <w:t xml:space="preserve"> </w:t>
      </w:r>
      <w:r w:rsidR="00D45800">
        <w:rPr>
          <w:rFonts w:ascii="Arial" w:hAnsi="Arial" w:cs="Arial"/>
          <w:lang w:val="en-US"/>
        </w:rPr>
        <w:t xml:space="preserve">interpretation of the word ‘must’ in Conciliation and Arbitration </w:t>
      </w:r>
      <w:r w:rsidR="003A26AF">
        <w:rPr>
          <w:rFonts w:ascii="Arial" w:hAnsi="Arial" w:cs="Arial"/>
          <w:lang w:val="en-US"/>
        </w:rPr>
        <w:t>r</w:t>
      </w:r>
      <w:r w:rsidR="00D45800">
        <w:rPr>
          <w:rFonts w:ascii="Arial" w:hAnsi="Arial" w:cs="Arial"/>
          <w:lang w:val="en-US"/>
        </w:rPr>
        <w:t xml:space="preserve"> 21(1), read with r 1(1) and 6(3)</w:t>
      </w:r>
      <w:r w:rsidR="00D45800" w:rsidRPr="002B462E">
        <w:rPr>
          <w:rFonts w:ascii="Arial" w:hAnsi="Arial" w:cs="Arial"/>
          <w:i/>
          <w:iCs/>
          <w:lang w:val="en-US"/>
        </w:rPr>
        <w:t>(a)</w:t>
      </w:r>
      <w:r w:rsidR="00D45800">
        <w:rPr>
          <w:rFonts w:ascii="Arial" w:hAnsi="Arial" w:cs="Arial"/>
          <w:lang w:val="en-US"/>
        </w:rPr>
        <w:t>, should take into account the scope and purpose of the Act</w:t>
      </w:r>
      <w:r w:rsidR="00DC4C1C">
        <w:rPr>
          <w:rFonts w:ascii="Arial" w:hAnsi="Arial" w:cs="Arial"/>
          <w:lang w:val="en-US"/>
        </w:rPr>
        <w:t xml:space="preserve"> </w:t>
      </w:r>
      <w:r w:rsidR="00D45800">
        <w:rPr>
          <w:rFonts w:ascii="Arial" w:hAnsi="Arial" w:cs="Arial"/>
          <w:lang w:val="en-US"/>
        </w:rPr>
        <w:t>and the Conciliation and Arbitration Rules as well as the purpose of service</w:t>
      </w:r>
      <w:r w:rsidR="00B43159">
        <w:rPr>
          <w:rFonts w:ascii="Arial" w:hAnsi="Arial" w:cs="Arial"/>
          <w:lang w:val="en-US"/>
        </w:rPr>
        <w:t>. T</w:t>
      </w:r>
      <w:r w:rsidR="00D45800" w:rsidRPr="002E537A">
        <w:rPr>
          <w:rFonts w:ascii="Arial" w:hAnsi="Arial" w:cs="Arial"/>
          <w:lang w:val="en-US"/>
        </w:rPr>
        <w:t>he court</w:t>
      </w:r>
      <w:r w:rsidR="00D45800">
        <w:rPr>
          <w:rFonts w:ascii="Arial" w:hAnsi="Arial" w:cs="Arial"/>
          <w:lang w:val="en-US"/>
        </w:rPr>
        <w:t>, in this instance,</w:t>
      </w:r>
      <w:r w:rsidR="00D45800" w:rsidRPr="002E537A">
        <w:rPr>
          <w:rFonts w:ascii="Arial" w:hAnsi="Arial" w:cs="Arial"/>
          <w:lang w:val="en-US"/>
        </w:rPr>
        <w:t xml:space="preserve"> deviate</w:t>
      </w:r>
      <w:r w:rsidR="00D45800">
        <w:rPr>
          <w:rFonts w:ascii="Arial" w:hAnsi="Arial" w:cs="Arial"/>
          <w:lang w:val="en-US"/>
        </w:rPr>
        <w:t>s</w:t>
      </w:r>
      <w:r w:rsidR="00D45800" w:rsidRPr="002E537A">
        <w:rPr>
          <w:rFonts w:ascii="Arial" w:hAnsi="Arial" w:cs="Arial"/>
          <w:lang w:val="en-US"/>
        </w:rPr>
        <w:t xml:space="preserve"> from the cardinal rule of interpretation</w:t>
      </w:r>
      <w:r w:rsidR="00D45800">
        <w:rPr>
          <w:rFonts w:ascii="Arial" w:hAnsi="Arial" w:cs="Arial"/>
          <w:lang w:val="en-US"/>
        </w:rPr>
        <w:t xml:space="preserve"> and, in this instance, </w:t>
      </w:r>
      <w:r w:rsidR="00D45800" w:rsidRPr="00D02390">
        <w:rPr>
          <w:rFonts w:ascii="Arial" w:hAnsi="Arial" w:cs="Arial"/>
          <w:lang w:val="en-US"/>
        </w:rPr>
        <w:t>interpret</w:t>
      </w:r>
      <w:r w:rsidR="00D45800">
        <w:rPr>
          <w:rFonts w:ascii="Arial" w:hAnsi="Arial" w:cs="Arial"/>
          <w:lang w:val="en-US"/>
        </w:rPr>
        <w:t>s</w:t>
      </w:r>
      <w:r w:rsidR="00D45800" w:rsidRPr="00D02390">
        <w:rPr>
          <w:rFonts w:ascii="Arial" w:hAnsi="Arial" w:cs="Arial"/>
          <w:lang w:val="en-US"/>
        </w:rPr>
        <w:t xml:space="preserve"> </w:t>
      </w:r>
      <w:r w:rsidR="00D45800">
        <w:rPr>
          <w:rFonts w:ascii="Arial" w:hAnsi="Arial" w:cs="Arial"/>
          <w:lang w:val="en-US"/>
        </w:rPr>
        <w:t xml:space="preserve">the rule </w:t>
      </w:r>
      <w:r w:rsidR="00D45800" w:rsidRPr="00D02390">
        <w:rPr>
          <w:rFonts w:ascii="Arial" w:hAnsi="Arial" w:cs="Arial"/>
          <w:lang w:val="en-US"/>
        </w:rPr>
        <w:t xml:space="preserve">as </w:t>
      </w:r>
      <w:r w:rsidR="00D45800">
        <w:rPr>
          <w:rFonts w:ascii="Arial" w:hAnsi="Arial" w:cs="Arial"/>
          <w:lang w:val="en-US"/>
        </w:rPr>
        <w:t xml:space="preserve">directory and </w:t>
      </w:r>
      <w:r w:rsidR="00D45800" w:rsidRPr="00D02390">
        <w:rPr>
          <w:rFonts w:ascii="Arial" w:hAnsi="Arial" w:cs="Arial"/>
          <w:lang w:val="en-US"/>
        </w:rPr>
        <w:t>permissive</w:t>
      </w:r>
      <w:r w:rsidR="009C1FE4">
        <w:rPr>
          <w:rFonts w:ascii="Arial" w:hAnsi="Arial" w:cs="Arial"/>
          <w:lang w:val="en-US"/>
        </w:rPr>
        <w:t>,</w:t>
      </w:r>
      <w:r w:rsidR="00D45800" w:rsidRPr="00D02390">
        <w:rPr>
          <w:rFonts w:ascii="Arial" w:hAnsi="Arial" w:cs="Arial"/>
          <w:lang w:val="en-US"/>
        </w:rPr>
        <w:t xml:space="preserve"> requiring substantial compliance with the </w:t>
      </w:r>
      <w:r w:rsidR="00D45800">
        <w:rPr>
          <w:rFonts w:ascii="Arial" w:hAnsi="Arial" w:cs="Arial"/>
          <w:lang w:val="en-US"/>
        </w:rPr>
        <w:t>rule</w:t>
      </w:r>
      <w:r w:rsidR="00B43159">
        <w:rPr>
          <w:rFonts w:ascii="Arial" w:hAnsi="Arial" w:cs="Arial"/>
          <w:lang w:val="en-US"/>
        </w:rPr>
        <w:t>.</w:t>
      </w:r>
    </w:p>
    <w:p w14:paraId="4C4BA8E7" w14:textId="77777777" w:rsidR="00B43159" w:rsidRPr="00B43159" w:rsidRDefault="00B43159" w:rsidP="00B43159">
      <w:pPr>
        <w:pStyle w:val="ListParagraph"/>
        <w:rPr>
          <w:rFonts w:ascii="Arial" w:hAnsi="Arial" w:cs="Arial"/>
          <w:lang w:val="en-US"/>
        </w:rPr>
      </w:pPr>
    </w:p>
    <w:p w14:paraId="702B673D" w14:textId="5C2C7935" w:rsidR="00A44619" w:rsidRPr="00B43159" w:rsidRDefault="00A44619" w:rsidP="00B43159">
      <w:pPr>
        <w:pStyle w:val="ListParagraph"/>
        <w:numPr>
          <w:ilvl w:val="0"/>
          <w:numId w:val="6"/>
        </w:numPr>
        <w:spacing w:line="360" w:lineRule="auto"/>
        <w:ind w:left="0" w:firstLine="0"/>
        <w:jc w:val="both"/>
        <w:rPr>
          <w:rFonts w:ascii="Arial" w:hAnsi="Arial" w:cs="Arial"/>
          <w:lang w:val="en-US"/>
        </w:rPr>
      </w:pPr>
      <w:r w:rsidRPr="00B43159">
        <w:rPr>
          <w:rFonts w:ascii="Arial" w:hAnsi="Arial" w:cs="Arial"/>
          <w:lang w:val="en-US"/>
        </w:rPr>
        <w:t xml:space="preserve">That interpretation is conducive to the object of Conciliation and Arbitration </w:t>
      </w:r>
      <w:r w:rsidR="003A26AF">
        <w:rPr>
          <w:rFonts w:ascii="Arial" w:hAnsi="Arial" w:cs="Arial"/>
          <w:lang w:val="en-US"/>
        </w:rPr>
        <w:t>r</w:t>
      </w:r>
      <w:r w:rsidRPr="00B43159">
        <w:rPr>
          <w:rFonts w:ascii="Arial" w:hAnsi="Arial" w:cs="Arial"/>
          <w:lang w:val="en-US"/>
        </w:rPr>
        <w:t xml:space="preserve"> 21(1), read with s 86(18) of the Act, that an arbitrator must</w:t>
      </w:r>
      <w:r w:rsidR="009C1FE4">
        <w:rPr>
          <w:rFonts w:ascii="Arial" w:hAnsi="Arial" w:cs="Arial"/>
          <w:lang w:val="en-US"/>
        </w:rPr>
        <w:t>, as soon as possible after the</w:t>
      </w:r>
      <w:r w:rsidRPr="00B43159">
        <w:rPr>
          <w:rFonts w:ascii="Arial" w:hAnsi="Arial" w:cs="Arial"/>
          <w:lang w:val="en-US"/>
        </w:rPr>
        <w:t xml:space="preserve"> conclusion of the arbitration proceedings</w:t>
      </w:r>
      <w:r w:rsidR="00B43159">
        <w:rPr>
          <w:rFonts w:ascii="Arial" w:hAnsi="Arial" w:cs="Arial"/>
          <w:lang w:val="en-US"/>
        </w:rPr>
        <w:t>,</w:t>
      </w:r>
      <w:r w:rsidRPr="00B43159">
        <w:rPr>
          <w:rFonts w:ascii="Arial" w:hAnsi="Arial" w:cs="Arial"/>
          <w:lang w:val="en-US"/>
        </w:rPr>
        <w:t xml:space="preserve"> make a reasoned award and inform the parties about it</w:t>
      </w:r>
      <w:r w:rsidR="0077071D">
        <w:rPr>
          <w:rFonts w:ascii="Arial" w:hAnsi="Arial" w:cs="Arial"/>
          <w:lang w:val="en-US"/>
        </w:rPr>
        <w:t xml:space="preserve">. That interpretation further </w:t>
      </w:r>
      <w:r w:rsidRPr="00B43159">
        <w:rPr>
          <w:rFonts w:ascii="Arial" w:hAnsi="Arial" w:cs="Arial"/>
          <w:lang w:val="en-US"/>
        </w:rPr>
        <w:t>avoid</w:t>
      </w:r>
      <w:r w:rsidR="00B43159">
        <w:rPr>
          <w:rFonts w:ascii="Arial" w:hAnsi="Arial" w:cs="Arial"/>
          <w:lang w:val="en-US"/>
        </w:rPr>
        <w:t xml:space="preserve">s a manifest absurdity and </w:t>
      </w:r>
      <w:r w:rsidRPr="00B43159">
        <w:rPr>
          <w:rFonts w:ascii="Arial" w:hAnsi="Arial" w:cs="Arial"/>
          <w:lang w:val="en-US"/>
        </w:rPr>
        <w:t xml:space="preserve">gross injustice to the </w:t>
      </w:r>
      <w:r w:rsidR="0019379D">
        <w:rPr>
          <w:rFonts w:ascii="Arial" w:hAnsi="Arial" w:cs="Arial"/>
          <w:lang w:val="en-US"/>
        </w:rPr>
        <w:t>r</w:t>
      </w:r>
      <w:r w:rsidRPr="00B43159">
        <w:rPr>
          <w:rFonts w:ascii="Arial" w:hAnsi="Arial" w:cs="Arial"/>
          <w:lang w:val="en-US"/>
        </w:rPr>
        <w:t>espondent</w:t>
      </w:r>
      <w:r w:rsidR="00B43159">
        <w:rPr>
          <w:rFonts w:ascii="Arial" w:hAnsi="Arial" w:cs="Arial"/>
          <w:lang w:val="en-US"/>
        </w:rPr>
        <w:t>.</w:t>
      </w:r>
      <w:r w:rsidR="0077071D">
        <w:rPr>
          <w:rFonts w:ascii="Arial" w:hAnsi="Arial" w:cs="Arial"/>
          <w:lang w:val="en-US"/>
        </w:rPr>
        <w:t xml:space="preserve"> The Arbitrator did inform the parties about the ruling</w:t>
      </w:r>
      <w:r w:rsidR="009C1FE4">
        <w:rPr>
          <w:rFonts w:ascii="Arial" w:hAnsi="Arial" w:cs="Arial"/>
          <w:lang w:val="en-US"/>
        </w:rPr>
        <w:t>, and they</w:t>
      </w:r>
      <w:r w:rsidR="0077071D">
        <w:rPr>
          <w:rFonts w:ascii="Arial" w:hAnsi="Arial" w:cs="Arial"/>
          <w:lang w:val="en-US"/>
        </w:rPr>
        <w:t xml:space="preserve"> did get notice of it, albeit not in the prescribed manner of service. </w:t>
      </w:r>
      <w:r w:rsidR="00B43159">
        <w:rPr>
          <w:rFonts w:ascii="Arial" w:hAnsi="Arial" w:cs="Arial"/>
          <w:lang w:val="en-US"/>
        </w:rPr>
        <w:t>The result of the cardinal rule of interpretation</w:t>
      </w:r>
      <w:r w:rsidR="009C1FE4">
        <w:rPr>
          <w:rFonts w:ascii="Arial" w:hAnsi="Arial" w:cs="Arial"/>
          <w:lang w:val="en-US"/>
        </w:rPr>
        <w:t>,</w:t>
      </w:r>
      <w:r w:rsidR="00B43159">
        <w:rPr>
          <w:rFonts w:ascii="Arial" w:hAnsi="Arial" w:cs="Arial"/>
          <w:lang w:val="en-US"/>
        </w:rPr>
        <w:t xml:space="preserve"> </w:t>
      </w:r>
      <w:r w:rsidR="0077071D">
        <w:rPr>
          <w:rFonts w:ascii="Arial" w:hAnsi="Arial" w:cs="Arial"/>
          <w:lang w:val="en-US"/>
        </w:rPr>
        <w:t>which is avoided by the interpretation adopted by the court</w:t>
      </w:r>
      <w:r w:rsidR="00DC4C1C">
        <w:rPr>
          <w:rFonts w:ascii="Arial" w:hAnsi="Arial" w:cs="Arial"/>
          <w:lang w:val="en-US"/>
        </w:rPr>
        <w:t xml:space="preserve"> in this instance</w:t>
      </w:r>
      <w:r w:rsidR="0077071D">
        <w:rPr>
          <w:rFonts w:ascii="Arial" w:hAnsi="Arial" w:cs="Arial"/>
          <w:lang w:val="en-US"/>
        </w:rPr>
        <w:t>, is</w:t>
      </w:r>
      <w:r w:rsidRPr="00B43159">
        <w:rPr>
          <w:rFonts w:ascii="Arial" w:hAnsi="Arial" w:cs="Arial"/>
          <w:lang w:val="en-US"/>
        </w:rPr>
        <w:t xml:space="preserve"> that due to the Arbitrator’s failure to serve the </w:t>
      </w:r>
      <w:r w:rsidR="0077071D">
        <w:rPr>
          <w:rFonts w:ascii="Arial" w:hAnsi="Arial" w:cs="Arial"/>
          <w:lang w:val="en-US"/>
        </w:rPr>
        <w:t>ruling</w:t>
      </w:r>
      <w:r w:rsidRPr="00B43159">
        <w:rPr>
          <w:rFonts w:ascii="Arial" w:hAnsi="Arial" w:cs="Arial"/>
          <w:lang w:val="en-US"/>
        </w:rPr>
        <w:t xml:space="preserve"> in the prescribed manner</w:t>
      </w:r>
      <w:r w:rsidR="0000081D">
        <w:rPr>
          <w:rFonts w:ascii="Arial" w:hAnsi="Arial" w:cs="Arial"/>
          <w:lang w:val="en-US"/>
        </w:rPr>
        <w:t xml:space="preserve"> (</w:t>
      </w:r>
      <w:r w:rsidR="0077071D">
        <w:rPr>
          <w:rFonts w:ascii="Arial" w:hAnsi="Arial" w:cs="Arial"/>
          <w:lang w:val="en-US"/>
        </w:rPr>
        <w:t xml:space="preserve">a duty placed on the arbitrator over which the </w:t>
      </w:r>
      <w:r w:rsidR="0019379D">
        <w:rPr>
          <w:rFonts w:ascii="Arial" w:hAnsi="Arial" w:cs="Arial"/>
          <w:lang w:val="en-US"/>
        </w:rPr>
        <w:t>r</w:t>
      </w:r>
      <w:r w:rsidR="0077071D">
        <w:rPr>
          <w:rFonts w:ascii="Arial" w:hAnsi="Arial" w:cs="Arial"/>
          <w:lang w:val="en-US"/>
        </w:rPr>
        <w:t>espondent ha</w:t>
      </w:r>
      <w:r w:rsidR="00E71660">
        <w:rPr>
          <w:rFonts w:ascii="Arial" w:hAnsi="Arial" w:cs="Arial"/>
          <w:lang w:val="en-US"/>
        </w:rPr>
        <w:t>d</w:t>
      </w:r>
      <w:r w:rsidR="0077071D">
        <w:rPr>
          <w:rFonts w:ascii="Arial" w:hAnsi="Arial" w:cs="Arial"/>
          <w:lang w:val="en-US"/>
        </w:rPr>
        <w:t xml:space="preserve"> no control</w:t>
      </w:r>
      <w:r w:rsidR="0000081D">
        <w:rPr>
          <w:rFonts w:ascii="Arial" w:hAnsi="Arial" w:cs="Arial"/>
          <w:lang w:val="en-US"/>
        </w:rPr>
        <w:t>)</w:t>
      </w:r>
      <w:r w:rsidR="0077071D">
        <w:rPr>
          <w:rFonts w:ascii="Arial" w:hAnsi="Arial" w:cs="Arial"/>
          <w:lang w:val="en-US"/>
        </w:rPr>
        <w:t xml:space="preserve">, </w:t>
      </w:r>
      <w:r w:rsidRPr="00B43159">
        <w:rPr>
          <w:rFonts w:ascii="Arial" w:hAnsi="Arial" w:cs="Arial"/>
          <w:lang w:val="en-US"/>
        </w:rPr>
        <w:t xml:space="preserve">the dies for the </w:t>
      </w:r>
      <w:r w:rsidR="00E72E33">
        <w:rPr>
          <w:rFonts w:ascii="Arial" w:hAnsi="Arial" w:cs="Arial"/>
          <w:lang w:val="en-US"/>
        </w:rPr>
        <w:t>a</w:t>
      </w:r>
      <w:r w:rsidRPr="00B43159">
        <w:rPr>
          <w:rFonts w:ascii="Arial" w:hAnsi="Arial" w:cs="Arial"/>
          <w:lang w:val="en-US"/>
        </w:rPr>
        <w:t xml:space="preserve">pplicant to note an appeal would, to date, not </w:t>
      </w:r>
      <w:r w:rsidR="0000081D">
        <w:rPr>
          <w:rFonts w:ascii="Arial" w:hAnsi="Arial" w:cs="Arial"/>
          <w:lang w:val="en-US"/>
        </w:rPr>
        <w:t xml:space="preserve">have </w:t>
      </w:r>
      <w:r w:rsidRPr="00B43159">
        <w:rPr>
          <w:rFonts w:ascii="Arial" w:hAnsi="Arial" w:cs="Arial"/>
          <w:lang w:val="en-US"/>
        </w:rPr>
        <w:t xml:space="preserve">expired in circumstances where the </w:t>
      </w:r>
      <w:r w:rsidR="00E72E33">
        <w:rPr>
          <w:rFonts w:ascii="Arial" w:hAnsi="Arial" w:cs="Arial"/>
          <w:lang w:val="en-US"/>
        </w:rPr>
        <w:t>a</w:t>
      </w:r>
      <w:r w:rsidRPr="00B43159">
        <w:rPr>
          <w:rFonts w:ascii="Arial" w:hAnsi="Arial" w:cs="Arial"/>
          <w:lang w:val="en-US"/>
        </w:rPr>
        <w:t>pplicant</w:t>
      </w:r>
      <w:r w:rsidR="0077071D">
        <w:rPr>
          <w:rFonts w:ascii="Arial" w:hAnsi="Arial" w:cs="Arial"/>
          <w:lang w:val="en-US"/>
        </w:rPr>
        <w:t xml:space="preserve"> </w:t>
      </w:r>
      <w:r w:rsidR="009C1FE4">
        <w:rPr>
          <w:rFonts w:ascii="Arial" w:hAnsi="Arial" w:cs="Arial"/>
          <w:lang w:val="en-US"/>
        </w:rPr>
        <w:lastRenderedPageBreak/>
        <w:t>knew</w:t>
      </w:r>
      <w:r w:rsidR="0077071D">
        <w:rPr>
          <w:rFonts w:ascii="Arial" w:hAnsi="Arial" w:cs="Arial"/>
          <w:lang w:val="en-US"/>
        </w:rPr>
        <w:t xml:space="preserve"> </w:t>
      </w:r>
      <w:r w:rsidR="00E71660">
        <w:rPr>
          <w:rFonts w:ascii="Arial" w:hAnsi="Arial" w:cs="Arial"/>
          <w:lang w:val="en-US"/>
        </w:rPr>
        <w:t xml:space="preserve">about </w:t>
      </w:r>
      <w:r w:rsidRPr="00B43159">
        <w:rPr>
          <w:rFonts w:ascii="Arial" w:hAnsi="Arial" w:cs="Arial"/>
          <w:lang w:val="en-US"/>
        </w:rPr>
        <w:t>the ruling as far back as 20 April 202</w:t>
      </w:r>
      <w:r w:rsidR="0077071D">
        <w:rPr>
          <w:rFonts w:ascii="Arial" w:hAnsi="Arial" w:cs="Arial"/>
          <w:lang w:val="en-US"/>
        </w:rPr>
        <w:t xml:space="preserve">2 and the </w:t>
      </w:r>
      <w:r w:rsidR="0019379D">
        <w:rPr>
          <w:rFonts w:ascii="Arial" w:hAnsi="Arial" w:cs="Arial"/>
          <w:lang w:val="en-US"/>
        </w:rPr>
        <w:t>r</w:t>
      </w:r>
      <w:r w:rsidR="0077071D">
        <w:rPr>
          <w:rFonts w:ascii="Arial" w:hAnsi="Arial" w:cs="Arial"/>
          <w:lang w:val="en-US"/>
        </w:rPr>
        <w:t xml:space="preserve">espondent would, to date, for the reason of </w:t>
      </w:r>
      <w:r w:rsidR="00DD2EE6">
        <w:rPr>
          <w:rFonts w:ascii="Arial" w:hAnsi="Arial" w:cs="Arial"/>
          <w:lang w:val="en-US"/>
        </w:rPr>
        <w:t xml:space="preserve">irregular </w:t>
      </w:r>
      <w:r w:rsidR="0077071D">
        <w:rPr>
          <w:rFonts w:ascii="Arial" w:hAnsi="Arial" w:cs="Arial"/>
          <w:lang w:val="en-US"/>
        </w:rPr>
        <w:t>service, not have finality in the labour dispute.</w:t>
      </w:r>
    </w:p>
    <w:p w14:paraId="4C246FBE" w14:textId="77777777" w:rsidR="00A44619" w:rsidRPr="00A44619" w:rsidRDefault="00A44619" w:rsidP="00A44619">
      <w:pPr>
        <w:pStyle w:val="ListParagraph"/>
        <w:rPr>
          <w:rFonts w:ascii="Arial" w:hAnsi="Arial" w:cs="Arial"/>
          <w:lang w:val="en-US"/>
        </w:rPr>
      </w:pPr>
    </w:p>
    <w:p w14:paraId="6B44A72A" w14:textId="0253B227" w:rsidR="005A4469" w:rsidRDefault="005A4469" w:rsidP="00A44619">
      <w:pPr>
        <w:pStyle w:val="ListParagraph"/>
        <w:numPr>
          <w:ilvl w:val="0"/>
          <w:numId w:val="6"/>
        </w:numPr>
        <w:spacing w:line="360" w:lineRule="auto"/>
        <w:ind w:left="0" w:firstLine="0"/>
        <w:jc w:val="both"/>
        <w:rPr>
          <w:rFonts w:ascii="Arial" w:hAnsi="Arial" w:cs="Arial"/>
          <w:lang w:val="en-US"/>
        </w:rPr>
      </w:pPr>
      <w:r w:rsidRPr="00356D10">
        <w:rPr>
          <w:rFonts w:ascii="Arial" w:hAnsi="Arial" w:cs="Arial"/>
          <w:lang w:val="en-US"/>
        </w:rPr>
        <w:t xml:space="preserve">Where do </w:t>
      </w:r>
      <w:r>
        <w:rPr>
          <w:rFonts w:ascii="Arial" w:hAnsi="Arial" w:cs="Arial"/>
          <w:lang w:val="en-US"/>
        </w:rPr>
        <w:t>the court’s finding</w:t>
      </w:r>
      <w:r w:rsidR="00A27601">
        <w:rPr>
          <w:rFonts w:ascii="Arial" w:hAnsi="Arial" w:cs="Arial"/>
          <w:lang w:val="en-US"/>
        </w:rPr>
        <w:t>s</w:t>
      </w:r>
      <w:r>
        <w:rPr>
          <w:rFonts w:ascii="Arial" w:hAnsi="Arial" w:cs="Arial"/>
          <w:lang w:val="en-US"/>
        </w:rPr>
        <w:t xml:space="preserve"> </w:t>
      </w:r>
      <w:r w:rsidR="00A27601">
        <w:rPr>
          <w:rFonts w:ascii="Arial" w:hAnsi="Arial" w:cs="Arial"/>
          <w:lang w:val="en-US"/>
        </w:rPr>
        <w:t xml:space="preserve">on service of the ruling and interpretation of the rule leave </w:t>
      </w:r>
      <w:r w:rsidRPr="00356D10">
        <w:rPr>
          <w:rFonts w:ascii="Arial" w:hAnsi="Arial" w:cs="Arial"/>
          <w:lang w:val="en-US"/>
        </w:rPr>
        <w:t xml:space="preserve">the </w:t>
      </w:r>
      <w:r w:rsidR="0019379D">
        <w:rPr>
          <w:rFonts w:ascii="Arial" w:hAnsi="Arial" w:cs="Arial"/>
          <w:lang w:val="en-US"/>
        </w:rPr>
        <w:t>r</w:t>
      </w:r>
      <w:r>
        <w:rPr>
          <w:rFonts w:ascii="Arial" w:hAnsi="Arial" w:cs="Arial"/>
          <w:lang w:val="en-US"/>
        </w:rPr>
        <w:t xml:space="preserve">espondent’s </w:t>
      </w:r>
      <w:r w:rsidR="00DD2EE6">
        <w:rPr>
          <w:rFonts w:ascii="Arial" w:hAnsi="Arial" w:cs="Arial"/>
          <w:lang w:val="en-US"/>
        </w:rPr>
        <w:t>contention</w:t>
      </w:r>
      <w:r>
        <w:rPr>
          <w:rFonts w:ascii="Arial" w:hAnsi="Arial" w:cs="Arial"/>
          <w:lang w:val="en-US"/>
        </w:rPr>
        <w:t xml:space="preserve"> that the</w:t>
      </w:r>
      <w:r w:rsidR="00DD2EE6">
        <w:rPr>
          <w:rFonts w:ascii="Arial" w:hAnsi="Arial" w:cs="Arial"/>
          <w:lang w:val="en-US"/>
        </w:rPr>
        <w:t xml:space="preserve">re is no appeal before </w:t>
      </w:r>
      <w:r w:rsidR="009C1FE4">
        <w:rPr>
          <w:rFonts w:ascii="Arial" w:hAnsi="Arial" w:cs="Arial"/>
          <w:lang w:val="en-US"/>
        </w:rPr>
        <w:t xml:space="preserve">the </w:t>
      </w:r>
      <w:r w:rsidR="00DD2EE6">
        <w:rPr>
          <w:rFonts w:ascii="Arial" w:hAnsi="Arial" w:cs="Arial"/>
          <w:lang w:val="en-US"/>
        </w:rPr>
        <w:t>court because the</w:t>
      </w:r>
      <w:r>
        <w:rPr>
          <w:rFonts w:ascii="Arial" w:hAnsi="Arial" w:cs="Arial"/>
          <w:lang w:val="en-US"/>
        </w:rPr>
        <w:t xml:space="preserve"> appeal was noted out of time</w:t>
      </w:r>
      <w:r w:rsidR="00DD2EE6">
        <w:rPr>
          <w:rFonts w:ascii="Arial" w:hAnsi="Arial" w:cs="Arial"/>
          <w:lang w:val="en-US"/>
        </w:rPr>
        <w:t>?</w:t>
      </w:r>
    </w:p>
    <w:p w14:paraId="43CDD7E4" w14:textId="77777777" w:rsidR="005A4469" w:rsidRPr="005A4469" w:rsidRDefault="005A4469" w:rsidP="005A4469">
      <w:pPr>
        <w:pStyle w:val="ListParagraph"/>
        <w:rPr>
          <w:rFonts w:ascii="Arial" w:hAnsi="Arial" w:cs="Arial"/>
          <w:lang w:val="en-US"/>
        </w:rPr>
      </w:pPr>
    </w:p>
    <w:p w14:paraId="2CB77559" w14:textId="47914EA1" w:rsidR="00E71660" w:rsidRPr="00E71660" w:rsidRDefault="00E71660" w:rsidP="00E71660">
      <w:pPr>
        <w:pStyle w:val="ListParagraph"/>
        <w:spacing w:line="360" w:lineRule="auto"/>
        <w:ind w:left="0"/>
        <w:jc w:val="both"/>
        <w:rPr>
          <w:rFonts w:ascii="Arial" w:hAnsi="Arial" w:cs="Arial"/>
          <w:u w:val="single"/>
          <w:lang w:val="en-US"/>
        </w:rPr>
      </w:pPr>
      <w:r>
        <w:rPr>
          <w:rFonts w:ascii="Arial" w:hAnsi="Arial" w:cs="Arial"/>
          <w:u w:val="single"/>
          <w:lang w:val="en-US"/>
        </w:rPr>
        <w:t>Timeous noting of the appeal</w:t>
      </w:r>
    </w:p>
    <w:p w14:paraId="151DB3CC" w14:textId="77777777" w:rsidR="00E71660" w:rsidRPr="00E71660" w:rsidRDefault="00E71660" w:rsidP="00E71660">
      <w:pPr>
        <w:pStyle w:val="ListParagraph"/>
        <w:rPr>
          <w:rFonts w:ascii="Arial" w:hAnsi="Arial" w:cs="Arial"/>
          <w:lang w:val="en-US"/>
        </w:rPr>
      </w:pPr>
    </w:p>
    <w:p w14:paraId="65060863" w14:textId="2022EFE8" w:rsidR="00486057" w:rsidRPr="00DD2EE6" w:rsidRDefault="00486057" w:rsidP="00DD2EE6">
      <w:pPr>
        <w:pStyle w:val="ListParagraph"/>
        <w:numPr>
          <w:ilvl w:val="0"/>
          <w:numId w:val="6"/>
        </w:numPr>
        <w:spacing w:line="360" w:lineRule="auto"/>
        <w:ind w:left="0" w:firstLine="0"/>
        <w:jc w:val="both"/>
        <w:rPr>
          <w:rFonts w:ascii="Arial" w:hAnsi="Arial" w:cs="Arial"/>
          <w:lang w:val="en-US"/>
        </w:rPr>
      </w:pPr>
      <w:r w:rsidRPr="00A44619">
        <w:rPr>
          <w:rFonts w:ascii="Arial" w:hAnsi="Arial" w:cs="Arial"/>
          <w:lang w:val="en-US"/>
        </w:rPr>
        <w:t>On th</w:t>
      </w:r>
      <w:r w:rsidR="00DD2EE6">
        <w:rPr>
          <w:rFonts w:ascii="Arial" w:hAnsi="Arial" w:cs="Arial"/>
          <w:lang w:val="en-US"/>
        </w:rPr>
        <w:t>e</w:t>
      </w:r>
      <w:r w:rsidRPr="00A44619">
        <w:rPr>
          <w:rFonts w:ascii="Arial" w:hAnsi="Arial" w:cs="Arial"/>
          <w:lang w:val="en-US"/>
        </w:rPr>
        <w:t xml:space="preserve"> interpretation</w:t>
      </w:r>
      <w:r w:rsidR="00592C76">
        <w:rPr>
          <w:rFonts w:ascii="Arial" w:hAnsi="Arial" w:cs="Arial"/>
          <w:lang w:val="en-US"/>
        </w:rPr>
        <w:t xml:space="preserve"> </w:t>
      </w:r>
      <w:r w:rsidR="00DD2EE6">
        <w:rPr>
          <w:rFonts w:ascii="Arial" w:hAnsi="Arial" w:cs="Arial"/>
          <w:lang w:val="en-US"/>
        </w:rPr>
        <w:t>adopted by the court</w:t>
      </w:r>
      <w:r w:rsidRPr="00A44619">
        <w:rPr>
          <w:rFonts w:ascii="Arial" w:hAnsi="Arial" w:cs="Arial"/>
          <w:lang w:val="en-US"/>
        </w:rPr>
        <w:t xml:space="preserve">, the court finds that </w:t>
      </w:r>
      <w:r w:rsidR="00DD2EE6">
        <w:rPr>
          <w:rFonts w:ascii="Arial" w:hAnsi="Arial" w:cs="Arial"/>
          <w:lang w:val="en-US"/>
        </w:rPr>
        <w:t xml:space="preserve">there is substantial compliance with Conciliation and Arbitration </w:t>
      </w:r>
      <w:r w:rsidR="003A26AF">
        <w:rPr>
          <w:rFonts w:ascii="Arial" w:hAnsi="Arial" w:cs="Arial"/>
          <w:lang w:val="en-US"/>
        </w:rPr>
        <w:t>r</w:t>
      </w:r>
      <w:r w:rsidR="00DD2EE6">
        <w:rPr>
          <w:rFonts w:ascii="Arial" w:hAnsi="Arial" w:cs="Arial"/>
          <w:lang w:val="en-US"/>
        </w:rPr>
        <w:t xml:space="preserve"> 6(3)</w:t>
      </w:r>
      <w:r w:rsidR="00DD2EE6" w:rsidRPr="002B462E">
        <w:rPr>
          <w:rFonts w:ascii="Arial" w:hAnsi="Arial" w:cs="Arial"/>
          <w:i/>
          <w:iCs/>
          <w:lang w:val="en-US"/>
        </w:rPr>
        <w:t>(a)</w:t>
      </w:r>
      <w:r w:rsidR="00DD2EE6">
        <w:rPr>
          <w:rFonts w:ascii="Arial" w:hAnsi="Arial" w:cs="Arial"/>
          <w:lang w:val="en-US"/>
        </w:rPr>
        <w:t xml:space="preserve"> and</w:t>
      </w:r>
      <w:r w:rsidR="00592C76">
        <w:rPr>
          <w:rFonts w:ascii="Arial" w:hAnsi="Arial" w:cs="Arial"/>
          <w:lang w:val="en-US"/>
        </w:rPr>
        <w:t xml:space="preserve"> </w:t>
      </w:r>
      <w:r w:rsidRPr="00A44619">
        <w:rPr>
          <w:rFonts w:ascii="Arial" w:hAnsi="Arial" w:cs="Arial"/>
          <w:lang w:val="en-US"/>
        </w:rPr>
        <w:t xml:space="preserve">the </w:t>
      </w:r>
      <w:r w:rsidR="002E537A" w:rsidRPr="00A44619">
        <w:rPr>
          <w:rFonts w:ascii="Arial" w:hAnsi="Arial" w:cs="Arial"/>
          <w:lang w:val="en-US"/>
        </w:rPr>
        <w:t>ruling</w:t>
      </w:r>
      <w:r w:rsidRPr="00A44619">
        <w:rPr>
          <w:rFonts w:ascii="Arial" w:hAnsi="Arial" w:cs="Arial"/>
          <w:lang w:val="en-US"/>
        </w:rPr>
        <w:t xml:space="preserve"> was served on the </w:t>
      </w:r>
      <w:r w:rsidR="00E72E33">
        <w:rPr>
          <w:rFonts w:ascii="Arial" w:hAnsi="Arial" w:cs="Arial"/>
          <w:lang w:val="en-US"/>
        </w:rPr>
        <w:t>a</w:t>
      </w:r>
      <w:r w:rsidRPr="00A44619">
        <w:rPr>
          <w:rFonts w:ascii="Arial" w:hAnsi="Arial" w:cs="Arial"/>
          <w:lang w:val="en-US"/>
        </w:rPr>
        <w:t xml:space="preserve">pplicant </w:t>
      </w:r>
      <w:r w:rsidR="00592C76">
        <w:rPr>
          <w:rFonts w:ascii="Arial" w:hAnsi="Arial" w:cs="Arial"/>
          <w:lang w:val="en-US"/>
        </w:rPr>
        <w:t>on 20 April 2022</w:t>
      </w:r>
      <w:r w:rsidRPr="00A44619">
        <w:rPr>
          <w:rFonts w:ascii="Arial" w:hAnsi="Arial" w:cs="Arial"/>
          <w:lang w:val="en-US"/>
        </w:rPr>
        <w:t>.</w:t>
      </w:r>
      <w:r w:rsidR="00592C76">
        <w:rPr>
          <w:rFonts w:ascii="Arial" w:hAnsi="Arial" w:cs="Arial"/>
          <w:lang w:val="en-US"/>
        </w:rPr>
        <w:t xml:space="preserve"> The court further finds that </w:t>
      </w:r>
      <w:r w:rsidRPr="00DD2EE6">
        <w:rPr>
          <w:rFonts w:ascii="Arial" w:hAnsi="Arial" w:cs="Arial"/>
          <w:lang w:val="en-US"/>
        </w:rPr>
        <w:t>the appeal had to be noted on or before 2</w:t>
      </w:r>
      <w:r w:rsidR="00332152" w:rsidRPr="00DD2EE6">
        <w:rPr>
          <w:rFonts w:ascii="Arial" w:hAnsi="Arial" w:cs="Arial"/>
          <w:lang w:val="en-US"/>
        </w:rPr>
        <w:t>0</w:t>
      </w:r>
      <w:r w:rsidRPr="00DD2EE6">
        <w:rPr>
          <w:rFonts w:ascii="Arial" w:hAnsi="Arial" w:cs="Arial"/>
          <w:lang w:val="en-US"/>
        </w:rPr>
        <w:t xml:space="preserve"> May 2022, hence the appeal was noted timeously</w:t>
      </w:r>
      <w:r w:rsidR="00C76A9E" w:rsidRPr="00DD2EE6">
        <w:rPr>
          <w:rFonts w:ascii="Arial" w:hAnsi="Arial" w:cs="Arial"/>
          <w:lang w:val="en-US"/>
        </w:rPr>
        <w:t xml:space="preserve"> on 27 April 2022</w:t>
      </w:r>
      <w:r w:rsidRPr="00DD2EE6">
        <w:rPr>
          <w:rFonts w:ascii="Arial" w:hAnsi="Arial" w:cs="Arial"/>
          <w:lang w:val="en-US"/>
        </w:rPr>
        <w:t>. The</w:t>
      </w:r>
      <w:r w:rsidR="009C1FE4">
        <w:rPr>
          <w:rFonts w:ascii="Arial" w:hAnsi="Arial" w:cs="Arial"/>
          <w:lang w:val="en-US"/>
        </w:rPr>
        <w:t xml:space="preserve">refore, the </w:t>
      </w:r>
      <w:r w:rsidR="0019379D">
        <w:rPr>
          <w:rFonts w:ascii="Arial" w:hAnsi="Arial" w:cs="Arial"/>
          <w:lang w:val="en-US"/>
        </w:rPr>
        <w:t>r</w:t>
      </w:r>
      <w:r w:rsidR="009C1FE4">
        <w:rPr>
          <w:rFonts w:ascii="Arial" w:hAnsi="Arial" w:cs="Arial"/>
          <w:lang w:val="en-US"/>
        </w:rPr>
        <w:t>espondent’s contention that there is no appeal before the court because the appeal was noted out of time is</w:t>
      </w:r>
      <w:r w:rsidRPr="00DD2EE6">
        <w:rPr>
          <w:rFonts w:ascii="Arial" w:hAnsi="Arial" w:cs="Arial"/>
          <w:lang w:val="en-US"/>
        </w:rPr>
        <w:t xml:space="preserve"> </w:t>
      </w:r>
      <w:r w:rsidR="00130CD0">
        <w:rPr>
          <w:rFonts w:ascii="Arial" w:hAnsi="Arial" w:cs="Arial"/>
          <w:lang w:val="en-US"/>
        </w:rPr>
        <w:t>not upheld</w:t>
      </w:r>
      <w:r w:rsidRPr="00DD2EE6">
        <w:rPr>
          <w:rFonts w:ascii="Arial" w:hAnsi="Arial" w:cs="Arial"/>
          <w:lang w:val="en-US"/>
        </w:rPr>
        <w:t>.</w:t>
      </w:r>
    </w:p>
    <w:p w14:paraId="6398426F" w14:textId="77777777" w:rsidR="00D02390" w:rsidRPr="00D02390" w:rsidRDefault="00D02390" w:rsidP="00D02390">
      <w:pPr>
        <w:pStyle w:val="ListParagraph"/>
        <w:rPr>
          <w:rFonts w:ascii="Arial" w:hAnsi="Arial" w:cs="Arial"/>
          <w:lang w:val="en-US"/>
        </w:rPr>
      </w:pPr>
    </w:p>
    <w:p w14:paraId="11760AA2" w14:textId="33B67FB2" w:rsidR="007A0259" w:rsidRPr="00E71660" w:rsidRDefault="00AA463E" w:rsidP="007A0259">
      <w:pPr>
        <w:pStyle w:val="ListParagraph"/>
        <w:spacing w:line="360" w:lineRule="auto"/>
        <w:ind w:left="0"/>
        <w:jc w:val="both"/>
        <w:rPr>
          <w:rFonts w:ascii="Arial" w:hAnsi="Arial" w:cs="Arial"/>
          <w:u w:val="single"/>
          <w:lang w:val="en-US"/>
        </w:rPr>
      </w:pPr>
      <w:r>
        <w:rPr>
          <w:rFonts w:ascii="Arial" w:hAnsi="Arial" w:cs="Arial"/>
          <w:u w:val="single"/>
          <w:lang w:val="en-US"/>
        </w:rPr>
        <w:t>Form 11</w:t>
      </w:r>
    </w:p>
    <w:p w14:paraId="7882A52A" w14:textId="77777777" w:rsidR="007A0259" w:rsidRPr="007A0259" w:rsidRDefault="007A0259" w:rsidP="007A0259">
      <w:pPr>
        <w:pStyle w:val="ListParagraph"/>
        <w:rPr>
          <w:rFonts w:ascii="Arial" w:hAnsi="Arial" w:cs="Arial"/>
          <w:lang w:val="en-US"/>
        </w:rPr>
      </w:pPr>
    </w:p>
    <w:p w14:paraId="075BB9E3" w14:textId="4D3BDE1C" w:rsidR="00D02390" w:rsidRDefault="003637BB" w:rsidP="003637B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court now turns to the second reason why the </w:t>
      </w:r>
      <w:r w:rsidR="0019379D">
        <w:rPr>
          <w:rFonts w:ascii="Arial" w:hAnsi="Arial" w:cs="Arial"/>
          <w:lang w:val="en-US"/>
        </w:rPr>
        <w:t>r</w:t>
      </w:r>
      <w:r>
        <w:rPr>
          <w:rFonts w:ascii="Arial" w:hAnsi="Arial" w:cs="Arial"/>
          <w:lang w:val="en-US"/>
        </w:rPr>
        <w:t xml:space="preserve">espondent says there is no appeal before </w:t>
      </w:r>
      <w:r w:rsidR="009C1FE4">
        <w:rPr>
          <w:rFonts w:ascii="Arial" w:hAnsi="Arial" w:cs="Arial"/>
          <w:lang w:val="en-US"/>
        </w:rPr>
        <w:t xml:space="preserve">the </w:t>
      </w:r>
      <w:r>
        <w:rPr>
          <w:rFonts w:ascii="Arial" w:hAnsi="Arial" w:cs="Arial"/>
          <w:lang w:val="en-US"/>
        </w:rPr>
        <w:t>court</w:t>
      </w:r>
      <w:r w:rsidR="00332152">
        <w:rPr>
          <w:rFonts w:ascii="Arial" w:hAnsi="Arial" w:cs="Arial"/>
          <w:lang w:val="en-US"/>
        </w:rPr>
        <w:t>.</w:t>
      </w:r>
      <w:r w:rsidR="00413065">
        <w:rPr>
          <w:rFonts w:ascii="Arial" w:hAnsi="Arial" w:cs="Arial"/>
          <w:lang w:val="en-US"/>
        </w:rPr>
        <w:t xml:space="preserve"> The </w:t>
      </w:r>
      <w:r w:rsidR="0019379D">
        <w:rPr>
          <w:rFonts w:ascii="Arial" w:hAnsi="Arial" w:cs="Arial"/>
          <w:lang w:val="en-US"/>
        </w:rPr>
        <w:t>r</w:t>
      </w:r>
      <w:r w:rsidR="00413065">
        <w:rPr>
          <w:rFonts w:ascii="Arial" w:hAnsi="Arial" w:cs="Arial"/>
          <w:lang w:val="en-US"/>
        </w:rPr>
        <w:t>espondent contend</w:t>
      </w:r>
      <w:r w:rsidR="00AA463E">
        <w:rPr>
          <w:rFonts w:ascii="Arial" w:hAnsi="Arial" w:cs="Arial"/>
          <w:lang w:val="en-US"/>
        </w:rPr>
        <w:t>ed</w:t>
      </w:r>
      <w:r w:rsidR="00413065">
        <w:rPr>
          <w:rFonts w:ascii="Arial" w:hAnsi="Arial" w:cs="Arial"/>
          <w:lang w:val="en-US"/>
        </w:rPr>
        <w:t xml:space="preserve"> that </w:t>
      </w:r>
      <w:r w:rsidRPr="00EB0655">
        <w:rPr>
          <w:rFonts w:ascii="Arial" w:hAnsi="Arial" w:cs="Arial"/>
          <w:lang w:val="en-US"/>
        </w:rPr>
        <w:t xml:space="preserve">the </w:t>
      </w:r>
      <w:r w:rsidR="00E72E33">
        <w:rPr>
          <w:rFonts w:ascii="Arial" w:hAnsi="Arial" w:cs="Arial"/>
          <w:lang w:val="en-US"/>
        </w:rPr>
        <w:t>a</w:t>
      </w:r>
      <w:r w:rsidRPr="00EB0655">
        <w:rPr>
          <w:rFonts w:ascii="Arial" w:hAnsi="Arial" w:cs="Arial"/>
          <w:lang w:val="en-US"/>
        </w:rPr>
        <w:t>pplicant</w:t>
      </w:r>
      <w:r w:rsidR="00413065">
        <w:rPr>
          <w:rFonts w:ascii="Arial" w:hAnsi="Arial" w:cs="Arial"/>
          <w:lang w:val="en-US"/>
        </w:rPr>
        <w:t>’s Form 11 is defective in that it does not set out the grounds of appeal</w:t>
      </w:r>
      <w:r w:rsidR="009C1FE4">
        <w:rPr>
          <w:rFonts w:ascii="Arial" w:hAnsi="Arial" w:cs="Arial"/>
          <w:lang w:val="en-US"/>
        </w:rPr>
        <w:t>,</w:t>
      </w:r>
      <w:r w:rsidR="00413065">
        <w:rPr>
          <w:rFonts w:ascii="Arial" w:hAnsi="Arial" w:cs="Arial"/>
          <w:lang w:val="en-US"/>
        </w:rPr>
        <w:t xml:space="preserve"> and thus, the </w:t>
      </w:r>
      <w:r w:rsidR="00E72E33">
        <w:rPr>
          <w:rFonts w:ascii="Arial" w:hAnsi="Arial" w:cs="Arial"/>
          <w:lang w:val="en-US"/>
        </w:rPr>
        <w:t>a</w:t>
      </w:r>
      <w:r w:rsidR="00413065">
        <w:rPr>
          <w:rFonts w:ascii="Arial" w:hAnsi="Arial" w:cs="Arial"/>
          <w:lang w:val="en-US"/>
        </w:rPr>
        <w:t xml:space="preserve">pplicant failed to note an appeal as prescribed in terms of ss 89(1) and (2) of the Act, read with Labour Court </w:t>
      </w:r>
      <w:r w:rsidR="003A26AF">
        <w:rPr>
          <w:rFonts w:ascii="Arial" w:hAnsi="Arial" w:cs="Arial"/>
          <w:lang w:val="en-US"/>
        </w:rPr>
        <w:t>r</w:t>
      </w:r>
      <w:r w:rsidR="00413065">
        <w:rPr>
          <w:rFonts w:ascii="Arial" w:hAnsi="Arial" w:cs="Arial"/>
          <w:lang w:val="en-US"/>
        </w:rPr>
        <w:t xml:space="preserve"> 17(2)</w:t>
      </w:r>
      <w:r>
        <w:rPr>
          <w:rFonts w:ascii="Arial" w:hAnsi="Arial" w:cs="Arial"/>
          <w:lang w:val="en-US"/>
        </w:rPr>
        <w:t>.</w:t>
      </w:r>
    </w:p>
    <w:p w14:paraId="5E8C858E" w14:textId="77777777" w:rsidR="00413065" w:rsidRPr="00413065" w:rsidRDefault="00413065" w:rsidP="00413065">
      <w:pPr>
        <w:pStyle w:val="ListParagraph"/>
        <w:rPr>
          <w:rFonts w:ascii="Arial" w:hAnsi="Arial" w:cs="Arial"/>
          <w:lang w:val="en-US"/>
        </w:rPr>
      </w:pPr>
    </w:p>
    <w:p w14:paraId="0E0E0CB5" w14:textId="6F670059" w:rsidR="00994178" w:rsidRDefault="00515EC8" w:rsidP="003637B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According to case law</w:t>
      </w:r>
      <w:r>
        <w:rPr>
          <w:rStyle w:val="FootnoteReference"/>
          <w:rFonts w:ascii="Arial" w:hAnsi="Arial" w:cs="Arial"/>
          <w:lang w:val="en-US"/>
        </w:rPr>
        <w:footnoteReference w:id="5"/>
      </w:r>
      <w:r>
        <w:rPr>
          <w:rFonts w:ascii="Arial" w:hAnsi="Arial" w:cs="Arial"/>
          <w:lang w:val="en-US"/>
        </w:rPr>
        <w:t>, t</w:t>
      </w:r>
      <w:r w:rsidR="00994178">
        <w:rPr>
          <w:rFonts w:ascii="Arial" w:hAnsi="Arial" w:cs="Arial"/>
          <w:lang w:val="en-US"/>
        </w:rPr>
        <w:t>he position</w:t>
      </w:r>
      <w:r>
        <w:rPr>
          <w:rFonts w:ascii="Arial" w:hAnsi="Arial" w:cs="Arial"/>
          <w:lang w:val="en-US"/>
        </w:rPr>
        <w:t xml:space="preserve"> on the </w:t>
      </w:r>
      <w:r w:rsidR="0019379D">
        <w:rPr>
          <w:rFonts w:ascii="Arial" w:hAnsi="Arial" w:cs="Arial"/>
          <w:lang w:val="en-US"/>
        </w:rPr>
        <w:t>r</w:t>
      </w:r>
      <w:r>
        <w:rPr>
          <w:rFonts w:ascii="Arial" w:hAnsi="Arial" w:cs="Arial"/>
          <w:lang w:val="en-US"/>
        </w:rPr>
        <w:t xml:space="preserve">espondent’s contention </w:t>
      </w:r>
      <w:r w:rsidR="0090466F">
        <w:rPr>
          <w:rFonts w:ascii="Arial" w:hAnsi="Arial" w:cs="Arial"/>
          <w:lang w:val="en-US"/>
        </w:rPr>
        <w:t>in the preceding paragraph</w:t>
      </w:r>
      <w:r>
        <w:rPr>
          <w:rFonts w:ascii="Arial" w:hAnsi="Arial" w:cs="Arial"/>
          <w:lang w:val="en-US"/>
        </w:rPr>
        <w:t xml:space="preserve"> </w:t>
      </w:r>
      <w:r w:rsidR="00994178">
        <w:rPr>
          <w:rFonts w:ascii="Arial" w:hAnsi="Arial" w:cs="Arial"/>
          <w:lang w:val="en-US"/>
        </w:rPr>
        <w:t>is as follows.</w:t>
      </w:r>
      <w:r w:rsidR="006D6AB7">
        <w:rPr>
          <w:rFonts w:ascii="Arial" w:hAnsi="Arial" w:cs="Arial"/>
          <w:lang w:val="en-US"/>
        </w:rPr>
        <w:t xml:space="preserve"> </w:t>
      </w:r>
      <w:r w:rsidR="00994178">
        <w:rPr>
          <w:rFonts w:ascii="Arial" w:hAnsi="Arial" w:cs="Arial"/>
          <w:lang w:val="en-US"/>
        </w:rPr>
        <w:t xml:space="preserve">An appeal must be noted by delivery of </w:t>
      </w:r>
      <w:r w:rsidR="002B064F">
        <w:rPr>
          <w:rFonts w:ascii="Arial" w:hAnsi="Arial" w:cs="Arial"/>
          <w:lang w:val="en-US"/>
        </w:rPr>
        <w:t>Form 11, prescribed by the Labour Court Rules, and Form LC 41,</w:t>
      </w:r>
      <w:r w:rsidR="00994178">
        <w:rPr>
          <w:rFonts w:ascii="Arial" w:hAnsi="Arial" w:cs="Arial"/>
          <w:lang w:val="en-US"/>
        </w:rPr>
        <w:t xml:space="preserve"> prescribed by the Conciliation and Arbitration Court Rules.</w:t>
      </w:r>
      <w:r w:rsidR="00675440">
        <w:rPr>
          <w:rFonts w:ascii="Arial" w:hAnsi="Arial" w:cs="Arial"/>
          <w:lang w:val="en-US"/>
        </w:rPr>
        <w:t xml:space="preserve"> It is a peremptory requirement that the grounds of appeal be set out in both Form 11 and Form LC 41. The result of non-</w:t>
      </w:r>
      <w:r w:rsidR="00675440">
        <w:rPr>
          <w:rFonts w:ascii="Arial" w:hAnsi="Arial" w:cs="Arial"/>
          <w:lang w:val="en-US"/>
        </w:rPr>
        <w:lastRenderedPageBreak/>
        <w:t xml:space="preserve">compliance with that peremptory requirement is </w:t>
      </w:r>
      <w:r w:rsidR="00A365A3">
        <w:rPr>
          <w:rFonts w:ascii="Arial" w:hAnsi="Arial" w:cs="Arial"/>
          <w:lang w:val="en-US"/>
        </w:rPr>
        <w:t xml:space="preserve">that there is </w:t>
      </w:r>
      <w:r w:rsidR="00675440">
        <w:rPr>
          <w:rFonts w:ascii="Arial" w:hAnsi="Arial" w:cs="Arial"/>
          <w:lang w:val="en-US"/>
        </w:rPr>
        <w:t xml:space="preserve">no appeal before </w:t>
      </w:r>
      <w:r w:rsidR="002B064F">
        <w:rPr>
          <w:rFonts w:ascii="Arial" w:hAnsi="Arial" w:cs="Arial"/>
          <w:lang w:val="en-US"/>
        </w:rPr>
        <w:t xml:space="preserve">the </w:t>
      </w:r>
      <w:r w:rsidR="00675440">
        <w:rPr>
          <w:rFonts w:ascii="Arial" w:hAnsi="Arial" w:cs="Arial"/>
          <w:lang w:val="en-US"/>
        </w:rPr>
        <w:t>court.</w:t>
      </w:r>
    </w:p>
    <w:p w14:paraId="05614082" w14:textId="77777777" w:rsidR="00675440" w:rsidRPr="00675440" w:rsidRDefault="00675440" w:rsidP="00675440">
      <w:pPr>
        <w:pStyle w:val="ListParagraph"/>
        <w:rPr>
          <w:rFonts w:ascii="Arial" w:hAnsi="Arial" w:cs="Arial"/>
          <w:lang w:val="en-US"/>
        </w:rPr>
      </w:pPr>
    </w:p>
    <w:p w14:paraId="03C05A9F" w14:textId="5E35071F" w:rsidR="00675440" w:rsidRDefault="00675440" w:rsidP="003637B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With respect and for the following reasons, the court does not agree that in an appeal against an award</w:t>
      </w:r>
      <w:r w:rsidR="002B064F">
        <w:rPr>
          <w:rFonts w:ascii="Arial" w:hAnsi="Arial" w:cs="Arial"/>
          <w:lang w:val="en-US"/>
        </w:rPr>
        <w:t>, the grounds of appeal must be set out in Form 11, and if the grounds of appeal are not set out in Form 11, there is no appeal before th</w:t>
      </w:r>
      <w:r>
        <w:rPr>
          <w:rFonts w:ascii="Arial" w:hAnsi="Arial" w:cs="Arial"/>
          <w:lang w:val="en-US"/>
        </w:rPr>
        <w:t>e court.</w:t>
      </w:r>
    </w:p>
    <w:p w14:paraId="4C0A21AB" w14:textId="77777777" w:rsidR="00994178" w:rsidRPr="00AA463E" w:rsidRDefault="00994178" w:rsidP="00994178">
      <w:pPr>
        <w:pStyle w:val="ListParagraph"/>
        <w:rPr>
          <w:rFonts w:ascii="Arial" w:hAnsi="Arial" w:cs="Arial"/>
        </w:rPr>
      </w:pPr>
    </w:p>
    <w:p w14:paraId="2357134F" w14:textId="7C20DB0B" w:rsidR="00413065" w:rsidRDefault="00413065" w:rsidP="003637B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For what follows</w:t>
      </w:r>
      <w:r w:rsidR="00E0216A">
        <w:rPr>
          <w:rFonts w:ascii="Arial" w:hAnsi="Arial" w:cs="Arial"/>
          <w:lang w:val="en-US"/>
        </w:rPr>
        <w:t>,</w:t>
      </w:r>
      <w:r>
        <w:rPr>
          <w:rFonts w:ascii="Arial" w:hAnsi="Arial" w:cs="Arial"/>
          <w:lang w:val="en-US"/>
        </w:rPr>
        <w:t xml:space="preserve"> it is necessary to quote Labour Court </w:t>
      </w:r>
      <w:r w:rsidR="003A26AF">
        <w:rPr>
          <w:rFonts w:ascii="Arial" w:hAnsi="Arial" w:cs="Arial"/>
          <w:lang w:val="en-US"/>
        </w:rPr>
        <w:t>r</w:t>
      </w:r>
      <w:r>
        <w:rPr>
          <w:rFonts w:ascii="Arial" w:hAnsi="Arial" w:cs="Arial"/>
          <w:lang w:val="en-US"/>
        </w:rPr>
        <w:t xml:space="preserve"> 17(1) to 17(3)</w:t>
      </w:r>
      <w:r w:rsidR="00E7388E">
        <w:rPr>
          <w:rFonts w:ascii="Arial" w:hAnsi="Arial" w:cs="Arial"/>
          <w:lang w:val="en-US"/>
        </w:rPr>
        <w:t xml:space="preserve"> and </w:t>
      </w:r>
      <w:r w:rsidR="002B064F">
        <w:rPr>
          <w:rFonts w:ascii="Arial" w:hAnsi="Arial" w:cs="Arial"/>
          <w:lang w:val="en-US"/>
        </w:rPr>
        <w:t>analyse th</w:t>
      </w:r>
      <w:r w:rsidR="00F37EC6">
        <w:rPr>
          <w:rFonts w:ascii="Arial" w:hAnsi="Arial" w:cs="Arial"/>
          <w:lang w:val="en-US"/>
        </w:rPr>
        <w:t>e structure of those rules</w:t>
      </w:r>
      <w:r w:rsidR="008251CE">
        <w:rPr>
          <w:rFonts w:ascii="Arial" w:hAnsi="Arial" w:cs="Arial"/>
          <w:lang w:val="en-US"/>
        </w:rPr>
        <w:t xml:space="preserve"> whereby the legislature’s intention will </w:t>
      </w:r>
      <w:r w:rsidR="00AA463E">
        <w:rPr>
          <w:rFonts w:ascii="Arial" w:hAnsi="Arial" w:cs="Arial"/>
          <w:lang w:val="en-US"/>
        </w:rPr>
        <w:t>emerge</w:t>
      </w:r>
      <w:r>
        <w:rPr>
          <w:rFonts w:ascii="Arial" w:hAnsi="Arial" w:cs="Arial"/>
          <w:lang w:val="en-US"/>
        </w:rPr>
        <w:t>. Those rules read as follows:</w:t>
      </w:r>
    </w:p>
    <w:p w14:paraId="38EF7A4C" w14:textId="77777777" w:rsidR="00413065" w:rsidRPr="00413065" w:rsidRDefault="00413065" w:rsidP="00413065">
      <w:pPr>
        <w:pStyle w:val="ListParagraph"/>
        <w:rPr>
          <w:rFonts w:ascii="Arial" w:hAnsi="Arial" w:cs="Arial"/>
          <w:lang w:val="en-US"/>
        </w:rPr>
      </w:pPr>
    </w:p>
    <w:p w14:paraId="06C88527" w14:textId="5E6A54AA" w:rsidR="00413065" w:rsidRPr="00413065" w:rsidRDefault="00413065" w:rsidP="000446D8">
      <w:pPr>
        <w:pStyle w:val="ListParagraph"/>
        <w:spacing w:line="360" w:lineRule="auto"/>
        <w:ind w:left="0" w:firstLine="720"/>
        <w:jc w:val="both"/>
        <w:rPr>
          <w:rFonts w:ascii="Arial" w:hAnsi="Arial" w:cs="Arial"/>
          <w:sz w:val="22"/>
          <w:szCs w:val="22"/>
        </w:rPr>
      </w:pPr>
      <w:r>
        <w:rPr>
          <w:rFonts w:ascii="Arial" w:hAnsi="Arial" w:cs="Arial"/>
        </w:rPr>
        <w:t>‘</w:t>
      </w:r>
      <w:r w:rsidRPr="00413065">
        <w:rPr>
          <w:rFonts w:ascii="Arial" w:hAnsi="Arial" w:cs="Arial"/>
          <w:sz w:val="22"/>
          <w:szCs w:val="22"/>
        </w:rPr>
        <w:t xml:space="preserve">17 </w:t>
      </w:r>
      <w:r w:rsidR="00E7388E" w:rsidRPr="008251CE">
        <w:rPr>
          <w:rFonts w:ascii="Arial" w:hAnsi="Arial" w:cs="Arial"/>
          <w:sz w:val="22"/>
          <w:szCs w:val="22"/>
        </w:rPr>
        <w:tab/>
      </w:r>
      <w:r w:rsidRPr="00413065">
        <w:rPr>
          <w:rFonts w:ascii="Arial" w:hAnsi="Arial" w:cs="Arial"/>
          <w:sz w:val="22"/>
          <w:szCs w:val="22"/>
        </w:rPr>
        <w:t xml:space="preserve">Appeals under various provisions of Act </w:t>
      </w:r>
    </w:p>
    <w:p w14:paraId="7D5A8C89" w14:textId="77777777" w:rsidR="00413065" w:rsidRPr="008251CE" w:rsidRDefault="00413065" w:rsidP="000446D8">
      <w:pPr>
        <w:pStyle w:val="ListParagraph"/>
        <w:spacing w:line="360" w:lineRule="auto"/>
        <w:ind w:left="0"/>
        <w:jc w:val="both"/>
        <w:rPr>
          <w:rFonts w:ascii="Arial" w:hAnsi="Arial" w:cs="Arial"/>
          <w:sz w:val="22"/>
          <w:szCs w:val="22"/>
        </w:rPr>
      </w:pPr>
    </w:p>
    <w:p w14:paraId="55A8CB42" w14:textId="60216CDF" w:rsidR="00413065" w:rsidRPr="008251CE" w:rsidRDefault="00413065" w:rsidP="000446D8">
      <w:pPr>
        <w:pStyle w:val="ListParagraph"/>
        <w:spacing w:line="360" w:lineRule="auto"/>
        <w:ind w:left="0"/>
        <w:jc w:val="both"/>
        <w:rPr>
          <w:rFonts w:ascii="Arial" w:hAnsi="Arial" w:cs="Arial"/>
          <w:sz w:val="22"/>
          <w:szCs w:val="22"/>
        </w:rPr>
      </w:pPr>
      <w:r w:rsidRPr="00413065">
        <w:rPr>
          <w:rFonts w:ascii="Arial" w:hAnsi="Arial" w:cs="Arial"/>
          <w:sz w:val="22"/>
          <w:szCs w:val="22"/>
        </w:rPr>
        <w:t xml:space="preserve">(1) This rule applies to an appeal noted against- </w:t>
      </w:r>
    </w:p>
    <w:p w14:paraId="478A959E" w14:textId="2A6FA37B" w:rsidR="00413065" w:rsidRPr="00413065" w:rsidRDefault="00413065" w:rsidP="000446D8">
      <w:pPr>
        <w:pStyle w:val="ListParagraph"/>
        <w:spacing w:line="360" w:lineRule="auto"/>
        <w:ind w:left="0"/>
        <w:jc w:val="both"/>
        <w:rPr>
          <w:rFonts w:ascii="Arial" w:hAnsi="Arial" w:cs="Arial"/>
          <w:sz w:val="22"/>
          <w:szCs w:val="22"/>
        </w:rPr>
      </w:pPr>
      <w:r w:rsidRPr="00413065">
        <w:rPr>
          <w:rFonts w:ascii="Arial" w:hAnsi="Arial" w:cs="Arial"/>
          <w:sz w:val="22"/>
          <w:szCs w:val="22"/>
        </w:rPr>
        <w:t xml:space="preserve">(a) </w:t>
      </w:r>
      <w:r w:rsidR="008251CE" w:rsidRPr="008251CE">
        <w:rPr>
          <w:rFonts w:ascii="Arial" w:hAnsi="Arial" w:cs="Arial"/>
          <w:sz w:val="22"/>
          <w:szCs w:val="22"/>
        </w:rPr>
        <w:tab/>
      </w:r>
      <w:r w:rsidRPr="00413065">
        <w:rPr>
          <w:rFonts w:ascii="Arial" w:hAnsi="Arial" w:cs="Arial"/>
          <w:sz w:val="22"/>
          <w:szCs w:val="22"/>
        </w:rPr>
        <w:t xml:space="preserve">a decision of the Labour Commissioner made in terms of the Act; </w:t>
      </w:r>
    </w:p>
    <w:p w14:paraId="2A9AA4CB" w14:textId="17DF66CD" w:rsidR="00413065" w:rsidRPr="00413065" w:rsidRDefault="00413065" w:rsidP="000446D8">
      <w:pPr>
        <w:pStyle w:val="ListParagraph"/>
        <w:spacing w:line="360" w:lineRule="auto"/>
        <w:ind w:left="0"/>
        <w:jc w:val="both"/>
        <w:rPr>
          <w:rFonts w:ascii="Arial" w:hAnsi="Arial" w:cs="Arial"/>
          <w:sz w:val="22"/>
          <w:szCs w:val="22"/>
        </w:rPr>
      </w:pPr>
      <w:r w:rsidRPr="00413065">
        <w:rPr>
          <w:rFonts w:ascii="Arial" w:hAnsi="Arial" w:cs="Arial"/>
          <w:sz w:val="22"/>
          <w:szCs w:val="22"/>
        </w:rPr>
        <w:t xml:space="preserve">(b) </w:t>
      </w:r>
      <w:r w:rsidR="008251CE" w:rsidRPr="008251CE">
        <w:rPr>
          <w:rFonts w:ascii="Arial" w:hAnsi="Arial" w:cs="Arial"/>
          <w:sz w:val="22"/>
          <w:szCs w:val="22"/>
        </w:rPr>
        <w:tab/>
      </w:r>
      <w:r w:rsidRPr="00413065">
        <w:rPr>
          <w:rFonts w:ascii="Arial" w:hAnsi="Arial" w:cs="Arial"/>
          <w:sz w:val="22"/>
          <w:szCs w:val="22"/>
        </w:rPr>
        <w:t xml:space="preserve">a compliance order issued in terms of section 126 of the Act; and </w:t>
      </w:r>
    </w:p>
    <w:p w14:paraId="09B0C3C9" w14:textId="70777407" w:rsidR="00413065" w:rsidRPr="00413065" w:rsidRDefault="00413065" w:rsidP="000446D8">
      <w:pPr>
        <w:pStyle w:val="ListParagraph"/>
        <w:spacing w:line="360" w:lineRule="auto"/>
        <w:ind w:left="0"/>
        <w:jc w:val="both"/>
        <w:rPr>
          <w:rFonts w:ascii="Arial" w:hAnsi="Arial" w:cs="Arial"/>
          <w:sz w:val="22"/>
          <w:szCs w:val="22"/>
        </w:rPr>
      </w:pPr>
      <w:r w:rsidRPr="00413065">
        <w:rPr>
          <w:rFonts w:ascii="Arial" w:hAnsi="Arial" w:cs="Arial"/>
          <w:sz w:val="22"/>
          <w:szCs w:val="22"/>
        </w:rPr>
        <w:t xml:space="preserve">(c) </w:t>
      </w:r>
      <w:r w:rsidR="008251CE" w:rsidRPr="008251CE">
        <w:rPr>
          <w:rFonts w:ascii="Arial" w:hAnsi="Arial" w:cs="Arial"/>
          <w:sz w:val="22"/>
          <w:szCs w:val="22"/>
        </w:rPr>
        <w:tab/>
      </w:r>
      <w:r w:rsidRPr="00413065">
        <w:rPr>
          <w:rFonts w:ascii="Arial" w:hAnsi="Arial" w:cs="Arial"/>
          <w:sz w:val="22"/>
          <w:szCs w:val="22"/>
        </w:rPr>
        <w:t xml:space="preserve">an arbitration tribunal award, in terms of section 89 of the Act. </w:t>
      </w:r>
    </w:p>
    <w:p w14:paraId="2A933122" w14:textId="77777777" w:rsidR="00413065" w:rsidRPr="008251CE" w:rsidRDefault="00413065" w:rsidP="000446D8">
      <w:pPr>
        <w:pStyle w:val="ListParagraph"/>
        <w:spacing w:line="360" w:lineRule="auto"/>
        <w:ind w:left="0"/>
        <w:jc w:val="both"/>
        <w:rPr>
          <w:rFonts w:ascii="Arial" w:hAnsi="Arial" w:cs="Arial"/>
          <w:sz w:val="22"/>
          <w:szCs w:val="22"/>
        </w:rPr>
      </w:pPr>
    </w:p>
    <w:p w14:paraId="5D53A6CC" w14:textId="15CE68B2" w:rsidR="00413065" w:rsidRPr="00413065" w:rsidRDefault="00413065" w:rsidP="000446D8">
      <w:pPr>
        <w:pStyle w:val="ListParagraph"/>
        <w:spacing w:line="360" w:lineRule="auto"/>
        <w:ind w:left="0"/>
        <w:jc w:val="both"/>
        <w:rPr>
          <w:rFonts w:ascii="Arial" w:hAnsi="Arial" w:cs="Arial"/>
          <w:sz w:val="22"/>
          <w:szCs w:val="22"/>
        </w:rPr>
      </w:pPr>
      <w:r w:rsidRPr="00413065">
        <w:rPr>
          <w:rFonts w:ascii="Arial" w:hAnsi="Arial" w:cs="Arial"/>
          <w:sz w:val="22"/>
          <w:szCs w:val="22"/>
        </w:rPr>
        <w:t xml:space="preserve">(2) An appeal contemplated in subrule (1)(a) and (b) must be noted by delivery of a notice of appeal on Form 11, setting out concisely and distinctly which part of the decision, or order is appealed against and the grounds of appeal, which the appellant relies for the relief sought. </w:t>
      </w:r>
    </w:p>
    <w:p w14:paraId="3FDF4805" w14:textId="77777777" w:rsidR="00413065" w:rsidRPr="008251CE" w:rsidRDefault="00413065" w:rsidP="000446D8">
      <w:pPr>
        <w:pStyle w:val="ListParagraph"/>
        <w:spacing w:line="360" w:lineRule="auto"/>
        <w:ind w:left="0"/>
        <w:jc w:val="both"/>
        <w:rPr>
          <w:rFonts w:ascii="Arial" w:hAnsi="Arial" w:cs="Arial"/>
          <w:sz w:val="22"/>
          <w:szCs w:val="22"/>
        </w:rPr>
      </w:pPr>
    </w:p>
    <w:p w14:paraId="6D32C376" w14:textId="6BD0AF3A" w:rsidR="00413065" w:rsidRPr="008251CE" w:rsidRDefault="00413065" w:rsidP="000446D8">
      <w:pPr>
        <w:pStyle w:val="ListParagraph"/>
        <w:spacing w:line="360" w:lineRule="auto"/>
        <w:ind w:left="0"/>
        <w:jc w:val="both"/>
        <w:rPr>
          <w:rFonts w:ascii="Arial" w:hAnsi="Arial" w:cs="Arial"/>
          <w:sz w:val="22"/>
          <w:szCs w:val="22"/>
        </w:rPr>
      </w:pPr>
      <w:r w:rsidRPr="00413065">
        <w:rPr>
          <w:rFonts w:ascii="Arial" w:hAnsi="Arial" w:cs="Arial"/>
          <w:sz w:val="22"/>
          <w:szCs w:val="22"/>
        </w:rPr>
        <w:t xml:space="preserve">(3) An appeal contemplated in subrule (1)(c) must be noted in terms of the Rules Relating to the Conduct of Conciliation and Arbitration before the Labour Commissioner published in Government Notice 262 of 31 October 2008 (hereafter "the conciliation and arbitration rules"), and the appellant must at the time of noting the appeal- </w:t>
      </w:r>
    </w:p>
    <w:p w14:paraId="4F818086" w14:textId="31AB1B2B" w:rsidR="00413065" w:rsidRPr="00413065" w:rsidRDefault="00413065" w:rsidP="000446D8">
      <w:pPr>
        <w:pStyle w:val="ListParagraph"/>
        <w:spacing w:line="360" w:lineRule="auto"/>
        <w:ind w:left="0"/>
        <w:jc w:val="both"/>
        <w:rPr>
          <w:rFonts w:ascii="Arial" w:hAnsi="Arial" w:cs="Arial"/>
          <w:sz w:val="22"/>
          <w:szCs w:val="22"/>
        </w:rPr>
      </w:pPr>
      <w:r w:rsidRPr="00413065">
        <w:rPr>
          <w:rFonts w:ascii="Arial" w:hAnsi="Arial" w:cs="Arial"/>
          <w:sz w:val="22"/>
          <w:szCs w:val="22"/>
        </w:rPr>
        <w:t xml:space="preserve">(a) </w:t>
      </w:r>
      <w:r w:rsidR="008251CE" w:rsidRPr="008251CE">
        <w:rPr>
          <w:rFonts w:ascii="Arial" w:hAnsi="Arial" w:cs="Arial"/>
          <w:sz w:val="22"/>
          <w:szCs w:val="22"/>
        </w:rPr>
        <w:tab/>
      </w:r>
      <w:r w:rsidRPr="00413065">
        <w:rPr>
          <w:rFonts w:ascii="Arial" w:hAnsi="Arial" w:cs="Arial"/>
          <w:sz w:val="22"/>
          <w:szCs w:val="22"/>
        </w:rPr>
        <w:t xml:space="preserve">complete the relevant parts of Form 11; </w:t>
      </w:r>
    </w:p>
    <w:p w14:paraId="0A1DEBE6" w14:textId="0C3E0662" w:rsidR="00413065" w:rsidRDefault="00413065" w:rsidP="000446D8">
      <w:pPr>
        <w:pStyle w:val="ListParagraph"/>
        <w:spacing w:line="360" w:lineRule="auto"/>
        <w:ind w:left="0"/>
        <w:jc w:val="both"/>
        <w:rPr>
          <w:rFonts w:ascii="Arial" w:hAnsi="Arial" w:cs="Arial"/>
          <w:lang w:val="en-US"/>
        </w:rPr>
      </w:pPr>
      <w:r w:rsidRPr="008251CE">
        <w:rPr>
          <w:rFonts w:ascii="Arial" w:hAnsi="Arial" w:cs="Arial"/>
          <w:sz w:val="22"/>
          <w:szCs w:val="22"/>
        </w:rPr>
        <w:t xml:space="preserve">(b) </w:t>
      </w:r>
      <w:r w:rsidR="008251CE" w:rsidRPr="008251CE">
        <w:rPr>
          <w:rFonts w:ascii="Arial" w:hAnsi="Arial" w:cs="Arial"/>
          <w:sz w:val="22"/>
          <w:szCs w:val="22"/>
        </w:rPr>
        <w:tab/>
      </w:r>
      <w:r w:rsidRPr="008251CE">
        <w:rPr>
          <w:rFonts w:ascii="Arial" w:hAnsi="Arial" w:cs="Arial"/>
          <w:sz w:val="22"/>
          <w:szCs w:val="22"/>
        </w:rPr>
        <w:t>deliver the completed Form 11, together with the notice of appeal in terms of those rules, to the registrar, the Commissioner and the other parties to the appeal.</w:t>
      </w:r>
      <w:r>
        <w:rPr>
          <w:rFonts w:ascii="Arial" w:hAnsi="Arial" w:cs="Arial"/>
        </w:rPr>
        <w:t>’</w:t>
      </w:r>
    </w:p>
    <w:p w14:paraId="6EF0D43A" w14:textId="77777777" w:rsidR="00501CAC" w:rsidRPr="00501CAC" w:rsidRDefault="00501CAC" w:rsidP="00501CAC">
      <w:pPr>
        <w:pStyle w:val="ListParagraph"/>
        <w:rPr>
          <w:rFonts w:ascii="Arial" w:hAnsi="Arial" w:cs="Arial"/>
          <w:lang w:val="en-US"/>
        </w:rPr>
      </w:pPr>
    </w:p>
    <w:p w14:paraId="4251B8AA" w14:textId="77777777" w:rsidR="009E10BE" w:rsidRDefault="00501CAC" w:rsidP="009E10BE">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Labour Court </w:t>
      </w:r>
      <w:r w:rsidR="003A26AF">
        <w:rPr>
          <w:rFonts w:ascii="Arial" w:hAnsi="Arial" w:cs="Arial"/>
          <w:lang w:val="en-US"/>
        </w:rPr>
        <w:t>r</w:t>
      </w:r>
      <w:r>
        <w:rPr>
          <w:rFonts w:ascii="Arial" w:hAnsi="Arial" w:cs="Arial"/>
          <w:lang w:val="en-US"/>
        </w:rPr>
        <w:t xml:space="preserve"> 17(1) </w:t>
      </w:r>
      <w:r w:rsidR="008251CE">
        <w:rPr>
          <w:rFonts w:ascii="Arial" w:hAnsi="Arial" w:cs="Arial"/>
          <w:lang w:val="en-US"/>
        </w:rPr>
        <w:t xml:space="preserve">identifies three types of appeals that may be noted in terms of the Act and to which appeals </w:t>
      </w:r>
      <w:r w:rsidR="00592C76">
        <w:rPr>
          <w:rFonts w:ascii="Arial" w:hAnsi="Arial" w:cs="Arial"/>
          <w:lang w:val="en-US"/>
        </w:rPr>
        <w:t>r</w:t>
      </w:r>
      <w:r w:rsidR="008251CE">
        <w:rPr>
          <w:rFonts w:ascii="Arial" w:hAnsi="Arial" w:cs="Arial"/>
          <w:lang w:val="en-US"/>
        </w:rPr>
        <w:t xml:space="preserve"> 17 applies. Those appeals are as follows. Firstly, an appeal noted against </w:t>
      </w:r>
      <w:r>
        <w:rPr>
          <w:rFonts w:ascii="Arial" w:hAnsi="Arial" w:cs="Arial"/>
          <w:lang w:val="en-US"/>
        </w:rPr>
        <w:t xml:space="preserve">a decision of the </w:t>
      </w:r>
      <w:r w:rsidR="00D27602">
        <w:rPr>
          <w:rFonts w:ascii="Arial" w:hAnsi="Arial" w:cs="Arial"/>
          <w:lang w:val="en-US"/>
        </w:rPr>
        <w:t>L</w:t>
      </w:r>
      <w:r>
        <w:rPr>
          <w:rFonts w:ascii="Arial" w:hAnsi="Arial" w:cs="Arial"/>
          <w:lang w:val="en-US"/>
        </w:rPr>
        <w:t xml:space="preserve">abour </w:t>
      </w:r>
      <w:r w:rsidR="00D27602">
        <w:rPr>
          <w:rFonts w:ascii="Arial" w:hAnsi="Arial" w:cs="Arial"/>
          <w:lang w:val="en-US"/>
        </w:rPr>
        <w:t>C</w:t>
      </w:r>
      <w:r>
        <w:rPr>
          <w:rFonts w:ascii="Arial" w:hAnsi="Arial" w:cs="Arial"/>
          <w:lang w:val="en-US"/>
        </w:rPr>
        <w:t xml:space="preserve">ommissioner </w:t>
      </w:r>
      <w:r w:rsidR="008251CE">
        <w:rPr>
          <w:rFonts w:ascii="Arial" w:hAnsi="Arial" w:cs="Arial"/>
          <w:lang w:val="en-US"/>
        </w:rPr>
        <w:t>made in terms of the Act</w:t>
      </w:r>
      <w:r w:rsidR="00AB3611">
        <w:rPr>
          <w:rFonts w:ascii="Arial" w:hAnsi="Arial" w:cs="Arial"/>
          <w:lang w:val="en-US"/>
        </w:rPr>
        <w:t xml:space="preserve"> </w:t>
      </w:r>
      <w:r w:rsidR="006D7744">
        <w:rPr>
          <w:rFonts w:ascii="Arial" w:hAnsi="Arial" w:cs="Arial"/>
          <w:lang w:val="en-US"/>
        </w:rPr>
        <w:t xml:space="preserve">which </w:t>
      </w:r>
      <w:r w:rsidR="00A62B8E">
        <w:rPr>
          <w:rFonts w:ascii="Arial" w:hAnsi="Arial" w:cs="Arial"/>
          <w:lang w:val="en-US"/>
        </w:rPr>
        <w:t>type of appeal is referred to</w:t>
      </w:r>
      <w:r w:rsidR="00AB3611">
        <w:rPr>
          <w:rFonts w:ascii="Arial" w:hAnsi="Arial" w:cs="Arial"/>
          <w:lang w:val="en-US"/>
        </w:rPr>
        <w:t xml:space="preserve"> in </w:t>
      </w:r>
      <w:r w:rsidR="00592C76">
        <w:rPr>
          <w:rFonts w:ascii="Arial" w:hAnsi="Arial" w:cs="Arial"/>
          <w:lang w:val="en-US"/>
        </w:rPr>
        <w:t>r</w:t>
      </w:r>
      <w:r w:rsidR="00AB3611">
        <w:rPr>
          <w:rFonts w:ascii="Arial" w:hAnsi="Arial" w:cs="Arial"/>
          <w:lang w:val="en-US"/>
        </w:rPr>
        <w:t xml:space="preserve"> 17(1)</w:t>
      </w:r>
      <w:r w:rsidR="00AB3611" w:rsidRPr="002B462E">
        <w:rPr>
          <w:rFonts w:ascii="Arial" w:hAnsi="Arial" w:cs="Arial"/>
          <w:i/>
          <w:iCs/>
          <w:lang w:val="en-US"/>
        </w:rPr>
        <w:t>(</w:t>
      </w:r>
      <w:r w:rsidR="006D7744" w:rsidRPr="002B462E">
        <w:rPr>
          <w:rFonts w:ascii="Arial" w:hAnsi="Arial" w:cs="Arial"/>
          <w:i/>
          <w:iCs/>
          <w:lang w:val="en-US"/>
        </w:rPr>
        <w:t>a</w:t>
      </w:r>
      <w:r w:rsidR="00AB3611" w:rsidRPr="002B462E">
        <w:rPr>
          <w:rFonts w:ascii="Arial" w:hAnsi="Arial" w:cs="Arial"/>
          <w:i/>
          <w:iCs/>
          <w:lang w:val="en-US"/>
        </w:rPr>
        <w:t>)</w:t>
      </w:r>
      <w:r w:rsidR="008251CE">
        <w:rPr>
          <w:rFonts w:ascii="Arial" w:hAnsi="Arial" w:cs="Arial"/>
          <w:lang w:val="en-US"/>
        </w:rPr>
        <w:t>.</w:t>
      </w:r>
      <w:r w:rsidR="00AB3611">
        <w:rPr>
          <w:rFonts w:ascii="Arial" w:hAnsi="Arial" w:cs="Arial"/>
          <w:lang w:val="en-US"/>
        </w:rPr>
        <w:t xml:space="preserve"> </w:t>
      </w:r>
      <w:r w:rsidR="008251CE">
        <w:rPr>
          <w:rFonts w:ascii="Arial" w:hAnsi="Arial" w:cs="Arial"/>
          <w:lang w:val="en-US"/>
        </w:rPr>
        <w:t xml:space="preserve">Secondly, an </w:t>
      </w:r>
      <w:r w:rsidR="008251CE">
        <w:rPr>
          <w:rFonts w:ascii="Arial" w:hAnsi="Arial" w:cs="Arial"/>
          <w:lang w:val="en-US"/>
        </w:rPr>
        <w:lastRenderedPageBreak/>
        <w:t xml:space="preserve">appeal noted against </w:t>
      </w:r>
      <w:r>
        <w:rPr>
          <w:rFonts w:ascii="Arial" w:hAnsi="Arial" w:cs="Arial"/>
          <w:lang w:val="en-US"/>
        </w:rPr>
        <w:t xml:space="preserve">a compliance </w:t>
      </w:r>
      <w:r w:rsidR="002939D0">
        <w:rPr>
          <w:rFonts w:ascii="Arial" w:hAnsi="Arial" w:cs="Arial"/>
          <w:lang w:val="en-US"/>
        </w:rPr>
        <w:t xml:space="preserve">order </w:t>
      </w:r>
      <w:r w:rsidR="008251CE">
        <w:rPr>
          <w:rFonts w:ascii="Arial" w:hAnsi="Arial" w:cs="Arial"/>
          <w:lang w:val="en-US"/>
        </w:rPr>
        <w:t>issued in terms of s 126 of the Act</w:t>
      </w:r>
      <w:r w:rsidR="00AB3611">
        <w:rPr>
          <w:rFonts w:ascii="Arial" w:hAnsi="Arial" w:cs="Arial"/>
          <w:lang w:val="en-US"/>
        </w:rPr>
        <w:t xml:space="preserve"> </w:t>
      </w:r>
      <w:r w:rsidR="006D7744">
        <w:rPr>
          <w:rFonts w:ascii="Arial" w:hAnsi="Arial" w:cs="Arial"/>
          <w:lang w:val="en-US"/>
        </w:rPr>
        <w:t xml:space="preserve">which </w:t>
      </w:r>
      <w:r w:rsidR="00A62B8E">
        <w:rPr>
          <w:rFonts w:ascii="Arial" w:hAnsi="Arial" w:cs="Arial"/>
          <w:lang w:val="en-US"/>
        </w:rPr>
        <w:t>type of appeal is referred to</w:t>
      </w:r>
      <w:r w:rsidR="00AB3611">
        <w:rPr>
          <w:rFonts w:ascii="Arial" w:hAnsi="Arial" w:cs="Arial"/>
          <w:lang w:val="en-US"/>
        </w:rPr>
        <w:t xml:space="preserve"> in </w:t>
      </w:r>
      <w:r w:rsidR="00592C76">
        <w:rPr>
          <w:rFonts w:ascii="Arial" w:hAnsi="Arial" w:cs="Arial"/>
          <w:lang w:val="en-US"/>
        </w:rPr>
        <w:t>r</w:t>
      </w:r>
      <w:r w:rsidR="00AB3611">
        <w:rPr>
          <w:rFonts w:ascii="Arial" w:hAnsi="Arial" w:cs="Arial"/>
          <w:lang w:val="en-US"/>
        </w:rPr>
        <w:t xml:space="preserve"> 17(1)</w:t>
      </w:r>
      <w:r w:rsidR="00AB3611" w:rsidRPr="002B462E">
        <w:rPr>
          <w:rFonts w:ascii="Arial" w:hAnsi="Arial" w:cs="Arial"/>
          <w:i/>
          <w:iCs/>
          <w:lang w:val="en-US"/>
        </w:rPr>
        <w:t>(b)</w:t>
      </w:r>
      <w:r w:rsidR="008251CE">
        <w:rPr>
          <w:rFonts w:ascii="Arial" w:hAnsi="Arial" w:cs="Arial"/>
          <w:lang w:val="en-US"/>
        </w:rPr>
        <w:t>.</w:t>
      </w:r>
      <w:r w:rsidR="00AB3611">
        <w:rPr>
          <w:rFonts w:ascii="Arial" w:hAnsi="Arial" w:cs="Arial"/>
          <w:lang w:val="en-US"/>
        </w:rPr>
        <w:t xml:space="preserve"> </w:t>
      </w:r>
      <w:r w:rsidR="002939D0">
        <w:rPr>
          <w:rFonts w:ascii="Arial" w:hAnsi="Arial" w:cs="Arial"/>
          <w:lang w:val="en-US"/>
        </w:rPr>
        <w:t>Thirdly, an appeal noted against an arbitration tribunal award</w:t>
      </w:r>
      <w:r w:rsidR="00AB3611">
        <w:rPr>
          <w:rFonts w:ascii="Arial" w:hAnsi="Arial" w:cs="Arial"/>
          <w:lang w:val="en-US"/>
        </w:rPr>
        <w:t xml:space="preserve"> </w:t>
      </w:r>
      <w:r w:rsidR="006D7744">
        <w:rPr>
          <w:rFonts w:ascii="Arial" w:hAnsi="Arial" w:cs="Arial"/>
          <w:lang w:val="en-US"/>
        </w:rPr>
        <w:t xml:space="preserve">which </w:t>
      </w:r>
      <w:r w:rsidR="00A62B8E">
        <w:rPr>
          <w:rFonts w:ascii="Arial" w:hAnsi="Arial" w:cs="Arial"/>
          <w:lang w:val="en-US"/>
        </w:rPr>
        <w:t>type of appeal is referred to</w:t>
      </w:r>
      <w:r w:rsidR="00AB3611">
        <w:rPr>
          <w:rFonts w:ascii="Arial" w:hAnsi="Arial" w:cs="Arial"/>
          <w:lang w:val="en-US"/>
        </w:rPr>
        <w:t xml:space="preserve"> in </w:t>
      </w:r>
      <w:r w:rsidR="00592C76">
        <w:rPr>
          <w:rFonts w:ascii="Arial" w:hAnsi="Arial" w:cs="Arial"/>
          <w:lang w:val="en-US"/>
        </w:rPr>
        <w:t>r</w:t>
      </w:r>
      <w:r w:rsidR="00AB3611">
        <w:rPr>
          <w:rFonts w:ascii="Arial" w:hAnsi="Arial" w:cs="Arial"/>
          <w:lang w:val="en-US"/>
        </w:rPr>
        <w:t xml:space="preserve"> 17(1)</w:t>
      </w:r>
      <w:r w:rsidR="00AB3611" w:rsidRPr="002B462E">
        <w:rPr>
          <w:rFonts w:ascii="Arial" w:hAnsi="Arial" w:cs="Arial"/>
          <w:i/>
          <w:iCs/>
          <w:lang w:val="en-US"/>
        </w:rPr>
        <w:t>(c)</w:t>
      </w:r>
      <w:r w:rsidR="002939D0">
        <w:rPr>
          <w:rFonts w:ascii="Arial" w:hAnsi="Arial" w:cs="Arial"/>
          <w:lang w:val="en-US"/>
        </w:rPr>
        <w:t>.</w:t>
      </w:r>
    </w:p>
    <w:p w14:paraId="54262A66" w14:textId="77777777" w:rsidR="009E10BE" w:rsidRPr="002939D0" w:rsidRDefault="009E10BE" w:rsidP="009E10BE">
      <w:pPr>
        <w:pStyle w:val="ListParagraph"/>
        <w:rPr>
          <w:rFonts w:ascii="Arial" w:hAnsi="Arial" w:cs="Arial"/>
          <w:lang w:val="en-US"/>
        </w:rPr>
      </w:pPr>
    </w:p>
    <w:p w14:paraId="103C8DB5" w14:textId="57356052" w:rsidR="002939D0" w:rsidRDefault="002939D0" w:rsidP="00501CAC">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Labour Court </w:t>
      </w:r>
      <w:r w:rsidR="003A26AF">
        <w:rPr>
          <w:rFonts w:ascii="Arial" w:hAnsi="Arial" w:cs="Arial"/>
          <w:lang w:val="en-US"/>
        </w:rPr>
        <w:t>r</w:t>
      </w:r>
      <w:r>
        <w:rPr>
          <w:rFonts w:ascii="Arial" w:hAnsi="Arial" w:cs="Arial"/>
          <w:lang w:val="en-US"/>
        </w:rPr>
        <w:t xml:space="preserve"> 17 then continues to s</w:t>
      </w:r>
      <w:r w:rsidR="00DB5088">
        <w:rPr>
          <w:rFonts w:ascii="Arial" w:hAnsi="Arial" w:cs="Arial"/>
          <w:lang w:val="en-US"/>
        </w:rPr>
        <w:t>pecify</w:t>
      </w:r>
      <w:r>
        <w:rPr>
          <w:rFonts w:ascii="Arial" w:hAnsi="Arial" w:cs="Arial"/>
          <w:lang w:val="en-US"/>
        </w:rPr>
        <w:t xml:space="preserve"> </w:t>
      </w:r>
      <w:r w:rsidR="00DB5088">
        <w:rPr>
          <w:rFonts w:ascii="Arial" w:hAnsi="Arial" w:cs="Arial"/>
          <w:lang w:val="en-US"/>
        </w:rPr>
        <w:t>how</w:t>
      </w:r>
      <w:r>
        <w:rPr>
          <w:rFonts w:ascii="Arial" w:hAnsi="Arial" w:cs="Arial"/>
          <w:lang w:val="en-US"/>
        </w:rPr>
        <w:t xml:space="preserve"> </w:t>
      </w:r>
      <w:r w:rsidR="00520E10">
        <w:rPr>
          <w:rFonts w:ascii="Arial" w:hAnsi="Arial" w:cs="Arial"/>
          <w:lang w:val="en-US"/>
        </w:rPr>
        <w:t xml:space="preserve">the </w:t>
      </w:r>
      <w:r w:rsidR="006D7744">
        <w:rPr>
          <w:rFonts w:ascii="Arial" w:hAnsi="Arial" w:cs="Arial"/>
          <w:lang w:val="en-US"/>
        </w:rPr>
        <w:t xml:space="preserve">different types of </w:t>
      </w:r>
      <w:r w:rsidR="00520E10">
        <w:rPr>
          <w:rFonts w:ascii="Arial" w:hAnsi="Arial" w:cs="Arial"/>
          <w:lang w:val="en-US"/>
        </w:rPr>
        <w:t xml:space="preserve">appeal </w:t>
      </w:r>
      <w:r>
        <w:rPr>
          <w:rFonts w:ascii="Arial" w:hAnsi="Arial" w:cs="Arial"/>
          <w:lang w:val="en-US"/>
        </w:rPr>
        <w:t>must be noted.</w:t>
      </w:r>
      <w:r w:rsidR="00DB5088">
        <w:rPr>
          <w:rFonts w:ascii="Arial" w:hAnsi="Arial" w:cs="Arial"/>
          <w:lang w:val="en-US"/>
        </w:rPr>
        <w:t xml:space="preserve"> T</w:t>
      </w:r>
      <w:r w:rsidR="00520E10">
        <w:rPr>
          <w:rFonts w:ascii="Arial" w:hAnsi="Arial" w:cs="Arial"/>
          <w:lang w:val="en-US"/>
        </w:rPr>
        <w:t xml:space="preserve">he requirements to note an appeal are not the same for all </w:t>
      </w:r>
      <w:r w:rsidR="009F516F">
        <w:rPr>
          <w:rFonts w:ascii="Arial" w:hAnsi="Arial" w:cs="Arial"/>
          <w:lang w:val="en-US"/>
        </w:rPr>
        <w:t xml:space="preserve">the </w:t>
      </w:r>
      <w:r w:rsidR="00520E10">
        <w:rPr>
          <w:rFonts w:ascii="Arial" w:hAnsi="Arial" w:cs="Arial"/>
          <w:lang w:val="en-US"/>
        </w:rPr>
        <w:t>appeal</w:t>
      </w:r>
      <w:r w:rsidR="00AA463E">
        <w:rPr>
          <w:rFonts w:ascii="Arial" w:hAnsi="Arial" w:cs="Arial"/>
          <w:lang w:val="en-US"/>
        </w:rPr>
        <w:t>s</w:t>
      </w:r>
      <w:r>
        <w:rPr>
          <w:rFonts w:ascii="Arial" w:hAnsi="Arial" w:cs="Arial"/>
          <w:lang w:val="en-US"/>
        </w:rPr>
        <w:t xml:space="preserve">. The differences are reflected in </w:t>
      </w:r>
      <w:r w:rsidR="00592C76">
        <w:rPr>
          <w:rFonts w:ascii="Arial" w:hAnsi="Arial" w:cs="Arial"/>
          <w:lang w:val="en-US"/>
        </w:rPr>
        <w:t>r</w:t>
      </w:r>
      <w:r w:rsidR="009F516F">
        <w:rPr>
          <w:rFonts w:ascii="Arial" w:hAnsi="Arial" w:cs="Arial"/>
          <w:lang w:val="en-US"/>
        </w:rPr>
        <w:t xml:space="preserve"> </w:t>
      </w:r>
      <w:r>
        <w:rPr>
          <w:rFonts w:ascii="Arial" w:hAnsi="Arial" w:cs="Arial"/>
          <w:lang w:val="en-US"/>
        </w:rPr>
        <w:t>17(2) and 17(3).</w:t>
      </w:r>
    </w:p>
    <w:p w14:paraId="734562A1" w14:textId="77777777" w:rsidR="002939D0" w:rsidRPr="002939D0" w:rsidRDefault="002939D0" w:rsidP="002939D0">
      <w:pPr>
        <w:pStyle w:val="ListParagraph"/>
        <w:rPr>
          <w:rFonts w:ascii="Arial" w:hAnsi="Arial" w:cs="Arial"/>
          <w:lang w:val="en-US"/>
        </w:rPr>
      </w:pPr>
    </w:p>
    <w:p w14:paraId="2C80F9AB" w14:textId="0F3634FD" w:rsidR="002939D0" w:rsidRDefault="00DB5088" w:rsidP="002939D0">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A p</w:t>
      </w:r>
      <w:r w:rsidR="009F516F">
        <w:rPr>
          <w:rFonts w:ascii="Arial" w:hAnsi="Arial" w:cs="Arial"/>
          <w:lang w:val="en-US"/>
        </w:rPr>
        <w:t>erusal</w:t>
      </w:r>
      <w:r w:rsidR="002939D0">
        <w:rPr>
          <w:rFonts w:ascii="Arial" w:hAnsi="Arial" w:cs="Arial"/>
          <w:lang w:val="en-US"/>
        </w:rPr>
        <w:t xml:space="preserve"> of the </w:t>
      </w:r>
      <w:r w:rsidR="009F516F">
        <w:rPr>
          <w:rFonts w:ascii="Arial" w:hAnsi="Arial" w:cs="Arial"/>
          <w:lang w:val="en-US"/>
        </w:rPr>
        <w:t xml:space="preserve">relevant </w:t>
      </w:r>
      <w:r w:rsidR="002939D0">
        <w:rPr>
          <w:rFonts w:ascii="Arial" w:hAnsi="Arial" w:cs="Arial"/>
          <w:lang w:val="en-US"/>
        </w:rPr>
        <w:t xml:space="preserve">case law shows that it is </w:t>
      </w:r>
      <w:r w:rsidR="009F516F">
        <w:rPr>
          <w:rFonts w:ascii="Arial" w:hAnsi="Arial" w:cs="Arial"/>
          <w:lang w:val="en-US"/>
        </w:rPr>
        <w:t>probably because of</w:t>
      </w:r>
      <w:r w:rsidR="002939D0">
        <w:rPr>
          <w:rFonts w:ascii="Arial" w:hAnsi="Arial" w:cs="Arial"/>
          <w:lang w:val="en-US"/>
        </w:rPr>
        <w:t xml:space="preserve"> the differen</w:t>
      </w:r>
      <w:r w:rsidR="009F516F">
        <w:rPr>
          <w:rFonts w:ascii="Arial" w:hAnsi="Arial" w:cs="Arial"/>
          <w:lang w:val="en-US"/>
        </w:rPr>
        <w:t xml:space="preserve">t requirements </w:t>
      </w:r>
      <w:r w:rsidR="006D7744">
        <w:rPr>
          <w:rFonts w:ascii="Arial" w:hAnsi="Arial" w:cs="Arial"/>
          <w:lang w:val="en-US"/>
        </w:rPr>
        <w:t>that apply to</w:t>
      </w:r>
      <w:r w:rsidR="009F516F">
        <w:rPr>
          <w:rFonts w:ascii="Arial" w:hAnsi="Arial" w:cs="Arial"/>
          <w:lang w:val="en-US"/>
        </w:rPr>
        <w:t xml:space="preserve"> </w:t>
      </w:r>
      <w:r w:rsidR="00AB3611">
        <w:rPr>
          <w:rFonts w:ascii="Arial" w:hAnsi="Arial" w:cs="Arial"/>
          <w:lang w:val="en-US"/>
        </w:rPr>
        <w:t xml:space="preserve">noting </w:t>
      </w:r>
      <w:r w:rsidR="009F516F">
        <w:rPr>
          <w:rFonts w:ascii="Arial" w:hAnsi="Arial" w:cs="Arial"/>
          <w:lang w:val="en-US"/>
        </w:rPr>
        <w:t>the different types of appeal</w:t>
      </w:r>
      <w:r w:rsidR="002939D0">
        <w:rPr>
          <w:rFonts w:ascii="Arial" w:hAnsi="Arial" w:cs="Arial"/>
          <w:lang w:val="en-US"/>
        </w:rPr>
        <w:t xml:space="preserve"> that confusion arose </w:t>
      </w:r>
      <w:r>
        <w:rPr>
          <w:rFonts w:ascii="Arial" w:hAnsi="Arial" w:cs="Arial"/>
          <w:lang w:val="en-US"/>
        </w:rPr>
        <w:t>concerning</w:t>
      </w:r>
      <w:r w:rsidR="002939D0">
        <w:rPr>
          <w:rFonts w:ascii="Arial" w:hAnsi="Arial" w:cs="Arial"/>
          <w:lang w:val="en-US"/>
        </w:rPr>
        <w:t xml:space="preserve"> the requirements to note an appeal against an award. </w:t>
      </w:r>
    </w:p>
    <w:p w14:paraId="20FA7733" w14:textId="77777777" w:rsidR="002939D0" w:rsidRPr="002939D0" w:rsidRDefault="002939D0" w:rsidP="002939D0">
      <w:pPr>
        <w:pStyle w:val="ListParagraph"/>
        <w:rPr>
          <w:rFonts w:ascii="Arial" w:hAnsi="Arial" w:cs="Arial"/>
          <w:lang w:val="en-US"/>
        </w:rPr>
      </w:pPr>
    </w:p>
    <w:p w14:paraId="20201E14" w14:textId="06E9A61A" w:rsidR="006F7CF1" w:rsidRDefault="00501CAC" w:rsidP="002939D0">
      <w:pPr>
        <w:pStyle w:val="ListParagraph"/>
        <w:numPr>
          <w:ilvl w:val="0"/>
          <w:numId w:val="6"/>
        </w:numPr>
        <w:spacing w:line="360" w:lineRule="auto"/>
        <w:ind w:left="0" w:firstLine="0"/>
        <w:jc w:val="both"/>
        <w:rPr>
          <w:rFonts w:ascii="Arial" w:hAnsi="Arial" w:cs="Arial"/>
          <w:lang w:val="en-US"/>
        </w:rPr>
      </w:pPr>
      <w:r w:rsidRPr="002939D0">
        <w:rPr>
          <w:rFonts w:ascii="Arial" w:hAnsi="Arial" w:cs="Arial"/>
          <w:lang w:val="en-US"/>
        </w:rPr>
        <w:t xml:space="preserve">Labour Court </w:t>
      </w:r>
      <w:r w:rsidR="003A26AF">
        <w:rPr>
          <w:rFonts w:ascii="Arial" w:hAnsi="Arial" w:cs="Arial"/>
          <w:lang w:val="en-US"/>
        </w:rPr>
        <w:t>r</w:t>
      </w:r>
      <w:r w:rsidRPr="002939D0">
        <w:rPr>
          <w:rFonts w:ascii="Arial" w:hAnsi="Arial" w:cs="Arial"/>
          <w:lang w:val="en-US"/>
        </w:rPr>
        <w:t xml:space="preserve"> 17(2)</w:t>
      </w:r>
      <w:r w:rsidR="006F7CF1">
        <w:rPr>
          <w:rFonts w:ascii="Arial" w:hAnsi="Arial" w:cs="Arial"/>
          <w:lang w:val="en-US"/>
        </w:rPr>
        <w:t xml:space="preserve"> applies </w:t>
      </w:r>
      <w:r w:rsidR="006D7744">
        <w:rPr>
          <w:rFonts w:ascii="Arial" w:hAnsi="Arial" w:cs="Arial"/>
          <w:lang w:val="en-US"/>
        </w:rPr>
        <w:t>to</w:t>
      </w:r>
      <w:r w:rsidR="00A62B8E">
        <w:rPr>
          <w:rFonts w:ascii="Arial" w:hAnsi="Arial" w:cs="Arial"/>
          <w:lang w:val="en-US"/>
        </w:rPr>
        <w:t xml:space="preserve"> </w:t>
      </w:r>
      <w:r w:rsidRPr="002939D0">
        <w:rPr>
          <w:rFonts w:ascii="Arial" w:hAnsi="Arial" w:cs="Arial"/>
          <w:lang w:val="en-US"/>
        </w:rPr>
        <w:t>appea</w:t>
      </w:r>
      <w:r w:rsidR="00A62B8E">
        <w:rPr>
          <w:rFonts w:ascii="Arial" w:hAnsi="Arial" w:cs="Arial"/>
          <w:lang w:val="en-US"/>
        </w:rPr>
        <w:t>ls</w:t>
      </w:r>
      <w:r w:rsidR="006D7744">
        <w:rPr>
          <w:rFonts w:ascii="Arial" w:hAnsi="Arial" w:cs="Arial"/>
          <w:lang w:val="en-US"/>
        </w:rPr>
        <w:t xml:space="preserve"> </w:t>
      </w:r>
      <w:r w:rsidR="00A62B8E">
        <w:rPr>
          <w:rFonts w:ascii="Arial" w:hAnsi="Arial" w:cs="Arial"/>
          <w:lang w:val="en-US"/>
        </w:rPr>
        <w:t>referred to</w:t>
      </w:r>
      <w:r w:rsidR="006F7CF1">
        <w:rPr>
          <w:rFonts w:ascii="Arial" w:hAnsi="Arial" w:cs="Arial"/>
          <w:lang w:val="en-US"/>
        </w:rPr>
        <w:t xml:space="preserve"> in </w:t>
      </w:r>
      <w:r w:rsidR="006D7744">
        <w:rPr>
          <w:rFonts w:ascii="Arial" w:hAnsi="Arial" w:cs="Arial"/>
          <w:lang w:val="en-US"/>
        </w:rPr>
        <w:t xml:space="preserve">r </w:t>
      </w:r>
      <w:r w:rsidR="006F7CF1">
        <w:rPr>
          <w:rFonts w:ascii="Arial" w:hAnsi="Arial" w:cs="Arial"/>
          <w:lang w:val="en-US"/>
        </w:rPr>
        <w:t>17(1)</w:t>
      </w:r>
      <w:r w:rsidR="006F7CF1" w:rsidRPr="002B462E">
        <w:rPr>
          <w:rFonts w:ascii="Arial" w:hAnsi="Arial" w:cs="Arial"/>
          <w:i/>
          <w:iCs/>
          <w:lang w:val="en-US"/>
        </w:rPr>
        <w:t>(a)</w:t>
      </w:r>
      <w:r w:rsidR="006F7CF1">
        <w:rPr>
          <w:rFonts w:ascii="Arial" w:hAnsi="Arial" w:cs="Arial"/>
          <w:lang w:val="en-US"/>
        </w:rPr>
        <w:t xml:space="preserve"> and 17(1)</w:t>
      </w:r>
      <w:r w:rsidR="006F7CF1" w:rsidRPr="002B462E">
        <w:rPr>
          <w:rFonts w:ascii="Arial" w:hAnsi="Arial" w:cs="Arial"/>
          <w:i/>
          <w:iCs/>
          <w:lang w:val="en-US"/>
        </w:rPr>
        <w:t>(b)</w:t>
      </w:r>
      <w:r w:rsidR="00AB3611">
        <w:rPr>
          <w:rFonts w:ascii="Arial" w:hAnsi="Arial" w:cs="Arial"/>
          <w:lang w:val="en-US"/>
        </w:rPr>
        <w:t xml:space="preserve">, being </w:t>
      </w:r>
      <w:r w:rsidR="006F7CF1">
        <w:rPr>
          <w:rFonts w:ascii="Arial" w:hAnsi="Arial" w:cs="Arial"/>
          <w:lang w:val="en-US"/>
        </w:rPr>
        <w:t>an appeal noted against a decision of the Labour Commissioner and an appeal noted against a compliance order</w:t>
      </w:r>
      <w:r w:rsidR="00AB3611">
        <w:rPr>
          <w:rFonts w:ascii="Arial" w:hAnsi="Arial" w:cs="Arial"/>
          <w:lang w:val="en-US"/>
        </w:rPr>
        <w:t>.</w:t>
      </w:r>
      <w:r w:rsidR="00592C76">
        <w:rPr>
          <w:rFonts w:ascii="Arial" w:hAnsi="Arial" w:cs="Arial"/>
          <w:lang w:val="en-US"/>
        </w:rPr>
        <w:t xml:space="preserve"> </w:t>
      </w:r>
      <w:r w:rsidR="00AB3611">
        <w:rPr>
          <w:rFonts w:ascii="Arial" w:hAnsi="Arial" w:cs="Arial"/>
          <w:lang w:val="en-US"/>
        </w:rPr>
        <w:t xml:space="preserve">Rule 17(2) </w:t>
      </w:r>
      <w:r w:rsidR="006F7CF1">
        <w:rPr>
          <w:rFonts w:ascii="Arial" w:hAnsi="Arial" w:cs="Arial"/>
          <w:lang w:val="en-US"/>
        </w:rPr>
        <w:t xml:space="preserve">sets out the requirements for </w:t>
      </w:r>
      <w:r w:rsidR="00AB3611">
        <w:rPr>
          <w:rFonts w:ascii="Arial" w:hAnsi="Arial" w:cs="Arial"/>
          <w:lang w:val="en-US"/>
        </w:rPr>
        <w:t xml:space="preserve">noting </w:t>
      </w:r>
      <w:r w:rsidR="006F7CF1">
        <w:rPr>
          <w:rFonts w:ascii="Arial" w:hAnsi="Arial" w:cs="Arial"/>
          <w:lang w:val="en-US"/>
        </w:rPr>
        <w:t xml:space="preserve">those </w:t>
      </w:r>
      <w:r w:rsidR="006D7744">
        <w:rPr>
          <w:rFonts w:ascii="Arial" w:hAnsi="Arial" w:cs="Arial"/>
          <w:lang w:val="en-US"/>
        </w:rPr>
        <w:t xml:space="preserve">two </w:t>
      </w:r>
      <w:r w:rsidR="009F516F">
        <w:rPr>
          <w:rFonts w:ascii="Arial" w:hAnsi="Arial" w:cs="Arial"/>
          <w:lang w:val="en-US"/>
        </w:rPr>
        <w:t xml:space="preserve">types of </w:t>
      </w:r>
      <w:r w:rsidR="006F7CF1">
        <w:rPr>
          <w:rFonts w:ascii="Arial" w:hAnsi="Arial" w:cs="Arial"/>
          <w:lang w:val="en-US"/>
        </w:rPr>
        <w:t xml:space="preserve">appeal. </w:t>
      </w:r>
      <w:r w:rsidR="00592C76">
        <w:rPr>
          <w:rFonts w:ascii="Arial" w:hAnsi="Arial" w:cs="Arial"/>
          <w:lang w:val="en-US"/>
        </w:rPr>
        <w:t>R</w:t>
      </w:r>
      <w:r w:rsidR="006F7CF1">
        <w:rPr>
          <w:rFonts w:ascii="Arial" w:hAnsi="Arial" w:cs="Arial"/>
          <w:lang w:val="en-US"/>
        </w:rPr>
        <w:t>ule 17(2) does not apply to an appeal noted against an award</w:t>
      </w:r>
      <w:r w:rsidR="00DB5088">
        <w:rPr>
          <w:rFonts w:ascii="Arial" w:hAnsi="Arial" w:cs="Arial"/>
          <w:lang w:val="en-US"/>
        </w:rPr>
        <w:t>,</w:t>
      </w:r>
      <w:r w:rsidR="006F7CF1">
        <w:rPr>
          <w:rFonts w:ascii="Arial" w:hAnsi="Arial" w:cs="Arial"/>
          <w:lang w:val="en-US"/>
        </w:rPr>
        <w:t xml:space="preserve"> and the </w:t>
      </w:r>
      <w:r w:rsidR="00B16C3D">
        <w:rPr>
          <w:rFonts w:ascii="Arial" w:hAnsi="Arial" w:cs="Arial"/>
          <w:lang w:val="en-US"/>
        </w:rPr>
        <w:t>provision</w:t>
      </w:r>
      <w:r w:rsidR="006F7CF1">
        <w:rPr>
          <w:rFonts w:ascii="Arial" w:hAnsi="Arial" w:cs="Arial"/>
          <w:lang w:val="en-US"/>
        </w:rPr>
        <w:t xml:space="preserve">s </w:t>
      </w:r>
      <w:r w:rsidR="006D7744">
        <w:rPr>
          <w:rFonts w:ascii="Arial" w:hAnsi="Arial" w:cs="Arial"/>
          <w:lang w:val="en-US"/>
        </w:rPr>
        <w:t>therein</w:t>
      </w:r>
      <w:r w:rsidR="006F7CF1">
        <w:rPr>
          <w:rFonts w:ascii="Arial" w:hAnsi="Arial" w:cs="Arial"/>
          <w:lang w:val="en-US"/>
        </w:rPr>
        <w:t xml:space="preserve"> do not apply to such </w:t>
      </w:r>
      <w:r w:rsidR="00DB5088">
        <w:rPr>
          <w:rFonts w:ascii="Arial" w:hAnsi="Arial" w:cs="Arial"/>
          <w:lang w:val="en-US"/>
        </w:rPr>
        <w:t xml:space="preserve">an </w:t>
      </w:r>
      <w:r w:rsidR="006F7CF1">
        <w:rPr>
          <w:rFonts w:ascii="Arial" w:hAnsi="Arial" w:cs="Arial"/>
          <w:lang w:val="en-US"/>
        </w:rPr>
        <w:t xml:space="preserve">appeal. </w:t>
      </w:r>
    </w:p>
    <w:p w14:paraId="2592DE21" w14:textId="77777777" w:rsidR="006F7CF1" w:rsidRPr="006F7CF1" w:rsidRDefault="006F7CF1" w:rsidP="006F7CF1">
      <w:pPr>
        <w:pStyle w:val="ListParagraph"/>
        <w:rPr>
          <w:rFonts w:ascii="Arial" w:hAnsi="Arial" w:cs="Arial"/>
          <w:lang w:val="en-US"/>
        </w:rPr>
      </w:pPr>
    </w:p>
    <w:p w14:paraId="36E90C8A" w14:textId="5498815B" w:rsidR="006F7CF1" w:rsidRDefault="006F7CF1" w:rsidP="002939D0">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Labour Court </w:t>
      </w:r>
      <w:r w:rsidR="003A26AF">
        <w:rPr>
          <w:rFonts w:ascii="Arial" w:hAnsi="Arial" w:cs="Arial"/>
          <w:lang w:val="en-US"/>
        </w:rPr>
        <w:t>r</w:t>
      </w:r>
      <w:r>
        <w:rPr>
          <w:rFonts w:ascii="Arial" w:hAnsi="Arial" w:cs="Arial"/>
          <w:lang w:val="en-US"/>
        </w:rPr>
        <w:t xml:space="preserve"> 17(3) applies to an appeal </w:t>
      </w:r>
      <w:r w:rsidR="00A62B8E">
        <w:rPr>
          <w:rFonts w:ascii="Arial" w:hAnsi="Arial" w:cs="Arial"/>
          <w:lang w:val="en-US"/>
        </w:rPr>
        <w:t>referred to</w:t>
      </w:r>
      <w:r>
        <w:rPr>
          <w:rFonts w:ascii="Arial" w:hAnsi="Arial" w:cs="Arial"/>
          <w:lang w:val="en-US"/>
        </w:rPr>
        <w:t xml:space="preserve"> in </w:t>
      </w:r>
      <w:r w:rsidR="006D7744">
        <w:rPr>
          <w:rFonts w:ascii="Arial" w:hAnsi="Arial" w:cs="Arial"/>
          <w:lang w:val="en-US"/>
        </w:rPr>
        <w:t xml:space="preserve">r </w:t>
      </w:r>
      <w:r>
        <w:rPr>
          <w:rFonts w:ascii="Arial" w:hAnsi="Arial" w:cs="Arial"/>
          <w:lang w:val="en-US"/>
        </w:rPr>
        <w:t>17(1)</w:t>
      </w:r>
      <w:r w:rsidRPr="00A365A3">
        <w:rPr>
          <w:rFonts w:ascii="Arial" w:hAnsi="Arial" w:cs="Arial"/>
          <w:i/>
          <w:iCs/>
          <w:lang w:val="en-US"/>
        </w:rPr>
        <w:t>(c)</w:t>
      </w:r>
      <w:r w:rsidR="006D7744">
        <w:rPr>
          <w:rFonts w:ascii="Arial" w:hAnsi="Arial" w:cs="Arial"/>
          <w:lang w:val="en-US"/>
        </w:rPr>
        <w:t xml:space="preserve">, being </w:t>
      </w:r>
      <w:r w:rsidR="00A62B8E">
        <w:rPr>
          <w:rFonts w:ascii="Arial" w:hAnsi="Arial" w:cs="Arial"/>
          <w:lang w:val="en-US"/>
        </w:rPr>
        <w:t xml:space="preserve">an appeal noted against </w:t>
      </w:r>
      <w:r>
        <w:rPr>
          <w:rFonts w:ascii="Arial" w:hAnsi="Arial" w:cs="Arial"/>
          <w:lang w:val="en-US"/>
        </w:rPr>
        <w:t>an</w:t>
      </w:r>
      <w:r w:rsidR="00A62B8E">
        <w:rPr>
          <w:rFonts w:ascii="Arial" w:hAnsi="Arial" w:cs="Arial"/>
          <w:lang w:val="en-US"/>
        </w:rPr>
        <w:t xml:space="preserve"> arbitrator’s</w:t>
      </w:r>
      <w:r>
        <w:rPr>
          <w:rFonts w:ascii="Arial" w:hAnsi="Arial" w:cs="Arial"/>
          <w:lang w:val="en-US"/>
        </w:rPr>
        <w:t xml:space="preserve"> award</w:t>
      </w:r>
      <w:r w:rsidR="006D7744">
        <w:rPr>
          <w:rFonts w:ascii="Arial" w:hAnsi="Arial" w:cs="Arial"/>
          <w:lang w:val="en-US"/>
        </w:rPr>
        <w:t>,</w:t>
      </w:r>
      <w:r>
        <w:rPr>
          <w:rFonts w:ascii="Arial" w:hAnsi="Arial" w:cs="Arial"/>
          <w:lang w:val="en-US"/>
        </w:rPr>
        <w:t xml:space="preserve"> and it sets out the requirements for </w:t>
      </w:r>
      <w:r w:rsidR="006D7744">
        <w:rPr>
          <w:rFonts w:ascii="Arial" w:hAnsi="Arial" w:cs="Arial"/>
          <w:lang w:val="en-US"/>
        </w:rPr>
        <w:t xml:space="preserve">noting </w:t>
      </w:r>
      <w:r>
        <w:rPr>
          <w:rFonts w:ascii="Arial" w:hAnsi="Arial" w:cs="Arial"/>
          <w:lang w:val="en-US"/>
        </w:rPr>
        <w:t xml:space="preserve">such </w:t>
      </w:r>
      <w:r w:rsidR="00AA463E">
        <w:rPr>
          <w:rFonts w:ascii="Arial" w:hAnsi="Arial" w:cs="Arial"/>
          <w:lang w:val="en-US"/>
        </w:rPr>
        <w:t xml:space="preserve">an </w:t>
      </w:r>
      <w:r>
        <w:rPr>
          <w:rFonts w:ascii="Arial" w:hAnsi="Arial" w:cs="Arial"/>
          <w:lang w:val="en-US"/>
        </w:rPr>
        <w:t xml:space="preserve">appeal. </w:t>
      </w:r>
      <w:r w:rsidR="00830673">
        <w:rPr>
          <w:rFonts w:ascii="Arial" w:hAnsi="Arial" w:cs="Arial"/>
          <w:lang w:val="en-US"/>
        </w:rPr>
        <w:t>R</w:t>
      </w:r>
      <w:r>
        <w:rPr>
          <w:rFonts w:ascii="Arial" w:hAnsi="Arial" w:cs="Arial"/>
          <w:lang w:val="en-US"/>
        </w:rPr>
        <w:t>ule 17(3) does not apply to an appeal noted against a decision of the Labour Commissioner or an appeal noted against a compliance order</w:t>
      </w:r>
      <w:r w:rsidR="00DB5088">
        <w:rPr>
          <w:rFonts w:ascii="Arial" w:hAnsi="Arial" w:cs="Arial"/>
          <w:lang w:val="en-US"/>
        </w:rPr>
        <w:t>,</w:t>
      </w:r>
      <w:r>
        <w:rPr>
          <w:rFonts w:ascii="Arial" w:hAnsi="Arial" w:cs="Arial"/>
          <w:lang w:val="en-US"/>
        </w:rPr>
        <w:t xml:space="preserve"> and the requirements for noting an appeal set out </w:t>
      </w:r>
      <w:r w:rsidR="009F516F">
        <w:rPr>
          <w:rFonts w:ascii="Arial" w:hAnsi="Arial" w:cs="Arial"/>
          <w:lang w:val="en-US"/>
        </w:rPr>
        <w:t xml:space="preserve">in </w:t>
      </w:r>
      <w:r w:rsidR="006D7744">
        <w:rPr>
          <w:rFonts w:ascii="Arial" w:hAnsi="Arial" w:cs="Arial"/>
          <w:lang w:val="en-US"/>
        </w:rPr>
        <w:t xml:space="preserve">r </w:t>
      </w:r>
      <w:r w:rsidR="009F516F">
        <w:rPr>
          <w:rFonts w:ascii="Arial" w:hAnsi="Arial" w:cs="Arial"/>
          <w:lang w:val="en-US"/>
        </w:rPr>
        <w:t>17(3)</w:t>
      </w:r>
      <w:r>
        <w:rPr>
          <w:rFonts w:ascii="Arial" w:hAnsi="Arial" w:cs="Arial"/>
          <w:lang w:val="en-US"/>
        </w:rPr>
        <w:t xml:space="preserve"> do not apply to </w:t>
      </w:r>
      <w:r w:rsidR="006D7744">
        <w:rPr>
          <w:rFonts w:ascii="Arial" w:hAnsi="Arial" w:cs="Arial"/>
          <w:lang w:val="en-US"/>
        </w:rPr>
        <w:t>those two types of</w:t>
      </w:r>
      <w:r>
        <w:rPr>
          <w:rFonts w:ascii="Arial" w:hAnsi="Arial" w:cs="Arial"/>
          <w:lang w:val="en-US"/>
        </w:rPr>
        <w:t xml:space="preserve"> appeal. </w:t>
      </w:r>
    </w:p>
    <w:p w14:paraId="47B73B02" w14:textId="77777777" w:rsidR="00183829" w:rsidRPr="00183829" w:rsidRDefault="00183829" w:rsidP="00183829">
      <w:pPr>
        <w:pStyle w:val="ListParagraph"/>
        <w:rPr>
          <w:rFonts w:ascii="Arial" w:hAnsi="Arial" w:cs="Arial"/>
          <w:lang w:val="en-US"/>
        </w:rPr>
      </w:pPr>
    </w:p>
    <w:p w14:paraId="4F58C5BA" w14:textId="7A63B4F7" w:rsidR="00260BC4" w:rsidRDefault="00183829" w:rsidP="002939D0">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In Labour Court </w:t>
      </w:r>
      <w:r w:rsidR="003A26AF">
        <w:rPr>
          <w:rFonts w:ascii="Arial" w:hAnsi="Arial" w:cs="Arial"/>
          <w:lang w:val="en-US"/>
        </w:rPr>
        <w:t>r</w:t>
      </w:r>
      <w:r>
        <w:rPr>
          <w:rFonts w:ascii="Arial" w:hAnsi="Arial" w:cs="Arial"/>
          <w:lang w:val="en-US"/>
        </w:rPr>
        <w:t xml:space="preserve"> 17(2), it is expressly stated that an appeal ‘must be noted by delivery of a notice of appeal on Form 11, setting out</w:t>
      </w:r>
      <w:r w:rsidR="00830673">
        <w:rPr>
          <w:rFonts w:ascii="Arial" w:hAnsi="Arial" w:cs="Arial"/>
          <w:lang w:val="en-US"/>
        </w:rPr>
        <w:t xml:space="preserve"> </w:t>
      </w:r>
      <w:r>
        <w:rPr>
          <w:rFonts w:ascii="Arial" w:hAnsi="Arial" w:cs="Arial"/>
          <w:lang w:val="en-US"/>
        </w:rPr>
        <w:t>. . . and the grounds of appeal’.</w:t>
      </w:r>
      <w:r w:rsidR="00830673">
        <w:rPr>
          <w:rFonts w:ascii="Arial" w:hAnsi="Arial" w:cs="Arial"/>
          <w:lang w:val="en-US"/>
        </w:rPr>
        <w:t xml:space="preserve"> The requirement to set out the grounds of appeal in Form 11 is not included in r 17(3). </w:t>
      </w:r>
      <w:r>
        <w:rPr>
          <w:rFonts w:ascii="Arial" w:hAnsi="Arial" w:cs="Arial"/>
          <w:lang w:val="en-US"/>
        </w:rPr>
        <w:t xml:space="preserve"> </w:t>
      </w:r>
    </w:p>
    <w:p w14:paraId="1BA65D85" w14:textId="77777777" w:rsidR="00260BC4" w:rsidRPr="00260BC4" w:rsidRDefault="00260BC4" w:rsidP="00260BC4">
      <w:pPr>
        <w:pStyle w:val="ListParagraph"/>
        <w:rPr>
          <w:rFonts w:ascii="Arial" w:hAnsi="Arial" w:cs="Arial"/>
          <w:lang w:val="en-US"/>
        </w:rPr>
      </w:pPr>
    </w:p>
    <w:p w14:paraId="4320C3E6" w14:textId="11A456F3" w:rsidR="00183829" w:rsidRDefault="00260BC4" w:rsidP="00260BC4">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Labour Court </w:t>
      </w:r>
      <w:r w:rsidR="003A26AF">
        <w:rPr>
          <w:rFonts w:ascii="Arial" w:hAnsi="Arial" w:cs="Arial"/>
          <w:lang w:val="en-US"/>
        </w:rPr>
        <w:t>r</w:t>
      </w:r>
      <w:r>
        <w:rPr>
          <w:rFonts w:ascii="Arial" w:hAnsi="Arial" w:cs="Arial"/>
          <w:lang w:val="en-US"/>
        </w:rPr>
        <w:t xml:space="preserve"> 17(3) requires that an appeal </w:t>
      </w:r>
      <w:r w:rsidR="00830673">
        <w:rPr>
          <w:rFonts w:ascii="Arial" w:hAnsi="Arial" w:cs="Arial"/>
          <w:lang w:val="en-US"/>
        </w:rPr>
        <w:t xml:space="preserve">against an award </w:t>
      </w:r>
      <w:r>
        <w:rPr>
          <w:rFonts w:ascii="Arial" w:hAnsi="Arial" w:cs="Arial"/>
          <w:lang w:val="en-US"/>
        </w:rPr>
        <w:t xml:space="preserve">must be noted in terms of the Conciliation and Arbitration Rules, </w:t>
      </w:r>
      <w:r w:rsidR="006D7744">
        <w:rPr>
          <w:rFonts w:ascii="Arial" w:hAnsi="Arial" w:cs="Arial"/>
          <w:lang w:val="en-US"/>
        </w:rPr>
        <w:t xml:space="preserve">that </w:t>
      </w:r>
      <w:r>
        <w:rPr>
          <w:rFonts w:ascii="Arial" w:hAnsi="Arial" w:cs="Arial"/>
          <w:lang w:val="en-US"/>
        </w:rPr>
        <w:t xml:space="preserve">the relevant parts of Form 11 must be completed, and </w:t>
      </w:r>
      <w:r w:rsidR="006D7744">
        <w:rPr>
          <w:rFonts w:ascii="Arial" w:hAnsi="Arial" w:cs="Arial"/>
          <w:lang w:val="en-US"/>
        </w:rPr>
        <w:t xml:space="preserve">that </w:t>
      </w:r>
      <w:r>
        <w:rPr>
          <w:rFonts w:ascii="Arial" w:hAnsi="Arial" w:cs="Arial"/>
          <w:lang w:val="en-US"/>
        </w:rPr>
        <w:t>the completed Form 11</w:t>
      </w:r>
      <w:r w:rsidR="00DB5088">
        <w:rPr>
          <w:rFonts w:ascii="Arial" w:hAnsi="Arial" w:cs="Arial"/>
          <w:lang w:val="en-US"/>
        </w:rPr>
        <w:t>,</w:t>
      </w:r>
      <w:r>
        <w:rPr>
          <w:rFonts w:ascii="Arial" w:hAnsi="Arial" w:cs="Arial"/>
          <w:lang w:val="en-US"/>
        </w:rPr>
        <w:t xml:space="preserve"> together with the notice of appeal </w:t>
      </w:r>
      <w:r w:rsidR="00830673">
        <w:rPr>
          <w:rFonts w:ascii="Arial" w:hAnsi="Arial" w:cs="Arial"/>
          <w:lang w:val="en-US"/>
        </w:rPr>
        <w:t xml:space="preserve">Form LC 41 </w:t>
      </w:r>
      <w:r>
        <w:rPr>
          <w:rFonts w:ascii="Arial" w:hAnsi="Arial" w:cs="Arial"/>
          <w:lang w:val="en-US"/>
        </w:rPr>
        <w:t>in terms of the Conciliation and Arbitration Rules</w:t>
      </w:r>
      <w:r w:rsidR="00830673">
        <w:rPr>
          <w:rFonts w:ascii="Arial" w:hAnsi="Arial" w:cs="Arial"/>
          <w:lang w:val="en-US"/>
        </w:rPr>
        <w:t xml:space="preserve"> </w:t>
      </w:r>
      <w:r>
        <w:rPr>
          <w:rFonts w:ascii="Arial" w:hAnsi="Arial" w:cs="Arial"/>
          <w:lang w:val="en-US"/>
        </w:rPr>
        <w:t>must be delivered to the Registrar, the Labour Commissioner</w:t>
      </w:r>
      <w:r w:rsidR="00DB5088">
        <w:rPr>
          <w:rFonts w:ascii="Arial" w:hAnsi="Arial" w:cs="Arial"/>
          <w:lang w:val="en-US"/>
        </w:rPr>
        <w:t>,</w:t>
      </w:r>
      <w:r>
        <w:rPr>
          <w:rFonts w:ascii="Arial" w:hAnsi="Arial" w:cs="Arial"/>
          <w:lang w:val="en-US"/>
        </w:rPr>
        <w:t xml:space="preserve"> and the other </w:t>
      </w:r>
      <w:r>
        <w:rPr>
          <w:rFonts w:ascii="Arial" w:hAnsi="Arial" w:cs="Arial"/>
          <w:lang w:val="en-US"/>
        </w:rPr>
        <w:lastRenderedPageBreak/>
        <w:t>parties.</w:t>
      </w:r>
      <w:r w:rsidR="00E134C9">
        <w:rPr>
          <w:rFonts w:ascii="Arial" w:hAnsi="Arial" w:cs="Arial"/>
          <w:lang w:val="en-US"/>
        </w:rPr>
        <w:t xml:space="preserve"> </w:t>
      </w:r>
      <w:r w:rsidR="00CC7372">
        <w:rPr>
          <w:rFonts w:ascii="Arial" w:hAnsi="Arial" w:cs="Arial"/>
          <w:lang w:val="en-US"/>
        </w:rPr>
        <w:t>I</w:t>
      </w:r>
      <w:r w:rsidR="00E134C9">
        <w:rPr>
          <w:rFonts w:ascii="Arial" w:hAnsi="Arial" w:cs="Arial"/>
          <w:lang w:val="en-US"/>
        </w:rPr>
        <w:t xml:space="preserve">n an appeal against an award, </w:t>
      </w:r>
      <w:r w:rsidR="00E86547">
        <w:rPr>
          <w:rFonts w:ascii="Arial" w:hAnsi="Arial" w:cs="Arial"/>
          <w:lang w:val="en-US"/>
        </w:rPr>
        <w:t xml:space="preserve">both </w:t>
      </w:r>
      <w:r w:rsidR="00E134C9">
        <w:rPr>
          <w:rFonts w:ascii="Arial" w:hAnsi="Arial" w:cs="Arial"/>
          <w:lang w:val="en-US"/>
        </w:rPr>
        <w:t xml:space="preserve">Labour Court </w:t>
      </w:r>
      <w:r w:rsidR="003A26AF">
        <w:rPr>
          <w:rFonts w:ascii="Arial" w:hAnsi="Arial" w:cs="Arial"/>
          <w:lang w:val="en-US"/>
        </w:rPr>
        <w:t>r</w:t>
      </w:r>
      <w:r w:rsidR="00E134C9">
        <w:rPr>
          <w:rFonts w:ascii="Arial" w:hAnsi="Arial" w:cs="Arial"/>
          <w:lang w:val="en-US"/>
        </w:rPr>
        <w:t xml:space="preserve"> 17(3) and Conciliation and Arbitration </w:t>
      </w:r>
      <w:r w:rsidR="003A26AF">
        <w:rPr>
          <w:rFonts w:ascii="Arial" w:hAnsi="Arial" w:cs="Arial"/>
          <w:lang w:val="en-US"/>
        </w:rPr>
        <w:t>r</w:t>
      </w:r>
      <w:r w:rsidR="00E134C9">
        <w:rPr>
          <w:rFonts w:ascii="Arial" w:hAnsi="Arial" w:cs="Arial"/>
          <w:lang w:val="en-US"/>
        </w:rPr>
        <w:t xml:space="preserve"> 23 </w:t>
      </w:r>
      <w:r w:rsidR="00E86547">
        <w:rPr>
          <w:rFonts w:ascii="Arial" w:hAnsi="Arial" w:cs="Arial"/>
          <w:lang w:val="en-US"/>
        </w:rPr>
        <w:t>apply</w:t>
      </w:r>
      <w:r w:rsidR="00DB5088">
        <w:rPr>
          <w:rFonts w:ascii="Arial" w:hAnsi="Arial" w:cs="Arial"/>
          <w:lang w:val="en-US"/>
        </w:rPr>
        <w:t>,</w:t>
      </w:r>
      <w:r w:rsidR="00830673">
        <w:rPr>
          <w:rFonts w:ascii="Arial" w:hAnsi="Arial" w:cs="Arial"/>
          <w:lang w:val="en-US"/>
        </w:rPr>
        <w:t xml:space="preserve"> which </w:t>
      </w:r>
      <w:r w:rsidR="00DB5088">
        <w:rPr>
          <w:rFonts w:ascii="Arial" w:hAnsi="Arial" w:cs="Arial"/>
          <w:lang w:val="en-US"/>
        </w:rPr>
        <w:t>differs from the other</w:t>
      </w:r>
      <w:r w:rsidR="00CC7372">
        <w:rPr>
          <w:rFonts w:ascii="Arial" w:hAnsi="Arial" w:cs="Arial"/>
          <w:lang w:val="en-US"/>
        </w:rPr>
        <w:t xml:space="preserve"> </w:t>
      </w:r>
      <w:r w:rsidR="00830673">
        <w:rPr>
          <w:rFonts w:ascii="Arial" w:hAnsi="Arial" w:cs="Arial"/>
          <w:lang w:val="en-US"/>
        </w:rPr>
        <w:t>types of appeal</w:t>
      </w:r>
      <w:r w:rsidR="00E134C9">
        <w:rPr>
          <w:rFonts w:ascii="Arial" w:hAnsi="Arial" w:cs="Arial"/>
          <w:lang w:val="en-US"/>
        </w:rPr>
        <w:t>.</w:t>
      </w:r>
    </w:p>
    <w:p w14:paraId="6C9991DE" w14:textId="77777777" w:rsidR="00260BC4" w:rsidRPr="00260BC4" w:rsidRDefault="00260BC4" w:rsidP="00260BC4">
      <w:pPr>
        <w:pStyle w:val="ListParagraph"/>
        <w:rPr>
          <w:rFonts w:ascii="Arial" w:hAnsi="Arial" w:cs="Arial"/>
          <w:lang w:val="en-US"/>
        </w:rPr>
      </w:pPr>
    </w:p>
    <w:p w14:paraId="5D7BAC9B" w14:textId="44F735AF" w:rsidR="00260BC4" w:rsidRDefault="00260BC4" w:rsidP="00260BC4">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A plain reading of Labour Court </w:t>
      </w:r>
      <w:r w:rsidR="003A26AF">
        <w:rPr>
          <w:rFonts w:ascii="Arial" w:hAnsi="Arial" w:cs="Arial"/>
          <w:lang w:val="en-US"/>
        </w:rPr>
        <w:t>r</w:t>
      </w:r>
      <w:r>
        <w:rPr>
          <w:rFonts w:ascii="Arial" w:hAnsi="Arial" w:cs="Arial"/>
          <w:lang w:val="en-US"/>
        </w:rPr>
        <w:t xml:space="preserve"> 17(2) and 17(3) shows distinct differences between the requirements set out in those rules</w:t>
      </w:r>
      <w:r w:rsidR="00AB3611">
        <w:rPr>
          <w:rFonts w:ascii="Arial" w:hAnsi="Arial" w:cs="Arial"/>
          <w:lang w:val="en-US"/>
        </w:rPr>
        <w:t xml:space="preserve"> for noting the different types of appeal</w:t>
      </w:r>
      <w:r>
        <w:rPr>
          <w:rFonts w:ascii="Arial" w:hAnsi="Arial" w:cs="Arial"/>
          <w:lang w:val="en-US"/>
        </w:rPr>
        <w:t xml:space="preserve">. One </w:t>
      </w:r>
      <w:r w:rsidR="00E86547">
        <w:rPr>
          <w:rFonts w:ascii="Arial" w:hAnsi="Arial" w:cs="Arial"/>
          <w:lang w:val="en-US"/>
        </w:rPr>
        <w:t xml:space="preserve">such difference </w:t>
      </w:r>
      <w:r>
        <w:rPr>
          <w:rFonts w:ascii="Arial" w:hAnsi="Arial" w:cs="Arial"/>
          <w:lang w:val="en-US"/>
        </w:rPr>
        <w:t>is</w:t>
      </w:r>
      <w:r w:rsidR="00C05CEA">
        <w:rPr>
          <w:rFonts w:ascii="Arial" w:hAnsi="Arial" w:cs="Arial"/>
          <w:lang w:val="en-US"/>
        </w:rPr>
        <w:t xml:space="preserve"> that </w:t>
      </w:r>
      <w:r>
        <w:rPr>
          <w:rFonts w:ascii="Arial" w:hAnsi="Arial" w:cs="Arial"/>
          <w:lang w:val="en-US"/>
        </w:rPr>
        <w:t xml:space="preserve">the requirement in Labour Court </w:t>
      </w:r>
      <w:r w:rsidR="003A26AF">
        <w:rPr>
          <w:rFonts w:ascii="Arial" w:hAnsi="Arial" w:cs="Arial"/>
          <w:lang w:val="en-US"/>
        </w:rPr>
        <w:t>r</w:t>
      </w:r>
      <w:r>
        <w:rPr>
          <w:rFonts w:ascii="Arial" w:hAnsi="Arial" w:cs="Arial"/>
          <w:lang w:val="en-US"/>
        </w:rPr>
        <w:t xml:space="preserve"> 17(2) that the grounds of appeal </w:t>
      </w:r>
      <w:r w:rsidR="00CC7372">
        <w:rPr>
          <w:rFonts w:ascii="Arial" w:hAnsi="Arial" w:cs="Arial"/>
          <w:lang w:val="en-US"/>
        </w:rPr>
        <w:t xml:space="preserve">must be set out in Form 11 </w:t>
      </w:r>
      <w:r>
        <w:rPr>
          <w:rFonts w:ascii="Arial" w:hAnsi="Arial" w:cs="Arial"/>
          <w:lang w:val="en-US"/>
        </w:rPr>
        <w:t xml:space="preserve">is not included in Labour Court </w:t>
      </w:r>
      <w:r w:rsidR="003A26AF">
        <w:rPr>
          <w:rFonts w:ascii="Arial" w:hAnsi="Arial" w:cs="Arial"/>
          <w:lang w:val="en-US"/>
        </w:rPr>
        <w:t>r</w:t>
      </w:r>
      <w:r>
        <w:rPr>
          <w:rFonts w:ascii="Arial" w:hAnsi="Arial" w:cs="Arial"/>
          <w:lang w:val="en-US"/>
        </w:rPr>
        <w:t xml:space="preserve"> 17(3). Instead, Labour Court </w:t>
      </w:r>
      <w:r w:rsidR="003A26AF">
        <w:rPr>
          <w:rFonts w:ascii="Arial" w:hAnsi="Arial" w:cs="Arial"/>
          <w:lang w:val="en-US"/>
        </w:rPr>
        <w:t>r</w:t>
      </w:r>
      <w:r>
        <w:rPr>
          <w:rFonts w:ascii="Arial" w:hAnsi="Arial" w:cs="Arial"/>
          <w:lang w:val="en-US"/>
        </w:rPr>
        <w:t xml:space="preserve"> 17(3) requires that </w:t>
      </w:r>
      <w:r w:rsidR="00E86547">
        <w:rPr>
          <w:rFonts w:ascii="Arial" w:hAnsi="Arial" w:cs="Arial"/>
          <w:lang w:val="en-US"/>
        </w:rPr>
        <w:t xml:space="preserve">only </w:t>
      </w:r>
      <w:r>
        <w:rPr>
          <w:rFonts w:ascii="Arial" w:hAnsi="Arial" w:cs="Arial"/>
          <w:lang w:val="en-US"/>
        </w:rPr>
        <w:t>the relevant parts of Form 11 be completed and delivered together with Form LC 41.</w:t>
      </w:r>
    </w:p>
    <w:p w14:paraId="54C8B166" w14:textId="77777777" w:rsidR="00260BC4" w:rsidRPr="00260BC4" w:rsidRDefault="00260BC4" w:rsidP="00260BC4">
      <w:pPr>
        <w:pStyle w:val="ListParagraph"/>
        <w:rPr>
          <w:rFonts w:ascii="Arial" w:hAnsi="Arial" w:cs="Arial"/>
          <w:lang w:val="en-US"/>
        </w:rPr>
      </w:pPr>
    </w:p>
    <w:p w14:paraId="21C67023" w14:textId="5123CDAD" w:rsidR="00260BC4" w:rsidRDefault="00260BC4" w:rsidP="00260BC4">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What are the relevant parts of Form 11</w:t>
      </w:r>
      <w:r w:rsidR="00E86547">
        <w:rPr>
          <w:rFonts w:ascii="Arial" w:hAnsi="Arial" w:cs="Arial"/>
          <w:lang w:val="en-US"/>
        </w:rPr>
        <w:t>?</w:t>
      </w:r>
      <w:r>
        <w:rPr>
          <w:rFonts w:ascii="Arial" w:hAnsi="Arial" w:cs="Arial"/>
          <w:lang w:val="en-US"/>
        </w:rPr>
        <w:t xml:space="preserve"> The answer lies in the prescribed form itself.  The prescribed Form 11 consists of two parts.</w:t>
      </w:r>
      <w:r w:rsidR="00C05CEA">
        <w:rPr>
          <w:rFonts w:ascii="Arial" w:hAnsi="Arial" w:cs="Arial"/>
          <w:lang w:val="en-US"/>
        </w:rPr>
        <w:t xml:space="preserve"> Part A and </w:t>
      </w:r>
      <w:r w:rsidR="00830673">
        <w:rPr>
          <w:rFonts w:ascii="Arial" w:hAnsi="Arial" w:cs="Arial"/>
          <w:lang w:val="en-US"/>
        </w:rPr>
        <w:t>p</w:t>
      </w:r>
      <w:r w:rsidR="00C05CEA">
        <w:rPr>
          <w:rFonts w:ascii="Arial" w:hAnsi="Arial" w:cs="Arial"/>
          <w:lang w:val="en-US"/>
        </w:rPr>
        <w:t xml:space="preserve">art B. Part A is to be completed by persons noting an appeal in terms of Labour Court </w:t>
      </w:r>
      <w:r w:rsidR="003A26AF">
        <w:rPr>
          <w:rFonts w:ascii="Arial" w:hAnsi="Arial" w:cs="Arial"/>
          <w:lang w:val="en-US"/>
        </w:rPr>
        <w:t>r</w:t>
      </w:r>
      <w:r w:rsidR="00C05CEA">
        <w:rPr>
          <w:rFonts w:ascii="Arial" w:hAnsi="Arial" w:cs="Arial"/>
          <w:lang w:val="en-US"/>
        </w:rPr>
        <w:t xml:space="preserve"> 17(1)</w:t>
      </w:r>
      <w:r w:rsidR="00C05CEA" w:rsidRPr="002B462E">
        <w:rPr>
          <w:rFonts w:ascii="Arial" w:hAnsi="Arial" w:cs="Arial"/>
          <w:i/>
          <w:iCs/>
          <w:lang w:val="en-US"/>
        </w:rPr>
        <w:t>(a)</w:t>
      </w:r>
      <w:r w:rsidR="00C05CEA">
        <w:rPr>
          <w:rFonts w:ascii="Arial" w:hAnsi="Arial" w:cs="Arial"/>
          <w:lang w:val="en-US"/>
        </w:rPr>
        <w:t xml:space="preserve"> or 17(1)</w:t>
      </w:r>
      <w:r w:rsidR="00C05CEA" w:rsidRPr="002B462E">
        <w:rPr>
          <w:rFonts w:ascii="Arial" w:hAnsi="Arial" w:cs="Arial"/>
          <w:i/>
          <w:iCs/>
          <w:lang w:val="en-US"/>
        </w:rPr>
        <w:t>(b)</w:t>
      </w:r>
      <w:r w:rsidR="00C05CEA">
        <w:rPr>
          <w:rFonts w:ascii="Arial" w:hAnsi="Arial" w:cs="Arial"/>
          <w:lang w:val="en-US"/>
        </w:rPr>
        <w:t xml:space="preserve">, </w:t>
      </w:r>
      <w:r w:rsidR="00E86547">
        <w:rPr>
          <w:rFonts w:ascii="Arial" w:hAnsi="Arial" w:cs="Arial"/>
          <w:lang w:val="en-US"/>
        </w:rPr>
        <w:t xml:space="preserve">but </w:t>
      </w:r>
      <w:r w:rsidR="00C05CEA">
        <w:rPr>
          <w:rFonts w:ascii="Arial" w:hAnsi="Arial" w:cs="Arial"/>
          <w:lang w:val="en-US"/>
        </w:rPr>
        <w:t>not</w:t>
      </w:r>
      <w:r w:rsidR="00CC7372">
        <w:rPr>
          <w:rFonts w:ascii="Arial" w:hAnsi="Arial" w:cs="Arial"/>
          <w:lang w:val="en-US"/>
        </w:rPr>
        <w:t xml:space="preserve"> in terms of r</w:t>
      </w:r>
      <w:r w:rsidR="00C05CEA">
        <w:rPr>
          <w:rFonts w:ascii="Arial" w:hAnsi="Arial" w:cs="Arial"/>
          <w:lang w:val="en-US"/>
        </w:rPr>
        <w:t xml:space="preserve"> 17(1)</w:t>
      </w:r>
      <w:r w:rsidR="00C05CEA" w:rsidRPr="002B462E">
        <w:rPr>
          <w:rFonts w:ascii="Arial" w:hAnsi="Arial" w:cs="Arial"/>
          <w:i/>
          <w:iCs/>
          <w:lang w:val="en-US"/>
        </w:rPr>
        <w:t>(c)</w:t>
      </w:r>
      <w:r w:rsidR="00C05CEA">
        <w:rPr>
          <w:rFonts w:ascii="Arial" w:hAnsi="Arial" w:cs="Arial"/>
          <w:lang w:val="en-US"/>
        </w:rPr>
        <w:t xml:space="preserve">. </w:t>
      </w:r>
      <w:r w:rsidR="00AA463E">
        <w:rPr>
          <w:rFonts w:ascii="Arial" w:hAnsi="Arial" w:cs="Arial"/>
          <w:lang w:val="en-US"/>
        </w:rPr>
        <w:t xml:space="preserve">That instruction is contained in the prescribed Form 11 itself. </w:t>
      </w:r>
      <w:r w:rsidR="00C05CEA">
        <w:rPr>
          <w:rFonts w:ascii="Arial" w:hAnsi="Arial" w:cs="Arial"/>
          <w:lang w:val="en-US"/>
        </w:rPr>
        <w:t xml:space="preserve">The </w:t>
      </w:r>
      <w:r w:rsidR="00CC7372">
        <w:rPr>
          <w:rFonts w:ascii="Arial" w:hAnsi="Arial" w:cs="Arial"/>
          <w:lang w:val="en-US"/>
        </w:rPr>
        <w:t>portion</w:t>
      </w:r>
      <w:r w:rsidR="00C05CEA">
        <w:rPr>
          <w:rFonts w:ascii="Arial" w:hAnsi="Arial" w:cs="Arial"/>
          <w:lang w:val="en-US"/>
        </w:rPr>
        <w:t xml:space="preserve"> </w:t>
      </w:r>
      <w:r w:rsidR="00CC7372">
        <w:rPr>
          <w:rFonts w:ascii="Arial" w:hAnsi="Arial" w:cs="Arial"/>
          <w:lang w:val="en-US"/>
        </w:rPr>
        <w:t>of</w:t>
      </w:r>
      <w:r w:rsidR="00C05CEA">
        <w:rPr>
          <w:rFonts w:ascii="Arial" w:hAnsi="Arial" w:cs="Arial"/>
          <w:lang w:val="en-US"/>
        </w:rPr>
        <w:t xml:space="preserve"> the prescribed Form 11 that reads ‘AND FURTHER TAKE NOTICE that the grounds of this appeal are</w:t>
      </w:r>
      <w:r w:rsidR="00E86547">
        <w:rPr>
          <w:rFonts w:ascii="Arial" w:hAnsi="Arial" w:cs="Arial"/>
          <w:lang w:val="en-US"/>
        </w:rPr>
        <w:t>-</w:t>
      </w:r>
      <w:r w:rsidR="00C05CEA">
        <w:rPr>
          <w:rFonts w:ascii="Arial" w:hAnsi="Arial" w:cs="Arial"/>
          <w:lang w:val="en-US"/>
        </w:rPr>
        <w:t xml:space="preserve">’ is contained in </w:t>
      </w:r>
      <w:r w:rsidR="00E86547">
        <w:rPr>
          <w:rFonts w:ascii="Arial" w:hAnsi="Arial" w:cs="Arial"/>
          <w:lang w:val="en-US"/>
        </w:rPr>
        <w:t>p</w:t>
      </w:r>
      <w:r w:rsidR="00C05CEA">
        <w:rPr>
          <w:rFonts w:ascii="Arial" w:hAnsi="Arial" w:cs="Arial"/>
          <w:lang w:val="en-US"/>
        </w:rPr>
        <w:t xml:space="preserve">art A and </w:t>
      </w:r>
      <w:r w:rsidR="00CC7372">
        <w:rPr>
          <w:rFonts w:ascii="Arial" w:hAnsi="Arial" w:cs="Arial"/>
          <w:lang w:val="en-US"/>
        </w:rPr>
        <w:t>is</w:t>
      </w:r>
      <w:r w:rsidR="00DB5088">
        <w:rPr>
          <w:rFonts w:ascii="Arial" w:hAnsi="Arial" w:cs="Arial"/>
          <w:lang w:val="en-US"/>
        </w:rPr>
        <w:t>, therefore,</w:t>
      </w:r>
      <w:r w:rsidR="00C05CEA">
        <w:rPr>
          <w:rFonts w:ascii="Arial" w:hAnsi="Arial" w:cs="Arial"/>
          <w:lang w:val="en-US"/>
        </w:rPr>
        <w:t xml:space="preserve"> an irrelevant part</w:t>
      </w:r>
      <w:r w:rsidR="00E86547">
        <w:rPr>
          <w:rFonts w:ascii="Arial" w:hAnsi="Arial" w:cs="Arial"/>
          <w:lang w:val="en-US"/>
        </w:rPr>
        <w:t xml:space="preserve"> </w:t>
      </w:r>
      <w:r w:rsidR="00CC7372">
        <w:rPr>
          <w:rFonts w:ascii="Arial" w:hAnsi="Arial" w:cs="Arial"/>
          <w:lang w:val="en-US"/>
        </w:rPr>
        <w:t>when</w:t>
      </w:r>
      <w:r w:rsidR="00E86547">
        <w:rPr>
          <w:rFonts w:ascii="Arial" w:hAnsi="Arial" w:cs="Arial"/>
          <w:lang w:val="en-US"/>
        </w:rPr>
        <w:t xml:space="preserve"> noting an appeal against an award</w:t>
      </w:r>
      <w:r w:rsidR="00C05CEA">
        <w:rPr>
          <w:rFonts w:ascii="Arial" w:hAnsi="Arial" w:cs="Arial"/>
          <w:lang w:val="en-US"/>
        </w:rPr>
        <w:t xml:space="preserve">. Part B </w:t>
      </w:r>
      <w:r w:rsidR="00DB5088">
        <w:rPr>
          <w:rFonts w:ascii="Arial" w:hAnsi="Arial" w:cs="Arial"/>
          <w:lang w:val="en-US"/>
        </w:rPr>
        <w:t>must</w:t>
      </w:r>
      <w:r w:rsidR="00C05CEA">
        <w:rPr>
          <w:rFonts w:ascii="Arial" w:hAnsi="Arial" w:cs="Arial"/>
          <w:lang w:val="en-US"/>
        </w:rPr>
        <w:t xml:space="preserve"> be completed by all persons noting an appeal in terms of </w:t>
      </w:r>
      <w:r w:rsidR="00830673">
        <w:rPr>
          <w:rFonts w:ascii="Arial" w:hAnsi="Arial" w:cs="Arial"/>
          <w:lang w:val="en-US"/>
        </w:rPr>
        <w:t>r</w:t>
      </w:r>
      <w:r w:rsidR="00C05CEA">
        <w:rPr>
          <w:rFonts w:ascii="Arial" w:hAnsi="Arial" w:cs="Arial"/>
          <w:lang w:val="en-US"/>
        </w:rPr>
        <w:t xml:space="preserve"> 17(1) and</w:t>
      </w:r>
      <w:r w:rsidR="00DB5088">
        <w:rPr>
          <w:rFonts w:ascii="Arial" w:hAnsi="Arial" w:cs="Arial"/>
          <w:lang w:val="en-US"/>
        </w:rPr>
        <w:t>, therefore,</w:t>
      </w:r>
      <w:r w:rsidR="00C05CEA">
        <w:rPr>
          <w:rFonts w:ascii="Arial" w:hAnsi="Arial" w:cs="Arial"/>
          <w:lang w:val="en-US"/>
        </w:rPr>
        <w:t xml:space="preserve"> the relevant part that must be completed </w:t>
      </w:r>
      <w:r w:rsidR="00CC7372">
        <w:rPr>
          <w:rFonts w:ascii="Arial" w:hAnsi="Arial" w:cs="Arial"/>
          <w:lang w:val="en-US"/>
        </w:rPr>
        <w:t>when</w:t>
      </w:r>
      <w:r w:rsidR="00E86547">
        <w:rPr>
          <w:rFonts w:ascii="Arial" w:hAnsi="Arial" w:cs="Arial"/>
          <w:lang w:val="en-US"/>
        </w:rPr>
        <w:t xml:space="preserve"> noting </w:t>
      </w:r>
      <w:r w:rsidR="00C05CEA">
        <w:rPr>
          <w:rFonts w:ascii="Arial" w:hAnsi="Arial" w:cs="Arial"/>
          <w:lang w:val="en-US"/>
        </w:rPr>
        <w:t xml:space="preserve">an appeal against an award. </w:t>
      </w:r>
    </w:p>
    <w:p w14:paraId="30EE93B2" w14:textId="77777777" w:rsidR="00C05CEA" w:rsidRPr="00C05CEA" w:rsidRDefault="00C05CEA" w:rsidP="00C05CEA">
      <w:pPr>
        <w:pStyle w:val="ListParagraph"/>
        <w:rPr>
          <w:rFonts w:ascii="Arial" w:hAnsi="Arial" w:cs="Arial"/>
          <w:lang w:val="en-US"/>
        </w:rPr>
      </w:pPr>
    </w:p>
    <w:p w14:paraId="377A9FEB" w14:textId="39A0FEE0" w:rsidR="00C05CEA" w:rsidRDefault="00C05CEA" w:rsidP="00C05CEA">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structure </w:t>
      </w:r>
      <w:r w:rsidR="00E86547">
        <w:rPr>
          <w:rFonts w:ascii="Arial" w:hAnsi="Arial" w:cs="Arial"/>
          <w:lang w:val="en-US"/>
        </w:rPr>
        <w:t xml:space="preserve">of the relevant legislation </w:t>
      </w:r>
      <w:r w:rsidR="00235235">
        <w:rPr>
          <w:rFonts w:ascii="Arial" w:hAnsi="Arial" w:cs="Arial"/>
          <w:lang w:val="en-US"/>
        </w:rPr>
        <w:t xml:space="preserve">as </w:t>
      </w:r>
      <w:r>
        <w:rPr>
          <w:rFonts w:ascii="Arial" w:hAnsi="Arial" w:cs="Arial"/>
          <w:lang w:val="en-US"/>
        </w:rPr>
        <w:t>set out above</w:t>
      </w:r>
      <w:r w:rsidR="00CC7372">
        <w:rPr>
          <w:rFonts w:ascii="Arial" w:hAnsi="Arial" w:cs="Arial"/>
          <w:lang w:val="en-US"/>
        </w:rPr>
        <w:t xml:space="preserve"> is </w:t>
      </w:r>
      <w:r w:rsidR="00706694">
        <w:rPr>
          <w:rFonts w:ascii="Arial" w:hAnsi="Arial" w:cs="Arial"/>
          <w:lang w:val="en-US"/>
        </w:rPr>
        <w:t xml:space="preserve">supported by </w:t>
      </w:r>
      <w:r w:rsidR="00706694" w:rsidRPr="00706694">
        <w:rPr>
          <w:rFonts w:ascii="Arial" w:hAnsi="Arial" w:cs="Arial"/>
          <w:i/>
          <w:iCs/>
          <w:lang w:val="en-US"/>
        </w:rPr>
        <w:t>Primedia Outdoor Namibia (Pty) Ltd v Kauluma</w:t>
      </w:r>
      <w:r w:rsidR="00075B82" w:rsidRPr="009E10BE">
        <w:rPr>
          <w:rStyle w:val="FootnoteReference"/>
          <w:rFonts w:ascii="Arial" w:hAnsi="Arial" w:cs="Arial"/>
          <w:lang w:val="en-US"/>
        </w:rPr>
        <w:footnoteReference w:id="6"/>
      </w:r>
      <w:r w:rsidR="00075B82" w:rsidRPr="009E10BE">
        <w:rPr>
          <w:rFonts w:ascii="Arial" w:hAnsi="Arial" w:cs="Arial"/>
          <w:lang w:val="en-US"/>
        </w:rPr>
        <w:t xml:space="preserve"> </w:t>
      </w:r>
      <w:r w:rsidR="00CC7372" w:rsidRPr="009E10BE">
        <w:rPr>
          <w:rFonts w:ascii="Arial" w:hAnsi="Arial" w:cs="Arial"/>
          <w:lang w:val="en-US"/>
        </w:rPr>
        <w:t>and</w:t>
      </w:r>
      <w:r w:rsidR="00CC7372">
        <w:rPr>
          <w:rFonts w:ascii="Arial" w:hAnsi="Arial" w:cs="Arial"/>
          <w:lang w:val="en-US"/>
        </w:rPr>
        <w:t xml:space="preserve"> </w:t>
      </w:r>
      <w:r>
        <w:rPr>
          <w:rFonts w:ascii="Arial" w:hAnsi="Arial" w:cs="Arial"/>
          <w:lang w:val="en-US"/>
        </w:rPr>
        <w:t xml:space="preserve">makes sense if regard is had to </w:t>
      </w:r>
      <w:r w:rsidRPr="00C05CEA">
        <w:rPr>
          <w:rFonts w:ascii="Arial" w:hAnsi="Arial" w:cs="Arial"/>
          <w:lang w:val="en-US"/>
        </w:rPr>
        <w:t xml:space="preserve">Conciliation and Arbitration </w:t>
      </w:r>
      <w:r w:rsidR="003A26AF">
        <w:rPr>
          <w:rFonts w:ascii="Arial" w:hAnsi="Arial" w:cs="Arial"/>
          <w:lang w:val="en-US"/>
        </w:rPr>
        <w:t>r</w:t>
      </w:r>
      <w:r w:rsidRPr="00C05CEA">
        <w:rPr>
          <w:rFonts w:ascii="Arial" w:hAnsi="Arial" w:cs="Arial"/>
          <w:lang w:val="en-US"/>
        </w:rPr>
        <w:t xml:space="preserve"> 23</w:t>
      </w:r>
      <w:r w:rsidR="005E5C52">
        <w:rPr>
          <w:rFonts w:ascii="Arial" w:hAnsi="Arial" w:cs="Arial"/>
          <w:lang w:val="en-US"/>
        </w:rPr>
        <w:t>(2)</w:t>
      </w:r>
      <w:r w:rsidR="00DB5088">
        <w:rPr>
          <w:rFonts w:ascii="Arial" w:hAnsi="Arial" w:cs="Arial"/>
          <w:lang w:val="en-US"/>
        </w:rPr>
        <w:t>,</w:t>
      </w:r>
      <w:r>
        <w:rPr>
          <w:rFonts w:ascii="Arial" w:hAnsi="Arial" w:cs="Arial"/>
          <w:lang w:val="en-US"/>
        </w:rPr>
        <w:t xml:space="preserve"> which reads as follows:</w:t>
      </w:r>
    </w:p>
    <w:p w14:paraId="7655BC3B" w14:textId="77777777" w:rsidR="00C05CEA" w:rsidRPr="00C05CEA" w:rsidRDefault="00C05CEA" w:rsidP="00C05CEA">
      <w:pPr>
        <w:pStyle w:val="ListParagraph"/>
        <w:rPr>
          <w:rFonts w:ascii="Arial" w:hAnsi="Arial" w:cs="Arial"/>
          <w:lang w:val="en-US"/>
        </w:rPr>
      </w:pPr>
    </w:p>
    <w:p w14:paraId="65D44A89" w14:textId="653BDE01" w:rsidR="00C05CEA" w:rsidRPr="00C05CEA" w:rsidRDefault="00235235" w:rsidP="0085411B">
      <w:pPr>
        <w:pStyle w:val="ListParagraph"/>
        <w:spacing w:line="360" w:lineRule="auto"/>
        <w:ind w:left="0" w:firstLine="709"/>
        <w:jc w:val="both"/>
        <w:rPr>
          <w:rFonts w:ascii="Arial" w:hAnsi="Arial" w:cs="Arial"/>
          <w:sz w:val="22"/>
          <w:szCs w:val="22"/>
        </w:rPr>
      </w:pPr>
      <w:r w:rsidRPr="00235235">
        <w:rPr>
          <w:rFonts w:ascii="Arial" w:hAnsi="Arial" w:cs="Arial"/>
          <w:sz w:val="22"/>
          <w:szCs w:val="22"/>
        </w:rPr>
        <w:t>‘</w:t>
      </w:r>
      <w:r w:rsidR="00C05CEA" w:rsidRPr="00C05CEA">
        <w:rPr>
          <w:rFonts w:ascii="Arial" w:hAnsi="Arial" w:cs="Arial"/>
          <w:sz w:val="22"/>
          <w:szCs w:val="22"/>
        </w:rPr>
        <w:t xml:space="preserve">(2) </w:t>
      </w:r>
      <w:r w:rsidRPr="00235235">
        <w:rPr>
          <w:rFonts w:ascii="Arial" w:hAnsi="Arial" w:cs="Arial"/>
          <w:sz w:val="22"/>
          <w:szCs w:val="22"/>
        </w:rPr>
        <w:tab/>
      </w:r>
      <w:r w:rsidR="00C05CEA" w:rsidRPr="00C05CEA">
        <w:rPr>
          <w:rFonts w:ascii="Arial" w:hAnsi="Arial" w:cs="Arial"/>
          <w:sz w:val="22"/>
          <w:szCs w:val="22"/>
        </w:rPr>
        <w:t>An appeal must be noted by delivery, within 30 days of the party’s</w:t>
      </w:r>
      <w:r w:rsidRPr="00235235">
        <w:rPr>
          <w:rFonts w:ascii="Arial" w:hAnsi="Arial" w:cs="Arial"/>
          <w:sz w:val="22"/>
          <w:szCs w:val="22"/>
        </w:rPr>
        <w:t xml:space="preserve"> </w:t>
      </w:r>
      <w:r w:rsidR="00C05CEA" w:rsidRPr="00C05CEA">
        <w:rPr>
          <w:rFonts w:ascii="Arial" w:hAnsi="Arial" w:cs="Arial"/>
          <w:sz w:val="22"/>
          <w:szCs w:val="22"/>
        </w:rPr>
        <w:t>receipt of the arbitrator” award, to the Labour Commissioner of a notice of appeal</w:t>
      </w:r>
      <w:r w:rsidRPr="00235235">
        <w:rPr>
          <w:rFonts w:ascii="Arial" w:hAnsi="Arial" w:cs="Arial"/>
          <w:sz w:val="22"/>
          <w:szCs w:val="22"/>
        </w:rPr>
        <w:t xml:space="preserve"> </w:t>
      </w:r>
      <w:r w:rsidR="00C05CEA" w:rsidRPr="00C05CEA">
        <w:rPr>
          <w:rFonts w:ascii="Arial" w:hAnsi="Arial" w:cs="Arial"/>
          <w:sz w:val="22"/>
          <w:szCs w:val="22"/>
        </w:rPr>
        <w:t>on Form LC 41, which must set out -</w:t>
      </w:r>
    </w:p>
    <w:p w14:paraId="528CA038" w14:textId="384D7E20" w:rsidR="00C05CEA" w:rsidRPr="00235235" w:rsidRDefault="00C05CEA" w:rsidP="006128D8">
      <w:pPr>
        <w:spacing w:line="360" w:lineRule="auto"/>
        <w:jc w:val="both"/>
        <w:rPr>
          <w:rFonts w:ascii="Arial" w:hAnsi="Arial" w:cs="Arial"/>
          <w:sz w:val="22"/>
          <w:szCs w:val="22"/>
        </w:rPr>
      </w:pPr>
      <w:r w:rsidRPr="00235235">
        <w:rPr>
          <w:rFonts w:ascii="Arial" w:hAnsi="Arial" w:cs="Arial"/>
          <w:sz w:val="22"/>
          <w:szCs w:val="22"/>
        </w:rPr>
        <w:t xml:space="preserve">(a) </w:t>
      </w:r>
      <w:r w:rsidR="005A6F5B">
        <w:rPr>
          <w:rFonts w:ascii="Arial" w:hAnsi="Arial" w:cs="Arial"/>
          <w:sz w:val="22"/>
          <w:szCs w:val="22"/>
        </w:rPr>
        <w:tab/>
      </w:r>
      <w:r w:rsidRPr="00235235">
        <w:rPr>
          <w:rFonts w:ascii="Arial" w:hAnsi="Arial" w:cs="Arial"/>
          <w:sz w:val="22"/>
          <w:szCs w:val="22"/>
        </w:rPr>
        <w:t>whether the appeal is from the judgment in whole or in part, and if in</w:t>
      </w:r>
      <w:r w:rsidR="00235235" w:rsidRPr="00235235">
        <w:rPr>
          <w:rFonts w:ascii="Arial" w:hAnsi="Arial" w:cs="Arial"/>
          <w:sz w:val="22"/>
          <w:szCs w:val="22"/>
        </w:rPr>
        <w:t xml:space="preserve"> </w:t>
      </w:r>
      <w:r w:rsidRPr="00235235">
        <w:rPr>
          <w:rFonts w:ascii="Arial" w:hAnsi="Arial" w:cs="Arial"/>
          <w:sz w:val="22"/>
          <w:szCs w:val="22"/>
        </w:rPr>
        <w:t>part only, which part;</w:t>
      </w:r>
    </w:p>
    <w:p w14:paraId="41E1F86B" w14:textId="4710759F" w:rsidR="00C05CEA" w:rsidRPr="00235235" w:rsidRDefault="00C05CEA" w:rsidP="006128D8">
      <w:pPr>
        <w:spacing w:line="360" w:lineRule="auto"/>
        <w:jc w:val="both"/>
        <w:rPr>
          <w:rFonts w:ascii="Arial" w:hAnsi="Arial" w:cs="Arial"/>
          <w:sz w:val="22"/>
          <w:szCs w:val="22"/>
        </w:rPr>
      </w:pPr>
      <w:r w:rsidRPr="00235235">
        <w:rPr>
          <w:rFonts w:ascii="Arial" w:hAnsi="Arial" w:cs="Arial"/>
          <w:sz w:val="22"/>
          <w:szCs w:val="22"/>
        </w:rPr>
        <w:t>(b) in the case of appeals from an award concerning fundamental rights</w:t>
      </w:r>
      <w:r w:rsidR="00235235" w:rsidRPr="00235235">
        <w:rPr>
          <w:rFonts w:ascii="Arial" w:hAnsi="Arial" w:cs="Arial"/>
          <w:sz w:val="22"/>
          <w:szCs w:val="22"/>
        </w:rPr>
        <w:t xml:space="preserve"> </w:t>
      </w:r>
      <w:r w:rsidRPr="00235235">
        <w:rPr>
          <w:rFonts w:ascii="Arial" w:hAnsi="Arial" w:cs="Arial"/>
          <w:sz w:val="22"/>
          <w:szCs w:val="22"/>
        </w:rPr>
        <w:t>and protections under Chapter 2 and initially referred to the Labour</w:t>
      </w:r>
      <w:r w:rsidR="00235235" w:rsidRPr="00235235">
        <w:rPr>
          <w:rFonts w:ascii="Arial" w:hAnsi="Arial" w:cs="Arial"/>
          <w:sz w:val="22"/>
          <w:szCs w:val="22"/>
        </w:rPr>
        <w:t xml:space="preserve"> </w:t>
      </w:r>
      <w:r w:rsidRPr="00235235">
        <w:rPr>
          <w:rFonts w:ascii="Arial" w:hAnsi="Arial" w:cs="Arial"/>
          <w:sz w:val="22"/>
          <w:szCs w:val="22"/>
        </w:rPr>
        <w:t>Commissioner in terms of section 7(1)(a) of the Act, the point of law or</w:t>
      </w:r>
      <w:r w:rsidR="00235235" w:rsidRPr="00235235">
        <w:rPr>
          <w:rFonts w:ascii="Arial" w:hAnsi="Arial" w:cs="Arial"/>
          <w:sz w:val="22"/>
          <w:szCs w:val="22"/>
        </w:rPr>
        <w:t xml:space="preserve"> </w:t>
      </w:r>
      <w:r w:rsidRPr="00235235">
        <w:rPr>
          <w:rFonts w:ascii="Arial" w:hAnsi="Arial" w:cs="Arial"/>
          <w:sz w:val="22"/>
          <w:szCs w:val="22"/>
        </w:rPr>
        <w:t>fact appealed against;</w:t>
      </w:r>
    </w:p>
    <w:p w14:paraId="51D04B28" w14:textId="0FEC5FC7" w:rsidR="00C05CEA" w:rsidRPr="00235235" w:rsidRDefault="00C05CEA" w:rsidP="006128D8">
      <w:pPr>
        <w:spacing w:line="360" w:lineRule="auto"/>
        <w:jc w:val="both"/>
        <w:rPr>
          <w:rFonts w:ascii="Arial" w:hAnsi="Arial" w:cs="Arial"/>
          <w:sz w:val="22"/>
          <w:szCs w:val="22"/>
        </w:rPr>
      </w:pPr>
      <w:r w:rsidRPr="00235235">
        <w:rPr>
          <w:rFonts w:ascii="Arial" w:hAnsi="Arial" w:cs="Arial"/>
          <w:sz w:val="22"/>
          <w:szCs w:val="22"/>
        </w:rPr>
        <w:lastRenderedPageBreak/>
        <w:t xml:space="preserve">(c) </w:t>
      </w:r>
      <w:r w:rsidR="005A6F5B">
        <w:rPr>
          <w:rFonts w:ascii="Arial" w:hAnsi="Arial" w:cs="Arial"/>
          <w:sz w:val="22"/>
          <w:szCs w:val="22"/>
        </w:rPr>
        <w:tab/>
      </w:r>
      <w:r w:rsidRPr="00235235">
        <w:rPr>
          <w:rFonts w:ascii="Arial" w:hAnsi="Arial" w:cs="Arial"/>
          <w:sz w:val="22"/>
          <w:szCs w:val="22"/>
        </w:rPr>
        <w:t>in the case of an award concerning any other dispute, the point of law</w:t>
      </w:r>
      <w:r w:rsidR="00235235" w:rsidRPr="00235235">
        <w:rPr>
          <w:rFonts w:ascii="Arial" w:hAnsi="Arial" w:cs="Arial"/>
          <w:sz w:val="22"/>
          <w:szCs w:val="22"/>
        </w:rPr>
        <w:t xml:space="preserve"> </w:t>
      </w:r>
      <w:r w:rsidRPr="00235235">
        <w:rPr>
          <w:rFonts w:ascii="Arial" w:hAnsi="Arial" w:cs="Arial"/>
          <w:sz w:val="22"/>
          <w:szCs w:val="22"/>
        </w:rPr>
        <w:t>appealed against; and</w:t>
      </w:r>
    </w:p>
    <w:p w14:paraId="5590D956" w14:textId="7A231A13" w:rsidR="00C05CEA" w:rsidRPr="00235235" w:rsidRDefault="00C05CEA" w:rsidP="006128D8">
      <w:pPr>
        <w:spacing w:line="360" w:lineRule="auto"/>
        <w:jc w:val="both"/>
        <w:rPr>
          <w:rFonts w:ascii="Arial" w:hAnsi="Arial" w:cs="Arial"/>
          <w:lang w:val="en-US"/>
        </w:rPr>
      </w:pPr>
      <w:r w:rsidRPr="00235235">
        <w:rPr>
          <w:rFonts w:ascii="Arial" w:hAnsi="Arial" w:cs="Arial"/>
          <w:sz w:val="22"/>
          <w:szCs w:val="22"/>
        </w:rPr>
        <w:t xml:space="preserve">(d) </w:t>
      </w:r>
      <w:r w:rsidR="005A6F5B">
        <w:rPr>
          <w:rFonts w:ascii="Arial" w:hAnsi="Arial" w:cs="Arial"/>
          <w:sz w:val="22"/>
          <w:szCs w:val="22"/>
        </w:rPr>
        <w:tab/>
      </w:r>
      <w:r w:rsidRPr="00235235">
        <w:rPr>
          <w:rFonts w:ascii="Arial" w:hAnsi="Arial" w:cs="Arial"/>
          <w:sz w:val="22"/>
          <w:szCs w:val="22"/>
        </w:rPr>
        <w:t>the grounds upon which the appeal is based.</w:t>
      </w:r>
      <w:r w:rsidR="00235235" w:rsidRPr="00235235">
        <w:rPr>
          <w:rFonts w:ascii="Arial" w:hAnsi="Arial" w:cs="Arial"/>
          <w:lang w:val="en-US"/>
        </w:rPr>
        <w:t>’</w:t>
      </w:r>
    </w:p>
    <w:p w14:paraId="0B2EADF3" w14:textId="77777777" w:rsidR="006F7CF1" w:rsidRPr="006F7CF1" w:rsidRDefault="006F7CF1" w:rsidP="006F7CF1">
      <w:pPr>
        <w:pStyle w:val="ListParagraph"/>
        <w:rPr>
          <w:rFonts w:ascii="Arial" w:hAnsi="Arial" w:cs="Arial"/>
          <w:lang w:val="en-US"/>
        </w:rPr>
      </w:pPr>
    </w:p>
    <w:p w14:paraId="061A4C93" w14:textId="3F556EC1" w:rsidR="00235235" w:rsidRPr="00235235" w:rsidRDefault="005E5C52" w:rsidP="00235235">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Compliance with </w:t>
      </w:r>
      <w:r w:rsidR="00235235">
        <w:rPr>
          <w:rFonts w:ascii="Arial" w:hAnsi="Arial" w:cs="Arial"/>
          <w:lang w:val="en-US"/>
        </w:rPr>
        <w:t xml:space="preserve">Conciliation and Arbitration </w:t>
      </w:r>
      <w:r w:rsidR="003A26AF">
        <w:rPr>
          <w:rFonts w:ascii="Arial" w:hAnsi="Arial" w:cs="Arial"/>
          <w:lang w:val="en-US"/>
        </w:rPr>
        <w:t>r</w:t>
      </w:r>
      <w:r w:rsidR="00235235">
        <w:rPr>
          <w:rFonts w:ascii="Arial" w:hAnsi="Arial" w:cs="Arial"/>
          <w:lang w:val="en-US"/>
        </w:rPr>
        <w:t xml:space="preserve"> 23(2)</w:t>
      </w:r>
      <w:r w:rsidR="00DB5088">
        <w:rPr>
          <w:rFonts w:ascii="Arial" w:hAnsi="Arial" w:cs="Arial"/>
          <w:lang w:val="en-US"/>
        </w:rPr>
        <w:t>,</w:t>
      </w:r>
      <w:r w:rsidR="00E86547">
        <w:rPr>
          <w:rFonts w:ascii="Arial" w:hAnsi="Arial" w:cs="Arial"/>
          <w:lang w:val="en-US"/>
        </w:rPr>
        <w:t xml:space="preserve"> including </w:t>
      </w:r>
      <w:r w:rsidR="00235235">
        <w:rPr>
          <w:rFonts w:ascii="Arial" w:hAnsi="Arial" w:cs="Arial"/>
          <w:lang w:val="en-US"/>
        </w:rPr>
        <w:t>Form LC 41,</w:t>
      </w:r>
      <w:r w:rsidR="00D658D7">
        <w:rPr>
          <w:rFonts w:ascii="Arial" w:hAnsi="Arial" w:cs="Arial"/>
          <w:lang w:val="en-US"/>
        </w:rPr>
        <w:t xml:space="preserve"> which </w:t>
      </w:r>
      <w:r>
        <w:rPr>
          <w:rFonts w:ascii="Arial" w:hAnsi="Arial" w:cs="Arial"/>
          <w:lang w:val="en-US"/>
        </w:rPr>
        <w:t>is</w:t>
      </w:r>
      <w:r w:rsidR="00D658D7">
        <w:rPr>
          <w:rFonts w:ascii="Arial" w:hAnsi="Arial" w:cs="Arial"/>
          <w:lang w:val="en-US"/>
        </w:rPr>
        <w:t xml:space="preserve"> required for an appeal against an award,</w:t>
      </w:r>
      <w:r w:rsidR="00235235">
        <w:rPr>
          <w:rFonts w:ascii="Arial" w:hAnsi="Arial" w:cs="Arial"/>
          <w:lang w:val="en-US"/>
        </w:rPr>
        <w:t xml:space="preserve"> include</w:t>
      </w:r>
      <w:r>
        <w:rPr>
          <w:rFonts w:ascii="Arial" w:hAnsi="Arial" w:cs="Arial"/>
          <w:lang w:val="en-US"/>
        </w:rPr>
        <w:t>s setting out</w:t>
      </w:r>
      <w:r w:rsidR="00D658D7">
        <w:rPr>
          <w:rFonts w:ascii="Arial" w:hAnsi="Arial" w:cs="Arial"/>
          <w:lang w:val="en-US"/>
        </w:rPr>
        <w:t xml:space="preserve"> </w:t>
      </w:r>
      <w:r w:rsidR="00235235">
        <w:rPr>
          <w:rFonts w:ascii="Arial" w:hAnsi="Arial" w:cs="Arial"/>
          <w:lang w:val="en-US"/>
        </w:rPr>
        <w:t xml:space="preserve">some of the details </w:t>
      </w:r>
      <w:r>
        <w:rPr>
          <w:rFonts w:ascii="Arial" w:hAnsi="Arial" w:cs="Arial"/>
          <w:lang w:val="en-US"/>
        </w:rPr>
        <w:t xml:space="preserve">which fall under </w:t>
      </w:r>
      <w:r w:rsidR="00D658D7">
        <w:rPr>
          <w:rFonts w:ascii="Arial" w:hAnsi="Arial" w:cs="Arial"/>
          <w:lang w:val="en-US"/>
        </w:rPr>
        <w:t xml:space="preserve">the irrelevant parts of Form 11 </w:t>
      </w:r>
      <w:r w:rsidR="00235235">
        <w:rPr>
          <w:rFonts w:ascii="Arial" w:hAnsi="Arial" w:cs="Arial"/>
          <w:lang w:val="en-US"/>
        </w:rPr>
        <w:t xml:space="preserve">under </w:t>
      </w:r>
      <w:r w:rsidR="00E86547">
        <w:rPr>
          <w:rFonts w:ascii="Arial" w:hAnsi="Arial" w:cs="Arial"/>
          <w:lang w:val="en-US"/>
        </w:rPr>
        <w:t>p</w:t>
      </w:r>
      <w:r w:rsidR="00235235">
        <w:rPr>
          <w:rFonts w:ascii="Arial" w:hAnsi="Arial" w:cs="Arial"/>
          <w:lang w:val="en-US"/>
        </w:rPr>
        <w:t xml:space="preserve">art A </w:t>
      </w:r>
      <w:r w:rsidR="00D658D7">
        <w:rPr>
          <w:rFonts w:ascii="Arial" w:hAnsi="Arial" w:cs="Arial"/>
          <w:lang w:val="en-US"/>
        </w:rPr>
        <w:t>thereof</w:t>
      </w:r>
      <w:r w:rsidR="00235235">
        <w:rPr>
          <w:rFonts w:ascii="Arial" w:hAnsi="Arial" w:cs="Arial"/>
          <w:lang w:val="en-US"/>
        </w:rPr>
        <w:t xml:space="preserve">, including the grounds upon which </w:t>
      </w:r>
      <w:r w:rsidR="00E86547">
        <w:rPr>
          <w:rFonts w:ascii="Arial" w:hAnsi="Arial" w:cs="Arial"/>
          <w:lang w:val="en-US"/>
        </w:rPr>
        <w:t>an</w:t>
      </w:r>
      <w:r w:rsidR="00235235">
        <w:rPr>
          <w:rFonts w:ascii="Arial" w:hAnsi="Arial" w:cs="Arial"/>
          <w:lang w:val="en-US"/>
        </w:rPr>
        <w:t xml:space="preserve"> appeal is based which requirement is </w:t>
      </w:r>
      <w:r w:rsidR="00D658D7">
        <w:rPr>
          <w:rFonts w:ascii="Arial" w:hAnsi="Arial" w:cs="Arial"/>
          <w:lang w:val="en-US"/>
        </w:rPr>
        <w:t xml:space="preserve">specifically </w:t>
      </w:r>
      <w:r w:rsidR="00235235">
        <w:rPr>
          <w:rFonts w:ascii="Arial" w:hAnsi="Arial" w:cs="Arial"/>
          <w:lang w:val="en-US"/>
        </w:rPr>
        <w:t xml:space="preserve">referred to in Conciliation and Arbitration </w:t>
      </w:r>
      <w:r w:rsidR="003A26AF">
        <w:rPr>
          <w:rFonts w:ascii="Arial" w:hAnsi="Arial" w:cs="Arial"/>
          <w:lang w:val="en-US"/>
        </w:rPr>
        <w:t>r</w:t>
      </w:r>
      <w:r w:rsidR="00235235">
        <w:rPr>
          <w:rFonts w:ascii="Arial" w:hAnsi="Arial" w:cs="Arial"/>
          <w:lang w:val="en-US"/>
        </w:rPr>
        <w:t xml:space="preserve"> 23(2)</w:t>
      </w:r>
      <w:r w:rsidR="00235235" w:rsidRPr="002B462E">
        <w:rPr>
          <w:rFonts w:ascii="Arial" w:hAnsi="Arial" w:cs="Arial"/>
          <w:i/>
          <w:iCs/>
          <w:lang w:val="en-US"/>
        </w:rPr>
        <w:t>(d)</w:t>
      </w:r>
      <w:r>
        <w:rPr>
          <w:rFonts w:ascii="Arial" w:hAnsi="Arial" w:cs="Arial"/>
          <w:lang w:val="en-US"/>
        </w:rPr>
        <w:t>.</w:t>
      </w:r>
    </w:p>
    <w:p w14:paraId="4598DD62" w14:textId="77777777" w:rsidR="00235235" w:rsidRPr="00501CAC" w:rsidRDefault="00235235" w:rsidP="00235235">
      <w:pPr>
        <w:pStyle w:val="ListParagraph"/>
        <w:rPr>
          <w:rFonts w:ascii="Arial" w:hAnsi="Arial" w:cs="Arial"/>
          <w:lang w:val="en-US"/>
        </w:rPr>
      </w:pPr>
    </w:p>
    <w:p w14:paraId="5E2A73F5" w14:textId="341FC123" w:rsidR="002126D6" w:rsidRDefault="003E6488" w:rsidP="002126D6">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I</w:t>
      </w:r>
      <w:r w:rsidR="00D658D7">
        <w:rPr>
          <w:rFonts w:ascii="Arial" w:hAnsi="Arial" w:cs="Arial"/>
          <w:lang w:val="en-US"/>
        </w:rPr>
        <w:t xml:space="preserve">t was not the legislature’s intention that the entire Form 11 must be completed in an appeal against an award, hence the </w:t>
      </w:r>
      <w:r w:rsidR="00DB5088">
        <w:rPr>
          <w:rFonts w:ascii="Arial" w:hAnsi="Arial" w:cs="Arial"/>
          <w:lang w:val="en-US"/>
        </w:rPr>
        <w:t xml:space="preserve">Labour Court </w:t>
      </w:r>
      <w:r w:rsidR="003A26AF">
        <w:rPr>
          <w:rFonts w:ascii="Arial" w:hAnsi="Arial" w:cs="Arial"/>
          <w:lang w:val="en-US"/>
        </w:rPr>
        <w:t>r</w:t>
      </w:r>
      <w:r w:rsidR="00DB5088">
        <w:rPr>
          <w:rFonts w:ascii="Arial" w:hAnsi="Arial" w:cs="Arial"/>
          <w:lang w:val="en-US"/>
        </w:rPr>
        <w:t xml:space="preserve"> 17(3)</w:t>
      </w:r>
      <w:r w:rsidR="00DB5088" w:rsidRPr="00A365A3">
        <w:rPr>
          <w:rFonts w:ascii="Arial" w:hAnsi="Arial" w:cs="Arial"/>
          <w:i/>
          <w:iCs/>
          <w:lang w:val="en-US"/>
        </w:rPr>
        <w:t>(a)</w:t>
      </w:r>
      <w:r w:rsidR="00DB5088">
        <w:rPr>
          <w:rFonts w:ascii="Arial" w:hAnsi="Arial" w:cs="Arial"/>
          <w:lang w:val="en-US"/>
        </w:rPr>
        <w:t xml:space="preserve"> requirement</w:t>
      </w:r>
      <w:r w:rsidR="005E5C52">
        <w:rPr>
          <w:rFonts w:ascii="Arial" w:hAnsi="Arial" w:cs="Arial"/>
          <w:lang w:val="en-US"/>
        </w:rPr>
        <w:t xml:space="preserve"> </w:t>
      </w:r>
      <w:r w:rsidR="00D658D7">
        <w:rPr>
          <w:rFonts w:ascii="Arial" w:hAnsi="Arial" w:cs="Arial"/>
          <w:lang w:val="en-US"/>
        </w:rPr>
        <w:t xml:space="preserve">to complete the </w:t>
      </w:r>
      <w:r w:rsidR="005E5C52">
        <w:rPr>
          <w:rFonts w:ascii="Arial" w:hAnsi="Arial" w:cs="Arial"/>
          <w:lang w:val="en-US"/>
        </w:rPr>
        <w:t xml:space="preserve">‘relevant parts of Form 11’. Completing the entire Form 11 would result in duplications without reason. Amongst others, the grounds of appeal would be duplicated. </w:t>
      </w:r>
    </w:p>
    <w:p w14:paraId="1DAF6508" w14:textId="77777777" w:rsidR="002126D6" w:rsidRPr="002126D6" w:rsidRDefault="002126D6" w:rsidP="002126D6">
      <w:pPr>
        <w:pStyle w:val="ListParagraph"/>
        <w:rPr>
          <w:rFonts w:ascii="Arial" w:hAnsi="Arial" w:cs="Arial"/>
          <w:lang w:val="en-US"/>
        </w:rPr>
      </w:pPr>
    </w:p>
    <w:p w14:paraId="21BB3031" w14:textId="50E986B0" w:rsidR="002126D6" w:rsidRDefault="002126D6" w:rsidP="002126D6">
      <w:pPr>
        <w:pStyle w:val="ListParagraph"/>
        <w:numPr>
          <w:ilvl w:val="0"/>
          <w:numId w:val="6"/>
        </w:numPr>
        <w:spacing w:line="360" w:lineRule="auto"/>
        <w:ind w:left="0" w:firstLine="0"/>
        <w:jc w:val="both"/>
        <w:rPr>
          <w:rFonts w:ascii="Arial" w:hAnsi="Arial" w:cs="Arial"/>
          <w:lang w:val="en-US"/>
        </w:rPr>
      </w:pPr>
      <w:r w:rsidRPr="002126D6">
        <w:rPr>
          <w:rFonts w:ascii="Arial" w:hAnsi="Arial" w:cs="Arial"/>
          <w:lang w:val="en-US"/>
        </w:rPr>
        <w:t>The court finds that in an appeal against an award</w:t>
      </w:r>
      <w:r w:rsidR="00CC7372">
        <w:rPr>
          <w:rFonts w:ascii="Arial" w:hAnsi="Arial" w:cs="Arial"/>
          <w:lang w:val="en-US"/>
        </w:rPr>
        <w:t>,</w:t>
      </w:r>
      <w:r w:rsidRPr="002126D6">
        <w:rPr>
          <w:rFonts w:ascii="Arial" w:hAnsi="Arial" w:cs="Arial"/>
          <w:lang w:val="en-US"/>
        </w:rPr>
        <w:t xml:space="preserve"> it is not a requirement</w:t>
      </w:r>
      <w:r w:rsidR="00E86547">
        <w:rPr>
          <w:rFonts w:ascii="Arial" w:hAnsi="Arial" w:cs="Arial"/>
          <w:lang w:val="en-US"/>
        </w:rPr>
        <w:t xml:space="preserve">, let alone a peremptory </w:t>
      </w:r>
      <w:r w:rsidR="00130CD0">
        <w:rPr>
          <w:rFonts w:ascii="Arial" w:hAnsi="Arial" w:cs="Arial"/>
          <w:lang w:val="en-US"/>
        </w:rPr>
        <w:t>requirement</w:t>
      </w:r>
      <w:r w:rsidR="00E86547">
        <w:rPr>
          <w:rFonts w:ascii="Arial" w:hAnsi="Arial" w:cs="Arial"/>
          <w:lang w:val="en-US"/>
        </w:rPr>
        <w:t>,</w:t>
      </w:r>
      <w:r w:rsidRPr="002126D6">
        <w:rPr>
          <w:rFonts w:ascii="Arial" w:hAnsi="Arial" w:cs="Arial"/>
          <w:lang w:val="en-US"/>
        </w:rPr>
        <w:t xml:space="preserve"> to set the grounds of appeal out in Form 11</w:t>
      </w:r>
      <w:r w:rsidR="00E134C9">
        <w:rPr>
          <w:rFonts w:ascii="Arial" w:hAnsi="Arial" w:cs="Arial"/>
          <w:lang w:val="en-US"/>
        </w:rPr>
        <w:t>,</w:t>
      </w:r>
      <w:r w:rsidRPr="002126D6">
        <w:rPr>
          <w:rFonts w:ascii="Arial" w:hAnsi="Arial" w:cs="Arial"/>
          <w:lang w:val="en-US"/>
        </w:rPr>
        <w:t xml:space="preserve"> but it is a peremptory requirement t</w:t>
      </w:r>
      <w:r w:rsidR="00E86547">
        <w:rPr>
          <w:rFonts w:ascii="Arial" w:hAnsi="Arial" w:cs="Arial"/>
          <w:lang w:val="en-US"/>
        </w:rPr>
        <w:t>o</w:t>
      </w:r>
      <w:r w:rsidRPr="002126D6">
        <w:rPr>
          <w:rFonts w:ascii="Arial" w:hAnsi="Arial" w:cs="Arial"/>
          <w:lang w:val="en-US"/>
        </w:rPr>
        <w:t xml:space="preserve"> set the grounds of appeal out in Form LC 41</w:t>
      </w:r>
      <w:r>
        <w:rPr>
          <w:rFonts w:ascii="Arial" w:hAnsi="Arial" w:cs="Arial"/>
          <w:lang w:val="en-US"/>
        </w:rPr>
        <w:t>.</w:t>
      </w:r>
    </w:p>
    <w:p w14:paraId="56BF746E" w14:textId="77777777" w:rsidR="00E134C9" w:rsidRPr="00E134C9" w:rsidRDefault="00E134C9" w:rsidP="00E134C9">
      <w:pPr>
        <w:pStyle w:val="ListParagraph"/>
        <w:rPr>
          <w:rFonts w:ascii="Arial" w:hAnsi="Arial" w:cs="Arial"/>
          <w:lang w:val="en-US"/>
        </w:rPr>
      </w:pPr>
    </w:p>
    <w:p w14:paraId="048E00C0" w14:textId="3D469E5C" w:rsidR="00E134C9" w:rsidRDefault="00E134C9" w:rsidP="002126D6">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appeal in the matter now before </w:t>
      </w:r>
      <w:r w:rsidR="00DB5088">
        <w:rPr>
          <w:rFonts w:ascii="Arial" w:hAnsi="Arial" w:cs="Arial"/>
          <w:lang w:val="en-US"/>
        </w:rPr>
        <w:t xml:space="preserve">the </w:t>
      </w:r>
      <w:r>
        <w:rPr>
          <w:rFonts w:ascii="Arial" w:hAnsi="Arial" w:cs="Arial"/>
          <w:lang w:val="en-US"/>
        </w:rPr>
        <w:t xml:space="preserve">court falls under the third type of appeal </w:t>
      </w:r>
      <w:r w:rsidR="00CC7372">
        <w:rPr>
          <w:rFonts w:ascii="Arial" w:hAnsi="Arial" w:cs="Arial"/>
          <w:lang w:val="en-US"/>
        </w:rPr>
        <w:t>referred to</w:t>
      </w:r>
      <w:r>
        <w:rPr>
          <w:rFonts w:ascii="Arial" w:hAnsi="Arial" w:cs="Arial"/>
          <w:lang w:val="en-US"/>
        </w:rPr>
        <w:t xml:space="preserve"> in Labour Court </w:t>
      </w:r>
      <w:r w:rsidR="003A26AF">
        <w:rPr>
          <w:rFonts w:ascii="Arial" w:hAnsi="Arial" w:cs="Arial"/>
          <w:lang w:val="en-US"/>
        </w:rPr>
        <w:t>r</w:t>
      </w:r>
      <w:r>
        <w:rPr>
          <w:rFonts w:ascii="Arial" w:hAnsi="Arial" w:cs="Arial"/>
          <w:lang w:val="en-US"/>
        </w:rPr>
        <w:t xml:space="preserve"> 17(1)</w:t>
      </w:r>
      <w:r w:rsidRPr="002B462E">
        <w:rPr>
          <w:rFonts w:ascii="Arial" w:hAnsi="Arial" w:cs="Arial"/>
          <w:i/>
          <w:iCs/>
          <w:lang w:val="en-US"/>
        </w:rPr>
        <w:t>(c)</w:t>
      </w:r>
      <w:r>
        <w:rPr>
          <w:rFonts w:ascii="Arial" w:hAnsi="Arial" w:cs="Arial"/>
          <w:lang w:val="en-US"/>
        </w:rPr>
        <w:t xml:space="preserve">. As a result, Labour Court </w:t>
      </w:r>
      <w:r w:rsidR="003A26AF">
        <w:rPr>
          <w:rFonts w:ascii="Arial" w:hAnsi="Arial" w:cs="Arial"/>
          <w:lang w:val="en-US"/>
        </w:rPr>
        <w:t>r</w:t>
      </w:r>
      <w:r>
        <w:rPr>
          <w:rFonts w:ascii="Arial" w:hAnsi="Arial" w:cs="Arial"/>
          <w:lang w:val="en-US"/>
        </w:rPr>
        <w:t xml:space="preserve"> 17(3) applies together with Conciliation and Arbitration </w:t>
      </w:r>
      <w:r w:rsidR="003A26AF">
        <w:rPr>
          <w:rFonts w:ascii="Arial" w:hAnsi="Arial" w:cs="Arial"/>
          <w:lang w:val="en-US"/>
        </w:rPr>
        <w:t>r</w:t>
      </w:r>
      <w:r>
        <w:rPr>
          <w:rFonts w:ascii="Arial" w:hAnsi="Arial" w:cs="Arial"/>
          <w:lang w:val="en-US"/>
        </w:rPr>
        <w:t xml:space="preserve"> 23, while </w:t>
      </w:r>
      <w:r w:rsidR="00130CD0">
        <w:rPr>
          <w:rFonts w:ascii="Arial" w:hAnsi="Arial" w:cs="Arial"/>
          <w:lang w:val="en-US"/>
        </w:rPr>
        <w:t xml:space="preserve">r </w:t>
      </w:r>
      <w:r>
        <w:rPr>
          <w:rFonts w:ascii="Arial" w:hAnsi="Arial" w:cs="Arial"/>
          <w:lang w:val="en-US"/>
        </w:rPr>
        <w:t xml:space="preserve">17(2) does not apply. </w:t>
      </w:r>
    </w:p>
    <w:p w14:paraId="253483BF" w14:textId="77777777" w:rsidR="002126D6" w:rsidRPr="002126D6" w:rsidRDefault="002126D6" w:rsidP="002126D6">
      <w:pPr>
        <w:pStyle w:val="ListParagraph"/>
        <w:rPr>
          <w:rFonts w:ascii="Arial" w:hAnsi="Arial" w:cs="Arial"/>
          <w:i/>
          <w:iCs/>
          <w:lang w:val="en-US"/>
        </w:rPr>
      </w:pPr>
    </w:p>
    <w:p w14:paraId="25A68DA6" w14:textId="5B2BD465" w:rsidR="00130CD0" w:rsidRDefault="002126D6" w:rsidP="00130CD0">
      <w:pPr>
        <w:pStyle w:val="ListParagraph"/>
        <w:numPr>
          <w:ilvl w:val="0"/>
          <w:numId w:val="6"/>
        </w:numPr>
        <w:spacing w:line="360" w:lineRule="auto"/>
        <w:ind w:left="0" w:firstLine="0"/>
        <w:jc w:val="both"/>
        <w:rPr>
          <w:rFonts w:ascii="Arial" w:hAnsi="Arial" w:cs="Arial"/>
          <w:lang w:val="en-US"/>
        </w:rPr>
      </w:pPr>
      <w:r w:rsidRPr="002126D6">
        <w:rPr>
          <w:rFonts w:ascii="Arial" w:hAnsi="Arial" w:cs="Arial"/>
          <w:lang w:val="en-US"/>
        </w:rPr>
        <w:t>Whereas the appeal</w:t>
      </w:r>
      <w:r>
        <w:rPr>
          <w:rFonts w:ascii="Arial" w:hAnsi="Arial" w:cs="Arial"/>
          <w:lang w:val="en-US"/>
        </w:rPr>
        <w:t xml:space="preserve"> in the matter now before </w:t>
      </w:r>
      <w:r w:rsidR="00DB5088">
        <w:rPr>
          <w:rFonts w:ascii="Arial" w:hAnsi="Arial" w:cs="Arial"/>
          <w:lang w:val="en-US"/>
        </w:rPr>
        <w:t xml:space="preserve">the </w:t>
      </w:r>
      <w:r>
        <w:rPr>
          <w:rFonts w:ascii="Arial" w:hAnsi="Arial" w:cs="Arial"/>
          <w:lang w:val="en-US"/>
        </w:rPr>
        <w:t>court</w:t>
      </w:r>
      <w:r w:rsidRPr="002126D6">
        <w:rPr>
          <w:rFonts w:ascii="Arial" w:hAnsi="Arial" w:cs="Arial"/>
          <w:lang w:val="en-US"/>
        </w:rPr>
        <w:t xml:space="preserve"> is against an award in te</w:t>
      </w:r>
      <w:r w:rsidR="00CC7372">
        <w:rPr>
          <w:rFonts w:ascii="Arial" w:hAnsi="Arial" w:cs="Arial"/>
          <w:lang w:val="en-US"/>
        </w:rPr>
        <w:t>rms of</w:t>
      </w:r>
      <w:r w:rsidRPr="002126D6">
        <w:rPr>
          <w:rFonts w:ascii="Arial" w:hAnsi="Arial" w:cs="Arial"/>
          <w:lang w:val="en-US"/>
        </w:rPr>
        <w:t xml:space="preserve"> Labour Court </w:t>
      </w:r>
      <w:r w:rsidR="003A26AF">
        <w:rPr>
          <w:rFonts w:ascii="Arial" w:hAnsi="Arial" w:cs="Arial"/>
          <w:lang w:val="en-US"/>
        </w:rPr>
        <w:t>r</w:t>
      </w:r>
      <w:r w:rsidRPr="002126D6">
        <w:rPr>
          <w:rFonts w:ascii="Arial" w:hAnsi="Arial" w:cs="Arial"/>
          <w:lang w:val="en-US"/>
        </w:rPr>
        <w:t xml:space="preserve"> 17(3) and not an appeal against a decision of the Labour Commissioner or a compliance order in terms of </w:t>
      </w:r>
      <w:r w:rsidR="00830673">
        <w:rPr>
          <w:rFonts w:ascii="Arial" w:hAnsi="Arial" w:cs="Arial"/>
          <w:lang w:val="en-US"/>
        </w:rPr>
        <w:t>r</w:t>
      </w:r>
      <w:r w:rsidRPr="002126D6">
        <w:rPr>
          <w:rFonts w:ascii="Arial" w:hAnsi="Arial" w:cs="Arial"/>
          <w:lang w:val="en-US"/>
        </w:rPr>
        <w:t xml:space="preserve"> 17(2), it is not a requirement</w:t>
      </w:r>
      <w:r w:rsidR="00130CD0">
        <w:rPr>
          <w:rFonts w:ascii="Arial" w:hAnsi="Arial" w:cs="Arial"/>
          <w:lang w:val="en-US"/>
        </w:rPr>
        <w:t xml:space="preserve">, let alone a peremptory </w:t>
      </w:r>
      <w:r w:rsidR="00830673">
        <w:rPr>
          <w:rFonts w:ascii="Arial" w:hAnsi="Arial" w:cs="Arial"/>
          <w:lang w:val="en-US"/>
        </w:rPr>
        <w:t>one</w:t>
      </w:r>
      <w:r w:rsidR="00130CD0">
        <w:rPr>
          <w:rFonts w:ascii="Arial" w:hAnsi="Arial" w:cs="Arial"/>
          <w:lang w:val="en-US"/>
        </w:rPr>
        <w:t>,</w:t>
      </w:r>
      <w:r w:rsidRPr="002126D6">
        <w:rPr>
          <w:rFonts w:ascii="Arial" w:hAnsi="Arial" w:cs="Arial"/>
          <w:lang w:val="en-US"/>
        </w:rPr>
        <w:t xml:space="preserve"> for the </w:t>
      </w:r>
      <w:r w:rsidR="00E72E33">
        <w:rPr>
          <w:rFonts w:ascii="Arial" w:hAnsi="Arial" w:cs="Arial"/>
          <w:lang w:val="en-US"/>
        </w:rPr>
        <w:t>a</w:t>
      </w:r>
      <w:r w:rsidRPr="002126D6">
        <w:rPr>
          <w:rFonts w:ascii="Arial" w:hAnsi="Arial" w:cs="Arial"/>
          <w:lang w:val="en-US"/>
        </w:rPr>
        <w:t xml:space="preserve">pplicant’s grounds of appeal to </w:t>
      </w:r>
      <w:r w:rsidR="00830673">
        <w:rPr>
          <w:rFonts w:ascii="Arial" w:hAnsi="Arial" w:cs="Arial"/>
          <w:lang w:val="en-US"/>
        </w:rPr>
        <w:t>be</w:t>
      </w:r>
      <w:r w:rsidRPr="002126D6">
        <w:rPr>
          <w:rFonts w:ascii="Arial" w:hAnsi="Arial" w:cs="Arial"/>
          <w:lang w:val="en-US"/>
        </w:rPr>
        <w:t xml:space="preserve"> set out in its Form 11</w:t>
      </w:r>
      <w:r w:rsidR="00130CD0">
        <w:rPr>
          <w:rFonts w:ascii="Arial" w:hAnsi="Arial" w:cs="Arial"/>
          <w:lang w:val="en-US"/>
        </w:rPr>
        <w:t xml:space="preserve">. As a result, </w:t>
      </w:r>
      <w:r w:rsidRPr="002126D6">
        <w:rPr>
          <w:rFonts w:ascii="Arial" w:hAnsi="Arial" w:cs="Arial"/>
          <w:lang w:val="en-US"/>
        </w:rPr>
        <w:t xml:space="preserve">the </w:t>
      </w:r>
      <w:r w:rsidR="00E72E33">
        <w:rPr>
          <w:rFonts w:ascii="Arial" w:hAnsi="Arial" w:cs="Arial"/>
          <w:lang w:val="en-US"/>
        </w:rPr>
        <w:t>a</w:t>
      </w:r>
      <w:r w:rsidRPr="002126D6">
        <w:rPr>
          <w:rFonts w:ascii="Arial" w:hAnsi="Arial" w:cs="Arial"/>
          <w:lang w:val="en-US"/>
        </w:rPr>
        <w:t>pplicant’s Form 11 is not defective</w:t>
      </w:r>
      <w:r w:rsidR="00130CD0">
        <w:rPr>
          <w:rFonts w:ascii="Arial" w:hAnsi="Arial" w:cs="Arial"/>
          <w:lang w:val="en-US"/>
        </w:rPr>
        <w:t xml:space="preserve"> on the basis contended for by the </w:t>
      </w:r>
      <w:r w:rsidR="0019379D">
        <w:rPr>
          <w:rFonts w:ascii="Arial" w:hAnsi="Arial" w:cs="Arial"/>
          <w:lang w:val="en-US"/>
        </w:rPr>
        <w:t>r</w:t>
      </w:r>
      <w:r w:rsidR="00130CD0">
        <w:rPr>
          <w:rFonts w:ascii="Arial" w:hAnsi="Arial" w:cs="Arial"/>
          <w:lang w:val="en-US"/>
        </w:rPr>
        <w:t>espondent</w:t>
      </w:r>
      <w:r>
        <w:rPr>
          <w:rFonts w:ascii="Arial" w:hAnsi="Arial" w:cs="Arial"/>
          <w:lang w:val="en-US"/>
        </w:rPr>
        <w:t xml:space="preserve">. The </w:t>
      </w:r>
      <w:r w:rsidR="0019379D">
        <w:rPr>
          <w:rFonts w:ascii="Arial" w:hAnsi="Arial" w:cs="Arial"/>
          <w:lang w:val="en-US"/>
        </w:rPr>
        <w:t>r</w:t>
      </w:r>
      <w:r>
        <w:rPr>
          <w:rFonts w:ascii="Arial" w:hAnsi="Arial" w:cs="Arial"/>
          <w:lang w:val="en-US"/>
        </w:rPr>
        <w:t>espondent’s contention that</w:t>
      </w:r>
      <w:r w:rsidR="00E134C9">
        <w:rPr>
          <w:rFonts w:ascii="Arial" w:hAnsi="Arial" w:cs="Arial"/>
          <w:lang w:val="en-US"/>
        </w:rPr>
        <w:t xml:space="preserve"> due to a defective Form 11</w:t>
      </w:r>
      <w:r w:rsidR="00DB5088">
        <w:rPr>
          <w:rFonts w:ascii="Arial" w:hAnsi="Arial" w:cs="Arial"/>
          <w:lang w:val="en-US"/>
        </w:rPr>
        <w:t>,</w:t>
      </w:r>
      <w:r>
        <w:rPr>
          <w:rFonts w:ascii="Arial" w:hAnsi="Arial" w:cs="Arial"/>
          <w:lang w:val="en-US"/>
        </w:rPr>
        <w:t xml:space="preserve"> there is no appeal before </w:t>
      </w:r>
      <w:r w:rsidR="00DB5088">
        <w:rPr>
          <w:rFonts w:ascii="Arial" w:hAnsi="Arial" w:cs="Arial"/>
          <w:lang w:val="en-US"/>
        </w:rPr>
        <w:t xml:space="preserve">the </w:t>
      </w:r>
      <w:r>
        <w:rPr>
          <w:rFonts w:ascii="Arial" w:hAnsi="Arial" w:cs="Arial"/>
          <w:lang w:val="en-US"/>
        </w:rPr>
        <w:t>court</w:t>
      </w:r>
      <w:r w:rsidR="00E134C9">
        <w:rPr>
          <w:rFonts w:ascii="Arial" w:hAnsi="Arial" w:cs="Arial"/>
          <w:lang w:val="en-US"/>
        </w:rPr>
        <w:t xml:space="preserve"> is</w:t>
      </w:r>
      <w:r w:rsidR="00130CD0">
        <w:rPr>
          <w:rFonts w:ascii="Arial" w:hAnsi="Arial" w:cs="Arial"/>
          <w:lang w:val="en-US"/>
        </w:rPr>
        <w:t xml:space="preserve"> not upheld</w:t>
      </w:r>
      <w:r w:rsidR="00830673">
        <w:rPr>
          <w:rFonts w:ascii="Arial" w:hAnsi="Arial" w:cs="Arial"/>
          <w:lang w:val="en-US"/>
        </w:rPr>
        <w:t>.</w:t>
      </w:r>
    </w:p>
    <w:p w14:paraId="0194D7B9" w14:textId="77777777" w:rsidR="00130CD0" w:rsidRDefault="00130CD0" w:rsidP="00130CD0">
      <w:pPr>
        <w:pStyle w:val="ListParagraph"/>
        <w:rPr>
          <w:rFonts w:ascii="Arial" w:hAnsi="Arial" w:cs="Arial"/>
          <w:lang w:val="en-US"/>
        </w:rPr>
      </w:pPr>
    </w:p>
    <w:p w14:paraId="33519A58" w14:textId="77777777" w:rsidR="009E10BE" w:rsidRDefault="009E10BE" w:rsidP="00130CD0">
      <w:pPr>
        <w:pStyle w:val="ListParagraph"/>
        <w:rPr>
          <w:rFonts w:ascii="Arial" w:hAnsi="Arial" w:cs="Arial"/>
          <w:lang w:val="en-US"/>
        </w:rPr>
      </w:pPr>
    </w:p>
    <w:p w14:paraId="41507F25" w14:textId="77777777" w:rsidR="009E10BE" w:rsidRDefault="009E10BE" w:rsidP="00130CD0">
      <w:pPr>
        <w:pStyle w:val="ListParagraph"/>
        <w:rPr>
          <w:rFonts w:ascii="Arial" w:hAnsi="Arial" w:cs="Arial"/>
          <w:lang w:val="en-US"/>
        </w:rPr>
      </w:pPr>
    </w:p>
    <w:p w14:paraId="22144474" w14:textId="4117C9C5" w:rsidR="007A0259" w:rsidRPr="003E6488" w:rsidRDefault="007A0259" w:rsidP="007A0259">
      <w:pPr>
        <w:pStyle w:val="ListParagraph"/>
        <w:spacing w:line="360" w:lineRule="auto"/>
        <w:ind w:left="0"/>
        <w:jc w:val="both"/>
        <w:rPr>
          <w:rFonts w:ascii="Arial" w:hAnsi="Arial" w:cs="Arial"/>
          <w:u w:val="single"/>
          <w:lang w:val="en-US"/>
        </w:rPr>
      </w:pPr>
      <w:r w:rsidRPr="003E6488">
        <w:rPr>
          <w:rFonts w:ascii="Arial" w:hAnsi="Arial" w:cs="Arial"/>
          <w:u w:val="single"/>
          <w:lang w:val="en-US"/>
        </w:rPr>
        <w:lastRenderedPageBreak/>
        <w:t>Good cause</w:t>
      </w:r>
    </w:p>
    <w:p w14:paraId="7E92DBD2" w14:textId="77777777" w:rsidR="007A0259" w:rsidRPr="007A0259" w:rsidRDefault="007A0259" w:rsidP="007A0259">
      <w:pPr>
        <w:pStyle w:val="ListParagraph"/>
        <w:rPr>
          <w:rFonts w:ascii="Arial" w:hAnsi="Arial" w:cs="Arial"/>
          <w:lang w:val="en-US"/>
        </w:rPr>
      </w:pPr>
    </w:p>
    <w:p w14:paraId="1559F091" w14:textId="1347D9B3" w:rsidR="00130CD0" w:rsidRDefault="00E134C9" w:rsidP="00130CD0">
      <w:pPr>
        <w:pStyle w:val="ListParagraph"/>
        <w:numPr>
          <w:ilvl w:val="0"/>
          <w:numId w:val="6"/>
        </w:numPr>
        <w:spacing w:line="360" w:lineRule="auto"/>
        <w:ind w:left="0" w:firstLine="0"/>
        <w:jc w:val="both"/>
        <w:rPr>
          <w:rFonts w:ascii="Arial" w:hAnsi="Arial" w:cs="Arial"/>
          <w:lang w:val="en-US"/>
        </w:rPr>
      </w:pPr>
      <w:r w:rsidRPr="00130CD0">
        <w:rPr>
          <w:rFonts w:ascii="Arial" w:hAnsi="Arial" w:cs="Arial"/>
          <w:lang w:val="en-US"/>
        </w:rPr>
        <w:t xml:space="preserve">The court now </w:t>
      </w:r>
      <w:r w:rsidR="00BF530D">
        <w:rPr>
          <w:rFonts w:ascii="Arial" w:hAnsi="Arial" w:cs="Arial"/>
          <w:lang w:val="en-US"/>
        </w:rPr>
        <w:t>determines</w:t>
      </w:r>
      <w:r w:rsidRPr="00130CD0">
        <w:rPr>
          <w:rFonts w:ascii="Arial" w:hAnsi="Arial" w:cs="Arial"/>
          <w:lang w:val="en-US"/>
        </w:rPr>
        <w:t xml:space="preserve"> </w:t>
      </w:r>
      <w:r w:rsidR="008D14EB" w:rsidRPr="00130CD0">
        <w:rPr>
          <w:rFonts w:ascii="Arial" w:hAnsi="Arial" w:cs="Arial"/>
          <w:lang w:val="en-US"/>
        </w:rPr>
        <w:t xml:space="preserve">whether the </w:t>
      </w:r>
      <w:r w:rsidR="00E72E33">
        <w:rPr>
          <w:rFonts w:ascii="Arial" w:hAnsi="Arial" w:cs="Arial"/>
          <w:lang w:val="en-US"/>
        </w:rPr>
        <w:t>a</w:t>
      </w:r>
      <w:r w:rsidR="008D14EB" w:rsidRPr="00130CD0">
        <w:rPr>
          <w:rFonts w:ascii="Arial" w:hAnsi="Arial" w:cs="Arial"/>
          <w:lang w:val="en-US"/>
        </w:rPr>
        <w:t>pplicant</w:t>
      </w:r>
      <w:r w:rsidR="00130CD0" w:rsidRPr="00130CD0">
        <w:rPr>
          <w:rFonts w:ascii="Arial" w:hAnsi="Arial" w:cs="Arial"/>
          <w:lang w:val="en-US"/>
        </w:rPr>
        <w:t xml:space="preserve"> </w:t>
      </w:r>
      <w:r w:rsidR="00830673">
        <w:rPr>
          <w:rFonts w:ascii="Arial" w:hAnsi="Arial" w:cs="Arial"/>
          <w:lang w:val="en-US"/>
        </w:rPr>
        <w:t xml:space="preserve">has </w:t>
      </w:r>
      <w:r w:rsidR="008D14EB" w:rsidRPr="00130CD0">
        <w:rPr>
          <w:rFonts w:ascii="Arial" w:hAnsi="Arial" w:cs="Arial"/>
          <w:lang w:val="en-US"/>
        </w:rPr>
        <w:t>made a case for the relief sought</w:t>
      </w:r>
      <w:r w:rsidR="00130CD0">
        <w:rPr>
          <w:rFonts w:ascii="Arial" w:hAnsi="Arial" w:cs="Arial"/>
          <w:lang w:val="en-US"/>
        </w:rPr>
        <w:t>.</w:t>
      </w:r>
    </w:p>
    <w:p w14:paraId="366EA92B" w14:textId="77777777" w:rsidR="00130CD0" w:rsidRPr="00130CD0" w:rsidRDefault="00130CD0" w:rsidP="00130CD0">
      <w:pPr>
        <w:pStyle w:val="ListParagraph"/>
        <w:rPr>
          <w:rFonts w:ascii="Arial" w:hAnsi="Arial" w:cs="Arial"/>
          <w:lang w:val="en-US"/>
        </w:rPr>
      </w:pPr>
    </w:p>
    <w:p w14:paraId="5B82A13E" w14:textId="35C9A78D" w:rsidR="008D14EB" w:rsidRPr="00130CD0" w:rsidRDefault="00C526AE" w:rsidP="00130CD0">
      <w:pPr>
        <w:pStyle w:val="ListParagraph"/>
        <w:numPr>
          <w:ilvl w:val="0"/>
          <w:numId w:val="6"/>
        </w:numPr>
        <w:spacing w:line="360" w:lineRule="auto"/>
        <w:ind w:left="0" w:firstLine="0"/>
        <w:jc w:val="both"/>
        <w:rPr>
          <w:rFonts w:ascii="Arial" w:hAnsi="Arial" w:cs="Arial"/>
          <w:lang w:val="en-US"/>
        </w:rPr>
      </w:pPr>
      <w:r w:rsidRPr="00130CD0">
        <w:rPr>
          <w:rFonts w:ascii="Arial" w:hAnsi="Arial" w:cs="Arial"/>
          <w:lang w:val="en-US"/>
        </w:rPr>
        <w:t xml:space="preserve">The appeal is deemed </w:t>
      </w:r>
      <w:r w:rsidR="00A365A3">
        <w:rPr>
          <w:rFonts w:ascii="Arial" w:hAnsi="Arial" w:cs="Arial"/>
          <w:lang w:val="en-US"/>
        </w:rPr>
        <w:t xml:space="preserve">to have </w:t>
      </w:r>
      <w:r w:rsidRPr="00130CD0">
        <w:rPr>
          <w:rFonts w:ascii="Arial" w:hAnsi="Arial" w:cs="Arial"/>
          <w:lang w:val="en-US"/>
        </w:rPr>
        <w:t xml:space="preserve">lapsed in terms of Labour Court </w:t>
      </w:r>
      <w:r w:rsidR="003A26AF">
        <w:rPr>
          <w:rFonts w:ascii="Arial" w:hAnsi="Arial" w:cs="Arial"/>
          <w:lang w:val="en-US"/>
        </w:rPr>
        <w:t>r</w:t>
      </w:r>
      <w:r w:rsidRPr="00130CD0">
        <w:rPr>
          <w:rFonts w:ascii="Arial" w:hAnsi="Arial" w:cs="Arial"/>
          <w:lang w:val="en-US"/>
        </w:rPr>
        <w:t xml:space="preserve"> 17(25) since it was not prosecuted timeously.</w:t>
      </w:r>
    </w:p>
    <w:p w14:paraId="187A7FB3" w14:textId="77777777" w:rsidR="00C526AE" w:rsidRPr="00C526AE" w:rsidRDefault="00C526AE" w:rsidP="00C526AE">
      <w:pPr>
        <w:pStyle w:val="ListParagraph"/>
        <w:rPr>
          <w:rFonts w:ascii="Arial" w:hAnsi="Arial" w:cs="Arial"/>
          <w:lang w:val="en-US"/>
        </w:rPr>
      </w:pPr>
    </w:p>
    <w:p w14:paraId="4047AB11" w14:textId="6022190B" w:rsidR="00C526AE" w:rsidRDefault="00C526AE" w:rsidP="008D14E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Labour Court </w:t>
      </w:r>
      <w:r w:rsidR="003A26AF">
        <w:rPr>
          <w:rFonts w:ascii="Arial" w:hAnsi="Arial" w:cs="Arial"/>
          <w:lang w:val="en-US"/>
        </w:rPr>
        <w:t>r</w:t>
      </w:r>
      <w:r>
        <w:rPr>
          <w:rFonts w:ascii="Arial" w:hAnsi="Arial" w:cs="Arial"/>
          <w:lang w:val="en-US"/>
        </w:rPr>
        <w:t xml:space="preserve"> 15 provides that the court may, on application and good cause shown, condone any non-compliance with the Labour Court Rules and extend or abridge any period prescribed by those rules</w:t>
      </w:r>
      <w:r w:rsidR="00BF530D">
        <w:rPr>
          <w:rFonts w:ascii="Arial" w:hAnsi="Arial" w:cs="Arial"/>
          <w:lang w:val="en-US"/>
        </w:rPr>
        <w:t>,</w:t>
      </w:r>
      <w:r>
        <w:rPr>
          <w:rFonts w:ascii="Arial" w:hAnsi="Arial" w:cs="Arial"/>
          <w:lang w:val="en-US"/>
        </w:rPr>
        <w:t xml:space="preserve"> whether before or after the expiry of such period. </w:t>
      </w:r>
    </w:p>
    <w:p w14:paraId="3D70BC30" w14:textId="77777777" w:rsidR="008D14EB" w:rsidRPr="008D14EB" w:rsidRDefault="008D14EB" w:rsidP="008D14EB">
      <w:pPr>
        <w:pStyle w:val="ListParagraph"/>
        <w:rPr>
          <w:rFonts w:ascii="Arial" w:hAnsi="Arial" w:cs="Arial"/>
          <w:lang w:val="en-US"/>
        </w:rPr>
      </w:pPr>
    </w:p>
    <w:p w14:paraId="23B41D13" w14:textId="0CA79445" w:rsidR="00EB0655" w:rsidRPr="008D14EB" w:rsidRDefault="007436B5" w:rsidP="008D14EB">
      <w:pPr>
        <w:pStyle w:val="ListParagraph"/>
        <w:numPr>
          <w:ilvl w:val="0"/>
          <w:numId w:val="6"/>
        </w:numPr>
        <w:spacing w:line="360" w:lineRule="auto"/>
        <w:ind w:left="0" w:firstLine="0"/>
        <w:jc w:val="both"/>
        <w:rPr>
          <w:rFonts w:ascii="Arial" w:hAnsi="Arial" w:cs="Arial"/>
          <w:lang w:val="en-US"/>
        </w:rPr>
      </w:pPr>
      <w:r w:rsidRPr="008D14EB">
        <w:rPr>
          <w:rFonts w:ascii="Arial" w:hAnsi="Arial" w:cs="Arial"/>
          <w:lang w:val="en-US"/>
        </w:rPr>
        <w:t>B</w:t>
      </w:r>
      <w:r w:rsidR="009921AE" w:rsidRPr="008D14EB">
        <w:rPr>
          <w:rFonts w:ascii="Arial" w:hAnsi="Arial" w:cs="Arial"/>
          <w:lang w:val="en-US"/>
        </w:rPr>
        <w:t>oth parties rel</w:t>
      </w:r>
      <w:r w:rsidRPr="008D14EB">
        <w:rPr>
          <w:rFonts w:ascii="Arial" w:hAnsi="Arial" w:cs="Arial"/>
          <w:lang w:val="en-US"/>
        </w:rPr>
        <w:t>ied</w:t>
      </w:r>
      <w:r w:rsidR="009921AE" w:rsidRPr="008D14EB">
        <w:rPr>
          <w:rFonts w:ascii="Arial" w:hAnsi="Arial" w:cs="Arial"/>
          <w:lang w:val="en-US"/>
        </w:rPr>
        <w:t xml:space="preserve"> on </w:t>
      </w:r>
      <w:r w:rsidR="009921AE" w:rsidRPr="008D14EB">
        <w:rPr>
          <w:rFonts w:ascii="Arial" w:hAnsi="Arial" w:cs="Arial"/>
          <w:i/>
          <w:iCs/>
          <w:lang w:val="en-US"/>
        </w:rPr>
        <w:t>Telcom Namibia Limited v Nangolo and Others</w:t>
      </w:r>
      <w:r w:rsidR="00075B82" w:rsidRPr="009E10BE">
        <w:rPr>
          <w:rStyle w:val="FootnoteReference"/>
          <w:rFonts w:ascii="Arial" w:hAnsi="Arial" w:cs="Arial"/>
          <w:lang w:val="en-US"/>
        </w:rPr>
        <w:footnoteReference w:id="7"/>
      </w:r>
      <w:r w:rsidR="00BF530D" w:rsidRPr="009E10BE">
        <w:rPr>
          <w:rFonts w:ascii="Arial" w:hAnsi="Arial" w:cs="Arial"/>
          <w:lang w:val="en-US"/>
        </w:rPr>
        <w:t>,</w:t>
      </w:r>
      <w:r w:rsidR="00D27BC3" w:rsidRPr="009E10BE">
        <w:rPr>
          <w:rFonts w:ascii="Arial" w:hAnsi="Arial" w:cs="Arial"/>
          <w:lang w:val="en-US"/>
        </w:rPr>
        <w:t xml:space="preserve"> </w:t>
      </w:r>
      <w:r w:rsidR="00D27BC3" w:rsidRPr="008D14EB">
        <w:rPr>
          <w:rFonts w:ascii="Arial" w:hAnsi="Arial" w:cs="Arial"/>
          <w:lang w:val="en-US"/>
        </w:rPr>
        <w:t>which sets out</w:t>
      </w:r>
      <w:r w:rsidR="008D14EB">
        <w:rPr>
          <w:rFonts w:ascii="Arial" w:hAnsi="Arial" w:cs="Arial"/>
          <w:lang w:val="en-US"/>
        </w:rPr>
        <w:t xml:space="preserve"> </w:t>
      </w:r>
      <w:r w:rsidR="00D27BC3" w:rsidRPr="008D14EB">
        <w:rPr>
          <w:rFonts w:ascii="Arial" w:hAnsi="Arial" w:cs="Arial"/>
          <w:lang w:val="en-US"/>
        </w:rPr>
        <w:t xml:space="preserve">the following principles </w:t>
      </w:r>
      <w:r w:rsidR="008D14EB" w:rsidRPr="008D14EB">
        <w:rPr>
          <w:rFonts w:ascii="Arial" w:hAnsi="Arial" w:cs="Arial"/>
          <w:lang w:val="en-US"/>
        </w:rPr>
        <w:t xml:space="preserve">on condonation applications </w:t>
      </w:r>
      <w:r w:rsidR="008D14EB">
        <w:rPr>
          <w:rFonts w:ascii="Arial" w:hAnsi="Arial" w:cs="Arial"/>
          <w:lang w:val="en-US"/>
        </w:rPr>
        <w:t xml:space="preserve">as </w:t>
      </w:r>
      <w:r w:rsidR="00D27BC3" w:rsidRPr="008D14EB">
        <w:rPr>
          <w:rFonts w:ascii="Arial" w:hAnsi="Arial" w:cs="Arial"/>
          <w:lang w:val="en-US"/>
        </w:rPr>
        <w:t>distilled from court judgments (footnotes omitted):</w:t>
      </w:r>
    </w:p>
    <w:p w14:paraId="4FCC15D1" w14:textId="77777777" w:rsidR="00EB0655" w:rsidRPr="00EB0655" w:rsidRDefault="00EB0655" w:rsidP="00EB0655">
      <w:pPr>
        <w:pStyle w:val="ListParagraph"/>
        <w:rPr>
          <w:rFonts w:ascii="Arial" w:hAnsi="Arial" w:cs="Arial"/>
          <w:sz w:val="22"/>
          <w:szCs w:val="22"/>
        </w:rPr>
      </w:pPr>
    </w:p>
    <w:p w14:paraId="28362D88" w14:textId="605CE66D" w:rsidR="00D27BC3" w:rsidRPr="008D14EB" w:rsidRDefault="00D27BC3" w:rsidP="006128D8">
      <w:pPr>
        <w:pStyle w:val="ListParagraph"/>
        <w:spacing w:line="360" w:lineRule="auto"/>
        <w:ind w:left="0" w:firstLine="720"/>
        <w:jc w:val="both"/>
        <w:rPr>
          <w:rFonts w:ascii="Arial" w:hAnsi="Arial" w:cs="Arial"/>
          <w:sz w:val="22"/>
          <w:szCs w:val="22"/>
          <w:lang w:val="en-US"/>
        </w:rPr>
      </w:pPr>
      <w:r w:rsidRPr="00EB0655">
        <w:rPr>
          <w:rFonts w:ascii="Arial" w:hAnsi="Arial" w:cs="Arial"/>
          <w:sz w:val="22"/>
          <w:szCs w:val="22"/>
        </w:rPr>
        <w:t>‘</w:t>
      </w:r>
      <w:r w:rsidRPr="008D14EB">
        <w:rPr>
          <w:rFonts w:ascii="Arial" w:hAnsi="Arial" w:cs="Arial"/>
          <w:sz w:val="22"/>
          <w:szCs w:val="22"/>
        </w:rPr>
        <w:t xml:space="preserve">1. </w:t>
      </w:r>
      <w:r w:rsidR="00C12D4B">
        <w:rPr>
          <w:rFonts w:ascii="Arial" w:hAnsi="Arial" w:cs="Arial"/>
          <w:sz w:val="22"/>
          <w:szCs w:val="22"/>
        </w:rPr>
        <w:tab/>
      </w:r>
      <w:r w:rsidRPr="008D14EB">
        <w:rPr>
          <w:rFonts w:ascii="Arial" w:hAnsi="Arial" w:cs="Arial"/>
          <w:sz w:val="22"/>
          <w:szCs w:val="22"/>
        </w:rPr>
        <w:t>It is not a mere formality and will not be had for the asking. The party seeking</w:t>
      </w:r>
      <w:r w:rsidR="00D91267">
        <w:rPr>
          <w:rFonts w:ascii="Arial" w:hAnsi="Arial" w:cs="Arial"/>
          <w:sz w:val="22"/>
          <w:szCs w:val="22"/>
        </w:rPr>
        <w:t xml:space="preserve"> </w:t>
      </w:r>
      <w:r w:rsidRPr="008D14EB">
        <w:rPr>
          <w:rFonts w:ascii="Arial" w:hAnsi="Arial" w:cs="Arial"/>
          <w:sz w:val="22"/>
          <w:szCs w:val="22"/>
        </w:rPr>
        <w:t>condonation bears the onus to satisfy the court that there is sufficient cause to warrant the grant of condonation.</w:t>
      </w:r>
    </w:p>
    <w:p w14:paraId="6BFD4CAF" w14:textId="24F800A7" w:rsidR="00D27BC3" w:rsidRPr="008D14EB" w:rsidRDefault="00D27BC3" w:rsidP="006128D8">
      <w:pPr>
        <w:spacing w:line="360" w:lineRule="auto"/>
        <w:jc w:val="both"/>
        <w:rPr>
          <w:rFonts w:ascii="Arial" w:hAnsi="Arial" w:cs="Arial"/>
          <w:sz w:val="22"/>
          <w:szCs w:val="22"/>
        </w:rPr>
      </w:pPr>
      <w:r w:rsidRPr="008D14EB">
        <w:rPr>
          <w:rFonts w:ascii="Arial" w:hAnsi="Arial" w:cs="Arial"/>
          <w:sz w:val="22"/>
          <w:szCs w:val="22"/>
        </w:rPr>
        <w:t xml:space="preserve">2. </w:t>
      </w:r>
      <w:r w:rsidR="00C12D4B">
        <w:rPr>
          <w:rFonts w:ascii="Arial" w:hAnsi="Arial" w:cs="Arial"/>
          <w:sz w:val="22"/>
          <w:szCs w:val="22"/>
        </w:rPr>
        <w:tab/>
      </w:r>
      <w:r w:rsidRPr="008D14EB">
        <w:rPr>
          <w:rFonts w:ascii="Arial" w:hAnsi="Arial" w:cs="Arial"/>
          <w:sz w:val="22"/>
          <w:szCs w:val="22"/>
        </w:rPr>
        <w:t>There must be an acceptable explanation for the delay or non-compliance. The explanation must be full, detailed and accurate.</w:t>
      </w:r>
    </w:p>
    <w:p w14:paraId="377BA0D0" w14:textId="593DC3BC" w:rsidR="00D27BC3" w:rsidRPr="008D14EB" w:rsidRDefault="00D27BC3" w:rsidP="006128D8">
      <w:pPr>
        <w:spacing w:line="360" w:lineRule="auto"/>
        <w:jc w:val="both"/>
        <w:rPr>
          <w:rFonts w:ascii="Arial" w:hAnsi="Arial" w:cs="Arial"/>
          <w:sz w:val="22"/>
          <w:szCs w:val="22"/>
        </w:rPr>
      </w:pPr>
      <w:r w:rsidRPr="008D14EB">
        <w:rPr>
          <w:rFonts w:ascii="Arial" w:hAnsi="Arial" w:cs="Arial"/>
          <w:sz w:val="22"/>
          <w:szCs w:val="22"/>
        </w:rPr>
        <w:t xml:space="preserve">3. </w:t>
      </w:r>
      <w:r w:rsidR="00C12D4B">
        <w:rPr>
          <w:rFonts w:ascii="Arial" w:hAnsi="Arial" w:cs="Arial"/>
          <w:sz w:val="22"/>
          <w:szCs w:val="22"/>
        </w:rPr>
        <w:tab/>
      </w:r>
      <w:r w:rsidRPr="008D14EB">
        <w:rPr>
          <w:rFonts w:ascii="Arial" w:hAnsi="Arial" w:cs="Arial"/>
          <w:sz w:val="22"/>
          <w:szCs w:val="22"/>
        </w:rPr>
        <w:t>It must be sought as soon as the non-compliance has come to the fore. An application for condonation must be made without delay.</w:t>
      </w:r>
    </w:p>
    <w:p w14:paraId="1CD50D0D" w14:textId="318ADE90" w:rsidR="00D27BC3" w:rsidRPr="008D14EB" w:rsidRDefault="00D27BC3" w:rsidP="006128D8">
      <w:pPr>
        <w:spacing w:line="360" w:lineRule="auto"/>
        <w:jc w:val="both"/>
        <w:rPr>
          <w:rFonts w:ascii="Arial" w:hAnsi="Arial" w:cs="Arial"/>
          <w:sz w:val="22"/>
          <w:szCs w:val="22"/>
        </w:rPr>
      </w:pPr>
      <w:r w:rsidRPr="008D14EB">
        <w:rPr>
          <w:rFonts w:ascii="Arial" w:hAnsi="Arial" w:cs="Arial"/>
          <w:sz w:val="22"/>
          <w:szCs w:val="22"/>
        </w:rPr>
        <w:t xml:space="preserve">4. </w:t>
      </w:r>
      <w:r w:rsidR="00C12D4B">
        <w:rPr>
          <w:rFonts w:ascii="Arial" w:hAnsi="Arial" w:cs="Arial"/>
          <w:sz w:val="22"/>
          <w:szCs w:val="22"/>
        </w:rPr>
        <w:tab/>
      </w:r>
      <w:r w:rsidRPr="008D14EB">
        <w:rPr>
          <w:rFonts w:ascii="Arial" w:hAnsi="Arial" w:cs="Arial"/>
          <w:sz w:val="22"/>
          <w:szCs w:val="22"/>
        </w:rPr>
        <w:t>The degree of delay is a relevant consideration.</w:t>
      </w:r>
    </w:p>
    <w:p w14:paraId="41408748" w14:textId="3788F6EE" w:rsidR="00D27BC3" w:rsidRPr="008D14EB" w:rsidRDefault="00D27BC3" w:rsidP="006128D8">
      <w:pPr>
        <w:spacing w:line="360" w:lineRule="auto"/>
        <w:jc w:val="both"/>
        <w:rPr>
          <w:rFonts w:ascii="Arial" w:hAnsi="Arial" w:cs="Arial"/>
          <w:sz w:val="22"/>
          <w:szCs w:val="22"/>
        </w:rPr>
      </w:pPr>
      <w:r w:rsidRPr="008D14EB">
        <w:rPr>
          <w:rFonts w:ascii="Arial" w:hAnsi="Arial" w:cs="Arial"/>
          <w:sz w:val="22"/>
          <w:szCs w:val="22"/>
        </w:rPr>
        <w:t xml:space="preserve">5. </w:t>
      </w:r>
      <w:r w:rsidR="00C12D4B">
        <w:rPr>
          <w:rFonts w:ascii="Arial" w:hAnsi="Arial" w:cs="Arial"/>
          <w:sz w:val="22"/>
          <w:szCs w:val="22"/>
        </w:rPr>
        <w:tab/>
      </w:r>
      <w:r w:rsidRPr="008D14EB">
        <w:rPr>
          <w:rFonts w:ascii="Arial" w:hAnsi="Arial" w:cs="Arial"/>
          <w:sz w:val="22"/>
          <w:szCs w:val="22"/>
        </w:rPr>
        <w:t>The entire period during which the delay had occurred and continued must be fully explained</w:t>
      </w:r>
      <w:r w:rsidR="00704A9F" w:rsidRPr="008D14EB">
        <w:rPr>
          <w:rFonts w:ascii="Arial" w:hAnsi="Arial" w:cs="Arial"/>
          <w:sz w:val="22"/>
          <w:szCs w:val="22"/>
        </w:rPr>
        <w:t>.</w:t>
      </w:r>
    </w:p>
    <w:p w14:paraId="09861F45" w14:textId="1C75E048" w:rsidR="00D27BC3" w:rsidRPr="008D14EB" w:rsidRDefault="00D27BC3" w:rsidP="006128D8">
      <w:pPr>
        <w:spacing w:line="360" w:lineRule="auto"/>
        <w:jc w:val="both"/>
        <w:rPr>
          <w:rFonts w:ascii="Arial" w:hAnsi="Arial" w:cs="Arial"/>
          <w:sz w:val="22"/>
          <w:szCs w:val="22"/>
        </w:rPr>
      </w:pPr>
      <w:r w:rsidRPr="008D14EB">
        <w:rPr>
          <w:rFonts w:ascii="Arial" w:hAnsi="Arial" w:cs="Arial"/>
          <w:sz w:val="22"/>
          <w:szCs w:val="22"/>
        </w:rPr>
        <w:t xml:space="preserve">6. </w:t>
      </w:r>
      <w:r w:rsidR="00C12D4B">
        <w:rPr>
          <w:rFonts w:ascii="Arial" w:hAnsi="Arial" w:cs="Arial"/>
          <w:sz w:val="22"/>
          <w:szCs w:val="22"/>
        </w:rPr>
        <w:tab/>
      </w:r>
      <w:r w:rsidRPr="008D14EB">
        <w:rPr>
          <w:rFonts w:ascii="Arial" w:hAnsi="Arial" w:cs="Arial"/>
          <w:sz w:val="22"/>
          <w:szCs w:val="22"/>
        </w:rPr>
        <w:t>There is a point beyond which the negligence of the legal practitioner will not avail the client that is legally represented.</w:t>
      </w:r>
      <w:r w:rsidR="00704A9F" w:rsidRPr="008D14EB">
        <w:rPr>
          <w:rFonts w:ascii="Arial" w:hAnsi="Arial" w:cs="Arial"/>
          <w:sz w:val="22"/>
          <w:szCs w:val="22"/>
        </w:rPr>
        <w:t xml:space="preserve"> </w:t>
      </w:r>
      <w:r w:rsidRPr="008D14EB">
        <w:rPr>
          <w:rFonts w:ascii="Arial" w:hAnsi="Arial" w:cs="Arial"/>
          <w:sz w:val="22"/>
          <w:szCs w:val="22"/>
        </w:rPr>
        <w:t>(Legal practitioners are expected to familiarize themselves with the rules of court).</w:t>
      </w:r>
    </w:p>
    <w:p w14:paraId="46F747B9" w14:textId="7129D922" w:rsidR="00D27BC3" w:rsidRPr="008D14EB" w:rsidRDefault="00D27BC3" w:rsidP="006128D8">
      <w:pPr>
        <w:spacing w:line="360" w:lineRule="auto"/>
        <w:jc w:val="both"/>
        <w:rPr>
          <w:rFonts w:ascii="Arial" w:hAnsi="Arial" w:cs="Arial"/>
          <w:sz w:val="22"/>
          <w:szCs w:val="22"/>
        </w:rPr>
      </w:pPr>
      <w:r w:rsidRPr="008D14EB">
        <w:rPr>
          <w:rFonts w:ascii="Arial" w:hAnsi="Arial" w:cs="Arial"/>
          <w:sz w:val="22"/>
          <w:szCs w:val="22"/>
        </w:rPr>
        <w:t xml:space="preserve">7. </w:t>
      </w:r>
      <w:r w:rsidR="00C12D4B">
        <w:rPr>
          <w:rFonts w:ascii="Arial" w:hAnsi="Arial" w:cs="Arial"/>
          <w:sz w:val="22"/>
          <w:szCs w:val="22"/>
        </w:rPr>
        <w:tab/>
      </w:r>
      <w:r w:rsidRPr="008D14EB">
        <w:rPr>
          <w:rFonts w:ascii="Arial" w:hAnsi="Arial" w:cs="Arial"/>
          <w:sz w:val="22"/>
          <w:szCs w:val="22"/>
        </w:rPr>
        <w:t>The applicant for condonation must demonstrate good prospects of success on the merits. But where the noncompliance with the rules of Court is flagrant and gross, prospects of success are not decisive.</w:t>
      </w:r>
    </w:p>
    <w:p w14:paraId="1B732135" w14:textId="6D7BE948" w:rsidR="00D27BC3" w:rsidRPr="008D14EB" w:rsidRDefault="00D27BC3" w:rsidP="006128D8">
      <w:pPr>
        <w:spacing w:line="360" w:lineRule="auto"/>
        <w:jc w:val="both"/>
        <w:rPr>
          <w:rFonts w:ascii="Arial" w:hAnsi="Arial" w:cs="Arial"/>
          <w:sz w:val="22"/>
          <w:szCs w:val="22"/>
        </w:rPr>
      </w:pPr>
      <w:r w:rsidRPr="008D14EB">
        <w:rPr>
          <w:rFonts w:ascii="Arial" w:hAnsi="Arial" w:cs="Arial"/>
          <w:sz w:val="22"/>
          <w:szCs w:val="22"/>
        </w:rPr>
        <w:t xml:space="preserve">8. </w:t>
      </w:r>
      <w:r w:rsidR="00C12D4B">
        <w:rPr>
          <w:rFonts w:ascii="Arial" w:hAnsi="Arial" w:cs="Arial"/>
          <w:sz w:val="22"/>
          <w:szCs w:val="22"/>
        </w:rPr>
        <w:tab/>
      </w:r>
      <w:r w:rsidRPr="008D14EB">
        <w:rPr>
          <w:rFonts w:ascii="Arial" w:hAnsi="Arial" w:cs="Arial"/>
          <w:sz w:val="22"/>
          <w:szCs w:val="22"/>
        </w:rPr>
        <w:t xml:space="preserve">The applicant’s prospects of success is in general an important though not a decisive consideration. In the case of Finbro Furnishers (Pty) Ltd v Registrar of Deeds, </w:t>
      </w:r>
      <w:r w:rsidRPr="008D14EB">
        <w:rPr>
          <w:rFonts w:ascii="Arial" w:hAnsi="Arial" w:cs="Arial"/>
          <w:sz w:val="22"/>
          <w:szCs w:val="22"/>
        </w:rPr>
        <w:lastRenderedPageBreak/>
        <w:t>Bloemfontein and Others, Hoexter JA pointed out at 789I-J that the factor of prospects of success on appeal in an application for condonation for the late notice of appeal can never, standing alone, be conclusive, but the cumulative effect of all the factors, including the explanation tendered for non-compliance with the rules, should be considered.</w:t>
      </w:r>
    </w:p>
    <w:p w14:paraId="262FD52C" w14:textId="45B159C7" w:rsidR="00EB0655" w:rsidRDefault="00D27BC3" w:rsidP="006128D8">
      <w:pPr>
        <w:spacing w:line="360" w:lineRule="auto"/>
        <w:jc w:val="both"/>
        <w:rPr>
          <w:rFonts w:ascii="Arial" w:hAnsi="Arial" w:cs="Arial"/>
          <w:sz w:val="22"/>
          <w:szCs w:val="22"/>
        </w:rPr>
      </w:pPr>
      <w:r w:rsidRPr="008D14EB">
        <w:rPr>
          <w:rFonts w:ascii="Arial" w:hAnsi="Arial" w:cs="Arial"/>
          <w:sz w:val="22"/>
          <w:szCs w:val="22"/>
        </w:rPr>
        <w:t xml:space="preserve">9. </w:t>
      </w:r>
      <w:r w:rsidR="00C12D4B">
        <w:rPr>
          <w:rFonts w:ascii="Arial" w:hAnsi="Arial" w:cs="Arial"/>
          <w:sz w:val="22"/>
          <w:szCs w:val="22"/>
        </w:rPr>
        <w:tab/>
      </w:r>
      <w:r w:rsidRPr="008D14EB">
        <w:rPr>
          <w:rFonts w:ascii="Arial" w:hAnsi="Arial" w:cs="Arial"/>
          <w:sz w:val="22"/>
          <w:szCs w:val="22"/>
        </w:rPr>
        <w:t>If there are no prospects of success, there is no point in granting condonation.</w:t>
      </w:r>
      <w:r w:rsidR="00704A9F" w:rsidRPr="00704A9F">
        <w:rPr>
          <w:rFonts w:ascii="Arial" w:hAnsi="Arial" w:cs="Arial"/>
          <w:sz w:val="22"/>
          <w:szCs w:val="22"/>
        </w:rPr>
        <w:t>’</w:t>
      </w:r>
    </w:p>
    <w:p w14:paraId="6B4C2521" w14:textId="77777777" w:rsidR="009E10BE" w:rsidRPr="00CE5E2C" w:rsidRDefault="009E10BE" w:rsidP="009E10BE">
      <w:pPr>
        <w:pStyle w:val="ListParagraph"/>
        <w:rPr>
          <w:rFonts w:ascii="Arial" w:hAnsi="Arial" w:cs="Arial"/>
          <w:lang w:val="en-US"/>
        </w:rPr>
      </w:pPr>
    </w:p>
    <w:p w14:paraId="1AFE0064" w14:textId="6339437E" w:rsidR="004E5F07" w:rsidRPr="00EB0655" w:rsidRDefault="00CF3050" w:rsidP="00EB0655">
      <w:pPr>
        <w:pStyle w:val="ListParagraph"/>
        <w:numPr>
          <w:ilvl w:val="0"/>
          <w:numId w:val="6"/>
        </w:numPr>
        <w:spacing w:line="360" w:lineRule="auto"/>
        <w:ind w:left="0" w:firstLine="0"/>
        <w:jc w:val="both"/>
        <w:rPr>
          <w:rFonts w:ascii="Arial" w:hAnsi="Arial" w:cs="Arial"/>
        </w:rPr>
      </w:pPr>
      <w:r w:rsidRPr="00CF3050">
        <w:rPr>
          <w:rFonts w:ascii="Arial" w:eastAsia="Calibri" w:hAnsi="Arial" w:cs="Arial"/>
          <w:bCs/>
          <w:i/>
          <w:iCs/>
        </w:rPr>
        <w:t>Telkom Namibia</w:t>
      </w:r>
      <w:r w:rsidR="009E10BE">
        <w:rPr>
          <w:rStyle w:val="FootnoteReference"/>
          <w:rFonts w:ascii="Arial" w:eastAsia="Calibri" w:hAnsi="Arial" w:cs="Arial"/>
          <w:bCs/>
          <w:i/>
          <w:iCs/>
        </w:rPr>
        <w:footnoteReference w:id="8"/>
      </w:r>
      <w:r w:rsidR="008D14EB">
        <w:rPr>
          <w:rFonts w:ascii="Arial" w:eastAsia="Calibri" w:hAnsi="Arial" w:cs="Arial"/>
          <w:bCs/>
        </w:rPr>
        <w:t xml:space="preserve"> further </w:t>
      </w:r>
      <w:r w:rsidR="00704A9F" w:rsidRPr="00EB0655">
        <w:rPr>
          <w:rFonts w:ascii="Arial" w:eastAsia="Calibri" w:hAnsi="Arial" w:cs="Arial"/>
          <w:bCs/>
        </w:rPr>
        <w:t xml:space="preserve">sets out </w:t>
      </w:r>
      <w:r w:rsidR="008D14EB">
        <w:rPr>
          <w:rFonts w:ascii="Arial" w:eastAsia="Calibri" w:hAnsi="Arial" w:cs="Arial"/>
          <w:bCs/>
        </w:rPr>
        <w:t xml:space="preserve">the following </w:t>
      </w:r>
      <w:r w:rsidR="00704A9F" w:rsidRPr="00EB0655">
        <w:rPr>
          <w:rFonts w:ascii="Arial" w:eastAsia="Calibri" w:hAnsi="Arial" w:cs="Arial"/>
          <w:bCs/>
        </w:rPr>
        <w:t>factors</w:t>
      </w:r>
      <w:r w:rsidR="008D14EB">
        <w:rPr>
          <w:rFonts w:ascii="Arial" w:eastAsia="Calibri" w:hAnsi="Arial" w:cs="Arial"/>
          <w:bCs/>
        </w:rPr>
        <w:t xml:space="preserve"> to be taken into account as</w:t>
      </w:r>
      <w:r w:rsidR="00704A9F" w:rsidRPr="00EB0655">
        <w:rPr>
          <w:rFonts w:ascii="Arial" w:eastAsia="Calibri" w:hAnsi="Arial" w:cs="Arial"/>
          <w:bCs/>
        </w:rPr>
        <w:t xml:space="preserve"> stated in </w:t>
      </w:r>
      <w:r w:rsidR="00704A9F" w:rsidRPr="008D14EB">
        <w:rPr>
          <w:rFonts w:ascii="Arial" w:eastAsia="Calibri" w:hAnsi="Arial" w:cs="Arial"/>
          <w:bCs/>
          <w:i/>
          <w:iCs/>
        </w:rPr>
        <w:t>Channel Life Namibia (Pty) Ltd v Otto</w:t>
      </w:r>
      <w:r w:rsidR="00075B82">
        <w:rPr>
          <w:rFonts w:ascii="Arial" w:eastAsia="Calibri" w:hAnsi="Arial" w:cs="Arial"/>
          <w:bCs/>
        </w:rPr>
        <w:t>:</w:t>
      </w:r>
      <w:r w:rsidR="00075B82">
        <w:rPr>
          <w:rStyle w:val="FootnoteReference"/>
          <w:rFonts w:ascii="Arial" w:eastAsia="Calibri" w:hAnsi="Arial" w:cs="Arial"/>
          <w:bCs/>
          <w:i/>
          <w:iCs/>
        </w:rPr>
        <w:footnoteReference w:id="9"/>
      </w:r>
    </w:p>
    <w:p w14:paraId="5031A541" w14:textId="1144DCB8" w:rsidR="004E5F07" w:rsidRPr="004E5F07" w:rsidRDefault="004E5F07" w:rsidP="004E5F07">
      <w:pPr>
        <w:pStyle w:val="ListParagraph"/>
        <w:rPr>
          <w:rFonts w:ascii="Arial" w:hAnsi="Arial" w:cs="Arial"/>
          <w:lang w:val="en-US"/>
        </w:rPr>
      </w:pPr>
    </w:p>
    <w:p w14:paraId="4F8E7BB7" w14:textId="17238E18" w:rsidR="00704A9F" w:rsidRPr="008D14EB" w:rsidRDefault="00704A9F" w:rsidP="006128D8">
      <w:pPr>
        <w:pStyle w:val="ListParagraph"/>
        <w:spacing w:line="360" w:lineRule="auto"/>
        <w:ind w:left="0" w:firstLine="720"/>
        <w:jc w:val="both"/>
        <w:rPr>
          <w:rFonts w:ascii="Arial" w:hAnsi="Arial" w:cs="Arial"/>
          <w:sz w:val="22"/>
          <w:szCs w:val="22"/>
        </w:rPr>
      </w:pPr>
      <w:r>
        <w:rPr>
          <w:rFonts w:ascii="Arial" w:hAnsi="Arial" w:cs="Arial"/>
        </w:rPr>
        <w:t>‘</w:t>
      </w:r>
      <w:r w:rsidRPr="00704A9F">
        <w:rPr>
          <w:rFonts w:ascii="Arial" w:hAnsi="Arial" w:cs="Arial"/>
          <w:sz w:val="22"/>
          <w:szCs w:val="22"/>
        </w:rPr>
        <w:t>1</w:t>
      </w:r>
      <w:r w:rsidRPr="008D14EB">
        <w:rPr>
          <w:rFonts w:ascii="Arial" w:hAnsi="Arial" w:cs="Arial"/>
          <w:sz w:val="22"/>
          <w:szCs w:val="22"/>
        </w:rPr>
        <w:t xml:space="preserve">. </w:t>
      </w:r>
      <w:r w:rsidR="00C12D4B">
        <w:rPr>
          <w:rFonts w:ascii="Arial" w:hAnsi="Arial" w:cs="Arial"/>
          <w:sz w:val="22"/>
          <w:szCs w:val="22"/>
        </w:rPr>
        <w:tab/>
      </w:r>
      <w:r w:rsidRPr="008D14EB">
        <w:rPr>
          <w:rFonts w:ascii="Arial" w:hAnsi="Arial" w:cs="Arial"/>
          <w:sz w:val="22"/>
          <w:szCs w:val="22"/>
        </w:rPr>
        <w:t>The importance of the case;</w:t>
      </w:r>
    </w:p>
    <w:p w14:paraId="282CF852" w14:textId="6CA594B1" w:rsidR="00704A9F" w:rsidRPr="008D14EB" w:rsidRDefault="00704A9F" w:rsidP="006128D8">
      <w:pPr>
        <w:pStyle w:val="ListParagraph"/>
        <w:spacing w:line="360" w:lineRule="auto"/>
        <w:ind w:left="0"/>
        <w:jc w:val="both"/>
        <w:rPr>
          <w:rFonts w:ascii="Arial" w:hAnsi="Arial" w:cs="Arial"/>
          <w:sz w:val="22"/>
          <w:szCs w:val="22"/>
        </w:rPr>
      </w:pPr>
      <w:r w:rsidRPr="008D14EB">
        <w:rPr>
          <w:rFonts w:ascii="Arial" w:hAnsi="Arial" w:cs="Arial"/>
          <w:sz w:val="22"/>
          <w:szCs w:val="22"/>
        </w:rPr>
        <w:t xml:space="preserve">2. </w:t>
      </w:r>
      <w:r w:rsidR="00C12D4B">
        <w:rPr>
          <w:rFonts w:ascii="Arial" w:hAnsi="Arial" w:cs="Arial"/>
          <w:sz w:val="22"/>
          <w:szCs w:val="22"/>
        </w:rPr>
        <w:tab/>
      </w:r>
      <w:r w:rsidRPr="008D14EB">
        <w:rPr>
          <w:rFonts w:ascii="Arial" w:hAnsi="Arial" w:cs="Arial"/>
          <w:sz w:val="22"/>
          <w:szCs w:val="22"/>
        </w:rPr>
        <w:t>The prospects of success;</w:t>
      </w:r>
    </w:p>
    <w:p w14:paraId="603F1749" w14:textId="27462BB6" w:rsidR="00704A9F" w:rsidRPr="008D14EB" w:rsidRDefault="00704A9F" w:rsidP="006128D8">
      <w:pPr>
        <w:pStyle w:val="ListParagraph"/>
        <w:spacing w:line="360" w:lineRule="auto"/>
        <w:ind w:left="0"/>
        <w:jc w:val="both"/>
        <w:rPr>
          <w:rFonts w:ascii="Arial" w:hAnsi="Arial" w:cs="Arial"/>
          <w:sz w:val="22"/>
          <w:szCs w:val="22"/>
        </w:rPr>
      </w:pPr>
      <w:r w:rsidRPr="008D14EB">
        <w:rPr>
          <w:rFonts w:ascii="Arial" w:hAnsi="Arial" w:cs="Arial"/>
          <w:sz w:val="22"/>
          <w:szCs w:val="22"/>
        </w:rPr>
        <w:t xml:space="preserve">3. </w:t>
      </w:r>
      <w:r w:rsidR="00C12D4B">
        <w:rPr>
          <w:rFonts w:ascii="Arial" w:hAnsi="Arial" w:cs="Arial"/>
          <w:sz w:val="22"/>
          <w:szCs w:val="22"/>
        </w:rPr>
        <w:tab/>
      </w:r>
      <w:r w:rsidRPr="008D14EB">
        <w:rPr>
          <w:rFonts w:ascii="Arial" w:hAnsi="Arial" w:cs="Arial"/>
          <w:sz w:val="22"/>
          <w:szCs w:val="22"/>
        </w:rPr>
        <w:t>The respondent’s interest in the finality of the case;</w:t>
      </w:r>
    </w:p>
    <w:p w14:paraId="6F6D3FE1" w14:textId="4A079DB0" w:rsidR="00704A9F" w:rsidRPr="008D14EB" w:rsidRDefault="00704A9F" w:rsidP="006128D8">
      <w:pPr>
        <w:pStyle w:val="ListParagraph"/>
        <w:spacing w:line="360" w:lineRule="auto"/>
        <w:ind w:left="0"/>
        <w:jc w:val="both"/>
        <w:rPr>
          <w:rFonts w:ascii="Arial" w:hAnsi="Arial" w:cs="Arial"/>
          <w:sz w:val="22"/>
          <w:szCs w:val="22"/>
        </w:rPr>
      </w:pPr>
      <w:r w:rsidRPr="008D14EB">
        <w:rPr>
          <w:rFonts w:ascii="Arial" w:hAnsi="Arial" w:cs="Arial"/>
          <w:sz w:val="22"/>
          <w:szCs w:val="22"/>
        </w:rPr>
        <w:t xml:space="preserve">4. </w:t>
      </w:r>
      <w:r w:rsidR="00C12D4B">
        <w:rPr>
          <w:rFonts w:ascii="Arial" w:hAnsi="Arial" w:cs="Arial"/>
          <w:sz w:val="22"/>
          <w:szCs w:val="22"/>
        </w:rPr>
        <w:tab/>
      </w:r>
      <w:r w:rsidRPr="008D14EB">
        <w:rPr>
          <w:rFonts w:ascii="Arial" w:hAnsi="Arial" w:cs="Arial"/>
          <w:sz w:val="22"/>
          <w:szCs w:val="22"/>
        </w:rPr>
        <w:t>The convenience of the court;</w:t>
      </w:r>
    </w:p>
    <w:p w14:paraId="777FDADB" w14:textId="21394819" w:rsidR="00704A9F" w:rsidRPr="00704A9F" w:rsidRDefault="00704A9F" w:rsidP="006128D8">
      <w:pPr>
        <w:pStyle w:val="ListParagraph"/>
        <w:spacing w:line="360" w:lineRule="auto"/>
        <w:ind w:left="0"/>
        <w:jc w:val="both"/>
        <w:rPr>
          <w:rFonts w:ascii="Arial" w:hAnsi="Arial" w:cs="Arial"/>
          <w:lang w:val="en-US"/>
        </w:rPr>
      </w:pPr>
      <w:r w:rsidRPr="008D14EB">
        <w:rPr>
          <w:rFonts w:ascii="Arial" w:hAnsi="Arial" w:cs="Arial"/>
          <w:sz w:val="22"/>
          <w:szCs w:val="22"/>
        </w:rPr>
        <w:t xml:space="preserve">5. </w:t>
      </w:r>
      <w:r w:rsidR="00C12D4B">
        <w:rPr>
          <w:rFonts w:ascii="Arial" w:hAnsi="Arial" w:cs="Arial"/>
          <w:sz w:val="22"/>
          <w:szCs w:val="22"/>
        </w:rPr>
        <w:tab/>
      </w:r>
      <w:r w:rsidRPr="008D14EB">
        <w:rPr>
          <w:rFonts w:ascii="Arial" w:hAnsi="Arial" w:cs="Arial"/>
          <w:sz w:val="22"/>
          <w:szCs w:val="22"/>
        </w:rPr>
        <w:t>The avoidance of unnecessary delay.</w:t>
      </w:r>
      <w:r>
        <w:rPr>
          <w:rFonts w:ascii="Arial" w:hAnsi="Arial" w:cs="Arial"/>
        </w:rPr>
        <w:t>’</w:t>
      </w:r>
    </w:p>
    <w:p w14:paraId="7EFBF991" w14:textId="77777777" w:rsidR="00704A9F" w:rsidRPr="00704A9F" w:rsidRDefault="00704A9F" w:rsidP="00704A9F">
      <w:pPr>
        <w:pStyle w:val="ListParagraph"/>
        <w:rPr>
          <w:rFonts w:ascii="Arial" w:eastAsia="Calibri" w:hAnsi="Arial" w:cs="Arial"/>
          <w:bCs/>
        </w:rPr>
      </w:pPr>
    </w:p>
    <w:p w14:paraId="3E171B57" w14:textId="3F79B916" w:rsidR="00C12D4B" w:rsidRPr="00D91267" w:rsidRDefault="00C12D4B" w:rsidP="00C12D4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The court agrees with the principles and fact</w:t>
      </w:r>
      <w:r w:rsidR="00485084">
        <w:rPr>
          <w:rFonts w:ascii="Arial" w:hAnsi="Arial" w:cs="Arial"/>
          <w:lang w:val="en-US"/>
        </w:rPr>
        <w:t>ors</w:t>
      </w:r>
      <w:r>
        <w:rPr>
          <w:rFonts w:ascii="Arial" w:hAnsi="Arial" w:cs="Arial"/>
          <w:lang w:val="en-US"/>
        </w:rPr>
        <w:t xml:space="preserve"> set out above save to state</w:t>
      </w:r>
      <w:r w:rsidR="00CC7372">
        <w:rPr>
          <w:rFonts w:ascii="Arial" w:hAnsi="Arial" w:cs="Arial"/>
          <w:lang w:val="en-US"/>
        </w:rPr>
        <w:t xml:space="preserve"> </w:t>
      </w:r>
      <w:r>
        <w:rPr>
          <w:rFonts w:ascii="Arial" w:hAnsi="Arial" w:cs="Arial"/>
          <w:lang w:val="en-US"/>
        </w:rPr>
        <w:t xml:space="preserve">with reference to </w:t>
      </w:r>
      <w:r w:rsidR="00485084" w:rsidRPr="00485084">
        <w:rPr>
          <w:rFonts w:ascii="Arial" w:hAnsi="Arial" w:cs="Arial"/>
          <w:i/>
          <w:iCs/>
          <w:lang w:val="en-US"/>
        </w:rPr>
        <w:t>Minister of Health and Social Services v Amakali</w:t>
      </w:r>
      <w:r w:rsidR="00075B82" w:rsidRPr="009E10BE">
        <w:rPr>
          <w:rStyle w:val="FootnoteReference"/>
          <w:rFonts w:ascii="Arial" w:hAnsi="Arial" w:cs="Arial"/>
          <w:lang w:val="en-US"/>
        </w:rPr>
        <w:footnoteReference w:id="10"/>
      </w:r>
      <w:r w:rsidR="009E10BE" w:rsidRPr="009E10BE">
        <w:rPr>
          <w:rFonts w:ascii="Arial" w:hAnsi="Arial" w:cs="Arial"/>
          <w:lang w:val="en-US"/>
        </w:rPr>
        <w:t xml:space="preserve"> </w:t>
      </w:r>
      <w:r w:rsidRPr="009E10BE">
        <w:rPr>
          <w:rFonts w:ascii="Arial" w:hAnsi="Arial" w:cs="Arial"/>
          <w:lang w:val="en-US"/>
        </w:rPr>
        <w:t>that</w:t>
      </w:r>
      <w:r>
        <w:rPr>
          <w:rFonts w:ascii="Arial" w:hAnsi="Arial" w:cs="Arial"/>
          <w:lang w:val="en-US"/>
        </w:rPr>
        <w:t xml:space="preserve"> reasonable prospects of success are required instead of good prospects of success. </w:t>
      </w:r>
    </w:p>
    <w:p w14:paraId="1780BC7D" w14:textId="77777777" w:rsidR="00C12D4B" w:rsidRPr="00CE5E2C" w:rsidRDefault="00C12D4B" w:rsidP="00C12D4B">
      <w:pPr>
        <w:pStyle w:val="ListParagraph"/>
        <w:rPr>
          <w:rFonts w:ascii="Arial" w:hAnsi="Arial" w:cs="Arial"/>
          <w:lang w:val="en-US"/>
        </w:rPr>
      </w:pPr>
    </w:p>
    <w:p w14:paraId="69AB132F" w14:textId="7E850DF1" w:rsidR="00CE5E2C" w:rsidRPr="00D91267" w:rsidRDefault="00CC7372" w:rsidP="00D91267">
      <w:pPr>
        <w:pStyle w:val="ListParagraph"/>
        <w:numPr>
          <w:ilvl w:val="0"/>
          <w:numId w:val="6"/>
        </w:numPr>
        <w:spacing w:line="360" w:lineRule="auto"/>
        <w:ind w:left="0" w:firstLine="0"/>
        <w:jc w:val="both"/>
        <w:rPr>
          <w:rFonts w:ascii="Arial" w:hAnsi="Arial" w:cs="Arial"/>
          <w:lang w:val="en-US"/>
        </w:rPr>
      </w:pPr>
      <w:r>
        <w:rPr>
          <w:rFonts w:ascii="Arial" w:eastAsia="Calibri" w:hAnsi="Arial" w:cs="Arial"/>
          <w:bCs/>
        </w:rPr>
        <w:t>T</w:t>
      </w:r>
      <w:r w:rsidR="00704A9F" w:rsidRPr="00EB0655">
        <w:rPr>
          <w:rFonts w:ascii="Arial" w:eastAsia="Calibri" w:hAnsi="Arial" w:cs="Arial"/>
          <w:bCs/>
        </w:rPr>
        <w:t xml:space="preserve">he </w:t>
      </w:r>
      <w:r w:rsidR="00E72E33">
        <w:rPr>
          <w:rFonts w:ascii="Arial" w:eastAsia="Calibri" w:hAnsi="Arial" w:cs="Arial"/>
          <w:bCs/>
        </w:rPr>
        <w:t>a</w:t>
      </w:r>
      <w:r w:rsidR="00704A9F" w:rsidRPr="00EB0655">
        <w:rPr>
          <w:rFonts w:ascii="Arial" w:eastAsia="Calibri" w:hAnsi="Arial" w:cs="Arial"/>
          <w:bCs/>
        </w:rPr>
        <w:t xml:space="preserve">pplicant must show </w:t>
      </w:r>
      <w:r w:rsidR="006B3138">
        <w:rPr>
          <w:rFonts w:ascii="Arial" w:eastAsia="Calibri" w:hAnsi="Arial" w:cs="Arial"/>
          <w:bCs/>
        </w:rPr>
        <w:t>‘</w:t>
      </w:r>
      <w:r w:rsidR="00704A9F" w:rsidRPr="00EB0655">
        <w:rPr>
          <w:rFonts w:ascii="Arial" w:eastAsia="Calibri" w:hAnsi="Arial" w:cs="Arial"/>
          <w:bCs/>
        </w:rPr>
        <w:t>good cause</w:t>
      </w:r>
      <w:r w:rsidR="006B3138">
        <w:rPr>
          <w:rFonts w:ascii="Arial" w:eastAsia="Calibri" w:hAnsi="Arial" w:cs="Arial"/>
          <w:bCs/>
        </w:rPr>
        <w:t>’. The concept ‘good cause’ has</w:t>
      </w:r>
      <w:r w:rsidR="00704A9F" w:rsidRPr="00EB0655">
        <w:rPr>
          <w:rFonts w:ascii="Arial" w:eastAsia="Calibri" w:hAnsi="Arial" w:cs="Arial"/>
          <w:bCs/>
        </w:rPr>
        <w:t xml:space="preserve"> </w:t>
      </w:r>
      <w:r w:rsidR="00EA37C8">
        <w:rPr>
          <w:rFonts w:ascii="Arial" w:eastAsia="Calibri" w:hAnsi="Arial" w:cs="Arial"/>
          <w:bCs/>
        </w:rPr>
        <w:t>two requirements.</w:t>
      </w:r>
      <w:r w:rsidR="006B3138">
        <w:rPr>
          <w:rFonts w:ascii="Arial" w:eastAsia="Calibri" w:hAnsi="Arial" w:cs="Arial"/>
          <w:bCs/>
        </w:rPr>
        <w:t xml:space="preserve"> For success, both requirements must be met.</w:t>
      </w:r>
      <w:r w:rsidR="00EA37C8">
        <w:rPr>
          <w:rFonts w:ascii="Arial" w:eastAsia="Calibri" w:hAnsi="Arial" w:cs="Arial"/>
          <w:bCs/>
        </w:rPr>
        <w:t xml:space="preserve"> T</w:t>
      </w:r>
      <w:r w:rsidR="00EA37C8" w:rsidRPr="00EB0655">
        <w:rPr>
          <w:rFonts w:ascii="Arial" w:eastAsia="Calibri" w:hAnsi="Arial" w:cs="Arial"/>
          <w:bCs/>
        </w:rPr>
        <w:t xml:space="preserve">he court must </w:t>
      </w:r>
      <w:r w:rsidR="00D91267">
        <w:rPr>
          <w:rFonts w:ascii="Arial" w:eastAsia="Calibri" w:hAnsi="Arial" w:cs="Arial"/>
          <w:bCs/>
        </w:rPr>
        <w:t>first</w:t>
      </w:r>
      <w:r w:rsidR="00BF530D">
        <w:rPr>
          <w:rFonts w:ascii="Arial" w:eastAsia="Calibri" w:hAnsi="Arial" w:cs="Arial"/>
          <w:bCs/>
        </w:rPr>
        <w:t xml:space="preserve"> be satisfied that there is a bona fide reasonable and acceptable explanation for the non-compliance and the delay, which must be full, detailed, and accurate for the entire delay period,</w:t>
      </w:r>
      <w:r w:rsidR="00D91267" w:rsidRPr="00EE168B">
        <w:rPr>
          <w:rFonts w:ascii="Arial" w:hAnsi="Arial" w:cs="Arial"/>
          <w:lang w:val="en-US"/>
        </w:rPr>
        <w:t xml:space="preserve"> including </w:t>
      </w:r>
      <w:r w:rsidR="00D91267">
        <w:rPr>
          <w:rFonts w:ascii="Arial" w:hAnsi="Arial" w:cs="Arial"/>
          <w:lang w:val="en-US"/>
        </w:rPr>
        <w:t xml:space="preserve">the </w:t>
      </w:r>
      <w:r w:rsidR="00D91267" w:rsidRPr="00EE168B">
        <w:rPr>
          <w:rFonts w:ascii="Arial" w:hAnsi="Arial" w:cs="Arial"/>
          <w:lang w:val="en-US"/>
        </w:rPr>
        <w:t xml:space="preserve">timing of </w:t>
      </w:r>
      <w:r w:rsidR="00D91267">
        <w:rPr>
          <w:rFonts w:ascii="Arial" w:hAnsi="Arial" w:cs="Arial"/>
          <w:lang w:val="en-US"/>
        </w:rPr>
        <w:t xml:space="preserve">the </w:t>
      </w:r>
      <w:r w:rsidR="00D91267" w:rsidRPr="00EE168B">
        <w:rPr>
          <w:rFonts w:ascii="Arial" w:hAnsi="Arial" w:cs="Arial"/>
          <w:lang w:val="en-US"/>
        </w:rPr>
        <w:t>condonation application</w:t>
      </w:r>
      <w:r w:rsidR="00D91267">
        <w:rPr>
          <w:rFonts w:ascii="Arial" w:eastAsia="Calibri" w:hAnsi="Arial" w:cs="Arial"/>
          <w:bCs/>
        </w:rPr>
        <w:t xml:space="preserve">. Secondly, the </w:t>
      </w:r>
      <w:r w:rsidR="00E72E33">
        <w:rPr>
          <w:rFonts w:ascii="Arial" w:eastAsia="Calibri" w:hAnsi="Arial" w:cs="Arial"/>
          <w:bCs/>
        </w:rPr>
        <w:t>a</w:t>
      </w:r>
      <w:r w:rsidR="00EA37C8">
        <w:rPr>
          <w:rFonts w:ascii="Arial" w:eastAsia="Calibri" w:hAnsi="Arial" w:cs="Arial"/>
          <w:bCs/>
        </w:rPr>
        <w:t>pplicant</w:t>
      </w:r>
      <w:r w:rsidR="00704A9F" w:rsidRPr="00EB0655">
        <w:rPr>
          <w:rFonts w:ascii="Arial" w:eastAsia="Calibri" w:hAnsi="Arial" w:cs="Arial"/>
          <w:bCs/>
        </w:rPr>
        <w:t xml:space="preserve"> </w:t>
      </w:r>
      <w:r w:rsidR="00D91267">
        <w:rPr>
          <w:rFonts w:ascii="Arial" w:eastAsia="Calibri" w:hAnsi="Arial" w:cs="Arial"/>
          <w:bCs/>
        </w:rPr>
        <w:t xml:space="preserve">must show that it </w:t>
      </w:r>
      <w:r w:rsidR="00704A9F" w:rsidRPr="00EB0655">
        <w:rPr>
          <w:rFonts w:ascii="Arial" w:eastAsia="Calibri" w:hAnsi="Arial" w:cs="Arial"/>
          <w:bCs/>
        </w:rPr>
        <w:t xml:space="preserve">has </w:t>
      </w:r>
      <w:r w:rsidR="00485084">
        <w:rPr>
          <w:rFonts w:ascii="Arial" w:eastAsia="Calibri" w:hAnsi="Arial" w:cs="Arial"/>
          <w:bCs/>
        </w:rPr>
        <w:t>reasonable</w:t>
      </w:r>
      <w:r w:rsidR="00704A9F" w:rsidRPr="00EB0655">
        <w:rPr>
          <w:rFonts w:ascii="Arial" w:eastAsia="Calibri" w:hAnsi="Arial" w:cs="Arial"/>
          <w:bCs/>
        </w:rPr>
        <w:t xml:space="preserve"> prospects of success on</w:t>
      </w:r>
      <w:r w:rsidR="00D91267">
        <w:rPr>
          <w:rFonts w:ascii="Arial" w:eastAsia="Calibri" w:hAnsi="Arial" w:cs="Arial"/>
          <w:bCs/>
        </w:rPr>
        <w:t xml:space="preserve"> the merits</w:t>
      </w:r>
      <w:r w:rsidR="00EB0655">
        <w:rPr>
          <w:rFonts w:ascii="Arial" w:eastAsia="Calibri" w:hAnsi="Arial" w:cs="Arial"/>
          <w:bCs/>
        </w:rPr>
        <w:t>.</w:t>
      </w:r>
      <w:r w:rsidR="00A23AF8">
        <w:rPr>
          <w:rFonts w:ascii="Arial" w:eastAsia="Calibri" w:hAnsi="Arial" w:cs="Arial"/>
          <w:bCs/>
        </w:rPr>
        <w:t xml:space="preserve"> </w:t>
      </w:r>
      <w:r w:rsidR="00C462E8" w:rsidRPr="00D91267">
        <w:rPr>
          <w:rFonts w:ascii="Arial" w:hAnsi="Arial" w:cs="Arial"/>
          <w:lang w:val="en-US"/>
        </w:rPr>
        <w:t xml:space="preserve">The </w:t>
      </w:r>
      <w:r w:rsidR="00BD57A5" w:rsidRPr="00D91267">
        <w:rPr>
          <w:rFonts w:ascii="Arial" w:hAnsi="Arial" w:cs="Arial"/>
          <w:lang w:val="en-US"/>
        </w:rPr>
        <w:t>Supreme Court</w:t>
      </w:r>
      <w:r w:rsidR="00C462E8" w:rsidRPr="00D91267">
        <w:rPr>
          <w:rFonts w:ascii="Arial" w:hAnsi="Arial" w:cs="Arial"/>
          <w:lang w:val="en-US"/>
        </w:rPr>
        <w:t xml:space="preserve"> i</w:t>
      </w:r>
      <w:r w:rsidR="00BD57A5" w:rsidRPr="00D91267">
        <w:rPr>
          <w:rFonts w:ascii="Arial" w:hAnsi="Arial" w:cs="Arial"/>
          <w:lang w:val="en-US"/>
        </w:rPr>
        <w:t xml:space="preserve">n </w:t>
      </w:r>
      <w:r w:rsidR="00BD57A5" w:rsidRPr="00D91267">
        <w:rPr>
          <w:rFonts w:ascii="Arial" w:hAnsi="Arial" w:cs="Arial"/>
          <w:i/>
          <w:iCs/>
          <w:lang w:val="en-US"/>
        </w:rPr>
        <w:t>Telecom Namibia Ltd v Nangolo and Others</w:t>
      </w:r>
      <w:r w:rsidR="00075B82" w:rsidRPr="009E10BE">
        <w:rPr>
          <w:rStyle w:val="FootnoteReference"/>
          <w:rFonts w:ascii="Arial" w:hAnsi="Arial" w:cs="Arial"/>
          <w:lang w:val="en-US"/>
        </w:rPr>
        <w:footnoteReference w:id="11"/>
      </w:r>
      <w:r w:rsidR="009E10BE" w:rsidRPr="009E10BE">
        <w:rPr>
          <w:rFonts w:ascii="Arial" w:hAnsi="Arial" w:cs="Arial"/>
          <w:lang w:val="en-US"/>
        </w:rPr>
        <w:t xml:space="preserve"> </w:t>
      </w:r>
      <w:r w:rsidR="00442BB4" w:rsidRPr="009E10BE">
        <w:rPr>
          <w:rFonts w:ascii="Arial" w:hAnsi="Arial" w:cs="Arial"/>
          <w:lang w:val="en-US"/>
        </w:rPr>
        <w:t>said</w:t>
      </w:r>
      <w:r w:rsidR="00442BB4" w:rsidRPr="00D91267">
        <w:rPr>
          <w:rFonts w:ascii="Arial" w:hAnsi="Arial" w:cs="Arial"/>
          <w:lang w:val="en-US"/>
        </w:rPr>
        <w:t xml:space="preserve"> that the </w:t>
      </w:r>
      <w:r w:rsidR="00BD57A5" w:rsidRPr="00D91267">
        <w:rPr>
          <w:rFonts w:ascii="Arial" w:hAnsi="Arial" w:cs="Arial"/>
          <w:lang w:val="en-US"/>
        </w:rPr>
        <w:t>balancing exercise of the two requirements</w:t>
      </w:r>
      <w:r w:rsidR="00442BB4" w:rsidRPr="00D91267">
        <w:rPr>
          <w:rFonts w:ascii="Arial" w:hAnsi="Arial" w:cs="Arial"/>
          <w:lang w:val="en-US"/>
        </w:rPr>
        <w:t xml:space="preserve"> is a question of deciding what weight to attach to each factor and not an equation of the factors</w:t>
      </w:r>
      <w:r w:rsidR="00EB0655" w:rsidRPr="00D91267">
        <w:rPr>
          <w:rFonts w:ascii="Arial" w:hAnsi="Arial" w:cs="Arial"/>
          <w:lang w:val="en-US"/>
        </w:rPr>
        <w:t>.</w:t>
      </w:r>
    </w:p>
    <w:p w14:paraId="630BD44E" w14:textId="77777777" w:rsidR="00CE5E2C" w:rsidRPr="00CE5E2C" w:rsidRDefault="00CE5E2C" w:rsidP="00CE5E2C">
      <w:pPr>
        <w:pStyle w:val="ListParagraph"/>
        <w:rPr>
          <w:rFonts w:ascii="Arial" w:hAnsi="Arial" w:cs="Arial"/>
          <w:lang w:val="en-US"/>
        </w:rPr>
      </w:pPr>
    </w:p>
    <w:p w14:paraId="12FE88F7" w14:textId="77777777" w:rsidR="005D225B" w:rsidRDefault="00A23AF8" w:rsidP="00A23AF8">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Before t</w:t>
      </w:r>
      <w:r w:rsidR="00991530">
        <w:rPr>
          <w:rFonts w:ascii="Arial" w:hAnsi="Arial" w:cs="Arial"/>
          <w:lang w:val="en-US"/>
        </w:rPr>
        <w:t>urning to the first requirement,</w:t>
      </w:r>
      <w:r>
        <w:rPr>
          <w:rFonts w:ascii="Arial" w:hAnsi="Arial" w:cs="Arial"/>
          <w:lang w:val="en-US"/>
        </w:rPr>
        <w:t xml:space="preserve"> the following background is provided. </w:t>
      </w:r>
    </w:p>
    <w:p w14:paraId="49D9232D" w14:textId="77777777" w:rsidR="005D225B" w:rsidRPr="005D225B" w:rsidRDefault="005D225B" w:rsidP="005D225B">
      <w:pPr>
        <w:pStyle w:val="ListParagraph"/>
        <w:rPr>
          <w:rFonts w:ascii="Arial" w:hAnsi="Arial" w:cs="Arial"/>
          <w:lang w:val="en-US"/>
        </w:rPr>
      </w:pPr>
    </w:p>
    <w:p w14:paraId="4023457B" w14:textId="0D457F6D" w:rsidR="005D225B" w:rsidRDefault="005D225B" w:rsidP="00A23AF8">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lastRenderedPageBreak/>
        <w:t xml:space="preserve">According to the </w:t>
      </w:r>
      <w:r w:rsidR="00E72E33">
        <w:rPr>
          <w:rFonts w:ascii="Arial" w:hAnsi="Arial" w:cs="Arial"/>
          <w:lang w:val="en-US"/>
        </w:rPr>
        <w:t>a</w:t>
      </w:r>
      <w:r>
        <w:rPr>
          <w:rFonts w:ascii="Arial" w:hAnsi="Arial" w:cs="Arial"/>
          <w:lang w:val="en-US"/>
        </w:rPr>
        <w:t xml:space="preserve">pplicant, the employment relationship was terminated by the </w:t>
      </w:r>
      <w:r w:rsidR="0019379D">
        <w:rPr>
          <w:rFonts w:ascii="Arial" w:hAnsi="Arial" w:cs="Arial"/>
          <w:lang w:val="en-US"/>
        </w:rPr>
        <w:t>r</w:t>
      </w:r>
      <w:r>
        <w:rPr>
          <w:rFonts w:ascii="Arial" w:hAnsi="Arial" w:cs="Arial"/>
          <w:lang w:val="en-US"/>
        </w:rPr>
        <w:t xml:space="preserve">espondent himself shortly after the </w:t>
      </w:r>
      <w:r w:rsidR="00E72E33">
        <w:rPr>
          <w:rFonts w:ascii="Arial" w:hAnsi="Arial" w:cs="Arial"/>
          <w:lang w:val="en-US"/>
        </w:rPr>
        <w:t>a</w:t>
      </w:r>
      <w:r>
        <w:rPr>
          <w:rFonts w:ascii="Arial" w:hAnsi="Arial" w:cs="Arial"/>
          <w:lang w:val="en-US"/>
        </w:rPr>
        <w:t xml:space="preserve">pplicant laid criminal charges against him and other employees following various allegations of theft. Some of the </w:t>
      </w:r>
      <w:r w:rsidR="0019379D">
        <w:rPr>
          <w:rFonts w:ascii="Arial" w:hAnsi="Arial" w:cs="Arial"/>
          <w:lang w:val="en-US"/>
        </w:rPr>
        <w:t>r</w:t>
      </w:r>
      <w:r>
        <w:rPr>
          <w:rFonts w:ascii="Arial" w:hAnsi="Arial" w:cs="Arial"/>
          <w:lang w:val="en-US"/>
        </w:rPr>
        <w:t>espondent’s co-workers were arrested and made first appearances in the Rundu Magistrate’s Court</w:t>
      </w:r>
      <w:r w:rsidR="00BF530D">
        <w:rPr>
          <w:rFonts w:ascii="Arial" w:hAnsi="Arial" w:cs="Arial"/>
          <w:lang w:val="en-US"/>
        </w:rPr>
        <w:t xml:space="preserve">. The </w:t>
      </w:r>
      <w:r w:rsidR="0019379D">
        <w:rPr>
          <w:rFonts w:ascii="Arial" w:hAnsi="Arial" w:cs="Arial"/>
          <w:lang w:val="en-US"/>
        </w:rPr>
        <w:t>r</w:t>
      </w:r>
      <w:r w:rsidR="00BF530D">
        <w:rPr>
          <w:rFonts w:ascii="Arial" w:hAnsi="Arial" w:cs="Arial"/>
          <w:lang w:val="en-US"/>
        </w:rPr>
        <w:t>espondent absconded before the police could get hold of him and</w:t>
      </w:r>
      <w:r>
        <w:rPr>
          <w:rFonts w:ascii="Arial" w:hAnsi="Arial" w:cs="Arial"/>
          <w:lang w:val="en-US"/>
        </w:rPr>
        <w:t xml:space="preserve"> never report</w:t>
      </w:r>
      <w:r w:rsidR="00485084">
        <w:rPr>
          <w:rFonts w:ascii="Arial" w:hAnsi="Arial" w:cs="Arial"/>
          <w:lang w:val="en-US"/>
        </w:rPr>
        <w:t>ed</w:t>
      </w:r>
      <w:r>
        <w:rPr>
          <w:rFonts w:ascii="Arial" w:hAnsi="Arial" w:cs="Arial"/>
          <w:lang w:val="en-US"/>
        </w:rPr>
        <w:t xml:space="preserve"> for work again. The </w:t>
      </w:r>
      <w:r w:rsidR="0019379D">
        <w:rPr>
          <w:rFonts w:ascii="Arial" w:hAnsi="Arial" w:cs="Arial"/>
          <w:lang w:val="en-US"/>
        </w:rPr>
        <w:t>r</w:t>
      </w:r>
      <w:r>
        <w:rPr>
          <w:rFonts w:ascii="Arial" w:hAnsi="Arial" w:cs="Arial"/>
          <w:lang w:val="en-US"/>
        </w:rPr>
        <w:t>espondent admit</w:t>
      </w:r>
      <w:r w:rsidR="003E6488">
        <w:rPr>
          <w:rFonts w:ascii="Arial" w:hAnsi="Arial" w:cs="Arial"/>
          <w:lang w:val="en-US"/>
        </w:rPr>
        <w:t>ted</w:t>
      </w:r>
      <w:r>
        <w:rPr>
          <w:rFonts w:ascii="Arial" w:hAnsi="Arial" w:cs="Arial"/>
          <w:lang w:val="en-US"/>
        </w:rPr>
        <w:t xml:space="preserve"> </w:t>
      </w:r>
      <w:r w:rsidR="00B56684">
        <w:rPr>
          <w:rFonts w:ascii="Arial" w:hAnsi="Arial" w:cs="Arial"/>
          <w:lang w:val="en-US"/>
        </w:rPr>
        <w:t xml:space="preserve">that </w:t>
      </w:r>
      <w:r>
        <w:rPr>
          <w:rFonts w:ascii="Arial" w:hAnsi="Arial" w:cs="Arial"/>
          <w:lang w:val="en-US"/>
        </w:rPr>
        <w:t xml:space="preserve">a criminal charge of theft </w:t>
      </w:r>
      <w:r w:rsidR="00B56684">
        <w:rPr>
          <w:rFonts w:ascii="Arial" w:hAnsi="Arial" w:cs="Arial"/>
          <w:lang w:val="en-US"/>
        </w:rPr>
        <w:t xml:space="preserve">was laid </w:t>
      </w:r>
      <w:r>
        <w:rPr>
          <w:rFonts w:ascii="Arial" w:hAnsi="Arial" w:cs="Arial"/>
          <w:lang w:val="en-US"/>
        </w:rPr>
        <w:t>against him but sa</w:t>
      </w:r>
      <w:r w:rsidR="003E6488">
        <w:rPr>
          <w:rFonts w:ascii="Arial" w:hAnsi="Arial" w:cs="Arial"/>
          <w:lang w:val="en-US"/>
        </w:rPr>
        <w:t>id</w:t>
      </w:r>
      <w:r>
        <w:rPr>
          <w:rFonts w:ascii="Arial" w:hAnsi="Arial" w:cs="Arial"/>
          <w:lang w:val="en-US"/>
        </w:rPr>
        <w:t xml:space="preserve"> the charge</w:t>
      </w:r>
      <w:r w:rsidR="00485084">
        <w:rPr>
          <w:rFonts w:ascii="Arial" w:hAnsi="Arial" w:cs="Arial"/>
          <w:lang w:val="en-US"/>
        </w:rPr>
        <w:t xml:space="preserve"> </w:t>
      </w:r>
      <w:r w:rsidR="003E6488">
        <w:rPr>
          <w:rFonts w:ascii="Arial" w:hAnsi="Arial" w:cs="Arial"/>
          <w:lang w:val="en-US"/>
        </w:rPr>
        <w:t>wa</w:t>
      </w:r>
      <w:r w:rsidR="00485084">
        <w:rPr>
          <w:rFonts w:ascii="Arial" w:hAnsi="Arial" w:cs="Arial"/>
          <w:lang w:val="en-US"/>
        </w:rPr>
        <w:t>s</w:t>
      </w:r>
      <w:r>
        <w:rPr>
          <w:rFonts w:ascii="Arial" w:hAnsi="Arial" w:cs="Arial"/>
          <w:lang w:val="en-US"/>
        </w:rPr>
        <w:t xml:space="preserve"> baseless</w:t>
      </w:r>
      <w:r w:rsidR="00BF530D">
        <w:rPr>
          <w:rFonts w:ascii="Arial" w:hAnsi="Arial" w:cs="Arial"/>
          <w:lang w:val="en-US"/>
        </w:rPr>
        <w:t>,</w:t>
      </w:r>
      <w:r>
        <w:rPr>
          <w:rFonts w:ascii="Arial" w:hAnsi="Arial" w:cs="Arial"/>
          <w:lang w:val="en-US"/>
        </w:rPr>
        <w:t xml:space="preserve"> and no evidence was presented that he </w:t>
      </w:r>
      <w:r w:rsidR="003E6488">
        <w:rPr>
          <w:rFonts w:ascii="Arial" w:hAnsi="Arial" w:cs="Arial"/>
          <w:lang w:val="en-US"/>
        </w:rPr>
        <w:t>wa</w:t>
      </w:r>
      <w:r>
        <w:rPr>
          <w:rFonts w:ascii="Arial" w:hAnsi="Arial" w:cs="Arial"/>
          <w:lang w:val="en-US"/>
        </w:rPr>
        <w:t>s guilty</w:t>
      </w:r>
      <w:r w:rsidR="00485084">
        <w:rPr>
          <w:rFonts w:ascii="Arial" w:hAnsi="Arial" w:cs="Arial"/>
          <w:lang w:val="en-US"/>
        </w:rPr>
        <w:t xml:space="preserve">. The </w:t>
      </w:r>
      <w:r w:rsidR="0019379D">
        <w:rPr>
          <w:rFonts w:ascii="Arial" w:hAnsi="Arial" w:cs="Arial"/>
          <w:lang w:val="en-US"/>
        </w:rPr>
        <w:t>r</w:t>
      </w:r>
      <w:r w:rsidR="00485084">
        <w:rPr>
          <w:rFonts w:ascii="Arial" w:hAnsi="Arial" w:cs="Arial"/>
          <w:lang w:val="en-US"/>
        </w:rPr>
        <w:t>espondent</w:t>
      </w:r>
      <w:r>
        <w:rPr>
          <w:rFonts w:ascii="Arial" w:hAnsi="Arial" w:cs="Arial"/>
          <w:lang w:val="en-US"/>
        </w:rPr>
        <w:t xml:space="preserve"> denie</w:t>
      </w:r>
      <w:r w:rsidR="003E6488">
        <w:rPr>
          <w:rFonts w:ascii="Arial" w:hAnsi="Arial" w:cs="Arial"/>
          <w:lang w:val="en-US"/>
        </w:rPr>
        <w:t>d</w:t>
      </w:r>
      <w:r>
        <w:rPr>
          <w:rFonts w:ascii="Arial" w:hAnsi="Arial" w:cs="Arial"/>
          <w:lang w:val="en-US"/>
        </w:rPr>
        <w:t xml:space="preserve"> that he terminated the employment contract.</w:t>
      </w:r>
    </w:p>
    <w:p w14:paraId="242D5507" w14:textId="77777777" w:rsidR="005D225B" w:rsidRPr="005D225B" w:rsidRDefault="005D225B" w:rsidP="005D225B">
      <w:pPr>
        <w:pStyle w:val="ListParagraph"/>
        <w:rPr>
          <w:rFonts w:ascii="Arial" w:hAnsi="Arial" w:cs="Arial"/>
          <w:lang w:val="en-US"/>
        </w:rPr>
      </w:pPr>
    </w:p>
    <w:p w14:paraId="3AC80791" w14:textId="2AD0D82E" w:rsidR="003E6488" w:rsidRPr="0019379D" w:rsidRDefault="005D225B" w:rsidP="0019379D">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dispute was referred to the Labour Commissioner </w:t>
      </w:r>
      <w:r w:rsidR="00BF530D">
        <w:rPr>
          <w:rFonts w:ascii="Arial" w:hAnsi="Arial" w:cs="Arial"/>
          <w:lang w:val="en-US"/>
        </w:rPr>
        <w:t>in</w:t>
      </w:r>
      <w:r>
        <w:rPr>
          <w:rFonts w:ascii="Arial" w:hAnsi="Arial" w:cs="Arial"/>
          <w:lang w:val="en-US"/>
        </w:rPr>
        <w:t xml:space="preserve"> July 2021</w:t>
      </w:r>
      <w:r w:rsidR="00A23AF8">
        <w:rPr>
          <w:rFonts w:ascii="Arial" w:hAnsi="Arial" w:cs="Arial"/>
          <w:lang w:val="en-US"/>
        </w:rPr>
        <w:t>.</w:t>
      </w:r>
      <w:r w:rsidR="001E76BA">
        <w:rPr>
          <w:rFonts w:ascii="Arial" w:hAnsi="Arial" w:cs="Arial"/>
          <w:lang w:val="en-US"/>
        </w:rPr>
        <w:t xml:space="preserve"> </w:t>
      </w:r>
      <w:r w:rsidR="00A23AF8" w:rsidRPr="00A23AF8">
        <w:rPr>
          <w:rFonts w:ascii="Arial" w:hAnsi="Arial" w:cs="Arial"/>
          <w:lang w:val="en-US"/>
        </w:rPr>
        <w:t xml:space="preserve">The </w:t>
      </w:r>
      <w:r w:rsidR="00E72E33">
        <w:rPr>
          <w:rFonts w:ascii="Arial" w:hAnsi="Arial" w:cs="Arial"/>
          <w:lang w:val="en-US"/>
        </w:rPr>
        <w:t>a</w:t>
      </w:r>
      <w:r w:rsidR="00A23AF8" w:rsidRPr="00A23AF8">
        <w:rPr>
          <w:rFonts w:ascii="Arial" w:hAnsi="Arial" w:cs="Arial"/>
          <w:lang w:val="en-US"/>
        </w:rPr>
        <w:t>pplicant sa</w:t>
      </w:r>
      <w:r w:rsidR="003E6488">
        <w:rPr>
          <w:rFonts w:ascii="Arial" w:hAnsi="Arial" w:cs="Arial"/>
          <w:lang w:val="en-US"/>
        </w:rPr>
        <w:t>id</w:t>
      </w:r>
      <w:r w:rsidR="00A23AF8" w:rsidRPr="00A23AF8">
        <w:rPr>
          <w:rFonts w:ascii="Arial" w:hAnsi="Arial" w:cs="Arial"/>
          <w:lang w:val="en-US"/>
        </w:rPr>
        <w:t xml:space="preserve"> the labour dispute was initially set down for </w:t>
      </w:r>
      <w:r w:rsidR="00A23AF8">
        <w:rPr>
          <w:rFonts w:ascii="Arial" w:hAnsi="Arial" w:cs="Arial"/>
          <w:lang w:val="en-US"/>
        </w:rPr>
        <w:t xml:space="preserve">1 </w:t>
      </w:r>
      <w:r w:rsidR="00A23AF8" w:rsidRPr="00A23AF8">
        <w:rPr>
          <w:rFonts w:ascii="Arial" w:hAnsi="Arial" w:cs="Arial"/>
          <w:lang w:val="en-US"/>
        </w:rPr>
        <w:t>September 2021</w:t>
      </w:r>
      <w:r w:rsidR="00F37EC6">
        <w:rPr>
          <w:rFonts w:ascii="Arial" w:hAnsi="Arial" w:cs="Arial"/>
          <w:lang w:val="en-US"/>
        </w:rPr>
        <w:t>,</w:t>
      </w:r>
      <w:r w:rsidR="00A23AF8" w:rsidRPr="00A23AF8">
        <w:rPr>
          <w:rFonts w:ascii="Arial" w:hAnsi="Arial" w:cs="Arial"/>
          <w:lang w:val="en-US"/>
        </w:rPr>
        <w:t xml:space="preserve"> and </w:t>
      </w:r>
      <w:r w:rsidR="000F1663">
        <w:rPr>
          <w:rFonts w:ascii="Arial" w:hAnsi="Arial" w:cs="Arial"/>
          <w:lang w:val="en-US"/>
        </w:rPr>
        <w:t xml:space="preserve">it </w:t>
      </w:r>
      <w:r w:rsidR="00A23AF8" w:rsidRPr="00A23AF8">
        <w:rPr>
          <w:rFonts w:ascii="Arial" w:hAnsi="Arial" w:cs="Arial"/>
          <w:lang w:val="en-US"/>
        </w:rPr>
        <w:t xml:space="preserve">was postponed to 3 September 2021 for submissions by the </w:t>
      </w:r>
      <w:r w:rsidR="00E72E33">
        <w:rPr>
          <w:rFonts w:ascii="Arial" w:hAnsi="Arial" w:cs="Arial"/>
          <w:lang w:val="en-US"/>
        </w:rPr>
        <w:t>a</w:t>
      </w:r>
      <w:r w:rsidR="00A23AF8" w:rsidRPr="00A23AF8">
        <w:rPr>
          <w:rFonts w:ascii="Arial" w:hAnsi="Arial" w:cs="Arial"/>
          <w:lang w:val="en-US"/>
        </w:rPr>
        <w:t>pplicant on a point in limine</w:t>
      </w:r>
      <w:r w:rsidR="00F37EC6">
        <w:rPr>
          <w:rFonts w:ascii="Arial" w:hAnsi="Arial" w:cs="Arial"/>
          <w:lang w:val="en-US"/>
        </w:rPr>
        <w:t>. W</w:t>
      </w:r>
      <w:r w:rsidR="00A23AF8">
        <w:rPr>
          <w:rFonts w:ascii="Arial" w:hAnsi="Arial" w:cs="Arial"/>
          <w:lang w:val="en-US"/>
        </w:rPr>
        <w:t xml:space="preserve">hen </w:t>
      </w:r>
      <w:r w:rsidR="00A23AF8" w:rsidRPr="00A23AF8">
        <w:rPr>
          <w:rFonts w:ascii="Arial" w:hAnsi="Arial" w:cs="Arial"/>
          <w:lang w:val="en-US"/>
        </w:rPr>
        <w:t xml:space="preserve">the </w:t>
      </w:r>
      <w:r w:rsidR="0019379D">
        <w:rPr>
          <w:rFonts w:ascii="Arial" w:hAnsi="Arial" w:cs="Arial"/>
          <w:lang w:val="en-US"/>
        </w:rPr>
        <w:t>r</w:t>
      </w:r>
      <w:r w:rsidR="00A23AF8" w:rsidRPr="00A23AF8">
        <w:rPr>
          <w:rFonts w:ascii="Arial" w:hAnsi="Arial" w:cs="Arial"/>
          <w:lang w:val="en-US"/>
        </w:rPr>
        <w:t>espondent did not appear on 3 September 2021</w:t>
      </w:r>
      <w:r w:rsidR="00A23AF8">
        <w:rPr>
          <w:rFonts w:ascii="Arial" w:hAnsi="Arial" w:cs="Arial"/>
          <w:lang w:val="en-US"/>
        </w:rPr>
        <w:t xml:space="preserve">, </w:t>
      </w:r>
      <w:r w:rsidR="00F37EC6">
        <w:rPr>
          <w:rFonts w:ascii="Arial" w:hAnsi="Arial" w:cs="Arial"/>
          <w:lang w:val="en-US"/>
        </w:rPr>
        <w:t xml:space="preserve">the </w:t>
      </w:r>
      <w:r w:rsidR="00E72E33">
        <w:rPr>
          <w:rFonts w:ascii="Arial" w:hAnsi="Arial" w:cs="Arial"/>
          <w:lang w:val="en-US"/>
        </w:rPr>
        <w:t>a</w:t>
      </w:r>
      <w:r w:rsidR="00F37EC6">
        <w:rPr>
          <w:rFonts w:ascii="Arial" w:hAnsi="Arial" w:cs="Arial"/>
          <w:lang w:val="en-US"/>
        </w:rPr>
        <w:t>pplicant’s deponent understood</w:t>
      </w:r>
      <w:r w:rsidR="00A23AF8">
        <w:rPr>
          <w:rFonts w:ascii="Arial" w:hAnsi="Arial" w:cs="Arial"/>
          <w:lang w:val="en-US"/>
        </w:rPr>
        <w:t xml:space="preserve"> that </w:t>
      </w:r>
      <w:r w:rsidR="00A23AF8" w:rsidRPr="00A23AF8">
        <w:rPr>
          <w:rFonts w:ascii="Arial" w:hAnsi="Arial" w:cs="Arial"/>
          <w:lang w:val="en-US"/>
        </w:rPr>
        <w:t>the matter was dismissed.</w:t>
      </w:r>
      <w:r w:rsidR="00A23AF8">
        <w:rPr>
          <w:rFonts w:ascii="Arial" w:hAnsi="Arial" w:cs="Arial"/>
          <w:lang w:val="en-US"/>
        </w:rPr>
        <w:t xml:space="preserve"> Despite enquiries</w:t>
      </w:r>
      <w:r w:rsidR="00920172">
        <w:rPr>
          <w:rFonts w:ascii="Arial" w:hAnsi="Arial" w:cs="Arial"/>
          <w:lang w:val="en-US"/>
        </w:rPr>
        <w:t>,</w:t>
      </w:r>
      <w:r w:rsidR="00A23AF8">
        <w:rPr>
          <w:rFonts w:ascii="Arial" w:hAnsi="Arial" w:cs="Arial"/>
          <w:lang w:val="en-US"/>
        </w:rPr>
        <w:t xml:space="preserve"> the </w:t>
      </w:r>
      <w:r w:rsidR="00E72E33">
        <w:rPr>
          <w:rFonts w:ascii="Arial" w:hAnsi="Arial" w:cs="Arial"/>
          <w:lang w:val="en-US"/>
        </w:rPr>
        <w:t>a</w:t>
      </w:r>
      <w:r w:rsidR="00A23AF8">
        <w:rPr>
          <w:rFonts w:ascii="Arial" w:hAnsi="Arial" w:cs="Arial"/>
          <w:lang w:val="en-US"/>
        </w:rPr>
        <w:t xml:space="preserve">pplicant was not provided with a decision regarding the outcome of the 3 September 2021 proceedings. When the </w:t>
      </w:r>
      <w:r w:rsidR="00E72E33">
        <w:rPr>
          <w:rFonts w:ascii="Arial" w:hAnsi="Arial" w:cs="Arial"/>
          <w:lang w:val="en-US"/>
        </w:rPr>
        <w:t>a</w:t>
      </w:r>
      <w:r w:rsidR="00A23AF8">
        <w:rPr>
          <w:rFonts w:ascii="Arial" w:hAnsi="Arial" w:cs="Arial"/>
          <w:lang w:val="en-US"/>
        </w:rPr>
        <w:t xml:space="preserve">pplicant was served with a notice of set down for 3 November 2021 for proceedings in Rundu, the </w:t>
      </w:r>
      <w:r w:rsidR="00E72E33">
        <w:rPr>
          <w:rFonts w:ascii="Arial" w:hAnsi="Arial" w:cs="Arial"/>
          <w:lang w:val="en-US"/>
        </w:rPr>
        <w:t>a</w:t>
      </w:r>
      <w:r w:rsidR="00A23AF8">
        <w:rPr>
          <w:rFonts w:ascii="Arial" w:hAnsi="Arial" w:cs="Arial"/>
          <w:lang w:val="en-US"/>
        </w:rPr>
        <w:t>pplicant was surprised and assumed that the notification occurred in error and that the Labour Commissioner w</w:t>
      </w:r>
      <w:r w:rsidR="00BF530D">
        <w:rPr>
          <w:rFonts w:ascii="Arial" w:hAnsi="Arial" w:cs="Arial"/>
          <w:lang w:val="en-US"/>
        </w:rPr>
        <w:t>ould</w:t>
      </w:r>
      <w:r w:rsidR="00A23AF8">
        <w:rPr>
          <w:rFonts w:ascii="Arial" w:hAnsi="Arial" w:cs="Arial"/>
          <w:lang w:val="en-US"/>
        </w:rPr>
        <w:t xml:space="preserve"> realise that the matter </w:t>
      </w:r>
      <w:r w:rsidR="00BF530D">
        <w:rPr>
          <w:rFonts w:ascii="Arial" w:hAnsi="Arial" w:cs="Arial"/>
          <w:lang w:val="en-US"/>
        </w:rPr>
        <w:t>had</w:t>
      </w:r>
      <w:r w:rsidR="00A23AF8">
        <w:rPr>
          <w:rFonts w:ascii="Arial" w:hAnsi="Arial" w:cs="Arial"/>
          <w:lang w:val="en-US"/>
        </w:rPr>
        <w:t xml:space="preserve"> already </w:t>
      </w:r>
      <w:r w:rsidR="00BF530D">
        <w:rPr>
          <w:rFonts w:ascii="Arial" w:hAnsi="Arial" w:cs="Arial"/>
          <w:lang w:val="en-US"/>
        </w:rPr>
        <w:t xml:space="preserve">been </w:t>
      </w:r>
      <w:r w:rsidR="00A23AF8">
        <w:rPr>
          <w:rFonts w:ascii="Arial" w:hAnsi="Arial" w:cs="Arial"/>
          <w:lang w:val="en-US"/>
        </w:rPr>
        <w:t>heard and dismissed. On 3 November 2021</w:t>
      </w:r>
      <w:r w:rsidR="00B56684">
        <w:rPr>
          <w:rFonts w:ascii="Arial" w:hAnsi="Arial" w:cs="Arial"/>
          <w:lang w:val="en-US"/>
        </w:rPr>
        <w:t>,</w:t>
      </w:r>
      <w:r w:rsidR="00A23AF8">
        <w:rPr>
          <w:rFonts w:ascii="Arial" w:hAnsi="Arial" w:cs="Arial"/>
          <w:lang w:val="en-US"/>
        </w:rPr>
        <w:t xml:space="preserve"> the Arbitrator proceeded with the arbitration in the </w:t>
      </w:r>
      <w:r w:rsidR="00E72E33">
        <w:rPr>
          <w:rFonts w:ascii="Arial" w:hAnsi="Arial" w:cs="Arial"/>
          <w:lang w:val="en-US"/>
        </w:rPr>
        <w:t>a</w:t>
      </w:r>
      <w:r w:rsidR="00A23AF8">
        <w:rPr>
          <w:rFonts w:ascii="Arial" w:hAnsi="Arial" w:cs="Arial"/>
          <w:lang w:val="en-US"/>
        </w:rPr>
        <w:t>pplicant’s absence</w:t>
      </w:r>
      <w:r w:rsidR="00920172">
        <w:rPr>
          <w:rFonts w:ascii="Arial" w:hAnsi="Arial" w:cs="Arial"/>
          <w:lang w:val="en-US"/>
        </w:rPr>
        <w:t xml:space="preserve"> and issued an award on 7 December 2021. On 17 December 2021</w:t>
      </w:r>
      <w:r w:rsidR="0059357A">
        <w:rPr>
          <w:rFonts w:ascii="Arial" w:hAnsi="Arial" w:cs="Arial"/>
          <w:lang w:val="en-US"/>
        </w:rPr>
        <w:t>,</w:t>
      </w:r>
      <w:r w:rsidR="00920172">
        <w:rPr>
          <w:rFonts w:ascii="Arial" w:hAnsi="Arial" w:cs="Arial"/>
          <w:lang w:val="en-US"/>
        </w:rPr>
        <w:t xml:space="preserve"> Coleman learned that the matter was not dismissed on 3 September 2021</w:t>
      </w:r>
      <w:r w:rsidR="00BF530D">
        <w:rPr>
          <w:rFonts w:ascii="Arial" w:hAnsi="Arial" w:cs="Arial"/>
          <w:lang w:val="en-US"/>
        </w:rPr>
        <w:t xml:space="preserve"> </w:t>
      </w:r>
      <w:r w:rsidR="00920172">
        <w:rPr>
          <w:rFonts w:ascii="Arial" w:hAnsi="Arial" w:cs="Arial"/>
          <w:lang w:val="en-US"/>
        </w:rPr>
        <w:t>but</w:t>
      </w:r>
      <w:r w:rsidR="00BF530D">
        <w:rPr>
          <w:rFonts w:ascii="Arial" w:hAnsi="Arial" w:cs="Arial"/>
          <w:lang w:val="en-US"/>
        </w:rPr>
        <w:t xml:space="preserve"> </w:t>
      </w:r>
      <w:r w:rsidR="00920172">
        <w:rPr>
          <w:rFonts w:ascii="Arial" w:hAnsi="Arial" w:cs="Arial"/>
          <w:lang w:val="en-US"/>
        </w:rPr>
        <w:t xml:space="preserve">was transferred to the </w:t>
      </w:r>
      <w:r w:rsidR="00B56684">
        <w:rPr>
          <w:rFonts w:ascii="Arial" w:hAnsi="Arial" w:cs="Arial"/>
          <w:lang w:val="en-US"/>
        </w:rPr>
        <w:t xml:space="preserve">Labour Commissioner’s </w:t>
      </w:r>
      <w:r w:rsidR="00920172">
        <w:rPr>
          <w:rFonts w:ascii="Arial" w:hAnsi="Arial" w:cs="Arial"/>
          <w:lang w:val="en-US"/>
        </w:rPr>
        <w:t xml:space="preserve">Rundu office. </w:t>
      </w:r>
    </w:p>
    <w:p w14:paraId="272E4DA0" w14:textId="77777777" w:rsidR="003E6488" w:rsidRPr="00A23AF8" w:rsidRDefault="003E6488" w:rsidP="00A23AF8">
      <w:pPr>
        <w:pStyle w:val="ListParagraph"/>
        <w:rPr>
          <w:rFonts w:ascii="Arial" w:hAnsi="Arial" w:cs="Arial"/>
          <w:lang w:val="en-US"/>
        </w:rPr>
      </w:pPr>
    </w:p>
    <w:p w14:paraId="63AA329A" w14:textId="7D32937E" w:rsidR="007A0259" w:rsidRPr="003E6488" w:rsidRDefault="007A0259" w:rsidP="007A0259">
      <w:pPr>
        <w:pStyle w:val="ListParagraph"/>
        <w:spacing w:line="360" w:lineRule="auto"/>
        <w:ind w:left="0"/>
        <w:jc w:val="both"/>
        <w:rPr>
          <w:rFonts w:ascii="Arial" w:hAnsi="Arial" w:cs="Arial"/>
          <w:u w:val="single"/>
          <w:lang w:val="en-US"/>
        </w:rPr>
      </w:pPr>
      <w:r w:rsidRPr="003E6488">
        <w:rPr>
          <w:rFonts w:ascii="Arial" w:hAnsi="Arial" w:cs="Arial"/>
          <w:u w:val="single"/>
          <w:lang w:val="en-US"/>
        </w:rPr>
        <w:t>The explanations</w:t>
      </w:r>
    </w:p>
    <w:p w14:paraId="1364201B" w14:textId="77777777" w:rsidR="007A0259" w:rsidRPr="007A0259" w:rsidRDefault="007A0259" w:rsidP="007A0259">
      <w:pPr>
        <w:pStyle w:val="ListParagraph"/>
        <w:rPr>
          <w:rFonts w:ascii="Arial" w:hAnsi="Arial" w:cs="Arial"/>
          <w:lang w:val="en-US"/>
        </w:rPr>
      </w:pPr>
    </w:p>
    <w:p w14:paraId="728C3AE2" w14:textId="5BCAFD48" w:rsidR="00920172" w:rsidRDefault="00920172" w:rsidP="00496BB3">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The court now turns to the first</w:t>
      </w:r>
      <w:r w:rsidR="002B064F">
        <w:rPr>
          <w:rFonts w:ascii="Arial" w:hAnsi="Arial" w:cs="Arial"/>
          <w:lang w:val="en-US"/>
        </w:rPr>
        <w:t xml:space="preserve"> requirement of</w:t>
      </w:r>
      <w:r>
        <w:rPr>
          <w:rFonts w:ascii="Arial" w:hAnsi="Arial" w:cs="Arial"/>
          <w:lang w:val="en-US"/>
        </w:rPr>
        <w:t xml:space="preserve"> </w:t>
      </w:r>
      <w:r w:rsidR="002B064F">
        <w:rPr>
          <w:rFonts w:ascii="Arial" w:hAnsi="Arial" w:cs="Arial"/>
          <w:lang w:val="en-US"/>
        </w:rPr>
        <w:t>good cause</w:t>
      </w:r>
      <w:r w:rsidR="00DE31A4">
        <w:rPr>
          <w:rFonts w:ascii="Arial" w:hAnsi="Arial" w:cs="Arial"/>
          <w:lang w:val="en-US"/>
        </w:rPr>
        <w:t xml:space="preserve">, </w:t>
      </w:r>
      <w:r w:rsidR="002B064F">
        <w:rPr>
          <w:rFonts w:ascii="Arial" w:hAnsi="Arial" w:cs="Arial"/>
          <w:lang w:val="en-US"/>
        </w:rPr>
        <w:t>explaining</w:t>
      </w:r>
      <w:r w:rsidR="00DE31A4">
        <w:rPr>
          <w:rFonts w:ascii="Arial" w:hAnsi="Arial" w:cs="Arial"/>
          <w:lang w:val="en-US"/>
        </w:rPr>
        <w:t xml:space="preserve"> the non-compliance and the delay</w:t>
      </w:r>
      <w:r>
        <w:rPr>
          <w:rFonts w:ascii="Arial" w:hAnsi="Arial" w:cs="Arial"/>
          <w:lang w:val="en-US"/>
        </w:rPr>
        <w:t>.</w:t>
      </w:r>
    </w:p>
    <w:p w14:paraId="08BBDC87" w14:textId="77777777" w:rsidR="00920172" w:rsidRPr="00920172" w:rsidRDefault="00920172" w:rsidP="00920172">
      <w:pPr>
        <w:pStyle w:val="ListParagraph"/>
        <w:rPr>
          <w:rFonts w:ascii="Arial" w:hAnsi="Arial" w:cs="Arial"/>
          <w:lang w:val="en-US"/>
        </w:rPr>
      </w:pPr>
    </w:p>
    <w:p w14:paraId="7AB30902" w14:textId="3EDC38DC" w:rsidR="00EA37C8" w:rsidRDefault="00A23AF8" w:rsidP="00910C3D">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T</w:t>
      </w:r>
      <w:r w:rsidR="00EA37C8" w:rsidRPr="00C01A7F">
        <w:rPr>
          <w:rFonts w:ascii="Arial" w:hAnsi="Arial" w:cs="Arial"/>
          <w:lang w:val="en-US"/>
        </w:rPr>
        <w:t xml:space="preserve">he </w:t>
      </w:r>
      <w:r w:rsidR="0019379D">
        <w:rPr>
          <w:rFonts w:ascii="Arial" w:hAnsi="Arial" w:cs="Arial"/>
          <w:lang w:val="en-US"/>
        </w:rPr>
        <w:t>r</w:t>
      </w:r>
      <w:r w:rsidR="00EA37C8" w:rsidRPr="00C01A7F">
        <w:rPr>
          <w:rFonts w:ascii="Arial" w:hAnsi="Arial" w:cs="Arial"/>
          <w:lang w:val="en-US"/>
        </w:rPr>
        <w:t xml:space="preserve">espondent </w:t>
      </w:r>
      <w:r w:rsidR="00EA37C8">
        <w:rPr>
          <w:rFonts w:ascii="Arial" w:hAnsi="Arial" w:cs="Arial"/>
          <w:lang w:val="en-US"/>
        </w:rPr>
        <w:t>argue</w:t>
      </w:r>
      <w:r w:rsidR="003E6488">
        <w:rPr>
          <w:rFonts w:ascii="Arial" w:hAnsi="Arial" w:cs="Arial"/>
          <w:lang w:val="en-US"/>
        </w:rPr>
        <w:t>d</w:t>
      </w:r>
      <w:r w:rsidR="00EA37C8" w:rsidRPr="00C01A7F">
        <w:rPr>
          <w:rFonts w:ascii="Arial" w:hAnsi="Arial" w:cs="Arial"/>
          <w:lang w:val="en-US"/>
        </w:rPr>
        <w:t xml:space="preserve"> that the </w:t>
      </w:r>
      <w:r w:rsidR="00E72E33">
        <w:rPr>
          <w:rFonts w:ascii="Arial" w:hAnsi="Arial" w:cs="Arial"/>
          <w:lang w:val="en-US"/>
        </w:rPr>
        <w:t>a</w:t>
      </w:r>
      <w:r w:rsidR="00EA37C8" w:rsidRPr="00C01A7F">
        <w:rPr>
          <w:rFonts w:ascii="Arial" w:hAnsi="Arial" w:cs="Arial"/>
          <w:lang w:val="en-US"/>
        </w:rPr>
        <w:t xml:space="preserve">pplicant </w:t>
      </w:r>
      <w:r w:rsidR="002B064F">
        <w:rPr>
          <w:rFonts w:ascii="Arial" w:hAnsi="Arial" w:cs="Arial"/>
          <w:lang w:val="en-US"/>
        </w:rPr>
        <w:t>did not explai</w:t>
      </w:r>
      <w:r w:rsidR="00EA37C8" w:rsidRPr="00C01A7F">
        <w:rPr>
          <w:rFonts w:ascii="Arial" w:hAnsi="Arial" w:cs="Arial"/>
          <w:lang w:val="en-US"/>
        </w:rPr>
        <w:t xml:space="preserve">n the period </w:t>
      </w:r>
      <w:r w:rsidR="003E6488">
        <w:rPr>
          <w:rFonts w:ascii="Arial" w:hAnsi="Arial" w:cs="Arial"/>
          <w:lang w:val="en-US"/>
        </w:rPr>
        <w:t xml:space="preserve">from </w:t>
      </w:r>
      <w:r w:rsidR="00EA37C8" w:rsidRPr="00C01A7F">
        <w:rPr>
          <w:rFonts w:ascii="Arial" w:hAnsi="Arial" w:cs="Arial"/>
          <w:lang w:val="en-US"/>
        </w:rPr>
        <w:t>27 May 2022</w:t>
      </w:r>
      <w:r w:rsidR="00EA6F71">
        <w:rPr>
          <w:rFonts w:ascii="Arial" w:hAnsi="Arial" w:cs="Arial"/>
          <w:lang w:val="en-US"/>
        </w:rPr>
        <w:t xml:space="preserve"> </w:t>
      </w:r>
      <w:r w:rsidR="00920172">
        <w:rPr>
          <w:rFonts w:ascii="Arial" w:hAnsi="Arial" w:cs="Arial"/>
          <w:lang w:val="en-US"/>
        </w:rPr>
        <w:t>(</w:t>
      </w:r>
      <w:r w:rsidR="00EA6F71">
        <w:rPr>
          <w:rFonts w:ascii="Arial" w:hAnsi="Arial" w:cs="Arial"/>
          <w:lang w:val="en-US"/>
        </w:rPr>
        <w:t>when the notice to prosecute was issued</w:t>
      </w:r>
      <w:r w:rsidR="00920172">
        <w:rPr>
          <w:rFonts w:ascii="Arial" w:hAnsi="Arial" w:cs="Arial"/>
          <w:lang w:val="en-US"/>
        </w:rPr>
        <w:t>)</w:t>
      </w:r>
      <w:r w:rsidR="00EA6F71">
        <w:rPr>
          <w:rFonts w:ascii="Arial" w:hAnsi="Arial" w:cs="Arial"/>
          <w:lang w:val="en-US"/>
        </w:rPr>
        <w:t xml:space="preserve"> </w:t>
      </w:r>
      <w:r w:rsidR="00EA37C8" w:rsidRPr="00C01A7F">
        <w:rPr>
          <w:rFonts w:ascii="Arial" w:hAnsi="Arial" w:cs="Arial"/>
          <w:lang w:val="en-US"/>
        </w:rPr>
        <w:t>to 2</w:t>
      </w:r>
      <w:r w:rsidR="00263CDB">
        <w:rPr>
          <w:rFonts w:ascii="Arial" w:hAnsi="Arial" w:cs="Arial"/>
          <w:lang w:val="en-US"/>
        </w:rPr>
        <w:t>7</w:t>
      </w:r>
      <w:r w:rsidR="00EA37C8" w:rsidRPr="00C01A7F">
        <w:rPr>
          <w:rFonts w:ascii="Arial" w:hAnsi="Arial" w:cs="Arial"/>
          <w:lang w:val="en-US"/>
        </w:rPr>
        <w:t xml:space="preserve"> July 2022</w:t>
      </w:r>
      <w:r w:rsidR="00EA6F71">
        <w:rPr>
          <w:rFonts w:ascii="Arial" w:hAnsi="Arial" w:cs="Arial"/>
          <w:lang w:val="en-US"/>
        </w:rPr>
        <w:t xml:space="preserve"> </w:t>
      </w:r>
      <w:r w:rsidR="00920172">
        <w:rPr>
          <w:rFonts w:ascii="Arial" w:hAnsi="Arial" w:cs="Arial"/>
          <w:lang w:val="en-US"/>
        </w:rPr>
        <w:t>(</w:t>
      </w:r>
      <w:r w:rsidR="00263CDB">
        <w:rPr>
          <w:rFonts w:ascii="Arial" w:hAnsi="Arial" w:cs="Arial"/>
          <w:lang w:val="en-US"/>
        </w:rPr>
        <w:t xml:space="preserve">the day after </w:t>
      </w:r>
      <w:r w:rsidR="00EA6F71">
        <w:rPr>
          <w:rFonts w:ascii="Arial" w:hAnsi="Arial" w:cs="Arial"/>
          <w:lang w:val="en-US"/>
        </w:rPr>
        <w:t>the appeal lapsed</w:t>
      </w:r>
      <w:r w:rsidR="00920172">
        <w:rPr>
          <w:rFonts w:ascii="Arial" w:hAnsi="Arial" w:cs="Arial"/>
          <w:lang w:val="en-US"/>
        </w:rPr>
        <w:t>)</w:t>
      </w:r>
      <w:r w:rsidR="00DE31A4">
        <w:rPr>
          <w:rFonts w:ascii="Arial" w:hAnsi="Arial" w:cs="Arial"/>
          <w:lang w:val="en-US"/>
        </w:rPr>
        <w:t xml:space="preserve"> and also from 11 July 2022</w:t>
      </w:r>
      <w:r w:rsidR="000F1663">
        <w:rPr>
          <w:rFonts w:ascii="Arial" w:hAnsi="Arial" w:cs="Arial"/>
          <w:lang w:val="en-US"/>
        </w:rPr>
        <w:t xml:space="preserve"> (when the record was filed)</w:t>
      </w:r>
      <w:r w:rsidR="00DE31A4">
        <w:rPr>
          <w:rFonts w:ascii="Arial" w:hAnsi="Arial" w:cs="Arial"/>
          <w:lang w:val="en-US"/>
        </w:rPr>
        <w:t xml:space="preserve"> to 6 October 2022</w:t>
      </w:r>
      <w:r w:rsidR="000F1663">
        <w:rPr>
          <w:rFonts w:ascii="Arial" w:hAnsi="Arial" w:cs="Arial"/>
          <w:lang w:val="en-US"/>
        </w:rPr>
        <w:t xml:space="preserve"> (when the application was launched)</w:t>
      </w:r>
      <w:r w:rsidR="00EA37C8" w:rsidRPr="00C01A7F">
        <w:rPr>
          <w:rFonts w:ascii="Arial" w:hAnsi="Arial" w:cs="Arial"/>
          <w:lang w:val="en-US"/>
        </w:rPr>
        <w:t>.</w:t>
      </w:r>
      <w:r w:rsidR="00273844">
        <w:rPr>
          <w:rFonts w:ascii="Arial" w:hAnsi="Arial" w:cs="Arial"/>
          <w:lang w:val="en-US"/>
        </w:rPr>
        <w:t xml:space="preserve"> </w:t>
      </w:r>
      <w:r w:rsidR="00273844" w:rsidRPr="00C01A7F">
        <w:rPr>
          <w:rFonts w:ascii="Arial" w:hAnsi="Arial" w:cs="Arial"/>
          <w:lang w:val="en-US"/>
        </w:rPr>
        <w:t xml:space="preserve">According to the </w:t>
      </w:r>
      <w:r w:rsidR="0019379D">
        <w:rPr>
          <w:rFonts w:ascii="Arial" w:hAnsi="Arial" w:cs="Arial"/>
          <w:lang w:val="en-US"/>
        </w:rPr>
        <w:lastRenderedPageBreak/>
        <w:t>r</w:t>
      </w:r>
      <w:r w:rsidR="00273844" w:rsidRPr="00C01A7F">
        <w:rPr>
          <w:rFonts w:ascii="Arial" w:hAnsi="Arial" w:cs="Arial"/>
          <w:lang w:val="en-US"/>
        </w:rPr>
        <w:t xml:space="preserve">espondent, the </w:t>
      </w:r>
      <w:r w:rsidR="00E72E33">
        <w:rPr>
          <w:rFonts w:ascii="Arial" w:hAnsi="Arial" w:cs="Arial"/>
          <w:lang w:val="en-US"/>
        </w:rPr>
        <w:t>a</w:t>
      </w:r>
      <w:r w:rsidR="00273844" w:rsidRPr="00C01A7F">
        <w:rPr>
          <w:rFonts w:ascii="Arial" w:hAnsi="Arial" w:cs="Arial"/>
          <w:lang w:val="en-US"/>
        </w:rPr>
        <w:t xml:space="preserve">pplicant </w:t>
      </w:r>
      <w:r w:rsidR="002B064F">
        <w:rPr>
          <w:rFonts w:ascii="Arial" w:hAnsi="Arial" w:cs="Arial"/>
          <w:lang w:val="en-US"/>
        </w:rPr>
        <w:t>should have paid more</w:t>
      </w:r>
      <w:r w:rsidR="00273844" w:rsidRPr="00C01A7F">
        <w:rPr>
          <w:rFonts w:ascii="Arial" w:hAnsi="Arial" w:cs="Arial"/>
          <w:lang w:val="en-US"/>
        </w:rPr>
        <w:t xml:space="preserve"> attention to the notice to prosecute</w:t>
      </w:r>
      <w:r w:rsidR="00273844">
        <w:rPr>
          <w:rFonts w:ascii="Arial" w:hAnsi="Arial" w:cs="Arial"/>
          <w:lang w:val="en-US"/>
        </w:rPr>
        <w:t xml:space="preserve"> of 27 May 2022.</w:t>
      </w:r>
    </w:p>
    <w:p w14:paraId="52CDDB04" w14:textId="77777777" w:rsidR="00910C3D" w:rsidRPr="00910C3D" w:rsidRDefault="00910C3D" w:rsidP="00910C3D">
      <w:pPr>
        <w:pStyle w:val="ListParagraph"/>
        <w:rPr>
          <w:rFonts w:ascii="Arial" w:hAnsi="Arial" w:cs="Arial"/>
          <w:lang w:val="en-US"/>
        </w:rPr>
      </w:pPr>
    </w:p>
    <w:p w14:paraId="692F333F" w14:textId="7A71A53D" w:rsidR="00910C3D" w:rsidRDefault="00910C3D" w:rsidP="00910C3D">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appeal </w:t>
      </w:r>
      <w:r w:rsidR="00AE40F2">
        <w:rPr>
          <w:rFonts w:ascii="Arial" w:hAnsi="Arial" w:cs="Arial"/>
          <w:lang w:val="en-US"/>
        </w:rPr>
        <w:t xml:space="preserve">is </w:t>
      </w:r>
      <w:r>
        <w:rPr>
          <w:rFonts w:ascii="Arial" w:hAnsi="Arial" w:cs="Arial"/>
          <w:lang w:val="en-US"/>
        </w:rPr>
        <w:t xml:space="preserve">only </w:t>
      </w:r>
      <w:r w:rsidR="00AE40F2">
        <w:rPr>
          <w:rFonts w:ascii="Arial" w:hAnsi="Arial" w:cs="Arial"/>
          <w:lang w:val="en-US"/>
        </w:rPr>
        <w:t xml:space="preserve">deemed to have </w:t>
      </w:r>
      <w:r>
        <w:rPr>
          <w:rFonts w:ascii="Arial" w:hAnsi="Arial" w:cs="Arial"/>
          <w:lang w:val="en-US"/>
        </w:rPr>
        <w:t xml:space="preserve">lapsed </w:t>
      </w:r>
      <w:r w:rsidR="00AE40F2">
        <w:rPr>
          <w:rFonts w:ascii="Arial" w:hAnsi="Arial" w:cs="Arial"/>
          <w:lang w:val="en-US"/>
        </w:rPr>
        <w:t xml:space="preserve">as </w:t>
      </w:r>
      <w:r w:rsidR="002B064F">
        <w:rPr>
          <w:rFonts w:ascii="Arial" w:hAnsi="Arial" w:cs="Arial"/>
          <w:lang w:val="en-US"/>
        </w:rPr>
        <w:t>of</w:t>
      </w:r>
      <w:r w:rsidR="00AE40F2">
        <w:rPr>
          <w:rFonts w:ascii="Arial" w:hAnsi="Arial" w:cs="Arial"/>
          <w:lang w:val="en-US"/>
        </w:rPr>
        <w:t xml:space="preserve"> </w:t>
      </w:r>
      <w:r>
        <w:rPr>
          <w:rFonts w:ascii="Arial" w:hAnsi="Arial" w:cs="Arial"/>
          <w:lang w:val="en-US"/>
        </w:rPr>
        <w:t>2</w:t>
      </w:r>
      <w:r w:rsidR="00AE40F2">
        <w:rPr>
          <w:rFonts w:ascii="Arial" w:hAnsi="Arial" w:cs="Arial"/>
          <w:lang w:val="en-US"/>
        </w:rPr>
        <w:t>7</w:t>
      </w:r>
      <w:r>
        <w:rPr>
          <w:rFonts w:ascii="Arial" w:hAnsi="Arial" w:cs="Arial"/>
          <w:lang w:val="en-US"/>
        </w:rPr>
        <w:t xml:space="preserve"> July 2022. To satisfy the court in respect of the first requirement, the </w:t>
      </w:r>
      <w:r w:rsidR="00E72E33">
        <w:rPr>
          <w:rFonts w:ascii="Arial" w:hAnsi="Arial" w:cs="Arial"/>
          <w:lang w:val="en-US"/>
        </w:rPr>
        <w:t>a</w:t>
      </w:r>
      <w:r>
        <w:rPr>
          <w:rFonts w:ascii="Arial" w:hAnsi="Arial" w:cs="Arial"/>
          <w:lang w:val="en-US"/>
        </w:rPr>
        <w:t xml:space="preserve">pplicant must explain </w:t>
      </w:r>
      <w:r w:rsidR="00DE31A4">
        <w:rPr>
          <w:rFonts w:ascii="Arial" w:hAnsi="Arial" w:cs="Arial"/>
          <w:lang w:val="en-US"/>
        </w:rPr>
        <w:t>the non-compliance</w:t>
      </w:r>
      <w:r w:rsidR="00CF6221">
        <w:rPr>
          <w:rFonts w:ascii="Arial" w:hAnsi="Arial" w:cs="Arial"/>
          <w:lang w:val="en-US"/>
        </w:rPr>
        <w:t xml:space="preserve"> (</w:t>
      </w:r>
      <w:r>
        <w:rPr>
          <w:rFonts w:ascii="Arial" w:hAnsi="Arial" w:cs="Arial"/>
          <w:lang w:val="en-US"/>
        </w:rPr>
        <w:t xml:space="preserve">why the appeal was not prosecuted before it lapsed </w:t>
      </w:r>
      <w:r w:rsidR="00AE40F2">
        <w:rPr>
          <w:rFonts w:ascii="Arial" w:hAnsi="Arial" w:cs="Arial"/>
          <w:lang w:val="en-US"/>
        </w:rPr>
        <w:t xml:space="preserve">as </w:t>
      </w:r>
      <w:r w:rsidR="002B064F">
        <w:rPr>
          <w:rFonts w:ascii="Arial" w:hAnsi="Arial" w:cs="Arial"/>
          <w:lang w:val="en-US"/>
        </w:rPr>
        <w:t>of 27 July 2022) and the delay from 27 July 2022, when the appeal lapsed, to 6 October 2022,</w:t>
      </w:r>
      <w:r>
        <w:rPr>
          <w:rFonts w:ascii="Arial" w:hAnsi="Arial" w:cs="Arial"/>
          <w:lang w:val="en-US"/>
        </w:rPr>
        <w:t xml:space="preserve"> when the application was launched. </w:t>
      </w:r>
      <w:r w:rsidR="002B064F">
        <w:rPr>
          <w:rFonts w:ascii="Arial" w:hAnsi="Arial" w:cs="Arial"/>
          <w:lang w:val="en-US"/>
        </w:rPr>
        <w:t xml:space="preserve">The </w:t>
      </w:r>
      <w:r w:rsidR="00E72E33">
        <w:rPr>
          <w:rFonts w:ascii="Arial" w:hAnsi="Arial" w:cs="Arial"/>
          <w:lang w:val="en-US"/>
        </w:rPr>
        <w:t>a</w:t>
      </w:r>
      <w:r w:rsidR="002B064F">
        <w:rPr>
          <w:rFonts w:ascii="Arial" w:hAnsi="Arial" w:cs="Arial"/>
          <w:lang w:val="en-US"/>
        </w:rPr>
        <w:t>pplicant only needs to explain the period preceding 27 July 2022 if</w:t>
      </w:r>
      <w:r w:rsidR="00CF6221">
        <w:rPr>
          <w:rFonts w:ascii="Arial" w:hAnsi="Arial" w:cs="Arial"/>
          <w:lang w:val="en-US"/>
        </w:rPr>
        <w:t xml:space="preserve"> </w:t>
      </w:r>
      <w:r w:rsidR="00DE31A4">
        <w:rPr>
          <w:rFonts w:ascii="Arial" w:hAnsi="Arial" w:cs="Arial"/>
          <w:lang w:val="en-US"/>
        </w:rPr>
        <w:t>the explanation for the non-compliance</w:t>
      </w:r>
      <w:r w:rsidR="000F1663">
        <w:rPr>
          <w:rFonts w:ascii="Arial" w:hAnsi="Arial" w:cs="Arial"/>
          <w:lang w:val="en-US"/>
        </w:rPr>
        <w:t xml:space="preserve"> itself</w:t>
      </w:r>
      <w:r w:rsidR="00CF6221">
        <w:rPr>
          <w:rFonts w:ascii="Arial" w:hAnsi="Arial" w:cs="Arial"/>
          <w:lang w:val="en-US"/>
        </w:rPr>
        <w:t xml:space="preserve"> requires an explanation for the period </w:t>
      </w:r>
      <w:r w:rsidR="002B064F">
        <w:rPr>
          <w:rFonts w:ascii="Arial" w:hAnsi="Arial" w:cs="Arial"/>
          <w:lang w:val="en-US"/>
        </w:rPr>
        <w:t>before</w:t>
      </w:r>
      <w:r w:rsidR="00CF6221">
        <w:rPr>
          <w:rFonts w:ascii="Arial" w:hAnsi="Arial" w:cs="Arial"/>
          <w:lang w:val="en-US"/>
        </w:rPr>
        <w:t xml:space="preserve"> 2</w:t>
      </w:r>
      <w:r w:rsidR="00AE40F2">
        <w:rPr>
          <w:rFonts w:ascii="Arial" w:hAnsi="Arial" w:cs="Arial"/>
          <w:lang w:val="en-US"/>
        </w:rPr>
        <w:t>7</w:t>
      </w:r>
      <w:r w:rsidR="00CF6221">
        <w:rPr>
          <w:rFonts w:ascii="Arial" w:hAnsi="Arial" w:cs="Arial"/>
          <w:lang w:val="en-US"/>
        </w:rPr>
        <w:t xml:space="preserve"> July 2022</w:t>
      </w:r>
      <w:r w:rsidR="00DE31A4">
        <w:rPr>
          <w:rFonts w:ascii="Arial" w:hAnsi="Arial" w:cs="Arial"/>
          <w:lang w:val="en-US"/>
        </w:rPr>
        <w:t>.</w:t>
      </w:r>
    </w:p>
    <w:p w14:paraId="20AFA8C1" w14:textId="77777777" w:rsidR="00DE31A4" w:rsidRPr="00DE31A4" w:rsidRDefault="00DE31A4" w:rsidP="00DE31A4">
      <w:pPr>
        <w:pStyle w:val="ListParagraph"/>
        <w:rPr>
          <w:rFonts w:ascii="Arial" w:hAnsi="Arial" w:cs="Arial"/>
          <w:lang w:val="en-US"/>
        </w:rPr>
      </w:pPr>
    </w:p>
    <w:p w14:paraId="2DE580F2" w14:textId="63D79AC3" w:rsidR="00EA37C8" w:rsidRDefault="00855AB1" w:rsidP="00DE31A4">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following explanation appears from the founding affidavit. </w:t>
      </w:r>
      <w:r w:rsidR="002B064F">
        <w:rPr>
          <w:rFonts w:ascii="Arial" w:hAnsi="Arial" w:cs="Arial"/>
          <w:lang w:val="en-US"/>
        </w:rPr>
        <w:t xml:space="preserve">The </w:t>
      </w:r>
      <w:r w:rsidR="00E72E33">
        <w:rPr>
          <w:rFonts w:ascii="Arial" w:hAnsi="Arial" w:cs="Arial"/>
          <w:lang w:val="en-US"/>
        </w:rPr>
        <w:t>a</w:t>
      </w:r>
      <w:r w:rsidR="002B064F">
        <w:rPr>
          <w:rFonts w:ascii="Arial" w:hAnsi="Arial" w:cs="Arial"/>
          <w:lang w:val="en-US"/>
        </w:rPr>
        <w:t xml:space="preserve">pplicant had challenges with the </w:t>
      </w:r>
      <w:r w:rsidR="0019379D">
        <w:rPr>
          <w:rFonts w:ascii="Arial" w:hAnsi="Arial" w:cs="Arial"/>
          <w:lang w:val="en-US"/>
        </w:rPr>
        <w:t>r</w:t>
      </w:r>
      <w:r w:rsidR="002B064F">
        <w:rPr>
          <w:rFonts w:ascii="Arial" w:hAnsi="Arial" w:cs="Arial"/>
          <w:lang w:val="en-US"/>
        </w:rPr>
        <w:t>espondent’s whereabouts at all material time</w:t>
      </w:r>
      <w:r w:rsidRPr="00EB0655">
        <w:rPr>
          <w:rFonts w:ascii="Arial" w:hAnsi="Arial" w:cs="Arial"/>
          <w:lang w:val="en-US"/>
        </w:rPr>
        <w:t>s</w:t>
      </w:r>
      <w:r w:rsidR="00DE2CD4">
        <w:rPr>
          <w:rFonts w:ascii="Arial" w:hAnsi="Arial" w:cs="Arial"/>
          <w:lang w:val="en-US"/>
        </w:rPr>
        <w:t>. T</w:t>
      </w:r>
      <w:r>
        <w:rPr>
          <w:rFonts w:ascii="Arial" w:hAnsi="Arial" w:cs="Arial"/>
          <w:lang w:val="en-US"/>
        </w:rPr>
        <w:t xml:space="preserve">he </w:t>
      </w:r>
      <w:r w:rsidR="00E72E33">
        <w:rPr>
          <w:rFonts w:ascii="Arial" w:hAnsi="Arial" w:cs="Arial"/>
          <w:lang w:val="en-US"/>
        </w:rPr>
        <w:t>a</w:t>
      </w:r>
      <w:r>
        <w:rPr>
          <w:rFonts w:ascii="Arial" w:hAnsi="Arial" w:cs="Arial"/>
          <w:lang w:val="en-US"/>
        </w:rPr>
        <w:t xml:space="preserve">pplicant </w:t>
      </w:r>
      <w:r w:rsidR="00DE2CD4">
        <w:rPr>
          <w:rFonts w:ascii="Arial" w:hAnsi="Arial" w:cs="Arial"/>
          <w:lang w:val="en-US"/>
        </w:rPr>
        <w:t>could only</w:t>
      </w:r>
      <w:r>
        <w:rPr>
          <w:rFonts w:ascii="Arial" w:hAnsi="Arial" w:cs="Arial"/>
          <w:lang w:val="en-US"/>
        </w:rPr>
        <w:t xml:space="preserve"> reach him through the office of the deputy sheriff as the </w:t>
      </w:r>
      <w:r w:rsidR="0019379D">
        <w:rPr>
          <w:rFonts w:ascii="Arial" w:hAnsi="Arial" w:cs="Arial"/>
          <w:lang w:val="en-US"/>
        </w:rPr>
        <w:t>r</w:t>
      </w:r>
      <w:r>
        <w:rPr>
          <w:rFonts w:ascii="Arial" w:hAnsi="Arial" w:cs="Arial"/>
          <w:lang w:val="en-US"/>
        </w:rPr>
        <w:t>espondent frequented that office following up on his writ of execution</w:t>
      </w:r>
      <w:r w:rsidRPr="00EB0655">
        <w:rPr>
          <w:rFonts w:ascii="Arial" w:hAnsi="Arial" w:cs="Arial"/>
          <w:lang w:val="en-US"/>
        </w:rPr>
        <w:t>.</w:t>
      </w:r>
      <w:r>
        <w:rPr>
          <w:rFonts w:ascii="Arial" w:hAnsi="Arial" w:cs="Arial"/>
          <w:lang w:val="en-US"/>
        </w:rPr>
        <w:t xml:space="preserve"> On 21 July 2022</w:t>
      </w:r>
      <w:r w:rsidR="0059357A">
        <w:rPr>
          <w:rFonts w:ascii="Arial" w:hAnsi="Arial" w:cs="Arial"/>
          <w:lang w:val="en-US"/>
        </w:rPr>
        <w:t>,</w:t>
      </w:r>
      <w:r>
        <w:rPr>
          <w:rFonts w:ascii="Arial" w:hAnsi="Arial" w:cs="Arial"/>
          <w:lang w:val="en-US"/>
        </w:rPr>
        <w:t xml:space="preserve"> the </w:t>
      </w:r>
      <w:r w:rsidR="00E72E33">
        <w:rPr>
          <w:rFonts w:ascii="Arial" w:hAnsi="Arial" w:cs="Arial"/>
          <w:lang w:val="en-US"/>
        </w:rPr>
        <w:t>a</w:t>
      </w:r>
      <w:r>
        <w:rPr>
          <w:rFonts w:ascii="Arial" w:hAnsi="Arial" w:cs="Arial"/>
          <w:lang w:val="en-US"/>
        </w:rPr>
        <w:t>pplicant’s application for ‘the rescission as well as stay’ of the award under case number HC-MD-LAB-MOT-GEN-2022/00125 was in court and postponed to 8 August 2022. During the hearing o</w:t>
      </w:r>
      <w:r w:rsidR="007521E3">
        <w:rPr>
          <w:rFonts w:ascii="Arial" w:hAnsi="Arial" w:cs="Arial"/>
          <w:lang w:val="en-US"/>
        </w:rPr>
        <w:t>n</w:t>
      </w:r>
      <w:r w:rsidR="00EA37C8" w:rsidRPr="00EB0655">
        <w:rPr>
          <w:rFonts w:ascii="Arial" w:hAnsi="Arial" w:cs="Arial"/>
          <w:lang w:val="en-US"/>
        </w:rPr>
        <w:t xml:space="preserve"> 8 August 2022</w:t>
      </w:r>
      <w:r>
        <w:rPr>
          <w:rFonts w:ascii="Arial" w:hAnsi="Arial" w:cs="Arial"/>
          <w:lang w:val="en-US"/>
        </w:rPr>
        <w:t xml:space="preserve">, after the </w:t>
      </w:r>
      <w:r w:rsidR="00E72E33">
        <w:rPr>
          <w:rFonts w:ascii="Arial" w:hAnsi="Arial" w:cs="Arial"/>
          <w:lang w:val="en-US"/>
        </w:rPr>
        <w:t>a</w:t>
      </w:r>
      <w:r>
        <w:rPr>
          <w:rFonts w:ascii="Arial" w:hAnsi="Arial" w:cs="Arial"/>
          <w:lang w:val="en-US"/>
        </w:rPr>
        <w:t xml:space="preserve">pplicant’s legal practitioner raised the challenge with the </w:t>
      </w:r>
      <w:r w:rsidR="0019379D">
        <w:rPr>
          <w:rFonts w:ascii="Arial" w:hAnsi="Arial" w:cs="Arial"/>
          <w:lang w:val="en-US"/>
        </w:rPr>
        <w:t>r</w:t>
      </w:r>
      <w:r>
        <w:rPr>
          <w:rFonts w:ascii="Arial" w:hAnsi="Arial" w:cs="Arial"/>
          <w:lang w:val="en-US"/>
        </w:rPr>
        <w:t xml:space="preserve">espondent’s contact details, the court asked the </w:t>
      </w:r>
      <w:r w:rsidR="0019379D">
        <w:rPr>
          <w:rFonts w:ascii="Arial" w:hAnsi="Arial" w:cs="Arial"/>
          <w:lang w:val="en-US"/>
        </w:rPr>
        <w:t>r</w:t>
      </w:r>
      <w:r>
        <w:rPr>
          <w:rFonts w:ascii="Arial" w:hAnsi="Arial" w:cs="Arial"/>
          <w:lang w:val="en-US"/>
        </w:rPr>
        <w:t>espondent to provide his contact details and physical address. During that hearing</w:t>
      </w:r>
      <w:r w:rsidR="00DE2CD4">
        <w:rPr>
          <w:rFonts w:ascii="Arial" w:hAnsi="Arial" w:cs="Arial"/>
          <w:lang w:val="en-US"/>
        </w:rPr>
        <w:t xml:space="preserve">, the </w:t>
      </w:r>
      <w:r w:rsidR="00E72E33">
        <w:rPr>
          <w:rFonts w:ascii="Arial" w:hAnsi="Arial" w:cs="Arial"/>
          <w:lang w:val="en-US"/>
        </w:rPr>
        <w:t>a</w:t>
      </w:r>
      <w:r w:rsidR="00DE2CD4">
        <w:rPr>
          <w:rFonts w:ascii="Arial" w:hAnsi="Arial" w:cs="Arial"/>
          <w:lang w:val="en-US"/>
        </w:rPr>
        <w:t xml:space="preserve">pplicant learned the </w:t>
      </w:r>
      <w:r w:rsidR="0019379D">
        <w:rPr>
          <w:rFonts w:ascii="Arial" w:hAnsi="Arial" w:cs="Arial"/>
          <w:lang w:val="en-US"/>
        </w:rPr>
        <w:t>r</w:t>
      </w:r>
      <w:r w:rsidR="00DE2CD4">
        <w:rPr>
          <w:rFonts w:ascii="Arial" w:hAnsi="Arial" w:cs="Arial"/>
          <w:lang w:val="en-US"/>
        </w:rPr>
        <w:t xml:space="preserve">espondent’s physical address, and as a consequence, it was able to prosecute its case by inviting the </w:t>
      </w:r>
      <w:r w:rsidR="0019379D">
        <w:rPr>
          <w:rFonts w:ascii="Arial" w:hAnsi="Arial" w:cs="Arial"/>
          <w:lang w:val="en-US"/>
        </w:rPr>
        <w:t>r</w:t>
      </w:r>
      <w:r w:rsidR="00DE2CD4">
        <w:rPr>
          <w:rFonts w:ascii="Arial" w:hAnsi="Arial" w:cs="Arial"/>
          <w:lang w:val="en-US"/>
        </w:rPr>
        <w:t>espondent</w:t>
      </w:r>
      <w:r w:rsidR="00EA37C8" w:rsidRPr="00EB0655">
        <w:rPr>
          <w:rFonts w:ascii="Arial" w:hAnsi="Arial" w:cs="Arial"/>
          <w:lang w:val="en-US"/>
        </w:rPr>
        <w:t xml:space="preserve"> to obtain dates</w:t>
      </w:r>
      <w:r w:rsidR="00B56684">
        <w:rPr>
          <w:rFonts w:ascii="Arial" w:hAnsi="Arial" w:cs="Arial"/>
          <w:lang w:val="en-US"/>
        </w:rPr>
        <w:t xml:space="preserve">. </w:t>
      </w:r>
      <w:r w:rsidR="00DE2CD4">
        <w:rPr>
          <w:rFonts w:ascii="Arial" w:hAnsi="Arial" w:cs="Arial"/>
          <w:lang w:val="en-US"/>
        </w:rPr>
        <w:t xml:space="preserve">However, the </w:t>
      </w:r>
      <w:r w:rsidR="00E72E33">
        <w:rPr>
          <w:rFonts w:ascii="Arial" w:hAnsi="Arial" w:cs="Arial"/>
          <w:lang w:val="en-US"/>
        </w:rPr>
        <w:t>a</w:t>
      </w:r>
      <w:r w:rsidR="00DE2CD4">
        <w:rPr>
          <w:rFonts w:ascii="Arial" w:hAnsi="Arial" w:cs="Arial"/>
          <w:lang w:val="en-US"/>
        </w:rPr>
        <w:t>pplicant’s legal practitioner was</w:t>
      </w:r>
      <w:r w:rsidR="00B56684">
        <w:rPr>
          <w:rFonts w:ascii="Arial" w:hAnsi="Arial" w:cs="Arial"/>
          <w:lang w:val="en-US"/>
        </w:rPr>
        <w:t xml:space="preserve"> </w:t>
      </w:r>
      <w:r w:rsidR="00EA37C8" w:rsidRPr="00EB0655">
        <w:rPr>
          <w:rFonts w:ascii="Arial" w:hAnsi="Arial" w:cs="Arial"/>
          <w:lang w:val="en-US"/>
        </w:rPr>
        <w:t>under a lot of work pressure</w:t>
      </w:r>
      <w:r w:rsidR="00DE2CD4">
        <w:rPr>
          <w:rFonts w:ascii="Arial" w:hAnsi="Arial" w:cs="Arial"/>
          <w:lang w:val="en-US"/>
        </w:rPr>
        <w:t>, and as such, in error,</w:t>
      </w:r>
      <w:r w:rsidR="00DE31A4">
        <w:rPr>
          <w:rFonts w:ascii="Arial" w:hAnsi="Arial" w:cs="Arial"/>
          <w:lang w:val="en-US"/>
        </w:rPr>
        <w:t xml:space="preserve"> </w:t>
      </w:r>
      <w:r w:rsidR="00EA37C8" w:rsidRPr="00EB0655">
        <w:rPr>
          <w:rFonts w:ascii="Arial" w:hAnsi="Arial" w:cs="Arial"/>
          <w:lang w:val="en-US"/>
        </w:rPr>
        <w:t>the request to obtain dates was only initiated on 13 September 2022.</w:t>
      </w:r>
      <w:r w:rsidR="00EA37C8">
        <w:rPr>
          <w:rFonts w:ascii="Arial" w:hAnsi="Arial" w:cs="Arial"/>
          <w:lang w:val="en-US"/>
        </w:rPr>
        <w:t xml:space="preserve"> </w:t>
      </w:r>
      <w:r w:rsidR="006B3138">
        <w:rPr>
          <w:rFonts w:ascii="Arial" w:hAnsi="Arial" w:cs="Arial"/>
          <w:lang w:val="en-US"/>
        </w:rPr>
        <w:t xml:space="preserve">The </w:t>
      </w:r>
      <w:r w:rsidR="00E72E33">
        <w:rPr>
          <w:rFonts w:ascii="Arial" w:hAnsi="Arial" w:cs="Arial"/>
          <w:lang w:val="en-US"/>
        </w:rPr>
        <w:t>a</w:t>
      </w:r>
      <w:r w:rsidR="006B3138">
        <w:rPr>
          <w:rFonts w:ascii="Arial" w:hAnsi="Arial" w:cs="Arial"/>
          <w:lang w:val="en-US"/>
        </w:rPr>
        <w:t>pplicant</w:t>
      </w:r>
      <w:r w:rsidR="000F1663">
        <w:rPr>
          <w:rFonts w:ascii="Arial" w:hAnsi="Arial" w:cs="Arial"/>
          <w:lang w:val="en-US"/>
        </w:rPr>
        <w:t>’s deponent</w:t>
      </w:r>
      <w:r w:rsidR="006B3138">
        <w:rPr>
          <w:rFonts w:ascii="Arial" w:hAnsi="Arial" w:cs="Arial"/>
          <w:lang w:val="en-US"/>
        </w:rPr>
        <w:t xml:space="preserve"> </w:t>
      </w:r>
      <w:r w:rsidR="000F1663">
        <w:rPr>
          <w:rFonts w:ascii="Arial" w:hAnsi="Arial" w:cs="Arial"/>
          <w:lang w:val="en-US"/>
        </w:rPr>
        <w:t xml:space="preserve">further </w:t>
      </w:r>
      <w:r w:rsidR="006B3138">
        <w:rPr>
          <w:rFonts w:ascii="Arial" w:hAnsi="Arial" w:cs="Arial"/>
          <w:lang w:val="en-US"/>
        </w:rPr>
        <w:t>explain</w:t>
      </w:r>
      <w:r w:rsidR="00CB47DB">
        <w:rPr>
          <w:rFonts w:ascii="Arial" w:hAnsi="Arial" w:cs="Arial"/>
          <w:lang w:val="en-US"/>
        </w:rPr>
        <w:t>ed</w:t>
      </w:r>
      <w:r w:rsidR="006B3138">
        <w:rPr>
          <w:rFonts w:ascii="Arial" w:hAnsi="Arial" w:cs="Arial"/>
          <w:lang w:val="en-US"/>
        </w:rPr>
        <w:t xml:space="preserve"> that </w:t>
      </w:r>
      <w:r w:rsidR="00EA37C8">
        <w:rPr>
          <w:rFonts w:ascii="Arial" w:hAnsi="Arial" w:cs="Arial"/>
          <w:lang w:val="en-US"/>
        </w:rPr>
        <w:t>u</w:t>
      </w:r>
      <w:r w:rsidR="00EA37C8" w:rsidRPr="00EB0655">
        <w:rPr>
          <w:rFonts w:ascii="Arial" w:hAnsi="Arial" w:cs="Arial"/>
          <w:lang w:val="en-US"/>
        </w:rPr>
        <w:t>pon a visit to the registrar’s office on 28 September 2022</w:t>
      </w:r>
      <w:r w:rsidR="000F1663">
        <w:rPr>
          <w:rFonts w:ascii="Arial" w:hAnsi="Arial" w:cs="Arial"/>
          <w:lang w:val="en-US"/>
        </w:rPr>
        <w:t xml:space="preserve"> to obtain dates</w:t>
      </w:r>
      <w:r w:rsidR="00EA37C8" w:rsidRPr="00EB0655">
        <w:rPr>
          <w:rFonts w:ascii="Arial" w:hAnsi="Arial" w:cs="Arial"/>
          <w:lang w:val="en-US"/>
        </w:rPr>
        <w:t xml:space="preserve"> and during engagements with the registrar, the </w:t>
      </w:r>
      <w:r w:rsidR="00E72E33">
        <w:rPr>
          <w:rFonts w:ascii="Arial" w:hAnsi="Arial" w:cs="Arial"/>
          <w:lang w:val="en-US"/>
        </w:rPr>
        <w:t>a</w:t>
      </w:r>
      <w:r w:rsidR="00EA37C8" w:rsidRPr="00EB0655">
        <w:rPr>
          <w:rFonts w:ascii="Arial" w:hAnsi="Arial" w:cs="Arial"/>
          <w:lang w:val="en-US"/>
        </w:rPr>
        <w:t>pplicant’s legal practitioners realised the appeal had lapsed.</w:t>
      </w:r>
      <w:r w:rsidR="00DE31A4">
        <w:rPr>
          <w:rFonts w:ascii="Arial" w:hAnsi="Arial" w:cs="Arial"/>
          <w:lang w:val="en-US"/>
        </w:rPr>
        <w:t xml:space="preserve"> </w:t>
      </w:r>
      <w:r w:rsidR="00EA37C8" w:rsidRPr="00DE31A4">
        <w:rPr>
          <w:rFonts w:ascii="Arial" w:hAnsi="Arial" w:cs="Arial"/>
          <w:lang w:val="en-US"/>
        </w:rPr>
        <w:t xml:space="preserve">The application was launched </w:t>
      </w:r>
      <w:r w:rsidR="00DE31A4">
        <w:rPr>
          <w:rFonts w:ascii="Arial" w:hAnsi="Arial" w:cs="Arial"/>
          <w:lang w:val="en-US"/>
        </w:rPr>
        <w:t xml:space="preserve">shortly </w:t>
      </w:r>
      <w:r w:rsidR="00DE2CD4">
        <w:rPr>
          <w:rFonts w:ascii="Arial" w:hAnsi="Arial" w:cs="Arial"/>
          <w:lang w:val="en-US"/>
        </w:rPr>
        <w:t>after that</w:t>
      </w:r>
      <w:r w:rsidR="00C014BE">
        <w:rPr>
          <w:rFonts w:ascii="Arial" w:hAnsi="Arial" w:cs="Arial"/>
          <w:lang w:val="en-US"/>
        </w:rPr>
        <w:t>,</w:t>
      </w:r>
      <w:r w:rsidR="00DE31A4">
        <w:rPr>
          <w:rFonts w:ascii="Arial" w:hAnsi="Arial" w:cs="Arial"/>
          <w:lang w:val="en-US"/>
        </w:rPr>
        <w:t xml:space="preserve"> </w:t>
      </w:r>
      <w:r w:rsidR="00EA37C8" w:rsidRPr="00DE31A4">
        <w:rPr>
          <w:rFonts w:ascii="Arial" w:hAnsi="Arial" w:cs="Arial"/>
          <w:lang w:val="en-US"/>
        </w:rPr>
        <w:t>on 6 October 2022</w:t>
      </w:r>
      <w:r w:rsidR="00DE31A4" w:rsidRPr="00DE31A4">
        <w:rPr>
          <w:rFonts w:ascii="Arial" w:hAnsi="Arial" w:cs="Arial"/>
          <w:lang w:val="en-US"/>
        </w:rPr>
        <w:t>.</w:t>
      </w:r>
    </w:p>
    <w:p w14:paraId="3F4FB3DC" w14:textId="77777777" w:rsidR="00984526" w:rsidRPr="00984526" w:rsidRDefault="00984526" w:rsidP="00984526">
      <w:pPr>
        <w:pStyle w:val="ListParagraph"/>
        <w:rPr>
          <w:rFonts w:ascii="Arial" w:hAnsi="Arial" w:cs="Arial"/>
          <w:lang w:val="en-US"/>
        </w:rPr>
      </w:pPr>
    </w:p>
    <w:p w14:paraId="3159F13C" w14:textId="3376D79A" w:rsidR="00984526" w:rsidRDefault="00984526" w:rsidP="00984526">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I</w:t>
      </w:r>
      <w:r w:rsidR="00855AB1">
        <w:rPr>
          <w:rFonts w:ascii="Arial" w:hAnsi="Arial" w:cs="Arial"/>
          <w:lang w:val="en-US"/>
        </w:rPr>
        <w:t>n a nutshell, i</w:t>
      </w:r>
      <w:r>
        <w:rPr>
          <w:rFonts w:ascii="Arial" w:hAnsi="Arial" w:cs="Arial"/>
          <w:lang w:val="en-US"/>
        </w:rPr>
        <w:t xml:space="preserve">t was only on 28 September 2022 that the </w:t>
      </w:r>
      <w:r w:rsidR="00E72E33">
        <w:rPr>
          <w:rFonts w:ascii="Arial" w:hAnsi="Arial" w:cs="Arial"/>
          <w:lang w:val="en-US"/>
        </w:rPr>
        <w:t>a</w:t>
      </w:r>
      <w:r>
        <w:rPr>
          <w:rFonts w:ascii="Arial" w:hAnsi="Arial" w:cs="Arial"/>
          <w:lang w:val="en-US"/>
        </w:rPr>
        <w:t>pplicant’s legal practitioner realised</w:t>
      </w:r>
      <w:r w:rsidR="00CF6221">
        <w:rPr>
          <w:rFonts w:ascii="Arial" w:hAnsi="Arial" w:cs="Arial"/>
          <w:lang w:val="en-US"/>
        </w:rPr>
        <w:t xml:space="preserve"> </w:t>
      </w:r>
      <w:r>
        <w:rPr>
          <w:rFonts w:ascii="Arial" w:hAnsi="Arial" w:cs="Arial"/>
          <w:lang w:val="en-US"/>
        </w:rPr>
        <w:t xml:space="preserve">the appeal </w:t>
      </w:r>
      <w:r w:rsidR="000F1663">
        <w:rPr>
          <w:rFonts w:ascii="Arial" w:hAnsi="Arial" w:cs="Arial"/>
          <w:lang w:val="en-US"/>
        </w:rPr>
        <w:t xml:space="preserve">had </w:t>
      </w:r>
      <w:r>
        <w:rPr>
          <w:rFonts w:ascii="Arial" w:hAnsi="Arial" w:cs="Arial"/>
          <w:lang w:val="en-US"/>
        </w:rPr>
        <w:t>lapsed</w:t>
      </w:r>
      <w:r w:rsidR="00F37EC6">
        <w:rPr>
          <w:rFonts w:ascii="Arial" w:hAnsi="Arial" w:cs="Arial"/>
          <w:lang w:val="en-US"/>
        </w:rPr>
        <w:t>,</w:t>
      </w:r>
      <w:r>
        <w:rPr>
          <w:rFonts w:ascii="Arial" w:hAnsi="Arial" w:cs="Arial"/>
          <w:lang w:val="en-US"/>
        </w:rPr>
        <w:t xml:space="preserve"> and the explanation for that </w:t>
      </w:r>
      <w:r w:rsidR="006656F1">
        <w:rPr>
          <w:rFonts w:ascii="Arial" w:hAnsi="Arial" w:cs="Arial"/>
          <w:lang w:val="en-US"/>
        </w:rPr>
        <w:t>belated reali</w:t>
      </w:r>
      <w:r w:rsidR="00B56684">
        <w:rPr>
          <w:rFonts w:ascii="Arial" w:hAnsi="Arial" w:cs="Arial"/>
          <w:lang w:val="en-US"/>
        </w:rPr>
        <w:t>s</w:t>
      </w:r>
      <w:r w:rsidR="006656F1">
        <w:rPr>
          <w:rFonts w:ascii="Arial" w:hAnsi="Arial" w:cs="Arial"/>
          <w:lang w:val="en-US"/>
        </w:rPr>
        <w:t xml:space="preserve">ation </w:t>
      </w:r>
      <w:r>
        <w:rPr>
          <w:rFonts w:ascii="Arial" w:hAnsi="Arial" w:cs="Arial"/>
          <w:lang w:val="en-US"/>
        </w:rPr>
        <w:t>is a lot of work pressure and error.</w:t>
      </w:r>
    </w:p>
    <w:p w14:paraId="62885593" w14:textId="77777777" w:rsidR="00984526" w:rsidRPr="00984526" w:rsidRDefault="00984526" w:rsidP="00984526">
      <w:pPr>
        <w:pStyle w:val="ListParagraph"/>
        <w:rPr>
          <w:rFonts w:ascii="Arial" w:hAnsi="Arial" w:cs="Arial"/>
          <w:lang w:val="en-US"/>
        </w:rPr>
      </w:pPr>
    </w:p>
    <w:p w14:paraId="3F684221" w14:textId="5778FAD5" w:rsidR="00EA37C8" w:rsidRPr="00984526" w:rsidRDefault="00EA37C8" w:rsidP="00984526">
      <w:pPr>
        <w:pStyle w:val="ListParagraph"/>
        <w:numPr>
          <w:ilvl w:val="0"/>
          <w:numId w:val="6"/>
        </w:numPr>
        <w:spacing w:line="360" w:lineRule="auto"/>
        <w:ind w:left="0" w:firstLine="0"/>
        <w:jc w:val="both"/>
        <w:rPr>
          <w:rFonts w:ascii="Arial" w:hAnsi="Arial" w:cs="Arial"/>
          <w:lang w:val="en-US"/>
        </w:rPr>
      </w:pPr>
      <w:r w:rsidRPr="00984526">
        <w:rPr>
          <w:rFonts w:ascii="Arial" w:hAnsi="Arial" w:cs="Arial"/>
          <w:lang w:val="en-US"/>
        </w:rPr>
        <w:lastRenderedPageBreak/>
        <w:t>In</w:t>
      </w:r>
      <w:r w:rsidR="000612BC" w:rsidRPr="00984526">
        <w:rPr>
          <w:rFonts w:ascii="Arial" w:hAnsi="Arial" w:cs="Arial"/>
          <w:lang w:val="en-US"/>
        </w:rPr>
        <w:t xml:space="preserve"> respect of the time taken to </w:t>
      </w:r>
      <w:r w:rsidR="007521E3" w:rsidRPr="00984526">
        <w:rPr>
          <w:rFonts w:ascii="Arial" w:hAnsi="Arial" w:cs="Arial"/>
          <w:lang w:val="en-US"/>
        </w:rPr>
        <w:t>have</w:t>
      </w:r>
      <w:r w:rsidR="000B1205">
        <w:rPr>
          <w:rFonts w:ascii="Arial" w:hAnsi="Arial" w:cs="Arial"/>
          <w:lang w:val="en-US"/>
        </w:rPr>
        <w:t xml:space="preserve"> </w:t>
      </w:r>
      <w:r w:rsidR="000612BC" w:rsidRPr="00984526">
        <w:rPr>
          <w:rFonts w:ascii="Arial" w:hAnsi="Arial" w:cs="Arial"/>
          <w:lang w:val="en-US"/>
        </w:rPr>
        <w:t>launch</w:t>
      </w:r>
      <w:r w:rsidR="007521E3" w:rsidRPr="00984526">
        <w:rPr>
          <w:rFonts w:ascii="Arial" w:hAnsi="Arial" w:cs="Arial"/>
          <w:lang w:val="en-US"/>
        </w:rPr>
        <w:t>ed</w:t>
      </w:r>
      <w:r w:rsidR="000612BC" w:rsidRPr="00984526">
        <w:rPr>
          <w:rFonts w:ascii="Arial" w:hAnsi="Arial" w:cs="Arial"/>
          <w:lang w:val="en-US"/>
        </w:rPr>
        <w:t xml:space="preserve"> this application, </w:t>
      </w:r>
      <w:r w:rsidRPr="00984526">
        <w:rPr>
          <w:rFonts w:ascii="Arial" w:hAnsi="Arial" w:cs="Arial"/>
          <w:lang w:val="en-US"/>
        </w:rPr>
        <w:t xml:space="preserve">the </w:t>
      </w:r>
      <w:r w:rsidR="00E72E33">
        <w:rPr>
          <w:rFonts w:ascii="Arial" w:hAnsi="Arial" w:cs="Arial"/>
          <w:lang w:val="en-US"/>
        </w:rPr>
        <w:t>a</w:t>
      </w:r>
      <w:r w:rsidRPr="00984526">
        <w:rPr>
          <w:rFonts w:ascii="Arial" w:hAnsi="Arial" w:cs="Arial"/>
          <w:lang w:val="en-US"/>
        </w:rPr>
        <w:t>pplicant’s deponent</w:t>
      </w:r>
      <w:r w:rsidR="000612BC" w:rsidRPr="00984526">
        <w:rPr>
          <w:rFonts w:ascii="Arial" w:hAnsi="Arial" w:cs="Arial"/>
          <w:lang w:val="en-US"/>
        </w:rPr>
        <w:t xml:space="preserve">, in </w:t>
      </w:r>
      <w:r w:rsidR="000F1663">
        <w:rPr>
          <w:rFonts w:ascii="Arial" w:hAnsi="Arial" w:cs="Arial"/>
          <w:lang w:val="en-US"/>
        </w:rPr>
        <w:t>the</w:t>
      </w:r>
      <w:r w:rsidR="000612BC" w:rsidRPr="00984526">
        <w:rPr>
          <w:rFonts w:ascii="Arial" w:hAnsi="Arial" w:cs="Arial"/>
          <w:lang w:val="en-US"/>
        </w:rPr>
        <w:t xml:space="preserve"> founding affidavit,</w:t>
      </w:r>
      <w:r w:rsidRPr="00984526">
        <w:rPr>
          <w:rFonts w:ascii="Arial" w:hAnsi="Arial" w:cs="Arial"/>
          <w:lang w:val="en-US"/>
        </w:rPr>
        <w:t xml:space="preserve"> state</w:t>
      </w:r>
      <w:r w:rsidR="00984526">
        <w:rPr>
          <w:rFonts w:ascii="Arial" w:hAnsi="Arial" w:cs="Arial"/>
          <w:lang w:val="en-US"/>
        </w:rPr>
        <w:t>d</w:t>
      </w:r>
      <w:r w:rsidRPr="00984526">
        <w:rPr>
          <w:rFonts w:ascii="Arial" w:hAnsi="Arial" w:cs="Arial"/>
          <w:lang w:val="en-US"/>
        </w:rPr>
        <w:t xml:space="preserve"> that: </w:t>
      </w:r>
    </w:p>
    <w:p w14:paraId="1DBDCA7A" w14:textId="77777777" w:rsidR="00EA37C8" w:rsidRPr="00EB0655" w:rsidRDefault="00EA37C8" w:rsidP="00EA37C8">
      <w:pPr>
        <w:pStyle w:val="ListParagraph"/>
        <w:rPr>
          <w:rFonts w:ascii="Arial" w:hAnsi="Arial" w:cs="Arial"/>
          <w:lang w:val="en-US"/>
        </w:rPr>
      </w:pPr>
    </w:p>
    <w:p w14:paraId="150D5FAC" w14:textId="60DFCCC1" w:rsidR="00EA37C8" w:rsidRDefault="000612BC" w:rsidP="0085411B">
      <w:pPr>
        <w:pStyle w:val="ListParagraph"/>
        <w:spacing w:line="360" w:lineRule="auto"/>
        <w:ind w:left="0" w:firstLine="709"/>
        <w:jc w:val="both"/>
        <w:rPr>
          <w:rFonts w:ascii="Arial" w:hAnsi="Arial" w:cs="Arial"/>
          <w:lang w:val="en-US"/>
        </w:rPr>
      </w:pPr>
      <w:r w:rsidRPr="00B56684">
        <w:rPr>
          <w:rFonts w:ascii="Arial" w:hAnsi="Arial" w:cs="Arial"/>
          <w:sz w:val="22"/>
          <w:szCs w:val="22"/>
          <w:lang w:val="en-US"/>
        </w:rPr>
        <w:t>’30.</w:t>
      </w:r>
      <w:r>
        <w:rPr>
          <w:rFonts w:ascii="Arial" w:hAnsi="Arial" w:cs="Arial"/>
          <w:lang w:val="en-US"/>
        </w:rPr>
        <w:tab/>
      </w:r>
      <w:r w:rsidR="00EA37C8" w:rsidRPr="00EB0655">
        <w:rPr>
          <w:rFonts w:ascii="Arial" w:hAnsi="Arial" w:cs="Arial"/>
          <w:sz w:val="22"/>
          <w:szCs w:val="22"/>
          <w:lang w:val="en-US"/>
        </w:rPr>
        <w:t>Once the Applicant’s Representatives finalised the lodging of the Appeal, he started planning to launch this Application and ensure compliance with the Rules. The Application was prepared without any further delay and means of numerous telephonic consultations with [the Applicant’s deponent] and [the Applicant’s] Legal Practitioner of Record, Mr Kasper. It was then finalised and delivered without delay to [the Applicant’s deponent] for urgent signing and commissioning.</w:t>
      </w:r>
      <w:r w:rsidR="00EA37C8" w:rsidRPr="00EB0655">
        <w:rPr>
          <w:rFonts w:ascii="Arial" w:hAnsi="Arial" w:cs="Arial"/>
          <w:lang w:val="en-US"/>
        </w:rPr>
        <w:t>’</w:t>
      </w:r>
    </w:p>
    <w:p w14:paraId="3D1C098C" w14:textId="77777777" w:rsidR="00EA37C8" w:rsidRPr="00EB0655" w:rsidRDefault="00EA37C8" w:rsidP="00EA37C8">
      <w:pPr>
        <w:pStyle w:val="ListParagraph"/>
        <w:rPr>
          <w:rFonts w:ascii="Arial" w:hAnsi="Arial" w:cs="Arial"/>
          <w:lang w:val="en-US"/>
        </w:rPr>
      </w:pPr>
    </w:p>
    <w:p w14:paraId="19ABD311" w14:textId="262A79BD" w:rsidR="000B1205" w:rsidRPr="000B1205" w:rsidRDefault="00984526" w:rsidP="000B1205">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From the facts on record, it is inferred that the reference </w:t>
      </w:r>
      <w:r w:rsidR="000B1205">
        <w:rPr>
          <w:rFonts w:ascii="Arial" w:hAnsi="Arial" w:cs="Arial"/>
          <w:lang w:val="en-US"/>
        </w:rPr>
        <w:t xml:space="preserve">in the preceding paragraph </w:t>
      </w:r>
      <w:r>
        <w:rPr>
          <w:rFonts w:ascii="Arial" w:hAnsi="Arial" w:cs="Arial"/>
          <w:lang w:val="en-US"/>
        </w:rPr>
        <w:t xml:space="preserve">to </w:t>
      </w:r>
      <w:r w:rsidR="005B63C1">
        <w:rPr>
          <w:rFonts w:ascii="Arial" w:hAnsi="Arial" w:cs="Arial"/>
          <w:lang w:val="en-US"/>
        </w:rPr>
        <w:t xml:space="preserve">once the </w:t>
      </w:r>
      <w:r>
        <w:rPr>
          <w:rFonts w:ascii="Arial" w:hAnsi="Arial" w:cs="Arial"/>
          <w:lang w:val="en-US"/>
        </w:rPr>
        <w:t>‘</w:t>
      </w:r>
      <w:r w:rsidR="005B63C1">
        <w:rPr>
          <w:rFonts w:ascii="Arial" w:hAnsi="Arial" w:cs="Arial"/>
          <w:lang w:val="en-US"/>
        </w:rPr>
        <w:t>lodging of the appeal</w:t>
      </w:r>
      <w:r>
        <w:rPr>
          <w:rFonts w:ascii="Arial" w:hAnsi="Arial" w:cs="Arial"/>
          <w:lang w:val="en-US"/>
        </w:rPr>
        <w:t>’</w:t>
      </w:r>
      <w:r w:rsidR="005B63C1">
        <w:rPr>
          <w:rFonts w:ascii="Arial" w:hAnsi="Arial" w:cs="Arial"/>
          <w:lang w:val="en-US"/>
        </w:rPr>
        <w:t xml:space="preserve"> was finalised</w:t>
      </w:r>
      <w:r w:rsidR="000B1205">
        <w:rPr>
          <w:rFonts w:ascii="Arial" w:hAnsi="Arial" w:cs="Arial"/>
          <w:lang w:val="en-US"/>
        </w:rPr>
        <w:t xml:space="preserve"> </w:t>
      </w:r>
      <w:r w:rsidR="00DE2CD4">
        <w:rPr>
          <w:rFonts w:ascii="Arial" w:hAnsi="Arial" w:cs="Arial"/>
          <w:lang w:val="en-US"/>
        </w:rPr>
        <w:t>refer</w:t>
      </w:r>
      <w:r w:rsidR="00CB47DB">
        <w:rPr>
          <w:rFonts w:ascii="Arial" w:hAnsi="Arial" w:cs="Arial"/>
          <w:lang w:val="en-US"/>
        </w:rPr>
        <w:t>red</w:t>
      </w:r>
      <w:r>
        <w:rPr>
          <w:rFonts w:ascii="Arial" w:hAnsi="Arial" w:cs="Arial"/>
          <w:lang w:val="en-US"/>
        </w:rPr>
        <w:t xml:space="preserve"> to the events that unfolded on 28 September 2022.</w:t>
      </w:r>
      <w:r w:rsidR="000B1205">
        <w:rPr>
          <w:rFonts w:ascii="Arial" w:hAnsi="Arial" w:cs="Arial"/>
          <w:lang w:val="en-US"/>
        </w:rPr>
        <w:t xml:space="preserve"> </w:t>
      </w:r>
      <w:r w:rsidR="000B1205" w:rsidRPr="000B1205">
        <w:rPr>
          <w:rFonts w:ascii="Arial" w:hAnsi="Arial" w:cs="Arial"/>
          <w:lang w:val="en-US"/>
        </w:rPr>
        <w:t xml:space="preserve">The </w:t>
      </w:r>
      <w:r w:rsidR="000F1663">
        <w:rPr>
          <w:rFonts w:ascii="Arial" w:hAnsi="Arial" w:cs="Arial"/>
          <w:lang w:val="en-US"/>
        </w:rPr>
        <w:t>court finds that the time</w:t>
      </w:r>
      <w:r w:rsidR="000B1205" w:rsidRPr="000B1205">
        <w:rPr>
          <w:rFonts w:ascii="Arial" w:hAnsi="Arial" w:cs="Arial"/>
          <w:lang w:val="en-US"/>
        </w:rPr>
        <w:t xml:space="preserve"> it took to launch the application </w:t>
      </w:r>
      <w:r w:rsidR="00DE2CD4">
        <w:rPr>
          <w:rFonts w:ascii="Arial" w:hAnsi="Arial" w:cs="Arial"/>
          <w:lang w:val="en-US"/>
        </w:rPr>
        <w:t>from when the need for it was realised on 28 September 2022</w:t>
      </w:r>
      <w:r w:rsidR="000B1205" w:rsidRPr="000B1205">
        <w:rPr>
          <w:rFonts w:ascii="Arial" w:hAnsi="Arial" w:cs="Arial"/>
          <w:lang w:val="en-US"/>
        </w:rPr>
        <w:t xml:space="preserve"> is reasonable</w:t>
      </w:r>
      <w:r w:rsidR="00DE2CD4">
        <w:rPr>
          <w:rFonts w:ascii="Arial" w:hAnsi="Arial" w:cs="Arial"/>
          <w:lang w:val="en-US"/>
        </w:rPr>
        <w:t>. T</w:t>
      </w:r>
      <w:r w:rsidR="000B1205" w:rsidRPr="000B1205">
        <w:rPr>
          <w:rFonts w:ascii="Arial" w:hAnsi="Arial" w:cs="Arial"/>
          <w:lang w:val="en-US"/>
        </w:rPr>
        <w:t>he court is satisfied th</w:t>
      </w:r>
      <w:r w:rsidR="000F1663">
        <w:rPr>
          <w:rFonts w:ascii="Arial" w:hAnsi="Arial" w:cs="Arial"/>
          <w:lang w:val="en-US"/>
        </w:rPr>
        <w:t>at</w:t>
      </w:r>
      <w:r w:rsidR="000B1205" w:rsidRPr="000B1205">
        <w:rPr>
          <w:rFonts w:ascii="Arial" w:hAnsi="Arial" w:cs="Arial"/>
          <w:lang w:val="en-US"/>
        </w:rPr>
        <w:t xml:space="preserve"> </w:t>
      </w:r>
      <w:r w:rsidR="006656F1">
        <w:rPr>
          <w:rFonts w:ascii="Arial" w:hAnsi="Arial" w:cs="Arial"/>
          <w:lang w:val="en-US"/>
        </w:rPr>
        <w:t xml:space="preserve">the </w:t>
      </w:r>
      <w:r w:rsidR="00E72E33">
        <w:rPr>
          <w:rFonts w:ascii="Arial" w:hAnsi="Arial" w:cs="Arial"/>
          <w:lang w:val="en-US"/>
        </w:rPr>
        <w:t>a</w:t>
      </w:r>
      <w:r w:rsidR="006656F1">
        <w:rPr>
          <w:rFonts w:ascii="Arial" w:hAnsi="Arial" w:cs="Arial"/>
          <w:lang w:val="en-US"/>
        </w:rPr>
        <w:t>pplicant did not delay launch</w:t>
      </w:r>
      <w:r w:rsidR="00B56684">
        <w:rPr>
          <w:rFonts w:ascii="Arial" w:hAnsi="Arial" w:cs="Arial"/>
          <w:lang w:val="en-US"/>
        </w:rPr>
        <w:t>ing</w:t>
      </w:r>
      <w:r w:rsidR="006656F1">
        <w:rPr>
          <w:rFonts w:ascii="Arial" w:hAnsi="Arial" w:cs="Arial"/>
          <w:lang w:val="en-US"/>
        </w:rPr>
        <w:t xml:space="preserve"> the application</w:t>
      </w:r>
      <w:r w:rsidR="00DE2CD4">
        <w:rPr>
          <w:rFonts w:ascii="Arial" w:hAnsi="Arial" w:cs="Arial"/>
          <w:lang w:val="en-US"/>
        </w:rPr>
        <w:t>,</w:t>
      </w:r>
      <w:r w:rsidR="006656F1">
        <w:rPr>
          <w:rFonts w:ascii="Arial" w:hAnsi="Arial" w:cs="Arial"/>
          <w:lang w:val="en-US"/>
        </w:rPr>
        <w:t xml:space="preserve"> and a fair amount of weight is attached.</w:t>
      </w:r>
    </w:p>
    <w:p w14:paraId="6FCCF509" w14:textId="77777777" w:rsidR="000B1205" w:rsidRPr="000B1205" w:rsidRDefault="000B1205" w:rsidP="000B1205">
      <w:pPr>
        <w:pStyle w:val="ListParagraph"/>
        <w:rPr>
          <w:rFonts w:ascii="Arial" w:hAnsi="Arial" w:cs="Arial"/>
          <w:lang w:val="en-US"/>
        </w:rPr>
      </w:pPr>
    </w:p>
    <w:p w14:paraId="34837484" w14:textId="1DBB8916" w:rsidR="000B1205" w:rsidRDefault="000B1205" w:rsidP="000B1205">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The explanation for the</w:t>
      </w:r>
      <w:r w:rsidR="006656F1">
        <w:rPr>
          <w:rFonts w:ascii="Arial" w:hAnsi="Arial" w:cs="Arial"/>
          <w:lang w:val="en-US"/>
        </w:rPr>
        <w:t xml:space="preserve"> </w:t>
      </w:r>
      <w:r>
        <w:rPr>
          <w:rFonts w:ascii="Arial" w:hAnsi="Arial" w:cs="Arial"/>
          <w:lang w:val="en-US"/>
        </w:rPr>
        <w:t>period from 2</w:t>
      </w:r>
      <w:r w:rsidR="00AE40F2">
        <w:rPr>
          <w:rFonts w:ascii="Arial" w:hAnsi="Arial" w:cs="Arial"/>
          <w:lang w:val="en-US"/>
        </w:rPr>
        <w:t>7</w:t>
      </w:r>
      <w:r>
        <w:rPr>
          <w:rFonts w:ascii="Arial" w:hAnsi="Arial" w:cs="Arial"/>
          <w:lang w:val="en-US"/>
        </w:rPr>
        <w:t xml:space="preserve"> July 2022 to 28 September 2022</w:t>
      </w:r>
      <w:r w:rsidR="006656F1">
        <w:rPr>
          <w:rFonts w:ascii="Arial" w:hAnsi="Arial" w:cs="Arial"/>
          <w:lang w:val="en-US"/>
        </w:rPr>
        <w:t xml:space="preserve"> and the period preceding 2</w:t>
      </w:r>
      <w:r w:rsidR="00AE40F2">
        <w:rPr>
          <w:rFonts w:ascii="Arial" w:hAnsi="Arial" w:cs="Arial"/>
          <w:lang w:val="en-US"/>
        </w:rPr>
        <w:t>7</w:t>
      </w:r>
      <w:r w:rsidR="006656F1">
        <w:rPr>
          <w:rFonts w:ascii="Arial" w:hAnsi="Arial" w:cs="Arial"/>
          <w:lang w:val="en-US"/>
        </w:rPr>
        <w:t xml:space="preserve"> July 2022</w:t>
      </w:r>
      <w:r w:rsidR="00CB47DB">
        <w:rPr>
          <w:rFonts w:ascii="Arial" w:hAnsi="Arial" w:cs="Arial"/>
          <w:lang w:val="en-US"/>
        </w:rPr>
        <w:t xml:space="preserve"> (</w:t>
      </w:r>
      <w:r w:rsidR="006656F1">
        <w:rPr>
          <w:rFonts w:ascii="Arial" w:hAnsi="Arial" w:cs="Arial"/>
          <w:lang w:val="en-US"/>
        </w:rPr>
        <w:t>insofar as that period is applicable</w:t>
      </w:r>
      <w:r w:rsidR="00CB47DB">
        <w:rPr>
          <w:rFonts w:ascii="Arial" w:hAnsi="Arial" w:cs="Arial"/>
          <w:lang w:val="en-US"/>
        </w:rPr>
        <w:t>)</w:t>
      </w:r>
      <w:r>
        <w:rPr>
          <w:rFonts w:ascii="Arial" w:hAnsi="Arial" w:cs="Arial"/>
          <w:lang w:val="en-US"/>
        </w:rPr>
        <w:t xml:space="preserve"> is</w:t>
      </w:r>
      <w:r w:rsidR="00CB47DB">
        <w:rPr>
          <w:rFonts w:ascii="Arial" w:hAnsi="Arial" w:cs="Arial"/>
          <w:lang w:val="en-US"/>
        </w:rPr>
        <w:t>,</w:t>
      </w:r>
      <w:r w:rsidR="005A6F5B">
        <w:rPr>
          <w:rFonts w:ascii="Arial" w:hAnsi="Arial" w:cs="Arial"/>
          <w:lang w:val="en-US"/>
        </w:rPr>
        <w:t xml:space="preserve"> however,</w:t>
      </w:r>
      <w:r>
        <w:rPr>
          <w:rFonts w:ascii="Arial" w:hAnsi="Arial" w:cs="Arial"/>
          <w:lang w:val="en-US"/>
        </w:rPr>
        <w:t xml:space="preserve"> weak</w:t>
      </w:r>
      <w:r w:rsidR="00DE2CD4">
        <w:rPr>
          <w:rFonts w:ascii="Arial" w:hAnsi="Arial" w:cs="Arial"/>
          <w:lang w:val="en-US"/>
        </w:rPr>
        <w:t>,</w:t>
      </w:r>
      <w:r>
        <w:rPr>
          <w:rFonts w:ascii="Arial" w:hAnsi="Arial" w:cs="Arial"/>
          <w:lang w:val="en-US"/>
        </w:rPr>
        <w:t xml:space="preserve"> </w:t>
      </w:r>
      <w:r w:rsidR="00A31B30">
        <w:rPr>
          <w:rFonts w:ascii="Arial" w:hAnsi="Arial" w:cs="Arial"/>
          <w:lang w:val="en-US"/>
        </w:rPr>
        <w:t xml:space="preserve">and </w:t>
      </w:r>
      <w:r w:rsidR="000F1663">
        <w:rPr>
          <w:rFonts w:ascii="Arial" w:hAnsi="Arial" w:cs="Arial"/>
          <w:lang w:val="en-US"/>
        </w:rPr>
        <w:t>little</w:t>
      </w:r>
      <w:r w:rsidR="00A31B30">
        <w:rPr>
          <w:rFonts w:ascii="Arial" w:hAnsi="Arial" w:cs="Arial"/>
          <w:lang w:val="en-US"/>
        </w:rPr>
        <w:t xml:space="preserve"> weight </w:t>
      </w:r>
      <w:r w:rsidR="000F1663">
        <w:rPr>
          <w:rFonts w:ascii="Arial" w:hAnsi="Arial" w:cs="Arial"/>
          <w:lang w:val="en-US"/>
        </w:rPr>
        <w:t>is</w:t>
      </w:r>
      <w:r w:rsidR="00A31B30">
        <w:rPr>
          <w:rFonts w:ascii="Arial" w:hAnsi="Arial" w:cs="Arial"/>
          <w:lang w:val="en-US"/>
        </w:rPr>
        <w:t xml:space="preserve"> attached</w:t>
      </w:r>
      <w:r>
        <w:rPr>
          <w:rFonts w:ascii="Arial" w:hAnsi="Arial" w:cs="Arial"/>
          <w:lang w:val="en-US"/>
        </w:rPr>
        <w:t xml:space="preserve">. </w:t>
      </w:r>
    </w:p>
    <w:p w14:paraId="3219B143" w14:textId="77777777" w:rsidR="000B1205" w:rsidRDefault="000B1205" w:rsidP="000B1205">
      <w:pPr>
        <w:pStyle w:val="ListParagraph"/>
        <w:rPr>
          <w:rFonts w:ascii="Arial" w:hAnsi="Arial" w:cs="Arial"/>
          <w:lang w:val="en-US"/>
        </w:rPr>
      </w:pPr>
    </w:p>
    <w:p w14:paraId="7FDCC269" w14:textId="1718C0C8" w:rsidR="007A0259" w:rsidRPr="00CB47DB" w:rsidRDefault="007A0259" w:rsidP="007A0259">
      <w:pPr>
        <w:pStyle w:val="ListParagraph"/>
        <w:spacing w:line="360" w:lineRule="auto"/>
        <w:ind w:left="0"/>
        <w:jc w:val="both"/>
        <w:rPr>
          <w:rFonts w:ascii="Arial" w:hAnsi="Arial" w:cs="Arial"/>
          <w:u w:val="single"/>
          <w:lang w:val="en-US"/>
        </w:rPr>
      </w:pPr>
      <w:r w:rsidRPr="00CB47DB">
        <w:rPr>
          <w:rFonts w:ascii="Arial" w:hAnsi="Arial" w:cs="Arial"/>
          <w:u w:val="single"/>
          <w:lang w:val="en-US"/>
        </w:rPr>
        <w:t>The prospects of success on the merits</w:t>
      </w:r>
    </w:p>
    <w:p w14:paraId="531B361F" w14:textId="77777777" w:rsidR="007A0259" w:rsidRPr="007A0259" w:rsidRDefault="007A0259" w:rsidP="007A0259">
      <w:pPr>
        <w:pStyle w:val="ListParagraph"/>
        <w:rPr>
          <w:rFonts w:ascii="Arial" w:hAnsi="Arial" w:cs="Arial"/>
          <w:lang w:val="en-US"/>
        </w:rPr>
      </w:pPr>
    </w:p>
    <w:p w14:paraId="748AE707" w14:textId="79F5E073" w:rsidR="00991530" w:rsidRPr="000B1205" w:rsidRDefault="00991530" w:rsidP="000B1205">
      <w:pPr>
        <w:pStyle w:val="ListParagraph"/>
        <w:numPr>
          <w:ilvl w:val="0"/>
          <w:numId w:val="6"/>
        </w:numPr>
        <w:spacing w:line="360" w:lineRule="auto"/>
        <w:ind w:left="0" w:firstLine="0"/>
        <w:jc w:val="both"/>
        <w:rPr>
          <w:rFonts w:ascii="Arial" w:hAnsi="Arial" w:cs="Arial"/>
          <w:lang w:val="en-US"/>
        </w:rPr>
      </w:pPr>
      <w:r w:rsidRPr="000B1205">
        <w:rPr>
          <w:rFonts w:ascii="Arial" w:hAnsi="Arial" w:cs="Arial"/>
          <w:lang w:val="en-US"/>
        </w:rPr>
        <w:t xml:space="preserve">Whereas a balancing exercise is required, the court </w:t>
      </w:r>
      <w:r w:rsidR="0062260C" w:rsidRPr="000B1205">
        <w:rPr>
          <w:rFonts w:ascii="Arial" w:hAnsi="Arial" w:cs="Arial"/>
          <w:lang w:val="en-US"/>
        </w:rPr>
        <w:t xml:space="preserve">now </w:t>
      </w:r>
      <w:r w:rsidR="00DE2CD4">
        <w:rPr>
          <w:rFonts w:ascii="Arial" w:hAnsi="Arial" w:cs="Arial"/>
          <w:lang w:val="en-US"/>
        </w:rPr>
        <w:t>considers</w:t>
      </w:r>
      <w:r w:rsidRPr="000B1205">
        <w:rPr>
          <w:rFonts w:ascii="Arial" w:hAnsi="Arial" w:cs="Arial"/>
          <w:lang w:val="en-US"/>
        </w:rPr>
        <w:t xml:space="preserve"> </w:t>
      </w:r>
      <w:r w:rsidR="007521E3" w:rsidRPr="000B1205">
        <w:rPr>
          <w:rFonts w:ascii="Arial" w:hAnsi="Arial" w:cs="Arial"/>
          <w:lang w:val="en-US"/>
        </w:rPr>
        <w:t xml:space="preserve">the </w:t>
      </w:r>
      <w:r w:rsidRPr="000B1205">
        <w:rPr>
          <w:rFonts w:ascii="Arial" w:hAnsi="Arial" w:cs="Arial"/>
          <w:lang w:val="en-US"/>
        </w:rPr>
        <w:t>second requirement</w:t>
      </w:r>
      <w:r w:rsidR="00570A45" w:rsidRPr="000B1205">
        <w:rPr>
          <w:rFonts w:ascii="Arial" w:hAnsi="Arial" w:cs="Arial"/>
          <w:lang w:val="en-US"/>
        </w:rPr>
        <w:t xml:space="preserve"> of good cause, </w:t>
      </w:r>
      <w:r w:rsidR="000B1205">
        <w:rPr>
          <w:rFonts w:ascii="Arial" w:hAnsi="Arial" w:cs="Arial"/>
          <w:lang w:val="en-US"/>
        </w:rPr>
        <w:t xml:space="preserve">the </w:t>
      </w:r>
      <w:r w:rsidR="00570A45" w:rsidRPr="000B1205">
        <w:rPr>
          <w:rFonts w:ascii="Arial" w:hAnsi="Arial" w:cs="Arial"/>
          <w:lang w:val="en-US"/>
        </w:rPr>
        <w:t>prospects of success</w:t>
      </w:r>
      <w:r w:rsidR="000B1205">
        <w:rPr>
          <w:rFonts w:ascii="Arial" w:hAnsi="Arial" w:cs="Arial"/>
          <w:lang w:val="en-US"/>
        </w:rPr>
        <w:t xml:space="preserve"> on the merits</w:t>
      </w:r>
      <w:r w:rsidRPr="000B1205">
        <w:rPr>
          <w:rFonts w:ascii="Arial" w:hAnsi="Arial" w:cs="Arial"/>
          <w:lang w:val="en-US"/>
        </w:rPr>
        <w:t xml:space="preserve">. </w:t>
      </w:r>
    </w:p>
    <w:p w14:paraId="003CD0C6" w14:textId="77777777" w:rsidR="005B63C1" w:rsidRPr="005B63C1" w:rsidRDefault="005B63C1" w:rsidP="005B63C1">
      <w:pPr>
        <w:pStyle w:val="ListParagraph"/>
        <w:rPr>
          <w:rFonts w:ascii="Arial" w:hAnsi="Arial" w:cs="Arial"/>
          <w:lang w:val="en-US"/>
        </w:rPr>
      </w:pPr>
    </w:p>
    <w:p w14:paraId="5700D44A" w14:textId="4A8B1F02" w:rsidR="00EB0655" w:rsidRPr="00991530" w:rsidRDefault="003106E5" w:rsidP="00991530">
      <w:pPr>
        <w:pStyle w:val="ListParagraph"/>
        <w:numPr>
          <w:ilvl w:val="0"/>
          <w:numId w:val="6"/>
        </w:numPr>
        <w:spacing w:line="360" w:lineRule="auto"/>
        <w:ind w:left="0" w:firstLine="0"/>
        <w:jc w:val="both"/>
        <w:rPr>
          <w:rFonts w:ascii="Arial" w:hAnsi="Arial" w:cs="Arial"/>
          <w:lang w:val="en-US"/>
        </w:rPr>
      </w:pPr>
      <w:r w:rsidRPr="00991530">
        <w:rPr>
          <w:rFonts w:ascii="Arial" w:hAnsi="Arial" w:cs="Arial"/>
          <w:lang w:val="en-US"/>
        </w:rPr>
        <w:t xml:space="preserve">In dealing with the </w:t>
      </w:r>
      <w:r w:rsidR="00E72E33">
        <w:rPr>
          <w:rFonts w:ascii="Arial" w:hAnsi="Arial" w:cs="Arial"/>
          <w:lang w:val="en-US"/>
        </w:rPr>
        <w:t>a</w:t>
      </w:r>
      <w:r w:rsidRPr="00991530">
        <w:rPr>
          <w:rFonts w:ascii="Arial" w:hAnsi="Arial" w:cs="Arial"/>
          <w:lang w:val="en-US"/>
        </w:rPr>
        <w:t>pplicant’s prospects of success</w:t>
      </w:r>
      <w:r w:rsidR="00570A45">
        <w:rPr>
          <w:rFonts w:ascii="Arial" w:hAnsi="Arial" w:cs="Arial"/>
          <w:lang w:val="en-US"/>
        </w:rPr>
        <w:t xml:space="preserve"> on </w:t>
      </w:r>
      <w:r w:rsidR="00021C62">
        <w:rPr>
          <w:rFonts w:ascii="Arial" w:hAnsi="Arial" w:cs="Arial"/>
          <w:lang w:val="en-US"/>
        </w:rPr>
        <w:t>the merits</w:t>
      </w:r>
      <w:r w:rsidRPr="00991530">
        <w:rPr>
          <w:rFonts w:ascii="Arial" w:hAnsi="Arial" w:cs="Arial"/>
          <w:lang w:val="en-US"/>
        </w:rPr>
        <w:t xml:space="preserve">, </w:t>
      </w:r>
      <w:r w:rsidR="007521E3">
        <w:rPr>
          <w:rFonts w:ascii="Arial" w:hAnsi="Arial" w:cs="Arial"/>
          <w:lang w:val="en-US"/>
        </w:rPr>
        <w:t xml:space="preserve">the </w:t>
      </w:r>
      <w:r w:rsidR="00E72E33">
        <w:rPr>
          <w:rFonts w:ascii="Arial" w:hAnsi="Arial" w:cs="Arial"/>
          <w:lang w:val="en-US"/>
        </w:rPr>
        <w:t>a</w:t>
      </w:r>
      <w:r w:rsidR="007521E3">
        <w:rPr>
          <w:rFonts w:ascii="Arial" w:hAnsi="Arial" w:cs="Arial"/>
          <w:lang w:val="en-US"/>
        </w:rPr>
        <w:t xml:space="preserve">pplicant’s deponent </w:t>
      </w:r>
      <w:r w:rsidRPr="00991530">
        <w:rPr>
          <w:rFonts w:ascii="Arial" w:hAnsi="Arial" w:cs="Arial"/>
          <w:lang w:val="en-US"/>
        </w:rPr>
        <w:t>stated that:</w:t>
      </w:r>
    </w:p>
    <w:p w14:paraId="55DCFAF1" w14:textId="77777777" w:rsidR="00EB0655" w:rsidRPr="00EB0655" w:rsidRDefault="00EB0655" w:rsidP="00EB0655">
      <w:pPr>
        <w:pStyle w:val="ListParagraph"/>
        <w:rPr>
          <w:rFonts w:ascii="Arial" w:hAnsi="Arial" w:cs="Arial"/>
          <w:sz w:val="22"/>
          <w:szCs w:val="22"/>
          <w:lang w:val="en-US"/>
        </w:rPr>
      </w:pPr>
    </w:p>
    <w:p w14:paraId="33E6F94B" w14:textId="77777777" w:rsidR="00EB0655" w:rsidRDefault="003106E5" w:rsidP="00D61EF5">
      <w:pPr>
        <w:pStyle w:val="ListParagraph"/>
        <w:spacing w:line="360" w:lineRule="auto"/>
        <w:ind w:left="0" w:firstLine="720"/>
        <w:jc w:val="both"/>
        <w:rPr>
          <w:rFonts w:ascii="Arial" w:hAnsi="Arial" w:cs="Arial"/>
          <w:lang w:val="en-US"/>
        </w:rPr>
      </w:pPr>
      <w:r w:rsidRPr="00EB0655">
        <w:rPr>
          <w:rFonts w:ascii="Arial" w:hAnsi="Arial" w:cs="Arial"/>
          <w:sz w:val="22"/>
          <w:szCs w:val="22"/>
          <w:lang w:val="en-US"/>
        </w:rPr>
        <w:t>’35.</w:t>
      </w:r>
      <w:r w:rsidRPr="00EB0655">
        <w:rPr>
          <w:rFonts w:ascii="Arial" w:hAnsi="Arial" w:cs="Arial"/>
          <w:sz w:val="22"/>
          <w:szCs w:val="22"/>
          <w:lang w:val="en-US"/>
        </w:rPr>
        <w:tab/>
        <w:t>I refer to and incorporate the averments in the accompanying Notice of Appeal on Form LC41 (“</w:t>
      </w:r>
      <w:r w:rsidRPr="00EB0655">
        <w:rPr>
          <w:rFonts w:ascii="Arial" w:hAnsi="Arial" w:cs="Arial"/>
          <w:b/>
          <w:bCs/>
          <w:sz w:val="22"/>
          <w:szCs w:val="22"/>
          <w:lang w:val="en-US"/>
        </w:rPr>
        <w:t>ATH2</w:t>
      </w:r>
      <w:r w:rsidRPr="00EB0655">
        <w:rPr>
          <w:rFonts w:ascii="Arial" w:hAnsi="Arial" w:cs="Arial"/>
          <w:sz w:val="22"/>
          <w:szCs w:val="22"/>
          <w:lang w:val="en-US"/>
        </w:rPr>
        <w:t xml:space="preserve">”) that sets out the Grounds of Appeal. I confirm that the averments are factually accurate and submit that the legal submissions are accurate. I respectfully submit the content of the Notice of Appeal demonstrate the Applicant enjoys sound prospects of success. I am advised that further legal argument, will be made at the hearing of this Application for Condonation. </w:t>
      </w:r>
    </w:p>
    <w:p w14:paraId="3EF68A96" w14:textId="77777777" w:rsidR="00EB0655" w:rsidRPr="00EB0655" w:rsidRDefault="00EB0655" w:rsidP="00D61EF5">
      <w:pPr>
        <w:pStyle w:val="ListParagraph"/>
        <w:ind w:left="0"/>
        <w:rPr>
          <w:rFonts w:ascii="Arial" w:hAnsi="Arial" w:cs="Arial"/>
          <w:sz w:val="22"/>
          <w:szCs w:val="22"/>
          <w:lang w:val="en-US"/>
        </w:rPr>
      </w:pPr>
    </w:p>
    <w:p w14:paraId="036F1ADA" w14:textId="77777777" w:rsidR="00EB0655" w:rsidRPr="00EB0655" w:rsidRDefault="003106E5" w:rsidP="00D61EF5">
      <w:pPr>
        <w:pStyle w:val="ListParagraph"/>
        <w:spacing w:line="360" w:lineRule="auto"/>
        <w:ind w:left="0"/>
        <w:jc w:val="both"/>
        <w:rPr>
          <w:rFonts w:ascii="Arial" w:hAnsi="Arial" w:cs="Arial"/>
          <w:lang w:val="en-US"/>
        </w:rPr>
      </w:pPr>
      <w:r w:rsidRPr="00EB0655">
        <w:rPr>
          <w:rFonts w:ascii="Arial" w:hAnsi="Arial" w:cs="Arial"/>
          <w:sz w:val="22"/>
          <w:szCs w:val="22"/>
          <w:lang w:val="en-US"/>
        </w:rPr>
        <w:lastRenderedPageBreak/>
        <w:t>36.</w:t>
      </w:r>
      <w:r w:rsidRPr="00EB0655">
        <w:rPr>
          <w:rFonts w:ascii="Arial" w:hAnsi="Arial" w:cs="Arial"/>
          <w:sz w:val="22"/>
          <w:szCs w:val="22"/>
          <w:lang w:val="en-US"/>
        </w:rPr>
        <w:tab/>
        <w:t>It is further important to also highlight the fact that the calculations made by the Second Respondent for the monies to be paid to the First Respondent are fatally wrong.’</w:t>
      </w:r>
    </w:p>
    <w:p w14:paraId="5865D88A" w14:textId="77777777" w:rsidR="00EB0655" w:rsidRPr="00EB0655" w:rsidRDefault="00EB0655" w:rsidP="00EB0655">
      <w:pPr>
        <w:pStyle w:val="ListParagraph"/>
        <w:rPr>
          <w:rFonts w:ascii="Arial" w:hAnsi="Arial" w:cs="Arial"/>
          <w:lang w:val="en-US"/>
        </w:rPr>
      </w:pPr>
    </w:p>
    <w:p w14:paraId="3AC71355" w14:textId="3362475A" w:rsidR="009B38F0" w:rsidRDefault="009B38F0" w:rsidP="009B38F0">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w:t>
      </w:r>
      <w:r w:rsidR="0019379D">
        <w:rPr>
          <w:rFonts w:ascii="Arial" w:hAnsi="Arial" w:cs="Arial"/>
          <w:lang w:val="en-US"/>
        </w:rPr>
        <w:t>r</w:t>
      </w:r>
      <w:r>
        <w:rPr>
          <w:rFonts w:ascii="Arial" w:hAnsi="Arial" w:cs="Arial"/>
          <w:lang w:val="en-US"/>
        </w:rPr>
        <w:t>espondent contend</w:t>
      </w:r>
      <w:r w:rsidR="00CB47DB">
        <w:rPr>
          <w:rFonts w:ascii="Arial" w:hAnsi="Arial" w:cs="Arial"/>
          <w:lang w:val="en-US"/>
        </w:rPr>
        <w:t>ed</w:t>
      </w:r>
      <w:r>
        <w:rPr>
          <w:rFonts w:ascii="Arial" w:hAnsi="Arial" w:cs="Arial"/>
          <w:lang w:val="en-US"/>
        </w:rPr>
        <w:t xml:space="preserve"> that </w:t>
      </w:r>
      <w:r w:rsidR="00BF530D">
        <w:rPr>
          <w:rFonts w:ascii="Arial" w:hAnsi="Arial" w:cs="Arial"/>
          <w:lang w:val="en-US"/>
        </w:rPr>
        <w:t>incorporating</w:t>
      </w:r>
      <w:r>
        <w:rPr>
          <w:rFonts w:ascii="Arial" w:hAnsi="Arial" w:cs="Arial"/>
          <w:lang w:val="en-US"/>
        </w:rPr>
        <w:t xml:space="preserve"> the averments in Form LC 41 into the founding affidavit was insufficient</w:t>
      </w:r>
      <w:r w:rsidR="00BF530D">
        <w:rPr>
          <w:rFonts w:ascii="Arial" w:hAnsi="Arial" w:cs="Arial"/>
          <w:lang w:val="en-US"/>
        </w:rPr>
        <w:t>,</w:t>
      </w:r>
      <w:r>
        <w:rPr>
          <w:rFonts w:ascii="Arial" w:hAnsi="Arial" w:cs="Arial"/>
          <w:lang w:val="en-US"/>
        </w:rPr>
        <w:t xml:space="preserve"> and the </w:t>
      </w:r>
      <w:r w:rsidR="00E72E33">
        <w:rPr>
          <w:rFonts w:ascii="Arial" w:hAnsi="Arial" w:cs="Arial"/>
          <w:lang w:val="en-US"/>
        </w:rPr>
        <w:t>a</w:t>
      </w:r>
      <w:r>
        <w:rPr>
          <w:rFonts w:ascii="Arial" w:hAnsi="Arial" w:cs="Arial"/>
          <w:lang w:val="en-US"/>
        </w:rPr>
        <w:t xml:space="preserve">pplicant ought to have set out reasons in the founding affidavit why it says it has </w:t>
      </w:r>
      <w:r w:rsidR="00BF530D">
        <w:rPr>
          <w:rFonts w:ascii="Arial" w:hAnsi="Arial" w:cs="Arial"/>
          <w:lang w:val="en-US"/>
        </w:rPr>
        <w:t>reasonable</w:t>
      </w:r>
      <w:r>
        <w:rPr>
          <w:rFonts w:ascii="Arial" w:hAnsi="Arial" w:cs="Arial"/>
          <w:lang w:val="en-US"/>
        </w:rPr>
        <w:t xml:space="preserve"> prospects of success.</w:t>
      </w:r>
    </w:p>
    <w:p w14:paraId="023D6CF0" w14:textId="77777777" w:rsidR="009B38F0" w:rsidRPr="00110EEE" w:rsidRDefault="009B38F0" w:rsidP="009B38F0">
      <w:pPr>
        <w:pStyle w:val="ListParagraph"/>
        <w:rPr>
          <w:rFonts w:ascii="Arial" w:hAnsi="Arial" w:cs="Arial"/>
          <w:lang w:val="en-US"/>
        </w:rPr>
      </w:pPr>
    </w:p>
    <w:p w14:paraId="0988EA7D" w14:textId="27914294" w:rsidR="009B38F0" w:rsidRPr="00110EEE" w:rsidRDefault="009B38F0" w:rsidP="009B38F0">
      <w:pPr>
        <w:pStyle w:val="ListParagraph"/>
        <w:numPr>
          <w:ilvl w:val="0"/>
          <w:numId w:val="6"/>
        </w:numPr>
        <w:spacing w:line="360" w:lineRule="auto"/>
        <w:ind w:left="0" w:firstLine="0"/>
        <w:jc w:val="both"/>
        <w:rPr>
          <w:rFonts w:ascii="Arial" w:hAnsi="Arial" w:cs="Arial"/>
          <w:lang w:val="en-US"/>
        </w:rPr>
      </w:pPr>
      <w:r w:rsidRPr="00110EEE">
        <w:rPr>
          <w:rFonts w:ascii="Arial" w:hAnsi="Arial" w:cs="Arial"/>
          <w:lang w:val="en-US"/>
        </w:rPr>
        <w:t xml:space="preserve">In </w:t>
      </w:r>
      <w:r w:rsidRPr="00110EEE">
        <w:rPr>
          <w:rFonts w:ascii="Arial" w:hAnsi="Arial" w:cs="Arial"/>
          <w:i/>
          <w:iCs/>
          <w:lang w:val="en-US"/>
        </w:rPr>
        <w:t>Jason v Namibia Institute for Mining and Technology</w:t>
      </w:r>
      <w:r w:rsidR="00075B82" w:rsidRPr="009E10BE">
        <w:rPr>
          <w:rStyle w:val="FootnoteReference"/>
          <w:rFonts w:ascii="Arial" w:hAnsi="Arial" w:cs="Arial"/>
          <w:lang w:val="en-US"/>
        </w:rPr>
        <w:footnoteReference w:id="12"/>
      </w:r>
      <w:r w:rsidR="0085411B" w:rsidRPr="009E10BE">
        <w:rPr>
          <w:rFonts w:ascii="Arial" w:hAnsi="Arial" w:cs="Arial"/>
          <w:lang w:val="en-US"/>
        </w:rPr>
        <w:t xml:space="preserve"> </w:t>
      </w:r>
      <w:r w:rsidRPr="009E10BE">
        <w:rPr>
          <w:rFonts w:ascii="Arial" w:hAnsi="Arial" w:cs="Arial"/>
          <w:lang w:val="en-US"/>
        </w:rPr>
        <w:t>the</w:t>
      </w:r>
      <w:r w:rsidRPr="00110EEE">
        <w:rPr>
          <w:rFonts w:ascii="Arial" w:hAnsi="Arial" w:cs="Arial"/>
          <w:lang w:val="en-US"/>
        </w:rPr>
        <w:t xml:space="preserve"> court referred with approval to </w:t>
      </w:r>
      <w:r w:rsidRPr="00110EEE">
        <w:rPr>
          <w:rFonts w:ascii="Arial" w:hAnsi="Arial" w:cs="Arial"/>
          <w:i/>
          <w:iCs/>
          <w:lang w:val="en-US"/>
        </w:rPr>
        <w:t>Minister of Land Affairs and Agriculture and Others v D &amp; F Wevell Trust and Others</w:t>
      </w:r>
      <w:r w:rsidR="00075B82" w:rsidRPr="009E10BE">
        <w:rPr>
          <w:rStyle w:val="FootnoteReference"/>
          <w:rFonts w:ascii="Arial" w:hAnsi="Arial" w:cs="Arial"/>
          <w:lang w:val="en-US"/>
        </w:rPr>
        <w:footnoteReference w:id="13"/>
      </w:r>
      <w:r w:rsidRPr="009E10BE">
        <w:rPr>
          <w:rFonts w:ascii="Arial" w:hAnsi="Arial" w:cs="Arial"/>
          <w:lang w:val="en-US"/>
        </w:rPr>
        <w:t xml:space="preserve"> stating</w:t>
      </w:r>
      <w:r w:rsidRPr="00110EEE">
        <w:rPr>
          <w:rFonts w:ascii="Arial" w:hAnsi="Arial" w:cs="Arial"/>
          <w:lang w:val="en-US"/>
        </w:rPr>
        <w:t xml:space="preserve"> that (footnotes omitted):</w:t>
      </w:r>
    </w:p>
    <w:p w14:paraId="649872D6" w14:textId="77777777" w:rsidR="009B38F0" w:rsidRPr="00CE5E2C" w:rsidRDefault="009B38F0" w:rsidP="009B38F0">
      <w:pPr>
        <w:pStyle w:val="ListParagraph"/>
        <w:rPr>
          <w:rFonts w:ascii="Arial" w:hAnsi="Arial" w:cs="Arial"/>
          <w:lang w:val="en-US"/>
        </w:rPr>
      </w:pPr>
    </w:p>
    <w:p w14:paraId="477A59C5" w14:textId="77777777" w:rsidR="009B38F0" w:rsidRPr="00CE5E2C" w:rsidRDefault="009B38F0" w:rsidP="0085411B">
      <w:pPr>
        <w:pStyle w:val="ListParagraph"/>
        <w:spacing w:line="360" w:lineRule="auto"/>
        <w:ind w:left="0" w:firstLine="709"/>
        <w:jc w:val="both"/>
        <w:rPr>
          <w:rFonts w:ascii="Arial" w:hAnsi="Arial" w:cs="Arial"/>
          <w:lang w:val="en-US"/>
        </w:rPr>
      </w:pPr>
      <w:r>
        <w:rPr>
          <w:rFonts w:ascii="Arial" w:hAnsi="Arial" w:cs="Arial"/>
          <w:lang w:val="en-US"/>
        </w:rPr>
        <w:t>‘</w:t>
      </w:r>
      <w:r w:rsidRPr="0062260C">
        <w:rPr>
          <w:rFonts w:ascii="Arial" w:hAnsi="Arial" w:cs="Arial"/>
          <w:sz w:val="22"/>
          <w:szCs w:val="22"/>
          <w:lang w:val="en-US"/>
        </w:rPr>
        <w:t xml:space="preserve">43. </w:t>
      </w:r>
      <w:r>
        <w:rPr>
          <w:rFonts w:ascii="Arial" w:hAnsi="Arial" w:cs="Arial"/>
          <w:sz w:val="22"/>
          <w:szCs w:val="22"/>
          <w:lang w:val="en-US"/>
        </w:rPr>
        <w:tab/>
        <w:t xml:space="preserve">. . . . </w:t>
      </w:r>
      <w:r w:rsidRPr="0062260C">
        <w:rPr>
          <w:rFonts w:ascii="Arial" w:hAnsi="Arial" w:cs="Arial"/>
          <w:sz w:val="22"/>
          <w:szCs w:val="22"/>
          <w:lang w:val="en-US"/>
        </w:rPr>
        <w:t>It is</w:t>
      </w:r>
      <w:r w:rsidRPr="00CE5E2C">
        <w:rPr>
          <w:rFonts w:ascii="Arial" w:hAnsi="Arial" w:cs="Arial"/>
          <w:sz w:val="22"/>
          <w:szCs w:val="22"/>
          <w:lang w:val="en-US"/>
        </w:rPr>
        <w:t xml:space="preserve"> not proper for a party in motion proceedings to base an argument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w:t>
      </w:r>
      <w:r>
        <w:rPr>
          <w:rFonts w:ascii="Arial" w:hAnsi="Arial" w:cs="Arial"/>
          <w:sz w:val="22"/>
          <w:szCs w:val="22"/>
          <w:lang w:val="en-US"/>
        </w:rPr>
        <w:t xml:space="preserve"> …</w:t>
      </w:r>
      <w:r w:rsidRPr="00CE5E2C">
        <w:rPr>
          <w:rFonts w:ascii="Arial" w:hAnsi="Arial" w:cs="Arial"/>
          <w:sz w:val="22"/>
          <w:szCs w:val="22"/>
          <w:lang w:val="en-US"/>
        </w:rPr>
        <w:t>. In motion proceedings, the affidavits constitute both the pleadings and</w:t>
      </w:r>
      <w:r>
        <w:rPr>
          <w:rFonts w:ascii="Arial" w:hAnsi="Arial" w:cs="Arial"/>
          <w:sz w:val="22"/>
          <w:szCs w:val="22"/>
          <w:lang w:val="en-US"/>
        </w:rPr>
        <w:t xml:space="preserve"> </w:t>
      </w:r>
      <w:r w:rsidRPr="00CE5E2C">
        <w:rPr>
          <w:rFonts w:ascii="Arial" w:hAnsi="Arial" w:cs="Arial"/>
          <w:sz w:val="22"/>
          <w:szCs w:val="22"/>
          <w:lang w:val="en-US"/>
        </w:rPr>
        <w:t>the evidence: Transnet Ltd v Rubenstein,</w:t>
      </w:r>
      <w:r>
        <w:rPr>
          <w:rFonts w:ascii="Arial" w:hAnsi="Arial" w:cs="Arial"/>
          <w:sz w:val="22"/>
          <w:szCs w:val="22"/>
          <w:lang w:val="en-US"/>
        </w:rPr>
        <w:t xml:space="preserve"> </w:t>
      </w:r>
      <w:r w:rsidRPr="00CE5E2C">
        <w:rPr>
          <w:rFonts w:ascii="Arial" w:hAnsi="Arial" w:cs="Arial"/>
          <w:sz w:val="22"/>
          <w:szCs w:val="22"/>
          <w:lang w:val="en-US"/>
        </w:rPr>
        <w:t>and the issues and averments in support of the parties' cases should appear clearly therefrom. A party cannot be expected to trawl through lengthy annexures to the opponent's affidavit and to speculate on the possible relevance of facts therein contained. Trial by ambush cannot be permitted.</w:t>
      </w:r>
      <w:r>
        <w:rPr>
          <w:rFonts w:ascii="Arial" w:hAnsi="Arial" w:cs="Arial"/>
          <w:lang w:val="en-US"/>
        </w:rPr>
        <w:t>’</w:t>
      </w:r>
    </w:p>
    <w:p w14:paraId="3BD2A38C" w14:textId="77777777" w:rsidR="009B38F0" w:rsidRPr="00EB0655" w:rsidRDefault="009B38F0" w:rsidP="009B38F0">
      <w:pPr>
        <w:pStyle w:val="ListParagraph"/>
        <w:rPr>
          <w:rFonts w:ascii="Arial" w:hAnsi="Arial" w:cs="Arial"/>
          <w:lang w:val="en-US"/>
        </w:rPr>
      </w:pPr>
    </w:p>
    <w:p w14:paraId="1AD9088E" w14:textId="1CA69472" w:rsidR="009B38F0" w:rsidRDefault="009B38F0" w:rsidP="009B38F0">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In </w:t>
      </w:r>
      <w:r w:rsidRPr="0062260C">
        <w:rPr>
          <w:rFonts w:ascii="Arial" w:hAnsi="Arial" w:cs="Arial"/>
          <w:i/>
          <w:iCs/>
          <w:lang w:val="en-US"/>
        </w:rPr>
        <w:t>Standard Bank Namibia Ltd and Others v Maletzky and Others</w:t>
      </w:r>
      <w:r w:rsidR="00075B82" w:rsidRPr="009E10BE">
        <w:rPr>
          <w:rStyle w:val="FootnoteReference"/>
          <w:rFonts w:ascii="Arial" w:hAnsi="Arial" w:cs="Arial"/>
          <w:lang w:val="en-US"/>
        </w:rPr>
        <w:footnoteReference w:id="14"/>
      </w:r>
      <w:r w:rsidR="009E10BE" w:rsidRPr="009E10BE">
        <w:rPr>
          <w:rFonts w:ascii="Arial" w:hAnsi="Arial" w:cs="Arial"/>
          <w:lang w:val="en-US"/>
        </w:rPr>
        <w:t>,</w:t>
      </w:r>
      <w:r w:rsidR="0085411B" w:rsidRPr="009E10BE">
        <w:rPr>
          <w:rFonts w:ascii="Arial" w:hAnsi="Arial" w:cs="Arial"/>
          <w:lang w:val="en-US"/>
        </w:rPr>
        <w:t xml:space="preserve"> </w:t>
      </w:r>
      <w:r w:rsidRPr="009E10BE">
        <w:rPr>
          <w:rFonts w:ascii="Arial" w:hAnsi="Arial" w:cs="Arial"/>
          <w:lang w:val="en-US"/>
        </w:rPr>
        <w:t>the</w:t>
      </w:r>
      <w:r>
        <w:rPr>
          <w:rFonts w:ascii="Arial" w:hAnsi="Arial" w:cs="Arial"/>
          <w:lang w:val="en-US"/>
        </w:rPr>
        <w:t xml:space="preserve"> Supreme Court, when dealing with a founding affidavit in motion proceedings, stated that (footnotes omitted): </w:t>
      </w:r>
    </w:p>
    <w:p w14:paraId="1329E922" w14:textId="77777777" w:rsidR="009B38F0" w:rsidRPr="00C01A7F" w:rsidRDefault="009B38F0" w:rsidP="009B38F0">
      <w:pPr>
        <w:pStyle w:val="ListParagraph"/>
        <w:rPr>
          <w:rFonts w:ascii="Arial" w:hAnsi="Arial" w:cs="Arial"/>
          <w:lang w:val="en-US"/>
        </w:rPr>
      </w:pPr>
    </w:p>
    <w:p w14:paraId="706DAE5D" w14:textId="49E18402" w:rsidR="009B38F0" w:rsidRDefault="009B38F0" w:rsidP="0085411B">
      <w:pPr>
        <w:pStyle w:val="ListParagraph"/>
        <w:spacing w:line="360" w:lineRule="auto"/>
        <w:ind w:left="0" w:firstLine="720"/>
        <w:jc w:val="both"/>
        <w:rPr>
          <w:rFonts w:ascii="Arial" w:hAnsi="Arial" w:cs="Arial"/>
          <w:lang w:val="en-US"/>
        </w:rPr>
      </w:pPr>
      <w:r>
        <w:rPr>
          <w:rFonts w:ascii="Arial" w:hAnsi="Arial" w:cs="Arial"/>
          <w:lang w:val="en-US"/>
        </w:rPr>
        <w:t>‘</w:t>
      </w:r>
      <w:r w:rsidRPr="00D84EAF">
        <w:rPr>
          <w:rFonts w:ascii="Arial" w:hAnsi="Arial" w:cs="Arial"/>
          <w:sz w:val="22"/>
          <w:szCs w:val="22"/>
          <w:lang w:val="en-US"/>
        </w:rPr>
        <w:t>43.</w:t>
      </w:r>
      <w:r w:rsidRPr="00D84EAF">
        <w:rPr>
          <w:rFonts w:ascii="Arial" w:hAnsi="Arial" w:cs="Arial"/>
          <w:sz w:val="22"/>
          <w:szCs w:val="22"/>
          <w:lang w:val="en-US"/>
        </w:rPr>
        <w:tab/>
        <w:t>The</w:t>
      </w:r>
      <w:r w:rsidRPr="000612BC">
        <w:rPr>
          <w:rFonts w:ascii="Arial" w:hAnsi="Arial" w:cs="Arial"/>
          <w:sz w:val="22"/>
          <w:szCs w:val="22"/>
          <w:lang w:val="en-US"/>
        </w:rPr>
        <w:t xml:space="preserve"> founding </w:t>
      </w:r>
      <w:r>
        <w:rPr>
          <w:rFonts w:ascii="Arial" w:hAnsi="Arial" w:cs="Arial"/>
          <w:sz w:val="22"/>
          <w:szCs w:val="22"/>
          <w:lang w:val="en-US"/>
        </w:rPr>
        <w:t xml:space="preserve">affidavit </w:t>
      </w:r>
      <w:r w:rsidRPr="000612BC">
        <w:rPr>
          <w:rFonts w:ascii="Arial" w:hAnsi="Arial" w:cs="Arial"/>
          <w:sz w:val="22"/>
          <w:szCs w:val="22"/>
          <w:lang w:val="en-US"/>
        </w:rPr>
        <w:t>must thus contain all the essential factual averments upon which the litigant's cause of action is based in sufficiently clear terms that the respondent may know the case that must be met. Although a litigant may attach annexures to the founding affidavit, it is not sufficient for a litigant to attach an annexure without identifying the facts contained in the annexure upon which the litigant relies.</w:t>
      </w:r>
      <w:r>
        <w:rPr>
          <w:rFonts w:ascii="Arial" w:hAnsi="Arial" w:cs="Arial"/>
          <w:lang w:val="en-US"/>
        </w:rPr>
        <w:t>’</w:t>
      </w:r>
    </w:p>
    <w:p w14:paraId="60B88B56" w14:textId="77777777" w:rsidR="009B38F0" w:rsidRDefault="009B38F0" w:rsidP="009B38F0">
      <w:pPr>
        <w:pStyle w:val="ListParagraph"/>
        <w:spacing w:line="360" w:lineRule="auto"/>
        <w:ind w:left="0"/>
        <w:jc w:val="both"/>
        <w:rPr>
          <w:rFonts w:ascii="Arial" w:hAnsi="Arial" w:cs="Arial"/>
          <w:lang w:val="en-US"/>
        </w:rPr>
      </w:pPr>
    </w:p>
    <w:p w14:paraId="43DF0B32" w14:textId="31C1A032" w:rsidR="00943CBF" w:rsidRPr="00A31B30" w:rsidRDefault="009B38F0" w:rsidP="00A31B30">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lastRenderedPageBreak/>
        <w:t xml:space="preserve">The </w:t>
      </w:r>
      <w:r w:rsidR="00E72E33">
        <w:rPr>
          <w:rFonts w:ascii="Arial" w:hAnsi="Arial" w:cs="Arial"/>
          <w:lang w:val="en-US"/>
        </w:rPr>
        <w:t>a</w:t>
      </w:r>
      <w:r>
        <w:rPr>
          <w:rFonts w:ascii="Arial" w:hAnsi="Arial" w:cs="Arial"/>
          <w:lang w:val="en-US"/>
        </w:rPr>
        <w:t xml:space="preserve">pplicant did not simply attach and incorporate </w:t>
      </w:r>
      <w:r w:rsidR="00F37EC6">
        <w:rPr>
          <w:rFonts w:ascii="Arial" w:hAnsi="Arial" w:cs="Arial"/>
          <w:lang w:val="en-US"/>
        </w:rPr>
        <w:t>th</w:t>
      </w:r>
      <w:r>
        <w:rPr>
          <w:rFonts w:ascii="Arial" w:hAnsi="Arial" w:cs="Arial"/>
          <w:lang w:val="en-US"/>
        </w:rPr>
        <w:t>e contents of Form LC 41 into the founding affidavit</w:t>
      </w:r>
      <w:r w:rsidR="000357F4">
        <w:rPr>
          <w:rFonts w:ascii="Arial" w:hAnsi="Arial" w:cs="Arial"/>
          <w:lang w:val="en-US"/>
        </w:rPr>
        <w:t xml:space="preserve"> without identifying the portion relied upon</w:t>
      </w:r>
      <w:r>
        <w:rPr>
          <w:rFonts w:ascii="Arial" w:hAnsi="Arial" w:cs="Arial"/>
          <w:lang w:val="en-US"/>
        </w:rPr>
        <w:t xml:space="preserve">. The </w:t>
      </w:r>
      <w:r w:rsidR="00E72E33">
        <w:rPr>
          <w:rFonts w:ascii="Arial" w:hAnsi="Arial" w:cs="Arial"/>
          <w:lang w:val="en-US"/>
        </w:rPr>
        <w:t>a</w:t>
      </w:r>
      <w:r>
        <w:rPr>
          <w:rFonts w:ascii="Arial" w:hAnsi="Arial" w:cs="Arial"/>
          <w:lang w:val="en-US"/>
        </w:rPr>
        <w:t>pplicant’s deponent referred to and inc</w:t>
      </w:r>
      <w:r w:rsidR="00F37EC6">
        <w:rPr>
          <w:rFonts w:ascii="Arial" w:hAnsi="Arial" w:cs="Arial"/>
          <w:lang w:val="en-US"/>
        </w:rPr>
        <w:t>lud</w:t>
      </w:r>
      <w:r>
        <w:rPr>
          <w:rFonts w:ascii="Arial" w:hAnsi="Arial" w:cs="Arial"/>
          <w:lang w:val="en-US"/>
        </w:rPr>
        <w:t>ed the averments in Form LC 41 that set out the grounds of appeal.</w:t>
      </w:r>
      <w:r w:rsidR="00C136F3">
        <w:rPr>
          <w:rFonts w:ascii="Arial" w:hAnsi="Arial" w:cs="Arial"/>
          <w:lang w:val="en-US"/>
        </w:rPr>
        <w:t xml:space="preserve"> The </w:t>
      </w:r>
      <w:r w:rsidR="00E72E33">
        <w:rPr>
          <w:rFonts w:ascii="Arial" w:hAnsi="Arial" w:cs="Arial"/>
          <w:lang w:val="en-US"/>
        </w:rPr>
        <w:t>a</w:t>
      </w:r>
      <w:r w:rsidR="00C136F3">
        <w:rPr>
          <w:rFonts w:ascii="Arial" w:hAnsi="Arial" w:cs="Arial"/>
          <w:lang w:val="en-US"/>
        </w:rPr>
        <w:t xml:space="preserve">pplicant’s deponent identified the portion </w:t>
      </w:r>
      <w:r w:rsidR="00A31B30">
        <w:rPr>
          <w:rFonts w:ascii="Arial" w:hAnsi="Arial" w:cs="Arial"/>
          <w:lang w:val="en-US"/>
        </w:rPr>
        <w:t>in</w:t>
      </w:r>
      <w:r w:rsidR="00C136F3">
        <w:rPr>
          <w:rFonts w:ascii="Arial" w:hAnsi="Arial" w:cs="Arial"/>
          <w:lang w:val="en-US"/>
        </w:rPr>
        <w:t xml:space="preserve"> Form LC 41 upon which the </w:t>
      </w:r>
      <w:r w:rsidR="00E72E33">
        <w:rPr>
          <w:rFonts w:ascii="Arial" w:hAnsi="Arial" w:cs="Arial"/>
          <w:lang w:val="en-US"/>
        </w:rPr>
        <w:t>a</w:t>
      </w:r>
      <w:r w:rsidR="00C136F3">
        <w:rPr>
          <w:rFonts w:ascii="Arial" w:hAnsi="Arial" w:cs="Arial"/>
          <w:lang w:val="en-US"/>
        </w:rPr>
        <w:t>pplicant relie</w:t>
      </w:r>
      <w:r w:rsidR="00CB47DB">
        <w:rPr>
          <w:rFonts w:ascii="Arial" w:hAnsi="Arial" w:cs="Arial"/>
          <w:lang w:val="en-US"/>
        </w:rPr>
        <w:t>s</w:t>
      </w:r>
      <w:r w:rsidR="00C136F3">
        <w:rPr>
          <w:rFonts w:ascii="Arial" w:hAnsi="Arial" w:cs="Arial"/>
          <w:lang w:val="en-US"/>
        </w:rPr>
        <w:t xml:space="preserve">. </w:t>
      </w:r>
      <w:r w:rsidR="00943CBF">
        <w:rPr>
          <w:rFonts w:ascii="Arial" w:hAnsi="Arial" w:cs="Arial"/>
          <w:lang w:val="en-US"/>
        </w:rPr>
        <w:t xml:space="preserve">The grounds of appeal, set out in </w:t>
      </w:r>
      <w:r w:rsidR="006656F1">
        <w:rPr>
          <w:rFonts w:ascii="Arial" w:hAnsi="Arial" w:cs="Arial"/>
          <w:lang w:val="en-US"/>
        </w:rPr>
        <w:t xml:space="preserve">separate </w:t>
      </w:r>
      <w:r w:rsidR="00943CBF">
        <w:rPr>
          <w:rFonts w:ascii="Arial" w:hAnsi="Arial" w:cs="Arial"/>
          <w:lang w:val="en-US"/>
        </w:rPr>
        <w:t>paragraphs under a heading marked grounds of appeal, are easily identifiable on page</w:t>
      </w:r>
      <w:r w:rsidR="00BF530D">
        <w:rPr>
          <w:rFonts w:ascii="Arial" w:hAnsi="Arial" w:cs="Arial"/>
          <w:lang w:val="en-US"/>
        </w:rPr>
        <w:t>s three and four of Form LC 41, which</w:t>
      </w:r>
      <w:r w:rsidR="006656F1">
        <w:rPr>
          <w:rFonts w:ascii="Arial" w:hAnsi="Arial" w:cs="Arial"/>
          <w:lang w:val="en-US"/>
        </w:rPr>
        <w:t xml:space="preserve"> </w:t>
      </w:r>
      <w:r w:rsidR="00943CBF">
        <w:rPr>
          <w:rFonts w:ascii="Arial" w:hAnsi="Arial" w:cs="Arial"/>
          <w:lang w:val="en-US"/>
        </w:rPr>
        <w:t xml:space="preserve">consists of five pages. The </w:t>
      </w:r>
      <w:r w:rsidR="00E72E33">
        <w:rPr>
          <w:rFonts w:ascii="Arial" w:hAnsi="Arial" w:cs="Arial"/>
          <w:lang w:val="en-US"/>
        </w:rPr>
        <w:t>a</w:t>
      </w:r>
      <w:r w:rsidR="00943CBF">
        <w:rPr>
          <w:rFonts w:ascii="Arial" w:hAnsi="Arial" w:cs="Arial"/>
          <w:lang w:val="en-US"/>
        </w:rPr>
        <w:t>pplicant’s deponent confirmed that the averments are factually correct and that the legal submissions are accurate. T</w:t>
      </w:r>
      <w:r>
        <w:rPr>
          <w:rFonts w:ascii="Arial" w:hAnsi="Arial" w:cs="Arial"/>
          <w:lang w:val="en-US"/>
        </w:rPr>
        <w:t xml:space="preserve">he conclusion </w:t>
      </w:r>
      <w:r w:rsidR="00BF530D">
        <w:rPr>
          <w:rFonts w:ascii="Arial" w:hAnsi="Arial" w:cs="Arial"/>
          <w:lang w:val="en-US"/>
        </w:rPr>
        <w:t xml:space="preserve">that the </w:t>
      </w:r>
      <w:r w:rsidR="00E72E33">
        <w:rPr>
          <w:rFonts w:ascii="Arial" w:hAnsi="Arial" w:cs="Arial"/>
          <w:lang w:val="en-US"/>
        </w:rPr>
        <w:t>a</w:t>
      </w:r>
      <w:r w:rsidR="00BF530D">
        <w:rPr>
          <w:rFonts w:ascii="Arial" w:hAnsi="Arial" w:cs="Arial"/>
          <w:lang w:val="en-US"/>
        </w:rPr>
        <w:t>pplicant seeks to draw from the averments incorporated from Form LC 41</w:t>
      </w:r>
      <w:r w:rsidR="00CB47DB">
        <w:rPr>
          <w:rFonts w:ascii="Arial" w:hAnsi="Arial" w:cs="Arial"/>
          <w:lang w:val="en-US"/>
        </w:rPr>
        <w:t xml:space="preserve"> </w:t>
      </w:r>
      <w:r w:rsidR="00C014BE">
        <w:rPr>
          <w:rFonts w:ascii="Arial" w:hAnsi="Arial" w:cs="Arial"/>
          <w:lang w:val="en-US"/>
        </w:rPr>
        <w:t xml:space="preserve">that the </w:t>
      </w:r>
      <w:r w:rsidR="00E72E33">
        <w:rPr>
          <w:rFonts w:ascii="Arial" w:hAnsi="Arial" w:cs="Arial"/>
          <w:lang w:val="en-US"/>
        </w:rPr>
        <w:t>a</w:t>
      </w:r>
      <w:r w:rsidR="00C014BE">
        <w:rPr>
          <w:rFonts w:ascii="Arial" w:hAnsi="Arial" w:cs="Arial"/>
          <w:lang w:val="en-US"/>
        </w:rPr>
        <w:t>pplicant enjoys sound prospects of success</w:t>
      </w:r>
      <w:r>
        <w:rPr>
          <w:rFonts w:ascii="Arial" w:hAnsi="Arial" w:cs="Arial"/>
          <w:lang w:val="en-US"/>
        </w:rPr>
        <w:t xml:space="preserve"> is </w:t>
      </w:r>
      <w:r w:rsidR="00943CBF">
        <w:rPr>
          <w:rFonts w:ascii="Arial" w:hAnsi="Arial" w:cs="Arial"/>
          <w:lang w:val="en-US"/>
        </w:rPr>
        <w:t xml:space="preserve">also </w:t>
      </w:r>
      <w:r>
        <w:rPr>
          <w:rFonts w:ascii="Arial" w:hAnsi="Arial" w:cs="Arial"/>
          <w:lang w:val="en-US"/>
        </w:rPr>
        <w:t>included in the founding affidavit</w:t>
      </w:r>
      <w:r w:rsidR="00943CBF">
        <w:rPr>
          <w:rFonts w:ascii="Arial" w:hAnsi="Arial" w:cs="Arial"/>
          <w:lang w:val="en-US"/>
        </w:rPr>
        <w:t>.</w:t>
      </w:r>
      <w:r w:rsidR="00A31B30">
        <w:rPr>
          <w:rFonts w:ascii="Arial" w:hAnsi="Arial" w:cs="Arial"/>
          <w:lang w:val="en-US"/>
        </w:rPr>
        <w:t xml:space="preserve"> </w:t>
      </w:r>
      <w:r w:rsidR="00943CBF" w:rsidRPr="00A31B30">
        <w:rPr>
          <w:rFonts w:ascii="Arial" w:hAnsi="Arial" w:cs="Arial"/>
          <w:lang w:val="en-US"/>
        </w:rPr>
        <w:t xml:space="preserve">This is not a case where the court </w:t>
      </w:r>
      <w:r w:rsidR="00C136F3" w:rsidRPr="00A31B30">
        <w:rPr>
          <w:rFonts w:ascii="Arial" w:hAnsi="Arial" w:cs="Arial"/>
          <w:lang w:val="en-US"/>
        </w:rPr>
        <w:t>must</w:t>
      </w:r>
      <w:r w:rsidR="00943CBF" w:rsidRPr="00A31B30">
        <w:rPr>
          <w:rFonts w:ascii="Arial" w:hAnsi="Arial" w:cs="Arial"/>
          <w:lang w:val="en-US"/>
        </w:rPr>
        <w:t xml:space="preserve"> trawl through a </w:t>
      </w:r>
      <w:r w:rsidR="00C136F3" w:rsidRPr="00A31B30">
        <w:rPr>
          <w:rFonts w:ascii="Arial" w:hAnsi="Arial" w:cs="Arial"/>
          <w:lang w:val="en-US"/>
        </w:rPr>
        <w:t xml:space="preserve">lengthy </w:t>
      </w:r>
      <w:r w:rsidR="00943CBF" w:rsidRPr="00A31B30">
        <w:rPr>
          <w:rFonts w:ascii="Arial" w:hAnsi="Arial" w:cs="Arial"/>
          <w:lang w:val="en-US"/>
        </w:rPr>
        <w:t>document to speculate on the possible relevance of its contents.</w:t>
      </w:r>
      <w:r w:rsidR="00C136F3" w:rsidRPr="00A31B30">
        <w:rPr>
          <w:rFonts w:ascii="Arial" w:hAnsi="Arial" w:cs="Arial"/>
          <w:lang w:val="en-US"/>
        </w:rPr>
        <w:t xml:space="preserve"> </w:t>
      </w:r>
      <w:r w:rsidR="00215345">
        <w:rPr>
          <w:rFonts w:ascii="Arial" w:hAnsi="Arial" w:cs="Arial"/>
          <w:lang w:val="en-US"/>
        </w:rPr>
        <w:t>In this instance</w:t>
      </w:r>
      <w:r w:rsidR="00BF530D">
        <w:rPr>
          <w:rFonts w:ascii="Arial" w:hAnsi="Arial" w:cs="Arial"/>
          <w:lang w:val="en-US"/>
        </w:rPr>
        <w:t>, the grounds of appeal identified in Form LC 41 will be considered. L</w:t>
      </w:r>
      <w:r w:rsidR="00215345">
        <w:rPr>
          <w:rFonts w:ascii="Arial" w:hAnsi="Arial" w:cs="Arial"/>
          <w:lang w:val="en-US"/>
        </w:rPr>
        <w:t xml:space="preserve">itigants are simultaneously cautioned not to incorporate entire or substantial portions of annexures into affidavits and to rely thereon without dealing with the contents thereof in the affidavits themselves.   </w:t>
      </w:r>
    </w:p>
    <w:p w14:paraId="5EBD4F95" w14:textId="77777777" w:rsidR="00943CBF" w:rsidRPr="00943CBF" w:rsidRDefault="00943CBF" w:rsidP="00943CBF">
      <w:pPr>
        <w:pStyle w:val="ListParagraph"/>
        <w:rPr>
          <w:rFonts w:ascii="Arial" w:hAnsi="Arial" w:cs="Arial"/>
          <w:lang w:val="en-US"/>
        </w:rPr>
      </w:pPr>
    </w:p>
    <w:p w14:paraId="20A0441F" w14:textId="09772B43" w:rsidR="00967E48" w:rsidRDefault="00967E48" w:rsidP="00C136F3">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court now </w:t>
      </w:r>
      <w:r w:rsidR="004701FA">
        <w:rPr>
          <w:rFonts w:ascii="Arial" w:hAnsi="Arial" w:cs="Arial"/>
          <w:lang w:val="en-US"/>
        </w:rPr>
        <w:t>considers</w:t>
      </w:r>
      <w:r w:rsidR="002B201F">
        <w:rPr>
          <w:rFonts w:ascii="Arial" w:hAnsi="Arial" w:cs="Arial"/>
          <w:lang w:val="en-US"/>
        </w:rPr>
        <w:t xml:space="preserve"> </w:t>
      </w:r>
      <w:r w:rsidR="00AA6396">
        <w:rPr>
          <w:rFonts w:ascii="Arial" w:hAnsi="Arial" w:cs="Arial"/>
          <w:lang w:val="en-US"/>
        </w:rPr>
        <w:t>the</w:t>
      </w:r>
      <w:r>
        <w:rPr>
          <w:rFonts w:ascii="Arial" w:hAnsi="Arial" w:cs="Arial"/>
          <w:lang w:val="en-US"/>
        </w:rPr>
        <w:t xml:space="preserve"> grounds of appeal</w:t>
      </w:r>
      <w:r w:rsidR="00AA6396">
        <w:rPr>
          <w:rFonts w:ascii="Arial" w:hAnsi="Arial" w:cs="Arial"/>
          <w:lang w:val="en-US"/>
        </w:rPr>
        <w:t xml:space="preserve"> </w:t>
      </w:r>
      <w:r w:rsidR="004701FA">
        <w:rPr>
          <w:rFonts w:ascii="Arial" w:hAnsi="Arial" w:cs="Arial"/>
          <w:lang w:val="en-US"/>
        </w:rPr>
        <w:t>deemed</w:t>
      </w:r>
      <w:r w:rsidR="00AA6396">
        <w:rPr>
          <w:rFonts w:ascii="Arial" w:hAnsi="Arial" w:cs="Arial"/>
          <w:lang w:val="en-US"/>
        </w:rPr>
        <w:t xml:space="preserve"> meritorious</w:t>
      </w:r>
      <w:r>
        <w:rPr>
          <w:rFonts w:ascii="Arial" w:hAnsi="Arial" w:cs="Arial"/>
          <w:lang w:val="en-US"/>
        </w:rPr>
        <w:t>.</w:t>
      </w:r>
      <w:r w:rsidR="00D64ED3">
        <w:rPr>
          <w:rFonts w:ascii="Arial" w:hAnsi="Arial" w:cs="Arial"/>
          <w:lang w:val="en-US"/>
        </w:rPr>
        <w:t xml:space="preserve"> Insofar as the </w:t>
      </w:r>
      <w:r w:rsidR="0019379D">
        <w:rPr>
          <w:rFonts w:ascii="Arial" w:hAnsi="Arial" w:cs="Arial"/>
          <w:lang w:val="en-US"/>
        </w:rPr>
        <w:t>r</w:t>
      </w:r>
      <w:r w:rsidR="00D64ED3">
        <w:rPr>
          <w:rFonts w:ascii="Arial" w:hAnsi="Arial" w:cs="Arial"/>
          <w:lang w:val="en-US"/>
        </w:rPr>
        <w:t>espondent dealt with th</w:t>
      </w:r>
      <w:r w:rsidR="002B201F">
        <w:rPr>
          <w:rFonts w:ascii="Arial" w:hAnsi="Arial" w:cs="Arial"/>
          <w:lang w:val="en-US"/>
        </w:rPr>
        <w:t>ose</w:t>
      </w:r>
      <w:r w:rsidR="00D64ED3">
        <w:rPr>
          <w:rFonts w:ascii="Arial" w:hAnsi="Arial" w:cs="Arial"/>
          <w:lang w:val="en-US"/>
        </w:rPr>
        <w:t xml:space="preserve"> ground</w:t>
      </w:r>
      <w:r w:rsidR="002B201F">
        <w:rPr>
          <w:rFonts w:ascii="Arial" w:hAnsi="Arial" w:cs="Arial"/>
          <w:lang w:val="en-US"/>
        </w:rPr>
        <w:t>s</w:t>
      </w:r>
      <w:r w:rsidR="00D64ED3">
        <w:rPr>
          <w:rFonts w:ascii="Arial" w:hAnsi="Arial" w:cs="Arial"/>
          <w:lang w:val="en-US"/>
        </w:rPr>
        <w:t xml:space="preserve"> of appeal, the </w:t>
      </w:r>
      <w:r w:rsidR="0019379D">
        <w:rPr>
          <w:rFonts w:ascii="Arial" w:hAnsi="Arial" w:cs="Arial"/>
          <w:lang w:val="en-US"/>
        </w:rPr>
        <w:t>r</w:t>
      </w:r>
      <w:r w:rsidR="00D64ED3">
        <w:rPr>
          <w:rFonts w:ascii="Arial" w:hAnsi="Arial" w:cs="Arial"/>
          <w:lang w:val="en-US"/>
        </w:rPr>
        <w:t>espondent’s contentions are dealt with below</w:t>
      </w:r>
      <w:r w:rsidR="003B6EAE">
        <w:rPr>
          <w:rFonts w:ascii="Arial" w:hAnsi="Arial" w:cs="Arial"/>
          <w:lang w:val="en-US"/>
        </w:rPr>
        <w:t>.</w:t>
      </w:r>
      <w:r w:rsidR="00777AF2">
        <w:rPr>
          <w:rFonts w:ascii="Arial" w:hAnsi="Arial" w:cs="Arial"/>
          <w:lang w:val="en-US"/>
        </w:rPr>
        <w:t xml:space="preserve"> In </w:t>
      </w:r>
      <w:r w:rsidR="004701FA">
        <w:rPr>
          <w:rFonts w:ascii="Arial" w:hAnsi="Arial" w:cs="Arial"/>
          <w:lang w:val="en-US"/>
        </w:rPr>
        <w:t>evaluat</w:t>
      </w:r>
      <w:r w:rsidR="00777AF2">
        <w:rPr>
          <w:rFonts w:ascii="Arial" w:hAnsi="Arial" w:cs="Arial"/>
          <w:lang w:val="en-US"/>
        </w:rPr>
        <w:t xml:space="preserve">ing whether there are reasonable prospects of success </w:t>
      </w:r>
      <w:r w:rsidR="008C1543">
        <w:rPr>
          <w:rFonts w:ascii="Arial" w:hAnsi="Arial" w:cs="Arial"/>
          <w:lang w:val="en-US"/>
        </w:rPr>
        <w:t>on the merits</w:t>
      </w:r>
      <w:r w:rsidR="004701FA">
        <w:rPr>
          <w:rFonts w:ascii="Arial" w:hAnsi="Arial" w:cs="Arial"/>
          <w:lang w:val="en-US"/>
        </w:rPr>
        <w:t>,</w:t>
      </w:r>
      <w:r w:rsidR="008C1543">
        <w:rPr>
          <w:rFonts w:ascii="Arial" w:hAnsi="Arial" w:cs="Arial"/>
          <w:lang w:val="en-US"/>
        </w:rPr>
        <w:t xml:space="preserve"> </w:t>
      </w:r>
      <w:r w:rsidR="00777AF2">
        <w:rPr>
          <w:rFonts w:ascii="Arial" w:hAnsi="Arial" w:cs="Arial"/>
          <w:lang w:val="en-US"/>
        </w:rPr>
        <w:t>the court mus</w:t>
      </w:r>
      <w:r w:rsidR="00263A58">
        <w:rPr>
          <w:rFonts w:ascii="Arial" w:hAnsi="Arial" w:cs="Arial"/>
          <w:lang w:val="en-US"/>
        </w:rPr>
        <w:t>t consider how the Arbitrator dealt with the rescission application</w:t>
      </w:r>
      <w:r w:rsidR="008C1543">
        <w:rPr>
          <w:rFonts w:ascii="Arial" w:hAnsi="Arial" w:cs="Arial"/>
          <w:lang w:val="en-US"/>
        </w:rPr>
        <w:t xml:space="preserve"> and the arbitration hearing</w:t>
      </w:r>
      <w:r w:rsidR="00263A58">
        <w:rPr>
          <w:rFonts w:ascii="Arial" w:hAnsi="Arial" w:cs="Arial"/>
          <w:lang w:val="en-US"/>
        </w:rPr>
        <w:t>.</w:t>
      </w:r>
    </w:p>
    <w:p w14:paraId="3F622504" w14:textId="77777777" w:rsidR="00967E48" w:rsidRPr="00967E48" w:rsidRDefault="00967E48" w:rsidP="00967E48">
      <w:pPr>
        <w:pStyle w:val="ListParagraph"/>
        <w:rPr>
          <w:rFonts w:ascii="Arial" w:hAnsi="Arial" w:cs="Arial"/>
          <w:lang w:val="en-US"/>
        </w:rPr>
      </w:pPr>
    </w:p>
    <w:p w14:paraId="296914C3" w14:textId="57CD70E2" w:rsidR="000357F4" w:rsidRDefault="000357F4" w:rsidP="004E25DA">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In paragraph (b) under the grounds of appeal in the notice of appeal Form LC 41</w:t>
      </w:r>
      <w:r w:rsidR="004701FA">
        <w:rPr>
          <w:rFonts w:ascii="Arial" w:hAnsi="Arial" w:cs="Arial"/>
          <w:lang w:val="en-US"/>
        </w:rPr>
        <w:t>,</w:t>
      </w:r>
      <w:r>
        <w:rPr>
          <w:rFonts w:ascii="Arial" w:hAnsi="Arial" w:cs="Arial"/>
          <w:lang w:val="en-US"/>
        </w:rPr>
        <w:t xml:space="preserve"> it </w:t>
      </w:r>
      <w:r w:rsidR="00CB47DB">
        <w:rPr>
          <w:rFonts w:ascii="Arial" w:hAnsi="Arial" w:cs="Arial"/>
          <w:lang w:val="en-US"/>
        </w:rPr>
        <w:t>wa</w:t>
      </w:r>
      <w:r>
        <w:rPr>
          <w:rFonts w:ascii="Arial" w:hAnsi="Arial" w:cs="Arial"/>
          <w:lang w:val="en-US"/>
        </w:rPr>
        <w:t xml:space="preserve">s stated that the Arbitrator failed to carefully and judiciously consider the rescission application given the numerous procedural complaints that went to the root of denying the </w:t>
      </w:r>
      <w:r w:rsidR="00E72E33">
        <w:rPr>
          <w:rFonts w:ascii="Arial" w:hAnsi="Arial" w:cs="Arial"/>
          <w:lang w:val="en-US"/>
        </w:rPr>
        <w:t>a</w:t>
      </w:r>
      <w:r>
        <w:rPr>
          <w:rFonts w:ascii="Arial" w:hAnsi="Arial" w:cs="Arial"/>
          <w:lang w:val="en-US"/>
        </w:rPr>
        <w:t xml:space="preserve">pplicant </w:t>
      </w:r>
      <w:r w:rsidR="00263A58">
        <w:rPr>
          <w:rFonts w:ascii="Arial" w:hAnsi="Arial" w:cs="Arial"/>
          <w:lang w:val="en-US"/>
        </w:rPr>
        <w:t>the</w:t>
      </w:r>
      <w:r>
        <w:rPr>
          <w:rFonts w:ascii="Arial" w:hAnsi="Arial" w:cs="Arial"/>
          <w:lang w:val="en-US"/>
        </w:rPr>
        <w:t xml:space="preserve"> right to a fair trial.</w:t>
      </w:r>
      <w:r w:rsidR="00263A58">
        <w:rPr>
          <w:rFonts w:ascii="Arial" w:hAnsi="Arial" w:cs="Arial"/>
          <w:lang w:val="en-US"/>
        </w:rPr>
        <w:t xml:space="preserve"> That ground of appeal must be considered in light of what was placed before the Arbitrator </w:t>
      </w:r>
      <w:r w:rsidR="008C1543">
        <w:rPr>
          <w:rFonts w:ascii="Arial" w:hAnsi="Arial" w:cs="Arial"/>
          <w:lang w:val="en-US"/>
        </w:rPr>
        <w:t>in</w:t>
      </w:r>
      <w:r w:rsidR="00263A58">
        <w:rPr>
          <w:rFonts w:ascii="Arial" w:hAnsi="Arial" w:cs="Arial"/>
          <w:lang w:val="en-US"/>
        </w:rPr>
        <w:t xml:space="preserve"> the rescission application.</w:t>
      </w:r>
    </w:p>
    <w:p w14:paraId="1660D0E0" w14:textId="77777777" w:rsidR="00263A58" w:rsidRPr="00263A58" w:rsidRDefault="00263A58" w:rsidP="00263A58">
      <w:pPr>
        <w:pStyle w:val="ListParagraph"/>
        <w:rPr>
          <w:rFonts w:ascii="Arial" w:hAnsi="Arial" w:cs="Arial"/>
          <w:lang w:val="en-US"/>
        </w:rPr>
      </w:pPr>
    </w:p>
    <w:p w14:paraId="54387EAF" w14:textId="5476D65D" w:rsidR="00263A58" w:rsidRDefault="00263A58" w:rsidP="004E25DA">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The rescission application was brought in terms of s 88</w:t>
      </w:r>
      <w:r w:rsidRPr="002B462E">
        <w:rPr>
          <w:rFonts w:ascii="Arial" w:hAnsi="Arial" w:cs="Arial"/>
          <w:i/>
          <w:iCs/>
          <w:lang w:val="en-US"/>
        </w:rPr>
        <w:t>(a)</w:t>
      </w:r>
      <w:r>
        <w:rPr>
          <w:rFonts w:ascii="Arial" w:hAnsi="Arial" w:cs="Arial"/>
          <w:lang w:val="en-US"/>
        </w:rPr>
        <w:t xml:space="preserve"> of the Act</w:t>
      </w:r>
      <w:r w:rsidR="004701FA">
        <w:rPr>
          <w:rFonts w:ascii="Arial" w:hAnsi="Arial" w:cs="Arial"/>
          <w:lang w:val="en-US"/>
        </w:rPr>
        <w:t>,</w:t>
      </w:r>
      <w:r>
        <w:rPr>
          <w:rFonts w:ascii="Arial" w:hAnsi="Arial" w:cs="Arial"/>
          <w:lang w:val="en-US"/>
        </w:rPr>
        <w:t xml:space="preserve"> which provides that an arbitrator may rescind an award on application of any party made within 30 days after service of the award if it was erroneously sought or erroneously made in the absence of any party affected by that award. Section </w:t>
      </w:r>
      <w:r>
        <w:rPr>
          <w:rFonts w:ascii="Arial" w:hAnsi="Arial" w:cs="Arial"/>
          <w:lang w:val="en-US"/>
        </w:rPr>
        <w:lastRenderedPageBreak/>
        <w:t>88</w:t>
      </w:r>
      <w:r w:rsidRPr="002B462E">
        <w:rPr>
          <w:rFonts w:ascii="Arial" w:hAnsi="Arial" w:cs="Arial"/>
          <w:i/>
          <w:iCs/>
          <w:lang w:val="en-US"/>
        </w:rPr>
        <w:t>(a)</w:t>
      </w:r>
      <w:r>
        <w:rPr>
          <w:rFonts w:ascii="Arial" w:hAnsi="Arial" w:cs="Arial"/>
          <w:lang w:val="en-US"/>
        </w:rPr>
        <w:t xml:space="preserve"> of the Act is similar to High Court </w:t>
      </w:r>
      <w:r w:rsidR="00183EF5">
        <w:rPr>
          <w:rFonts w:ascii="Arial" w:hAnsi="Arial" w:cs="Arial"/>
          <w:lang w:val="en-US"/>
        </w:rPr>
        <w:t>r</w:t>
      </w:r>
      <w:r>
        <w:rPr>
          <w:rFonts w:ascii="Arial" w:hAnsi="Arial" w:cs="Arial"/>
          <w:lang w:val="en-US"/>
        </w:rPr>
        <w:t xml:space="preserve"> 103(1)</w:t>
      </w:r>
      <w:r w:rsidRPr="002B462E">
        <w:rPr>
          <w:rFonts w:ascii="Arial" w:hAnsi="Arial" w:cs="Arial"/>
          <w:i/>
          <w:iCs/>
          <w:lang w:val="en-US"/>
        </w:rPr>
        <w:t>(a)</w:t>
      </w:r>
      <w:r>
        <w:rPr>
          <w:rFonts w:ascii="Arial" w:hAnsi="Arial" w:cs="Arial"/>
          <w:lang w:val="en-US"/>
        </w:rPr>
        <w:t>.</w:t>
      </w:r>
      <w:r w:rsidR="00D62C60">
        <w:rPr>
          <w:rFonts w:ascii="Arial" w:hAnsi="Arial" w:cs="Arial"/>
          <w:lang w:val="en-US"/>
        </w:rPr>
        <w:t xml:space="preserve"> In </w:t>
      </w:r>
      <w:r w:rsidR="00D62C60" w:rsidRPr="00D62C60">
        <w:rPr>
          <w:rFonts w:ascii="Arial" w:hAnsi="Arial" w:cs="Arial"/>
          <w:i/>
          <w:iCs/>
          <w:lang w:val="en-US"/>
        </w:rPr>
        <w:t>De Villiers v Axiz Namibia (Pty) Ltd</w:t>
      </w:r>
      <w:r w:rsidR="00075B82" w:rsidRPr="009E10BE">
        <w:rPr>
          <w:rStyle w:val="FootnoteReference"/>
          <w:rFonts w:ascii="Arial" w:hAnsi="Arial" w:cs="Arial"/>
          <w:lang w:val="en-US"/>
        </w:rPr>
        <w:footnoteReference w:id="15"/>
      </w:r>
      <w:r w:rsidR="00E53B4A" w:rsidRPr="009E10BE">
        <w:rPr>
          <w:rFonts w:ascii="Arial" w:hAnsi="Arial" w:cs="Arial"/>
          <w:lang w:val="en-US"/>
        </w:rPr>
        <w:t xml:space="preserve"> </w:t>
      </w:r>
      <w:r w:rsidR="00D62C60" w:rsidRPr="009E10BE">
        <w:rPr>
          <w:rFonts w:ascii="Arial" w:hAnsi="Arial" w:cs="Arial"/>
          <w:lang w:val="en-US"/>
        </w:rPr>
        <w:t>the</w:t>
      </w:r>
      <w:r w:rsidR="00D62C60">
        <w:rPr>
          <w:rFonts w:ascii="Arial" w:hAnsi="Arial" w:cs="Arial"/>
          <w:lang w:val="en-US"/>
        </w:rPr>
        <w:t xml:space="preserve"> Supreme Court dealt with the applicable law when considering a rescission application </w:t>
      </w:r>
      <w:r w:rsidR="00F950F6">
        <w:rPr>
          <w:rFonts w:ascii="Arial" w:hAnsi="Arial" w:cs="Arial"/>
          <w:lang w:val="en-US"/>
        </w:rPr>
        <w:t xml:space="preserve">under </w:t>
      </w:r>
      <w:r w:rsidR="00D62C60">
        <w:rPr>
          <w:rFonts w:ascii="Arial" w:hAnsi="Arial" w:cs="Arial"/>
          <w:lang w:val="en-US"/>
        </w:rPr>
        <w:t xml:space="preserve">High Court </w:t>
      </w:r>
      <w:r w:rsidR="00183EF5">
        <w:rPr>
          <w:rFonts w:ascii="Arial" w:hAnsi="Arial" w:cs="Arial"/>
          <w:lang w:val="en-US"/>
        </w:rPr>
        <w:t>r</w:t>
      </w:r>
      <w:r w:rsidR="00D62C60">
        <w:rPr>
          <w:rFonts w:ascii="Arial" w:hAnsi="Arial" w:cs="Arial"/>
          <w:lang w:val="en-US"/>
        </w:rPr>
        <w:t xml:space="preserve"> 44(1)</w:t>
      </w:r>
      <w:r w:rsidR="00D62C60" w:rsidRPr="002B462E">
        <w:rPr>
          <w:rFonts w:ascii="Arial" w:hAnsi="Arial" w:cs="Arial"/>
          <w:i/>
          <w:iCs/>
          <w:lang w:val="en-US"/>
        </w:rPr>
        <w:t>(a)</w:t>
      </w:r>
      <w:r w:rsidR="004701FA">
        <w:rPr>
          <w:rFonts w:ascii="Arial" w:hAnsi="Arial" w:cs="Arial"/>
          <w:i/>
          <w:iCs/>
          <w:lang w:val="en-US"/>
        </w:rPr>
        <w:t>,</w:t>
      </w:r>
      <w:r w:rsidR="00D62C60">
        <w:rPr>
          <w:rFonts w:ascii="Arial" w:hAnsi="Arial" w:cs="Arial"/>
          <w:lang w:val="en-US"/>
        </w:rPr>
        <w:t xml:space="preserve"> which</w:t>
      </w:r>
      <w:r w:rsidR="00E53B4A">
        <w:rPr>
          <w:rFonts w:ascii="Arial" w:hAnsi="Arial" w:cs="Arial"/>
          <w:lang w:val="en-US"/>
        </w:rPr>
        <w:t xml:space="preserve"> r</w:t>
      </w:r>
      <w:r w:rsidR="00DB4942">
        <w:rPr>
          <w:rFonts w:ascii="Arial" w:hAnsi="Arial" w:cs="Arial"/>
          <w:lang w:val="en-US"/>
        </w:rPr>
        <w:t>ule</w:t>
      </w:r>
      <w:r w:rsidR="00D62C60">
        <w:rPr>
          <w:rFonts w:ascii="Arial" w:hAnsi="Arial" w:cs="Arial"/>
          <w:lang w:val="en-US"/>
        </w:rPr>
        <w:t xml:space="preserve"> preceded High Court </w:t>
      </w:r>
      <w:r w:rsidR="00183EF5">
        <w:rPr>
          <w:rFonts w:ascii="Arial" w:hAnsi="Arial" w:cs="Arial"/>
          <w:lang w:val="en-US"/>
        </w:rPr>
        <w:t>r</w:t>
      </w:r>
      <w:r w:rsidR="00D62C60">
        <w:rPr>
          <w:rFonts w:ascii="Arial" w:hAnsi="Arial" w:cs="Arial"/>
          <w:lang w:val="en-US"/>
        </w:rPr>
        <w:t xml:space="preserve"> 103(1)</w:t>
      </w:r>
      <w:r w:rsidR="00D62C60" w:rsidRPr="002B462E">
        <w:rPr>
          <w:rFonts w:ascii="Arial" w:hAnsi="Arial" w:cs="Arial"/>
          <w:i/>
          <w:iCs/>
          <w:lang w:val="en-US"/>
        </w:rPr>
        <w:t>(a)</w:t>
      </w:r>
      <w:r w:rsidR="00D62C60">
        <w:rPr>
          <w:rFonts w:ascii="Arial" w:hAnsi="Arial" w:cs="Arial"/>
          <w:lang w:val="en-US"/>
        </w:rPr>
        <w:t xml:space="preserve"> and which rule was similar to </w:t>
      </w:r>
      <w:r w:rsidR="00F950F6">
        <w:rPr>
          <w:rFonts w:ascii="Arial" w:hAnsi="Arial" w:cs="Arial"/>
          <w:lang w:val="en-US"/>
        </w:rPr>
        <w:t>it</w:t>
      </w:r>
      <w:r w:rsidR="004701FA">
        <w:rPr>
          <w:rFonts w:ascii="Arial" w:hAnsi="Arial" w:cs="Arial"/>
          <w:lang w:val="en-US"/>
        </w:rPr>
        <w:t>. It</w:t>
      </w:r>
      <w:r w:rsidR="008C1543">
        <w:rPr>
          <w:rFonts w:ascii="Arial" w:hAnsi="Arial" w:cs="Arial"/>
          <w:lang w:val="en-US"/>
        </w:rPr>
        <w:t xml:space="preserve"> </w:t>
      </w:r>
      <w:r w:rsidR="001E3CFB">
        <w:rPr>
          <w:rFonts w:ascii="Arial" w:hAnsi="Arial" w:cs="Arial"/>
          <w:lang w:val="en-US"/>
        </w:rPr>
        <w:t xml:space="preserve">said </w:t>
      </w:r>
      <w:r w:rsidR="004701FA">
        <w:rPr>
          <w:rFonts w:ascii="Arial" w:hAnsi="Arial" w:cs="Arial"/>
          <w:lang w:val="en-US"/>
        </w:rPr>
        <w:t>an applicant need not show good cause in such a rescission application</w:t>
      </w:r>
      <w:r w:rsidR="001E3CFB">
        <w:rPr>
          <w:rFonts w:ascii="Arial" w:hAnsi="Arial" w:cs="Arial"/>
          <w:lang w:val="en-US"/>
        </w:rPr>
        <w:t xml:space="preserve">. </w:t>
      </w:r>
      <w:r w:rsidR="00E53B4A">
        <w:rPr>
          <w:rFonts w:ascii="Arial" w:hAnsi="Arial" w:cs="Arial"/>
          <w:lang w:val="en-US"/>
        </w:rPr>
        <w:t>In</w:t>
      </w:r>
      <w:r w:rsidR="00D62C60">
        <w:rPr>
          <w:rFonts w:ascii="Arial" w:hAnsi="Arial" w:cs="Arial"/>
          <w:lang w:val="en-US"/>
        </w:rPr>
        <w:t xml:space="preserve"> paragraph</w:t>
      </w:r>
      <w:r w:rsidR="008C1543">
        <w:rPr>
          <w:rFonts w:ascii="Arial" w:hAnsi="Arial" w:cs="Arial"/>
          <w:lang w:val="en-US"/>
        </w:rPr>
        <w:t>s</w:t>
      </w:r>
      <w:r w:rsidR="00D62C60">
        <w:rPr>
          <w:rFonts w:ascii="Arial" w:hAnsi="Arial" w:cs="Arial"/>
          <w:lang w:val="en-US"/>
        </w:rPr>
        <w:t xml:space="preserve"> 21</w:t>
      </w:r>
      <w:r w:rsidR="00F950F6">
        <w:rPr>
          <w:rFonts w:ascii="Arial" w:hAnsi="Arial" w:cs="Arial"/>
          <w:lang w:val="en-US"/>
        </w:rPr>
        <w:t xml:space="preserve"> and 22</w:t>
      </w:r>
      <w:r w:rsidR="004701FA">
        <w:rPr>
          <w:rFonts w:ascii="Arial" w:hAnsi="Arial" w:cs="Arial"/>
          <w:lang w:val="en-US"/>
        </w:rPr>
        <w:t>,</w:t>
      </w:r>
      <w:r w:rsidR="00D62C60">
        <w:rPr>
          <w:rFonts w:ascii="Arial" w:hAnsi="Arial" w:cs="Arial"/>
          <w:lang w:val="en-US"/>
        </w:rPr>
        <w:t xml:space="preserve"> </w:t>
      </w:r>
      <w:r w:rsidR="008C1543">
        <w:rPr>
          <w:rFonts w:ascii="Arial" w:hAnsi="Arial" w:cs="Arial"/>
          <w:lang w:val="en-US"/>
        </w:rPr>
        <w:t>the Supreme Court</w:t>
      </w:r>
      <w:r w:rsidR="00D62C60">
        <w:rPr>
          <w:rFonts w:ascii="Arial" w:hAnsi="Arial" w:cs="Arial"/>
          <w:lang w:val="en-US"/>
        </w:rPr>
        <w:t xml:space="preserve"> </w:t>
      </w:r>
      <w:r w:rsidR="004701FA">
        <w:rPr>
          <w:rFonts w:ascii="Arial" w:hAnsi="Arial" w:cs="Arial"/>
          <w:lang w:val="en-US"/>
        </w:rPr>
        <w:t>held</w:t>
      </w:r>
      <w:r w:rsidR="00D62C60">
        <w:rPr>
          <w:rFonts w:ascii="Arial" w:hAnsi="Arial" w:cs="Arial"/>
          <w:lang w:val="en-US"/>
        </w:rPr>
        <w:t xml:space="preserve"> that a </w:t>
      </w:r>
      <w:r w:rsidR="00F950F6">
        <w:rPr>
          <w:rFonts w:ascii="Arial" w:hAnsi="Arial" w:cs="Arial"/>
          <w:lang w:val="en-US"/>
        </w:rPr>
        <w:t>judgment or order that was erroneously sought or granted in the absence of any party affected by it should</w:t>
      </w:r>
      <w:r w:rsidR="004701FA">
        <w:rPr>
          <w:rFonts w:ascii="Arial" w:hAnsi="Arial" w:cs="Arial"/>
          <w:lang w:val="en-US"/>
        </w:rPr>
        <w:t>,</w:t>
      </w:r>
      <w:r w:rsidR="00F950F6">
        <w:rPr>
          <w:rFonts w:ascii="Arial" w:hAnsi="Arial" w:cs="Arial"/>
          <w:lang w:val="en-US"/>
        </w:rPr>
        <w:t xml:space="preserve"> without further enquiry</w:t>
      </w:r>
      <w:r w:rsidR="004701FA">
        <w:rPr>
          <w:rFonts w:ascii="Arial" w:hAnsi="Arial" w:cs="Arial"/>
          <w:lang w:val="en-US"/>
        </w:rPr>
        <w:t>,</w:t>
      </w:r>
      <w:r w:rsidR="00F950F6">
        <w:rPr>
          <w:rFonts w:ascii="Arial" w:hAnsi="Arial" w:cs="Arial"/>
          <w:lang w:val="en-US"/>
        </w:rPr>
        <w:t xml:space="preserve"> be rescinded</w:t>
      </w:r>
      <w:r w:rsidR="004701FA">
        <w:rPr>
          <w:rFonts w:ascii="Arial" w:hAnsi="Arial" w:cs="Arial"/>
          <w:lang w:val="en-US"/>
        </w:rPr>
        <w:t>. T</w:t>
      </w:r>
      <w:r w:rsidR="00F950F6">
        <w:rPr>
          <w:rFonts w:ascii="Arial" w:hAnsi="Arial" w:cs="Arial"/>
          <w:lang w:val="en-US"/>
        </w:rPr>
        <w:t xml:space="preserve">he </w:t>
      </w:r>
      <w:r w:rsidR="00D62C60">
        <w:rPr>
          <w:rFonts w:ascii="Arial" w:hAnsi="Arial" w:cs="Arial"/>
          <w:lang w:val="en-US"/>
        </w:rPr>
        <w:t>court would be entitled to have regard not only to the record of the proceedings of the court that granted the impugned judgment or order but also to those facts set out in the affidavit relating to the rescission application.</w:t>
      </w:r>
      <w:r w:rsidR="00F950F6">
        <w:rPr>
          <w:rFonts w:ascii="Arial" w:hAnsi="Arial" w:cs="Arial"/>
          <w:lang w:val="en-US"/>
        </w:rPr>
        <w:t xml:space="preserve"> In </w:t>
      </w:r>
      <w:r w:rsidR="00F950F6" w:rsidRPr="008C1543">
        <w:rPr>
          <w:rFonts w:ascii="Arial" w:hAnsi="Arial" w:cs="Arial"/>
          <w:i/>
          <w:iCs/>
          <w:lang w:val="en-US"/>
        </w:rPr>
        <w:t>Labuschagne v Scania Finance Southern Africa (Pty) Ltd and Others</w:t>
      </w:r>
      <w:r w:rsidR="00075B82" w:rsidRPr="009E10BE">
        <w:rPr>
          <w:rStyle w:val="FootnoteReference"/>
          <w:rFonts w:ascii="Arial" w:hAnsi="Arial" w:cs="Arial"/>
          <w:lang w:val="en-US"/>
        </w:rPr>
        <w:footnoteReference w:id="16"/>
      </w:r>
      <w:r w:rsidR="009E10BE" w:rsidRPr="009E10BE">
        <w:rPr>
          <w:rFonts w:ascii="Arial" w:hAnsi="Arial" w:cs="Arial"/>
          <w:lang w:val="en-US"/>
        </w:rPr>
        <w:t xml:space="preserve"> </w:t>
      </w:r>
      <w:r w:rsidR="001E3CFB" w:rsidRPr="009E10BE">
        <w:rPr>
          <w:rFonts w:ascii="Arial" w:hAnsi="Arial" w:cs="Arial"/>
          <w:lang w:val="en-US"/>
        </w:rPr>
        <w:t>the</w:t>
      </w:r>
      <w:r w:rsidR="001E3CFB">
        <w:rPr>
          <w:rFonts w:ascii="Arial" w:hAnsi="Arial" w:cs="Arial"/>
          <w:lang w:val="en-US"/>
        </w:rPr>
        <w:t xml:space="preserve"> Supreme Court </w:t>
      </w:r>
      <w:r w:rsidR="008C1543">
        <w:rPr>
          <w:rFonts w:ascii="Arial" w:hAnsi="Arial" w:cs="Arial"/>
          <w:lang w:val="en-US"/>
        </w:rPr>
        <w:t xml:space="preserve">stated </w:t>
      </w:r>
      <w:r w:rsidR="001E3CFB">
        <w:rPr>
          <w:rFonts w:ascii="Arial" w:hAnsi="Arial" w:cs="Arial"/>
          <w:lang w:val="en-US"/>
        </w:rPr>
        <w:t>that</w:t>
      </w:r>
      <w:r w:rsidR="00D62C60">
        <w:rPr>
          <w:rFonts w:ascii="Arial" w:hAnsi="Arial" w:cs="Arial"/>
          <w:lang w:val="en-US"/>
        </w:rPr>
        <w:t xml:space="preserve"> </w:t>
      </w:r>
      <w:r w:rsidR="001E3CFB">
        <w:rPr>
          <w:rFonts w:ascii="Arial" w:hAnsi="Arial" w:cs="Arial"/>
          <w:lang w:val="en-US"/>
        </w:rPr>
        <w:t>‘</w:t>
      </w:r>
      <w:r w:rsidR="001E3CFB" w:rsidRPr="001E3CFB">
        <w:rPr>
          <w:rFonts w:ascii="Arial" w:hAnsi="Arial" w:cs="Arial"/>
        </w:rPr>
        <w:t>where there has not been proper notice of the proceedings to the party seeking rescission, whether the fact of the absence of notice appears on the record or not, any order granted will have been granted erroneously</w:t>
      </w:r>
      <w:r w:rsidR="001E3CFB">
        <w:rPr>
          <w:rFonts w:ascii="Arial" w:hAnsi="Arial" w:cs="Arial"/>
        </w:rPr>
        <w:t xml:space="preserve">’. </w:t>
      </w:r>
      <w:r w:rsidR="00D520E3">
        <w:rPr>
          <w:rFonts w:ascii="Arial" w:hAnsi="Arial" w:cs="Arial"/>
        </w:rPr>
        <w:t>The court finds that the Supreme Court authority applies to a rescission application under s 88</w:t>
      </w:r>
      <w:r w:rsidR="00D520E3" w:rsidRPr="002B462E">
        <w:rPr>
          <w:rFonts w:ascii="Arial" w:hAnsi="Arial" w:cs="Arial"/>
          <w:i/>
          <w:iCs/>
        </w:rPr>
        <w:t>(a)</w:t>
      </w:r>
      <w:r w:rsidR="00D520E3">
        <w:rPr>
          <w:rFonts w:ascii="Arial" w:hAnsi="Arial" w:cs="Arial"/>
        </w:rPr>
        <w:t xml:space="preserve"> of the Act. </w:t>
      </w:r>
      <w:r w:rsidR="001E3CFB">
        <w:rPr>
          <w:rFonts w:ascii="Arial" w:hAnsi="Arial" w:cs="Arial"/>
        </w:rPr>
        <w:t>The court agrees with</w:t>
      </w:r>
      <w:r w:rsidR="004701FA">
        <w:rPr>
          <w:rFonts w:ascii="Arial" w:hAnsi="Arial" w:cs="Arial"/>
        </w:rPr>
        <w:t xml:space="preserve"> and is bound by the Supreme Court’s</w:t>
      </w:r>
      <w:r w:rsidR="001E3CFB">
        <w:rPr>
          <w:rFonts w:ascii="Arial" w:hAnsi="Arial" w:cs="Arial"/>
        </w:rPr>
        <w:t xml:space="preserve"> authority. </w:t>
      </w:r>
    </w:p>
    <w:p w14:paraId="3F4E4E83" w14:textId="77777777" w:rsidR="000357F4" w:rsidRPr="000357F4" w:rsidRDefault="000357F4" w:rsidP="000357F4">
      <w:pPr>
        <w:pStyle w:val="ListParagraph"/>
        <w:rPr>
          <w:rFonts w:ascii="Arial" w:hAnsi="Arial" w:cs="Arial"/>
          <w:lang w:val="en-US"/>
        </w:rPr>
      </w:pPr>
    </w:p>
    <w:p w14:paraId="68E62D07" w14:textId="5022F73A" w:rsidR="00524CCD" w:rsidRPr="00524CCD" w:rsidRDefault="004701FA" w:rsidP="00524CCD">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Regarding</w:t>
      </w:r>
      <w:r w:rsidR="001E3CFB">
        <w:rPr>
          <w:rFonts w:ascii="Arial" w:hAnsi="Arial" w:cs="Arial"/>
          <w:lang w:val="en-US"/>
        </w:rPr>
        <w:t xml:space="preserve"> the hearing date of 3 November 2021</w:t>
      </w:r>
      <w:r>
        <w:rPr>
          <w:rFonts w:ascii="Arial" w:hAnsi="Arial" w:cs="Arial"/>
          <w:lang w:val="en-US"/>
        </w:rPr>
        <w:t>,</w:t>
      </w:r>
      <w:r w:rsidR="00D520E3">
        <w:rPr>
          <w:rFonts w:ascii="Arial" w:hAnsi="Arial" w:cs="Arial"/>
          <w:lang w:val="en-US"/>
        </w:rPr>
        <w:t xml:space="preserve"> which led to the award being issued in the </w:t>
      </w:r>
      <w:r w:rsidR="0019379D">
        <w:rPr>
          <w:rFonts w:ascii="Arial" w:hAnsi="Arial" w:cs="Arial"/>
          <w:lang w:val="en-US"/>
        </w:rPr>
        <w:t>a</w:t>
      </w:r>
      <w:r w:rsidR="00D520E3">
        <w:rPr>
          <w:rFonts w:ascii="Arial" w:hAnsi="Arial" w:cs="Arial"/>
          <w:lang w:val="en-US"/>
        </w:rPr>
        <w:t>pplicant’s absence</w:t>
      </w:r>
      <w:r w:rsidR="001E3CFB">
        <w:rPr>
          <w:rFonts w:ascii="Arial" w:hAnsi="Arial" w:cs="Arial"/>
          <w:lang w:val="en-US"/>
        </w:rPr>
        <w:t xml:space="preserve">, the </w:t>
      </w:r>
      <w:r w:rsidR="0019379D">
        <w:rPr>
          <w:rFonts w:ascii="Arial" w:hAnsi="Arial" w:cs="Arial"/>
          <w:lang w:val="en-US"/>
        </w:rPr>
        <w:t>a</w:t>
      </w:r>
      <w:r w:rsidR="001E3CFB">
        <w:rPr>
          <w:rFonts w:ascii="Arial" w:hAnsi="Arial" w:cs="Arial"/>
          <w:lang w:val="en-US"/>
        </w:rPr>
        <w:t>pplicant</w:t>
      </w:r>
      <w:r w:rsidR="00E53B4A">
        <w:rPr>
          <w:rFonts w:ascii="Arial" w:hAnsi="Arial" w:cs="Arial"/>
          <w:lang w:val="en-US"/>
        </w:rPr>
        <w:t xml:space="preserve">’s deponent </w:t>
      </w:r>
      <w:r w:rsidR="001E3CFB">
        <w:rPr>
          <w:rFonts w:ascii="Arial" w:hAnsi="Arial" w:cs="Arial"/>
          <w:lang w:val="en-US"/>
        </w:rPr>
        <w:t>explain</w:t>
      </w:r>
      <w:r w:rsidR="00CB47DB">
        <w:rPr>
          <w:rFonts w:ascii="Arial" w:hAnsi="Arial" w:cs="Arial"/>
          <w:lang w:val="en-US"/>
        </w:rPr>
        <w:t>ed</w:t>
      </w:r>
      <w:r w:rsidR="001E3CFB">
        <w:rPr>
          <w:rFonts w:ascii="Arial" w:hAnsi="Arial" w:cs="Arial"/>
          <w:lang w:val="en-US"/>
        </w:rPr>
        <w:t xml:space="preserve"> the following in the affidavit to the rescission application.</w:t>
      </w:r>
      <w:r w:rsidR="00B66415">
        <w:rPr>
          <w:rFonts w:ascii="Arial" w:hAnsi="Arial" w:cs="Arial"/>
          <w:lang w:val="en-US"/>
        </w:rPr>
        <w:t xml:space="preserve"> The </w:t>
      </w:r>
      <w:r w:rsidR="0019379D">
        <w:rPr>
          <w:rFonts w:ascii="Arial" w:hAnsi="Arial" w:cs="Arial"/>
          <w:lang w:val="en-US"/>
        </w:rPr>
        <w:t>a</w:t>
      </w:r>
      <w:r w:rsidR="00B66415">
        <w:rPr>
          <w:rFonts w:ascii="Arial" w:hAnsi="Arial" w:cs="Arial"/>
          <w:lang w:val="en-US"/>
        </w:rPr>
        <w:t xml:space="preserve">pplicant was under the impression that the dispute was dismissed on 3 September 2021 when the </w:t>
      </w:r>
      <w:r w:rsidR="0019379D">
        <w:rPr>
          <w:rFonts w:ascii="Arial" w:hAnsi="Arial" w:cs="Arial"/>
          <w:lang w:val="en-US"/>
        </w:rPr>
        <w:t>a</w:t>
      </w:r>
      <w:r w:rsidR="00B66415">
        <w:rPr>
          <w:rFonts w:ascii="Arial" w:hAnsi="Arial" w:cs="Arial"/>
          <w:lang w:val="en-US"/>
        </w:rPr>
        <w:t>pplicant appeared for the hearing</w:t>
      </w:r>
      <w:r w:rsidR="00D520E3">
        <w:rPr>
          <w:rFonts w:ascii="Arial" w:hAnsi="Arial" w:cs="Arial"/>
          <w:lang w:val="en-US"/>
        </w:rPr>
        <w:t xml:space="preserve"> and</w:t>
      </w:r>
      <w:r w:rsidR="00B66415">
        <w:rPr>
          <w:rFonts w:ascii="Arial" w:hAnsi="Arial" w:cs="Arial"/>
          <w:lang w:val="en-US"/>
        </w:rPr>
        <w:t xml:space="preserve"> the </w:t>
      </w:r>
      <w:r w:rsidR="0019379D">
        <w:rPr>
          <w:rFonts w:ascii="Arial" w:hAnsi="Arial" w:cs="Arial"/>
          <w:lang w:val="en-US"/>
        </w:rPr>
        <w:t>r</w:t>
      </w:r>
      <w:r w:rsidR="00B66415">
        <w:rPr>
          <w:rFonts w:ascii="Arial" w:hAnsi="Arial" w:cs="Arial"/>
          <w:lang w:val="en-US"/>
        </w:rPr>
        <w:t xml:space="preserve">espondent failed to appear. A notice of set down for 3 November 2021 was subsequently issued and received by the </w:t>
      </w:r>
      <w:r w:rsidR="0019379D">
        <w:rPr>
          <w:rFonts w:ascii="Arial" w:hAnsi="Arial" w:cs="Arial"/>
          <w:lang w:val="en-US"/>
        </w:rPr>
        <w:t>a</w:t>
      </w:r>
      <w:r w:rsidR="00B66415">
        <w:rPr>
          <w:rFonts w:ascii="Arial" w:hAnsi="Arial" w:cs="Arial"/>
          <w:lang w:val="en-US"/>
        </w:rPr>
        <w:t>pplicant</w:t>
      </w:r>
      <w:r>
        <w:rPr>
          <w:rFonts w:ascii="Arial" w:hAnsi="Arial" w:cs="Arial"/>
          <w:lang w:val="en-US"/>
        </w:rPr>
        <w:t xml:space="preserve">, but the </w:t>
      </w:r>
      <w:r w:rsidR="0019379D">
        <w:rPr>
          <w:rFonts w:ascii="Arial" w:hAnsi="Arial" w:cs="Arial"/>
          <w:lang w:val="en-US"/>
        </w:rPr>
        <w:t>a</w:t>
      </w:r>
      <w:r>
        <w:rPr>
          <w:rFonts w:ascii="Arial" w:hAnsi="Arial" w:cs="Arial"/>
          <w:lang w:val="en-US"/>
        </w:rPr>
        <w:t>pplicant believed that it was done in error since the matter had already been</w:t>
      </w:r>
      <w:r w:rsidR="00B66415">
        <w:rPr>
          <w:rFonts w:ascii="Arial" w:hAnsi="Arial" w:cs="Arial"/>
          <w:lang w:val="en-US"/>
        </w:rPr>
        <w:t xml:space="preserve"> dismissed</w:t>
      </w:r>
      <w:r w:rsidR="00CB47DB">
        <w:rPr>
          <w:rFonts w:ascii="Arial" w:hAnsi="Arial" w:cs="Arial"/>
          <w:lang w:val="en-US"/>
        </w:rPr>
        <w:t>, so it thought</w:t>
      </w:r>
      <w:r w:rsidR="00D520E3">
        <w:rPr>
          <w:rFonts w:ascii="Arial" w:hAnsi="Arial" w:cs="Arial"/>
          <w:lang w:val="en-US"/>
        </w:rPr>
        <w:t xml:space="preserve">. The </w:t>
      </w:r>
      <w:r w:rsidR="0019379D">
        <w:rPr>
          <w:rFonts w:ascii="Arial" w:hAnsi="Arial" w:cs="Arial"/>
          <w:lang w:val="en-US"/>
        </w:rPr>
        <w:t>a</w:t>
      </w:r>
      <w:r w:rsidR="00D520E3">
        <w:rPr>
          <w:rFonts w:ascii="Arial" w:hAnsi="Arial" w:cs="Arial"/>
          <w:lang w:val="en-US"/>
        </w:rPr>
        <w:t>pplicant further</w:t>
      </w:r>
      <w:r w:rsidR="00C014BE">
        <w:rPr>
          <w:rFonts w:ascii="Arial" w:hAnsi="Arial" w:cs="Arial"/>
          <w:lang w:val="en-US"/>
        </w:rPr>
        <w:t xml:space="preserve"> believed</w:t>
      </w:r>
      <w:r w:rsidR="00D520E3">
        <w:rPr>
          <w:rFonts w:ascii="Arial" w:hAnsi="Arial" w:cs="Arial"/>
          <w:lang w:val="en-US"/>
        </w:rPr>
        <w:t xml:space="preserve"> </w:t>
      </w:r>
      <w:r w:rsidR="00B66415">
        <w:rPr>
          <w:rFonts w:ascii="Arial" w:hAnsi="Arial" w:cs="Arial"/>
          <w:lang w:val="en-US"/>
        </w:rPr>
        <w:t>that the Labour Commissioner w</w:t>
      </w:r>
      <w:r>
        <w:rPr>
          <w:rFonts w:ascii="Arial" w:hAnsi="Arial" w:cs="Arial"/>
          <w:lang w:val="en-US"/>
        </w:rPr>
        <w:t>ould</w:t>
      </w:r>
      <w:r w:rsidR="00B66415">
        <w:rPr>
          <w:rFonts w:ascii="Arial" w:hAnsi="Arial" w:cs="Arial"/>
          <w:lang w:val="en-US"/>
        </w:rPr>
        <w:t xml:space="preserve"> notice that the matter </w:t>
      </w:r>
      <w:r>
        <w:rPr>
          <w:rFonts w:ascii="Arial" w:hAnsi="Arial" w:cs="Arial"/>
          <w:lang w:val="en-US"/>
        </w:rPr>
        <w:t>had already been</w:t>
      </w:r>
      <w:r w:rsidR="00B66415">
        <w:rPr>
          <w:rFonts w:ascii="Arial" w:hAnsi="Arial" w:cs="Arial"/>
          <w:lang w:val="en-US"/>
        </w:rPr>
        <w:t xml:space="preserve"> dismissed. More importantly, the notice of set down was dated 18 October 2021</w:t>
      </w:r>
      <w:r>
        <w:rPr>
          <w:rFonts w:ascii="Arial" w:hAnsi="Arial" w:cs="Arial"/>
          <w:lang w:val="en-US"/>
        </w:rPr>
        <w:t xml:space="preserve">, and the </w:t>
      </w:r>
      <w:r w:rsidR="0019379D">
        <w:rPr>
          <w:rFonts w:ascii="Arial" w:hAnsi="Arial" w:cs="Arial"/>
          <w:lang w:val="en-US"/>
        </w:rPr>
        <w:t>a</w:t>
      </w:r>
      <w:r>
        <w:rPr>
          <w:rFonts w:ascii="Arial" w:hAnsi="Arial" w:cs="Arial"/>
          <w:lang w:val="en-US"/>
        </w:rPr>
        <w:t>pplicant only received it on 29 October 2021</w:t>
      </w:r>
      <w:r w:rsidR="00255DEB">
        <w:rPr>
          <w:rFonts w:ascii="Arial" w:hAnsi="Arial" w:cs="Arial"/>
          <w:lang w:val="en-US"/>
        </w:rPr>
        <w:t>. That is t</w:t>
      </w:r>
      <w:r w:rsidR="00D520E3">
        <w:rPr>
          <w:rFonts w:ascii="Arial" w:hAnsi="Arial" w:cs="Arial"/>
          <w:lang w:val="en-US"/>
        </w:rPr>
        <w:t xml:space="preserve">wo business days’ notice </w:t>
      </w:r>
      <w:r>
        <w:rPr>
          <w:rFonts w:ascii="Arial" w:hAnsi="Arial" w:cs="Arial"/>
          <w:lang w:val="en-US"/>
        </w:rPr>
        <w:t>before</w:t>
      </w:r>
      <w:r w:rsidR="00D520E3">
        <w:rPr>
          <w:rFonts w:ascii="Arial" w:hAnsi="Arial" w:cs="Arial"/>
          <w:lang w:val="en-US"/>
        </w:rPr>
        <w:t xml:space="preserve"> the hearing date</w:t>
      </w:r>
      <w:r w:rsidR="00B66415">
        <w:rPr>
          <w:rFonts w:ascii="Arial" w:hAnsi="Arial" w:cs="Arial"/>
          <w:lang w:val="en-US"/>
        </w:rPr>
        <w:t xml:space="preserve">. </w:t>
      </w:r>
      <w:r w:rsidR="00524CCD">
        <w:rPr>
          <w:rFonts w:ascii="Arial" w:hAnsi="Arial" w:cs="Arial"/>
          <w:lang w:val="en-US"/>
        </w:rPr>
        <w:t>I</w:t>
      </w:r>
      <w:r w:rsidR="00B66415">
        <w:rPr>
          <w:rFonts w:ascii="Arial" w:hAnsi="Arial" w:cs="Arial"/>
          <w:lang w:val="en-US"/>
        </w:rPr>
        <w:t xml:space="preserve">n terms of Conciliation and Arbitration </w:t>
      </w:r>
      <w:r w:rsidR="00183EF5">
        <w:rPr>
          <w:rFonts w:ascii="Arial" w:hAnsi="Arial" w:cs="Arial"/>
          <w:lang w:val="en-US"/>
        </w:rPr>
        <w:t>r</w:t>
      </w:r>
      <w:r w:rsidR="00B66415">
        <w:rPr>
          <w:rFonts w:ascii="Arial" w:hAnsi="Arial" w:cs="Arial"/>
          <w:lang w:val="en-US"/>
        </w:rPr>
        <w:t xml:space="preserve"> 12</w:t>
      </w:r>
      <w:r>
        <w:rPr>
          <w:rFonts w:ascii="Arial" w:hAnsi="Arial" w:cs="Arial"/>
          <w:lang w:val="en-US"/>
        </w:rPr>
        <w:t>,</w:t>
      </w:r>
      <w:r w:rsidR="00B66415">
        <w:rPr>
          <w:rFonts w:ascii="Arial" w:hAnsi="Arial" w:cs="Arial"/>
          <w:lang w:val="en-US"/>
        </w:rPr>
        <w:t xml:space="preserve"> a notice of set down must be communicated at least seven days </w:t>
      </w:r>
      <w:r>
        <w:rPr>
          <w:rFonts w:ascii="Arial" w:hAnsi="Arial" w:cs="Arial"/>
          <w:lang w:val="en-US"/>
        </w:rPr>
        <w:t>before</w:t>
      </w:r>
      <w:r w:rsidR="00B66415">
        <w:rPr>
          <w:rFonts w:ascii="Arial" w:hAnsi="Arial" w:cs="Arial"/>
          <w:lang w:val="en-US"/>
        </w:rPr>
        <w:t xml:space="preserve"> the </w:t>
      </w:r>
      <w:r w:rsidR="00524CCD">
        <w:rPr>
          <w:rFonts w:ascii="Arial" w:hAnsi="Arial" w:cs="Arial"/>
          <w:lang w:val="en-US"/>
        </w:rPr>
        <w:t xml:space="preserve">conciliation </w:t>
      </w:r>
      <w:r w:rsidR="00524CCD">
        <w:rPr>
          <w:rFonts w:ascii="Arial" w:hAnsi="Arial" w:cs="Arial"/>
          <w:lang w:val="en-US"/>
        </w:rPr>
        <w:lastRenderedPageBreak/>
        <w:t>meeting</w:t>
      </w:r>
      <w:r w:rsidR="00B66415">
        <w:rPr>
          <w:rFonts w:ascii="Arial" w:hAnsi="Arial" w:cs="Arial"/>
          <w:lang w:val="en-US"/>
        </w:rPr>
        <w:t xml:space="preserve">. </w:t>
      </w:r>
      <w:r w:rsidR="00524CCD">
        <w:rPr>
          <w:rFonts w:ascii="Arial" w:hAnsi="Arial" w:cs="Arial"/>
          <w:lang w:val="en-US"/>
        </w:rPr>
        <w:t xml:space="preserve">Conciliation and Arbitration </w:t>
      </w:r>
      <w:r w:rsidR="00183EF5">
        <w:rPr>
          <w:rFonts w:ascii="Arial" w:hAnsi="Arial" w:cs="Arial"/>
          <w:lang w:val="en-US"/>
        </w:rPr>
        <w:t>r</w:t>
      </w:r>
      <w:r w:rsidR="00524CCD">
        <w:rPr>
          <w:rFonts w:ascii="Arial" w:hAnsi="Arial" w:cs="Arial"/>
          <w:lang w:val="en-US"/>
        </w:rPr>
        <w:t xml:space="preserve"> 15 requires that the parties be given 14 days’ notice of an arbitration hearing </w:t>
      </w:r>
      <w:r w:rsidR="00D520E3">
        <w:rPr>
          <w:rFonts w:ascii="Arial" w:hAnsi="Arial" w:cs="Arial"/>
          <w:lang w:val="en-US"/>
        </w:rPr>
        <w:t>‘</w:t>
      </w:r>
      <w:r w:rsidR="00524CCD">
        <w:rPr>
          <w:rFonts w:ascii="Arial" w:hAnsi="Arial" w:cs="Arial"/>
          <w:lang w:val="en-US"/>
        </w:rPr>
        <w:t>on Form LC 28</w:t>
      </w:r>
      <w:r w:rsidR="00D520E3">
        <w:rPr>
          <w:rFonts w:ascii="Arial" w:hAnsi="Arial" w:cs="Arial"/>
          <w:lang w:val="en-US"/>
        </w:rPr>
        <w:t>’</w:t>
      </w:r>
      <w:r w:rsidR="00524CCD">
        <w:rPr>
          <w:rFonts w:ascii="Arial" w:hAnsi="Arial" w:cs="Arial"/>
          <w:lang w:val="en-US"/>
        </w:rPr>
        <w:t xml:space="preserve">. </w:t>
      </w:r>
      <w:r w:rsidR="00B66415">
        <w:rPr>
          <w:rFonts w:ascii="Arial" w:hAnsi="Arial" w:cs="Arial"/>
          <w:lang w:val="en-US"/>
        </w:rPr>
        <w:t xml:space="preserve">The </w:t>
      </w:r>
      <w:r w:rsidR="0019379D">
        <w:rPr>
          <w:rFonts w:ascii="Arial" w:hAnsi="Arial" w:cs="Arial"/>
          <w:lang w:val="en-US"/>
        </w:rPr>
        <w:t>a</w:t>
      </w:r>
      <w:r w:rsidR="00B66415">
        <w:rPr>
          <w:rFonts w:ascii="Arial" w:hAnsi="Arial" w:cs="Arial"/>
          <w:lang w:val="en-US"/>
        </w:rPr>
        <w:t xml:space="preserve">pplicant was not </w:t>
      </w:r>
      <w:r w:rsidR="00524CCD">
        <w:rPr>
          <w:rFonts w:ascii="Arial" w:hAnsi="Arial" w:cs="Arial"/>
          <w:lang w:val="en-US"/>
        </w:rPr>
        <w:t xml:space="preserve">properly served with the notice of set down and </w:t>
      </w:r>
      <w:r>
        <w:rPr>
          <w:rFonts w:ascii="Arial" w:hAnsi="Arial" w:cs="Arial"/>
          <w:lang w:val="en-US"/>
        </w:rPr>
        <w:t>was given inadequate (short) notice of the 3 November 2021 hearing date while</w:t>
      </w:r>
      <w:r w:rsidR="00B66415">
        <w:rPr>
          <w:rFonts w:ascii="Arial" w:hAnsi="Arial" w:cs="Arial"/>
          <w:lang w:val="en-US"/>
        </w:rPr>
        <w:t xml:space="preserve"> under the impression that the matter </w:t>
      </w:r>
      <w:r>
        <w:rPr>
          <w:rFonts w:ascii="Arial" w:hAnsi="Arial" w:cs="Arial"/>
          <w:lang w:val="en-US"/>
        </w:rPr>
        <w:t>had already been</w:t>
      </w:r>
      <w:r w:rsidR="00B66415">
        <w:rPr>
          <w:rFonts w:ascii="Arial" w:hAnsi="Arial" w:cs="Arial"/>
          <w:lang w:val="en-US"/>
        </w:rPr>
        <w:t xml:space="preserve"> dismissed. </w:t>
      </w:r>
      <w:r w:rsidR="00524CCD">
        <w:rPr>
          <w:rFonts w:ascii="Arial" w:hAnsi="Arial" w:cs="Arial"/>
          <w:lang w:val="en-US"/>
        </w:rPr>
        <w:t>T</w:t>
      </w:r>
      <w:r w:rsidR="00B66415">
        <w:rPr>
          <w:rFonts w:ascii="Arial" w:hAnsi="Arial" w:cs="Arial"/>
          <w:lang w:val="en-US"/>
        </w:rPr>
        <w:t xml:space="preserve">he award </w:t>
      </w:r>
      <w:r>
        <w:rPr>
          <w:rFonts w:ascii="Arial" w:hAnsi="Arial" w:cs="Arial"/>
          <w:lang w:val="en-US"/>
        </w:rPr>
        <w:t>wa</w:t>
      </w:r>
      <w:r w:rsidR="00B66415">
        <w:rPr>
          <w:rFonts w:ascii="Arial" w:hAnsi="Arial" w:cs="Arial"/>
          <w:lang w:val="en-US"/>
        </w:rPr>
        <w:t>s silent when the notice of set down was served</w:t>
      </w:r>
      <w:r>
        <w:rPr>
          <w:rFonts w:ascii="Arial" w:hAnsi="Arial" w:cs="Arial"/>
          <w:lang w:val="en-US"/>
        </w:rPr>
        <w:t xml:space="preserve">, and the manner of service does not appear to be rule </w:t>
      </w:r>
      <w:r w:rsidR="00D520E3">
        <w:rPr>
          <w:rFonts w:ascii="Arial" w:hAnsi="Arial" w:cs="Arial"/>
          <w:lang w:val="en-US"/>
        </w:rPr>
        <w:t>compliant</w:t>
      </w:r>
      <w:r w:rsidR="00B66415">
        <w:rPr>
          <w:rFonts w:ascii="Arial" w:hAnsi="Arial" w:cs="Arial"/>
          <w:lang w:val="en-US"/>
        </w:rPr>
        <w:t>.</w:t>
      </w:r>
      <w:r w:rsidR="00524CCD">
        <w:rPr>
          <w:rFonts w:ascii="Arial" w:hAnsi="Arial" w:cs="Arial"/>
          <w:lang w:val="en-US"/>
        </w:rPr>
        <w:t xml:space="preserve"> In terms of Conciliation and Arbitration </w:t>
      </w:r>
      <w:r w:rsidR="00183EF5">
        <w:rPr>
          <w:rFonts w:ascii="Arial" w:hAnsi="Arial" w:cs="Arial"/>
          <w:lang w:val="en-US"/>
        </w:rPr>
        <w:t>r</w:t>
      </w:r>
      <w:r w:rsidR="00524CCD">
        <w:rPr>
          <w:rFonts w:ascii="Arial" w:hAnsi="Arial" w:cs="Arial"/>
          <w:lang w:val="en-US"/>
        </w:rPr>
        <w:t xml:space="preserve"> 27(3)</w:t>
      </w:r>
      <w:r>
        <w:rPr>
          <w:rFonts w:ascii="Arial" w:hAnsi="Arial" w:cs="Arial"/>
          <w:lang w:val="en-US"/>
        </w:rPr>
        <w:t>,</w:t>
      </w:r>
      <w:r w:rsidR="00524CCD">
        <w:rPr>
          <w:rFonts w:ascii="Arial" w:hAnsi="Arial" w:cs="Arial"/>
          <w:lang w:val="en-US"/>
        </w:rPr>
        <w:t xml:space="preserve"> the Arbitrator should have attempted to contact the </w:t>
      </w:r>
      <w:r w:rsidR="0019379D">
        <w:rPr>
          <w:rFonts w:ascii="Arial" w:hAnsi="Arial" w:cs="Arial"/>
          <w:lang w:val="en-US"/>
        </w:rPr>
        <w:t>a</w:t>
      </w:r>
      <w:r w:rsidR="00524CCD">
        <w:rPr>
          <w:rFonts w:ascii="Arial" w:hAnsi="Arial" w:cs="Arial"/>
          <w:lang w:val="en-US"/>
        </w:rPr>
        <w:t xml:space="preserve">pplicant telephonically before making any decision in terms of that rule. According to the </w:t>
      </w:r>
      <w:r w:rsidR="0019379D">
        <w:rPr>
          <w:rFonts w:ascii="Arial" w:hAnsi="Arial" w:cs="Arial"/>
          <w:lang w:val="en-US"/>
        </w:rPr>
        <w:t>a</w:t>
      </w:r>
      <w:r w:rsidR="00524CCD">
        <w:rPr>
          <w:rFonts w:ascii="Arial" w:hAnsi="Arial" w:cs="Arial"/>
          <w:lang w:val="en-US"/>
        </w:rPr>
        <w:t>pplicant</w:t>
      </w:r>
      <w:r>
        <w:rPr>
          <w:rFonts w:ascii="Arial" w:hAnsi="Arial" w:cs="Arial"/>
          <w:lang w:val="en-US"/>
        </w:rPr>
        <w:t xml:space="preserve">, no attempt was made to contact the </w:t>
      </w:r>
      <w:r w:rsidR="0019379D">
        <w:rPr>
          <w:rFonts w:ascii="Arial" w:hAnsi="Arial" w:cs="Arial"/>
          <w:lang w:val="en-US"/>
        </w:rPr>
        <w:t>a</w:t>
      </w:r>
      <w:r>
        <w:rPr>
          <w:rFonts w:ascii="Arial" w:hAnsi="Arial" w:cs="Arial"/>
          <w:lang w:val="en-US"/>
        </w:rPr>
        <w:t>pplicant on 3 November 2021,</w:t>
      </w:r>
      <w:r w:rsidR="00524CCD">
        <w:rPr>
          <w:rFonts w:ascii="Arial" w:hAnsi="Arial" w:cs="Arial"/>
          <w:lang w:val="en-US"/>
        </w:rPr>
        <w:t xml:space="preserve"> and the Arbitrator was challenged to produce records reflecting </w:t>
      </w:r>
      <w:r>
        <w:rPr>
          <w:rFonts w:ascii="Arial" w:hAnsi="Arial" w:cs="Arial"/>
          <w:lang w:val="en-US"/>
        </w:rPr>
        <w:t xml:space="preserve">the </w:t>
      </w:r>
      <w:r w:rsidR="00D520E3">
        <w:rPr>
          <w:rFonts w:ascii="Arial" w:hAnsi="Arial" w:cs="Arial"/>
          <w:lang w:val="en-US"/>
        </w:rPr>
        <w:t>‘</w:t>
      </w:r>
      <w:r w:rsidR="00524CCD">
        <w:rPr>
          <w:rFonts w:ascii="Arial" w:hAnsi="Arial" w:cs="Arial"/>
          <w:lang w:val="en-US"/>
        </w:rPr>
        <w:t>same</w:t>
      </w:r>
      <w:r w:rsidR="00D520E3">
        <w:rPr>
          <w:rFonts w:ascii="Arial" w:hAnsi="Arial" w:cs="Arial"/>
          <w:lang w:val="en-US"/>
        </w:rPr>
        <w:t>’</w:t>
      </w:r>
      <w:r w:rsidR="00524CCD">
        <w:rPr>
          <w:rFonts w:ascii="Arial" w:hAnsi="Arial" w:cs="Arial"/>
          <w:lang w:val="en-US"/>
        </w:rPr>
        <w:t xml:space="preserve">. </w:t>
      </w:r>
    </w:p>
    <w:p w14:paraId="531B86A9" w14:textId="77777777" w:rsidR="001E3CFB" w:rsidRPr="001E3CFB" w:rsidRDefault="001E3CFB" w:rsidP="001E3CFB">
      <w:pPr>
        <w:pStyle w:val="ListParagraph"/>
        <w:rPr>
          <w:rFonts w:ascii="Arial" w:hAnsi="Arial" w:cs="Arial"/>
          <w:lang w:val="en-US"/>
        </w:rPr>
      </w:pPr>
    </w:p>
    <w:p w14:paraId="310C17EE" w14:textId="1F6E433C" w:rsidR="00524CCD" w:rsidRDefault="00524CCD" w:rsidP="004E25DA">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w:t>
      </w:r>
      <w:r w:rsidR="00D61EF5">
        <w:rPr>
          <w:rFonts w:ascii="Arial" w:hAnsi="Arial" w:cs="Arial"/>
          <w:lang w:val="en-US"/>
        </w:rPr>
        <w:t>c</w:t>
      </w:r>
      <w:r>
        <w:rPr>
          <w:rFonts w:ascii="Arial" w:hAnsi="Arial" w:cs="Arial"/>
          <w:lang w:val="en-US"/>
        </w:rPr>
        <w:t>ourt finds that, given the evidence set out above, an appeal court may co</w:t>
      </w:r>
      <w:r w:rsidR="004701FA">
        <w:rPr>
          <w:rFonts w:ascii="Arial" w:hAnsi="Arial" w:cs="Arial"/>
          <w:lang w:val="en-US"/>
        </w:rPr>
        <w:t>nclude</w:t>
      </w:r>
      <w:r>
        <w:rPr>
          <w:rFonts w:ascii="Arial" w:hAnsi="Arial" w:cs="Arial"/>
          <w:lang w:val="en-US"/>
        </w:rPr>
        <w:t xml:space="preserve"> that</w:t>
      </w:r>
      <w:r w:rsidR="008C1543">
        <w:rPr>
          <w:rFonts w:ascii="Arial" w:hAnsi="Arial" w:cs="Arial"/>
          <w:lang w:val="en-US"/>
        </w:rPr>
        <w:t>, based on the evidence place</w:t>
      </w:r>
      <w:r w:rsidR="00E53B4A">
        <w:rPr>
          <w:rFonts w:ascii="Arial" w:hAnsi="Arial" w:cs="Arial"/>
          <w:lang w:val="en-US"/>
        </w:rPr>
        <w:t>d</w:t>
      </w:r>
      <w:r w:rsidR="008C1543">
        <w:rPr>
          <w:rFonts w:ascii="Arial" w:hAnsi="Arial" w:cs="Arial"/>
          <w:lang w:val="en-US"/>
        </w:rPr>
        <w:t xml:space="preserve"> before the Arbitrator,</w:t>
      </w:r>
      <w:r>
        <w:rPr>
          <w:rFonts w:ascii="Arial" w:hAnsi="Arial" w:cs="Arial"/>
          <w:lang w:val="en-US"/>
        </w:rPr>
        <w:t xml:space="preserve"> the Arbitrator </w:t>
      </w:r>
      <w:r w:rsidR="008C1543">
        <w:rPr>
          <w:rFonts w:ascii="Arial" w:hAnsi="Arial" w:cs="Arial"/>
          <w:lang w:val="en-US"/>
        </w:rPr>
        <w:t xml:space="preserve">could not reasonably have </w:t>
      </w:r>
      <w:r w:rsidR="004701FA">
        <w:rPr>
          <w:rFonts w:ascii="Arial" w:hAnsi="Arial" w:cs="Arial"/>
          <w:lang w:val="en-US"/>
        </w:rPr>
        <w:t>concluded</w:t>
      </w:r>
      <w:r w:rsidR="008C1543">
        <w:rPr>
          <w:rFonts w:ascii="Arial" w:hAnsi="Arial" w:cs="Arial"/>
          <w:lang w:val="en-US"/>
        </w:rPr>
        <w:t xml:space="preserve"> to dismiss the rescission application</w:t>
      </w:r>
      <w:r>
        <w:rPr>
          <w:rFonts w:ascii="Arial" w:hAnsi="Arial" w:cs="Arial"/>
          <w:lang w:val="en-US"/>
        </w:rPr>
        <w:t>.</w:t>
      </w:r>
    </w:p>
    <w:p w14:paraId="37FECEBE" w14:textId="77777777" w:rsidR="00524CCD" w:rsidRPr="00524CCD" w:rsidRDefault="00524CCD" w:rsidP="00524CCD">
      <w:pPr>
        <w:pStyle w:val="ListParagraph"/>
        <w:rPr>
          <w:rFonts w:ascii="Arial" w:hAnsi="Arial" w:cs="Arial"/>
          <w:lang w:val="en-US"/>
        </w:rPr>
      </w:pPr>
    </w:p>
    <w:p w14:paraId="0E7F2062" w14:textId="7831957A" w:rsidR="00DF5BB4" w:rsidRPr="004E25DA" w:rsidRDefault="003B6EAE" w:rsidP="004E25DA">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It is stated </w:t>
      </w:r>
      <w:r w:rsidR="004E25DA">
        <w:rPr>
          <w:rFonts w:ascii="Arial" w:hAnsi="Arial" w:cs="Arial"/>
          <w:lang w:val="en-US"/>
        </w:rPr>
        <w:t>in paragraph (e)</w:t>
      </w:r>
      <w:r>
        <w:rPr>
          <w:rFonts w:ascii="Arial" w:hAnsi="Arial" w:cs="Arial"/>
          <w:lang w:val="en-US"/>
        </w:rPr>
        <w:t xml:space="preserve"> </w:t>
      </w:r>
      <w:r w:rsidR="004E25DA">
        <w:rPr>
          <w:rFonts w:ascii="Arial" w:hAnsi="Arial" w:cs="Arial"/>
          <w:lang w:val="en-US"/>
        </w:rPr>
        <w:t xml:space="preserve">under </w:t>
      </w:r>
      <w:r>
        <w:rPr>
          <w:rFonts w:ascii="Arial" w:hAnsi="Arial" w:cs="Arial"/>
          <w:lang w:val="en-US"/>
        </w:rPr>
        <w:t xml:space="preserve">the grounds of appeal </w:t>
      </w:r>
      <w:r w:rsidR="002B201F">
        <w:rPr>
          <w:rFonts w:ascii="Arial" w:hAnsi="Arial" w:cs="Arial"/>
          <w:lang w:val="en-US"/>
        </w:rPr>
        <w:t xml:space="preserve">in the </w:t>
      </w:r>
      <w:r w:rsidR="0019379D">
        <w:rPr>
          <w:rFonts w:ascii="Arial" w:hAnsi="Arial" w:cs="Arial"/>
          <w:lang w:val="en-US"/>
        </w:rPr>
        <w:t>a</w:t>
      </w:r>
      <w:r w:rsidR="002B201F">
        <w:rPr>
          <w:rFonts w:ascii="Arial" w:hAnsi="Arial" w:cs="Arial"/>
          <w:lang w:val="en-US"/>
        </w:rPr>
        <w:t xml:space="preserve">pplicant’s Form LC 41 </w:t>
      </w:r>
      <w:r>
        <w:rPr>
          <w:rFonts w:ascii="Arial" w:hAnsi="Arial" w:cs="Arial"/>
          <w:lang w:val="en-US"/>
        </w:rPr>
        <w:t>that</w:t>
      </w:r>
      <w:r w:rsidR="004E25DA">
        <w:rPr>
          <w:rFonts w:ascii="Arial" w:hAnsi="Arial" w:cs="Arial"/>
          <w:lang w:val="en-US"/>
        </w:rPr>
        <w:t xml:space="preserve"> the Act provides for a discretion to be exercised </w:t>
      </w:r>
      <w:r w:rsidR="00D520E3">
        <w:rPr>
          <w:rFonts w:ascii="Arial" w:hAnsi="Arial" w:cs="Arial"/>
          <w:lang w:val="en-US"/>
        </w:rPr>
        <w:t>‘</w:t>
      </w:r>
      <w:r w:rsidR="004E25DA">
        <w:rPr>
          <w:rFonts w:ascii="Arial" w:hAnsi="Arial" w:cs="Arial"/>
          <w:lang w:val="en-US"/>
        </w:rPr>
        <w:t>lawfully</w:t>
      </w:r>
      <w:r w:rsidR="00D520E3">
        <w:rPr>
          <w:rFonts w:ascii="Arial" w:hAnsi="Arial" w:cs="Arial"/>
          <w:lang w:val="en-US"/>
        </w:rPr>
        <w:t>’</w:t>
      </w:r>
      <w:r w:rsidR="004E25DA">
        <w:rPr>
          <w:rFonts w:ascii="Arial" w:hAnsi="Arial" w:cs="Arial"/>
          <w:lang w:val="en-US"/>
        </w:rPr>
        <w:t xml:space="preserve"> by an Arbitrator </w:t>
      </w:r>
      <w:r w:rsidR="00DF5BB4" w:rsidRPr="004E25DA">
        <w:rPr>
          <w:rFonts w:ascii="Arial" w:hAnsi="Arial" w:cs="Arial"/>
          <w:lang w:val="en-US"/>
        </w:rPr>
        <w:t xml:space="preserve">in determining </w:t>
      </w:r>
      <w:r w:rsidR="00DA5A98" w:rsidRPr="004E25DA">
        <w:rPr>
          <w:rFonts w:ascii="Arial" w:hAnsi="Arial" w:cs="Arial"/>
          <w:lang w:val="en-US"/>
        </w:rPr>
        <w:t xml:space="preserve">the </w:t>
      </w:r>
      <w:r w:rsidR="004E25DA">
        <w:rPr>
          <w:rFonts w:ascii="Arial" w:hAnsi="Arial" w:cs="Arial"/>
          <w:lang w:val="en-US"/>
        </w:rPr>
        <w:t xml:space="preserve">appropriate </w:t>
      </w:r>
      <w:r w:rsidR="00DF5BB4" w:rsidRPr="004E25DA">
        <w:rPr>
          <w:rFonts w:ascii="Arial" w:hAnsi="Arial" w:cs="Arial"/>
          <w:lang w:val="en-US"/>
        </w:rPr>
        <w:t xml:space="preserve">relief </w:t>
      </w:r>
      <w:r w:rsidR="004E25DA">
        <w:rPr>
          <w:rFonts w:ascii="Arial" w:hAnsi="Arial" w:cs="Arial"/>
          <w:lang w:val="en-US"/>
        </w:rPr>
        <w:t>under s 86(15)</w:t>
      </w:r>
      <w:r w:rsidR="002B201F">
        <w:rPr>
          <w:rFonts w:ascii="Arial" w:hAnsi="Arial" w:cs="Arial"/>
          <w:lang w:val="en-US"/>
        </w:rPr>
        <w:t xml:space="preserve"> which the </w:t>
      </w:r>
      <w:r w:rsidR="00DA5A98" w:rsidRPr="004E25DA">
        <w:rPr>
          <w:rFonts w:ascii="Arial" w:hAnsi="Arial" w:cs="Arial"/>
          <w:lang w:val="en-US"/>
        </w:rPr>
        <w:t xml:space="preserve">Arbitrator failed to </w:t>
      </w:r>
      <w:r w:rsidR="002B201F">
        <w:rPr>
          <w:rFonts w:ascii="Arial" w:hAnsi="Arial" w:cs="Arial"/>
          <w:lang w:val="en-US"/>
        </w:rPr>
        <w:t>do</w:t>
      </w:r>
      <w:r w:rsidR="00DF5BB4" w:rsidRPr="004E25DA">
        <w:rPr>
          <w:rFonts w:ascii="Arial" w:hAnsi="Arial" w:cs="Arial"/>
          <w:lang w:val="en-US"/>
        </w:rPr>
        <w:t xml:space="preserve"> in that:</w:t>
      </w:r>
    </w:p>
    <w:p w14:paraId="3E0A0B65" w14:textId="77777777" w:rsidR="00DF5BB4" w:rsidRPr="00DF5BB4" w:rsidRDefault="00DF5BB4" w:rsidP="00DF5BB4">
      <w:pPr>
        <w:pStyle w:val="ListParagraph"/>
        <w:rPr>
          <w:rFonts w:ascii="Arial" w:hAnsi="Arial" w:cs="Arial"/>
          <w:lang w:val="en-US"/>
        </w:rPr>
      </w:pPr>
    </w:p>
    <w:p w14:paraId="4D55D858" w14:textId="75AA1DBB" w:rsidR="002B201F" w:rsidRDefault="00DF5BB4" w:rsidP="002B201F">
      <w:pPr>
        <w:pStyle w:val="ListParagraph"/>
        <w:numPr>
          <w:ilvl w:val="0"/>
          <w:numId w:val="26"/>
        </w:numPr>
        <w:spacing w:line="360" w:lineRule="auto"/>
        <w:ind w:left="0" w:firstLine="0"/>
        <w:jc w:val="both"/>
        <w:rPr>
          <w:rFonts w:ascii="Arial" w:hAnsi="Arial" w:cs="Arial"/>
          <w:lang w:val="en-US"/>
        </w:rPr>
      </w:pPr>
      <w:r>
        <w:rPr>
          <w:rFonts w:ascii="Arial" w:hAnsi="Arial" w:cs="Arial"/>
          <w:lang w:val="en-US"/>
        </w:rPr>
        <w:t>t</w:t>
      </w:r>
      <w:r w:rsidR="00DA5A98">
        <w:rPr>
          <w:rFonts w:ascii="Arial" w:hAnsi="Arial" w:cs="Arial"/>
          <w:lang w:val="en-US"/>
        </w:rPr>
        <w:t>he</w:t>
      </w:r>
      <w:r>
        <w:rPr>
          <w:rFonts w:ascii="Arial" w:hAnsi="Arial" w:cs="Arial"/>
          <w:lang w:val="en-US"/>
        </w:rPr>
        <w:t xml:space="preserve"> order that the </w:t>
      </w:r>
      <w:r w:rsidR="0019379D">
        <w:rPr>
          <w:rFonts w:ascii="Arial" w:hAnsi="Arial" w:cs="Arial"/>
          <w:lang w:val="en-US"/>
        </w:rPr>
        <w:t>a</w:t>
      </w:r>
      <w:r>
        <w:rPr>
          <w:rFonts w:ascii="Arial" w:hAnsi="Arial" w:cs="Arial"/>
          <w:lang w:val="en-US"/>
        </w:rPr>
        <w:t xml:space="preserve">ppellant must pay the </w:t>
      </w:r>
      <w:r w:rsidR="0019379D">
        <w:rPr>
          <w:rFonts w:ascii="Arial" w:hAnsi="Arial" w:cs="Arial"/>
          <w:lang w:val="en-US"/>
        </w:rPr>
        <w:t>r</w:t>
      </w:r>
      <w:r>
        <w:rPr>
          <w:rFonts w:ascii="Arial" w:hAnsi="Arial" w:cs="Arial"/>
          <w:lang w:val="en-US"/>
        </w:rPr>
        <w:t xml:space="preserve">espondent </w:t>
      </w:r>
      <w:r w:rsidR="00DA5A98">
        <w:rPr>
          <w:rFonts w:ascii="Arial" w:hAnsi="Arial" w:cs="Arial"/>
          <w:lang w:val="en-US"/>
        </w:rPr>
        <w:t>six months’ salary is unreasonable</w:t>
      </w:r>
      <w:r>
        <w:rPr>
          <w:rFonts w:ascii="Arial" w:hAnsi="Arial" w:cs="Arial"/>
          <w:lang w:val="en-US"/>
        </w:rPr>
        <w:t xml:space="preserve">, </w:t>
      </w:r>
      <w:r w:rsidR="00DA5A98">
        <w:rPr>
          <w:rFonts w:ascii="Arial" w:hAnsi="Arial" w:cs="Arial"/>
          <w:lang w:val="en-US"/>
        </w:rPr>
        <w:t>excessive</w:t>
      </w:r>
      <w:r w:rsidR="004701FA">
        <w:rPr>
          <w:rFonts w:ascii="Arial" w:hAnsi="Arial" w:cs="Arial"/>
          <w:lang w:val="en-US"/>
        </w:rPr>
        <w:t>,</w:t>
      </w:r>
      <w:r w:rsidR="004B3164">
        <w:rPr>
          <w:rFonts w:ascii="Arial" w:hAnsi="Arial" w:cs="Arial"/>
          <w:lang w:val="en-US"/>
        </w:rPr>
        <w:t xml:space="preserve"> </w:t>
      </w:r>
      <w:r>
        <w:rPr>
          <w:rFonts w:ascii="Arial" w:hAnsi="Arial" w:cs="Arial"/>
          <w:lang w:val="en-US"/>
        </w:rPr>
        <w:t>and not based on a proper exercise of the Arbitrator’s discretion</w:t>
      </w:r>
      <w:r w:rsidR="00D520E3">
        <w:rPr>
          <w:rFonts w:ascii="Arial" w:hAnsi="Arial" w:cs="Arial"/>
          <w:lang w:val="en-US"/>
        </w:rPr>
        <w:t>;</w:t>
      </w:r>
    </w:p>
    <w:p w14:paraId="71597BA9" w14:textId="77777777" w:rsidR="002B201F" w:rsidRPr="002B201F" w:rsidRDefault="002B201F" w:rsidP="002B201F">
      <w:pPr>
        <w:pStyle w:val="ListParagraph"/>
        <w:ind w:left="0"/>
        <w:rPr>
          <w:rFonts w:ascii="Arial" w:hAnsi="Arial" w:cs="Arial"/>
          <w:lang w:val="en-US"/>
        </w:rPr>
      </w:pPr>
    </w:p>
    <w:p w14:paraId="608D3323" w14:textId="10E9FE7B" w:rsidR="002B201F" w:rsidRDefault="00DF5BB4" w:rsidP="002B201F">
      <w:pPr>
        <w:pStyle w:val="ListParagraph"/>
        <w:numPr>
          <w:ilvl w:val="0"/>
          <w:numId w:val="26"/>
        </w:numPr>
        <w:spacing w:line="360" w:lineRule="auto"/>
        <w:ind w:left="0" w:firstLine="0"/>
        <w:jc w:val="both"/>
        <w:rPr>
          <w:rFonts w:ascii="Arial" w:hAnsi="Arial" w:cs="Arial"/>
          <w:lang w:val="en-US"/>
        </w:rPr>
      </w:pPr>
      <w:r w:rsidRPr="002B201F">
        <w:rPr>
          <w:rFonts w:ascii="Arial" w:hAnsi="Arial" w:cs="Arial"/>
          <w:lang w:val="en-US"/>
        </w:rPr>
        <w:t>the respondent tendered no</w:t>
      </w:r>
      <w:r w:rsidR="004B3164" w:rsidRPr="002B201F">
        <w:rPr>
          <w:rFonts w:ascii="Arial" w:hAnsi="Arial" w:cs="Arial"/>
          <w:lang w:val="en-US"/>
        </w:rPr>
        <w:t xml:space="preserve"> evidence to justify </w:t>
      </w:r>
      <w:r w:rsidRPr="002B201F">
        <w:rPr>
          <w:rFonts w:ascii="Arial" w:hAnsi="Arial" w:cs="Arial"/>
          <w:lang w:val="en-US"/>
        </w:rPr>
        <w:t xml:space="preserve">the </w:t>
      </w:r>
      <w:r w:rsidR="004B3164" w:rsidRPr="002B201F">
        <w:rPr>
          <w:rFonts w:ascii="Arial" w:hAnsi="Arial" w:cs="Arial"/>
          <w:lang w:val="en-US"/>
        </w:rPr>
        <w:t>compensation</w:t>
      </w:r>
      <w:r w:rsidRPr="002B201F">
        <w:rPr>
          <w:rFonts w:ascii="Arial" w:hAnsi="Arial" w:cs="Arial"/>
          <w:lang w:val="en-US"/>
        </w:rPr>
        <w:t>;</w:t>
      </w:r>
    </w:p>
    <w:p w14:paraId="23EFA21A" w14:textId="77777777" w:rsidR="002B201F" w:rsidRPr="002B201F" w:rsidRDefault="002B201F" w:rsidP="002B201F">
      <w:pPr>
        <w:pStyle w:val="ListParagraph"/>
        <w:ind w:left="0"/>
        <w:rPr>
          <w:rFonts w:ascii="Arial" w:hAnsi="Arial" w:cs="Arial"/>
          <w:lang w:val="en-US"/>
        </w:rPr>
      </w:pPr>
    </w:p>
    <w:p w14:paraId="0EBFEC7E" w14:textId="2C94E65D" w:rsidR="002C579D" w:rsidRPr="002B201F" w:rsidRDefault="00DF5BB4" w:rsidP="002B201F">
      <w:pPr>
        <w:pStyle w:val="ListParagraph"/>
        <w:numPr>
          <w:ilvl w:val="0"/>
          <w:numId w:val="26"/>
        </w:numPr>
        <w:spacing w:line="360" w:lineRule="auto"/>
        <w:ind w:left="0" w:firstLine="0"/>
        <w:jc w:val="both"/>
        <w:rPr>
          <w:rFonts w:ascii="Arial" w:hAnsi="Arial" w:cs="Arial"/>
          <w:lang w:val="en-US"/>
        </w:rPr>
      </w:pPr>
      <w:r w:rsidRPr="002B201F">
        <w:rPr>
          <w:rFonts w:ascii="Arial" w:hAnsi="Arial" w:cs="Arial"/>
          <w:lang w:val="en-US"/>
        </w:rPr>
        <w:t xml:space="preserve">the award contains no reasoning for </w:t>
      </w:r>
      <w:r w:rsidR="004701FA">
        <w:rPr>
          <w:rFonts w:ascii="Arial" w:hAnsi="Arial" w:cs="Arial"/>
          <w:lang w:val="en-US"/>
        </w:rPr>
        <w:t>determining</w:t>
      </w:r>
      <w:r w:rsidRPr="002B201F">
        <w:rPr>
          <w:rFonts w:ascii="Arial" w:hAnsi="Arial" w:cs="Arial"/>
          <w:lang w:val="en-US"/>
        </w:rPr>
        <w:t xml:space="preserve"> the compensation payable to the </w:t>
      </w:r>
      <w:r w:rsidR="0019379D">
        <w:rPr>
          <w:rFonts w:ascii="Arial" w:hAnsi="Arial" w:cs="Arial"/>
          <w:lang w:val="en-US"/>
        </w:rPr>
        <w:t>r</w:t>
      </w:r>
      <w:r w:rsidRPr="002B201F">
        <w:rPr>
          <w:rFonts w:ascii="Arial" w:hAnsi="Arial" w:cs="Arial"/>
          <w:lang w:val="en-US"/>
        </w:rPr>
        <w:t>espondent</w:t>
      </w:r>
      <w:r w:rsidR="0006340C" w:rsidRPr="002B201F">
        <w:rPr>
          <w:rFonts w:ascii="Arial" w:hAnsi="Arial" w:cs="Arial"/>
          <w:lang w:val="en-US"/>
        </w:rPr>
        <w:t>.</w:t>
      </w:r>
    </w:p>
    <w:p w14:paraId="0DEFEE95" w14:textId="77777777" w:rsidR="001E76BA" w:rsidRPr="001E76BA" w:rsidRDefault="001E76BA" w:rsidP="001E76BA">
      <w:pPr>
        <w:pStyle w:val="ListParagraph"/>
        <w:rPr>
          <w:rFonts w:ascii="Arial" w:hAnsi="Arial" w:cs="Arial"/>
          <w:lang w:val="en-US"/>
        </w:rPr>
      </w:pPr>
    </w:p>
    <w:p w14:paraId="608AF0ED" w14:textId="1F7E6F17" w:rsidR="00FE610A" w:rsidRDefault="001E76BA" w:rsidP="00FE610A">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w:t>
      </w:r>
      <w:r w:rsidR="0019379D">
        <w:rPr>
          <w:rFonts w:ascii="Arial" w:hAnsi="Arial" w:cs="Arial"/>
          <w:lang w:val="en-US"/>
        </w:rPr>
        <w:t>r</w:t>
      </w:r>
      <w:r>
        <w:rPr>
          <w:rFonts w:ascii="Arial" w:hAnsi="Arial" w:cs="Arial"/>
          <w:lang w:val="en-US"/>
        </w:rPr>
        <w:t xml:space="preserve">espondent’s evidence in the appeal record is summarised as follows. He was employed on 16 November 2020 in Windhoek and later transferred to Divundu. His salary was N$10 000 per month plus </w:t>
      </w:r>
      <w:r w:rsidR="004439D0">
        <w:rPr>
          <w:rFonts w:ascii="Arial" w:hAnsi="Arial" w:cs="Arial"/>
          <w:lang w:val="en-US"/>
        </w:rPr>
        <w:t>a</w:t>
      </w:r>
      <w:r>
        <w:rPr>
          <w:rFonts w:ascii="Arial" w:hAnsi="Arial" w:cs="Arial"/>
          <w:lang w:val="en-US"/>
        </w:rPr>
        <w:t xml:space="preserve"> performance bon</w:t>
      </w:r>
      <w:r w:rsidR="00FE610A">
        <w:rPr>
          <w:rFonts w:ascii="Arial" w:hAnsi="Arial" w:cs="Arial"/>
          <w:lang w:val="en-US"/>
        </w:rPr>
        <w:t>u</w:t>
      </w:r>
      <w:r>
        <w:rPr>
          <w:rFonts w:ascii="Arial" w:hAnsi="Arial" w:cs="Arial"/>
          <w:lang w:val="en-US"/>
        </w:rPr>
        <w:t xml:space="preserve">s of N$2000. The </w:t>
      </w:r>
      <w:r w:rsidR="0019379D">
        <w:rPr>
          <w:rFonts w:ascii="Arial" w:hAnsi="Arial" w:cs="Arial"/>
          <w:lang w:val="en-US"/>
        </w:rPr>
        <w:t>a</w:t>
      </w:r>
      <w:r>
        <w:rPr>
          <w:rFonts w:ascii="Arial" w:hAnsi="Arial" w:cs="Arial"/>
          <w:lang w:val="en-US"/>
        </w:rPr>
        <w:t xml:space="preserve">pplicant refused to pay </w:t>
      </w:r>
      <w:r w:rsidR="004439D0">
        <w:rPr>
          <w:rFonts w:ascii="Arial" w:hAnsi="Arial" w:cs="Arial"/>
          <w:lang w:val="en-US"/>
        </w:rPr>
        <w:t xml:space="preserve">him </w:t>
      </w:r>
      <w:r>
        <w:rPr>
          <w:rFonts w:ascii="Arial" w:hAnsi="Arial" w:cs="Arial"/>
          <w:lang w:val="en-US"/>
        </w:rPr>
        <w:t xml:space="preserve">anything. </w:t>
      </w:r>
      <w:r w:rsidR="00FE610A">
        <w:rPr>
          <w:rFonts w:ascii="Arial" w:hAnsi="Arial" w:cs="Arial"/>
          <w:lang w:val="en-US"/>
        </w:rPr>
        <w:t>There is n</w:t>
      </w:r>
      <w:r>
        <w:rPr>
          <w:rFonts w:ascii="Arial" w:hAnsi="Arial" w:cs="Arial"/>
          <w:lang w:val="en-US"/>
        </w:rPr>
        <w:t>o record o</w:t>
      </w:r>
      <w:r w:rsidR="004701FA">
        <w:rPr>
          <w:rFonts w:ascii="Arial" w:hAnsi="Arial" w:cs="Arial"/>
          <w:lang w:val="en-US"/>
        </w:rPr>
        <w:t>f</w:t>
      </w:r>
      <w:r>
        <w:rPr>
          <w:rFonts w:ascii="Arial" w:hAnsi="Arial" w:cs="Arial"/>
          <w:lang w:val="en-US"/>
        </w:rPr>
        <w:t xml:space="preserve"> overtime since it remained with the </w:t>
      </w:r>
      <w:r w:rsidR="0019379D">
        <w:rPr>
          <w:rFonts w:ascii="Arial" w:hAnsi="Arial" w:cs="Arial"/>
          <w:lang w:val="en-US"/>
        </w:rPr>
        <w:t>a</w:t>
      </w:r>
      <w:r>
        <w:rPr>
          <w:rFonts w:ascii="Arial" w:hAnsi="Arial" w:cs="Arial"/>
          <w:lang w:val="en-US"/>
        </w:rPr>
        <w:t xml:space="preserve">pplicant together with that of the </w:t>
      </w:r>
      <w:r>
        <w:rPr>
          <w:rFonts w:ascii="Arial" w:hAnsi="Arial" w:cs="Arial"/>
          <w:lang w:val="en-US"/>
        </w:rPr>
        <w:lastRenderedPageBreak/>
        <w:t xml:space="preserve">performance bonus. The </w:t>
      </w:r>
      <w:r w:rsidR="0019379D">
        <w:rPr>
          <w:rFonts w:ascii="Arial" w:hAnsi="Arial" w:cs="Arial"/>
          <w:lang w:val="en-US"/>
        </w:rPr>
        <w:t>a</w:t>
      </w:r>
      <w:r>
        <w:rPr>
          <w:rFonts w:ascii="Arial" w:hAnsi="Arial" w:cs="Arial"/>
          <w:lang w:val="en-US"/>
        </w:rPr>
        <w:t xml:space="preserve">pplicant complained about theft of building materials. </w:t>
      </w:r>
      <w:r w:rsidR="004439D0">
        <w:rPr>
          <w:rFonts w:ascii="Arial" w:hAnsi="Arial" w:cs="Arial"/>
          <w:lang w:val="en-US"/>
        </w:rPr>
        <w:t xml:space="preserve">The </w:t>
      </w:r>
      <w:r w:rsidR="0019379D">
        <w:rPr>
          <w:rFonts w:ascii="Arial" w:hAnsi="Arial" w:cs="Arial"/>
          <w:lang w:val="en-US"/>
        </w:rPr>
        <w:t>r</w:t>
      </w:r>
      <w:r w:rsidR="004439D0">
        <w:rPr>
          <w:rFonts w:ascii="Arial" w:hAnsi="Arial" w:cs="Arial"/>
          <w:lang w:val="en-US"/>
        </w:rPr>
        <w:t>espondent</w:t>
      </w:r>
      <w:r>
        <w:rPr>
          <w:rFonts w:ascii="Arial" w:hAnsi="Arial" w:cs="Arial"/>
          <w:lang w:val="en-US"/>
        </w:rPr>
        <w:t xml:space="preserve"> was forced to confess to theft</w:t>
      </w:r>
      <w:r w:rsidR="004701FA">
        <w:rPr>
          <w:rFonts w:ascii="Arial" w:hAnsi="Arial" w:cs="Arial"/>
          <w:lang w:val="en-US"/>
        </w:rPr>
        <w:t>,</w:t>
      </w:r>
      <w:r>
        <w:rPr>
          <w:rFonts w:ascii="Arial" w:hAnsi="Arial" w:cs="Arial"/>
          <w:lang w:val="en-US"/>
        </w:rPr>
        <w:t xml:space="preserve"> which he refused. He was told if he d</w:t>
      </w:r>
      <w:r w:rsidR="004701FA">
        <w:rPr>
          <w:rFonts w:ascii="Arial" w:hAnsi="Arial" w:cs="Arial"/>
          <w:lang w:val="en-US"/>
        </w:rPr>
        <w:t>id not admit to theft, ‘they would</w:t>
      </w:r>
      <w:r>
        <w:rPr>
          <w:rFonts w:ascii="Arial" w:hAnsi="Arial" w:cs="Arial"/>
          <w:lang w:val="en-US"/>
        </w:rPr>
        <w:t xml:space="preserve"> no longer work together’. Due to his refusal to </w:t>
      </w:r>
      <w:r w:rsidR="00DE2CD4">
        <w:rPr>
          <w:rFonts w:ascii="Arial" w:hAnsi="Arial" w:cs="Arial"/>
          <w:lang w:val="en-US"/>
        </w:rPr>
        <w:t>admit to</w:t>
      </w:r>
      <w:r w:rsidR="00D520E3">
        <w:rPr>
          <w:rFonts w:ascii="Arial" w:hAnsi="Arial" w:cs="Arial"/>
          <w:lang w:val="en-US"/>
        </w:rPr>
        <w:t xml:space="preserve"> theft</w:t>
      </w:r>
      <w:r>
        <w:rPr>
          <w:rFonts w:ascii="Arial" w:hAnsi="Arial" w:cs="Arial"/>
          <w:lang w:val="en-US"/>
        </w:rPr>
        <w:t xml:space="preserve">, the </w:t>
      </w:r>
      <w:r w:rsidR="0019379D">
        <w:rPr>
          <w:rFonts w:ascii="Arial" w:hAnsi="Arial" w:cs="Arial"/>
          <w:lang w:val="en-US"/>
        </w:rPr>
        <w:t>a</w:t>
      </w:r>
      <w:r>
        <w:rPr>
          <w:rFonts w:ascii="Arial" w:hAnsi="Arial" w:cs="Arial"/>
          <w:lang w:val="en-US"/>
        </w:rPr>
        <w:t>pplicant began withholding his salar</w:t>
      </w:r>
      <w:r w:rsidR="00FE610A">
        <w:rPr>
          <w:rFonts w:ascii="Arial" w:hAnsi="Arial" w:cs="Arial"/>
          <w:lang w:val="en-US"/>
        </w:rPr>
        <w:t>y</w:t>
      </w:r>
      <w:r>
        <w:rPr>
          <w:rFonts w:ascii="Arial" w:hAnsi="Arial" w:cs="Arial"/>
          <w:lang w:val="en-US"/>
        </w:rPr>
        <w:t>. He was dismissed in July 2021 without a hearing. He was not paid for June. He wanted his outstanding salary, overtime, performance bonus, notice pay, leave days</w:t>
      </w:r>
      <w:r w:rsidR="00DE2CD4">
        <w:rPr>
          <w:rFonts w:ascii="Arial" w:hAnsi="Arial" w:cs="Arial"/>
          <w:lang w:val="en-US"/>
        </w:rPr>
        <w:t>,</w:t>
      </w:r>
      <w:r>
        <w:rPr>
          <w:rFonts w:ascii="Arial" w:hAnsi="Arial" w:cs="Arial"/>
          <w:lang w:val="en-US"/>
        </w:rPr>
        <w:t xml:space="preserve"> and six months’ compensation for loss of income. The </w:t>
      </w:r>
      <w:r w:rsidR="0019379D">
        <w:rPr>
          <w:rFonts w:ascii="Arial" w:hAnsi="Arial" w:cs="Arial"/>
          <w:lang w:val="en-US"/>
        </w:rPr>
        <w:t>a</w:t>
      </w:r>
      <w:r>
        <w:rPr>
          <w:rFonts w:ascii="Arial" w:hAnsi="Arial" w:cs="Arial"/>
          <w:lang w:val="en-US"/>
        </w:rPr>
        <w:t xml:space="preserve">pplicant was ordered to pay the </w:t>
      </w:r>
      <w:r w:rsidR="0019379D">
        <w:rPr>
          <w:rFonts w:ascii="Arial" w:hAnsi="Arial" w:cs="Arial"/>
          <w:lang w:val="en-US"/>
        </w:rPr>
        <w:t>r</w:t>
      </w:r>
      <w:r>
        <w:rPr>
          <w:rFonts w:ascii="Arial" w:hAnsi="Arial" w:cs="Arial"/>
          <w:lang w:val="en-US"/>
        </w:rPr>
        <w:t>espondent N$87 912</w:t>
      </w:r>
      <w:r w:rsidR="004439D0">
        <w:rPr>
          <w:rFonts w:ascii="Arial" w:hAnsi="Arial" w:cs="Arial"/>
          <w:lang w:val="en-US"/>
        </w:rPr>
        <w:t>, which includes leave days amounting to N$7912, N$10 000 for salary of June, N$10 000 for notice pay, and N$60 000 for six months’ compensation.</w:t>
      </w:r>
    </w:p>
    <w:p w14:paraId="4D49AEAE" w14:textId="77777777" w:rsidR="00FE610A" w:rsidRPr="00FE610A" w:rsidRDefault="00FE610A" w:rsidP="00FE610A">
      <w:pPr>
        <w:pStyle w:val="ListParagraph"/>
        <w:rPr>
          <w:rFonts w:ascii="Arial" w:hAnsi="Arial" w:cs="Arial"/>
          <w:lang w:val="en-US"/>
        </w:rPr>
      </w:pPr>
    </w:p>
    <w:p w14:paraId="3FBFB7E6" w14:textId="78817502" w:rsidR="001E76BA" w:rsidRDefault="002B201F" w:rsidP="00FE610A">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B</w:t>
      </w:r>
      <w:r w:rsidR="001E76BA" w:rsidRPr="00FE610A">
        <w:rPr>
          <w:rFonts w:ascii="Arial" w:hAnsi="Arial" w:cs="Arial"/>
          <w:lang w:val="en-US"/>
        </w:rPr>
        <w:t xml:space="preserve">y the time of the </w:t>
      </w:r>
      <w:r w:rsidR="0019379D">
        <w:rPr>
          <w:rFonts w:ascii="Arial" w:hAnsi="Arial" w:cs="Arial"/>
          <w:lang w:val="en-US"/>
        </w:rPr>
        <w:t>r</w:t>
      </w:r>
      <w:r w:rsidR="001E76BA" w:rsidRPr="00FE610A">
        <w:rPr>
          <w:rFonts w:ascii="Arial" w:hAnsi="Arial" w:cs="Arial"/>
          <w:lang w:val="en-US"/>
        </w:rPr>
        <w:t>espondent’s alleged dismissal</w:t>
      </w:r>
      <w:r>
        <w:rPr>
          <w:rFonts w:ascii="Arial" w:hAnsi="Arial" w:cs="Arial"/>
          <w:lang w:val="en-US"/>
        </w:rPr>
        <w:t>,</w:t>
      </w:r>
      <w:r w:rsidR="001E76BA" w:rsidRPr="00FE610A">
        <w:rPr>
          <w:rFonts w:ascii="Arial" w:hAnsi="Arial" w:cs="Arial"/>
          <w:lang w:val="en-US"/>
        </w:rPr>
        <w:t xml:space="preserve"> he was employed by the </w:t>
      </w:r>
      <w:r w:rsidR="0019379D">
        <w:rPr>
          <w:rFonts w:ascii="Arial" w:hAnsi="Arial" w:cs="Arial"/>
          <w:lang w:val="en-US"/>
        </w:rPr>
        <w:t>a</w:t>
      </w:r>
      <w:r w:rsidR="001E76BA" w:rsidRPr="00FE610A">
        <w:rPr>
          <w:rFonts w:ascii="Arial" w:hAnsi="Arial" w:cs="Arial"/>
          <w:lang w:val="en-US"/>
        </w:rPr>
        <w:t xml:space="preserve">pplicant for </w:t>
      </w:r>
      <w:r w:rsidR="00D520E3">
        <w:rPr>
          <w:rFonts w:ascii="Arial" w:hAnsi="Arial" w:cs="Arial"/>
          <w:lang w:val="en-US"/>
        </w:rPr>
        <w:t xml:space="preserve">only </w:t>
      </w:r>
      <w:r w:rsidR="001E76BA" w:rsidRPr="00FE610A">
        <w:rPr>
          <w:rFonts w:ascii="Arial" w:hAnsi="Arial" w:cs="Arial"/>
          <w:lang w:val="en-US"/>
        </w:rPr>
        <w:t>about eight months</w:t>
      </w:r>
      <w:r w:rsidR="00FE610A">
        <w:rPr>
          <w:rFonts w:ascii="Arial" w:hAnsi="Arial" w:cs="Arial"/>
          <w:lang w:val="en-US"/>
        </w:rPr>
        <w:t>, yet six months</w:t>
      </w:r>
      <w:r w:rsidR="00AA6396">
        <w:rPr>
          <w:rFonts w:ascii="Arial" w:hAnsi="Arial" w:cs="Arial"/>
          <w:lang w:val="en-US"/>
        </w:rPr>
        <w:t>’</w:t>
      </w:r>
      <w:r w:rsidR="00FE610A">
        <w:rPr>
          <w:rFonts w:ascii="Arial" w:hAnsi="Arial" w:cs="Arial"/>
          <w:lang w:val="en-US"/>
        </w:rPr>
        <w:t xml:space="preserve"> compensation was awarded</w:t>
      </w:r>
      <w:r w:rsidR="001E76BA" w:rsidRPr="00FE610A">
        <w:rPr>
          <w:rFonts w:ascii="Arial" w:hAnsi="Arial" w:cs="Arial"/>
          <w:lang w:val="en-US"/>
        </w:rPr>
        <w:t xml:space="preserve">. The compensation </w:t>
      </w:r>
      <w:r w:rsidR="00FE610A">
        <w:rPr>
          <w:rFonts w:ascii="Arial" w:hAnsi="Arial" w:cs="Arial"/>
          <w:lang w:val="en-US"/>
        </w:rPr>
        <w:t xml:space="preserve">award </w:t>
      </w:r>
      <w:r w:rsidR="001E76BA" w:rsidRPr="00FE610A">
        <w:rPr>
          <w:rFonts w:ascii="Arial" w:hAnsi="Arial" w:cs="Arial"/>
          <w:lang w:val="en-US"/>
        </w:rPr>
        <w:t>for six months in circumstances</w:t>
      </w:r>
      <w:r w:rsidR="00FE610A">
        <w:rPr>
          <w:rFonts w:ascii="Arial" w:hAnsi="Arial" w:cs="Arial"/>
          <w:lang w:val="en-US"/>
        </w:rPr>
        <w:t xml:space="preserve"> where the </w:t>
      </w:r>
      <w:r w:rsidR="0019379D">
        <w:rPr>
          <w:rFonts w:ascii="Arial" w:hAnsi="Arial" w:cs="Arial"/>
          <w:lang w:val="en-US"/>
        </w:rPr>
        <w:t>r</w:t>
      </w:r>
      <w:r w:rsidR="00FE610A">
        <w:rPr>
          <w:rFonts w:ascii="Arial" w:hAnsi="Arial" w:cs="Arial"/>
          <w:lang w:val="en-US"/>
        </w:rPr>
        <w:t xml:space="preserve">espondent was only employed by the </w:t>
      </w:r>
      <w:r w:rsidR="0019379D">
        <w:rPr>
          <w:rFonts w:ascii="Arial" w:hAnsi="Arial" w:cs="Arial"/>
          <w:lang w:val="en-US"/>
        </w:rPr>
        <w:t>a</w:t>
      </w:r>
      <w:r w:rsidR="00FE610A">
        <w:rPr>
          <w:rFonts w:ascii="Arial" w:hAnsi="Arial" w:cs="Arial"/>
          <w:lang w:val="en-US"/>
        </w:rPr>
        <w:t xml:space="preserve">pplicant for </w:t>
      </w:r>
      <w:r w:rsidR="00255DEB">
        <w:rPr>
          <w:rFonts w:ascii="Arial" w:hAnsi="Arial" w:cs="Arial"/>
          <w:lang w:val="en-US"/>
        </w:rPr>
        <w:t>eight</w:t>
      </w:r>
      <w:r w:rsidR="00FE610A">
        <w:rPr>
          <w:rFonts w:ascii="Arial" w:hAnsi="Arial" w:cs="Arial"/>
          <w:lang w:val="en-US"/>
        </w:rPr>
        <w:t xml:space="preserve"> months </w:t>
      </w:r>
      <w:r w:rsidR="00D520E3">
        <w:rPr>
          <w:rFonts w:ascii="Arial" w:hAnsi="Arial" w:cs="Arial"/>
          <w:lang w:val="en-US"/>
        </w:rPr>
        <w:t xml:space="preserve">appears </w:t>
      </w:r>
      <w:r w:rsidR="001E76BA" w:rsidRPr="00FE610A">
        <w:rPr>
          <w:rFonts w:ascii="Arial" w:hAnsi="Arial" w:cs="Arial"/>
          <w:lang w:val="en-US"/>
        </w:rPr>
        <w:t>unreasonable and excessive.</w:t>
      </w:r>
      <w:r>
        <w:rPr>
          <w:rFonts w:ascii="Arial" w:hAnsi="Arial" w:cs="Arial"/>
          <w:lang w:val="en-US"/>
        </w:rPr>
        <w:t xml:space="preserve"> The award contains no justification or reasoning for the order that the </w:t>
      </w:r>
      <w:r w:rsidR="0019379D">
        <w:rPr>
          <w:rFonts w:ascii="Arial" w:hAnsi="Arial" w:cs="Arial"/>
          <w:lang w:val="en-US"/>
        </w:rPr>
        <w:t>a</w:t>
      </w:r>
      <w:r>
        <w:rPr>
          <w:rFonts w:ascii="Arial" w:hAnsi="Arial" w:cs="Arial"/>
          <w:lang w:val="en-US"/>
        </w:rPr>
        <w:t xml:space="preserve">pplicant must pay the </w:t>
      </w:r>
      <w:r w:rsidR="0019379D">
        <w:rPr>
          <w:rFonts w:ascii="Arial" w:hAnsi="Arial" w:cs="Arial"/>
          <w:lang w:val="en-US"/>
        </w:rPr>
        <w:t>r</w:t>
      </w:r>
      <w:r>
        <w:rPr>
          <w:rFonts w:ascii="Arial" w:hAnsi="Arial" w:cs="Arial"/>
          <w:lang w:val="en-US"/>
        </w:rPr>
        <w:t>espondent six months’ compensation.</w:t>
      </w:r>
    </w:p>
    <w:p w14:paraId="5C87FE45" w14:textId="77777777" w:rsidR="00524CCD" w:rsidRPr="00524CCD" w:rsidRDefault="00524CCD" w:rsidP="00524CCD">
      <w:pPr>
        <w:pStyle w:val="ListParagraph"/>
        <w:rPr>
          <w:rFonts w:ascii="Arial" w:hAnsi="Arial" w:cs="Arial"/>
          <w:lang w:val="en-US"/>
        </w:rPr>
      </w:pPr>
    </w:p>
    <w:p w14:paraId="1810EE05" w14:textId="47AC5E52" w:rsidR="00524CCD" w:rsidRPr="00FE610A" w:rsidRDefault="00524CCD" w:rsidP="00FE610A">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The court finds that, given the evidence set out above, an appeal court may co</w:t>
      </w:r>
      <w:r w:rsidR="00DE2CD4">
        <w:rPr>
          <w:rFonts w:ascii="Arial" w:hAnsi="Arial" w:cs="Arial"/>
          <w:lang w:val="en-US"/>
        </w:rPr>
        <w:t>nclude</w:t>
      </w:r>
      <w:r>
        <w:rPr>
          <w:rFonts w:ascii="Arial" w:hAnsi="Arial" w:cs="Arial"/>
          <w:lang w:val="en-US"/>
        </w:rPr>
        <w:t xml:space="preserve"> that</w:t>
      </w:r>
      <w:r w:rsidR="008C1543">
        <w:rPr>
          <w:rFonts w:ascii="Arial" w:hAnsi="Arial" w:cs="Arial"/>
          <w:lang w:val="en-US"/>
        </w:rPr>
        <w:t>, based on the evidence placed before the Arbitrator, the relief granted was inappropriate.</w:t>
      </w:r>
    </w:p>
    <w:p w14:paraId="26F4B8A7" w14:textId="77777777" w:rsidR="004B3164" w:rsidRPr="004B3164" w:rsidRDefault="004B3164" w:rsidP="004B3164">
      <w:pPr>
        <w:rPr>
          <w:rFonts w:ascii="Arial" w:hAnsi="Arial" w:cs="Arial"/>
          <w:lang w:val="en-US"/>
        </w:rPr>
      </w:pPr>
    </w:p>
    <w:p w14:paraId="2F66BA19" w14:textId="6E5B8BFC" w:rsidR="004B3164" w:rsidRDefault="008C1543" w:rsidP="004B3164">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As a result, </w:t>
      </w:r>
      <w:r w:rsidR="00940D50">
        <w:rPr>
          <w:rFonts w:ascii="Arial" w:hAnsi="Arial" w:cs="Arial"/>
          <w:lang w:val="en-US"/>
        </w:rPr>
        <w:t xml:space="preserve">the </w:t>
      </w:r>
      <w:r w:rsidR="0019379D">
        <w:rPr>
          <w:rFonts w:ascii="Arial" w:hAnsi="Arial" w:cs="Arial"/>
          <w:lang w:val="en-US"/>
        </w:rPr>
        <w:t>a</w:t>
      </w:r>
      <w:r w:rsidR="002C0EDA">
        <w:rPr>
          <w:rFonts w:ascii="Arial" w:hAnsi="Arial" w:cs="Arial"/>
          <w:lang w:val="en-US"/>
        </w:rPr>
        <w:t xml:space="preserve">pplicant has </w:t>
      </w:r>
      <w:r w:rsidR="00967E48">
        <w:rPr>
          <w:rFonts w:ascii="Arial" w:hAnsi="Arial" w:cs="Arial"/>
          <w:lang w:val="en-US"/>
        </w:rPr>
        <w:t>reasonable</w:t>
      </w:r>
      <w:r w:rsidR="002C0EDA">
        <w:rPr>
          <w:rFonts w:ascii="Arial" w:hAnsi="Arial" w:cs="Arial"/>
          <w:lang w:val="en-US"/>
        </w:rPr>
        <w:t xml:space="preserve"> prospect</w:t>
      </w:r>
      <w:r w:rsidR="00967E48">
        <w:rPr>
          <w:rFonts w:ascii="Arial" w:hAnsi="Arial" w:cs="Arial"/>
          <w:lang w:val="en-US"/>
        </w:rPr>
        <w:t>s</w:t>
      </w:r>
      <w:r w:rsidR="002C0EDA">
        <w:rPr>
          <w:rFonts w:ascii="Arial" w:hAnsi="Arial" w:cs="Arial"/>
          <w:lang w:val="en-US"/>
        </w:rPr>
        <w:t xml:space="preserve"> of success</w:t>
      </w:r>
      <w:r w:rsidR="00967E48">
        <w:rPr>
          <w:rFonts w:ascii="Arial" w:hAnsi="Arial" w:cs="Arial"/>
          <w:lang w:val="en-US"/>
        </w:rPr>
        <w:t xml:space="preserve"> </w:t>
      </w:r>
      <w:r w:rsidR="00775B38">
        <w:rPr>
          <w:rFonts w:ascii="Arial" w:hAnsi="Arial" w:cs="Arial"/>
          <w:lang w:val="en-US"/>
        </w:rPr>
        <w:t>on the merits</w:t>
      </w:r>
      <w:r w:rsidR="00DE2CD4">
        <w:rPr>
          <w:rFonts w:ascii="Arial" w:hAnsi="Arial" w:cs="Arial"/>
          <w:lang w:val="en-US"/>
        </w:rPr>
        <w:t>,</w:t>
      </w:r>
      <w:r w:rsidR="00775B38">
        <w:rPr>
          <w:rFonts w:ascii="Arial" w:hAnsi="Arial" w:cs="Arial"/>
          <w:lang w:val="en-US"/>
        </w:rPr>
        <w:t xml:space="preserve"> </w:t>
      </w:r>
      <w:r w:rsidR="00967E48">
        <w:rPr>
          <w:rFonts w:ascii="Arial" w:hAnsi="Arial" w:cs="Arial"/>
          <w:lang w:val="en-US"/>
        </w:rPr>
        <w:t>and considerable weight is attached.</w:t>
      </w:r>
    </w:p>
    <w:p w14:paraId="12FE0A8E" w14:textId="77777777" w:rsidR="004B3164" w:rsidRPr="00C136F3" w:rsidRDefault="004B3164" w:rsidP="004B3164">
      <w:pPr>
        <w:pStyle w:val="ListParagraph"/>
        <w:rPr>
          <w:rFonts w:ascii="Arial" w:hAnsi="Arial" w:cs="Arial"/>
          <w:lang w:val="en-US"/>
        </w:rPr>
      </w:pPr>
    </w:p>
    <w:p w14:paraId="35AC1FAD" w14:textId="6233ADB9" w:rsidR="00EF3004" w:rsidRDefault="004D58D1" w:rsidP="00EF3004">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Whereas</w:t>
      </w:r>
      <w:r w:rsidR="00EF3004" w:rsidRPr="00EA37C8">
        <w:rPr>
          <w:rFonts w:ascii="Arial" w:hAnsi="Arial" w:cs="Arial"/>
          <w:lang w:val="en-US"/>
        </w:rPr>
        <w:t xml:space="preserve"> </w:t>
      </w:r>
      <w:r>
        <w:rPr>
          <w:rFonts w:ascii="Arial" w:hAnsi="Arial" w:cs="Arial"/>
          <w:lang w:val="en-US"/>
        </w:rPr>
        <w:t xml:space="preserve">the </w:t>
      </w:r>
      <w:r w:rsidR="0019379D">
        <w:rPr>
          <w:rFonts w:ascii="Arial" w:hAnsi="Arial" w:cs="Arial"/>
          <w:lang w:val="en-US"/>
        </w:rPr>
        <w:t>r</w:t>
      </w:r>
      <w:r w:rsidR="00EF3004" w:rsidRPr="00EA37C8">
        <w:rPr>
          <w:rFonts w:ascii="Arial" w:hAnsi="Arial" w:cs="Arial"/>
          <w:lang w:val="en-US"/>
        </w:rPr>
        <w:t xml:space="preserve">espondent </w:t>
      </w:r>
      <w:r w:rsidR="00EF3004">
        <w:rPr>
          <w:rFonts w:ascii="Arial" w:hAnsi="Arial" w:cs="Arial"/>
          <w:lang w:val="en-US"/>
        </w:rPr>
        <w:t>is</w:t>
      </w:r>
      <w:r w:rsidR="00EF3004" w:rsidRPr="00EA37C8">
        <w:rPr>
          <w:rFonts w:ascii="Arial" w:hAnsi="Arial" w:cs="Arial"/>
          <w:lang w:val="en-US"/>
        </w:rPr>
        <w:t xml:space="preserve"> not persisting with </w:t>
      </w:r>
      <w:r w:rsidR="00EF3004">
        <w:rPr>
          <w:rFonts w:ascii="Arial" w:hAnsi="Arial" w:cs="Arial"/>
          <w:lang w:val="en-US"/>
        </w:rPr>
        <w:t>his</w:t>
      </w:r>
      <w:r w:rsidR="00EF3004" w:rsidRPr="00EA37C8">
        <w:rPr>
          <w:rFonts w:ascii="Arial" w:hAnsi="Arial" w:cs="Arial"/>
          <w:lang w:val="en-US"/>
        </w:rPr>
        <w:t xml:space="preserve"> contention that</w:t>
      </w:r>
      <w:r w:rsidR="00EF3004">
        <w:rPr>
          <w:rFonts w:ascii="Arial" w:hAnsi="Arial" w:cs="Arial"/>
          <w:lang w:val="en-US"/>
        </w:rPr>
        <w:t xml:space="preserve">, for the following reasons, there is no application before </w:t>
      </w:r>
      <w:r w:rsidR="00DE2CD4">
        <w:rPr>
          <w:rFonts w:ascii="Arial" w:hAnsi="Arial" w:cs="Arial"/>
          <w:lang w:val="en-US"/>
        </w:rPr>
        <w:t xml:space="preserve">the </w:t>
      </w:r>
      <w:r w:rsidR="00EF3004">
        <w:rPr>
          <w:rFonts w:ascii="Arial" w:hAnsi="Arial" w:cs="Arial"/>
          <w:lang w:val="en-US"/>
        </w:rPr>
        <w:t>court</w:t>
      </w:r>
      <w:r>
        <w:rPr>
          <w:rFonts w:ascii="Arial" w:hAnsi="Arial" w:cs="Arial"/>
          <w:lang w:val="en-US"/>
        </w:rPr>
        <w:t>, the court does not deal with it</w:t>
      </w:r>
      <w:r w:rsidR="00EF3004">
        <w:rPr>
          <w:rFonts w:ascii="Arial" w:hAnsi="Arial" w:cs="Arial"/>
          <w:lang w:val="en-US"/>
        </w:rPr>
        <w:t>:</w:t>
      </w:r>
    </w:p>
    <w:p w14:paraId="2747FDB3" w14:textId="77777777" w:rsidR="00EF3004" w:rsidRPr="00B46EEF" w:rsidRDefault="00EF3004" w:rsidP="00EF3004">
      <w:pPr>
        <w:pStyle w:val="ListParagraph"/>
        <w:rPr>
          <w:rFonts w:ascii="Arial" w:hAnsi="Arial" w:cs="Arial"/>
          <w:lang w:val="en-US"/>
        </w:rPr>
      </w:pPr>
    </w:p>
    <w:p w14:paraId="0FDC8B4E" w14:textId="56ACCEB5" w:rsidR="00EF3004" w:rsidRDefault="00EF3004" w:rsidP="00EF3004">
      <w:pPr>
        <w:pStyle w:val="ListParagraph"/>
        <w:numPr>
          <w:ilvl w:val="0"/>
          <w:numId w:val="17"/>
        </w:numPr>
        <w:spacing w:line="360" w:lineRule="auto"/>
        <w:ind w:left="0" w:firstLine="0"/>
        <w:jc w:val="both"/>
        <w:rPr>
          <w:rFonts w:ascii="Arial" w:hAnsi="Arial" w:cs="Arial"/>
          <w:lang w:val="en-US"/>
        </w:rPr>
      </w:pPr>
      <w:r>
        <w:rPr>
          <w:rFonts w:ascii="Arial" w:hAnsi="Arial" w:cs="Arial"/>
          <w:lang w:val="en-US"/>
        </w:rPr>
        <w:t>T</w:t>
      </w:r>
      <w:r w:rsidRPr="00EA37C8">
        <w:rPr>
          <w:rFonts w:ascii="Arial" w:hAnsi="Arial" w:cs="Arial"/>
          <w:lang w:val="en-US"/>
        </w:rPr>
        <w:t>he notice of motion for the 6 October 2022 application</w:t>
      </w:r>
      <w:r>
        <w:rPr>
          <w:rFonts w:ascii="Arial" w:hAnsi="Arial" w:cs="Arial"/>
          <w:lang w:val="en-US"/>
        </w:rPr>
        <w:t xml:space="preserve"> before </w:t>
      </w:r>
      <w:r w:rsidR="00DE2CD4">
        <w:rPr>
          <w:rFonts w:ascii="Arial" w:hAnsi="Arial" w:cs="Arial"/>
          <w:lang w:val="en-US"/>
        </w:rPr>
        <w:t xml:space="preserve">the </w:t>
      </w:r>
      <w:r>
        <w:rPr>
          <w:rFonts w:ascii="Arial" w:hAnsi="Arial" w:cs="Arial"/>
          <w:lang w:val="en-US"/>
        </w:rPr>
        <w:t>court</w:t>
      </w:r>
      <w:r w:rsidRPr="00EA37C8">
        <w:rPr>
          <w:rFonts w:ascii="Arial" w:hAnsi="Arial" w:cs="Arial"/>
          <w:lang w:val="en-US"/>
        </w:rPr>
        <w:t xml:space="preserve"> was not created </w:t>
      </w:r>
      <w:r>
        <w:rPr>
          <w:rFonts w:ascii="Arial" w:hAnsi="Arial" w:cs="Arial"/>
          <w:lang w:val="en-US"/>
        </w:rPr>
        <w:t>through</w:t>
      </w:r>
      <w:r w:rsidRPr="00EA37C8">
        <w:rPr>
          <w:rFonts w:ascii="Arial" w:hAnsi="Arial" w:cs="Arial"/>
          <w:lang w:val="en-US"/>
        </w:rPr>
        <w:t xml:space="preserve"> the </w:t>
      </w:r>
      <w:r>
        <w:rPr>
          <w:rFonts w:ascii="Arial" w:hAnsi="Arial" w:cs="Arial"/>
          <w:lang w:val="en-US"/>
        </w:rPr>
        <w:t>e</w:t>
      </w:r>
      <w:r w:rsidRPr="00EA37C8">
        <w:rPr>
          <w:rFonts w:ascii="Arial" w:hAnsi="Arial" w:cs="Arial"/>
          <w:lang w:val="en-US"/>
        </w:rPr>
        <w:t>-</w:t>
      </w:r>
      <w:r>
        <w:rPr>
          <w:rFonts w:ascii="Arial" w:hAnsi="Arial" w:cs="Arial"/>
          <w:lang w:val="en-US"/>
        </w:rPr>
        <w:t>j</w:t>
      </w:r>
      <w:r w:rsidRPr="00EA37C8">
        <w:rPr>
          <w:rFonts w:ascii="Arial" w:hAnsi="Arial" w:cs="Arial"/>
          <w:lang w:val="en-US"/>
        </w:rPr>
        <w:t xml:space="preserve">ustice interlocutory application </w:t>
      </w:r>
      <w:r>
        <w:rPr>
          <w:rFonts w:ascii="Arial" w:hAnsi="Arial" w:cs="Arial"/>
          <w:lang w:val="en-US"/>
        </w:rPr>
        <w:t xml:space="preserve">function. </w:t>
      </w:r>
      <w:r w:rsidRPr="00EA37C8">
        <w:rPr>
          <w:rFonts w:ascii="Arial" w:hAnsi="Arial" w:cs="Arial"/>
          <w:lang w:val="en-US"/>
        </w:rPr>
        <w:t xml:space="preserve">The </w:t>
      </w:r>
      <w:r w:rsidR="0019379D">
        <w:rPr>
          <w:rFonts w:ascii="Arial" w:hAnsi="Arial" w:cs="Arial"/>
          <w:lang w:val="en-US"/>
        </w:rPr>
        <w:t>r</w:t>
      </w:r>
      <w:r w:rsidRPr="00EA37C8">
        <w:rPr>
          <w:rFonts w:ascii="Arial" w:hAnsi="Arial" w:cs="Arial"/>
          <w:lang w:val="en-US"/>
        </w:rPr>
        <w:t>espondent, however, still relie</w:t>
      </w:r>
      <w:r w:rsidR="00255DEB">
        <w:rPr>
          <w:rFonts w:ascii="Arial" w:hAnsi="Arial" w:cs="Arial"/>
          <w:lang w:val="en-US"/>
        </w:rPr>
        <w:t>d</w:t>
      </w:r>
      <w:r w:rsidRPr="00EA37C8">
        <w:rPr>
          <w:rFonts w:ascii="Arial" w:hAnsi="Arial" w:cs="Arial"/>
          <w:lang w:val="en-US"/>
        </w:rPr>
        <w:t xml:space="preserve"> on that </w:t>
      </w:r>
      <w:r>
        <w:rPr>
          <w:rFonts w:ascii="Arial" w:hAnsi="Arial" w:cs="Arial"/>
          <w:lang w:val="en-US"/>
        </w:rPr>
        <w:t>point</w:t>
      </w:r>
      <w:r w:rsidRPr="00EA37C8">
        <w:rPr>
          <w:rFonts w:ascii="Arial" w:hAnsi="Arial" w:cs="Arial"/>
          <w:lang w:val="en-US"/>
        </w:rPr>
        <w:t xml:space="preserve"> to demonstrate </w:t>
      </w:r>
      <w:r w:rsidR="00DE2CD4">
        <w:rPr>
          <w:rFonts w:ascii="Arial" w:hAnsi="Arial" w:cs="Arial"/>
          <w:lang w:val="en-US"/>
        </w:rPr>
        <w:t>how</w:t>
      </w:r>
      <w:r w:rsidRPr="00EA37C8">
        <w:rPr>
          <w:rFonts w:ascii="Arial" w:hAnsi="Arial" w:cs="Arial"/>
          <w:lang w:val="en-US"/>
        </w:rPr>
        <w:t xml:space="preserve"> the matter was dealt with.  </w:t>
      </w:r>
    </w:p>
    <w:p w14:paraId="1AD8E98F" w14:textId="77777777" w:rsidR="00EF3004" w:rsidRPr="00EF3004" w:rsidRDefault="00EF3004" w:rsidP="00EF3004">
      <w:pPr>
        <w:pStyle w:val="ListParagraph"/>
        <w:rPr>
          <w:rFonts w:ascii="Arial" w:hAnsi="Arial" w:cs="Arial"/>
          <w:lang w:val="en-US"/>
        </w:rPr>
      </w:pPr>
    </w:p>
    <w:p w14:paraId="0A33EFC2" w14:textId="452CE0EA" w:rsidR="00EF3004" w:rsidRPr="00EF3004" w:rsidRDefault="00EF3004" w:rsidP="00EF3004">
      <w:pPr>
        <w:pStyle w:val="ListParagraph"/>
        <w:numPr>
          <w:ilvl w:val="0"/>
          <w:numId w:val="17"/>
        </w:numPr>
        <w:spacing w:line="360" w:lineRule="auto"/>
        <w:ind w:left="0" w:firstLine="0"/>
        <w:jc w:val="both"/>
        <w:rPr>
          <w:rFonts w:ascii="Arial" w:hAnsi="Arial" w:cs="Arial"/>
          <w:lang w:val="en-US"/>
        </w:rPr>
      </w:pPr>
      <w:r w:rsidRPr="00EF3004">
        <w:rPr>
          <w:rFonts w:ascii="Arial" w:hAnsi="Arial" w:cs="Arial"/>
          <w:lang w:val="en-US"/>
        </w:rPr>
        <w:lastRenderedPageBreak/>
        <w:t>The 23 July 2023 notice of motion, which was subsequently created through the e-justice interlocutory application function, was not accompanied by an affidavit.</w:t>
      </w:r>
    </w:p>
    <w:p w14:paraId="43EEE845" w14:textId="77777777" w:rsidR="000446D8" w:rsidRDefault="000446D8" w:rsidP="0082273B">
      <w:pPr>
        <w:pStyle w:val="ListParagraph"/>
        <w:spacing w:line="360" w:lineRule="auto"/>
        <w:ind w:left="0"/>
        <w:jc w:val="both"/>
        <w:rPr>
          <w:rFonts w:ascii="Arial" w:hAnsi="Arial" w:cs="Arial"/>
          <w:u w:val="single"/>
          <w:lang w:val="en-US"/>
        </w:rPr>
      </w:pPr>
    </w:p>
    <w:p w14:paraId="342FDA72" w14:textId="4D940E21" w:rsidR="0082273B" w:rsidRPr="0082273B" w:rsidRDefault="0082273B" w:rsidP="0082273B">
      <w:pPr>
        <w:pStyle w:val="ListParagraph"/>
        <w:spacing w:line="360" w:lineRule="auto"/>
        <w:ind w:left="0"/>
        <w:jc w:val="both"/>
        <w:rPr>
          <w:rFonts w:ascii="Arial" w:hAnsi="Arial" w:cs="Arial"/>
          <w:u w:val="single"/>
          <w:lang w:val="en-US"/>
        </w:rPr>
      </w:pPr>
      <w:r>
        <w:rPr>
          <w:rFonts w:ascii="Arial" w:hAnsi="Arial" w:cs="Arial"/>
          <w:u w:val="single"/>
          <w:lang w:val="en-US"/>
        </w:rPr>
        <w:t>Conclusion</w:t>
      </w:r>
    </w:p>
    <w:p w14:paraId="2ADC193D" w14:textId="77777777" w:rsidR="0082273B" w:rsidRPr="0082273B" w:rsidRDefault="0082273B" w:rsidP="0082273B">
      <w:pPr>
        <w:pStyle w:val="ListParagraph"/>
        <w:rPr>
          <w:rFonts w:ascii="Arial" w:hAnsi="Arial" w:cs="Arial"/>
          <w:lang w:val="en-US"/>
        </w:rPr>
      </w:pPr>
    </w:p>
    <w:p w14:paraId="4C4C5D63" w14:textId="77777777" w:rsidR="00EE1BEB" w:rsidRDefault="00BE25F4" w:rsidP="00EE1BE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In conclusion, the court finds that</w:t>
      </w:r>
      <w:r w:rsidR="00EE1BEB">
        <w:rPr>
          <w:rFonts w:ascii="Arial" w:hAnsi="Arial" w:cs="Arial"/>
          <w:lang w:val="en-US"/>
        </w:rPr>
        <w:t>:</w:t>
      </w:r>
    </w:p>
    <w:p w14:paraId="28A789F7" w14:textId="77777777" w:rsidR="00EE1BEB" w:rsidRPr="00EE1BEB" w:rsidRDefault="00EE1BEB" w:rsidP="00EE1BEB">
      <w:pPr>
        <w:pStyle w:val="ListParagraph"/>
        <w:rPr>
          <w:rFonts w:ascii="Arial" w:hAnsi="Arial" w:cs="Arial"/>
          <w:bCs/>
        </w:rPr>
      </w:pPr>
    </w:p>
    <w:p w14:paraId="684D25EB" w14:textId="43A33A5A" w:rsidR="00EE1BEB" w:rsidRPr="00EE1BEB" w:rsidRDefault="00CC1146" w:rsidP="00EE1BEB">
      <w:pPr>
        <w:pStyle w:val="ListParagraph"/>
        <w:numPr>
          <w:ilvl w:val="0"/>
          <w:numId w:val="20"/>
        </w:numPr>
        <w:spacing w:line="360" w:lineRule="auto"/>
        <w:ind w:left="0" w:firstLine="0"/>
        <w:jc w:val="both"/>
        <w:rPr>
          <w:rFonts w:ascii="Arial" w:hAnsi="Arial" w:cs="Arial"/>
          <w:lang w:val="en-US"/>
        </w:rPr>
      </w:pPr>
      <w:r w:rsidRPr="00EE1BEB">
        <w:rPr>
          <w:rFonts w:ascii="Arial" w:hAnsi="Arial" w:cs="Arial"/>
          <w:bCs/>
        </w:rPr>
        <w:t xml:space="preserve">the </w:t>
      </w:r>
      <w:r w:rsidR="0019379D">
        <w:rPr>
          <w:rFonts w:ascii="Arial" w:hAnsi="Arial" w:cs="Arial"/>
          <w:bCs/>
        </w:rPr>
        <w:t>a</w:t>
      </w:r>
      <w:r w:rsidRPr="00EE1BEB">
        <w:rPr>
          <w:rFonts w:ascii="Arial" w:hAnsi="Arial" w:cs="Arial"/>
          <w:bCs/>
        </w:rPr>
        <w:t xml:space="preserve">pplicant provided </w:t>
      </w:r>
      <w:r w:rsidR="00EE1BEB" w:rsidRPr="00EE1BEB">
        <w:rPr>
          <w:rFonts w:ascii="Arial" w:hAnsi="Arial" w:cs="Arial"/>
          <w:bCs/>
        </w:rPr>
        <w:t>a weak</w:t>
      </w:r>
      <w:r w:rsidRPr="00EE1BEB">
        <w:rPr>
          <w:rFonts w:ascii="Arial" w:hAnsi="Arial" w:cs="Arial"/>
          <w:bCs/>
        </w:rPr>
        <w:t xml:space="preserve"> explanation for the non-compliance and the delay</w:t>
      </w:r>
      <w:r w:rsidR="00EE1BEB" w:rsidRPr="00EE1BEB">
        <w:rPr>
          <w:rFonts w:ascii="Arial" w:hAnsi="Arial" w:cs="Arial"/>
          <w:bCs/>
        </w:rPr>
        <w:t xml:space="preserve"> that followed up to 28 September 2022 when the </w:t>
      </w:r>
      <w:r w:rsidR="0019379D">
        <w:rPr>
          <w:rFonts w:ascii="Arial" w:hAnsi="Arial" w:cs="Arial"/>
          <w:bCs/>
        </w:rPr>
        <w:t>a</w:t>
      </w:r>
      <w:r w:rsidR="00EE1BEB" w:rsidRPr="00EE1BEB">
        <w:rPr>
          <w:rFonts w:ascii="Arial" w:hAnsi="Arial" w:cs="Arial"/>
          <w:bCs/>
        </w:rPr>
        <w:t>pplicant realised the need for th</w:t>
      </w:r>
      <w:r w:rsidR="00EE1BEB">
        <w:rPr>
          <w:rFonts w:ascii="Arial" w:hAnsi="Arial" w:cs="Arial"/>
          <w:bCs/>
        </w:rPr>
        <w:t>e</w:t>
      </w:r>
      <w:r w:rsidR="00EE1BEB" w:rsidRPr="00EE1BEB">
        <w:rPr>
          <w:rFonts w:ascii="Arial" w:hAnsi="Arial" w:cs="Arial"/>
          <w:bCs/>
        </w:rPr>
        <w:t xml:space="preserve"> application and little weight is attached;</w:t>
      </w:r>
    </w:p>
    <w:p w14:paraId="72B49743" w14:textId="77777777" w:rsidR="00EE1BEB" w:rsidRPr="00EE1BEB" w:rsidRDefault="00EE1BEB" w:rsidP="00EE1BEB">
      <w:pPr>
        <w:pStyle w:val="ListParagraph"/>
        <w:rPr>
          <w:rFonts w:ascii="Arial" w:hAnsi="Arial" w:cs="Arial"/>
          <w:lang w:val="en-US"/>
        </w:rPr>
      </w:pPr>
    </w:p>
    <w:p w14:paraId="16481FE1" w14:textId="1BF26AFC" w:rsidR="00EE1BEB" w:rsidRDefault="00EE1BEB" w:rsidP="00EE1BEB">
      <w:pPr>
        <w:pStyle w:val="ListParagraph"/>
        <w:numPr>
          <w:ilvl w:val="0"/>
          <w:numId w:val="20"/>
        </w:numPr>
        <w:spacing w:line="360" w:lineRule="auto"/>
        <w:ind w:left="0" w:firstLine="0"/>
        <w:jc w:val="both"/>
        <w:rPr>
          <w:rFonts w:ascii="Arial" w:hAnsi="Arial" w:cs="Arial"/>
          <w:lang w:val="en-US"/>
        </w:rPr>
      </w:pPr>
      <w:r w:rsidRPr="00EE1BEB">
        <w:rPr>
          <w:rFonts w:ascii="Arial" w:hAnsi="Arial" w:cs="Arial"/>
          <w:bCs/>
        </w:rPr>
        <w:t>the period</w:t>
      </w:r>
      <w:r>
        <w:rPr>
          <w:rFonts w:ascii="Arial" w:hAnsi="Arial" w:cs="Arial"/>
          <w:bCs/>
        </w:rPr>
        <w:t xml:space="preserve"> </w:t>
      </w:r>
      <w:r w:rsidRPr="00EE1BEB">
        <w:rPr>
          <w:rFonts w:ascii="Arial" w:hAnsi="Arial" w:cs="Arial"/>
          <w:bCs/>
        </w:rPr>
        <w:t>it took to launch the application once the need for it was realised on 28 September 2022 is reasonable</w:t>
      </w:r>
      <w:r w:rsidR="00DE2CD4">
        <w:rPr>
          <w:rFonts w:ascii="Arial" w:hAnsi="Arial" w:cs="Arial"/>
          <w:bCs/>
        </w:rPr>
        <w:t>,</w:t>
      </w:r>
      <w:r w:rsidRPr="00EE1BEB">
        <w:rPr>
          <w:rFonts w:ascii="Arial" w:hAnsi="Arial" w:cs="Arial"/>
          <w:bCs/>
        </w:rPr>
        <w:t xml:space="preserve"> and a fair amount of weight is attached;</w:t>
      </w:r>
    </w:p>
    <w:p w14:paraId="67FBC24B" w14:textId="77777777" w:rsidR="00EE1BEB" w:rsidRPr="00EE1BEB" w:rsidRDefault="00EE1BEB" w:rsidP="00EE1BEB">
      <w:pPr>
        <w:pStyle w:val="ListParagraph"/>
        <w:rPr>
          <w:rFonts w:ascii="Arial" w:hAnsi="Arial" w:cs="Arial"/>
          <w:bCs/>
        </w:rPr>
      </w:pPr>
    </w:p>
    <w:p w14:paraId="08447284" w14:textId="3CEA5E8A" w:rsidR="00EE1BEB" w:rsidRPr="00EE1BEB" w:rsidRDefault="00CC1146" w:rsidP="00EE1BEB">
      <w:pPr>
        <w:pStyle w:val="ListParagraph"/>
        <w:numPr>
          <w:ilvl w:val="0"/>
          <w:numId w:val="20"/>
        </w:numPr>
        <w:spacing w:line="360" w:lineRule="auto"/>
        <w:ind w:left="0" w:firstLine="0"/>
        <w:jc w:val="both"/>
        <w:rPr>
          <w:rFonts w:ascii="Arial" w:hAnsi="Arial" w:cs="Arial"/>
          <w:lang w:val="en-US"/>
        </w:rPr>
      </w:pPr>
      <w:r w:rsidRPr="00EE1BEB">
        <w:rPr>
          <w:rFonts w:ascii="Arial" w:hAnsi="Arial" w:cs="Arial"/>
          <w:bCs/>
        </w:rPr>
        <w:t xml:space="preserve">the </w:t>
      </w:r>
      <w:r w:rsidR="0019379D">
        <w:rPr>
          <w:rFonts w:ascii="Arial" w:hAnsi="Arial" w:cs="Arial"/>
          <w:bCs/>
        </w:rPr>
        <w:t>a</w:t>
      </w:r>
      <w:r w:rsidRPr="00EE1BEB">
        <w:rPr>
          <w:rFonts w:ascii="Arial" w:hAnsi="Arial" w:cs="Arial"/>
          <w:bCs/>
        </w:rPr>
        <w:t xml:space="preserve">pplicant illustrated reasonable prospects of success on the merits to which </w:t>
      </w:r>
      <w:r w:rsidR="00EE1BEB" w:rsidRPr="00EE1BEB">
        <w:rPr>
          <w:rFonts w:ascii="Arial" w:hAnsi="Arial" w:cs="Arial"/>
          <w:bCs/>
        </w:rPr>
        <w:t>a considerable amount of</w:t>
      </w:r>
      <w:r w:rsidRPr="00EE1BEB">
        <w:rPr>
          <w:rFonts w:ascii="Arial" w:hAnsi="Arial" w:cs="Arial"/>
          <w:bCs/>
        </w:rPr>
        <w:t xml:space="preserve"> weight is attached</w:t>
      </w:r>
      <w:r w:rsidR="00EE1BEB" w:rsidRPr="00EE1BEB">
        <w:rPr>
          <w:rFonts w:ascii="Arial" w:hAnsi="Arial" w:cs="Arial"/>
          <w:bCs/>
        </w:rPr>
        <w:t>; and</w:t>
      </w:r>
    </w:p>
    <w:p w14:paraId="44E9DA57" w14:textId="77777777" w:rsidR="00EE1BEB" w:rsidRPr="00EE1BEB" w:rsidRDefault="00EE1BEB" w:rsidP="00EE1BEB">
      <w:pPr>
        <w:pStyle w:val="ListParagraph"/>
        <w:rPr>
          <w:rFonts w:ascii="Arial" w:hAnsi="Arial" w:cs="Arial"/>
          <w:bCs/>
        </w:rPr>
      </w:pPr>
    </w:p>
    <w:p w14:paraId="2FDA1FE4" w14:textId="47011302" w:rsidR="00EE1BEB" w:rsidRDefault="00CC1146" w:rsidP="00590139">
      <w:pPr>
        <w:pStyle w:val="ListParagraph"/>
        <w:spacing w:line="360" w:lineRule="auto"/>
        <w:ind w:left="0"/>
        <w:jc w:val="both"/>
        <w:rPr>
          <w:rFonts w:ascii="Arial" w:hAnsi="Arial" w:cs="Arial"/>
          <w:lang w:val="en-US"/>
        </w:rPr>
      </w:pPr>
      <w:r w:rsidRPr="00EE1BEB">
        <w:rPr>
          <w:rFonts w:ascii="Arial" w:hAnsi="Arial" w:cs="Arial"/>
          <w:bCs/>
        </w:rPr>
        <w:t>conjunctively</w:t>
      </w:r>
      <w:r w:rsidR="00DE2CD4">
        <w:rPr>
          <w:rFonts w:ascii="Arial" w:hAnsi="Arial" w:cs="Arial"/>
          <w:bCs/>
        </w:rPr>
        <w:t>,</w:t>
      </w:r>
      <w:r w:rsidRPr="00EE1BEB">
        <w:rPr>
          <w:rFonts w:ascii="Arial" w:hAnsi="Arial" w:cs="Arial"/>
          <w:bCs/>
        </w:rPr>
        <w:t xml:space="preserve"> the court is satisfied that a case </w:t>
      </w:r>
      <w:r w:rsidR="00255DEB">
        <w:rPr>
          <w:rFonts w:ascii="Arial" w:hAnsi="Arial" w:cs="Arial"/>
          <w:bCs/>
        </w:rPr>
        <w:t>wa</w:t>
      </w:r>
      <w:r w:rsidRPr="00EE1BEB">
        <w:rPr>
          <w:rFonts w:ascii="Arial" w:hAnsi="Arial" w:cs="Arial"/>
          <w:bCs/>
        </w:rPr>
        <w:t>s made</w:t>
      </w:r>
      <w:r w:rsidR="00255DEB">
        <w:rPr>
          <w:rFonts w:ascii="Arial" w:hAnsi="Arial" w:cs="Arial"/>
          <w:bCs/>
        </w:rPr>
        <w:t xml:space="preserve"> </w:t>
      </w:r>
      <w:r w:rsidRPr="00EE1BEB">
        <w:rPr>
          <w:rFonts w:ascii="Arial" w:hAnsi="Arial" w:cs="Arial"/>
          <w:bCs/>
        </w:rPr>
        <w:t>for the relief sought</w:t>
      </w:r>
      <w:r w:rsidR="00EE1BEB" w:rsidRPr="00EE1BEB">
        <w:rPr>
          <w:rFonts w:ascii="Arial" w:hAnsi="Arial" w:cs="Arial"/>
          <w:bCs/>
        </w:rPr>
        <w:t>.</w:t>
      </w:r>
    </w:p>
    <w:p w14:paraId="5E063409" w14:textId="77777777" w:rsidR="00EE1BEB" w:rsidRPr="00EE1BEB" w:rsidRDefault="00EE1BEB" w:rsidP="00EE1BEB">
      <w:pPr>
        <w:pStyle w:val="ListParagraph"/>
        <w:rPr>
          <w:rFonts w:ascii="Arial" w:hAnsi="Arial" w:cs="Arial"/>
          <w:lang w:val="en-US"/>
        </w:rPr>
      </w:pPr>
    </w:p>
    <w:p w14:paraId="3B64513A" w14:textId="4C415F78" w:rsidR="00590139" w:rsidRDefault="00590139" w:rsidP="00EE1BE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It is ordered that:</w:t>
      </w:r>
    </w:p>
    <w:p w14:paraId="128CE52E" w14:textId="77777777" w:rsidR="00590139" w:rsidRPr="00590139" w:rsidRDefault="00590139" w:rsidP="00590139">
      <w:pPr>
        <w:pStyle w:val="ListParagraph"/>
        <w:rPr>
          <w:rFonts w:ascii="Arial" w:hAnsi="Arial" w:cs="Arial"/>
          <w:lang w:val="en-US"/>
        </w:rPr>
      </w:pPr>
    </w:p>
    <w:p w14:paraId="54AA2CBF" w14:textId="77777777" w:rsidR="00152326" w:rsidRDefault="00152326" w:rsidP="00152326">
      <w:pPr>
        <w:pStyle w:val="ListParagraph"/>
        <w:numPr>
          <w:ilvl w:val="0"/>
          <w:numId w:val="27"/>
        </w:numPr>
        <w:spacing w:line="360" w:lineRule="auto"/>
        <w:jc w:val="both"/>
        <w:rPr>
          <w:rFonts w:ascii="Arial" w:hAnsi="Arial" w:cs="Arial"/>
          <w:lang w:val="en-US"/>
        </w:rPr>
      </w:pPr>
      <w:r>
        <w:rPr>
          <w:rFonts w:ascii="Arial" w:hAnsi="Arial" w:cs="Arial"/>
          <w:lang w:val="en-US"/>
        </w:rPr>
        <w:t>P</w:t>
      </w:r>
      <w:r w:rsidRPr="00EB0655">
        <w:rPr>
          <w:rFonts w:ascii="Arial" w:hAnsi="Arial" w:cs="Arial"/>
          <w:lang w:val="en-US"/>
        </w:rPr>
        <w:t xml:space="preserve">rayer 4 of </w:t>
      </w:r>
      <w:r>
        <w:rPr>
          <w:rFonts w:ascii="Arial" w:hAnsi="Arial" w:cs="Arial"/>
          <w:lang w:val="en-US"/>
        </w:rPr>
        <w:t>the</w:t>
      </w:r>
      <w:r w:rsidRPr="00EB0655">
        <w:rPr>
          <w:rFonts w:ascii="Arial" w:hAnsi="Arial" w:cs="Arial"/>
          <w:lang w:val="en-US"/>
        </w:rPr>
        <w:t xml:space="preserve"> notice of motion</w:t>
      </w:r>
      <w:r>
        <w:rPr>
          <w:rFonts w:ascii="Arial" w:hAnsi="Arial" w:cs="Arial"/>
          <w:lang w:val="en-US"/>
        </w:rPr>
        <w:t xml:space="preserve"> is amended</w:t>
      </w:r>
      <w:r w:rsidRPr="00EB0655">
        <w:rPr>
          <w:rFonts w:ascii="Arial" w:hAnsi="Arial" w:cs="Arial"/>
          <w:lang w:val="en-US"/>
        </w:rPr>
        <w:t xml:space="preserve"> </w:t>
      </w:r>
      <w:r>
        <w:rPr>
          <w:rFonts w:ascii="Arial" w:hAnsi="Arial" w:cs="Arial"/>
          <w:lang w:val="en-US"/>
        </w:rPr>
        <w:t xml:space="preserve">by </w:t>
      </w:r>
      <w:r w:rsidRPr="00EB0655">
        <w:rPr>
          <w:rFonts w:ascii="Arial" w:hAnsi="Arial" w:cs="Arial"/>
          <w:lang w:val="en-US"/>
        </w:rPr>
        <w:t>substitut</w:t>
      </w:r>
      <w:r>
        <w:rPr>
          <w:rFonts w:ascii="Arial" w:hAnsi="Arial" w:cs="Arial"/>
          <w:lang w:val="en-US"/>
        </w:rPr>
        <w:t>ing</w:t>
      </w:r>
      <w:r w:rsidRPr="00EB0655">
        <w:rPr>
          <w:rFonts w:ascii="Arial" w:hAnsi="Arial" w:cs="Arial"/>
          <w:lang w:val="en-US"/>
        </w:rPr>
        <w:t xml:space="preserve"> the </w:t>
      </w:r>
      <w:r>
        <w:rPr>
          <w:rFonts w:ascii="Arial" w:hAnsi="Arial" w:cs="Arial"/>
          <w:lang w:val="en-US"/>
        </w:rPr>
        <w:t>ten days</w:t>
      </w:r>
      <w:r w:rsidRPr="00EB0655">
        <w:rPr>
          <w:rFonts w:ascii="Arial" w:hAnsi="Arial" w:cs="Arial"/>
          <w:lang w:val="en-US"/>
        </w:rPr>
        <w:t xml:space="preserve"> </w:t>
      </w:r>
      <w:r>
        <w:rPr>
          <w:rFonts w:ascii="Arial" w:hAnsi="Arial" w:cs="Arial"/>
          <w:lang w:val="en-US"/>
        </w:rPr>
        <w:t>contained</w:t>
      </w:r>
      <w:r w:rsidRPr="00EB0655">
        <w:rPr>
          <w:rFonts w:ascii="Arial" w:hAnsi="Arial" w:cs="Arial"/>
          <w:lang w:val="en-US"/>
        </w:rPr>
        <w:t xml:space="preserve"> therein with </w:t>
      </w:r>
      <w:r>
        <w:rPr>
          <w:rFonts w:ascii="Arial" w:hAnsi="Arial" w:cs="Arial"/>
          <w:lang w:val="en-US"/>
        </w:rPr>
        <w:t>30 days</w:t>
      </w:r>
    </w:p>
    <w:p w14:paraId="153A1572" w14:textId="77777777" w:rsidR="00152326" w:rsidRDefault="00152326" w:rsidP="00152326">
      <w:pPr>
        <w:pStyle w:val="ListParagraph"/>
        <w:spacing w:line="360" w:lineRule="auto"/>
        <w:ind w:left="927"/>
        <w:jc w:val="both"/>
        <w:rPr>
          <w:rFonts w:ascii="Arial" w:hAnsi="Arial" w:cs="Arial"/>
          <w:lang w:val="en-US"/>
        </w:rPr>
      </w:pPr>
    </w:p>
    <w:p w14:paraId="3313FC65" w14:textId="0CEEA838" w:rsidR="00152326" w:rsidRPr="00152326" w:rsidRDefault="00152326" w:rsidP="00152326">
      <w:pPr>
        <w:pStyle w:val="ListParagraph"/>
        <w:numPr>
          <w:ilvl w:val="0"/>
          <w:numId w:val="27"/>
        </w:numPr>
        <w:spacing w:line="360" w:lineRule="auto"/>
        <w:ind w:left="567" w:firstLine="357"/>
        <w:jc w:val="both"/>
        <w:rPr>
          <w:rFonts w:ascii="Arial" w:hAnsi="Arial" w:cs="Arial"/>
          <w:lang w:val="en-US"/>
        </w:rPr>
      </w:pPr>
      <w:r w:rsidRPr="00152326">
        <w:rPr>
          <w:rFonts w:ascii="Arial" w:hAnsi="Arial" w:cs="Arial"/>
          <w:lang w:val="en-US"/>
        </w:rPr>
        <w:t>The late prosecution of the appeal under HC-MD-LAB-APP-AAA-2022/00033 is condoned.</w:t>
      </w:r>
    </w:p>
    <w:p w14:paraId="44461F4E" w14:textId="77777777" w:rsidR="00152326" w:rsidRPr="00152326" w:rsidRDefault="00152326" w:rsidP="00152326">
      <w:pPr>
        <w:pStyle w:val="ListParagraph"/>
        <w:rPr>
          <w:rFonts w:ascii="Arial" w:hAnsi="Arial" w:cs="Arial"/>
          <w:lang w:val="en-US"/>
        </w:rPr>
      </w:pPr>
    </w:p>
    <w:p w14:paraId="12E34B66" w14:textId="3BF14C96" w:rsidR="00152326" w:rsidRPr="00152326" w:rsidRDefault="00152326" w:rsidP="00152326">
      <w:pPr>
        <w:pStyle w:val="ListParagraph"/>
        <w:numPr>
          <w:ilvl w:val="0"/>
          <w:numId w:val="27"/>
        </w:numPr>
        <w:spacing w:line="360" w:lineRule="auto"/>
        <w:ind w:left="567" w:firstLine="357"/>
        <w:jc w:val="both"/>
        <w:rPr>
          <w:rFonts w:ascii="Arial" w:hAnsi="Arial" w:cs="Arial"/>
          <w:lang w:val="en-US"/>
        </w:rPr>
      </w:pPr>
      <w:r w:rsidRPr="00152326">
        <w:rPr>
          <w:rFonts w:ascii="Arial" w:hAnsi="Arial" w:cs="Arial"/>
          <w:lang w:val="en-US"/>
        </w:rPr>
        <w:t>The appeal under HC-MD-LAB-APP-AAA-2022/00033 is reinstated.</w:t>
      </w:r>
    </w:p>
    <w:p w14:paraId="56298BC1" w14:textId="77777777" w:rsidR="00152326" w:rsidRDefault="00152326" w:rsidP="00152326">
      <w:pPr>
        <w:pStyle w:val="ListParagraph"/>
        <w:spacing w:line="360" w:lineRule="auto"/>
        <w:ind w:left="924"/>
        <w:jc w:val="both"/>
        <w:rPr>
          <w:rFonts w:ascii="Arial" w:hAnsi="Arial" w:cs="Arial"/>
          <w:lang w:val="en-US"/>
        </w:rPr>
      </w:pPr>
    </w:p>
    <w:p w14:paraId="348E7CCD" w14:textId="77777777" w:rsidR="00152326" w:rsidRPr="00152326" w:rsidRDefault="00152326" w:rsidP="00152326">
      <w:pPr>
        <w:pStyle w:val="ListParagraph"/>
        <w:rPr>
          <w:rFonts w:ascii="Arial" w:hAnsi="Arial" w:cs="Arial"/>
          <w:lang w:val="en-US"/>
        </w:rPr>
      </w:pPr>
    </w:p>
    <w:p w14:paraId="39C68CC4" w14:textId="77777777" w:rsidR="00152326" w:rsidRDefault="00152326" w:rsidP="00152326">
      <w:pPr>
        <w:pStyle w:val="ListParagraph"/>
        <w:numPr>
          <w:ilvl w:val="0"/>
          <w:numId w:val="27"/>
        </w:numPr>
        <w:spacing w:line="360" w:lineRule="auto"/>
        <w:ind w:left="567" w:firstLine="357"/>
        <w:jc w:val="both"/>
        <w:rPr>
          <w:rFonts w:ascii="Arial" w:hAnsi="Arial" w:cs="Arial"/>
          <w:lang w:val="en-US"/>
        </w:rPr>
      </w:pPr>
      <w:r w:rsidRPr="00152326">
        <w:rPr>
          <w:rFonts w:ascii="Arial" w:hAnsi="Arial" w:cs="Arial"/>
          <w:lang w:val="en-US"/>
        </w:rPr>
        <w:t>The late filing of the certificate under Labour Court r 17(12) is condoned.</w:t>
      </w:r>
    </w:p>
    <w:p w14:paraId="22496D9F" w14:textId="77777777" w:rsidR="00152326" w:rsidRDefault="00152326" w:rsidP="00152326">
      <w:pPr>
        <w:pStyle w:val="ListParagraph"/>
        <w:spacing w:line="360" w:lineRule="auto"/>
        <w:ind w:left="924"/>
        <w:jc w:val="both"/>
        <w:rPr>
          <w:rFonts w:ascii="Arial" w:hAnsi="Arial" w:cs="Arial"/>
          <w:lang w:val="en-US"/>
        </w:rPr>
      </w:pPr>
    </w:p>
    <w:p w14:paraId="0D1A6BB5" w14:textId="77777777" w:rsidR="00152326" w:rsidRDefault="00152326" w:rsidP="00152326">
      <w:pPr>
        <w:pStyle w:val="ListParagraph"/>
        <w:numPr>
          <w:ilvl w:val="0"/>
          <w:numId w:val="27"/>
        </w:numPr>
        <w:spacing w:line="360" w:lineRule="auto"/>
        <w:ind w:left="567" w:firstLine="357"/>
        <w:jc w:val="both"/>
        <w:rPr>
          <w:rFonts w:ascii="Arial" w:hAnsi="Arial" w:cs="Arial"/>
          <w:lang w:val="en-US"/>
        </w:rPr>
      </w:pPr>
      <w:r w:rsidRPr="00152326">
        <w:rPr>
          <w:rFonts w:ascii="Arial" w:hAnsi="Arial" w:cs="Arial"/>
          <w:lang w:val="en-US"/>
        </w:rPr>
        <w:t>The time for compliance with Labour Court r 17(12) to 17(16) is extended to 30 days after the date of this order.</w:t>
      </w:r>
    </w:p>
    <w:p w14:paraId="00EFDADF" w14:textId="77777777" w:rsidR="00152326" w:rsidRPr="00152326" w:rsidRDefault="00152326" w:rsidP="00152326">
      <w:pPr>
        <w:pStyle w:val="ListParagraph"/>
        <w:rPr>
          <w:rFonts w:ascii="Arial" w:hAnsi="Arial" w:cs="Arial"/>
          <w:lang w:val="en-US"/>
        </w:rPr>
      </w:pPr>
    </w:p>
    <w:p w14:paraId="37B8DC49" w14:textId="77777777" w:rsidR="00152326" w:rsidRDefault="00152326" w:rsidP="00152326">
      <w:pPr>
        <w:pStyle w:val="ListParagraph"/>
        <w:numPr>
          <w:ilvl w:val="0"/>
          <w:numId w:val="27"/>
        </w:numPr>
        <w:spacing w:line="360" w:lineRule="auto"/>
        <w:ind w:left="567" w:firstLine="357"/>
        <w:jc w:val="both"/>
        <w:rPr>
          <w:rFonts w:ascii="Arial" w:hAnsi="Arial" w:cs="Arial"/>
          <w:lang w:val="en-US"/>
        </w:rPr>
      </w:pPr>
      <w:r w:rsidRPr="00152326">
        <w:rPr>
          <w:rFonts w:ascii="Arial" w:hAnsi="Arial" w:cs="Arial"/>
          <w:lang w:val="en-US"/>
        </w:rPr>
        <w:t>There is no order as to costs.</w:t>
      </w:r>
    </w:p>
    <w:p w14:paraId="571E122F" w14:textId="77777777" w:rsidR="00152326" w:rsidRPr="00152326" w:rsidRDefault="00152326" w:rsidP="00152326">
      <w:pPr>
        <w:pStyle w:val="ListParagraph"/>
        <w:rPr>
          <w:rFonts w:ascii="Arial" w:hAnsi="Arial" w:cs="Arial"/>
          <w:lang w:val="en-US"/>
        </w:rPr>
      </w:pPr>
    </w:p>
    <w:p w14:paraId="43500DE5" w14:textId="49E7A7D2" w:rsidR="00152326" w:rsidRPr="00152326" w:rsidRDefault="00152326" w:rsidP="00152326">
      <w:pPr>
        <w:pStyle w:val="ListParagraph"/>
        <w:numPr>
          <w:ilvl w:val="0"/>
          <w:numId w:val="27"/>
        </w:numPr>
        <w:spacing w:line="360" w:lineRule="auto"/>
        <w:ind w:left="567" w:firstLine="357"/>
        <w:jc w:val="both"/>
        <w:rPr>
          <w:rFonts w:ascii="Arial" w:hAnsi="Arial" w:cs="Arial"/>
          <w:lang w:val="en-US"/>
        </w:rPr>
      </w:pPr>
      <w:r w:rsidRPr="00152326">
        <w:rPr>
          <w:rFonts w:ascii="Arial" w:hAnsi="Arial" w:cs="Arial"/>
          <w:lang w:val="en-US"/>
        </w:rPr>
        <w:t>The matter under INT-HC-OTH-2023/00274 is regarded as finalised and removed from the roll.</w:t>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B062D" w:rsidRPr="00155B26" w14:paraId="1D905D4A" w14:textId="77777777" w:rsidTr="00064B1E">
        <w:tc>
          <w:tcPr>
            <w:tcW w:w="8789" w:type="dxa"/>
          </w:tcPr>
          <w:p w14:paraId="556CA359" w14:textId="77777777" w:rsidR="00064B1E" w:rsidRDefault="00064B1E" w:rsidP="00064B1E">
            <w:pPr>
              <w:spacing w:line="360" w:lineRule="auto"/>
              <w:jc w:val="right"/>
              <w:rPr>
                <w:rFonts w:ascii="Arial" w:hAnsi="Arial" w:cs="Arial"/>
                <w:lang w:val="en-US"/>
              </w:rPr>
            </w:pPr>
          </w:p>
          <w:p w14:paraId="3976CC82" w14:textId="79CFA12B" w:rsidR="004B062D" w:rsidRPr="004B062D" w:rsidRDefault="002B2E67" w:rsidP="00064B1E">
            <w:pPr>
              <w:spacing w:line="360" w:lineRule="auto"/>
              <w:jc w:val="right"/>
              <w:rPr>
                <w:rFonts w:ascii="Arial" w:hAnsi="Arial" w:cs="Arial"/>
                <w:lang w:val="en-US"/>
              </w:rPr>
            </w:pPr>
            <w:r>
              <w:rPr>
                <w:rFonts w:ascii="Arial" w:hAnsi="Arial" w:cs="Arial"/>
                <w:lang w:val="en-US"/>
              </w:rPr>
              <w:t>__________________</w:t>
            </w:r>
          </w:p>
        </w:tc>
      </w:tr>
      <w:tr w:rsidR="004B062D" w:rsidRPr="00155B26" w14:paraId="40BA4CAC" w14:textId="77777777" w:rsidTr="00064B1E">
        <w:tc>
          <w:tcPr>
            <w:tcW w:w="8789" w:type="dxa"/>
          </w:tcPr>
          <w:p w14:paraId="2980794D" w14:textId="2DED80D1" w:rsidR="004B062D" w:rsidRPr="004B062D" w:rsidRDefault="004B062D" w:rsidP="004B062D">
            <w:pPr>
              <w:spacing w:line="360" w:lineRule="auto"/>
              <w:jc w:val="right"/>
              <w:rPr>
                <w:rFonts w:ascii="Arial" w:hAnsi="Arial" w:cs="Arial"/>
                <w:lang w:val="en-US"/>
              </w:rPr>
            </w:pPr>
            <w:r>
              <w:rPr>
                <w:rFonts w:ascii="Arial" w:hAnsi="Arial" w:cs="Arial"/>
                <w:lang w:val="en-US"/>
              </w:rPr>
              <w:t>B de Jager</w:t>
            </w:r>
          </w:p>
        </w:tc>
      </w:tr>
      <w:tr w:rsidR="004B062D" w:rsidRPr="00155B26" w14:paraId="56EFA0A1" w14:textId="77777777" w:rsidTr="00064B1E">
        <w:tc>
          <w:tcPr>
            <w:tcW w:w="8789" w:type="dxa"/>
          </w:tcPr>
          <w:p w14:paraId="13DB1635" w14:textId="32C1FF40" w:rsidR="004B062D" w:rsidRPr="004B062D" w:rsidRDefault="004B062D" w:rsidP="004B062D">
            <w:pPr>
              <w:spacing w:line="360" w:lineRule="auto"/>
              <w:jc w:val="right"/>
              <w:rPr>
                <w:rFonts w:ascii="Arial" w:hAnsi="Arial" w:cs="Arial"/>
                <w:lang w:val="en-US"/>
              </w:rPr>
            </w:pPr>
            <w:r>
              <w:rPr>
                <w:rFonts w:ascii="Arial" w:hAnsi="Arial" w:cs="Arial"/>
                <w:lang w:val="en-US"/>
              </w:rPr>
              <w:t>Acting Judge</w:t>
            </w:r>
          </w:p>
        </w:tc>
      </w:tr>
    </w:tbl>
    <w:p w14:paraId="7A681806" w14:textId="77777777" w:rsidR="004B062D" w:rsidRDefault="004B062D"/>
    <w:p w14:paraId="449D7054" w14:textId="77777777" w:rsidR="00B16C3D" w:rsidRDefault="00B16C3D">
      <w:r>
        <w:br w:type="page"/>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45"/>
      </w:tblGrid>
      <w:tr w:rsidR="004B062D" w:rsidRPr="004B062D" w14:paraId="7F2E129A" w14:textId="77777777" w:rsidTr="00760FB4">
        <w:tc>
          <w:tcPr>
            <w:tcW w:w="8789" w:type="dxa"/>
            <w:gridSpan w:val="2"/>
          </w:tcPr>
          <w:p w14:paraId="33CD2DCB" w14:textId="16AEA284" w:rsidR="004B062D" w:rsidRDefault="004B062D" w:rsidP="00761390">
            <w:pPr>
              <w:spacing w:line="360" w:lineRule="auto"/>
              <w:jc w:val="both"/>
              <w:rPr>
                <w:rFonts w:ascii="Arial" w:hAnsi="Arial" w:cs="Arial"/>
                <w:lang w:val="en-US"/>
              </w:rPr>
            </w:pPr>
            <w:r>
              <w:rPr>
                <w:rFonts w:ascii="Arial" w:hAnsi="Arial" w:cs="Arial"/>
                <w:lang w:val="en-US"/>
              </w:rPr>
              <w:lastRenderedPageBreak/>
              <w:t>APPEARANCES</w:t>
            </w:r>
          </w:p>
          <w:p w14:paraId="1AEC881A" w14:textId="7C9F633E" w:rsidR="004B062D" w:rsidRPr="004B062D" w:rsidRDefault="004B062D" w:rsidP="00761390">
            <w:pPr>
              <w:spacing w:line="360" w:lineRule="auto"/>
              <w:jc w:val="both"/>
              <w:rPr>
                <w:rFonts w:ascii="Arial" w:hAnsi="Arial" w:cs="Arial"/>
                <w:lang w:val="en-US"/>
              </w:rPr>
            </w:pPr>
          </w:p>
        </w:tc>
      </w:tr>
      <w:tr w:rsidR="004B062D" w:rsidRPr="004B062D" w14:paraId="1FAF4FCE" w14:textId="77777777" w:rsidTr="00760FB4">
        <w:tc>
          <w:tcPr>
            <w:tcW w:w="3544" w:type="dxa"/>
          </w:tcPr>
          <w:p w14:paraId="258C90E3" w14:textId="641604C0" w:rsidR="004B062D" w:rsidRPr="004B062D" w:rsidRDefault="009921AE" w:rsidP="004B062D">
            <w:pPr>
              <w:spacing w:line="360" w:lineRule="auto"/>
              <w:rPr>
                <w:rFonts w:ascii="Arial" w:hAnsi="Arial" w:cs="Arial"/>
                <w:lang w:val="en-US"/>
              </w:rPr>
            </w:pPr>
            <w:r>
              <w:rPr>
                <w:rFonts w:ascii="Arial" w:hAnsi="Arial" w:cs="Arial"/>
                <w:lang w:val="en-US"/>
              </w:rPr>
              <w:t>APPLICANT</w:t>
            </w:r>
            <w:r w:rsidR="00D61EF5">
              <w:rPr>
                <w:rFonts w:ascii="Arial" w:hAnsi="Arial" w:cs="Arial"/>
                <w:lang w:val="en-US"/>
              </w:rPr>
              <w:t>:</w:t>
            </w:r>
          </w:p>
        </w:tc>
        <w:tc>
          <w:tcPr>
            <w:tcW w:w="5245" w:type="dxa"/>
          </w:tcPr>
          <w:p w14:paraId="46BAECB2" w14:textId="7A745B9B" w:rsidR="004B062D" w:rsidRPr="004B062D" w:rsidRDefault="009921AE" w:rsidP="004B062D">
            <w:pPr>
              <w:spacing w:line="360" w:lineRule="auto"/>
              <w:rPr>
                <w:rFonts w:ascii="Arial" w:hAnsi="Arial" w:cs="Arial"/>
                <w:highlight w:val="yellow"/>
                <w:lang w:val="en-US"/>
              </w:rPr>
            </w:pPr>
            <w:r>
              <w:rPr>
                <w:rFonts w:ascii="Arial" w:hAnsi="Arial" w:cs="Arial"/>
                <w:lang w:val="en-US"/>
              </w:rPr>
              <w:t>G L Kasper</w:t>
            </w:r>
          </w:p>
          <w:p w14:paraId="77F28DFA" w14:textId="16E596A3" w:rsidR="004B062D" w:rsidRDefault="009921AE" w:rsidP="004B062D">
            <w:pPr>
              <w:spacing w:line="360" w:lineRule="auto"/>
              <w:rPr>
                <w:rFonts w:ascii="Arial" w:hAnsi="Arial" w:cs="Arial"/>
                <w:lang w:val="en-US"/>
              </w:rPr>
            </w:pPr>
            <w:r>
              <w:rPr>
                <w:rFonts w:ascii="Arial" w:hAnsi="Arial" w:cs="Arial"/>
                <w:lang w:val="en-US"/>
              </w:rPr>
              <w:t>Of Murorua Kurtz Kasper Incorporated</w:t>
            </w:r>
            <w:r w:rsidR="00D61EF5">
              <w:rPr>
                <w:rFonts w:ascii="Arial" w:hAnsi="Arial" w:cs="Arial"/>
                <w:lang w:val="en-US"/>
              </w:rPr>
              <w:t>, Windhoek</w:t>
            </w:r>
          </w:p>
          <w:p w14:paraId="1C9F2085" w14:textId="1A0B7961" w:rsidR="00607061" w:rsidRPr="004B062D" w:rsidRDefault="00607061" w:rsidP="004B062D">
            <w:pPr>
              <w:spacing w:line="360" w:lineRule="auto"/>
              <w:rPr>
                <w:rFonts w:ascii="Arial" w:hAnsi="Arial" w:cs="Arial"/>
                <w:lang w:val="en-US"/>
              </w:rPr>
            </w:pPr>
          </w:p>
        </w:tc>
      </w:tr>
      <w:tr w:rsidR="004B062D" w:rsidRPr="004B062D" w14:paraId="003F046F" w14:textId="77777777" w:rsidTr="00760FB4">
        <w:tc>
          <w:tcPr>
            <w:tcW w:w="3544" w:type="dxa"/>
          </w:tcPr>
          <w:p w14:paraId="2395623C" w14:textId="3BC11D2E" w:rsidR="004B062D" w:rsidRPr="004B062D" w:rsidRDefault="009921AE" w:rsidP="004B062D">
            <w:pPr>
              <w:spacing w:line="360" w:lineRule="auto"/>
              <w:rPr>
                <w:rFonts w:ascii="Arial" w:hAnsi="Arial" w:cs="Arial"/>
                <w:lang w:val="en-US"/>
              </w:rPr>
            </w:pPr>
            <w:r>
              <w:rPr>
                <w:rFonts w:ascii="Arial" w:hAnsi="Arial" w:cs="Arial"/>
                <w:lang w:val="en-US"/>
              </w:rPr>
              <w:t>RESPONDENT</w:t>
            </w:r>
            <w:r w:rsidR="00D61EF5">
              <w:rPr>
                <w:rFonts w:ascii="Arial" w:hAnsi="Arial" w:cs="Arial"/>
                <w:lang w:val="en-US"/>
              </w:rPr>
              <w:t>:</w:t>
            </w:r>
          </w:p>
        </w:tc>
        <w:tc>
          <w:tcPr>
            <w:tcW w:w="5245" w:type="dxa"/>
          </w:tcPr>
          <w:p w14:paraId="106A222B" w14:textId="2948128D" w:rsidR="004B062D" w:rsidRPr="004B062D" w:rsidRDefault="009921AE" w:rsidP="004B062D">
            <w:pPr>
              <w:spacing w:line="360" w:lineRule="auto"/>
              <w:rPr>
                <w:rFonts w:ascii="Arial" w:hAnsi="Arial" w:cs="Arial"/>
                <w:highlight w:val="yellow"/>
                <w:lang w:val="en-US"/>
              </w:rPr>
            </w:pPr>
            <w:r>
              <w:rPr>
                <w:rFonts w:ascii="Arial" w:hAnsi="Arial" w:cs="Arial"/>
                <w:lang w:val="en-US"/>
              </w:rPr>
              <w:t>E Coetzee</w:t>
            </w:r>
          </w:p>
          <w:p w14:paraId="7D37D0C0" w14:textId="08CD97C1" w:rsidR="004B062D" w:rsidRDefault="009921AE" w:rsidP="004B062D">
            <w:pPr>
              <w:spacing w:line="360" w:lineRule="auto"/>
              <w:rPr>
                <w:rFonts w:ascii="Arial" w:hAnsi="Arial" w:cs="Arial"/>
                <w:lang w:val="en-US"/>
              </w:rPr>
            </w:pPr>
            <w:r>
              <w:rPr>
                <w:rFonts w:ascii="Arial" w:hAnsi="Arial" w:cs="Arial"/>
                <w:lang w:val="en-US"/>
              </w:rPr>
              <w:t>Of Tjitemisa &amp; Associates</w:t>
            </w:r>
            <w:r w:rsidR="00D61EF5">
              <w:rPr>
                <w:rFonts w:ascii="Arial" w:hAnsi="Arial" w:cs="Arial"/>
                <w:lang w:val="en-US"/>
              </w:rPr>
              <w:t>, Windhoek</w:t>
            </w:r>
          </w:p>
          <w:p w14:paraId="070FB27C" w14:textId="10ADED7F" w:rsidR="009921AE" w:rsidRPr="004B062D" w:rsidRDefault="009921AE" w:rsidP="004B062D">
            <w:pPr>
              <w:spacing w:line="360" w:lineRule="auto"/>
              <w:rPr>
                <w:rFonts w:ascii="Arial" w:hAnsi="Arial" w:cs="Arial"/>
                <w:lang w:val="en-US"/>
              </w:rPr>
            </w:pPr>
          </w:p>
        </w:tc>
      </w:tr>
    </w:tbl>
    <w:p w14:paraId="605C9C17" w14:textId="77777777" w:rsidR="004B062D" w:rsidRDefault="004B062D" w:rsidP="00B74401">
      <w:pPr>
        <w:pStyle w:val="ListParagraph"/>
        <w:spacing w:line="360" w:lineRule="auto"/>
        <w:ind w:left="0"/>
        <w:jc w:val="both"/>
        <w:rPr>
          <w:rFonts w:ascii="Arial" w:hAnsi="Arial" w:cs="Arial"/>
          <w:lang w:val="en-US"/>
        </w:rPr>
      </w:pPr>
    </w:p>
    <w:p w14:paraId="69813820" w14:textId="77777777" w:rsidR="00B74401" w:rsidRDefault="00B74401" w:rsidP="00B74401">
      <w:pPr>
        <w:pStyle w:val="ListParagraph"/>
        <w:spacing w:line="360" w:lineRule="auto"/>
        <w:ind w:left="0"/>
        <w:jc w:val="both"/>
        <w:rPr>
          <w:rFonts w:ascii="Arial" w:hAnsi="Arial" w:cs="Arial"/>
          <w:lang w:val="en-US"/>
        </w:rPr>
      </w:pPr>
    </w:p>
    <w:p w14:paraId="2E1C66F7" w14:textId="77777777" w:rsidR="004E5F07" w:rsidRPr="004E5F07" w:rsidRDefault="004E5F07" w:rsidP="004E5F07">
      <w:pPr>
        <w:pStyle w:val="ListParagraph"/>
        <w:spacing w:line="360" w:lineRule="auto"/>
        <w:ind w:left="0"/>
        <w:jc w:val="both"/>
        <w:rPr>
          <w:rFonts w:ascii="Arial" w:hAnsi="Arial" w:cs="Arial"/>
          <w:lang w:val="en-US"/>
        </w:rPr>
      </w:pPr>
    </w:p>
    <w:p w14:paraId="3D608657" w14:textId="77777777" w:rsidR="004E5F07" w:rsidRPr="004E5F07" w:rsidRDefault="004E5F07" w:rsidP="004E5F07">
      <w:pPr>
        <w:spacing w:line="360" w:lineRule="auto"/>
        <w:jc w:val="both"/>
        <w:rPr>
          <w:rFonts w:ascii="Arial" w:eastAsia="Calibri" w:hAnsi="Arial" w:cs="Arial"/>
          <w:bCs/>
        </w:rPr>
      </w:pPr>
    </w:p>
    <w:p w14:paraId="4BBA38E6" w14:textId="77777777" w:rsidR="004E5F07" w:rsidRPr="004E5F07" w:rsidRDefault="004E5F07" w:rsidP="00FE7F68">
      <w:pPr>
        <w:spacing w:line="360" w:lineRule="auto"/>
        <w:jc w:val="both"/>
        <w:rPr>
          <w:rFonts w:ascii="Arial" w:hAnsi="Arial" w:cs="Arial"/>
          <w:lang w:val="en-US"/>
        </w:rPr>
      </w:pPr>
    </w:p>
    <w:p w14:paraId="4A5088FD" w14:textId="77777777" w:rsidR="004E5F07" w:rsidRPr="004E5F07" w:rsidRDefault="004E5F07" w:rsidP="00FE7F68">
      <w:pPr>
        <w:spacing w:line="360" w:lineRule="auto"/>
        <w:jc w:val="both"/>
        <w:rPr>
          <w:rFonts w:ascii="Arial" w:hAnsi="Arial" w:cs="Arial"/>
          <w:lang w:val="en-US"/>
        </w:rPr>
      </w:pPr>
    </w:p>
    <w:p w14:paraId="1A84AE10" w14:textId="77777777" w:rsidR="004E5F07" w:rsidRPr="004E5F07" w:rsidRDefault="004E5F07" w:rsidP="00FE7F68">
      <w:pPr>
        <w:spacing w:line="360" w:lineRule="auto"/>
        <w:jc w:val="both"/>
        <w:rPr>
          <w:rFonts w:ascii="Arial" w:hAnsi="Arial" w:cs="Arial"/>
          <w:lang w:val="en-US"/>
        </w:rPr>
      </w:pPr>
    </w:p>
    <w:p w14:paraId="60C416EE" w14:textId="77777777" w:rsidR="00061C47" w:rsidRPr="004E5F07" w:rsidRDefault="00061C47" w:rsidP="00FE7F68">
      <w:pPr>
        <w:spacing w:line="360" w:lineRule="auto"/>
        <w:jc w:val="both"/>
        <w:rPr>
          <w:rFonts w:ascii="Arial" w:hAnsi="Arial" w:cs="Arial"/>
          <w:lang w:val="en-US"/>
        </w:rPr>
      </w:pPr>
    </w:p>
    <w:p w14:paraId="5BA5660D" w14:textId="77777777" w:rsidR="00061C47" w:rsidRPr="004E5F07" w:rsidRDefault="00061C47" w:rsidP="00FE7F68">
      <w:pPr>
        <w:spacing w:line="360" w:lineRule="auto"/>
        <w:jc w:val="both"/>
        <w:rPr>
          <w:rFonts w:ascii="Arial" w:hAnsi="Arial" w:cs="Arial"/>
          <w:lang w:val="en-US"/>
        </w:rPr>
      </w:pPr>
    </w:p>
    <w:p w14:paraId="4F9639B9" w14:textId="77777777" w:rsidR="00061C47" w:rsidRPr="004E5F07" w:rsidRDefault="00061C47" w:rsidP="00FE7F68">
      <w:pPr>
        <w:spacing w:line="360" w:lineRule="auto"/>
        <w:jc w:val="both"/>
        <w:rPr>
          <w:rFonts w:ascii="Arial" w:hAnsi="Arial" w:cs="Arial"/>
          <w:lang w:val="en-US"/>
        </w:rPr>
      </w:pPr>
    </w:p>
    <w:p w14:paraId="69CB4FDC" w14:textId="77777777" w:rsidR="00061C47" w:rsidRPr="004E5F07" w:rsidRDefault="00061C47" w:rsidP="00FE7F68">
      <w:pPr>
        <w:spacing w:line="360" w:lineRule="auto"/>
        <w:jc w:val="both"/>
        <w:rPr>
          <w:rFonts w:ascii="Arial" w:hAnsi="Arial" w:cs="Arial"/>
          <w:lang w:val="en-US"/>
        </w:rPr>
      </w:pPr>
    </w:p>
    <w:p w14:paraId="7579CAFB" w14:textId="554BE68D" w:rsidR="00061C47" w:rsidRPr="00A54A5B" w:rsidRDefault="00061C47" w:rsidP="00A54A5B">
      <w:pPr>
        <w:spacing w:line="360" w:lineRule="auto"/>
        <w:jc w:val="both"/>
        <w:rPr>
          <w:rFonts w:ascii="Arial" w:hAnsi="Arial" w:cs="Arial"/>
          <w:lang w:val="en-US"/>
        </w:rPr>
      </w:pPr>
    </w:p>
    <w:sectPr w:rsidR="00061C47" w:rsidRPr="00A54A5B" w:rsidSect="00FA1397">
      <w:headerReference w:type="even" r:id="rId11"/>
      <w:headerReference w:type="default" r:id="rId12"/>
      <w:pgSz w:w="11900" w:h="16840"/>
      <w:pgMar w:top="1356" w:right="1671" w:bottom="1480" w:left="172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F3291" w14:textId="77777777" w:rsidR="00806C1B" w:rsidRDefault="00806C1B" w:rsidP="00155B26">
      <w:r>
        <w:separator/>
      </w:r>
    </w:p>
  </w:endnote>
  <w:endnote w:type="continuationSeparator" w:id="0">
    <w:p w14:paraId="03C8F2A0" w14:textId="77777777" w:rsidR="00806C1B" w:rsidRDefault="00806C1B" w:rsidP="001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6CF84" w14:textId="77777777" w:rsidR="00806C1B" w:rsidRDefault="00806C1B" w:rsidP="00155B26">
      <w:r>
        <w:separator/>
      </w:r>
    </w:p>
  </w:footnote>
  <w:footnote w:type="continuationSeparator" w:id="0">
    <w:p w14:paraId="146C6FFA" w14:textId="77777777" w:rsidR="00806C1B" w:rsidRDefault="00806C1B" w:rsidP="00155B26">
      <w:r>
        <w:continuationSeparator/>
      </w:r>
    </w:p>
  </w:footnote>
  <w:footnote w:id="1">
    <w:p w14:paraId="4FC59DED" w14:textId="5DD18B73"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Samicor Diamond Mining Ltd v Hercules</w:t>
      </w:r>
      <w:r w:rsidRPr="009E10BE">
        <w:rPr>
          <w:rFonts w:ascii="Arial" w:hAnsi="Arial" w:cs="Arial"/>
          <w:lang w:val="en-US"/>
        </w:rPr>
        <w:t xml:space="preserve"> 2010 (1) NR 304 (HC).</w:t>
      </w:r>
    </w:p>
  </w:footnote>
  <w:footnote w:id="2">
    <w:p w14:paraId="5A80F3E4" w14:textId="68CCF8A0" w:rsidR="00E0216A" w:rsidRPr="009E10BE" w:rsidRDefault="00E0216A"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Samicor Diamond Mining Ltd v Hercules</w:t>
      </w:r>
      <w:r w:rsidRPr="009E10BE">
        <w:rPr>
          <w:rFonts w:ascii="Arial" w:hAnsi="Arial" w:cs="Arial"/>
          <w:lang w:val="en-US"/>
        </w:rPr>
        <w:t xml:space="preserve"> 2010 (1) NR 304 (HC).</w:t>
      </w:r>
    </w:p>
  </w:footnote>
  <w:footnote w:id="3">
    <w:p w14:paraId="129ACE6A" w14:textId="5B50C515"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Standard Bank Namibia Ltd and Others v Maletzky and Others</w:t>
      </w:r>
      <w:r w:rsidRPr="009E10BE">
        <w:rPr>
          <w:rFonts w:ascii="Arial" w:hAnsi="Arial" w:cs="Arial"/>
          <w:lang w:val="en-US"/>
        </w:rPr>
        <w:t xml:space="preserve"> 2015 (3) NR 753 (SC)</w:t>
      </w:r>
      <w:r w:rsidR="00C70113" w:rsidRPr="009E10BE">
        <w:rPr>
          <w:rFonts w:ascii="Arial" w:hAnsi="Arial" w:cs="Arial"/>
          <w:lang w:val="en-US"/>
        </w:rPr>
        <w:t xml:space="preserve"> para 21</w:t>
      </w:r>
      <w:r w:rsidR="00E72E33" w:rsidRPr="009E10BE">
        <w:rPr>
          <w:rFonts w:ascii="Arial" w:hAnsi="Arial" w:cs="Arial"/>
          <w:lang w:val="en-US"/>
        </w:rPr>
        <w:t>.</w:t>
      </w:r>
    </w:p>
  </w:footnote>
  <w:footnote w:id="4">
    <w:p w14:paraId="59EF6C04" w14:textId="60C4C254"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Torbitt and Others v International University of Management</w:t>
      </w:r>
      <w:r w:rsidRPr="009E10BE">
        <w:rPr>
          <w:rFonts w:ascii="Arial" w:hAnsi="Arial" w:cs="Arial"/>
          <w:lang w:val="en-US"/>
        </w:rPr>
        <w:t xml:space="preserve"> 2017 (2) NR 323 (SC)</w:t>
      </w:r>
      <w:r w:rsidR="00E72E33" w:rsidRPr="009E10BE">
        <w:rPr>
          <w:rFonts w:ascii="Arial" w:hAnsi="Arial" w:cs="Arial"/>
          <w:lang w:val="en-US"/>
        </w:rPr>
        <w:t>.</w:t>
      </w:r>
    </w:p>
  </w:footnote>
  <w:footnote w:id="5">
    <w:p w14:paraId="4602FC0A" w14:textId="4588B085" w:rsidR="00515EC8" w:rsidRPr="009E10BE" w:rsidRDefault="00515EC8" w:rsidP="009E10BE">
      <w:pPr>
        <w:pStyle w:val="FootnoteText"/>
        <w:jc w:val="both"/>
        <w:rPr>
          <w:rFonts w:ascii="Arial" w:hAnsi="Arial" w:cs="Arial"/>
        </w:rPr>
      </w:pPr>
      <w:r w:rsidRPr="009E10BE">
        <w:rPr>
          <w:rStyle w:val="FootnoteReference"/>
          <w:rFonts w:ascii="Arial" w:hAnsi="Arial" w:cs="Arial"/>
        </w:rPr>
        <w:footnoteRef/>
      </w:r>
      <w:r w:rsidRPr="009E10BE">
        <w:rPr>
          <w:rFonts w:ascii="Arial" w:hAnsi="Arial" w:cs="Arial"/>
        </w:rPr>
        <w:t xml:space="preserve"> </w:t>
      </w:r>
      <w:r w:rsidR="0094757C" w:rsidRPr="009E10BE">
        <w:rPr>
          <w:rFonts w:ascii="Arial" w:hAnsi="Arial" w:cs="Arial"/>
          <w:i/>
          <w:iCs/>
          <w:lang w:val="en-US"/>
        </w:rPr>
        <w:t>Namibia Dairies (Pty) Ltd v Alfeus</w:t>
      </w:r>
      <w:r w:rsidR="0094757C" w:rsidRPr="009E10BE">
        <w:rPr>
          <w:rFonts w:ascii="Arial" w:hAnsi="Arial" w:cs="Arial"/>
          <w:lang w:val="en-US"/>
        </w:rPr>
        <w:t xml:space="preserve"> </w:t>
      </w:r>
      <w:r w:rsidR="0090466F" w:rsidRPr="009E10BE">
        <w:rPr>
          <w:rFonts w:ascii="Arial" w:hAnsi="Arial" w:cs="Arial"/>
          <w:lang w:val="en-US"/>
        </w:rPr>
        <w:t xml:space="preserve">2014 (4) NR 1115 (LC) </w:t>
      </w:r>
      <w:r w:rsidR="0094757C" w:rsidRPr="009E10BE">
        <w:rPr>
          <w:rFonts w:ascii="Arial" w:hAnsi="Arial" w:cs="Arial"/>
          <w:lang w:val="en-US"/>
        </w:rPr>
        <w:t xml:space="preserve">para 8; </w:t>
      </w:r>
      <w:r w:rsidR="00D963C4" w:rsidRPr="009E10BE">
        <w:rPr>
          <w:rFonts w:ascii="Arial" w:hAnsi="Arial" w:cs="Arial"/>
          <w:i/>
          <w:iCs/>
        </w:rPr>
        <w:t>Sevelinus and 57 Others v A Wutow Company (Pty) Ltd</w:t>
      </w:r>
      <w:r w:rsidR="00D963C4" w:rsidRPr="009E10BE">
        <w:rPr>
          <w:rFonts w:ascii="Arial" w:hAnsi="Arial" w:cs="Arial"/>
        </w:rPr>
        <w:t xml:space="preserve"> (INT-HC-OTH-2019/00224) [2020] NALCMD 269 (3 July 2020) para 20; </w:t>
      </w:r>
      <w:r w:rsidR="0094757C" w:rsidRPr="009E10BE">
        <w:rPr>
          <w:rFonts w:ascii="Arial" w:hAnsi="Arial" w:cs="Arial"/>
          <w:i/>
          <w:iCs/>
        </w:rPr>
        <w:t>Bothma v Swakopmund Uranium (Pty) Ltd</w:t>
      </w:r>
      <w:r w:rsidR="0094757C" w:rsidRPr="009E10BE">
        <w:rPr>
          <w:rFonts w:ascii="Arial" w:hAnsi="Arial" w:cs="Arial"/>
        </w:rPr>
        <w:t xml:space="preserve"> (HC-MD-LAB-APPAAA-2018/00048) [2019] NALCMD</w:t>
      </w:r>
      <w:r w:rsidR="00D963C4" w:rsidRPr="009E10BE">
        <w:rPr>
          <w:rFonts w:ascii="Arial" w:hAnsi="Arial" w:cs="Arial"/>
        </w:rPr>
        <w:t xml:space="preserve"> </w:t>
      </w:r>
      <w:r w:rsidR="0094757C" w:rsidRPr="009E10BE">
        <w:rPr>
          <w:rFonts w:ascii="Arial" w:hAnsi="Arial" w:cs="Arial"/>
        </w:rPr>
        <w:t>9 (18 January 2019)</w:t>
      </w:r>
      <w:r w:rsidR="00D963C4" w:rsidRPr="009E10BE">
        <w:rPr>
          <w:rFonts w:ascii="Arial" w:hAnsi="Arial" w:cs="Arial"/>
        </w:rPr>
        <w:t xml:space="preserve"> </w:t>
      </w:r>
      <w:r w:rsidR="0094757C" w:rsidRPr="009E10BE">
        <w:rPr>
          <w:rFonts w:ascii="Arial" w:hAnsi="Arial" w:cs="Arial"/>
        </w:rPr>
        <w:t>para 8</w:t>
      </w:r>
      <w:r w:rsidR="0094757C" w:rsidRPr="009E10BE">
        <w:rPr>
          <w:rFonts w:ascii="Arial" w:hAnsi="Arial" w:cs="Arial"/>
          <w:lang w:val="en-US"/>
        </w:rPr>
        <w:t>;</w:t>
      </w:r>
      <w:r w:rsidR="00D963C4" w:rsidRPr="009E10BE">
        <w:rPr>
          <w:rFonts w:ascii="Arial" w:hAnsi="Arial" w:cs="Arial"/>
          <w:lang w:val="en-US"/>
        </w:rPr>
        <w:t xml:space="preserve"> </w:t>
      </w:r>
      <w:r w:rsidRPr="009E10BE">
        <w:rPr>
          <w:rFonts w:ascii="Arial" w:hAnsi="Arial" w:cs="Arial"/>
          <w:i/>
          <w:iCs/>
          <w:lang w:val="en-US"/>
        </w:rPr>
        <w:t>Minister of Labour, Industrial Relations and Employment Creation v Panduleni</w:t>
      </w:r>
      <w:r w:rsidRPr="009E10BE">
        <w:rPr>
          <w:rFonts w:ascii="Arial" w:hAnsi="Arial" w:cs="Arial"/>
          <w:lang w:val="en-US"/>
        </w:rPr>
        <w:t xml:space="preserve"> (HC-MD-LAP-APP-AAA-2021/00004 [2021] NALCMD 45 (1 October 2021)</w:t>
      </w:r>
      <w:r w:rsidR="00B31BBC" w:rsidRPr="009E10BE">
        <w:rPr>
          <w:rFonts w:ascii="Arial" w:hAnsi="Arial" w:cs="Arial"/>
          <w:lang w:val="en-US"/>
        </w:rPr>
        <w:t xml:space="preserve"> para 16</w:t>
      </w:r>
      <w:r w:rsidR="00E0216A" w:rsidRPr="009E10BE">
        <w:rPr>
          <w:rFonts w:ascii="Arial" w:hAnsi="Arial" w:cs="Arial"/>
          <w:lang w:val="en-US"/>
        </w:rPr>
        <w:t>.</w:t>
      </w:r>
    </w:p>
  </w:footnote>
  <w:footnote w:id="6">
    <w:p w14:paraId="479DE07D" w14:textId="7760022E"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Primedia Outdoor Namibia (Pty) Ltd v Kauluma</w:t>
      </w:r>
      <w:r w:rsidRPr="009E10BE">
        <w:rPr>
          <w:rFonts w:ascii="Arial" w:hAnsi="Arial" w:cs="Arial"/>
          <w:lang w:val="en-US"/>
        </w:rPr>
        <w:t xml:space="preserve"> 2015 (1) NR 283 LC)</w:t>
      </w:r>
      <w:r w:rsidR="00E72E33" w:rsidRPr="009E10BE">
        <w:rPr>
          <w:rFonts w:ascii="Arial" w:hAnsi="Arial" w:cs="Arial"/>
          <w:lang w:val="en-US"/>
        </w:rPr>
        <w:t>.</w:t>
      </w:r>
    </w:p>
  </w:footnote>
  <w:footnote w:id="7">
    <w:p w14:paraId="22700244" w14:textId="7A507528"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 xml:space="preserve">Telcom Namibia Limited v Nangolo and Others </w:t>
      </w:r>
      <w:r w:rsidRPr="009E10BE">
        <w:rPr>
          <w:rFonts w:ascii="Arial" w:hAnsi="Arial" w:cs="Arial"/>
          <w:lang w:val="en-US"/>
        </w:rPr>
        <w:t>(LC33/2009) [2012] NALC 15 (28 May 2012)</w:t>
      </w:r>
      <w:r w:rsidR="009E10BE" w:rsidRPr="009E10BE">
        <w:rPr>
          <w:rFonts w:ascii="Arial" w:hAnsi="Arial" w:cs="Arial"/>
          <w:lang w:val="en-US"/>
        </w:rPr>
        <w:t xml:space="preserve"> para 5</w:t>
      </w:r>
      <w:r w:rsidR="00E72E33" w:rsidRPr="009E10BE">
        <w:rPr>
          <w:rFonts w:ascii="Arial" w:hAnsi="Arial" w:cs="Arial"/>
          <w:lang w:val="en-US"/>
        </w:rPr>
        <w:t>.</w:t>
      </w:r>
    </w:p>
  </w:footnote>
  <w:footnote w:id="8">
    <w:p w14:paraId="798A4C7E" w14:textId="078263E1" w:rsidR="009E10BE" w:rsidRPr="009E10BE" w:rsidRDefault="009E10BE"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 xml:space="preserve">Telcom Namibia Limited v Nangolo and Others </w:t>
      </w:r>
      <w:r w:rsidRPr="009E10BE">
        <w:rPr>
          <w:rFonts w:ascii="Arial" w:hAnsi="Arial" w:cs="Arial"/>
          <w:lang w:val="en-US"/>
        </w:rPr>
        <w:t>(LC33/2009) [2012] NALC 15 (28 May 2012) para 6.</w:t>
      </w:r>
    </w:p>
  </w:footnote>
  <w:footnote w:id="9">
    <w:p w14:paraId="7C72D5F9" w14:textId="027A4200"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eastAsia="Calibri" w:hAnsi="Arial" w:cs="Arial"/>
          <w:bCs/>
          <w:i/>
          <w:iCs/>
        </w:rPr>
        <w:t>Channel Life Namibia (Pty) Ltd v Otto</w:t>
      </w:r>
      <w:r w:rsidRPr="009E10BE">
        <w:rPr>
          <w:rFonts w:ascii="Arial" w:eastAsia="Calibri" w:hAnsi="Arial" w:cs="Arial"/>
          <w:bCs/>
        </w:rPr>
        <w:t xml:space="preserve"> 2008 (2) NR 432 (SC)</w:t>
      </w:r>
      <w:r w:rsidR="009E10BE">
        <w:rPr>
          <w:rFonts w:ascii="Arial" w:eastAsia="Calibri" w:hAnsi="Arial" w:cs="Arial"/>
          <w:bCs/>
        </w:rPr>
        <w:t xml:space="preserve"> para 45</w:t>
      </w:r>
      <w:r w:rsidR="00E72E33" w:rsidRPr="009E10BE">
        <w:rPr>
          <w:rFonts w:ascii="Arial" w:eastAsia="Calibri" w:hAnsi="Arial" w:cs="Arial"/>
          <w:bCs/>
        </w:rPr>
        <w:t>.</w:t>
      </w:r>
    </w:p>
  </w:footnote>
  <w:footnote w:id="10">
    <w:p w14:paraId="0C2845CD" w14:textId="25184A3C"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Minister of Health and Social Services v Amakali</w:t>
      </w:r>
      <w:r w:rsidRPr="009E10BE">
        <w:rPr>
          <w:rFonts w:ascii="Arial" w:hAnsi="Arial" w:cs="Arial"/>
          <w:lang w:val="en-US"/>
        </w:rPr>
        <w:t xml:space="preserve"> 2019 (1) NR 262 (SC)</w:t>
      </w:r>
      <w:r w:rsidR="009E10BE">
        <w:rPr>
          <w:rFonts w:ascii="Arial" w:hAnsi="Arial" w:cs="Arial"/>
          <w:lang w:val="en-US"/>
        </w:rPr>
        <w:t xml:space="preserve"> para 17</w:t>
      </w:r>
      <w:r w:rsidR="00E72E33" w:rsidRPr="009E10BE">
        <w:rPr>
          <w:rFonts w:ascii="Arial" w:hAnsi="Arial" w:cs="Arial"/>
          <w:lang w:val="en-US"/>
        </w:rPr>
        <w:t>.</w:t>
      </w:r>
    </w:p>
  </w:footnote>
  <w:footnote w:id="11">
    <w:p w14:paraId="11BE511C" w14:textId="167F23C7"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Telecom Namibia Ltd v Nangolo and Others</w:t>
      </w:r>
      <w:r w:rsidRPr="009E10BE">
        <w:rPr>
          <w:rFonts w:ascii="Arial" w:hAnsi="Arial" w:cs="Arial"/>
          <w:lang w:val="en-US"/>
        </w:rPr>
        <w:t xml:space="preserve"> 2015 (2) NR 510 (SC)</w:t>
      </w:r>
      <w:r w:rsidR="009E10BE">
        <w:rPr>
          <w:rFonts w:ascii="Arial" w:hAnsi="Arial" w:cs="Arial"/>
          <w:lang w:val="en-US"/>
        </w:rPr>
        <w:t xml:space="preserve"> para 21</w:t>
      </w:r>
      <w:r w:rsidR="00E72E33" w:rsidRPr="009E10BE">
        <w:rPr>
          <w:rFonts w:ascii="Arial" w:hAnsi="Arial" w:cs="Arial"/>
          <w:lang w:val="en-US"/>
        </w:rPr>
        <w:t>.</w:t>
      </w:r>
    </w:p>
  </w:footnote>
  <w:footnote w:id="12">
    <w:p w14:paraId="4A285EC9" w14:textId="386EA7CE"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Jason v Namibia Institute for Mining and Technology</w:t>
      </w:r>
      <w:r w:rsidRPr="009E10BE">
        <w:rPr>
          <w:rFonts w:ascii="Arial" w:hAnsi="Arial" w:cs="Arial"/>
          <w:lang w:val="en-US"/>
        </w:rPr>
        <w:t xml:space="preserve"> (HC-MDLAB-MOT-GEN-2021/00115) [2022] NALCMD 66 (28 October 2022)</w:t>
      </w:r>
      <w:r w:rsidR="009E10BE">
        <w:rPr>
          <w:rFonts w:ascii="Arial" w:hAnsi="Arial" w:cs="Arial"/>
          <w:lang w:val="en-US"/>
        </w:rPr>
        <w:t xml:space="preserve"> para 15</w:t>
      </w:r>
      <w:r w:rsidR="00E72E33" w:rsidRPr="009E10BE">
        <w:rPr>
          <w:rFonts w:ascii="Arial" w:hAnsi="Arial" w:cs="Arial"/>
          <w:lang w:val="en-US"/>
        </w:rPr>
        <w:t>.</w:t>
      </w:r>
    </w:p>
  </w:footnote>
  <w:footnote w:id="13">
    <w:p w14:paraId="6B227992" w14:textId="483F0B23"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Minister of Land Affairs and Agriculture and Others v D &amp; F Wevell Trust and Others</w:t>
      </w:r>
      <w:r w:rsidRPr="009E10BE">
        <w:rPr>
          <w:rFonts w:ascii="Arial" w:hAnsi="Arial" w:cs="Arial"/>
          <w:lang w:val="en-US"/>
        </w:rPr>
        <w:t xml:space="preserve"> 2008 (2) SA 184 (SCA)</w:t>
      </w:r>
      <w:r w:rsidR="009E10BE">
        <w:rPr>
          <w:rFonts w:ascii="Arial" w:hAnsi="Arial" w:cs="Arial"/>
          <w:lang w:val="en-US"/>
        </w:rPr>
        <w:t xml:space="preserve"> para 43</w:t>
      </w:r>
      <w:r w:rsidR="00E72E33" w:rsidRPr="009E10BE">
        <w:rPr>
          <w:rFonts w:ascii="Arial" w:hAnsi="Arial" w:cs="Arial"/>
          <w:lang w:val="en-US"/>
        </w:rPr>
        <w:t>.</w:t>
      </w:r>
    </w:p>
  </w:footnote>
  <w:footnote w:id="14">
    <w:p w14:paraId="3FD833F6" w14:textId="7B1E57AC"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Standard Bank Namibia Ltd and Others v Maletzky and Others</w:t>
      </w:r>
      <w:r w:rsidRPr="009E10BE">
        <w:rPr>
          <w:rFonts w:ascii="Arial" w:hAnsi="Arial" w:cs="Arial"/>
          <w:lang w:val="en-US"/>
        </w:rPr>
        <w:t xml:space="preserve"> 2015 (3) NR 753 (SC)</w:t>
      </w:r>
      <w:r w:rsidR="009E10BE">
        <w:rPr>
          <w:rFonts w:ascii="Arial" w:hAnsi="Arial" w:cs="Arial"/>
          <w:lang w:val="en-US"/>
        </w:rPr>
        <w:t xml:space="preserve"> para 43</w:t>
      </w:r>
      <w:r w:rsidR="00E72E33" w:rsidRPr="009E10BE">
        <w:rPr>
          <w:rFonts w:ascii="Arial" w:hAnsi="Arial" w:cs="Arial"/>
          <w:lang w:val="en-US"/>
        </w:rPr>
        <w:t>.</w:t>
      </w:r>
    </w:p>
  </w:footnote>
  <w:footnote w:id="15">
    <w:p w14:paraId="784E3513" w14:textId="40B64091"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De Villiers v Axiz Namibia (Pty) Ltd</w:t>
      </w:r>
      <w:r w:rsidRPr="009E10BE">
        <w:rPr>
          <w:rFonts w:ascii="Arial" w:hAnsi="Arial" w:cs="Arial"/>
          <w:lang w:val="en-US"/>
        </w:rPr>
        <w:t xml:space="preserve"> 2012 (1) NR 48 (SC)</w:t>
      </w:r>
      <w:r w:rsidR="009E10BE">
        <w:rPr>
          <w:rFonts w:ascii="Arial" w:hAnsi="Arial" w:cs="Arial"/>
          <w:lang w:val="en-US"/>
        </w:rPr>
        <w:t xml:space="preserve"> para 10</w:t>
      </w:r>
      <w:r w:rsidR="00E72E33" w:rsidRPr="009E10BE">
        <w:rPr>
          <w:rFonts w:ascii="Arial" w:hAnsi="Arial" w:cs="Arial"/>
          <w:lang w:val="en-US"/>
        </w:rPr>
        <w:t>.</w:t>
      </w:r>
    </w:p>
  </w:footnote>
  <w:footnote w:id="16">
    <w:p w14:paraId="047990F1" w14:textId="6BBD497F" w:rsidR="00075B82" w:rsidRPr="009E10BE" w:rsidRDefault="00075B82" w:rsidP="009E10BE">
      <w:pPr>
        <w:pStyle w:val="FootnoteText"/>
        <w:jc w:val="both"/>
        <w:rPr>
          <w:rFonts w:ascii="Arial" w:hAnsi="Arial" w:cs="Arial"/>
          <w:lang w:val="en-US"/>
        </w:rPr>
      </w:pPr>
      <w:r w:rsidRPr="009E10BE">
        <w:rPr>
          <w:rStyle w:val="FootnoteReference"/>
          <w:rFonts w:ascii="Arial" w:hAnsi="Arial" w:cs="Arial"/>
        </w:rPr>
        <w:footnoteRef/>
      </w:r>
      <w:r w:rsidRPr="009E10BE">
        <w:rPr>
          <w:rFonts w:ascii="Arial" w:hAnsi="Arial" w:cs="Arial"/>
        </w:rPr>
        <w:t xml:space="preserve"> </w:t>
      </w:r>
      <w:r w:rsidRPr="009E10BE">
        <w:rPr>
          <w:rFonts w:ascii="Arial" w:hAnsi="Arial" w:cs="Arial"/>
          <w:i/>
          <w:iCs/>
          <w:lang w:val="en-US"/>
        </w:rPr>
        <w:t>Labuschagne v Scania Finance Southern Africa (Pty) Ltd and Others</w:t>
      </w:r>
      <w:r w:rsidRPr="009E10BE">
        <w:rPr>
          <w:rFonts w:ascii="Arial" w:hAnsi="Arial" w:cs="Arial"/>
          <w:lang w:val="en-US"/>
        </w:rPr>
        <w:t xml:space="preserve"> 2015 (4) NR 1153 (SC)</w:t>
      </w:r>
      <w:r w:rsidR="009E10BE">
        <w:rPr>
          <w:rFonts w:ascii="Arial" w:hAnsi="Arial" w:cs="Arial"/>
          <w:lang w:val="en-US"/>
        </w:rPr>
        <w:t xml:space="preserve"> para 21</w:t>
      </w:r>
      <w:r w:rsidR="00E72E33" w:rsidRPr="009E10BE">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4864961"/>
      <w:docPartObj>
        <w:docPartGallery w:val="Page Numbers (Top of Page)"/>
        <w:docPartUnique/>
      </w:docPartObj>
    </w:sdtPr>
    <w:sdtEndPr>
      <w:rPr>
        <w:rStyle w:val="PageNumber"/>
      </w:rPr>
    </w:sdtEndPr>
    <w:sdtContent>
      <w:p w14:paraId="08CAA8E2" w14:textId="43042591" w:rsidR="004B062D" w:rsidRDefault="004B062D" w:rsidP="00D46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97AD" w14:textId="77777777" w:rsidR="004B062D" w:rsidRDefault="004B062D" w:rsidP="004B06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10668225"/>
      <w:docPartObj>
        <w:docPartGallery w:val="Page Numbers (Top of Page)"/>
        <w:docPartUnique/>
      </w:docPartObj>
    </w:sdtPr>
    <w:sdtEndPr>
      <w:rPr>
        <w:rStyle w:val="PageNumber"/>
      </w:rPr>
    </w:sdtEndPr>
    <w:sdtContent>
      <w:p w14:paraId="48559976" w14:textId="2EB1D5D4" w:rsidR="004B062D" w:rsidRPr="004B062D" w:rsidRDefault="004B062D" w:rsidP="004B062D">
        <w:pPr>
          <w:pStyle w:val="Header"/>
          <w:framePr w:wrap="none" w:vAnchor="text" w:hAnchor="margin" w:xAlign="right" w:y="1"/>
          <w:jc w:val="both"/>
          <w:rPr>
            <w:rStyle w:val="PageNumber"/>
            <w:rFonts w:ascii="Arial" w:hAnsi="Arial" w:cs="Arial"/>
            <w:sz w:val="20"/>
            <w:szCs w:val="20"/>
          </w:rPr>
        </w:pPr>
        <w:r w:rsidRPr="004B062D">
          <w:rPr>
            <w:rStyle w:val="PageNumber"/>
            <w:rFonts w:ascii="Arial" w:hAnsi="Arial" w:cs="Arial"/>
            <w:sz w:val="20"/>
            <w:szCs w:val="20"/>
          </w:rPr>
          <w:fldChar w:fldCharType="begin"/>
        </w:r>
        <w:r w:rsidRPr="004B062D">
          <w:rPr>
            <w:rStyle w:val="PageNumber"/>
            <w:rFonts w:ascii="Arial" w:hAnsi="Arial" w:cs="Arial"/>
            <w:sz w:val="20"/>
            <w:szCs w:val="20"/>
          </w:rPr>
          <w:instrText xml:space="preserve"> PAGE </w:instrText>
        </w:r>
        <w:r w:rsidRPr="004B062D">
          <w:rPr>
            <w:rStyle w:val="PageNumber"/>
            <w:rFonts w:ascii="Arial" w:hAnsi="Arial" w:cs="Arial"/>
            <w:sz w:val="20"/>
            <w:szCs w:val="20"/>
          </w:rPr>
          <w:fldChar w:fldCharType="separate"/>
        </w:r>
        <w:r w:rsidR="00A55183">
          <w:rPr>
            <w:rStyle w:val="PageNumber"/>
            <w:rFonts w:ascii="Arial" w:hAnsi="Arial" w:cs="Arial"/>
            <w:noProof/>
            <w:sz w:val="20"/>
            <w:szCs w:val="20"/>
          </w:rPr>
          <w:t>20</w:t>
        </w:r>
        <w:r w:rsidRPr="004B062D">
          <w:rPr>
            <w:rStyle w:val="PageNumber"/>
            <w:rFonts w:ascii="Arial" w:hAnsi="Arial" w:cs="Arial"/>
            <w:sz w:val="20"/>
            <w:szCs w:val="20"/>
          </w:rPr>
          <w:fldChar w:fldCharType="end"/>
        </w:r>
      </w:p>
    </w:sdtContent>
  </w:sdt>
  <w:p w14:paraId="1333E144" w14:textId="77777777" w:rsidR="004B062D" w:rsidRPr="004B062D" w:rsidRDefault="004B062D" w:rsidP="004B062D">
    <w:pPr>
      <w:pStyle w:val="Header"/>
      <w:ind w:right="360"/>
      <w:jc w:val="both"/>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02287"/>
    <w:multiLevelType w:val="hybridMultilevel"/>
    <w:tmpl w:val="C77451EC"/>
    <w:lvl w:ilvl="0" w:tplc="1C09000F">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F22192"/>
    <w:multiLevelType w:val="hybridMultilevel"/>
    <w:tmpl w:val="64208316"/>
    <w:lvl w:ilvl="0" w:tplc="896EA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AA2AE6"/>
    <w:multiLevelType w:val="hybridMultilevel"/>
    <w:tmpl w:val="FA425184"/>
    <w:lvl w:ilvl="0" w:tplc="A920C05C">
      <w:start w:val="1"/>
      <w:numFmt w:val="lowerLetter"/>
      <w:lvlText w:val="(%1)"/>
      <w:lvlJc w:val="left"/>
      <w:pPr>
        <w:ind w:left="760" w:hanging="4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3D766D"/>
    <w:multiLevelType w:val="hybridMultilevel"/>
    <w:tmpl w:val="99302E2E"/>
    <w:lvl w:ilvl="0" w:tplc="896EA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7D5BF5"/>
    <w:multiLevelType w:val="hybridMultilevel"/>
    <w:tmpl w:val="1C205690"/>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4F56CE"/>
    <w:multiLevelType w:val="hybridMultilevel"/>
    <w:tmpl w:val="D782275E"/>
    <w:lvl w:ilvl="0" w:tplc="B9E296A6">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EC75551"/>
    <w:multiLevelType w:val="hybridMultilevel"/>
    <w:tmpl w:val="0F06C2C0"/>
    <w:lvl w:ilvl="0" w:tplc="DCCE6A8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FD7BA7"/>
    <w:multiLevelType w:val="hybridMultilevel"/>
    <w:tmpl w:val="E7DA45FA"/>
    <w:lvl w:ilvl="0" w:tplc="A6EC294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506591D"/>
    <w:multiLevelType w:val="hybridMultilevel"/>
    <w:tmpl w:val="99C459BE"/>
    <w:lvl w:ilvl="0" w:tplc="896EA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DB41F3"/>
    <w:multiLevelType w:val="hybridMultilevel"/>
    <w:tmpl w:val="31CE38C4"/>
    <w:lvl w:ilvl="0" w:tplc="FCCE0E26">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4A0738"/>
    <w:multiLevelType w:val="hybridMultilevel"/>
    <w:tmpl w:val="DC040146"/>
    <w:lvl w:ilvl="0" w:tplc="7FD6D53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5B6763"/>
    <w:multiLevelType w:val="hybridMultilevel"/>
    <w:tmpl w:val="65001D94"/>
    <w:lvl w:ilvl="0" w:tplc="896EA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46112B"/>
    <w:multiLevelType w:val="hybridMultilevel"/>
    <w:tmpl w:val="E6641CD8"/>
    <w:lvl w:ilvl="0" w:tplc="E58E2216">
      <w:start w:val="1"/>
      <w:numFmt w:val="low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24363E"/>
    <w:multiLevelType w:val="hybridMultilevel"/>
    <w:tmpl w:val="A914F5AC"/>
    <w:lvl w:ilvl="0" w:tplc="E70E9FAA">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4E4CEA"/>
    <w:multiLevelType w:val="hybridMultilevel"/>
    <w:tmpl w:val="F81875B8"/>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DC7517"/>
    <w:multiLevelType w:val="hybridMultilevel"/>
    <w:tmpl w:val="8DB02C64"/>
    <w:lvl w:ilvl="0" w:tplc="62C4707A">
      <w:start w:val="1"/>
      <w:numFmt w:val="low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EC4B90"/>
    <w:multiLevelType w:val="hybridMultilevel"/>
    <w:tmpl w:val="4D7AB642"/>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FE5CDE"/>
    <w:multiLevelType w:val="hybridMultilevel"/>
    <w:tmpl w:val="C00C31A4"/>
    <w:lvl w:ilvl="0" w:tplc="96A856D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2707AB"/>
    <w:multiLevelType w:val="hybridMultilevel"/>
    <w:tmpl w:val="CAC0DA7A"/>
    <w:lvl w:ilvl="0" w:tplc="EE0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5EE4D78"/>
    <w:multiLevelType w:val="hybridMultilevel"/>
    <w:tmpl w:val="E2207084"/>
    <w:lvl w:ilvl="0" w:tplc="E516318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696C26"/>
    <w:multiLevelType w:val="hybridMultilevel"/>
    <w:tmpl w:val="38D4914E"/>
    <w:lvl w:ilvl="0" w:tplc="896EA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FE0F49"/>
    <w:multiLevelType w:val="hybridMultilevel"/>
    <w:tmpl w:val="DB280888"/>
    <w:lvl w:ilvl="0" w:tplc="866083F6">
      <w:start w:val="1"/>
      <w:numFmt w:val="low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58634E"/>
    <w:multiLevelType w:val="hybridMultilevel"/>
    <w:tmpl w:val="EA02D9BC"/>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312367"/>
    <w:multiLevelType w:val="hybridMultilevel"/>
    <w:tmpl w:val="0F06C2C0"/>
    <w:lvl w:ilvl="0" w:tplc="DCCE6A86">
      <w:start w:val="1"/>
      <w:numFmt w:val="decimal"/>
      <w:lvlText w:val="%1."/>
      <w:lvlJc w:val="left"/>
      <w:pPr>
        <w:ind w:left="1069"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FE156B"/>
    <w:multiLevelType w:val="hybridMultilevel"/>
    <w:tmpl w:val="ACB41340"/>
    <w:lvl w:ilvl="0" w:tplc="68922E54">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7ED002B"/>
    <w:multiLevelType w:val="hybridMultilevel"/>
    <w:tmpl w:val="8CE25B00"/>
    <w:lvl w:ilvl="0" w:tplc="CA76C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B53FD3"/>
    <w:multiLevelType w:val="hybridMultilevel"/>
    <w:tmpl w:val="67B86B44"/>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3"/>
  </w:num>
  <w:num w:numId="4">
    <w:abstractNumId w:val="4"/>
  </w:num>
  <w:num w:numId="5">
    <w:abstractNumId w:val="22"/>
  </w:num>
  <w:num w:numId="6">
    <w:abstractNumId w:val="19"/>
  </w:num>
  <w:num w:numId="7">
    <w:abstractNumId w:val="14"/>
  </w:num>
  <w:num w:numId="8">
    <w:abstractNumId w:val="18"/>
  </w:num>
  <w:num w:numId="9">
    <w:abstractNumId w:val="26"/>
  </w:num>
  <w:num w:numId="10">
    <w:abstractNumId w:val="1"/>
  </w:num>
  <w:num w:numId="11">
    <w:abstractNumId w:val="20"/>
  </w:num>
  <w:num w:numId="12">
    <w:abstractNumId w:val="2"/>
  </w:num>
  <w:num w:numId="13">
    <w:abstractNumId w:val="5"/>
  </w:num>
  <w:num w:numId="14">
    <w:abstractNumId w:val="24"/>
  </w:num>
  <w:num w:numId="15">
    <w:abstractNumId w:val="7"/>
  </w:num>
  <w:num w:numId="16">
    <w:abstractNumId w:val="8"/>
  </w:num>
  <w:num w:numId="17">
    <w:abstractNumId w:val="11"/>
  </w:num>
  <w:num w:numId="18">
    <w:abstractNumId w:val="3"/>
  </w:num>
  <w:num w:numId="19">
    <w:abstractNumId w:val="25"/>
  </w:num>
  <w:num w:numId="20">
    <w:abstractNumId w:val="12"/>
  </w:num>
  <w:num w:numId="21">
    <w:abstractNumId w:val="0"/>
  </w:num>
  <w:num w:numId="22">
    <w:abstractNumId w:val="21"/>
  </w:num>
  <w:num w:numId="23">
    <w:abstractNumId w:val="9"/>
  </w:num>
  <w:num w:numId="24">
    <w:abstractNumId w:val="17"/>
  </w:num>
  <w:num w:numId="25">
    <w:abstractNumId w:val="10"/>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79"/>
    <w:rsid w:val="0000081D"/>
    <w:rsid w:val="000028BC"/>
    <w:rsid w:val="00017778"/>
    <w:rsid w:val="00021C62"/>
    <w:rsid w:val="0002503D"/>
    <w:rsid w:val="000347B9"/>
    <w:rsid w:val="00034FF9"/>
    <w:rsid w:val="000357F4"/>
    <w:rsid w:val="00036E73"/>
    <w:rsid w:val="00037267"/>
    <w:rsid w:val="00037D61"/>
    <w:rsid w:val="000446D8"/>
    <w:rsid w:val="000466B9"/>
    <w:rsid w:val="000612BC"/>
    <w:rsid w:val="00061C47"/>
    <w:rsid w:val="0006340C"/>
    <w:rsid w:val="0006455F"/>
    <w:rsid w:val="00064B1E"/>
    <w:rsid w:val="00075B82"/>
    <w:rsid w:val="00075CA5"/>
    <w:rsid w:val="000865A6"/>
    <w:rsid w:val="00090F36"/>
    <w:rsid w:val="00092E44"/>
    <w:rsid w:val="00093928"/>
    <w:rsid w:val="000A3688"/>
    <w:rsid w:val="000A3879"/>
    <w:rsid w:val="000B1205"/>
    <w:rsid w:val="000B1E56"/>
    <w:rsid w:val="000C36AB"/>
    <w:rsid w:val="000D4BA5"/>
    <w:rsid w:val="000E7816"/>
    <w:rsid w:val="000F1663"/>
    <w:rsid w:val="000F1C4D"/>
    <w:rsid w:val="000F39F0"/>
    <w:rsid w:val="000F5E2D"/>
    <w:rsid w:val="00103732"/>
    <w:rsid w:val="0010541C"/>
    <w:rsid w:val="00110EEE"/>
    <w:rsid w:val="0011323D"/>
    <w:rsid w:val="001202DB"/>
    <w:rsid w:val="00130CD0"/>
    <w:rsid w:val="001351EC"/>
    <w:rsid w:val="00152326"/>
    <w:rsid w:val="001551D2"/>
    <w:rsid w:val="00155B26"/>
    <w:rsid w:val="001603F8"/>
    <w:rsid w:val="00175F40"/>
    <w:rsid w:val="00180ADC"/>
    <w:rsid w:val="00183829"/>
    <w:rsid w:val="00183EF5"/>
    <w:rsid w:val="001848DE"/>
    <w:rsid w:val="0019379D"/>
    <w:rsid w:val="00195BE0"/>
    <w:rsid w:val="00196EA2"/>
    <w:rsid w:val="001C0F36"/>
    <w:rsid w:val="001C177F"/>
    <w:rsid w:val="001C7C54"/>
    <w:rsid w:val="001E3CFB"/>
    <w:rsid w:val="001E76BA"/>
    <w:rsid w:val="001F1E3A"/>
    <w:rsid w:val="00200F4A"/>
    <w:rsid w:val="002070D5"/>
    <w:rsid w:val="002126D6"/>
    <w:rsid w:val="00212E1B"/>
    <w:rsid w:val="00214D2C"/>
    <w:rsid w:val="00215345"/>
    <w:rsid w:val="00235235"/>
    <w:rsid w:val="00255DEB"/>
    <w:rsid w:val="00260BC4"/>
    <w:rsid w:val="00263A58"/>
    <w:rsid w:val="00263CDB"/>
    <w:rsid w:val="00265607"/>
    <w:rsid w:val="00273844"/>
    <w:rsid w:val="002939D0"/>
    <w:rsid w:val="002A2694"/>
    <w:rsid w:val="002B064F"/>
    <w:rsid w:val="002B201F"/>
    <w:rsid w:val="002B2CD6"/>
    <w:rsid w:val="002B2E67"/>
    <w:rsid w:val="002B462E"/>
    <w:rsid w:val="002C0EDA"/>
    <w:rsid w:val="002C579D"/>
    <w:rsid w:val="002D2FE1"/>
    <w:rsid w:val="002D3EAD"/>
    <w:rsid w:val="002E1187"/>
    <w:rsid w:val="002E4265"/>
    <w:rsid w:val="002E537A"/>
    <w:rsid w:val="002F25E1"/>
    <w:rsid w:val="002F47C5"/>
    <w:rsid w:val="003106E5"/>
    <w:rsid w:val="003114E7"/>
    <w:rsid w:val="00332152"/>
    <w:rsid w:val="00346606"/>
    <w:rsid w:val="00356D10"/>
    <w:rsid w:val="003637BB"/>
    <w:rsid w:val="003647E4"/>
    <w:rsid w:val="00364BB5"/>
    <w:rsid w:val="003659B1"/>
    <w:rsid w:val="003678FB"/>
    <w:rsid w:val="003718B2"/>
    <w:rsid w:val="00387978"/>
    <w:rsid w:val="003929E3"/>
    <w:rsid w:val="0039658E"/>
    <w:rsid w:val="003973F9"/>
    <w:rsid w:val="003A0FF4"/>
    <w:rsid w:val="003A26AF"/>
    <w:rsid w:val="003A5929"/>
    <w:rsid w:val="003A6FDE"/>
    <w:rsid w:val="003B68D1"/>
    <w:rsid w:val="003B6EAE"/>
    <w:rsid w:val="003C37E8"/>
    <w:rsid w:val="003C6368"/>
    <w:rsid w:val="003C6F8B"/>
    <w:rsid w:val="003D0F44"/>
    <w:rsid w:val="003E12AF"/>
    <w:rsid w:val="003E6488"/>
    <w:rsid w:val="004026DF"/>
    <w:rsid w:val="004126D7"/>
    <w:rsid w:val="00412723"/>
    <w:rsid w:val="00413065"/>
    <w:rsid w:val="00423D75"/>
    <w:rsid w:val="00442BB4"/>
    <w:rsid w:val="004439D0"/>
    <w:rsid w:val="0045169D"/>
    <w:rsid w:val="00456CB0"/>
    <w:rsid w:val="0046185A"/>
    <w:rsid w:val="0046215F"/>
    <w:rsid w:val="004701FA"/>
    <w:rsid w:val="0047784C"/>
    <w:rsid w:val="004849E0"/>
    <w:rsid w:val="00485084"/>
    <w:rsid w:val="00486057"/>
    <w:rsid w:val="0048769E"/>
    <w:rsid w:val="00496BB3"/>
    <w:rsid w:val="004A2894"/>
    <w:rsid w:val="004B062D"/>
    <w:rsid w:val="004B1375"/>
    <w:rsid w:val="004B3164"/>
    <w:rsid w:val="004B6059"/>
    <w:rsid w:val="004B7419"/>
    <w:rsid w:val="004C2355"/>
    <w:rsid w:val="004C2984"/>
    <w:rsid w:val="004D2255"/>
    <w:rsid w:val="004D2B22"/>
    <w:rsid w:val="004D58D1"/>
    <w:rsid w:val="004E1E17"/>
    <w:rsid w:val="004E213A"/>
    <w:rsid w:val="004E25DA"/>
    <w:rsid w:val="004E3FB8"/>
    <w:rsid w:val="004E5F07"/>
    <w:rsid w:val="004E656E"/>
    <w:rsid w:val="00501CAC"/>
    <w:rsid w:val="00515EC8"/>
    <w:rsid w:val="00520E10"/>
    <w:rsid w:val="00523E5B"/>
    <w:rsid w:val="00524CCD"/>
    <w:rsid w:val="00543C8A"/>
    <w:rsid w:val="00556A00"/>
    <w:rsid w:val="005647CF"/>
    <w:rsid w:val="00570A45"/>
    <w:rsid w:val="00577CFF"/>
    <w:rsid w:val="00587945"/>
    <w:rsid w:val="00590139"/>
    <w:rsid w:val="00592C76"/>
    <w:rsid w:val="0059357A"/>
    <w:rsid w:val="0059433F"/>
    <w:rsid w:val="00596497"/>
    <w:rsid w:val="00596AC0"/>
    <w:rsid w:val="00596BA6"/>
    <w:rsid w:val="005A3AC9"/>
    <w:rsid w:val="005A410C"/>
    <w:rsid w:val="005A4469"/>
    <w:rsid w:val="005A6F5B"/>
    <w:rsid w:val="005B2067"/>
    <w:rsid w:val="005B63C1"/>
    <w:rsid w:val="005C26D7"/>
    <w:rsid w:val="005D225B"/>
    <w:rsid w:val="005D5E35"/>
    <w:rsid w:val="005E5C52"/>
    <w:rsid w:val="005F2DE2"/>
    <w:rsid w:val="00602E5B"/>
    <w:rsid w:val="00607061"/>
    <w:rsid w:val="00610963"/>
    <w:rsid w:val="006128D8"/>
    <w:rsid w:val="0062214B"/>
    <w:rsid w:val="0062260C"/>
    <w:rsid w:val="00627C7F"/>
    <w:rsid w:val="006303C7"/>
    <w:rsid w:val="006402B3"/>
    <w:rsid w:val="006447A9"/>
    <w:rsid w:val="00655495"/>
    <w:rsid w:val="006656F1"/>
    <w:rsid w:val="00666F02"/>
    <w:rsid w:val="00675440"/>
    <w:rsid w:val="00686684"/>
    <w:rsid w:val="006A0CF2"/>
    <w:rsid w:val="006B16AA"/>
    <w:rsid w:val="006B3138"/>
    <w:rsid w:val="006B401C"/>
    <w:rsid w:val="006C150F"/>
    <w:rsid w:val="006C1B0C"/>
    <w:rsid w:val="006D6714"/>
    <w:rsid w:val="006D6AB7"/>
    <w:rsid w:val="006D7744"/>
    <w:rsid w:val="006F7CF1"/>
    <w:rsid w:val="00702E81"/>
    <w:rsid w:val="00704A9F"/>
    <w:rsid w:val="00706694"/>
    <w:rsid w:val="00714F11"/>
    <w:rsid w:val="007153A7"/>
    <w:rsid w:val="00725279"/>
    <w:rsid w:val="007436B5"/>
    <w:rsid w:val="007521E3"/>
    <w:rsid w:val="00760FB4"/>
    <w:rsid w:val="00761B4E"/>
    <w:rsid w:val="007629B6"/>
    <w:rsid w:val="00762FA0"/>
    <w:rsid w:val="0077071D"/>
    <w:rsid w:val="00775B38"/>
    <w:rsid w:val="00777AF2"/>
    <w:rsid w:val="0079574A"/>
    <w:rsid w:val="007A0259"/>
    <w:rsid w:val="007A4756"/>
    <w:rsid w:val="007B5B44"/>
    <w:rsid w:val="007B5E73"/>
    <w:rsid w:val="007E3CE1"/>
    <w:rsid w:val="007E55E1"/>
    <w:rsid w:val="007F2BD6"/>
    <w:rsid w:val="007F69B4"/>
    <w:rsid w:val="007F6DBD"/>
    <w:rsid w:val="00806C1B"/>
    <w:rsid w:val="0081583B"/>
    <w:rsid w:val="00817E1F"/>
    <w:rsid w:val="0082273B"/>
    <w:rsid w:val="00823CCE"/>
    <w:rsid w:val="008251CE"/>
    <w:rsid w:val="00826693"/>
    <w:rsid w:val="00826852"/>
    <w:rsid w:val="00830673"/>
    <w:rsid w:val="00840CF8"/>
    <w:rsid w:val="008471B6"/>
    <w:rsid w:val="0085360F"/>
    <w:rsid w:val="0085411B"/>
    <w:rsid w:val="00855AB1"/>
    <w:rsid w:val="00861401"/>
    <w:rsid w:val="00870216"/>
    <w:rsid w:val="00870EBF"/>
    <w:rsid w:val="00890F30"/>
    <w:rsid w:val="008937B5"/>
    <w:rsid w:val="00897CE9"/>
    <w:rsid w:val="008B00A8"/>
    <w:rsid w:val="008B352D"/>
    <w:rsid w:val="008B5A55"/>
    <w:rsid w:val="008C1543"/>
    <w:rsid w:val="008D14EB"/>
    <w:rsid w:val="008D6ECF"/>
    <w:rsid w:val="008E7F91"/>
    <w:rsid w:val="008F68B0"/>
    <w:rsid w:val="0090466F"/>
    <w:rsid w:val="00910C3D"/>
    <w:rsid w:val="00920172"/>
    <w:rsid w:val="00923FCD"/>
    <w:rsid w:val="00940D50"/>
    <w:rsid w:val="00943CBF"/>
    <w:rsid w:val="009462C0"/>
    <w:rsid w:val="0094757C"/>
    <w:rsid w:val="00947C8F"/>
    <w:rsid w:val="0095665C"/>
    <w:rsid w:val="0096203D"/>
    <w:rsid w:val="00962185"/>
    <w:rsid w:val="00967E48"/>
    <w:rsid w:val="00971600"/>
    <w:rsid w:val="00974E29"/>
    <w:rsid w:val="00984526"/>
    <w:rsid w:val="009849C6"/>
    <w:rsid w:val="00991530"/>
    <w:rsid w:val="009921AE"/>
    <w:rsid w:val="00994178"/>
    <w:rsid w:val="0099527E"/>
    <w:rsid w:val="009A2441"/>
    <w:rsid w:val="009A40A9"/>
    <w:rsid w:val="009A65C9"/>
    <w:rsid w:val="009B38F0"/>
    <w:rsid w:val="009B69EB"/>
    <w:rsid w:val="009C1135"/>
    <w:rsid w:val="009C1FE4"/>
    <w:rsid w:val="009C34D9"/>
    <w:rsid w:val="009D3FBB"/>
    <w:rsid w:val="009D4DD3"/>
    <w:rsid w:val="009E10BE"/>
    <w:rsid w:val="009E2A98"/>
    <w:rsid w:val="009E7996"/>
    <w:rsid w:val="009F516F"/>
    <w:rsid w:val="00A23AF8"/>
    <w:rsid w:val="00A27601"/>
    <w:rsid w:val="00A310AD"/>
    <w:rsid w:val="00A31B30"/>
    <w:rsid w:val="00A365A3"/>
    <w:rsid w:val="00A37CC0"/>
    <w:rsid w:val="00A42417"/>
    <w:rsid w:val="00A44619"/>
    <w:rsid w:val="00A54A5B"/>
    <w:rsid w:val="00A55183"/>
    <w:rsid w:val="00A61A6E"/>
    <w:rsid w:val="00A61D6F"/>
    <w:rsid w:val="00A62B8E"/>
    <w:rsid w:val="00A6305E"/>
    <w:rsid w:val="00A63FFD"/>
    <w:rsid w:val="00A646BF"/>
    <w:rsid w:val="00A73922"/>
    <w:rsid w:val="00A775CA"/>
    <w:rsid w:val="00A81C32"/>
    <w:rsid w:val="00A905F2"/>
    <w:rsid w:val="00A96866"/>
    <w:rsid w:val="00AA463E"/>
    <w:rsid w:val="00AA6396"/>
    <w:rsid w:val="00AB3611"/>
    <w:rsid w:val="00AB7CAD"/>
    <w:rsid w:val="00AC04D5"/>
    <w:rsid w:val="00AC331B"/>
    <w:rsid w:val="00AE1369"/>
    <w:rsid w:val="00AE40F2"/>
    <w:rsid w:val="00AE57CE"/>
    <w:rsid w:val="00AF3199"/>
    <w:rsid w:val="00AF7D5F"/>
    <w:rsid w:val="00B07FC7"/>
    <w:rsid w:val="00B16C3D"/>
    <w:rsid w:val="00B202D8"/>
    <w:rsid w:val="00B31BBC"/>
    <w:rsid w:val="00B31D73"/>
    <w:rsid w:val="00B33EBE"/>
    <w:rsid w:val="00B3483C"/>
    <w:rsid w:val="00B43159"/>
    <w:rsid w:val="00B46EEF"/>
    <w:rsid w:val="00B47833"/>
    <w:rsid w:val="00B53E5D"/>
    <w:rsid w:val="00B56684"/>
    <w:rsid w:val="00B657EF"/>
    <w:rsid w:val="00B66415"/>
    <w:rsid w:val="00B7232B"/>
    <w:rsid w:val="00B7360B"/>
    <w:rsid w:val="00B74401"/>
    <w:rsid w:val="00B82FC4"/>
    <w:rsid w:val="00B90CE6"/>
    <w:rsid w:val="00B9352A"/>
    <w:rsid w:val="00BA71C9"/>
    <w:rsid w:val="00BC13AB"/>
    <w:rsid w:val="00BC31E2"/>
    <w:rsid w:val="00BD1DEA"/>
    <w:rsid w:val="00BD57A5"/>
    <w:rsid w:val="00BD583E"/>
    <w:rsid w:val="00BE11D9"/>
    <w:rsid w:val="00BE25F4"/>
    <w:rsid w:val="00BF530D"/>
    <w:rsid w:val="00C014BE"/>
    <w:rsid w:val="00C01A7F"/>
    <w:rsid w:val="00C05CEA"/>
    <w:rsid w:val="00C124A0"/>
    <w:rsid w:val="00C12D4B"/>
    <w:rsid w:val="00C136F3"/>
    <w:rsid w:val="00C208FD"/>
    <w:rsid w:val="00C31477"/>
    <w:rsid w:val="00C31874"/>
    <w:rsid w:val="00C41F0A"/>
    <w:rsid w:val="00C462E8"/>
    <w:rsid w:val="00C526AE"/>
    <w:rsid w:val="00C6361B"/>
    <w:rsid w:val="00C6440F"/>
    <w:rsid w:val="00C70113"/>
    <w:rsid w:val="00C76A9E"/>
    <w:rsid w:val="00C876B2"/>
    <w:rsid w:val="00C958B7"/>
    <w:rsid w:val="00CB1930"/>
    <w:rsid w:val="00CB47DB"/>
    <w:rsid w:val="00CB595B"/>
    <w:rsid w:val="00CC1146"/>
    <w:rsid w:val="00CC7372"/>
    <w:rsid w:val="00CD06D4"/>
    <w:rsid w:val="00CD0BEB"/>
    <w:rsid w:val="00CE0EA7"/>
    <w:rsid w:val="00CE35FB"/>
    <w:rsid w:val="00CE5E2C"/>
    <w:rsid w:val="00CF15AB"/>
    <w:rsid w:val="00CF27B9"/>
    <w:rsid w:val="00CF3050"/>
    <w:rsid w:val="00CF6221"/>
    <w:rsid w:val="00D02390"/>
    <w:rsid w:val="00D02C89"/>
    <w:rsid w:val="00D27602"/>
    <w:rsid w:val="00D27BC3"/>
    <w:rsid w:val="00D36D25"/>
    <w:rsid w:val="00D43007"/>
    <w:rsid w:val="00D45800"/>
    <w:rsid w:val="00D520E3"/>
    <w:rsid w:val="00D60BA6"/>
    <w:rsid w:val="00D61EF5"/>
    <w:rsid w:val="00D62C60"/>
    <w:rsid w:val="00D64ED3"/>
    <w:rsid w:val="00D658D7"/>
    <w:rsid w:val="00D664E3"/>
    <w:rsid w:val="00D80F3D"/>
    <w:rsid w:val="00D838A2"/>
    <w:rsid w:val="00D84EAF"/>
    <w:rsid w:val="00D869F2"/>
    <w:rsid w:val="00D91267"/>
    <w:rsid w:val="00D91FB5"/>
    <w:rsid w:val="00D95CC8"/>
    <w:rsid w:val="00D963C4"/>
    <w:rsid w:val="00DA5A98"/>
    <w:rsid w:val="00DB1134"/>
    <w:rsid w:val="00DB3DCD"/>
    <w:rsid w:val="00DB4942"/>
    <w:rsid w:val="00DB5088"/>
    <w:rsid w:val="00DB5C2E"/>
    <w:rsid w:val="00DC4C1C"/>
    <w:rsid w:val="00DC4DEF"/>
    <w:rsid w:val="00DC6C1F"/>
    <w:rsid w:val="00DD1C22"/>
    <w:rsid w:val="00DD2AF3"/>
    <w:rsid w:val="00DD2EE6"/>
    <w:rsid w:val="00DD4054"/>
    <w:rsid w:val="00DD44E8"/>
    <w:rsid w:val="00DE2CD4"/>
    <w:rsid w:val="00DE31A4"/>
    <w:rsid w:val="00DE6635"/>
    <w:rsid w:val="00DF1313"/>
    <w:rsid w:val="00DF5BB4"/>
    <w:rsid w:val="00E0216A"/>
    <w:rsid w:val="00E04F51"/>
    <w:rsid w:val="00E134C9"/>
    <w:rsid w:val="00E16811"/>
    <w:rsid w:val="00E21669"/>
    <w:rsid w:val="00E41EBB"/>
    <w:rsid w:val="00E53B4A"/>
    <w:rsid w:val="00E702DC"/>
    <w:rsid w:val="00E71660"/>
    <w:rsid w:val="00E72E33"/>
    <w:rsid w:val="00E7388E"/>
    <w:rsid w:val="00E86547"/>
    <w:rsid w:val="00EA37C8"/>
    <w:rsid w:val="00EA6F71"/>
    <w:rsid w:val="00EB0655"/>
    <w:rsid w:val="00EC1FB2"/>
    <w:rsid w:val="00EC23B3"/>
    <w:rsid w:val="00EC5FA8"/>
    <w:rsid w:val="00ED0D64"/>
    <w:rsid w:val="00ED1836"/>
    <w:rsid w:val="00ED29EC"/>
    <w:rsid w:val="00ED4844"/>
    <w:rsid w:val="00ED57C5"/>
    <w:rsid w:val="00ED68E5"/>
    <w:rsid w:val="00EE168B"/>
    <w:rsid w:val="00EE1BEB"/>
    <w:rsid w:val="00EF3004"/>
    <w:rsid w:val="00F0209A"/>
    <w:rsid w:val="00F0600E"/>
    <w:rsid w:val="00F2421A"/>
    <w:rsid w:val="00F30242"/>
    <w:rsid w:val="00F3460D"/>
    <w:rsid w:val="00F36342"/>
    <w:rsid w:val="00F3797D"/>
    <w:rsid w:val="00F37EC6"/>
    <w:rsid w:val="00F43557"/>
    <w:rsid w:val="00F54A40"/>
    <w:rsid w:val="00F62AF8"/>
    <w:rsid w:val="00F7121D"/>
    <w:rsid w:val="00F7206B"/>
    <w:rsid w:val="00F73AEE"/>
    <w:rsid w:val="00F84987"/>
    <w:rsid w:val="00F91805"/>
    <w:rsid w:val="00F92DCE"/>
    <w:rsid w:val="00F950F6"/>
    <w:rsid w:val="00F97655"/>
    <w:rsid w:val="00FA0416"/>
    <w:rsid w:val="00FA1397"/>
    <w:rsid w:val="00FB5E3A"/>
    <w:rsid w:val="00FC271F"/>
    <w:rsid w:val="00FC38C1"/>
    <w:rsid w:val="00FD0452"/>
    <w:rsid w:val="00FD1617"/>
    <w:rsid w:val="00FD2333"/>
    <w:rsid w:val="00FE2CAA"/>
    <w:rsid w:val="00FE610A"/>
    <w:rsid w:val="00FE7F68"/>
    <w:rsid w:val="00FF3E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7613"/>
  <w15:chartTrackingRefBased/>
  <w15:docId w15:val="{AA3913D1-348A-9540-A121-AE5E80C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B26"/>
    <w:pPr>
      <w:tabs>
        <w:tab w:val="center" w:pos="4513"/>
        <w:tab w:val="right" w:pos="9026"/>
      </w:tabs>
    </w:pPr>
  </w:style>
  <w:style w:type="character" w:customStyle="1" w:styleId="HeaderChar">
    <w:name w:val="Header Char"/>
    <w:basedOn w:val="DefaultParagraphFont"/>
    <w:link w:val="Header"/>
    <w:uiPriority w:val="99"/>
    <w:rsid w:val="00155B26"/>
    <w:rPr>
      <w:lang w:val="en-GB"/>
    </w:rPr>
  </w:style>
  <w:style w:type="character" w:styleId="PageNumber">
    <w:name w:val="page number"/>
    <w:basedOn w:val="DefaultParagraphFont"/>
    <w:uiPriority w:val="99"/>
    <w:semiHidden/>
    <w:unhideWhenUsed/>
    <w:rsid w:val="00155B26"/>
  </w:style>
  <w:style w:type="paragraph" w:styleId="Footer">
    <w:name w:val="footer"/>
    <w:basedOn w:val="Normal"/>
    <w:link w:val="FooterChar"/>
    <w:uiPriority w:val="99"/>
    <w:unhideWhenUsed/>
    <w:rsid w:val="00155B26"/>
    <w:pPr>
      <w:tabs>
        <w:tab w:val="center" w:pos="4513"/>
        <w:tab w:val="right" w:pos="9026"/>
      </w:tabs>
    </w:pPr>
  </w:style>
  <w:style w:type="character" w:customStyle="1" w:styleId="FooterChar">
    <w:name w:val="Footer Char"/>
    <w:basedOn w:val="DefaultParagraphFont"/>
    <w:link w:val="Footer"/>
    <w:uiPriority w:val="99"/>
    <w:rsid w:val="00155B26"/>
    <w:rPr>
      <w:lang w:val="en-GB"/>
    </w:rPr>
  </w:style>
  <w:style w:type="paragraph" w:styleId="ListParagraph">
    <w:name w:val="List Paragraph"/>
    <w:basedOn w:val="Normal"/>
    <w:uiPriority w:val="34"/>
    <w:qFormat/>
    <w:rsid w:val="004E5F07"/>
    <w:pPr>
      <w:ind w:left="720"/>
      <w:contextualSpacing/>
    </w:pPr>
  </w:style>
  <w:style w:type="paragraph" w:styleId="FootnoteText">
    <w:name w:val="footnote text"/>
    <w:basedOn w:val="Normal"/>
    <w:link w:val="FootnoteTextChar"/>
    <w:uiPriority w:val="99"/>
    <w:semiHidden/>
    <w:unhideWhenUsed/>
    <w:rsid w:val="00D27BC3"/>
    <w:rPr>
      <w:sz w:val="20"/>
      <w:szCs w:val="20"/>
    </w:rPr>
  </w:style>
  <w:style w:type="character" w:customStyle="1" w:styleId="FootnoteTextChar">
    <w:name w:val="Footnote Text Char"/>
    <w:basedOn w:val="DefaultParagraphFont"/>
    <w:link w:val="FootnoteText"/>
    <w:uiPriority w:val="99"/>
    <w:semiHidden/>
    <w:rsid w:val="00D27BC3"/>
    <w:rPr>
      <w:sz w:val="20"/>
      <w:szCs w:val="20"/>
      <w:lang w:val="en-GB"/>
    </w:rPr>
  </w:style>
  <w:style w:type="character" w:styleId="FootnoteReference">
    <w:name w:val="footnote reference"/>
    <w:basedOn w:val="DefaultParagraphFont"/>
    <w:uiPriority w:val="99"/>
    <w:semiHidden/>
    <w:unhideWhenUsed/>
    <w:rsid w:val="00D27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2024-02-13T18:30:00+00:00</Judgment_x0020_Date>
    <Year xmlns="aec0a7e9-5f5c-4ba9-87b2-85cfc8a38b86">2024</Year>
  </documentManagement>
</p:properties>
</file>

<file path=customXml/itemProps1.xml><?xml version="1.0" encoding="utf-8"?>
<ds:datastoreItem xmlns:ds="http://schemas.openxmlformats.org/officeDocument/2006/customXml" ds:itemID="{FEDA5F53-2DAF-46A4-B9CE-2BB3ACAFC003}"/>
</file>

<file path=customXml/itemProps2.xml><?xml version="1.0" encoding="utf-8"?>
<ds:datastoreItem xmlns:ds="http://schemas.openxmlformats.org/officeDocument/2006/customXml" ds:itemID="{5B4521F8-501C-43DA-B393-4E93FE786405}"/>
</file>

<file path=customXml/itemProps3.xml><?xml version="1.0" encoding="utf-8"?>
<ds:datastoreItem xmlns:ds="http://schemas.openxmlformats.org/officeDocument/2006/customXml" ds:itemID="{EF2FDAC6-AE44-48DA-BD83-41E5CC11D6E0}"/>
</file>

<file path=docProps/app.xml><?xml version="1.0" encoding="utf-8"?>
<Properties xmlns="http://schemas.openxmlformats.org/officeDocument/2006/extended-properties" xmlns:vt="http://schemas.openxmlformats.org/officeDocument/2006/docPropsVTypes">
  <Template>Normal</Template>
  <TotalTime>11</TotalTime>
  <Pages>31</Pages>
  <Words>8390</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Helsman Group (Pty) Ltd v Frederik</dc:title>
  <dc:subject/>
  <dc:creator>Beatrix de Jager</dc:creator>
  <cp:keywords/>
  <dc:description/>
  <cp:lastModifiedBy>Elsie Schickerling</cp:lastModifiedBy>
  <cp:revision>4</cp:revision>
  <cp:lastPrinted>2024-02-14T10:49:00Z</cp:lastPrinted>
  <dcterms:created xsi:type="dcterms:W3CDTF">2024-02-16T06:34:00Z</dcterms:created>
  <dcterms:modified xsi:type="dcterms:W3CDTF">2024-02-28T12:17:00Z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