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4C" w:rsidRPr="003447A1" w:rsidRDefault="004B494C" w:rsidP="00BC2003">
      <w:pPr>
        <w:spacing w:after="0" w:line="480" w:lineRule="auto"/>
        <w:jc w:val="center"/>
        <w:rPr>
          <w:rFonts w:ascii="Arial" w:hAnsi="Arial"/>
          <w:b/>
          <w:sz w:val="24"/>
          <w:szCs w:val="24"/>
          <w:lang w:val="en-GB"/>
        </w:rPr>
      </w:pPr>
      <w:bookmarkStart w:id="0" w:name="_GoBack"/>
      <w:bookmarkEnd w:id="0"/>
      <w:r w:rsidRPr="003447A1">
        <w:rPr>
          <w:rFonts w:ascii="Arial" w:hAnsi="Arial"/>
          <w:noProof/>
          <w:sz w:val="24"/>
          <w:szCs w:val="24"/>
          <w:lang w:eastAsia="en-ZA"/>
        </w:rPr>
        <w:drawing>
          <wp:anchor distT="0" distB="0" distL="114300" distR="114300" simplePos="0" relativeHeight="251659264" behindDoc="0" locked="0" layoutInCell="1" allowOverlap="1" wp14:anchorId="62D55A1A" wp14:editId="2DEE8165">
            <wp:simplePos x="0" y="0"/>
            <wp:positionH relativeFrom="margin">
              <wp:align>center</wp:align>
            </wp:positionH>
            <wp:positionV relativeFrom="margin">
              <wp:posOffset>-516890</wp:posOffset>
            </wp:positionV>
            <wp:extent cx="1428750" cy="1485900"/>
            <wp:effectExtent l="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94C" w:rsidRPr="003447A1" w:rsidRDefault="004B494C" w:rsidP="00BC2003">
      <w:pPr>
        <w:spacing w:after="0" w:line="480" w:lineRule="auto"/>
        <w:jc w:val="center"/>
        <w:rPr>
          <w:rFonts w:ascii="Arial" w:hAnsi="Arial"/>
          <w:b/>
          <w:sz w:val="24"/>
          <w:szCs w:val="24"/>
          <w:lang w:val="en-GB"/>
        </w:rPr>
      </w:pPr>
    </w:p>
    <w:p w:rsidR="004B494C" w:rsidRPr="003447A1" w:rsidRDefault="004B494C" w:rsidP="00BC2003">
      <w:pPr>
        <w:spacing w:after="0" w:line="480" w:lineRule="auto"/>
        <w:jc w:val="center"/>
        <w:rPr>
          <w:rFonts w:ascii="Arial" w:hAnsi="Arial"/>
          <w:b/>
          <w:sz w:val="24"/>
          <w:szCs w:val="24"/>
          <w:lang w:val="en-GB"/>
        </w:rPr>
      </w:pPr>
    </w:p>
    <w:p w:rsidR="004B494C" w:rsidRPr="003447A1" w:rsidRDefault="004B494C" w:rsidP="00BC2003">
      <w:pPr>
        <w:spacing w:after="0" w:line="480" w:lineRule="auto"/>
        <w:jc w:val="right"/>
        <w:rPr>
          <w:rFonts w:ascii="Arial" w:hAnsi="Arial"/>
          <w:b/>
          <w:sz w:val="24"/>
          <w:szCs w:val="24"/>
          <w:lang w:val="en-GB"/>
        </w:rPr>
      </w:pPr>
      <w:r w:rsidRPr="003447A1">
        <w:rPr>
          <w:rFonts w:ascii="Arial" w:hAnsi="Arial"/>
          <w:b/>
          <w:sz w:val="24"/>
          <w:szCs w:val="24"/>
          <w:lang w:val="en-GB"/>
        </w:rPr>
        <w:t>REPORTABLE</w:t>
      </w:r>
    </w:p>
    <w:p w:rsidR="004B494C" w:rsidRPr="003447A1" w:rsidRDefault="004B494C" w:rsidP="00BC2003">
      <w:pPr>
        <w:spacing w:after="0" w:line="480" w:lineRule="auto"/>
        <w:jc w:val="right"/>
        <w:rPr>
          <w:rFonts w:ascii="Arial" w:hAnsi="Arial"/>
          <w:sz w:val="24"/>
          <w:szCs w:val="24"/>
          <w:lang w:val="en-GB"/>
        </w:rPr>
      </w:pPr>
      <w:r w:rsidRPr="003447A1">
        <w:rPr>
          <w:rFonts w:ascii="Arial" w:hAnsi="Arial"/>
          <w:sz w:val="24"/>
          <w:szCs w:val="24"/>
          <w:lang w:val="en-GB"/>
        </w:rPr>
        <w:t>CASE NO: SA 22/2016</w:t>
      </w:r>
    </w:p>
    <w:p w:rsidR="004B494C" w:rsidRPr="003447A1" w:rsidRDefault="004B494C" w:rsidP="00BC2003">
      <w:pPr>
        <w:spacing w:after="0" w:line="480" w:lineRule="auto"/>
        <w:rPr>
          <w:rFonts w:ascii="Arial" w:hAnsi="Arial"/>
          <w:b/>
          <w:sz w:val="24"/>
          <w:szCs w:val="24"/>
          <w:lang w:val="en-GB"/>
        </w:rPr>
      </w:pPr>
      <w:r w:rsidRPr="003447A1">
        <w:rPr>
          <w:rFonts w:ascii="Arial" w:hAnsi="Arial"/>
          <w:b/>
          <w:sz w:val="24"/>
          <w:szCs w:val="24"/>
          <w:lang w:val="en-GB"/>
        </w:rPr>
        <w:t>IN THE SUPREME COURT OF NAMIBIA</w:t>
      </w:r>
    </w:p>
    <w:p w:rsidR="004B494C" w:rsidRPr="003447A1" w:rsidRDefault="004B494C" w:rsidP="00BC2003">
      <w:pPr>
        <w:spacing w:after="0" w:line="480" w:lineRule="auto"/>
        <w:rPr>
          <w:rFonts w:ascii="Arial" w:hAnsi="Arial"/>
          <w:sz w:val="24"/>
          <w:szCs w:val="24"/>
          <w:lang w:val="en-GB"/>
        </w:rPr>
      </w:pPr>
    </w:p>
    <w:p w:rsidR="004B494C" w:rsidRPr="003447A1" w:rsidRDefault="004B494C" w:rsidP="00BC2003">
      <w:pPr>
        <w:spacing w:after="0" w:line="480" w:lineRule="auto"/>
        <w:rPr>
          <w:rFonts w:ascii="Arial" w:hAnsi="Arial"/>
          <w:sz w:val="24"/>
          <w:szCs w:val="24"/>
          <w:lang w:val="en-GB"/>
        </w:rPr>
      </w:pPr>
      <w:r w:rsidRPr="003447A1">
        <w:rPr>
          <w:rFonts w:ascii="Arial" w:hAnsi="Arial"/>
          <w:sz w:val="24"/>
          <w:szCs w:val="24"/>
          <w:lang w:val="en-GB"/>
        </w:rPr>
        <w:t>In the matter between</w:t>
      </w:r>
      <w:r w:rsidR="00F31F4D">
        <w:rPr>
          <w:rFonts w:ascii="Arial" w:hAnsi="Arial"/>
          <w:sz w:val="24"/>
          <w:szCs w:val="24"/>
          <w:lang w:val="en-GB"/>
        </w:rPr>
        <w:t>:</w:t>
      </w:r>
    </w:p>
    <w:tbl>
      <w:tblPr>
        <w:tblW w:w="0" w:type="auto"/>
        <w:tblLook w:val="04A0" w:firstRow="1" w:lastRow="0" w:firstColumn="1" w:lastColumn="0" w:noHBand="0" w:noVBand="1"/>
      </w:tblPr>
      <w:tblGrid>
        <w:gridCol w:w="4398"/>
        <w:gridCol w:w="4389"/>
      </w:tblGrid>
      <w:tr w:rsidR="004B494C" w:rsidRPr="003447A1" w:rsidTr="0047498A">
        <w:tc>
          <w:tcPr>
            <w:tcW w:w="4501" w:type="dxa"/>
            <w:shd w:val="clear" w:color="auto" w:fill="auto"/>
          </w:tcPr>
          <w:p w:rsidR="004B494C" w:rsidRPr="003447A1" w:rsidRDefault="004B494C" w:rsidP="00BC2003">
            <w:pPr>
              <w:spacing w:after="0" w:line="480" w:lineRule="auto"/>
              <w:rPr>
                <w:rFonts w:ascii="Arial" w:hAnsi="Arial"/>
                <w:b/>
                <w:sz w:val="24"/>
                <w:szCs w:val="24"/>
                <w:lang w:val="en-GB"/>
              </w:rPr>
            </w:pPr>
          </w:p>
          <w:p w:rsidR="004B494C" w:rsidRPr="003447A1" w:rsidRDefault="004B494C" w:rsidP="00B02067">
            <w:pPr>
              <w:spacing w:after="0" w:line="480" w:lineRule="auto"/>
              <w:ind w:left="-108"/>
              <w:rPr>
                <w:rFonts w:ascii="Arial" w:hAnsi="Arial"/>
                <w:b/>
                <w:sz w:val="24"/>
                <w:szCs w:val="24"/>
                <w:lang w:val="en-GB"/>
              </w:rPr>
            </w:pPr>
            <w:r w:rsidRPr="003447A1">
              <w:rPr>
                <w:rFonts w:ascii="Arial" w:hAnsi="Arial"/>
                <w:b/>
                <w:sz w:val="24"/>
                <w:szCs w:val="24"/>
                <w:lang w:val="en-GB"/>
              </w:rPr>
              <w:t>NEW AFRICA DIMENSIONS</w:t>
            </w:r>
            <w:r w:rsidR="00F31F4D">
              <w:rPr>
                <w:rFonts w:ascii="Arial" w:hAnsi="Arial"/>
                <w:b/>
                <w:sz w:val="24"/>
                <w:szCs w:val="24"/>
                <w:lang w:val="en-GB"/>
              </w:rPr>
              <w:t xml:space="preserve"> CC</w:t>
            </w:r>
          </w:p>
          <w:p w:rsidR="004B494C" w:rsidRPr="003447A1" w:rsidRDefault="004B494C" w:rsidP="00B02067">
            <w:pPr>
              <w:spacing w:after="0" w:line="480" w:lineRule="auto"/>
              <w:ind w:left="-108"/>
              <w:rPr>
                <w:rFonts w:ascii="Arial" w:hAnsi="Arial"/>
                <w:b/>
                <w:sz w:val="24"/>
                <w:szCs w:val="24"/>
                <w:lang w:val="en-GB"/>
              </w:rPr>
            </w:pPr>
            <w:r w:rsidRPr="003447A1">
              <w:rPr>
                <w:rFonts w:ascii="Arial" w:hAnsi="Arial"/>
                <w:b/>
                <w:sz w:val="24"/>
                <w:szCs w:val="24"/>
                <w:lang w:val="en-GB"/>
              </w:rPr>
              <w:t>GERHARD SHILONGO</w:t>
            </w:r>
          </w:p>
          <w:p w:rsidR="004B494C" w:rsidRPr="003447A1" w:rsidRDefault="004B494C" w:rsidP="00B02067">
            <w:pPr>
              <w:spacing w:after="0" w:line="480" w:lineRule="auto"/>
              <w:ind w:left="-108"/>
              <w:rPr>
                <w:rFonts w:ascii="Arial" w:hAnsi="Arial"/>
                <w:b/>
                <w:sz w:val="24"/>
                <w:szCs w:val="24"/>
                <w:lang w:val="en-GB"/>
              </w:rPr>
            </w:pPr>
            <w:r w:rsidRPr="003447A1">
              <w:rPr>
                <w:rFonts w:ascii="Arial" w:hAnsi="Arial"/>
                <w:b/>
                <w:sz w:val="24"/>
                <w:szCs w:val="24"/>
                <w:lang w:val="en-GB"/>
              </w:rPr>
              <w:t>ELIASER SHIKAGE</w:t>
            </w:r>
          </w:p>
        </w:tc>
        <w:tc>
          <w:tcPr>
            <w:tcW w:w="4502" w:type="dxa"/>
            <w:shd w:val="clear" w:color="auto" w:fill="auto"/>
          </w:tcPr>
          <w:p w:rsidR="004B494C" w:rsidRPr="003447A1" w:rsidRDefault="004B494C" w:rsidP="00BC2003">
            <w:pPr>
              <w:spacing w:after="0" w:line="480" w:lineRule="auto"/>
              <w:jc w:val="right"/>
              <w:rPr>
                <w:rFonts w:ascii="Arial" w:hAnsi="Arial"/>
                <w:b/>
                <w:sz w:val="24"/>
                <w:szCs w:val="24"/>
                <w:lang w:val="en-GB"/>
              </w:rPr>
            </w:pPr>
          </w:p>
          <w:p w:rsidR="004B494C" w:rsidRPr="003447A1" w:rsidRDefault="004B494C" w:rsidP="00BC2003">
            <w:pPr>
              <w:spacing w:after="0" w:line="480" w:lineRule="auto"/>
              <w:jc w:val="right"/>
              <w:rPr>
                <w:rFonts w:ascii="Arial" w:hAnsi="Arial"/>
                <w:b/>
                <w:sz w:val="24"/>
                <w:szCs w:val="24"/>
                <w:lang w:val="en-GB"/>
              </w:rPr>
            </w:pPr>
            <w:r w:rsidRPr="003447A1">
              <w:rPr>
                <w:rFonts w:ascii="Arial" w:hAnsi="Arial"/>
                <w:b/>
                <w:sz w:val="24"/>
                <w:szCs w:val="24"/>
                <w:lang w:val="en-GB"/>
              </w:rPr>
              <w:t>First Appellant</w:t>
            </w:r>
          </w:p>
          <w:p w:rsidR="004B494C" w:rsidRPr="003447A1" w:rsidRDefault="004B494C" w:rsidP="00BC2003">
            <w:pPr>
              <w:spacing w:after="0" w:line="480" w:lineRule="auto"/>
              <w:jc w:val="right"/>
              <w:rPr>
                <w:rFonts w:ascii="Arial" w:hAnsi="Arial"/>
                <w:b/>
                <w:sz w:val="24"/>
                <w:szCs w:val="24"/>
                <w:lang w:val="en-GB"/>
              </w:rPr>
            </w:pPr>
            <w:r w:rsidRPr="003447A1">
              <w:rPr>
                <w:rFonts w:ascii="Arial" w:hAnsi="Arial"/>
                <w:b/>
                <w:sz w:val="24"/>
                <w:szCs w:val="24"/>
                <w:lang w:val="en-GB"/>
              </w:rPr>
              <w:t>Second Appellant</w:t>
            </w:r>
          </w:p>
          <w:p w:rsidR="004B494C" w:rsidRPr="003447A1" w:rsidRDefault="004B494C" w:rsidP="00BC2003">
            <w:pPr>
              <w:spacing w:after="0" w:line="480" w:lineRule="auto"/>
              <w:jc w:val="right"/>
              <w:rPr>
                <w:rFonts w:ascii="Arial" w:hAnsi="Arial"/>
                <w:b/>
                <w:sz w:val="24"/>
                <w:szCs w:val="24"/>
                <w:lang w:val="en-GB"/>
              </w:rPr>
            </w:pPr>
            <w:r w:rsidRPr="003447A1">
              <w:rPr>
                <w:rFonts w:ascii="Arial" w:hAnsi="Arial"/>
                <w:b/>
                <w:sz w:val="24"/>
                <w:szCs w:val="24"/>
                <w:lang w:val="en-GB"/>
              </w:rPr>
              <w:t>Third Appellant</w:t>
            </w:r>
          </w:p>
        </w:tc>
      </w:tr>
      <w:tr w:rsidR="004B494C" w:rsidRPr="003447A1" w:rsidTr="0047498A">
        <w:tc>
          <w:tcPr>
            <w:tcW w:w="4501" w:type="dxa"/>
            <w:shd w:val="clear" w:color="auto" w:fill="auto"/>
          </w:tcPr>
          <w:p w:rsidR="004B494C" w:rsidRPr="003447A1" w:rsidRDefault="00B02067" w:rsidP="00B02067">
            <w:pPr>
              <w:spacing w:after="0" w:line="480" w:lineRule="auto"/>
              <w:ind w:left="-108"/>
              <w:rPr>
                <w:rFonts w:ascii="Arial" w:hAnsi="Arial"/>
                <w:sz w:val="24"/>
                <w:szCs w:val="24"/>
                <w:lang w:val="en-GB"/>
              </w:rPr>
            </w:pPr>
            <w:r>
              <w:rPr>
                <w:rFonts w:ascii="Arial" w:hAnsi="Arial"/>
                <w:sz w:val="24"/>
                <w:szCs w:val="24"/>
                <w:lang w:val="en-GB"/>
              </w:rPr>
              <w:t>a</w:t>
            </w:r>
            <w:r w:rsidR="004B494C" w:rsidRPr="003447A1">
              <w:rPr>
                <w:rFonts w:ascii="Arial" w:hAnsi="Arial"/>
                <w:sz w:val="24"/>
                <w:szCs w:val="24"/>
                <w:lang w:val="en-GB"/>
              </w:rPr>
              <w:t>nd</w:t>
            </w:r>
          </w:p>
        </w:tc>
        <w:tc>
          <w:tcPr>
            <w:tcW w:w="4502" w:type="dxa"/>
            <w:shd w:val="clear" w:color="auto" w:fill="auto"/>
          </w:tcPr>
          <w:p w:rsidR="004B494C" w:rsidRPr="003447A1" w:rsidRDefault="004B494C" w:rsidP="00BC2003">
            <w:pPr>
              <w:spacing w:after="0" w:line="480" w:lineRule="auto"/>
              <w:jc w:val="right"/>
              <w:rPr>
                <w:rFonts w:ascii="Arial" w:hAnsi="Arial"/>
                <w:b/>
                <w:sz w:val="24"/>
                <w:szCs w:val="24"/>
                <w:lang w:val="en-GB"/>
              </w:rPr>
            </w:pPr>
          </w:p>
        </w:tc>
      </w:tr>
      <w:tr w:rsidR="004B494C" w:rsidRPr="003447A1" w:rsidTr="0047498A">
        <w:tc>
          <w:tcPr>
            <w:tcW w:w="4501" w:type="dxa"/>
            <w:shd w:val="clear" w:color="auto" w:fill="auto"/>
          </w:tcPr>
          <w:p w:rsidR="004B494C" w:rsidRPr="003447A1" w:rsidRDefault="004B494C" w:rsidP="00BC2003">
            <w:pPr>
              <w:spacing w:after="0" w:line="480" w:lineRule="auto"/>
              <w:ind w:left="-108"/>
              <w:rPr>
                <w:rFonts w:ascii="Arial" w:hAnsi="Arial"/>
                <w:b/>
                <w:sz w:val="24"/>
                <w:szCs w:val="24"/>
                <w:lang w:val="en-GB"/>
              </w:rPr>
            </w:pPr>
            <w:r w:rsidRPr="003447A1">
              <w:rPr>
                <w:rFonts w:ascii="Arial" w:hAnsi="Arial"/>
                <w:b/>
                <w:sz w:val="24"/>
                <w:szCs w:val="24"/>
                <w:lang w:val="en-GB"/>
              </w:rPr>
              <w:t>PROSECUTOR-GENERAL</w:t>
            </w:r>
          </w:p>
        </w:tc>
        <w:tc>
          <w:tcPr>
            <w:tcW w:w="4502" w:type="dxa"/>
            <w:shd w:val="clear" w:color="auto" w:fill="auto"/>
          </w:tcPr>
          <w:p w:rsidR="004B494C" w:rsidRPr="003447A1" w:rsidRDefault="004B494C" w:rsidP="00BC2003">
            <w:pPr>
              <w:spacing w:after="0" w:line="480" w:lineRule="auto"/>
              <w:jc w:val="right"/>
              <w:rPr>
                <w:rFonts w:ascii="Arial" w:hAnsi="Arial"/>
                <w:b/>
                <w:sz w:val="24"/>
                <w:szCs w:val="24"/>
                <w:lang w:val="en-GB"/>
              </w:rPr>
            </w:pPr>
            <w:r w:rsidRPr="003447A1">
              <w:rPr>
                <w:rFonts w:ascii="Arial" w:hAnsi="Arial"/>
                <w:b/>
                <w:sz w:val="24"/>
                <w:szCs w:val="24"/>
                <w:lang w:val="en-GB"/>
              </w:rPr>
              <w:t>Respondent</w:t>
            </w:r>
          </w:p>
        </w:tc>
      </w:tr>
    </w:tbl>
    <w:p w:rsidR="004B494C" w:rsidRPr="003447A1" w:rsidRDefault="004B494C" w:rsidP="00BC2003">
      <w:pPr>
        <w:spacing w:after="0" w:line="480" w:lineRule="auto"/>
        <w:rPr>
          <w:rFonts w:ascii="Arial" w:hAnsi="Arial"/>
          <w:b/>
          <w:sz w:val="24"/>
          <w:szCs w:val="24"/>
          <w:lang w:val="en-GB"/>
        </w:rPr>
      </w:pPr>
    </w:p>
    <w:p w:rsidR="004B494C" w:rsidRPr="003447A1" w:rsidRDefault="004B494C" w:rsidP="00BC2003">
      <w:pPr>
        <w:spacing w:after="0" w:line="480" w:lineRule="auto"/>
        <w:rPr>
          <w:rFonts w:ascii="Arial" w:hAnsi="Arial"/>
          <w:sz w:val="24"/>
          <w:szCs w:val="24"/>
          <w:lang w:val="en-GB"/>
        </w:rPr>
      </w:pPr>
      <w:r w:rsidRPr="003447A1">
        <w:rPr>
          <w:rFonts w:ascii="Arial" w:hAnsi="Arial"/>
          <w:b/>
          <w:sz w:val="24"/>
          <w:szCs w:val="24"/>
          <w:lang w:val="en-GB"/>
        </w:rPr>
        <w:t xml:space="preserve">Coram: </w:t>
      </w:r>
      <w:r w:rsidRPr="003447A1">
        <w:rPr>
          <w:rFonts w:ascii="Arial" w:hAnsi="Arial"/>
          <w:b/>
          <w:sz w:val="24"/>
          <w:szCs w:val="24"/>
          <w:lang w:val="en-GB"/>
        </w:rPr>
        <w:tab/>
      </w:r>
      <w:r w:rsidR="005A23ED">
        <w:rPr>
          <w:rFonts w:ascii="Arial" w:hAnsi="Arial"/>
          <w:b/>
          <w:sz w:val="24"/>
          <w:szCs w:val="24"/>
          <w:lang w:val="en-GB"/>
        </w:rPr>
        <w:tab/>
      </w:r>
      <w:r w:rsidRPr="003447A1">
        <w:rPr>
          <w:rFonts w:ascii="Arial" w:hAnsi="Arial"/>
          <w:sz w:val="24"/>
          <w:szCs w:val="24"/>
          <w:lang w:val="en-GB"/>
        </w:rPr>
        <w:t xml:space="preserve">SHIVUTE </w:t>
      </w:r>
      <w:r w:rsidR="00F31F4D">
        <w:rPr>
          <w:rFonts w:ascii="Arial" w:hAnsi="Arial"/>
          <w:sz w:val="24"/>
          <w:szCs w:val="24"/>
          <w:lang w:val="en-GB"/>
        </w:rPr>
        <w:t>CJ, MAINGA JA and</w:t>
      </w:r>
      <w:r w:rsidRPr="003447A1">
        <w:rPr>
          <w:rFonts w:ascii="Arial" w:hAnsi="Arial"/>
          <w:sz w:val="24"/>
          <w:szCs w:val="24"/>
          <w:lang w:val="en-GB"/>
        </w:rPr>
        <w:t xml:space="preserve"> MOKGORO AJA</w:t>
      </w:r>
    </w:p>
    <w:p w:rsidR="004B494C" w:rsidRPr="003447A1" w:rsidRDefault="004B494C" w:rsidP="00BC2003">
      <w:pPr>
        <w:spacing w:after="0" w:line="480" w:lineRule="auto"/>
        <w:rPr>
          <w:rFonts w:ascii="Arial" w:hAnsi="Arial"/>
          <w:b/>
          <w:sz w:val="24"/>
          <w:szCs w:val="24"/>
          <w:lang w:val="en-GB"/>
        </w:rPr>
      </w:pPr>
      <w:r w:rsidRPr="003447A1">
        <w:rPr>
          <w:rFonts w:ascii="Arial" w:hAnsi="Arial"/>
          <w:b/>
          <w:sz w:val="24"/>
          <w:szCs w:val="24"/>
          <w:lang w:val="en-GB"/>
        </w:rPr>
        <w:t xml:space="preserve">Heard:  </w:t>
      </w:r>
      <w:r w:rsidRPr="003447A1">
        <w:rPr>
          <w:rFonts w:ascii="Arial" w:hAnsi="Arial"/>
          <w:b/>
          <w:sz w:val="24"/>
          <w:szCs w:val="24"/>
          <w:lang w:val="en-GB"/>
        </w:rPr>
        <w:tab/>
      </w:r>
      <w:r w:rsidR="005A23ED">
        <w:rPr>
          <w:rFonts w:ascii="Arial" w:hAnsi="Arial"/>
          <w:b/>
          <w:sz w:val="24"/>
          <w:szCs w:val="24"/>
          <w:lang w:val="en-GB"/>
        </w:rPr>
        <w:tab/>
      </w:r>
      <w:r w:rsidRPr="003447A1">
        <w:rPr>
          <w:rFonts w:ascii="Arial" w:hAnsi="Arial"/>
          <w:b/>
          <w:sz w:val="24"/>
          <w:szCs w:val="24"/>
          <w:lang w:val="en-GB"/>
        </w:rPr>
        <w:t>10 July 2017</w:t>
      </w:r>
    </w:p>
    <w:p w:rsidR="004B494C" w:rsidRPr="003447A1" w:rsidRDefault="004B494C" w:rsidP="00BC2003">
      <w:pPr>
        <w:spacing w:after="0" w:line="480" w:lineRule="auto"/>
        <w:rPr>
          <w:rFonts w:ascii="Arial" w:hAnsi="Arial"/>
          <w:b/>
          <w:sz w:val="24"/>
          <w:szCs w:val="24"/>
          <w:lang w:val="en-GB"/>
        </w:rPr>
      </w:pPr>
      <w:r w:rsidRPr="003447A1">
        <w:rPr>
          <w:rFonts w:ascii="Arial" w:hAnsi="Arial"/>
          <w:b/>
          <w:sz w:val="24"/>
          <w:szCs w:val="24"/>
          <w:lang w:val="en-GB"/>
        </w:rPr>
        <w:t xml:space="preserve">Delivered: </w:t>
      </w:r>
      <w:r w:rsidRPr="003447A1">
        <w:rPr>
          <w:rFonts w:ascii="Arial" w:hAnsi="Arial"/>
          <w:b/>
          <w:sz w:val="24"/>
          <w:szCs w:val="24"/>
          <w:lang w:val="en-GB"/>
        </w:rPr>
        <w:tab/>
      </w:r>
      <w:r w:rsidR="005A23ED">
        <w:rPr>
          <w:rFonts w:ascii="Arial" w:hAnsi="Arial"/>
          <w:b/>
          <w:sz w:val="24"/>
          <w:szCs w:val="24"/>
          <w:lang w:val="en-GB"/>
        </w:rPr>
        <w:tab/>
        <w:t xml:space="preserve">8 March </w:t>
      </w:r>
      <w:r>
        <w:rPr>
          <w:rFonts w:ascii="Arial" w:hAnsi="Arial"/>
          <w:b/>
          <w:sz w:val="24"/>
          <w:szCs w:val="24"/>
          <w:lang w:val="en-GB"/>
        </w:rPr>
        <w:t>2018</w:t>
      </w:r>
    </w:p>
    <w:p w:rsidR="004B494C" w:rsidRPr="003447A1" w:rsidRDefault="004B494C" w:rsidP="00BC2003">
      <w:pPr>
        <w:spacing w:after="0" w:line="480" w:lineRule="auto"/>
        <w:rPr>
          <w:rFonts w:ascii="Arial" w:hAnsi="Arial"/>
          <w:b/>
          <w:sz w:val="24"/>
          <w:szCs w:val="24"/>
          <w:lang w:val="en-GB"/>
        </w:rPr>
      </w:pPr>
    </w:p>
    <w:p w:rsidR="00580324" w:rsidRDefault="004B494C" w:rsidP="00474095">
      <w:pPr>
        <w:spacing w:line="360" w:lineRule="auto"/>
        <w:jc w:val="both"/>
        <w:rPr>
          <w:rFonts w:ascii="Arial" w:eastAsia="Arial" w:hAnsi="Arial"/>
          <w:color w:val="000000"/>
          <w:sz w:val="24"/>
        </w:rPr>
      </w:pPr>
      <w:r w:rsidRPr="003447A1">
        <w:rPr>
          <w:rFonts w:ascii="Arial" w:hAnsi="Arial"/>
          <w:b/>
          <w:sz w:val="24"/>
          <w:szCs w:val="24"/>
          <w:lang w:val="en-GB"/>
        </w:rPr>
        <w:t xml:space="preserve">Summary: </w:t>
      </w:r>
      <w:r w:rsidR="000B3709" w:rsidRPr="000B3709">
        <w:rPr>
          <w:rFonts w:ascii="Arial" w:hAnsi="Arial"/>
          <w:sz w:val="24"/>
          <w:szCs w:val="24"/>
          <w:lang w:val="en-GB"/>
        </w:rPr>
        <w:t xml:space="preserve">This is an appeal against a judgment </w:t>
      </w:r>
      <w:r w:rsidR="000B3709">
        <w:rPr>
          <w:rFonts w:ascii="Arial" w:hAnsi="Arial"/>
          <w:sz w:val="24"/>
          <w:szCs w:val="24"/>
          <w:lang w:val="en-GB"/>
        </w:rPr>
        <w:t xml:space="preserve">and </w:t>
      </w:r>
      <w:r w:rsidR="000B3709" w:rsidRPr="00D06975">
        <w:rPr>
          <w:rFonts w:ascii="Arial" w:hAnsi="Arial"/>
          <w:sz w:val="24"/>
          <w:szCs w:val="24"/>
          <w:lang w:val="en-GB"/>
        </w:rPr>
        <w:t>order of the High Court</w:t>
      </w:r>
      <w:r w:rsidR="000B3709" w:rsidRPr="000B3709">
        <w:rPr>
          <w:rFonts w:ascii="Arial" w:hAnsi="Arial"/>
          <w:sz w:val="24"/>
          <w:szCs w:val="24"/>
          <w:lang w:val="en-GB"/>
        </w:rPr>
        <w:t xml:space="preserve">, </w:t>
      </w:r>
      <w:r w:rsidR="000B3709">
        <w:rPr>
          <w:rFonts w:ascii="Arial" w:hAnsi="Arial"/>
          <w:sz w:val="24"/>
          <w:szCs w:val="24"/>
          <w:lang w:val="en-GB"/>
        </w:rPr>
        <w:t>d</w:t>
      </w:r>
      <w:r w:rsidR="000B3709" w:rsidRPr="000B3709">
        <w:rPr>
          <w:rFonts w:ascii="Arial" w:hAnsi="Arial"/>
          <w:sz w:val="24"/>
          <w:szCs w:val="24"/>
          <w:lang w:val="en-GB"/>
        </w:rPr>
        <w:t xml:space="preserve">eclaring </w:t>
      </w:r>
      <w:r w:rsidR="000B3709">
        <w:rPr>
          <w:rFonts w:ascii="Arial" w:hAnsi="Arial"/>
          <w:sz w:val="24"/>
          <w:szCs w:val="24"/>
          <w:lang w:val="en-GB"/>
        </w:rPr>
        <w:t>certain propert</w:t>
      </w:r>
      <w:r w:rsidR="00474095">
        <w:rPr>
          <w:rFonts w:ascii="Arial" w:hAnsi="Arial"/>
          <w:sz w:val="24"/>
          <w:szCs w:val="24"/>
          <w:lang w:val="en-GB"/>
        </w:rPr>
        <w:t>y</w:t>
      </w:r>
      <w:r w:rsidR="000B3709">
        <w:rPr>
          <w:rFonts w:ascii="Arial" w:hAnsi="Arial"/>
          <w:sz w:val="24"/>
          <w:szCs w:val="24"/>
          <w:lang w:val="en-GB"/>
        </w:rPr>
        <w:t xml:space="preserve"> forfeited </w:t>
      </w:r>
      <w:r w:rsidR="000B3709" w:rsidRPr="000B3709">
        <w:rPr>
          <w:rFonts w:ascii="Arial" w:hAnsi="Arial"/>
          <w:sz w:val="24"/>
          <w:szCs w:val="24"/>
          <w:lang w:val="en-GB"/>
        </w:rPr>
        <w:t xml:space="preserve">to the State in terms of the </w:t>
      </w:r>
      <w:r w:rsidR="000B3709" w:rsidRPr="00D06975">
        <w:rPr>
          <w:rFonts w:ascii="Arial" w:hAnsi="Arial"/>
          <w:sz w:val="24"/>
          <w:szCs w:val="24"/>
          <w:lang w:val="en-GB"/>
        </w:rPr>
        <w:t>Prevention of Organised Crime Act 29 of 2004</w:t>
      </w:r>
      <w:r w:rsidR="000B3709">
        <w:rPr>
          <w:rFonts w:ascii="Arial" w:hAnsi="Arial"/>
          <w:sz w:val="24"/>
          <w:szCs w:val="24"/>
          <w:lang w:val="en-GB"/>
        </w:rPr>
        <w:t xml:space="preserve"> (POCA). </w:t>
      </w:r>
      <w:r w:rsidR="00580324" w:rsidRPr="000B3709">
        <w:rPr>
          <w:rFonts w:ascii="Arial" w:hAnsi="Arial"/>
          <w:sz w:val="24"/>
          <w:szCs w:val="24"/>
          <w:lang w:val="en-GB"/>
        </w:rPr>
        <w:t xml:space="preserve">The forfeiture order was granted on the basis that </w:t>
      </w:r>
      <w:r w:rsidR="00580324">
        <w:rPr>
          <w:rFonts w:ascii="Arial" w:eastAsia="Arial" w:hAnsi="Arial"/>
          <w:sz w:val="24"/>
        </w:rPr>
        <w:t>the preserved property is the proceeds of unlawful activities</w:t>
      </w:r>
      <w:r w:rsidR="00580324" w:rsidRPr="000B3709">
        <w:rPr>
          <w:rFonts w:ascii="Arial" w:hAnsi="Arial"/>
          <w:sz w:val="24"/>
          <w:szCs w:val="24"/>
          <w:lang w:val="en-GB"/>
        </w:rPr>
        <w:t xml:space="preserve"> </w:t>
      </w:r>
      <w:r w:rsidR="00580324">
        <w:rPr>
          <w:rFonts w:ascii="Arial" w:hAnsi="Arial"/>
          <w:sz w:val="24"/>
          <w:szCs w:val="24"/>
          <w:lang w:val="en-GB"/>
        </w:rPr>
        <w:t xml:space="preserve">in terms of POCA. </w:t>
      </w:r>
      <w:r w:rsidR="000B3709">
        <w:rPr>
          <w:rFonts w:ascii="Arial" w:hAnsi="Arial"/>
          <w:sz w:val="24"/>
          <w:szCs w:val="24"/>
          <w:lang w:val="en-GB"/>
        </w:rPr>
        <w:t>The proper</w:t>
      </w:r>
      <w:r w:rsidR="00474095">
        <w:rPr>
          <w:rFonts w:ascii="Arial" w:hAnsi="Arial"/>
          <w:sz w:val="24"/>
          <w:szCs w:val="24"/>
          <w:lang w:val="en-GB"/>
        </w:rPr>
        <w:t xml:space="preserve">ty </w:t>
      </w:r>
      <w:r w:rsidR="00580324">
        <w:rPr>
          <w:rFonts w:ascii="Arial" w:hAnsi="Arial"/>
          <w:sz w:val="24"/>
          <w:szCs w:val="24"/>
          <w:lang w:val="en-GB"/>
        </w:rPr>
        <w:t xml:space="preserve">in question </w:t>
      </w:r>
      <w:r w:rsidR="00474095">
        <w:rPr>
          <w:rFonts w:ascii="Arial" w:eastAsia="Arial" w:hAnsi="Arial"/>
          <w:color w:val="000000"/>
          <w:sz w:val="24"/>
        </w:rPr>
        <w:t xml:space="preserve">consists of moveable assets belonging to the </w:t>
      </w:r>
      <w:r w:rsidR="00245D7F">
        <w:rPr>
          <w:rFonts w:ascii="Arial" w:eastAsia="Arial" w:hAnsi="Arial"/>
          <w:color w:val="000000"/>
          <w:sz w:val="24"/>
        </w:rPr>
        <w:t xml:space="preserve">first </w:t>
      </w:r>
      <w:r w:rsidR="00474095">
        <w:rPr>
          <w:rFonts w:ascii="Arial" w:eastAsia="Arial" w:hAnsi="Arial"/>
          <w:color w:val="000000"/>
          <w:sz w:val="24"/>
        </w:rPr>
        <w:t xml:space="preserve">appellant, and certain </w:t>
      </w:r>
      <w:r w:rsidR="005D7698">
        <w:rPr>
          <w:rFonts w:ascii="Arial" w:eastAsia="Arial" w:hAnsi="Arial"/>
          <w:color w:val="000000"/>
          <w:sz w:val="24"/>
        </w:rPr>
        <w:t>business establishment</w:t>
      </w:r>
      <w:r w:rsidR="003C4BC9">
        <w:rPr>
          <w:rFonts w:ascii="Arial" w:eastAsia="Arial" w:hAnsi="Arial"/>
          <w:color w:val="000000"/>
          <w:sz w:val="24"/>
        </w:rPr>
        <w:t>s</w:t>
      </w:r>
      <w:r w:rsidR="005D7698">
        <w:rPr>
          <w:rFonts w:ascii="Arial" w:eastAsia="Arial" w:hAnsi="Arial"/>
          <w:color w:val="000000"/>
          <w:sz w:val="24"/>
        </w:rPr>
        <w:t xml:space="preserve"> </w:t>
      </w:r>
      <w:r w:rsidR="00474095">
        <w:rPr>
          <w:rFonts w:ascii="Arial" w:eastAsia="Arial" w:hAnsi="Arial"/>
          <w:color w:val="000000"/>
          <w:sz w:val="24"/>
        </w:rPr>
        <w:t xml:space="preserve">controlled by the second and third </w:t>
      </w:r>
      <w:r w:rsidR="003C4BC9">
        <w:rPr>
          <w:rFonts w:ascii="Arial" w:eastAsia="Arial" w:hAnsi="Arial"/>
          <w:color w:val="000000"/>
          <w:sz w:val="24"/>
        </w:rPr>
        <w:t>appellants</w:t>
      </w:r>
      <w:r w:rsidR="00474095">
        <w:rPr>
          <w:rFonts w:ascii="Arial" w:eastAsia="Arial" w:hAnsi="Arial"/>
          <w:color w:val="000000"/>
          <w:sz w:val="24"/>
        </w:rPr>
        <w:t>.</w:t>
      </w:r>
      <w:r w:rsidR="003C4BC9">
        <w:rPr>
          <w:rFonts w:ascii="Arial" w:eastAsia="Arial" w:hAnsi="Arial"/>
          <w:color w:val="000000"/>
          <w:sz w:val="24"/>
        </w:rPr>
        <w:t xml:space="preserve"> </w:t>
      </w:r>
    </w:p>
    <w:p w:rsidR="003C4BC9" w:rsidRDefault="00DE24CE" w:rsidP="00474095">
      <w:pPr>
        <w:spacing w:line="360" w:lineRule="auto"/>
        <w:jc w:val="both"/>
        <w:rPr>
          <w:rFonts w:ascii="Arial" w:hAnsi="Arial"/>
          <w:sz w:val="24"/>
          <w:szCs w:val="24"/>
        </w:rPr>
      </w:pPr>
      <w:r>
        <w:rPr>
          <w:rFonts w:ascii="Arial" w:hAnsi="Arial"/>
          <w:sz w:val="24"/>
          <w:szCs w:val="24"/>
          <w:lang w:val="en-GB"/>
        </w:rPr>
        <w:lastRenderedPageBreak/>
        <w:t xml:space="preserve">On appeal, </w:t>
      </w:r>
      <w:r w:rsidR="0064797E">
        <w:rPr>
          <w:rFonts w:ascii="Arial" w:hAnsi="Arial"/>
          <w:sz w:val="24"/>
          <w:szCs w:val="24"/>
          <w:lang w:val="en-GB"/>
        </w:rPr>
        <w:t xml:space="preserve">the appellants </w:t>
      </w:r>
      <w:r w:rsidR="0007687E">
        <w:rPr>
          <w:rFonts w:ascii="Arial" w:hAnsi="Arial"/>
          <w:sz w:val="24"/>
          <w:szCs w:val="24"/>
          <w:lang w:val="en-GB"/>
        </w:rPr>
        <w:t>contended t</w:t>
      </w:r>
      <w:r>
        <w:rPr>
          <w:rFonts w:ascii="Arial" w:hAnsi="Arial"/>
          <w:sz w:val="24"/>
          <w:szCs w:val="24"/>
          <w:lang w:val="en-GB"/>
        </w:rPr>
        <w:t xml:space="preserve">hat the court </w:t>
      </w:r>
      <w:r w:rsidRPr="00DE24CE">
        <w:rPr>
          <w:rFonts w:ascii="Arial" w:hAnsi="Arial"/>
          <w:i/>
          <w:sz w:val="24"/>
          <w:szCs w:val="24"/>
          <w:lang w:val="en-GB"/>
        </w:rPr>
        <w:t>a quo</w:t>
      </w:r>
      <w:r>
        <w:rPr>
          <w:rFonts w:ascii="Arial" w:hAnsi="Arial"/>
          <w:sz w:val="24"/>
          <w:szCs w:val="24"/>
          <w:lang w:val="en-GB"/>
        </w:rPr>
        <w:t xml:space="preserve"> misdirected itself in </w:t>
      </w:r>
      <w:r w:rsidRPr="00DE24CE">
        <w:rPr>
          <w:rFonts w:ascii="Arial" w:hAnsi="Arial"/>
          <w:sz w:val="24"/>
          <w:szCs w:val="24"/>
          <w:lang w:val="en-GB"/>
        </w:rPr>
        <w:t>concluding that the property</w:t>
      </w:r>
      <w:r>
        <w:rPr>
          <w:rFonts w:ascii="Arial" w:hAnsi="Arial"/>
          <w:sz w:val="24"/>
          <w:szCs w:val="24"/>
          <w:lang w:val="en-GB"/>
        </w:rPr>
        <w:t xml:space="preserve"> </w:t>
      </w:r>
      <w:r w:rsidR="0007687E">
        <w:rPr>
          <w:rFonts w:ascii="Arial" w:hAnsi="Arial"/>
          <w:sz w:val="24"/>
          <w:szCs w:val="24"/>
          <w:lang w:val="en-GB"/>
        </w:rPr>
        <w:t>concern</w:t>
      </w:r>
      <w:r w:rsidR="0064797E">
        <w:rPr>
          <w:rFonts w:ascii="Arial" w:hAnsi="Arial"/>
          <w:sz w:val="24"/>
          <w:szCs w:val="24"/>
          <w:lang w:val="en-GB"/>
        </w:rPr>
        <w:t>ed</w:t>
      </w:r>
      <w:r w:rsidR="0007687E">
        <w:rPr>
          <w:rFonts w:ascii="Arial" w:hAnsi="Arial"/>
          <w:sz w:val="24"/>
          <w:szCs w:val="24"/>
          <w:lang w:val="en-GB"/>
        </w:rPr>
        <w:t xml:space="preserve"> </w:t>
      </w:r>
      <w:r w:rsidRPr="00DE24CE">
        <w:rPr>
          <w:rFonts w:ascii="Arial" w:hAnsi="Arial"/>
          <w:sz w:val="24"/>
          <w:szCs w:val="24"/>
          <w:lang w:val="en-GB"/>
        </w:rPr>
        <w:t xml:space="preserve">had been shown to be </w:t>
      </w:r>
      <w:r>
        <w:rPr>
          <w:rFonts w:ascii="Arial" w:hAnsi="Arial"/>
          <w:sz w:val="24"/>
          <w:szCs w:val="24"/>
          <w:lang w:val="en-GB"/>
        </w:rPr>
        <w:t xml:space="preserve">proceeds of unlawful activities. The </w:t>
      </w:r>
      <w:r w:rsidRPr="00463886">
        <w:rPr>
          <w:rFonts w:ascii="Arial" w:hAnsi="Arial"/>
          <w:sz w:val="24"/>
          <w:szCs w:val="24"/>
          <w:lang w:val="en-GB"/>
        </w:rPr>
        <w:t>appellants</w:t>
      </w:r>
      <w:r>
        <w:rPr>
          <w:rFonts w:ascii="Arial" w:hAnsi="Arial"/>
          <w:sz w:val="24"/>
          <w:szCs w:val="24"/>
          <w:lang w:val="en-GB"/>
        </w:rPr>
        <w:t xml:space="preserve"> </w:t>
      </w:r>
      <w:r w:rsidR="0064797E">
        <w:rPr>
          <w:rFonts w:ascii="Arial" w:hAnsi="Arial"/>
          <w:sz w:val="24"/>
          <w:szCs w:val="24"/>
          <w:lang w:val="en-GB"/>
        </w:rPr>
        <w:t xml:space="preserve">also argued </w:t>
      </w:r>
      <w:r w:rsidRPr="00463886">
        <w:rPr>
          <w:rFonts w:ascii="Arial" w:hAnsi="Arial"/>
          <w:sz w:val="24"/>
          <w:szCs w:val="24"/>
          <w:lang w:val="en-GB"/>
        </w:rPr>
        <w:t xml:space="preserve">that the </w:t>
      </w:r>
      <w:r w:rsidR="005D4AED">
        <w:rPr>
          <w:rFonts w:ascii="Arial" w:hAnsi="Arial"/>
          <w:sz w:val="24"/>
          <w:szCs w:val="24"/>
          <w:lang w:val="en-GB"/>
        </w:rPr>
        <w:t xml:space="preserve">approach </w:t>
      </w:r>
      <w:r w:rsidR="0064797E">
        <w:rPr>
          <w:rFonts w:ascii="Arial" w:hAnsi="Arial"/>
          <w:sz w:val="24"/>
          <w:szCs w:val="24"/>
          <w:lang w:val="en-GB"/>
        </w:rPr>
        <w:t xml:space="preserve">to be </w:t>
      </w:r>
      <w:r w:rsidR="005D4AED">
        <w:rPr>
          <w:rFonts w:ascii="Arial" w:hAnsi="Arial"/>
          <w:sz w:val="24"/>
          <w:szCs w:val="24"/>
          <w:lang w:val="en-GB"/>
        </w:rPr>
        <w:t xml:space="preserve">adopted in resolving disputes of fact in this matter </w:t>
      </w:r>
      <w:r w:rsidR="005D4AED" w:rsidRPr="001516CB">
        <w:rPr>
          <w:rFonts w:ascii="Arial" w:hAnsi="Arial"/>
          <w:sz w:val="24"/>
          <w:szCs w:val="24"/>
          <w:lang w:val="en-GB"/>
        </w:rPr>
        <w:t xml:space="preserve">is that </w:t>
      </w:r>
      <w:r w:rsidR="00580324">
        <w:rPr>
          <w:rFonts w:ascii="Arial" w:hAnsi="Arial"/>
          <w:sz w:val="24"/>
          <w:szCs w:val="24"/>
          <w:lang w:val="en-GB"/>
        </w:rPr>
        <w:t xml:space="preserve">applied </w:t>
      </w:r>
      <w:r w:rsidR="00AA73E6">
        <w:rPr>
          <w:rFonts w:ascii="Arial" w:hAnsi="Arial"/>
          <w:sz w:val="24"/>
          <w:szCs w:val="24"/>
          <w:lang w:val="en-GB"/>
        </w:rPr>
        <w:t xml:space="preserve">in </w:t>
      </w:r>
      <w:r w:rsidR="005D4AED" w:rsidRPr="001516CB">
        <w:rPr>
          <w:rFonts w:ascii="Arial" w:hAnsi="Arial"/>
          <w:sz w:val="24"/>
          <w:szCs w:val="24"/>
          <w:lang w:val="en-GB"/>
        </w:rPr>
        <w:t>action proceedings</w:t>
      </w:r>
      <w:r w:rsidRPr="001516CB">
        <w:rPr>
          <w:rFonts w:ascii="Arial" w:hAnsi="Arial"/>
          <w:sz w:val="24"/>
          <w:szCs w:val="24"/>
          <w:lang w:val="en-GB"/>
        </w:rPr>
        <w:t>.</w:t>
      </w:r>
      <w:r w:rsidR="005D4AED" w:rsidRPr="001516CB">
        <w:rPr>
          <w:rFonts w:ascii="Arial" w:hAnsi="Arial"/>
          <w:sz w:val="24"/>
          <w:szCs w:val="24"/>
          <w:lang w:val="en-GB"/>
        </w:rPr>
        <w:t xml:space="preserve"> </w:t>
      </w:r>
      <w:r w:rsidR="0064797E">
        <w:rPr>
          <w:rFonts w:ascii="Arial" w:hAnsi="Arial"/>
          <w:sz w:val="24"/>
          <w:szCs w:val="24"/>
          <w:lang w:val="en-GB"/>
        </w:rPr>
        <w:t>D</w:t>
      </w:r>
      <w:r w:rsidR="005D4AED" w:rsidRPr="001516CB">
        <w:rPr>
          <w:rFonts w:ascii="Arial" w:hAnsi="Arial"/>
          <w:sz w:val="24"/>
          <w:szCs w:val="24"/>
          <w:lang w:val="en-GB"/>
        </w:rPr>
        <w:t xml:space="preserve">isputing the respondent’s contention that the property in question is </w:t>
      </w:r>
      <w:r w:rsidR="001516CB">
        <w:rPr>
          <w:rFonts w:ascii="Arial" w:hAnsi="Arial"/>
          <w:sz w:val="24"/>
          <w:szCs w:val="24"/>
          <w:lang w:val="en-GB"/>
        </w:rPr>
        <w:t xml:space="preserve">the </w:t>
      </w:r>
      <w:r w:rsidR="005D4AED" w:rsidRPr="001516CB">
        <w:rPr>
          <w:rFonts w:ascii="Arial" w:hAnsi="Arial"/>
          <w:sz w:val="24"/>
          <w:szCs w:val="24"/>
          <w:lang w:val="en-GB"/>
        </w:rPr>
        <w:t>proceeds of</w:t>
      </w:r>
      <w:r w:rsidR="001516CB" w:rsidRPr="001516CB">
        <w:rPr>
          <w:rFonts w:ascii="Arial" w:hAnsi="Arial"/>
          <w:sz w:val="24"/>
          <w:szCs w:val="24"/>
          <w:lang w:val="en-GB"/>
        </w:rPr>
        <w:t xml:space="preserve"> unlawful activities, </w:t>
      </w:r>
      <w:r w:rsidR="0064797E">
        <w:rPr>
          <w:rFonts w:ascii="Arial" w:hAnsi="Arial"/>
          <w:sz w:val="24"/>
          <w:szCs w:val="24"/>
          <w:lang w:val="en-GB"/>
        </w:rPr>
        <w:t xml:space="preserve">the appellants contended </w:t>
      </w:r>
      <w:r w:rsidR="001516CB" w:rsidRPr="001516CB">
        <w:rPr>
          <w:rFonts w:ascii="Arial" w:hAnsi="Arial"/>
          <w:sz w:val="24"/>
          <w:szCs w:val="24"/>
          <w:lang w:val="en-GB"/>
        </w:rPr>
        <w:t>that the items supplied to the</w:t>
      </w:r>
      <w:r w:rsidR="001516CB" w:rsidRPr="001516CB">
        <w:rPr>
          <w:rFonts w:ascii="Arial" w:eastAsia="Arial" w:hAnsi="Arial"/>
          <w:sz w:val="24"/>
          <w:szCs w:val="24"/>
        </w:rPr>
        <w:t xml:space="preserve"> Ministry of Agriculture, Water and Forestry </w:t>
      </w:r>
      <w:r w:rsidR="0064797E">
        <w:rPr>
          <w:rFonts w:ascii="Arial" w:eastAsia="Arial" w:hAnsi="Arial"/>
          <w:sz w:val="24"/>
          <w:szCs w:val="24"/>
        </w:rPr>
        <w:t>(the Ministry) we</w:t>
      </w:r>
      <w:r w:rsidR="001516CB" w:rsidRPr="001516CB">
        <w:rPr>
          <w:rFonts w:ascii="Arial" w:eastAsia="Arial" w:hAnsi="Arial"/>
          <w:sz w:val="24"/>
          <w:szCs w:val="24"/>
        </w:rPr>
        <w:t xml:space="preserve">re not covered </w:t>
      </w:r>
      <w:r w:rsidR="00580324">
        <w:rPr>
          <w:rFonts w:ascii="Arial" w:eastAsia="Arial" w:hAnsi="Arial"/>
          <w:sz w:val="24"/>
          <w:szCs w:val="24"/>
        </w:rPr>
        <w:t xml:space="preserve">in </w:t>
      </w:r>
      <w:r w:rsidR="001516CB" w:rsidRPr="001516CB">
        <w:rPr>
          <w:rFonts w:ascii="Arial" w:eastAsia="Arial" w:hAnsi="Arial"/>
          <w:sz w:val="24"/>
          <w:szCs w:val="24"/>
        </w:rPr>
        <w:t xml:space="preserve">the </w:t>
      </w:r>
      <w:r w:rsidR="00580324">
        <w:rPr>
          <w:rFonts w:ascii="Arial" w:eastAsia="Arial" w:hAnsi="Arial"/>
          <w:sz w:val="24"/>
          <w:szCs w:val="24"/>
        </w:rPr>
        <w:t xml:space="preserve">term </w:t>
      </w:r>
      <w:r w:rsidR="001516CB" w:rsidRPr="001516CB">
        <w:rPr>
          <w:rFonts w:ascii="Arial" w:eastAsia="Arial" w:hAnsi="Arial"/>
          <w:sz w:val="24"/>
          <w:szCs w:val="24"/>
        </w:rPr>
        <w:t>tender awarded</w:t>
      </w:r>
      <w:r w:rsidR="001516CB" w:rsidRPr="001516CB">
        <w:rPr>
          <w:rFonts w:ascii="Arial" w:hAnsi="Arial"/>
          <w:sz w:val="24"/>
          <w:szCs w:val="24"/>
        </w:rPr>
        <w:t xml:space="preserve"> to </w:t>
      </w:r>
      <w:r w:rsidR="0064797E">
        <w:rPr>
          <w:rFonts w:ascii="Arial" w:hAnsi="Arial"/>
          <w:sz w:val="24"/>
          <w:szCs w:val="24"/>
        </w:rPr>
        <w:t xml:space="preserve">an entity called </w:t>
      </w:r>
      <w:r w:rsidR="001516CB" w:rsidRPr="001516CB">
        <w:rPr>
          <w:rFonts w:ascii="Arial" w:hAnsi="Arial"/>
          <w:sz w:val="24"/>
          <w:szCs w:val="24"/>
        </w:rPr>
        <w:t>Continental Spares CC</w:t>
      </w:r>
      <w:r w:rsidR="001516CB" w:rsidRPr="001516CB">
        <w:rPr>
          <w:rFonts w:ascii="Arial" w:eastAsia="Arial" w:hAnsi="Arial"/>
          <w:sz w:val="24"/>
          <w:szCs w:val="24"/>
        </w:rPr>
        <w:t xml:space="preserve"> (not party to this proceedings). The </w:t>
      </w:r>
      <w:r w:rsidR="001516CB" w:rsidRPr="001516CB">
        <w:rPr>
          <w:rFonts w:ascii="Arial" w:hAnsi="Arial"/>
          <w:sz w:val="24"/>
          <w:szCs w:val="24"/>
        </w:rPr>
        <w:t xml:space="preserve">appellants </w:t>
      </w:r>
      <w:r w:rsidR="0025257E">
        <w:rPr>
          <w:rFonts w:ascii="Arial" w:hAnsi="Arial"/>
          <w:sz w:val="24"/>
          <w:szCs w:val="24"/>
        </w:rPr>
        <w:t xml:space="preserve">argued further, </w:t>
      </w:r>
      <w:r w:rsidR="001516CB">
        <w:rPr>
          <w:rFonts w:ascii="Arial" w:hAnsi="Arial"/>
          <w:sz w:val="24"/>
          <w:szCs w:val="24"/>
        </w:rPr>
        <w:t xml:space="preserve">that the items </w:t>
      </w:r>
      <w:r w:rsidR="0025257E">
        <w:rPr>
          <w:rFonts w:ascii="Arial" w:hAnsi="Arial"/>
          <w:sz w:val="24"/>
          <w:szCs w:val="24"/>
        </w:rPr>
        <w:t xml:space="preserve">contracted by the appellants </w:t>
      </w:r>
      <w:r w:rsidR="00C8416E">
        <w:rPr>
          <w:rFonts w:ascii="Arial" w:hAnsi="Arial"/>
          <w:sz w:val="24"/>
          <w:szCs w:val="24"/>
        </w:rPr>
        <w:t xml:space="preserve">were granted exemption from the operation of the </w:t>
      </w:r>
      <w:r w:rsidR="0025257E">
        <w:rPr>
          <w:rFonts w:ascii="Arial" w:hAnsi="Arial"/>
          <w:sz w:val="24"/>
          <w:szCs w:val="24"/>
        </w:rPr>
        <w:t xml:space="preserve">now repealed </w:t>
      </w:r>
      <w:r w:rsidR="00C8416E">
        <w:rPr>
          <w:rFonts w:ascii="Arial" w:hAnsi="Arial"/>
          <w:sz w:val="24"/>
          <w:szCs w:val="24"/>
        </w:rPr>
        <w:t>Tender Board Act</w:t>
      </w:r>
      <w:r w:rsidR="0025257E">
        <w:rPr>
          <w:rFonts w:ascii="Arial" w:hAnsi="Arial"/>
          <w:sz w:val="24"/>
          <w:szCs w:val="24"/>
        </w:rPr>
        <w:t>, 1996</w:t>
      </w:r>
      <w:r w:rsidR="00C8416E">
        <w:rPr>
          <w:rFonts w:ascii="Arial" w:hAnsi="Arial"/>
          <w:sz w:val="24"/>
          <w:szCs w:val="24"/>
        </w:rPr>
        <w:t xml:space="preserve">. </w:t>
      </w:r>
      <w:r w:rsidR="00580324">
        <w:rPr>
          <w:rFonts w:ascii="Arial" w:hAnsi="Arial"/>
          <w:sz w:val="24"/>
          <w:szCs w:val="24"/>
        </w:rPr>
        <w:t xml:space="preserve">The appellants also </w:t>
      </w:r>
      <w:r w:rsidR="006E50EE">
        <w:rPr>
          <w:rFonts w:ascii="Arial" w:hAnsi="Arial"/>
          <w:sz w:val="24"/>
          <w:szCs w:val="24"/>
        </w:rPr>
        <w:t xml:space="preserve">submitted that the decisions of the officials of the ministry </w:t>
      </w:r>
      <w:r w:rsidR="00127478">
        <w:rPr>
          <w:rFonts w:ascii="Arial" w:hAnsi="Arial"/>
          <w:sz w:val="24"/>
          <w:szCs w:val="24"/>
        </w:rPr>
        <w:t xml:space="preserve">soliciting for quotations </w:t>
      </w:r>
      <w:r w:rsidR="0064797E">
        <w:rPr>
          <w:rFonts w:ascii="Arial" w:hAnsi="Arial"/>
          <w:sz w:val="24"/>
          <w:szCs w:val="24"/>
        </w:rPr>
        <w:t xml:space="preserve">and awarding a tender to the first appellant </w:t>
      </w:r>
      <w:r w:rsidR="00245D7F">
        <w:rPr>
          <w:rFonts w:ascii="Arial" w:hAnsi="Arial"/>
          <w:sz w:val="24"/>
          <w:szCs w:val="24"/>
        </w:rPr>
        <w:t>we</w:t>
      </w:r>
      <w:r w:rsidR="006E50EE">
        <w:rPr>
          <w:rFonts w:ascii="Arial" w:hAnsi="Arial"/>
          <w:sz w:val="24"/>
          <w:szCs w:val="24"/>
        </w:rPr>
        <w:t xml:space="preserve">re administrative </w:t>
      </w:r>
      <w:r w:rsidR="004D17C7">
        <w:rPr>
          <w:rFonts w:ascii="Arial" w:hAnsi="Arial"/>
          <w:sz w:val="24"/>
          <w:szCs w:val="24"/>
        </w:rPr>
        <w:t xml:space="preserve">in nature </w:t>
      </w:r>
      <w:r w:rsidR="006E50EE">
        <w:rPr>
          <w:rFonts w:ascii="Arial" w:hAnsi="Arial"/>
          <w:sz w:val="24"/>
          <w:szCs w:val="24"/>
        </w:rPr>
        <w:t xml:space="preserve">and as they </w:t>
      </w:r>
      <w:r w:rsidR="00E44FDC">
        <w:rPr>
          <w:rFonts w:ascii="Arial" w:hAnsi="Arial"/>
          <w:sz w:val="24"/>
          <w:szCs w:val="24"/>
        </w:rPr>
        <w:t xml:space="preserve">had </w:t>
      </w:r>
      <w:r w:rsidR="004D17C7">
        <w:rPr>
          <w:rFonts w:ascii="Arial" w:hAnsi="Arial"/>
          <w:sz w:val="24"/>
          <w:szCs w:val="24"/>
        </w:rPr>
        <w:t xml:space="preserve">not </w:t>
      </w:r>
      <w:r w:rsidR="00E44FDC">
        <w:rPr>
          <w:rFonts w:ascii="Arial" w:hAnsi="Arial"/>
          <w:sz w:val="24"/>
          <w:szCs w:val="24"/>
        </w:rPr>
        <w:t xml:space="preserve">been </w:t>
      </w:r>
      <w:r w:rsidR="006E50EE" w:rsidRPr="003A027C">
        <w:rPr>
          <w:rFonts w:ascii="Arial" w:hAnsi="Arial"/>
          <w:bCs/>
          <w:sz w:val="24"/>
          <w:szCs w:val="24"/>
          <w:lang w:val="en-GB"/>
        </w:rPr>
        <w:t>set aside</w:t>
      </w:r>
      <w:r w:rsidR="006E50EE">
        <w:rPr>
          <w:rFonts w:ascii="Arial" w:hAnsi="Arial"/>
          <w:bCs/>
          <w:sz w:val="24"/>
          <w:szCs w:val="24"/>
          <w:lang w:val="en-GB"/>
        </w:rPr>
        <w:t xml:space="preserve"> </w:t>
      </w:r>
      <w:r w:rsidR="006E50EE" w:rsidRPr="003A027C">
        <w:rPr>
          <w:rFonts w:ascii="Arial" w:hAnsi="Arial"/>
          <w:bCs/>
          <w:sz w:val="24"/>
          <w:szCs w:val="24"/>
          <w:lang w:val="en-GB"/>
        </w:rPr>
        <w:t>in proceedings for judicial review</w:t>
      </w:r>
      <w:r w:rsidR="006E50EE">
        <w:rPr>
          <w:rFonts w:ascii="Arial" w:hAnsi="Arial"/>
          <w:sz w:val="24"/>
          <w:szCs w:val="24"/>
        </w:rPr>
        <w:t>, they remain</w:t>
      </w:r>
      <w:r w:rsidR="00E44FDC">
        <w:rPr>
          <w:rFonts w:ascii="Arial" w:hAnsi="Arial"/>
          <w:sz w:val="24"/>
          <w:szCs w:val="24"/>
        </w:rPr>
        <w:t>ed</w:t>
      </w:r>
      <w:r w:rsidR="006E50EE">
        <w:rPr>
          <w:rFonts w:ascii="Arial" w:hAnsi="Arial"/>
          <w:sz w:val="24"/>
          <w:szCs w:val="24"/>
        </w:rPr>
        <w:t xml:space="preserve"> </w:t>
      </w:r>
      <w:r w:rsidR="00580324">
        <w:rPr>
          <w:rFonts w:ascii="Arial" w:hAnsi="Arial"/>
          <w:sz w:val="24"/>
          <w:szCs w:val="24"/>
        </w:rPr>
        <w:t>valid</w:t>
      </w:r>
      <w:r w:rsidR="006E50EE">
        <w:rPr>
          <w:rFonts w:ascii="Arial" w:hAnsi="Arial"/>
          <w:sz w:val="24"/>
          <w:szCs w:val="24"/>
        </w:rPr>
        <w:t xml:space="preserve">.    </w:t>
      </w:r>
    </w:p>
    <w:p w:rsidR="0025257E" w:rsidRPr="00BD674F" w:rsidRDefault="00E44FDC" w:rsidP="00474095">
      <w:pPr>
        <w:spacing w:line="360" w:lineRule="auto"/>
        <w:jc w:val="both"/>
      </w:pPr>
      <w:r>
        <w:rPr>
          <w:rFonts w:ascii="Arial" w:hAnsi="Arial"/>
          <w:sz w:val="24"/>
          <w:szCs w:val="24"/>
        </w:rPr>
        <w:t>O</w:t>
      </w:r>
      <w:r w:rsidR="0025257E">
        <w:rPr>
          <w:rFonts w:ascii="Arial" w:hAnsi="Arial"/>
          <w:sz w:val="24"/>
          <w:szCs w:val="24"/>
        </w:rPr>
        <w:t xml:space="preserve">n appeal </w:t>
      </w:r>
      <w:r w:rsidR="0025257E">
        <w:rPr>
          <w:rFonts w:ascii="Arial" w:hAnsi="Arial"/>
          <w:i/>
          <w:sz w:val="24"/>
          <w:szCs w:val="24"/>
        </w:rPr>
        <w:t xml:space="preserve">held </w:t>
      </w:r>
      <w:r w:rsidR="0025257E">
        <w:rPr>
          <w:rFonts w:ascii="Arial" w:hAnsi="Arial"/>
          <w:sz w:val="24"/>
          <w:szCs w:val="24"/>
        </w:rPr>
        <w:t xml:space="preserve">that the grounds raised in support of the appeal </w:t>
      </w:r>
      <w:r>
        <w:rPr>
          <w:rFonts w:ascii="Arial" w:hAnsi="Arial"/>
          <w:sz w:val="24"/>
          <w:szCs w:val="24"/>
        </w:rPr>
        <w:t xml:space="preserve">were </w:t>
      </w:r>
      <w:r w:rsidR="00580324">
        <w:rPr>
          <w:rFonts w:ascii="Arial" w:hAnsi="Arial"/>
          <w:sz w:val="24"/>
          <w:szCs w:val="24"/>
        </w:rPr>
        <w:t xml:space="preserve">without merit </w:t>
      </w:r>
      <w:r w:rsidR="006B38E4">
        <w:rPr>
          <w:rFonts w:ascii="Arial" w:hAnsi="Arial"/>
          <w:sz w:val="24"/>
          <w:szCs w:val="24"/>
        </w:rPr>
        <w:t xml:space="preserve">and </w:t>
      </w:r>
      <w:r>
        <w:rPr>
          <w:rFonts w:ascii="Arial" w:hAnsi="Arial"/>
          <w:sz w:val="24"/>
          <w:szCs w:val="24"/>
        </w:rPr>
        <w:t xml:space="preserve">the appeal was </w:t>
      </w:r>
      <w:r w:rsidR="006B38E4">
        <w:rPr>
          <w:rFonts w:ascii="Arial" w:hAnsi="Arial"/>
          <w:sz w:val="24"/>
          <w:szCs w:val="24"/>
        </w:rPr>
        <w:t>dismissed with costs</w:t>
      </w:r>
      <w:r w:rsidR="0025257E">
        <w:rPr>
          <w:rFonts w:ascii="Arial" w:hAnsi="Arial"/>
          <w:sz w:val="24"/>
          <w:szCs w:val="24"/>
        </w:rPr>
        <w:t xml:space="preserve">. </w:t>
      </w:r>
      <w:r>
        <w:rPr>
          <w:rFonts w:ascii="Arial" w:hAnsi="Arial"/>
          <w:sz w:val="24"/>
          <w:szCs w:val="24"/>
        </w:rPr>
        <w:t xml:space="preserve">The court reasoned </w:t>
      </w:r>
      <w:r w:rsidR="0025257E">
        <w:rPr>
          <w:rFonts w:ascii="Arial" w:hAnsi="Arial"/>
          <w:sz w:val="24"/>
          <w:szCs w:val="24"/>
        </w:rPr>
        <w:t xml:space="preserve">that, </w:t>
      </w:r>
      <w:r w:rsidR="00BC49DE">
        <w:rPr>
          <w:rFonts w:ascii="Arial" w:hAnsi="Arial"/>
          <w:sz w:val="24"/>
          <w:szCs w:val="24"/>
        </w:rPr>
        <w:t xml:space="preserve">the allegations in support of the forfeiture order </w:t>
      </w:r>
      <w:r w:rsidR="00CD0E56">
        <w:rPr>
          <w:rFonts w:ascii="Arial" w:hAnsi="Arial"/>
          <w:sz w:val="24"/>
          <w:szCs w:val="24"/>
        </w:rPr>
        <w:t xml:space="preserve">were made in </w:t>
      </w:r>
      <w:r w:rsidR="00BC49DE">
        <w:rPr>
          <w:rFonts w:ascii="Arial" w:hAnsi="Arial"/>
          <w:sz w:val="24"/>
          <w:szCs w:val="24"/>
        </w:rPr>
        <w:t xml:space="preserve">motion proceedings and this </w:t>
      </w:r>
      <w:r w:rsidR="00BC49DE" w:rsidRPr="00BC49DE">
        <w:rPr>
          <w:rFonts w:ascii="Arial" w:hAnsi="Arial"/>
          <w:sz w:val="24"/>
          <w:szCs w:val="24"/>
        </w:rPr>
        <w:t xml:space="preserve">being so, the contention </w:t>
      </w:r>
      <w:r w:rsidR="00BC49DE">
        <w:rPr>
          <w:rFonts w:ascii="Arial" w:hAnsi="Arial"/>
          <w:sz w:val="24"/>
          <w:szCs w:val="24"/>
        </w:rPr>
        <w:t>by the appellant</w:t>
      </w:r>
      <w:r w:rsidR="00CD0E56">
        <w:rPr>
          <w:rFonts w:ascii="Arial" w:hAnsi="Arial"/>
          <w:sz w:val="24"/>
          <w:szCs w:val="24"/>
        </w:rPr>
        <w:t>s</w:t>
      </w:r>
      <w:r w:rsidR="00BC49DE">
        <w:rPr>
          <w:rFonts w:ascii="Arial" w:hAnsi="Arial"/>
          <w:sz w:val="24"/>
          <w:szCs w:val="24"/>
        </w:rPr>
        <w:t xml:space="preserve"> </w:t>
      </w:r>
      <w:r w:rsidR="00CD0E56">
        <w:rPr>
          <w:rFonts w:ascii="Arial" w:hAnsi="Arial"/>
          <w:sz w:val="24"/>
          <w:szCs w:val="24"/>
        </w:rPr>
        <w:t xml:space="preserve">as </w:t>
      </w:r>
      <w:r w:rsidR="00AA73E6">
        <w:rPr>
          <w:rFonts w:ascii="Arial" w:hAnsi="Arial"/>
          <w:sz w:val="24"/>
          <w:szCs w:val="24"/>
        </w:rPr>
        <w:t xml:space="preserve">to the </w:t>
      </w:r>
      <w:r w:rsidR="00BC49DE">
        <w:rPr>
          <w:rFonts w:ascii="Arial" w:hAnsi="Arial"/>
          <w:sz w:val="24"/>
          <w:szCs w:val="24"/>
        </w:rPr>
        <w:t>principles applicable in resolving dispute</w:t>
      </w:r>
      <w:r w:rsidR="00CD0E56">
        <w:rPr>
          <w:rFonts w:ascii="Arial" w:hAnsi="Arial"/>
          <w:sz w:val="24"/>
          <w:szCs w:val="24"/>
        </w:rPr>
        <w:t xml:space="preserve">s of </w:t>
      </w:r>
      <w:r w:rsidR="00BC49DE">
        <w:rPr>
          <w:rFonts w:ascii="Arial" w:hAnsi="Arial"/>
          <w:sz w:val="24"/>
          <w:szCs w:val="24"/>
        </w:rPr>
        <w:t xml:space="preserve">fact </w:t>
      </w:r>
      <w:r w:rsidR="00AA73E6">
        <w:rPr>
          <w:rFonts w:ascii="Arial" w:hAnsi="Arial"/>
          <w:sz w:val="24"/>
          <w:szCs w:val="24"/>
        </w:rPr>
        <w:t>c</w:t>
      </w:r>
      <w:r w:rsidR="00245D7F">
        <w:rPr>
          <w:rFonts w:ascii="Arial" w:hAnsi="Arial"/>
          <w:sz w:val="24"/>
          <w:szCs w:val="24"/>
        </w:rPr>
        <w:t xml:space="preserve">ould </w:t>
      </w:r>
      <w:r w:rsidR="00AA73E6">
        <w:rPr>
          <w:rFonts w:ascii="Arial" w:hAnsi="Arial"/>
          <w:sz w:val="24"/>
          <w:szCs w:val="24"/>
        </w:rPr>
        <w:t>not be correct. As to the alleged exemption</w:t>
      </w:r>
      <w:r w:rsidR="00CD0E56">
        <w:rPr>
          <w:rFonts w:ascii="Arial" w:hAnsi="Arial"/>
          <w:sz w:val="24"/>
          <w:szCs w:val="24"/>
        </w:rPr>
        <w:t xml:space="preserve"> by the </w:t>
      </w:r>
      <w:r w:rsidR="00245D7F">
        <w:rPr>
          <w:rFonts w:ascii="Arial" w:hAnsi="Arial"/>
          <w:sz w:val="24"/>
          <w:szCs w:val="24"/>
        </w:rPr>
        <w:t>T</w:t>
      </w:r>
      <w:r w:rsidR="00CD0E56">
        <w:rPr>
          <w:rFonts w:ascii="Arial" w:hAnsi="Arial"/>
          <w:sz w:val="24"/>
          <w:szCs w:val="24"/>
        </w:rPr>
        <w:t>ender Board</w:t>
      </w:r>
      <w:r w:rsidR="00AA73E6">
        <w:rPr>
          <w:rFonts w:ascii="Arial" w:hAnsi="Arial"/>
          <w:sz w:val="24"/>
          <w:szCs w:val="24"/>
        </w:rPr>
        <w:t>, the documentary evidence before court illustrate</w:t>
      </w:r>
      <w:r w:rsidR="00CD0E56">
        <w:rPr>
          <w:rFonts w:ascii="Arial" w:hAnsi="Arial"/>
          <w:sz w:val="24"/>
          <w:szCs w:val="24"/>
        </w:rPr>
        <w:t>d</w:t>
      </w:r>
      <w:r w:rsidR="00AA73E6">
        <w:rPr>
          <w:rFonts w:ascii="Arial" w:hAnsi="Arial"/>
          <w:sz w:val="24"/>
          <w:szCs w:val="24"/>
        </w:rPr>
        <w:t xml:space="preserve"> that the items supplied by the </w:t>
      </w:r>
      <w:r w:rsidR="00245D7F">
        <w:rPr>
          <w:rFonts w:ascii="Arial" w:hAnsi="Arial"/>
          <w:sz w:val="24"/>
          <w:szCs w:val="24"/>
        </w:rPr>
        <w:t xml:space="preserve">first </w:t>
      </w:r>
      <w:r w:rsidR="00AA73E6">
        <w:rPr>
          <w:rFonts w:ascii="Arial" w:hAnsi="Arial"/>
          <w:sz w:val="24"/>
          <w:szCs w:val="24"/>
        </w:rPr>
        <w:t xml:space="preserve">appellant were not exempted by the legislation regulating the procurement of goods and services on behalf of the government nor </w:t>
      </w:r>
      <w:r w:rsidR="00CD0E56">
        <w:rPr>
          <w:rFonts w:ascii="Arial" w:hAnsi="Arial"/>
          <w:sz w:val="24"/>
          <w:szCs w:val="24"/>
        </w:rPr>
        <w:t xml:space="preserve">was the decision </w:t>
      </w:r>
      <w:r w:rsidR="00245D7F">
        <w:rPr>
          <w:rFonts w:ascii="Arial" w:hAnsi="Arial"/>
          <w:sz w:val="24"/>
          <w:szCs w:val="24"/>
        </w:rPr>
        <w:t xml:space="preserve">to award the tender </w:t>
      </w:r>
      <w:r w:rsidR="00CD0E56">
        <w:rPr>
          <w:rFonts w:ascii="Arial" w:hAnsi="Arial"/>
          <w:sz w:val="24"/>
          <w:szCs w:val="24"/>
        </w:rPr>
        <w:t xml:space="preserve">made </w:t>
      </w:r>
      <w:r w:rsidR="00AA73E6">
        <w:rPr>
          <w:rFonts w:ascii="Arial" w:hAnsi="Arial"/>
          <w:sz w:val="24"/>
          <w:szCs w:val="24"/>
        </w:rPr>
        <w:t xml:space="preserve">by the body authorised to procure </w:t>
      </w:r>
      <w:r w:rsidR="00BD674F">
        <w:rPr>
          <w:rFonts w:ascii="Arial" w:hAnsi="Arial"/>
          <w:sz w:val="24"/>
          <w:szCs w:val="24"/>
        </w:rPr>
        <w:t>same</w:t>
      </w:r>
      <w:r w:rsidR="00ED0E6D">
        <w:rPr>
          <w:rFonts w:ascii="Arial" w:hAnsi="Arial"/>
          <w:sz w:val="24"/>
          <w:szCs w:val="24"/>
        </w:rPr>
        <w:t xml:space="preserve"> on behalf of the government</w:t>
      </w:r>
      <w:r w:rsidR="00AA73E6">
        <w:rPr>
          <w:rFonts w:ascii="Arial" w:hAnsi="Arial"/>
          <w:sz w:val="24"/>
          <w:szCs w:val="24"/>
        </w:rPr>
        <w:t xml:space="preserve">. </w:t>
      </w:r>
      <w:r w:rsidR="00BD674F">
        <w:rPr>
          <w:rFonts w:ascii="Arial" w:hAnsi="Arial"/>
          <w:sz w:val="24"/>
          <w:szCs w:val="24"/>
        </w:rPr>
        <w:t xml:space="preserve">The court further </w:t>
      </w:r>
      <w:r w:rsidR="00BD674F">
        <w:rPr>
          <w:rFonts w:ascii="Arial" w:hAnsi="Arial"/>
          <w:i/>
          <w:sz w:val="24"/>
          <w:szCs w:val="24"/>
        </w:rPr>
        <w:t xml:space="preserve">held </w:t>
      </w:r>
      <w:r w:rsidR="00BD674F">
        <w:rPr>
          <w:rFonts w:ascii="Arial" w:hAnsi="Arial"/>
          <w:sz w:val="24"/>
          <w:szCs w:val="24"/>
        </w:rPr>
        <w:t xml:space="preserve">that the engine types that were supplied by the </w:t>
      </w:r>
      <w:r w:rsidR="00245D7F">
        <w:rPr>
          <w:rFonts w:ascii="Arial" w:hAnsi="Arial"/>
          <w:sz w:val="24"/>
          <w:szCs w:val="24"/>
        </w:rPr>
        <w:t xml:space="preserve">first </w:t>
      </w:r>
      <w:r w:rsidR="00BD674F">
        <w:rPr>
          <w:rFonts w:ascii="Arial" w:hAnsi="Arial"/>
          <w:sz w:val="24"/>
          <w:szCs w:val="24"/>
        </w:rPr>
        <w:t xml:space="preserve">appellant to the ministry </w:t>
      </w:r>
      <w:r w:rsidR="00CD0E56">
        <w:rPr>
          <w:rFonts w:ascii="Arial" w:hAnsi="Arial"/>
          <w:sz w:val="24"/>
          <w:szCs w:val="24"/>
        </w:rPr>
        <w:t xml:space="preserve">were </w:t>
      </w:r>
      <w:r w:rsidR="00BD674F">
        <w:rPr>
          <w:rFonts w:ascii="Arial" w:hAnsi="Arial"/>
          <w:sz w:val="24"/>
          <w:szCs w:val="24"/>
        </w:rPr>
        <w:t xml:space="preserve">the same engine types on the annual tender awarded to </w:t>
      </w:r>
      <w:r w:rsidR="00BD674F" w:rsidRPr="001516CB">
        <w:rPr>
          <w:rFonts w:ascii="Arial" w:hAnsi="Arial"/>
          <w:sz w:val="24"/>
          <w:szCs w:val="24"/>
        </w:rPr>
        <w:t>Continental Spares CC</w:t>
      </w:r>
      <w:r w:rsidR="00BD674F">
        <w:rPr>
          <w:rFonts w:ascii="Arial" w:hAnsi="Arial"/>
          <w:sz w:val="24"/>
          <w:szCs w:val="24"/>
        </w:rPr>
        <w:t xml:space="preserve"> and provision of these </w:t>
      </w:r>
      <w:r w:rsidR="00ED0E6D">
        <w:rPr>
          <w:rFonts w:ascii="Arial" w:hAnsi="Arial"/>
          <w:sz w:val="24"/>
          <w:szCs w:val="24"/>
        </w:rPr>
        <w:t xml:space="preserve">similar </w:t>
      </w:r>
      <w:r w:rsidR="00BD674F">
        <w:rPr>
          <w:rFonts w:ascii="Arial" w:hAnsi="Arial"/>
          <w:sz w:val="24"/>
          <w:szCs w:val="24"/>
        </w:rPr>
        <w:t xml:space="preserve">engines by the </w:t>
      </w:r>
      <w:r w:rsidR="00245D7F">
        <w:rPr>
          <w:rFonts w:ascii="Arial" w:hAnsi="Arial"/>
          <w:sz w:val="24"/>
          <w:szCs w:val="24"/>
        </w:rPr>
        <w:t xml:space="preserve">first </w:t>
      </w:r>
      <w:r w:rsidR="00BD674F">
        <w:rPr>
          <w:rFonts w:ascii="Arial" w:hAnsi="Arial"/>
          <w:sz w:val="24"/>
          <w:szCs w:val="24"/>
        </w:rPr>
        <w:t>appellant</w:t>
      </w:r>
      <w:r w:rsidR="00ED0E6D">
        <w:rPr>
          <w:rFonts w:ascii="Arial" w:hAnsi="Arial"/>
          <w:sz w:val="24"/>
          <w:szCs w:val="24"/>
        </w:rPr>
        <w:t xml:space="preserve"> to the ministry</w:t>
      </w:r>
      <w:r w:rsidR="00BD674F">
        <w:rPr>
          <w:rFonts w:ascii="Arial" w:hAnsi="Arial"/>
          <w:sz w:val="24"/>
          <w:szCs w:val="24"/>
        </w:rPr>
        <w:t xml:space="preserve">, </w:t>
      </w:r>
      <w:r w:rsidR="006B38E4">
        <w:rPr>
          <w:rFonts w:ascii="Arial" w:hAnsi="Arial"/>
          <w:sz w:val="24"/>
          <w:szCs w:val="24"/>
        </w:rPr>
        <w:t xml:space="preserve">not only </w:t>
      </w:r>
      <w:r w:rsidR="00BD674F">
        <w:rPr>
          <w:rFonts w:ascii="Arial" w:hAnsi="Arial"/>
          <w:sz w:val="24"/>
          <w:szCs w:val="24"/>
        </w:rPr>
        <w:t>undermine</w:t>
      </w:r>
      <w:r w:rsidR="00CD0E56">
        <w:rPr>
          <w:rFonts w:ascii="Arial" w:hAnsi="Arial"/>
          <w:sz w:val="24"/>
          <w:szCs w:val="24"/>
        </w:rPr>
        <w:t>d</w:t>
      </w:r>
      <w:r w:rsidR="00BD674F">
        <w:rPr>
          <w:rFonts w:ascii="Arial" w:hAnsi="Arial"/>
          <w:sz w:val="24"/>
          <w:szCs w:val="24"/>
        </w:rPr>
        <w:t xml:space="preserve"> the </w:t>
      </w:r>
      <w:r w:rsidR="00ED0E6D">
        <w:rPr>
          <w:rFonts w:ascii="Arial" w:hAnsi="Arial"/>
          <w:sz w:val="24"/>
          <w:szCs w:val="24"/>
        </w:rPr>
        <w:t>agreement</w:t>
      </w:r>
      <w:r w:rsidR="00BD674F">
        <w:rPr>
          <w:rFonts w:ascii="Arial" w:hAnsi="Arial"/>
          <w:sz w:val="24"/>
          <w:szCs w:val="24"/>
        </w:rPr>
        <w:t xml:space="preserve"> between </w:t>
      </w:r>
      <w:r w:rsidR="00BD674F" w:rsidRPr="001516CB">
        <w:rPr>
          <w:rFonts w:ascii="Arial" w:hAnsi="Arial"/>
          <w:sz w:val="24"/>
          <w:szCs w:val="24"/>
        </w:rPr>
        <w:t>Continental Spares CC</w:t>
      </w:r>
      <w:r w:rsidR="00BD674F">
        <w:rPr>
          <w:rFonts w:ascii="Arial" w:hAnsi="Arial"/>
          <w:sz w:val="24"/>
          <w:szCs w:val="24"/>
        </w:rPr>
        <w:t xml:space="preserve"> and the government</w:t>
      </w:r>
      <w:r w:rsidR="006B38E4">
        <w:rPr>
          <w:rFonts w:ascii="Arial" w:hAnsi="Arial"/>
          <w:sz w:val="24"/>
          <w:szCs w:val="24"/>
        </w:rPr>
        <w:t xml:space="preserve"> but </w:t>
      </w:r>
      <w:r w:rsidR="00245D7F">
        <w:rPr>
          <w:rFonts w:ascii="Arial" w:hAnsi="Arial"/>
          <w:sz w:val="24"/>
          <w:szCs w:val="24"/>
        </w:rPr>
        <w:t xml:space="preserve">was </w:t>
      </w:r>
      <w:r w:rsidR="00985053">
        <w:rPr>
          <w:rFonts w:ascii="Arial" w:hAnsi="Arial"/>
          <w:sz w:val="24"/>
          <w:szCs w:val="24"/>
        </w:rPr>
        <w:t xml:space="preserve">also </w:t>
      </w:r>
      <w:r w:rsidR="006B38E4">
        <w:rPr>
          <w:rFonts w:ascii="Arial" w:hAnsi="Arial"/>
          <w:sz w:val="24"/>
          <w:szCs w:val="24"/>
        </w:rPr>
        <w:t xml:space="preserve">prejudicial to the government </w:t>
      </w:r>
      <w:r w:rsidR="00ED0E6D">
        <w:rPr>
          <w:rFonts w:ascii="Arial" w:hAnsi="Arial"/>
          <w:sz w:val="24"/>
          <w:szCs w:val="24"/>
        </w:rPr>
        <w:t xml:space="preserve">in financial terms </w:t>
      </w:r>
      <w:r w:rsidR="006B38E4">
        <w:rPr>
          <w:rFonts w:ascii="Arial" w:hAnsi="Arial"/>
          <w:sz w:val="24"/>
          <w:szCs w:val="24"/>
        </w:rPr>
        <w:t xml:space="preserve">as </w:t>
      </w:r>
      <w:r w:rsidR="00245D7F">
        <w:rPr>
          <w:rFonts w:ascii="Arial" w:hAnsi="Arial"/>
          <w:sz w:val="24"/>
          <w:szCs w:val="24"/>
        </w:rPr>
        <w:t>the ministry</w:t>
      </w:r>
      <w:r w:rsidR="006B38E4">
        <w:rPr>
          <w:rFonts w:ascii="Arial" w:hAnsi="Arial"/>
          <w:sz w:val="24"/>
          <w:szCs w:val="24"/>
        </w:rPr>
        <w:t xml:space="preserve"> </w:t>
      </w:r>
      <w:r w:rsidR="00ED0E6D">
        <w:rPr>
          <w:rFonts w:ascii="Arial" w:hAnsi="Arial"/>
          <w:sz w:val="24"/>
          <w:szCs w:val="24"/>
        </w:rPr>
        <w:t xml:space="preserve">paid </w:t>
      </w:r>
      <w:r w:rsidR="00127478">
        <w:rPr>
          <w:rFonts w:ascii="Arial" w:hAnsi="Arial"/>
          <w:sz w:val="24"/>
          <w:szCs w:val="24"/>
        </w:rPr>
        <w:t xml:space="preserve">more per engine supplied by the </w:t>
      </w:r>
      <w:r w:rsidR="00245D7F">
        <w:rPr>
          <w:rFonts w:ascii="Arial" w:hAnsi="Arial"/>
          <w:sz w:val="24"/>
          <w:szCs w:val="24"/>
        </w:rPr>
        <w:t xml:space="preserve">first </w:t>
      </w:r>
      <w:r w:rsidR="00127478">
        <w:rPr>
          <w:rFonts w:ascii="Arial" w:hAnsi="Arial"/>
          <w:sz w:val="24"/>
          <w:szCs w:val="24"/>
        </w:rPr>
        <w:t xml:space="preserve">appellant </w:t>
      </w:r>
      <w:r w:rsidR="00FF760F">
        <w:rPr>
          <w:rFonts w:ascii="Arial" w:hAnsi="Arial"/>
          <w:sz w:val="24"/>
          <w:szCs w:val="24"/>
        </w:rPr>
        <w:t xml:space="preserve"> than </w:t>
      </w:r>
      <w:r w:rsidR="006B38E4">
        <w:rPr>
          <w:rFonts w:ascii="Arial" w:hAnsi="Arial"/>
          <w:sz w:val="24"/>
          <w:szCs w:val="24"/>
        </w:rPr>
        <w:t xml:space="preserve">it could have paid </w:t>
      </w:r>
      <w:r w:rsidR="00245D7F">
        <w:rPr>
          <w:rFonts w:ascii="Arial" w:hAnsi="Arial"/>
          <w:sz w:val="24"/>
          <w:szCs w:val="24"/>
        </w:rPr>
        <w:t xml:space="preserve">had </w:t>
      </w:r>
      <w:r w:rsidR="006B38E4">
        <w:rPr>
          <w:rFonts w:ascii="Arial" w:hAnsi="Arial"/>
          <w:sz w:val="24"/>
          <w:szCs w:val="24"/>
        </w:rPr>
        <w:t xml:space="preserve">the engines </w:t>
      </w:r>
      <w:r w:rsidR="00245D7F">
        <w:rPr>
          <w:rFonts w:ascii="Arial" w:hAnsi="Arial"/>
          <w:sz w:val="24"/>
          <w:szCs w:val="24"/>
        </w:rPr>
        <w:t xml:space="preserve">been </w:t>
      </w:r>
      <w:r w:rsidR="006B38E4">
        <w:rPr>
          <w:rFonts w:ascii="Arial" w:hAnsi="Arial"/>
          <w:sz w:val="24"/>
          <w:szCs w:val="24"/>
        </w:rPr>
        <w:t xml:space="preserve">supplied by </w:t>
      </w:r>
      <w:r w:rsidR="006B38E4" w:rsidRPr="001516CB">
        <w:rPr>
          <w:rFonts w:ascii="Arial" w:hAnsi="Arial"/>
          <w:sz w:val="24"/>
          <w:szCs w:val="24"/>
        </w:rPr>
        <w:t>Continental Spares CC</w:t>
      </w:r>
      <w:r w:rsidR="00BD674F">
        <w:rPr>
          <w:rFonts w:ascii="Arial" w:hAnsi="Arial"/>
          <w:sz w:val="24"/>
          <w:szCs w:val="24"/>
        </w:rPr>
        <w:t xml:space="preserve">. </w:t>
      </w:r>
    </w:p>
    <w:p w:rsidR="0025257E" w:rsidRPr="006B38E4" w:rsidRDefault="00A94767" w:rsidP="00474095">
      <w:pPr>
        <w:spacing w:line="360" w:lineRule="auto"/>
        <w:jc w:val="both"/>
        <w:rPr>
          <w:rFonts w:ascii="Arial" w:hAnsi="Arial"/>
          <w:sz w:val="24"/>
          <w:szCs w:val="24"/>
          <w:lang w:val="en-GB"/>
        </w:rPr>
      </w:pPr>
      <w:r>
        <w:rPr>
          <w:rFonts w:ascii="Arial" w:hAnsi="Arial"/>
          <w:sz w:val="24"/>
          <w:szCs w:val="24"/>
          <w:lang w:val="en-GB"/>
        </w:rPr>
        <w:t xml:space="preserve">As to </w:t>
      </w:r>
      <w:r w:rsidR="006B38E4">
        <w:rPr>
          <w:rFonts w:ascii="Arial" w:hAnsi="Arial"/>
          <w:sz w:val="24"/>
          <w:szCs w:val="24"/>
          <w:lang w:val="en-GB"/>
        </w:rPr>
        <w:t xml:space="preserve">costs, the court </w:t>
      </w:r>
      <w:r w:rsidR="006B38E4">
        <w:rPr>
          <w:rFonts w:ascii="Arial" w:hAnsi="Arial"/>
          <w:i/>
          <w:sz w:val="24"/>
          <w:szCs w:val="24"/>
          <w:lang w:val="en-GB"/>
        </w:rPr>
        <w:t xml:space="preserve">held </w:t>
      </w:r>
      <w:r w:rsidR="006B38E4">
        <w:rPr>
          <w:rFonts w:ascii="Arial" w:hAnsi="Arial"/>
          <w:sz w:val="24"/>
          <w:szCs w:val="24"/>
          <w:lang w:val="en-GB"/>
        </w:rPr>
        <w:t xml:space="preserve">that </w:t>
      </w:r>
      <w:r w:rsidR="006B38E4">
        <w:rPr>
          <w:rFonts w:ascii="Arial" w:eastAsia="Arial" w:hAnsi="Arial"/>
          <w:sz w:val="24"/>
        </w:rPr>
        <w:t xml:space="preserve">the unsupported allegations of abuse of process and of engaging in vexatious activities directed at the respondent as a repository of </w:t>
      </w:r>
      <w:r w:rsidR="006B38E4">
        <w:rPr>
          <w:rFonts w:ascii="Arial" w:eastAsia="Arial" w:hAnsi="Arial"/>
          <w:sz w:val="24"/>
        </w:rPr>
        <w:lastRenderedPageBreak/>
        <w:t xml:space="preserve">public </w:t>
      </w:r>
      <w:r w:rsidR="00127478">
        <w:rPr>
          <w:rFonts w:ascii="Arial" w:eastAsia="Arial" w:hAnsi="Arial"/>
          <w:sz w:val="24"/>
        </w:rPr>
        <w:t xml:space="preserve">powers </w:t>
      </w:r>
      <w:r w:rsidR="006B38E4">
        <w:rPr>
          <w:rFonts w:ascii="Arial" w:eastAsia="Arial" w:hAnsi="Arial"/>
          <w:sz w:val="24"/>
        </w:rPr>
        <w:t xml:space="preserve">in exercising public </w:t>
      </w:r>
      <w:r w:rsidR="00127478">
        <w:rPr>
          <w:rFonts w:ascii="Arial" w:eastAsia="Arial" w:hAnsi="Arial"/>
          <w:sz w:val="24"/>
        </w:rPr>
        <w:t>functions</w:t>
      </w:r>
      <w:r w:rsidR="006B38E4">
        <w:rPr>
          <w:rFonts w:ascii="Arial" w:eastAsia="Arial" w:hAnsi="Arial"/>
          <w:sz w:val="24"/>
        </w:rPr>
        <w:t xml:space="preserve"> constitute</w:t>
      </w:r>
      <w:r w:rsidR="00127478">
        <w:rPr>
          <w:rFonts w:ascii="Arial" w:eastAsia="Arial" w:hAnsi="Arial"/>
          <w:sz w:val="24"/>
        </w:rPr>
        <w:t>d</w:t>
      </w:r>
      <w:r w:rsidR="006B38E4">
        <w:rPr>
          <w:rFonts w:ascii="Arial" w:eastAsia="Arial" w:hAnsi="Arial"/>
          <w:sz w:val="24"/>
        </w:rPr>
        <w:t xml:space="preserve"> an abuse and warrant</w:t>
      </w:r>
      <w:r w:rsidR="00127478">
        <w:rPr>
          <w:rFonts w:ascii="Arial" w:eastAsia="Arial" w:hAnsi="Arial"/>
          <w:sz w:val="24"/>
        </w:rPr>
        <w:t>ed</w:t>
      </w:r>
      <w:r w:rsidR="006B38E4">
        <w:rPr>
          <w:rFonts w:ascii="Arial" w:eastAsia="Arial" w:hAnsi="Arial"/>
          <w:sz w:val="24"/>
        </w:rPr>
        <w:t xml:space="preserve"> censure. The court confirm</w:t>
      </w:r>
      <w:r w:rsidR="00127478">
        <w:rPr>
          <w:rFonts w:ascii="Arial" w:eastAsia="Arial" w:hAnsi="Arial"/>
          <w:sz w:val="24"/>
        </w:rPr>
        <w:t>ed</w:t>
      </w:r>
      <w:r w:rsidR="006B38E4">
        <w:rPr>
          <w:rFonts w:ascii="Arial" w:eastAsia="Arial" w:hAnsi="Arial"/>
          <w:sz w:val="24"/>
        </w:rPr>
        <w:t xml:space="preserve"> </w:t>
      </w:r>
      <w:r w:rsidR="006B38E4">
        <w:rPr>
          <w:rFonts w:ascii="Arial" w:hAnsi="Arial"/>
          <w:bCs/>
          <w:sz w:val="24"/>
          <w:szCs w:val="24"/>
          <w:lang w:val="en-GB"/>
        </w:rPr>
        <w:t>the special costs order</w:t>
      </w:r>
      <w:r>
        <w:rPr>
          <w:rFonts w:ascii="Arial" w:hAnsi="Arial"/>
          <w:bCs/>
          <w:sz w:val="24"/>
          <w:szCs w:val="24"/>
          <w:lang w:val="en-GB"/>
        </w:rPr>
        <w:t xml:space="preserve"> </w:t>
      </w:r>
      <w:r w:rsidR="00127478">
        <w:rPr>
          <w:rFonts w:ascii="Arial" w:hAnsi="Arial"/>
          <w:bCs/>
          <w:sz w:val="24"/>
          <w:szCs w:val="24"/>
          <w:lang w:val="en-GB"/>
        </w:rPr>
        <w:t xml:space="preserve">made by </w:t>
      </w:r>
      <w:r>
        <w:rPr>
          <w:rFonts w:ascii="Arial" w:hAnsi="Arial"/>
          <w:bCs/>
          <w:sz w:val="24"/>
          <w:szCs w:val="24"/>
          <w:lang w:val="en-GB"/>
        </w:rPr>
        <w:t xml:space="preserve">the </w:t>
      </w:r>
      <w:r w:rsidR="00127478">
        <w:rPr>
          <w:rFonts w:ascii="Arial" w:hAnsi="Arial"/>
          <w:bCs/>
          <w:sz w:val="24"/>
          <w:szCs w:val="24"/>
          <w:lang w:val="en-GB"/>
        </w:rPr>
        <w:t>High C</w:t>
      </w:r>
      <w:r>
        <w:rPr>
          <w:rFonts w:ascii="Arial" w:hAnsi="Arial"/>
          <w:bCs/>
          <w:sz w:val="24"/>
          <w:szCs w:val="24"/>
          <w:lang w:val="en-GB"/>
        </w:rPr>
        <w:t xml:space="preserve">ourt against the appellants. </w:t>
      </w:r>
    </w:p>
    <w:p w:rsidR="003C4BC9" w:rsidRPr="003447A1" w:rsidRDefault="003C4BC9" w:rsidP="00BC2003">
      <w:pPr>
        <w:spacing w:after="0" w:line="240" w:lineRule="auto"/>
        <w:rPr>
          <w:rFonts w:ascii="Arial" w:hAnsi="Arial"/>
          <w:b/>
          <w:sz w:val="24"/>
          <w:szCs w:val="24"/>
          <w:lang w:val="en-GB"/>
        </w:rPr>
      </w:pPr>
    </w:p>
    <w:p w:rsidR="004B494C" w:rsidRPr="003447A1" w:rsidRDefault="004B494C" w:rsidP="00BC2003">
      <w:pPr>
        <w:pBdr>
          <w:top w:val="single" w:sz="4" w:space="0" w:color="auto"/>
        </w:pBdr>
        <w:spacing w:after="0" w:line="240" w:lineRule="auto"/>
        <w:jc w:val="both"/>
        <w:rPr>
          <w:rFonts w:ascii="Arial" w:hAnsi="Arial"/>
          <w:sz w:val="24"/>
          <w:szCs w:val="24"/>
          <w:lang w:val="en-GB"/>
        </w:rPr>
      </w:pPr>
    </w:p>
    <w:p w:rsidR="004B494C" w:rsidRPr="003447A1" w:rsidRDefault="004B494C" w:rsidP="00BC2003">
      <w:pPr>
        <w:pBdr>
          <w:bottom w:val="single" w:sz="4" w:space="1" w:color="auto"/>
        </w:pBdr>
        <w:spacing w:after="0" w:line="240" w:lineRule="auto"/>
        <w:jc w:val="center"/>
        <w:rPr>
          <w:rFonts w:ascii="Arial" w:hAnsi="Arial"/>
          <w:b/>
          <w:sz w:val="24"/>
          <w:szCs w:val="24"/>
          <w:lang w:val="en-GB"/>
        </w:rPr>
      </w:pPr>
      <w:r w:rsidRPr="003447A1">
        <w:rPr>
          <w:rFonts w:ascii="Arial" w:hAnsi="Arial"/>
          <w:b/>
          <w:sz w:val="24"/>
          <w:szCs w:val="24"/>
          <w:lang w:val="en-GB"/>
        </w:rPr>
        <w:t>APPEAL JUDGMENT</w:t>
      </w:r>
    </w:p>
    <w:p w:rsidR="004B494C" w:rsidRPr="003447A1" w:rsidRDefault="004B494C" w:rsidP="00BC2003">
      <w:pPr>
        <w:pBdr>
          <w:bottom w:val="single" w:sz="4" w:space="1" w:color="auto"/>
        </w:pBdr>
        <w:spacing w:after="0" w:line="240" w:lineRule="auto"/>
        <w:jc w:val="center"/>
        <w:rPr>
          <w:rFonts w:ascii="Arial" w:hAnsi="Arial"/>
          <w:b/>
          <w:sz w:val="24"/>
          <w:szCs w:val="24"/>
          <w:lang w:val="en-GB"/>
        </w:rPr>
      </w:pPr>
    </w:p>
    <w:p w:rsidR="004B494C" w:rsidRPr="003447A1" w:rsidRDefault="004B494C" w:rsidP="00BC2003">
      <w:pPr>
        <w:spacing w:after="0" w:line="480" w:lineRule="auto"/>
        <w:jc w:val="center"/>
        <w:rPr>
          <w:rFonts w:ascii="Arial" w:hAnsi="Arial"/>
          <w:sz w:val="24"/>
          <w:szCs w:val="24"/>
          <w:lang w:val="en-GB"/>
        </w:rPr>
      </w:pPr>
    </w:p>
    <w:p w:rsidR="004B494C" w:rsidRDefault="007717CC" w:rsidP="00BC2003">
      <w:pPr>
        <w:spacing w:after="0" w:line="480" w:lineRule="auto"/>
        <w:rPr>
          <w:rFonts w:ascii="Arial" w:hAnsi="Arial"/>
          <w:sz w:val="24"/>
          <w:szCs w:val="24"/>
          <w:lang w:val="en-GB"/>
        </w:rPr>
      </w:pPr>
      <w:r>
        <w:rPr>
          <w:rFonts w:ascii="Arial" w:hAnsi="Arial"/>
          <w:sz w:val="24"/>
          <w:szCs w:val="24"/>
          <w:lang w:val="en-GB"/>
        </w:rPr>
        <w:t>SHIVUTE CJ (MAINGA JA and MO</w:t>
      </w:r>
      <w:r w:rsidR="004B494C" w:rsidRPr="003447A1">
        <w:rPr>
          <w:rFonts w:ascii="Arial" w:hAnsi="Arial"/>
          <w:sz w:val="24"/>
          <w:szCs w:val="24"/>
          <w:lang w:val="en-GB"/>
        </w:rPr>
        <w:t>K</w:t>
      </w:r>
      <w:r>
        <w:rPr>
          <w:rFonts w:ascii="Arial" w:hAnsi="Arial"/>
          <w:sz w:val="24"/>
          <w:szCs w:val="24"/>
          <w:lang w:val="en-GB"/>
        </w:rPr>
        <w:t>G</w:t>
      </w:r>
      <w:r w:rsidR="004B494C" w:rsidRPr="003447A1">
        <w:rPr>
          <w:rFonts w:ascii="Arial" w:hAnsi="Arial"/>
          <w:sz w:val="24"/>
          <w:szCs w:val="24"/>
          <w:lang w:val="en-GB"/>
        </w:rPr>
        <w:t>ORO AJA concurring):</w:t>
      </w:r>
    </w:p>
    <w:p w:rsidR="004B494C" w:rsidRPr="00D06975"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lang w:val="en-GB"/>
        </w:rPr>
      </w:pPr>
      <w:r w:rsidRPr="00D06975">
        <w:rPr>
          <w:rFonts w:ascii="Arial" w:hAnsi="Arial"/>
          <w:sz w:val="24"/>
          <w:szCs w:val="24"/>
          <w:lang w:val="en-GB"/>
        </w:rPr>
        <w:t xml:space="preserve">The appellants lodged an appeal against the judgment and order of the High Court granting an application for a forfeiture order brought under s 61 of the Prevention of Organised Crime Act 29 of 2004. </w:t>
      </w:r>
      <w:r w:rsidRPr="00D06975">
        <w:rPr>
          <w:rFonts w:ascii="Arial" w:hAnsi="Arial"/>
          <w:color w:val="000000"/>
          <w:sz w:val="24"/>
          <w:szCs w:val="24"/>
          <w:lang w:val="en-GB"/>
        </w:rPr>
        <w:t>The first appellant, New Africa Dimensions CC (NAD)</w:t>
      </w:r>
      <w:r>
        <w:rPr>
          <w:rFonts w:ascii="Arial" w:hAnsi="Arial"/>
          <w:color w:val="000000"/>
          <w:sz w:val="24"/>
          <w:szCs w:val="24"/>
          <w:lang w:val="en-GB"/>
        </w:rPr>
        <w:t>,</w:t>
      </w:r>
      <w:r w:rsidRPr="00D06975">
        <w:rPr>
          <w:rFonts w:ascii="Arial" w:hAnsi="Arial"/>
          <w:color w:val="000000"/>
          <w:sz w:val="24"/>
          <w:szCs w:val="24"/>
          <w:lang w:val="en-GB"/>
        </w:rPr>
        <w:t xml:space="preserve"> is a close corporation of which the second and third appellants are </w:t>
      </w:r>
      <w:r>
        <w:rPr>
          <w:rFonts w:ascii="Arial" w:hAnsi="Arial"/>
          <w:color w:val="000000"/>
          <w:sz w:val="24"/>
          <w:szCs w:val="24"/>
          <w:lang w:val="en-GB"/>
        </w:rPr>
        <w:t xml:space="preserve">the </w:t>
      </w:r>
      <w:r w:rsidRPr="00D06975">
        <w:rPr>
          <w:rFonts w:ascii="Arial" w:hAnsi="Arial"/>
          <w:color w:val="000000"/>
          <w:sz w:val="24"/>
          <w:szCs w:val="24"/>
          <w:lang w:val="en-GB"/>
        </w:rPr>
        <w:t xml:space="preserve">only members. </w:t>
      </w:r>
      <w:r>
        <w:rPr>
          <w:rFonts w:ascii="Arial" w:hAnsi="Arial"/>
          <w:color w:val="000000"/>
          <w:sz w:val="24"/>
          <w:szCs w:val="24"/>
          <w:lang w:val="en-GB"/>
        </w:rPr>
        <w:t xml:space="preserve">When necessary to distinguish them from the first appellant, the </w:t>
      </w:r>
      <w:r w:rsidRPr="00D06975">
        <w:rPr>
          <w:rFonts w:ascii="Arial" w:hAnsi="Arial"/>
          <w:color w:val="000000"/>
          <w:sz w:val="24"/>
          <w:szCs w:val="24"/>
          <w:lang w:val="en-GB"/>
        </w:rPr>
        <w:t xml:space="preserve">second and third appellants </w:t>
      </w:r>
      <w:r>
        <w:rPr>
          <w:rFonts w:ascii="Arial" w:hAnsi="Arial"/>
          <w:color w:val="000000"/>
          <w:sz w:val="24"/>
          <w:szCs w:val="24"/>
          <w:lang w:val="en-GB"/>
        </w:rPr>
        <w:t xml:space="preserve">will be referred to in this judgment </w:t>
      </w:r>
      <w:r w:rsidRPr="00D06975">
        <w:rPr>
          <w:rFonts w:ascii="Arial" w:hAnsi="Arial"/>
          <w:color w:val="000000"/>
          <w:sz w:val="24"/>
          <w:szCs w:val="24"/>
          <w:lang w:val="en-GB"/>
        </w:rPr>
        <w:t xml:space="preserve">by their </w:t>
      </w:r>
      <w:r>
        <w:rPr>
          <w:rFonts w:ascii="Arial" w:hAnsi="Arial"/>
          <w:color w:val="000000"/>
          <w:sz w:val="24"/>
          <w:szCs w:val="24"/>
          <w:lang w:val="en-GB"/>
        </w:rPr>
        <w:t>sur</w:t>
      </w:r>
      <w:r w:rsidRPr="00D06975">
        <w:rPr>
          <w:rFonts w:ascii="Arial" w:hAnsi="Arial"/>
          <w:color w:val="000000"/>
          <w:sz w:val="24"/>
          <w:szCs w:val="24"/>
          <w:lang w:val="en-GB"/>
        </w:rPr>
        <w:t xml:space="preserve">names, namely Mr Shilongo and Mr Shikage respectively. The respondent is the Prosecutor-General (the PG).  </w:t>
      </w:r>
    </w:p>
    <w:p w:rsidR="004B494C" w:rsidRPr="003447A1" w:rsidRDefault="004B494C" w:rsidP="00BC2003">
      <w:pPr>
        <w:pStyle w:val="ListParagraph"/>
        <w:tabs>
          <w:tab w:val="left" w:pos="0"/>
        </w:tabs>
        <w:spacing w:after="0" w:line="480" w:lineRule="auto"/>
        <w:ind w:left="0"/>
        <w:jc w:val="both"/>
        <w:rPr>
          <w:rFonts w:ascii="Arial" w:hAnsi="Arial"/>
          <w:sz w:val="24"/>
          <w:szCs w:val="24"/>
          <w:lang w:val="en-GB"/>
        </w:rPr>
      </w:pPr>
    </w:p>
    <w:p w:rsidR="004B494C" w:rsidRPr="003447A1" w:rsidRDefault="004B494C" w:rsidP="00BC2003">
      <w:pPr>
        <w:tabs>
          <w:tab w:val="left" w:pos="0"/>
        </w:tabs>
        <w:spacing w:after="0" w:line="480" w:lineRule="auto"/>
        <w:jc w:val="both"/>
        <w:rPr>
          <w:rFonts w:ascii="Arial" w:hAnsi="Arial"/>
          <w:sz w:val="24"/>
          <w:szCs w:val="24"/>
          <w:u w:val="single"/>
          <w:lang w:val="en-GB"/>
        </w:rPr>
      </w:pPr>
      <w:r>
        <w:rPr>
          <w:rFonts w:ascii="Arial" w:hAnsi="Arial"/>
          <w:sz w:val="24"/>
          <w:szCs w:val="24"/>
          <w:u w:val="single"/>
          <w:lang w:val="en-GB"/>
        </w:rPr>
        <w:t>B</w:t>
      </w:r>
      <w:r w:rsidRPr="003447A1">
        <w:rPr>
          <w:rFonts w:ascii="Arial" w:hAnsi="Arial"/>
          <w:sz w:val="24"/>
          <w:szCs w:val="24"/>
          <w:u w:val="single"/>
          <w:lang w:val="en-GB"/>
        </w:rPr>
        <w:t>ackground</w:t>
      </w:r>
    </w:p>
    <w:p w:rsidR="004B494C" w:rsidRPr="003447A1"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lang w:val="en-GB"/>
        </w:rPr>
      </w:pPr>
      <w:r>
        <w:rPr>
          <w:rFonts w:ascii="Arial" w:hAnsi="Arial"/>
          <w:sz w:val="24"/>
          <w:szCs w:val="24"/>
          <w:lang w:val="en-GB"/>
        </w:rPr>
        <w:t xml:space="preserve">The PG applied to the High Court under s 51(1) of the Prevention of Organised Crime Act (POCA) for a preservation of property order in respect of the following property, which order the High Court granted on </w:t>
      </w:r>
      <w:r w:rsidRPr="003447A1">
        <w:rPr>
          <w:rFonts w:ascii="Arial" w:hAnsi="Arial"/>
          <w:sz w:val="24"/>
          <w:szCs w:val="24"/>
          <w:lang w:val="en-GB"/>
        </w:rPr>
        <w:t xml:space="preserve">29 June 2012: </w:t>
      </w:r>
    </w:p>
    <w:p w:rsidR="004B494C" w:rsidRPr="00AC2CD8" w:rsidRDefault="004B494C" w:rsidP="00AC2CD8">
      <w:pPr>
        <w:tabs>
          <w:tab w:val="left" w:pos="0"/>
        </w:tabs>
        <w:spacing w:after="0"/>
        <w:jc w:val="both"/>
        <w:rPr>
          <w:rFonts w:ascii="Arial" w:hAnsi="Arial"/>
          <w:lang w:val="en-GB"/>
        </w:rPr>
      </w:pPr>
    </w:p>
    <w:p w:rsidR="004B494C" w:rsidRPr="00F31F4D" w:rsidRDefault="004B494C" w:rsidP="00BC2003">
      <w:pPr>
        <w:pStyle w:val="ListParagraph"/>
        <w:numPr>
          <w:ilvl w:val="0"/>
          <w:numId w:val="35"/>
        </w:numPr>
        <w:tabs>
          <w:tab w:val="left" w:pos="0"/>
        </w:tabs>
        <w:spacing w:after="0"/>
        <w:jc w:val="both"/>
        <w:rPr>
          <w:rFonts w:ascii="Arial" w:hAnsi="Arial"/>
          <w:lang w:val="en-GB"/>
        </w:rPr>
      </w:pPr>
      <w:bookmarkStart w:id="1" w:name="_Ref400275551"/>
      <w:r w:rsidRPr="00F31F4D">
        <w:rPr>
          <w:rFonts w:ascii="Arial" w:hAnsi="Arial"/>
          <w:lang w:val="en-GB"/>
        </w:rPr>
        <w:t>the positive balance in Bank Windhoek account number 8003042804 in the name of NAD, namely N$1 453 083,73;</w:t>
      </w:r>
      <w:bookmarkEnd w:id="1"/>
    </w:p>
    <w:p w:rsidR="004B494C" w:rsidRPr="00F31F4D" w:rsidRDefault="004B494C" w:rsidP="00BC2003">
      <w:pPr>
        <w:pStyle w:val="ListParagraph"/>
        <w:tabs>
          <w:tab w:val="left" w:pos="0"/>
        </w:tabs>
        <w:spacing w:after="0"/>
        <w:ind w:left="927"/>
        <w:jc w:val="both"/>
        <w:rPr>
          <w:rFonts w:ascii="Arial" w:hAnsi="Arial"/>
          <w:lang w:val="en-GB"/>
        </w:rPr>
      </w:pPr>
    </w:p>
    <w:p w:rsidR="004B494C" w:rsidRDefault="004B494C" w:rsidP="00BC2003">
      <w:pPr>
        <w:pStyle w:val="ListParagraph"/>
        <w:numPr>
          <w:ilvl w:val="0"/>
          <w:numId w:val="35"/>
        </w:numPr>
        <w:tabs>
          <w:tab w:val="left" w:pos="0"/>
        </w:tabs>
        <w:spacing w:after="0"/>
        <w:jc w:val="both"/>
        <w:rPr>
          <w:rFonts w:ascii="Arial" w:hAnsi="Arial"/>
          <w:lang w:val="en-GB"/>
        </w:rPr>
      </w:pPr>
      <w:r w:rsidRPr="00F31F4D">
        <w:rPr>
          <w:rFonts w:ascii="Arial" w:hAnsi="Arial"/>
          <w:lang w:val="en-GB"/>
        </w:rPr>
        <w:t>the positive balance in Bank Windhoek account number 8002979907 in the name of Kage Trading Enterprises CC, of which Mr. Shikage is the sole member, namely N$498 527,86;</w:t>
      </w:r>
    </w:p>
    <w:p w:rsidR="001470B5" w:rsidRPr="001470B5" w:rsidRDefault="001470B5" w:rsidP="001470B5">
      <w:pPr>
        <w:pStyle w:val="ListParagraph"/>
        <w:rPr>
          <w:rFonts w:ascii="Arial" w:hAnsi="Arial"/>
          <w:lang w:val="en-GB"/>
        </w:rPr>
      </w:pPr>
    </w:p>
    <w:p w:rsidR="004B494C" w:rsidRPr="00F31F4D" w:rsidRDefault="004B494C" w:rsidP="00BC2003">
      <w:pPr>
        <w:pStyle w:val="ListParagraph"/>
        <w:numPr>
          <w:ilvl w:val="0"/>
          <w:numId w:val="35"/>
        </w:numPr>
        <w:tabs>
          <w:tab w:val="left" w:pos="0"/>
        </w:tabs>
        <w:spacing w:after="0"/>
        <w:jc w:val="both"/>
        <w:rPr>
          <w:rFonts w:ascii="Arial" w:hAnsi="Arial"/>
          <w:lang w:val="en-GB"/>
        </w:rPr>
      </w:pPr>
      <w:r w:rsidRPr="00F31F4D">
        <w:rPr>
          <w:rFonts w:ascii="Arial" w:hAnsi="Arial"/>
          <w:lang w:val="en-GB"/>
        </w:rPr>
        <w:lastRenderedPageBreak/>
        <w:t>the positive balance in the Bank Windhoek account number 8002359254 in the name of C Three Trading Enterprise CC, of which the sole member is a Mr Eradius Lazarus, namely N$62 557,14;</w:t>
      </w:r>
    </w:p>
    <w:p w:rsidR="004B494C" w:rsidRPr="00F31F4D" w:rsidRDefault="004B494C" w:rsidP="00BC2003">
      <w:pPr>
        <w:tabs>
          <w:tab w:val="left" w:pos="0"/>
        </w:tabs>
        <w:spacing w:after="0"/>
        <w:jc w:val="both"/>
        <w:rPr>
          <w:rFonts w:ascii="Arial" w:hAnsi="Arial"/>
          <w:lang w:val="en-GB"/>
        </w:rPr>
      </w:pPr>
    </w:p>
    <w:p w:rsidR="004B494C" w:rsidRPr="00F31F4D" w:rsidRDefault="004B494C" w:rsidP="00BC2003">
      <w:pPr>
        <w:pStyle w:val="ListParagraph"/>
        <w:numPr>
          <w:ilvl w:val="0"/>
          <w:numId w:val="35"/>
        </w:numPr>
        <w:tabs>
          <w:tab w:val="left" w:pos="0"/>
        </w:tabs>
        <w:spacing w:after="0"/>
        <w:jc w:val="both"/>
        <w:rPr>
          <w:rFonts w:ascii="Arial" w:hAnsi="Arial"/>
          <w:lang w:val="en-GB"/>
        </w:rPr>
      </w:pPr>
      <w:r w:rsidRPr="00F31F4D">
        <w:rPr>
          <w:rFonts w:ascii="Arial" w:hAnsi="Arial"/>
          <w:lang w:val="en-GB"/>
        </w:rPr>
        <w:t>the positive balance in First National Bank account number 62234053560 in the name of Taleni Multi Media Consulting CC, of which Mr Shilongo is the sole member, namely N$343 265,75; and</w:t>
      </w:r>
    </w:p>
    <w:p w:rsidR="004B494C" w:rsidRPr="00F31F4D" w:rsidRDefault="004B494C" w:rsidP="00BC2003">
      <w:pPr>
        <w:tabs>
          <w:tab w:val="left" w:pos="0"/>
        </w:tabs>
        <w:spacing w:after="0"/>
        <w:jc w:val="both"/>
        <w:rPr>
          <w:rFonts w:ascii="Arial" w:hAnsi="Arial"/>
          <w:lang w:val="en-GB"/>
        </w:rPr>
      </w:pPr>
    </w:p>
    <w:p w:rsidR="004B494C" w:rsidRPr="00F31F4D" w:rsidRDefault="004B494C" w:rsidP="00BC2003">
      <w:pPr>
        <w:pStyle w:val="ListParagraph"/>
        <w:numPr>
          <w:ilvl w:val="0"/>
          <w:numId w:val="35"/>
        </w:numPr>
        <w:tabs>
          <w:tab w:val="left" w:pos="0"/>
        </w:tabs>
        <w:spacing w:after="0"/>
        <w:jc w:val="both"/>
        <w:rPr>
          <w:rFonts w:ascii="Arial" w:hAnsi="Arial"/>
          <w:bCs/>
          <w:lang w:val="en-GB"/>
        </w:rPr>
      </w:pPr>
      <w:bookmarkStart w:id="2" w:name="_Ref400275561"/>
      <w:r w:rsidRPr="00F31F4D">
        <w:rPr>
          <w:rFonts w:ascii="Arial" w:hAnsi="Arial"/>
          <w:lang w:val="en-GB"/>
        </w:rPr>
        <w:t xml:space="preserve">a 2010 Volkswagen Golf GTi motor </w:t>
      </w:r>
      <w:r w:rsidR="00920D62" w:rsidRPr="00F31F4D">
        <w:rPr>
          <w:rFonts w:ascii="Arial" w:hAnsi="Arial"/>
          <w:lang w:val="en-GB"/>
        </w:rPr>
        <w:t>vehicle</w:t>
      </w:r>
      <w:r w:rsidRPr="00F31F4D">
        <w:rPr>
          <w:rFonts w:ascii="Arial" w:hAnsi="Arial"/>
          <w:lang w:val="en-GB"/>
        </w:rPr>
        <w:t xml:space="preserve"> with registration number N130698W and engine number CCZ049937.</w:t>
      </w:r>
      <w:bookmarkEnd w:id="2"/>
    </w:p>
    <w:p w:rsidR="004B494C" w:rsidRPr="00B02067" w:rsidRDefault="004B494C" w:rsidP="00B02067">
      <w:pPr>
        <w:spacing w:after="0" w:line="480" w:lineRule="auto"/>
        <w:jc w:val="both"/>
        <w:rPr>
          <w:rFonts w:ascii="Arial" w:hAnsi="Arial"/>
          <w:lang w:val="en-GB"/>
        </w:rPr>
      </w:pPr>
    </w:p>
    <w:p w:rsidR="004B494C" w:rsidRDefault="004B494C" w:rsidP="00BC2003">
      <w:pPr>
        <w:pStyle w:val="WLGLevel1"/>
        <w:numPr>
          <w:ilvl w:val="0"/>
          <w:numId w:val="27"/>
        </w:numPr>
        <w:spacing w:before="0" w:after="0"/>
        <w:ind w:left="0" w:firstLine="0"/>
        <w:rPr>
          <w:rFonts w:cs="Arial"/>
        </w:rPr>
      </w:pPr>
      <w:r w:rsidRPr="005A35B2">
        <w:rPr>
          <w:rFonts w:eastAsia="Arial"/>
        </w:rPr>
        <w:t xml:space="preserve">The </w:t>
      </w:r>
      <w:r>
        <w:rPr>
          <w:rFonts w:eastAsia="Arial"/>
        </w:rPr>
        <w:t>thrust</w:t>
      </w:r>
      <w:r w:rsidRPr="005A35B2">
        <w:rPr>
          <w:rFonts w:eastAsia="Arial"/>
        </w:rPr>
        <w:t xml:space="preserve"> of the PG’s case was that Mr Shilongo and Mr Shikage corruptly colluded with officials in the Ministry of Agriculture, Water and Forestry (the MAWF) to defraud the MAWF in relation to the procurement of Lister engines and other goods related to water supply. </w:t>
      </w:r>
      <w:r w:rsidRPr="005A35B2">
        <w:rPr>
          <w:rFonts w:cs="Arial"/>
        </w:rPr>
        <w:t>Th</w:t>
      </w:r>
      <w:r>
        <w:rPr>
          <w:rFonts w:cs="Arial"/>
        </w:rPr>
        <w:t xml:space="preserve">e PG further alleged that </w:t>
      </w:r>
      <w:r w:rsidRPr="005A35B2">
        <w:rPr>
          <w:rFonts w:cs="Arial"/>
        </w:rPr>
        <w:t xml:space="preserve">on 23 September 2011, the Tender Board awarded a term tender for the supply of Lister engines to </w:t>
      </w:r>
      <w:r w:rsidRPr="005A35B2">
        <w:rPr>
          <w:rFonts w:cs="Arial"/>
          <w:bCs/>
          <w:spacing w:val="6"/>
        </w:rPr>
        <w:t>the MAWF f</w:t>
      </w:r>
      <w:r w:rsidRPr="005A35B2">
        <w:rPr>
          <w:rFonts w:cs="Arial"/>
        </w:rPr>
        <w:t>or the period ending on 30</w:t>
      </w:r>
      <w:r>
        <w:rPr>
          <w:rFonts w:cs="Arial"/>
        </w:rPr>
        <w:t xml:space="preserve"> </w:t>
      </w:r>
      <w:r w:rsidRPr="005A35B2">
        <w:rPr>
          <w:rFonts w:cs="Arial"/>
        </w:rPr>
        <w:t>June 2012. The successful tenderers were Continental Spares CC, Conserve Engineering CC and First Investments CC. T</w:t>
      </w:r>
      <w:r>
        <w:rPr>
          <w:rFonts w:cs="Arial"/>
        </w:rPr>
        <w:t>he effect of the award was that</w:t>
      </w:r>
      <w:r w:rsidRPr="005A35B2">
        <w:rPr>
          <w:rFonts w:cs="Arial"/>
        </w:rPr>
        <w:t xml:space="preserve"> whenever during that period the MAWF required Lister engines, it had to </w:t>
      </w:r>
      <w:r>
        <w:rPr>
          <w:rFonts w:cs="Arial"/>
        </w:rPr>
        <w:t xml:space="preserve">source them from </w:t>
      </w:r>
      <w:r w:rsidRPr="005A35B2">
        <w:rPr>
          <w:rFonts w:cs="Arial"/>
        </w:rPr>
        <w:t xml:space="preserve">the successful tenderers. The PG </w:t>
      </w:r>
      <w:r>
        <w:rPr>
          <w:rFonts w:cs="Arial"/>
        </w:rPr>
        <w:t xml:space="preserve">contended </w:t>
      </w:r>
      <w:r w:rsidRPr="005A35B2">
        <w:rPr>
          <w:rFonts w:cs="Arial"/>
        </w:rPr>
        <w:t>that one of the Lister engine</w:t>
      </w:r>
      <w:r>
        <w:rPr>
          <w:rFonts w:cs="Arial"/>
        </w:rPr>
        <w:t xml:space="preserve"> types</w:t>
      </w:r>
      <w:r w:rsidRPr="005A35B2">
        <w:rPr>
          <w:rFonts w:cs="Arial"/>
        </w:rPr>
        <w:t xml:space="preserve"> covered by the tender was the Lister series TR1 engine. The tender for the Lister series TR1 engines was awarded to Continental Spares CC. The tender price for a 4.5 kW engine was N$18</w:t>
      </w:r>
      <w:r>
        <w:rPr>
          <w:rFonts w:cs="Arial"/>
        </w:rPr>
        <w:t xml:space="preserve"> </w:t>
      </w:r>
      <w:r w:rsidRPr="005A35B2">
        <w:rPr>
          <w:rFonts w:cs="Arial"/>
        </w:rPr>
        <w:t>500 including VAT and transport.</w:t>
      </w:r>
    </w:p>
    <w:p w:rsidR="00C84C8E" w:rsidRPr="005A35B2" w:rsidRDefault="00C84C8E" w:rsidP="00C84C8E">
      <w:pPr>
        <w:pStyle w:val="WLGLevel1"/>
        <w:numPr>
          <w:ilvl w:val="0"/>
          <w:numId w:val="0"/>
        </w:numPr>
        <w:spacing w:before="0" w:after="0"/>
        <w:rPr>
          <w:rFonts w:cs="Arial"/>
        </w:rPr>
      </w:pP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 xml:space="preserve">It was further the PG’s case that despite the existence of the term tender, Mr Benedictus Freyer, the </w:t>
      </w:r>
      <w:r>
        <w:rPr>
          <w:rFonts w:ascii="Arial" w:hAnsi="Arial"/>
          <w:sz w:val="24"/>
          <w:szCs w:val="24"/>
          <w:lang w:val="en-GB"/>
        </w:rPr>
        <w:t>Deputy Director of Regional Support Services</w:t>
      </w:r>
      <w:r>
        <w:rPr>
          <w:rFonts w:ascii="Arial" w:hAnsi="Arial"/>
          <w:bCs/>
          <w:sz w:val="24"/>
          <w:szCs w:val="24"/>
          <w:lang w:val="en-GB"/>
        </w:rPr>
        <w:t xml:space="preserve"> in the MAWF, caused notices to be published in the </w:t>
      </w:r>
      <w:r w:rsidRPr="00B47CEF">
        <w:rPr>
          <w:rFonts w:ascii="Arial" w:hAnsi="Arial"/>
          <w:bCs/>
          <w:i/>
          <w:sz w:val="24"/>
          <w:szCs w:val="24"/>
          <w:lang w:val="en-GB"/>
        </w:rPr>
        <w:t>Government Gazette</w:t>
      </w:r>
      <w:r>
        <w:rPr>
          <w:rFonts w:ascii="Arial" w:hAnsi="Arial"/>
          <w:bCs/>
          <w:sz w:val="24"/>
          <w:szCs w:val="24"/>
          <w:lang w:val="en-GB"/>
        </w:rPr>
        <w:t xml:space="preserve"> and the press calling for quotations for the supply of Lister engines and subsequently authorised the conclusion of an agreement between the MAWF and NAD for the supply of the </w:t>
      </w:r>
      <w:r>
        <w:rPr>
          <w:rFonts w:ascii="Arial" w:hAnsi="Arial"/>
          <w:bCs/>
          <w:sz w:val="24"/>
          <w:szCs w:val="24"/>
          <w:lang w:val="en-GB"/>
        </w:rPr>
        <w:lastRenderedPageBreak/>
        <w:t xml:space="preserve">engines. Mr Freyer also subsequently </w:t>
      </w:r>
      <w:r w:rsidRPr="001A57C0">
        <w:rPr>
          <w:rFonts w:ascii="Arial" w:hAnsi="Arial"/>
          <w:bCs/>
          <w:sz w:val="24"/>
          <w:szCs w:val="24"/>
          <w:lang w:val="en-GB"/>
        </w:rPr>
        <w:t>approved</w:t>
      </w:r>
      <w:r>
        <w:rPr>
          <w:rFonts w:ascii="Arial" w:hAnsi="Arial"/>
          <w:bCs/>
          <w:sz w:val="24"/>
          <w:szCs w:val="24"/>
          <w:lang w:val="en-GB"/>
        </w:rPr>
        <w:t xml:space="preserve"> 11 purchase orders (one purchase order for each of the eleven rural water </w:t>
      </w:r>
      <w:r w:rsidR="00AC2CD8">
        <w:rPr>
          <w:rFonts w:ascii="Arial" w:hAnsi="Arial"/>
          <w:bCs/>
          <w:sz w:val="24"/>
          <w:szCs w:val="24"/>
          <w:lang w:val="en-GB"/>
        </w:rPr>
        <w:t xml:space="preserve">supply </w:t>
      </w:r>
      <w:r>
        <w:rPr>
          <w:rFonts w:ascii="Arial" w:hAnsi="Arial"/>
          <w:bCs/>
          <w:sz w:val="24"/>
          <w:szCs w:val="24"/>
          <w:lang w:val="en-GB"/>
        </w:rPr>
        <w:t xml:space="preserve">regions in the country) for the purchase of 110 Lister engines from NAD at a cost of N$26 782,30 per engine, excluding transport. Mr Freyer made a statement under oath, in which he sought to justify the decision to purchase the Lister Engines from NAD. In it he stated, amongst others, that before deciding to authorise the purchase, he consulted </w:t>
      </w:r>
      <w:r w:rsidR="00F31F4D">
        <w:rPr>
          <w:rFonts w:ascii="Arial" w:hAnsi="Arial"/>
          <w:bCs/>
          <w:sz w:val="24"/>
          <w:szCs w:val="24"/>
          <w:lang w:val="en-GB"/>
        </w:rPr>
        <w:t>a Programme A</w:t>
      </w:r>
      <w:r>
        <w:rPr>
          <w:rFonts w:ascii="Arial" w:hAnsi="Arial"/>
          <w:bCs/>
          <w:sz w:val="24"/>
          <w:szCs w:val="24"/>
          <w:lang w:val="en-GB"/>
        </w:rPr>
        <w:t>nalyst</w:t>
      </w:r>
      <w:r w:rsidR="00F31F4D">
        <w:rPr>
          <w:rFonts w:ascii="Arial" w:hAnsi="Arial"/>
          <w:bCs/>
          <w:sz w:val="24"/>
          <w:szCs w:val="24"/>
          <w:lang w:val="en-GB"/>
        </w:rPr>
        <w:t>,</w:t>
      </w:r>
      <w:r>
        <w:rPr>
          <w:rFonts w:ascii="Arial" w:hAnsi="Arial"/>
          <w:bCs/>
          <w:sz w:val="24"/>
          <w:szCs w:val="24"/>
          <w:lang w:val="en-GB"/>
        </w:rPr>
        <w:t xml:space="preserve"> Ms Sylvia Hoeses</w:t>
      </w:r>
      <w:r w:rsidR="00F31F4D">
        <w:rPr>
          <w:rFonts w:ascii="Arial" w:hAnsi="Arial"/>
          <w:bCs/>
          <w:sz w:val="24"/>
          <w:szCs w:val="24"/>
          <w:lang w:val="en-GB"/>
        </w:rPr>
        <w:t>,</w:t>
      </w:r>
      <w:r>
        <w:rPr>
          <w:rFonts w:ascii="Arial" w:hAnsi="Arial"/>
          <w:bCs/>
          <w:sz w:val="24"/>
          <w:szCs w:val="24"/>
          <w:lang w:val="en-GB"/>
        </w:rPr>
        <w:t xml:space="preserve"> and one other official in the MAWF about the quality of the Lister engines on the annual tender. After discussion with the two officials, in his own words:</w:t>
      </w:r>
    </w:p>
    <w:p w:rsidR="004B494C" w:rsidRDefault="004B494C" w:rsidP="00BC2003">
      <w:pPr>
        <w:tabs>
          <w:tab w:val="left" w:pos="0"/>
        </w:tabs>
        <w:spacing w:after="0" w:line="360" w:lineRule="auto"/>
        <w:ind w:left="720"/>
        <w:jc w:val="both"/>
        <w:rPr>
          <w:rFonts w:ascii="Arial" w:hAnsi="Arial"/>
          <w:bCs/>
          <w:lang w:val="en-GB"/>
        </w:rPr>
      </w:pPr>
    </w:p>
    <w:p w:rsidR="004B494C" w:rsidRPr="0066686F" w:rsidRDefault="004B494C" w:rsidP="00BC2003">
      <w:pPr>
        <w:tabs>
          <w:tab w:val="left" w:pos="0"/>
        </w:tabs>
        <w:spacing w:after="0" w:line="360" w:lineRule="auto"/>
        <w:ind w:left="720"/>
        <w:jc w:val="both"/>
        <w:rPr>
          <w:rFonts w:ascii="Arial" w:hAnsi="Arial"/>
          <w:bCs/>
          <w:lang w:val="en-GB"/>
        </w:rPr>
      </w:pPr>
      <w:r w:rsidRPr="0066686F">
        <w:rPr>
          <w:rFonts w:ascii="Arial" w:hAnsi="Arial"/>
          <w:bCs/>
          <w:lang w:val="en-GB"/>
        </w:rPr>
        <w:t>‘I concluded, based upon their advice that the Lister engines on the annual tender were not the original TR 1 Lister engines. I then concluded that it will be better to buy engines with better technical specifications. This was done due to the fact that I do not personally have the technical know–how about which engines are so called pirate engines and which are original.</w:t>
      </w:r>
      <w:r>
        <w:rPr>
          <w:rFonts w:ascii="Arial" w:hAnsi="Arial"/>
          <w:bCs/>
          <w:lang w:val="en-GB"/>
        </w:rPr>
        <w:t xml:space="preserve"> </w:t>
      </w:r>
      <w:r w:rsidRPr="0066686F">
        <w:rPr>
          <w:rFonts w:ascii="Arial" w:hAnsi="Arial"/>
          <w:bCs/>
          <w:lang w:val="en-GB"/>
        </w:rPr>
        <w:t xml:space="preserve">·It is against that background that the decision was taken collectively (it was not a decision which was taken solely by me) that we buy TR 1 Lister engines. I tasked Ms Hoeses to get quotations for TR Lister engines. She got quotations from Agra, New Africa Dimensions and Continental Spares. New Africa Dimensions quotation was the cheapest amongst the quotations presented to me with </w:t>
      </w:r>
      <w:r>
        <w:rPr>
          <w:rFonts w:ascii="Arial" w:hAnsi="Arial"/>
          <w:bCs/>
          <w:lang w:val="en-GB"/>
        </w:rPr>
        <w:t xml:space="preserve">the </w:t>
      </w:r>
      <w:r w:rsidRPr="0066686F">
        <w:rPr>
          <w:rFonts w:ascii="Arial" w:hAnsi="Arial"/>
          <w:bCs/>
          <w:lang w:val="en-GB"/>
        </w:rPr>
        <w:t>requisition. I signed the requisition because I found it to be in order when presented to me by Ms Hoeses</w:t>
      </w:r>
      <w:r w:rsidR="00F31F4D">
        <w:rPr>
          <w:rFonts w:ascii="Arial" w:hAnsi="Arial"/>
          <w:bCs/>
          <w:lang w:val="en-GB"/>
        </w:rPr>
        <w:t>. . . .</w:t>
      </w:r>
      <w:r>
        <w:rPr>
          <w:rFonts w:ascii="Arial" w:hAnsi="Arial"/>
          <w:bCs/>
          <w:lang w:val="en-GB"/>
        </w:rPr>
        <w:t>’</w:t>
      </w:r>
      <w:r w:rsidRPr="0066686F">
        <w:rPr>
          <w:rFonts w:ascii="Arial" w:hAnsi="Arial"/>
          <w:bCs/>
          <w:lang w:val="en-GB"/>
        </w:rPr>
        <w:t xml:space="preserve"> </w:t>
      </w:r>
    </w:p>
    <w:p w:rsidR="004B494C" w:rsidRPr="00AC3C84" w:rsidRDefault="004B494C" w:rsidP="001470B5">
      <w:pPr>
        <w:tabs>
          <w:tab w:val="left" w:pos="0"/>
        </w:tabs>
        <w:spacing w:after="0" w:line="360" w:lineRule="auto"/>
        <w:ind w:left="357"/>
        <w:jc w:val="both"/>
        <w:rPr>
          <w:rFonts w:ascii="Arial" w:hAnsi="Arial"/>
          <w:bCs/>
          <w:sz w:val="24"/>
          <w:szCs w:val="24"/>
          <w:lang w:val="en-GB"/>
        </w:rPr>
      </w:pP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2015E1">
        <w:rPr>
          <w:rFonts w:ascii="Arial" w:hAnsi="Arial"/>
          <w:bCs/>
          <w:sz w:val="24"/>
          <w:szCs w:val="24"/>
          <w:lang w:val="en-GB"/>
        </w:rPr>
        <w:t xml:space="preserve"> During the period between February 2012 to June 2012 payments amounting to N$9 834 143,91 were made </w:t>
      </w:r>
      <w:r>
        <w:rPr>
          <w:rFonts w:ascii="Arial" w:hAnsi="Arial"/>
          <w:bCs/>
          <w:sz w:val="24"/>
          <w:szCs w:val="24"/>
          <w:lang w:val="en-GB"/>
        </w:rPr>
        <w:t>in</w:t>
      </w:r>
      <w:r w:rsidRPr="002015E1">
        <w:rPr>
          <w:rFonts w:ascii="Arial" w:hAnsi="Arial"/>
          <w:bCs/>
          <w:sz w:val="24"/>
          <w:szCs w:val="24"/>
          <w:lang w:val="en-GB"/>
        </w:rPr>
        <w:t>to NAD</w:t>
      </w:r>
      <w:r>
        <w:rPr>
          <w:rFonts w:ascii="Arial" w:hAnsi="Arial"/>
          <w:bCs/>
          <w:sz w:val="24"/>
          <w:szCs w:val="24"/>
          <w:lang w:val="en-GB"/>
        </w:rPr>
        <w:t xml:space="preserve">’s bank account </w:t>
      </w:r>
      <w:r w:rsidRPr="002015E1">
        <w:rPr>
          <w:rFonts w:ascii="Arial" w:hAnsi="Arial"/>
          <w:bCs/>
          <w:sz w:val="24"/>
          <w:szCs w:val="24"/>
          <w:lang w:val="en-GB"/>
        </w:rPr>
        <w:t xml:space="preserve">in respect of the Lister engines and other </w:t>
      </w:r>
      <w:r>
        <w:rPr>
          <w:rFonts w:ascii="Arial" w:hAnsi="Arial"/>
          <w:bCs/>
          <w:sz w:val="24"/>
          <w:szCs w:val="24"/>
          <w:lang w:val="en-GB"/>
        </w:rPr>
        <w:t xml:space="preserve">items </w:t>
      </w:r>
      <w:r w:rsidRPr="002015E1">
        <w:rPr>
          <w:rFonts w:ascii="Arial" w:hAnsi="Arial"/>
          <w:bCs/>
          <w:sz w:val="24"/>
          <w:szCs w:val="24"/>
          <w:lang w:val="en-GB"/>
        </w:rPr>
        <w:t xml:space="preserve">connected to water supply. What stands out from the evidence is that when the payments were made the goods had not yet been delivered. Yet </w:t>
      </w:r>
      <w:r w:rsidRPr="00A10EB3">
        <w:rPr>
          <w:rFonts w:ascii="Arial" w:hAnsi="Arial"/>
          <w:bCs/>
          <w:sz w:val="24"/>
          <w:szCs w:val="24"/>
          <w:lang w:val="en-GB"/>
        </w:rPr>
        <w:t>members of NAD</w:t>
      </w:r>
      <w:r>
        <w:rPr>
          <w:rFonts w:ascii="Arial" w:hAnsi="Arial"/>
          <w:bCs/>
          <w:sz w:val="24"/>
          <w:szCs w:val="24"/>
          <w:lang w:val="en-GB"/>
        </w:rPr>
        <w:t xml:space="preserve"> certified that the goods had been delivered and </w:t>
      </w:r>
      <w:r w:rsidRPr="002015E1">
        <w:rPr>
          <w:rFonts w:ascii="Arial" w:hAnsi="Arial"/>
          <w:bCs/>
          <w:sz w:val="24"/>
          <w:szCs w:val="24"/>
          <w:lang w:val="en-GB"/>
        </w:rPr>
        <w:t xml:space="preserve">certain officials in the MAWF </w:t>
      </w:r>
      <w:r>
        <w:rPr>
          <w:rFonts w:ascii="Arial" w:hAnsi="Arial"/>
          <w:bCs/>
          <w:sz w:val="24"/>
          <w:szCs w:val="24"/>
          <w:lang w:val="en-GB"/>
        </w:rPr>
        <w:t xml:space="preserve">also certified </w:t>
      </w:r>
      <w:r w:rsidRPr="002015E1">
        <w:rPr>
          <w:rFonts w:ascii="Arial" w:hAnsi="Arial"/>
          <w:bCs/>
          <w:sz w:val="24"/>
          <w:szCs w:val="24"/>
          <w:lang w:val="en-GB"/>
        </w:rPr>
        <w:t xml:space="preserve">that the </w:t>
      </w:r>
      <w:r>
        <w:rPr>
          <w:rFonts w:ascii="Arial" w:hAnsi="Arial"/>
          <w:bCs/>
          <w:sz w:val="24"/>
          <w:szCs w:val="24"/>
          <w:lang w:val="en-GB"/>
        </w:rPr>
        <w:t xml:space="preserve">equipment had been </w:t>
      </w:r>
      <w:r w:rsidRPr="002015E1">
        <w:rPr>
          <w:rFonts w:ascii="Arial" w:hAnsi="Arial"/>
          <w:bCs/>
          <w:sz w:val="24"/>
          <w:szCs w:val="24"/>
          <w:lang w:val="en-GB"/>
        </w:rPr>
        <w:t xml:space="preserve">received, </w:t>
      </w:r>
      <w:r w:rsidRPr="002015E1">
        <w:rPr>
          <w:rFonts w:ascii="Arial" w:hAnsi="Arial"/>
          <w:bCs/>
          <w:sz w:val="24"/>
          <w:szCs w:val="24"/>
          <w:lang w:val="en-GB"/>
        </w:rPr>
        <w:lastRenderedPageBreak/>
        <w:t xml:space="preserve">taken charge of and </w:t>
      </w:r>
      <w:r>
        <w:rPr>
          <w:rFonts w:ascii="Arial" w:hAnsi="Arial"/>
          <w:bCs/>
          <w:sz w:val="24"/>
          <w:szCs w:val="24"/>
          <w:lang w:val="en-GB"/>
        </w:rPr>
        <w:t xml:space="preserve">were </w:t>
      </w:r>
      <w:r w:rsidRPr="002015E1">
        <w:rPr>
          <w:rFonts w:ascii="Arial" w:hAnsi="Arial"/>
          <w:bCs/>
          <w:sz w:val="24"/>
          <w:szCs w:val="24"/>
          <w:lang w:val="en-GB"/>
        </w:rPr>
        <w:t xml:space="preserve">performing satisfactorily. </w:t>
      </w:r>
      <w:r>
        <w:rPr>
          <w:rFonts w:ascii="Arial" w:hAnsi="Arial"/>
          <w:bCs/>
          <w:sz w:val="24"/>
          <w:szCs w:val="24"/>
          <w:lang w:val="en-GB"/>
        </w:rPr>
        <w:t>Before money sourced from the MAWF was paid into NAD’s bank account, NAD had only N$300 in the account.</w:t>
      </w:r>
    </w:p>
    <w:p w:rsidR="004B494C" w:rsidRPr="002015E1" w:rsidRDefault="004B494C" w:rsidP="00B02067">
      <w:pPr>
        <w:tabs>
          <w:tab w:val="left" w:pos="0"/>
        </w:tabs>
        <w:spacing w:after="0" w:line="480" w:lineRule="auto"/>
        <w:jc w:val="both"/>
        <w:rPr>
          <w:rFonts w:ascii="Arial" w:hAnsi="Arial"/>
          <w:bCs/>
          <w:sz w:val="24"/>
          <w:szCs w:val="24"/>
          <w:lang w:val="en-GB"/>
        </w:rPr>
      </w:pPr>
    </w:p>
    <w:p w:rsidR="004B494C" w:rsidRPr="00F7614B"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eastAsia="Arial" w:hAnsi="Arial"/>
          <w:sz w:val="24"/>
        </w:rPr>
        <w:t>In a number of instances, the money paid into NAD bank account was not used to buy goods procured by MAWF. Instead, it was paid into the bank accounts of entities such as Kage Trading Enterprises CC (Kage Trading), C Three Trading CC (C Three Trading) or Taleni Multi-Media Consulting CC (Taleni). This brings me to the interrelationship between these entities, the appellants and the preserved property. Messrs Shilongo and Shikage were employed by the Office of the Prime Minister. Neither of them had been granted permission to perform remunerative work outside of the Public Service. As mentioned above, Mr Shilongo and Mr Shikage were the only members of NAD. Mr Shikage was the sole member of Kage Trading. Mr Shilongo was the sole member of Taleni. When the PG brought the preservation application, she believed that Mr Shilongo was the sole member of C Three Trading. Unbeknown to her, Mr Shilongo had transferred his member’s interest in C Three Trading to a certain Mr Eradius Lazarus. The Volkswagen Golf GTi motor vehicle (the Golf) was purchased by NAD for Mr Shilongo in April 2012 for N$320 00</w:t>
      </w:r>
      <w:r w:rsidR="00F31F4D">
        <w:rPr>
          <w:rFonts w:ascii="Arial" w:eastAsia="Arial" w:hAnsi="Arial"/>
          <w:sz w:val="24"/>
        </w:rPr>
        <w:t>0</w:t>
      </w:r>
      <w:r>
        <w:rPr>
          <w:rFonts w:ascii="Arial" w:eastAsia="Arial" w:hAnsi="Arial"/>
          <w:sz w:val="24"/>
        </w:rPr>
        <w:t xml:space="preserve"> and was registered in his name.</w:t>
      </w:r>
    </w:p>
    <w:p w:rsidR="004B494C" w:rsidRPr="00C84C8E" w:rsidRDefault="004B494C" w:rsidP="00C84C8E">
      <w:pPr>
        <w:spacing w:after="0" w:line="480" w:lineRule="auto"/>
        <w:rPr>
          <w:rFonts w:ascii="Arial" w:eastAsia="Arial" w:hAnsi="Arial"/>
          <w:sz w:val="24"/>
        </w:rPr>
      </w:pPr>
    </w:p>
    <w:p w:rsidR="004B494C" w:rsidRPr="00B02067"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B2DA0">
        <w:rPr>
          <w:rFonts w:ascii="Arial" w:eastAsia="Arial" w:hAnsi="Arial"/>
          <w:sz w:val="24"/>
        </w:rPr>
        <w:t xml:space="preserve">In terms of the </w:t>
      </w:r>
      <w:r w:rsidR="00F31F4D">
        <w:rPr>
          <w:rFonts w:ascii="Arial" w:eastAsia="Arial" w:hAnsi="Arial"/>
          <w:sz w:val="24"/>
        </w:rPr>
        <w:t xml:space="preserve">preservation </w:t>
      </w:r>
      <w:r w:rsidRPr="005B2DA0">
        <w:rPr>
          <w:rFonts w:ascii="Arial" w:eastAsia="Arial" w:hAnsi="Arial"/>
          <w:sz w:val="24"/>
        </w:rPr>
        <w:t>order</w:t>
      </w:r>
      <w:r>
        <w:rPr>
          <w:rFonts w:ascii="Arial" w:eastAsia="Arial" w:hAnsi="Arial"/>
          <w:sz w:val="24"/>
        </w:rPr>
        <w:t xml:space="preserve"> of the High Court</w:t>
      </w:r>
      <w:r w:rsidRPr="005B2DA0">
        <w:rPr>
          <w:rFonts w:ascii="Arial" w:eastAsia="Arial" w:hAnsi="Arial"/>
          <w:sz w:val="24"/>
        </w:rPr>
        <w:t xml:space="preserve">, Mr Karl Patrick Cloete of the Anti-Corruption Commission </w:t>
      </w:r>
      <w:r>
        <w:rPr>
          <w:rFonts w:ascii="Arial" w:eastAsia="Arial" w:hAnsi="Arial"/>
          <w:sz w:val="24"/>
        </w:rPr>
        <w:t xml:space="preserve">(the ACC) </w:t>
      </w:r>
      <w:r w:rsidRPr="005B2DA0">
        <w:rPr>
          <w:rFonts w:ascii="Arial" w:eastAsia="Arial" w:hAnsi="Arial"/>
          <w:sz w:val="24"/>
        </w:rPr>
        <w:t>or any member of the ACC</w:t>
      </w:r>
      <w:r>
        <w:rPr>
          <w:rFonts w:ascii="Arial" w:eastAsia="Arial" w:hAnsi="Arial"/>
          <w:sz w:val="24"/>
        </w:rPr>
        <w:t xml:space="preserve"> was authoris</w:t>
      </w:r>
      <w:r w:rsidRPr="005B2DA0">
        <w:rPr>
          <w:rFonts w:ascii="Arial" w:eastAsia="Arial" w:hAnsi="Arial"/>
          <w:sz w:val="24"/>
        </w:rPr>
        <w:t xml:space="preserve">ed to assume control of the </w:t>
      </w:r>
      <w:r>
        <w:rPr>
          <w:rFonts w:ascii="Arial" w:eastAsia="Arial" w:hAnsi="Arial"/>
          <w:sz w:val="24"/>
        </w:rPr>
        <w:t xml:space="preserve">preserved </w:t>
      </w:r>
      <w:r w:rsidRPr="005B2DA0">
        <w:rPr>
          <w:rFonts w:ascii="Arial" w:eastAsia="Arial" w:hAnsi="Arial"/>
          <w:sz w:val="24"/>
        </w:rPr>
        <w:t>property and</w:t>
      </w:r>
      <w:r>
        <w:rPr>
          <w:rFonts w:ascii="Arial" w:eastAsia="Arial" w:hAnsi="Arial"/>
          <w:sz w:val="24"/>
        </w:rPr>
        <w:t xml:space="preserve"> to</w:t>
      </w:r>
      <w:r w:rsidRPr="005B2DA0">
        <w:rPr>
          <w:rFonts w:ascii="Arial" w:eastAsia="Arial" w:hAnsi="Arial"/>
          <w:sz w:val="24"/>
        </w:rPr>
        <w:t xml:space="preserve"> take the property into his or her custody. In addition, the court directed the PG to serve the order on Mr Shilongo and Mr Shikage and on any person who has </w:t>
      </w:r>
      <w:r>
        <w:rPr>
          <w:rFonts w:ascii="Arial" w:eastAsia="Arial" w:hAnsi="Arial"/>
          <w:sz w:val="24"/>
        </w:rPr>
        <w:t xml:space="preserve">had </w:t>
      </w:r>
      <w:r w:rsidRPr="005B2DA0">
        <w:rPr>
          <w:rFonts w:ascii="Arial" w:eastAsia="Arial" w:hAnsi="Arial"/>
          <w:sz w:val="24"/>
        </w:rPr>
        <w:t>an interest in the property and who intend</w:t>
      </w:r>
      <w:r>
        <w:rPr>
          <w:rFonts w:ascii="Arial" w:eastAsia="Arial" w:hAnsi="Arial"/>
          <w:sz w:val="24"/>
        </w:rPr>
        <w:t>ed</w:t>
      </w:r>
      <w:r w:rsidRPr="005B2DA0">
        <w:rPr>
          <w:rFonts w:ascii="Arial" w:eastAsia="Arial" w:hAnsi="Arial"/>
          <w:sz w:val="24"/>
        </w:rPr>
        <w:t xml:space="preserve"> to oppose the forfeiture application. </w:t>
      </w:r>
    </w:p>
    <w:p w:rsidR="004B494C" w:rsidRPr="005B2DA0"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B2DA0">
        <w:rPr>
          <w:rFonts w:ascii="Arial" w:hAnsi="Arial"/>
          <w:sz w:val="24"/>
          <w:szCs w:val="24"/>
          <w:lang w:val="en-GB"/>
        </w:rPr>
        <w:lastRenderedPageBreak/>
        <w:t xml:space="preserve">The preservation application and preservation order were duly served on the appellants and were also published in the </w:t>
      </w:r>
      <w:r w:rsidRPr="005B2DA0">
        <w:rPr>
          <w:rFonts w:ascii="Arial" w:hAnsi="Arial"/>
          <w:i/>
          <w:sz w:val="24"/>
          <w:szCs w:val="24"/>
          <w:lang w:val="en-GB"/>
        </w:rPr>
        <w:t xml:space="preserve">Government </w:t>
      </w:r>
      <w:r w:rsidRPr="009C3FF1">
        <w:rPr>
          <w:rFonts w:ascii="Arial" w:hAnsi="Arial"/>
          <w:i/>
          <w:sz w:val="24"/>
          <w:szCs w:val="24"/>
          <w:lang w:val="en-GB"/>
        </w:rPr>
        <w:t>Gazette</w:t>
      </w:r>
      <w:r w:rsidRPr="005B2DA0">
        <w:rPr>
          <w:rFonts w:ascii="Arial" w:hAnsi="Arial"/>
          <w:sz w:val="24"/>
          <w:szCs w:val="24"/>
          <w:lang w:val="en-GB"/>
        </w:rPr>
        <w:t xml:space="preserve">. </w:t>
      </w:r>
      <w:r>
        <w:rPr>
          <w:rFonts w:ascii="Arial" w:hAnsi="Arial"/>
          <w:sz w:val="24"/>
          <w:szCs w:val="24"/>
          <w:lang w:val="en-GB"/>
        </w:rPr>
        <w:t xml:space="preserve">NAD, Mr Shilongo and Mr Shikage </w:t>
      </w:r>
      <w:r w:rsidRPr="005B2DA0">
        <w:rPr>
          <w:rFonts w:ascii="Arial" w:hAnsi="Arial"/>
          <w:sz w:val="24"/>
          <w:szCs w:val="24"/>
          <w:lang w:val="en-GB"/>
        </w:rPr>
        <w:t>gave notice in terms of s 52(3) of POCA of their intention to oppose the application for a forfeiture order and simultaneously filed answering affidavit</w:t>
      </w:r>
      <w:r>
        <w:rPr>
          <w:rFonts w:ascii="Arial" w:hAnsi="Arial"/>
          <w:sz w:val="24"/>
          <w:szCs w:val="24"/>
          <w:lang w:val="en-GB"/>
        </w:rPr>
        <w:t>s</w:t>
      </w:r>
      <w:r w:rsidRPr="005B2DA0">
        <w:rPr>
          <w:rFonts w:ascii="Arial" w:hAnsi="Arial"/>
          <w:sz w:val="24"/>
          <w:szCs w:val="24"/>
          <w:lang w:val="en-GB"/>
        </w:rPr>
        <w:t>.</w:t>
      </w:r>
      <w:r w:rsidRPr="005B2DA0">
        <w:rPr>
          <w:rFonts w:ascii="Arial" w:hAnsi="Arial"/>
          <w:bCs/>
          <w:sz w:val="24"/>
          <w:szCs w:val="24"/>
          <w:lang w:val="en-GB"/>
        </w:rPr>
        <w:t xml:space="preserve"> In addition to the merits, the</w:t>
      </w:r>
      <w:r>
        <w:rPr>
          <w:rFonts w:ascii="Arial" w:hAnsi="Arial"/>
          <w:bCs/>
          <w:sz w:val="24"/>
          <w:szCs w:val="24"/>
          <w:lang w:val="en-GB"/>
        </w:rPr>
        <w:t>y</w:t>
      </w:r>
      <w:r w:rsidRPr="005B2DA0">
        <w:rPr>
          <w:rFonts w:ascii="Arial" w:hAnsi="Arial"/>
          <w:bCs/>
          <w:sz w:val="24"/>
          <w:szCs w:val="24"/>
          <w:lang w:val="en-GB"/>
        </w:rPr>
        <w:t xml:space="preserve"> raised </w:t>
      </w:r>
      <w:r w:rsidRPr="005B2DA0">
        <w:rPr>
          <w:rFonts w:ascii="Arial" w:eastAsia="Arial" w:hAnsi="Arial"/>
          <w:sz w:val="24"/>
        </w:rPr>
        <w:t xml:space="preserve">two preliminary </w:t>
      </w:r>
      <w:r>
        <w:rPr>
          <w:rFonts w:ascii="Arial" w:eastAsia="Arial" w:hAnsi="Arial"/>
          <w:sz w:val="24"/>
        </w:rPr>
        <w:t>p</w:t>
      </w:r>
      <w:r w:rsidRPr="005B2DA0">
        <w:rPr>
          <w:rFonts w:ascii="Arial" w:eastAsia="Arial" w:hAnsi="Arial"/>
          <w:sz w:val="24"/>
        </w:rPr>
        <w:t>o</w:t>
      </w:r>
      <w:r>
        <w:rPr>
          <w:rFonts w:ascii="Arial" w:eastAsia="Arial" w:hAnsi="Arial"/>
          <w:sz w:val="24"/>
        </w:rPr>
        <w:t xml:space="preserve">ints in relation to </w:t>
      </w:r>
      <w:r w:rsidRPr="005B2DA0">
        <w:rPr>
          <w:rFonts w:ascii="Arial" w:eastAsia="Arial" w:hAnsi="Arial"/>
          <w:sz w:val="24"/>
        </w:rPr>
        <w:t xml:space="preserve">the application. </w:t>
      </w:r>
      <w:r>
        <w:rPr>
          <w:rFonts w:ascii="Arial" w:eastAsia="Arial" w:hAnsi="Arial"/>
          <w:sz w:val="24"/>
        </w:rPr>
        <w:t>Firstly</w:t>
      </w:r>
      <w:r w:rsidRPr="005B2DA0">
        <w:rPr>
          <w:rFonts w:ascii="Arial" w:eastAsia="Arial" w:hAnsi="Arial"/>
          <w:sz w:val="24"/>
        </w:rPr>
        <w:t xml:space="preserve">, </w:t>
      </w:r>
      <w:r>
        <w:rPr>
          <w:rFonts w:ascii="Arial" w:eastAsia="Arial" w:hAnsi="Arial"/>
          <w:sz w:val="24"/>
        </w:rPr>
        <w:t>they</w:t>
      </w:r>
      <w:r w:rsidRPr="005B2DA0">
        <w:rPr>
          <w:rFonts w:ascii="Arial" w:eastAsia="Arial" w:hAnsi="Arial"/>
          <w:sz w:val="24"/>
        </w:rPr>
        <w:t xml:space="preserve"> contend</w:t>
      </w:r>
      <w:r>
        <w:rPr>
          <w:rFonts w:ascii="Arial" w:eastAsia="Arial" w:hAnsi="Arial"/>
          <w:sz w:val="24"/>
        </w:rPr>
        <w:t>ed</w:t>
      </w:r>
      <w:r w:rsidRPr="005B2DA0">
        <w:rPr>
          <w:rFonts w:ascii="Arial" w:eastAsia="Arial" w:hAnsi="Arial"/>
          <w:sz w:val="24"/>
        </w:rPr>
        <w:t xml:space="preserve"> that the PG’s founding papers were irregular. </w:t>
      </w:r>
      <w:r>
        <w:rPr>
          <w:rFonts w:ascii="Arial" w:eastAsia="Arial" w:hAnsi="Arial"/>
          <w:sz w:val="24"/>
        </w:rPr>
        <w:t>Lastly, t</w:t>
      </w:r>
      <w:r w:rsidRPr="005B2DA0">
        <w:rPr>
          <w:rFonts w:ascii="Arial" w:eastAsia="Arial" w:hAnsi="Arial"/>
          <w:sz w:val="24"/>
        </w:rPr>
        <w:t>he</w:t>
      </w:r>
      <w:r>
        <w:rPr>
          <w:rFonts w:ascii="Arial" w:eastAsia="Arial" w:hAnsi="Arial"/>
          <w:sz w:val="24"/>
        </w:rPr>
        <w:t>y</w:t>
      </w:r>
      <w:r w:rsidRPr="005B2DA0">
        <w:rPr>
          <w:rFonts w:ascii="Arial" w:eastAsia="Arial" w:hAnsi="Arial"/>
          <w:sz w:val="24"/>
        </w:rPr>
        <w:t xml:space="preserve"> </w:t>
      </w:r>
      <w:r>
        <w:rPr>
          <w:rFonts w:ascii="Arial" w:eastAsia="Arial" w:hAnsi="Arial"/>
          <w:sz w:val="24"/>
        </w:rPr>
        <w:t xml:space="preserve">complained about the </w:t>
      </w:r>
      <w:r w:rsidRPr="005B2DA0">
        <w:rPr>
          <w:rFonts w:ascii="Arial" w:eastAsia="Arial" w:hAnsi="Arial"/>
          <w:sz w:val="24"/>
        </w:rPr>
        <w:t>non</w:t>
      </w:r>
      <w:r>
        <w:rPr>
          <w:rFonts w:ascii="Arial" w:eastAsia="Arial" w:hAnsi="Arial"/>
          <w:sz w:val="24"/>
        </w:rPr>
        <w:t>-</w:t>
      </w:r>
      <w:r w:rsidRPr="005B2DA0">
        <w:rPr>
          <w:rFonts w:ascii="Arial" w:eastAsia="Arial" w:hAnsi="Arial"/>
          <w:sz w:val="24"/>
        </w:rPr>
        <w:t xml:space="preserve">joinder of </w:t>
      </w:r>
      <w:r w:rsidRPr="001A57C0">
        <w:rPr>
          <w:rFonts w:ascii="Arial" w:eastAsia="Arial" w:hAnsi="Arial"/>
          <w:sz w:val="24"/>
        </w:rPr>
        <w:t>certain entities</w:t>
      </w:r>
      <w:r>
        <w:rPr>
          <w:rFonts w:ascii="Arial" w:eastAsia="Arial" w:hAnsi="Arial"/>
          <w:sz w:val="24"/>
        </w:rPr>
        <w:t xml:space="preserve"> that may have had an interest in the preserved property</w:t>
      </w:r>
      <w:r w:rsidRPr="005B2DA0">
        <w:rPr>
          <w:rFonts w:ascii="Arial" w:eastAsia="Arial" w:hAnsi="Arial"/>
          <w:sz w:val="24"/>
        </w:rPr>
        <w:t xml:space="preserve">. </w:t>
      </w:r>
      <w:r w:rsidRPr="00D10142">
        <w:rPr>
          <w:rFonts w:ascii="Arial" w:hAnsi="Arial"/>
          <w:sz w:val="24"/>
          <w:szCs w:val="24"/>
          <w:lang w:val="en-GB"/>
        </w:rPr>
        <w:t>Kage Trading, C Three Trading and Taleni</w:t>
      </w:r>
      <w:r w:rsidRPr="005B2DA0">
        <w:rPr>
          <w:rFonts w:ascii="Arial" w:hAnsi="Arial"/>
          <w:sz w:val="24"/>
          <w:szCs w:val="24"/>
          <w:lang w:val="en-GB"/>
        </w:rPr>
        <w:t xml:space="preserve"> did not deliver notice</w:t>
      </w:r>
      <w:r>
        <w:rPr>
          <w:rFonts w:ascii="Arial" w:hAnsi="Arial"/>
          <w:sz w:val="24"/>
          <w:szCs w:val="24"/>
          <w:lang w:val="en-GB"/>
        </w:rPr>
        <w:t>s</w:t>
      </w:r>
      <w:r w:rsidRPr="005B2DA0">
        <w:rPr>
          <w:rFonts w:ascii="Arial" w:hAnsi="Arial"/>
          <w:sz w:val="24"/>
          <w:szCs w:val="24"/>
          <w:lang w:val="en-GB"/>
        </w:rPr>
        <w:t xml:space="preserve"> of opposition </w:t>
      </w:r>
      <w:r>
        <w:rPr>
          <w:rFonts w:ascii="Arial" w:hAnsi="Arial"/>
          <w:sz w:val="24"/>
          <w:szCs w:val="24"/>
          <w:lang w:val="en-GB"/>
        </w:rPr>
        <w:t>and so they played no part in the proceedings in the High Court or in this court.</w:t>
      </w:r>
    </w:p>
    <w:p w:rsidR="004B494C" w:rsidRPr="005B2DA0"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B2DA0">
        <w:rPr>
          <w:rFonts w:ascii="Arial" w:hAnsi="Arial"/>
          <w:sz w:val="24"/>
          <w:szCs w:val="24"/>
          <w:lang w:val="en-GB"/>
        </w:rPr>
        <w:t xml:space="preserve">On 9 November 2012, </w:t>
      </w:r>
      <w:r w:rsidR="00F31F4D">
        <w:rPr>
          <w:rFonts w:ascii="Arial" w:hAnsi="Arial"/>
          <w:sz w:val="24"/>
          <w:szCs w:val="24"/>
          <w:lang w:val="en-GB"/>
        </w:rPr>
        <w:t>i</w:t>
      </w:r>
      <w:r w:rsidR="00920D62">
        <w:rPr>
          <w:rFonts w:ascii="Arial" w:hAnsi="Arial"/>
          <w:sz w:val="24"/>
          <w:szCs w:val="24"/>
          <w:lang w:val="en-GB"/>
        </w:rPr>
        <w:t>e</w:t>
      </w:r>
      <w:r w:rsidRPr="005B2DA0">
        <w:rPr>
          <w:rFonts w:ascii="Arial" w:hAnsi="Arial"/>
          <w:sz w:val="24"/>
          <w:szCs w:val="24"/>
          <w:lang w:val="en-GB"/>
        </w:rPr>
        <w:t xml:space="preserve"> within the period of 120 days required by s 53(1) of POCA, the PG launched an application for </w:t>
      </w:r>
      <w:r>
        <w:rPr>
          <w:rFonts w:ascii="Arial" w:hAnsi="Arial"/>
          <w:sz w:val="24"/>
          <w:szCs w:val="24"/>
          <w:lang w:val="en-GB"/>
        </w:rPr>
        <w:t xml:space="preserve">the </w:t>
      </w:r>
      <w:r w:rsidRPr="005B2DA0">
        <w:rPr>
          <w:rFonts w:ascii="Arial" w:hAnsi="Arial"/>
          <w:sz w:val="24"/>
          <w:szCs w:val="24"/>
          <w:lang w:val="en-GB"/>
        </w:rPr>
        <w:t xml:space="preserve">forfeiture of the </w:t>
      </w:r>
      <w:r>
        <w:rPr>
          <w:rFonts w:ascii="Arial" w:hAnsi="Arial"/>
          <w:sz w:val="24"/>
          <w:szCs w:val="24"/>
          <w:lang w:val="en-GB"/>
        </w:rPr>
        <w:t xml:space="preserve">preserved </w:t>
      </w:r>
      <w:r w:rsidRPr="005B2DA0">
        <w:rPr>
          <w:rFonts w:ascii="Arial" w:hAnsi="Arial"/>
          <w:sz w:val="24"/>
          <w:szCs w:val="24"/>
          <w:lang w:val="en-GB"/>
        </w:rPr>
        <w:t>property.</w:t>
      </w:r>
      <w:r w:rsidRPr="005B2DA0">
        <w:rPr>
          <w:rFonts w:ascii="Arial" w:hAnsi="Arial"/>
          <w:bCs/>
          <w:sz w:val="24"/>
          <w:szCs w:val="24"/>
          <w:lang w:val="en-GB"/>
        </w:rPr>
        <w:t xml:space="preserve"> After hearing argument against and in support of the application, the court granted the application with costs</w:t>
      </w:r>
      <w:r>
        <w:rPr>
          <w:rFonts w:ascii="Arial" w:hAnsi="Arial"/>
          <w:bCs/>
          <w:sz w:val="24"/>
          <w:szCs w:val="24"/>
          <w:lang w:val="en-GB"/>
        </w:rPr>
        <w:t xml:space="preserve">, culminating </w:t>
      </w:r>
      <w:r w:rsidRPr="005B2DA0">
        <w:rPr>
          <w:rFonts w:ascii="Arial" w:hAnsi="Arial"/>
          <w:bCs/>
          <w:sz w:val="24"/>
          <w:szCs w:val="24"/>
          <w:lang w:val="en-GB"/>
        </w:rPr>
        <w:t>in the present appeal.</w:t>
      </w:r>
    </w:p>
    <w:p w:rsidR="00BD674F" w:rsidRPr="00BD674F" w:rsidRDefault="00BD674F" w:rsidP="00BD674F">
      <w:pPr>
        <w:pStyle w:val="ListParagraph"/>
        <w:rPr>
          <w:rFonts w:ascii="Arial" w:hAnsi="Arial"/>
          <w:bCs/>
          <w:sz w:val="24"/>
          <w:szCs w:val="24"/>
          <w:lang w:val="en-GB"/>
        </w:rPr>
      </w:pPr>
    </w:p>
    <w:p w:rsidR="004B494C" w:rsidRPr="002C428A" w:rsidRDefault="004B494C" w:rsidP="00BC2003">
      <w:pPr>
        <w:pStyle w:val="ListParagraph"/>
        <w:tabs>
          <w:tab w:val="left" w:pos="0"/>
        </w:tabs>
        <w:spacing w:after="0" w:line="480" w:lineRule="auto"/>
        <w:ind w:left="0"/>
        <w:jc w:val="both"/>
        <w:rPr>
          <w:rFonts w:ascii="Arial" w:hAnsi="Arial"/>
          <w:bCs/>
          <w:sz w:val="24"/>
          <w:szCs w:val="24"/>
          <w:u w:val="single"/>
          <w:lang w:val="en-GB"/>
        </w:rPr>
      </w:pPr>
      <w:r>
        <w:rPr>
          <w:rFonts w:ascii="Arial" w:hAnsi="Arial"/>
          <w:bCs/>
          <w:sz w:val="24"/>
          <w:szCs w:val="24"/>
          <w:u w:val="single"/>
          <w:lang w:val="en-GB"/>
        </w:rPr>
        <w:t>Findings of the High Court</w:t>
      </w:r>
    </w:p>
    <w:p w:rsidR="004B494C" w:rsidRPr="00DF1794"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DF1794">
        <w:rPr>
          <w:rFonts w:ascii="Arial" w:hAnsi="Arial"/>
          <w:bCs/>
          <w:sz w:val="24"/>
          <w:szCs w:val="24"/>
          <w:lang w:val="en-GB"/>
        </w:rPr>
        <w:t xml:space="preserve">The High Court dismissed the preliminary points directed at the founding and supplementary affidavits </w:t>
      </w:r>
      <w:r w:rsidRPr="00DF1794">
        <w:rPr>
          <w:rFonts w:ascii="Arial" w:hAnsi="Arial"/>
          <w:bCs/>
          <w:sz w:val="24"/>
          <w:szCs w:val="24"/>
        </w:rPr>
        <w:t xml:space="preserve">in support of the </w:t>
      </w:r>
      <w:r w:rsidRPr="00DF1794">
        <w:rPr>
          <w:rFonts w:ascii="Arial" w:hAnsi="Arial"/>
          <w:bCs/>
          <w:sz w:val="24"/>
          <w:szCs w:val="24"/>
          <w:lang w:val="en-GB"/>
        </w:rPr>
        <w:t>forfeiture</w:t>
      </w:r>
      <w:r w:rsidRPr="00DF1794">
        <w:rPr>
          <w:rFonts w:ascii="Arial" w:hAnsi="Arial"/>
          <w:bCs/>
          <w:sz w:val="24"/>
          <w:szCs w:val="24"/>
        </w:rPr>
        <w:t xml:space="preserve"> application</w:t>
      </w:r>
      <w:r w:rsidRPr="00DF1794">
        <w:rPr>
          <w:rFonts w:ascii="Arial" w:hAnsi="Arial"/>
          <w:bCs/>
          <w:sz w:val="24"/>
          <w:szCs w:val="24"/>
          <w:lang w:val="en-GB"/>
        </w:rPr>
        <w:t xml:space="preserve"> by holding that the PG was granted leave to amplify her founding affidavit. </w:t>
      </w:r>
      <w:r>
        <w:rPr>
          <w:rFonts w:ascii="Arial" w:hAnsi="Arial"/>
          <w:bCs/>
          <w:sz w:val="24"/>
          <w:szCs w:val="24"/>
          <w:lang w:val="en-GB"/>
        </w:rPr>
        <w:t>The court concluded that f</w:t>
      </w:r>
      <w:r w:rsidRPr="00DF1794">
        <w:rPr>
          <w:rFonts w:ascii="Arial" w:hAnsi="Arial"/>
          <w:bCs/>
          <w:sz w:val="24"/>
          <w:szCs w:val="24"/>
          <w:lang w:val="en-GB"/>
        </w:rPr>
        <w:t xml:space="preserve">iling a supplementary affidavit was thus not an irregularity. As to the second preliminary </w:t>
      </w:r>
      <w:r>
        <w:rPr>
          <w:rFonts w:ascii="Arial" w:hAnsi="Arial"/>
          <w:bCs/>
          <w:sz w:val="24"/>
          <w:szCs w:val="24"/>
          <w:lang w:val="en-GB"/>
        </w:rPr>
        <w:t>point</w:t>
      </w:r>
      <w:r w:rsidRPr="00DF1794">
        <w:rPr>
          <w:rFonts w:ascii="Arial" w:hAnsi="Arial"/>
          <w:bCs/>
          <w:sz w:val="24"/>
          <w:szCs w:val="24"/>
          <w:lang w:val="en-GB"/>
        </w:rPr>
        <w:t xml:space="preserve">, </w:t>
      </w:r>
      <w:r>
        <w:rPr>
          <w:rFonts w:ascii="Arial" w:hAnsi="Arial"/>
          <w:bCs/>
          <w:sz w:val="24"/>
          <w:szCs w:val="24"/>
          <w:lang w:val="en-GB"/>
        </w:rPr>
        <w:t xml:space="preserve">namely </w:t>
      </w:r>
      <w:r w:rsidRPr="00DF1794">
        <w:rPr>
          <w:rFonts w:ascii="Arial" w:hAnsi="Arial"/>
          <w:bCs/>
          <w:sz w:val="24"/>
          <w:szCs w:val="24"/>
          <w:lang w:val="en-GB"/>
        </w:rPr>
        <w:t>the non-joinder of certain parties</w:t>
      </w:r>
      <w:r>
        <w:rPr>
          <w:rFonts w:ascii="Arial" w:hAnsi="Arial"/>
          <w:bCs/>
          <w:sz w:val="24"/>
          <w:szCs w:val="24"/>
          <w:lang w:val="en-GB"/>
        </w:rPr>
        <w:t xml:space="preserve"> the court </w:t>
      </w:r>
      <w:r w:rsidRPr="00977C02">
        <w:rPr>
          <w:rFonts w:ascii="Arial" w:hAnsi="Arial"/>
          <w:bCs/>
          <w:i/>
          <w:sz w:val="24"/>
          <w:szCs w:val="24"/>
          <w:lang w:val="en-GB"/>
        </w:rPr>
        <w:t>a quo</w:t>
      </w:r>
      <w:r>
        <w:rPr>
          <w:rFonts w:ascii="Arial" w:hAnsi="Arial"/>
          <w:bCs/>
          <w:sz w:val="24"/>
          <w:szCs w:val="24"/>
          <w:lang w:val="en-GB"/>
        </w:rPr>
        <w:t xml:space="preserve"> reasoned </w:t>
      </w:r>
      <w:r w:rsidRPr="00DF1794">
        <w:rPr>
          <w:rFonts w:ascii="Arial" w:hAnsi="Arial"/>
          <w:bCs/>
          <w:sz w:val="24"/>
          <w:szCs w:val="24"/>
          <w:lang w:val="en-GB"/>
        </w:rPr>
        <w:t xml:space="preserve">that the proceedings brought under Chapter 6 of POCA </w:t>
      </w:r>
      <w:r>
        <w:rPr>
          <w:rFonts w:ascii="Arial" w:hAnsi="Arial"/>
          <w:bCs/>
          <w:sz w:val="24"/>
          <w:szCs w:val="24"/>
          <w:lang w:val="en-GB"/>
        </w:rPr>
        <w:t>wer</w:t>
      </w:r>
      <w:r w:rsidRPr="00DF1794">
        <w:rPr>
          <w:rFonts w:ascii="Arial" w:hAnsi="Arial"/>
          <w:bCs/>
          <w:sz w:val="24"/>
          <w:szCs w:val="24"/>
          <w:lang w:val="en-GB"/>
        </w:rPr>
        <w:t xml:space="preserve">e not directed at the </w:t>
      </w:r>
      <w:r>
        <w:rPr>
          <w:rFonts w:ascii="Arial" w:hAnsi="Arial"/>
          <w:bCs/>
          <w:sz w:val="24"/>
          <w:szCs w:val="24"/>
          <w:lang w:val="en-GB"/>
        </w:rPr>
        <w:t xml:space="preserve">alleged </w:t>
      </w:r>
      <w:r w:rsidRPr="00DF1794">
        <w:rPr>
          <w:rFonts w:ascii="Arial" w:hAnsi="Arial"/>
          <w:bCs/>
          <w:sz w:val="24"/>
          <w:szCs w:val="24"/>
          <w:lang w:val="en-GB"/>
        </w:rPr>
        <w:t>wrong doers but at the property used to commit an offence or which constitute</w:t>
      </w:r>
      <w:r>
        <w:rPr>
          <w:rFonts w:ascii="Arial" w:hAnsi="Arial"/>
          <w:bCs/>
          <w:sz w:val="24"/>
          <w:szCs w:val="24"/>
          <w:lang w:val="en-GB"/>
        </w:rPr>
        <w:t>d</w:t>
      </w:r>
      <w:r w:rsidRPr="00DF1794">
        <w:rPr>
          <w:rFonts w:ascii="Arial" w:hAnsi="Arial"/>
          <w:bCs/>
          <w:sz w:val="24"/>
          <w:szCs w:val="24"/>
          <w:lang w:val="en-GB"/>
        </w:rPr>
        <w:t xml:space="preserve"> the proceeds of crime. The </w:t>
      </w:r>
      <w:r>
        <w:rPr>
          <w:rFonts w:ascii="Arial" w:hAnsi="Arial"/>
          <w:bCs/>
          <w:sz w:val="24"/>
          <w:szCs w:val="24"/>
          <w:lang w:val="en-GB"/>
        </w:rPr>
        <w:t>court held</w:t>
      </w:r>
      <w:r w:rsidR="00977C02">
        <w:rPr>
          <w:rFonts w:ascii="Arial" w:hAnsi="Arial"/>
          <w:bCs/>
          <w:sz w:val="24"/>
          <w:szCs w:val="24"/>
          <w:lang w:val="en-GB"/>
        </w:rPr>
        <w:t>,</w:t>
      </w:r>
      <w:r>
        <w:rPr>
          <w:rFonts w:ascii="Arial" w:hAnsi="Arial"/>
          <w:bCs/>
          <w:sz w:val="24"/>
          <w:szCs w:val="24"/>
          <w:lang w:val="en-GB"/>
        </w:rPr>
        <w:t xml:space="preserve"> therefore</w:t>
      </w:r>
      <w:r w:rsidR="00977C02">
        <w:rPr>
          <w:rFonts w:ascii="Arial" w:hAnsi="Arial"/>
          <w:bCs/>
          <w:sz w:val="24"/>
          <w:szCs w:val="24"/>
          <w:lang w:val="en-GB"/>
        </w:rPr>
        <w:t>,</w:t>
      </w:r>
      <w:r>
        <w:rPr>
          <w:rFonts w:ascii="Arial" w:hAnsi="Arial"/>
          <w:bCs/>
          <w:sz w:val="24"/>
          <w:szCs w:val="24"/>
          <w:lang w:val="en-GB"/>
        </w:rPr>
        <w:t xml:space="preserve"> that the </w:t>
      </w:r>
      <w:r w:rsidRPr="00DF1794">
        <w:rPr>
          <w:rFonts w:ascii="Arial" w:hAnsi="Arial"/>
          <w:bCs/>
          <w:sz w:val="24"/>
          <w:szCs w:val="24"/>
          <w:lang w:val="en-GB"/>
        </w:rPr>
        <w:t xml:space="preserve">participation </w:t>
      </w:r>
      <w:r>
        <w:rPr>
          <w:rFonts w:ascii="Arial" w:hAnsi="Arial"/>
          <w:bCs/>
          <w:sz w:val="24"/>
          <w:szCs w:val="24"/>
          <w:lang w:val="en-GB"/>
        </w:rPr>
        <w:t xml:space="preserve">in </w:t>
      </w:r>
      <w:r>
        <w:rPr>
          <w:rFonts w:ascii="Arial" w:hAnsi="Arial"/>
          <w:bCs/>
          <w:sz w:val="24"/>
          <w:szCs w:val="24"/>
          <w:lang w:val="en-GB"/>
        </w:rPr>
        <w:lastRenderedPageBreak/>
        <w:t xml:space="preserve">the proceedings </w:t>
      </w:r>
      <w:r w:rsidRPr="00DF1794">
        <w:rPr>
          <w:rFonts w:ascii="Arial" w:hAnsi="Arial"/>
          <w:bCs/>
          <w:sz w:val="24"/>
          <w:szCs w:val="24"/>
          <w:lang w:val="en-GB"/>
        </w:rPr>
        <w:t xml:space="preserve">of every person having potentially committed the unlawful acts justifying the forfeiture of their proceeds was not required. </w:t>
      </w:r>
    </w:p>
    <w:p w:rsidR="004B494C" w:rsidRPr="006D7EC0"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Pr="00385DA0"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sz w:val="24"/>
          <w:szCs w:val="24"/>
          <w:lang w:val="en-GB"/>
        </w:rPr>
        <w:t>Having dismissed the preliminary points, the court proceeded to consider the argument on the merits. The court</w:t>
      </w:r>
      <w:r w:rsidRPr="003447A1">
        <w:rPr>
          <w:rFonts w:ascii="Arial" w:hAnsi="Arial"/>
          <w:sz w:val="24"/>
          <w:szCs w:val="24"/>
          <w:lang w:val="en-GB"/>
        </w:rPr>
        <w:t xml:space="preserve"> held that the PG had proved on a balance of probabilities that the property was t</w:t>
      </w:r>
      <w:r>
        <w:rPr>
          <w:rFonts w:ascii="Arial" w:hAnsi="Arial"/>
          <w:sz w:val="24"/>
          <w:szCs w:val="24"/>
          <w:lang w:val="en-GB"/>
        </w:rPr>
        <w:t>he proceeds of unlawful activities</w:t>
      </w:r>
      <w:r w:rsidRPr="003447A1">
        <w:rPr>
          <w:rFonts w:ascii="Arial" w:hAnsi="Arial"/>
          <w:sz w:val="24"/>
          <w:szCs w:val="24"/>
          <w:lang w:val="en-GB"/>
        </w:rPr>
        <w:t xml:space="preserve">. The </w:t>
      </w:r>
      <w:r>
        <w:rPr>
          <w:rFonts w:ascii="Arial" w:hAnsi="Arial"/>
          <w:sz w:val="24"/>
          <w:szCs w:val="24"/>
          <w:lang w:val="en-GB"/>
        </w:rPr>
        <w:t>court</w:t>
      </w:r>
      <w:r w:rsidRPr="003447A1">
        <w:rPr>
          <w:rFonts w:ascii="Arial" w:hAnsi="Arial"/>
          <w:sz w:val="24"/>
          <w:szCs w:val="24"/>
          <w:lang w:val="en-GB"/>
        </w:rPr>
        <w:t xml:space="preserve"> found that the conduct of </w:t>
      </w:r>
      <w:r>
        <w:rPr>
          <w:rFonts w:ascii="Arial" w:hAnsi="Arial"/>
          <w:sz w:val="24"/>
          <w:szCs w:val="24"/>
          <w:lang w:val="en-GB"/>
        </w:rPr>
        <w:t xml:space="preserve">officials in the MAWF, notably Mr </w:t>
      </w:r>
      <w:r w:rsidRPr="003447A1">
        <w:rPr>
          <w:rFonts w:ascii="Arial" w:hAnsi="Arial"/>
          <w:sz w:val="24"/>
          <w:szCs w:val="24"/>
          <w:lang w:val="en-GB"/>
        </w:rPr>
        <w:t xml:space="preserve">Freyer, </w:t>
      </w:r>
      <w:r>
        <w:rPr>
          <w:rFonts w:ascii="Arial" w:hAnsi="Arial"/>
          <w:sz w:val="24"/>
          <w:szCs w:val="24"/>
          <w:lang w:val="en-GB"/>
        </w:rPr>
        <w:t xml:space="preserve">Ms </w:t>
      </w:r>
      <w:r w:rsidRPr="003447A1">
        <w:rPr>
          <w:rFonts w:ascii="Arial" w:hAnsi="Arial"/>
          <w:sz w:val="24"/>
          <w:szCs w:val="24"/>
          <w:lang w:val="en-GB"/>
        </w:rPr>
        <w:t xml:space="preserve">Hoeses and </w:t>
      </w:r>
      <w:r>
        <w:rPr>
          <w:rFonts w:ascii="Arial" w:hAnsi="Arial"/>
          <w:sz w:val="24"/>
          <w:szCs w:val="24"/>
          <w:lang w:val="en-GB"/>
        </w:rPr>
        <w:t xml:space="preserve">Mr Sadiek </w:t>
      </w:r>
      <w:r w:rsidRPr="003447A1">
        <w:rPr>
          <w:rFonts w:ascii="Arial" w:hAnsi="Arial"/>
          <w:sz w:val="24"/>
          <w:szCs w:val="24"/>
          <w:lang w:val="en-GB"/>
        </w:rPr>
        <w:t>Meintjies</w:t>
      </w:r>
      <w:r>
        <w:rPr>
          <w:rFonts w:ascii="Arial" w:hAnsi="Arial"/>
          <w:sz w:val="24"/>
          <w:szCs w:val="24"/>
          <w:lang w:val="en-GB"/>
        </w:rPr>
        <w:t xml:space="preserve"> (a Procurement Clerk in the MAWF)</w:t>
      </w:r>
      <w:r w:rsidRPr="003447A1">
        <w:rPr>
          <w:rFonts w:ascii="Arial" w:hAnsi="Arial"/>
          <w:sz w:val="24"/>
          <w:szCs w:val="24"/>
          <w:lang w:val="en-GB"/>
        </w:rPr>
        <w:t xml:space="preserve"> </w:t>
      </w:r>
      <w:r>
        <w:rPr>
          <w:rFonts w:ascii="Arial" w:hAnsi="Arial"/>
          <w:sz w:val="24"/>
          <w:szCs w:val="24"/>
          <w:lang w:val="en-GB"/>
        </w:rPr>
        <w:t xml:space="preserve">not only </w:t>
      </w:r>
      <w:r w:rsidRPr="003447A1">
        <w:rPr>
          <w:rFonts w:ascii="Arial" w:hAnsi="Arial"/>
          <w:sz w:val="24"/>
          <w:szCs w:val="24"/>
          <w:lang w:val="en-GB"/>
        </w:rPr>
        <w:t xml:space="preserve">amounted to fraud </w:t>
      </w:r>
      <w:r>
        <w:rPr>
          <w:rFonts w:ascii="Arial" w:hAnsi="Arial"/>
          <w:sz w:val="24"/>
          <w:szCs w:val="24"/>
          <w:lang w:val="en-GB"/>
        </w:rPr>
        <w:t>but</w:t>
      </w:r>
      <w:r w:rsidRPr="003447A1">
        <w:rPr>
          <w:rFonts w:ascii="Arial" w:hAnsi="Arial"/>
          <w:sz w:val="24"/>
          <w:szCs w:val="24"/>
          <w:lang w:val="en-GB"/>
        </w:rPr>
        <w:t xml:space="preserve"> also contravened the </w:t>
      </w:r>
      <w:r w:rsidRPr="00905BD9">
        <w:rPr>
          <w:rFonts w:ascii="Arial" w:hAnsi="Arial"/>
          <w:sz w:val="24"/>
          <w:szCs w:val="24"/>
          <w:lang w:val="en-GB"/>
        </w:rPr>
        <w:t>now repealed</w:t>
      </w:r>
      <w:r>
        <w:rPr>
          <w:rFonts w:ascii="Arial" w:hAnsi="Arial"/>
          <w:sz w:val="24"/>
          <w:szCs w:val="24"/>
          <w:lang w:val="en-GB"/>
        </w:rPr>
        <w:t xml:space="preserve"> </w:t>
      </w:r>
      <w:r w:rsidRPr="003447A1">
        <w:rPr>
          <w:rFonts w:ascii="Arial" w:hAnsi="Arial"/>
          <w:bCs/>
          <w:sz w:val="24"/>
          <w:szCs w:val="24"/>
          <w:lang w:val="en-GB"/>
        </w:rPr>
        <w:t>Tender Board of Namibia Act 16 of 1996 (</w:t>
      </w:r>
      <w:r>
        <w:rPr>
          <w:rFonts w:ascii="Arial" w:hAnsi="Arial"/>
          <w:bCs/>
          <w:sz w:val="24"/>
          <w:szCs w:val="24"/>
          <w:lang w:val="en-GB"/>
        </w:rPr>
        <w:t>the</w:t>
      </w:r>
      <w:r w:rsidRPr="003447A1">
        <w:rPr>
          <w:rFonts w:ascii="Arial" w:hAnsi="Arial"/>
          <w:bCs/>
          <w:sz w:val="24"/>
          <w:szCs w:val="24"/>
          <w:lang w:val="en-GB"/>
        </w:rPr>
        <w:t xml:space="preserve"> Tender Board Act)</w:t>
      </w:r>
      <w:r>
        <w:rPr>
          <w:rStyle w:val="FootnoteReference"/>
          <w:rFonts w:ascii="Arial" w:hAnsi="Arial"/>
          <w:bCs/>
          <w:sz w:val="24"/>
          <w:szCs w:val="24"/>
          <w:lang w:val="en-GB"/>
        </w:rPr>
        <w:footnoteReference w:id="1"/>
      </w:r>
      <w:r w:rsidRPr="003447A1">
        <w:rPr>
          <w:rFonts w:ascii="Arial" w:hAnsi="Arial"/>
          <w:sz w:val="24"/>
          <w:szCs w:val="24"/>
          <w:lang w:val="en-GB"/>
        </w:rPr>
        <w:t xml:space="preserve">. </w:t>
      </w:r>
      <w:r>
        <w:rPr>
          <w:rFonts w:ascii="Arial" w:hAnsi="Arial"/>
          <w:sz w:val="24"/>
          <w:szCs w:val="24"/>
          <w:lang w:val="en-GB"/>
        </w:rPr>
        <w:t>Pertinently, the court found that b</w:t>
      </w:r>
      <w:r w:rsidRPr="003447A1">
        <w:rPr>
          <w:rFonts w:ascii="Arial" w:hAnsi="Arial"/>
          <w:sz w:val="24"/>
          <w:szCs w:val="24"/>
          <w:lang w:val="en-GB"/>
        </w:rPr>
        <w:t>ut for the unlawful activities</w:t>
      </w:r>
      <w:r>
        <w:rPr>
          <w:rFonts w:ascii="Arial" w:hAnsi="Arial"/>
          <w:sz w:val="24"/>
          <w:szCs w:val="24"/>
          <w:lang w:val="en-GB"/>
        </w:rPr>
        <w:t xml:space="preserve"> of the officials in the MAWF</w:t>
      </w:r>
      <w:r w:rsidRPr="003447A1">
        <w:rPr>
          <w:rFonts w:ascii="Arial" w:hAnsi="Arial"/>
          <w:sz w:val="24"/>
          <w:szCs w:val="24"/>
          <w:lang w:val="en-GB"/>
        </w:rPr>
        <w:t xml:space="preserve"> the payments would not have been made to NAD. </w:t>
      </w:r>
    </w:p>
    <w:p w:rsidR="004B494C" w:rsidRPr="003447A1"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Pr="0013695F"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3447A1">
        <w:rPr>
          <w:rFonts w:ascii="Arial" w:hAnsi="Arial"/>
          <w:sz w:val="24"/>
          <w:szCs w:val="24"/>
          <w:lang w:val="en-GB"/>
        </w:rPr>
        <w:t xml:space="preserve">In making these findings, the </w:t>
      </w:r>
      <w:r>
        <w:rPr>
          <w:rFonts w:ascii="Arial" w:hAnsi="Arial"/>
          <w:sz w:val="24"/>
          <w:szCs w:val="24"/>
          <w:lang w:val="en-GB"/>
        </w:rPr>
        <w:t>court</w:t>
      </w:r>
      <w:r w:rsidRPr="003447A1">
        <w:rPr>
          <w:rFonts w:ascii="Arial" w:hAnsi="Arial"/>
          <w:sz w:val="24"/>
          <w:szCs w:val="24"/>
          <w:lang w:val="en-GB"/>
        </w:rPr>
        <w:t xml:space="preserve"> placed particular emphasis on the fact that the appell</w:t>
      </w:r>
      <w:r>
        <w:rPr>
          <w:rFonts w:ascii="Arial" w:hAnsi="Arial"/>
          <w:sz w:val="24"/>
          <w:szCs w:val="24"/>
          <w:lang w:val="en-GB"/>
        </w:rPr>
        <w:t>ants’ affidavits</w:t>
      </w:r>
      <w:r w:rsidRPr="003447A1">
        <w:rPr>
          <w:rFonts w:ascii="Arial" w:hAnsi="Arial"/>
          <w:sz w:val="24"/>
          <w:szCs w:val="24"/>
          <w:lang w:val="en-GB"/>
        </w:rPr>
        <w:t xml:space="preserve"> did not in any proper sense put in issue most of the pertinent </w:t>
      </w:r>
      <w:r>
        <w:rPr>
          <w:rFonts w:ascii="Arial" w:hAnsi="Arial"/>
          <w:sz w:val="24"/>
          <w:szCs w:val="24"/>
          <w:lang w:val="en-GB"/>
        </w:rPr>
        <w:t xml:space="preserve">allegations made </w:t>
      </w:r>
      <w:r w:rsidRPr="003447A1">
        <w:rPr>
          <w:rFonts w:ascii="Arial" w:hAnsi="Arial"/>
          <w:sz w:val="24"/>
          <w:szCs w:val="24"/>
          <w:lang w:val="en-GB"/>
        </w:rPr>
        <w:t>by the PG. In this respect</w:t>
      </w:r>
      <w:r>
        <w:rPr>
          <w:rFonts w:ascii="Arial" w:hAnsi="Arial"/>
          <w:sz w:val="24"/>
          <w:szCs w:val="24"/>
          <w:lang w:val="en-GB"/>
        </w:rPr>
        <w:t>,</w:t>
      </w:r>
      <w:r w:rsidRPr="003447A1">
        <w:rPr>
          <w:rFonts w:ascii="Arial" w:hAnsi="Arial"/>
          <w:sz w:val="24"/>
          <w:szCs w:val="24"/>
          <w:lang w:val="en-GB"/>
        </w:rPr>
        <w:t xml:space="preserve"> the </w:t>
      </w:r>
      <w:r>
        <w:rPr>
          <w:rFonts w:ascii="Arial" w:hAnsi="Arial"/>
          <w:sz w:val="24"/>
          <w:szCs w:val="24"/>
          <w:lang w:val="en-GB"/>
        </w:rPr>
        <w:t>court</w:t>
      </w:r>
      <w:r w:rsidRPr="003447A1">
        <w:rPr>
          <w:rFonts w:ascii="Arial" w:hAnsi="Arial"/>
          <w:sz w:val="24"/>
          <w:szCs w:val="24"/>
          <w:lang w:val="en-GB"/>
        </w:rPr>
        <w:t xml:space="preserve"> noted that the unsupported allegations of abuse of process and of engaging in vexatious activities directed at the PG in her exercise of public power constituted abuse</w:t>
      </w:r>
      <w:r>
        <w:rPr>
          <w:rFonts w:ascii="Arial" w:hAnsi="Arial"/>
          <w:sz w:val="24"/>
          <w:szCs w:val="24"/>
          <w:lang w:val="en-GB"/>
        </w:rPr>
        <w:t>,</w:t>
      </w:r>
      <w:r w:rsidRPr="003447A1">
        <w:rPr>
          <w:rFonts w:ascii="Arial" w:hAnsi="Arial"/>
          <w:sz w:val="24"/>
          <w:szCs w:val="24"/>
          <w:lang w:val="en-GB"/>
        </w:rPr>
        <w:t xml:space="preserve"> warranting censure and discouragement through appropriate cost orders. It therefore ordered </w:t>
      </w:r>
      <w:r>
        <w:rPr>
          <w:rFonts w:ascii="Arial" w:hAnsi="Arial"/>
          <w:sz w:val="24"/>
          <w:szCs w:val="24"/>
          <w:lang w:val="en-GB"/>
        </w:rPr>
        <w:t>the appellants to</w:t>
      </w:r>
      <w:r w:rsidRPr="003447A1">
        <w:rPr>
          <w:rFonts w:ascii="Arial" w:hAnsi="Arial"/>
          <w:sz w:val="24"/>
          <w:szCs w:val="24"/>
          <w:lang w:val="en-GB"/>
        </w:rPr>
        <w:t xml:space="preserve"> jointly and severally </w:t>
      </w:r>
      <w:r w:rsidRPr="00C37C28">
        <w:rPr>
          <w:rFonts w:ascii="Arial" w:hAnsi="Arial"/>
          <w:sz w:val="24"/>
          <w:szCs w:val="24"/>
          <w:lang w:val="en-GB"/>
        </w:rPr>
        <w:t>pay the PG’s costs</w:t>
      </w:r>
      <w:r w:rsidRPr="003447A1">
        <w:rPr>
          <w:rFonts w:ascii="Arial" w:hAnsi="Arial"/>
          <w:sz w:val="24"/>
          <w:szCs w:val="24"/>
          <w:lang w:val="en-GB"/>
        </w:rPr>
        <w:t xml:space="preserve"> in respect of the preservation and forfeiture application</w:t>
      </w:r>
      <w:r>
        <w:rPr>
          <w:rFonts w:ascii="Arial" w:hAnsi="Arial"/>
          <w:sz w:val="24"/>
          <w:szCs w:val="24"/>
          <w:lang w:val="en-GB"/>
        </w:rPr>
        <w:t>s on a legal practitioner and own client scale</w:t>
      </w:r>
      <w:r w:rsidRPr="003447A1">
        <w:rPr>
          <w:rFonts w:ascii="Arial" w:hAnsi="Arial"/>
          <w:sz w:val="24"/>
          <w:szCs w:val="24"/>
          <w:lang w:val="en-GB"/>
        </w:rPr>
        <w:t>.</w:t>
      </w:r>
    </w:p>
    <w:p w:rsidR="004B494C" w:rsidRDefault="004B494C" w:rsidP="00BC2003">
      <w:pPr>
        <w:pStyle w:val="ListParagraph"/>
        <w:tabs>
          <w:tab w:val="left" w:pos="0"/>
        </w:tabs>
        <w:spacing w:after="0" w:line="480" w:lineRule="auto"/>
        <w:ind w:left="0"/>
        <w:jc w:val="both"/>
        <w:rPr>
          <w:rFonts w:ascii="Arial" w:hAnsi="Arial"/>
          <w:bCs/>
          <w:sz w:val="24"/>
          <w:szCs w:val="24"/>
          <w:lang w:val="en-US"/>
        </w:rPr>
      </w:pPr>
    </w:p>
    <w:p w:rsidR="00B02067" w:rsidRDefault="00B02067" w:rsidP="00BC2003">
      <w:pPr>
        <w:pStyle w:val="ListParagraph"/>
        <w:tabs>
          <w:tab w:val="left" w:pos="0"/>
        </w:tabs>
        <w:spacing w:after="0" w:line="480" w:lineRule="auto"/>
        <w:ind w:left="0"/>
        <w:jc w:val="both"/>
        <w:rPr>
          <w:rFonts w:ascii="Arial" w:hAnsi="Arial"/>
          <w:bCs/>
          <w:sz w:val="24"/>
          <w:szCs w:val="24"/>
          <w:lang w:val="en-US"/>
        </w:rPr>
      </w:pPr>
    </w:p>
    <w:p w:rsidR="001470B5" w:rsidRDefault="001470B5" w:rsidP="00BC2003">
      <w:pPr>
        <w:pStyle w:val="ListParagraph"/>
        <w:tabs>
          <w:tab w:val="left" w:pos="0"/>
        </w:tabs>
        <w:spacing w:after="0" w:line="480" w:lineRule="auto"/>
        <w:ind w:left="0"/>
        <w:jc w:val="both"/>
        <w:rPr>
          <w:rFonts w:ascii="Arial" w:hAnsi="Arial"/>
          <w:bCs/>
          <w:sz w:val="24"/>
          <w:szCs w:val="24"/>
          <w:lang w:val="en-US"/>
        </w:rPr>
      </w:pPr>
    </w:p>
    <w:p w:rsidR="004B494C" w:rsidRPr="00DF1794" w:rsidRDefault="004B494C" w:rsidP="00BC2003">
      <w:pPr>
        <w:pStyle w:val="ListParagraph"/>
        <w:tabs>
          <w:tab w:val="left" w:pos="0"/>
        </w:tabs>
        <w:spacing w:after="0" w:line="480" w:lineRule="auto"/>
        <w:ind w:left="0"/>
        <w:jc w:val="both"/>
        <w:rPr>
          <w:rFonts w:ascii="Arial" w:hAnsi="Arial"/>
          <w:bCs/>
          <w:sz w:val="24"/>
          <w:szCs w:val="24"/>
          <w:u w:val="single"/>
          <w:lang w:val="en-GB"/>
        </w:rPr>
      </w:pPr>
      <w:r w:rsidRPr="00DF1794">
        <w:rPr>
          <w:rFonts w:ascii="Arial" w:hAnsi="Arial"/>
          <w:bCs/>
          <w:sz w:val="24"/>
          <w:szCs w:val="24"/>
          <w:u w:val="single"/>
          <w:lang w:val="en-GB"/>
        </w:rPr>
        <w:lastRenderedPageBreak/>
        <w:t>The Legislative Scheme</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B5810">
        <w:rPr>
          <w:rFonts w:ascii="Arial" w:hAnsi="Arial"/>
          <w:bCs/>
          <w:sz w:val="24"/>
          <w:szCs w:val="24"/>
          <w:lang w:val="en-GB"/>
        </w:rPr>
        <w:t xml:space="preserve">It has become </w:t>
      </w:r>
      <w:r>
        <w:rPr>
          <w:rFonts w:ascii="Arial" w:hAnsi="Arial"/>
          <w:bCs/>
          <w:sz w:val="24"/>
          <w:szCs w:val="24"/>
          <w:lang w:val="en-GB"/>
        </w:rPr>
        <w:t xml:space="preserve">evident </w:t>
      </w:r>
      <w:r w:rsidRPr="005B5810">
        <w:rPr>
          <w:rFonts w:ascii="Arial" w:hAnsi="Arial"/>
          <w:bCs/>
          <w:sz w:val="24"/>
          <w:szCs w:val="24"/>
          <w:lang w:val="en-GB"/>
        </w:rPr>
        <w:t>in recent times that the criminal justice system</w:t>
      </w:r>
      <w:r w:rsidR="00977C02">
        <w:rPr>
          <w:rFonts w:ascii="Arial" w:hAnsi="Arial"/>
          <w:bCs/>
          <w:sz w:val="24"/>
          <w:szCs w:val="24"/>
          <w:lang w:val="en-GB"/>
        </w:rPr>
        <w:t xml:space="preserve"> does not live up to the</w:t>
      </w:r>
      <w:r w:rsidRPr="005B5810">
        <w:rPr>
          <w:rFonts w:ascii="Arial" w:hAnsi="Arial"/>
          <w:bCs/>
          <w:sz w:val="24"/>
          <w:szCs w:val="24"/>
          <w:lang w:val="en-GB"/>
        </w:rPr>
        <w:t xml:space="preserve"> adage that crime does not pay. Criminals are</w:t>
      </w:r>
      <w:r>
        <w:rPr>
          <w:rFonts w:ascii="Arial" w:hAnsi="Arial"/>
          <w:bCs/>
          <w:sz w:val="24"/>
          <w:szCs w:val="24"/>
          <w:lang w:val="en-GB"/>
        </w:rPr>
        <w:t>,</w:t>
      </w:r>
      <w:r w:rsidRPr="005B5810">
        <w:rPr>
          <w:rFonts w:ascii="Arial" w:hAnsi="Arial"/>
          <w:bCs/>
          <w:sz w:val="24"/>
          <w:szCs w:val="24"/>
          <w:lang w:val="en-GB"/>
        </w:rPr>
        <w:t xml:space="preserve"> for a variety of reasons</w:t>
      </w:r>
      <w:r>
        <w:rPr>
          <w:rFonts w:ascii="Arial" w:hAnsi="Arial"/>
          <w:bCs/>
          <w:sz w:val="24"/>
          <w:szCs w:val="24"/>
          <w:lang w:val="en-GB"/>
        </w:rPr>
        <w:t>,</w:t>
      </w:r>
      <w:r w:rsidRPr="005B5810">
        <w:rPr>
          <w:rFonts w:ascii="Arial" w:hAnsi="Arial"/>
          <w:bCs/>
          <w:sz w:val="24"/>
          <w:szCs w:val="24"/>
          <w:lang w:val="en-GB"/>
        </w:rPr>
        <w:t xml:space="preserve"> able to keep and enjoy the spoils of their </w:t>
      </w:r>
      <w:r>
        <w:rPr>
          <w:rFonts w:ascii="Arial" w:hAnsi="Arial"/>
          <w:bCs/>
          <w:sz w:val="24"/>
          <w:szCs w:val="24"/>
          <w:lang w:val="en-GB"/>
        </w:rPr>
        <w:t>loot.</w:t>
      </w:r>
      <w:r w:rsidRPr="005B5810">
        <w:rPr>
          <w:rFonts w:ascii="Arial" w:hAnsi="Arial"/>
          <w:bCs/>
          <w:sz w:val="24"/>
          <w:szCs w:val="24"/>
          <w:lang w:val="en-GB"/>
        </w:rPr>
        <w:t xml:space="preserve"> This </w:t>
      </w:r>
      <w:r>
        <w:rPr>
          <w:rFonts w:ascii="Arial" w:hAnsi="Arial"/>
          <w:bCs/>
          <w:sz w:val="24"/>
          <w:szCs w:val="24"/>
          <w:lang w:val="en-GB"/>
        </w:rPr>
        <w:t xml:space="preserve">anomaly </w:t>
      </w:r>
      <w:r w:rsidRPr="005B5810">
        <w:rPr>
          <w:rFonts w:ascii="Arial" w:hAnsi="Arial"/>
          <w:bCs/>
          <w:sz w:val="24"/>
          <w:szCs w:val="24"/>
          <w:lang w:val="en-GB"/>
        </w:rPr>
        <w:t>provide</w:t>
      </w:r>
      <w:r>
        <w:rPr>
          <w:rFonts w:ascii="Arial" w:hAnsi="Arial"/>
          <w:bCs/>
          <w:sz w:val="24"/>
          <w:szCs w:val="24"/>
          <w:lang w:val="en-GB"/>
        </w:rPr>
        <w:t>d</w:t>
      </w:r>
      <w:r w:rsidRPr="005B5810">
        <w:rPr>
          <w:rFonts w:ascii="Arial" w:hAnsi="Arial"/>
          <w:bCs/>
          <w:sz w:val="24"/>
          <w:szCs w:val="24"/>
          <w:lang w:val="en-GB"/>
        </w:rPr>
        <w:t xml:space="preserve"> a powerful incentive for crime</w:t>
      </w:r>
      <w:r>
        <w:rPr>
          <w:rFonts w:ascii="Arial" w:hAnsi="Arial"/>
          <w:bCs/>
          <w:sz w:val="24"/>
          <w:szCs w:val="24"/>
          <w:lang w:val="en-GB"/>
        </w:rPr>
        <w:t xml:space="preserve"> to thrive</w:t>
      </w:r>
      <w:r w:rsidRPr="005B5810">
        <w:rPr>
          <w:rFonts w:ascii="Arial" w:hAnsi="Arial"/>
          <w:bCs/>
          <w:sz w:val="24"/>
          <w:szCs w:val="24"/>
          <w:lang w:val="en-GB"/>
        </w:rPr>
        <w:t xml:space="preserve">. The Namibian </w:t>
      </w:r>
      <w:r>
        <w:rPr>
          <w:rFonts w:ascii="Arial" w:hAnsi="Arial"/>
          <w:bCs/>
          <w:sz w:val="24"/>
          <w:szCs w:val="24"/>
          <w:lang w:val="en-GB"/>
        </w:rPr>
        <w:t>L</w:t>
      </w:r>
      <w:r w:rsidRPr="005B5810">
        <w:rPr>
          <w:rFonts w:ascii="Arial" w:hAnsi="Arial"/>
          <w:bCs/>
          <w:sz w:val="24"/>
          <w:szCs w:val="24"/>
          <w:lang w:val="en-GB"/>
        </w:rPr>
        <w:t>egislature</w:t>
      </w:r>
      <w:r>
        <w:rPr>
          <w:rFonts w:ascii="Arial" w:hAnsi="Arial"/>
          <w:bCs/>
          <w:sz w:val="24"/>
          <w:szCs w:val="24"/>
          <w:lang w:val="en-GB"/>
        </w:rPr>
        <w:t>, in line with a similar trend worldwide,</w:t>
      </w:r>
      <w:r w:rsidRPr="005B5810">
        <w:rPr>
          <w:rFonts w:ascii="Arial" w:hAnsi="Arial"/>
          <w:bCs/>
          <w:sz w:val="24"/>
          <w:szCs w:val="24"/>
          <w:lang w:val="en-GB"/>
        </w:rPr>
        <w:t xml:space="preserve"> has taken steps to address the problem </w:t>
      </w:r>
      <w:r>
        <w:rPr>
          <w:rFonts w:ascii="Arial" w:hAnsi="Arial"/>
          <w:bCs/>
          <w:sz w:val="24"/>
          <w:szCs w:val="24"/>
          <w:lang w:val="en-GB"/>
        </w:rPr>
        <w:t>through</w:t>
      </w:r>
      <w:r w:rsidRPr="005B5810">
        <w:rPr>
          <w:rFonts w:ascii="Arial" w:hAnsi="Arial"/>
          <w:bCs/>
          <w:sz w:val="24"/>
          <w:szCs w:val="24"/>
          <w:lang w:val="en-GB"/>
        </w:rPr>
        <w:t xml:space="preserve"> POCA. </w:t>
      </w:r>
      <w:r>
        <w:rPr>
          <w:rFonts w:ascii="Arial" w:hAnsi="Arial"/>
          <w:bCs/>
          <w:sz w:val="24"/>
          <w:szCs w:val="24"/>
          <w:lang w:val="en-GB"/>
        </w:rPr>
        <w:t>T</w:t>
      </w:r>
      <w:r w:rsidRPr="005B5810">
        <w:rPr>
          <w:rFonts w:ascii="Arial" w:hAnsi="Arial"/>
          <w:bCs/>
          <w:sz w:val="24"/>
          <w:szCs w:val="24"/>
          <w:lang w:val="en-GB"/>
        </w:rPr>
        <w:t>h</w:t>
      </w:r>
      <w:r>
        <w:rPr>
          <w:rFonts w:ascii="Arial" w:hAnsi="Arial"/>
          <w:bCs/>
          <w:sz w:val="24"/>
          <w:szCs w:val="24"/>
          <w:lang w:val="en-GB"/>
        </w:rPr>
        <w:t>e approach adopted in POCA is to hit the criminal where it hurts most; his or her pocket so as to remove the incentive for crime</w:t>
      </w:r>
      <w:r>
        <w:rPr>
          <w:rStyle w:val="FootnoteReference"/>
          <w:rFonts w:ascii="Arial" w:hAnsi="Arial"/>
          <w:bCs/>
          <w:sz w:val="24"/>
          <w:szCs w:val="24"/>
          <w:lang w:val="en-GB"/>
        </w:rPr>
        <w:footnoteReference w:id="2"/>
      </w:r>
      <w:r>
        <w:rPr>
          <w:rFonts w:ascii="Arial" w:hAnsi="Arial"/>
          <w:bCs/>
          <w:sz w:val="24"/>
          <w:szCs w:val="24"/>
          <w:lang w:val="en-GB"/>
        </w:rPr>
        <w:t xml:space="preserve">. </w:t>
      </w:r>
    </w:p>
    <w:p w:rsidR="004B494C" w:rsidRPr="00FC5324" w:rsidRDefault="004B494C" w:rsidP="00BC2003">
      <w:pPr>
        <w:tabs>
          <w:tab w:val="left" w:pos="0"/>
        </w:tabs>
        <w:spacing w:after="0" w:line="480" w:lineRule="auto"/>
        <w:ind w:left="360"/>
        <w:jc w:val="both"/>
        <w:rPr>
          <w:rFonts w:ascii="Arial" w:hAnsi="Arial"/>
          <w:bCs/>
          <w:sz w:val="24"/>
          <w:szCs w:val="24"/>
          <w:lang w:val="en-GB"/>
        </w:rPr>
      </w:pPr>
    </w:p>
    <w:p w:rsidR="004B494C" w:rsidRPr="005B5810"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B5810">
        <w:rPr>
          <w:rFonts w:ascii="Arial" w:hAnsi="Arial"/>
          <w:bCs/>
          <w:sz w:val="24"/>
          <w:szCs w:val="24"/>
          <w:lang w:val="en-GB"/>
        </w:rPr>
        <w:t xml:space="preserve">POCA provides not only for </w:t>
      </w:r>
      <w:r>
        <w:rPr>
          <w:rFonts w:ascii="Arial" w:hAnsi="Arial"/>
          <w:bCs/>
          <w:sz w:val="24"/>
          <w:szCs w:val="24"/>
          <w:lang w:val="en-GB"/>
        </w:rPr>
        <w:t>‘</w:t>
      </w:r>
      <w:r w:rsidRPr="005B5810">
        <w:rPr>
          <w:rFonts w:ascii="Arial" w:hAnsi="Arial"/>
          <w:bCs/>
          <w:sz w:val="24"/>
          <w:szCs w:val="24"/>
          <w:lang w:val="en-GB"/>
        </w:rPr>
        <w:t>crimina</w:t>
      </w:r>
      <w:r>
        <w:rPr>
          <w:rFonts w:ascii="Arial" w:hAnsi="Arial"/>
          <w:bCs/>
          <w:sz w:val="24"/>
          <w:szCs w:val="24"/>
          <w:lang w:val="en-GB"/>
        </w:rPr>
        <w:t>l</w:t>
      </w:r>
      <w:r w:rsidRPr="005B5810">
        <w:rPr>
          <w:rFonts w:ascii="Arial" w:hAnsi="Arial"/>
          <w:bCs/>
          <w:sz w:val="24"/>
          <w:szCs w:val="24"/>
          <w:lang w:val="en-GB"/>
        </w:rPr>
        <w:t xml:space="preserve"> forfeiture</w:t>
      </w:r>
      <w:r>
        <w:rPr>
          <w:rFonts w:ascii="Arial" w:hAnsi="Arial"/>
          <w:bCs/>
          <w:sz w:val="24"/>
          <w:szCs w:val="24"/>
          <w:lang w:val="en-GB"/>
        </w:rPr>
        <w:t>’</w:t>
      </w:r>
      <w:r w:rsidRPr="005B5810">
        <w:rPr>
          <w:rFonts w:ascii="Arial" w:hAnsi="Arial"/>
          <w:bCs/>
          <w:sz w:val="24"/>
          <w:szCs w:val="24"/>
          <w:lang w:val="en-GB"/>
        </w:rPr>
        <w:t xml:space="preserve"> in </w:t>
      </w:r>
      <w:r>
        <w:rPr>
          <w:rFonts w:ascii="Arial" w:hAnsi="Arial"/>
          <w:bCs/>
          <w:sz w:val="24"/>
          <w:szCs w:val="24"/>
          <w:lang w:val="en-GB"/>
        </w:rPr>
        <w:t>C</w:t>
      </w:r>
      <w:r w:rsidRPr="005B5810">
        <w:rPr>
          <w:rFonts w:ascii="Arial" w:hAnsi="Arial"/>
          <w:bCs/>
          <w:sz w:val="24"/>
          <w:szCs w:val="24"/>
          <w:lang w:val="en-GB"/>
        </w:rPr>
        <w:t xml:space="preserve">hapter 5, but also for </w:t>
      </w:r>
      <w:r>
        <w:rPr>
          <w:rFonts w:ascii="Arial" w:hAnsi="Arial"/>
          <w:bCs/>
          <w:sz w:val="24"/>
          <w:szCs w:val="24"/>
          <w:lang w:val="en-GB"/>
        </w:rPr>
        <w:t>‘</w:t>
      </w:r>
      <w:r w:rsidRPr="005B5810">
        <w:rPr>
          <w:rFonts w:ascii="Arial" w:hAnsi="Arial"/>
          <w:bCs/>
          <w:sz w:val="24"/>
          <w:szCs w:val="24"/>
          <w:lang w:val="en-GB"/>
        </w:rPr>
        <w:t>civil forfeiture</w:t>
      </w:r>
      <w:r>
        <w:rPr>
          <w:rFonts w:ascii="Arial" w:hAnsi="Arial"/>
          <w:bCs/>
          <w:sz w:val="24"/>
          <w:szCs w:val="24"/>
          <w:lang w:val="en-GB"/>
        </w:rPr>
        <w:t>’</w:t>
      </w:r>
      <w:r w:rsidRPr="005B5810">
        <w:rPr>
          <w:rFonts w:ascii="Arial" w:hAnsi="Arial"/>
          <w:bCs/>
          <w:sz w:val="24"/>
          <w:szCs w:val="24"/>
          <w:lang w:val="en-GB"/>
        </w:rPr>
        <w:t xml:space="preserve"> in </w:t>
      </w:r>
      <w:r>
        <w:rPr>
          <w:rFonts w:ascii="Arial" w:hAnsi="Arial"/>
          <w:bCs/>
          <w:sz w:val="24"/>
          <w:szCs w:val="24"/>
          <w:lang w:val="en-GB"/>
        </w:rPr>
        <w:t>C</w:t>
      </w:r>
      <w:r w:rsidRPr="005B5810">
        <w:rPr>
          <w:rFonts w:ascii="Arial" w:hAnsi="Arial"/>
          <w:bCs/>
          <w:sz w:val="24"/>
          <w:szCs w:val="24"/>
          <w:lang w:val="en-GB"/>
        </w:rPr>
        <w:t xml:space="preserve">hapter 6. </w:t>
      </w:r>
      <w:r>
        <w:rPr>
          <w:rFonts w:ascii="Arial" w:hAnsi="Arial"/>
          <w:bCs/>
          <w:sz w:val="24"/>
          <w:szCs w:val="24"/>
          <w:lang w:val="en-GB"/>
        </w:rPr>
        <w:t>T</w:t>
      </w:r>
      <w:r w:rsidRPr="005B5810">
        <w:rPr>
          <w:rFonts w:ascii="Arial" w:hAnsi="Arial"/>
          <w:bCs/>
          <w:sz w:val="24"/>
          <w:szCs w:val="24"/>
          <w:lang w:val="en-GB"/>
        </w:rPr>
        <w:t xml:space="preserve">he reason for the addition of a regime of civil forfeiture </w:t>
      </w:r>
      <w:r>
        <w:rPr>
          <w:rFonts w:ascii="Arial" w:hAnsi="Arial"/>
          <w:bCs/>
          <w:sz w:val="24"/>
          <w:szCs w:val="24"/>
          <w:lang w:val="en-GB"/>
        </w:rPr>
        <w:t xml:space="preserve">is </w:t>
      </w:r>
      <w:r w:rsidRPr="005B5810">
        <w:rPr>
          <w:rFonts w:ascii="Arial" w:hAnsi="Arial"/>
          <w:bCs/>
          <w:sz w:val="24"/>
          <w:szCs w:val="24"/>
          <w:lang w:val="en-GB"/>
        </w:rPr>
        <w:t xml:space="preserve">that criminal forfeiture on its own was perceived to be an inadequate </w:t>
      </w:r>
      <w:r>
        <w:rPr>
          <w:rFonts w:ascii="Arial" w:hAnsi="Arial"/>
          <w:bCs/>
          <w:sz w:val="24"/>
          <w:szCs w:val="24"/>
          <w:lang w:val="en-GB"/>
        </w:rPr>
        <w:t>l</w:t>
      </w:r>
      <w:r w:rsidRPr="005B5810">
        <w:rPr>
          <w:rFonts w:ascii="Arial" w:hAnsi="Arial"/>
          <w:bCs/>
          <w:sz w:val="24"/>
          <w:szCs w:val="24"/>
          <w:lang w:val="en-GB"/>
        </w:rPr>
        <w:t>aw</w:t>
      </w:r>
      <w:r>
        <w:rPr>
          <w:rFonts w:ascii="Arial" w:hAnsi="Arial"/>
          <w:bCs/>
          <w:sz w:val="24"/>
          <w:szCs w:val="24"/>
          <w:lang w:val="en-GB"/>
        </w:rPr>
        <w:t>-</w:t>
      </w:r>
      <w:r w:rsidRPr="005B5810">
        <w:rPr>
          <w:rFonts w:ascii="Arial" w:hAnsi="Arial"/>
          <w:bCs/>
          <w:sz w:val="24"/>
          <w:szCs w:val="24"/>
          <w:lang w:val="en-GB"/>
        </w:rPr>
        <w:t>e</w:t>
      </w:r>
      <w:r>
        <w:rPr>
          <w:rFonts w:ascii="Arial" w:hAnsi="Arial"/>
          <w:bCs/>
          <w:sz w:val="24"/>
          <w:szCs w:val="24"/>
          <w:lang w:val="en-GB"/>
        </w:rPr>
        <w:t>nforcement</w:t>
      </w:r>
      <w:r w:rsidRPr="005B5810">
        <w:rPr>
          <w:rFonts w:ascii="Arial" w:hAnsi="Arial"/>
          <w:bCs/>
          <w:sz w:val="24"/>
          <w:szCs w:val="24"/>
          <w:lang w:val="en-GB"/>
        </w:rPr>
        <w:t xml:space="preserve"> </w:t>
      </w:r>
      <w:r>
        <w:rPr>
          <w:rFonts w:ascii="Arial" w:hAnsi="Arial"/>
          <w:bCs/>
          <w:sz w:val="24"/>
          <w:szCs w:val="24"/>
          <w:lang w:val="en-GB"/>
        </w:rPr>
        <w:t xml:space="preserve">tool. One </w:t>
      </w:r>
      <w:r w:rsidRPr="005B5810">
        <w:rPr>
          <w:rFonts w:ascii="Arial" w:hAnsi="Arial"/>
          <w:bCs/>
          <w:sz w:val="24"/>
          <w:szCs w:val="24"/>
          <w:lang w:val="en-GB"/>
        </w:rPr>
        <w:t xml:space="preserve">of the major shortcomings of criminal </w:t>
      </w:r>
      <w:r>
        <w:rPr>
          <w:rFonts w:ascii="Arial" w:hAnsi="Arial"/>
          <w:bCs/>
          <w:sz w:val="24"/>
          <w:szCs w:val="24"/>
          <w:lang w:val="en-GB"/>
        </w:rPr>
        <w:t>f</w:t>
      </w:r>
      <w:r w:rsidRPr="005B5810">
        <w:rPr>
          <w:rFonts w:ascii="Arial" w:hAnsi="Arial"/>
          <w:bCs/>
          <w:sz w:val="24"/>
          <w:szCs w:val="24"/>
          <w:lang w:val="en-GB"/>
        </w:rPr>
        <w:t>orfeiture is that it depends on a successful criminal conviction. In contrast, civil forfeiture does not</w:t>
      </w:r>
      <w:r>
        <w:rPr>
          <w:rFonts w:ascii="Arial" w:hAnsi="Arial"/>
          <w:bCs/>
          <w:sz w:val="24"/>
          <w:szCs w:val="24"/>
          <w:lang w:val="en-GB"/>
        </w:rPr>
        <w:t xml:space="preserve"> require any prosecution at all.</w:t>
      </w:r>
      <w:r w:rsidRPr="005B5810">
        <w:rPr>
          <w:rFonts w:ascii="Arial" w:hAnsi="Arial"/>
          <w:bCs/>
          <w:sz w:val="24"/>
          <w:szCs w:val="24"/>
          <w:lang w:val="en-GB"/>
        </w:rPr>
        <w:t xml:space="preserve"> It provides an avenue through which the</w:t>
      </w:r>
      <w:r>
        <w:rPr>
          <w:rFonts w:ascii="Arial" w:hAnsi="Arial"/>
          <w:bCs/>
          <w:sz w:val="24"/>
          <w:szCs w:val="24"/>
          <w:lang w:val="en-GB"/>
        </w:rPr>
        <w:t xml:space="preserve"> </w:t>
      </w:r>
      <w:r w:rsidRPr="005B5810">
        <w:rPr>
          <w:rFonts w:ascii="Arial" w:hAnsi="Arial"/>
          <w:bCs/>
          <w:sz w:val="24"/>
          <w:szCs w:val="24"/>
          <w:lang w:val="en-GB"/>
        </w:rPr>
        <w:t xml:space="preserve">perpetrators of crime can </w:t>
      </w:r>
      <w:r>
        <w:rPr>
          <w:rFonts w:ascii="Arial" w:hAnsi="Arial"/>
          <w:bCs/>
          <w:sz w:val="24"/>
          <w:szCs w:val="24"/>
          <w:lang w:val="en-GB"/>
        </w:rPr>
        <w:t>b</w:t>
      </w:r>
      <w:r w:rsidRPr="005B5810">
        <w:rPr>
          <w:rFonts w:ascii="Arial" w:hAnsi="Arial"/>
          <w:bCs/>
          <w:sz w:val="24"/>
          <w:szCs w:val="24"/>
          <w:lang w:val="en-GB"/>
        </w:rPr>
        <w:t>e prevented from benef</w:t>
      </w:r>
      <w:r>
        <w:rPr>
          <w:rFonts w:ascii="Arial" w:hAnsi="Arial"/>
          <w:bCs/>
          <w:sz w:val="24"/>
          <w:szCs w:val="24"/>
          <w:lang w:val="en-GB"/>
        </w:rPr>
        <w:t>i</w:t>
      </w:r>
      <w:r w:rsidRPr="005B5810">
        <w:rPr>
          <w:rFonts w:ascii="Arial" w:hAnsi="Arial"/>
          <w:bCs/>
          <w:sz w:val="24"/>
          <w:szCs w:val="24"/>
          <w:lang w:val="en-GB"/>
        </w:rPr>
        <w:t>t</w:t>
      </w:r>
      <w:r>
        <w:rPr>
          <w:rFonts w:ascii="Arial" w:hAnsi="Arial"/>
          <w:bCs/>
          <w:sz w:val="24"/>
          <w:szCs w:val="24"/>
          <w:lang w:val="en-GB"/>
        </w:rPr>
        <w:t>i</w:t>
      </w:r>
      <w:r w:rsidRPr="005B5810">
        <w:rPr>
          <w:rFonts w:ascii="Arial" w:hAnsi="Arial"/>
          <w:bCs/>
          <w:sz w:val="24"/>
          <w:szCs w:val="24"/>
          <w:lang w:val="en-GB"/>
        </w:rPr>
        <w:t xml:space="preserve">ng from crime. Civil forfeiture </w:t>
      </w:r>
      <w:r>
        <w:rPr>
          <w:rFonts w:ascii="Arial" w:hAnsi="Arial"/>
          <w:bCs/>
          <w:sz w:val="24"/>
          <w:szCs w:val="24"/>
          <w:lang w:val="en-GB"/>
        </w:rPr>
        <w:t xml:space="preserve">removes </w:t>
      </w:r>
      <w:r w:rsidRPr="005B5810">
        <w:rPr>
          <w:rFonts w:ascii="Arial" w:hAnsi="Arial"/>
          <w:bCs/>
          <w:sz w:val="24"/>
          <w:szCs w:val="24"/>
          <w:lang w:val="en-GB"/>
        </w:rPr>
        <w:t>the profit from unlawful activities by targeting specific assets that are derived from or used for unlaw</w:t>
      </w:r>
      <w:r>
        <w:rPr>
          <w:rFonts w:ascii="Arial" w:hAnsi="Arial"/>
          <w:bCs/>
          <w:sz w:val="24"/>
          <w:szCs w:val="24"/>
          <w:lang w:val="en-GB"/>
        </w:rPr>
        <w:t>f</w:t>
      </w:r>
      <w:r w:rsidRPr="005B5810">
        <w:rPr>
          <w:rFonts w:ascii="Arial" w:hAnsi="Arial"/>
          <w:bCs/>
          <w:sz w:val="24"/>
          <w:szCs w:val="24"/>
          <w:lang w:val="en-GB"/>
        </w:rPr>
        <w:t>u</w:t>
      </w:r>
      <w:r>
        <w:rPr>
          <w:rFonts w:ascii="Arial" w:hAnsi="Arial"/>
          <w:bCs/>
          <w:sz w:val="24"/>
          <w:szCs w:val="24"/>
          <w:lang w:val="en-GB"/>
        </w:rPr>
        <w:t>l</w:t>
      </w:r>
      <w:r w:rsidRPr="005B5810">
        <w:rPr>
          <w:rFonts w:ascii="Arial" w:hAnsi="Arial"/>
          <w:bCs/>
          <w:sz w:val="24"/>
          <w:szCs w:val="24"/>
          <w:lang w:val="en-GB"/>
        </w:rPr>
        <w:t xml:space="preserve"> purpos</w:t>
      </w:r>
      <w:r>
        <w:rPr>
          <w:rFonts w:ascii="Arial" w:hAnsi="Arial"/>
          <w:bCs/>
          <w:sz w:val="24"/>
          <w:szCs w:val="24"/>
          <w:lang w:val="en-GB"/>
        </w:rPr>
        <w:t>es</w:t>
      </w:r>
      <w:r w:rsidRPr="005B5810">
        <w:rPr>
          <w:rFonts w:ascii="Arial" w:hAnsi="Arial"/>
          <w:bCs/>
          <w:sz w:val="24"/>
          <w:szCs w:val="24"/>
          <w:lang w:val="en-GB"/>
        </w:rPr>
        <w:t>.</w:t>
      </w:r>
    </w:p>
    <w:p w:rsidR="004B494C" w:rsidRDefault="004B494C" w:rsidP="00BC2003">
      <w:pPr>
        <w:pStyle w:val="ListParagraph"/>
        <w:tabs>
          <w:tab w:val="left" w:pos="0"/>
        </w:tabs>
        <w:spacing w:after="0" w:line="480" w:lineRule="auto"/>
        <w:ind w:left="0"/>
        <w:jc w:val="both"/>
        <w:rPr>
          <w:rFonts w:ascii="Arial" w:hAnsi="Arial"/>
          <w:bCs/>
          <w:sz w:val="24"/>
          <w:szCs w:val="24"/>
          <w:u w:val="single"/>
          <w:lang w:val="en-GB"/>
        </w:rPr>
      </w:pPr>
    </w:p>
    <w:p w:rsidR="004B494C" w:rsidRDefault="004B494C" w:rsidP="00BC2003">
      <w:pPr>
        <w:pStyle w:val="ListParagraph"/>
        <w:tabs>
          <w:tab w:val="left" w:pos="0"/>
        </w:tabs>
        <w:spacing w:after="0" w:line="480" w:lineRule="auto"/>
        <w:ind w:left="0"/>
        <w:jc w:val="both"/>
        <w:rPr>
          <w:rFonts w:ascii="Arial" w:hAnsi="Arial"/>
          <w:bCs/>
          <w:sz w:val="24"/>
          <w:szCs w:val="24"/>
          <w:u w:val="single"/>
          <w:lang w:val="en-GB"/>
        </w:rPr>
      </w:pPr>
      <w:r>
        <w:rPr>
          <w:rFonts w:ascii="Arial" w:hAnsi="Arial"/>
          <w:bCs/>
          <w:sz w:val="24"/>
          <w:szCs w:val="24"/>
          <w:u w:val="single"/>
          <w:lang w:val="en-GB"/>
        </w:rPr>
        <w:t>The requirements for a forfeiture order</w:t>
      </w:r>
    </w:p>
    <w:p w:rsidR="004B494C" w:rsidRPr="00A72255"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A72255">
        <w:rPr>
          <w:rFonts w:ascii="Arial" w:hAnsi="Arial"/>
          <w:bCs/>
          <w:sz w:val="24"/>
          <w:szCs w:val="24"/>
          <w:lang w:val="en-GB"/>
        </w:rPr>
        <w:t xml:space="preserve">Section 59 of POCA forms part of the civil forfeiture regime in Chapter 6. </w:t>
      </w:r>
      <w:r>
        <w:rPr>
          <w:rFonts w:ascii="Arial" w:hAnsi="Arial"/>
          <w:bCs/>
          <w:sz w:val="24"/>
          <w:szCs w:val="24"/>
          <w:lang w:val="en-GB"/>
        </w:rPr>
        <w:t xml:space="preserve">Section 59(1) </w:t>
      </w:r>
      <w:r w:rsidRPr="00A72255">
        <w:rPr>
          <w:rFonts w:ascii="Arial" w:hAnsi="Arial"/>
          <w:bCs/>
          <w:sz w:val="24"/>
          <w:szCs w:val="24"/>
          <w:lang w:val="en-GB"/>
        </w:rPr>
        <w:t xml:space="preserve">provides that, if a preservation of property order is in force, the PG may apply to the High Court </w:t>
      </w:r>
      <w:r w:rsidR="00AC2CD8">
        <w:rPr>
          <w:rFonts w:ascii="Arial" w:hAnsi="Arial"/>
          <w:bCs/>
          <w:sz w:val="24"/>
          <w:szCs w:val="24"/>
          <w:lang w:val="en-GB"/>
        </w:rPr>
        <w:t>for an order forfeiting to the S</w:t>
      </w:r>
      <w:r w:rsidRPr="00A72255">
        <w:rPr>
          <w:rFonts w:ascii="Arial" w:hAnsi="Arial"/>
          <w:bCs/>
          <w:sz w:val="24"/>
          <w:szCs w:val="24"/>
          <w:lang w:val="en-GB"/>
        </w:rPr>
        <w:t>tate all or any of the property that is subject to the preservation order.</w:t>
      </w:r>
      <w:r>
        <w:rPr>
          <w:rFonts w:ascii="Arial" w:hAnsi="Arial"/>
          <w:bCs/>
          <w:sz w:val="24"/>
          <w:szCs w:val="24"/>
          <w:lang w:val="en-GB"/>
        </w:rPr>
        <w:t xml:space="preserve"> Section 61(1) provides that the </w:t>
      </w:r>
      <w:r>
        <w:rPr>
          <w:rFonts w:ascii="Arial" w:hAnsi="Arial"/>
          <w:bCs/>
          <w:sz w:val="24"/>
          <w:szCs w:val="24"/>
          <w:lang w:val="en-GB"/>
        </w:rPr>
        <w:lastRenderedPageBreak/>
        <w:t xml:space="preserve">High Court </w:t>
      </w:r>
      <w:r w:rsidRPr="00CC5643">
        <w:rPr>
          <w:rFonts w:ascii="Arial" w:hAnsi="Arial"/>
          <w:bCs/>
          <w:i/>
          <w:sz w:val="24"/>
          <w:szCs w:val="24"/>
          <w:lang w:val="en-GB"/>
        </w:rPr>
        <w:t>must</w:t>
      </w:r>
      <w:r>
        <w:rPr>
          <w:rFonts w:ascii="Arial" w:hAnsi="Arial"/>
          <w:bCs/>
          <w:sz w:val="24"/>
          <w:szCs w:val="24"/>
          <w:lang w:val="en-GB"/>
        </w:rPr>
        <w:t xml:space="preserve"> make a forfeiture order if it finds on a balance of probabilities that the property is an instrumentality of an offence referred to in schedule 1, or is the proceeds of unlawful activities. The court has no discretion if these requirements are met. Section 61(1) is, however, made ‘subject to section 63’. Section 63 provides that when the High Court makes a forfeiture order in terms of s 61(1), it may exclude certain interests in the property (generally referred to as the ‘innocent owner’ defence). In the present appeal, the </w:t>
      </w:r>
      <w:r w:rsidR="00977C02">
        <w:rPr>
          <w:rFonts w:ascii="Arial" w:hAnsi="Arial"/>
          <w:bCs/>
          <w:sz w:val="24"/>
          <w:szCs w:val="24"/>
          <w:lang w:val="en-GB"/>
        </w:rPr>
        <w:t>‘</w:t>
      </w:r>
      <w:r>
        <w:rPr>
          <w:rFonts w:ascii="Arial" w:hAnsi="Arial"/>
          <w:bCs/>
          <w:sz w:val="24"/>
          <w:szCs w:val="24"/>
          <w:lang w:val="en-GB"/>
        </w:rPr>
        <w:t>innocent owner</w:t>
      </w:r>
      <w:r w:rsidR="00977C02">
        <w:rPr>
          <w:rFonts w:ascii="Arial" w:hAnsi="Arial"/>
          <w:bCs/>
          <w:sz w:val="24"/>
          <w:szCs w:val="24"/>
          <w:lang w:val="en-GB"/>
        </w:rPr>
        <w:t>’</w:t>
      </w:r>
      <w:r>
        <w:rPr>
          <w:rFonts w:ascii="Arial" w:hAnsi="Arial"/>
          <w:bCs/>
          <w:sz w:val="24"/>
          <w:szCs w:val="24"/>
          <w:lang w:val="en-GB"/>
        </w:rPr>
        <w:t xml:space="preserve"> defence has </w:t>
      </w:r>
      <w:r w:rsidRPr="00C37C28">
        <w:rPr>
          <w:rFonts w:ascii="Arial" w:hAnsi="Arial"/>
          <w:bCs/>
          <w:sz w:val="24"/>
          <w:szCs w:val="24"/>
          <w:lang w:val="en-GB"/>
        </w:rPr>
        <w:t>not been established</w:t>
      </w:r>
      <w:r>
        <w:rPr>
          <w:rFonts w:ascii="Arial" w:hAnsi="Arial"/>
          <w:bCs/>
          <w:sz w:val="24"/>
          <w:szCs w:val="24"/>
          <w:lang w:val="en-GB"/>
        </w:rPr>
        <w:t xml:space="preserve">. What remains to be decided therefore is the question of whether or not the High Court was correct in holding that it had been shown on a balance of probabilities that the preserved property is the ‘proceeds of unlawful activities’. </w:t>
      </w:r>
    </w:p>
    <w:p w:rsidR="004B494C" w:rsidRDefault="004B494C" w:rsidP="00BC2003">
      <w:pPr>
        <w:pStyle w:val="ListParagraph"/>
        <w:tabs>
          <w:tab w:val="left" w:pos="0"/>
        </w:tabs>
        <w:spacing w:after="0" w:line="480" w:lineRule="auto"/>
        <w:ind w:left="0"/>
        <w:jc w:val="both"/>
        <w:rPr>
          <w:rFonts w:ascii="Arial" w:hAnsi="Arial"/>
          <w:bCs/>
          <w:sz w:val="24"/>
          <w:szCs w:val="24"/>
          <w:u w:val="single"/>
          <w:lang w:val="en-GB"/>
        </w:rPr>
      </w:pPr>
    </w:p>
    <w:p w:rsidR="004B494C" w:rsidRDefault="004B494C" w:rsidP="00BC2003">
      <w:pPr>
        <w:pStyle w:val="ListParagraph"/>
        <w:tabs>
          <w:tab w:val="left" w:pos="0"/>
        </w:tabs>
        <w:spacing w:after="0" w:line="480" w:lineRule="auto"/>
        <w:ind w:left="0"/>
        <w:jc w:val="both"/>
        <w:rPr>
          <w:rFonts w:ascii="Arial" w:hAnsi="Arial"/>
          <w:bCs/>
          <w:sz w:val="24"/>
          <w:szCs w:val="24"/>
          <w:u w:val="single"/>
          <w:lang w:val="en-GB"/>
        </w:rPr>
      </w:pPr>
      <w:r>
        <w:rPr>
          <w:rFonts w:ascii="Arial" w:hAnsi="Arial"/>
          <w:bCs/>
          <w:sz w:val="24"/>
          <w:szCs w:val="24"/>
          <w:u w:val="single"/>
          <w:lang w:val="en-GB"/>
        </w:rPr>
        <w:t xml:space="preserve">Approach to disputed facts </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lang w:val="en-GB"/>
        </w:rPr>
      </w:pPr>
      <w:r w:rsidRPr="00463886">
        <w:rPr>
          <w:rFonts w:ascii="Arial" w:hAnsi="Arial"/>
          <w:sz w:val="24"/>
          <w:szCs w:val="24"/>
          <w:lang w:val="en-GB"/>
        </w:rPr>
        <w:t>As noted above, the test in s 61 (1) of POCA is that the court must find ‘on a balance of probabilities’ that the property</w:t>
      </w:r>
      <w:r w:rsidR="00977C02">
        <w:rPr>
          <w:rFonts w:ascii="Arial" w:hAnsi="Arial"/>
          <w:sz w:val="24"/>
          <w:szCs w:val="24"/>
          <w:lang w:val="en-GB"/>
        </w:rPr>
        <w:t xml:space="preserve"> in question</w:t>
      </w:r>
      <w:r w:rsidRPr="00463886">
        <w:rPr>
          <w:rFonts w:ascii="Arial" w:hAnsi="Arial"/>
          <w:sz w:val="24"/>
          <w:szCs w:val="24"/>
          <w:lang w:val="en-GB"/>
        </w:rPr>
        <w:t xml:space="preserve"> is the proceeds of unlawful activities. Regulation 7 of the Prevention of Organised Crime Regulations provides that any application for a forfeiture order must be made in writing and ‘must be supported by affidavit evidence’</w:t>
      </w:r>
      <w:r w:rsidR="00977C02">
        <w:rPr>
          <w:rFonts w:ascii="Arial" w:hAnsi="Arial"/>
          <w:sz w:val="24"/>
          <w:szCs w:val="24"/>
          <w:lang w:val="en-GB"/>
        </w:rPr>
        <w:t>.</w:t>
      </w:r>
      <w:r w:rsidRPr="00463886">
        <w:rPr>
          <w:rFonts w:ascii="Arial" w:hAnsi="Arial"/>
          <w:sz w:val="24"/>
          <w:szCs w:val="24"/>
          <w:lang w:val="en-GB"/>
        </w:rPr>
        <w:t xml:space="preserve"> As POCA makes it obligatory to apply for forfeiture by way of affidavit, I agree with the submission of counsel for the PG that any factual disputes in such application must be resolved in accordance with the </w:t>
      </w:r>
      <w:r>
        <w:rPr>
          <w:rFonts w:ascii="Arial" w:hAnsi="Arial"/>
          <w:sz w:val="24"/>
          <w:szCs w:val="24"/>
          <w:lang w:val="en-GB"/>
        </w:rPr>
        <w:t xml:space="preserve">applicable </w:t>
      </w:r>
      <w:r w:rsidRPr="00463886">
        <w:rPr>
          <w:rFonts w:ascii="Arial" w:hAnsi="Arial"/>
          <w:sz w:val="24"/>
          <w:szCs w:val="24"/>
          <w:lang w:val="en-GB"/>
        </w:rPr>
        <w:t xml:space="preserve">principles </w:t>
      </w:r>
      <w:r>
        <w:rPr>
          <w:rFonts w:ascii="Arial" w:hAnsi="Arial"/>
          <w:sz w:val="24"/>
          <w:szCs w:val="24"/>
          <w:lang w:val="en-GB"/>
        </w:rPr>
        <w:t>to</w:t>
      </w:r>
      <w:r w:rsidRPr="00463886">
        <w:rPr>
          <w:rFonts w:ascii="Arial" w:hAnsi="Arial"/>
          <w:sz w:val="24"/>
          <w:szCs w:val="24"/>
          <w:lang w:val="en-GB"/>
        </w:rPr>
        <w:t xml:space="preserve"> disputes of fact in motion proceedings. The appellants’ contention that the court should apply the principles applicable to instances where different versions are given by witnesses in trial proceedings cannot</w:t>
      </w:r>
      <w:r w:rsidR="00977C02">
        <w:rPr>
          <w:rFonts w:ascii="Arial" w:hAnsi="Arial"/>
          <w:sz w:val="24"/>
          <w:szCs w:val="24"/>
          <w:lang w:val="en-GB"/>
        </w:rPr>
        <w:t>,</w:t>
      </w:r>
      <w:r w:rsidRPr="00463886">
        <w:rPr>
          <w:rFonts w:ascii="Arial" w:hAnsi="Arial"/>
          <w:sz w:val="24"/>
          <w:szCs w:val="24"/>
          <w:lang w:val="en-GB"/>
        </w:rPr>
        <w:t xml:space="preserve"> therefore</w:t>
      </w:r>
      <w:r w:rsidR="00977C02">
        <w:rPr>
          <w:rFonts w:ascii="Arial" w:hAnsi="Arial"/>
          <w:sz w:val="24"/>
          <w:szCs w:val="24"/>
          <w:lang w:val="en-GB"/>
        </w:rPr>
        <w:t>,</w:t>
      </w:r>
      <w:r w:rsidRPr="00463886">
        <w:rPr>
          <w:rFonts w:ascii="Arial" w:hAnsi="Arial"/>
          <w:sz w:val="24"/>
          <w:szCs w:val="24"/>
          <w:lang w:val="en-GB"/>
        </w:rPr>
        <w:t xml:space="preserve"> be </w:t>
      </w:r>
      <w:r>
        <w:rPr>
          <w:rFonts w:ascii="Arial" w:hAnsi="Arial"/>
          <w:sz w:val="24"/>
          <w:szCs w:val="24"/>
          <w:lang w:val="en-GB"/>
        </w:rPr>
        <w:t xml:space="preserve">accepted as </w:t>
      </w:r>
      <w:r w:rsidRPr="00463886">
        <w:rPr>
          <w:rFonts w:ascii="Arial" w:hAnsi="Arial"/>
          <w:sz w:val="24"/>
          <w:szCs w:val="24"/>
          <w:lang w:val="en-GB"/>
        </w:rPr>
        <w:t xml:space="preserve">correct. The approach </w:t>
      </w:r>
      <w:r>
        <w:rPr>
          <w:rFonts w:ascii="Arial" w:hAnsi="Arial"/>
          <w:sz w:val="24"/>
          <w:szCs w:val="24"/>
          <w:lang w:val="en-GB"/>
        </w:rPr>
        <w:t xml:space="preserve">to evidence in an application for a forfeiture order </w:t>
      </w:r>
      <w:r w:rsidRPr="00463886">
        <w:rPr>
          <w:rFonts w:ascii="Arial" w:hAnsi="Arial"/>
          <w:sz w:val="24"/>
          <w:szCs w:val="24"/>
          <w:lang w:val="en-GB"/>
        </w:rPr>
        <w:t xml:space="preserve">should be that set out by the South African Appellate Division in </w:t>
      </w:r>
      <w:r>
        <w:rPr>
          <w:rFonts w:ascii="Arial" w:hAnsi="Arial"/>
          <w:sz w:val="24"/>
          <w:szCs w:val="24"/>
          <w:lang w:val="en-GB"/>
        </w:rPr>
        <w:t xml:space="preserve">the well-known </w:t>
      </w:r>
      <w:r w:rsidRPr="00463886">
        <w:rPr>
          <w:rFonts w:ascii="Arial" w:hAnsi="Arial"/>
          <w:i/>
          <w:sz w:val="24"/>
          <w:szCs w:val="24"/>
          <w:lang w:val="en-GB"/>
        </w:rPr>
        <w:t xml:space="preserve">Plascon-Evans </w:t>
      </w:r>
      <w:r w:rsidRPr="00463886">
        <w:rPr>
          <w:rFonts w:ascii="Arial" w:hAnsi="Arial"/>
          <w:i/>
          <w:sz w:val="24"/>
          <w:szCs w:val="24"/>
          <w:lang w:val="en-GB"/>
        </w:rPr>
        <w:lastRenderedPageBreak/>
        <w:t>Paints Ltd v Van Riebeeck Paints (Pty) Ltd</w:t>
      </w:r>
      <w:r>
        <w:rPr>
          <w:rStyle w:val="FootnoteReference"/>
          <w:rFonts w:ascii="Arial" w:hAnsi="Arial"/>
          <w:sz w:val="24"/>
          <w:szCs w:val="24"/>
          <w:lang w:val="en-GB"/>
        </w:rPr>
        <w:footnoteReference w:id="3"/>
      </w:r>
      <w:r>
        <w:rPr>
          <w:rFonts w:ascii="Arial" w:hAnsi="Arial"/>
          <w:i/>
          <w:sz w:val="24"/>
          <w:szCs w:val="24"/>
          <w:lang w:val="en-GB"/>
        </w:rPr>
        <w:t xml:space="preserve"> </w:t>
      </w:r>
      <w:r w:rsidRPr="00E96A73">
        <w:rPr>
          <w:rFonts w:ascii="Arial" w:hAnsi="Arial"/>
          <w:sz w:val="24"/>
          <w:szCs w:val="24"/>
          <w:lang w:val="en-GB"/>
        </w:rPr>
        <w:t xml:space="preserve">case and as endorsed in </w:t>
      </w:r>
      <w:r>
        <w:rPr>
          <w:rFonts w:ascii="Arial" w:hAnsi="Arial"/>
          <w:sz w:val="24"/>
          <w:szCs w:val="24"/>
          <w:lang w:val="en-GB"/>
        </w:rPr>
        <w:t>numerous</w:t>
      </w:r>
      <w:r w:rsidRPr="00E96A73">
        <w:rPr>
          <w:rFonts w:ascii="Arial" w:hAnsi="Arial"/>
          <w:sz w:val="24"/>
          <w:szCs w:val="24"/>
          <w:lang w:val="en-GB"/>
        </w:rPr>
        <w:t xml:space="preserve"> judgments of our courts</w:t>
      </w:r>
      <w:r>
        <w:rPr>
          <w:rFonts w:ascii="Arial" w:hAnsi="Arial"/>
          <w:i/>
          <w:sz w:val="24"/>
          <w:szCs w:val="24"/>
          <w:lang w:val="en-GB"/>
        </w:rPr>
        <w:t>.</w:t>
      </w:r>
      <w:r w:rsidRPr="00463886">
        <w:rPr>
          <w:rFonts w:ascii="Arial" w:hAnsi="Arial"/>
          <w:sz w:val="24"/>
          <w:szCs w:val="24"/>
          <w:lang w:val="en-GB"/>
        </w:rPr>
        <w:t xml:space="preserve"> </w:t>
      </w:r>
    </w:p>
    <w:p w:rsidR="004B494C" w:rsidRPr="0041517A" w:rsidRDefault="004B494C" w:rsidP="00BC2003">
      <w:pPr>
        <w:tabs>
          <w:tab w:val="left" w:pos="0"/>
        </w:tabs>
        <w:spacing w:after="0" w:line="480" w:lineRule="auto"/>
        <w:ind w:left="360"/>
        <w:jc w:val="both"/>
        <w:rPr>
          <w:rFonts w:ascii="Arial" w:hAnsi="Arial"/>
          <w:sz w:val="24"/>
          <w:szCs w:val="24"/>
          <w:lang w:val="en-GB"/>
        </w:rPr>
      </w:pPr>
    </w:p>
    <w:p w:rsidR="004B494C" w:rsidRPr="00463886"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lang w:val="en-GB"/>
        </w:rPr>
      </w:pPr>
      <w:r w:rsidRPr="00463886">
        <w:rPr>
          <w:rFonts w:ascii="Arial" w:hAnsi="Arial"/>
          <w:sz w:val="24"/>
          <w:szCs w:val="24"/>
          <w:lang w:val="en-GB"/>
        </w:rPr>
        <w:t xml:space="preserve">The general rule in </w:t>
      </w:r>
      <w:r w:rsidRPr="00463886">
        <w:rPr>
          <w:rFonts w:ascii="Arial" w:hAnsi="Arial"/>
          <w:i/>
          <w:sz w:val="24"/>
          <w:szCs w:val="24"/>
          <w:lang w:val="en-GB"/>
        </w:rPr>
        <w:t>Plascon-Evans</w:t>
      </w:r>
      <w:r w:rsidRPr="00463886">
        <w:rPr>
          <w:rFonts w:ascii="Arial" w:hAnsi="Arial"/>
          <w:sz w:val="24"/>
          <w:szCs w:val="24"/>
          <w:lang w:val="en-GB"/>
        </w:rPr>
        <w:t xml:space="preserve"> is that final relief may be granted only if the facts as stated by the respondent, together with the admitted facts in the applicant’s affidavits, justify the granting of such relief. There are, however, two exceptions to this general rule. The first exception is where the denial by a respondent of a fact alleged by the applicant is not such </w:t>
      </w:r>
      <w:r>
        <w:rPr>
          <w:rFonts w:ascii="Arial" w:hAnsi="Arial"/>
          <w:sz w:val="24"/>
          <w:szCs w:val="24"/>
          <w:lang w:val="en-GB"/>
        </w:rPr>
        <w:t xml:space="preserve">as </w:t>
      </w:r>
      <w:r w:rsidRPr="00463886">
        <w:rPr>
          <w:rFonts w:ascii="Arial" w:hAnsi="Arial"/>
          <w:sz w:val="24"/>
          <w:szCs w:val="24"/>
          <w:lang w:val="en-GB"/>
        </w:rPr>
        <w:t xml:space="preserve">to raise a real, genuine or bona fide dispute of fact. This exception was formulated by the South African Constitutional Court in </w:t>
      </w:r>
      <w:r w:rsidRPr="00463886">
        <w:rPr>
          <w:rFonts w:ascii="Arial" w:hAnsi="Arial"/>
          <w:i/>
          <w:sz w:val="24"/>
          <w:szCs w:val="24"/>
          <w:lang w:val="en-GB"/>
        </w:rPr>
        <w:t>Rail Commuters Action Group v Transnet Limited t/a Metrorail</w:t>
      </w:r>
      <w:r>
        <w:rPr>
          <w:rStyle w:val="FootnoteReference"/>
          <w:rFonts w:ascii="Arial" w:hAnsi="Arial"/>
          <w:sz w:val="24"/>
          <w:szCs w:val="24"/>
          <w:lang w:val="en-GB"/>
        </w:rPr>
        <w:footnoteReference w:id="4"/>
      </w:r>
      <w:r w:rsidRPr="00463886">
        <w:rPr>
          <w:rFonts w:ascii="Arial" w:hAnsi="Arial"/>
          <w:sz w:val="24"/>
          <w:szCs w:val="24"/>
          <w:lang w:val="en-GB"/>
        </w:rPr>
        <w:t xml:space="preserve"> </w:t>
      </w:r>
      <w:r>
        <w:rPr>
          <w:rFonts w:ascii="Arial" w:hAnsi="Arial"/>
          <w:sz w:val="24"/>
          <w:szCs w:val="24"/>
          <w:lang w:val="en-GB"/>
        </w:rPr>
        <w:t>as follows:</w:t>
      </w:r>
      <w:r w:rsidRPr="00463886">
        <w:rPr>
          <w:rFonts w:ascii="Arial" w:hAnsi="Arial"/>
          <w:sz w:val="24"/>
          <w:szCs w:val="24"/>
          <w:lang w:val="en-GB"/>
        </w:rPr>
        <w:t xml:space="preserve"> </w:t>
      </w:r>
    </w:p>
    <w:p w:rsidR="004B494C" w:rsidRDefault="004B494C" w:rsidP="001470B5">
      <w:pPr>
        <w:tabs>
          <w:tab w:val="left" w:pos="0"/>
        </w:tabs>
        <w:spacing w:after="0" w:line="360" w:lineRule="auto"/>
        <w:jc w:val="both"/>
        <w:rPr>
          <w:rFonts w:ascii="Arial" w:hAnsi="Arial"/>
          <w:lang w:val="en-GB"/>
        </w:rPr>
      </w:pPr>
    </w:p>
    <w:p w:rsidR="004B494C" w:rsidRPr="0009068C" w:rsidRDefault="004B494C" w:rsidP="00BC2003">
      <w:pPr>
        <w:tabs>
          <w:tab w:val="left" w:pos="0"/>
        </w:tabs>
        <w:spacing w:after="0" w:line="360" w:lineRule="auto"/>
        <w:ind w:left="720"/>
        <w:jc w:val="both"/>
        <w:rPr>
          <w:rFonts w:ascii="Arial" w:hAnsi="Arial"/>
          <w:lang w:val="en-GB"/>
        </w:rPr>
      </w:pPr>
      <w:r w:rsidRPr="0009068C">
        <w:rPr>
          <w:rFonts w:ascii="Arial" w:hAnsi="Arial"/>
          <w:lang w:val="en-GB"/>
        </w:rPr>
        <w:t>‘Where however a denial by a respondent is not real, genuine or in good faith, the respondent has not sought that the dispute be referred to evidence, and the court is persuaded of the inherent credibility of the facts asserted by an applicant, the court may adjudicate the matter on the basis of the facts asserted by the applicant</w:t>
      </w:r>
      <w:r>
        <w:rPr>
          <w:rFonts w:ascii="Arial" w:hAnsi="Arial"/>
          <w:lang w:val="en-GB"/>
        </w:rPr>
        <w:t>.</w:t>
      </w:r>
      <w:r w:rsidRPr="0009068C">
        <w:rPr>
          <w:rFonts w:ascii="Arial" w:hAnsi="Arial"/>
          <w:lang w:val="en-GB"/>
        </w:rPr>
        <w:t>’</w:t>
      </w:r>
    </w:p>
    <w:p w:rsidR="004B494C" w:rsidRPr="00682B0C" w:rsidRDefault="004B494C" w:rsidP="001470B5">
      <w:pPr>
        <w:tabs>
          <w:tab w:val="left" w:pos="0"/>
        </w:tabs>
        <w:spacing w:after="0" w:line="360" w:lineRule="auto"/>
        <w:jc w:val="both"/>
        <w:rPr>
          <w:rFonts w:ascii="Arial" w:hAnsi="Arial"/>
          <w:sz w:val="24"/>
          <w:szCs w:val="24"/>
          <w:u w:val="single"/>
          <w:lang w:val="en-GB"/>
        </w:rPr>
      </w:pPr>
    </w:p>
    <w:p w:rsidR="004B494C" w:rsidRPr="00682B0C"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u w:val="single"/>
          <w:lang w:val="en-GB"/>
        </w:rPr>
      </w:pPr>
      <w:r>
        <w:rPr>
          <w:rFonts w:ascii="Arial" w:hAnsi="Arial"/>
          <w:sz w:val="24"/>
          <w:szCs w:val="24"/>
          <w:lang w:val="en-GB"/>
        </w:rPr>
        <w:t>It has been stated that ‘a bare denial of applicant’s material averments cannot be regarded as sufficient to defeat applicant’s right to secure relief by motion proceedings in appropriate cases.</w:t>
      </w:r>
      <w:r>
        <w:rPr>
          <w:rStyle w:val="FootnoteReference"/>
          <w:rFonts w:ascii="Arial" w:hAnsi="Arial"/>
          <w:sz w:val="24"/>
          <w:szCs w:val="24"/>
          <w:lang w:val="en-GB"/>
        </w:rPr>
        <w:footnoteReference w:id="5"/>
      </w:r>
      <w:r>
        <w:rPr>
          <w:rFonts w:ascii="Arial" w:hAnsi="Arial"/>
          <w:sz w:val="24"/>
          <w:szCs w:val="24"/>
          <w:lang w:val="en-GB"/>
        </w:rPr>
        <w:t xml:space="preserve"> This is so because ‘if by a mere denial in general terms a respondent can defeat or delay an applicant who comes to court on motion, then motion proceedings are worthless, for a respondent can always defeat or delay a petitioner by such a device</w:t>
      </w:r>
      <w:r w:rsidR="007F184F">
        <w:rPr>
          <w:rFonts w:ascii="Arial" w:hAnsi="Arial"/>
          <w:sz w:val="24"/>
          <w:szCs w:val="24"/>
          <w:lang w:val="en-GB"/>
        </w:rPr>
        <w:t>’</w:t>
      </w:r>
      <w:r>
        <w:rPr>
          <w:rStyle w:val="FootnoteReference"/>
          <w:rFonts w:ascii="Arial" w:hAnsi="Arial"/>
          <w:sz w:val="24"/>
          <w:szCs w:val="24"/>
          <w:lang w:val="en-GB"/>
        </w:rPr>
        <w:footnoteReference w:id="6"/>
      </w:r>
      <w:r>
        <w:rPr>
          <w:rFonts w:ascii="Arial" w:hAnsi="Arial"/>
          <w:sz w:val="24"/>
          <w:szCs w:val="24"/>
          <w:lang w:val="en-GB"/>
        </w:rPr>
        <w:t xml:space="preserve">  </w:t>
      </w:r>
    </w:p>
    <w:p w:rsidR="004B494C" w:rsidRPr="00682B0C" w:rsidRDefault="004B494C" w:rsidP="00BC2003">
      <w:pPr>
        <w:tabs>
          <w:tab w:val="left" w:pos="0"/>
        </w:tabs>
        <w:spacing w:after="0" w:line="480" w:lineRule="auto"/>
        <w:ind w:left="360"/>
        <w:jc w:val="both"/>
        <w:rPr>
          <w:rFonts w:ascii="Arial" w:hAnsi="Arial"/>
          <w:sz w:val="24"/>
          <w:szCs w:val="24"/>
          <w:u w:val="single"/>
          <w:lang w:val="en-GB"/>
        </w:rPr>
      </w:pPr>
    </w:p>
    <w:p w:rsidR="004B494C" w:rsidRPr="003C4BC9" w:rsidRDefault="004B494C" w:rsidP="00BC2003">
      <w:pPr>
        <w:pStyle w:val="ListParagraph"/>
        <w:numPr>
          <w:ilvl w:val="0"/>
          <w:numId w:val="27"/>
        </w:numPr>
        <w:tabs>
          <w:tab w:val="left" w:pos="0"/>
        </w:tabs>
        <w:spacing w:after="0" w:line="480" w:lineRule="auto"/>
        <w:ind w:left="0" w:firstLine="0"/>
        <w:jc w:val="both"/>
        <w:rPr>
          <w:rFonts w:ascii="Arial" w:hAnsi="Arial"/>
          <w:sz w:val="24"/>
          <w:szCs w:val="24"/>
          <w:u w:val="single"/>
          <w:lang w:val="en-GB"/>
        </w:rPr>
      </w:pPr>
      <w:r>
        <w:rPr>
          <w:rFonts w:ascii="Arial" w:hAnsi="Arial"/>
          <w:sz w:val="24"/>
          <w:szCs w:val="24"/>
          <w:lang w:val="en-GB"/>
        </w:rPr>
        <w:lastRenderedPageBreak/>
        <w:t>The second ex</w:t>
      </w:r>
      <w:r w:rsidRPr="002078B1">
        <w:rPr>
          <w:rFonts w:ascii="Arial" w:hAnsi="Arial"/>
          <w:sz w:val="24"/>
          <w:szCs w:val="24"/>
          <w:lang w:val="en-GB"/>
        </w:rPr>
        <w:t xml:space="preserve">ception to the </w:t>
      </w:r>
      <w:r w:rsidRPr="002078B1">
        <w:rPr>
          <w:rFonts w:ascii="Arial" w:hAnsi="Arial"/>
          <w:i/>
          <w:sz w:val="24"/>
          <w:szCs w:val="24"/>
          <w:lang w:val="en-GB"/>
        </w:rPr>
        <w:t>Plascon-Evans</w:t>
      </w:r>
      <w:r w:rsidRPr="002078B1">
        <w:rPr>
          <w:rFonts w:ascii="Arial" w:hAnsi="Arial"/>
          <w:sz w:val="24"/>
          <w:szCs w:val="24"/>
          <w:lang w:val="en-GB"/>
        </w:rPr>
        <w:t xml:space="preserve"> rule is </w:t>
      </w:r>
      <w:r w:rsidRPr="002078B1">
        <w:rPr>
          <w:rFonts w:ascii="Arial" w:hAnsi="Arial"/>
          <w:sz w:val="24"/>
          <w:szCs w:val="24"/>
        </w:rPr>
        <w:t xml:space="preserve">where the allegations or denials of the respondent are so clearly untenable that the court is justified in rejecting them on the papers. If the respondent’s version is </w:t>
      </w:r>
      <w:r>
        <w:rPr>
          <w:rFonts w:ascii="Arial" w:hAnsi="Arial"/>
          <w:sz w:val="24"/>
          <w:szCs w:val="24"/>
        </w:rPr>
        <w:t>‘</w:t>
      </w:r>
      <w:r w:rsidRPr="002078B1">
        <w:rPr>
          <w:rFonts w:ascii="Arial" w:hAnsi="Arial"/>
          <w:sz w:val="24"/>
          <w:szCs w:val="24"/>
        </w:rPr>
        <w:t>so improbable and unrealistic that it can be considered to be fanciful and untenable</w:t>
      </w:r>
      <w:r>
        <w:rPr>
          <w:rFonts w:ascii="Arial" w:hAnsi="Arial"/>
          <w:sz w:val="24"/>
          <w:szCs w:val="24"/>
        </w:rPr>
        <w:t>’</w:t>
      </w:r>
      <w:r w:rsidRPr="002078B1">
        <w:rPr>
          <w:rFonts w:ascii="Arial" w:hAnsi="Arial"/>
          <w:sz w:val="24"/>
          <w:szCs w:val="24"/>
        </w:rPr>
        <w:t>,</w:t>
      </w:r>
      <w:r w:rsidRPr="002078B1">
        <w:rPr>
          <w:rStyle w:val="FootnoteReference"/>
          <w:rFonts w:ascii="Arial" w:hAnsi="Arial"/>
          <w:sz w:val="24"/>
          <w:szCs w:val="24"/>
        </w:rPr>
        <w:footnoteReference w:id="7"/>
      </w:r>
      <w:r w:rsidRPr="002078B1">
        <w:rPr>
          <w:rFonts w:ascii="Arial" w:hAnsi="Arial"/>
          <w:sz w:val="24"/>
          <w:szCs w:val="24"/>
        </w:rPr>
        <w:t xml:space="preserve"> then it may be rejected on the papers by adopting a </w:t>
      </w:r>
      <w:r>
        <w:rPr>
          <w:rFonts w:ascii="Arial" w:hAnsi="Arial"/>
          <w:sz w:val="24"/>
          <w:szCs w:val="24"/>
        </w:rPr>
        <w:t>‘</w:t>
      </w:r>
      <w:r w:rsidRPr="002078B1">
        <w:rPr>
          <w:rFonts w:ascii="Arial" w:hAnsi="Arial"/>
          <w:sz w:val="24"/>
          <w:szCs w:val="24"/>
        </w:rPr>
        <w:t>robust, common-sense approach</w:t>
      </w:r>
      <w:r>
        <w:rPr>
          <w:rFonts w:ascii="Arial" w:hAnsi="Arial"/>
          <w:sz w:val="24"/>
          <w:szCs w:val="24"/>
        </w:rPr>
        <w:t>’.</w:t>
      </w:r>
      <w:r>
        <w:rPr>
          <w:rStyle w:val="FootnoteReference"/>
          <w:rFonts w:ascii="Arial" w:hAnsi="Arial"/>
          <w:sz w:val="24"/>
          <w:szCs w:val="24"/>
        </w:rPr>
        <w:footnoteReference w:id="8"/>
      </w:r>
      <w:r w:rsidRPr="002078B1">
        <w:rPr>
          <w:rFonts w:ascii="Arial" w:hAnsi="Arial"/>
          <w:sz w:val="24"/>
          <w:szCs w:val="24"/>
          <w:lang w:val="en-GB"/>
        </w:rPr>
        <w:t xml:space="preserve"> </w:t>
      </w:r>
    </w:p>
    <w:p w:rsidR="003C4BC9" w:rsidRPr="001470B5" w:rsidRDefault="003C4BC9" w:rsidP="001470B5">
      <w:pPr>
        <w:rPr>
          <w:rFonts w:ascii="Arial" w:hAnsi="Arial"/>
          <w:sz w:val="24"/>
          <w:szCs w:val="24"/>
          <w:u w:val="single"/>
          <w:lang w:val="en-GB"/>
        </w:rPr>
      </w:pPr>
    </w:p>
    <w:p w:rsidR="004B494C" w:rsidRDefault="004B494C" w:rsidP="00BC2003">
      <w:pPr>
        <w:tabs>
          <w:tab w:val="left" w:pos="0"/>
        </w:tabs>
        <w:spacing w:after="0" w:line="480" w:lineRule="auto"/>
        <w:jc w:val="both"/>
        <w:rPr>
          <w:rFonts w:ascii="Arial" w:hAnsi="Arial"/>
          <w:sz w:val="24"/>
          <w:szCs w:val="24"/>
          <w:lang w:val="en-GB"/>
        </w:rPr>
      </w:pPr>
      <w:r>
        <w:rPr>
          <w:rFonts w:ascii="Arial" w:hAnsi="Arial"/>
          <w:sz w:val="24"/>
          <w:szCs w:val="24"/>
          <w:u w:val="single"/>
          <w:lang w:val="en-GB"/>
        </w:rPr>
        <w:t>Were the requirements for a forfeiture order satisfied?</w:t>
      </w:r>
    </w:p>
    <w:p w:rsidR="004B494C" w:rsidRPr="00E77F4E" w:rsidRDefault="004B494C" w:rsidP="00BC2003">
      <w:pPr>
        <w:tabs>
          <w:tab w:val="left" w:pos="0"/>
        </w:tabs>
        <w:spacing w:after="0" w:line="480" w:lineRule="auto"/>
        <w:jc w:val="both"/>
        <w:rPr>
          <w:rFonts w:ascii="Arial" w:hAnsi="Arial"/>
          <w:i/>
          <w:sz w:val="24"/>
          <w:szCs w:val="24"/>
          <w:lang w:val="en-GB"/>
        </w:rPr>
      </w:pPr>
      <w:r w:rsidRPr="00E77F4E">
        <w:rPr>
          <w:rFonts w:ascii="Arial" w:hAnsi="Arial"/>
          <w:i/>
          <w:sz w:val="24"/>
          <w:szCs w:val="24"/>
          <w:lang w:val="en-GB"/>
        </w:rPr>
        <w:t>The Lister engines</w:t>
      </w:r>
    </w:p>
    <w:p w:rsidR="004B494C" w:rsidRPr="00BC2003" w:rsidRDefault="004B494C" w:rsidP="00BC2003">
      <w:pPr>
        <w:pStyle w:val="WLGLevel1"/>
        <w:numPr>
          <w:ilvl w:val="0"/>
          <w:numId w:val="27"/>
        </w:numPr>
        <w:spacing w:before="0" w:after="0"/>
        <w:ind w:left="0" w:firstLine="0"/>
        <w:rPr>
          <w:rFonts w:cs="Arial"/>
        </w:rPr>
      </w:pPr>
      <w:r w:rsidRPr="003447A1">
        <w:rPr>
          <w:bCs/>
          <w:szCs w:val="24"/>
          <w:lang w:val="en-GB"/>
        </w:rPr>
        <w:t xml:space="preserve">The appellants contend </w:t>
      </w:r>
      <w:r>
        <w:rPr>
          <w:bCs/>
          <w:szCs w:val="24"/>
          <w:lang w:val="en-GB"/>
        </w:rPr>
        <w:t xml:space="preserve">in the main </w:t>
      </w:r>
      <w:r w:rsidRPr="003447A1">
        <w:rPr>
          <w:bCs/>
          <w:szCs w:val="24"/>
          <w:lang w:val="en-GB"/>
        </w:rPr>
        <w:t xml:space="preserve">that there are no grounds for viewing the </w:t>
      </w:r>
      <w:r>
        <w:rPr>
          <w:bCs/>
          <w:szCs w:val="24"/>
          <w:lang w:val="en-GB"/>
        </w:rPr>
        <w:t xml:space="preserve">forfeited </w:t>
      </w:r>
      <w:r w:rsidRPr="003447A1">
        <w:rPr>
          <w:bCs/>
          <w:szCs w:val="24"/>
          <w:lang w:val="en-GB"/>
        </w:rPr>
        <w:t>property as proceeds of unlawful activities</w:t>
      </w:r>
      <w:r>
        <w:rPr>
          <w:bCs/>
          <w:szCs w:val="24"/>
          <w:lang w:val="en-GB"/>
        </w:rPr>
        <w:t xml:space="preserve"> and that the High Court was wrong in holding that the requirements for a forfeiture order had been met</w:t>
      </w:r>
      <w:r w:rsidRPr="003447A1">
        <w:rPr>
          <w:bCs/>
          <w:szCs w:val="24"/>
          <w:lang w:val="en-GB"/>
        </w:rPr>
        <w:t>.</w:t>
      </w:r>
      <w:r w:rsidRPr="004C19CC">
        <w:rPr>
          <w:bCs/>
          <w:szCs w:val="24"/>
          <w:lang w:val="en-GB"/>
        </w:rPr>
        <w:t xml:space="preserve"> </w:t>
      </w:r>
      <w:r w:rsidRPr="00DC0A72">
        <w:rPr>
          <w:rFonts w:cs="Arial"/>
        </w:rPr>
        <w:t xml:space="preserve">In their main opposing affidavit filed during the preservation stage, the appellants averred that the </w:t>
      </w:r>
      <w:r>
        <w:rPr>
          <w:rFonts w:cs="Arial"/>
        </w:rPr>
        <w:t xml:space="preserve">term </w:t>
      </w:r>
      <w:r w:rsidRPr="00DC0A72">
        <w:rPr>
          <w:rFonts w:cs="Arial"/>
        </w:rPr>
        <w:t>tender was limited to Lister series</w:t>
      </w:r>
      <w:r w:rsidRPr="00447631">
        <w:rPr>
          <w:rFonts w:cs="Arial"/>
          <w:i/>
        </w:rPr>
        <w:t xml:space="preserve"> L</w:t>
      </w:r>
      <w:r w:rsidRPr="00DC0A72">
        <w:rPr>
          <w:rFonts w:cs="Arial"/>
        </w:rPr>
        <w:t xml:space="preserve"> engines and did not include the </w:t>
      </w:r>
      <w:r w:rsidRPr="00DC0A72">
        <w:rPr>
          <w:rFonts w:cs="Arial"/>
          <w:szCs w:val="24"/>
        </w:rPr>
        <w:t xml:space="preserve">4.5 kW Lister series </w:t>
      </w:r>
      <w:r w:rsidRPr="00447631">
        <w:rPr>
          <w:rFonts w:cs="Arial"/>
          <w:i/>
        </w:rPr>
        <w:t>TR1</w:t>
      </w:r>
      <w:r w:rsidRPr="00DC0A72">
        <w:rPr>
          <w:rFonts w:cs="Arial"/>
        </w:rPr>
        <w:t xml:space="preserve"> engines which NAD contracted with </w:t>
      </w:r>
      <w:r w:rsidRPr="00DC0A72">
        <w:rPr>
          <w:rFonts w:cs="Arial"/>
          <w:szCs w:val="24"/>
        </w:rPr>
        <w:t>the MAWF</w:t>
      </w:r>
      <w:r w:rsidRPr="00DC0A72">
        <w:rPr>
          <w:rFonts w:cs="Arial"/>
        </w:rPr>
        <w:t xml:space="preserve"> to supply during the tender term. </w:t>
      </w:r>
      <w:r>
        <w:rPr>
          <w:rFonts w:cs="Arial"/>
        </w:rPr>
        <w:t>However, the</w:t>
      </w:r>
      <w:r w:rsidRPr="00DC0A72">
        <w:rPr>
          <w:rFonts w:cs="Arial"/>
        </w:rPr>
        <w:t xml:space="preserve"> </w:t>
      </w:r>
      <w:r>
        <w:rPr>
          <w:rFonts w:cs="Arial"/>
        </w:rPr>
        <w:t xml:space="preserve">appellants’ contention has been contradicted by </w:t>
      </w:r>
      <w:r w:rsidRPr="00DC0A72">
        <w:rPr>
          <w:rFonts w:cs="Arial"/>
        </w:rPr>
        <w:t xml:space="preserve">tender documents </w:t>
      </w:r>
      <w:r>
        <w:rPr>
          <w:rFonts w:cs="Arial"/>
        </w:rPr>
        <w:t xml:space="preserve">which </w:t>
      </w:r>
      <w:r w:rsidRPr="00DC0A72">
        <w:rPr>
          <w:rFonts w:cs="Arial"/>
        </w:rPr>
        <w:t xml:space="preserve">indisputably show that the tender awarded to </w:t>
      </w:r>
      <w:r w:rsidRPr="00DC0A72">
        <w:rPr>
          <w:rFonts w:cs="Arial"/>
          <w:szCs w:val="24"/>
        </w:rPr>
        <w:t xml:space="preserve">Continental Spares CC included </w:t>
      </w:r>
      <w:r w:rsidRPr="00DC0A72">
        <w:rPr>
          <w:rFonts w:cs="Arial"/>
        </w:rPr>
        <w:t xml:space="preserve">the sale of </w:t>
      </w:r>
      <w:r w:rsidRPr="00DC0A72">
        <w:rPr>
          <w:rFonts w:cs="Arial"/>
          <w:szCs w:val="24"/>
        </w:rPr>
        <w:t xml:space="preserve">4.5 kW Lister series </w:t>
      </w:r>
      <w:r w:rsidRPr="00DC0A72">
        <w:rPr>
          <w:rFonts w:cs="Arial"/>
        </w:rPr>
        <w:t xml:space="preserve">TR1 engines for </w:t>
      </w:r>
      <w:r w:rsidRPr="00DC0A72">
        <w:rPr>
          <w:rFonts w:cs="Arial"/>
          <w:szCs w:val="24"/>
        </w:rPr>
        <w:t>N$18</w:t>
      </w:r>
      <w:r>
        <w:rPr>
          <w:rFonts w:cs="Arial"/>
          <w:szCs w:val="24"/>
        </w:rPr>
        <w:t xml:space="preserve"> </w:t>
      </w:r>
      <w:r w:rsidRPr="00DC0A72">
        <w:rPr>
          <w:rFonts w:cs="Arial"/>
          <w:szCs w:val="24"/>
        </w:rPr>
        <w:t>500 (including VAT</w:t>
      </w:r>
      <w:r w:rsidR="0055707A">
        <w:rPr>
          <w:rFonts w:cs="Arial"/>
          <w:szCs w:val="24"/>
        </w:rPr>
        <w:t xml:space="preserve"> and transport</w:t>
      </w:r>
      <w:r w:rsidRPr="00DC0A72">
        <w:rPr>
          <w:rFonts w:cs="Arial"/>
          <w:szCs w:val="24"/>
        </w:rPr>
        <w:t>)</w:t>
      </w:r>
      <w:r w:rsidR="0055707A">
        <w:rPr>
          <w:rFonts w:cs="Arial"/>
          <w:szCs w:val="24"/>
        </w:rPr>
        <w:t>.</w:t>
      </w:r>
    </w:p>
    <w:p w:rsidR="00BC2003" w:rsidRPr="00A82E18" w:rsidRDefault="00BC2003" w:rsidP="00BC2003">
      <w:pPr>
        <w:pStyle w:val="WLGLevel1"/>
        <w:numPr>
          <w:ilvl w:val="0"/>
          <w:numId w:val="0"/>
        </w:numPr>
        <w:spacing w:before="0" w:after="0"/>
        <w:rPr>
          <w:rFonts w:cs="Arial"/>
        </w:rPr>
      </w:pPr>
    </w:p>
    <w:p w:rsidR="004B494C" w:rsidRDefault="004B494C" w:rsidP="00BC2003">
      <w:pPr>
        <w:pStyle w:val="WLGLevel1"/>
        <w:numPr>
          <w:ilvl w:val="0"/>
          <w:numId w:val="27"/>
        </w:numPr>
        <w:spacing w:before="0" w:after="0"/>
        <w:ind w:left="0" w:firstLine="0"/>
        <w:rPr>
          <w:rFonts w:cs="Arial"/>
        </w:rPr>
      </w:pPr>
      <w:r w:rsidRPr="00DC0A72">
        <w:rPr>
          <w:rFonts w:cs="Arial"/>
        </w:rPr>
        <w:t xml:space="preserve">In their main opposing affidavit filed during the forfeiture stage, the appellants </w:t>
      </w:r>
      <w:r>
        <w:rPr>
          <w:rFonts w:cs="Arial"/>
        </w:rPr>
        <w:t xml:space="preserve">appeared to have </w:t>
      </w:r>
      <w:r w:rsidRPr="00DC0A72">
        <w:rPr>
          <w:rFonts w:cs="Arial"/>
        </w:rPr>
        <w:t xml:space="preserve">abandoned the </w:t>
      </w:r>
      <w:r>
        <w:rPr>
          <w:rFonts w:cs="Arial"/>
        </w:rPr>
        <w:t xml:space="preserve">averment </w:t>
      </w:r>
      <w:r w:rsidRPr="00DC0A72">
        <w:rPr>
          <w:rFonts w:cs="Arial"/>
        </w:rPr>
        <w:t xml:space="preserve">that the tender was limited to Lister series L engines </w:t>
      </w:r>
      <w:r>
        <w:rPr>
          <w:rFonts w:cs="Arial"/>
        </w:rPr>
        <w:t>a</w:t>
      </w:r>
      <w:r w:rsidRPr="00DC0A72">
        <w:rPr>
          <w:rFonts w:cs="Arial"/>
        </w:rPr>
        <w:t xml:space="preserve">s they made no further mention of it.  Instead, they contended that the Lister TR1 series engines that NAD supplied to </w:t>
      </w:r>
      <w:r w:rsidRPr="00DC0A72">
        <w:rPr>
          <w:rFonts w:cs="Arial"/>
          <w:szCs w:val="24"/>
        </w:rPr>
        <w:t>the MAWF</w:t>
      </w:r>
      <w:r w:rsidRPr="00DC0A72">
        <w:rPr>
          <w:rFonts w:cs="Arial"/>
        </w:rPr>
        <w:t xml:space="preserve"> were not covered by the </w:t>
      </w:r>
      <w:r>
        <w:rPr>
          <w:rFonts w:cs="Arial"/>
        </w:rPr>
        <w:t xml:space="preserve">term </w:t>
      </w:r>
      <w:r w:rsidRPr="00DC0A72">
        <w:rPr>
          <w:rFonts w:cs="Arial"/>
        </w:rPr>
        <w:t xml:space="preserve">tender because they operated at 2500 rpm whereas the </w:t>
      </w:r>
      <w:r>
        <w:rPr>
          <w:rFonts w:cs="Arial"/>
        </w:rPr>
        <w:t xml:space="preserve">term </w:t>
      </w:r>
      <w:r w:rsidRPr="00DC0A72">
        <w:rPr>
          <w:rFonts w:cs="Arial"/>
        </w:rPr>
        <w:t xml:space="preserve">tender </w:t>
      </w:r>
      <w:r w:rsidRPr="00DC0A72">
        <w:rPr>
          <w:rFonts w:cs="Arial"/>
        </w:rPr>
        <w:lastRenderedPageBreak/>
        <w:t xml:space="preserve">was for engines operating at between 650 rpm and 1500 rpm. </w:t>
      </w:r>
      <w:r>
        <w:rPr>
          <w:rFonts w:cs="Arial"/>
        </w:rPr>
        <w:t xml:space="preserve">The original </w:t>
      </w:r>
      <w:r w:rsidRPr="00546653">
        <w:rPr>
          <w:rFonts w:cs="Arial"/>
        </w:rPr>
        <w:t xml:space="preserve">contention thus changed to the averment </w:t>
      </w:r>
      <w:r w:rsidRPr="00DC0A72">
        <w:rPr>
          <w:rFonts w:cs="Arial"/>
        </w:rPr>
        <w:t xml:space="preserve">that </w:t>
      </w:r>
      <w:r>
        <w:rPr>
          <w:rFonts w:cs="Arial"/>
        </w:rPr>
        <w:t xml:space="preserve">the </w:t>
      </w:r>
      <w:r w:rsidRPr="00DC0A72">
        <w:rPr>
          <w:rFonts w:cs="Arial"/>
        </w:rPr>
        <w:t>MAWF ordered Lister Engines with a KW capacity of 2500 RPM which was not on annual tender</w:t>
      </w:r>
      <w:r>
        <w:rPr>
          <w:rFonts w:cs="Arial"/>
        </w:rPr>
        <w:t>. But this new contention appears to have overlooked the description of the engines in the tender document which reads as follows:</w:t>
      </w:r>
    </w:p>
    <w:p w:rsidR="00C84C8E" w:rsidRDefault="00C84C8E" w:rsidP="00BC2003">
      <w:pPr>
        <w:pStyle w:val="WLGLevel1"/>
        <w:numPr>
          <w:ilvl w:val="0"/>
          <w:numId w:val="0"/>
        </w:numPr>
        <w:spacing w:before="0" w:after="0" w:line="360" w:lineRule="auto"/>
        <w:ind w:left="567"/>
        <w:rPr>
          <w:rFonts w:cs="Arial"/>
          <w:sz w:val="22"/>
          <w:szCs w:val="22"/>
        </w:rPr>
      </w:pPr>
    </w:p>
    <w:p w:rsidR="004B494C" w:rsidRDefault="004B494C" w:rsidP="00BC2003">
      <w:pPr>
        <w:pStyle w:val="WLGLevel1"/>
        <w:numPr>
          <w:ilvl w:val="0"/>
          <w:numId w:val="0"/>
        </w:numPr>
        <w:spacing w:before="0" w:after="0" w:line="360" w:lineRule="auto"/>
        <w:ind w:left="567"/>
        <w:rPr>
          <w:rFonts w:cs="Arial"/>
          <w:sz w:val="22"/>
          <w:szCs w:val="22"/>
        </w:rPr>
      </w:pPr>
      <w:r w:rsidRPr="00EA37D9">
        <w:rPr>
          <w:rFonts w:cs="Arial"/>
          <w:sz w:val="22"/>
          <w:szCs w:val="22"/>
        </w:rPr>
        <w:t>‘Supply and delivery of stationary air-and water-cooled diesel engines (</w:t>
      </w:r>
      <w:r w:rsidRPr="00447631">
        <w:rPr>
          <w:rFonts w:cs="Arial"/>
          <w:i/>
          <w:sz w:val="22"/>
          <w:szCs w:val="22"/>
        </w:rPr>
        <w:t>rated from 2.0 kW up to 17 kW @ 650 to 1500 rpm</w:t>
      </w:r>
      <w:r w:rsidRPr="00EA37D9">
        <w:rPr>
          <w:rFonts w:cs="Arial"/>
          <w:sz w:val="22"/>
          <w:szCs w:val="22"/>
        </w:rPr>
        <w:t>) for the period 1 July 2011 to 30 June 2012: Ministry of Agriculture, Water and Forestry.’</w:t>
      </w:r>
    </w:p>
    <w:p w:rsidR="00BC2003" w:rsidRDefault="00BC2003" w:rsidP="001470B5">
      <w:pPr>
        <w:pStyle w:val="WLGLevel1"/>
        <w:numPr>
          <w:ilvl w:val="0"/>
          <w:numId w:val="0"/>
        </w:numPr>
        <w:spacing w:before="0" w:after="0" w:line="360" w:lineRule="auto"/>
        <w:ind w:left="567" w:hanging="567"/>
        <w:rPr>
          <w:rFonts w:cs="Arial"/>
          <w:sz w:val="22"/>
          <w:szCs w:val="22"/>
        </w:rPr>
      </w:pPr>
    </w:p>
    <w:p w:rsidR="004B494C" w:rsidRPr="001D5D5C" w:rsidRDefault="004B494C" w:rsidP="00BC2003">
      <w:pPr>
        <w:pStyle w:val="WLGLevel2"/>
        <w:numPr>
          <w:ilvl w:val="0"/>
          <w:numId w:val="27"/>
        </w:numPr>
        <w:spacing w:after="0"/>
        <w:ind w:left="0" w:firstLine="0"/>
        <w:rPr>
          <w:rFonts w:cs="Arial"/>
        </w:rPr>
      </w:pPr>
      <w:r w:rsidRPr="001D5D5C">
        <w:rPr>
          <w:rFonts w:cs="Arial"/>
          <w:szCs w:val="24"/>
        </w:rPr>
        <w:t>Furthermore, t</w:t>
      </w:r>
      <w:r w:rsidRPr="001D5D5C">
        <w:rPr>
          <w:rFonts w:cs="Arial"/>
        </w:rPr>
        <w:t>he schedule of technical information, for each type of engine, specified its rated sea-level power at 1500 rpm and its ‘derated’ power at approximately 1500 metres abo</w:t>
      </w:r>
      <w:r>
        <w:rPr>
          <w:rFonts w:cs="Arial"/>
        </w:rPr>
        <w:t xml:space="preserve">ve mean sea level at 1500 rpm. </w:t>
      </w:r>
      <w:r w:rsidRPr="001D5D5C">
        <w:rPr>
          <w:rFonts w:cs="Arial"/>
        </w:rPr>
        <w:t xml:space="preserve">The schedule also made provision for the inclusion, by each tenderer, of the engine’s permissible working range (which, in the case of the 4.5 kW Lister TR1 engine, was </w:t>
      </w:r>
      <w:r w:rsidRPr="00860AB6">
        <w:rPr>
          <w:rFonts w:cs="Arial"/>
        </w:rPr>
        <w:t>1500 rpm to 2500 rpm</w:t>
      </w:r>
      <w:r w:rsidRPr="001D5D5C">
        <w:rPr>
          <w:rFonts w:cs="Arial"/>
        </w:rPr>
        <w:t>) and, if it had a constant speed governor, the constant speed (which, in the case of the 4.5 kW Lister TR1 engine, was 1500 rpm).</w:t>
      </w:r>
      <w:r>
        <w:rPr>
          <w:rFonts w:cs="Arial"/>
        </w:rPr>
        <w:t xml:space="preserve"> </w:t>
      </w:r>
      <w:r w:rsidRPr="001D5D5C">
        <w:rPr>
          <w:rFonts w:cs="Arial"/>
        </w:rPr>
        <w:t xml:space="preserve">Mr </w:t>
      </w:r>
      <w:r w:rsidR="00920D62" w:rsidRPr="001D5D5C">
        <w:rPr>
          <w:rFonts w:cs="Arial"/>
        </w:rPr>
        <w:t>Jürgen</w:t>
      </w:r>
      <w:r w:rsidRPr="001D5D5C">
        <w:rPr>
          <w:rFonts w:cs="Arial"/>
        </w:rPr>
        <w:t xml:space="preserve"> Henning Mercker of Continental Spares explained this</w:t>
      </w:r>
      <w:r>
        <w:rPr>
          <w:rFonts w:cs="Arial"/>
        </w:rPr>
        <w:t xml:space="preserve"> in his affidavit</w:t>
      </w:r>
      <w:r w:rsidRPr="001D5D5C">
        <w:rPr>
          <w:rFonts w:cs="Arial"/>
        </w:rPr>
        <w:t xml:space="preserve"> as follows:</w:t>
      </w:r>
    </w:p>
    <w:p w:rsidR="00BC2003" w:rsidRDefault="00BC2003" w:rsidP="00BC2003">
      <w:pPr>
        <w:pStyle w:val="BodyTextIndent3"/>
        <w:spacing w:after="0" w:line="360" w:lineRule="auto"/>
        <w:ind w:left="0"/>
        <w:rPr>
          <w:rFonts w:cs="Arial"/>
          <w:sz w:val="22"/>
          <w:szCs w:val="22"/>
        </w:rPr>
      </w:pPr>
    </w:p>
    <w:p w:rsidR="004B494C" w:rsidRDefault="004B494C" w:rsidP="00BC2003">
      <w:pPr>
        <w:pStyle w:val="BodyTextIndent3"/>
        <w:spacing w:after="0" w:line="360" w:lineRule="auto"/>
        <w:ind w:left="720"/>
        <w:rPr>
          <w:rFonts w:cs="Arial"/>
          <w:sz w:val="22"/>
          <w:szCs w:val="22"/>
        </w:rPr>
      </w:pPr>
      <w:r w:rsidRPr="00860AB6">
        <w:rPr>
          <w:rFonts w:cs="Arial"/>
          <w:sz w:val="22"/>
          <w:szCs w:val="22"/>
        </w:rPr>
        <w:t xml:space="preserve">‘The TR1 engine is designed to operate in a speed range of between 1500 rpm and 2500 rpm, generating power at between 5.5 to 8.6 kW continuous power (depending on speed). For borehole application as used by the Ministry of Agriculture the only configuration offered is the Built 16 series engine. The engines sold to New Africa Dimensions CC </w:t>
      </w:r>
      <w:r>
        <w:rPr>
          <w:rFonts w:cs="Arial"/>
          <w:sz w:val="22"/>
          <w:szCs w:val="22"/>
        </w:rPr>
        <w:t>are</w:t>
      </w:r>
      <w:r w:rsidRPr="00860AB6">
        <w:rPr>
          <w:rFonts w:cs="Arial"/>
          <w:sz w:val="22"/>
          <w:szCs w:val="22"/>
        </w:rPr>
        <w:t xml:space="preserve"> exactl</w:t>
      </w:r>
      <w:r w:rsidR="00BC2003">
        <w:rPr>
          <w:rFonts w:cs="Arial"/>
          <w:sz w:val="22"/>
          <w:szCs w:val="22"/>
        </w:rPr>
        <w:t>y the built 16 series engine . . .’</w:t>
      </w:r>
    </w:p>
    <w:p w:rsidR="00BC2003" w:rsidRPr="00860AB6" w:rsidRDefault="00BC2003" w:rsidP="001470B5">
      <w:pPr>
        <w:pStyle w:val="BodyTextIndent3"/>
        <w:spacing w:after="0" w:line="360" w:lineRule="auto"/>
        <w:ind w:left="0"/>
        <w:rPr>
          <w:rFonts w:cs="Arial"/>
          <w:sz w:val="22"/>
          <w:szCs w:val="22"/>
        </w:rPr>
      </w:pPr>
    </w:p>
    <w:p w:rsidR="004B494C" w:rsidRPr="00BC2003" w:rsidRDefault="004B494C" w:rsidP="00BC2003">
      <w:pPr>
        <w:pStyle w:val="WLGLevel1"/>
        <w:numPr>
          <w:ilvl w:val="0"/>
          <w:numId w:val="27"/>
        </w:numPr>
        <w:spacing w:before="0" w:after="0"/>
        <w:ind w:left="0" w:firstLine="0"/>
        <w:rPr>
          <w:rFonts w:cs="Arial"/>
          <w:szCs w:val="24"/>
        </w:rPr>
      </w:pPr>
      <w:r w:rsidRPr="00DC0A72">
        <w:rPr>
          <w:rFonts w:cs="Arial"/>
        </w:rPr>
        <w:t xml:space="preserve">There is </w:t>
      </w:r>
      <w:r>
        <w:rPr>
          <w:rFonts w:cs="Arial"/>
        </w:rPr>
        <w:t xml:space="preserve">thus </w:t>
      </w:r>
      <w:r w:rsidRPr="00DC0A72">
        <w:rPr>
          <w:rFonts w:cs="Arial"/>
        </w:rPr>
        <w:t>no doubt that the Lister series TR1 engines that NAD contracted to supply to the MAWF were exactly the same as the ones covered by the term tender awarded to Continental Spares</w:t>
      </w:r>
      <w:r>
        <w:rPr>
          <w:rFonts w:cs="Arial"/>
        </w:rPr>
        <w:t>. I</w:t>
      </w:r>
      <w:r w:rsidRPr="00DC0A72">
        <w:rPr>
          <w:rFonts w:cs="Arial"/>
        </w:rPr>
        <w:t>ndeed</w:t>
      </w:r>
      <w:r>
        <w:rPr>
          <w:rFonts w:cs="Arial"/>
        </w:rPr>
        <w:t>,</w:t>
      </w:r>
      <w:r w:rsidRPr="00DC0A72">
        <w:rPr>
          <w:rFonts w:cs="Arial"/>
        </w:rPr>
        <w:t xml:space="preserve"> </w:t>
      </w:r>
      <w:r>
        <w:rPr>
          <w:rFonts w:cs="Arial"/>
        </w:rPr>
        <w:t xml:space="preserve">it is common cause </w:t>
      </w:r>
      <w:r w:rsidRPr="00DC0A72">
        <w:rPr>
          <w:rFonts w:cs="Arial"/>
        </w:rPr>
        <w:t xml:space="preserve">that NAD had sourced the engines it supplied </w:t>
      </w:r>
      <w:r>
        <w:rPr>
          <w:rFonts w:cs="Arial"/>
        </w:rPr>
        <w:t xml:space="preserve">to the MAWF </w:t>
      </w:r>
      <w:r w:rsidRPr="00DC0A72">
        <w:rPr>
          <w:rFonts w:cs="Arial"/>
        </w:rPr>
        <w:t>from Continental Spares</w:t>
      </w:r>
      <w:r>
        <w:rPr>
          <w:rFonts w:cs="Arial"/>
        </w:rPr>
        <w:t xml:space="preserve">, selling each </w:t>
      </w:r>
      <w:r>
        <w:rPr>
          <w:rFonts w:cs="Arial"/>
        </w:rPr>
        <w:lastRenderedPageBreak/>
        <w:t xml:space="preserve">engine to the MAWF for </w:t>
      </w:r>
      <w:r w:rsidRPr="001B155A">
        <w:rPr>
          <w:rFonts w:cs="Arial"/>
          <w:i/>
        </w:rPr>
        <w:t>N$26</w:t>
      </w:r>
      <w:r>
        <w:rPr>
          <w:rFonts w:cs="Arial"/>
          <w:i/>
        </w:rPr>
        <w:t xml:space="preserve"> </w:t>
      </w:r>
      <w:r w:rsidRPr="001B155A">
        <w:rPr>
          <w:rFonts w:cs="Arial"/>
          <w:i/>
        </w:rPr>
        <w:t>782</w:t>
      </w:r>
      <w:r>
        <w:rPr>
          <w:rFonts w:cs="Arial"/>
          <w:i/>
        </w:rPr>
        <w:t>,</w:t>
      </w:r>
      <w:r w:rsidRPr="001B155A">
        <w:rPr>
          <w:rFonts w:cs="Arial"/>
          <w:i/>
        </w:rPr>
        <w:t xml:space="preserve">30 </w:t>
      </w:r>
      <w:r w:rsidRPr="00DC0A72">
        <w:rPr>
          <w:rFonts w:cs="Arial"/>
        </w:rPr>
        <w:t xml:space="preserve">including VAT </w:t>
      </w:r>
      <w:r>
        <w:rPr>
          <w:rFonts w:cs="Arial"/>
        </w:rPr>
        <w:t xml:space="preserve">but </w:t>
      </w:r>
      <w:r w:rsidRPr="001B155A">
        <w:rPr>
          <w:rFonts w:cs="Arial"/>
          <w:i/>
        </w:rPr>
        <w:t>excluding transport</w:t>
      </w:r>
      <w:r>
        <w:rPr>
          <w:rFonts w:cs="Arial"/>
        </w:rPr>
        <w:t xml:space="preserve"> in stark contrast to Continental Spares’ price of </w:t>
      </w:r>
      <w:r w:rsidRPr="001B155A">
        <w:rPr>
          <w:rFonts w:cs="Arial"/>
          <w:i/>
        </w:rPr>
        <w:t>N$18</w:t>
      </w:r>
      <w:r>
        <w:rPr>
          <w:rFonts w:cs="Arial"/>
          <w:i/>
        </w:rPr>
        <w:t xml:space="preserve"> </w:t>
      </w:r>
      <w:r w:rsidRPr="001B155A">
        <w:rPr>
          <w:rFonts w:cs="Arial"/>
          <w:i/>
        </w:rPr>
        <w:t>500 per engine</w:t>
      </w:r>
      <w:r w:rsidRPr="00DC0A72">
        <w:rPr>
          <w:rFonts w:cs="Arial"/>
        </w:rPr>
        <w:t xml:space="preserve"> including </w:t>
      </w:r>
      <w:r w:rsidR="00BC2003">
        <w:rPr>
          <w:rFonts w:cs="Arial"/>
        </w:rPr>
        <w:t xml:space="preserve">both </w:t>
      </w:r>
      <w:r w:rsidRPr="00DC0A72">
        <w:rPr>
          <w:rFonts w:cs="Arial"/>
        </w:rPr>
        <w:t xml:space="preserve">VAT and </w:t>
      </w:r>
      <w:r w:rsidR="00BC2003">
        <w:rPr>
          <w:rFonts w:cs="Arial"/>
        </w:rPr>
        <w:t>t</w:t>
      </w:r>
      <w:r w:rsidRPr="000E3321">
        <w:rPr>
          <w:rFonts w:cs="Arial"/>
        </w:rPr>
        <w:t>ransport</w:t>
      </w:r>
      <w:r w:rsidRPr="001B155A">
        <w:rPr>
          <w:rFonts w:cs="Arial"/>
          <w:i/>
        </w:rPr>
        <w:t>.</w:t>
      </w:r>
      <w:r>
        <w:rPr>
          <w:rFonts w:cs="Arial"/>
        </w:rPr>
        <w:t xml:space="preserve"> </w:t>
      </w:r>
      <w:r w:rsidRPr="00DC0A72">
        <w:rPr>
          <w:rFonts w:cs="Arial"/>
        </w:rPr>
        <w:t xml:space="preserve">The purchase by the MAWF from NAD of 110 4.5 kW Lister engines for </w:t>
      </w:r>
      <w:r w:rsidRPr="001B155A">
        <w:rPr>
          <w:rFonts w:cs="Arial"/>
        </w:rPr>
        <w:t>N$26</w:t>
      </w:r>
      <w:r>
        <w:rPr>
          <w:rFonts w:cs="Arial"/>
        </w:rPr>
        <w:t xml:space="preserve"> </w:t>
      </w:r>
      <w:r w:rsidRPr="001B155A">
        <w:rPr>
          <w:rFonts w:cs="Arial"/>
        </w:rPr>
        <w:t>782</w:t>
      </w:r>
      <w:r>
        <w:rPr>
          <w:rFonts w:cs="Arial"/>
        </w:rPr>
        <w:t>,</w:t>
      </w:r>
      <w:r w:rsidRPr="001B155A">
        <w:rPr>
          <w:rFonts w:cs="Arial"/>
        </w:rPr>
        <w:t>30 per engine</w:t>
      </w:r>
      <w:r w:rsidRPr="00DC0A72">
        <w:rPr>
          <w:rFonts w:cs="Arial"/>
        </w:rPr>
        <w:t xml:space="preserve"> including VAT and </w:t>
      </w:r>
      <w:r w:rsidRPr="001B155A">
        <w:rPr>
          <w:rFonts w:cs="Arial"/>
        </w:rPr>
        <w:t>excluding transport,</w:t>
      </w:r>
      <w:r w:rsidRPr="00DC0A72">
        <w:rPr>
          <w:rFonts w:cs="Arial"/>
        </w:rPr>
        <w:t xml:space="preserve"> was </w:t>
      </w:r>
      <w:r>
        <w:rPr>
          <w:rFonts w:cs="Arial"/>
        </w:rPr>
        <w:t xml:space="preserve">obviously </w:t>
      </w:r>
      <w:r w:rsidRPr="00DC0A72">
        <w:rPr>
          <w:rFonts w:cs="Arial"/>
        </w:rPr>
        <w:t>prejudicial to the Government because, under the term tender, t</w:t>
      </w:r>
      <w:r>
        <w:rPr>
          <w:rFonts w:cs="Arial"/>
        </w:rPr>
        <w:t>he MAWF</w:t>
      </w:r>
      <w:r w:rsidRPr="00DC0A72">
        <w:rPr>
          <w:rFonts w:cs="Arial"/>
        </w:rPr>
        <w:t xml:space="preserve"> could have purchased the same engines from Continental Spares for </w:t>
      </w:r>
      <w:r w:rsidRPr="001B155A">
        <w:rPr>
          <w:rFonts w:cs="Arial"/>
        </w:rPr>
        <w:t>N$18</w:t>
      </w:r>
      <w:r>
        <w:rPr>
          <w:rFonts w:cs="Arial"/>
        </w:rPr>
        <w:t xml:space="preserve"> </w:t>
      </w:r>
      <w:r w:rsidR="00BC2003">
        <w:rPr>
          <w:rFonts w:cs="Arial"/>
        </w:rPr>
        <w:t xml:space="preserve">500 per </w:t>
      </w:r>
      <w:r w:rsidR="008E44F3">
        <w:rPr>
          <w:rFonts w:cs="Arial"/>
        </w:rPr>
        <w:t xml:space="preserve">engine </w:t>
      </w:r>
      <w:r w:rsidR="00BC2003">
        <w:rPr>
          <w:rFonts w:cs="Arial"/>
        </w:rPr>
        <w:t>inclusive of</w:t>
      </w:r>
      <w:r w:rsidRPr="001B155A">
        <w:rPr>
          <w:rFonts w:cs="Arial"/>
        </w:rPr>
        <w:t xml:space="preserve"> </w:t>
      </w:r>
      <w:r w:rsidRPr="00DC0A72">
        <w:rPr>
          <w:rFonts w:cs="Arial"/>
        </w:rPr>
        <w:t xml:space="preserve">VAT and </w:t>
      </w:r>
      <w:r w:rsidRPr="001B155A">
        <w:rPr>
          <w:rFonts w:cs="Arial"/>
        </w:rPr>
        <w:t>transport</w:t>
      </w:r>
      <w:r w:rsidRPr="00DC0A72">
        <w:rPr>
          <w:rFonts w:cs="Arial"/>
        </w:rPr>
        <w:t xml:space="preserve">. </w:t>
      </w:r>
      <w:r>
        <w:rPr>
          <w:rFonts w:cs="Arial"/>
        </w:rPr>
        <w:t xml:space="preserve">The appellants’ averment that the Lister series TR1 engines it contracted to supply to the MAWF were not on term tender is not correct. The High Court was thus justified in rejecting it on the papers. </w:t>
      </w:r>
    </w:p>
    <w:p w:rsidR="00BC2003" w:rsidRDefault="00BC2003" w:rsidP="00BC2003">
      <w:pPr>
        <w:pStyle w:val="WLGLevel1"/>
        <w:numPr>
          <w:ilvl w:val="0"/>
          <w:numId w:val="0"/>
        </w:numPr>
        <w:spacing w:before="0" w:after="0"/>
        <w:rPr>
          <w:rFonts w:cs="Arial"/>
          <w:szCs w:val="24"/>
        </w:rPr>
      </w:pPr>
    </w:p>
    <w:p w:rsidR="004B494C" w:rsidRPr="00B55A78" w:rsidRDefault="004B494C" w:rsidP="00BC2003">
      <w:pPr>
        <w:pStyle w:val="ListParagraph"/>
        <w:tabs>
          <w:tab w:val="left" w:pos="0"/>
        </w:tabs>
        <w:spacing w:after="0" w:line="480" w:lineRule="auto"/>
        <w:ind w:left="0"/>
        <w:jc w:val="both"/>
        <w:rPr>
          <w:rFonts w:ascii="Arial" w:hAnsi="Arial"/>
          <w:bCs/>
          <w:sz w:val="24"/>
          <w:szCs w:val="24"/>
          <w:u w:val="single"/>
          <w:lang w:val="en-GB"/>
        </w:rPr>
      </w:pPr>
      <w:r w:rsidRPr="00B55A78">
        <w:rPr>
          <w:rFonts w:ascii="Arial" w:hAnsi="Arial"/>
          <w:bCs/>
          <w:sz w:val="24"/>
          <w:szCs w:val="24"/>
          <w:u w:val="single"/>
          <w:lang w:val="en-GB"/>
        </w:rPr>
        <w:t>Was there a</w:t>
      </w:r>
      <w:r>
        <w:rPr>
          <w:rFonts w:ascii="Arial" w:hAnsi="Arial"/>
          <w:bCs/>
          <w:sz w:val="24"/>
          <w:szCs w:val="24"/>
          <w:u w:val="single"/>
          <w:lang w:val="en-GB"/>
        </w:rPr>
        <w:t>n</w:t>
      </w:r>
      <w:r w:rsidRPr="00B55A78">
        <w:rPr>
          <w:rFonts w:ascii="Arial" w:hAnsi="Arial"/>
          <w:bCs/>
          <w:sz w:val="24"/>
          <w:szCs w:val="24"/>
          <w:u w:val="single"/>
          <w:lang w:val="en-GB"/>
        </w:rPr>
        <w:t xml:space="preserve"> exemption to </w:t>
      </w:r>
      <w:r>
        <w:rPr>
          <w:rFonts w:ascii="Arial" w:hAnsi="Arial"/>
          <w:bCs/>
          <w:sz w:val="24"/>
          <w:szCs w:val="24"/>
          <w:u w:val="single"/>
          <w:lang w:val="en-GB"/>
        </w:rPr>
        <w:t xml:space="preserve">the tender for the supply of the </w:t>
      </w:r>
      <w:r w:rsidRPr="00B55A78">
        <w:rPr>
          <w:rFonts w:ascii="Arial" w:hAnsi="Arial"/>
          <w:bCs/>
          <w:sz w:val="24"/>
          <w:szCs w:val="24"/>
          <w:u w:val="single"/>
          <w:lang w:val="en-GB"/>
        </w:rPr>
        <w:t xml:space="preserve">engines? </w:t>
      </w:r>
    </w:p>
    <w:p w:rsidR="004B494C" w:rsidRDefault="004B494C" w:rsidP="00BC2003">
      <w:pPr>
        <w:pStyle w:val="WLGLevel1"/>
        <w:numPr>
          <w:ilvl w:val="0"/>
          <w:numId w:val="27"/>
        </w:numPr>
        <w:spacing w:before="0" w:after="0"/>
        <w:ind w:left="0" w:firstLine="0"/>
        <w:rPr>
          <w:rFonts w:cs="Arial"/>
        </w:rPr>
      </w:pPr>
      <w:r w:rsidRPr="002E42C8">
        <w:rPr>
          <w:bCs/>
          <w:szCs w:val="24"/>
          <w:lang w:val="en-GB"/>
        </w:rPr>
        <w:t>When Mr Freyer approved the orders for the purchasing of the Lister Engines</w:t>
      </w:r>
      <w:r>
        <w:rPr>
          <w:bCs/>
          <w:szCs w:val="24"/>
          <w:lang w:val="en-GB"/>
        </w:rPr>
        <w:t xml:space="preserve"> by the MAWF</w:t>
      </w:r>
      <w:r w:rsidRPr="002E42C8">
        <w:rPr>
          <w:bCs/>
          <w:szCs w:val="24"/>
          <w:lang w:val="en-GB"/>
        </w:rPr>
        <w:t xml:space="preserve">, he purported to act under the authority of tender exemption number E1/18/1-120113.25. </w:t>
      </w:r>
      <w:r w:rsidRPr="002E42C8">
        <w:rPr>
          <w:rFonts w:cs="Arial"/>
        </w:rPr>
        <w:t>In their principal opposing affidavit filed during the forfeiture stage, the appellants also relied heavily on the alleged tender exemption. It was stated in the affidavit, for example, that ‘MAWF pursuant to a Tender Board exemption procured goods on a capital budget which is a budget distinct and separate from the regional budgets from whe</w:t>
      </w:r>
      <w:r>
        <w:rPr>
          <w:rFonts w:cs="Arial"/>
        </w:rPr>
        <w:t>re</w:t>
      </w:r>
      <w:r w:rsidRPr="002E42C8">
        <w:rPr>
          <w:rFonts w:cs="Arial"/>
        </w:rPr>
        <w:t xml:space="preserve"> annual tender procurements are procured’, and that </w:t>
      </w:r>
      <w:r>
        <w:rPr>
          <w:rFonts w:cs="Arial"/>
        </w:rPr>
        <w:t>‘</w:t>
      </w:r>
      <w:r w:rsidRPr="002E42C8">
        <w:rPr>
          <w:rFonts w:cs="Arial"/>
        </w:rPr>
        <w:t xml:space="preserve">the Tender Board duly granted a </w:t>
      </w:r>
      <w:r>
        <w:rPr>
          <w:rFonts w:cs="Arial"/>
        </w:rPr>
        <w:t>t</w:t>
      </w:r>
      <w:r w:rsidRPr="002E42C8">
        <w:rPr>
          <w:rFonts w:cs="Arial"/>
        </w:rPr>
        <w:t>ender exemption for procurement of goods that was effected by Mr Freyer, in his capacity as Acting Director of Rural Water Supply</w:t>
      </w:r>
      <w:r>
        <w:rPr>
          <w:rFonts w:cs="Arial"/>
        </w:rPr>
        <w:t>’</w:t>
      </w:r>
      <w:r w:rsidRPr="002E42C8">
        <w:rPr>
          <w:rFonts w:cs="Arial"/>
        </w:rPr>
        <w:t>.</w:t>
      </w:r>
    </w:p>
    <w:p w:rsidR="00BC2003" w:rsidRPr="002E42C8" w:rsidRDefault="00BC2003" w:rsidP="00BC2003">
      <w:pPr>
        <w:pStyle w:val="WLGLevel1"/>
        <w:numPr>
          <w:ilvl w:val="0"/>
          <w:numId w:val="0"/>
        </w:numPr>
        <w:spacing w:before="0" w:after="0"/>
        <w:rPr>
          <w:rFonts w:cs="Arial"/>
        </w:rPr>
      </w:pPr>
    </w:p>
    <w:p w:rsidR="004B494C" w:rsidRPr="00DC0A72" w:rsidRDefault="004B494C" w:rsidP="00BC2003">
      <w:pPr>
        <w:pStyle w:val="WLGLevel2"/>
        <w:numPr>
          <w:ilvl w:val="0"/>
          <w:numId w:val="27"/>
        </w:numPr>
        <w:spacing w:after="0"/>
        <w:ind w:left="0" w:firstLine="0"/>
        <w:rPr>
          <w:rFonts w:cs="Arial"/>
        </w:rPr>
      </w:pPr>
      <w:r>
        <w:rPr>
          <w:rFonts w:cs="Arial"/>
        </w:rPr>
        <w:t xml:space="preserve">An analysis of the </w:t>
      </w:r>
      <w:r w:rsidRPr="00DC0A72">
        <w:rPr>
          <w:rFonts w:cs="Arial"/>
        </w:rPr>
        <w:t xml:space="preserve">tender exemption </w:t>
      </w:r>
      <w:r>
        <w:rPr>
          <w:rFonts w:cs="Arial"/>
        </w:rPr>
        <w:t xml:space="preserve">shows the following prominent features: The exemption bears the </w:t>
      </w:r>
      <w:r w:rsidRPr="00DC0A72">
        <w:rPr>
          <w:rFonts w:cs="Arial"/>
        </w:rPr>
        <w:t>head</w:t>
      </w:r>
      <w:r>
        <w:rPr>
          <w:rFonts w:cs="Arial"/>
        </w:rPr>
        <w:t>ing</w:t>
      </w:r>
      <w:r w:rsidRPr="00DC0A72">
        <w:rPr>
          <w:rFonts w:cs="Arial"/>
        </w:rPr>
        <w:t xml:space="preserve"> </w:t>
      </w:r>
      <w:r>
        <w:rPr>
          <w:rFonts w:cs="Arial"/>
        </w:rPr>
        <w:t>‘</w:t>
      </w:r>
      <w:r w:rsidRPr="00DC0A72">
        <w:rPr>
          <w:rFonts w:cs="Arial"/>
        </w:rPr>
        <w:t xml:space="preserve">Annual Tender Board Exemption from Normal Tender Procedures: 2011/2012 Financial Year: Ministry of Agriculture, Water and </w:t>
      </w:r>
      <w:r w:rsidRPr="00DC0A72">
        <w:rPr>
          <w:rFonts w:cs="Arial"/>
        </w:rPr>
        <w:lastRenderedPageBreak/>
        <w:t>Forestry</w:t>
      </w:r>
      <w:r>
        <w:rPr>
          <w:rFonts w:cs="Arial"/>
        </w:rPr>
        <w:t>’</w:t>
      </w:r>
      <w:r w:rsidRPr="00DC0A72">
        <w:rPr>
          <w:rFonts w:cs="Arial"/>
        </w:rPr>
        <w:t>.</w:t>
      </w:r>
      <w:r>
        <w:rPr>
          <w:rFonts w:cs="Arial"/>
        </w:rPr>
        <w:t xml:space="preserve"> </w:t>
      </w:r>
      <w:r w:rsidRPr="00DC0A72">
        <w:rPr>
          <w:rFonts w:cs="Arial"/>
        </w:rPr>
        <w:t xml:space="preserve">The purpose </w:t>
      </w:r>
      <w:r>
        <w:rPr>
          <w:rFonts w:cs="Arial"/>
        </w:rPr>
        <w:t xml:space="preserve">of the exemption was stated to have been </w:t>
      </w:r>
      <w:r w:rsidRPr="00DC0A72">
        <w:rPr>
          <w:rFonts w:cs="Arial"/>
        </w:rPr>
        <w:t>the granting by the Tender Board to the MAWF of approval for the exemption, in terms of s</w:t>
      </w:r>
      <w:r>
        <w:rPr>
          <w:rFonts w:cs="Arial"/>
        </w:rPr>
        <w:t xml:space="preserve"> </w:t>
      </w:r>
      <w:r w:rsidRPr="00DC0A72">
        <w:rPr>
          <w:rFonts w:cs="Arial"/>
        </w:rPr>
        <w:t>17(1)</w:t>
      </w:r>
      <w:r w:rsidRPr="00BC2003">
        <w:rPr>
          <w:rFonts w:cs="Arial"/>
          <w:i/>
        </w:rPr>
        <w:t>(c)</w:t>
      </w:r>
      <w:r w:rsidRPr="00DC0A72">
        <w:rPr>
          <w:rFonts w:cs="Arial"/>
        </w:rPr>
        <w:t xml:space="preserve"> of the Tender Board Act </w:t>
      </w:r>
      <w:r>
        <w:rPr>
          <w:rFonts w:cs="Arial"/>
        </w:rPr>
        <w:t>‘</w:t>
      </w:r>
      <w:r w:rsidRPr="00DC0A72">
        <w:rPr>
          <w:rFonts w:cs="Arial"/>
        </w:rPr>
        <w:t>from compliance with the required Tender procedures in respect of essential purchases and the supply of services which cannot be procured through the formal tender procedures during the 2011/2012 financial year…</w:t>
      </w:r>
      <w:r>
        <w:rPr>
          <w:rFonts w:cs="Arial"/>
        </w:rPr>
        <w:t>’</w:t>
      </w:r>
      <w:r w:rsidRPr="00DC0A72">
        <w:rPr>
          <w:rFonts w:cs="Arial"/>
        </w:rPr>
        <w:t>.</w:t>
      </w:r>
    </w:p>
    <w:p w:rsidR="00BC2003" w:rsidRDefault="00BC2003" w:rsidP="00BC2003">
      <w:pPr>
        <w:pStyle w:val="WLGLevel2"/>
        <w:numPr>
          <w:ilvl w:val="0"/>
          <w:numId w:val="0"/>
        </w:numPr>
        <w:spacing w:after="0"/>
        <w:rPr>
          <w:rFonts w:cs="Arial"/>
        </w:rPr>
      </w:pPr>
    </w:p>
    <w:p w:rsidR="004B494C" w:rsidRDefault="004B494C" w:rsidP="00BC2003">
      <w:pPr>
        <w:pStyle w:val="WLGLevel2"/>
        <w:numPr>
          <w:ilvl w:val="0"/>
          <w:numId w:val="0"/>
        </w:numPr>
        <w:spacing w:after="0"/>
        <w:rPr>
          <w:rFonts w:cs="Arial"/>
        </w:rPr>
      </w:pPr>
      <w:r>
        <w:rPr>
          <w:rFonts w:cs="Arial"/>
        </w:rPr>
        <w:t>The ambit and scope of the exemption are set out in p</w:t>
      </w:r>
      <w:r w:rsidRPr="00DC0A72">
        <w:rPr>
          <w:rFonts w:cs="Arial"/>
        </w:rPr>
        <w:t xml:space="preserve">aragraph 3.25 </w:t>
      </w:r>
      <w:r>
        <w:rPr>
          <w:rFonts w:cs="Arial"/>
        </w:rPr>
        <w:t>of the document embodying the exemption. The paragraph reads as follows</w:t>
      </w:r>
      <w:r w:rsidRPr="00DC0A72">
        <w:rPr>
          <w:rFonts w:cs="Arial"/>
        </w:rPr>
        <w:t>:</w:t>
      </w:r>
    </w:p>
    <w:p w:rsidR="00BC2003" w:rsidRPr="00DC0A72" w:rsidRDefault="00BC2003" w:rsidP="001470B5">
      <w:pPr>
        <w:pStyle w:val="WLGLevel2"/>
        <w:numPr>
          <w:ilvl w:val="0"/>
          <w:numId w:val="0"/>
        </w:numPr>
        <w:spacing w:after="0" w:line="360" w:lineRule="auto"/>
        <w:rPr>
          <w:rFonts w:cs="Arial"/>
        </w:rPr>
      </w:pPr>
    </w:p>
    <w:p w:rsidR="00BC2003" w:rsidRDefault="004B494C" w:rsidP="00BC2003">
      <w:pPr>
        <w:pStyle w:val="ListParagraph"/>
        <w:spacing w:after="0" w:line="360" w:lineRule="auto"/>
        <w:ind w:left="1440"/>
        <w:jc w:val="both"/>
        <w:rPr>
          <w:rFonts w:ascii="Arial" w:hAnsi="Arial"/>
        </w:rPr>
      </w:pPr>
      <w:r w:rsidRPr="00F12FFE">
        <w:rPr>
          <w:rFonts w:ascii="Arial" w:hAnsi="Arial"/>
        </w:rPr>
        <w:t>‘Purchase of emergency spares, satellite images, HF communication equipment and spares (GPS), special items and equipment for water supply, agricultural, and hydrological, firefighting equipment and trailers for transporting of firefighting equipment</w:t>
      </w:r>
    </w:p>
    <w:p w:rsidR="00BC2003" w:rsidRDefault="00BC2003" w:rsidP="00BC2003">
      <w:pPr>
        <w:pStyle w:val="ListParagraph"/>
        <w:spacing w:after="0" w:line="360" w:lineRule="auto"/>
        <w:ind w:left="1440"/>
        <w:jc w:val="both"/>
        <w:rPr>
          <w:rFonts w:ascii="Arial" w:hAnsi="Arial"/>
        </w:rPr>
      </w:pPr>
    </w:p>
    <w:p w:rsidR="004B494C" w:rsidRDefault="004B494C" w:rsidP="00BC2003">
      <w:pPr>
        <w:pStyle w:val="ListParagraph"/>
        <w:spacing w:after="0" w:line="360" w:lineRule="auto"/>
        <w:ind w:left="1440"/>
        <w:jc w:val="both"/>
        <w:rPr>
          <w:rFonts w:ascii="Arial" w:hAnsi="Arial"/>
        </w:rPr>
      </w:pPr>
      <w:r w:rsidRPr="00F12FFE">
        <w:rPr>
          <w:rFonts w:ascii="Arial" w:hAnsi="Arial"/>
        </w:rPr>
        <w:t xml:space="preserve">It is often necessary to </w:t>
      </w:r>
      <w:r w:rsidRPr="00F12FFE">
        <w:rPr>
          <w:rFonts w:ascii="Arial" w:hAnsi="Arial"/>
          <w:i/>
        </w:rPr>
        <w:t>purchase spares</w:t>
      </w:r>
      <w:r w:rsidRPr="00F12FFE">
        <w:rPr>
          <w:rFonts w:ascii="Arial" w:hAnsi="Arial"/>
        </w:rPr>
        <w:t xml:space="preserve"> on an emergency basis </w:t>
      </w:r>
      <w:r w:rsidRPr="00F12FFE">
        <w:rPr>
          <w:rFonts w:ascii="Arial" w:hAnsi="Arial"/>
          <w:i/>
        </w:rPr>
        <w:t>to repair the above-named equipment</w:t>
      </w:r>
      <w:r w:rsidRPr="00F12FFE">
        <w:rPr>
          <w:rFonts w:ascii="Arial" w:hAnsi="Arial"/>
        </w:rPr>
        <w:t xml:space="preserve"> under the following circumstance:</w:t>
      </w:r>
    </w:p>
    <w:p w:rsidR="00BC2003" w:rsidRPr="00F12FFE" w:rsidRDefault="00BC2003" w:rsidP="00BC2003">
      <w:pPr>
        <w:pStyle w:val="ListParagraph"/>
        <w:spacing w:after="0" w:line="360" w:lineRule="auto"/>
        <w:ind w:left="1440"/>
        <w:jc w:val="both"/>
        <w:rPr>
          <w:rFonts w:ascii="Arial" w:hAnsi="Arial"/>
        </w:rPr>
      </w:pPr>
    </w:p>
    <w:p w:rsidR="004B494C" w:rsidRPr="00C84C8E" w:rsidRDefault="004B494C" w:rsidP="00C84C8E">
      <w:pPr>
        <w:pStyle w:val="ListParagraph"/>
        <w:numPr>
          <w:ilvl w:val="0"/>
          <w:numId w:val="38"/>
        </w:numPr>
        <w:spacing w:after="0" w:line="360" w:lineRule="auto"/>
        <w:jc w:val="both"/>
        <w:rPr>
          <w:rFonts w:ascii="Arial" w:hAnsi="Arial"/>
        </w:rPr>
      </w:pPr>
      <w:r w:rsidRPr="00C84C8E">
        <w:rPr>
          <w:rFonts w:ascii="Arial" w:hAnsi="Arial"/>
          <w:i/>
        </w:rPr>
        <w:t>In cases where annual contracts do not exist</w:t>
      </w:r>
      <w:r w:rsidRPr="00C84C8E">
        <w:rPr>
          <w:rFonts w:ascii="Arial" w:hAnsi="Arial"/>
        </w:rPr>
        <w:t>;</w:t>
      </w:r>
    </w:p>
    <w:p w:rsidR="00BC2003" w:rsidRPr="00F12FFE" w:rsidRDefault="00BC2003" w:rsidP="00BC2003">
      <w:pPr>
        <w:pStyle w:val="ListParagraph"/>
        <w:spacing w:after="0" w:line="360" w:lineRule="auto"/>
        <w:ind w:left="1800"/>
        <w:jc w:val="both"/>
        <w:rPr>
          <w:rFonts w:ascii="Arial" w:hAnsi="Arial"/>
        </w:rPr>
      </w:pPr>
    </w:p>
    <w:p w:rsidR="004B494C" w:rsidRPr="00BC2003" w:rsidRDefault="004B494C" w:rsidP="00C84C8E">
      <w:pPr>
        <w:pStyle w:val="ListParagraph"/>
        <w:numPr>
          <w:ilvl w:val="0"/>
          <w:numId w:val="38"/>
        </w:numPr>
        <w:spacing w:after="0" w:line="360" w:lineRule="auto"/>
        <w:jc w:val="both"/>
        <w:rPr>
          <w:rFonts w:ascii="Arial" w:hAnsi="Arial"/>
        </w:rPr>
      </w:pPr>
      <w:r w:rsidRPr="00F12FFE">
        <w:rPr>
          <w:rFonts w:ascii="Arial" w:hAnsi="Arial"/>
          <w:i/>
        </w:rPr>
        <w:t>Where it will be impractical to call for tenders due to the urgency of the repairs</w:t>
      </w:r>
      <w:r w:rsidRPr="00F12FFE">
        <w:rPr>
          <w:rFonts w:ascii="Arial" w:hAnsi="Arial"/>
        </w:rPr>
        <w:t xml:space="preserve"> to avoid an interruption in service delivery; </w:t>
      </w:r>
      <w:r w:rsidRPr="00F12FFE">
        <w:rPr>
          <w:rFonts w:ascii="Arial" w:hAnsi="Arial"/>
          <w:i/>
        </w:rPr>
        <w:t>and</w:t>
      </w:r>
    </w:p>
    <w:p w:rsidR="00BC2003" w:rsidRPr="00BC2003" w:rsidRDefault="00BC2003" w:rsidP="00BC2003">
      <w:pPr>
        <w:pStyle w:val="ListParagraph"/>
        <w:spacing w:after="0" w:line="360" w:lineRule="auto"/>
        <w:rPr>
          <w:rFonts w:ascii="Arial" w:hAnsi="Arial"/>
        </w:rPr>
      </w:pPr>
    </w:p>
    <w:p w:rsidR="004B494C" w:rsidRDefault="004B494C" w:rsidP="00C84C8E">
      <w:pPr>
        <w:pStyle w:val="ListParagraph"/>
        <w:numPr>
          <w:ilvl w:val="0"/>
          <w:numId w:val="38"/>
        </w:numPr>
        <w:spacing w:after="0" w:line="360" w:lineRule="auto"/>
        <w:jc w:val="both"/>
        <w:rPr>
          <w:rFonts w:ascii="Arial" w:hAnsi="Arial"/>
        </w:rPr>
      </w:pPr>
      <w:r w:rsidRPr="00F12FFE">
        <w:rPr>
          <w:rFonts w:ascii="Arial" w:hAnsi="Arial"/>
          <w:i/>
        </w:rPr>
        <w:t>If the agent of the specific equipment is the sole supplier of spares</w:t>
      </w:r>
      <w:r w:rsidRPr="00F12FFE">
        <w:rPr>
          <w:rFonts w:ascii="Arial" w:hAnsi="Arial"/>
        </w:rPr>
        <w:t xml:space="preserve"> in which case it will serve no purpose to call for tenders.’  (</w:t>
      </w:r>
      <w:r>
        <w:rPr>
          <w:rFonts w:ascii="Arial" w:hAnsi="Arial"/>
        </w:rPr>
        <w:t>E</w:t>
      </w:r>
      <w:r w:rsidRPr="00F12FFE">
        <w:rPr>
          <w:rFonts w:ascii="Arial" w:hAnsi="Arial"/>
        </w:rPr>
        <w:t>mphasis</w:t>
      </w:r>
      <w:r>
        <w:rPr>
          <w:rFonts w:ascii="Arial" w:hAnsi="Arial"/>
        </w:rPr>
        <w:t xml:space="preserve"> supplied</w:t>
      </w:r>
      <w:r w:rsidRPr="00F12FFE">
        <w:rPr>
          <w:rFonts w:ascii="Arial" w:hAnsi="Arial"/>
        </w:rPr>
        <w:t>)</w:t>
      </w:r>
      <w:r w:rsidR="00BC2003">
        <w:rPr>
          <w:rFonts w:ascii="Arial" w:hAnsi="Arial"/>
        </w:rPr>
        <w:t>.</w:t>
      </w:r>
    </w:p>
    <w:p w:rsidR="00BC2003" w:rsidRPr="00BC2003" w:rsidRDefault="00BC2003" w:rsidP="00BC2003">
      <w:pPr>
        <w:spacing w:after="0" w:line="360" w:lineRule="auto"/>
        <w:jc w:val="both"/>
        <w:rPr>
          <w:rFonts w:ascii="Arial" w:hAnsi="Arial"/>
          <w:sz w:val="24"/>
          <w:szCs w:val="24"/>
        </w:rPr>
      </w:pPr>
    </w:p>
    <w:p w:rsidR="004B494C" w:rsidRDefault="004B494C" w:rsidP="00BC2003">
      <w:pPr>
        <w:pStyle w:val="WLGLevel1"/>
        <w:numPr>
          <w:ilvl w:val="0"/>
          <w:numId w:val="27"/>
        </w:numPr>
        <w:spacing w:before="0" w:after="0"/>
        <w:ind w:left="0" w:firstLine="0"/>
        <w:rPr>
          <w:rFonts w:cs="Arial"/>
        </w:rPr>
      </w:pPr>
      <w:r>
        <w:rPr>
          <w:rFonts w:cs="Arial"/>
        </w:rPr>
        <w:t>T</w:t>
      </w:r>
      <w:r w:rsidRPr="004F2A2E">
        <w:rPr>
          <w:rFonts w:cs="Arial"/>
        </w:rPr>
        <w:t xml:space="preserve">he appellants’ reliance on the tender exemption is untenable and falls to be rejected on the papers for the following reasons: It is abundantly clear </w:t>
      </w:r>
      <w:r>
        <w:rPr>
          <w:rFonts w:cs="Arial"/>
        </w:rPr>
        <w:t>from para 3.25 of the exemption that</w:t>
      </w:r>
      <w:r w:rsidRPr="004F2A2E">
        <w:rPr>
          <w:rFonts w:cs="Arial"/>
        </w:rPr>
        <w:t xml:space="preserve"> </w:t>
      </w:r>
      <w:r>
        <w:rPr>
          <w:rFonts w:cs="Arial"/>
        </w:rPr>
        <w:t>t</w:t>
      </w:r>
      <w:r w:rsidRPr="004F2A2E">
        <w:rPr>
          <w:rFonts w:cs="Arial"/>
        </w:rPr>
        <w:t xml:space="preserve">he tender exemption is confined to the purchase of </w:t>
      </w:r>
      <w:r>
        <w:rPr>
          <w:rFonts w:cs="Arial"/>
        </w:rPr>
        <w:t xml:space="preserve">emergency </w:t>
      </w:r>
      <w:r w:rsidRPr="004F2A2E">
        <w:rPr>
          <w:rFonts w:cs="Arial"/>
        </w:rPr>
        <w:t xml:space="preserve">spares, whereas NAD contracted to supply complete engines. The tender exemption applied only in circumstances where all the three conditions in (a) </w:t>
      </w:r>
      <w:r w:rsidRPr="004F2A2E">
        <w:rPr>
          <w:rFonts w:cs="Arial"/>
        </w:rPr>
        <w:lastRenderedPageBreak/>
        <w:t>to (c) had been met. However, none of those conditions was satisfied because: an annual contract (</w:t>
      </w:r>
      <w:r w:rsidR="00BC2003">
        <w:rPr>
          <w:rFonts w:cs="Arial"/>
        </w:rPr>
        <w:t>i</w:t>
      </w:r>
      <w:r w:rsidR="00920D62" w:rsidRPr="004F2A2E">
        <w:rPr>
          <w:rFonts w:cs="Arial"/>
        </w:rPr>
        <w:t>e</w:t>
      </w:r>
      <w:r w:rsidRPr="004F2A2E">
        <w:rPr>
          <w:rFonts w:cs="Arial"/>
        </w:rPr>
        <w:t xml:space="preserve"> the Continental Spares term tender) existed</w:t>
      </w:r>
      <w:r>
        <w:rPr>
          <w:rFonts w:cs="Arial"/>
        </w:rPr>
        <w:t xml:space="preserve"> and </w:t>
      </w:r>
      <w:r w:rsidRPr="00DC0A72">
        <w:rPr>
          <w:rFonts w:cs="Arial"/>
        </w:rPr>
        <w:t xml:space="preserve">there is no </w:t>
      </w:r>
      <w:r>
        <w:rPr>
          <w:rFonts w:cs="Arial"/>
        </w:rPr>
        <w:t xml:space="preserve">allegation or </w:t>
      </w:r>
      <w:r w:rsidRPr="00DC0A72">
        <w:rPr>
          <w:rFonts w:cs="Arial"/>
        </w:rPr>
        <w:t xml:space="preserve">evidence </w:t>
      </w:r>
      <w:r>
        <w:rPr>
          <w:rFonts w:cs="Arial"/>
        </w:rPr>
        <w:t>of i</w:t>
      </w:r>
      <w:r w:rsidRPr="00DC0A72">
        <w:rPr>
          <w:rFonts w:cs="Arial"/>
        </w:rPr>
        <w:t>mpractical</w:t>
      </w:r>
      <w:r>
        <w:rPr>
          <w:rFonts w:cs="Arial"/>
        </w:rPr>
        <w:t>ity</w:t>
      </w:r>
      <w:r w:rsidRPr="00DC0A72">
        <w:rPr>
          <w:rFonts w:cs="Arial"/>
        </w:rPr>
        <w:t xml:space="preserve"> </w:t>
      </w:r>
      <w:r>
        <w:rPr>
          <w:rFonts w:cs="Arial"/>
        </w:rPr>
        <w:t xml:space="preserve">in the calling for </w:t>
      </w:r>
      <w:r w:rsidRPr="00DC0A72">
        <w:rPr>
          <w:rFonts w:cs="Arial"/>
        </w:rPr>
        <w:t xml:space="preserve">tenders or any urgency </w:t>
      </w:r>
      <w:r>
        <w:rPr>
          <w:rFonts w:cs="Arial"/>
        </w:rPr>
        <w:t>in the supply of the engines. O</w:t>
      </w:r>
      <w:r w:rsidRPr="00DC0A72">
        <w:rPr>
          <w:rFonts w:cs="Arial"/>
        </w:rPr>
        <w:t xml:space="preserve">n the contrary, several of the regions </w:t>
      </w:r>
      <w:r>
        <w:rPr>
          <w:rFonts w:cs="Arial"/>
        </w:rPr>
        <w:t xml:space="preserve">to whom the engines had been sent </w:t>
      </w:r>
      <w:r w:rsidRPr="00DC0A72">
        <w:rPr>
          <w:rFonts w:cs="Arial"/>
        </w:rPr>
        <w:t xml:space="preserve">did not need the Lister engines supplied by NAD </w:t>
      </w:r>
      <w:r>
        <w:rPr>
          <w:rFonts w:cs="Arial"/>
        </w:rPr>
        <w:t xml:space="preserve">at all </w:t>
      </w:r>
      <w:r w:rsidRPr="00DC0A72">
        <w:rPr>
          <w:rFonts w:cs="Arial"/>
        </w:rPr>
        <w:t xml:space="preserve">or had </w:t>
      </w:r>
      <w:r>
        <w:rPr>
          <w:rFonts w:cs="Arial"/>
        </w:rPr>
        <w:t xml:space="preserve">spare </w:t>
      </w:r>
      <w:r w:rsidRPr="00DC0A72">
        <w:rPr>
          <w:rFonts w:cs="Arial"/>
        </w:rPr>
        <w:t>Lister engines in store when the additional Lister engines supplied by NAD were delivered</w:t>
      </w:r>
      <w:r>
        <w:rPr>
          <w:rFonts w:cs="Arial"/>
        </w:rPr>
        <w:t xml:space="preserve">. Lastly, </w:t>
      </w:r>
      <w:r w:rsidRPr="00DC0A72">
        <w:rPr>
          <w:rFonts w:cs="Arial"/>
        </w:rPr>
        <w:t xml:space="preserve">NAD, which had no track record and had to source the engines from Continental Spares for on-selling to the MAWF, was not an existing supplier </w:t>
      </w:r>
      <w:r>
        <w:rPr>
          <w:rFonts w:cs="Arial"/>
        </w:rPr>
        <w:t xml:space="preserve">or </w:t>
      </w:r>
      <w:r w:rsidRPr="00DC0A72">
        <w:rPr>
          <w:rFonts w:cs="Arial"/>
        </w:rPr>
        <w:t>a sole supplier.</w:t>
      </w:r>
      <w:r>
        <w:rPr>
          <w:rFonts w:cs="Arial"/>
        </w:rPr>
        <w:t xml:space="preserve"> The High Court was thus correct in holding that the tender exemption did not apply.</w:t>
      </w:r>
    </w:p>
    <w:p w:rsidR="00BC2003" w:rsidRPr="00DC0A72" w:rsidRDefault="00BC2003" w:rsidP="00BC2003">
      <w:pPr>
        <w:pStyle w:val="WLGLevel1"/>
        <w:numPr>
          <w:ilvl w:val="0"/>
          <w:numId w:val="0"/>
        </w:numPr>
        <w:spacing w:before="0" w:after="0"/>
        <w:rPr>
          <w:rFonts w:cs="Arial"/>
        </w:rPr>
      </w:pPr>
    </w:p>
    <w:p w:rsidR="004B494C" w:rsidRPr="001F3E89" w:rsidRDefault="004B494C" w:rsidP="00BC2003">
      <w:pPr>
        <w:tabs>
          <w:tab w:val="left" w:pos="0"/>
        </w:tabs>
        <w:spacing w:after="0" w:line="480" w:lineRule="auto"/>
        <w:jc w:val="both"/>
        <w:rPr>
          <w:rFonts w:ascii="Arial" w:hAnsi="Arial"/>
          <w:bCs/>
          <w:sz w:val="24"/>
          <w:szCs w:val="24"/>
          <w:u w:val="single"/>
          <w:lang w:val="en-GB"/>
        </w:rPr>
      </w:pPr>
      <w:r w:rsidRPr="001F3E89">
        <w:rPr>
          <w:rFonts w:ascii="Arial" w:hAnsi="Arial"/>
          <w:bCs/>
          <w:sz w:val="24"/>
          <w:szCs w:val="24"/>
          <w:u w:val="single"/>
          <w:lang w:val="en-GB"/>
        </w:rPr>
        <w:t>Was the Tender Board Act</w:t>
      </w:r>
      <w:r>
        <w:rPr>
          <w:rFonts w:ascii="Arial" w:hAnsi="Arial"/>
          <w:bCs/>
          <w:sz w:val="24"/>
          <w:szCs w:val="24"/>
          <w:u w:val="single"/>
          <w:lang w:val="en-GB"/>
        </w:rPr>
        <w:t xml:space="preserve"> contravened?</w:t>
      </w:r>
    </w:p>
    <w:p w:rsidR="004B494C" w:rsidRPr="00AB5508" w:rsidRDefault="004B494C" w:rsidP="00BC2003">
      <w:pPr>
        <w:pStyle w:val="ListParagraph"/>
        <w:numPr>
          <w:ilvl w:val="0"/>
          <w:numId w:val="27"/>
        </w:numPr>
        <w:tabs>
          <w:tab w:val="left" w:pos="0"/>
        </w:tabs>
        <w:spacing w:after="0" w:line="480" w:lineRule="auto"/>
        <w:ind w:left="0" w:firstLine="0"/>
        <w:jc w:val="both"/>
      </w:pPr>
      <w:r>
        <w:rPr>
          <w:rFonts w:ascii="Arial" w:hAnsi="Arial"/>
          <w:bCs/>
          <w:sz w:val="24"/>
          <w:szCs w:val="24"/>
          <w:lang w:val="en-GB"/>
        </w:rPr>
        <w:t>The PG submitted that the acquisition by the MAWF from NAD of the 110 Lister engines contravened the Tender Board</w:t>
      </w:r>
      <w:r w:rsidR="007717CC">
        <w:rPr>
          <w:rFonts w:ascii="Arial" w:hAnsi="Arial"/>
          <w:bCs/>
          <w:sz w:val="24"/>
          <w:szCs w:val="24"/>
          <w:lang w:val="en-GB"/>
        </w:rPr>
        <w:t xml:space="preserve"> Act</w:t>
      </w:r>
      <w:r>
        <w:rPr>
          <w:rFonts w:ascii="Arial" w:hAnsi="Arial"/>
          <w:bCs/>
          <w:sz w:val="24"/>
          <w:szCs w:val="24"/>
          <w:lang w:val="en-GB"/>
        </w:rPr>
        <w:t xml:space="preserve">. The appellants merely deny that the Tender Board Act had been contravened. </w:t>
      </w:r>
    </w:p>
    <w:p w:rsidR="004B494C" w:rsidRPr="007C0A98" w:rsidRDefault="004B494C" w:rsidP="007C0A98">
      <w:pPr>
        <w:tabs>
          <w:tab w:val="left" w:pos="0"/>
        </w:tabs>
        <w:spacing w:after="0" w:line="480" w:lineRule="auto"/>
        <w:ind w:left="357"/>
        <w:jc w:val="both"/>
        <w:rPr>
          <w:rFonts w:ascii="Arial" w:hAnsi="Arial"/>
          <w:sz w:val="24"/>
          <w:szCs w:val="24"/>
        </w:rPr>
      </w:pPr>
    </w:p>
    <w:p w:rsidR="004B494C" w:rsidRDefault="004B494C" w:rsidP="00BC2003">
      <w:pPr>
        <w:pStyle w:val="WLGLevel2"/>
        <w:numPr>
          <w:ilvl w:val="0"/>
          <w:numId w:val="27"/>
        </w:numPr>
        <w:spacing w:after="0"/>
        <w:ind w:left="0" w:firstLine="0"/>
        <w:rPr>
          <w:rFonts w:cs="Arial"/>
        </w:rPr>
      </w:pPr>
      <w:r w:rsidRPr="00DC0A72">
        <w:rPr>
          <w:rFonts w:cs="Arial"/>
        </w:rPr>
        <w:t>Section</w:t>
      </w:r>
      <w:r>
        <w:rPr>
          <w:rFonts w:cs="Arial"/>
        </w:rPr>
        <w:t xml:space="preserve"> </w:t>
      </w:r>
      <w:r w:rsidRPr="00DC0A72">
        <w:rPr>
          <w:rFonts w:cs="Arial"/>
        </w:rPr>
        <w:t>7(1) of the Tender Board Act provide</w:t>
      </w:r>
      <w:r>
        <w:rPr>
          <w:rFonts w:cs="Arial"/>
        </w:rPr>
        <w:t>d</w:t>
      </w:r>
      <w:r w:rsidRPr="00DC0A72">
        <w:rPr>
          <w:rFonts w:cs="Arial"/>
        </w:rPr>
        <w:t xml:space="preserve"> that </w:t>
      </w:r>
      <w:r>
        <w:rPr>
          <w:rFonts w:cs="Arial"/>
        </w:rPr>
        <w:t>‘</w:t>
      </w:r>
      <w:r w:rsidRPr="00DC0A72">
        <w:rPr>
          <w:rFonts w:cs="Arial"/>
        </w:rPr>
        <w:t xml:space="preserve">unless otherwise provided in this Act or any other law, </w:t>
      </w:r>
      <w:r w:rsidRPr="00956230">
        <w:rPr>
          <w:rFonts w:cs="Arial"/>
        </w:rPr>
        <w:t>the</w:t>
      </w:r>
      <w:r w:rsidRPr="0052152E">
        <w:rPr>
          <w:rFonts w:cs="Arial"/>
          <w:i/>
        </w:rPr>
        <w:t xml:space="preserve"> </w:t>
      </w:r>
      <w:r w:rsidRPr="00E77F4E">
        <w:rPr>
          <w:rFonts w:cs="Arial"/>
        </w:rPr>
        <w:t>[Tender]</w:t>
      </w:r>
      <w:r>
        <w:rPr>
          <w:rFonts w:cs="Arial"/>
          <w:i/>
        </w:rPr>
        <w:t xml:space="preserve"> </w:t>
      </w:r>
      <w:r w:rsidRPr="005026EA">
        <w:rPr>
          <w:rFonts w:cs="Arial"/>
        </w:rPr>
        <w:t>Board</w:t>
      </w:r>
      <w:r w:rsidRPr="00DC0A72">
        <w:rPr>
          <w:rFonts w:cs="Arial"/>
        </w:rPr>
        <w:t xml:space="preserve"> shall be responsible for the procurement of goods a</w:t>
      </w:r>
      <w:r w:rsidR="00BC2003">
        <w:rPr>
          <w:rFonts w:cs="Arial"/>
        </w:rPr>
        <w:t xml:space="preserve">nd services for the Government . . . </w:t>
      </w:r>
      <w:r w:rsidRPr="00DC0A72">
        <w:rPr>
          <w:rFonts w:cs="Arial"/>
        </w:rPr>
        <w:t xml:space="preserve"> and may for that purpose - (a) on behalf of the Government conclude an agreement with any person within or outside Namibia for the furnishing of goods or services to the G</w:t>
      </w:r>
      <w:r w:rsidR="00BC2003">
        <w:rPr>
          <w:rFonts w:cs="Arial"/>
        </w:rPr>
        <w:t xml:space="preserve">overnment . . . </w:t>
      </w:r>
      <w:r>
        <w:rPr>
          <w:rFonts w:cs="Arial"/>
        </w:rPr>
        <w:t>’</w:t>
      </w:r>
      <w:r w:rsidRPr="00DC0A72">
        <w:rPr>
          <w:rFonts w:cs="Arial"/>
        </w:rPr>
        <w:t>.</w:t>
      </w:r>
    </w:p>
    <w:p w:rsidR="00BC2003" w:rsidRPr="00DC0A72" w:rsidRDefault="00BC2003" w:rsidP="00BC2003">
      <w:pPr>
        <w:pStyle w:val="WLGLevel2"/>
        <w:numPr>
          <w:ilvl w:val="0"/>
          <w:numId w:val="0"/>
        </w:numPr>
        <w:spacing w:after="0"/>
        <w:rPr>
          <w:rFonts w:cs="Arial"/>
        </w:rPr>
      </w:pPr>
    </w:p>
    <w:p w:rsidR="004B494C" w:rsidRDefault="004B494C" w:rsidP="00BC2003">
      <w:pPr>
        <w:pStyle w:val="WLGLevel2"/>
        <w:numPr>
          <w:ilvl w:val="0"/>
          <w:numId w:val="27"/>
        </w:numPr>
        <w:spacing w:after="0"/>
        <w:ind w:left="0" w:firstLine="0"/>
        <w:rPr>
          <w:rFonts w:cs="Arial"/>
        </w:rPr>
      </w:pPr>
      <w:r w:rsidRPr="00DC0A72">
        <w:rPr>
          <w:rFonts w:cs="Arial"/>
        </w:rPr>
        <w:t>Section 17(1)</w:t>
      </w:r>
      <w:r w:rsidRPr="00BC2003">
        <w:rPr>
          <w:rFonts w:cs="Arial"/>
          <w:i/>
        </w:rPr>
        <w:t>(c)</w:t>
      </w:r>
      <w:r w:rsidRPr="00DC0A72">
        <w:rPr>
          <w:rFonts w:cs="Arial"/>
        </w:rPr>
        <w:t xml:space="preserve"> of the Tender Board Act a</w:t>
      </w:r>
      <w:r>
        <w:rPr>
          <w:rFonts w:cs="Arial"/>
        </w:rPr>
        <w:t xml:space="preserve">uthorised </w:t>
      </w:r>
      <w:r w:rsidRPr="0052152E">
        <w:rPr>
          <w:rFonts w:cs="Arial"/>
        </w:rPr>
        <w:t>the Tender Board</w:t>
      </w:r>
      <w:r w:rsidRPr="00DC0A72">
        <w:rPr>
          <w:rFonts w:cs="Arial"/>
        </w:rPr>
        <w:t xml:space="preserve"> to dispense with calling for tenders by publishing notices in the </w:t>
      </w:r>
      <w:r w:rsidRPr="00DC0A72">
        <w:rPr>
          <w:rFonts w:cs="Arial"/>
          <w:i/>
        </w:rPr>
        <w:t>Government Gazette</w:t>
      </w:r>
      <w:r w:rsidRPr="00DC0A72">
        <w:rPr>
          <w:rFonts w:cs="Arial"/>
        </w:rPr>
        <w:t xml:space="preserve"> </w:t>
      </w:r>
      <w:r w:rsidRPr="00DC0A72">
        <w:rPr>
          <w:rFonts w:cs="Arial"/>
        </w:rPr>
        <w:lastRenderedPageBreak/>
        <w:t xml:space="preserve">and </w:t>
      </w:r>
      <w:r>
        <w:rPr>
          <w:rFonts w:cs="Arial"/>
        </w:rPr>
        <w:t>newspapers</w:t>
      </w:r>
      <w:r w:rsidRPr="00DC0A72">
        <w:rPr>
          <w:rFonts w:cs="Arial"/>
        </w:rPr>
        <w:t>, in a particular case, if for good cause the Board deems it impractical or inappropriate to invite tenders.</w:t>
      </w:r>
    </w:p>
    <w:p w:rsidR="007717CC" w:rsidRPr="00DC0A72" w:rsidRDefault="007717CC" w:rsidP="007717CC">
      <w:pPr>
        <w:pStyle w:val="WLGLevel2"/>
        <w:numPr>
          <w:ilvl w:val="0"/>
          <w:numId w:val="0"/>
        </w:numPr>
        <w:spacing w:after="0"/>
        <w:rPr>
          <w:rFonts w:cs="Arial"/>
        </w:rPr>
      </w:pPr>
    </w:p>
    <w:p w:rsidR="004B494C" w:rsidRDefault="004B494C" w:rsidP="00BC2003">
      <w:pPr>
        <w:pStyle w:val="WLGLevel2"/>
        <w:numPr>
          <w:ilvl w:val="0"/>
          <w:numId w:val="27"/>
        </w:numPr>
        <w:spacing w:after="0"/>
        <w:ind w:left="0" w:firstLine="0"/>
        <w:rPr>
          <w:rFonts w:cs="Arial"/>
        </w:rPr>
      </w:pPr>
      <w:r w:rsidRPr="00DC0A72">
        <w:rPr>
          <w:rFonts w:cs="Arial"/>
        </w:rPr>
        <w:t>Section</w:t>
      </w:r>
      <w:r>
        <w:rPr>
          <w:rFonts w:cs="Arial"/>
        </w:rPr>
        <w:t xml:space="preserve"> </w:t>
      </w:r>
      <w:r w:rsidRPr="00DC0A72">
        <w:rPr>
          <w:rFonts w:cs="Arial"/>
        </w:rPr>
        <w:t xml:space="preserve">21 of the Tender Board Act </w:t>
      </w:r>
      <w:r>
        <w:rPr>
          <w:rFonts w:cs="Arial"/>
        </w:rPr>
        <w:t xml:space="preserve">provided </w:t>
      </w:r>
      <w:r w:rsidRPr="00DC0A72">
        <w:rPr>
          <w:rFonts w:cs="Arial"/>
        </w:rPr>
        <w:t>that the provisions of the Act appl</w:t>
      </w:r>
      <w:r>
        <w:rPr>
          <w:rFonts w:cs="Arial"/>
        </w:rPr>
        <w:t>ied</w:t>
      </w:r>
      <w:r w:rsidRPr="00DC0A72">
        <w:rPr>
          <w:rFonts w:cs="Arial"/>
        </w:rPr>
        <w:t xml:space="preserve"> to the procurement of all goods </w:t>
      </w:r>
      <w:r>
        <w:rPr>
          <w:rFonts w:cs="Arial"/>
        </w:rPr>
        <w:t xml:space="preserve">and services </w:t>
      </w:r>
      <w:r w:rsidRPr="00DC0A72">
        <w:rPr>
          <w:rFonts w:cs="Arial"/>
        </w:rPr>
        <w:t>for or on behalf of the Government</w:t>
      </w:r>
      <w:r>
        <w:rPr>
          <w:rFonts w:cs="Arial"/>
        </w:rPr>
        <w:t>. There can</w:t>
      </w:r>
      <w:r w:rsidR="00B66750">
        <w:rPr>
          <w:rFonts w:cs="Arial"/>
        </w:rPr>
        <w:t>,</w:t>
      </w:r>
      <w:r>
        <w:rPr>
          <w:rFonts w:cs="Arial"/>
        </w:rPr>
        <w:t xml:space="preserve"> </w:t>
      </w:r>
      <w:r w:rsidRPr="00DC0A72">
        <w:rPr>
          <w:rFonts w:cs="Arial"/>
        </w:rPr>
        <w:t>there</w:t>
      </w:r>
      <w:r>
        <w:rPr>
          <w:rFonts w:cs="Arial"/>
        </w:rPr>
        <w:t>fore</w:t>
      </w:r>
      <w:r w:rsidR="00B66750">
        <w:rPr>
          <w:rFonts w:cs="Arial"/>
        </w:rPr>
        <w:t>,</w:t>
      </w:r>
      <w:r>
        <w:rPr>
          <w:rFonts w:cs="Arial"/>
        </w:rPr>
        <w:t xml:space="preserve"> be </w:t>
      </w:r>
      <w:r w:rsidRPr="00DC0A72">
        <w:rPr>
          <w:rFonts w:cs="Arial"/>
        </w:rPr>
        <w:t xml:space="preserve">no question of the Lister engines </w:t>
      </w:r>
      <w:r>
        <w:rPr>
          <w:rFonts w:cs="Arial"/>
        </w:rPr>
        <w:t xml:space="preserve">having been </w:t>
      </w:r>
      <w:r w:rsidRPr="00DC0A72">
        <w:rPr>
          <w:rFonts w:cs="Arial"/>
        </w:rPr>
        <w:t xml:space="preserve">excluded from the application of the Act by any provision of the Act itself or any regulation made under </w:t>
      </w:r>
      <w:r>
        <w:rPr>
          <w:rFonts w:cs="Arial"/>
        </w:rPr>
        <w:t>it.</w:t>
      </w:r>
    </w:p>
    <w:p w:rsidR="00B66750" w:rsidRPr="00DC0A72" w:rsidRDefault="00B66750" w:rsidP="00B66750">
      <w:pPr>
        <w:pStyle w:val="WLGLevel2"/>
        <w:numPr>
          <w:ilvl w:val="0"/>
          <w:numId w:val="0"/>
        </w:numPr>
        <w:spacing w:after="0"/>
        <w:rPr>
          <w:rFonts w:cs="Arial"/>
        </w:rPr>
      </w:pPr>
    </w:p>
    <w:p w:rsidR="004B494C" w:rsidRDefault="004B494C" w:rsidP="00BC2003">
      <w:pPr>
        <w:pStyle w:val="WLGLevel1"/>
        <w:numPr>
          <w:ilvl w:val="0"/>
          <w:numId w:val="27"/>
        </w:numPr>
        <w:spacing w:before="0" w:after="0"/>
        <w:ind w:left="0" w:firstLine="0"/>
        <w:rPr>
          <w:rFonts w:cs="Arial"/>
        </w:rPr>
      </w:pPr>
      <w:r w:rsidRPr="00DC0A72">
        <w:rPr>
          <w:rFonts w:cs="Arial"/>
        </w:rPr>
        <w:t xml:space="preserve">What </w:t>
      </w:r>
      <w:r>
        <w:rPr>
          <w:rFonts w:cs="Arial"/>
        </w:rPr>
        <w:t xml:space="preserve">happened </w:t>
      </w:r>
      <w:r w:rsidRPr="00DC0A72">
        <w:rPr>
          <w:rFonts w:cs="Arial"/>
        </w:rPr>
        <w:t xml:space="preserve">in the present </w:t>
      </w:r>
      <w:r>
        <w:rPr>
          <w:rFonts w:cs="Arial"/>
        </w:rPr>
        <w:t>matter</w:t>
      </w:r>
      <w:r w:rsidRPr="00DC0A72">
        <w:rPr>
          <w:rFonts w:cs="Arial"/>
        </w:rPr>
        <w:t xml:space="preserve"> was that </w:t>
      </w:r>
      <w:r w:rsidR="007717CC">
        <w:rPr>
          <w:rFonts w:cs="Arial"/>
        </w:rPr>
        <w:t>Mr Freyer</w:t>
      </w:r>
      <w:r>
        <w:rPr>
          <w:rFonts w:cs="Arial"/>
        </w:rPr>
        <w:t xml:space="preserve"> (not the Tender Board) in cahoots with others and contrary to the provisions of the Tender Board Act </w:t>
      </w:r>
      <w:r w:rsidRPr="00DC0A72">
        <w:rPr>
          <w:rFonts w:cs="Arial"/>
        </w:rPr>
        <w:t xml:space="preserve">dispensed with </w:t>
      </w:r>
      <w:r>
        <w:rPr>
          <w:rFonts w:cs="Arial"/>
        </w:rPr>
        <w:t xml:space="preserve">the </w:t>
      </w:r>
      <w:r w:rsidRPr="00DC0A72">
        <w:rPr>
          <w:rFonts w:cs="Arial"/>
        </w:rPr>
        <w:t xml:space="preserve">calling for tenders by </w:t>
      </w:r>
      <w:r>
        <w:rPr>
          <w:rFonts w:cs="Arial"/>
        </w:rPr>
        <w:t xml:space="preserve">causing </w:t>
      </w:r>
      <w:r w:rsidRPr="00DC0A72">
        <w:rPr>
          <w:rFonts w:cs="Arial"/>
        </w:rPr>
        <w:t xml:space="preserve">notices </w:t>
      </w:r>
      <w:r>
        <w:rPr>
          <w:rFonts w:cs="Arial"/>
        </w:rPr>
        <w:t xml:space="preserve">to be published </w:t>
      </w:r>
      <w:r w:rsidRPr="00DC0A72">
        <w:rPr>
          <w:rFonts w:cs="Arial"/>
        </w:rPr>
        <w:t xml:space="preserve">in the </w:t>
      </w:r>
      <w:r w:rsidRPr="00DC0A72">
        <w:rPr>
          <w:rFonts w:cs="Arial"/>
          <w:i/>
        </w:rPr>
        <w:t>Government Gazette</w:t>
      </w:r>
      <w:r w:rsidRPr="00DC0A72">
        <w:rPr>
          <w:rFonts w:cs="Arial"/>
        </w:rPr>
        <w:t xml:space="preserve"> and the press</w:t>
      </w:r>
      <w:r>
        <w:rPr>
          <w:rFonts w:cs="Arial"/>
        </w:rPr>
        <w:t>. The official</w:t>
      </w:r>
      <w:r w:rsidRPr="00DC0A72">
        <w:rPr>
          <w:rFonts w:cs="Arial"/>
        </w:rPr>
        <w:t xml:space="preserve"> unlawfully authorised the conclusion of an agreement with NAD for the supply of the Lister engines</w:t>
      </w:r>
      <w:r>
        <w:rPr>
          <w:rFonts w:cs="Arial"/>
        </w:rPr>
        <w:t xml:space="preserve"> to the MAWF</w:t>
      </w:r>
      <w:r w:rsidRPr="00DC0A72">
        <w:rPr>
          <w:rFonts w:cs="Arial"/>
        </w:rPr>
        <w:t xml:space="preserve">. </w:t>
      </w:r>
      <w:r>
        <w:rPr>
          <w:rFonts w:cs="Arial"/>
        </w:rPr>
        <w:t>It follows from this finding that t</w:t>
      </w:r>
      <w:r w:rsidRPr="00DC0A72">
        <w:rPr>
          <w:rFonts w:cs="Arial"/>
        </w:rPr>
        <w:t xml:space="preserve">he </w:t>
      </w:r>
      <w:r w:rsidR="007717CC">
        <w:rPr>
          <w:rFonts w:cs="Arial"/>
        </w:rPr>
        <w:t xml:space="preserve">PG’s contention to the </w:t>
      </w:r>
      <w:r>
        <w:rPr>
          <w:rFonts w:cs="Arial"/>
        </w:rPr>
        <w:t>effect that the powers and functions assigned to the Tender Board by the Act had been usurped by the MAWF officials is borne out by evidence</w:t>
      </w:r>
      <w:r w:rsidRPr="00DC0A72">
        <w:rPr>
          <w:rFonts w:cs="Arial"/>
        </w:rPr>
        <w:t>.</w:t>
      </w:r>
    </w:p>
    <w:p w:rsidR="00B66750" w:rsidRDefault="00B66750" w:rsidP="00B66750">
      <w:pPr>
        <w:pStyle w:val="WLGLevel1"/>
        <w:numPr>
          <w:ilvl w:val="0"/>
          <w:numId w:val="0"/>
        </w:numPr>
        <w:spacing w:before="0" w:after="0"/>
        <w:rPr>
          <w:rFonts w:cs="Arial"/>
        </w:rPr>
      </w:pPr>
    </w:p>
    <w:p w:rsidR="004B494C" w:rsidRPr="0052152E"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52152E">
        <w:rPr>
          <w:rFonts w:ascii="Arial" w:hAnsi="Arial"/>
          <w:sz w:val="24"/>
          <w:szCs w:val="24"/>
        </w:rPr>
        <w:t>The unlawfulness of th</w:t>
      </w:r>
      <w:r>
        <w:rPr>
          <w:rFonts w:ascii="Arial" w:hAnsi="Arial"/>
          <w:sz w:val="24"/>
          <w:szCs w:val="24"/>
        </w:rPr>
        <w:t xml:space="preserve">e actions of the MAWF officials </w:t>
      </w:r>
      <w:r w:rsidRPr="0052152E">
        <w:rPr>
          <w:rFonts w:ascii="Arial" w:hAnsi="Arial"/>
          <w:sz w:val="24"/>
          <w:szCs w:val="24"/>
        </w:rPr>
        <w:t xml:space="preserve">is compounded by the fact that the Tender Board had awarded a term tender to Continental Spares for the supply of the same engines to the MAWF at a cheaper price. The contract with NAD </w:t>
      </w:r>
      <w:r>
        <w:rPr>
          <w:rFonts w:ascii="Arial" w:hAnsi="Arial"/>
          <w:sz w:val="24"/>
          <w:szCs w:val="24"/>
        </w:rPr>
        <w:t xml:space="preserve">appears to have </w:t>
      </w:r>
      <w:r w:rsidRPr="0052152E">
        <w:rPr>
          <w:rFonts w:ascii="Arial" w:hAnsi="Arial"/>
          <w:sz w:val="24"/>
          <w:szCs w:val="24"/>
        </w:rPr>
        <w:t xml:space="preserve">undermined the contract with Continental Spares and in so doing undermined the regulation by the Tender Board Act of the procurement of goods for the Government. The contract with NAD resulted in an additional cost </w:t>
      </w:r>
      <w:r>
        <w:rPr>
          <w:rFonts w:ascii="Arial" w:hAnsi="Arial"/>
          <w:sz w:val="24"/>
          <w:szCs w:val="24"/>
        </w:rPr>
        <w:t>to</w:t>
      </w:r>
      <w:r w:rsidRPr="0052152E">
        <w:rPr>
          <w:rFonts w:ascii="Arial" w:hAnsi="Arial"/>
          <w:sz w:val="24"/>
          <w:szCs w:val="24"/>
        </w:rPr>
        <w:t xml:space="preserve"> the </w:t>
      </w:r>
      <w:r w:rsidRPr="0052152E">
        <w:rPr>
          <w:rFonts w:ascii="Arial" w:hAnsi="Arial"/>
          <w:sz w:val="24"/>
          <w:szCs w:val="24"/>
        </w:rPr>
        <w:lastRenderedPageBreak/>
        <w:t>Government of N$911</w:t>
      </w:r>
      <w:r>
        <w:rPr>
          <w:rFonts w:ascii="Arial" w:hAnsi="Arial"/>
          <w:sz w:val="24"/>
          <w:szCs w:val="24"/>
        </w:rPr>
        <w:t xml:space="preserve"> </w:t>
      </w:r>
      <w:r w:rsidRPr="0052152E">
        <w:rPr>
          <w:rFonts w:ascii="Arial" w:hAnsi="Arial"/>
          <w:sz w:val="24"/>
          <w:szCs w:val="24"/>
        </w:rPr>
        <w:t>053, excluding the cost of transport for which NAD charged and Continental Spares would not have charged.</w:t>
      </w:r>
    </w:p>
    <w:p w:rsidR="00C8416E" w:rsidRDefault="00C8416E" w:rsidP="00C8416E">
      <w:pPr>
        <w:rPr>
          <w:rFonts w:ascii="Arial" w:hAnsi="Arial"/>
          <w:bCs/>
          <w:sz w:val="24"/>
          <w:szCs w:val="24"/>
          <w:lang w:val="en-GB"/>
        </w:rPr>
      </w:pPr>
    </w:p>
    <w:p w:rsidR="004B494C" w:rsidRPr="00A62559" w:rsidRDefault="004B494C" w:rsidP="00C8416E">
      <w:pPr>
        <w:rPr>
          <w:rFonts w:ascii="Arial" w:hAnsi="Arial"/>
          <w:bCs/>
          <w:sz w:val="24"/>
          <w:szCs w:val="24"/>
          <w:u w:val="single"/>
          <w:lang w:val="en-GB"/>
        </w:rPr>
      </w:pPr>
      <w:r w:rsidRPr="00A62559">
        <w:rPr>
          <w:rFonts w:ascii="Arial" w:hAnsi="Arial"/>
          <w:bCs/>
          <w:sz w:val="24"/>
          <w:szCs w:val="24"/>
          <w:u w:val="single"/>
          <w:lang w:val="en-GB"/>
        </w:rPr>
        <w:t>Alleged lawfulness of administrative decisions by Mr Freyer</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3A027C">
        <w:rPr>
          <w:rFonts w:ascii="Arial" w:hAnsi="Arial"/>
          <w:bCs/>
          <w:sz w:val="24"/>
          <w:szCs w:val="24"/>
          <w:lang w:val="en-GB"/>
        </w:rPr>
        <w:t xml:space="preserve">The appellants </w:t>
      </w:r>
      <w:r>
        <w:rPr>
          <w:rFonts w:ascii="Arial" w:hAnsi="Arial"/>
          <w:bCs/>
          <w:sz w:val="24"/>
          <w:szCs w:val="24"/>
          <w:lang w:val="en-GB"/>
        </w:rPr>
        <w:t xml:space="preserve">argued </w:t>
      </w:r>
      <w:r w:rsidRPr="003A027C">
        <w:rPr>
          <w:rFonts w:ascii="Arial" w:hAnsi="Arial"/>
          <w:bCs/>
          <w:sz w:val="24"/>
          <w:szCs w:val="24"/>
          <w:lang w:val="en-GB"/>
        </w:rPr>
        <w:t>that Mr Freyer’s decision that the MAWF should purchase the Lister engines from NAD and the resulting contract between the MAWF and NAD constituted administrative decisions. As these ha</w:t>
      </w:r>
      <w:r>
        <w:rPr>
          <w:rFonts w:ascii="Arial" w:hAnsi="Arial"/>
          <w:bCs/>
          <w:sz w:val="24"/>
          <w:szCs w:val="24"/>
          <w:lang w:val="en-GB"/>
        </w:rPr>
        <w:t>d</w:t>
      </w:r>
      <w:r w:rsidRPr="003A027C">
        <w:rPr>
          <w:rFonts w:ascii="Arial" w:hAnsi="Arial"/>
          <w:bCs/>
          <w:sz w:val="24"/>
          <w:szCs w:val="24"/>
          <w:lang w:val="en-GB"/>
        </w:rPr>
        <w:t xml:space="preserve"> not been set aside</w:t>
      </w:r>
      <w:r>
        <w:rPr>
          <w:rFonts w:ascii="Arial" w:hAnsi="Arial"/>
          <w:bCs/>
          <w:sz w:val="24"/>
          <w:szCs w:val="24"/>
          <w:lang w:val="en-GB"/>
        </w:rPr>
        <w:t xml:space="preserve"> </w:t>
      </w:r>
      <w:r w:rsidRPr="003A027C">
        <w:rPr>
          <w:rFonts w:ascii="Arial" w:hAnsi="Arial"/>
          <w:bCs/>
          <w:sz w:val="24"/>
          <w:szCs w:val="24"/>
          <w:lang w:val="en-GB"/>
        </w:rPr>
        <w:t xml:space="preserve">in proceedings for judicial review, </w:t>
      </w:r>
      <w:r>
        <w:rPr>
          <w:rFonts w:ascii="Arial" w:hAnsi="Arial"/>
          <w:bCs/>
          <w:sz w:val="24"/>
          <w:szCs w:val="24"/>
          <w:lang w:val="en-GB"/>
        </w:rPr>
        <w:t xml:space="preserve">so the argument progressed, </w:t>
      </w:r>
      <w:r w:rsidRPr="003A027C">
        <w:rPr>
          <w:rFonts w:ascii="Arial" w:hAnsi="Arial"/>
          <w:bCs/>
          <w:sz w:val="24"/>
          <w:szCs w:val="24"/>
          <w:lang w:val="en-GB"/>
        </w:rPr>
        <w:t xml:space="preserve">they must be accepted as lawful. </w:t>
      </w:r>
      <w:r>
        <w:rPr>
          <w:rFonts w:ascii="Arial" w:hAnsi="Arial"/>
          <w:bCs/>
          <w:sz w:val="24"/>
          <w:szCs w:val="24"/>
          <w:lang w:val="en-GB"/>
        </w:rPr>
        <w:t xml:space="preserve">Relying on the dictum in </w:t>
      </w:r>
      <w:r w:rsidRPr="00421753">
        <w:rPr>
          <w:rFonts w:ascii="Arial" w:hAnsi="Arial"/>
          <w:bCs/>
          <w:i/>
          <w:sz w:val="24"/>
          <w:szCs w:val="24"/>
          <w:lang w:val="en-GB"/>
        </w:rPr>
        <w:t xml:space="preserve">Rally for Democracy and </w:t>
      </w:r>
      <w:r w:rsidR="00ED396F">
        <w:rPr>
          <w:rFonts w:ascii="Arial" w:hAnsi="Arial"/>
          <w:bCs/>
          <w:i/>
          <w:sz w:val="24"/>
          <w:szCs w:val="24"/>
          <w:lang w:val="en-GB"/>
        </w:rPr>
        <w:t>P</w:t>
      </w:r>
      <w:r w:rsidRPr="00421753">
        <w:rPr>
          <w:rFonts w:ascii="Arial" w:hAnsi="Arial"/>
          <w:bCs/>
          <w:i/>
          <w:sz w:val="24"/>
          <w:szCs w:val="24"/>
          <w:lang w:val="en-GB"/>
        </w:rPr>
        <w:t>rogress v Electoral Commission of Namibia</w:t>
      </w:r>
      <w:r w:rsidR="006952C2">
        <w:rPr>
          <w:rFonts w:ascii="Arial" w:hAnsi="Arial"/>
          <w:bCs/>
          <w:i/>
          <w:sz w:val="24"/>
          <w:szCs w:val="24"/>
          <w:lang w:val="en-GB"/>
        </w:rPr>
        <w:t>,</w:t>
      </w:r>
      <w:r>
        <w:rPr>
          <w:rStyle w:val="FootnoteReference"/>
          <w:rFonts w:ascii="Arial" w:hAnsi="Arial"/>
          <w:bCs/>
          <w:i/>
          <w:sz w:val="24"/>
          <w:szCs w:val="24"/>
          <w:lang w:val="en-GB"/>
        </w:rPr>
        <w:footnoteReference w:id="9"/>
      </w:r>
      <w:r w:rsidRPr="00421753">
        <w:rPr>
          <w:rFonts w:ascii="Arial" w:hAnsi="Arial"/>
          <w:bCs/>
          <w:sz w:val="24"/>
          <w:szCs w:val="24"/>
          <w:lang w:val="en-GB"/>
        </w:rPr>
        <w:t xml:space="preserve"> </w:t>
      </w:r>
      <w:r w:rsidRPr="00421753">
        <w:rPr>
          <w:rFonts w:ascii="Arial" w:hAnsi="Arial"/>
          <w:sz w:val="24"/>
          <w:szCs w:val="24"/>
        </w:rPr>
        <w:t xml:space="preserve">the High Court </w:t>
      </w:r>
      <w:r>
        <w:rPr>
          <w:rFonts w:ascii="Arial" w:hAnsi="Arial"/>
          <w:sz w:val="24"/>
          <w:szCs w:val="24"/>
        </w:rPr>
        <w:t xml:space="preserve">rightly </w:t>
      </w:r>
      <w:r w:rsidRPr="00421753">
        <w:rPr>
          <w:rFonts w:ascii="Arial" w:hAnsi="Arial"/>
          <w:sz w:val="24"/>
          <w:szCs w:val="24"/>
        </w:rPr>
        <w:t>held</w:t>
      </w:r>
      <w:r>
        <w:rPr>
          <w:rFonts w:ascii="Arial" w:hAnsi="Arial"/>
          <w:sz w:val="24"/>
          <w:szCs w:val="24"/>
        </w:rPr>
        <w:t xml:space="preserve"> that</w:t>
      </w:r>
      <w:r w:rsidRPr="00421753">
        <w:rPr>
          <w:rFonts w:ascii="Arial" w:hAnsi="Arial"/>
          <w:sz w:val="24"/>
          <w:szCs w:val="24"/>
        </w:rPr>
        <w:t xml:space="preserve"> the presumption of regularity </w:t>
      </w:r>
      <w:r>
        <w:rPr>
          <w:rFonts w:ascii="Arial" w:hAnsi="Arial"/>
          <w:sz w:val="24"/>
          <w:szCs w:val="24"/>
        </w:rPr>
        <w:t>‘</w:t>
      </w:r>
      <w:r w:rsidRPr="00421753">
        <w:rPr>
          <w:rFonts w:ascii="Arial" w:hAnsi="Arial"/>
          <w:sz w:val="24"/>
          <w:szCs w:val="24"/>
        </w:rPr>
        <w:t>is rebuttable and can be rebutted in any proceedings which are pending before a court and not only by review proceedings</w:t>
      </w:r>
      <w:r>
        <w:rPr>
          <w:rFonts w:ascii="Arial" w:hAnsi="Arial"/>
          <w:sz w:val="24"/>
          <w:szCs w:val="24"/>
        </w:rPr>
        <w:t xml:space="preserve">’. I also agree with the PG’s contention that </w:t>
      </w:r>
      <w:r w:rsidRPr="00421753">
        <w:rPr>
          <w:rFonts w:ascii="Arial" w:hAnsi="Arial"/>
          <w:sz w:val="24"/>
          <w:szCs w:val="24"/>
        </w:rPr>
        <w:t xml:space="preserve">the cases relied on by the appellants </w:t>
      </w:r>
      <w:r>
        <w:rPr>
          <w:rFonts w:ascii="Arial" w:hAnsi="Arial"/>
          <w:sz w:val="24"/>
          <w:szCs w:val="24"/>
        </w:rPr>
        <w:t xml:space="preserve">for the proposition contended for by them </w:t>
      </w:r>
      <w:r w:rsidRPr="00421753">
        <w:rPr>
          <w:rFonts w:ascii="Arial" w:hAnsi="Arial"/>
          <w:sz w:val="24"/>
          <w:szCs w:val="24"/>
        </w:rPr>
        <w:t>deal with principles of public law regarding when administrative action w</w:t>
      </w:r>
      <w:r>
        <w:rPr>
          <w:rFonts w:ascii="Arial" w:hAnsi="Arial"/>
          <w:sz w:val="24"/>
          <w:szCs w:val="24"/>
        </w:rPr>
        <w:t xml:space="preserve">ould </w:t>
      </w:r>
      <w:r w:rsidRPr="00421753">
        <w:rPr>
          <w:rFonts w:ascii="Arial" w:hAnsi="Arial"/>
          <w:sz w:val="24"/>
          <w:szCs w:val="24"/>
        </w:rPr>
        <w:t xml:space="preserve">be </w:t>
      </w:r>
      <w:r>
        <w:rPr>
          <w:rFonts w:ascii="Arial" w:hAnsi="Arial"/>
          <w:sz w:val="24"/>
          <w:szCs w:val="24"/>
        </w:rPr>
        <w:t>‘</w:t>
      </w:r>
      <w:r w:rsidRPr="00421753">
        <w:rPr>
          <w:rFonts w:ascii="Arial" w:hAnsi="Arial"/>
          <w:sz w:val="24"/>
          <w:szCs w:val="24"/>
        </w:rPr>
        <w:t>lawful</w:t>
      </w:r>
      <w:r>
        <w:rPr>
          <w:rFonts w:ascii="Arial" w:hAnsi="Arial"/>
          <w:sz w:val="24"/>
          <w:szCs w:val="24"/>
        </w:rPr>
        <w:t>’</w:t>
      </w:r>
      <w:r w:rsidRPr="00421753">
        <w:rPr>
          <w:rFonts w:ascii="Arial" w:hAnsi="Arial"/>
          <w:sz w:val="24"/>
          <w:szCs w:val="24"/>
        </w:rPr>
        <w:t xml:space="preserve"> in the sense of being </w:t>
      </w:r>
      <w:r w:rsidRPr="00421753">
        <w:rPr>
          <w:rFonts w:ascii="Arial" w:hAnsi="Arial"/>
          <w:i/>
          <w:sz w:val="24"/>
          <w:szCs w:val="24"/>
        </w:rPr>
        <w:t>intra vires</w:t>
      </w:r>
      <w:r w:rsidRPr="00421753">
        <w:rPr>
          <w:rFonts w:ascii="Arial" w:hAnsi="Arial"/>
          <w:sz w:val="24"/>
          <w:szCs w:val="24"/>
        </w:rPr>
        <w:t>.  Th</w:t>
      </w:r>
      <w:r>
        <w:rPr>
          <w:rFonts w:ascii="Arial" w:hAnsi="Arial"/>
          <w:sz w:val="24"/>
          <w:szCs w:val="24"/>
        </w:rPr>
        <w:t>e cases</w:t>
      </w:r>
      <w:r w:rsidRPr="00421753">
        <w:rPr>
          <w:rFonts w:ascii="Arial" w:hAnsi="Arial"/>
          <w:sz w:val="24"/>
          <w:szCs w:val="24"/>
        </w:rPr>
        <w:t xml:space="preserve"> </w:t>
      </w:r>
      <w:r>
        <w:rPr>
          <w:rFonts w:ascii="Arial" w:hAnsi="Arial"/>
          <w:sz w:val="24"/>
          <w:szCs w:val="24"/>
        </w:rPr>
        <w:t xml:space="preserve">relied on </w:t>
      </w:r>
      <w:r w:rsidRPr="00421753">
        <w:rPr>
          <w:rFonts w:ascii="Arial" w:hAnsi="Arial"/>
          <w:sz w:val="24"/>
          <w:szCs w:val="24"/>
        </w:rPr>
        <w:t>have not</w:t>
      </w:r>
      <w:r>
        <w:rPr>
          <w:rFonts w:ascii="Arial" w:hAnsi="Arial"/>
          <w:sz w:val="24"/>
          <w:szCs w:val="24"/>
        </w:rPr>
        <w:t xml:space="preserve"> addressed </w:t>
      </w:r>
      <w:r w:rsidRPr="00421753">
        <w:rPr>
          <w:rFonts w:ascii="Arial" w:hAnsi="Arial"/>
          <w:sz w:val="24"/>
          <w:szCs w:val="24"/>
        </w:rPr>
        <w:t>the different question regarding when conduct w</w:t>
      </w:r>
      <w:r>
        <w:rPr>
          <w:rFonts w:ascii="Arial" w:hAnsi="Arial"/>
          <w:sz w:val="24"/>
          <w:szCs w:val="24"/>
        </w:rPr>
        <w:t xml:space="preserve">ould </w:t>
      </w:r>
      <w:r w:rsidRPr="00421753">
        <w:rPr>
          <w:rFonts w:ascii="Arial" w:hAnsi="Arial"/>
          <w:sz w:val="24"/>
          <w:szCs w:val="24"/>
        </w:rPr>
        <w:t xml:space="preserve">be </w:t>
      </w:r>
      <w:r>
        <w:rPr>
          <w:rFonts w:ascii="Arial" w:hAnsi="Arial"/>
          <w:sz w:val="24"/>
          <w:szCs w:val="24"/>
        </w:rPr>
        <w:t>‘</w:t>
      </w:r>
      <w:r w:rsidRPr="00421753">
        <w:rPr>
          <w:rFonts w:ascii="Arial" w:hAnsi="Arial"/>
          <w:sz w:val="24"/>
          <w:szCs w:val="24"/>
        </w:rPr>
        <w:t>unlawful</w:t>
      </w:r>
      <w:r>
        <w:rPr>
          <w:rFonts w:ascii="Arial" w:hAnsi="Arial"/>
          <w:sz w:val="24"/>
          <w:szCs w:val="24"/>
        </w:rPr>
        <w:t>’</w:t>
      </w:r>
      <w:r w:rsidRPr="00421753">
        <w:rPr>
          <w:rFonts w:ascii="Arial" w:hAnsi="Arial"/>
          <w:sz w:val="24"/>
          <w:szCs w:val="24"/>
        </w:rPr>
        <w:t xml:space="preserve"> in the sense of constituting an offence or contravening a law</w:t>
      </w:r>
      <w:r>
        <w:rPr>
          <w:rFonts w:ascii="Arial" w:hAnsi="Arial"/>
          <w:sz w:val="24"/>
          <w:szCs w:val="24"/>
        </w:rPr>
        <w:t xml:space="preserve"> as the phrase ‘unlawful activity’ has been defined under POCA. There is thus no merit in the contention based on the presumption of regularity and it too falls to be rejected.</w:t>
      </w:r>
    </w:p>
    <w:p w:rsidR="004B494C" w:rsidRDefault="004B494C" w:rsidP="00BC2003">
      <w:pPr>
        <w:tabs>
          <w:tab w:val="left" w:pos="0"/>
        </w:tabs>
        <w:spacing w:after="0" w:line="480" w:lineRule="auto"/>
        <w:jc w:val="both"/>
        <w:rPr>
          <w:rFonts w:ascii="Arial" w:hAnsi="Arial"/>
          <w:bCs/>
          <w:sz w:val="24"/>
          <w:szCs w:val="24"/>
          <w:u w:val="single"/>
          <w:lang w:val="en-GB"/>
        </w:rPr>
      </w:pPr>
    </w:p>
    <w:p w:rsidR="004B494C" w:rsidRPr="009768F9" w:rsidRDefault="004B494C" w:rsidP="00BC2003">
      <w:pPr>
        <w:tabs>
          <w:tab w:val="left" w:pos="0"/>
        </w:tabs>
        <w:spacing w:after="0" w:line="480" w:lineRule="auto"/>
        <w:jc w:val="both"/>
        <w:rPr>
          <w:rFonts w:ascii="Arial" w:hAnsi="Arial"/>
          <w:bCs/>
          <w:sz w:val="24"/>
          <w:szCs w:val="24"/>
          <w:u w:val="single"/>
          <w:lang w:val="en-GB"/>
        </w:rPr>
      </w:pPr>
      <w:r>
        <w:rPr>
          <w:rFonts w:ascii="Arial" w:hAnsi="Arial"/>
          <w:bCs/>
          <w:sz w:val="24"/>
          <w:szCs w:val="24"/>
          <w:u w:val="single"/>
          <w:lang w:val="en-GB"/>
        </w:rPr>
        <w:t>Whether there was evidence of f</w:t>
      </w:r>
      <w:r w:rsidRPr="009768F9">
        <w:rPr>
          <w:rFonts w:ascii="Arial" w:hAnsi="Arial"/>
          <w:bCs/>
          <w:sz w:val="24"/>
          <w:szCs w:val="24"/>
          <w:u w:val="single"/>
          <w:lang w:val="en-GB"/>
        </w:rPr>
        <w:t>raud</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 xml:space="preserve">The ACC investigating officer, Mr Cloete (deposing to an affidavit in support of the PG’s application), alleged that the Government was a victim of a co-ordinated fraud involving Mr Freyer, Ms Hoeses, NAD, Mr Shilongo and Mr Shikage. Mr Cloete </w:t>
      </w:r>
      <w:r>
        <w:rPr>
          <w:rFonts w:ascii="Arial" w:hAnsi="Arial"/>
          <w:bCs/>
          <w:sz w:val="24"/>
          <w:szCs w:val="24"/>
          <w:lang w:val="en-GB"/>
        </w:rPr>
        <w:lastRenderedPageBreak/>
        <w:t>averred that these individuals conspired or acted with a common purpose to defraud the MAWF. The appellants’ reaction to the portion of Mr Cloete’s affidavit where these allegations were made was a blanket denial. The allegations by Mr Cloete were dismissed as ‘irrelevant, repetitive, speculative and argumentative matter concerning the conduct of parties</w:t>
      </w:r>
      <w:r w:rsidR="009052BF">
        <w:rPr>
          <w:rFonts w:ascii="Arial" w:hAnsi="Arial"/>
          <w:bCs/>
          <w:sz w:val="24"/>
          <w:szCs w:val="24"/>
          <w:lang w:val="en-GB"/>
        </w:rPr>
        <w:t xml:space="preserve"> extraneous to the [appellants]</w:t>
      </w:r>
      <w:r>
        <w:rPr>
          <w:rFonts w:ascii="Arial" w:hAnsi="Arial"/>
          <w:bCs/>
          <w:sz w:val="24"/>
          <w:szCs w:val="24"/>
          <w:lang w:val="en-GB"/>
        </w:rPr>
        <w:t>’</w:t>
      </w:r>
      <w:r w:rsidR="009052BF">
        <w:rPr>
          <w:rFonts w:ascii="Arial" w:hAnsi="Arial"/>
          <w:bCs/>
          <w:sz w:val="24"/>
          <w:szCs w:val="24"/>
          <w:lang w:val="en-GB"/>
        </w:rPr>
        <w:t>.</w:t>
      </w:r>
      <w:r>
        <w:rPr>
          <w:rFonts w:ascii="Arial" w:hAnsi="Arial"/>
          <w:bCs/>
          <w:sz w:val="24"/>
          <w:szCs w:val="24"/>
          <w:lang w:val="en-GB"/>
        </w:rPr>
        <w:t xml:space="preserve"> </w:t>
      </w:r>
    </w:p>
    <w:p w:rsidR="004B494C" w:rsidRPr="003447A1"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Pr="00731FDE" w:rsidRDefault="004B494C" w:rsidP="00BC2003">
      <w:pPr>
        <w:pStyle w:val="WLGLevel2"/>
        <w:numPr>
          <w:ilvl w:val="0"/>
          <w:numId w:val="27"/>
        </w:numPr>
        <w:spacing w:after="0"/>
        <w:ind w:left="0" w:firstLine="0"/>
        <w:rPr>
          <w:rFonts w:cs="Arial"/>
        </w:rPr>
      </w:pPr>
      <w:r>
        <w:rPr>
          <w:bCs/>
          <w:szCs w:val="24"/>
          <w:lang w:val="en-GB"/>
        </w:rPr>
        <w:t>Fraud ‘consists in unlawfully making, with the intent to defraud, a misrepresentation which causes actual prejudice or which is potentially prejudicial to another’</w:t>
      </w:r>
      <w:r w:rsidR="009052BF">
        <w:rPr>
          <w:bCs/>
          <w:szCs w:val="24"/>
          <w:lang w:val="en-GB"/>
        </w:rPr>
        <w:t>.</w:t>
      </w:r>
      <w:r>
        <w:rPr>
          <w:rStyle w:val="FootnoteReference"/>
          <w:bCs/>
          <w:szCs w:val="24"/>
          <w:lang w:val="en-GB"/>
        </w:rPr>
        <w:footnoteReference w:id="10"/>
      </w:r>
      <w:r>
        <w:rPr>
          <w:bCs/>
          <w:szCs w:val="24"/>
          <w:lang w:val="en-GB"/>
        </w:rPr>
        <w:t xml:space="preserve"> </w:t>
      </w:r>
    </w:p>
    <w:p w:rsidR="004B494C" w:rsidRPr="007C0A98" w:rsidRDefault="004B494C" w:rsidP="007C0A98">
      <w:pPr>
        <w:spacing w:after="0" w:line="480" w:lineRule="auto"/>
        <w:rPr>
          <w:rFonts w:ascii="Arial" w:hAnsi="Arial"/>
          <w:bCs/>
          <w:sz w:val="24"/>
          <w:szCs w:val="24"/>
          <w:lang w:val="en-GB"/>
        </w:rPr>
      </w:pPr>
    </w:p>
    <w:p w:rsidR="004B494C" w:rsidRPr="00E77998" w:rsidRDefault="004B494C" w:rsidP="00BC2003">
      <w:pPr>
        <w:pStyle w:val="WLGLevel2"/>
        <w:numPr>
          <w:ilvl w:val="0"/>
          <w:numId w:val="27"/>
        </w:numPr>
        <w:spacing w:after="0"/>
        <w:ind w:left="0" w:firstLine="0"/>
        <w:rPr>
          <w:rFonts w:cs="Arial"/>
        </w:rPr>
      </w:pPr>
      <w:r w:rsidRPr="008B0B5C">
        <w:rPr>
          <w:bCs/>
          <w:szCs w:val="24"/>
          <w:lang w:val="en-GB"/>
        </w:rPr>
        <w:t xml:space="preserve">As noted earlier, Mr Freyer sought to explain in his affidavit why he authorised the purchase of the Lister engines from NAD when there was already a term tender in place. Mr Freyer alleged in the first place that the Lister engines on term tender ‘were not the original Lister TR1 engines’ and so he decided to buy engines with ‘better technical specifications’ and which were not ‘pirate engines’. He proceeded to state that Ms Hoeses obtained quotations for the Lister TR1 engines from Agra, NAD and Continental Spares. He then </w:t>
      </w:r>
      <w:r>
        <w:rPr>
          <w:bCs/>
          <w:szCs w:val="24"/>
          <w:lang w:val="en-GB"/>
        </w:rPr>
        <w:t xml:space="preserve">maintained </w:t>
      </w:r>
      <w:r w:rsidRPr="008B0B5C">
        <w:rPr>
          <w:bCs/>
          <w:szCs w:val="24"/>
          <w:lang w:val="en-GB"/>
        </w:rPr>
        <w:t xml:space="preserve">that NAD’s quotation was the cheapest, hence its acceptance by him. All the above assertions by Mr Freyer are untenable and can be safely rejected on the papers. </w:t>
      </w:r>
    </w:p>
    <w:p w:rsidR="004B494C" w:rsidRPr="00F40980" w:rsidRDefault="004B494C" w:rsidP="001470B5">
      <w:pPr>
        <w:spacing w:after="0" w:line="360" w:lineRule="auto"/>
        <w:rPr>
          <w:rFonts w:ascii="Arial" w:hAnsi="Arial"/>
          <w:bCs/>
          <w:sz w:val="24"/>
          <w:szCs w:val="24"/>
          <w:lang w:val="en-GB"/>
        </w:rPr>
      </w:pPr>
    </w:p>
    <w:p w:rsidR="004B494C" w:rsidRDefault="004B494C" w:rsidP="009052BF">
      <w:pPr>
        <w:pStyle w:val="WLGLevel2"/>
        <w:numPr>
          <w:ilvl w:val="0"/>
          <w:numId w:val="27"/>
        </w:numPr>
        <w:spacing w:after="0"/>
        <w:ind w:left="0" w:firstLine="0"/>
        <w:rPr>
          <w:rFonts w:cs="Arial"/>
        </w:rPr>
      </w:pPr>
      <w:r w:rsidRPr="008B0B5C">
        <w:rPr>
          <w:bCs/>
          <w:szCs w:val="24"/>
          <w:lang w:val="en-GB"/>
        </w:rPr>
        <w:t>First, the statement that the type of engine</w:t>
      </w:r>
      <w:r>
        <w:rPr>
          <w:bCs/>
          <w:szCs w:val="24"/>
          <w:lang w:val="en-GB"/>
        </w:rPr>
        <w:t>s</w:t>
      </w:r>
      <w:r w:rsidRPr="008B0B5C">
        <w:rPr>
          <w:bCs/>
          <w:szCs w:val="24"/>
          <w:lang w:val="en-GB"/>
        </w:rPr>
        <w:t xml:space="preserve"> under the term tender were ‘pirate engines’ cannot be correct. </w:t>
      </w:r>
      <w:r w:rsidRPr="008B0B5C">
        <w:rPr>
          <w:rFonts w:cs="Arial"/>
        </w:rPr>
        <w:t xml:space="preserve">Under the tender, Continental Spares was contractually bound to supply ‘Lister-Petter TR1 engines manufactured in the United Kingdom’. The specifications of the engines were set out in Continental Spares’ </w:t>
      </w:r>
      <w:r w:rsidRPr="008B0B5C">
        <w:rPr>
          <w:rFonts w:cs="Arial"/>
        </w:rPr>
        <w:lastRenderedPageBreak/>
        <w:t xml:space="preserve">completed tender document. Moreover, the engines which NAD contracted to supply to the MAWF were exactly the same engines that Continental Spares contracted to supply under the term tender. In fact, as previously mentioned, NAD sourced the engines from Continental Spares for onward sale to the MAWF. There can therefore be no question of the engines under the term tender being counterfeit products. Secondly, the assertion that Ms Hoeses obtained quotations for TR1 engines from Agra, NAD and Continental Spares and presented those quotations to Mr Freyer is </w:t>
      </w:r>
      <w:r>
        <w:rPr>
          <w:rFonts w:cs="Arial"/>
        </w:rPr>
        <w:t xml:space="preserve">partially </w:t>
      </w:r>
      <w:r w:rsidRPr="008B0B5C">
        <w:rPr>
          <w:rFonts w:cs="Arial"/>
        </w:rPr>
        <w:t>incorrect, because the quotations were in fact obtained from NAD, Express Bearing Centre CC and DFL Trading Enterprises. Lastly, the statement that NAD’s quotation was the cheapest is palpably false. In fact, NAD’s quotation of N$27 782,30 including VAT was N$3 011</w:t>
      </w:r>
      <w:r>
        <w:rPr>
          <w:rFonts w:cs="Arial"/>
        </w:rPr>
        <w:t>,</w:t>
      </w:r>
      <w:r w:rsidRPr="008B0B5C">
        <w:rPr>
          <w:rFonts w:cs="Arial"/>
        </w:rPr>
        <w:t xml:space="preserve">80 more expensive than the quotation provided by Express Bearing Centre CC which stood at N$23 770,50. In the context of the low standard of proof allowed under POCA, </w:t>
      </w:r>
      <w:r>
        <w:rPr>
          <w:rFonts w:cs="Arial"/>
        </w:rPr>
        <w:t>i</w:t>
      </w:r>
      <w:r w:rsidRPr="008B0B5C">
        <w:rPr>
          <w:rFonts w:cs="Arial"/>
        </w:rPr>
        <w:t xml:space="preserve">t would appear therefore that a co-ordinated fraud </w:t>
      </w:r>
      <w:r>
        <w:rPr>
          <w:rFonts w:cs="Arial"/>
        </w:rPr>
        <w:t xml:space="preserve">perpetrated </w:t>
      </w:r>
      <w:r w:rsidRPr="008B0B5C">
        <w:rPr>
          <w:rFonts w:cs="Arial"/>
        </w:rPr>
        <w:t>on the Government is the most natural and plausible inference to be drawn from the facts of this case</w:t>
      </w:r>
      <w:r>
        <w:rPr>
          <w:rFonts w:cs="Arial"/>
        </w:rPr>
        <w:t>.</w:t>
      </w:r>
    </w:p>
    <w:p w:rsidR="00B02067" w:rsidRDefault="00B02067">
      <w:pPr>
        <w:rPr>
          <w:rFonts w:ascii="Arial" w:eastAsia="Times New Roman" w:hAnsi="Arial"/>
          <w:sz w:val="24"/>
          <w:szCs w:val="20"/>
        </w:rPr>
      </w:pPr>
    </w:p>
    <w:p w:rsidR="004B494C" w:rsidRDefault="004B494C" w:rsidP="009052BF">
      <w:pPr>
        <w:pStyle w:val="WLGLevel2"/>
        <w:numPr>
          <w:ilvl w:val="0"/>
          <w:numId w:val="0"/>
        </w:numPr>
        <w:spacing w:after="0"/>
        <w:rPr>
          <w:rFonts w:cs="Arial"/>
          <w:u w:val="single"/>
        </w:rPr>
      </w:pPr>
      <w:r>
        <w:rPr>
          <w:rFonts w:cs="Arial"/>
          <w:u w:val="single"/>
        </w:rPr>
        <w:t>Forfeiture proceedings</w:t>
      </w:r>
      <w:r w:rsidRPr="007B5859">
        <w:rPr>
          <w:rFonts w:cs="Arial"/>
          <w:u w:val="single"/>
        </w:rPr>
        <w:t xml:space="preserve"> concerned with the property and not the person</w:t>
      </w:r>
    </w:p>
    <w:p w:rsidR="004B494C" w:rsidRDefault="004B494C" w:rsidP="009052BF">
      <w:pPr>
        <w:pStyle w:val="WLGLevel1"/>
        <w:numPr>
          <w:ilvl w:val="0"/>
          <w:numId w:val="27"/>
        </w:numPr>
        <w:spacing w:before="0" w:after="0"/>
        <w:ind w:left="0" w:firstLine="0"/>
        <w:rPr>
          <w:rFonts w:cs="Arial"/>
        </w:rPr>
      </w:pPr>
      <w:r w:rsidRPr="007B5859">
        <w:rPr>
          <w:szCs w:val="24"/>
        </w:rPr>
        <w:t xml:space="preserve">The appellants contend that </w:t>
      </w:r>
      <w:r>
        <w:rPr>
          <w:bCs/>
          <w:szCs w:val="24"/>
          <w:lang w:val="en-GB"/>
        </w:rPr>
        <w:t>they have no knowledge o</w:t>
      </w:r>
      <w:r w:rsidRPr="003447A1">
        <w:rPr>
          <w:bCs/>
          <w:szCs w:val="24"/>
          <w:lang w:val="en-GB"/>
        </w:rPr>
        <w:t xml:space="preserve">f internal processes within the MAWF </w:t>
      </w:r>
      <w:r>
        <w:rPr>
          <w:bCs/>
          <w:szCs w:val="24"/>
          <w:lang w:val="en-GB"/>
        </w:rPr>
        <w:t>and that if officials there committed irregularities</w:t>
      </w:r>
      <w:r w:rsidR="009052BF">
        <w:rPr>
          <w:bCs/>
          <w:szCs w:val="24"/>
          <w:lang w:val="en-GB"/>
        </w:rPr>
        <w:t>,</w:t>
      </w:r>
      <w:r>
        <w:rPr>
          <w:bCs/>
          <w:szCs w:val="24"/>
          <w:lang w:val="en-GB"/>
        </w:rPr>
        <w:t xml:space="preserve"> this should not be imputed to them. For the purposes of a forfeiture order under s 61 of POCA, it is not necessary for the owner of the property to have been involved in the commission of the offence or the contravention of the law. The crucial question in such an application is whether or not the property concerned is ‘the proceeds of unlawful activities’. It matters not who was responsible for the unlawful activities. This much is apparent from the language of the section. </w:t>
      </w:r>
      <w:r w:rsidRPr="00DC0A72">
        <w:rPr>
          <w:rFonts w:cs="Arial"/>
        </w:rPr>
        <w:t xml:space="preserve">If the owner of </w:t>
      </w:r>
      <w:r>
        <w:rPr>
          <w:rFonts w:cs="Arial"/>
        </w:rPr>
        <w:t xml:space="preserve">the </w:t>
      </w:r>
      <w:r w:rsidRPr="00DC0A72">
        <w:rPr>
          <w:rFonts w:cs="Arial"/>
        </w:rPr>
        <w:t xml:space="preserve">property liable to </w:t>
      </w:r>
      <w:r w:rsidRPr="00DC0A72">
        <w:rPr>
          <w:rFonts w:cs="Arial"/>
        </w:rPr>
        <w:lastRenderedPageBreak/>
        <w:t xml:space="preserve">forfeiture on the ground that it is the proceeds of unlawful activities wishes to avoid the operation of the forfeiture </w:t>
      </w:r>
      <w:r>
        <w:rPr>
          <w:rFonts w:cs="Arial"/>
        </w:rPr>
        <w:t xml:space="preserve">order </w:t>
      </w:r>
      <w:r w:rsidRPr="00DC0A72">
        <w:rPr>
          <w:rFonts w:cs="Arial"/>
        </w:rPr>
        <w:t xml:space="preserve">on the </w:t>
      </w:r>
      <w:r>
        <w:rPr>
          <w:rFonts w:cs="Arial"/>
        </w:rPr>
        <w:t xml:space="preserve">basis </w:t>
      </w:r>
      <w:r w:rsidRPr="00DC0A72">
        <w:rPr>
          <w:rFonts w:cs="Arial"/>
        </w:rPr>
        <w:t>that he or she is innocent, s</w:t>
      </w:r>
      <w:r>
        <w:rPr>
          <w:rFonts w:cs="Arial"/>
        </w:rPr>
        <w:t xml:space="preserve"> </w:t>
      </w:r>
      <w:r w:rsidRPr="00DC0A72">
        <w:rPr>
          <w:rFonts w:cs="Arial"/>
        </w:rPr>
        <w:t xml:space="preserve">63(1) of POCA requires that the owner bring an application for an order excluding his or her interest in the property from the operation of the forfeiture order. Section 63(2) provides that in any such application, the </w:t>
      </w:r>
      <w:r>
        <w:rPr>
          <w:rFonts w:cs="Arial"/>
        </w:rPr>
        <w:t>‘</w:t>
      </w:r>
      <w:r w:rsidRPr="00DC0A72">
        <w:rPr>
          <w:rFonts w:cs="Arial"/>
        </w:rPr>
        <w:t>innocent owner</w:t>
      </w:r>
      <w:r>
        <w:rPr>
          <w:rFonts w:cs="Arial"/>
        </w:rPr>
        <w:t>’</w:t>
      </w:r>
      <w:r w:rsidRPr="00DC0A72">
        <w:rPr>
          <w:rFonts w:cs="Arial"/>
        </w:rPr>
        <w:t xml:space="preserve"> must prove, on a balance of probabilities, that he or she acquired the interest concerned legally and for a consideration not significantly less valuable than the value of the interest; and further that he or she neither knew nor had reasonable grounds to suspect that the property </w:t>
      </w:r>
      <w:r>
        <w:rPr>
          <w:rFonts w:cs="Arial"/>
        </w:rPr>
        <w:t xml:space="preserve">in which the interest is held </w:t>
      </w:r>
      <w:r w:rsidRPr="00DC0A72">
        <w:rPr>
          <w:rFonts w:cs="Arial"/>
        </w:rPr>
        <w:t>was the pr</w:t>
      </w:r>
      <w:r w:rsidR="009052BF">
        <w:rPr>
          <w:rFonts w:cs="Arial"/>
        </w:rPr>
        <w:t xml:space="preserve">oceeds of unlawful activities. </w:t>
      </w:r>
    </w:p>
    <w:p w:rsidR="009052BF" w:rsidRPr="00DC0A72" w:rsidRDefault="009052BF" w:rsidP="009052BF">
      <w:pPr>
        <w:pStyle w:val="WLGLevel1"/>
        <w:numPr>
          <w:ilvl w:val="0"/>
          <w:numId w:val="0"/>
        </w:numPr>
        <w:spacing w:before="0" w:after="0"/>
        <w:rPr>
          <w:rFonts w:cs="Arial"/>
        </w:rPr>
      </w:pPr>
    </w:p>
    <w:p w:rsidR="004B494C" w:rsidRDefault="004B494C" w:rsidP="00BC2003">
      <w:pPr>
        <w:pStyle w:val="WLGLevel1"/>
        <w:numPr>
          <w:ilvl w:val="0"/>
          <w:numId w:val="27"/>
        </w:numPr>
        <w:spacing w:before="0" w:after="0"/>
        <w:ind w:left="0" w:firstLine="0"/>
        <w:rPr>
          <w:rFonts w:cs="Arial"/>
        </w:rPr>
      </w:pPr>
      <w:r>
        <w:rPr>
          <w:rFonts w:cs="Arial"/>
        </w:rPr>
        <w:t xml:space="preserve">Although Mr </w:t>
      </w:r>
      <w:r w:rsidRPr="00DC0A72">
        <w:rPr>
          <w:rFonts w:cs="Arial"/>
        </w:rPr>
        <w:t xml:space="preserve">Shilongo and </w:t>
      </w:r>
      <w:r>
        <w:rPr>
          <w:rFonts w:cs="Arial"/>
        </w:rPr>
        <w:t xml:space="preserve">Mr </w:t>
      </w:r>
      <w:r w:rsidRPr="00DC0A72">
        <w:rPr>
          <w:rFonts w:cs="Arial"/>
        </w:rPr>
        <w:t xml:space="preserve">Shikage, gave notice in terms of s 52(3) of their intention to </w:t>
      </w:r>
      <w:r>
        <w:rPr>
          <w:rFonts w:cs="Arial"/>
        </w:rPr>
        <w:t xml:space="preserve">‘apply for exclusion of [NAD’s] property </w:t>
      </w:r>
      <w:r w:rsidRPr="00DC0A72">
        <w:rPr>
          <w:rFonts w:cs="Arial"/>
        </w:rPr>
        <w:t>from the operation of preservation</w:t>
      </w:r>
      <w:r>
        <w:rPr>
          <w:rFonts w:cs="Arial"/>
        </w:rPr>
        <w:t xml:space="preserve"> of property </w:t>
      </w:r>
      <w:r w:rsidRPr="00DC0A72">
        <w:rPr>
          <w:rFonts w:cs="Arial"/>
        </w:rPr>
        <w:t>order</w:t>
      </w:r>
      <w:r>
        <w:rPr>
          <w:rFonts w:cs="Arial"/>
        </w:rPr>
        <w:t>’,</w:t>
      </w:r>
      <w:r w:rsidRPr="00DC0A72">
        <w:rPr>
          <w:rFonts w:cs="Arial"/>
        </w:rPr>
        <w:t xml:space="preserve"> </w:t>
      </w:r>
      <w:r>
        <w:rPr>
          <w:rFonts w:cs="Arial"/>
        </w:rPr>
        <w:t xml:space="preserve">no such relief was asked for </w:t>
      </w:r>
      <w:r w:rsidRPr="00DC0A72">
        <w:rPr>
          <w:rFonts w:cs="Arial"/>
        </w:rPr>
        <w:t>in their answering affidavits. In</w:t>
      </w:r>
      <w:r>
        <w:rPr>
          <w:rFonts w:cs="Arial"/>
        </w:rPr>
        <w:t xml:space="preserve"> fact, </w:t>
      </w:r>
      <w:r w:rsidRPr="00DC0A72">
        <w:rPr>
          <w:rFonts w:cs="Arial"/>
        </w:rPr>
        <w:t xml:space="preserve">they did </w:t>
      </w:r>
      <w:r>
        <w:rPr>
          <w:rFonts w:cs="Arial"/>
        </w:rPr>
        <w:t xml:space="preserve">not even </w:t>
      </w:r>
      <w:r w:rsidRPr="00DC0A72">
        <w:rPr>
          <w:rFonts w:cs="Arial"/>
        </w:rPr>
        <w:t>attempt to show that the requirements for th</w:t>
      </w:r>
      <w:r w:rsidR="009052BF">
        <w:rPr>
          <w:rFonts w:cs="Arial"/>
        </w:rPr>
        <w:t>e innocent owner defence in s 63</w:t>
      </w:r>
      <w:r w:rsidRPr="00DC0A72">
        <w:rPr>
          <w:rFonts w:cs="Arial"/>
        </w:rPr>
        <w:t xml:space="preserve">(2) were satisfied. By </w:t>
      </w:r>
      <w:r>
        <w:rPr>
          <w:rFonts w:cs="Arial"/>
        </w:rPr>
        <w:t xml:space="preserve">neglecting </w:t>
      </w:r>
      <w:r w:rsidRPr="00DC0A72">
        <w:rPr>
          <w:rFonts w:cs="Arial"/>
        </w:rPr>
        <w:t xml:space="preserve">to </w:t>
      </w:r>
      <w:r>
        <w:rPr>
          <w:rFonts w:cs="Arial"/>
        </w:rPr>
        <w:t xml:space="preserve">deal </w:t>
      </w:r>
      <w:r w:rsidRPr="00DC0A72">
        <w:rPr>
          <w:rFonts w:cs="Arial"/>
        </w:rPr>
        <w:t xml:space="preserve">with the evidence </w:t>
      </w:r>
      <w:r>
        <w:rPr>
          <w:rFonts w:cs="Arial"/>
        </w:rPr>
        <w:t>relating to</w:t>
      </w:r>
      <w:r w:rsidRPr="00DC0A72">
        <w:rPr>
          <w:rFonts w:cs="Arial"/>
        </w:rPr>
        <w:t xml:space="preserve"> the events inside the MAWF or to engage in any detail with the evidence concerning the </w:t>
      </w:r>
      <w:r>
        <w:rPr>
          <w:rFonts w:cs="Arial"/>
        </w:rPr>
        <w:t xml:space="preserve">interactions </w:t>
      </w:r>
      <w:r w:rsidRPr="00DC0A72">
        <w:rPr>
          <w:rFonts w:cs="Arial"/>
        </w:rPr>
        <w:t xml:space="preserve">between </w:t>
      </w:r>
      <w:r>
        <w:rPr>
          <w:rFonts w:cs="Arial"/>
        </w:rPr>
        <w:t>Mr</w:t>
      </w:r>
      <w:r w:rsidRPr="00DC0A72">
        <w:rPr>
          <w:rFonts w:cs="Arial"/>
        </w:rPr>
        <w:t xml:space="preserve"> Shilongo and </w:t>
      </w:r>
      <w:r>
        <w:rPr>
          <w:rFonts w:cs="Arial"/>
        </w:rPr>
        <w:t xml:space="preserve">Mr </w:t>
      </w:r>
      <w:r w:rsidRPr="00DC0A72">
        <w:rPr>
          <w:rFonts w:cs="Arial"/>
        </w:rPr>
        <w:t xml:space="preserve">Shikage and the MAWF officials implicated in the </w:t>
      </w:r>
      <w:r>
        <w:rPr>
          <w:rFonts w:cs="Arial"/>
        </w:rPr>
        <w:t xml:space="preserve">clearly </w:t>
      </w:r>
      <w:r w:rsidRPr="00DC0A72">
        <w:rPr>
          <w:rFonts w:cs="Arial"/>
        </w:rPr>
        <w:t xml:space="preserve">unlawful activities, the appellants failed to discharge the burden of proof they bear in relation to any such application. </w:t>
      </w:r>
      <w:r w:rsidRPr="005A39E9">
        <w:rPr>
          <w:rFonts w:cs="Arial"/>
        </w:rPr>
        <w:t xml:space="preserve">For the same reason, the appellants did not make out a case </w:t>
      </w:r>
      <w:r>
        <w:rPr>
          <w:rFonts w:cs="Arial"/>
        </w:rPr>
        <w:t xml:space="preserve">for the </w:t>
      </w:r>
      <w:r w:rsidRPr="005A39E9">
        <w:rPr>
          <w:rFonts w:cs="Arial"/>
        </w:rPr>
        <w:t xml:space="preserve">forfeiture order </w:t>
      </w:r>
      <w:r>
        <w:rPr>
          <w:rFonts w:cs="Arial"/>
        </w:rPr>
        <w:t>to</w:t>
      </w:r>
      <w:r w:rsidRPr="005A39E9">
        <w:rPr>
          <w:rFonts w:cs="Arial"/>
        </w:rPr>
        <w:t xml:space="preserve"> be limited to certain assets as opposed to all forfeited property.</w:t>
      </w:r>
    </w:p>
    <w:p w:rsidR="001470B5" w:rsidRDefault="001470B5" w:rsidP="001470B5">
      <w:pPr>
        <w:pStyle w:val="WLGLevel1"/>
        <w:numPr>
          <w:ilvl w:val="0"/>
          <w:numId w:val="0"/>
        </w:numPr>
        <w:spacing w:before="0" w:after="0"/>
        <w:rPr>
          <w:rFonts w:cs="Arial"/>
        </w:rPr>
      </w:pPr>
    </w:p>
    <w:p w:rsidR="004B494C" w:rsidRPr="00E94933" w:rsidRDefault="004B494C" w:rsidP="00BC2003">
      <w:pPr>
        <w:tabs>
          <w:tab w:val="left" w:pos="0"/>
        </w:tabs>
        <w:spacing w:after="0" w:line="480" w:lineRule="auto"/>
        <w:jc w:val="both"/>
        <w:rPr>
          <w:rFonts w:ascii="Arial" w:hAnsi="Arial"/>
          <w:bCs/>
          <w:sz w:val="24"/>
          <w:szCs w:val="24"/>
          <w:u w:val="single"/>
          <w:lang w:val="en-GB"/>
        </w:rPr>
      </w:pPr>
      <w:r w:rsidRPr="00E94933">
        <w:rPr>
          <w:rFonts w:ascii="Arial" w:hAnsi="Arial"/>
          <w:bCs/>
          <w:sz w:val="24"/>
          <w:szCs w:val="24"/>
          <w:u w:val="single"/>
          <w:lang w:val="en-GB"/>
        </w:rPr>
        <w:t>Whether the forfeited property constitutes ‘proceeds</w:t>
      </w:r>
      <w:r>
        <w:rPr>
          <w:rFonts w:ascii="Arial" w:hAnsi="Arial"/>
          <w:bCs/>
          <w:sz w:val="24"/>
          <w:szCs w:val="24"/>
          <w:u w:val="single"/>
          <w:lang w:val="en-GB"/>
        </w:rPr>
        <w:t xml:space="preserve"> of criminal activities</w:t>
      </w:r>
      <w:r w:rsidRPr="00E94933">
        <w:rPr>
          <w:rFonts w:ascii="Arial" w:hAnsi="Arial"/>
          <w:bCs/>
          <w:sz w:val="24"/>
          <w:szCs w:val="24"/>
          <w:u w:val="single"/>
          <w:lang w:val="en-GB"/>
        </w:rPr>
        <w:t>’</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1E15A6">
        <w:rPr>
          <w:rFonts w:ascii="Arial" w:hAnsi="Arial"/>
          <w:sz w:val="24"/>
          <w:szCs w:val="24"/>
        </w:rPr>
        <w:t xml:space="preserve">Section 1 of POCA </w:t>
      </w:r>
      <w:r w:rsidRPr="003447A1">
        <w:rPr>
          <w:rFonts w:ascii="Arial" w:hAnsi="Arial"/>
          <w:bCs/>
          <w:sz w:val="24"/>
          <w:szCs w:val="24"/>
          <w:lang w:val="en-GB"/>
        </w:rPr>
        <w:t xml:space="preserve">defines ‘proceeds of unlawful activities’ in </w:t>
      </w:r>
      <w:r>
        <w:rPr>
          <w:rFonts w:ascii="Arial" w:hAnsi="Arial"/>
          <w:bCs/>
          <w:sz w:val="24"/>
          <w:szCs w:val="24"/>
          <w:lang w:val="en-GB"/>
        </w:rPr>
        <w:t xml:space="preserve">very broad terms </w:t>
      </w:r>
      <w:r w:rsidRPr="003447A1">
        <w:rPr>
          <w:rFonts w:ascii="Arial" w:hAnsi="Arial"/>
          <w:bCs/>
          <w:sz w:val="24"/>
          <w:szCs w:val="24"/>
          <w:lang w:val="en-GB"/>
        </w:rPr>
        <w:t>as</w:t>
      </w:r>
      <w:r>
        <w:rPr>
          <w:rFonts w:ascii="Arial" w:hAnsi="Arial"/>
          <w:bCs/>
          <w:sz w:val="24"/>
          <w:szCs w:val="24"/>
          <w:lang w:val="en-GB"/>
        </w:rPr>
        <w:t xml:space="preserve"> meaning:</w:t>
      </w:r>
      <w:r w:rsidRPr="003447A1">
        <w:rPr>
          <w:rFonts w:ascii="Arial" w:hAnsi="Arial"/>
          <w:bCs/>
          <w:sz w:val="24"/>
          <w:szCs w:val="24"/>
          <w:lang w:val="en-GB"/>
        </w:rPr>
        <w:t xml:space="preserve"> </w:t>
      </w:r>
    </w:p>
    <w:p w:rsidR="004B494C" w:rsidRDefault="004B494C" w:rsidP="00BC2003">
      <w:pPr>
        <w:spacing w:after="0" w:line="360" w:lineRule="auto"/>
        <w:ind w:left="864" w:right="576"/>
        <w:jc w:val="both"/>
        <w:rPr>
          <w:rFonts w:ascii="Arial" w:hAnsi="Arial"/>
        </w:rPr>
      </w:pPr>
      <w:r w:rsidRPr="005C33A6">
        <w:rPr>
          <w:rFonts w:ascii="Arial" w:hAnsi="Arial"/>
        </w:rPr>
        <w:lastRenderedPageBreak/>
        <w:t>‘any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includes property which is mingled with property that i</w:t>
      </w:r>
      <w:r w:rsidR="009052BF">
        <w:rPr>
          <w:rFonts w:ascii="Arial" w:hAnsi="Arial"/>
        </w:rPr>
        <w:t>s proceeds of unlawful activity</w:t>
      </w:r>
      <w:r w:rsidRPr="005C33A6">
        <w:rPr>
          <w:rFonts w:ascii="Arial" w:hAnsi="Arial"/>
        </w:rPr>
        <w:t>.</w:t>
      </w:r>
      <w:r w:rsidR="009052BF">
        <w:rPr>
          <w:rFonts w:ascii="Arial" w:hAnsi="Arial"/>
        </w:rPr>
        <w:t>’</w:t>
      </w:r>
      <w:r w:rsidRPr="005C33A6">
        <w:rPr>
          <w:rFonts w:ascii="Arial" w:hAnsi="Arial"/>
        </w:rPr>
        <w:t xml:space="preserve"> </w:t>
      </w:r>
    </w:p>
    <w:p w:rsidR="004B494C" w:rsidRPr="009052BF" w:rsidRDefault="004B494C" w:rsidP="001470B5">
      <w:pPr>
        <w:spacing w:after="0" w:line="360" w:lineRule="auto"/>
        <w:jc w:val="both"/>
        <w:rPr>
          <w:rFonts w:ascii="Arial" w:hAnsi="Arial"/>
          <w:sz w:val="24"/>
          <w:szCs w:val="24"/>
        </w:rPr>
      </w:pPr>
    </w:p>
    <w:p w:rsidR="004B494C" w:rsidRPr="00761F3E" w:rsidRDefault="004B494C" w:rsidP="00BC2003">
      <w:pPr>
        <w:pStyle w:val="ListParagraph"/>
        <w:numPr>
          <w:ilvl w:val="0"/>
          <w:numId w:val="27"/>
        </w:numPr>
        <w:spacing w:after="0" w:line="480" w:lineRule="auto"/>
        <w:ind w:left="0" w:firstLine="0"/>
        <w:jc w:val="both"/>
        <w:rPr>
          <w:rFonts w:ascii="Arial" w:hAnsi="Arial"/>
          <w:sz w:val="24"/>
          <w:szCs w:val="24"/>
        </w:rPr>
      </w:pPr>
      <w:r w:rsidRPr="00761F3E">
        <w:rPr>
          <w:rFonts w:ascii="Arial" w:hAnsi="Arial"/>
          <w:bCs/>
          <w:sz w:val="24"/>
          <w:szCs w:val="24"/>
          <w:lang w:val="en-GB"/>
        </w:rPr>
        <w:t xml:space="preserve">From the above definition, it is clear that </w:t>
      </w:r>
      <w:r w:rsidRPr="00761F3E">
        <w:rPr>
          <w:rFonts w:ascii="Arial" w:hAnsi="Arial"/>
          <w:sz w:val="24"/>
          <w:szCs w:val="24"/>
        </w:rPr>
        <w:t>the proceeds might involve ‘any property or any service, advantage, benefit or reward’, including ‘any property representing property so derived’; the proceeds might have been retained or received ‘directly or indirectly’; the proceeds might have been retained or received ‘in connection with or as a result of’</w:t>
      </w:r>
      <w:r>
        <w:rPr>
          <w:rFonts w:ascii="Arial" w:hAnsi="Arial"/>
          <w:sz w:val="24"/>
          <w:szCs w:val="24"/>
        </w:rPr>
        <w:t xml:space="preserve"> </w:t>
      </w:r>
      <w:r w:rsidRPr="00761F3E">
        <w:rPr>
          <w:rFonts w:ascii="Arial" w:hAnsi="Arial"/>
          <w:sz w:val="24"/>
          <w:szCs w:val="24"/>
        </w:rPr>
        <w:t>any unlawful activity; the unlawful activity might have been carried on ‘by any person’; the proceeds might have been retained or received ‘in Namibia or elsewhere’</w:t>
      </w:r>
      <w:r w:rsidR="009052BF">
        <w:rPr>
          <w:rFonts w:ascii="Arial" w:hAnsi="Arial"/>
          <w:sz w:val="24"/>
          <w:szCs w:val="24"/>
        </w:rPr>
        <w:t>, and</w:t>
      </w:r>
      <w:r w:rsidRPr="00761F3E">
        <w:rPr>
          <w:rFonts w:ascii="Arial" w:hAnsi="Arial"/>
          <w:sz w:val="24"/>
          <w:szCs w:val="24"/>
        </w:rPr>
        <w:t xml:space="preserve"> the proceeds might have been retained or received ‘at any time before or after the commencement of this Act’.</w:t>
      </w:r>
    </w:p>
    <w:p w:rsidR="004B494C" w:rsidRPr="0064420D"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Default="004B494C" w:rsidP="00BC2003">
      <w:pPr>
        <w:pStyle w:val="ListParagraph"/>
        <w:tabs>
          <w:tab w:val="left" w:pos="0"/>
        </w:tabs>
        <w:spacing w:after="0" w:line="480" w:lineRule="auto"/>
        <w:ind w:left="0"/>
        <w:jc w:val="both"/>
        <w:rPr>
          <w:rFonts w:ascii="Arial" w:hAnsi="Arial"/>
          <w:bCs/>
          <w:sz w:val="24"/>
          <w:szCs w:val="24"/>
          <w:lang w:val="en-GB"/>
        </w:rPr>
      </w:pPr>
      <w:r w:rsidRPr="003447A1">
        <w:rPr>
          <w:rFonts w:ascii="Arial" w:hAnsi="Arial"/>
          <w:bCs/>
          <w:sz w:val="24"/>
          <w:szCs w:val="24"/>
          <w:lang w:val="en-GB"/>
        </w:rPr>
        <w:t>‘</w:t>
      </w:r>
      <w:r>
        <w:rPr>
          <w:rFonts w:ascii="Arial" w:hAnsi="Arial"/>
          <w:bCs/>
          <w:sz w:val="24"/>
          <w:szCs w:val="24"/>
          <w:lang w:val="en-GB"/>
        </w:rPr>
        <w:t>U</w:t>
      </w:r>
      <w:r w:rsidRPr="003447A1">
        <w:rPr>
          <w:rFonts w:ascii="Arial" w:hAnsi="Arial"/>
          <w:bCs/>
          <w:sz w:val="24"/>
          <w:szCs w:val="24"/>
          <w:lang w:val="en-GB"/>
        </w:rPr>
        <w:t xml:space="preserve">nlawful activity’ </w:t>
      </w:r>
      <w:r>
        <w:rPr>
          <w:rFonts w:ascii="Arial" w:hAnsi="Arial"/>
          <w:bCs/>
          <w:sz w:val="24"/>
          <w:szCs w:val="24"/>
          <w:lang w:val="en-GB"/>
        </w:rPr>
        <w:t xml:space="preserve">in turn is defined in POCA </w:t>
      </w:r>
      <w:r w:rsidRPr="003447A1">
        <w:rPr>
          <w:rFonts w:ascii="Arial" w:hAnsi="Arial"/>
          <w:bCs/>
          <w:sz w:val="24"/>
          <w:szCs w:val="24"/>
          <w:lang w:val="en-GB"/>
        </w:rPr>
        <w:t>as</w:t>
      </w:r>
      <w:r>
        <w:rPr>
          <w:rFonts w:ascii="Arial" w:hAnsi="Arial"/>
          <w:bCs/>
          <w:sz w:val="24"/>
          <w:szCs w:val="24"/>
          <w:lang w:val="en-GB"/>
        </w:rPr>
        <w:t xml:space="preserve"> meaning:</w:t>
      </w:r>
      <w:r w:rsidRPr="003447A1">
        <w:rPr>
          <w:rFonts w:ascii="Arial" w:hAnsi="Arial"/>
          <w:bCs/>
          <w:sz w:val="24"/>
          <w:szCs w:val="24"/>
          <w:lang w:val="en-GB"/>
        </w:rPr>
        <w:t xml:space="preserve"> </w:t>
      </w:r>
    </w:p>
    <w:p w:rsidR="004B494C" w:rsidRDefault="004B494C" w:rsidP="001470B5">
      <w:pPr>
        <w:spacing w:after="0" w:line="360" w:lineRule="auto"/>
        <w:ind w:left="862" w:right="578"/>
        <w:jc w:val="both"/>
        <w:rPr>
          <w:rFonts w:ascii="Arial" w:hAnsi="Arial"/>
        </w:rPr>
      </w:pPr>
    </w:p>
    <w:p w:rsidR="004B494C" w:rsidRPr="005C33A6" w:rsidRDefault="004B494C" w:rsidP="00BC2003">
      <w:pPr>
        <w:spacing w:after="0" w:line="360" w:lineRule="auto"/>
        <w:ind w:left="864" w:right="576"/>
        <w:jc w:val="both"/>
        <w:rPr>
          <w:rFonts w:ascii="Arial" w:hAnsi="Arial"/>
        </w:rPr>
      </w:pPr>
      <w:r w:rsidRPr="005C33A6">
        <w:rPr>
          <w:rFonts w:ascii="Arial" w:hAnsi="Arial"/>
        </w:rPr>
        <w:t>‘any conduct which constitutes an offence or which contravenes any law whether that conduct occurred before or after the commencement of this Act and whether that conduct occurred in Namibia or elsewhere as long as that conduct constitutes an offence in Namibia or</w:t>
      </w:r>
      <w:r w:rsidR="009052BF">
        <w:rPr>
          <w:rFonts w:ascii="Arial" w:hAnsi="Arial"/>
        </w:rPr>
        <w:t xml:space="preserve"> contravenes any law of Namibia</w:t>
      </w:r>
      <w:r w:rsidRPr="005C33A6">
        <w:rPr>
          <w:rFonts w:ascii="Arial" w:hAnsi="Arial"/>
        </w:rPr>
        <w:t>.</w:t>
      </w:r>
      <w:r w:rsidR="009052BF">
        <w:rPr>
          <w:rFonts w:ascii="Arial" w:hAnsi="Arial"/>
        </w:rPr>
        <w:t>’</w:t>
      </w:r>
      <w:r w:rsidRPr="005C33A6">
        <w:rPr>
          <w:rFonts w:ascii="Arial" w:hAnsi="Arial"/>
        </w:rPr>
        <w:t xml:space="preserve"> </w:t>
      </w:r>
    </w:p>
    <w:p w:rsidR="004B494C" w:rsidRDefault="004B494C" w:rsidP="00BC2003">
      <w:pPr>
        <w:pStyle w:val="WLGLevel2"/>
        <w:numPr>
          <w:ilvl w:val="0"/>
          <w:numId w:val="0"/>
        </w:numPr>
        <w:spacing w:after="0"/>
        <w:ind w:left="360"/>
        <w:rPr>
          <w:rFonts w:cs="Arial"/>
        </w:rPr>
      </w:pPr>
    </w:p>
    <w:p w:rsidR="004B494C" w:rsidRPr="009052BF" w:rsidRDefault="004B494C" w:rsidP="00BC2003">
      <w:pPr>
        <w:pStyle w:val="WLGLevel2"/>
        <w:numPr>
          <w:ilvl w:val="0"/>
          <w:numId w:val="27"/>
        </w:numPr>
        <w:spacing w:after="0"/>
        <w:ind w:left="0" w:firstLine="0"/>
        <w:rPr>
          <w:rFonts w:cs="Arial"/>
        </w:rPr>
      </w:pPr>
      <w:r w:rsidRPr="00407703">
        <w:rPr>
          <w:rFonts w:cs="Arial"/>
        </w:rPr>
        <w:t>The evidence presented by the PG as substantiated by bank statements of the accounts held by NAD, Kage Trading, C Three Trading and Taleni shows that from 15 December 2011 to 18 June 2012, the MAWF made 15 deposits into NAD’s bank account totalling N$9 279 032</w:t>
      </w:r>
      <w:r>
        <w:rPr>
          <w:rFonts w:cs="Arial"/>
        </w:rPr>
        <w:t>,</w:t>
      </w:r>
      <w:r w:rsidRPr="00407703">
        <w:rPr>
          <w:rFonts w:cs="Arial"/>
        </w:rPr>
        <w:t xml:space="preserve">72. </w:t>
      </w:r>
      <w:r w:rsidRPr="00407703">
        <w:rPr>
          <w:rFonts w:cs="Arial"/>
          <w:bCs/>
          <w:spacing w:val="6"/>
        </w:rPr>
        <w:t xml:space="preserve">Kage Trading received N$200 000 from NAD on 20 April 2012. </w:t>
      </w:r>
      <w:r w:rsidRPr="00407703">
        <w:rPr>
          <w:rFonts w:cs="Arial"/>
        </w:rPr>
        <w:t xml:space="preserve">C Three Trading </w:t>
      </w:r>
      <w:r w:rsidRPr="00407703">
        <w:rPr>
          <w:rFonts w:cs="Arial"/>
          <w:bCs/>
          <w:spacing w:val="6"/>
        </w:rPr>
        <w:t xml:space="preserve">received from NAD N$20 000 on 19 </w:t>
      </w:r>
      <w:r w:rsidRPr="00407703">
        <w:rPr>
          <w:rFonts w:cs="Arial"/>
          <w:bCs/>
          <w:spacing w:val="6"/>
        </w:rPr>
        <w:lastRenderedPageBreak/>
        <w:t>December 2011 and N$135 000 and N$100 000 on 18 June 2012</w:t>
      </w:r>
      <w:r>
        <w:rPr>
          <w:rFonts w:cs="Arial"/>
          <w:bCs/>
          <w:spacing w:val="6"/>
        </w:rPr>
        <w:t>.</w:t>
      </w:r>
      <w:r w:rsidRPr="00407703">
        <w:rPr>
          <w:rFonts w:cs="Arial"/>
          <w:bCs/>
          <w:spacing w:val="6"/>
        </w:rPr>
        <w:t xml:space="preserve"> </w:t>
      </w:r>
      <w:r w:rsidRPr="00407703">
        <w:rPr>
          <w:rFonts w:cs="Arial"/>
        </w:rPr>
        <w:t xml:space="preserve">Taleni </w:t>
      </w:r>
      <w:r w:rsidRPr="00407703">
        <w:rPr>
          <w:rFonts w:cs="Arial"/>
          <w:bCs/>
          <w:spacing w:val="6"/>
        </w:rPr>
        <w:t>received from NAD N$2</w:t>
      </w:r>
      <w:r>
        <w:rPr>
          <w:rFonts w:cs="Arial"/>
          <w:bCs/>
          <w:spacing w:val="6"/>
        </w:rPr>
        <w:t xml:space="preserve">95 </w:t>
      </w:r>
      <w:r w:rsidRPr="00407703">
        <w:rPr>
          <w:rFonts w:cs="Arial"/>
          <w:bCs/>
          <w:spacing w:val="6"/>
        </w:rPr>
        <w:t>000 on 22 May 2012 and N$400</w:t>
      </w:r>
      <w:r>
        <w:rPr>
          <w:rFonts w:cs="Arial"/>
          <w:bCs/>
          <w:spacing w:val="6"/>
        </w:rPr>
        <w:t xml:space="preserve"> </w:t>
      </w:r>
      <w:r w:rsidR="009052BF">
        <w:rPr>
          <w:rFonts w:cs="Arial"/>
          <w:bCs/>
          <w:spacing w:val="6"/>
        </w:rPr>
        <w:t>000 on 7 June 2012.</w:t>
      </w:r>
    </w:p>
    <w:p w:rsidR="009052BF" w:rsidRPr="00407703" w:rsidRDefault="009052BF" w:rsidP="009052BF">
      <w:pPr>
        <w:pStyle w:val="WLGLevel2"/>
        <w:numPr>
          <w:ilvl w:val="0"/>
          <w:numId w:val="0"/>
        </w:numPr>
        <w:spacing w:after="0"/>
        <w:rPr>
          <w:rFonts w:cs="Arial"/>
        </w:rPr>
      </w:pPr>
    </w:p>
    <w:p w:rsidR="004B494C" w:rsidRDefault="004B494C" w:rsidP="00BC2003">
      <w:pPr>
        <w:pStyle w:val="WLGLevel2"/>
        <w:numPr>
          <w:ilvl w:val="0"/>
          <w:numId w:val="27"/>
        </w:numPr>
        <w:spacing w:after="0"/>
        <w:ind w:left="0" w:firstLine="0"/>
        <w:rPr>
          <w:rFonts w:cs="Arial"/>
        </w:rPr>
      </w:pPr>
      <w:r w:rsidRPr="00DC0A72">
        <w:rPr>
          <w:rFonts w:cs="Arial"/>
        </w:rPr>
        <w:t>N</w:t>
      </w:r>
      <w:r>
        <w:rPr>
          <w:rFonts w:cs="Arial"/>
        </w:rPr>
        <w:t xml:space="preserve">either NAD nor Mr Shilongo nor Mr Shikage declared </w:t>
      </w:r>
      <w:r w:rsidRPr="00DC0A72">
        <w:rPr>
          <w:rFonts w:cs="Arial"/>
        </w:rPr>
        <w:t>this income for income tax purposes</w:t>
      </w:r>
      <w:r>
        <w:rPr>
          <w:rFonts w:cs="Arial"/>
        </w:rPr>
        <w:t>. As by definition in s 1 of POCA ‘proceeds of unlawful activities’ includes ‘property representing property so derived’ and ‘property which is mingled with property that is proceeds of unlawful activity’</w:t>
      </w:r>
      <w:r w:rsidR="007717CC">
        <w:rPr>
          <w:rFonts w:cs="Arial"/>
        </w:rPr>
        <w:t>.</w:t>
      </w:r>
      <w:r>
        <w:rPr>
          <w:rFonts w:cs="Arial"/>
        </w:rPr>
        <w:t xml:space="preserve"> </w:t>
      </w:r>
      <w:r w:rsidR="007717CC">
        <w:rPr>
          <w:rFonts w:cs="Arial"/>
        </w:rPr>
        <w:t>W</w:t>
      </w:r>
      <w:r w:rsidRPr="00DC0A72">
        <w:rPr>
          <w:rFonts w:cs="Arial"/>
        </w:rPr>
        <w:t xml:space="preserve">hen the MAWF </w:t>
      </w:r>
      <w:r w:rsidR="001F237D">
        <w:rPr>
          <w:rFonts w:cs="Arial"/>
        </w:rPr>
        <w:t xml:space="preserve">made </w:t>
      </w:r>
      <w:r w:rsidRPr="00DC0A72">
        <w:rPr>
          <w:rFonts w:cs="Arial"/>
        </w:rPr>
        <w:t xml:space="preserve">payments for the Lister </w:t>
      </w:r>
      <w:r w:rsidR="0057474A">
        <w:rPr>
          <w:rFonts w:cs="Arial"/>
        </w:rPr>
        <w:t>e</w:t>
      </w:r>
      <w:r w:rsidRPr="00DC0A72">
        <w:rPr>
          <w:rFonts w:cs="Arial"/>
        </w:rPr>
        <w:t>ngines into NAD’s bank account and the MAWF-derived money mingled with the other money in the account, all the money in the account became the proceeds of the unlawful activity</w:t>
      </w:r>
      <w:r>
        <w:rPr>
          <w:rFonts w:cs="Arial"/>
        </w:rPr>
        <w:t xml:space="preserve">. Likewise </w:t>
      </w:r>
      <w:r w:rsidRPr="00DC0A72">
        <w:rPr>
          <w:rFonts w:cs="Arial"/>
        </w:rPr>
        <w:t xml:space="preserve">when money was transferred from NAD’s bank account to </w:t>
      </w:r>
      <w:r w:rsidR="009052BF">
        <w:rPr>
          <w:rFonts w:cs="Arial"/>
        </w:rPr>
        <w:t xml:space="preserve">the bank accounts of </w:t>
      </w:r>
      <w:r w:rsidRPr="00DC0A72">
        <w:rPr>
          <w:rFonts w:cs="Arial"/>
        </w:rPr>
        <w:t xml:space="preserve">Kage </w:t>
      </w:r>
      <w:r>
        <w:rPr>
          <w:rFonts w:cs="Arial"/>
        </w:rPr>
        <w:t>Trading</w:t>
      </w:r>
      <w:r w:rsidR="009052BF">
        <w:rPr>
          <w:rFonts w:cs="Arial"/>
        </w:rPr>
        <w:t>,</w:t>
      </w:r>
      <w:r w:rsidRPr="00DC0A72">
        <w:rPr>
          <w:rFonts w:cs="Arial"/>
        </w:rPr>
        <w:t xml:space="preserve"> C Three Trading</w:t>
      </w:r>
      <w:r w:rsidR="009052BF">
        <w:rPr>
          <w:rFonts w:cs="Arial"/>
        </w:rPr>
        <w:t xml:space="preserve"> and Taleni</w:t>
      </w:r>
      <w:r w:rsidRPr="00DC0A72">
        <w:rPr>
          <w:rFonts w:cs="Arial"/>
        </w:rPr>
        <w:t>, the MAWF-derived money mingled with the other money in those accounts and consequently all the money in those accounts became the proceeds of unlawful activity</w:t>
      </w:r>
      <w:r>
        <w:rPr>
          <w:rFonts w:cs="Arial"/>
        </w:rPr>
        <w:t xml:space="preserve">. Also, </w:t>
      </w:r>
      <w:r w:rsidRPr="00DC0A72">
        <w:rPr>
          <w:rFonts w:cs="Arial"/>
        </w:rPr>
        <w:t xml:space="preserve">when money in NAD’s bank account was used to purchase the </w:t>
      </w:r>
      <w:r w:rsidR="007717CC">
        <w:rPr>
          <w:rFonts w:cs="Arial"/>
        </w:rPr>
        <w:t xml:space="preserve">Volkswagen </w:t>
      </w:r>
      <w:r w:rsidRPr="00DC0A72">
        <w:rPr>
          <w:rFonts w:cs="Arial"/>
        </w:rPr>
        <w:t>Golf</w:t>
      </w:r>
      <w:r w:rsidR="007717CC">
        <w:rPr>
          <w:rFonts w:cs="Arial"/>
        </w:rPr>
        <w:t xml:space="preserve"> GTi</w:t>
      </w:r>
      <w:r w:rsidRPr="00DC0A72">
        <w:rPr>
          <w:rFonts w:cs="Arial"/>
        </w:rPr>
        <w:t xml:space="preserve">, the </w:t>
      </w:r>
      <w:r w:rsidR="00F53836">
        <w:rPr>
          <w:rFonts w:cs="Arial"/>
        </w:rPr>
        <w:t>motor vehicle</w:t>
      </w:r>
      <w:r w:rsidRPr="00DC0A72">
        <w:rPr>
          <w:rFonts w:cs="Arial"/>
        </w:rPr>
        <w:t xml:space="preserve"> became the proceeds of unlawful activity because it represents the money received in connection with the unlawful activity.</w:t>
      </w:r>
      <w:r>
        <w:rPr>
          <w:rFonts w:cs="Arial"/>
        </w:rPr>
        <w:t xml:space="preserve"> It follows that all the property is liable for forfeiture. The High Court was thus correct in so holding. </w:t>
      </w:r>
    </w:p>
    <w:p w:rsidR="00AA6BA7" w:rsidRDefault="00AA6BA7" w:rsidP="00AA6BA7">
      <w:pPr>
        <w:pStyle w:val="WLGLevel2"/>
        <w:numPr>
          <w:ilvl w:val="0"/>
          <w:numId w:val="0"/>
        </w:numPr>
        <w:spacing w:after="0"/>
        <w:rPr>
          <w:rFonts w:cs="Arial"/>
        </w:rPr>
      </w:pPr>
    </w:p>
    <w:p w:rsidR="004B494C" w:rsidRPr="00A43395" w:rsidRDefault="004B494C" w:rsidP="00BC2003">
      <w:pPr>
        <w:pStyle w:val="WLGLevel2"/>
        <w:numPr>
          <w:ilvl w:val="0"/>
          <w:numId w:val="0"/>
        </w:numPr>
        <w:spacing w:after="0"/>
        <w:rPr>
          <w:rFonts w:cs="Arial"/>
          <w:i/>
        </w:rPr>
      </w:pPr>
      <w:r w:rsidRPr="00A43395">
        <w:rPr>
          <w:rFonts w:cs="Arial"/>
          <w:i/>
        </w:rPr>
        <w:t>Other goods procured from NAD</w:t>
      </w:r>
    </w:p>
    <w:p w:rsidR="004B494C" w:rsidRDefault="004B494C" w:rsidP="00BC2003">
      <w:pPr>
        <w:pStyle w:val="WLGLevel1"/>
        <w:numPr>
          <w:ilvl w:val="0"/>
          <w:numId w:val="27"/>
        </w:numPr>
        <w:spacing w:before="0" w:after="0"/>
        <w:ind w:left="0" w:firstLine="0"/>
        <w:rPr>
          <w:rFonts w:cs="Arial"/>
        </w:rPr>
      </w:pPr>
      <w:r>
        <w:rPr>
          <w:bCs/>
          <w:szCs w:val="24"/>
          <w:lang w:val="en-GB"/>
        </w:rPr>
        <w:t xml:space="preserve">As earlier noted, in addition to the Lister engines the MAWF also procured other items from NAD </w:t>
      </w:r>
      <w:r w:rsidRPr="005A39E9">
        <w:rPr>
          <w:bCs/>
          <w:szCs w:val="24"/>
          <w:lang w:val="en-GB"/>
        </w:rPr>
        <w:t>such as</w:t>
      </w:r>
      <w:r>
        <w:rPr>
          <w:bCs/>
          <w:szCs w:val="24"/>
          <w:lang w:val="en-GB"/>
        </w:rPr>
        <w:t xml:space="preserve"> pipes and fittings, couplings, nuts and bolts, washers, valves, water metres, etc. </w:t>
      </w:r>
      <w:r w:rsidRPr="00DC0A72">
        <w:rPr>
          <w:rFonts w:cs="Arial"/>
        </w:rPr>
        <w:t xml:space="preserve">There was no term tender for </w:t>
      </w:r>
      <w:r>
        <w:rPr>
          <w:rFonts w:cs="Arial"/>
        </w:rPr>
        <w:t xml:space="preserve">the procurement of </w:t>
      </w:r>
      <w:r w:rsidRPr="00DC0A72">
        <w:rPr>
          <w:rFonts w:cs="Arial"/>
        </w:rPr>
        <w:t>the</w:t>
      </w:r>
      <w:r>
        <w:rPr>
          <w:rFonts w:cs="Arial"/>
        </w:rPr>
        <w:t>se i</w:t>
      </w:r>
      <w:r w:rsidRPr="00DC0A72">
        <w:rPr>
          <w:rFonts w:cs="Arial"/>
        </w:rPr>
        <w:t>tems</w:t>
      </w:r>
      <w:r>
        <w:rPr>
          <w:rFonts w:cs="Arial"/>
        </w:rPr>
        <w:t>,</w:t>
      </w:r>
      <w:r w:rsidRPr="00DC0A72">
        <w:rPr>
          <w:rFonts w:cs="Arial"/>
        </w:rPr>
        <w:t xml:space="preserve"> </w:t>
      </w:r>
      <w:r>
        <w:rPr>
          <w:rFonts w:cs="Arial"/>
        </w:rPr>
        <w:t>so t</w:t>
      </w:r>
      <w:r w:rsidRPr="00DC0A72">
        <w:rPr>
          <w:rFonts w:cs="Arial"/>
        </w:rPr>
        <w:t>he MAWF obtained three quot</w:t>
      </w:r>
      <w:r>
        <w:rPr>
          <w:rFonts w:cs="Arial"/>
        </w:rPr>
        <w:t>ations</w:t>
      </w:r>
      <w:r w:rsidRPr="00DC0A72">
        <w:rPr>
          <w:rFonts w:cs="Arial"/>
        </w:rPr>
        <w:t>.</w:t>
      </w:r>
    </w:p>
    <w:p w:rsidR="00D042ED" w:rsidRPr="00DC0A72" w:rsidRDefault="00D042ED" w:rsidP="00D042ED">
      <w:pPr>
        <w:pStyle w:val="WLGLevel1"/>
        <w:numPr>
          <w:ilvl w:val="0"/>
          <w:numId w:val="0"/>
        </w:numPr>
        <w:spacing w:before="0" w:after="0"/>
        <w:rPr>
          <w:rFonts w:cs="Arial"/>
        </w:rPr>
      </w:pPr>
    </w:p>
    <w:p w:rsidR="004B494C" w:rsidRDefault="004B494C" w:rsidP="00BC2003">
      <w:pPr>
        <w:pStyle w:val="WLGLevel1"/>
        <w:numPr>
          <w:ilvl w:val="0"/>
          <w:numId w:val="27"/>
        </w:numPr>
        <w:spacing w:before="0" w:after="0"/>
        <w:ind w:left="0" w:firstLine="0"/>
        <w:rPr>
          <w:rFonts w:cs="Arial"/>
        </w:rPr>
      </w:pPr>
      <w:r w:rsidRPr="00DC0A72">
        <w:rPr>
          <w:rFonts w:cs="Arial"/>
        </w:rPr>
        <w:lastRenderedPageBreak/>
        <w:t xml:space="preserve">The cell-phone records of </w:t>
      </w:r>
      <w:r>
        <w:rPr>
          <w:rFonts w:cs="Arial"/>
        </w:rPr>
        <w:t xml:space="preserve">Mr </w:t>
      </w:r>
      <w:r w:rsidRPr="00DC0A72">
        <w:rPr>
          <w:rFonts w:cs="Arial"/>
        </w:rPr>
        <w:t>Shilongo indicated that, after the MAWF received two quot</w:t>
      </w:r>
      <w:r>
        <w:rPr>
          <w:rFonts w:cs="Arial"/>
        </w:rPr>
        <w:t xml:space="preserve">ations </w:t>
      </w:r>
      <w:r w:rsidRPr="00DC0A72">
        <w:rPr>
          <w:rFonts w:cs="Arial"/>
        </w:rPr>
        <w:t xml:space="preserve">in respect of </w:t>
      </w:r>
      <w:r>
        <w:rPr>
          <w:rFonts w:cs="Arial"/>
        </w:rPr>
        <w:t>these items</w:t>
      </w:r>
      <w:r w:rsidRPr="00DC0A72">
        <w:rPr>
          <w:rFonts w:cs="Arial"/>
        </w:rPr>
        <w:t>, there would be regular telephon</w:t>
      </w:r>
      <w:r>
        <w:rPr>
          <w:rFonts w:cs="Arial"/>
        </w:rPr>
        <w:t>e</w:t>
      </w:r>
      <w:r w:rsidRPr="00DC0A72">
        <w:rPr>
          <w:rFonts w:cs="Arial"/>
        </w:rPr>
        <w:t xml:space="preserve"> contact between </w:t>
      </w:r>
      <w:r>
        <w:rPr>
          <w:rFonts w:cs="Arial"/>
        </w:rPr>
        <w:t xml:space="preserve">Mr </w:t>
      </w:r>
      <w:r w:rsidRPr="00DC0A72">
        <w:rPr>
          <w:rFonts w:cs="Arial"/>
        </w:rPr>
        <w:t xml:space="preserve">Shilongo and </w:t>
      </w:r>
      <w:r>
        <w:rPr>
          <w:rFonts w:cs="Arial"/>
        </w:rPr>
        <w:t xml:space="preserve">Ms </w:t>
      </w:r>
      <w:r w:rsidRPr="00DC0A72">
        <w:rPr>
          <w:rFonts w:cs="Arial"/>
        </w:rPr>
        <w:t>Hoeses. NAD would then submit a quot</w:t>
      </w:r>
      <w:r>
        <w:rPr>
          <w:rFonts w:cs="Arial"/>
        </w:rPr>
        <w:t xml:space="preserve">ation </w:t>
      </w:r>
      <w:r w:rsidRPr="00DC0A72">
        <w:rPr>
          <w:rFonts w:cs="Arial"/>
        </w:rPr>
        <w:t xml:space="preserve">that </w:t>
      </w:r>
      <w:r>
        <w:rPr>
          <w:rFonts w:cs="Arial"/>
        </w:rPr>
        <w:t xml:space="preserve">appeared to </w:t>
      </w:r>
      <w:r w:rsidRPr="00DC0A72">
        <w:rPr>
          <w:rFonts w:cs="Arial"/>
        </w:rPr>
        <w:t xml:space="preserve">undercut the two quotations already received by </w:t>
      </w:r>
      <w:r>
        <w:rPr>
          <w:rFonts w:cs="Arial"/>
        </w:rPr>
        <w:t xml:space="preserve">the </w:t>
      </w:r>
      <w:r w:rsidRPr="00DC0A72">
        <w:rPr>
          <w:rFonts w:cs="Arial"/>
        </w:rPr>
        <w:t xml:space="preserve">MAWF. The PG drew the inference that </w:t>
      </w:r>
      <w:r>
        <w:rPr>
          <w:rFonts w:cs="Arial"/>
        </w:rPr>
        <w:t xml:space="preserve">Ms </w:t>
      </w:r>
      <w:r w:rsidRPr="00DC0A72">
        <w:rPr>
          <w:rFonts w:cs="Arial"/>
        </w:rPr>
        <w:t xml:space="preserve">Hoeses provided the information regarding the other quotations to </w:t>
      </w:r>
      <w:r>
        <w:rPr>
          <w:rFonts w:cs="Arial"/>
        </w:rPr>
        <w:t xml:space="preserve">Mr </w:t>
      </w:r>
      <w:r w:rsidRPr="00DC0A72">
        <w:rPr>
          <w:rFonts w:cs="Arial"/>
        </w:rPr>
        <w:t xml:space="preserve">Shilongo in order for NAD to submit the lowest quotation. </w:t>
      </w:r>
      <w:r>
        <w:rPr>
          <w:rFonts w:cs="Arial"/>
        </w:rPr>
        <w:t xml:space="preserve">In response to the inference drawn by the PG, the appellants relied </w:t>
      </w:r>
      <w:r w:rsidRPr="00DC0A72">
        <w:rPr>
          <w:rFonts w:cs="Arial"/>
        </w:rPr>
        <w:t xml:space="preserve">on the statement of </w:t>
      </w:r>
      <w:r>
        <w:rPr>
          <w:rFonts w:cs="Arial"/>
        </w:rPr>
        <w:t xml:space="preserve">Ms </w:t>
      </w:r>
      <w:r w:rsidRPr="00DC0A72">
        <w:rPr>
          <w:rFonts w:cs="Arial"/>
        </w:rPr>
        <w:t xml:space="preserve">Hoeses that she </w:t>
      </w:r>
      <w:r>
        <w:rPr>
          <w:rFonts w:cs="Arial"/>
        </w:rPr>
        <w:t>‘</w:t>
      </w:r>
      <w:r w:rsidRPr="00DC0A72">
        <w:rPr>
          <w:rFonts w:cs="Arial"/>
        </w:rPr>
        <w:t>was forced to make various phone calls to Mr Shilongo because [she] wanted progress reports on the delivery of the goods ordered</w:t>
      </w:r>
      <w:r>
        <w:rPr>
          <w:rFonts w:cs="Arial"/>
        </w:rPr>
        <w:t>’.</w:t>
      </w:r>
      <w:r w:rsidRPr="00DC0A72">
        <w:rPr>
          <w:rFonts w:cs="Arial"/>
        </w:rPr>
        <w:t xml:space="preserve"> But this version </w:t>
      </w:r>
      <w:r>
        <w:rPr>
          <w:rFonts w:cs="Arial"/>
        </w:rPr>
        <w:t xml:space="preserve">in my respectful view </w:t>
      </w:r>
      <w:r w:rsidRPr="00DC0A72">
        <w:rPr>
          <w:rFonts w:cs="Arial"/>
        </w:rPr>
        <w:t xml:space="preserve">is so implausible that </w:t>
      </w:r>
      <w:r>
        <w:rPr>
          <w:rFonts w:cs="Arial"/>
        </w:rPr>
        <w:t xml:space="preserve">the High Court was justified in rejecting it </w:t>
      </w:r>
      <w:r w:rsidRPr="00DC0A72">
        <w:rPr>
          <w:rFonts w:cs="Arial"/>
        </w:rPr>
        <w:t>on the papers.</w:t>
      </w:r>
    </w:p>
    <w:p w:rsidR="00D042ED" w:rsidRDefault="00D042ED" w:rsidP="00D042ED">
      <w:pPr>
        <w:pStyle w:val="WLGLevel1"/>
        <w:numPr>
          <w:ilvl w:val="0"/>
          <w:numId w:val="0"/>
        </w:numPr>
        <w:spacing w:before="0" w:after="0"/>
        <w:rPr>
          <w:rFonts w:cs="Arial"/>
        </w:rPr>
      </w:pPr>
    </w:p>
    <w:p w:rsidR="004B494C" w:rsidRDefault="004B494C" w:rsidP="00BC2003">
      <w:pPr>
        <w:pStyle w:val="WLGLevel1"/>
        <w:numPr>
          <w:ilvl w:val="0"/>
          <w:numId w:val="27"/>
        </w:numPr>
        <w:spacing w:before="0" w:after="0"/>
        <w:ind w:left="0" w:firstLine="0"/>
        <w:rPr>
          <w:rFonts w:cs="Arial"/>
        </w:rPr>
      </w:pPr>
      <w:r>
        <w:rPr>
          <w:rFonts w:cs="Arial"/>
        </w:rPr>
        <w:t>The evidence presented in the High Court shows that i</w:t>
      </w:r>
      <w:r w:rsidRPr="00467BAA">
        <w:rPr>
          <w:rFonts w:cs="Arial"/>
        </w:rPr>
        <w:t>n total, 54 invoices to</w:t>
      </w:r>
      <w:r>
        <w:rPr>
          <w:rFonts w:cs="Arial"/>
        </w:rPr>
        <w:t xml:space="preserve"> the tune of </w:t>
      </w:r>
      <w:r w:rsidRPr="00467BAA">
        <w:rPr>
          <w:rFonts w:cs="Arial"/>
        </w:rPr>
        <w:t>N$9 834 143</w:t>
      </w:r>
      <w:r>
        <w:rPr>
          <w:rFonts w:cs="Arial"/>
        </w:rPr>
        <w:t>,</w:t>
      </w:r>
      <w:r w:rsidRPr="00467BAA">
        <w:rPr>
          <w:rFonts w:cs="Arial"/>
        </w:rPr>
        <w:t xml:space="preserve">91 were received by the MAWF from NAD between 30 November 2011 and 9 February 2012, for the purchasing of equipment related to water supply. Order numbers were issued in respect of the 54 invoices. All the invoices were paid by the MAWF. </w:t>
      </w:r>
      <w:r>
        <w:rPr>
          <w:rFonts w:cs="Arial"/>
        </w:rPr>
        <w:t>Fifty one (</w:t>
      </w:r>
      <w:r w:rsidRPr="00467BAA">
        <w:rPr>
          <w:rFonts w:cs="Arial"/>
        </w:rPr>
        <w:t>51</w:t>
      </w:r>
      <w:r>
        <w:rPr>
          <w:rFonts w:cs="Arial"/>
        </w:rPr>
        <w:t>)</w:t>
      </w:r>
      <w:r w:rsidRPr="00467BAA">
        <w:rPr>
          <w:rFonts w:cs="Arial"/>
        </w:rPr>
        <w:t xml:space="preserve"> of the </w:t>
      </w:r>
      <w:r>
        <w:rPr>
          <w:rFonts w:cs="Arial"/>
        </w:rPr>
        <w:t>fifty four (</w:t>
      </w:r>
      <w:r w:rsidRPr="00467BAA">
        <w:rPr>
          <w:rFonts w:cs="Arial"/>
        </w:rPr>
        <w:t>54</w:t>
      </w:r>
      <w:r>
        <w:rPr>
          <w:rFonts w:cs="Arial"/>
        </w:rPr>
        <w:t>)</w:t>
      </w:r>
      <w:r w:rsidRPr="00467BAA">
        <w:rPr>
          <w:rFonts w:cs="Arial"/>
        </w:rPr>
        <w:t xml:space="preserve"> </w:t>
      </w:r>
      <w:r w:rsidR="00D042ED">
        <w:rPr>
          <w:rFonts w:cs="Arial"/>
        </w:rPr>
        <w:t xml:space="preserve">purchase </w:t>
      </w:r>
      <w:r w:rsidRPr="00467BAA">
        <w:rPr>
          <w:rFonts w:cs="Arial"/>
        </w:rPr>
        <w:t xml:space="preserve">order forms were signed by </w:t>
      </w:r>
      <w:r>
        <w:rPr>
          <w:rFonts w:cs="Arial"/>
        </w:rPr>
        <w:t xml:space="preserve">Procurement Clerk, Mr </w:t>
      </w:r>
      <w:r w:rsidRPr="00467BAA">
        <w:rPr>
          <w:rFonts w:cs="Arial"/>
        </w:rPr>
        <w:t>Meintjies</w:t>
      </w:r>
      <w:r>
        <w:rPr>
          <w:rFonts w:cs="Arial"/>
        </w:rPr>
        <w:t>,</w:t>
      </w:r>
      <w:r w:rsidRPr="00467BAA">
        <w:rPr>
          <w:rFonts w:cs="Arial"/>
        </w:rPr>
        <w:t xml:space="preserve"> who in doing so confirmed that he had received the goods even though in fact the</w:t>
      </w:r>
      <w:r>
        <w:rPr>
          <w:rFonts w:cs="Arial"/>
        </w:rPr>
        <w:t xml:space="preserve"> goods </w:t>
      </w:r>
      <w:r w:rsidRPr="00467BAA">
        <w:rPr>
          <w:rFonts w:cs="Arial"/>
        </w:rPr>
        <w:t>had not been delivered on the date certified.</w:t>
      </w:r>
      <w:r>
        <w:rPr>
          <w:rFonts w:cs="Arial"/>
        </w:rPr>
        <w:t xml:space="preserve"> </w:t>
      </w:r>
      <w:r w:rsidRPr="00DC0A72">
        <w:rPr>
          <w:rFonts w:cs="Arial"/>
        </w:rPr>
        <w:t xml:space="preserve">A total of 55 purchase order forms were issued in favour of NAD from </w:t>
      </w:r>
      <w:r>
        <w:rPr>
          <w:rFonts w:cs="Arial"/>
        </w:rPr>
        <w:t xml:space="preserve">the </w:t>
      </w:r>
      <w:r w:rsidRPr="00DC0A72">
        <w:rPr>
          <w:rFonts w:cs="Arial"/>
        </w:rPr>
        <w:t>MAWF between 30 November 2011 and February 2012.</w:t>
      </w:r>
    </w:p>
    <w:p w:rsidR="00B02067" w:rsidRPr="00DC0A72" w:rsidRDefault="00B02067" w:rsidP="00B02067">
      <w:pPr>
        <w:pStyle w:val="WLGLevel1"/>
        <w:numPr>
          <w:ilvl w:val="0"/>
          <w:numId w:val="0"/>
        </w:numPr>
        <w:spacing w:before="0" w:after="0"/>
        <w:rPr>
          <w:rFonts w:cs="Arial"/>
        </w:rPr>
      </w:pPr>
    </w:p>
    <w:p w:rsidR="004B494C" w:rsidRDefault="004B494C" w:rsidP="00BC2003">
      <w:pPr>
        <w:pStyle w:val="WLGLevel1"/>
        <w:numPr>
          <w:ilvl w:val="0"/>
          <w:numId w:val="27"/>
        </w:numPr>
        <w:spacing w:before="0" w:after="0"/>
        <w:ind w:left="0" w:firstLine="0"/>
        <w:rPr>
          <w:rFonts w:cs="Arial"/>
        </w:rPr>
      </w:pPr>
      <w:r w:rsidRPr="00957EF4">
        <w:rPr>
          <w:rFonts w:cs="Arial"/>
        </w:rPr>
        <w:t xml:space="preserve">In respect of all the transactions between NAD and the MAWF, NAD received payment </w:t>
      </w:r>
      <w:r w:rsidRPr="00957EF4">
        <w:rPr>
          <w:rFonts w:cs="Arial"/>
          <w:i/>
        </w:rPr>
        <w:t>before</w:t>
      </w:r>
      <w:r w:rsidRPr="00957EF4">
        <w:rPr>
          <w:rFonts w:cs="Arial"/>
        </w:rPr>
        <w:t xml:space="preserve"> the goods were delivered and a representative of NAD certified on the purchase orders that the goods were delivered whereas in fact they had not. </w:t>
      </w:r>
      <w:r w:rsidRPr="00957EF4">
        <w:rPr>
          <w:rFonts w:cs="Arial"/>
        </w:rPr>
        <w:lastRenderedPageBreak/>
        <w:t xml:space="preserve">The misrepresentations caused the MAWF to make payment to NAD when in fact payment was only due to NAD after the delivery of the goods. In some </w:t>
      </w:r>
      <w:r>
        <w:rPr>
          <w:rFonts w:cs="Arial"/>
        </w:rPr>
        <w:t>instances</w:t>
      </w:r>
      <w:r w:rsidRPr="00957EF4">
        <w:rPr>
          <w:rFonts w:cs="Arial"/>
        </w:rPr>
        <w:t xml:space="preserve">, the goods were not delivered at all. </w:t>
      </w:r>
      <w:r>
        <w:rPr>
          <w:rFonts w:cs="Arial"/>
        </w:rPr>
        <w:t xml:space="preserve">Ms Reinhilde Lebereki from </w:t>
      </w:r>
      <w:r w:rsidRPr="00957EF4">
        <w:rPr>
          <w:rFonts w:cs="Arial"/>
        </w:rPr>
        <w:t>Omaheke Region</w:t>
      </w:r>
      <w:r>
        <w:rPr>
          <w:rFonts w:cs="Arial"/>
        </w:rPr>
        <w:t xml:space="preserve">al Stores </w:t>
      </w:r>
      <w:r w:rsidRPr="00957EF4">
        <w:rPr>
          <w:rFonts w:cs="Arial"/>
        </w:rPr>
        <w:t xml:space="preserve">stated that </w:t>
      </w:r>
      <w:r>
        <w:rPr>
          <w:rFonts w:cs="Arial"/>
        </w:rPr>
        <w:t xml:space="preserve">HDPE pipes </w:t>
      </w:r>
      <w:r w:rsidRPr="00957EF4">
        <w:rPr>
          <w:rFonts w:cs="Arial"/>
        </w:rPr>
        <w:t>to the value of N$860 137</w:t>
      </w:r>
      <w:r>
        <w:rPr>
          <w:rFonts w:cs="Arial"/>
        </w:rPr>
        <w:t>,</w:t>
      </w:r>
      <w:r w:rsidRPr="00957EF4">
        <w:rPr>
          <w:rFonts w:cs="Arial"/>
        </w:rPr>
        <w:t xml:space="preserve">60 were not delivered in respect of orders where the supplier was NAD. </w:t>
      </w:r>
      <w:r>
        <w:rPr>
          <w:rFonts w:cs="Arial"/>
        </w:rPr>
        <w:t xml:space="preserve">Nor were straight couplings to the value of N$58 075 delivered either. </w:t>
      </w:r>
      <w:r w:rsidRPr="00957EF4">
        <w:rPr>
          <w:rFonts w:cs="Arial"/>
        </w:rPr>
        <w:t xml:space="preserve">The </w:t>
      </w:r>
      <w:r>
        <w:rPr>
          <w:rFonts w:cs="Arial"/>
        </w:rPr>
        <w:t xml:space="preserve">official in charge of the store for </w:t>
      </w:r>
      <w:r w:rsidRPr="00957EF4">
        <w:rPr>
          <w:rFonts w:cs="Arial"/>
        </w:rPr>
        <w:t xml:space="preserve">Oshana and Omusati Regions </w:t>
      </w:r>
      <w:r>
        <w:rPr>
          <w:rFonts w:cs="Arial"/>
        </w:rPr>
        <w:t xml:space="preserve">similarly </w:t>
      </w:r>
      <w:r w:rsidRPr="00957EF4">
        <w:rPr>
          <w:rFonts w:cs="Arial"/>
        </w:rPr>
        <w:t>stated that goods to the value of N$680 309</w:t>
      </w:r>
      <w:r>
        <w:rPr>
          <w:rFonts w:cs="Arial"/>
        </w:rPr>
        <w:t>,</w:t>
      </w:r>
      <w:r w:rsidRPr="00957EF4">
        <w:rPr>
          <w:rFonts w:cs="Arial"/>
        </w:rPr>
        <w:t xml:space="preserve">68 </w:t>
      </w:r>
      <w:r>
        <w:rPr>
          <w:rFonts w:cs="Arial"/>
        </w:rPr>
        <w:t>that w</w:t>
      </w:r>
      <w:r w:rsidRPr="00957EF4">
        <w:rPr>
          <w:rFonts w:cs="Arial"/>
        </w:rPr>
        <w:t xml:space="preserve">ere </w:t>
      </w:r>
      <w:r>
        <w:rPr>
          <w:rFonts w:cs="Arial"/>
        </w:rPr>
        <w:t xml:space="preserve">certified by officials in the MAWF head office as having been received from NAD and for which NAD received payment had </w:t>
      </w:r>
      <w:r w:rsidRPr="00957EF4">
        <w:rPr>
          <w:rFonts w:cs="Arial"/>
        </w:rPr>
        <w:t xml:space="preserve">not </w:t>
      </w:r>
      <w:r>
        <w:rPr>
          <w:rFonts w:cs="Arial"/>
        </w:rPr>
        <w:t xml:space="preserve">in fact been </w:t>
      </w:r>
      <w:r w:rsidRPr="00957EF4">
        <w:rPr>
          <w:rFonts w:cs="Arial"/>
        </w:rPr>
        <w:t xml:space="preserve">delivered </w:t>
      </w:r>
      <w:r>
        <w:rPr>
          <w:rFonts w:cs="Arial"/>
        </w:rPr>
        <w:t>to the regional store</w:t>
      </w:r>
      <w:r w:rsidRPr="00957EF4">
        <w:rPr>
          <w:rFonts w:cs="Arial"/>
        </w:rPr>
        <w:t xml:space="preserve">. </w:t>
      </w:r>
      <w:r w:rsidRPr="00DC0A72">
        <w:rPr>
          <w:rFonts w:cs="Arial"/>
        </w:rPr>
        <w:t xml:space="preserve">According to </w:t>
      </w:r>
      <w:r>
        <w:rPr>
          <w:rFonts w:cs="Arial"/>
        </w:rPr>
        <w:t>Mr Cloete of t</w:t>
      </w:r>
      <w:r w:rsidRPr="00DC0A72">
        <w:rPr>
          <w:rFonts w:cs="Arial"/>
        </w:rPr>
        <w:t>he A</w:t>
      </w:r>
      <w:r>
        <w:rPr>
          <w:rFonts w:cs="Arial"/>
        </w:rPr>
        <w:t>CC</w:t>
      </w:r>
      <w:r w:rsidRPr="00DC0A72">
        <w:rPr>
          <w:rFonts w:cs="Arial"/>
        </w:rPr>
        <w:t>, the value of the goods paid for but n</w:t>
      </w:r>
      <w:r>
        <w:rPr>
          <w:rFonts w:cs="Arial"/>
        </w:rPr>
        <w:t xml:space="preserve">ot </w:t>
      </w:r>
      <w:r w:rsidRPr="00DC0A72">
        <w:rPr>
          <w:rFonts w:cs="Arial"/>
        </w:rPr>
        <w:t>delivered by NAD, including goods in a container now in the ACC’s possession, totals N$5</w:t>
      </w:r>
      <w:r>
        <w:rPr>
          <w:rFonts w:cs="Arial"/>
        </w:rPr>
        <w:t xml:space="preserve"> </w:t>
      </w:r>
      <w:r w:rsidRPr="00DC0A72">
        <w:rPr>
          <w:rFonts w:cs="Arial"/>
        </w:rPr>
        <w:t>088</w:t>
      </w:r>
      <w:r>
        <w:rPr>
          <w:rFonts w:cs="Arial"/>
        </w:rPr>
        <w:t xml:space="preserve"> </w:t>
      </w:r>
      <w:r w:rsidRPr="00DC0A72">
        <w:rPr>
          <w:rFonts w:cs="Arial"/>
        </w:rPr>
        <w:t>940</w:t>
      </w:r>
      <w:r>
        <w:rPr>
          <w:rFonts w:cs="Arial"/>
        </w:rPr>
        <w:t>,</w:t>
      </w:r>
      <w:r w:rsidRPr="00DC0A72">
        <w:rPr>
          <w:rFonts w:cs="Arial"/>
        </w:rPr>
        <w:t>12.</w:t>
      </w:r>
    </w:p>
    <w:p w:rsidR="00D042ED" w:rsidRPr="00DC0A72" w:rsidRDefault="00D042ED" w:rsidP="00D042ED">
      <w:pPr>
        <w:pStyle w:val="WLGLevel1"/>
        <w:numPr>
          <w:ilvl w:val="0"/>
          <w:numId w:val="0"/>
        </w:numPr>
        <w:spacing w:before="0" w:after="0"/>
        <w:rPr>
          <w:rFonts w:cs="Arial"/>
        </w:rPr>
      </w:pPr>
    </w:p>
    <w:p w:rsidR="004B494C" w:rsidRDefault="004B494C" w:rsidP="00BC2003">
      <w:pPr>
        <w:pStyle w:val="WLGLevel2"/>
        <w:numPr>
          <w:ilvl w:val="0"/>
          <w:numId w:val="27"/>
        </w:numPr>
        <w:spacing w:after="0"/>
        <w:ind w:left="0" w:firstLine="0"/>
        <w:rPr>
          <w:rFonts w:cs="Arial"/>
        </w:rPr>
      </w:pPr>
      <w:r>
        <w:rPr>
          <w:rFonts w:cs="Arial"/>
        </w:rPr>
        <w:t>Mrs Anna Shiweda, the then Deputy Permanent Secretary in the MAWF, made it clear that t</w:t>
      </w:r>
      <w:r w:rsidRPr="00DC0A72">
        <w:rPr>
          <w:rFonts w:cs="Arial"/>
        </w:rPr>
        <w:t xml:space="preserve">he </w:t>
      </w:r>
      <w:r>
        <w:rPr>
          <w:rFonts w:cs="Arial"/>
        </w:rPr>
        <w:t xml:space="preserve">State Finance Act prohibited payment for goods before delivery without prior approval by Treasury and that no such approval had ever been obtained in respect of the goods NAD was supposed to supply to the MAWF. </w:t>
      </w:r>
      <w:r w:rsidRPr="00DC0A72">
        <w:rPr>
          <w:rFonts w:cs="Arial"/>
        </w:rPr>
        <w:t xml:space="preserve">The appellants </w:t>
      </w:r>
      <w:r>
        <w:rPr>
          <w:rFonts w:cs="Arial"/>
        </w:rPr>
        <w:t xml:space="preserve">gave an example of payment in advance by </w:t>
      </w:r>
      <w:r w:rsidRPr="00DC0A72">
        <w:rPr>
          <w:rFonts w:cs="Arial"/>
        </w:rPr>
        <w:t xml:space="preserve">the MAWF </w:t>
      </w:r>
      <w:r>
        <w:rPr>
          <w:rFonts w:cs="Arial"/>
        </w:rPr>
        <w:t xml:space="preserve">to </w:t>
      </w:r>
      <w:r w:rsidRPr="00DC0A72">
        <w:rPr>
          <w:rFonts w:cs="Arial"/>
        </w:rPr>
        <w:t xml:space="preserve">Continental Spares on 13 March 2012 for goods delivered on 26 May 2012. However, </w:t>
      </w:r>
      <w:r>
        <w:rPr>
          <w:rFonts w:cs="Arial"/>
        </w:rPr>
        <w:t xml:space="preserve">in the replying affidavit of the PG </w:t>
      </w:r>
      <w:r w:rsidRPr="00DC0A72">
        <w:rPr>
          <w:rFonts w:cs="Arial"/>
        </w:rPr>
        <w:t xml:space="preserve">these advance payments were explained </w:t>
      </w:r>
      <w:r>
        <w:rPr>
          <w:rFonts w:cs="Arial"/>
        </w:rPr>
        <w:t>to say that t</w:t>
      </w:r>
      <w:r w:rsidRPr="00DC0A72">
        <w:rPr>
          <w:rFonts w:cs="Arial"/>
        </w:rPr>
        <w:t xml:space="preserve">he MAWF had a special arrangement with Continental Spares on purchase order </w:t>
      </w:r>
      <w:r w:rsidR="00D042ED">
        <w:rPr>
          <w:rFonts w:cs="Arial"/>
        </w:rPr>
        <w:t xml:space="preserve">no </w:t>
      </w:r>
      <w:r w:rsidRPr="00DC0A72">
        <w:rPr>
          <w:rFonts w:cs="Arial"/>
        </w:rPr>
        <w:t xml:space="preserve">125169 </w:t>
      </w:r>
      <w:r w:rsidR="00D042ED">
        <w:rPr>
          <w:rFonts w:cs="Arial"/>
        </w:rPr>
        <w:t>relating</w:t>
      </w:r>
      <w:r w:rsidRPr="00DC0A72">
        <w:rPr>
          <w:rFonts w:cs="Arial"/>
        </w:rPr>
        <w:t xml:space="preserve"> to equipment that had to be specially ordered from abroad.</w:t>
      </w:r>
      <w:r>
        <w:rPr>
          <w:rFonts w:cs="Arial"/>
        </w:rPr>
        <w:t xml:space="preserve"> </w:t>
      </w:r>
      <w:r w:rsidRPr="00DC0A72">
        <w:rPr>
          <w:rFonts w:cs="Arial"/>
        </w:rPr>
        <w:t>In relation to transaction no 123627 for N$115</w:t>
      </w:r>
      <w:r>
        <w:rPr>
          <w:rFonts w:cs="Arial"/>
        </w:rPr>
        <w:t xml:space="preserve">, </w:t>
      </w:r>
      <w:r w:rsidRPr="00DC0A72">
        <w:rPr>
          <w:rFonts w:cs="Arial"/>
        </w:rPr>
        <w:t>000, the invoice was issued on 13</w:t>
      </w:r>
      <w:r>
        <w:rPr>
          <w:rFonts w:cs="Arial"/>
        </w:rPr>
        <w:t xml:space="preserve"> March </w:t>
      </w:r>
      <w:r w:rsidRPr="00DC0A72">
        <w:rPr>
          <w:rFonts w:cs="Arial"/>
        </w:rPr>
        <w:t xml:space="preserve">2012 but the cheque was kept until delivery was made in May 2012. </w:t>
      </w:r>
      <w:r>
        <w:rPr>
          <w:rFonts w:cs="Arial"/>
        </w:rPr>
        <w:t xml:space="preserve">Contrary to NAD’s contention, Ms Albertina Nankela the then Deputy Director of Finance in </w:t>
      </w:r>
      <w:r>
        <w:rPr>
          <w:rFonts w:cs="Arial"/>
        </w:rPr>
        <w:lastRenderedPageBreak/>
        <w:t>the MAWF, made it clear that i</w:t>
      </w:r>
      <w:r w:rsidRPr="00DC0A72">
        <w:rPr>
          <w:rFonts w:cs="Arial"/>
        </w:rPr>
        <w:t xml:space="preserve">t </w:t>
      </w:r>
      <w:r>
        <w:rPr>
          <w:rFonts w:cs="Arial"/>
        </w:rPr>
        <w:t>wa</w:t>
      </w:r>
      <w:r w:rsidRPr="00DC0A72">
        <w:rPr>
          <w:rFonts w:cs="Arial"/>
        </w:rPr>
        <w:t>s not the practice within the MAWF to pay service providers upfro</w:t>
      </w:r>
      <w:r w:rsidR="00D042ED">
        <w:rPr>
          <w:rFonts w:cs="Arial"/>
        </w:rPr>
        <w:t>nt when the financial year drew</w:t>
      </w:r>
      <w:r w:rsidRPr="00DC0A72">
        <w:rPr>
          <w:rFonts w:cs="Arial"/>
        </w:rPr>
        <w:t xml:space="preserve"> to a close. </w:t>
      </w:r>
      <w:r>
        <w:rPr>
          <w:rFonts w:cs="Arial"/>
        </w:rPr>
        <w:t>Ms Nankela explained that i</w:t>
      </w:r>
      <w:r w:rsidRPr="00DC0A72">
        <w:rPr>
          <w:rFonts w:cs="Arial"/>
        </w:rPr>
        <w:t>f a supplier was issued with an order to provide goods to the MAWF and, as the end of a financial year approache</w:t>
      </w:r>
      <w:r>
        <w:rPr>
          <w:rFonts w:cs="Arial"/>
        </w:rPr>
        <w:t>d</w:t>
      </w:r>
      <w:r w:rsidRPr="00DC0A72">
        <w:rPr>
          <w:rFonts w:cs="Arial"/>
        </w:rPr>
        <w:t>, the supplier w</w:t>
      </w:r>
      <w:r>
        <w:rPr>
          <w:rFonts w:cs="Arial"/>
        </w:rPr>
        <w:t xml:space="preserve">ould </w:t>
      </w:r>
      <w:r w:rsidRPr="00DC0A72">
        <w:rPr>
          <w:rFonts w:cs="Arial"/>
        </w:rPr>
        <w:t>finish the work in that year or early in the following financial year, then arrangements c</w:t>
      </w:r>
      <w:r>
        <w:rPr>
          <w:rFonts w:cs="Arial"/>
        </w:rPr>
        <w:t xml:space="preserve">ould </w:t>
      </w:r>
      <w:r w:rsidRPr="00DC0A72">
        <w:rPr>
          <w:rFonts w:cs="Arial"/>
        </w:rPr>
        <w:t xml:space="preserve">be made for cheques to be printed and left with the financial division until the work </w:t>
      </w:r>
      <w:r>
        <w:rPr>
          <w:rFonts w:cs="Arial"/>
        </w:rPr>
        <w:t>wa</w:t>
      </w:r>
      <w:r w:rsidRPr="00DC0A72">
        <w:rPr>
          <w:rFonts w:cs="Arial"/>
        </w:rPr>
        <w:t>s completed. Such arrangements are ho</w:t>
      </w:r>
      <w:r w:rsidR="00D042ED">
        <w:rPr>
          <w:rFonts w:cs="Arial"/>
        </w:rPr>
        <w:t>wever only made if the goods were</w:t>
      </w:r>
      <w:r w:rsidRPr="00DC0A72">
        <w:rPr>
          <w:rFonts w:cs="Arial"/>
        </w:rPr>
        <w:t xml:space="preserve"> not budgeted for in the following financial year. In the case of NAD, no such arrangements were made.</w:t>
      </w:r>
    </w:p>
    <w:p w:rsidR="00447631" w:rsidRPr="00DC0A72" w:rsidRDefault="00447631" w:rsidP="00BC2003">
      <w:pPr>
        <w:pStyle w:val="WLGLevel2"/>
        <w:numPr>
          <w:ilvl w:val="0"/>
          <w:numId w:val="0"/>
        </w:numPr>
        <w:spacing w:after="0"/>
        <w:ind w:left="360"/>
        <w:rPr>
          <w:rFonts w:cs="Arial"/>
        </w:rPr>
      </w:pPr>
    </w:p>
    <w:p w:rsidR="004B494C" w:rsidRDefault="004B494C" w:rsidP="00BC2003">
      <w:pPr>
        <w:pStyle w:val="WLGLevel1"/>
        <w:numPr>
          <w:ilvl w:val="0"/>
          <w:numId w:val="27"/>
        </w:numPr>
        <w:spacing w:before="0" w:after="0"/>
        <w:ind w:left="0" w:firstLine="0"/>
        <w:rPr>
          <w:rFonts w:cs="Arial"/>
        </w:rPr>
      </w:pPr>
      <w:r w:rsidRPr="00DC0A72">
        <w:rPr>
          <w:rFonts w:cs="Arial"/>
        </w:rPr>
        <w:t>In their answering affidavits, the appellants d</w:t>
      </w:r>
      <w:r>
        <w:rPr>
          <w:rFonts w:cs="Arial"/>
        </w:rPr>
        <w:t xml:space="preserve">id </w:t>
      </w:r>
      <w:r w:rsidRPr="00DC0A72">
        <w:rPr>
          <w:rFonts w:cs="Arial"/>
        </w:rPr>
        <w:t>not deny that NAD certified the goods as delivered even though they had not been delivered</w:t>
      </w:r>
      <w:r>
        <w:rPr>
          <w:rFonts w:cs="Arial"/>
        </w:rPr>
        <w:t xml:space="preserve">. They did not also dispute </w:t>
      </w:r>
      <w:r w:rsidRPr="00DC0A72">
        <w:rPr>
          <w:rFonts w:cs="Arial"/>
        </w:rPr>
        <w:t xml:space="preserve">that this resulted in NAD receiving payment for goods not delivered. </w:t>
      </w:r>
      <w:r>
        <w:rPr>
          <w:rFonts w:cs="Arial"/>
        </w:rPr>
        <w:t xml:space="preserve">Significantly, Mr Shilongo and Mr Shikage </w:t>
      </w:r>
      <w:r w:rsidRPr="00DC0A72">
        <w:rPr>
          <w:rFonts w:cs="Arial"/>
        </w:rPr>
        <w:t>d</w:t>
      </w:r>
      <w:r>
        <w:rPr>
          <w:rFonts w:cs="Arial"/>
        </w:rPr>
        <w:t xml:space="preserve">id </w:t>
      </w:r>
      <w:r w:rsidRPr="00DC0A72">
        <w:rPr>
          <w:rFonts w:cs="Arial"/>
        </w:rPr>
        <w:t>not explain why they transferred money to other entities owned by them, whil</w:t>
      </w:r>
      <w:r>
        <w:rPr>
          <w:rFonts w:cs="Arial"/>
        </w:rPr>
        <w:t>e</w:t>
      </w:r>
      <w:r w:rsidRPr="00DC0A72">
        <w:rPr>
          <w:rFonts w:cs="Arial"/>
        </w:rPr>
        <w:t xml:space="preserve"> goods </w:t>
      </w:r>
      <w:r>
        <w:rPr>
          <w:rFonts w:cs="Arial"/>
        </w:rPr>
        <w:t xml:space="preserve">remained </w:t>
      </w:r>
      <w:r w:rsidRPr="00DC0A72">
        <w:rPr>
          <w:rFonts w:cs="Arial"/>
        </w:rPr>
        <w:t>to be purchased for the MAWF.</w:t>
      </w:r>
    </w:p>
    <w:p w:rsidR="00D042ED" w:rsidRPr="00D042ED" w:rsidRDefault="00D042ED" w:rsidP="00D042ED">
      <w:pPr>
        <w:pStyle w:val="WLGLevel1"/>
        <w:numPr>
          <w:ilvl w:val="0"/>
          <w:numId w:val="0"/>
        </w:numPr>
        <w:spacing w:before="0" w:after="0"/>
        <w:rPr>
          <w:rFonts w:cs="Arial"/>
          <w:szCs w:val="24"/>
        </w:rPr>
      </w:pPr>
    </w:p>
    <w:p w:rsidR="004B494C" w:rsidRDefault="004B494C" w:rsidP="00BC2003">
      <w:pPr>
        <w:pStyle w:val="WLGLevel1"/>
        <w:numPr>
          <w:ilvl w:val="0"/>
          <w:numId w:val="27"/>
        </w:numPr>
        <w:spacing w:before="0" w:after="0"/>
        <w:ind w:left="0" w:firstLine="0"/>
        <w:rPr>
          <w:rFonts w:cs="Arial"/>
        </w:rPr>
      </w:pPr>
      <w:r>
        <w:rPr>
          <w:rFonts w:cs="Arial"/>
        </w:rPr>
        <w:t>The misrepresentation that the goods had been delivered was of additional benefit to NAD</w:t>
      </w:r>
      <w:r w:rsidRPr="00DC0A72">
        <w:rPr>
          <w:rFonts w:cs="Arial"/>
        </w:rPr>
        <w:t xml:space="preserve">. By certifying that the goods had been delivered and by processing the payment at a time when the goods had </w:t>
      </w:r>
      <w:r w:rsidRPr="004F1B45">
        <w:rPr>
          <w:rFonts w:cs="Arial"/>
        </w:rPr>
        <w:t>not</w:t>
      </w:r>
      <w:r w:rsidRPr="00DC0A72">
        <w:rPr>
          <w:rFonts w:cs="Arial"/>
        </w:rPr>
        <w:t xml:space="preserve"> </w:t>
      </w:r>
      <w:r>
        <w:rPr>
          <w:rFonts w:cs="Arial"/>
        </w:rPr>
        <w:t xml:space="preserve">in fact </w:t>
      </w:r>
      <w:r w:rsidRPr="00DC0A72">
        <w:rPr>
          <w:rFonts w:cs="Arial"/>
        </w:rPr>
        <w:t xml:space="preserve">been delivered, NAD was placed in a position to purchase the goods in circumstances where it would not otherwise have been able to purchase the goods at all </w:t>
      </w:r>
      <w:r>
        <w:rPr>
          <w:rFonts w:cs="Arial"/>
        </w:rPr>
        <w:t>a</w:t>
      </w:r>
      <w:r w:rsidRPr="00DC0A72">
        <w:rPr>
          <w:rFonts w:cs="Arial"/>
        </w:rPr>
        <w:t xml:space="preserve">s it had </w:t>
      </w:r>
      <w:r>
        <w:rPr>
          <w:rFonts w:cs="Arial"/>
        </w:rPr>
        <w:t xml:space="preserve">only </w:t>
      </w:r>
      <w:r w:rsidRPr="00DC0A72">
        <w:rPr>
          <w:rFonts w:cs="Arial"/>
        </w:rPr>
        <w:t xml:space="preserve">N$300 in </w:t>
      </w:r>
      <w:r>
        <w:rPr>
          <w:rFonts w:cs="Arial"/>
        </w:rPr>
        <w:t xml:space="preserve">its </w:t>
      </w:r>
      <w:r w:rsidRPr="00DC0A72">
        <w:rPr>
          <w:rFonts w:cs="Arial"/>
        </w:rPr>
        <w:t>bank</w:t>
      </w:r>
      <w:r>
        <w:rPr>
          <w:rFonts w:cs="Arial"/>
        </w:rPr>
        <w:t xml:space="preserve"> account</w:t>
      </w:r>
      <w:r w:rsidRPr="00DC0A72">
        <w:rPr>
          <w:rFonts w:cs="Arial"/>
        </w:rPr>
        <w:t>.</w:t>
      </w:r>
    </w:p>
    <w:p w:rsidR="00D042ED" w:rsidRPr="00DC0A72" w:rsidRDefault="00D042ED" w:rsidP="00D042ED">
      <w:pPr>
        <w:pStyle w:val="WLGLevel1"/>
        <w:numPr>
          <w:ilvl w:val="0"/>
          <w:numId w:val="0"/>
        </w:numPr>
        <w:spacing w:before="0" w:after="0"/>
        <w:rPr>
          <w:rFonts w:cs="Arial"/>
        </w:rPr>
      </w:pPr>
    </w:p>
    <w:p w:rsidR="004B494C" w:rsidRDefault="004B494C" w:rsidP="00BC2003">
      <w:pPr>
        <w:pStyle w:val="WLGLevel2"/>
        <w:numPr>
          <w:ilvl w:val="0"/>
          <w:numId w:val="27"/>
        </w:numPr>
        <w:spacing w:after="0"/>
        <w:ind w:left="0" w:firstLine="0"/>
        <w:rPr>
          <w:rFonts w:cs="Arial"/>
        </w:rPr>
      </w:pPr>
      <w:r w:rsidRPr="007F2BDF">
        <w:rPr>
          <w:rFonts w:cs="Arial"/>
        </w:rPr>
        <w:lastRenderedPageBreak/>
        <w:t>Moreover, the appellants’ contention that the preservation order unfairly interrupted the parties’ contractual performance with the freezing of the appellants’ bank accounts appears to overlook the fact that the preservation order was only granted on 29 June 2012 well after payments had been effected and not all the goods having been delivered. I</w:t>
      </w:r>
      <w:r w:rsidR="00D042ED">
        <w:rPr>
          <w:rFonts w:cs="Arial"/>
        </w:rPr>
        <w:t>,</w:t>
      </w:r>
      <w:r w:rsidRPr="007F2BDF">
        <w:rPr>
          <w:rFonts w:cs="Arial"/>
        </w:rPr>
        <w:t xml:space="preserve"> therefore</w:t>
      </w:r>
      <w:r w:rsidR="00D042ED">
        <w:rPr>
          <w:rFonts w:cs="Arial"/>
        </w:rPr>
        <w:t>,</w:t>
      </w:r>
      <w:r w:rsidRPr="007F2BDF">
        <w:rPr>
          <w:rFonts w:cs="Arial"/>
        </w:rPr>
        <w:t xml:space="preserve"> agree with the submission on behalf of the PG that the procurement of the items other than the Lister engines was also tainted by fraud. </w:t>
      </w:r>
      <w:r w:rsidRPr="00DD4F81">
        <w:rPr>
          <w:rFonts w:cs="Arial"/>
        </w:rPr>
        <w:t xml:space="preserve">As </w:t>
      </w:r>
      <w:r>
        <w:rPr>
          <w:rFonts w:cs="Arial"/>
        </w:rPr>
        <w:t xml:space="preserve">mentioned </w:t>
      </w:r>
      <w:r w:rsidRPr="00DD4F81">
        <w:rPr>
          <w:rFonts w:cs="Arial"/>
        </w:rPr>
        <w:t>above</w:t>
      </w:r>
      <w:r w:rsidRPr="007F2BDF">
        <w:rPr>
          <w:rFonts w:cs="Arial"/>
        </w:rPr>
        <w:t xml:space="preserve">, </w:t>
      </w:r>
      <w:r>
        <w:rPr>
          <w:rFonts w:cs="Arial"/>
        </w:rPr>
        <w:t xml:space="preserve">Mr Shilongo, Mr Shikage and/or </w:t>
      </w:r>
      <w:r w:rsidRPr="007F2BDF">
        <w:rPr>
          <w:rFonts w:cs="Arial"/>
        </w:rPr>
        <w:t>NAD certified 50 invoices of goods as delivered to the MAWF totalling an amount of N$9</w:t>
      </w:r>
      <w:r>
        <w:rPr>
          <w:rFonts w:cs="Arial"/>
        </w:rPr>
        <w:t xml:space="preserve"> </w:t>
      </w:r>
      <w:r w:rsidRPr="007F2BDF">
        <w:rPr>
          <w:rFonts w:cs="Arial"/>
        </w:rPr>
        <w:t>834 143</w:t>
      </w:r>
      <w:r>
        <w:rPr>
          <w:rFonts w:cs="Arial"/>
        </w:rPr>
        <w:t>,</w:t>
      </w:r>
      <w:r w:rsidRPr="007F2BDF">
        <w:rPr>
          <w:rFonts w:cs="Arial"/>
        </w:rPr>
        <w:t>91 whil</w:t>
      </w:r>
      <w:r>
        <w:rPr>
          <w:rFonts w:cs="Arial"/>
        </w:rPr>
        <w:t>e</w:t>
      </w:r>
      <w:r w:rsidRPr="007F2BDF">
        <w:rPr>
          <w:rFonts w:cs="Arial"/>
        </w:rPr>
        <w:t xml:space="preserve"> the goods had not in fact been delivered on the date certified by NAD. </w:t>
      </w:r>
      <w:r w:rsidRPr="00DC0A72">
        <w:rPr>
          <w:rFonts w:cs="Arial"/>
        </w:rPr>
        <w:t>NAD could not have supplied any goods if it had not certified that the goods were delivered</w:t>
      </w:r>
      <w:r>
        <w:rPr>
          <w:rFonts w:cs="Arial"/>
        </w:rPr>
        <w:t xml:space="preserve"> as </w:t>
      </w:r>
      <w:r w:rsidRPr="00DC0A72">
        <w:rPr>
          <w:rFonts w:cs="Arial"/>
        </w:rPr>
        <w:t>it did not have sufficient funds in its bank account</w:t>
      </w:r>
      <w:r w:rsidR="00A956A4">
        <w:rPr>
          <w:rFonts w:cs="Arial"/>
        </w:rPr>
        <w:t xml:space="preserve"> nor did it have an established financial track record</w:t>
      </w:r>
      <w:r w:rsidRPr="00DC0A72">
        <w:rPr>
          <w:rFonts w:cs="Arial"/>
        </w:rPr>
        <w:t>.</w:t>
      </w:r>
    </w:p>
    <w:p w:rsidR="00D042ED" w:rsidRPr="00DC0A72" w:rsidRDefault="00D042ED" w:rsidP="00D042ED">
      <w:pPr>
        <w:pStyle w:val="WLGLevel2"/>
        <w:numPr>
          <w:ilvl w:val="0"/>
          <w:numId w:val="0"/>
        </w:numPr>
        <w:spacing w:after="0"/>
        <w:rPr>
          <w:rFonts w:cs="Arial"/>
        </w:rPr>
      </w:pPr>
    </w:p>
    <w:p w:rsidR="004B494C" w:rsidRDefault="004B494C" w:rsidP="00BC2003">
      <w:pPr>
        <w:pStyle w:val="WLGLevel2"/>
        <w:numPr>
          <w:ilvl w:val="0"/>
          <w:numId w:val="27"/>
        </w:numPr>
        <w:spacing w:after="0"/>
        <w:ind w:left="0" w:firstLine="0"/>
        <w:rPr>
          <w:rFonts w:cs="Arial"/>
        </w:rPr>
      </w:pPr>
      <w:r w:rsidRPr="007F2BDF">
        <w:rPr>
          <w:rFonts w:cs="Arial"/>
        </w:rPr>
        <w:t>Mr Freyer and Ms Hoeses in c</w:t>
      </w:r>
      <w:r>
        <w:rPr>
          <w:rFonts w:cs="Arial"/>
        </w:rPr>
        <w:t>ollusion</w:t>
      </w:r>
      <w:r w:rsidRPr="007F2BDF">
        <w:rPr>
          <w:rFonts w:cs="Arial"/>
        </w:rPr>
        <w:t xml:space="preserve"> with other unconscionable officials within the MAWF</w:t>
      </w:r>
      <w:r w:rsidR="007717CC">
        <w:rPr>
          <w:rFonts w:cs="Arial"/>
        </w:rPr>
        <w:t>, particularly Mr Meintjies</w:t>
      </w:r>
      <w:r w:rsidR="001F237D">
        <w:rPr>
          <w:rFonts w:cs="Arial"/>
        </w:rPr>
        <w:t>,</w:t>
      </w:r>
      <w:r w:rsidRPr="007F2BDF">
        <w:rPr>
          <w:rFonts w:cs="Arial"/>
        </w:rPr>
        <w:t xml:space="preserve"> made the misrepresentation</w:t>
      </w:r>
      <w:r>
        <w:rPr>
          <w:rFonts w:cs="Arial"/>
        </w:rPr>
        <w:t xml:space="preserve">s </w:t>
      </w:r>
      <w:r w:rsidRPr="007F2BDF">
        <w:rPr>
          <w:rFonts w:cs="Arial"/>
        </w:rPr>
        <w:t xml:space="preserve">that goods were delivered by NAD to the employees of the MAWF </w:t>
      </w:r>
      <w:r>
        <w:rPr>
          <w:rFonts w:cs="Arial"/>
        </w:rPr>
        <w:t xml:space="preserve">and that they were in a good working order </w:t>
      </w:r>
      <w:r w:rsidRPr="007F2BDF">
        <w:rPr>
          <w:rFonts w:cs="Arial"/>
        </w:rPr>
        <w:t xml:space="preserve">while in fact the goods were not delivered. </w:t>
      </w:r>
      <w:r w:rsidRPr="00DC0A72">
        <w:rPr>
          <w:rFonts w:cs="Arial"/>
        </w:rPr>
        <w:t xml:space="preserve">These misrepresentations caused the MAWF to make </w:t>
      </w:r>
      <w:r>
        <w:rPr>
          <w:rFonts w:cs="Arial"/>
        </w:rPr>
        <w:t xml:space="preserve">undue </w:t>
      </w:r>
      <w:r w:rsidRPr="00DC0A72">
        <w:rPr>
          <w:rFonts w:cs="Arial"/>
        </w:rPr>
        <w:t xml:space="preserve">payment to NAD. In some instances the </w:t>
      </w:r>
      <w:r>
        <w:rPr>
          <w:rFonts w:cs="Arial"/>
        </w:rPr>
        <w:t xml:space="preserve">goods </w:t>
      </w:r>
      <w:r w:rsidRPr="00DC0A72">
        <w:rPr>
          <w:rFonts w:cs="Arial"/>
        </w:rPr>
        <w:t>were not delivered at all.</w:t>
      </w:r>
      <w:r>
        <w:rPr>
          <w:rFonts w:cs="Arial"/>
        </w:rPr>
        <w:t xml:space="preserve"> </w:t>
      </w:r>
      <w:r w:rsidRPr="00DC0A72">
        <w:rPr>
          <w:rFonts w:cs="Arial"/>
        </w:rPr>
        <w:t xml:space="preserve">It </w:t>
      </w:r>
      <w:r>
        <w:rPr>
          <w:rFonts w:cs="Arial"/>
        </w:rPr>
        <w:t>wa</w:t>
      </w:r>
      <w:r w:rsidRPr="00DC0A72">
        <w:rPr>
          <w:rFonts w:cs="Arial"/>
        </w:rPr>
        <w:t>s estimated that goods to the value of N$5</w:t>
      </w:r>
      <w:r>
        <w:rPr>
          <w:rFonts w:cs="Arial"/>
        </w:rPr>
        <w:t xml:space="preserve"> </w:t>
      </w:r>
      <w:r w:rsidRPr="00DC0A72">
        <w:rPr>
          <w:rFonts w:cs="Arial"/>
        </w:rPr>
        <w:t>000</w:t>
      </w:r>
      <w:r>
        <w:rPr>
          <w:rFonts w:cs="Arial"/>
        </w:rPr>
        <w:t xml:space="preserve"> </w:t>
      </w:r>
      <w:r w:rsidRPr="00DC0A72">
        <w:rPr>
          <w:rFonts w:cs="Arial"/>
        </w:rPr>
        <w:t xml:space="preserve">000 was not delivered to </w:t>
      </w:r>
      <w:r>
        <w:rPr>
          <w:rFonts w:cs="Arial"/>
        </w:rPr>
        <w:t xml:space="preserve">the </w:t>
      </w:r>
      <w:r w:rsidRPr="00DC0A72">
        <w:rPr>
          <w:rFonts w:cs="Arial"/>
        </w:rPr>
        <w:t>MAWF.</w:t>
      </w:r>
      <w:r>
        <w:rPr>
          <w:rFonts w:cs="Arial"/>
        </w:rPr>
        <w:t xml:space="preserve"> </w:t>
      </w:r>
      <w:r w:rsidRPr="00DC0A72">
        <w:rPr>
          <w:rFonts w:cs="Arial"/>
        </w:rPr>
        <w:t xml:space="preserve">The value of the </w:t>
      </w:r>
      <w:r>
        <w:rPr>
          <w:rFonts w:cs="Arial"/>
        </w:rPr>
        <w:t xml:space="preserve">forfeited </w:t>
      </w:r>
      <w:r w:rsidRPr="00DC0A72">
        <w:rPr>
          <w:rFonts w:cs="Arial"/>
        </w:rPr>
        <w:t>property is estimated at N$2</w:t>
      </w:r>
      <w:r>
        <w:rPr>
          <w:rFonts w:cs="Arial"/>
        </w:rPr>
        <w:t xml:space="preserve"> </w:t>
      </w:r>
      <w:r w:rsidRPr="00DC0A72">
        <w:rPr>
          <w:rFonts w:cs="Arial"/>
        </w:rPr>
        <w:t>677</w:t>
      </w:r>
      <w:r>
        <w:rPr>
          <w:rFonts w:cs="Arial"/>
        </w:rPr>
        <w:t xml:space="preserve"> </w:t>
      </w:r>
      <w:r w:rsidRPr="00DC0A72">
        <w:rPr>
          <w:rFonts w:cs="Arial"/>
        </w:rPr>
        <w:t>434</w:t>
      </w:r>
      <w:r>
        <w:rPr>
          <w:rFonts w:cs="Arial"/>
        </w:rPr>
        <w:t>,</w:t>
      </w:r>
      <w:r w:rsidRPr="00DC0A72">
        <w:rPr>
          <w:rFonts w:cs="Arial"/>
        </w:rPr>
        <w:t>48 of which N$1</w:t>
      </w:r>
      <w:r>
        <w:rPr>
          <w:rFonts w:cs="Arial"/>
        </w:rPr>
        <w:t xml:space="preserve"> </w:t>
      </w:r>
      <w:r w:rsidRPr="00DC0A72">
        <w:rPr>
          <w:rFonts w:cs="Arial"/>
        </w:rPr>
        <w:t>224</w:t>
      </w:r>
      <w:r>
        <w:rPr>
          <w:rFonts w:cs="Arial"/>
        </w:rPr>
        <w:t xml:space="preserve"> </w:t>
      </w:r>
      <w:r w:rsidRPr="00DC0A72">
        <w:rPr>
          <w:rFonts w:cs="Arial"/>
        </w:rPr>
        <w:t>350</w:t>
      </w:r>
      <w:r>
        <w:rPr>
          <w:rFonts w:cs="Arial"/>
        </w:rPr>
        <w:t>,</w:t>
      </w:r>
      <w:r w:rsidRPr="00DC0A72">
        <w:rPr>
          <w:rFonts w:cs="Arial"/>
        </w:rPr>
        <w:t xml:space="preserve">75 was paid to third parties without an explanation tendered for  </w:t>
      </w:r>
      <w:r w:rsidR="00A956A4">
        <w:rPr>
          <w:rFonts w:cs="Arial"/>
        </w:rPr>
        <w:t xml:space="preserve">such </w:t>
      </w:r>
      <w:r w:rsidRPr="00DC0A72">
        <w:rPr>
          <w:rFonts w:cs="Arial"/>
        </w:rPr>
        <w:t>payments.</w:t>
      </w:r>
      <w:r>
        <w:rPr>
          <w:rFonts w:cs="Arial"/>
        </w:rPr>
        <w:t xml:space="preserve"> </w:t>
      </w:r>
      <w:r w:rsidRPr="00DC0A72">
        <w:rPr>
          <w:rFonts w:cs="Arial"/>
        </w:rPr>
        <w:t>The</w:t>
      </w:r>
      <w:r>
        <w:rPr>
          <w:rFonts w:cs="Arial"/>
        </w:rPr>
        <w:t xml:space="preserve">re was no explanation </w:t>
      </w:r>
      <w:r w:rsidR="00A956A4">
        <w:rPr>
          <w:rFonts w:cs="Arial"/>
        </w:rPr>
        <w:t xml:space="preserve">either </w:t>
      </w:r>
      <w:r w:rsidRPr="00DC0A72">
        <w:rPr>
          <w:rFonts w:cs="Arial"/>
        </w:rPr>
        <w:t>how goods to the value of approximately N$5</w:t>
      </w:r>
      <w:r>
        <w:rPr>
          <w:rFonts w:cs="Arial"/>
        </w:rPr>
        <w:t xml:space="preserve"> </w:t>
      </w:r>
      <w:r w:rsidRPr="00DC0A72">
        <w:rPr>
          <w:rFonts w:cs="Arial"/>
        </w:rPr>
        <w:t>000</w:t>
      </w:r>
      <w:r>
        <w:rPr>
          <w:rFonts w:cs="Arial"/>
        </w:rPr>
        <w:t xml:space="preserve"> </w:t>
      </w:r>
      <w:r w:rsidRPr="00DC0A72">
        <w:rPr>
          <w:rFonts w:cs="Arial"/>
        </w:rPr>
        <w:t>000 were going to be purchased with the remaining balance of N$1</w:t>
      </w:r>
      <w:r>
        <w:rPr>
          <w:rFonts w:cs="Arial"/>
        </w:rPr>
        <w:t xml:space="preserve"> </w:t>
      </w:r>
      <w:r w:rsidRPr="00DC0A72">
        <w:rPr>
          <w:rFonts w:cs="Arial"/>
        </w:rPr>
        <w:t>453</w:t>
      </w:r>
      <w:r>
        <w:rPr>
          <w:rFonts w:cs="Arial"/>
        </w:rPr>
        <w:t xml:space="preserve"> </w:t>
      </w:r>
      <w:r w:rsidRPr="00DC0A72">
        <w:rPr>
          <w:rFonts w:cs="Arial"/>
        </w:rPr>
        <w:t>083</w:t>
      </w:r>
      <w:r>
        <w:rPr>
          <w:rFonts w:cs="Arial"/>
        </w:rPr>
        <w:t>,</w:t>
      </w:r>
      <w:r w:rsidRPr="00DC0A72">
        <w:rPr>
          <w:rFonts w:cs="Arial"/>
        </w:rPr>
        <w:t>73.</w:t>
      </w:r>
    </w:p>
    <w:p w:rsidR="00D042ED" w:rsidRPr="00DC0A72" w:rsidRDefault="00D042ED" w:rsidP="00D042ED">
      <w:pPr>
        <w:pStyle w:val="WLGLevel2"/>
        <w:numPr>
          <w:ilvl w:val="0"/>
          <w:numId w:val="0"/>
        </w:numPr>
        <w:spacing w:after="0"/>
        <w:rPr>
          <w:rFonts w:cs="Arial"/>
        </w:rPr>
      </w:pPr>
    </w:p>
    <w:p w:rsidR="004B494C" w:rsidRPr="003447A1"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3447A1">
        <w:rPr>
          <w:rFonts w:ascii="Arial" w:hAnsi="Arial"/>
          <w:bCs/>
          <w:sz w:val="24"/>
          <w:szCs w:val="24"/>
          <w:lang w:val="en-GB"/>
        </w:rPr>
        <w:lastRenderedPageBreak/>
        <w:t xml:space="preserve">In </w:t>
      </w:r>
      <w:r>
        <w:rPr>
          <w:rFonts w:ascii="Arial" w:hAnsi="Arial"/>
          <w:bCs/>
          <w:sz w:val="24"/>
          <w:szCs w:val="24"/>
          <w:lang w:val="en-GB"/>
        </w:rPr>
        <w:t>her</w:t>
      </w:r>
      <w:r w:rsidRPr="003447A1">
        <w:rPr>
          <w:rFonts w:ascii="Arial" w:hAnsi="Arial"/>
          <w:bCs/>
          <w:sz w:val="24"/>
          <w:szCs w:val="24"/>
          <w:lang w:val="en-GB"/>
        </w:rPr>
        <w:t xml:space="preserve"> applicatio</w:t>
      </w:r>
      <w:r>
        <w:rPr>
          <w:rFonts w:ascii="Arial" w:hAnsi="Arial"/>
          <w:bCs/>
          <w:sz w:val="24"/>
          <w:szCs w:val="24"/>
          <w:lang w:val="en-GB"/>
        </w:rPr>
        <w:t>n for forfeiture, the PG alleged</w:t>
      </w:r>
      <w:r w:rsidRPr="003447A1">
        <w:rPr>
          <w:rFonts w:ascii="Arial" w:hAnsi="Arial"/>
          <w:bCs/>
          <w:sz w:val="24"/>
          <w:szCs w:val="24"/>
          <w:lang w:val="en-GB"/>
        </w:rPr>
        <w:t xml:space="preserve"> the commission of three offences, namely fraud, corruption and money laundering.</w:t>
      </w:r>
      <w:r>
        <w:rPr>
          <w:rFonts w:ascii="Arial" w:hAnsi="Arial"/>
          <w:bCs/>
          <w:sz w:val="24"/>
          <w:szCs w:val="24"/>
          <w:lang w:val="en-GB"/>
        </w:rPr>
        <w:t xml:space="preserve"> The appellants deny that any offence or crime had been committed. A reading of the definition of ‘proceeds of unlawful activities’ and of ‘unlawful activity’ makes it plain that </w:t>
      </w:r>
      <w:r w:rsidRPr="003447A1">
        <w:rPr>
          <w:rFonts w:ascii="Arial" w:hAnsi="Arial"/>
          <w:bCs/>
          <w:sz w:val="24"/>
          <w:szCs w:val="24"/>
          <w:lang w:val="en-GB"/>
        </w:rPr>
        <w:t xml:space="preserve">it would be sufficient for </w:t>
      </w:r>
      <w:r>
        <w:rPr>
          <w:rFonts w:ascii="Arial" w:hAnsi="Arial"/>
          <w:bCs/>
          <w:sz w:val="24"/>
          <w:szCs w:val="24"/>
          <w:lang w:val="en-GB"/>
        </w:rPr>
        <w:t xml:space="preserve">the purposes of the appeal for </w:t>
      </w:r>
      <w:r w:rsidRPr="003447A1">
        <w:rPr>
          <w:rFonts w:ascii="Arial" w:hAnsi="Arial"/>
          <w:bCs/>
          <w:sz w:val="24"/>
          <w:szCs w:val="24"/>
          <w:lang w:val="en-GB"/>
        </w:rPr>
        <w:t xml:space="preserve">this court to find </w:t>
      </w:r>
      <w:r>
        <w:rPr>
          <w:rFonts w:ascii="Arial" w:hAnsi="Arial"/>
          <w:bCs/>
          <w:sz w:val="24"/>
          <w:szCs w:val="24"/>
          <w:lang w:val="en-GB"/>
        </w:rPr>
        <w:t xml:space="preserve">on a balance of probabilities </w:t>
      </w:r>
      <w:r w:rsidRPr="003447A1">
        <w:rPr>
          <w:rFonts w:ascii="Arial" w:hAnsi="Arial"/>
          <w:bCs/>
          <w:sz w:val="24"/>
          <w:szCs w:val="24"/>
          <w:lang w:val="en-GB"/>
        </w:rPr>
        <w:t xml:space="preserve">that </w:t>
      </w:r>
      <w:r w:rsidRPr="00DE246F">
        <w:rPr>
          <w:rFonts w:ascii="Arial" w:hAnsi="Arial"/>
          <w:bCs/>
          <w:sz w:val="24"/>
          <w:szCs w:val="24"/>
          <w:lang w:val="en-GB"/>
        </w:rPr>
        <w:t>any</w:t>
      </w:r>
      <w:r w:rsidRPr="003447A1">
        <w:rPr>
          <w:rFonts w:ascii="Arial" w:hAnsi="Arial"/>
          <w:bCs/>
          <w:i/>
          <w:sz w:val="24"/>
          <w:szCs w:val="24"/>
          <w:lang w:val="en-GB"/>
        </w:rPr>
        <w:t xml:space="preserve"> </w:t>
      </w:r>
      <w:r w:rsidRPr="0003229F">
        <w:rPr>
          <w:rFonts w:ascii="Arial" w:hAnsi="Arial"/>
          <w:bCs/>
          <w:sz w:val="24"/>
          <w:szCs w:val="24"/>
          <w:lang w:val="en-GB"/>
        </w:rPr>
        <w:t>(one)</w:t>
      </w:r>
      <w:r w:rsidRPr="003447A1">
        <w:rPr>
          <w:rFonts w:ascii="Arial" w:hAnsi="Arial"/>
          <w:bCs/>
          <w:sz w:val="24"/>
          <w:szCs w:val="24"/>
          <w:lang w:val="en-GB"/>
        </w:rPr>
        <w:t xml:space="preserve"> Namibian law was contravened </w:t>
      </w:r>
      <w:r w:rsidRPr="00DE246F">
        <w:rPr>
          <w:rFonts w:ascii="Arial" w:hAnsi="Arial"/>
          <w:bCs/>
          <w:sz w:val="24"/>
          <w:szCs w:val="24"/>
          <w:lang w:val="en-GB"/>
        </w:rPr>
        <w:t>or</w:t>
      </w:r>
      <w:r w:rsidRPr="003447A1">
        <w:rPr>
          <w:rFonts w:ascii="Arial" w:hAnsi="Arial"/>
          <w:bCs/>
          <w:i/>
          <w:sz w:val="24"/>
          <w:szCs w:val="24"/>
          <w:lang w:val="en-GB"/>
        </w:rPr>
        <w:t xml:space="preserve"> </w:t>
      </w:r>
      <w:r w:rsidRPr="003447A1">
        <w:rPr>
          <w:rFonts w:ascii="Arial" w:hAnsi="Arial"/>
          <w:bCs/>
          <w:sz w:val="24"/>
          <w:szCs w:val="24"/>
          <w:lang w:val="en-GB"/>
        </w:rPr>
        <w:t xml:space="preserve">that </w:t>
      </w:r>
      <w:r>
        <w:rPr>
          <w:rFonts w:ascii="Arial" w:hAnsi="Arial"/>
          <w:bCs/>
          <w:sz w:val="24"/>
          <w:szCs w:val="24"/>
          <w:lang w:val="en-GB"/>
        </w:rPr>
        <w:t xml:space="preserve">the conduct giving rise to the unlawful activity constitutes </w:t>
      </w:r>
      <w:r w:rsidRPr="00DE246F">
        <w:rPr>
          <w:rFonts w:ascii="Arial" w:hAnsi="Arial"/>
          <w:bCs/>
          <w:sz w:val="24"/>
          <w:szCs w:val="24"/>
          <w:lang w:val="en-GB"/>
        </w:rPr>
        <w:t>any</w:t>
      </w:r>
      <w:r w:rsidRPr="003447A1">
        <w:rPr>
          <w:rFonts w:ascii="Arial" w:hAnsi="Arial"/>
          <w:bCs/>
          <w:i/>
          <w:sz w:val="24"/>
          <w:szCs w:val="24"/>
          <w:lang w:val="en-GB"/>
        </w:rPr>
        <w:t xml:space="preserve"> </w:t>
      </w:r>
      <w:r w:rsidRPr="003447A1">
        <w:rPr>
          <w:rFonts w:ascii="Arial" w:hAnsi="Arial"/>
          <w:bCs/>
          <w:sz w:val="24"/>
          <w:szCs w:val="24"/>
          <w:lang w:val="en-GB"/>
        </w:rPr>
        <w:t xml:space="preserve">(one) offence </w:t>
      </w:r>
      <w:r>
        <w:rPr>
          <w:rFonts w:ascii="Arial" w:hAnsi="Arial"/>
          <w:bCs/>
          <w:sz w:val="24"/>
          <w:szCs w:val="24"/>
          <w:lang w:val="en-GB"/>
        </w:rPr>
        <w:t xml:space="preserve">or crime </w:t>
      </w:r>
      <w:r w:rsidRPr="003447A1">
        <w:rPr>
          <w:rFonts w:ascii="Arial" w:hAnsi="Arial"/>
          <w:bCs/>
          <w:sz w:val="24"/>
          <w:szCs w:val="24"/>
          <w:lang w:val="en-GB"/>
        </w:rPr>
        <w:t xml:space="preserve">and that the property subject to forfeiture represents the proceeds </w:t>
      </w:r>
      <w:r>
        <w:rPr>
          <w:rFonts w:ascii="Arial" w:hAnsi="Arial"/>
          <w:bCs/>
          <w:sz w:val="24"/>
          <w:szCs w:val="24"/>
          <w:lang w:val="en-GB"/>
        </w:rPr>
        <w:t>of such crime or offence</w:t>
      </w:r>
      <w:r w:rsidRPr="003447A1">
        <w:rPr>
          <w:rFonts w:ascii="Arial" w:hAnsi="Arial"/>
          <w:bCs/>
          <w:sz w:val="24"/>
          <w:szCs w:val="24"/>
          <w:lang w:val="en-GB"/>
        </w:rPr>
        <w:t>.</w:t>
      </w:r>
      <w:r>
        <w:rPr>
          <w:rFonts w:ascii="Arial" w:hAnsi="Arial"/>
          <w:bCs/>
          <w:sz w:val="24"/>
          <w:szCs w:val="24"/>
          <w:lang w:val="en-GB"/>
        </w:rPr>
        <w:t xml:space="preserve"> Therefore, in light of the finding made hereinbefore that the conduct relating to the procurement of the Lister engines and the other items constitutes the crime of fraud, it is not necessary to decide whether the conduct also amounts to other crimes or offences contended for by the PG.</w:t>
      </w:r>
    </w:p>
    <w:p w:rsidR="004B494C" w:rsidRPr="00506D3B" w:rsidRDefault="004B494C" w:rsidP="006F6922">
      <w:pPr>
        <w:tabs>
          <w:tab w:val="left" w:pos="0"/>
        </w:tabs>
        <w:spacing w:after="0" w:line="480" w:lineRule="auto"/>
        <w:jc w:val="both"/>
        <w:rPr>
          <w:rFonts w:ascii="Arial" w:hAnsi="Arial"/>
          <w:bCs/>
          <w:sz w:val="24"/>
          <w:szCs w:val="24"/>
          <w:lang w:val="en-GB"/>
        </w:rPr>
      </w:pP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 xml:space="preserve">It follows from the findings made so far that the entire funds received by NAD from the MAWF are to be viewed as ‘proceeds of unlawful activities’ and </w:t>
      </w:r>
      <w:r w:rsidR="00A956A4">
        <w:rPr>
          <w:rFonts w:ascii="Arial" w:hAnsi="Arial"/>
          <w:bCs/>
          <w:sz w:val="24"/>
          <w:szCs w:val="24"/>
          <w:lang w:val="en-GB"/>
        </w:rPr>
        <w:t xml:space="preserve">are </w:t>
      </w:r>
      <w:r>
        <w:rPr>
          <w:rFonts w:ascii="Arial" w:hAnsi="Arial"/>
          <w:bCs/>
          <w:sz w:val="24"/>
          <w:szCs w:val="24"/>
          <w:lang w:val="en-GB"/>
        </w:rPr>
        <w:t xml:space="preserve">thus subject to forfeiture. The entire funds received as payment for the Lister TR1 engines and for the other goods were tainted, on a balance of probabilities, by at the very least fraud. </w:t>
      </w:r>
    </w:p>
    <w:p w:rsidR="004B494C"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Pr="00F134E2"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sidRPr="00F134E2">
        <w:rPr>
          <w:rFonts w:ascii="Arial" w:hAnsi="Arial"/>
          <w:bCs/>
          <w:sz w:val="24"/>
          <w:szCs w:val="24"/>
          <w:lang w:val="en-GB"/>
        </w:rPr>
        <w:t xml:space="preserve">Contrary to the appellants’ contentions, the value of the items received by the MAWF in return for its payments does not play a role for the purposes of the forfeiture order. The forfeiture order is directed at the proceeds of unlawful activities regardless of values or assets given or intended to be given in exchange. What is more, in principle the entire funds with which the sums received from the MAWF </w:t>
      </w:r>
      <w:r w:rsidRPr="00F134E2">
        <w:rPr>
          <w:rFonts w:ascii="Arial" w:hAnsi="Arial"/>
          <w:bCs/>
          <w:sz w:val="24"/>
          <w:szCs w:val="24"/>
          <w:lang w:val="en-GB"/>
        </w:rPr>
        <w:lastRenderedPageBreak/>
        <w:t>mingled when they were transferred to the bank accounts in question must be considered as proceeds of unlawful activities as defined by s 1(1) of POCA.</w:t>
      </w:r>
    </w:p>
    <w:p w:rsidR="004B494C" w:rsidRDefault="004B494C" w:rsidP="00BC2003">
      <w:pPr>
        <w:pStyle w:val="ListParagraph"/>
        <w:tabs>
          <w:tab w:val="left" w:pos="0"/>
        </w:tabs>
        <w:spacing w:after="0" w:line="480" w:lineRule="auto"/>
        <w:ind w:left="0"/>
        <w:jc w:val="both"/>
        <w:rPr>
          <w:rFonts w:ascii="Arial" w:hAnsi="Arial"/>
          <w:bCs/>
          <w:sz w:val="24"/>
          <w:szCs w:val="24"/>
          <w:lang w:val="en-GB"/>
        </w:rPr>
      </w:pPr>
    </w:p>
    <w:p w:rsidR="004B494C" w:rsidRPr="007015A2"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Finally, the appellants invoke the constitutional principle of proportionality, decrying the ‘rigidity’ of the High Court’s decision, and submit</w:t>
      </w:r>
      <w:r w:rsidR="00A956A4">
        <w:rPr>
          <w:rFonts w:ascii="Arial" w:hAnsi="Arial"/>
          <w:bCs/>
          <w:sz w:val="24"/>
          <w:szCs w:val="24"/>
          <w:lang w:val="en-GB"/>
        </w:rPr>
        <w:t>ting</w:t>
      </w:r>
      <w:r>
        <w:rPr>
          <w:rFonts w:ascii="Arial" w:hAnsi="Arial"/>
          <w:bCs/>
          <w:sz w:val="24"/>
          <w:szCs w:val="24"/>
          <w:lang w:val="en-GB"/>
        </w:rPr>
        <w:t xml:space="preserve"> that the High Court could have ordered forfeiture to a lesser extent than sought by the PG. As noted above, the High Court was bound to order forfeiture under s 61 </w:t>
      </w:r>
      <w:r w:rsidR="00D042ED">
        <w:rPr>
          <w:rFonts w:ascii="Arial" w:hAnsi="Arial"/>
          <w:bCs/>
          <w:sz w:val="24"/>
          <w:szCs w:val="24"/>
          <w:lang w:val="en-GB"/>
        </w:rPr>
        <w:t xml:space="preserve">of </w:t>
      </w:r>
      <w:r>
        <w:rPr>
          <w:rFonts w:ascii="Arial" w:hAnsi="Arial"/>
          <w:bCs/>
          <w:sz w:val="24"/>
          <w:szCs w:val="24"/>
          <w:lang w:val="en-GB"/>
        </w:rPr>
        <w:t xml:space="preserve">POCA once it found the requirements laid out in this provision to have been fulfilled. Section 61(1) </w:t>
      </w:r>
      <w:r w:rsidR="00D042ED">
        <w:rPr>
          <w:rFonts w:ascii="Arial" w:hAnsi="Arial"/>
          <w:bCs/>
          <w:sz w:val="24"/>
          <w:szCs w:val="24"/>
          <w:lang w:val="en-GB"/>
        </w:rPr>
        <w:t>of POCA binds the c</w:t>
      </w:r>
      <w:r>
        <w:rPr>
          <w:rFonts w:ascii="Arial" w:hAnsi="Arial"/>
          <w:bCs/>
          <w:sz w:val="24"/>
          <w:szCs w:val="24"/>
          <w:lang w:val="en-GB"/>
        </w:rPr>
        <w:t xml:space="preserve">ourt not only with respect to </w:t>
      </w:r>
      <w:r w:rsidRPr="00BC6DC3">
        <w:rPr>
          <w:rFonts w:ascii="Arial" w:hAnsi="Arial"/>
          <w:bCs/>
          <w:sz w:val="24"/>
          <w:szCs w:val="24"/>
          <w:lang w:val="en-GB"/>
        </w:rPr>
        <w:t>whether</w:t>
      </w:r>
      <w:r>
        <w:rPr>
          <w:rFonts w:ascii="Arial" w:hAnsi="Arial"/>
          <w:bCs/>
          <w:i/>
          <w:sz w:val="24"/>
          <w:szCs w:val="24"/>
          <w:lang w:val="en-GB"/>
        </w:rPr>
        <w:t xml:space="preserve"> </w:t>
      </w:r>
      <w:r>
        <w:rPr>
          <w:rFonts w:ascii="Arial" w:hAnsi="Arial"/>
          <w:bCs/>
          <w:sz w:val="24"/>
          <w:szCs w:val="24"/>
          <w:lang w:val="en-GB"/>
        </w:rPr>
        <w:t xml:space="preserve">it orders forfeiture, but also with respect to the </w:t>
      </w:r>
      <w:r w:rsidRPr="00BC6DC3">
        <w:rPr>
          <w:rFonts w:ascii="Arial" w:hAnsi="Arial"/>
          <w:bCs/>
          <w:sz w:val="24"/>
          <w:szCs w:val="24"/>
          <w:lang w:val="en-GB"/>
        </w:rPr>
        <w:t>extent</w:t>
      </w:r>
      <w:r>
        <w:rPr>
          <w:rFonts w:ascii="Arial" w:hAnsi="Arial"/>
          <w:bCs/>
          <w:i/>
          <w:sz w:val="24"/>
          <w:szCs w:val="24"/>
          <w:lang w:val="en-GB"/>
        </w:rPr>
        <w:t xml:space="preserve"> </w:t>
      </w:r>
      <w:r>
        <w:rPr>
          <w:rFonts w:ascii="Arial" w:hAnsi="Arial"/>
          <w:bCs/>
          <w:sz w:val="24"/>
          <w:szCs w:val="24"/>
          <w:lang w:val="en-GB"/>
        </w:rPr>
        <w:t xml:space="preserve">to which it may do so. Elements of proportionality are confined by POCA to narrow possibilities for the court to reduce the scope of the forfeiture order, particularly by granting an exclusion of certain interests under s 63 or 65 </w:t>
      </w:r>
      <w:r w:rsidR="00D042ED">
        <w:rPr>
          <w:rFonts w:ascii="Arial" w:hAnsi="Arial"/>
          <w:bCs/>
          <w:sz w:val="24"/>
          <w:szCs w:val="24"/>
          <w:lang w:val="en-GB"/>
        </w:rPr>
        <w:t xml:space="preserve">of </w:t>
      </w:r>
      <w:r>
        <w:rPr>
          <w:rFonts w:ascii="Arial" w:hAnsi="Arial"/>
          <w:bCs/>
          <w:sz w:val="24"/>
          <w:szCs w:val="24"/>
          <w:lang w:val="en-GB"/>
        </w:rPr>
        <w:t xml:space="preserve">POCA.  As already mentioned, such avenues have not been resorted to by the appellants. In the context of the structure of POCA, I find that the High Court could not simply have exercised a general discretion on the basis of the constitutional principle of proportionality with respect to the extent of the forfeiture. On a proper reading of s 61 of POCA, the appellants’ contention ought to be rejected. </w:t>
      </w:r>
    </w:p>
    <w:p w:rsidR="004B494C" w:rsidRDefault="004B494C" w:rsidP="00BC2003">
      <w:pPr>
        <w:tabs>
          <w:tab w:val="left" w:pos="0"/>
        </w:tabs>
        <w:spacing w:after="0" w:line="480" w:lineRule="auto"/>
        <w:jc w:val="both"/>
        <w:rPr>
          <w:rFonts w:ascii="Arial" w:hAnsi="Arial"/>
          <w:bCs/>
          <w:sz w:val="24"/>
          <w:szCs w:val="24"/>
          <w:lang w:val="en-GB"/>
        </w:rPr>
      </w:pPr>
    </w:p>
    <w:p w:rsidR="004B494C" w:rsidRPr="004D067C" w:rsidRDefault="004B494C" w:rsidP="00BC2003">
      <w:pPr>
        <w:tabs>
          <w:tab w:val="left" w:pos="0"/>
        </w:tabs>
        <w:spacing w:after="0" w:line="480" w:lineRule="auto"/>
        <w:jc w:val="both"/>
        <w:rPr>
          <w:rFonts w:ascii="Arial" w:hAnsi="Arial"/>
          <w:bCs/>
          <w:sz w:val="24"/>
          <w:szCs w:val="24"/>
          <w:u w:val="single"/>
          <w:lang w:val="en-GB"/>
        </w:rPr>
      </w:pPr>
      <w:r>
        <w:rPr>
          <w:rFonts w:ascii="Arial" w:hAnsi="Arial"/>
          <w:bCs/>
          <w:sz w:val="24"/>
          <w:szCs w:val="24"/>
          <w:u w:val="single"/>
          <w:lang w:val="en-GB"/>
        </w:rPr>
        <w:t xml:space="preserve">Costs </w:t>
      </w:r>
    </w:p>
    <w:p w:rsidR="004B494C" w:rsidRDefault="004B494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 xml:space="preserve">In light of the appellants’ unsupported allegations of improper conduct on the part of the PG during the court proceedings, the High Court considered that the circumstance deserved a special costs order. I fully agree that the various epithets gratuitously used in the appellants’ </w:t>
      </w:r>
      <w:r w:rsidR="00920D62">
        <w:rPr>
          <w:rFonts w:ascii="Arial" w:hAnsi="Arial"/>
          <w:bCs/>
          <w:sz w:val="24"/>
          <w:szCs w:val="24"/>
          <w:lang w:val="en-GB"/>
        </w:rPr>
        <w:t>principal answering affidavit</w:t>
      </w:r>
      <w:r>
        <w:rPr>
          <w:rFonts w:ascii="Arial" w:hAnsi="Arial"/>
          <w:bCs/>
          <w:sz w:val="24"/>
          <w:szCs w:val="24"/>
          <w:lang w:val="en-GB"/>
        </w:rPr>
        <w:t xml:space="preserve"> to cast aspersions on the PG and to ridicule her application such as ‘malicious prosecution’, </w:t>
      </w:r>
      <w:r>
        <w:rPr>
          <w:rFonts w:ascii="Arial" w:hAnsi="Arial"/>
          <w:bCs/>
          <w:sz w:val="24"/>
          <w:szCs w:val="24"/>
          <w:lang w:val="en-GB"/>
        </w:rPr>
        <w:lastRenderedPageBreak/>
        <w:t>‘dishonourable conduct’, ‘conspiracy’, ‘fraud’</w:t>
      </w:r>
      <w:r w:rsidR="00920D62">
        <w:rPr>
          <w:rFonts w:ascii="Arial" w:hAnsi="Arial"/>
          <w:bCs/>
          <w:sz w:val="24"/>
          <w:szCs w:val="24"/>
          <w:lang w:val="en-GB"/>
        </w:rPr>
        <w:t>, ‘nonsense’</w:t>
      </w:r>
      <w:r>
        <w:rPr>
          <w:rFonts w:ascii="Arial" w:hAnsi="Arial"/>
          <w:bCs/>
          <w:sz w:val="24"/>
          <w:szCs w:val="24"/>
          <w:lang w:val="en-GB"/>
        </w:rPr>
        <w:t xml:space="preserve"> or even ‘foolishness’, are not supported by any evidence. They appear to have been raised </w:t>
      </w:r>
      <w:r w:rsidRPr="00BC6DC3">
        <w:rPr>
          <w:rFonts w:ascii="Arial" w:hAnsi="Arial"/>
          <w:bCs/>
          <w:i/>
          <w:sz w:val="24"/>
          <w:szCs w:val="24"/>
          <w:lang w:val="en-GB"/>
        </w:rPr>
        <w:t>ad hominem</w:t>
      </w:r>
      <w:r w:rsidRPr="00BC6DC3">
        <w:rPr>
          <w:rFonts w:ascii="Arial" w:hAnsi="Arial"/>
          <w:bCs/>
          <w:sz w:val="24"/>
          <w:szCs w:val="24"/>
          <w:lang w:val="en-GB"/>
        </w:rPr>
        <w:t>,</w:t>
      </w:r>
      <w:r>
        <w:rPr>
          <w:rFonts w:ascii="Arial" w:hAnsi="Arial"/>
          <w:bCs/>
          <w:sz w:val="24"/>
          <w:szCs w:val="24"/>
          <w:lang w:val="en-GB"/>
        </w:rPr>
        <w:t xml:space="preserve"> so as to discredit the PG or the official</w:t>
      </w:r>
      <w:r w:rsidR="00920D62">
        <w:rPr>
          <w:rFonts w:ascii="Arial" w:hAnsi="Arial"/>
          <w:bCs/>
          <w:sz w:val="24"/>
          <w:szCs w:val="24"/>
          <w:lang w:val="en-GB"/>
        </w:rPr>
        <w:t>s</w:t>
      </w:r>
      <w:r>
        <w:rPr>
          <w:rFonts w:ascii="Arial" w:hAnsi="Arial"/>
          <w:bCs/>
          <w:sz w:val="24"/>
          <w:szCs w:val="24"/>
          <w:lang w:val="en-GB"/>
        </w:rPr>
        <w:t xml:space="preserve"> seized with the conduct of the application personally for only exercising their </w:t>
      </w:r>
      <w:r w:rsidR="00920D62">
        <w:rPr>
          <w:rFonts w:ascii="Arial" w:hAnsi="Arial"/>
          <w:bCs/>
          <w:sz w:val="24"/>
          <w:szCs w:val="24"/>
          <w:lang w:val="en-GB"/>
        </w:rPr>
        <w:t xml:space="preserve">public </w:t>
      </w:r>
      <w:r>
        <w:rPr>
          <w:rFonts w:ascii="Arial" w:hAnsi="Arial"/>
          <w:bCs/>
          <w:sz w:val="24"/>
          <w:szCs w:val="24"/>
          <w:lang w:val="en-GB"/>
        </w:rPr>
        <w:t>functions. Conducting the defence of a client in such a highly antagonistic and personal fashion is patently contrary to the high standards of practice to which all counsel must be committed. I therefore endorse the forceful a</w:t>
      </w:r>
      <w:r w:rsidR="00D042ED">
        <w:rPr>
          <w:rFonts w:ascii="Arial" w:hAnsi="Arial"/>
          <w:bCs/>
          <w:sz w:val="24"/>
          <w:szCs w:val="24"/>
          <w:lang w:val="en-GB"/>
        </w:rPr>
        <w:t xml:space="preserve">dmonition proffered by Smuts J </w:t>
      </w:r>
      <w:r>
        <w:rPr>
          <w:rFonts w:ascii="Arial" w:hAnsi="Arial"/>
          <w:bCs/>
          <w:sz w:val="24"/>
          <w:szCs w:val="24"/>
          <w:lang w:val="en-GB"/>
        </w:rPr>
        <w:t xml:space="preserve">in </w:t>
      </w:r>
      <w:r>
        <w:rPr>
          <w:rFonts w:ascii="Arial" w:hAnsi="Arial"/>
          <w:bCs/>
          <w:i/>
          <w:sz w:val="24"/>
          <w:szCs w:val="24"/>
          <w:lang w:val="en-GB"/>
        </w:rPr>
        <w:t>Prosecutor-General v Xinping</w:t>
      </w:r>
      <w:r w:rsidRPr="00446B4F">
        <w:rPr>
          <w:rStyle w:val="FootnoteReference"/>
          <w:rFonts w:ascii="Arial" w:hAnsi="Arial"/>
          <w:bCs/>
          <w:sz w:val="24"/>
          <w:szCs w:val="24"/>
          <w:lang w:val="en-GB"/>
        </w:rPr>
        <w:footnoteReference w:id="11"/>
      </w:r>
      <w:r>
        <w:rPr>
          <w:rFonts w:ascii="Arial" w:hAnsi="Arial"/>
          <w:bCs/>
          <w:i/>
          <w:sz w:val="24"/>
          <w:szCs w:val="24"/>
          <w:lang w:val="en-GB"/>
        </w:rPr>
        <w:t xml:space="preserve"> </w:t>
      </w:r>
      <w:r w:rsidRPr="00BC60A0">
        <w:rPr>
          <w:rFonts w:ascii="Arial" w:hAnsi="Arial"/>
          <w:bCs/>
          <w:sz w:val="24"/>
          <w:szCs w:val="24"/>
          <w:lang w:val="en-GB"/>
        </w:rPr>
        <w:t xml:space="preserve">and strongly urge </w:t>
      </w:r>
      <w:r w:rsidR="00D042ED">
        <w:rPr>
          <w:rFonts w:ascii="Arial" w:hAnsi="Arial"/>
          <w:bCs/>
          <w:sz w:val="24"/>
          <w:szCs w:val="24"/>
          <w:lang w:val="en-GB"/>
        </w:rPr>
        <w:t xml:space="preserve">legal </w:t>
      </w:r>
      <w:r w:rsidRPr="00BC60A0">
        <w:rPr>
          <w:rFonts w:ascii="Arial" w:hAnsi="Arial"/>
          <w:bCs/>
          <w:sz w:val="24"/>
          <w:szCs w:val="24"/>
          <w:lang w:val="en-GB"/>
        </w:rPr>
        <w:t xml:space="preserve">practitioners to heed the </w:t>
      </w:r>
      <w:r w:rsidR="00B32FD3">
        <w:rPr>
          <w:rFonts w:ascii="Arial" w:hAnsi="Arial"/>
          <w:bCs/>
          <w:sz w:val="24"/>
          <w:szCs w:val="24"/>
          <w:lang w:val="en-GB"/>
        </w:rPr>
        <w:t>learned j</w:t>
      </w:r>
      <w:r>
        <w:rPr>
          <w:rFonts w:ascii="Arial" w:hAnsi="Arial"/>
          <w:bCs/>
          <w:sz w:val="24"/>
          <w:szCs w:val="24"/>
          <w:lang w:val="en-GB"/>
        </w:rPr>
        <w:t xml:space="preserve">udge’s wise counsel. </w:t>
      </w:r>
      <w:r w:rsidRPr="00BC60A0">
        <w:rPr>
          <w:rFonts w:ascii="Arial" w:hAnsi="Arial"/>
          <w:bCs/>
          <w:sz w:val="24"/>
          <w:szCs w:val="24"/>
          <w:lang w:val="en-GB"/>
        </w:rPr>
        <w:t>Smuts J</w:t>
      </w:r>
      <w:r>
        <w:rPr>
          <w:rFonts w:ascii="Arial" w:hAnsi="Arial"/>
          <w:bCs/>
          <w:i/>
          <w:sz w:val="24"/>
          <w:szCs w:val="24"/>
          <w:lang w:val="en-GB"/>
        </w:rPr>
        <w:t xml:space="preserve"> </w:t>
      </w:r>
      <w:r w:rsidRPr="00635E24">
        <w:rPr>
          <w:rFonts w:ascii="Arial" w:hAnsi="Arial"/>
          <w:bCs/>
          <w:sz w:val="24"/>
          <w:szCs w:val="24"/>
          <w:lang w:val="en-GB"/>
        </w:rPr>
        <w:t>cautioned</w:t>
      </w:r>
      <w:r>
        <w:rPr>
          <w:rFonts w:ascii="Arial" w:hAnsi="Arial"/>
          <w:bCs/>
          <w:sz w:val="24"/>
          <w:szCs w:val="24"/>
          <w:lang w:val="en-GB"/>
        </w:rPr>
        <w:t>:</w:t>
      </w:r>
    </w:p>
    <w:p w:rsidR="004B494C" w:rsidRDefault="004B494C" w:rsidP="00BC2003">
      <w:pPr>
        <w:spacing w:after="0" w:line="360" w:lineRule="auto"/>
        <w:ind w:hanging="33"/>
        <w:jc w:val="both"/>
      </w:pPr>
    </w:p>
    <w:p w:rsidR="004B494C" w:rsidRPr="00446B4F" w:rsidRDefault="00D042ED" w:rsidP="00BC2003">
      <w:pPr>
        <w:spacing w:after="0" w:line="360" w:lineRule="auto"/>
        <w:ind w:left="850" w:right="576"/>
        <w:jc w:val="both"/>
      </w:pPr>
      <w:r>
        <w:rPr>
          <w:rFonts w:ascii="Arial" w:hAnsi="Arial"/>
        </w:rPr>
        <w:t xml:space="preserve">‘. . . </w:t>
      </w:r>
      <w:r w:rsidR="004B494C" w:rsidRPr="002C6D05">
        <w:rPr>
          <w:rFonts w:ascii="Arial" w:hAnsi="Arial"/>
        </w:rPr>
        <w:t>Unsupported allegations of abuse of process and of engaging in vexatious activities directed at a repository of public functions in exercising public powers itself in my view constitute an abuse and warrant censure. They are to be discouraged by appropriate costs orders when this form of abuse occurs. All too often I encounter a resort to unsupported and unwarranted allegations of dishonesty or moral turpitude or abuse by a deponent in affidavits when dealing with the approach taken or allegations made by a public official. These unfounded attacks upon integrity are to be discouraged and in my view warrant a special order as to costs.</w:t>
      </w:r>
      <w:r w:rsidR="004B494C">
        <w:rPr>
          <w:rFonts w:ascii="Arial" w:eastAsia="Arial" w:hAnsi="Arial"/>
        </w:rPr>
        <w:t>’</w:t>
      </w:r>
    </w:p>
    <w:p w:rsidR="004B494C" w:rsidRDefault="004B494C" w:rsidP="00BC2003">
      <w:pPr>
        <w:tabs>
          <w:tab w:val="left" w:pos="0"/>
        </w:tabs>
        <w:spacing w:after="0" w:line="480" w:lineRule="auto"/>
        <w:jc w:val="both"/>
        <w:rPr>
          <w:rFonts w:ascii="Arial" w:hAnsi="Arial"/>
          <w:bCs/>
          <w:sz w:val="24"/>
          <w:szCs w:val="24"/>
        </w:rPr>
      </w:pPr>
    </w:p>
    <w:p w:rsidR="006F6922" w:rsidRPr="006F6922" w:rsidRDefault="006F6922" w:rsidP="006F6922">
      <w:pPr>
        <w:pStyle w:val="PlainText"/>
        <w:spacing w:line="480" w:lineRule="auto"/>
        <w:jc w:val="both"/>
        <w:rPr>
          <w:rFonts w:ascii="Arial" w:hAnsi="Arial" w:cs="Arial"/>
          <w:sz w:val="24"/>
          <w:szCs w:val="24"/>
        </w:rPr>
      </w:pPr>
      <w:r w:rsidRPr="006F6922">
        <w:rPr>
          <w:rFonts w:ascii="Arial" w:hAnsi="Arial" w:cs="Arial"/>
          <w:sz w:val="24"/>
          <w:szCs w:val="24"/>
        </w:rPr>
        <w:t xml:space="preserve">In future if similar conduct persists, it might call for a stern warning that courts will have to consider personal costs orders against </w:t>
      </w:r>
      <w:r w:rsidR="00BE64B6">
        <w:rPr>
          <w:rFonts w:ascii="Arial" w:hAnsi="Arial" w:cs="Arial"/>
          <w:sz w:val="24"/>
          <w:szCs w:val="24"/>
        </w:rPr>
        <w:t>legal practitioners</w:t>
      </w:r>
      <w:r w:rsidRPr="006F6922">
        <w:rPr>
          <w:rFonts w:ascii="Arial" w:hAnsi="Arial" w:cs="Arial"/>
          <w:sz w:val="24"/>
          <w:szCs w:val="24"/>
        </w:rPr>
        <w:t xml:space="preserve">. Regular costs orders affect the pocket of clients who should not be held to account for </w:t>
      </w:r>
      <w:r w:rsidR="00777239">
        <w:rPr>
          <w:rFonts w:ascii="Arial" w:hAnsi="Arial" w:cs="Arial"/>
          <w:sz w:val="24"/>
          <w:szCs w:val="24"/>
        </w:rPr>
        <w:t>what may amount to</w:t>
      </w:r>
      <w:r w:rsidRPr="006F6922">
        <w:rPr>
          <w:rFonts w:ascii="Arial" w:hAnsi="Arial" w:cs="Arial"/>
          <w:sz w:val="24"/>
          <w:szCs w:val="24"/>
        </w:rPr>
        <w:t xml:space="preserve"> unprofessional </w:t>
      </w:r>
      <w:r w:rsidR="00A17C4E">
        <w:rPr>
          <w:rFonts w:ascii="Arial" w:hAnsi="Arial" w:cs="Arial"/>
          <w:sz w:val="24"/>
          <w:szCs w:val="24"/>
        </w:rPr>
        <w:t xml:space="preserve">or dishonourable or unworthy </w:t>
      </w:r>
      <w:r w:rsidRPr="006F6922">
        <w:rPr>
          <w:rFonts w:ascii="Arial" w:hAnsi="Arial" w:cs="Arial"/>
          <w:sz w:val="24"/>
          <w:szCs w:val="24"/>
        </w:rPr>
        <w:t xml:space="preserve">conduct </w:t>
      </w:r>
      <w:r w:rsidR="00777239">
        <w:rPr>
          <w:rFonts w:ascii="Arial" w:hAnsi="Arial" w:cs="Arial"/>
          <w:sz w:val="24"/>
          <w:szCs w:val="24"/>
        </w:rPr>
        <w:t xml:space="preserve">on the part </w:t>
      </w:r>
      <w:r w:rsidRPr="006F6922">
        <w:rPr>
          <w:rFonts w:ascii="Arial" w:hAnsi="Arial" w:cs="Arial"/>
          <w:sz w:val="24"/>
          <w:szCs w:val="24"/>
        </w:rPr>
        <w:t xml:space="preserve">of their </w:t>
      </w:r>
      <w:r w:rsidR="00BE64B6">
        <w:rPr>
          <w:rFonts w:ascii="Arial" w:hAnsi="Arial" w:cs="Arial"/>
          <w:sz w:val="24"/>
          <w:szCs w:val="24"/>
        </w:rPr>
        <w:t>legal practitioners</w:t>
      </w:r>
      <w:r w:rsidRPr="006F6922">
        <w:rPr>
          <w:rFonts w:ascii="Arial" w:hAnsi="Arial" w:cs="Arial"/>
          <w:sz w:val="24"/>
          <w:szCs w:val="24"/>
        </w:rPr>
        <w:t>.</w:t>
      </w:r>
    </w:p>
    <w:p w:rsidR="001470B5" w:rsidRDefault="001470B5">
      <w:pPr>
        <w:rPr>
          <w:rFonts w:ascii="Arial" w:hAnsi="Arial"/>
          <w:bCs/>
          <w:sz w:val="24"/>
          <w:szCs w:val="24"/>
        </w:rPr>
      </w:pPr>
      <w:r>
        <w:rPr>
          <w:rFonts w:ascii="Arial" w:hAnsi="Arial"/>
          <w:bCs/>
          <w:sz w:val="24"/>
          <w:szCs w:val="24"/>
        </w:rPr>
        <w:br w:type="page"/>
      </w:r>
    </w:p>
    <w:p w:rsidR="004B494C" w:rsidRPr="004D067C" w:rsidRDefault="004B494C" w:rsidP="006F6922">
      <w:pPr>
        <w:tabs>
          <w:tab w:val="left" w:pos="0"/>
        </w:tabs>
        <w:spacing w:after="0" w:line="480" w:lineRule="auto"/>
        <w:jc w:val="both"/>
        <w:rPr>
          <w:rFonts w:ascii="Arial" w:hAnsi="Arial"/>
          <w:bCs/>
          <w:sz w:val="24"/>
          <w:szCs w:val="24"/>
          <w:lang w:val="en-GB"/>
        </w:rPr>
      </w:pPr>
      <w:r>
        <w:rPr>
          <w:rFonts w:ascii="Arial" w:hAnsi="Arial"/>
          <w:bCs/>
          <w:sz w:val="24"/>
          <w:szCs w:val="24"/>
          <w:u w:val="single"/>
          <w:lang w:val="en-GB"/>
        </w:rPr>
        <w:lastRenderedPageBreak/>
        <w:t>Conclusion</w:t>
      </w:r>
      <w:r w:rsidRPr="004D067C">
        <w:rPr>
          <w:rFonts w:ascii="Arial" w:hAnsi="Arial"/>
          <w:bCs/>
          <w:sz w:val="24"/>
          <w:szCs w:val="24"/>
          <w:lang w:val="en-GB"/>
        </w:rPr>
        <w:t xml:space="preserve"> </w:t>
      </w:r>
    </w:p>
    <w:p w:rsidR="004B494C" w:rsidRPr="003447A1" w:rsidRDefault="004B494C" w:rsidP="006F6922">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bCs/>
          <w:sz w:val="24"/>
          <w:szCs w:val="24"/>
          <w:lang w:val="en-GB"/>
        </w:rPr>
        <w:t>I am persuaded</w:t>
      </w:r>
      <w:r w:rsidR="00DA0D1C">
        <w:rPr>
          <w:rFonts w:ascii="Arial" w:hAnsi="Arial"/>
          <w:bCs/>
          <w:sz w:val="24"/>
          <w:szCs w:val="24"/>
          <w:lang w:val="en-GB"/>
        </w:rPr>
        <w:t>,</w:t>
      </w:r>
      <w:r>
        <w:rPr>
          <w:rFonts w:ascii="Arial" w:hAnsi="Arial"/>
          <w:bCs/>
          <w:sz w:val="24"/>
          <w:szCs w:val="24"/>
          <w:lang w:val="en-GB"/>
        </w:rPr>
        <w:t xml:space="preserve"> on a balance of probabilities</w:t>
      </w:r>
      <w:r w:rsidR="00DA0D1C">
        <w:rPr>
          <w:rFonts w:ascii="Arial" w:hAnsi="Arial"/>
          <w:bCs/>
          <w:sz w:val="24"/>
          <w:szCs w:val="24"/>
          <w:lang w:val="en-GB"/>
        </w:rPr>
        <w:t>,</w:t>
      </w:r>
      <w:r>
        <w:rPr>
          <w:rFonts w:ascii="Arial" w:hAnsi="Arial"/>
          <w:bCs/>
          <w:sz w:val="24"/>
          <w:szCs w:val="24"/>
          <w:lang w:val="en-GB"/>
        </w:rPr>
        <w:t xml:space="preserve"> that the property being the positive balance in the </w:t>
      </w:r>
      <w:r w:rsidR="00D042ED">
        <w:rPr>
          <w:rFonts w:ascii="Arial" w:hAnsi="Arial"/>
          <w:bCs/>
          <w:sz w:val="24"/>
          <w:szCs w:val="24"/>
          <w:lang w:val="en-GB"/>
        </w:rPr>
        <w:t>b</w:t>
      </w:r>
      <w:r w:rsidR="009A0F21">
        <w:rPr>
          <w:rFonts w:ascii="Arial" w:hAnsi="Arial"/>
          <w:bCs/>
          <w:sz w:val="24"/>
          <w:szCs w:val="24"/>
          <w:lang w:val="en-GB"/>
        </w:rPr>
        <w:t>a</w:t>
      </w:r>
      <w:r>
        <w:rPr>
          <w:rFonts w:ascii="Arial" w:hAnsi="Arial"/>
          <w:bCs/>
          <w:sz w:val="24"/>
          <w:szCs w:val="24"/>
          <w:lang w:val="en-GB"/>
        </w:rPr>
        <w:t xml:space="preserve">nk accounts held by NAD, Kage Trading, C Three Trading and Taleni, as well as the Golf, constitutes the proceeds of unlawful activities. The conduct relating to the procurement of the Lister engines and the other goods being the subject matter of the forfeiture application constitutes the crime of fraud. The property concerned is </w:t>
      </w:r>
      <w:r w:rsidR="00DA0D1C">
        <w:rPr>
          <w:rFonts w:ascii="Arial" w:hAnsi="Arial"/>
          <w:bCs/>
          <w:sz w:val="24"/>
          <w:szCs w:val="24"/>
          <w:lang w:val="en-GB"/>
        </w:rPr>
        <w:t xml:space="preserve">thus </w:t>
      </w:r>
      <w:r>
        <w:rPr>
          <w:rFonts w:ascii="Arial" w:hAnsi="Arial"/>
          <w:bCs/>
          <w:sz w:val="24"/>
          <w:szCs w:val="24"/>
          <w:lang w:val="en-GB"/>
        </w:rPr>
        <w:t xml:space="preserve">the proceeds of unlawful activities. The High Court’s decision to order the forfeiture of the property is correct. Consequently, the appeal against the judgment and order of the High Court must be dismissed. The costs must follow the result and the special costs order made by the High Court should be upheld for the reasons given above. </w:t>
      </w:r>
    </w:p>
    <w:p w:rsidR="004B494C" w:rsidRDefault="004B494C" w:rsidP="00BC2003">
      <w:pPr>
        <w:spacing w:after="0" w:line="480" w:lineRule="auto"/>
        <w:jc w:val="both"/>
        <w:rPr>
          <w:rFonts w:ascii="Arial" w:hAnsi="Arial"/>
          <w:sz w:val="24"/>
          <w:szCs w:val="24"/>
          <w:u w:val="single"/>
          <w:lang w:val="en-GB"/>
        </w:rPr>
      </w:pPr>
    </w:p>
    <w:p w:rsidR="004B494C" w:rsidRPr="00925EB7" w:rsidRDefault="004B494C" w:rsidP="00BC2003">
      <w:pPr>
        <w:spacing w:after="0" w:line="480" w:lineRule="auto"/>
        <w:jc w:val="both"/>
        <w:rPr>
          <w:rFonts w:ascii="Arial" w:hAnsi="Arial"/>
          <w:sz w:val="24"/>
          <w:szCs w:val="24"/>
          <w:u w:val="single"/>
          <w:lang w:val="en-GB"/>
        </w:rPr>
      </w:pPr>
      <w:r w:rsidRPr="00925EB7">
        <w:rPr>
          <w:rFonts w:ascii="Arial" w:hAnsi="Arial"/>
          <w:sz w:val="24"/>
          <w:szCs w:val="24"/>
          <w:u w:val="single"/>
          <w:lang w:val="en-GB"/>
        </w:rPr>
        <w:t>Order</w:t>
      </w:r>
    </w:p>
    <w:p w:rsidR="004B494C" w:rsidRPr="00294FFF" w:rsidRDefault="00DA0D1C" w:rsidP="00BC2003">
      <w:pPr>
        <w:pStyle w:val="ListParagraph"/>
        <w:numPr>
          <w:ilvl w:val="0"/>
          <w:numId w:val="27"/>
        </w:numPr>
        <w:tabs>
          <w:tab w:val="left" w:pos="0"/>
        </w:tabs>
        <w:spacing w:after="0" w:line="480" w:lineRule="auto"/>
        <w:ind w:left="0" w:firstLine="0"/>
        <w:jc w:val="both"/>
        <w:rPr>
          <w:rFonts w:ascii="Arial" w:hAnsi="Arial"/>
          <w:bCs/>
          <w:sz w:val="24"/>
          <w:szCs w:val="24"/>
          <w:lang w:val="en-GB"/>
        </w:rPr>
      </w:pPr>
      <w:r>
        <w:rPr>
          <w:rFonts w:ascii="Arial" w:hAnsi="Arial"/>
          <w:sz w:val="24"/>
          <w:szCs w:val="24"/>
          <w:lang w:val="en-GB"/>
        </w:rPr>
        <w:t>In the result, t</w:t>
      </w:r>
      <w:r w:rsidR="004B494C">
        <w:rPr>
          <w:rFonts w:ascii="Arial" w:hAnsi="Arial"/>
          <w:sz w:val="24"/>
          <w:szCs w:val="24"/>
          <w:lang w:val="en-GB"/>
        </w:rPr>
        <w:t>he following order is made</w:t>
      </w:r>
      <w:r w:rsidR="004B494C" w:rsidRPr="00925EB7">
        <w:rPr>
          <w:rFonts w:ascii="Arial" w:hAnsi="Arial"/>
          <w:sz w:val="24"/>
          <w:szCs w:val="24"/>
          <w:lang w:val="en-GB"/>
        </w:rPr>
        <w:t>:</w:t>
      </w:r>
    </w:p>
    <w:p w:rsidR="00294FFF" w:rsidRPr="00294FFF" w:rsidRDefault="00294FFF" w:rsidP="001470B5">
      <w:pPr>
        <w:tabs>
          <w:tab w:val="left" w:pos="0"/>
        </w:tabs>
        <w:spacing w:after="0" w:line="360" w:lineRule="auto"/>
        <w:jc w:val="both"/>
        <w:rPr>
          <w:rFonts w:ascii="Arial" w:hAnsi="Arial"/>
          <w:bCs/>
          <w:sz w:val="24"/>
          <w:szCs w:val="24"/>
          <w:lang w:val="en-GB"/>
        </w:rPr>
      </w:pPr>
    </w:p>
    <w:p w:rsidR="004B494C" w:rsidRPr="003447A1" w:rsidRDefault="004B494C" w:rsidP="00BC2003">
      <w:pPr>
        <w:pStyle w:val="ORDER"/>
        <w:spacing w:line="480" w:lineRule="auto"/>
        <w:ind w:left="720" w:firstLine="0"/>
        <w:rPr>
          <w:rFonts w:ascii="Arial" w:hAnsi="Arial" w:cs="Arial"/>
          <w:sz w:val="24"/>
          <w:szCs w:val="24"/>
          <w:lang w:val="en-GB"/>
        </w:rPr>
      </w:pPr>
      <w:r w:rsidRPr="003447A1">
        <w:rPr>
          <w:rFonts w:ascii="Arial" w:hAnsi="Arial" w:cs="Arial"/>
          <w:sz w:val="24"/>
          <w:szCs w:val="24"/>
          <w:lang w:val="en-GB"/>
        </w:rPr>
        <w:t xml:space="preserve">The appeal is dismissed with costs, </w:t>
      </w:r>
      <w:r>
        <w:rPr>
          <w:rFonts w:ascii="Arial" w:hAnsi="Arial" w:cs="Arial"/>
          <w:sz w:val="24"/>
          <w:szCs w:val="24"/>
          <w:lang w:val="en-GB"/>
        </w:rPr>
        <w:t xml:space="preserve">such costs to include </w:t>
      </w:r>
      <w:r w:rsidRPr="003447A1">
        <w:rPr>
          <w:rFonts w:ascii="Arial" w:hAnsi="Arial" w:cs="Arial"/>
          <w:sz w:val="24"/>
          <w:szCs w:val="24"/>
          <w:lang w:val="en-GB"/>
        </w:rPr>
        <w:t xml:space="preserve">the costs of one instructing </w:t>
      </w:r>
      <w:r>
        <w:rPr>
          <w:rFonts w:ascii="Arial" w:hAnsi="Arial" w:cs="Arial"/>
          <w:sz w:val="24"/>
          <w:szCs w:val="24"/>
          <w:lang w:val="en-GB"/>
        </w:rPr>
        <w:t>leg</w:t>
      </w:r>
      <w:r w:rsidRPr="003447A1">
        <w:rPr>
          <w:rFonts w:ascii="Arial" w:hAnsi="Arial" w:cs="Arial"/>
          <w:sz w:val="24"/>
          <w:szCs w:val="24"/>
          <w:lang w:val="en-GB"/>
        </w:rPr>
        <w:t xml:space="preserve">al </w:t>
      </w:r>
      <w:r>
        <w:rPr>
          <w:rFonts w:ascii="Arial" w:hAnsi="Arial" w:cs="Arial"/>
          <w:sz w:val="24"/>
          <w:szCs w:val="24"/>
          <w:lang w:val="en-GB"/>
        </w:rPr>
        <w:t>p</w:t>
      </w:r>
      <w:r w:rsidRPr="003447A1">
        <w:rPr>
          <w:rFonts w:ascii="Arial" w:hAnsi="Arial" w:cs="Arial"/>
          <w:sz w:val="24"/>
          <w:szCs w:val="24"/>
          <w:lang w:val="en-GB"/>
        </w:rPr>
        <w:t xml:space="preserve">ractitioner and two instructed </w:t>
      </w:r>
      <w:r>
        <w:rPr>
          <w:rFonts w:ascii="Arial" w:hAnsi="Arial" w:cs="Arial"/>
          <w:sz w:val="24"/>
          <w:szCs w:val="24"/>
          <w:lang w:val="en-GB"/>
        </w:rPr>
        <w:t>l</w:t>
      </w:r>
      <w:r w:rsidRPr="003447A1">
        <w:rPr>
          <w:rFonts w:ascii="Arial" w:hAnsi="Arial" w:cs="Arial"/>
          <w:sz w:val="24"/>
          <w:szCs w:val="24"/>
          <w:lang w:val="en-GB"/>
        </w:rPr>
        <w:t xml:space="preserve">egal </w:t>
      </w:r>
      <w:r>
        <w:rPr>
          <w:rFonts w:ascii="Arial" w:hAnsi="Arial" w:cs="Arial"/>
          <w:sz w:val="24"/>
          <w:szCs w:val="24"/>
          <w:lang w:val="en-GB"/>
        </w:rPr>
        <w:t>p</w:t>
      </w:r>
      <w:r w:rsidRPr="003447A1">
        <w:rPr>
          <w:rFonts w:ascii="Arial" w:hAnsi="Arial" w:cs="Arial"/>
          <w:sz w:val="24"/>
          <w:szCs w:val="24"/>
          <w:lang w:val="en-GB"/>
        </w:rPr>
        <w:t>ractitioners</w:t>
      </w:r>
      <w:r>
        <w:rPr>
          <w:rFonts w:ascii="Arial" w:hAnsi="Arial" w:cs="Arial"/>
          <w:sz w:val="24"/>
          <w:szCs w:val="24"/>
          <w:lang w:val="en-GB"/>
        </w:rPr>
        <w:t xml:space="preserve"> and to be paid on a legal practitioner and own client scale</w:t>
      </w:r>
      <w:r w:rsidR="00920D62">
        <w:rPr>
          <w:rFonts w:ascii="Arial" w:hAnsi="Arial" w:cs="Arial"/>
          <w:sz w:val="24"/>
          <w:szCs w:val="24"/>
          <w:lang w:val="en-GB"/>
        </w:rPr>
        <w:t xml:space="preserve"> by the appellants jointly and severally the one paying the other to be absolved</w:t>
      </w:r>
      <w:r w:rsidRPr="003447A1">
        <w:rPr>
          <w:rFonts w:ascii="Arial" w:hAnsi="Arial" w:cs="Arial"/>
          <w:sz w:val="24"/>
          <w:szCs w:val="24"/>
          <w:lang w:val="en-GB"/>
        </w:rPr>
        <w:t>.</w:t>
      </w:r>
    </w:p>
    <w:p w:rsidR="004B494C" w:rsidRPr="003447A1" w:rsidRDefault="004B494C" w:rsidP="00BC2003">
      <w:pPr>
        <w:pStyle w:val="COUNSELDETAILS"/>
        <w:spacing w:line="360" w:lineRule="auto"/>
        <w:jc w:val="left"/>
        <w:rPr>
          <w:rFonts w:ascii="Arial" w:hAnsi="Arial" w:cs="Arial"/>
          <w:b/>
          <w:sz w:val="24"/>
          <w:szCs w:val="24"/>
          <w:lang w:val="en-GB"/>
        </w:rPr>
      </w:pPr>
    </w:p>
    <w:p w:rsidR="004B494C" w:rsidRDefault="004B494C" w:rsidP="00B5477B">
      <w:pPr>
        <w:pStyle w:val="COUNSELDETAILS"/>
        <w:spacing w:line="360" w:lineRule="auto"/>
        <w:jc w:val="left"/>
        <w:rPr>
          <w:rFonts w:ascii="Arial" w:hAnsi="Arial" w:cs="Arial"/>
          <w:b/>
          <w:sz w:val="24"/>
          <w:szCs w:val="24"/>
          <w:lang w:val="en-GB"/>
        </w:rPr>
      </w:pPr>
    </w:p>
    <w:p w:rsidR="00B5477B" w:rsidRDefault="00B5477B" w:rsidP="00B5477B">
      <w:pPr>
        <w:pStyle w:val="COUNSELDETAILS"/>
        <w:spacing w:line="360" w:lineRule="auto"/>
        <w:jc w:val="left"/>
        <w:rPr>
          <w:rFonts w:ascii="Arial" w:hAnsi="Arial" w:cs="Arial"/>
          <w:b/>
          <w:sz w:val="24"/>
          <w:szCs w:val="24"/>
          <w:lang w:val="en-GB"/>
        </w:rPr>
      </w:pPr>
    </w:p>
    <w:p w:rsidR="00B5477B" w:rsidRDefault="00B5477B" w:rsidP="00B5477B">
      <w:pPr>
        <w:pStyle w:val="COUNSELDETAILS"/>
        <w:spacing w:line="360" w:lineRule="auto"/>
        <w:jc w:val="left"/>
        <w:rPr>
          <w:rFonts w:ascii="Arial" w:hAnsi="Arial" w:cs="Arial"/>
          <w:b/>
          <w:sz w:val="24"/>
          <w:szCs w:val="24"/>
          <w:lang w:val="en-GB"/>
        </w:rPr>
      </w:pPr>
    </w:p>
    <w:p w:rsidR="00B5477B" w:rsidRPr="003447A1" w:rsidRDefault="00B5477B" w:rsidP="00B5477B">
      <w:pPr>
        <w:pStyle w:val="COUNSELDETAILS"/>
        <w:spacing w:line="360" w:lineRule="auto"/>
        <w:jc w:val="left"/>
        <w:rPr>
          <w:rFonts w:ascii="Arial" w:hAnsi="Arial" w:cs="Arial"/>
          <w:b/>
          <w:sz w:val="24"/>
          <w:szCs w:val="24"/>
          <w:lang w:val="en-GB"/>
        </w:rPr>
      </w:pPr>
    </w:p>
    <w:p w:rsidR="004B494C" w:rsidRPr="00D042ED" w:rsidRDefault="004B494C" w:rsidP="00B5477B">
      <w:pPr>
        <w:pStyle w:val="COUNSELDETAILS"/>
        <w:spacing w:line="276" w:lineRule="auto"/>
        <w:jc w:val="left"/>
        <w:rPr>
          <w:rFonts w:ascii="Arial" w:hAnsi="Arial" w:cs="Arial"/>
          <w:sz w:val="24"/>
          <w:szCs w:val="24"/>
          <w:lang w:val="en-GB"/>
        </w:rPr>
      </w:pPr>
      <w:r w:rsidRPr="00D042ED">
        <w:rPr>
          <w:rFonts w:ascii="Arial" w:hAnsi="Arial" w:cs="Arial"/>
          <w:sz w:val="24"/>
          <w:szCs w:val="24"/>
          <w:lang w:val="en-GB"/>
        </w:rPr>
        <w:t>____________________</w:t>
      </w:r>
    </w:p>
    <w:p w:rsidR="004B494C" w:rsidRPr="003447A1" w:rsidRDefault="004B494C" w:rsidP="00B5477B">
      <w:pPr>
        <w:pStyle w:val="COUNSELDETAILS"/>
        <w:spacing w:line="276" w:lineRule="auto"/>
        <w:jc w:val="left"/>
        <w:rPr>
          <w:rFonts w:ascii="Arial" w:hAnsi="Arial" w:cs="Arial"/>
          <w:b/>
          <w:sz w:val="24"/>
          <w:szCs w:val="24"/>
          <w:lang w:val="en-GB"/>
        </w:rPr>
      </w:pPr>
      <w:r w:rsidRPr="003447A1">
        <w:rPr>
          <w:rFonts w:ascii="Arial" w:hAnsi="Arial" w:cs="Arial"/>
          <w:b/>
          <w:sz w:val="24"/>
          <w:szCs w:val="24"/>
          <w:lang w:val="en-GB"/>
        </w:rPr>
        <w:t>SHIVUTE CJ</w:t>
      </w:r>
    </w:p>
    <w:p w:rsidR="004B494C" w:rsidRPr="003447A1" w:rsidRDefault="004B494C" w:rsidP="00B5477B">
      <w:pPr>
        <w:pStyle w:val="COUNSELDETAILS"/>
        <w:spacing w:line="360" w:lineRule="auto"/>
        <w:jc w:val="left"/>
        <w:rPr>
          <w:rFonts w:ascii="Arial" w:hAnsi="Arial" w:cs="Arial"/>
          <w:b/>
          <w:sz w:val="24"/>
          <w:szCs w:val="24"/>
          <w:lang w:val="en-GB"/>
        </w:rPr>
      </w:pPr>
    </w:p>
    <w:p w:rsidR="004B494C" w:rsidRDefault="004B494C" w:rsidP="00B5477B">
      <w:pPr>
        <w:pStyle w:val="COUNSELDETAILS"/>
        <w:spacing w:line="360" w:lineRule="auto"/>
        <w:jc w:val="left"/>
        <w:rPr>
          <w:rFonts w:ascii="Arial" w:hAnsi="Arial" w:cs="Arial"/>
          <w:b/>
          <w:sz w:val="24"/>
          <w:szCs w:val="24"/>
          <w:lang w:val="en-GB"/>
        </w:rPr>
      </w:pPr>
    </w:p>
    <w:p w:rsidR="00B02067" w:rsidRDefault="00B02067" w:rsidP="00B5477B">
      <w:pPr>
        <w:pStyle w:val="COUNSELDETAILS"/>
        <w:spacing w:line="360" w:lineRule="auto"/>
        <w:jc w:val="left"/>
        <w:rPr>
          <w:rFonts w:ascii="Arial" w:hAnsi="Arial" w:cs="Arial"/>
          <w:b/>
          <w:sz w:val="24"/>
          <w:szCs w:val="24"/>
          <w:lang w:val="en-GB"/>
        </w:rPr>
      </w:pPr>
    </w:p>
    <w:p w:rsidR="00B5477B" w:rsidRDefault="00B5477B" w:rsidP="00B5477B">
      <w:pPr>
        <w:pStyle w:val="COUNSELDETAILS"/>
        <w:spacing w:line="360" w:lineRule="auto"/>
        <w:jc w:val="left"/>
        <w:rPr>
          <w:rFonts w:ascii="Arial" w:hAnsi="Arial" w:cs="Arial"/>
          <w:b/>
          <w:sz w:val="24"/>
          <w:szCs w:val="24"/>
          <w:lang w:val="en-GB"/>
        </w:rPr>
      </w:pPr>
    </w:p>
    <w:p w:rsidR="00E9755F" w:rsidRDefault="00E9755F" w:rsidP="00630231">
      <w:pPr>
        <w:pStyle w:val="COUNSELDETAILS"/>
        <w:spacing w:line="276" w:lineRule="auto"/>
        <w:jc w:val="left"/>
        <w:rPr>
          <w:rFonts w:ascii="Arial" w:hAnsi="Arial" w:cs="Arial"/>
          <w:b/>
          <w:sz w:val="24"/>
          <w:szCs w:val="24"/>
          <w:lang w:val="en-GB"/>
        </w:rPr>
      </w:pPr>
    </w:p>
    <w:p w:rsidR="00E9755F" w:rsidRDefault="00E9755F" w:rsidP="00630231">
      <w:pPr>
        <w:pStyle w:val="COUNSELDETAILS"/>
        <w:spacing w:line="276" w:lineRule="auto"/>
        <w:jc w:val="left"/>
        <w:rPr>
          <w:rFonts w:ascii="Arial" w:hAnsi="Arial" w:cs="Arial"/>
          <w:b/>
          <w:sz w:val="24"/>
          <w:szCs w:val="24"/>
          <w:lang w:val="en-GB"/>
        </w:rPr>
      </w:pPr>
    </w:p>
    <w:p w:rsidR="004B494C" w:rsidRPr="00D042ED" w:rsidRDefault="004B494C" w:rsidP="00630231">
      <w:pPr>
        <w:pStyle w:val="COUNSELDETAILS"/>
        <w:spacing w:line="276" w:lineRule="auto"/>
        <w:jc w:val="left"/>
        <w:rPr>
          <w:rFonts w:ascii="Arial" w:hAnsi="Arial" w:cs="Arial"/>
          <w:sz w:val="24"/>
          <w:szCs w:val="24"/>
          <w:lang w:val="en-GB"/>
        </w:rPr>
      </w:pPr>
      <w:r w:rsidRPr="00D042ED">
        <w:rPr>
          <w:rFonts w:ascii="Arial" w:hAnsi="Arial" w:cs="Arial"/>
          <w:sz w:val="24"/>
          <w:szCs w:val="24"/>
          <w:lang w:val="en-GB"/>
        </w:rPr>
        <w:t>____________________</w:t>
      </w:r>
    </w:p>
    <w:p w:rsidR="004B494C" w:rsidRPr="00A574D2" w:rsidRDefault="004B494C" w:rsidP="00B5477B">
      <w:pPr>
        <w:pStyle w:val="COUNSELDETAILS"/>
        <w:spacing w:line="276" w:lineRule="auto"/>
        <w:jc w:val="left"/>
        <w:rPr>
          <w:rFonts w:ascii="Arial" w:hAnsi="Arial" w:cs="Arial"/>
          <w:b/>
          <w:sz w:val="24"/>
          <w:szCs w:val="24"/>
          <w:lang w:val="en-GB"/>
        </w:rPr>
      </w:pPr>
      <w:r w:rsidRPr="00A574D2">
        <w:rPr>
          <w:rFonts w:ascii="Arial" w:hAnsi="Arial" w:cs="Arial"/>
          <w:b/>
          <w:sz w:val="24"/>
          <w:szCs w:val="24"/>
          <w:lang w:val="en-GB"/>
        </w:rPr>
        <w:t xml:space="preserve">MAINGA JA </w:t>
      </w:r>
    </w:p>
    <w:p w:rsidR="004B494C" w:rsidRDefault="004B494C" w:rsidP="00B5477B">
      <w:pPr>
        <w:pStyle w:val="COUNSELDETAILS"/>
        <w:spacing w:line="360" w:lineRule="auto"/>
        <w:jc w:val="left"/>
        <w:rPr>
          <w:rFonts w:ascii="Arial" w:hAnsi="Arial" w:cs="Arial"/>
          <w:b/>
          <w:sz w:val="24"/>
          <w:szCs w:val="24"/>
          <w:lang w:val="en-GB"/>
        </w:rPr>
      </w:pPr>
    </w:p>
    <w:p w:rsidR="00EE7A7A" w:rsidRPr="003447A1" w:rsidRDefault="00EE7A7A" w:rsidP="00B5477B">
      <w:pPr>
        <w:pStyle w:val="COUNSELDETAILS"/>
        <w:spacing w:line="360" w:lineRule="auto"/>
        <w:jc w:val="left"/>
        <w:rPr>
          <w:rFonts w:ascii="Arial" w:hAnsi="Arial" w:cs="Arial"/>
          <w:b/>
          <w:sz w:val="24"/>
          <w:szCs w:val="24"/>
          <w:lang w:val="en-GB"/>
        </w:rPr>
      </w:pPr>
    </w:p>
    <w:p w:rsidR="00630231" w:rsidRDefault="00630231" w:rsidP="00B5477B">
      <w:pPr>
        <w:pStyle w:val="COUNSELDETAILS"/>
        <w:spacing w:line="360" w:lineRule="auto"/>
        <w:jc w:val="left"/>
        <w:rPr>
          <w:rFonts w:ascii="Arial" w:hAnsi="Arial" w:cs="Arial"/>
          <w:b/>
          <w:noProof/>
          <w:sz w:val="25"/>
          <w:szCs w:val="25"/>
          <w:lang w:eastAsia="en-ZA"/>
        </w:rPr>
      </w:pPr>
    </w:p>
    <w:p w:rsidR="00E9755F" w:rsidRDefault="00E9755F" w:rsidP="00B5477B">
      <w:pPr>
        <w:pStyle w:val="COUNSELDETAILS"/>
        <w:spacing w:line="360" w:lineRule="auto"/>
        <w:rPr>
          <w:rFonts w:ascii="Arial" w:hAnsi="Arial" w:cs="Arial"/>
          <w:sz w:val="24"/>
          <w:szCs w:val="24"/>
          <w:lang w:val="en-GB"/>
        </w:rPr>
      </w:pPr>
    </w:p>
    <w:p w:rsidR="00E9755F" w:rsidRDefault="00E9755F" w:rsidP="00B5477B">
      <w:pPr>
        <w:pStyle w:val="COUNSELDETAILS"/>
        <w:spacing w:line="360" w:lineRule="auto"/>
        <w:rPr>
          <w:rFonts w:ascii="Arial" w:hAnsi="Arial" w:cs="Arial"/>
          <w:sz w:val="24"/>
          <w:szCs w:val="24"/>
          <w:lang w:val="en-GB"/>
        </w:rPr>
      </w:pPr>
    </w:p>
    <w:p w:rsidR="004B494C" w:rsidRPr="00D042ED" w:rsidRDefault="004B494C" w:rsidP="00B5477B">
      <w:pPr>
        <w:pStyle w:val="COUNSELDETAILS"/>
        <w:spacing w:line="360" w:lineRule="auto"/>
        <w:rPr>
          <w:rFonts w:ascii="Arial" w:hAnsi="Arial" w:cs="Arial"/>
          <w:sz w:val="24"/>
          <w:szCs w:val="24"/>
          <w:lang w:val="en-GB"/>
        </w:rPr>
      </w:pPr>
      <w:r w:rsidRPr="00D042ED">
        <w:rPr>
          <w:rFonts w:ascii="Arial" w:hAnsi="Arial" w:cs="Arial"/>
          <w:sz w:val="24"/>
          <w:szCs w:val="24"/>
          <w:lang w:val="en-GB"/>
        </w:rPr>
        <w:t>__________________</w:t>
      </w:r>
    </w:p>
    <w:p w:rsidR="004B494C" w:rsidRPr="003447A1" w:rsidRDefault="004B494C" w:rsidP="00B5477B">
      <w:pPr>
        <w:pStyle w:val="COUNSELDETAILS"/>
        <w:spacing w:line="360" w:lineRule="auto"/>
        <w:rPr>
          <w:rFonts w:ascii="Arial" w:hAnsi="Arial" w:cs="Arial"/>
          <w:sz w:val="24"/>
          <w:szCs w:val="24"/>
          <w:lang w:val="en-GB"/>
        </w:rPr>
      </w:pPr>
      <w:r w:rsidRPr="003447A1">
        <w:rPr>
          <w:rFonts w:ascii="Arial" w:hAnsi="Arial" w:cs="Arial"/>
          <w:b/>
          <w:sz w:val="24"/>
          <w:szCs w:val="24"/>
          <w:lang w:val="en-GB"/>
        </w:rPr>
        <w:t>MOKGORO AJA</w:t>
      </w:r>
    </w:p>
    <w:p w:rsidR="00B02067" w:rsidRDefault="00B02067">
      <w:pPr>
        <w:rPr>
          <w:rFonts w:ascii="Arial" w:hAnsi="Arial"/>
          <w:sz w:val="24"/>
          <w:szCs w:val="24"/>
          <w:lang w:val="en-GB"/>
        </w:rPr>
      </w:pPr>
      <w:r>
        <w:rPr>
          <w:rFonts w:ascii="Arial" w:hAnsi="Arial"/>
          <w:sz w:val="24"/>
          <w:szCs w:val="24"/>
          <w:lang w:val="en-GB"/>
        </w:rPr>
        <w:br w:type="page"/>
      </w:r>
    </w:p>
    <w:p w:rsidR="004B494C" w:rsidRPr="003447A1" w:rsidRDefault="00A90D27" w:rsidP="00BC2003">
      <w:pPr>
        <w:pStyle w:val="COUNSELDETAILS"/>
        <w:spacing w:line="480" w:lineRule="auto"/>
        <w:rPr>
          <w:rFonts w:ascii="Arial" w:hAnsi="Arial" w:cs="Arial"/>
          <w:sz w:val="24"/>
          <w:szCs w:val="24"/>
          <w:lang w:val="en-GB"/>
        </w:rPr>
      </w:pPr>
      <w:r>
        <w:rPr>
          <w:rFonts w:ascii="Arial" w:hAnsi="Arial" w:cs="Arial"/>
          <w:sz w:val="24"/>
          <w:szCs w:val="24"/>
          <w:lang w:val="en-GB"/>
        </w:rPr>
        <w:lastRenderedPageBreak/>
        <w:t>A</w:t>
      </w:r>
      <w:r w:rsidR="004B494C" w:rsidRPr="003447A1">
        <w:rPr>
          <w:rFonts w:ascii="Arial" w:hAnsi="Arial" w:cs="Arial"/>
          <w:sz w:val="24"/>
          <w:szCs w:val="24"/>
          <w:lang w:val="en-GB"/>
        </w:rPr>
        <w:t>PPEARANCES</w:t>
      </w:r>
    </w:p>
    <w:p w:rsidR="004B494C" w:rsidRPr="003447A1" w:rsidRDefault="004B494C" w:rsidP="00BC2003">
      <w:pPr>
        <w:pStyle w:val="COUNSELDETAILS"/>
        <w:spacing w:line="480" w:lineRule="auto"/>
        <w:rPr>
          <w:rFonts w:ascii="Arial" w:hAnsi="Arial" w:cs="Arial"/>
          <w:sz w:val="24"/>
          <w:szCs w:val="24"/>
          <w:highlight w:val="yellow"/>
          <w:lang w:val="en-GB"/>
        </w:rPr>
      </w:pPr>
    </w:p>
    <w:p w:rsidR="004B494C" w:rsidRPr="003447A1" w:rsidRDefault="004B494C" w:rsidP="00BC2003">
      <w:pPr>
        <w:pStyle w:val="COUNSELDETAILS"/>
        <w:spacing w:line="480" w:lineRule="auto"/>
        <w:ind w:left="4320" w:hanging="4320"/>
        <w:rPr>
          <w:rFonts w:ascii="Arial" w:hAnsi="Arial" w:cs="Arial"/>
          <w:sz w:val="24"/>
          <w:szCs w:val="24"/>
          <w:lang w:val="en-GB"/>
        </w:rPr>
      </w:pPr>
      <w:r w:rsidRPr="003447A1">
        <w:rPr>
          <w:rFonts w:ascii="Arial" w:hAnsi="Arial" w:cs="Arial"/>
          <w:sz w:val="24"/>
          <w:szCs w:val="24"/>
          <w:lang w:val="en-GB"/>
        </w:rPr>
        <w:t>APPELLANTS:</w:t>
      </w:r>
      <w:r w:rsidRPr="003447A1">
        <w:rPr>
          <w:rFonts w:ascii="Arial" w:hAnsi="Arial" w:cs="Arial"/>
          <w:sz w:val="24"/>
          <w:szCs w:val="24"/>
          <w:lang w:val="en-GB"/>
        </w:rPr>
        <w:tab/>
        <w:t>R Bhana SC (</w:t>
      </w:r>
      <w:r>
        <w:rPr>
          <w:rFonts w:ascii="Arial" w:hAnsi="Arial" w:cs="Arial"/>
          <w:sz w:val="24"/>
          <w:szCs w:val="24"/>
          <w:lang w:val="en-GB"/>
        </w:rPr>
        <w:t>with him TC</w:t>
      </w:r>
      <w:r w:rsidR="00EA1814">
        <w:rPr>
          <w:rFonts w:ascii="Arial" w:hAnsi="Arial" w:cs="Arial"/>
          <w:sz w:val="24"/>
          <w:szCs w:val="24"/>
          <w:lang w:val="en-GB"/>
        </w:rPr>
        <w:t xml:space="preserve"> Phatela, </w:t>
      </w:r>
      <w:r>
        <w:rPr>
          <w:rFonts w:ascii="Arial" w:hAnsi="Arial" w:cs="Arial"/>
          <w:sz w:val="24"/>
          <w:szCs w:val="24"/>
          <w:lang w:val="en-GB"/>
        </w:rPr>
        <w:t>SJ</w:t>
      </w:r>
      <w:r w:rsidRPr="003447A1">
        <w:rPr>
          <w:rFonts w:ascii="Arial" w:hAnsi="Arial" w:cs="Arial"/>
          <w:sz w:val="24"/>
          <w:szCs w:val="24"/>
          <w:lang w:val="en-GB"/>
        </w:rPr>
        <w:t xml:space="preserve"> Scott</w:t>
      </w:r>
      <w:r w:rsidR="00EA1814">
        <w:rPr>
          <w:rFonts w:ascii="Arial" w:hAnsi="Arial" w:cs="Arial"/>
          <w:sz w:val="24"/>
          <w:szCs w:val="24"/>
          <w:lang w:val="en-GB"/>
        </w:rPr>
        <w:t xml:space="preserve"> and L Murorua</w:t>
      </w:r>
      <w:r w:rsidRPr="003447A1">
        <w:rPr>
          <w:rFonts w:ascii="Arial" w:hAnsi="Arial" w:cs="Arial"/>
          <w:sz w:val="24"/>
          <w:szCs w:val="24"/>
          <w:lang w:val="en-GB"/>
        </w:rPr>
        <w:t>)</w:t>
      </w:r>
    </w:p>
    <w:p w:rsidR="004B494C" w:rsidRPr="003447A1" w:rsidRDefault="004B494C" w:rsidP="00BC2003">
      <w:pPr>
        <w:pStyle w:val="COUNSELDETAILS"/>
        <w:spacing w:line="480" w:lineRule="auto"/>
        <w:rPr>
          <w:rFonts w:ascii="Arial" w:hAnsi="Arial" w:cs="Arial"/>
          <w:sz w:val="24"/>
          <w:szCs w:val="24"/>
          <w:lang w:val="en-GB"/>
        </w:rPr>
      </w:pP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t xml:space="preserve">Instructed by Murorua </w:t>
      </w:r>
      <w:r w:rsidR="00FE3C62">
        <w:rPr>
          <w:rFonts w:ascii="Arial" w:hAnsi="Arial" w:cs="Arial"/>
          <w:sz w:val="24"/>
          <w:szCs w:val="24"/>
          <w:lang w:val="en-GB"/>
        </w:rPr>
        <w:t>Kurtz Kasper Inc</w:t>
      </w:r>
    </w:p>
    <w:p w:rsidR="004B494C" w:rsidRPr="003447A1" w:rsidRDefault="004B494C" w:rsidP="00BC2003">
      <w:pPr>
        <w:pStyle w:val="COUNSELDETAILS"/>
        <w:spacing w:line="480" w:lineRule="auto"/>
        <w:rPr>
          <w:rFonts w:ascii="Arial" w:hAnsi="Arial" w:cs="Arial"/>
          <w:sz w:val="24"/>
          <w:szCs w:val="24"/>
          <w:lang w:val="en-GB"/>
        </w:rPr>
      </w:pPr>
    </w:p>
    <w:p w:rsidR="004B494C" w:rsidRPr="003447A1" w:rsidRDefault="004B494C" w:rsidP="00BC2003">
      <w:pPr>
        <w:pStyle w:val="COUNSELDETAILS"/>
        <w:spacing w:line="480" w:lineRule="auto"/>
        <w:rPr>
          <w:rFonts w:ascii="Arial" w:hAnsi="Arial" w:cs="Arial"/>
          <w:sz w:val="24"/>
          <w:szCs w:val="24"/>
          <w:lang w:val="en-GB"/>
        </w:rPr>
      </w:pPr>
      <w:r w:rsidRPr="003447A1">
        <w:rPr>
          <w:rFonts w:ascii="Arial" w:hAnsi="Arial" w:cs="Arial"/>
          <w:sz w:val="24"/>
          <w:szCs w:val="24"/>
          <w:lang w:val="en-GB"/>
        </w:rPr>
        <w:t>RESPONDENT:</w:t>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t>A Cockrell SC (</w:t>
      </w:r>
      <w:r>
        <w:rPr>
          <w:rFonts w:ascii="Arial" w:hAnsi="Arial" w:cs="Arial"/>
          <w:sz w:val="24"/>
          <w:szCs w:val="24"/>
          <w:lang w:val="en-GB"/>
        </w:rPr>
        <w:t>with</w:t>
      </w:r>
      <w:r w:rsidRPr="003447A1">
        <w:rPr>
          <w:rFonts w:ascii="Arial" w:hAnsi="Arial" w:cs="Arial"/>
          <w:sz w:val="24"/>
          <w:szCs w:val="24"/>
          <w:lang w:val="en-GB"/>
        </w:rPr>
        <w:t xml:space="preserve"> </w:t>
      </w:r>
      <w:r>
        <w:rPr>
          <w:rFonts w:ascii="Arial" w:hAnsi="Arial" w:cs="Arial"/>
          <w:sz w:val="24"/>
          <w:szCs w:val="24"/>
          <w:lang w:val="en-GB"/>
        </w:rPr>
        <w:t xml:space="preserve">him </w:t>
      </w:r>
      <w:r w:rsidRPr="003447A1">
        <w:rPr>
          <w:rFonts w:ascii="Arial" w:hAnsi="Arial" w:cs="Arial"/>
          <w:sz w:val="24"/>
          <w:szCs w:val="24"/>
          <w:lang w:val="en-GB"/>
        </w:rPr>
        <w:t>M Boonzaier)</w:t>
      </w:r>
    </w:p>
    <w:p w:rsidR="004B494C" w:rsidRPr="003447A1" w:rsidRDefault="004B494C" w:rsidP="00BC2003">
      <w:pPr>
        <w:pStyle w:val="COUNSELDETAILS"/>
        <w:spacing w:line="480" w:lineRule="auto"/>
        <w:rPr>
          <w:rFonts w:ascii="Arial" w:hAnsi="Arial" w:cs="Arial"/>
          <w:sz w:val="24"/>
          <w:szCs w:val="24"/>
          <w:lang w:val="en-GB"/>
        </w:rPr>
      </w:pP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r>
      <w:r w:rsidRPr="003447A1">
        <w:rPr>
          <w:rFonts w:ascii="Arial" w:hAnsi="Arial" w:cs="Arial"/>
          <w:sz w:val="24"/>
          <w:szCs w:val="24"/>
          <w:lang w:val="en-GB"/>
        </w:rPr>
        <w:tab/>
        <w:t xml:space="preserve">Instructed by </w:t>
      </w:r>
      <w:r w:rsidRPr="00805B15">
        <w:rPr>
          <w:rFonts w:ascii="Arial" w:hAnsi="Arial" w:cs="Arial"/>
          <w:sz w:val="24"/>
          <w:szCs w:val="24"/>
          <w:lang w:val="en-GB"/>
        </w:rPr>
        <w:t>the Government Attorney</w:t>
      </w:r>
    </w:p>
    <w:p w:rsidR="004B494C" w:rsidRPr="003447A1" w:rsidRDefault="004B494C" w:rsidP="00BC2003">
      <w:pPr>
        <w:pStyle w:val="COUNSELDETAILS"/>
        <w:spacing w:line="480" w:lineRule="auto"/>
        <w:rPr>
          <w:rFonts w:ascii="Arial" w:hAnsi="Arial" w:cs="Arial"/>
          <w:sz w:val="24"/>
          <w:szCs w:val="24"/>
          <w:lang w:val="en-GB"/>
        </w:rPr>
      </w:pPr>
    </w:p>
    <w:p w:rsidR="004B494C" w:rsidRPr="003447A1" w:rsidRDefault="004B494C" w:rsidP="00BC2003">
      <w:pPr>
        <w:spacing w:after="0"/>
        <w:rPr>
          <w:lang w:val="en-GB"/>
        </w:rPr>
      </w:pPr>
    </w:p>
    <w:p w:rsidR="008E4718" w:rsidRDefault="008E4718" w:rsidP="00BC2003">
      <w:pPr>
        <w:spacing w:after="0"/>
      </w:pPr>
    </w:p>
    <w:sectPr w:rsidR="008E4718" w:rsidSect="001470B5">
      <w:headerReference w:type="default" r:id="rId9"/>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AC" w:rsidRDefault="009B39AC" w:rsidP="004B494C">
      <w:pPr>
        <w:spacing w:after="0" w:line="240" w:lineRule="auto"/>
      </w:pPr>
      <w:r>
        <w:separator/>
      </w:r>
    </w:p>
  </w:endnote>
  <w:endnote w:type="continuationSeparator" w:id="0">
    <w:p w:rsidR="009B39AC" w:rsidRDefault="009B39AC" w:rsidP="004B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AC" w:rsidRDefault="009B39AC" w:rsidP="004B494C">
      <w:pPr>
        <w:spacing w:after="0" w:line="240" w:lineRule="auto"/>
      </w:pPr>
      <w:r>
        <w:separator/>
      </w:r>
    </w:p>
  </w:footnote>
  <w:footnote w:type="continuationSeparator" w:id="0">
    <w:p w:rsidR="009B39AC" w:rsidRDefault="009B39AC" w:rsidP="004B494C">
      <w:pPr>
        <w:spacing w:after="0" w:line="240" w:lineRule="auto"/>
      </w:pPr>
      <w:r>
        <w:continuationSeparator/>
      </w:r>
    </w:p>
  </w:footnote>
  <w:footnote w:id="1">
    <w:p w:rsidR="004B494C" w:rsidRPr="00977C02" w:rsidRDefault="004B494C" w:rsidP="004B494C">
      <w:pPr>
        <w:pStyle w:val="FootnoteText"/>
        <w:rPr>
          <w:rFonts w:ascii="Arial" w:hAnsi="Arial"/>
          <w:lang w:val="en-GB"/>
        </w:rPr>
      </w:pPr>
      <w:r w:rsidRPr="00977C02">
        <w:rPr>
          <w:rStyle w:val="FootnoteReference"/>
          <w:rFonts w:ascii="Arial" w:hAnsi="Arial"/>
        </w:rPr>
        <w:footnoteRef/>
      </w:r>
      <w:r w:rsidRPr="00977C02">
        <w:rPr>
          <w:rFonts w:ascii="Arial" w:hAnsi="Arial"/>
        </w:rPr>
        <w:t xml:space="preserve"> </w:t>
      </w:r>
      <w:r w:rsidRPr="00977C02">
        <w:rPr>
          <w:rFonts w:ascii="Arial" w:hAnsi="Arial"/>
          <w:lang w:val="en-GB"/>
        </w:rPr>
        <w:t>Repealed and replaced by the Public Procurement Act 15 of 2015</w:t>
      </w:r>
      <w:r w:rsidR="00977C02">
        <w:rPr>
          <w:rFonts w:ascii="Arial" w:hAnsi="Arial"/>
          <w:lang w:val="en-GB"/>
        </w:rPr>
        <w:t>.</w:t>
      </w:r>
    </w:p>
  </w:footnote>
  <w:footnote w:id="2">
    <w:p w:rsidR="004B494C" w:rsidRPr="00977C02" w:rsidRDefault="004B494C" w:rsidP="00977C02">
      <w:pPr>
        <w:pStyle w:val="FootnoteText"/>
        <w:jc w:val="both"/>
        <w:rPr>
          <w:rFonts w:ascii="Arial" w:hAnsi="Arial"/>
          <w:lang w:val="en-GB"/>
        </w:rPr>
      </w:pPr>
      <w:r>
        <w:rPr>
          <w:rStyle w:val="FootnoteReference"/>
        </w:rPr>
        <w:footnoteRef/>
      </w:r>
      <w:r>
        <w:t xml:space="preserve"> </w:t>
      </w:r>
      <w:r w:rsidRPr="00977C02">
        <w:rPr>
          <w:rFonts w:ascii="Arial" w:hAnsi="Arial"/>
          <w:lang w:val="en-GB"/>
        </w:rPr>
        <w:t xml:space="preserve">This much was recently confirmed by this Court in </w:t>
      </w:r>
      <w:r w:rsidRPr="00977C02">
        <w:rPr>
          <w:rFonts w:ascii="Arial" w:hAnsi="Arial"/>
          <w:i/>
          <w:lang w:val="en-GB"/>
        </w:rPr>
        <w:t>Prosecutor-General v Onesmus Taapopi</w:t>
      </w:r>
      <w:r w:rsidRPr="00977C02">
        <w:rPr>
          <w:rFonts w:ascii="Arial" w:hAnsi="Arial"/>
          <w:lang w:val="en-GB"/>
        </w:rPr>
        <w:t xml:space="preserve"> (SA25-2</w:t>
      </w:r>
      <w:r w:rsidR="00977C02" w:rsidRPr="00977C02">
        <w:rPr>
          <w:rFonts w:ascii="Arial" w:hAnsi="Arial"/>
          <w:lang w:val="en-GB"/>
        </w:rPr>
        <w:t>015)[2017] NASC (19</w:t>
      </w:r>
      <w:r w:rsidR="00977C02">
        <w:rPr>
          <w:rFonts w:ascii="Arial" w:hAnsi="Arial"/>
          <w:lang w:val="en-GB"/>
        </w:rPr>
        <w:t xml:space="preserve"> </w:t>
      </w:r>
      <w:r w:rsidR="00977C02" w:rsidRPr="00977C02">
        <w:rPr>
          <w:rFonts w:ascii="Arial" w:hAnsi="Arial"/>
          <w:lang w:val="en-GB"/>
        </w:rPr>
        <w:t>June 2017)</w:t>
      </w:r>
      <w:r w:rsidR="00977C02">
        <w:rPr>
          <w:rFonts w:ascii="Arial" w:hAnsi="Arial"/>
          <w:lang w:val="en-GB"/>
        </w:rPr>
        <w:t xml:space="preserve"> para 64.</w:t>
      </w:r>
    </w:p>
  </w:footnote>
  <w:footnote w:id="3">
    <w:p w:rsidR="004B494C" w:rsidRPr="00977C02" w:rsidRDefault="004B494C" w:rsidP="004B494C">
      <w:pPr>
        <w:pStyle w:val="FootnoteText"/>
        <w:rPr>
          <w:rFonts w:ascii="Arial" w:hAnsi="Arial"/>
          <w:lang w:val="en-GB"/>
        </w:rPr>
      </w:pPr>
      <w:r w:rsidRPr="00977C02">
        <w:rPr>
          <w:rStyle w:val="FootnoteReference"/>
          <w:rFonts w:ascii="Arial" w:hAnsi="Arial"/>
        </w:rPr>
        <w:footnoteRef/>
      </w:r>
      <w:r w:rsidRPr="00977C02">
        <w:rPr>
          <w:rFonts w:ascii="Arial" w:hAnsi="Arial"/>
        </w:rPr>
        <w:t xml:space="preserve"> </w:t>
      </w:r>
      <w:r w:rsidR="00977C02">
        <w:rPr>
          <w:rFonts w:ascii="Arial" w:hAnsi="Arial"/>
          <w:lang w:val="en-GB"/>
        </w:rPr>
        <w:t>1984 (3) SA 623 (A).</w:t>
      </w:r>
    </w:p>
  </w:footnote>
  <w:footnote w:id="4">
    <w:p w:rsidR="004B494C" w:rsidRPr="007F184F" w:rsidRDefault="004B494C" w:rsidP="004B494C">
      <w:pPr>
        <w:pStyle w:val="FootnoteText"/>
        <w:rPr>
          <w:rFonts w:ascii="Arial" w:hAnsi="Arial"/>
          <w:lang w:val="en-GB"/>
        </w:rPr>
      </w:pPr>
      <w:r>
        <w:rPr>
          <w:rStyle w:val="FootnoteReference"/>
        </w:rPr>
        <w:footnoteRef/>
      </w:r>
      <w:r>
        <w:t xml:space="preserve"> </w:t>
      </w:r>
      <w:r w:rsidRPr="007F184F">
        <w:rPr>
          <w:rFonts w:ascii="Arial" w:hAnsi="Arial"/>
          <w:lang w:val="en-GB"/>
        </w:rPr>
        <w:t>2005 (2) SA 359 para 35</w:t>
      </w:r>
      <w:r w:rsidR="007F184F">
        <w:rPr>
          <w:rFonts w:ascii="Arial" w:hAnsi="Arial"/>
          <w:lang w:val="en-GB"/>
        </w:rPr>
        <w:t>.</w:t>
      </w:r>
    </w:p>
  </w:footnote>
  <w:footnote w:id="5">
    <w:p w:rsidR="004B494C" w:rsidRPr="007F184F" w:rsidRDefault="004B494C" w:rsidP="004B494C">
      <w:pPr>
        <w:pStyle w:val="FootnoteText"/>
        <w:rPr>
          <w:rFonts w:ascii="Arial" w:hAnsi="Arial"/>
          <w:lang w:val="en-GB"/>
        </w:rPr>
      </w:pPr>
      <w:r w:rsidRPr="007F184F">
        <w:rPr>
          <w:rStyle w:val="FootnoteReference"/>
          <w:rFonts w:ascii="Arial" w:hAnsi="Arial"/>
        </w:rPr>
        <w:footnoteRef/>
      </w:r>
      <w:r w:rsidRPr="007F184F">
        <w:rPr>
          <w:rFonts w:ascii="Arial" w:hAnsi="Arial"/>
        </w:rPr>
        <w:t xml:space="preserve"> </w:t>
      </w:r>
      <w:r w:rsidRPr="007F184F">
        <w:rPr>
          <w:rFonts w:ascii="Arial" w:hAnsi="Arial"/>
          <w:i/>
          <w:lang w:val="en-GB"/>
        </w:rPr>
        <w:t>Room Hire Co (Pty) Ltd v Jeppe Street Mansions (Pty ) Ltd</w:t>
      </w:r>
      <w:r w:rsidRPr="007F184F">
        <w:rPr>
          <w:rFonts w:ascii="Arial" w:hAnsi="Arial"/>
          <w:lang w:val="en-GB"/>
        </w:rPr>
        <w:t xml:space="preserve"> 1949 (3) SA 1155 at 1165</w:t>
      </w:r>
      <w:r w:rsidR="007F184F">
        <w:rPr>
          <w:rFonts w:ascii="Arial" w:hAnsi="Arial"/>
          <w:lang w:val="en-GB"/>
        </w:rPr>
        <w:t>.</w:t>
      </w:r>
    </w:p>
  </w:footnote>
  <w:footnote w:id="6">
    <w:p w:rsidR="004B494C" w:rsidRPr="007F184F" w:rsidRDefault="004B494C" w:rsidP="004B494C">
      <w:pPr>
        <w:pStyle w:val="FootnoteText"/>
        <w:rPr>
          <w:rFonts w:ascii="Arial" w:hAnsi="Arial"/>
          <w:lang w:val="en-GB"/>
        </w:rPr>
      </w:pPr>
      <w:r w:rsidRPr="007F184F">
        <w:rPr>
          <w:rStyle w:val="FootnoteReference"/>
          <w:rFonts w:ascii="Arial" w:hAnsi="Arial"/>
        </w:rPr>
        <w:footnoteRef/>
      </w:r>
      <w:r w:rsidRPr="007F184F">
        <w:rPr>
          <w:rFonts w:ascii="Arial" w:hAnsi="Arial"/>
        </w:rPr>
        <w:t xml:space="preserve"> </w:t>
      </w:r>
      <w:r w:rsidRPr="007F184F">
        <w:rPr>
          <w:rFonts w:ascii="Arial" w:hAnsi="Arial"/>
          <w:i/>
          <w:lang w:val="en-GB"/>
        </w:rPr>
        <w:t>Soffiantini v Mould</w:t>
      </w:r>
      <w:r w:rsidRPr="007F184F">
        <w:rPr>
          <w:rFonts w:ascii="Arial" w:hAnsi="Arial"/>
          <w:lang w:val="en-GB"/>
        </w:rPr>
        <w:t xml:space="preserve"> 1956 (4) SA 150 (E) at 154G</w:t>
      </w:r>
      <w:r w:rsidR="007F184F">
        <w:rPr>
          <w:rFonts w:ascii="Arial" w:hAnsi="Arial"/>
          <w:lang w:val="en-GB"/>
        </w:rPr>
        <w:t>.</w:t>
      </w:r>
    </w:p>
  </w:footnote>
  <w:footnote w:id="7">
    <w:p w:rsidR="004B494C" w:rsidRPr="00AF0239" w:rsidRDefault="004B494C" w:rsidP="00BC2003">
      <w:pPr>
        <w:pStyle w:val="FootnoteText"/>
      </w:pPr>
      <w:r w:rsidRPr="00AF0239">
        <w:rPr>
          <w:rStyle w:val="FootnoteReference"/>
        </w:rPr>
        <w:footnoteRef/>
      </w:r>
      <w:r w:rsidRPr="00AF0239">
        <w:t xml:space="preserve"> </w:t>
      </w:r>
      <w:r w:rsidRPr="002078B1">
        <w:rPr>
          <w:rFonts w:ascii="Arial" w:hAnsi="Arial"/>
          <w:i/>
        </w:rPr>
        <w:t>Truth Verification Testing Centre CC v PSE Truth Detection CC</w:t>
      </w:r>
      <w:r w:rsidRPr="002078B1">
        <w:rPr>
          <w:rFonts w:ascii="Arial" w:hAnsi="Arial"/>
        </w:rPr>
        <w:t xml:space="preserve"> 1998 </w:t>
      </w:r>
      <w:r>
        <w:rPr>
          <w:rFonts w:ascii="Arial" w:hAnsi="Arial"/>
        </w:rPr>
        <w:t>(</w:t>
      </w:r>
      <w:r w:rsidRPr="002078B1">
        <w:rPr>
          <w:rFonts w:ascii="Arial" w:hAnsi="Arial"/>
        </w:rPr>
        <w:t>2</w:t>
      </w:r>
      <w:r>
        <w:rPr>
          <w:rFonts w:ascii="Arial" w:hAnsi="Arial"/>
        </w:rPr>
        <w:t>)</w:t>
      </w:r>
      <w:r w:rsidRPr="002078B1">
        <w:rPr>
          <w:rFonts w:ascii="Arial" w:hAnsi="Arial"/>
        </w:rPr>
        <w:t xml:space="preserve"> SA 689 (W) at 699F-G</w:t>
      </w:r>
      <w:r w:rsidRPr="00AF0239">
        <w:t xml:space="preserve">  </w:t>
      </w:r>
    </w:p>
  </w:footnote>
  <w:footnote w:id="8">
    <w:p w:rsidR="004B494C" w:rsidRPr="002078B1" w:rsidRDefault="004B494C" w:rsidP="00BC2003">
      <w:pPr>
        <w:pStyle w:val="FootnoteText"/>
        <w:rPr>
          <w:lang w:val="en-GB"/>
        </w:rPr>
      </w:pPr>
      <w:r>
        <w:rPr>
          <w:rStyle w:val="FootnoteReference"/>
        </w:rPr>
        <w:footnoteRef/>
      </w:r>
      <w:r>
        <w:t xml:space="preserve"> </w:t>
      </w:r>
      <w:r w:rsidRPr="002078B1">
        <w:rPr>
          <w:rFonts w:ascii="Arial" w:hAnsi="Arial"/>
          <w:i/>
          <w:lang w:val="en-GB"/>
        </w:rPr>
        <w:t>Soffiantini v Mould</w:t>
      </w:r>
      <w:r w:rsidRPr="002078B1">
        <w:rPr>
          <w:rFonts w:ascii="Arial" w:hAnsi="Arial"/>
          <w:lang w:val="en-GB"/>
        </w:rPr>
        <w:t xml:space="preserve"> read with </w:t>
      </w:r>
      <w:r w:rsidRPr="002078B1">
        <w:rPr>
          <w:rFonts w:ascii="Arial" w:hAnsi="Arial"/>
          <w:i/>
          <w:lang w:val="en-GB"/>
        </w:rPr>
        <w:t>Truth Verification Testing Centre</w:t>
      </w:r>
      <w:r>
        <w:rPr>
          <w:rFonts w:ascii="Arial" w:hAnsi="Arial"/>
          <w:i/>
          <w:lang w:val="en-GB"/>
        </w:rPr>
        <w:t xml:space="preserve"> case</w:t>
      </w:r>
      <w:r w:rsidRPr="002078B1">
        <w:rPr>
          <w:rFonts w:ascii="Arial" w:hAnsi="Arial"/>
          <w:lang w:val="en-GB"/>
        </w:rPr>
        <w:t xml:space="preserve"> at </w:t>
      </w:r>
      <w:r w:rsidRPr="00E14F0A">
        <w:rPr>
          <w:rFonts w:ascii="Arial" w:hAnsi="Arial"/>
          <w:lang w:val="en-GB"/>
        </w:rPr>
        <w:t>698</w:t>
      </w:r>
      <w:r>
        <w:rPr>
          <w:rFonts w:ascii="Arial" w:hAnsi="Arial"/>
          <w:lang w:val="en-GB"/>
        </w:rPr>
        <w:t>I</w:t>
      </w:r>
      <w:r>
        <w:rPr>
          <w:lang w:val="en-GB"/>
        </w:rPr>
        <w:t xml:space="preserve"> </w:t>
      </w:r>
    </w:p>
  </w:footnote>
  <w:footnote w:id="9">
    <w:p w:rsidR="004B494C" w:rsidRPr="00421753" w:rsidRDefault="004B494C" w:rsidP="004B494C">
      <w:pPr>
        <w:pStyle w:val="FootnoteText"/>
        <w:rPr>
          <w:lang w:val="en-GB"/>
        </w:rPr>
      </w:pPr>
      <w:r>
        <w:rPr>
          <w:rStyle w:val="FootnoteReference"/>
        </w:rPr>
        <w:footnoteRef/>
      </w:r>
      <w:r w:rsidR="00B66750">
        <w:t xml:space="preserve"> </w:t>
      </w:r>
      <w:r w:rsidR="00B66750" w:rsidRPr="00B66750">
        <w:rPr>
          <w:rFonts w:ascii="Arial" w:hAnsi="Arial"/>
        </w:rPr>
        <w:t>2010 (2) NR 487 (SC).</w:t>
      </w:r>
    </w:p>
  </w:footnote>
  <w:footnote w:id="10">
    <w:p w:rsidR="004B494C" w:rsidRPr="009052BF" w:rsidRDefault="004B494C" w:rsidP="004B494C">
      <w:pPr>
        <w:pStyle w:val="FootnoteText"/>
        <w:rPr>
          <w:rFonts w:ascii="Arial" w:hAnsi="Arial"/>
          <w:lang w:val="en-GB"/>
        </w:rPr>
      </w:pPr>
      <w:r w:rsidRPr="009052BF">
        <w:rPr>
          <w:rStyle w:val="FootnoteReference"/>
          <w:rFonts w:ascii="Arial" w:hAnsi="Arial"/>
        </w:rPr>
        <w:footnoteRef/>
      </w:r>
      <w:r w:rsidRPr="009052BF">
        <w:rPr>
          <w:rFonts w:ascii="Arial" w:hAnsi="Arial"/>
        </w:rPr>
        <w:t xml:space="preserve"> JRL Milton </w:t>
      </w:r>
      <w:r w:rsidRPr="009052BF">
        <w:rPr>
          <w:rFonts w:ascii="Arial" w:hAnsi="Arial"/>
          <w:i/>
          <w:lang w:val="en-GB"/>
        </w:rPr>
        <w:t>South African Criminal Law and Procedure</w:t>
      </w:r>
      <w:r w:rsidRPr="009052BF">
        <w:rPr>
          <w:rFonts w:ascii="Arial" w:hAnsi="Arial"/>
          <w:lang w:val="en-GB"/>
        </w:rPr>
        <w:t xml:space="preserve">, </w:t>
      </w:r>
      <w:r w:rsidRPr="009052BF">
        <w:rPr>
          <w:rFonts w:ascii="Arial" w:hAnsi="Arial"/>
          <w:i/>
          <w:lang w:val="en-GB"/>
        </w:rPr>
        <w:t>Vol II</w:t>
      </w:r>
      <w:r w:rsidRPr="009052BF">
        <w:rPr>
          <w:rFonts w:ascii="Arial" w:hAnsi="Arial"/>
          <w:lang w:val="en-GB"/>
        </w:rPr>
        <w:t>, at 702</w:t>
      </w:r>
      <w:r w:rsidR="009052BF">
        <w:rPr>
          <w:rFonts w:ascii="Arial" w:hAnsi="Arial"/>
          <w:lang w:val="en-GB"/>
        </w:rPr>
        <w:t>.</w:t>
      </w:r>
    </w:p>
  </w:footnote>
  <w:footnote w:id="11">
    <w:p w:rsidR="004B494C" w:rsidRPr="00D042ED" w:rsidRDefault="004B494C" w:rsidP="004B494C">
      <w:pPr>
        <w:pStyle w:val="FootnoteText"/>
        <w:rPr>
          <w:rFonts w:ascii="Arial" w:hAnsi="Arial"/>
          <w:lang w:val="en-US"/>
        </w:rPr>
      </w:pPr>
      <w:r w:rsidRPr="00D042ED">
        <w:rPr>
          <w:rStyle w:val="FootnoteReference"/>
          <w:rFonts w:ascii="Arial" w:hAnsi="Arial"/>
        </w:rPr>
        <w:footnoteRef/>
      </w:r>
      <w:r w:rsidRPr="00D042ED">
        <w:rPr>
          <w:rFonts w:ascii="Arial" w:hAnsi="Arial"/>
        </w:rPr>
        <w:t xml:space="preserve"> Case No.</w:t>
      </w:r>
      <w:r w:rsidRPr="00D042ED">
        <w:rPr>
          <w:rFonts w:ascii="Arial" w:hAnsi="Arial"/>
          <w:lang w:val="en-US"/>
        </w:rPr>
        <w:t xml:space="preserve"> POCA 4/2013 [2013] NAHCMD 300, delivered on 24 October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8A" w:rsidRPr="00F44AFB" w:rsidRDefault="006A77BA">
    <w:pPr>
      <w:pStyle w:val="Header"/>
      <w:jc w:val="right"/>
      <w:rPr>
        <w:rFonts w:ascii="Arial" w:hAnsi="Arial"/>
        <w:sz w:val="24"/>
        <w:szCs w:val="24"/>
      </w:rPr>
    </w:pPr>
    <w:r w:rsidRPr="00F44AFB">
      <w:rPr>
        <w:rFonts w:ascii="Arial" w:hAnsi="Arial"/>
        <w:sz w:val="24"/>
        <w:szCs w:val="24"/>
      </w:rPr>
      <w:fldChar w:fldCharType="begin"/>
    </w:r>
    <w:r w:rsidRPr="00F44AFB">
      <w:rPr>
        <w:rFonts w:ascii="Arial" w:hAnsi="Arial"/>
        <w:sz w:val="24"/>
        <w:szCs w:val="24"/>
      </w:rPr>
      <w:instrText xml:space="preserve"> PAGE   \* MERGEFORMAT </w:instrText>
    </w:r>
    <w:r w:rsidRPr="00F44AFB">
      <w:rPr>
        <w:rFonts w:ascii="Arial" w:hAnsi="Arial"/>
        <w:sz w:val="24"/>
        <w:szCs w:val="24"/>
      </w:rPr>
      <w:fldChar w:fldCharType="separate"/>
    </w:r>
    <w:r w:rsidR="00966FDA">
      <w:rPr>
        <w:rFonts w:ascii="Arial" w:hAnsi="Arial"/>
        <w:noProof/>
        <w:sz w:val="24"/>
        <w:szCs w:val="24"/>
      </w:rPr>
      <w:t>2</w:t>
    </w:r>
    <w:r w:rsidRPr="00F44AFB">
      <w:rPr>
        <w:rFonts w:ascii="Arial" w:hAnsi="Arial"/>
        <w:noProof/>
        <w:sz w:val="24"/>
        <w:szCs w:val="24"/>
      </w:rPr>
      <w:fldChar w:fldCharType="end"/>
    </w:r>
  </w:p>
  <w:p w:rsidR="0047498A" w:rsidRDefault="00474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9EB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5EE3"/>
    <w:multiLevelType w:val="hybridMultilevel"/>
    <w:tmpl w:val="B748E51E"/>
    <w:lvl w:ilvl="0" w:tplc="FFFFFFFF">
      <w:start w:val="11"/>
      <w:numFmt w:val="bullet"/>
      <w:lvlText w:val="-"/>
      <w:lvlJc w:val="left"/>
      <w:pPr>
        <w:tabs>
          <w:tab w:val="num" w:pos="1437"/>
        </w:tabs>
        <w:ind w:left="1437" w:hanging="870"/>
      </w:pPr>
      <w:rPr>
        <w:rFonts w:ascii="Arial" w:eastAsia="Times New Roman" w:hAnsi="Arial" w:cs="Aria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1AE24F9"/>
    <w:multiLevelType w:val="hybridMultilevel"/>
    <w:tmpl w:val="6B4E05CC"/>
    <w:lvl w:ilvl="0" w:tplc="CB1CA46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5792070"/>
    <w:multiLevelType w:val="hybridMultilevel"/>
    <w:tmpl w:val="BCFE1288"/>
    <w:lvl w:ilvl="0" w:tplc="02BA169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8333B61"/>
    <w:multiLevelType w:val="hybridMultilevel"/>
    <w:tmpl w:val="610A2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5A7A26"/>
    <w:multiLevelType w:val="hybridMultilevel"/>
    <w:tmpl w:val="902C8E3A"/>
    <w:lvl w:ilvl="0" w:tplc="C19646C0">
      <w:start w:val="1"/>
      <w:numFmt w:val="decimal"/>
      <w:pStyle w:val="JUDGMENTNUMBERED"/>
      <w:lvlText w:val="[%1]"/>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12C0C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7257F"/>
    <w:multiLevelType w:val="hybridMultilevel"/>
    <w:tmpl w:val="FE42F10A"/>
    <w:lvl w:ilvl="0" w:tplc="9F924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EA542C"/>
    <w:multiLevelType w:val="hybridMultilevel"/>
    <w:tmpl w:val="D32A7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E102F0B"/>
    <w:multiLevelType w:val="hybridMultilevel"/>
    <w:tmpl w:val="B00415C2"/>
    <w:lvl w:ilvl="0" w:tplc="3D8A35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48C7C47"/>
    <w:multiLevelType w:val="hybridMultilevel"/>
    <w:tmpl w:val="EDC8B0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61848AC"/>
    <w:multiLevelType w:val="hybridMultilevel"/>
    <w:tmpl w:val="1A5469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61C73E1"/>
    <w:multiLevelType w:val="hybridMultilevel"/>
    <w:tmpl w:val="DECA969C"/>
    <w:lvl w:ilvl="0" w:tplc="67B4FA7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63756"/>
    <w:multiLevelType w:val="hybridMultilevel"/>
    <w:tmpl w:val="370E5E3E"/>
    <w:lvl w:ilvl="0" w:tplc="9F924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0313B"/>
    <w:multiLevelType w:val="hybridMultilevel"/>
    <w:tmpl w:val="9E908572"/>
    <w:lvl w:ilvl="0" w:tplc="6A606DE4">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BA00BD1"/>
    <w:multiLevelType w:val="hybridMultilevel"/>
    <w:tmpl w:val="2336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558B"/>
    <w:multiLevelType w:val="hybridMultilevel"/>
    <w:tmpl w:val="D6DC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33F5E03"/>
    <w:multiLevelType w:val="hybridMultilevel"/>
    <w:tmpl w:val="34A4C9BC"/>
    <w:lvl w:ilvl="0" w:tplc="2CE4B1F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2909A6"/>
    <w:multiLevelType w:val="hybridMultilevel"/>
    <w:tmpl w:val="1A5EECE8"/>
    <w:lvl w:ilvl="0" w:tplc="7D3CD2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331431"/>
    <w:multiLevelType w:val="hybridMultilevel"/>
    <w:tmpl w:val="1D8AA784"/>
    <w:lvl w:ilvl="0" w:tplc="4954993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40127F"/>
    <w:multiLevelType w:val="hybridMultilevel"/>
    <w:tmpl w:val="E95AE2F8"/>
    <w:lvl w:ilvl="0" w:tplc="181E98F2">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2F9105C4"/>
    <w:multiLevelType w:val="hybridMultilevel"/>
    <w:tmpl w:val="A094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420AE"/>
    <w:multiLevelType w:val="hybridMultilevel"/>
    <w:tmpl w:val="DC7CFFBC"/>
    <w:lvl w:ilvl="0" w:tplc="02BA169C">
      <w:start w:val="1"/>
      <w:numFmt w:val="low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C12646"/>
    <w:multiLevelType w:val="hybridMultilevel"/>
    <w:tmpl w:val="4CCC8134"/>
    <w:lvl w:ilvl="0" w:tplc="A44EF4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39C322CE"/>
    <w:multiLevelType w:val="multilevel"/>
    <w:tmpl w:val="48F6522E"/>
    <w:lvl w:ilvl="0">
      <w:start w:val="1"/>
      <w:numFmt w:val="decimal"/>
      <w:lvlText w:val="%1."/>
      <w:lvlJc w:val="left"/>
      <w:pPr>
        <w:ind w:left="3600" w:hanging="72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440" w:hanging="1800"/>
      </w:pPr>
      <w:rPr>
        <w:rFonts w:hint="default"/>
      </w:rPr>
    </w:lvl>
  </w:abstractNum>
  <w:abstractNum w:abstractNumId="24" w15:restartNumberingAfterBreak="0">
    <w:nsid w:val="3EDF2686"/>
    <w:multiLevelType w:val="hybridMultilevel"/>
    <w:tmpl w:val="51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3FC5"/>
    <w:multiLevelType w:val="hybridMultilevel"/>
    <w:tmpl w:val="3A3A3BAA"/>
    <w:lvl w:ilvl="0" w:tplc="9F924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C50C1"/>
    <w:multiLevelType w:val="hybridMultilevel"/>
    <w:tmpl w:val="EF122DEC"/>
    <w:lvl w:ilvl="0" w:tplc="9F9240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C10CA"/>
    <w:multiLevelType w:val="hybridMultilevel"/>
    <w:tmpl w:val="4EF0DB3A"/>
    <w:lvl w:ilvl="0" w:tplc="487073DC">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89E7F5B"/>
    <w:multiLevelType w:val="hybridMultilevel"/>
    <w:tmpl w:val="D35C15F4"/>
    <w:lvl w:ilvl="0" w:tplc="E6E8F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0" w15:restartNumberingAfterBreak="0">
    <w:nsid w:val="668E13B2"/>
    <w:multiLevelType w:val="hybridMultilevel"/>
    <w:tmpl w:val="2C58B2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2B6822"/>
    <w:multiLevelType w:val="hybridMultilevel"/>
    <w:tmpl w:val="48E4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AF9193D"/>
    <w:multiLevelType w:val="hybridMultilevel"/>
    <w:tmpl w:val="FBC435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6D121BAC"/>
    <w:multiLevelType w:val="hybridMultilevel"/>
    <w:tmpl w:val="0DDAB7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8C30D5"/>
    <w:multiLevelType w:val="hybridMultilevel"/>
    <w:tmpl w:val="172C71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7DBB536F"/>
    <w:multiLevelType w:val="hybridMultilevel"/>
    <w:tmpl w:val="1B3C4F06"/>
    <w:lvl w:ilvl="0" w:tplc="9F924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51459"/>
    <w:multiLevelType w:val="hybridMultilevel"/>
    <w:tmpl w:val="A460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00911"/>
    <w:multiLevelType w:val="hybridMultilevel"/>
    <w:tmpl w:val="9B208E64"/>
    <w:lvl w:ilvl="0" w:tplc="F4702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2"/>
  </w:num>
  <w:num w:numId="3">
    <w:abstractNumId w:val="9"/>
  </w:num>
  <w:num w:numId="4">
    <w:abstractNumId w:val="17"/>
  </w:num>
  <w:num w:numId="5">
    <w:abstractNumId w:val="33"/>
  </w:num>
  <w:num w:numId="6">
    <w:abstractNumId w:val="30"/>
  </w:num>
  <w:num w:numId="7">
    <w:abstractNumId w:val="10"/>
  </w:num>
  <w:num w:numId="8">
    <w:abstractNumId w:val="16"/>
  </w:num>
  <w:num w:numId="9">
    <w:abstractNumId w:val="18"/>
  </w:num>
  <w:num w:numId="10">
    <w:abstractNumId w:val="37"/>
  </w:num>
  <w:num w:numId="11">
    <w:abstractNumId w:val="2"/>
  </w:num>
  <w:num w:numId="12">
    <w:abstractNumId w:val="31"/>
  </w:num>
  <w:num w:numId="13">
    <w:abstractNumId w:val="4"/>
  </w:num>
  <w:num w:numId="14">
    <w:abstractNumId w:val="7"/>
  </w:num>
  <w:num w:numId="15">
    <w:abstractNumId w:val="15"/>
  </w:num>
  <w:num w:numId="16">
    <w:abstractNumId w:val="0"/>
  </w:num>
  <w:num w:numId="17">
    <w:abstractNumId w:val="20"/>
  </w:num>
  <w:num w:numId="18">
    <w:abstractNumId w:val="36"/>
  </w:num>
  <w:num w:numId="19">
    <w:abstractNumId w:val="22"/>
  </w:num>
  <w:num w:numId="20">
    <w:abstractNumId w:val="24"/>
  </w:num>
  <w:num w:numId="21">
    <w:abstractNumId w:val="5"/>
  </w:num>
  <w:num w:numId="22">
    <w:abstractNumId w:val="23"/>
  </w:num>
  <w:num w:numId="23">
    <w:abstractNumId w:val="8"/>
  </w:num>
  <w:num w:numId="24">
    <w:abstractNumId w:val="28"/>
  </w:num>
  <w:num w:numId="25">
    <w:abstractNumId w:val="14"/>
  </w:num>
  <w:num w:numId="26">
    <w:abstractNumId w:val="27"/>
  </w:num>
  <w:num w:numId="27">
    <w:abstractNumId w:val="11"/>
  </w:num>
  <w:num w:numId="28">
    <w:abstractNumId w:val="26"/>
  </w:num>
  <w:num w:numId="29">
    <w:abstractNumId w:val="6"/>
  </w:num>
  <w:num w:numId="30">
    <w:abstractNumId w:val="29"/>
  </w:num>
  <w:num w:numId="31">
    <w:abstractNumId w:val="35"/>
  </w:num>
  <w:num w:numId="32">
    <w:abstractNumId w:val="12"/>
  </w:num>
  <w:num w:numId="33">
    <w:abstractNumId w:val="1"/>
  </w:num>
  <w:num w:numId="34">
    <w:abstractNumId w:val="25"/>
  </w:num>
  <w:num w:numId="35">
    <w:abstractNumId w:val="13"/>
  </w:num>
  <w:num w:numId="36">
    <w:abstractNumId w:val="3"/>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4C"/>
    <w:rsid w:val="000340AE"/>
    <w:rsid w:val="0007687E"/>
    <w:rsid w:val="000B3709"/>
    <w:rsid w:val="00127478"/>
    <w:rsid w:val="0013001E"/>
    <w:rsid w:val="001470B5"/>
    <w:rsid w:val="001516CB"/>
    <w:rsid w:val="001F237D"/>
    <w:rsid w:val="00205A6E"/>
    <w:rsid w:val="00245D7F"/>
    <w:rsid w:val="0025257E"/>
    <w:rsid w:val="00254C58"/>
    <w:rsid w:val="00257C62"/>
    <w:rsid w:val="00290E84"/>
    <w:rsid w:val="00294FFF"/>
    <w:rsid w:val="002A2902"/>
    <w:rsid w:val="00310B56"/>
    <w:rsid w:val="003C4BC9"/>
    <w:rsid w:val="003E401C"/>
    <w:rsid w:val="00447631"/>
    <w:rsid w:val="00474095"/>
    <w:rsid w:val="0047498A"/>
    <w:rsid w:val="004B494C"/>
    <w:rsid w:val="004D17C7"/>
    <w:rsid w:val="00504B15"/>
    <w:rsid w:val="00532D77"/>
    <w:rsid w:val="0055707A"/>
    <w:rsid w:val="0057474A"/>
    <w:rsid w:val="00580324"/>
    <w:rsid w:val="00586DEA"/>
    <w:rsid w:val="005A23ED"/>
    <w:rsid w:val="005B7EA2"/>
    <w:rsid w:val="005D4AED"/>
    <w:rsid w:val="005D7698"/>
    <w:rsid w:val="005F7548"/>
    <w:rsid w:val="006169F9"/>
    <w:rsid w:val="00630231"/>
    <w:rsid w:val="0064797E"/>
    <w:rsid w:val="006811CE"/>
    <w:rsid w:val="006952C2"/>
    <w:rsid w:val="006A77BA"/>
    <w:rsid w:val="006B38E4"/>
    <w:rsid w:val="006E50EE"/>
    <w:rsid w:val="006F6922"/>
    <w:rsid w:val="007470D6"/>
    <w:rsid w:val="007717CC"/>
    <w:rsid w:val="00777239"/>
    <w:rsid w:val="007C0A98"/>
    <w:rsid w:val="007F184F"/>
    <w:rsid w:val="00841B42"/>
    <w:rsid w:val="008E44F3"/>
    <w:rsid w:val="008E4718"/>
    <w:rsid w:val="008F5FC6"/>
    <w:rsid w:val="009052BF"/>
    <w:rsid w:val="00920D62"/>
    <w:rsid w:val="00966FDA"/>
    <w:rsid w:val="00977C02"/>
    <w:rsid w:val="00983814"/>
    <w:rsid w:val="00985053"/>
    <w:rsid w:val="00987872"/>
    <w:rsid w:val="00995021"/>
    <w:rsid w:val="009A0F21"/>
    <w:rsid w:val="009B0579"/>
    <w:rsid w:val="009B39AC"/>
    <w:rsid w:val="00A017A4"/>
    <w:rsid w:val="00A07196"/>
    <w:rsid w:val="00A17C4E"/>
    <w:rsid w:val="00A574D2"/>
    <w:rsid w:val="00A90D27"/>
    <w:rsid w:val="00A94767"/>
    <w:rsid w:val="00A956A4"/>
    <w:rsid w:val="00AA6BA7"/>
    <w:rsid w:val="00AA73E6"/>
    <w:rsid w:val="00AC2CD8"/>
    <w:rsid w:val="00AD6557"/>
    <w:rsid w:val="00B02067"/>
    <w:rsid w:val="00B32FD3"/>
    <w:rsid w:val="00B34CC3"/>
    <w:rsid w:val="00B412E3"/>
    <w:rsid w:val="00B5477B"/>
    <w:rsid w:val="00B66750"/>
    <w:rsid w:val="00BC2003"/>
    <w:rsid w:val="00BC49DE"/>
    <w:rsid w:val="00BD674F"/>
    <w:rsid w:val="00BE64B6"/>
    <w:rsid w:val="00C63C78"/>
    <w:rsid w:val="00C8416E"/>
    <w:rsid w:val="00C84C8E"/>
    <w:rsid w:val="00C97428"/>
    <w:rsid w:val="00CD0E56"/>
    <w:rsid w:val="00D042ED"/>
    <w:rsid w:val="00DA0D1C"/>
    <w:rsid w:val="00DE24CE"/>
    <w:rsid w:val="00E44FDC"/>
    <w:rsid w:val="00E46A42"/>
    <w:rsid w:val="00E9755F"/>
    <w:rsid w:val="00EA1814"/>
    <w:rsid w:val="00EB0C07"/>
    <w:rsid w:val="00EC5CE3"/>
    <w:rsid w:val="00ED0E6D"/>
    <w:rsid w:val="00ED396F"/>
    <w:rsid w:val="00EE609D"/>
    <w:rsid w:val="00EE7A7A"/>
    <w:rsid w:val="00F31F4D"/>
    <w:rsid w:val="00F40980"/>
    <w:rsid w:val="00F53836"/>
    <w:rsid w:val="00FE3C62"/>
    <w:rsid w:val="00FF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E0D00-39FA-4D8A-B6EB-BE75F475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4C"/>
    <w:rPr>
      <w:rFonts w:ascii="Calibri" w:eastAsia="Calibri" w:hAnsi="Calibri" w:cs="Arial"/>
      <w:lang w:val="en-ZA"/>
    </w:rPr>
  </w:style>
  <w:style w:type="paragraph" w:styleId="Heading2">
    <w:name w:val="heading 2"/>
    <w:basedOn w:val="Normal"/>
    <w:link w:val="Heading2Char"/>
    <w:uiPriority w:val="9"/>
    <w:qFormat/>
    <w:rsid w:val="004B494C"/>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94C"/>
    <w:rPr>
      <w:rFonts w:ascii="Times New Roman" w:eastAsia="Calibri" w:hAnsi="Times New Roman" w:cs="Times New Roman"/>
      <w:b/>
      <w:bCs/>
      <w:sz w:val="36"/>
      <w:szCs w:val="36"/>
      <w:lang w:val="en-US"/>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unhideWhenUsed/>
    <w:qFormat/>
    <w:rsid w:val="004B494C"/>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4B494C"/>
    <w:rPr>
      <w:rFonts w:ascii="Calibri" w:eastAsia="Calibri" w:hAnsi="Calibri" w:cs="Arial"/>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4B494C"/>
    <w:rPr>
      <w:vertAlign w:val="superscript"/>
    </w:rPr>
  </w:style>
  <w:style w:type="paragraph" w:styleId="BalloonText">
    <w:name w:val="Balloon Text"/>
    <w:basedOn w:val="Normal"/>
    <w:link w:val="BalloonTextChar"/>
    <w:uiPriority w:val="99"/>
    <w:semiHidden/>
    <w:unhideWhenUsed/>
    <w:rsid w:val="004B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4C"/>
    <w:rPr>
      <w:rFonts w:ascii="Tahoma" w:eastAsia="Calibri" w:hAnsi="Tahoma" w:cs="Tahoma"/>
      <w:sz w:val="16"/>
      <w:szCs w:val="16"/>
      <w:lang w:val="en-ZA"/>
    </w:rPr>
  </w:style>
  <w:style w:type="paragraph" w:styleId="Header">
    <w:name w:val="header"/>
    <w:basedOn w:val="Normal"/>
    <w:link w:val="HeaderChar"/>
    <w:uiPriority w:val="99"/>
    <w:unhideWhenUsed/>
    <w:rsid w:val="004B4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4C"/>
    <w:rPr>
      <w:rFonts w:ascii="Calibri" w:eastAsia="Calibri" w:hAnsi="Calibri" w:cs="Arial"/>
      <w:lang w:val="en-ZA"/>
    </w:rPr>
  </w:style>
  <w:style w:type="paragraph" w:styleId="Footer">
    <w:name w:val="footer"/>
    <w:basedOn w:val="Normal"/>
    <w:link w:val="FooterChar"/>
    <w:uiPriority w:val="99"/>
    <w:unhideWhenUsed/>
    <w:rsid w:val="004B4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4C"/>
    <w:rPr>
      <w:rFonts w:ascii="Calibri" w:eastAsia="Calibri" w:hAnsi="Calibri" w:cs="Arial"/>
      <w:lang w:val="en-ZA"/>
    </w:rPr>
  </w:style>
  <w:style w:type="character" w:styleId="CommentReference">
    <w:name w:val="annotation reference"/>
    <w:uiPriority w:val="99"/>
    <w:semiHidden/>
    <w:unhideWhenUsed/>
    <w:rsid w:val="004B494C"/>
    <w:rPr>
      <w:sz w:val="16"/>
      <w:szCs w:val="16"/>
    </w:rPr>
  </w:style>
  <w:style w:type="paragraph" w:styleId="CommentText">
    <w:name w:val="annotation text"/>
    <w:basedOn w:val="Normal"/>
    <w:link w:val="CommentTextChar"/>
    <w:uiPriority w:val="99"/>
    <w:semiHidden/>
    <w:unhideWhenUsed/>
    <w:rsid w:val="004B494C"/>
    <w:pPr>
      <w:spacing w:line="240" w:lineRule="auto"/>
    </w:pPr>
    <w:rPr>
      <w:sz w:val="20"/>
      <w:szCs w:val="20"/>
    </w:rPr>
  </w:style>
  <w:style w:type="character" w:customStyle="1" w:styleId="CommentTextChar">
    <w:name w:val="Comment Text Char"/>
    <w:basedOn w:val="DefaultParagraphFont"/>
    <w:link w:val="CommentText"/>
    <w:uiPriority w:val="99"/>
    <w:semiHidden/>
    <w:rsid w:val="004B494C"/>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4B494C"/>
    <w:rPr>
      <w:b/>
      <w:bCs/>
    </w:rPr>
  </w:style>
  <w:style w:type="character" w:customStyle="1" w:styleId="CommentSubjectChar">
    <w:name w:val="Comment Subject Char"/>
    <w:basedOn w:val="CommentTextChar"/>
    <w:link w:val="CommentSubject"/>
    <w:uiPriority w:val="99"/>
    <w:semiHidden/>
    <w:rsid w:val="004B494C"/>
    <w:rPr>
      <w:rFonts w:ascii="Calibri" w:eastAsia="Calibri" w:hAnsi="Calibri" w:cs="Arial"/>
      <w:b/>
      <w:bCs/>
      <w:sz w:val="20"/>
      <w:szCs w:val="20"/>
      <w:lang w:val="en-ZA"/>
    </w:rPr>
  </w:style>
  <w:style w:type="character" w:customStyle="1" w:styleId="gi">
    <w:name w:val="gi"/>
    <w:basedOn w:val="DefaultParagraphFont"/>
    <w:rsid w:val="004B494C"/>
  </w:style>
  <w:style w:type="paragraph" w:customStyle="1" w:styleId="JUDGMENTNUMBERED">
    <w:name w:val="JUDGMENT NUMBERED"/>
    <w:basedOn w:val="Normal"/>
    <w:next w:val="Normal"/>
    <w:link w:val="JUDGMENTNUMBEREDChar"/>
    <w:qFormat/>
    <w:rsid w:val="004B494C"/>
    <w:pPr>
      <w:numPr>
        <w:numId w:val="21"/>
      </w:numPr>
      <w:spacing w:after="0" w:line="360" w:lineRule="auto"/>
      <w:ind w:left="0" w:firstLine="0"/>
      <w:jc w:val="both"/>
    </w:pPr>
    <w:rPr>
      <w:rFonts w:ascii="Times New Roman" w:hAnsi="Times New Roman" w:cs="Times New Roman"/>
      <w:color w:val="000000"/>
      <w:sz w:val="26"/>
    </w:rPr>
  </w:style>
  <w:style w:type="character" w:customStyle="1" w:styleId="JUDGMENTNUMBEREDChar">
    <w:name w:val="JUDGMENT NUMBERED Char"/>
    <w:link w:val="JUDGMENTNUMBERED"/>
    <w:rsid w:val="004B494C"/>
    <w:rPr>
      <w:rFonts w:ascii="Times New Roman" w:eastAsia="Calibri" w:hAnsi="Times New Roman" w:cs="Times New Roman"/>
      <w:color w:val="000000"/>
      <w:sz w:val="26"/>
      <w:lang w:val="en-ZA"/>
    </w:rPr>
  </w:style>
  <w:style w:type="paragraph" w:customStyle="1" w:styleId="ORDER">
    <w:name w:val="ORDER"/>
    <w:basedOn w:val="JUDGMENTNUMBERED"/>
    <w:link w:val="ORDERChar"/>
    <w:qFormat/>
    <w:rsid w:val="004B494C"/>
    <w:pPr>
      <w:numPr>
        <w:numId w:val="0"/>
      </w:numPr>
      <w:ind w:left="1440" w:hanging="720"/>
    </w:pPr>
  </w:style>
  <w:style w:type="character" w:customStyle="1" w:styleId="ORDERChar">
    <w:name w:val="ORDER Char"/>
    <w:link w:val="ORDER"/>
    <w:rsid w:val="004B494C"/>
    <w:rPr>
      <w:rFonts w:ascii="Times New Roman" w:eastAsia="Calibri" w:hAnsi="Times New Roman" w:cs="Times New Roman"/>
      <w:color w:val="000000"/>
      <w:sz w:val="26"/>
      <w:lang w:val="en-ZA"/>
    </w:rPr>
  </w:style>
  <w:style w:type="paragraph" w:customStyle="1" w:styleId="COUNSELDETAILS">
    <w:name w:val="COUNSEL DETAILS"/>
    <w:basedOn w:val="Normal"/>
    <w:link w:val="COUNSELDETAILSChar"/>
    <w:rsid w:val="004B494C"/>
    <w:pPr>
      <w:spacing w:after="0" w:line="240" w:lineRule="auto"/>
      <w:jc w:val="both"/>
    </w:pPr>
    <w:rPr>
      <w:rFonts w:ascii="Times New Roman" w:hAnsi="Times New Roman" w:cs="Times New Roman"/>
      <w:sz w:val="26"/>
      <w:szCs w:val="26"/>
    </w:rPr>
  </w:style>
  <w:style w:type="character" w:customStyle="1" w:styleId="COUNSELDETAILSChar">
    <w:name w:val="COUNSEL DETAILS Char"/>
    <w:link w:val="COUNSELDETAILS"/>
    <w:rsid w:val="004B494C"/>
    <w:rPr>
      <w:rFonts w:ascii="Times New Roman" w:eastAsia="Calibri" w:hAnsi="Times New Roman" w:cs="Times New Roman"/>
      <w:sz w:val="26"/>
      <w:szCs w:val="26"/>
      <w:lang w:val="en-ZA"/>
    </w:rPr>
  </w:style>
  <w:style w:type="character" w:customStyle="1" w:styleId="apple-converted-space">
    <w:name w:val="apple-converted-space"/>
    <w:rsid w:val="004B494C"/>
  </w:style>
  <w:style w:type="paragraph" w:styleId="ListParagraph">
    <w:name w:val="List Paragraph"/>
    <w:aliases w:val="Bullet Main"/>
    <w:basedOn w:val="Normal"/>
    <w:link w:val="ListParagraphChar"/>
    <w:uiPriority w:val="34"/>
    <w:qFormat/>
    <w:rsid w:val="004B494C"/>
    <w:pPr>
      <w:ind w:left="720"/>
    </w:pPr>
  </w:style>
  <w:style w:type="table" w:styleId="TableGrid">
    <w:name w:val="Table Grid"/>
    <w:basedOn w:val="TableNormal"/>
    <w:uiPriority w:val="59"/>
    <w:rsid w:val="004B494C"/>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P0">
    <w:name w:val="AS-P(0)"/>
    <w:basedOn w:val="Normal"/>
    <w:link w:val="AS-P0Char"/>
    <w:qFormat/>
    <w:rsid w:val="004B494C"/>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4B494C"/>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4B494C"/>
    <w:rPr>
      <w:rFonts w:ascii="Times New Roman" w:eastAsia="Times New Roman" w:hAnsi="Times New Roman" w:cs="Times New Roman"/>
      <w:noProof/>
      <w:lang w:eastAsia="en-GB"/>
    </w:rPr>
  </w:style>
  <w:style w:type="paragraph" w:customStyle="1" w:styleId="AS-Pa">
    <w:name w:val="AS-P(a)"/>
    <w:basedOn w:val="Normal"/>
    <w:link w:val="AS-PaChar"/>
    <w:qFormat/>
    <w:rsid w:val="004B494C"/>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4B494C"/>
    <w:rPr>
      <w:rFonts w:ascii="Times New Roman" w:eastAsia="Times New Roman" w:hAnsi="Times New Roman" w:cs="Times New Roman"/>
      <w:noProof/>
      <w:lang w:eastAsia="en-GB"/>
    </w:rPr>
  </w:style>
  <w:style w:type="character" w:customStyle="1" w:styleId="AS-PaChar">
    <w:name w:val="AS-P(a) Char"/>
    <w:basedOn w:val="DefaultParagraphFont"/>
    <w:link w:val="AS-Pa"/>
    <w:rsid w:val="004B494C"/>
    <w:rPr>
      <w:rFonts w:ascii="Times New Roman" w:eastAsia="Times New Roman" w:hAnsi="Times New Roman" w:cs="Times New Roman"/>
      <w:noProof/>
      <w:lang w:eastAsia="en-GB"/>
    </w:rPr>
  </w:style>
  <w:style w:type="paragraph" w:customStyle="1" w:styleId="Default">
    <w:name w:val="Default"/>
    <w:rsid w:val="004B494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4B494C"/>
    <w:rPr>
      <w:color w:val="0000FF" w:themeColor="hyperlink"/>
      <w:u w:val="single"/>
    </w:rPr>
  </w:style>
  <w:style w:type="paragraph" w:customStyle="1" w:styleId="WLGLevel1">
    <w:name w:val="WLGLevel1"/>
    <w:basedOn w:val="Normal"/>
    <w:qFormat/>
    <w:rsid w:val="004B494C"/>
    <w:pPr>
      <w:numPr>
        <w:numId w:val="30"/>
      </w:numPr>
      <w:suppressAutoHyphens/>
      <w:spacing w:before="320" w:after="320" w:line="480" w:lineRule="auto"/>
      <w:jc w:val="both"/>
      <w:outlineLvl w:val="0"/>
    </w:pPr>
    <w:rPr>
      <w:rFonts w:ascii="Arial" w:eastAsia="Times New Roman" w:hAnsi="Arial" w:cs="Times New Roman"/>
      <w:sz w:val="24"/>
      <w:szCs w:val="20"/>
    </w:rPr>
  </w:style>
  <w:style w:type="paragraph" w:customStyle="1" w:styleId="WLGLevel2">
    <w:name w:val="WLGLevel2"/>
    <w:basedOn w:val="Normal"/>
    <w:qFormat/>
    <w:rsid w:val="004B494C"/>
    <w:pPr>
      <w:numPr>
        <w:ilvl w:val="1"/>
        <w:numId w:val="30"/>
      </w:numPr>
      <w:suppressAutoHyphens/>
      <w:spacing w:after="320" w:line="480" w:lineRule="auto"/>
      <w:jc w:val="both"/>
      <w:outlineLvl w:val="1"/>
    </w:pPr>
    <w:rPr>
      <w:rFonts w:ascii="Arial" w:eastAsia="Times New Roman" w:hAnsi="Arial" w:cs="Times New Roman"/>
      <w:sz w:val="24"/>
      <w:szCs w:val="20"/>
    </w:rPr>
  </w:style>
  <w:style w:type="paragraph" w:customStyle="1" w:styleId="WLGLevel3">
    <w:name w:val="WLGLevel3"/>
    <w:basedOn w:val="Normal"/>
    <w:qFormat/>
    <w:rsid w:val="004B494C"/>
    <w:pPr>
      <w:numPr>
        <w:ilvl w:val="2"/>
        <w:numId w:val="30"/>
      </w:numPr>
      <w:suppressAutoHyphens/>
      <w:spacing w:after="320" w:line="480" w:lineRule="auto"/>
      <w:jc w:val="both"/>
      <w:outlineLvl w:val="2"/>
    </w:pPr>
    <w:rPr>
      <w:rFonts w:ascii="Arial" w:eastAsia="Times New Roman" w:hAnsi="Arial" w:cs="Times New Roman"/>
      <w:sz w:val="24"/>
      <w:szCs w:val="20"/>
    </w:rPr>
  </w:style>
  <w:style w:type="paragraph" w:customStyle="1" w:styleId="WLGLevel4">
    <w:name w:val="WLGLevel4"/>
    <w:basedOn w:val="Normal"/>
    <w:qFormat/>
    <w:rsid w:val="004B494C"/>
    <w:pPr>
      <w:numPr>
        <w:ilvl w:val="3"/>
        <w:numId w:val="30"/>
      </w:numPr>
      <w:suppressAutoHyphens/>
      <w:spacing w:after="320" w:line="480" w:lineRule="auto"/>
      <w:jc w:val="both"/>
      <w:outlineLvl w:val="3"/>
    </w:pPr>
    <w:rPr>
      <w:rFonts w:ascii="Arial" w:eastAsia="Times New Roman" w:hAnsi="Arial" w:cs="Times New Roman"/>
      <w:sz w:val="24"/>
      <w:szCs w:val="20"/>
    </w:rPr>
  </w:style>
  <w:style w:type="paragraph" w:customStyle="1" w:styleId="WLGLevel5">
    <w:name w:val="WLGLevel5"/>
    <w:basedOn w:val="Normal"/>
    <w:qFormat/>
    <w:rsid w:val="004B494C"/>
    <w:pPr>
      <w:numPr>
        <w:ilvl w:val="4"/>
        <w:numId w:val="30"/>
      </w:numPr>
      <w:suppressAutoHyphens/>
      <w:spacing w:after="320" w:line="480" w:lineRule="auto"/>
      <w:jc w:val="both"/>
      <w:outlineLvl w:val="4"/>
    </w:pPr>
    <w:rPr>
      <w:rFonts w:ascii="Arial" w:eastAsia="Times New Roman" w:hAnsi="Arial" w:cs="Times New Roman"/>
      <w:sz w:val="24"/>
      <w:szCs w:val="20"/>
    </w:rPr>
  </w:style>
  <w:style w:type="paragraph" w:styleId="BodyTextIndent3">
    <w:name w:val="Body Text Indent 3"/>
    <w:basedOn w:val="Normal"/>
    <w:link w:val="BodyTextIndent3Char"/>
    <w:qFormat/>
    <w:rsid w:val="004B494C"/>
    <w:pPr>
      <w:suppressAutoHyphens/>
      <w:spacing w:after="320" w:line="480" w:lineRule="auto"/>
      <w:ind w:left="2381"/>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4B494C"/>
    <w:rPr>
      <w:rFonts w:ascii="Arial" w:eastAsia="Times New Roman" w:hAnsi="Arial" w:cs="Times New Roman"/>
      <w:sz w:val="24"/>
      <w:szCs w:val="20"/>
      <w:lang w:val="en-ZA"/>
    </w:rPr>
  </w:style>
  <w:style w:type="character" w:customStyle="1" w:styleId="ListParagraphChar">
    <w:name w:val="List Paragraph Char"/>
    <w:aliases w:val="Bullet Main Char"/>
    <w:link w:val="ListParagraph"/>
    <w:uiPriority w:val="34"/>
    <w:locked/>
    <w:rsid w:val="004B494C"/>
    <w:rPr>
      <w:rFonts w:ascii="Calibri" w:eastAsia="Calibri" w:hAnsi="Calibri" w:cs="Arial"/>
      <w:lang w:val="en-ZA"/>
    </w:rPr>
  </w:style>
  <w:style w:type="paragraph" w:customStyle="1" w:styleId="TramLines">
    <w:name w:val="TramLines"/>
    <w:basedOn w:val="Normal"/>
    <w:rsid w:val="004B494C"/>
    <w:pPr>
      <w:pBdr>
        <w:top w:val="single" w:sz="8" w:space="12" w:color="auto"/>
        <w:bottom w:val="single" w:sz="8" w:space="12" w:color="auto"/>
      </w:pBdr>
      <w:suppressAutoHyphens/>
      <w:spacing w:after="320" w:line="240" w:lineRule="auto"/>
      <w:jc w:val="both"/>
    </w:pPr>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6F692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F6922"/>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038E-536C-495F-BA5A-AB47CE04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7815</Words>
  <Characters>44550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Shivute</dc:creator>
  <cp:keywords/>
  <dc:description/>
  <cp:lastModifiedBy>Neliswa Tjahikika</cp:lastModifiedBy>
  <cp:revision>2</cp:revision>
  <cp:lastPrinted>2018-03-08T09:01:00Z</cp:lastPrinted>
  <dcterms:created xsi:type="dcterms:W3CDTF">2018-03-09T05:52:00Z</dcterms:created>
  <dcterms:modified xsi:type="dcterms:W3CDTF">2018-03-09T05:52:00Z</dcterms:modified>
</cp:coreProperties>
</file>