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8549" w14:textId="77777777" w:rsidR="00007E5E" w:rsidRPr="00DA7CFC" w:rsidRDefault="00007E5E" w:rsidP="00007E5E">
      <w:pPr>
        <w:spacing w:after="0" w:line="480" w:lineRule="auto"/>
        <w:jc w:val="center"/>
        <w:rPr>
          <w:rFonts w:ascii="Arial" w:eastAsia="Calibri" w:hAnsi="Arial" w:cs="Times New Roman"/>
          <w:b/>
          <w:sz w:val="24"/>
          <w:lang w:val="en-ZA"/>
        </w:rPr>
      </w:pPr>
      <w:r w:rsidRPr="00DA7CFC">
        <w:rPr>
          <w:rFonts w:ascii="Arial" w:eastAsia="Calibri" w:hAnsi="Arial" w:cs="Times New Roman"/>
          <w:b/>
          <w:noProof/>
          <w:sz w:val="24"/>
        </w:rPr>
        <w:drawing>
          <wp:inline distT="0" distB="0" distL="0" distR="0" wp14:anchorId="19A3EE49" wp14:editId="40F92216">
            <wp:extent cx="135318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219200"/>
                    </a:xfrm>
                    <a:prstGeom prst="rect">
                      <a:avLst/>
                    </a:prstGeom>
                    <a:noFill/>
                  </pic:spPr>
                </pic:pic>
              </a:graphicData>
            </a:graphic>
          </wp:inline>
        </w:drawing>
      </w:r>
    </w:p>
    <w:p w14:paraId="54F50EC5" w14:textId="77777777" w:rsidR="00007E5E" w:rsidRPr="00DA7CFC" w:rsidRDefault="00007E5E" w:rsidP="00472B31">
      <w:pPr>
        <w:spacing w:after="0" w:line="480" w:lineRule="auto"/>
        <w:jc w:val="right"/>
        <w:outlineLvl w:val="0"/>
        <w:rPr>
          <w:rFonts w:ascii="Arial" w:eastAsia="Calibri" w:hAnsi="Arial" w:cs="Arial"/>
          <w:b/>
          <w:sz w:val="24"/>
          <w:szCs w:val="24"/>
          <w:lang w:val="en-ZA"/>
        </w:rPr>
      </w:pPr>
      <w:r w:rsidRPr="00DA7CFC">
        <w:rPr>
          <w:rFonts w:ascii="Arial" w:eastAsia="Calibri" w:hAnsi="Arial" w:cs="Arial"/>
          <w:b/>
          <w:sz w:val="24"/>
          <w:szCs w:val="24"/>
          <w:lang w:val="en-ZA"/>
        </w:rPr>
        <w:t>REPORTABLE</w:t>
      </w:r>
    </w:p>
    <w:p w14:paraId="58447FD2" w14:textId="5B707A86" w:rsidR="00007E5E" w:rsidRPr="00DA7CFC" w:rsidRDefault="00007E5E" w:rsidP="00472B31">
      <w:pPr>
        <w:spacing w:after="0" w:line="480" w:lineRule="auto"/>
        <w:jc w:val="right"/>
        <w:outlineLvl w:val="0"/>
        <w:rPr>
          <w:rFonts w:ascii="Arial" w:eastAsia="Calibri" w:hAnsi="Arial" w:cs="Arial"/>
          <w:sz w:val="24"/>
          <w:szCs w:val="24"/>
          <w:lang w:val="en-ZA"/>
        </w:rPr>
      </w:pPr>
      <w:r w:rsidRPr="00DA7CFC">
        <w:rPr>
          <w:rFonts w:ascii="Arial" w:eastAsia="Calibri" w:hAnsi="Arial" w:cs="Arial"/>
          <w:sz w:val="24"/>
          <w:szCs w:val="24"/>
          <w:lang w:val="en-ZA"/>
        </w:rPr>
        <w:t xml:space="preserve">CASE NO: SA </w:t>
      </w:r>
      <w:r w:rsidR="00297AC4" w:rsidRPr="00DA7CFC">
        <w:rPr>
          <w:rFonts w:ascii="Arial" w:eastAsia="Calibri" w:hAnsi="Arial" w:cs="Arial"/>
          <w:sz w:val="24"/>
          <w:szCs w:val="24"/>
          <w:lang w:val="en-GB"/>
        </w:rPr>
        <w:t>11/2022</w:t>
      </w:r>
    </w:p>
    <w:p w14:paraId="56E8767A" w14:textId="77777777" w:rsidR="00007E5E" w:rsidRPr="00DA7CFC" w:rsidRDefault="00007E5E" w:rsidP="00007E5E">
      <w:pPr>
        <w:spacing w:after="0" w:line="480" w:lineRule="auto"/>
        <w:rPr>
          <w:rFonts w:ascii="Arial" w:eastAsia="Calibri" w:hAnsi="Arial" w:cs="Arial"/>
          <w:sz w:val="24"/>
          <w:szCs w:val="24"/>
          <w:lang w:val="en-ZA"/>
        </w:rPr>
      </w:pPr>
    </w:p>
    <w:p w14:paraId="2F160255" w14:textId="77777777" w:rsidR="00007E5E" w:rsidRPr="00DA7CFC" w:rsidRDefault="00007E5E" w:rsidP="00472B31">
      <w:pPr>
        <w:spacing w:after="0" w:line="480" w:lineRule="auto"/>
        <w:outlineLvl w:val="0"/>
        <w:rPr>
          <w:rFonts w:ascii="Arial" w:eastAsia="Calibri" w:hAnsi="Arial" w:cs="Arial"/>
          <w:b/>
          <w:sz w:val="24"/>
          <w:szCs w:val="24"/>
          <w:lang w:val="en-ZA"/>
        </w:rPr>
      </w:pPr>
      <w:r w:rsidRPr="00DA7CFC">
        <w:rPr>
          <w:rFonts w:ascii="Arial" w:eastAsia="Calibri" w:hAnsi="Arial" w:cs="Arial"/>
          <w:b/>
          <w:sz w:val="24"/>
          <w:szCs w:val="24"/>
          <w:lang w:val="en-ZA"/>
        </w:rPr>
        <w:t>IN THE SUPREME COURT OF NAMIBIA</w:t>
      </w:r>
    </w:p>
    <w:p w14:paraId="7A6452D0" w14:textId="77777777" w:rsidR="00007E5E" w:rsidRPr="00DA7CFC" w:rsidRDefault="00007E5E" w:rsidP="00007E5E">
      <w:pPr>
        <w:spacing w:after="0" w:line="480" w:lineRule="auto"/>
        <w:rPr>
          <w:rFonts w:ascii="Arial" w:eastAsia="Calibri" w:hAnsi="Arial" w:cs="Arial"/>
          <w:b/>
          <w:sz w:val="24"/>
          <w:szCs w:val="24"/>
          <w:lang w:val="en-ZA"/>
        </w:rPr>
      </w:pPr>
    </w:p>
    <w:p w14:paraId="75C9F0E4" w14:textId="77777777" w:rsidR="00007E5E" w:rsidRPr="00DA7CFC" w:rsidRDefault="00007E5E" w:rsidP="00007E5E">
      <w:pPr>
        <w:spacing w:after="0" w:line="480" w:lineRule="auto"/>
        <w:rPr>
          <w:rFonts w:ascii="Arial" w:eastAsia="Calibri" w:hAnsi="Arial" w:cs="Arial"/>
          <w:sz w:val="24"/>
          <w:lang w:val="en-ZA"/>
        </w:rPr>
      </w:pPr>
      <w:r w:rsidRPr="00DA7CFC">
        <w:rPr>
          <w:rFonts w:ascii="Arial" w:eastAsia="Calibri" w:hAnsi="Arial" w:cs="Arial"/>
          <w:sz w:val="24"/>
          <w:lang w:val="en-ZA"/>
        </w:rPr>
        <w:t>In the matter between:</w:t>
      </w:r>
    </w:p>
    <w:p w14:paraId="5F2B5A6E" w14:textId="77777777" w:rsidR="00007E5E" w:rsidRPr="00DA7CFC" w:rsidRDefault="00007E5E" w:rsidP="00007E5E">
      <w:pPr>
        <w:spacing w:after="0" w:line="480" w:lineRule="auto"/>
        <w:rPr>
          <w:rFonts w:ascii="Arial" w:eastAsia="Calibri" w:hAnsi="Arial" w:cs="Arial"/>
          <w:sz w:val="24"/>
          <w:lang w:val="en-ZA"/>
        </w:rPr>
      </w:pPr>
    </w:p>
    <w:tbl>
      <w:tblPr>
        <w:tblpPr w:leftFromText="180" w:rightFromText="180" w:vertAnchor="text" w:horzAnchor="margin" w:tblpX="-90" w:tblpY="86"/>
        <w:tblW w:w="0" w:type="auto"/>
        <w:tblLook w:val="04A0" w:firstRow="1" w:lastRow="0" w:firstColumn="1" w:lastColumn="0" w:noHBand="0" w:noVBand="1"/>
      </w:tblPr>
      <w:tblGrid>
        <w:gridCol w:w="5814"/>
        <w:gridCol w:w="3063"/>
      </w:tblGrid>
      <w:tr w:rsidR="00DA7CFC" w:rsidRPr="00DA7CFC" w14:paraId="4CA02B06" w14:textId="77777777" w:rsidTr="004F2D97">
        <w:tc>
          <w:tcPr>
            <w:tcW w:w="5814" w:type="dxa"/>
            <w:shd w:val="clear" w:color="auto" w:fill="auto"/>
          </w:tcPr>
          <w:p w14:paraId="1D3914B1" w14:textId="64EE7880" w:rsidR="00007E5E" w:rsidRPr="00DA7CFC" w:rsidRDefault="00DE4B0F" w:rsidP="004C0E73">
            <w:pPr>
              <w:spacing w:after="0" w:line="480" w:lineRule="auto"/>
              <w:rPr>
                <w:rFonts w:ascii="Arial" w:eastAsia="Calibri" w:hAnsi="Arial" w:cs="Arial"/>
                <w:b/>
                <w:sz w:val="24"/>
                <w:szCs w:val="24"/>
                <w:lang w:val="en-ZA"/>
              </w:rPr>
            </w:pPr>
            <w:r>
              <w:rPr>
                <w:rFonts w:ascii="Arial" w:eastAsia="Calibri" w:hAnsi="Arial" w:cs="Arial"/>
                <w:b/>
                <w:sz w:val="24"/>
                <w:szCs w:val="24"/>
                <w:lang w:val="en-ZA"/>
              </w:rPr>
              <w:t xml:space="preserve">THE </w:t>
            </w:r>
            <w:r w:rsidR="005B28ED">
              <w:rPr>
                <w:rFonts w:ascii="Arial" w:eastAsia="Calibri" w:hAnsi="Arial" w:cs="Arial"/>
                <w:b/>
                <w:sz w:val="24"/>
                <w:szCs w:val="24"/>
                <w:lang w:val="en-ZA"/>
              </w:rPr>
              <w:t>ATTORNEY-</w:t>
            </w:r>
            <w:r w:rsidR="00297AC4" w:rsidRPr="00DA7CFC">
              <w:rPr>
                <w:rFonts w:ascii="Arial" w:eastAsia="Calibri" w:hAnsi="Arial" w:cs="Arial"/>
                <w:b/>
                <w:sz w:val="24"/>
                <w:szCs w:val="24"/>
                <w:lang w:val="en-ZA"/>
              </w:rPr>
              <w:t>GENERAL</w:t>
            </w:r>
          </w:p>
        </w:tc>
        <w:tc>
          <w:tcPr>
            <w:tcW w:w="3063" w:type="dxa"/>
            <w:shd w:val="clear" w:color="auto" w:fill="auto"/>
          </w:tcPr>
          <w:p w14:paraId="31DB7EE7" w14:textId="77777777" w:rsidR="00007E5E" w:rsidRPr="00DA7CFC" w:rsidRDefault="00007E5E" w:rsidP="004F2D97">
            <w:pPr>
              <w:spacing w:after="0" w:line="480" w:lineRule="auto"/>
              <w:jc w:val="right"/>
              <w:rPr>
                <w:rFonts w:ascii="Arial" w:eastAsia="Calibri" w:hAnsi="Arial" w:cs="Arial"/>
                <w:b/>
                <w:sz w:val="24"/>
                <w:szCs w:val="24"/>
                <w:lang w:val="en-ZA"/>
              </w:rPr>
            </w:pPr>
            <w:r w:rsidRPr="00DA7CFC">
              <w:rPr>
                <w:rFonts w:ascii="Arial" w:eastAsia="Calibri" w:hAnsi="Arial" w:cs="Arial"/>
                <w:b/>
                <w:sz w:val="24"/>
                <w:szCs w:val="24"/>
                <w:lang w:val="en-ZA"/>
              </w:rPr>
              <w:t>First Appellant</w:t>
            </w:r>
          </w:p>
        </w:tc>
      </w:tr>
      <w:tr w:rsidR="00DA7CFC" w:rsidRPr="00DA7CFC" w14:paraId="539354C4" w14:textId="77777777" w:rsidTr="002E2AC3">
        <w:trPr>
          <w:trHeight w:val="577"/>
        </w:trPr>
        <w:tc>
          <w:tcPr>
            <w:tcW w:w="5814" w:type="dxa"/>
            <w:shd w:val="clear" w:color="auto" w:fill="auto"/>
          </w:tcPr>
          <w:p w14:paraId="47EF64FC" w14:textId="5C2AAC2D" w:rsidR="00297AC4" w:rsidRPr="00DA7CFC" w:rsidRDefault="00297AC4" w:rsidP="004F2D97">
            <w:pPr>
              <w:spacing w:after="0" w:line="480" w:lineRule="auto"/>
              <w:rPr>
                <w:rFonts w:ascii="Arial" w:eastAsia="Calibri" w:hAnsi="Arial" w:cs="Arial"/>
                <w:b/>
                <w:sz w:val="24"/>
                <w:szCs w:val="24"/>
                <w:lang w:val="en-ZA"/>
              </w:rPr>
            </w:pPr>
            <w:r w:rsidRPr="00DA7CFC">
              <w:rPr>
                <w:rFonts w:ascii="Arial" w:eastAsia="Calibri" w:hAnsi="Arial" w:cs="Arial"/>
                <w:b/>
                <w:sz w:val="24"/>
                <w:szCs w:val="24"/>
                <w:lang w:val="en-ZA"/>
              </w:rPr>
              <w:t>THE SECRETARY TO CABINET</w:t>
            </w:r>
          </w:p>
        </w:tc>
        <w:tc>
          <w:tcPr>
            <w:tcW w:w="3063" w:type="dxa"/>
            <w:shd w:val="clear" w:color="auto" w:fill="auto"/>
          </w:tcPr>
          <w:p w14:paraId="4601F150" w14:textId="677E4AC2" w:rsidR="00297AC4" w:rsidRPr="00DA7CFC" w:rsidRDefault="00297AC4" w:rsidP="004F2D97">
            <w:pPr>
              <w:spacing w:after="0" w:line="480" w:lineRule="auto"/>
              <w:jc w:val="right"/>
              <w:rPr>
                <w:rFonts w:ascii="Arial" w:eastAsia="Calibri" w:hAnsi="Arial" w:cs="Arial"/>
                <w:b/>
                <w:sz w:val="24"/>
                <w:szCs w:val="24"/>
                <w:lang w:val="en-ZA"/>
              </w:rPr>
            </w:pPr>
            <w:r w:rsidRPr="00DA7CFC">
              <w:rPr>
                <w:rFonts w:ascii="Arial" w:eastAsia="Calibri" w:hAnsi="Arial" w:cs="Arial"/>
                <w:b/>
                <w:sz w:val="24"/>
                <w:szCs w:val="24"/>
                <w:lang w:val="en-ZA"/>
              </w:rPr>
              <w:t>Second Appellant</w:t>
            </w:r>
          </w:p>
        </w:tc>
      </w:tr>
      <w:tr w:rsidR="00DA7CFC" w:rsidRPr="00DA7CFC" w14:paraId="4BEDADB2" w14:textId="77777777" w:rsidTr="004F2D97">
        <w:trPr>
          <w:trHeight w:val="583"/>
        </w:trPr>
        <w:tc>
          <w:tcPr>
            <w:tcW w:w="5814" w:type="dxa"/>
            <w:shd w:val="clear" w:color="auto" w:fill="auto"/>
          </w:tcPr>
          <w:p w14:paraId="379F6D7B" w14:textId="77777777" w:rsidR="00007E5E" w:rsidRPr="00DA7CFC" w:rsidRDefault="00007E5E" w:rsidP="004F2D97">
            <w:pPr>
              <w:spacing w:after="0" w:line="480" w:lineRule="auto"/>
              <w:rPr>
                <w:rFonts w:ascii="Arial" w:eastAsia="Calibri" w:hAnsi="Arial" w:cs="Arial"/>
                <w:sz w:val="24"/>
                <w:szCs w:val="24"/>
                <w:lang w:val="en-ZA"/>
              </w:rPr>
            </w:pPr>
            <w:r w:rsidRPr="00DA7CFC">
              <w:rPr>
                <w:rFonts w:ascii="Arial" w:eastAsia="Calibri" w:hAnsi="Arial" w:cs="Arial"/>
                <w:sz w:val="24"/>
                <w:szCs w:val="24"/>
                <w:lang w:val="en-ZA"/>
              </w:rPr>
              <w:t>and</w:t>
            </w:r>
          </w:p>
        </w:tc>
        <w:tc>
          <w:tcPr>
            <w:tcW w:w="3063" w:type="dxa"/>
            <w:shd w:val="clear" w:color="auto" w:fill="auto"/>
          </w:tcPr>
          <w:p w14:paraId="7A37DB86" w14:textId="77777777" w:rsidR="00007E5E" w:rsidRPr="00DA7CFC" w:rsidRDefault="00007E5E" w:rsidP="004F2D97">
            <w:pPr>
              <w:spacing w:after="0" w:line="480" w:lineRule="auto"/>
              <w:rPr>
                <w:rFonts w:ascii="Arial" w:eastAsia="Calibri" w:hAnsi="Arial" w:cs="Arial"/>
                <w:b/>
                <w:sz w:val="24"/>
                <w:szCs w:val="24"/>
                <w:lang w:val="en-ZA"/>
              </w:rPr>
            </w:pPr>
          </w:p>
        </w:tc>
      </w:tr>
      <w:tr w:rsidR="00DA7CFC" w:rsidRPr="00DA7CFC" w14:paraId="31B9DD82" w14:textId="77777777" w:rsidTr="004F2D97">
        <w:tc>
          <w:tcPr>
            <w:tcW w:w="5814" w:type="dxa"/>
            <w:shd w:val="clear" w:color="auto" w:fill="auto"/>
          </w:tcPr>
          <w:p w14:paraId="782D75FA" w14:textId="1155C684" w:rsidR="00007E5E" w:rsidRPr="00DA7CFC" w:rsidRDefault="00297AC4" w:rsidP="00297AC4">
            <w:pPr>
              <w:spacing w:after="0" w:line="480" w:lineRule="auto"/>
              <w:rPr>
                <w:rFonts w:ascii="Arial" w:eastAsia="Calibri" w:hAnsi="Arial" w:cs="Arial"/>
                <w:b/>
                <w:sz w:val="24"/>
                <w:szCs w:val="24"/>
                <w:lang w:val="en-ZA"/>
              </w:rPr>
            </w:pPr>
            <w:r w:rsidRPr="00DA7CFC">
              <w:rPr>
                <w:rFonts w:ascii="Arial" w:eastAsia="Calibri" w:hAnsi="Arial" w:cs="Arial"/>
                <w:b/>
                <w:sz w:val="24"/>
                <w:szCs w:val="24"/>
                <w:lang w:val="en-ZA"/>
              </w:rPr>
              <w:t>GONDWANA COLLECTION L</w:t>
            </w:r>
            <w:r w:rsidR="00DE4B0F">
              <w:rPr>
                <w:rFonts w:ascii="Arial" w:eastAsia="Calibri" w:hAnsi="Arial" w:cs="Arial"/>
                <w:b/>
                <w:sz w:val="24"/>
                <w:szCs w:val="24"/>
                <w:lang w:val="en-ZA"/>
              </w:rPr>
              <w:t>IMI</w:t>
            </w:r>
            <w:r w:rsidRPr="00DA7CFC">
              <w:rPr>
                <w:rFonts w:ascii="Arial" w:eastAsia="Calibri" w:hAnsi="Arial" w:cs="Arial"/>
                <w:b/>
                <w:sz w:val="24"/>
                <w:szCs w:val="24"/>
                <w:lang w:val="en-ZA"/>
              </w:rPr>
              <w:t>T</w:t>
            </w:r>
            <w:r w:rsidR="00DE4B0F">
              <w:rPr>
                <w:rFonts w:ascii="Arial" w:eastAsia="Calibri" w:hAnsi="Arial" w:cs="Arial"/>
                <w:b/>
                <w:sz w:val="24"/>
                <w:szCs w:val="24"/>
                <w:lang w:val="en-ZA"/>
              </w:rPr>
              <w:t>E</w:t>
            </w:r>
            <w:r w:rsidRPr="00DA7CFC">
              <w:rPr>
                <w:rFonts w:ascii="Arial" w:eastAsia="Calibri" w:hAnsi="Arial" w:cs="Arial"/>
                <w:b/>
                <w:sz w:val="24"/>
                <w:szCs w:val="24"/>
                <w:lang w:val="en-ZA"/>
              </w:rPr>
              <w:t>D</w:t>
            </w:r>
          </w:p>
        </w:tc>
        <w:tc>
          <w:tcPr>
            <w:tcW w:w="3063" w:type="dxa"/>
            <w:shd w:val="clear" w:color="auto" w:fill="auto"/>
          </w:tcPr>
          <w:p w14:paraId="031402BE" w14:textId="77777777" w:rsidR="00007E5E" w:rsidRPr="00DA7CFC" w:rsidRDefault="00007E5E" w:rsidP="004F2D97">
            <w:pPr>
              <w:spacing w:after="0" w:line="480" w:lineRule="auto"/>
              <w:jc w:val="right"/>
              <w:rPr>
                <w:rFonts w:ascii="Arial" w:eastAsia="Calibri" w:hAnsi="Arial" w:cs="Arial"/>
                <w:b/>
                <w:sz w:val="24"/>
                <w:szCs w:val="24"/>
                <w:lang w:val="en-ZA"/>
              </w:rPr>
            </w:pPr>
            <w:r w:rsidRPr="00DA7CFC">
              <w:rPr>
                <w:rFonts w:ascii="Arial" w:eastAsia="Calibri" w:hAnsi="Arial" w:cs="Arial"/>
                <w:b/>
                <w:sz w:val="24"/>
                <w:szCs w:val="24"/>
                <w:lang w:val="en-ZA"/>
              </w:rPr>
              <w:t>First Respondent</w:t>
            </w:r>
          </w:p>
        </w:tc>
      </w:tr>
      <w:tr w:rsidR="00DA7CFC" w:rsidRPr="00DA7CFC" w14:paraId="7E0F9C10" w14:textId="77777777" w:rsidTr="004F2D97">
        <w:tc>
          <w:tcPr>
            <w:tcW w:w="5814" w:type="dxa"/>
            <w:shd w:val="clear" w:color="auto" w:fill="auto"/>
          </w:tcPr>
          <w:p w14:paraId="42739DB2" w14:textId="227EC8F1" w:rsidR="00007E5E" w:rsidRPr="00DA7CFC" w:rsidRDefault="00297AC4" w:rsidP="004F2D97">
            <w:pPr>
              <w:spacing w:after="0" w:line="480" w:lineRule="auto"/>
              <w:rPr>
                <w:rFonts w:ascii="Arial" w:eastAsia="Calibri" w:hAnsi="Arial" w:cs="Arial"/>
                <w:b/>
                <w:sz w:val="24"/>
                <w:szCs w:val="24"/>
                <w:lang w:val="en-ZA"/>
              </w:rPr>
            </w:pPr>
            <w:r w:rsidRPr="00DA7CFC">
              <w:rPr>
                <w:rFonts w:ascii="Arial" w:eastAsia="Calibri" w:hAnsi="Arial" w:cs="Arial"/>
                <w:b/>
                <w:sz w:val="24"/>
                <w:szCs w:val="24"/>
                <w:lang w:val="en-ZA"/>
              </w:rPr>
              <w:t>HOLLARD INSURANCE COMPANY LTD</w:t>
            </w:r>
          </w:p>
        </w:tc>
        <w:tc>
          <w:tcPr>
            <w:tcW w:w="3063" w:type="dxa"/>
            <w:shd w:val="clear" w:color="auto" w:fill="auto"/>
          </w:tcPr>
          <w:p w14:paraId="68757B7F" w14:textId="77777777" w:rsidR="00007E5E" w:rsidRPr="00DA7CFC" w:rsidRDefault="00007E5E" w:rsidP="004F2D97">
            <w:pPr>
              <w:spacing w:after="0" w:line="480" w:lineRule="auto"/>
              <w:jc w:val="right"/>
              <w:rPr>
                <w:rFonts w:ascii="Arial" w:eastAsia="Calibri" w:hAnsi="Arial" w:cs="Arial"/>
                <w:b/>
                <w:sz w:val="24"/>
                <w:szCs w:val="24"/>
                <w:lang w:val="en-ZA"/>
              </w:rPr>
            </w:pPr>
            <w:r w:rsidRPr="00DA7CFC">
              <w:rPr>
                <w:rFonts w:ascii="Arial" w:eastAsia="Calibri" w:hAnsi="Arial" w:cs="Arial"/>
                <w:b/>
                <w:sz w:val="24"/>
                <w:szCs w:val="24"/>
                <w:lang w:val="en-ZA"/>
              </w:rPr>
              <w:t>Second Respondent</w:t>
            </w:r>
          </w:p>
        </w:tc>
      </w:tr>
      <w:tr w:rsidR="00DA7CFC" w:rsidRPr="00DA7CFC" w14:paraId="13F07E3D" w14:textId="77777777" w:rsidTr="004F2D97">
        <w:tc>
          <w:tcPr>
            <w:tcW w:w="5814" w:type="dxa"/>
            <w:shd w:val="clear" w:color="auto" w:fill="auto"/>
          </w:tcPr>
          <w:p w14:paraId="37E3055A" w14:textId="24757706" w:rsidR="00007E5E" w:rsidRPr="00DA7CFC" w:rsidRDefault="00297AC4" w:rsidP="004F2D97">
            <w:pPr>
              <w:spacing w:after="0" w:line="480" w:lineRule="auto"/>
              <w:rPr>
                <w:rFonts w:ascii="Arial" w:eastAsia="Calibri" w:hAnsi="Arial" w:cs="Arial"/>
                <w:b/>
                <w:sz w:val="24"/>
                <w:szCs w:val="24"/>
                <w:lang w:val="en-ZA"/>
              </w:rPr>
            </w:pPr>
            <w:r w:rsidRPr="00DA7CFC">
              <w:rPr>
                <w:rFonts w:ascii="Arial" w:eastAsia="Calibri" w:hAnsi="Arial" w:cs="Arial"/>
                <w:b/>
                <w:sz w:val="24"/>
                <w:szCs w:val="24"/>
                <w:lang w:val="en-ZA"/>
              </w:rPr>
              <w:t>THE REGISTRAR OF THE HIGH COURT</w:t>
            </w:r>
          </w:p>
        </w:tc>
        <w:tc>
          <w:tcPr>
            <w:tcW w:w="3063" w:type="dxa"/>
            <w:shd w:val="clear" w:color="auto" w:fill="auto"/>
          </w:tcPr>
          <w:p w14:paraId="1B512B22" w14:textId="77777777" w:rsidR="00007E5E" w:rsidRPr="00DA7CFC" w:rsidRDefault="00007E5E" w:rsidP="004F2D97">
            <w:pPr>
              <w:spacing w:after="0" w:line="480" w:lineRule="auto"/>
              <w:jc w:val="right"/>
              <w:rPr>
                <w:rFonts w:ascii="Arial" w:eastAsia="Calibri" w:hAnsi="Arial" w:cs="Arial"/>
                <w:b/>
                <w:sz w:val="24"/>
                <w:szCs w:val="24"/>
                <w:lang w:val="en-ZA"/>
              </w:rPr>
            </w:pPr>
            <w:r w:rsidRPr="00DA7CFC">
              <w:rPr>
                <w:rFonts w:ascii="Arial" w:eastAsia="Calibri" w:hAnsi="Arial" w:cs="Arial"/>
                <w:b/>
                <w:sz w:val="24"/>
                <w:szCs w:val="24"/>
                <w:lang w:val="en-ZA"/>
              </w:rPr>
              <w:t>Third Respondent</w:t>
            </w:r>
          </w:p>
        </w:tc>
      </w:tr>
    </w:tbl>
    <w:p w14:paraId="0C279732" w14:textId="77777777" w:rsidR="00007E5E" w:rsidRPr="00DA7CFC" w:rsidRDefault="00007E5E" w:rsidP="00007E5E">
      <w:pPr>
        <w:spacing w:after="0" w:line="480" w:lineRule="auto"/>
        <w:rPr>
          <w:rFonts w:ascii="Arial" w:eastAsia="Calibri" w:hAnsi="Arial" w:cs="Arial"/>
          <w:lang w:val="en-ZA"/>
        </w:rPr>
      </w:pPr>
    </w:p>
    <w:p w14:paraId="60461641" w14:textId="738AC316" w:rsidR="00007E5E" w:rsidRPr="00DA7CFC" w:rsidRDefault="00007E5E" w:rsidP="00EC30B6">
      <w:pPr>
        <w:spacing w:after="0" w:line="480" w:lineRule="auto"/>
        <w:outlineLvl w:val="0"/>
        <w:rPr>
          <w:rFonts w:ascii="Arial" w:eastAsia="Calibri" w:hAnsi="Arial" w:cs="Arial"/>
          <w:sz w:val="24"/>
          <w:lang w:val="en-ZA"/>
        </w:rPr>
      </w:pPr>
      <w:r w:rsidRPr="00DA7CFC">
        <w:rPr>
          <w:rFonts w:ascii="Arial" w:eastAsia="Calibri" w:hAnsi="Arial" w:cs="Arial"/>
          <w:b/>
          <w:sz w:val="24"/>
          <w:lang w:val="en-ZA"/>
        </w:rPr>
        <w:t>Coram:</w:t>
      </w:r>
      <w:r w:rsidRPr="00DA7CFC">
        <w:rPr>
          <w:rFonts w:ascii="Arial" w:eastAsia="Calibri" w:hAnsi="Arial" w:cs="Arial"/>
          <w:sz w:val="24"/>
          <w:lang w:val="en-ZA"/>
        </w:rPr>
        <w:tab/>
        <w:t>DAMASEB DCJ, MAINGA JA and</w:t>
      </w:r>
      <w:r w:rsidR="00EC30B6" w:rsidRPr="00DA7CFC">
        <w:rPr>
          <w:rFonts w:ascii="Arial" w:eastAsia="Calibri" w:hAnsi="Arial" w:cs="Arial"/>
          <w:sz w:val="24"/>
          <w:lang w:val="en-ZA"/>
        </w:rPr>
        <w:t xml:space="preserve"> </w:t>
      </w:r>
      <w:r w:rsidRPr="00DA7CFC">
        <w:rPr>
          <w:rFonts w:ascii="Arial" w:eastAsia="Calibri" w:hAnsi="Arial" w:cs="Arial"/>
          <w:sz w:val="24"/>
          <w:lang w:val="en-ZA"/>
        </w:rPr>
        <w:t>FRANK AJA</w:t>
      </w:r>
    </w:p>
    <w:p w14:paraId="7BD0B658" w14:textId="49E584E7" w:rsidR="00007E5E" w:rsidRPr="00DA7CFC" w:rsidRDefault="00007E5E" w:rsidP="00472B31">
      <w:pPr>
        <w:spacing w:after="0" w:line="480" w:lineRule="auto"/>
        <w:outlineLvl w:val="0"/>
        <w:rPr>
          <w:rFonts w:ascii="Arial" w:eastAsia="Calibri" w:hAnsi="Arial" w:cs="Arial"/>
          <w:b/>
          <w:sz w:val="24"/>
          <w:lang w:val="en-ZA"/>
        </w:rPr>
      </w:pPr>
      <w:r w:rsidRPr="00DA7CFC">
        <w:rPr>
          <w:rFonts w:ascii="Arial" w:eastAsia="Calibri" w:hAnsi="Arial" w:cs="Arial"/>
          <w:b/>
          <w:sz w:val="24"/>
          <w:lang w:val="en-ZA"/>
        </w:rPr>
        <w:t>Heard:</w:t>
      </w:r>
      <w:r w:rsidRPr="00DA7CFC">
        <w:rPr>
          <w:rFonts w:ascii="Arial" w:eastAsia="Calibri" w:hAnsi="Arial" w:cs="Arial"/>
          <w:b/>
          <w:sz w:val="24"/>
          <w:lang w:val="en-ZA"/>
        </w:rPr>
        <w:tab/>
      </w:r>
      <w:r w:rsidR="00EC30B6" w:rsidRPr="00DA7CFC">
        <w:rPr>
          <w:rFonts w:ascii="Arial" w:eastAsia="Calibri" w:hAnsi="Arial" w:cs="Arial"/>
          <w:b/>
          <w:sz w:val="24"/>
          <w:lang w:val="en-ZA"/>
        </w:rPr>
        <w:t>17</w:t>
      </w:r>
      <w:r w:rsidRPr="00DA7CFC">
        <w:rPr>
          <w:rFonts w:ascii="Arial" w:eastAsia="Calibri" w:hAnsi="Arial" w:cs="Arial"/>
          <w:b/>
          <w:sz w:val="24"/>
          <w:lang w:val="en-ZA"/>
        </w:rPr>
        <w:t xml:space="preserve"> March 2023</w:t>
      </w:r>
    </w:p>
    <w:p w14:paraId="25683132" w14:textId="0BD5C9A5" w:rsidR="002640C9" w:rsidRPr="00DA7CFC" w:rsidRDefault="00007E5E" w:rsidP="00472B31">
      <w:pPr>
        <w:spacing w:after="0" w:line="480" w:lineRule="auto"/>
        <w:outlineLvl w:val="0"/>
        <w:rPr>
          <w:rFonts w:ascii="Arial" w:eastAsia="Calibri" w:hAnsi="Arial" w:cs="Arial"/>
          <w:b/>
          <w:sz w:val="24"/>
          <w:lang w:val="en-ZA"/>
        </w:rPr>
      </w:pPr>
      <w:r w:rsidRPr="00DA7CFC">
        <w:rPr>
          <w:rFonts w:ascii="Arial" w:eastAsia="Calibri" w:hAnsi="Arial" w:cs="Arial"/>
          <w:b/>
          <w:sz w:val="24"/>
          <w:lang w:val="en-ZA"/>
        </w:rPr>
        <w:t>Delivered:</w:t>
      </w:r>
      <w:r w:rsidRPr="00DA7CFC">
        <w:rPr>
          <w:rFonts w:ascii="Arial" w:eastAsia="Calibri" w:hAnsi="Arial" w:cs="Arial"/>
          <w:b/>
          <w:sz w:val="24"/>
          <w:lang w:val="en-ZA"/>
        </w:rPr>
        <w:tab/>
      </w:r>
      <w:r w:rsidR="002640C9">
        <w:rPr>
          <w:rFonts w:ascii="Arial" w:eastAsia="Calibri" w:hAnsi="Arial" w:cs="Arial"/>
          <w:b/>
          <w:sz w:val="24"/>
          <w:lang w:val="en-ZA"/>
        </w:rPr>
        <w:t>26 April 2023</w:t>
      </w:r>
    </w:p>
    <w:p w14:paraId="6B3C1F07" w14:textId="55A0F519" w:rsidR="00007E5E" w:rsidRPr="00DA7CFC" w:rsidRDefault="00007E5E" w:rsidP="00D3027E">
      <w:pPr>
        <w:tabs>
          <w:tab w:val="left" w:pos="7575"/>
        </w:tabs>
        <w:spacing w:after="0" w:line="480" w:lineRule="auto"/>
        <w:rPr>
          <w:rFonts w:ascii="Arial" w:eastAsia="Calibri" w:hAnsi="Arial" w:cs="Arial"/>
          <w:b/>
          <w:sz w:val="24"/>
          <w:lang w:val="en-ZA"/>
        </w:rPr>
      </w:pPr>
    </w:p>
    <w:p w14:paraId="179D0A3A" w14:textId="47D155B9" w:rsidR="00D36F7F" w:rsidRPr="00DA7CFC" w:rsidRDefault="00007E5E" w:rsidP="00D36F7F">
      <w:pPr>
        <w:shd w:val="clear" w:color="auto" w:fill="FFFFFF"/>
        <w:spacing w:after="0" w:line="360" w:lineRule="auto"/>
        <w:jc w:val="both"/>
        <w:rPr>
          <w:rFonts w:ascii="Arial" w:eastAsia="Calibri" w:hAnsi="Arial" w:cs="Arial"/>
          <w:sz w:val="24"/>
          <w:lang w:val="en-ZA"/>
        </w:rPr>
      </w:pPr>
      <w:r w:rsidRPr="00DA7CFC">
        <w:rPr>
          <w:rFonts w:ascii="Arial" w:eastAsia="Calibri" w:hAnsi="Arial" w:cs="Arial"/>
          <w:b/>
          <w:sz w:val="24"/>
          <w:lang w:val="en-ZA"/>
        </w:rPr>
        <w:t>Summary</w:t>
      </w:r>
      <w:r w:rsidRPr="00DA7CFC">
        <w:rPr>
          <w:rFonts w:ascii="Arial" w:eastAsia="Calibri" w:hAnsi="Arial" w:cs="Arial"/>
          <w:sz w:val="24"/>
          <w:lang w:val="en-ZA"/>
        </w:rPr>
        <w:t xml:space="preserve">: </w:t>
      </w:r>
      <w:r w:rsidR="00D36F7F" w:rsidRPr="00DA7CFC">
        <w:rPr>
          <w:rFonts w:ascii="Arial" w:eastAsia="Calibri" w:hAnsi="Arial" w:cs="Arial"/>
          <w:sz w:val="24"/>
          <w:lang w:val="en-ZA"/>
        </w:rPr>
        <w:t xml:space="preserve">A respondent in motion proceedings, Hollard </w:t>
      </w:r>
      <w:r w:rsidR="00EF3116">
        <w:rPr>
          <w:rFonts w:ascii="Arial" w:eastAsia="Calibri" w:hAnsi="Arial" w:cs="Arial"/>
          <w:sz w:val="24"/>
          <w:lang w:val="en-ZA"/>
        </w:rPr>
        <w:t>Insurance Company L</w:t>
      </w:r>
      <w:r w:rsidR="00E751C1">
        <w:rPr>
          <w:rFonts w:ascii="Arial" w:eastAsia="Calibri" w:hAnsi="Arial" w:cs="Arial"/>
          <w:sz w:val="24"/>
          <w:lang w:val="en-ZA"/>
        </w:rPr>
        <w:t>td</w:t>
      </w:r>
      <w:r w:rsidR="00EF3116">
        <w:rPr>
          <w:rFonts w:ascii="Arial" w:eastAsia="Calibri" w:hAnsi="Arial" w:cs="Arial"/>
          <w:sz w:val="24"/>
          <w:lang w:val="en-ZA"/>
        </w:rPr>
        <w:t xml:space="preserve"> (Hollard)</w:t>
      </w:r>
      <w:r w:rsidR="00D36F7F" w:rsidRPr="00DA7CFC">
        <w:rPr>
          <w:rFonts w:ascii="Arial" w:eastAsia="Calibri" w:hAnsi="Arial" w:cs="Arial"/>
          <w:sz w:val="24"/>
          <w:lang w:val="en-ZA"/>
        </w:rPr>
        <w:t xml:space="preserve"> brought an interlocutory application </w:t>
      </w:r>
      <w:r w:rsidR="00EF3116" w:rsidRPr="00DA7CFC">
        <w:rPr>
          <w:rFonts w:ascii="Arial" w:eastAsia="Calibri" w:hAnsi="Arial" w:cs="Arial"/>
          <w:sz w:val="24"/>
          <w:lang w:val="en-ZA"/>
        </w:rPr>
        <w:t>before it co</w:t>
      </w:r>
      <w:r w:rsidR="00EF3116">
        <w:rPr>
          <w:rFonts w:ascii="Arial" w:eastAsia="Calibri" w:hAnsi="Arial" w:cs="Arial"/>
          <w:sz w:val="24"/>
          <w:lang w:val="en-ZA"/>
        </w:rPr>
        <w:t>uld file an answering affidavit</w:t>
      </w:r>
      <w:r w:rsidR="00EF3116" w:rsidRPr="00DA7CFC">
        <w:rPr>
          <w:rFonts w:ascii="Arial" w:eastAsia="Calibri" w:hAnsi="Arial" w:cs="Arial"/>
          <w:sz w:val="24"/>
          <w:lang w:val="en-ZA"/>
        </w:rPr>
        <w:t xml:space="preserve"> </w:t>
      </w:r>
      <w:r w:rsidR="00D36F7F" w:rsidRPr="00DA7CFC">
        <w:rPr>
          <w:rFonts w:ascii="Arial" w:eastAsia="Calibri" w:hAnsi="Arial" w:cs="Arial"/>
          <w:sz w:val="24"/>
          <w:lang w:val="en-ZA"/>
        </w:rPr>
        <w:t xml:space="preserve">to have subpoenas </w:t>
      </w:r>
      <w:r w:rsidR="00EF6078" w:rsidRPr="00DA7CFC">
        <w:rPr>
          <w:rFonts w:ascii="Arial" w:eastAsia="Calibri" w:hAnsi="Arial" w:cs="Arial"/>
          <w:i/>
          <w:sz w:val="24"/>
          <w:lang w:val="en-ZA"/>
        </w:rPr>
        <w:t>duce</w:t>
      </w:r>
      <w:r w:rsidR="00D36F7F" w:rsidRPr="00DA7CFC">
        <w:rPr>
          <w:rFonts w:ascii="Arial" w:eastAsia="Calibri" w:hAnsi="Arial" w:cs="Arial"/>
          <w:i/>
          <w:sz w:val="24"/>
          <w:lang w:val="en-ZA"/>
        </w:rPr>
        <w:t>s tecum</w:t>
      </w:r>
      <w:r w:rsidR="005B28ED">
        <w:rPr>
          <w:rFonts w:ascii="Arial" w:eastAsia="Calibri" w:hAnsi="Arial" w:cs="Arial"/>
          <w:sz w:val="24"/>
          <w:lang w:val="en-ZA"/>
        </w:rPr>
        <w:t xml:space="preserve"> issued against the Attorney-</w:t>
      </w:r>
      <w:r w:rsidR="00D36F7F" w:rsidRPr="00DA7CFC">
        <w:rPr>
          <w:rFonts w:ascii="Arial" w:eastAsia="Calibri" w:hAnsi="Arial" w:cs="Arial"/>
          <w:sz w:val="24"/>
          <w:lang w:val="en-ZA"/>
        </w:rPr>
        <w:t>General of the Republic of Namibia (A-G) and the Secretary to the Cabinet of the Republic of Namibia (Cabinet Secretary). The two constitutional office holders were not party to the proceedings in which Hollard was sued but Hollard justified the subpoenas on the basis that it needed d</w:t>
      </w:r>
      <w:r w:rsidR="00576B5D" w:rsidRPr="00DA7CFC">
        <w:rPr>
          <w:rFonts w:ascii="Arial" w:eastAsia="Calibri" w:hAnsi="Arial" w:cs="Arial"/>
          <w:sz w:val="24"/>
          <w:lang w:val="en-ZA"/>
        </w:rPr>
        <w:t>ocuments to resist the applicant’s</w:t>
      </w:r>
      <w:r w:rsidR="00D36F7F" w:rsidRPr="00DA7CFC">
        <w:rPr>
          <w:rFonts w:ascii="Arial" w:eastAsia="Calibri" w:hAnsi="Arial" w:cs="Arial"/>
          <w:sz w:val="24"/>
          <w:lang w:val="en-ZA"/>
        </w:rPr>
        <w:t xml:space="preserve"> case</w:t>
      </w:r>
      <w:r w:rsidR="00C45BD4" w:rsidRPr="00DA7CFC">
        <w:rPr>
          <w:rFonts w:ascii="Arial" w:eastAsia="Calibri" w:hAnsi="Arial" w:cs="Arial"/>
          <w:sz w:val="24"/>
          <w:lang w:val="en-ZA"/>
        </w:rPr>
        <w:t xml:space="preserve"> (Gondwana)</w:t>
      </w:r>
      <w:r w:rsidR="004C0E73">
        <w:rPr>
          <w:rFonts w:ascii="Arial" w:eastAsia="Calibri" w:hAnsi="Arial" w:cs="Arial"/>
          <w:sz w:val="24"/>
          <w:lang w:val="en-ZA"/>
        </w:rPr>
        <w:t>.</w:t>
      </w:r>
    </w:p>
    <w:p w14:paraId="7E9E22CA" w14:textId="77777777" w:rsidR="00D36F7F" w:rsidRPr="00DA7CFC" w:rsidRDefault="00D36F7F" w:rsidP="00D36F7F">
      <w:pPr>
        <w:shd w:val="clear" w:color="auto" w:fill="FFFFFF"/>
        <w:spacing w:after="0" w:line="360" w:lineRule="auto"/>
        <w:jc w:val="both"/>
        <w:rPr>
          <w:rFonts w:ascii="Arial" w:eastAsia="Calibri" w:hAnsi="Arial" w:cs="Arial"/>
          <w:sz w:val="24"/>
          <w:lang w:val="en-ZA"/>
        </w:rPr>
      </w:pPr>
    </w:p>
    <w:p w14:paraId="13A9A9C7" w14:textId="59085E8A"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 xml:space="preserve">Hollard maintains that in terms of </w:t>
      </w:r>
      <w:r w:rsidR="00A42D44">
        <w:rPr>
          <w:rFonts w:ascii="Arial" w:eastAsia="Times New Roman" w:hAnsi="Arial" w:cs="Arial"/>
          <w:sz w:val="24"/>
          <w:szCs w:val="24"/>
          <w:lang w:val="en-ZA" w:eastAsia="en-ZA"/>
        </w:rPr>
        <w:t>Art</w:t>
      </w:r>
      <w:r w:rsidRPr="00DA7CFC">
        <w:rPr>
          <w:rFonts w:ascii="Arial" w:eastAsia="Times New Roman" w:hAnsi="Arial" w:cs="Arial"/>
          <w:sz w:val="24"/>
          <w:szCs w:val="24"/>
          <w:lang w:val="en-ZA" w:eastAsia="en-ZA"/>
        </w:rPr>
        <w:t xml:space="preserve"> 12(1)</w:t>
      </w:r>
      <w:r w:rsidRPr="005B28ED">
        <w:rPr>
          <w:rFonts w:ascii="Arial" w:eastAsia="Times New Roman" w:hAnsi="Arial" w:cs="Arial"/>
          <w:sz w:val="24"/>
          <w:szCs w:val="24"/>
          <w:lang w:val="en-ZA" w:eastAsia="en-ZA"/>
        </w:rPr>
        <w:t>(a) and (e)</w:t>
      </w:r>
      <w:r w:rsidRPr="00DA7CFC">
        <w:rPr>
          <w:rFonts w:ascii="Arial" w:eastAsia="Times New Roman" w:hAnsi="Arial" w:cs="Arial"/>
          <w:sz w:val="24"/>
          <w:szCs w:val="24"/>
          <w:lang w:val="en-ZA" w:eastAsia="en-ZA"/>
        </w:rPr>
        <w:t xml:space="preserve"> of the Namibian Constitution (the Constitution) it has the right, before it can file an answering affidavit</w:t>
      </w:r>
      <w:r w:rsidR="007A0B60">
        <w:rPr>
          <w:rFonts w:ascii="Arial" w:eastAsia="Times New Roman" w:hAnsi="Arial" w:cs="Arial"/>
          <w:sz w:val="24"/>
          <w:szCs w:val="24"/>
          <w:lang w:val="en-ZA" w:eastAsia="en-ZA"/>
        </w:rPr>
        <w:t>,</w:t>
      </w:r>
      <w:r w:rsidRPr="00DA7CFC">
        <w:rPr>
          <w:rFonts w:ascii="Arial" w:eastAsia="Times New Roman" w:hAnsi="Arial" w:cs="Arial"/>
          <w:sz w:val="24"/>
          <w:szCs w:val="24"/>
          <w:lang w:val="en-ZA" w:eastAsia="en-ZA"/>
        </w:rPr>
        <w:t xml:space="preserve"> to demand the production (discovery) of documents</w:t>
      </w:r>
      <w:r w:rsidR="007A0B60">
        <w:rPr>
          <w:rFonts w:ascii="Arial" w:eastAsia="Times New Roman" w:hAnsi="Arial" w:cs="Arial"/>
          <w:sz w:val="24"/>
          <w:szCs w:val="24"/>
          <w:lang w:val="en-ZA" w:eastAsia="en-ZA"/>
        </w:rPr>
        <w:t xml:space="preserve"> from the non-parties</w:t>
      </w:r>
      <w:r w:rsidRPr="00DA7CFC">
        <w:rPr>
          <w:rFonts w:ascii="Arial" w:eastAsia="Times New Roman" w:hAnsi="Arial" w:cs="Arial"/>
          <w:sz w:val="24"/>
          <w:szCs w:val="24"/>
          <w:lang w:val="en-ZA" w:eastAsia="en-ZA"/>
        </w:rPr>
        <w:t xml:space="preserve">, and to cross-examine potential witnesses for Gondwana on the strength of documents produced under the subpoenas </w:t>
      </w:r>
      <w:r w:rsidRPr="00DA7CFC">
        <w:rPr>
          <w:rFonts w:ascii="Arial" w:eastAsia="Times New Roman" w:hAnsi="Arial" w:cs="Arial"/>
          <w:i/>
          <w:sz w:val="24"/>
          <w:szCs w:val="24"/>
          <w:lang w:val="en-ZA" w:eastAsia="en-ZA"/>
        </w:rPr>
        <w:t>duces tecum</w:t>
      </w:r>
      <w:r w:rsidRPr="00DA7CFC">
        <w:rPr>
          <w:rFonts w:ascii="Arial" w:eastAsia="Times New Roman" w:hAnsi="Arial" w:cs="Arial"/>
          <w:sz w:val="24"/>
          <w:szCs w:val="24"/>
          <w:lang w:val="en-ZA" w:eastAsia="en-ZA"/>
        </w:rPr>
        <w:t xml:space="preserve">.  </w:t>
      </w:r>
    </w:p>
    <w:p w14:paraId="6EE2FDA6" w14:textId="77777777"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p>
    <w:p w14:paraId="1529B8A7" w14:textId="0F442E4C" w:rsidR="00D36F7F" w:rsidRPr="00DA7CFC" w:rsidRDefault="00D36F7F" w:rsidP="00D36F7F">
      <w:pPr>
        <w:shd w:val="clear" w:color="auto" w:fill="FFFFFF"/>
        <w:spacing w:after="0" w:line="360" w:lineRule="auto"/>
        <w:jc w:val="both"/>
        <w:rPr>
          <w:rFonts w:ascii="Arial" w:eastAsia="Calibri" w:hAnsi="Arial" w:cs="Arial"/>
          <w:sz w:val="24"/>
          <w:lang w:val="en-ZA"/>
        </w:rPr>
      </w:pPr>
      <w:r w:rsidRPr="00DA7CFC">
        <w:rPr>
          <w:rFonts w:ascii="Arial" w:eastAsia="Calibri" w:hAnsi="Arial" w:cs="Arial"/>
          <w:sz w:val="24"/>
          <w:lang w:val="en-ZA"/>
        </w:rPr>
        <w:t xml:space="preserve">The court </w:t>
      </w:r>
      <w:r w:rsidRPr="00DA7CFC">
        <w:rPr>
          <w:rFonts w:ascii="Arial" w:eastAsia="Calibri" w:hAnsi="Arial" w:cs="Arial"/>
          <w:i/>
          <w:sz w:val="24"/>
          <w:lang w:val="en-ZA"/>
        </w:rPr>
        <w:t>a quo</w:t>
      </w:r>
      <w:r w:rsidRPr="00DA7CFC">
        <w:rPr>
          <w:rFonts w:ascii="Arial" w:eastAsia="Calibri" w:hAnsi="Arial" w:cs="Arial"/>
          <w:sz w:val="24"/>
          <w:lang w:val="en-ZA"/>
        </w:rPr>
        <w:t xml:space="preserve"> granted the order allowing the issuing of the subpoena</w:t>
      </w:r>
      <w:r w:rsidR="00014ECD">
        <w:rPr>
          <w:rFonts w:ascii="Arial" w:eastAsia="Calibri" w:hAnsi="Arial" w:cs="Arial"/>
          <w:sz w:val="24"/>
          <w:lang w:val="en-ZA"/>
        </w:rPr>
        <w:t>s</w:t>
      </w:r>
      <w:r w:rsidRPr="00DA7CFC">
        <w:rPr>
          <w:rFonts w:ascii="Arial" w:eastAsia="Calibri" w:hAnsi="Arial" w:cs="Arial"/>
          <w:sz w:val="24"/>
          <w:lang w:val="en-ZA"/>
        </w:rPr>
        <w:t xml:space="preserve"> </w:t>
      </w:r>
      <w:r w:rsidRPr="00DA7CFC">
        <w:rPr>
          <w:rFonts w:ascii="Arial" w:eastAsia="Calibri" w:hAnsi="Arial" w:cs="Arial"/>
          <w:i/>
          <w:sz w:val="24"/>
          <w:lang w:val="en-ZA"/>
        </w:rPr>
        <w:t>duces tecum</w:t>
      </w:r>
      <w:r w:rsidRPr="00DA7CFC">
        <w:rPr>
          <w:rFonts w:ascii="Arial" w:eastAsia="Calibri" w:hAnsi="Arial" w:cs="Arial"/>
          <w:sz w:val="24"/>
          <w:lang w:val="en-ZA"/>
        </w:rPr>
        <w:t xml:space="preserve"> against the A-G and the Cabinet Secretary. Dissatisfied </w:t>
      </w:r>
      <w:r w:rsidR="00014ECD">
        <w:rPr>
          <w:rFonts w:ascii="Arial" w:eastAsia="Calibri" w:hAnsi="Arial" w:cs="Arial"/>
          <w:sz w:val="24"/>
          <w:lang w:val="en-ZA"/>
        </w:rPr>
        <w:t>with</w:t>
      </w:r>
      <w:r w:rsidRPr="00DA7CFC">
        <w:rPr>
          <w:rFonts w:ascii="Arial" w:eastAsia="Calibri" w:hAnsi="Arial" w:cs="Arial"/>
          <w:sz w:val="24"/>
          <w:lang w:val="en-ZA"/>
        </w:rPr>
        <w:t xml:space="preserve"> the order, the A-</w:t>
      </w:r>
      <w:r w:rsidR="00FA0F44">
        <w:rPr>
          <w:rFonts w:ascii="Arial" w:eastAsia="Calibri" w:hAnsi="Arial" w:cs="Arial"/>
          <w:sz w:val="24"/>
          <w:lang w:val="en-ZA"/>
        </w:rPr>
        <w:t>G and the Cabinet Secretary fil</w:t>
      </w:r>
      <w:r w:rsidRPr="00DA7CFC">
        <w:rPr>
          <w:rFonts w:ascii="Arial" w:eastAsia="Calibri" w:hAnsi="Arial" w:cs="Arial"/>
          <w:sz w:val="24"/>
          <w:lang w:val="en-ZA"/>
        </w:rPr>
        <w:t xml:space="preserve">ed a rescission application to rescind the order. They maintained that the orders were ‘extraordinary and invasive’ and that the court was not entitled to grant subpoenas </w:t>
      </w:r>
      <w:r w:rsidRPr="00DA7CFC">
        <w:rPr>
          <w:rFonts w:ascii="Arial" w:eastAsia="Calibri" w:hAnsi="Arial" w:cs="Arial"/>
          <w:i/>
          <w:sz w:val="24"/>
          <w:lang w:val="en-ZA"/>
        </w:rPr>
        <w:t>decus tecum</w:t>
      </w:r>
      <w:r w:rsidRPr="00DA7CFC">
        <w:rPr>
          <w:rFonts w:ascii="Arial" w:eastAsia="Calibri" w:hAnsi="Arial" w:cs="Arial"/>
          <w:sz w:val="24"/>
          <w:lang w:val="en-ZA"/>
        </w:rPr>
        <w:t xml:space="preserve"> in motion proceedings. Furthermore, that they ought to have been afforded an opportunity to make representations before the subpoenas were authorised. Emphasis was placed on the fact that the subpoenas interfered with their constitutionally directed duty of confidentiality and secrecy in relation to Cabinet deliberations. </w:t>
      </w:r>
    </w:p>
    <w:p w14:paraId="7C9D8F25" w14:textId="77777777" w:rsidR="00D36F7F" w:rsidRPr="00DA7CFC" w:rsidRDefault="00D36F7F" w:rsidP="00D36F7F">
      <w:pPr>
        <w:shd w:val="clear" w:color="auto" w:fill="FFFFFF"/>
        <w:spacing w:after="0" w:line="360" w:lineRule="auto"/>
        <w:jc w:val="both"/>
        <w:rPr>
          <w:rFonts w:ascii="Arial" w:eastAsia="Calibri" w:hAnsi="Arial" w:cs="Arial"/>
          <w:sz w:val="24"/>
          <w:lang w:val="en-ZA"/>
        </w:rPr>
      </w:pPr>
    </w:p>
    <w:p w14:paraId="43896C49" w14:textId="27E35550"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r w:rsidRPr="00DA7CFC">
        <w:rPr>
          <w:rFonts w:ascii="Arial" w:eastAsia="Calibri" w:hAnsi="Arial" w:cs="Arial"/>
          <w:sz w:val="24"/>
          <w:lang w:val="en-ZA"/>
        </w:rPr>
        <w:t xml:space="preserve">The court </w:t>
      </w:r>
      <w:r w:rsidRPr="00DA7CFC">
        <w:rPr>
          <w:rFonts w:ascii="Arial" w:eastAsia="Calibri" w:hAnsi="Arial" w:cs="Arial"/>
          <w:i/>
          <w:sz w:val="24"/>
          <w:lang w:val="en-ZA"/>
        </w:rPr>
        <w:t>a quo</w:t>
      </w:r>
      <w:r w:rsidRPr="00DA7CFC">
        <w:rPr>
          <w:rFonts w:ascii="Arial" w:eastAsia="Calibri" w:hAnsi="Arial" w:cs="Arial"/>
          <w:sz w:val="24"/>
          <w:lang w:val="en-ZA"/>
        </w:rPr>
        <w:t xml:space="preserve"> disallowed the application for rescission and endorsed Hollard’s propositions in justification of the subpoena</w:t>
      </w:r>
      <w:r w:rsidR="00530C69">
        <w:rPr>
          <w:rFonts w:ascii="Arial" w:eastAsia="Calibri" w:hAnsi="Arial" w:cs="Arial"/>
          <w:sz w:val="24"/>
          <w:lang w:val="en-ZA"/>
        </w:rPr>
        <w:t>s</w:t>
      </w:r>
      <w:r w:rsidRPr="00DA7CFC">
        <w:rPr>
          <w:rFonts w:ascii="Arial" w:eastAsia="Calibri" w:hAnsi="Arial" w:cs="Arial"/>
          <w:sz w:val="24"/>
          <w:lang w:val="en-ZA"/>
        </w:rPr>
        <w:t xml:space="preserve"> </w:t>
      </w:r>
      <w:r w:rsidRPr="00DA7CFC">
        <w:rPr>
          <w:rFonts w:ascii="Arial" w:eastAsia="Calibri" w:hAnsi="Arial" w:cs="Arial"/>
          <w:i/>
          <w:sz w:val="24"/>
          <w:lang w:val="en-ZA"/>
        </w:rPr>
        <w:t>duces tecum.</w:t>
      </w:r>
      <w:r w:rsidRPr="00DA7CFC">
        <w:rPr>
          <w:rFonts w:ascii="Arial" w:eastAsia="Calibri" w:hAnsi="Arial" w:cs="Arial"/>
          <w:sz w:val="24"/>
          <w:lang w:val="en-ZA"/>
        </w:rPr>
        <w:t xml:space="preserve"> The High Court held that the right to discovery includes pre-litigation discovery and that </w:t>
      </w:r>
      <w:r w:rsidR="00A42D44">
        <w:rPr>
          <w:rFonts w:ascii="Arial" w:eastAsia="Calibri" w:hAnsi="Arial" w:cs="Arial"/>
          <w:sz w:val="24"/>
          <w:lang w:val="en-ZA"/>
        </w:rPr>
        <w:t>Art</w:t>
      </w:r>
      <w:r w:rsidRPr="00DA7CFC">
        <w:rPr>
          <w:rFonts w:ascii="Arial" w:eastAsia="Calibri" w:hAnsi="Arial" w:cs="Arial"/>
          <w:sz w:val="24"/>
          <w:lang w:val="en-ZA"/>
        </w:rPr>
        <w:t xml:space="preserve"> 12(1)</w:t>
      </w:r>
      <w:r w:rsidRPr="005B28ED">
        <w:rPr>
          <w:rFonts w:ascii="Arial" w:eastAsia="Calibri" w:hAnsi="Arial" w:cs="Arial"/>
          <w:sz w:val="24"/>
          <w:lang w:val="en-ZA"/>
        </w:rPr>
        <w:t>(e)</w:t>
      </w:r>
      <w:r w:rsidRPr="00DA7CFC">
        <w:rPr>
          <w:rFonts w:ascii="Arial" w:eastAsia="Calibri" w:hAnsi="Arial" w:cs="Arial"/>
          <w:sz w:val="24"/>
          <w:lang w:val="en-ZA"/>
        </w:rPr>
        <w:t xml:space="preserve"> of the Constitution guarantees the right to seek discovery from anyone who may possess relevant evidence for the purpose of instituting or defending legal proceedings. </w:t>
      </w:r>
    </w:p>
    <w:p w14:paraId="0A0C1174" w14:textId="77777777"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p>
    <w:p w14:paraId="0C0635F5" w14:textId="3BD94090"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 xml:space="preserve">The primary consideration on appeal is whether the court </w:t>
      </w:r>
      <w:r w:rsidRPr="00DA7CFC">
        <w:rPr>
          <w:rFonts w:ascii="Arial" w:eastAsia="Times New Roman" w:hAnsi="Arial" w:cs="Arial"/>
          <w:i/>
          <w:sz w:val="24"/>
          <w:szCs w:val="24"/>
          <w:lang w:val="en-ZA" w:eastAsia="en-ZA"/>
        </w:rPr>
        <w:t>a quo</w:t>
      </w:r>
      <w:r w:rsidRPr="00DA7CFC">
        <w:rPr>
          <w:rFonts w:ascii="Arial" w:eastAsia="Times New Roman" w:hAnsi="Arial" w:cs="Arial"/>
          <w:sz w:val="24"/>
          <w:szCs w:val="24"/>
          <w:lang w:val="en-ZA" w:eastAsia="en-ZA"/>
        </w:rPr>
        <w:t xml:space="preserve"> was entitled to authorise the granting of the subpoenas </w:t>
      </w:r>
      <w:r w:rsidRPr="00DA7CFC">
        <w:rPr>
          <w:rFonts w:ascii="Arial" w:eastAsia="Times New Roman" w:hAnsi="Arial" w:cs="Arial"/>
          <w:i/>
          <w:sz w:val="24"/>
          <w:szCs w:val="24"/>
          <w:lang w:val="en-ZA" w:eastAsia="en-ZA"/>
        </w:rPr>
        <w:t>duces tecum</w:t>
      </w:r>
      <w:r w:rsidRPr="00DA7CFC">
        <w:rPr>
          <w:rFonts w:ascii="Arial" w:eastAsia="Times New Roman" w:hAnsi="Arial" w:cs="Arial"/>
          <w:sz w:val="24"/>
          <w:szCs w:val="24"/>
          <w:lang w:val="en-ZA" w:eastAsia="en-ZA"/>
        </w:rPr>
        <w:t xml:space="preserve"> in motion proceedings and against non-parties. </w:t>
      </w:r>
    </w:p>
    <w:p w14:paraId="6550AEED" w14:textId="77777777"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p>
    <w:p w14:paraId="63539968" w14:textId="77777777"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r w:rsidRPr="00DA7CFC">
        <w:rPr>
          <w:rFonts w:ascii="Arial" w:eastAsia="Times New Roman" w:hAnsi="Arial" w:cs="Arial"/>
          <w:i/>
          <w:sz w:val="24"/>
          <w:szCs w:val="24"/>
          <w:lang w:val="en-ZA" w:eastAsia="en-ZA"/>
        </w:rPr>
        <w:t>Held that</w:t>
      </w:r>
      <w:r w:rsidRPr="00DA7CFC">
        <w:rPr>
          <w:rFonts w:ascii="Arial" w:eastAsia="Times New Roman" w:hAnsi="Arial" w:cs="Arial"/>
          <w:sz w:val="24"/>
          <w:szCs w:val="24"/>
          <w:lang w:val="en-ZA" w:eastAsia="en-ZA"/>
        </w:rPr>
        <w:t>, where the legislature has provided for a specific procedure for the ventilation of legal disputes it is to that procedure that the public must have recourse in the first place and not the Constitution. If the procedure is found wanting viewed from the prism of the Constitution, the appropriate course of action is not to skirt the procedure but to challenge it and have it set aside.</w:t>
      </w:r>
    </w:p>
    <w:p w14:paraId="1931066C" w14:textId="77777777" w:rsidR="00D36F7F"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p>
    <w:p w14:paraId="6F7254D4" w14:textId="0AABAE96" w:rsidR="00494EF7" w:rsidRPr="00DA7CFC" w:rsidRDefault="00D36F7F" w:rsidP="00D36F7F">
      <w:pPr>
        <w:shd w:val="clear" w:color="auto" w:fill="FFFFFF"/>
        <w:spacing w:after="0" w:line="360" w:lineRule="auto"/>
        <w:jc w:val="both"/>
        <w:rPr>
          <w:rFonts w:ascii="Arial" w:eastAsia="Times New Roman" w:hAnsi="Arial" w:cs="Arial"/>
          <w:sz w:val="24"/>
          <w:szCs w:val="24"/>
          <w:lang w:val="en-ZA" w:eastAsia="en-ZA"/>
        </w:rPr>
      </w:pPr>
      <w:r w:rsidRPr="00DA7CFC">
        <w:rPr>
          <w:rFonts w:ascii="Arial" w:eastAsia="Times New Roman" w:hAnsi="Arial" w:cs="Arial"/>
          <w:i/>
          <w:sz w:val="24"/>
          <w:szCs w:val="24"/>
          <w:lang w:val="en-ZA" w:eastAsia="en-ZA"/>
        </w:rPr>
        <w:t>Held that</w:t>
      </w:r>
      <w:r w:rsidRPr="00DA7CFC">
        <w:rPr>
          <w:rFonts w:ascii="Arial" w:eastAsia="Times New Roman" w:hAnsi="Arial" w:cs="Arial"/>
          <w:sz w:val="24"/>
          <w:szCs w:val="24"/>
          <w:lang w:val="en-ZA" w:eastAsia="en-ZA"/>
        </w:rPr>
        <w:t xml:space="preserve">, in the absence of statutory intervention and an appropriate rule framework, the </w:t>
      </w:r>
      <w:r w:rsidR="00F57FE4">
        <w:rPr>
          <w:rFonts w:ascii="Arial" w:eastAsia="Times New Roman" w:hAnsi="Arial" w:cs="Arial"/>
          <w:sz w:val="24"/>
          <w:szCs w:val="24"/>
          <w:lang w:val="en-ZA" w:eastAsia="en-ZA"/>
        </w:rPr>
        <w:t>novel</w:t>
      </w:r>
      <w:r w:rsidRPr="00DA7CFC">
        <w:rPr>
          <w:rFonts w:ascii="Arial" w:eastAsia="Times New Roman" w:hAnsi="Arial" w:cs="Arial"/>
          <w:sz w:val="24"/>
          <w:szCs w:val="24"/>
          <w:lang w:val="en-ZA" w:eastAsia="en-ZA"/>
        </w:rPr>
        <w:t xml:space="preserve"> procedure deployed by Hollard is bound to open the floodgates for fishing </w:t>
      </w:r>
      <w:r w:rsidRPr="00DA7CFC">
        <w:rPr>
          <w:rFonts w:ascii="Arial" w:eastAsia="Times New Roman" w:hAnsi="Arial" w:cs="Arial"/>
          <w:sz w:val="24"/>
          <w:szCs w:val="24"/>
          <w:lang w:val="en-ZA" w:eastAsia="en-ZA"/>
        </w:rPr>
        <w:lastRenderedPageBreak/>
        <w:t xml:space="preserve">expeditions, abuse, uncertainty and potentially contradictory practices by managing judges and </w:t>
      </w:r>
      <w:r w:rsidR="00307746">
        <w:rPr>
          <w:rFonts w:ascii="Arial" w:eastAsia="Times New Roman" w:hAnsi="Arial" w:cs="Arial"/>
          <w:sz w:val="24"/>
          <w:szCs w:val="24"/>
          <w:lang w:val="en-ZA" w:eastAsia="en-ZA"/>
        </w:rPr>
        <w:t xml:space="preserve">may </w:t>
      </w:r>
      <w:r w:rsidRPr="00DA7CFC">
        <w:rPr>
          <w:rFonts w:ascii="Arial" w:eastAsia="Times New Roman" w:hAnsi="Arial" w:cs="Arial"/>
          <w:sz w:val="24"/>
          <w:szCs w:val="24"/>
          <w:lang w:val="en-ZA" w:eastAsia="en-ZA"/>
        </w:rPr>
        <w:t xml:space="preserve">bring the civil justice system into </w:t>
      </w:r>
      <w:r w:rsidR="00F04763" w:rsidRPr="00DA7CFC">
        <w:rPr>
          <w:rFonts w:ascii="Arial" w:eastAsia="Times New Roman" w:hAnsi="Arial" w:cs="Arial"/>
          <w:sz w:val="24"/>
          <w:szCs w:val="24"/>
          <w:lang w:val="en-ZA" w:eastAsia="en-ZA"/>
        </w:rPr>
        <w:t>disrepute;</w:t>
      </w:r>
      <w:r w:rsidR="00F65E6A">
        <w:rPr>
          <w:rFonts w:ascii="Arial" w:eastAsia="Times New Roman" w:hAnsi="Arial" w:cs="Arial"/>
          <w:sz w:val="24"/>
          <w:szCs w:val="24"/>
          <w:lang w:val="en-ZA" w:eastAsia="en-ZA"/>
        </w:rPr>
        <w:t xml:space="preserve"> </w:t>
      </w:r>
      <w:r w:rsidRPr="00DA7CFC">
        <w:rPr>
          <w:rFonts w:ascii="Arial" w:eastAsia="Times New Roman" w:hAnsi="Arial" w:cs="Arial"/>
          <w:sz w:val="24"/>
          <w:szCs w:val="24"/>
          <w:lang w:val="en-ZA" w:eastAsia="en-ZA"/>
        </w:rPr>
        <w:t>and that the High Court erred in departing from the well-established procedure for the conduct of motion proceedings without those procedures being challenged</w:t>
      </w:r>
      <w:r w:rsidR="00F65E6A">
        <w:rPr>
          <w:rFonts w:ascii="Arial" w:eastAsia="Times New Roman" w:hAnsi="Arial" w:cs="Arial"/>
          <w:sz w:val="24"/>
          <w:szCs w:val="24"/>
          <w:lang w:val="en-ZA" w:eastAsia="en-ZA"/>
        </w:rPr>
        <w:t>.</w:t>
      </w:r>
      <w:r w:rsidRPr="00DA7CFC">
        <w:rPr>
          <w:rFonts w:ascii="Arial" w:eastAsia="Times New Roman" w:hAnsi="Arial" w:cs="Arial"/>
          <w:sz w:val="24"/>
          <w:szCs w:val="24"/>
          <w:lang w:val="en-ZA" w:eastAsia="en-ZA"/>
        </w:rPr>
        <w:t xml:space="preserve"> Hollard was not entitled to demand </w:t>
      </w:r>
      <w:r w:rsidR="00F65E6A">
        <w:rPr>
          <w:rFonts w:ascii="Arial" w:eastAsia="Times New Roman" w:hAnsi="Arial" w:cs="Arial"/>
          <w:sz w:val="24"/>
          <w:szCs w:val="24"/>
          <w:lang w:val="en-ZA" w:eastAsia="en-ZA"/>
        </w:rPr>
        <w:t>discovery and production of documents by non-parties</w:t>
      </w:r>
      <w:r w:rsidRPr="00DA7CFC">
        <w:rPr>
          <w:rFonts w:ascii="Arial" w:eastAsia="Times New Roman" w:hAnsi="Arial" w:cs="Arial"/>
          <w:sz w:val="24"/>
          <w:szCs w:val="24"/>
          <w:lang w:val="en-ZA" w:eastAsia="en-ZA"/>
        </w:rPr>
        <w:t xml:space="preserve"> before it filed its answering affidavit and before pleadings closed and a triable dispute of fact had arisen. The appeal therefore succeeds.</w:t>
      </w:r>
    </w:p>
    <w:p w14:paraId="047D9919" w14:textId="77777777" w:rsidR="002037AF" w:rsidRPr="00DA7CFC" w:rsidRDefault="002037AF" w:rsidP="006330D5">
      <w:pPr>
        <w:shd w:val="clear" w:color="auto" w:fill="FFFFFF"/>
        <w:spacing w:after="0" w:line="360" w:lineRule="auto"/>
        <w:jc w:val="both"/>
        <w:rPr>
          <w:rFonts w:ascii="Arial" w:eastAsia="Times New Roman" w:hAnsi="Arial" w:cs="Arial"/>
          <w:sz w:val="24"/>
          <w:szCs w:val="24"/>
          <w:lang w:val="en-ZA" w:eastAsia="en-ZA"/>
        </w:rPr>
      </w:pPr>
    </w:p>
    <w:p w14:paraId="691D1B9E" w14:textId="77777777" w:rsidR="00007E5E" w:rsidRPr="00DA7CFC" w:rsidRDefault="00007E5E" w:rsidP="00007E5E">
      <w:pPr>
        <w:pBdr>
          <w:top w:val="single" w:sz="4" w:space="0" w:color="auto"/>
        </w:pBdr>
        <w:spacing w:after="0" w:line="480" w:lineRule="auto"/>
        <w:jc w:val="both"/>
        <w:rPr>
          <w:rFonts w:ascii="Arial" w:eastAsia="Calibri" w:hAnsi="Arial" w:cs="Arial"/>
          <w:sz w:val="24"/>
          <w:lang w:val="en-ZA"/>
        </w:rPr>
      </w:pPr>
    </w:p>
    <w:p w14:paraId="393CBA05" w14:textId="1F53AB04" w:rsidR="007F0785" w:rsidRDefault="00007E5E" w:rsidP="005F189D">
      <w:pPr>
        <w:pBdr>
          <w:bottom w:val="single" w:sz="4" w:space="0" w:color="auto"/>
        </w:pBdr>
        <w:spacing w:after="0" w:line="480" w:lineRule="auto"/>
        <w:jc w:val="center"/>
        <w:outlineLvl w:val="0"/>
        <w:rPr>
          <w:rFonts w:ascii="Arial" w:eastAsia="Calibri" w:hAnsi="Arial" w:cs="Arial"/>
          <w:sz w:val="24"/>
        </w:rPr>
      </w:pPr>
      <w:r w:rsidRPr="00DA7CFC">
        <w:rPr>
          <w:rFonts w:ascii="Arial" w:eastAsia="Calibri" w:hAnsi="Arial" w:cs="Arial"/>
          <w:b/>
          <w:sz w:val="24"/>
          <w:lang w:val="en-ZA"/>
        </w:rPr>
        <w:t>APPEAL JUDGMENT</w:t>
      </w:r>
    </w:p>
    <w:p w14:paraId="224C5751" w14:textId="61D5E4BD" w:rsidR="00007E5E" w:rsidRPr="00DA7CFC" w:rsidRDefault="00007E5E" w:rsidP="001645C3">
      <w:pPr>
        <w:spacing w:after="0" w:line="480" w:lineRule="auto"/>
        <w:outlineLvl w:val="0"/>
        <w:rPr>
          <w:rFonts w:ascii="Arial" w:eastAsia="Calibri" w:hAnsi="Arial" w:cs="Arial"/>
          <w:sz w:val="24"/>
          <w:lang w:val="en-ZA"/>
        </w:rPr>
      </w:pPr>
      <w:r w:rsidRPr="00DA7CFC">
        <w:rPr>
          <w:rFonts w:ascii="Arial" w:eastAsia="Calibri" w:hAnsi="Arial" w:cs="Arial"/>
          <w:sz w:val="24"/>
        </w:rPr>
        <w:t>DAMASEB DCJ (</w:t>
      </w:r>
      <w:r w:rsidRPr="00DA7CFC">
        <w:rPr>
          <w:rFonts w:ascii="Arial" w:eastAsia="Calibri" w:hAnsi="Arial" w:cs="Arial"/>
          <w:sz w:val="24"/>
          <w:lang w:val="en-ZA"/>
        </w:rPr>
        <w:t xml:space="preserve">MAINGA JA </w:t>
      </w:r>
      <w:r w:rsidR="001645C3" w:rsidRPr="00DA7CFC">
        <w:rPr>
          <w:rFonts w:ascii="Arial" w:eastAsia="Calibri" w:hAnsi="Arial" w:cs="Arial"/>
          <w:sz w:val="24"/>
          <w:lang w:val="en-ZA"/>
        </w:rPr>
        <w:t>c</w:t>
      </w:r>
      <w:r w:rsidRPr="00DA7CFC">
        <w:rPr>
          <w:rFonts w:ascii="Arial" w:eastAsia="Calibri" w:hAnsi="Arial" w:cs="Arial"/>
          <w:sz w:val="24"/>
          <w:lang w:val="en-ZA"/>
        </w:rPr>
        <w:t>oncurring):</w:t>
      </w:r>
    </w:p>
    <w:p w14:paraId="57ED8807" w14:textId="77777777" w:rsidR="00007E5E" w:rsidRPr="00DA7CFC" w:rsidRDefault="00007E5E" w:rsidP="00472B31">
      <w:pPr>
        <w:shd w:val="clear" w:color="auto" w:fill="FFFFFF"/>
        <w:spacing w:after="0" w:line="480" w:lineRule="auto"/>
        <w:jc w:val="both"/>
        <w:outlineLvl w:val="0"/>
        <w:rPr>
          <w:rFonts w:ascii="Arial" w:eastAsia="Times New Roman" w:hAnsi="Arial" w:cs="Arial"/>
          <w:sz w:val="24"/>
          <w:szCs w:val="24"/>
          <w:u w:val="single"/>
          <w:lang w:val="en-ZA" w:eastAsia="en-ZA"/>
        </w:rPr>
      </w:pPr>
      <w:r w:rsidRPr="00DA7CFC">
        <w:rPr>
          <w:rFonts w:ascii="Arial" w:eastAsia="Times New Roman" w:hAnsi="Arial" w:cs="Arial"/>
          <w:sz w:val="24"/>
          <w:szCs w:val="24"/>
          <w:u w:val="single"/>
          <w:lang w:val="en-ZA" w:eastAsia="en-ZA"/>
        </w:rPr>
        <w:t>Introduction</w:t>
      </w:r>
    </w:p>
    <w:p w14:paraId="314FDBB6" w14:textId="4B1EFCC6" w:rsidR="00F8744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w:t>
      </w:r>
      <w:r w:rsidRPr="00DA7CFC">
        <w:rPr>
          <w:rFonts w:ascii="Arial" w:eastAsia="Times New Roman" w:hAnsi="Arial" w:cs="Arial"/>
          <w:sz w:val="24"/>
          <w:szCs w:val="24"/>
          <w:lang w:val="en-ZA" w:eastAsia="en-ZA"/>
        </w:rPr>
        <w:tab/>
      </w:r>
      <w:r w:rsidR="00EC30B6" w:rsidRPr="00A81732">
        <w:rPr>
          <w:rFonts w:ascii="Arial" w:eastAsia="Times New Roman" w:hAnsi="Arial" w:cs="Arial"/>
          <w:sz w:val="24"/>
          <w:szCs w:val="24"/>
          <w:lang w:val="en-ZA" w:eastAsia="en-ZA"/>
        </w:rPr>
        <w:t xml:space="preserve">This appeal </w:t>
      </w:r>
      <w:r w:rsidR="00FF079C" w:rsidRPr="00A81732">
        <w:rPr>
          <w:rFonts w:ascii="Arial" w:eastAsia="Times New Roman" w:hAnsi="Arial" w:cs="Arial"/>
          <w:sz w:val="24"/>
          <w:szCs w:val="24"/>
          <w:lang w:val="en-ZA" w:eastAsia="en-ZA"/>
        </w:rPr>
        <w:t xml:space="preserve">raises the competence of </w:t>
      </w:r>
      <w:r w:rsidR="00EC30B6" w:rsidRPr="00A81732">
        <w:rPr>
          <w:rFonts w:ascii="Arial" w:eastAsia="Times New Roman" w:hAnsi="Arial" w:cs="Arial"/>
          <w:sz w:val="24"/>
          <w:szCs w:val="24"/>
          <w:lang w:val="en-ZA" w:eastAsia="en-ZA"/>
        </w:rPr>
        <w:t xml:space="preserve">an order </w:t>
      </w:r>
      <w:r w:rsidR="001E1FE1" w:rsidRPr="00A81732">
        <w:rPr>
          <w:rFonts w:ascii="Arial" w:eastAsia="Times New Roman" w:hAnsi="Arial" w:cs="Arial"/>
          <w:sz w:val="24"/>
          <w:szCs w:val="24"/>
          <w:lang w:val="en-ZA" w:eastAsia="en-ZA"/>
        </w:rPr>
        <w:t>granted by the High Court</w:t>
      </w:r>
      <w:r w:rsidR="00FF079C" w:rsidRPr="00A81732">
        <w:rPr>
          <w:rFonts w:ascii="Arial" w:eastAsia="Times New Roman" w:hAnsi="Arial" w:cs="Arial"/>
          <w:sz w:val="24"/>
          <w:szCs w:val="24"/>
          <w:lang w:val="en-ZA" w:eastAsia="en-ZA"/>
        </w:rPr>
        <w:t xml:space="preserve"> in </w:t>
      </w:r>
      <w:r w:rsidR="00887BF2" w:rsidRPr="00A81732">
        <w:rPr>
          <w:rFonts w:ascii="Arial" w:eastAsia="Times New Roman" w:hAnsi="Arial" w:cs="Arial"/>
          <w:sz w:val="24"/>
          <w:szCs w:val="24"/>
          <w:lang w:val="en-ZA" w:eastAsia="en-ZA"/>
        </w:rPr>
        <w:t xml:space="preserve">the </w:t>
      </w:r>
      <w:r w:rsidR="00FF079C" w:rsidRPr="00A81732">
        <w:rPr>
          <w:rFonts w:ascii="Arial" w:eastAsia="Times New Roman" w:hAnsi="Arial" w:cs="Arial"/>
          <w:sz w:val="24"/>
          <w:szCs w:val="24"/>
          <w:lang w:val="en-ZA" w:eastAsia="en-ZA"/>
        </w:rPr>
        <w:t>course of motion proceedings</w:t>
      </w:r>
      <w:r w:rsidR="001E1FE1" w:rsidRPr="00A81732">
        <w:rPr>
          <w:rFonts w:ascii="Arial" w:eastAsia="Times New Roman" w:hAnsi="Arial" w:cs="Arial"/>
          <w:sz w:val="24"/>
          <w:szCs w:val="24"/>
          <w:lang w:val="en-ZA" w:eastAsia="en-ZA"/>
        </w:rPr>
        <w:t xml:space="preserve">, authorising </w:t>
      </w:r>
      <w:r w:rsidR="00586912" w:rsidRPr="00A81732">
        <w:rPr>
          <w:rFonts w:ascii="Arial" w:eastAsia="Times New Roman" w:hAnsi="Arial" w:cs="Arial"/>
          <w:sz w:val="24"/>
          <w:szCs w:val="24"/>
          <w:lang w:val="en-ZA" w:eastAsia="en-ZA"/>
        </w:rPr>
        <w:t xml:space="preserve">the second </w:t>
      </w:r>
      <w:r w:rsidR="001E1FE1" w:rsidRPr="00A81732">
        <w:rPr>
          <w:rFonts w:ascii="Arial" w:eastAsia="Times New Roman" w:hAnsi="Arial" w:cs="Arial"/>
          <w:sz w:val="24"/>
          <w:szCs w:val="24"/>
          <w:lang w:val="en-ZA" w:eastAsia="en-ZA"/>
        </w:rPr>
        <w:t>respondent (Hollard) to issue subpoena</w:t>
      </w:r>
      <w:r w:rsidR="004F55DD" w:rsidRPr="00A81732">
        <w:rPr>
          <w:rFonts w:ascii="Arial" w:eastAsia="Times New Roman" w:hAnsi="Arial" w:cs="Arial"/>
          <w:sz w:val="24"/>
          <w:szCs w:val="24"/>
          <w:lang w:val="en-ZA" w:eastAsia="en-ZA"/>
        </w:rPr>
        <w:t>s</w:t>
      </w:r>
      <w:r w:rsidR="001E1FE1" w:rsidRPr="00A81732">
        <w:rPr>
          <w:rFonts w:ascii="Arial" w:eastAsia="Times New Roman" w:hAnsi="Arial" w:cs="Arial"/>
          <w:sz w:val="24"/>
          <w:szCs w:val="24"/>
          <w:lang w:val="en-ZA" w:eastAsia="en-ZA"/>
        </w:rPr>
        <w:t xml:space="preserve"> </w:t>
      </w:r>
      <w:r w:rsidR="00AE404B" w:rsidRPr="00A81732">
        <w:rPr>
          <w:rFonts w:ascii="Arial" w:eastAsia="Times New Roman" w:hAnsi="Arial" w:cs="Arial"/>
          <w:i/>
          <w:sz w:val="24"/>
          <w:szCs w:val="24"/>
          <w:lang w:val="en-ZA" w:eastAsia="en-ZA"/>
        </w:rPr>
        <w:t xml:space="preserve">duces </w:t>
      </w:r>
      <w:r w:rsidR="0048748A" w:rsidRPr="00A81732">
        <w:rPr>
          <w:rFonts w:ascii="Arial" w:eastAsia="Times New Roman" w:hAnsi="Arial" w:cs="Arial"/>
          <w:i/>
          <w:sz w:val="24"/>
          <w:szCs w:val="24"/>
          <w:lang w:val="en-ZA" w:eastAsia="en-ZA"/>
        </w:rPr>
        <w:t>te</w:t>
      </w:r>
      <w:r w:rsidR="00AE404B" w:rsidRPr="00A81732">
        <w:rPr>
          <w:rFonts w:ascii="Arial" w:eastAsia="Times New Roman" w:hAnsi="Arial" w:cs="Arial"/>
          <w:i/>
          <w:sz w:val="24"/>
          <w:szCs w:val="24"/>
          <w:lang w:val="en-ZA" w:eastAsia="en-ZA"/>
        </w:rPr>
        <w:t>cum</w:t>
      </w:r>
      <w:r w:rsidR="001E1FE1" w:rsidRPr="00A81732">
        <w:rPr>
          <w:rFonts w:ascii="Arial" w:eastAsia="Times New Roman" w:hAnsi="Arial" w:cs="Arial"/>
          <w:sz w:val="24"/>
          <w:szCs w:val="24"/>
          <w:lang w:val="en-ZA" w:eastAsia="en-ZA"/>
        </w:rPr>
        <w:t xml:space="preserve"> on </w:t>
      </w:r>
      <w:r w:rsidR="00887BF2" w:rsidRPr="00A81732">
        <w:rPr>
          <w:rFonts w:ascii="Arial" w:eastAsia="Times New Roman" w:hAnsi="Arial" w:cs="Arial"/>
          <w:sz w:val="24"/>
          <w:szCs w:val="24"/>
          <w:lang w:val="en-ZA" w:eastAsia="en-ZA"/>
        </w:rPr>
        <w:t xml:space="preserve">Namibia’s </w:t>
      </w:r>
      <w:r w:rsidR="006B4005" w:rsidRPr="00A81732">
        <w:rPr>
          <w:rFonts w:ascii="Arial" w:eastAsia="Times New Roman" w:hAnsi="Arial" w:cs="Arial"/>
          <w:sz w:val="24"/>
          <w:szCs w:val="24"/>
          <w:lang w:val="en-ZA" w:eastAsia="en-ZA"/>
        </w:rPr>
        <w:t>Attorney</w:t>
      </w:r>
      <w:r w:rsidR="003B0BFD" w:rsidRPr="00A81732">
        <w:rPr>
          <w:rFonts w:ascii="Arial" w:eastAsia="Times New Roman" w:hAnsi="Arial" w:cs="Arial"/>
          <w:sz w:val="24"/>
          <w:szCs w:val="24"/>
          <w:lang w:val="en-ZA" w:eastAsia="en-ZA"/>
        </w:rPr>
        <w:t>-</w:t>
      </w:r>
      <w:r w:rsidR="006B4005" w:rsidRPr="00A81732">
        <w:rPr>
          <w:rFonts w:ascii="Arial" w:eastAsia="Times New Roman" w:hAnsi="Arial" w:cs="Arial"/>
          <w:sz w:val="24"/>
          <w:szCs w:val="24"/>
          <w:lang w:val="en-ZA" w:eastAsia="en-ZA"/>
        </w:rPr>
        <w:t xml:space="preserve">General (A-G) and </w:t>
      </w:r>
      <w:r w:rsidR="001E1FE1" w:rsidRPr="00A81732">
        <w:rPr>
          <w:rFonts w:ascii="Arial" w:eastAsia="Times New Roman" w:hAnsi="Arial" w:cs="Arial"/>
          <w:sz w:val="24"/>
          <w:szCs w:val="24"/>
          <w:lang w:val="en-ZA" w:eastAsia="en-ZA"/>
        </w:rPr>
        <w:t xml:space="preserve">the Secretary to the Cabinet </w:t>
      </w:r>
      <w:r w:rsidR="0048748A" w:rsidRPr="00A81732">
        <w:rPr>
          <w:rFonts w:ascii="Arial" w:eastAsia="Times New Roman" w:hAnsi="Arial" w:cs="Arial"/>
          <w:sz w:val="24"/>
          <w:szCs w:val="24"/>
          <w:lang w:val="en-ZA" w:eastAsia="en-ZA"/>
        </w:rPr>
        <w:t>(</w:t>
      </w:r>
      <w:r w:rsidR="00C91A06" w:rsidRPr="00A81732">
        <w:rPr>
          <w:rFonts w:ascii="Arial" w:eastAsia="Times New Roman" w:hAnsi="Arial" w:cs="Arial"/>
          <w:sz w:val="24"/>
          <w:szCs w:val="24"/>
          <w:lang w:val="en-ZA" w:eastAsia="en-ZA"/>
        </w:rPr>
        <w:t>Cabinet</w:t>
      </w:r>
      <w:r w:rsidR="0048748A" w:rsidRPr="00A81732">
        <w:rPr>
          <w:rFonts w:ascii="Arial" w:eastAsia="Times New Roman" w:hAnsi="Arial" w:cs="Arial"/>
          <w:sz w:val="24"/>
          <w:szCs w:val="24"/>
          <w:lang w:val="en-ZA" w:eastAsia="en-ZA"/>
        </w:rPr>
        <w:t xml:space="preserve"> Secretary)</w:t>
      </w:r>
      <w:r w:rsidR="001E1FE1" w:rsidRPr="00A81732">
        <w:rPr>
          <w:rFonts w:ascii="Arial" w:eastAsia="Times New Roman" w:hAnsi="Arial" w:cs="Arial"/>
          <w:sz w:val="24"/>
          <w:szCs w:val="24"/>
          <w:lang w:val="en-ZA" w:eastAsia="en-ZA"/>
        </w:rPr>
        <w:t xml:space="preserve"> – in respect of a pending </w:t>
      </w:r>
      <w:r w:rsidR="003228A2" w:rsidRPr="00A81732">
        <w:rPr>
          <w:rFonts w:ascii="Arial" w:eastAsia="Times New Roman" w:hAnsi="Arial" w:cs="Arial"/>
          <w:sz w:val="24"/>
          <w:szCs w:val="24"/>
          <w:lang w:val="en-ZA" w:eastAsia="en-ZA"/>
        </w:rPr>
        <w:t xml:space="preserve">private </w:t>
      </w:r>
      <w:r w:rsidR="000E05E2" w:rsidRPr="00A81732">
        <w:rPr>
          <w:rFonts w:ascii="Arial" w:eastAsia="Times New Roman" w:hAnsi="Arial" w:cs="Arial"/>
          <w:sz w:val="24"/>
          <w:szCs w:val="24"/>
          <w:lang w:val="en-ZA" w:eastAsia="en-ZA"/>
        </w:rPr>
        <w:t xml:space="preserve">legal </w:t>
      </w:r>
      <w:r w:rsidR="001E1FE1" w:rsidRPr="00A81732">
        <w:rPr>
          <w:rFonts w:ascii="Arial" w:eastAsia="Times New Roman" w:hAnsi="Arial" w:cs="Arial"/>
          <w:sz w:val="24"/>
          <w:szCs w:val="24"/>
          <w:lang w:val="en-ZA" w:eastAsia="en-ZA"/>
        </w:rPr>
        <w:t xml:space="preserve">dispute between Hollard and the first respondent (Gondwana). </w:t>
      </w:r>
      <w:r w:rsidR="003228A2" w:rsidRPr="00A81732">
        <w:rPr>
          <w:rFonts w:ascii="Arial" w:eastAsia="Times New Roman" w:hAnsi="Arial" w:cs="Arial"/>
          <w:sz w:val="24"/>
          <w:szCs w:val="24"/>
          <w:lang w:val="en-ZA" w:eastAsia="en-ZA"/>
        </w:rPr>
        <w:t>At all material times, the G</w:t>
      </w:r>
      <w:r w:rsidR="001D2E20" w:rsidRPr="00A81732">
        <w:rPr>
          <w:rFonts w:ascii="Arial" w:eastAsia="Times New Roman" w:hAnsi="Arial" w:cs="Arial"/>
          <w:sz w:val="24"/>
          <w:szCs w:val="24"/>
          <w:lang w:val="en-ZA" w:eastAsia="en-ZA"/>
        </w:rPr>
        <w:t xml:space="preserve">overnment </w:t>
      </w:r>
      <w:r w:rsidR="00B84AE3" w:rsidRPr="00A81732">
        <w:rPr>
          <w:rFonts w:ascii="Arial" w:eastAsia="Times New Roman" w:hAnsi="Arial" w:cs="Arial"/>
          <w:sz w:val="24"/>
          <w:szCs w:val="24"/>
          <w:lang w:val="en-ZA" w:eastAsia="en-ZA"/>
        </w:rPr>
        <w:t xml:space="preserve">of </w:t>
      </w:r>
      <w:r w:rsidR="00FF079C" w:rsidRPr="00A81732">
        <w:rPr>
          <w:rFonts w:ascii="Arial" w:eastAsia="Times New Roman" w:hAnsi="Arial" w:cs="Arial"/>
          <w:sz w:val="24"/>
          <w:szCs w:val="24"/>
          <w:lang w:val="en-ZA" w:eastAsia="en-ZA"/>
        </w:rPr>
        <w:t xml:space="preserve">the Republic of </w:t>
      </w:r>
      <w:r w:rsidR="00B84AE3" w:rsidRPr="00A81732">
        <w:rPr>
          <w:rFonts w:ascii="Arial" w:eastAsia="Times New Roman" w:hAnsi="Arial" w:cs="Arial"/>
          <w:sz w:val="24"/>
          <w:szCs w:val="24"/>
          <w:lang w:val="en-ZA" w:eastAsia="en-ZA"/>
        </w:rPr>
        <w:t xml:space="preserve">Namibia </w:t>
      </w:r>
      <w:r w:rsidR="001D2E20" w:rsidRPr="00A81732">
        <w:rPr>
          <w:rFonts w:ascii="Arial" w:eastAsia="Times New Roman" w:hAnsi="Arial" w:cs="Arial"/>
          <w:sz w:val="24"/>
          <w:szCs w:val="24"/>
          <w:lang w:val="en-ZA" w:eastAsia="en-ZA"/>
        </w:rPr>
        <w:t>(G</w:t>
      </w:r>
      <w:r w:rsidR="003228A2" w:rsidRPr="00A81732">
        <w:rPr>
          <w:rFonts w:ascii="Arial" w:eastAsia="Times New Roman" w:hAnsi="Arial" w:cs="Arial"/>
          <w:sz w:val="24"/>
          <w:szCs w:val="24"/>
          <w:lang w:val="en-ZA" w:eastAsia="en-ZA"/>
        </w:rPr>
        <w:t>RN</w:t>
      </w:r>
      <w:r w:rsidR="001D2E20" w:rsidRPr="00A81732">
        <w:rPr>
          <w:rFonts w:ascii="Arial" w:eastAsia="Times New Roman" w:hAnsi="Arial" w:cs="Arial"/>
          <w:sz w:val="24"/>
          <w:szCs w:val="24"/>
          <w:lang w:val="en-ZA" w:eastAsia="en-ZA"/>
        </w:rPr>
        <w:t>)</w:t>
      </w:r>
      <w:r w:rsidR="003228A2" w:rsidRPr="00A81732">
        <w:rPr>
          <w:rFonts w:ascii="Arial" w:eastAsia="Times New Roman" w:hAnsi="Arial" w:cs="Arial"/>
          <w:sz w:val="24"/>
          <w:szCs w:val="24"/>
          <w:lang w:val="en-ZA" w:eastAsia="en-ZA"/>
        </w:rPr>
        <w:t xml:space="preserve"> was not a party to the private dispute although the actions taken by it in relation to the Covid-19 pandemic which </w:t>
      </w:r>
      <w:r w:rsidR="001A63CA" w:rsidRPr="00A81732">
        <w:rPr>
          <w:rFonts w:ascii="Arial" w:eastAsia="Times New Roman" w:hAnsi="Arial" w:cs="Arial"/>
          <w:sz w:val="24"/>
          <w:szCs w:val="24"/>
          <w:lang w:val="en-ZA" w:eastAsia="en-ZA"/>
        </w:rPr>
        <w:t xml:space="preserve">was declared a </w:t>
      </w:r>
      <w:r w:rsidR="00951109" w:rsidRPr="00A81732">
        <w:rPr>
          <w:rFonts w:ascii="Arial" w:eastAsia="Times New Roman" w:hAnsi="Arial" w:cs="Arial"/>
          <w:sz w:val="24"/>
          <w:szCs w:val="24"/>
          <w:lang w:val="en-ZA" w:eastAsia="en-ZA"/>
        </w:rPr>
        <w:t>worldwide pandemic</w:t>
      </w:r>
      <w:r w:rsidR="003228A2" w:rsidRPr="00A81732">
        <w:rPr>
          <w:rFonts w:ascii="Arial" w:eastAsia="Times New Roman" w:hAnsi="Arial" w:cs="Arial"/>
          <w:sz w:val="24"/>
          <w:szCs w:val="24"/>
          <w:lang w:val="en-ZA" w:eastAsia="en-ZA"/>
        </w:rPr>
        <w:t xml:space="preserve"> </w:t>
      </w:r>
      <w:r w:rsidR="00951109" w:rsidRPr="00A81732">
        <w:rPr>
          <w:rFonts w:ascii="Arial" w:eastAsia="Times New Roman" w:hAnsi="Arial" w:cs="Arial"/>
          <w:sz w:val="24"/>
          <w:szCs w:val="24"/>
          <w:lang w:val="en-ZA" w:eastAsia="en-ZA"/>
        </w:rPr>
        <w:t>o</w:t>
      </w:r>
      <w:r w:rsidR="003228A2" w:rsidRPr="00A81732">
        <w:rPr>
          <w:rFonts w:ascii="Arial" w:eastAsia="Times New Roman" w:hAnsi="Arial" w:cs="Arial"/>
          <w:sz w:val="24"/>
          <w:szCs w:val="24"/>
          <w:lang w:val="en-ZA" w:eastAsia="en-ZA"/>
        </w:rPr>
        <w:t xml:space="preserve">n </w:t>
      </w:r>
      <w:r w:rsidR="00951109" w:rsidRPr="00A81732">
        <w:rPr>
          <w:rFonts w:ascii="Arial" w:eastAsia="Times New Roman" w:hAnsi="Arial" w:cs="Arial"/>
          <w:sz w:val="24"/>
          <w:szCs w:val="24"/>
          <w:lang w:val="en-ZA" w:eastAsia="en-ZA"/>
        </w:rPr>
        <w:t xml:space="preserve">11 </w:t>
      </w:r>
      <w:r w:rsidR="003228A2" w:rsidRPr="00A81732">
        <w:rPr>
          <w:rFonts w:ascii="Arial" w:eastAsia="Times New Roman" w:hAnsi="Arial" w:cs="Arial"/>
          <w:sz w:val="24"/>
          <w:szCs w:val="24"/>
          <w:lang w:val="en-ZA" w:eastAsia="en-ZA"/>
        </w:rPr>
        <w:t>March 20</w:t>
      </w:r>
      <w:r w:rsidR="005D4C6E" w:rsidRPr="00A81732">
        <w:rPr>
          <w:rFonts w:ascii="Arial" w:eastAsia="Times New Roman" w:hAnsi="Arial" w:cs="Arial"/>
          <w:sz w:val="24"/>
          <w:szCs w:val="24"/>
          <w:lang w:val="en-ZA" w:eastAsia="en-ZA"/>
        </w:rPr>
        <w:t>20</w:t>
      </w:r>
      <w:r w:rsidR="00FA0F44" w:rsidRPr="00A81732">
        <w:rPr>
          <w:rFonts w:ascii="Arial" w:eastAsia="Times New Roman" w:hAnsi="Arial" w:cs="Arial"/>
          <w:sz w:val="24"/>
          <w:szCs w:val="24"/>
          <w:lang w:val="en-ZA" w:eastAsia="en-ZA"/>
        </w:rPr>
        <w:t xml:space="preserve"> by the W</w:t>
      </w:r>
      <w:r w:rsidR="003B0BFD" w:rsidRPr="00A81732">
        <w:rPr>
          <w:rFonts w:ascii="Arial" w:eastAsia="Times New Roman" w:hAnsi="Arial" w:cs="Arial"/>
          <w:sz w:val="24"/>
          <w:szCs w:val="24"/>
          <w:lang w:val="en-ZA" w:eastAsia="en-ZA"/>
        </w:rPr>
        <w:t>orld Health Organisation</w:t>
      </w:r>
      <w:r w:rsidR="00253D8B" w:rsidRPr="00A81732">
        <w:rPr>
          <w:rFonts w:ascii="Arial" w:eastAsia="Times New Roman" w:hAnsi="Arial" w:cs="Arial"/>
          <w:sz w:val="24"/>
          <w:szCs w:val="24"/>
          <w:lang w:val="en-ZA" w:eastAsia="en-ZA"/>
        </w:rPr>
        <w:t xml:space="preserve"> (WHO)</w:t>
      </w:r>
      <w:r w:rsidR="00457B65" w:rsidRPr="00A81732">
        <w:rPr>
          <w:rFonts w:ascii="Arial" w:eastAsia="Times New Roman" w:hAnsi="Arial" w:cs="Arial"/>
          <w:sz w:val="24"/>
          <w:szCs w:val="24"/>
          <w:lang w:val="en-ZA" w:eastAsia="en-ZA"/>
        </w:rPr>
        <w:t>,</w:t>
      </w:r>
      <w:r w:rsidR="004C0E73" w:rsidRPr="00A81732">
        <w:rPr>
          <w:rFonts w:ascii="Arial" w:eastAsia="Times New Roman" w:hAnsi="Arial" w:cs="Arial"/>
          <w:sz w:val="24"/>
          <w:szCs w:val="24"/>
          <w:lang w:val="en-ZA" w:eastAsia="en-ZA"/>
        </w:rPr>
        <w:t xml:space="preserve"> provides the backdrop to it.</w:t>
      </w:r>
    </w:p>
    <w:p w14:paraId="7BEC5F43" w14:textId="77777777" w:rsidR="00F8744E" w:rsidRPr="00DA7CFC" w:rsidRDefault="00F8744E" w:rsidP="00F8744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DA98869" w14:textId="2A9FFD9F" w:rsidR="00BD7951"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w:t>
      </w:r>
      <w:r w:rsidRPr="00DA7CFC">
        <w:rPr>
          <w:rFonts w:ascii="Arial" w:eastAsia="Times New Roman" w:hAnsi="Arial" w:cs="Arial"/>
          <w:sz w:val="24"/>
          <w:szCs w:val="24"/>
          <w:lang w:val="en-ZA" w:eastAsia="en-ZA"/>
        </w:rPr>
        <w:tab/>
      </w:r>
      <w:r w:rsidR="001E1FE1" w:rsidRPr="00A81732">
        <w:rPr>
          <w:rFonts w:ascii="Arial" w:eastAsia="Times New Roman" w:hAnsi="Arial" w:cs="Arial"/>
          <w:sz w:val="24"/>
          <w:szCs w:val="24"/>
          <w:lang w:val="en-ZA" w:eastAsia="en-ZA"/>
        </w:rPr>
        <w:t>Hollard is an insurance company with wh</w:t>
      </w:r>
      <w:r w:rsidR="0048748A" w:rsidRPr="00A81732">
        <w:rPr>
          <w:rFonts w:ascii="Arial" w:eastAsia="Times New Roman" w:hAnsi="Arial" w:cs="Arial"/>
          <w:sz w:val="24"/>
          <w:szCs w:val="24"/>
          <w:lang w:val="en-ZA" w:eastAsia="en-ZA"/>
        </w:rPr>
        <w:t>om</w:t>
      </w:r>
      <w:r w:rsidR="001E1FE1" w:rsidRPr="00A81732">
        <w:rPr>
          <w:rFonts w:ascii="Arial" w:eastAsia="Times New Roman" w:hAnsi="Arial" w:cs="Arial"/>
          <w:sz w:val="24"/>
          <w:szCs w:val="24"/>
          <w:lang w:val="en-ZA" w:eastAsia="en-ZA"/>
        </w:rPr>
        <w:t xml:space="preserve"> Gond</w:t>
      </w:r>
      <w:r w:rsidR="004A4954" w:rsidRPr="00A81732">
        <w:rPr>
          <w:rFonts w:ascii="Arial" w:eastAsia="Times New Roman" w:hAnsi="Arial" w:cs="Arial"/>
          <w:sz w:val="24"/>
          <w:szCs w:val="24"/>
          <w:lang w:val="en-ZA" w:eastAsia="en-ZA"/>
        </w:rPr>
        <w:t>w</w:t>
      </w:r>
      <w:r w:rsidR="001E1FE1" w:rsidRPr="00A81732">
        <w:rPr>
          <w:rFonts w:ascii="Arial" w:eastAsia="Times New Roman" w:hAnsi="Arial" w:cs="Arial"/>
          <w:sz w:val="24"/>
          <w:szCs w:val="24"/>
          <w:lang w:val="en-ZA" w:eastAsia="en-ZA"/>
        </w:rPr>
        <w:t xml:space="preserve">ana is insured. </w:t>
      </w:r>
      <w:r w:rsidR="003228A2" w:rsidRPr="00A81732">
        <w:rPr>
          <w:rFonts w:ascii="Arial" w:eastAsia="Times New Roman" w:hAnsi="Arial" w:cs="Arial"/>
          <w:sz w:val="24"/>
          <w:szCs w:val="24"/>
          <w:lang w:val="en-ZA" w:eastAsia="en-ZA"/>
        </w:rPr>
        <w:t>In March 20</w:t>
      </w:r>
      <w:r w:rsidR="0016194B" w:rsidRPr="00A81732">
        <w:rPr>
          <w:rFonts w:ascii="Arial" w:eastAsia="Times New Roman" w:hAnsi="Arial" w:cs="Arial"/>
          <w:sz w:val="24"/>
          <w:szCs w:val="24"/>
          <w:lang w:val="en-ZA" w:eastAsia="en-ZA"/>
        </w:rPr>
        <w:t>20</w:t>
      </w:r>
      <w:r w:rsidR="00B84AE3" w:rsidRPr="00A81732">
        <w:rPr>
          <w:rFonts w:ascii="Arial" w:eastAsia="Times New Roman" w:hAnsi="Arial" w:cs="Arial"/>
          <w:sz w:val="24"/>
          <w:szCs w:val="24"/>
          <w:lang w:val="en-ZA" w:eastAsia="en-ZA"/>
        </w:rPr>
        <w:t xml:space="preserve">, </w:t>
      </w:r>
      <w:r w:rsidR="003228A2" w:rsidRPr="00A81732">
        <w:rPr>
          <w:rFonts w:ascii="Arial" w:eastAsia="Times New Roman" w:hAnsi="Arial" w:cs="Arial"/>
          <w:sz w:val="24"/>
          <w:szCs w:val="24"/>
          <w:lang w:val="en-ZA" w:eastAsia="en-ZA"/>
        </w:rPr>
        <w:t>Gondwana submitted a claim to Hollard to be indemnified for what it alleged were losses suffered as a result of loss of business due to Covid</w:t>
      </w:r>
      <w:r w:rsidR="00993358" w:rsidRPr="00A81732">
        <w:rPr>
          <w:rFonts w:ascii="Arial" w:eastAsia="Times New Roman" w:hAnsi="Arial" w:cs="Arial"/>
          <w:sz w:val="24"/>
          <w:szCs w:val="24"/>
          <w:lang w:val="en-ZA" w:eastAsia="en-ZA"/>
        </w:rPr>
        <w:t xml:space="preserve">-19 </w:t>
      </w:r>
      <w:r w:rsidR="003228A2" w:rsidRPr="00A81732">
        <w:rPr>
          <w:rFonts w:ascii="Arial" w:eastAsia="Times New Roman" w:hAnsi="Arial" w:cs="Arial"/>
          <w:sz w:val="24"/>
          <w:szCs w:val="24"/>
          <w:lang w:val="en-ZA" w:eastAsia="en-ZA"/>
        </w:rPr>
        <w:t>and the GRN’s response thereto. When</w:t>
      </w:r>
      <w:r w:rsidR="00457B65" w:rsidRPr="00A81732">
        <w:rPr>
          <w:rFonts w:ascii="Arial" w:eastAsia="Times New Roman" w:hAnsi="Arial" w:cs="Arial"/>
          <w:sz w:val="24"/>
          <w:szCs w:val="24"/>
          <w:lang w:val="en-ZA" w:eastAsia="en-ZA"/>
        </w:rPr>
        <w:t>,</w:t>
      </w:r>
      <w:r w:rsidR="003228A2" w:rsidRPr="00A81732">
        <w:rPr>
          <w:rFonts w:ascii="Arial" w:eastAsia="Times New Roman" w:hAnsi="Arial" w:cs="Arial"/>
          <w:sz w:val="24"/>
          <w:szCs w:val="24"/>
          <w:lang w:val="en-ZA" w:eastAsia="en-ZA"/>
        </w:rPr>
        <w:t xml:space="preserve"> after exchange of correspondence between the parties in relation to Gondwana’s claim</w:t>
      </w:r>
      <w:r w:rsidR="00457B65" w:rsidRPr="00A81732">
        <w:rPr>
          <w:rFonts w:ascii="Arial" w:eastAsia="Times New Roman" w:hAnsi="Arial" w:cs="Arial"/>
          <w:sz w:val="24"/>
          <w:szCs w:val="24"/>
          <w:lang w:val="en-ZA" w:eastAsia="en-ZA"/>
        </w:rPr>
        <w:t>,</w:t>
      </w:r>
      <w:r w:rsidR="003228A2" w:rsidRPr="00A81732">
        <w:rPr>
          <w:rFonts w:ascii="Arial" w:eastAsia="Times New Roman" w:hAnsi="Arial" w:cs="Arial"/>
          <w:sz w:val="24"/>
          <w:szCs w:val="24"/>
          <w:lang w:val="en-ZA" w:eastAsia="en-ZA"/>
        </w:rPr>
        <w:t xml:space="preserve"> the parties had not yet resolved the matter, </w:t>
      </w:r>
      <w:r w:rsidR="001E1FE1" w:rsidRPr="00A81732">
        <w:rPr>
          <w:rFonts w:ascii="Arial" w:eastAsia="Times New Roman" w:hAnsi="Arial" w:cs="Arial"/>
          <w:sz w:val="24"/>
          <w:szCs w:val="24"/>
          <w:lang w:val="en-ZA" w:eastAsia="en-ZA"/>
        </w:rPr>
        <w:t xml:space="preserve">Gondwana </w:t>
      </w:r>
      <w:r w:rsidR="00457B65" w:rsidRPr="00A81732">
        <w:rPr>
          <w:rFonts w:ascii="Arial" w:eastAsia="Times New Roman" w:hAnsi="Arial" w:cs="Arial"/>
          <w:sz w:val="24"/>
          <w:szCs w:val="24"/>
          <w:lang w:val="en-ZA" w:eastAsia="en-ZA"/>
        </w:rPr>
        <w:t xml:space="preserve">in December 2020 </w:t>
      </w:r>
      <w:r w:rsidR="00AE404B" w:rsidRPr="00A81732">
        <w:rPr>
          <w:rFonts w:ascii="Arial" w:eastAsia="Times New Roman" w:hAnsi="Arial" w:cs="Arial"/>
          <w:sz w:val="24"/>
          <w:szCs w:val="24"/>
          <w:lang w:val="en-ZA" w:eastAsia="en-ZA"/>
        </w:rPr>
        <w:t>instituted</w:t>
      </w:r>
      <w:r w:rsidR="001E1FE1" w:rsidRPr="00A81732">
        <w:rPr>
          <w:rFonts w:ascii="Arial" w:eastAsia="Times New Roman" w:hAnsi="Arial" w:cs="Arial"/>
          <w:sz w:val="24"/>
          <w:szCs w:val="24"/>
          <w:lang w:val="en-ZA" w:eastAsia="en-ZA"/>
        </w:rPr>
        <w:t xml:space="preserve"> </w:t>
      </w:r>
      <w:r w:rsidR="004F55DD" w:rsidRPr="00A81732">
        <w:rPr>
          <w:rFonts w:ascii="Arial" w:eastAsia="Times New Roman" w:hAnsi="Arial" w:cs="Arial"/>
          <w:sz w:val="24"/>
          <w:szCs w:val="24"/>
          <w:lang w:val="en-ZA" w:eastAsia="en-ZA"/>
        </w:rPr>
        <w:t xml:space="preserve">urgent motion </w:t>
      </w:r>
      <w:r w:rsidR="001E1FE1" w:rsidRPr="00A81732">
        <w:rPr>
          <w:rFonts w:ascii="Arial" w:eastAsia="Times New Roman" w:hAnsi="Arial" w:cs="Arial"/>
          <w:sz w:val="24"/>
          <w:szCs w:val="24"/>
          <w:lang w:val="en-ZA" w:eastAsia="en-ZA"/>
        </w:rPr>
        <w:t>proceedings against Hollard</w:t>
      </w:r>
      <w:r w:rsidR="00AE404B" w:rsidRPr="00A81732">
        <w:rPr>
          <w:rFonts w:ascii="Arial" w:eastAsia="Times New Roman" w:hAnsi="Arial" w:cs="Arial"/>
          <w:sz w:val="24"/>
          <w:szCs w:val="24"/>
          <w:lang w:val="en-ZA" w:eastAsia="en-ZA"/>
        </w:rPr>
        <w:t xml:space="preserve"> </w:t>
      </w:r>
      <w:r w:rsidR="0048748A" w:rsidRPr="00A81732">
        <w:rPr>
          <w:rFonts w:ascii="Arial" w:eastAsia="Times New Roman" w:hAnsi="Arial" w:cs="Arial"/>
          <w:sz w:val="24"/>
          <w:szCs w:val="24"/>
          <w:lang w:val="en-ZA" w:eastAsia="en-ZA"/>
        </w:rPr>
        <w:t xml:space="preserve">to be </w:t>
      </w:r>
      <w:r w:rsidR="00B02934" w:rsidRPr="00A81732">
        <w:rPr>
          <w:rFonts w:ascii="Arial" w:eastAsia="Times New Roman" w:hAnsi="Arial" w:cs="Arial"/>
          <w:sz w:val="24"/>
          <w:szCs w:val="24"/>
          <w:lang w:val="en-ZA" w:eastAsia="en-ZA"/>
        </w:rPr>
        <w:lastRenderedPageBreak/>
        <w:t xml:space="preserve">indemnified </w:t>
      </w:r>
      <w:r w:rsidR="0084606A" w:rsidRPr="00A81732">
        <w:rPr>
          <w:rFonts w:ascii="Arial" w:eastAsia="Times New Roman" w:hAnsi="Arial" w:cs="Arial"/>
          <w:sz w:val="24"/>
          <w:szCs w:val="24"/>
          <w:lang w:val="en-ZA" w:eastAsia="en-ZA"/>
        </w:rPr>
        <w:t xml:space="preserve">for </w:t>
      </w:r>
      <w:r w:rsidR="00224925" w:rsidRPr="00A81732">
        <w:rPr>
          <w:rFonts w:ascii="Arial" w:eastAsia="Times New Roman" w:hAnsi="Arial" w:cs="Arial"/>
          <w:sz w:val="24"/>
          <w:szCs w:val="24"/>
          <w:lang w:val="en-ZA" w:eastAsia="en-ZA"/>
        </w:rPr>
        <w:t>the alleged</w:t>
      </w:r>
      <w:r w:rsidR="0048748A" w:rsidRPr="00A81732">
        <w:rPr>
          <w:rFonts w:ascii="Arial" w:eastAsia="Times New Roman" w:hAnsi="Arial" w:cs="Arial"/>
          <w:sz w:val="24"/>
          <w:szCs w:val="24"/>
          <w:lang w:val="en-ZA" w:eastAsia="en-ZA"/>
        </w:rPr>
        <w:t xml:space="preserve"> losses</w:t>
      </w:r>
      <w:r w:rsidR="00887BF2" w:rsidRPr="00A81732">
        <w:rPr>
          <w:rFonts w:ascii="Arial" w:eastAsia="Times New Roman" w:hAnsi="Arial" w:cs="Arial"/>
          <w:sz w:val="24"/>
          <w:szCs w:val="24"/>
          <w:lang w:val="en-ZA" w:eastAsia="en-ZA"/>
        </w:rPr>
        <w:t>.</w:t>
      </w:r>
      <w:r w:rsidR="0048748A" w:rsidRPr="00A81732">
        <w:rPr>
          <w:rFonts w:ascii="Arial" w:eastAsia="Times New Roman" w:hAnsi="Arial" w:cs="Arial"/>
          <w:sz w:val="24"/>
          <w:szCs w:val="24"/>
          <w:lang w:val="en-ZA" w:eastAsia="en-ZA"/>
        </w:rPr>
        <w:t xml:space="preserve"> </w:t>
      </w:r>
      <w:r w:rsidR="007F1816" w:rsidRPr="00A81732">
        <w:rPr>
          <w:rFonts w:ascii="Arial" w:eastAsia="Times New Roman" w:hAnsi="Arial" w:cs="Arial"/>
          <w:sz w:val="24"/>
          <w:szCs w:val="24"/>
          <w:lang w:val="en-ZA" w:eastAsia="en-ZA"/>
        </w:rPr>
        <w:t xml:space="preserve">According to Gondwana, it had lost revenue through tourist cancellations </w:t>
      </w:r>
      <w:r w:rsidR="00B84AE3" w:rsidRPr="00A81732">
        <w:rPr>
          <w:rFonts w:ascii="Arial" w:eastAsia="Times New Roman" w:hAnsi="Arial" w:cs="Arial"/>
          <w:sz w:val="24"/>
          <w:szCs w:val="24"/>
          <w:lang w:val="en-ZA" w:eastAsia="en-ZA"/>
        </w:rPr>
        <w:t>because of</w:t>
      </w:r>
      <w:r w:rsidR="007F1816" w:rsidRPr="00A81732">
        <w:rPr>
          <w:rFonts w:ascii="Arial" w:eastAsia="Times New Roman" w:hAnsi="Arial" w:cs="Arial"/>
          <w:sz w:val="24"/>
          <w:szCs w:val="24"/>
          <w:lang w:val="en-ZA" w:eastAsia="en-ZA"/>
        </w:rPr>
        <w:t xml:space="preserve"> the pandemic and the national state of emergency</w:t>
      </w:r>
      <w:r w:rsidR="00B84AE3" w:rsidRPr="00A81732">
        <w:rPr>
          <w:rFonts w:ascii="Arial" w:eastAsia="Times New Roman" w:hAnsi="Arial" w:cs="Arial"/>
          <w:sz w:val="24"/>
          <w:szCs w:val="24"/>
          <w:lang w:val="en-ZA" w:eastAsia="en-ZA"/>
        </w:rPr>
        <w:t xml:space="preserve"> (SOE)</w:t>
      </w:r>
      <w:r w:rsidR="000B2FB6" w:rsidRPr="00A81732">
        <w:rPr>
          <w:rFonts w:ascii="Arial" w:eastAsia="Times New Roman" w:hAnsi="Arial" w:cs="Arial"/>
          <w:sz w:val="24"/>
          <w:szCs w:val="24"/>
          <w:lang w:val="en-ZA" w:eastAsia="en-ZA"/>
        </w:rPr>
        <w:t xml:space="preserve"> declared for the first time by the President of Namibia on </w:t>
      </w:r>
      <w:r w:rsidR="00112EC0" w:rsidRPr="00A81732">
        <w:rPr>
          <w:rFonts w:ascii="Arial" w:eastAsia="Times New Roman" w:hAnsi="Arial" w:cs="Arial"/>
          <w:sz w:val="24"/>
          <w:szCs w:val="24"/>
          <w:lang w:val="en-ZA" w:eastAsia="en-ZA"/>
        </w:rPr>
        <w:t>17 March 2020.</w:t>
      </w:r>
    </w:p>
    <w:p w14:paraId="73BA49B4" w14:textId="77777777" w:rsidR="00446475" w:rsidRPr="00DA7CFC" w:rsidRDefault="00446475" w:rsidP="00446475">
      <w:pPr>
        <w:shd w:val="clear" w:color="auto" w:fill="FFFFFF"/>
        <w:spacing w:after="0" w:line="480" w:lineRule="auto"/>
        <w:jc w:val="both"/>
        <w:rPr>
          <w:rFonts w:ascii="Arial" w:eastAsia="Times New Roman" w:hAnsi="Arial" w:cs="Arial"/>
          <w:sz w:val="24"/>
          <w:szCs w:val="24"/>
          <w:lang w:val="en-ZA" w:eastAsia="en-ZA"/>
        </w:rPr>
      </w:pPr>
    </w:p>
    <w:p w14:paraId="423A8435" w14:textId="34EF55F9" w:rsidR="000B2FB6"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w:t>
      </w:r>
      <w:r w:rsidRPr="00DA7CFC">
        <w:rPr>
          <w:rFonts w:ascii="Arial" w:eastAsia="Times New Roman" w:hAnsi="Arial" w:cs="Arial"/>
          <w:sz w:val="24"/>
          <w:szCs w:val="24"/>
          <w:lang w:val="en-ZA" w:eastAsia="en-ZA"/>
        </w:rPr>
        <w:tab/>
      </w:r>
      <w:r w:rsidR="00887BF2" w:rsidRPr="00A81732">
        <w:rPr>
          <w:rFonts w:ascii="Arial" w:eastAsia="Times New Roman" w:hAnsi="Arial" w:cs="Arial"/>
          <w:sz w:val="24"/>
          <w:szCs w:val="24"/>
          <w:lang w:val="en-ZA" w:eastAsia="en-ZA"/>
        </w:rPr>
        <w:t>From Hollard’s va</w:t>
      </w:r>
      <w:r w:rsidR="000B2FB6" w:rsidRPr="00A81732">
        <w:rPr>
          <w:rFonts w:ascii="Arial" w:eastAsia="Times New Roman" w:hAnsi="Arial" w:cs="Arial"/>
          <w:sz w:val="24"/>
          <w:szCs w:val="24"/>
          <w:lang w:val="en-ZA" w:eastAsia="en-ZA"/>
        </w:rPr>
        <w:t xml:space="preserve">ntage point, the </w:t>
      </w:r>
      <w:r w:rsidR="00715BDA" w:rsidRPr="00A81732">
        <w:rPr>
          <w:rFonts w:ascii="Arial" w:eastAsia="Times New Roman" w:hAnsi="Arial" w:cs="Arial"/>
          <w:sz w:val="24"/>
          <w:szCs w:val="24"/>
          <w:lang w:val="en-ZA" w:eastAsia="en-ZA"/>
        </w:rPr>
        <w:t xml:space="preserve">dispute between </w:t>
      </w:r>
      <w:r w:rsidR="000B2FB6" w:rsidRPr="00A81732">
        <w:rPr>
          <w:rFonts w:ascii="Arial" w:eastAsia="Times New Roman" w:hAnsi="Arial" w:cs="Arial"/>
          <w:sz w:val="24"/>
          <w:szCs w:val="24"/>
          <w:lang w:val="en-ZA" w:eastAsia="en-ZA"/>
        </w:rPr>
        <w:t xml:space="preserve">it and </w:t>
      </w:r>
      <w:r w:rsidR="00887BF2" w:rsidRPr="00A81732">
        <w:rPr>
          <w:rFonts w:ascii="Arial" w:eastAsia="Times New Roman" w:hAnsi="Arial" w:cs="Arial"/>
          <w:sz w:val="24"/>
          <w:szCs w:val="24"/>
          <w:lang w:val="en-ZA" w:eastAsia="en-ZA"/>
        </w:rPr>
        <w:t>Gondwana</w:t>
      </w:r>
      <w:r w:rsidR="00715BDA" w:rsidRPr="00A81732">
        <w:rPr>
          <w:rFonts w:ascii="Arial" w:eastAsia="Times New Roman" w:hAnsi="Arial" w:cs="Arial"/>
          <w:sz w:val="24"/>
          <w:szCs w:val="24"/>
          <w:lang w:val="en-ZA" w:eastAsia="en-ZA"/>
        </w:rPr>
        <w:t xml:space="preserve"> which informs its resolve to gain access to the Cabinet documents and deliberations</w:t>
      </w:r>
      <w:r w:rsidR="000B2FB6" w:rsidRPr="00A81732">
        <w:rPr>
          <w:rFonts w:ascii="Arial" w:eastAsia="Times New Roman" w:hAnsi="Arial" w:cs="Arial"/>
          <w:sz w:val="24"/>
          <w:szCs w:val="24"/>
          <w:lang w:val="en-ZA" w:eastAsia="en-ZA"/>
        </w:rPr>
        <w:t>,</w:t>
      </w:r>
      <w:r w:rsidR="005004C1" w:rsidRPr="00A81732">
        <w:rPr>
          <w:rFonts w:ascii="Arial" w:eastAsia="Times New Roman" w:hAnsi="Arial" w:cs="Arial"/>
          <w:sz w:val="24"/>
          <w:szCs w:val="24"/>
          <w:lang w:val="en-ZA" w:eastAsia="en-ZA"/>
        </w:rPr>
        <w:t xml:space="preserve"> can be stated as follows</w:t>
      </w:r>
      <w:r w:rsidR="004C0E73" w:rsidRPr="00A81732">
        <w:rPr>
          <w:rFonts w:ascii="Arial" w:eastAsia="Times New Roman" w:hAnsi="Arial" w:cs="Arial"/>
          <w:sz w:val="24"/>
          <w:szCs w:val="24"/>
          <w:lang w:val="en-ZA" w:eastAsia="en-ZA"/>
        </w:rPr>
        <w:t>:</w:t>
      </w:r>
      <w:r w:rsidR="005004C1" w:rsidRPr="00A81732">
        <w:rPr>
          <w:rFonts w:ascii="Arial" w:eastAsia="Times New Roman" w:hAnsi="Arial" w:cs="Arial"/>
          <w:sz w:val="24"/>
          <w:szCs w:val="24"/>
          <w:lang w:val="en-ZA" w:eastAsia="en-ZA"/>
        </w:rPr>
        <w:t xml:space="preserve"> </w:t>
      </w:r>
      <w:r w:rsidR="00715BDA" w:rsidRPr="00A81732">
        <w:rPr>
          <w:rFonts w:ascii="Arial" w:eastAsia="Times New Roman" w:hAnsi="Arial" w:cs="Arial"/>
          <w:sz w:val="24"/>
          <w:szCs w:val="24"/>
          <w:lang w:val="en-ZA" w:eastAsia="en-ZA"/>
        </w:rPr>
        <w:t xml:space="preserve">In the first place, Gondwana seeks </w:t>
      </w:r>
      <w:r w:rsidR="008718BE" w:rsidRPr="00A81732">
        <w:rPr>
          <w:rFonts w:ascii="Arial" w:eastAsia="Times New Roman" w:hAnsi="Arial" w:cs="Arial"/>
          <w:sz w:val="24"/>
          <w:szCs w:val="24"/>
          <w:lang w:val="en-ZA" w:eastAsia="en-ZA"/>
        </w:rPr>
        <w:t>a declarator for the indemnity tied to the date of 13 March 2020. Therefore, a</w:t>
      </w:r>
      <w:r w:rsidR="008C6EAF" w:rsidRPr="00A81732">
        <w:rPr>
          <w:rFonts w:ascii="Arial" w:eastAsia="Times New Roman" w:hAnsi="Arial" w:cs="Arial"/>
          <w:sz w:val="24"/>
          <w:szCs w:val="24"/>
          <w:lang w:val="en-ZA" w:eastAsia="en-ZA"/>
        </w:rPr>
        <w:t xml:space="preserve">ccording to Gondwana the </w:t>
      </w:r>
      <w:r w:rsidR="00F9628D" w:rsidRPr="00A81732">
        <w:rPr>
          <w:rFonts w:ascii="Arial" w:eastAsia="Times New Roman" w:hAnsi="Arial" w:cs="Arial"/>
          <w:sz w:val="24"/>
          <w:szCs w:val="24"/>
          <w:lang w:val="en-ZA" w:eastAsia="en-ZA"/>
        </w:rPr>
        <w:t xml:space="preserve">SOE </w:t>
      </w:r>
      <w:r w:rsidR="008C6EAF" w:rsidRPr="00A81732">
        <w:rPr>
          <w:rFonts w:ascii="Arial" w:eastAsia="Times New Roman" w:hAnsi="Arial" w:cs="Arial"/>
          <w:sz w:val="24"/>
          <w:szCs w:val="24"/>
          <w:lang w:val="en-ZA" w:eastAsia="en-ZA"/>
        </w:rPr>
        <w:t xml:space="preserve">and the resultant cancellation of inbound flights on 14 March 2020 was the direct result of two Romanian citizens testing </w:t>
      </w:r>
      <w:r w:rsidR="00715BDA" w:rsidRPr="00A81732">
        <w:rPr>
          <w:rFonts w:ascii="Arial" w:eastAsia="Times New Roman" w:hAnsi="Arial" w:cs="Arial"/>
          <w:sz w:val="24"/>
          <w:szCs w:val="24"/>
          <w:lang w:val="en-ZA" w:eastAsia="en-ZA"/>
        </w:rPr>
        <w:t>positive for Covid-19 on 13 March 2020</w:t>
      </w:r>
      <w:r w:rsidR="000B2FB6" w:rsidRPr="00A81732">
        <w:rPr>
          <w:rFonts w:ascii="Arial" w:eastAsia="Times New Roman" w:hAnsi="Arial" w:cs="Arial"/>
          <w:sz w:val="24"/>
          <w:szCs w:val="24"/>
          <w:lang w:val="en-ZA" w:eastAsia="en-ZA"/>
        </w:rPr>
        <w:t xml:space="preserve"> on the shores of Namibia</w:t>
      </w:r>
      <w:r w:rsidR="00715BDA" w:rsidRPr="00A81732">
        <w:rPr>
          <w:rFonts w:ascii="Arial" w:eastAsia="Times New Roman" w:hAnsi="Arial" w:cs="Arial"/>
          <w:sz w:val="24"/>
          <w:szCs w:val="24"/>
          <w:lang w:val="en-ZA" w:eastAsia="en-ZA"/>
        </w:rPr>
        <w:t>.</w:t>
      </w:r>
      <w:r w:rsidR="00112EC0" w:rsidRPr="00A81732">
        <w:rPr>
          <w:rFonts w:ascii="Arial" w:eastAsia="Times New Roman" w:hAnsi="Arial" w:cs="Arial"/>
          <w:sz w:val="24"/>
          <w:szCs w:val="24"/>
          <w:lang w:val="en-ZA" w:eastAsia="en-ZA"/>
        </w:rPr>
        <w:t xml:space="preserve"> </w:t>
      </w:r>
      <w:r w:rsidR="008718BE" w:rsidRPr="00A81732">
        <w:rPr>
          <w:rFonts w:ascii="Arial" w:eastAsia="Times New Roman" w:hAnsi="Arial" w:cs="Arial"/>
          <w:sz w:val="24"/>
          <w:szCs w:val="24"/>
          <w:lang w:val="en-ZA" w:eastAsia="en-ZA"/>
        </w:rPr>
        <w:t>This</w:t>
      </w:r>
      <w:r w:rsidR="00F9628D" w:rsidRPr="00A81732">
        <w:rPr>
          <w:rFonts w:ascii="Arial" w:eastAsia="Times New Roman" w:hAnsi="Arial" w:cs="Arial"/>
          <w:sz w:val="24"/>
          <w:szCs w:val="24"/>
          <w:lang w:val="en-ZA" w:eastAsia="en-ZA"/>
        </w:rPr>
        <w:t>,</w:t>
      </w:r>
      <w:r w:rsidR="008718BE" w:rsidRPr="00A81732">
        <w:rPr>
          <w:rFonts w:ascii="Arial" w:eastAsia="Times New Roman" w:hAnsi="Arial" w:cs="Arial"/>
          <w:sz w:val="24"/>
          <w:szCs w:val="24"/>
          <w:lang w:val="en-ZA" w:eastAsia="en-ZA"/>
        </w:rPr>
        <w:t xml:space="preserve"> Hollard maintains</w:t>
      </w:r>
      <w:r w:rsidR="00FA0F44" w:rsidRPr="00A81732">
        <w:rPr>
          <w:rFonts w:ascii="Arial" w:eastAsia="Times New Roman" w:hAnsi="Arial" w:cs="Arial"/>
          <w:sz w:val="24"/>
          <w:szCs w:val="24"/>
          <w:lang w:val="en-ZA" w:eastAsia="en-ZA"/>
        </w:rPr>
        <w:t>,</w:t>
      </w:r>
      <w:r w:rsidR="008718BE" w:rsidRPr="00A81732">
        <w:rPr>
          <w:rFonts w:ascii="Arial" w:eastAsia="Times New Roman" w:hAnsi="Arial" w:cs="Arial"/>
          <w:sz w:val="24"/>
          <w:szCs w:val="24"/>
          <w:lang w:val="en-ZA" w:eastAsia="en-ZA"/>
        </w:rPr>
        <w:t xml:space="preserve"> implies that Cabinet only met to discuss the Covid-19 crisis after becoming aware of the positive test result</w:t>
      </w:r>
      <w:r w:rsidR="000B2FB6" w:rsidRPr="00A81732">
        <w:rPr>
          <w:rFonts w:ascii="Arial" w:eastAsia="Times New Roman" w:hAnsi="Arial" w:cs="Arial"/>
          <w:sz w:val="24"/>
          <w:szCs w:val="24"/>
          <w:lang w:val="en-ZA" w:eastAsia="en-ZA"/>
        </w:rPr>
        <w:t>s</w:t>
      </w:r>
      <w:r w:rsidR="004C0E73" w:rsidRPr="00A81732">
        <w:rPr>
          <w:rFonts w:ascii="Arial" w:eastAsia="Times New Roman" w:hAnsi="Arial" w:cs="Arial"/>
          <w:sz w:val="24"/>
          <w:szCs w:val="24"/>
          <w:lang w:val="en-ZA" w:eastAsia="en-ZA"/>
        </w:rPr>
        <w:t xml:space="preserve"> of the two Romanians.</w:t>
      </w:r>
    </w:p>
    <w:p w14:paraId="3750EB74" w14:textId="77777777" w:rsidR="000B2FB6" w:rsidRPr="00DA7CFC" w:rsidRDefault="000B2FB6" w:rsidP="00446475">
      <w:pPr>
        <w:shd w:val="clear" w:color="auto" w:fill="FFFFFF"/>
        <w:spacing w:after="0" w:line="480" w:lineRule="auto"/>
        <w:jc w:val="both"/>
        <w:rPr>
          <w:rFonts w:ascii="Arial" w:eastAsia="Times New Roman" w:hAnsi="Arial" w:cs="Arial"/>
          <w:sz w:val="24"/>
          <w:szCs w:val="24"/>
          <w:lang w:val="en-ZA" w:eastAsia="en-ZA"/>
        </w:rPr>
      </w:pPr>
    </w:p>
    <w:p w14:paraId="60528D43" w14:textId="7B5A716D" w:rsidR="000B2FB6"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[4]</w:t>
      </w:r>
      <w:r w:rsidRPr="00DA7CFC">
        <w:rPr>
          <w:rFonts w:ascii="Arial" w:eastAsia="Times New Roman" w:hAnsi="Arial" w:cs="Arial"/>
          <w:sz w:val="24"/>
          <w:szCs w:val="24"/>
          <w:lang w:val="en-ZA" w:eastAsia="en-ZA"/>
        </w:rPr>
        <w:tab/>
      </w:r>
      <w:r w:rsidR="000B2FB6" w:rsidRPr="00A81732">
        <w:rPr>
          <w:rFonts w:ascii="Arial" w:eastAsia="Times New Roman" w:hAnsi="Arial" w:cs="Arial"/>
          <w:sz w:val="24"/>
          <w:szCs w:val="24"/>
          <w:lang w:val="en-ZA" w:eastAsia="en-ZA"/>
        </w:rPr>
        <w:t xml:space="preserve">According to </w:t>
      </w:r>
      <w:r w:rsidR="008718BE" w:rsidRPr="00A81732">
        <w:rPr>
          <w:rFonts w:ascii="Arial" w:eastAsia="Times New Roman" w:hAnsi="Arial" w:cs="Arial"/>
          <w:sz w:val="24"/>
          <w:szCs w:val="24"/>
          <w:lang w:val="en-ZA" w:eastAsia="en-ZA"/>
        </w:rPr>
        <w:t>Hollard</w:t>
      </w:r>
      <w:r w:rsidR="000B2FB6" w:rsidRPr="00A81732">
        <w:rPr>
          <w:rFonts w:ascii="Arial" w:eastAsia="Times New Roman" w:hAnsi="Arial" w:cs="Arial"/>
          <w:sz w:val="24"/>
          <w:szCs w:val="24"/>
          <w:lang w:val="en-ZA" w:eastAsia="en-ZA"/>
        </w:rPr>
        <w:t>,</w:t>
      </w:r>
      <w:r w:rsidR="008718BE" w:rsidRPr="00A81732">
        <w:rPr>
          <w:rFonts w:ascii="Arial" w:eastAsia="Times New Roman" w:hAnsi="Arial" w:cs="Arial"/>
          <w:sz w:val="24"/>
          <w:szCs w:val="24"/>
          <w:lang w:val="en-ZA" w:eastAsia="en-ZA"/>
        </w:rPr>
        <w:t xml:space="preserve"> the </w:t>
      </w:r>
      <w:r w:rsidR="00142B92" w:rsidRPr="00A81732">
        <w:rPr>
          <w:rFonts w:ascii="Arial" w:eastAsia="Times New Roman" w:hAnsi="Arial" w:cs="Arial"/>
          <w:sz w:val="24"/>
          <w:szCs w:val="24"/>
          <w:lang w:val="en-ZA" w:eastAsia="en-ZA"/>
        </w:rPr>
        <w:t xml:space="preserve">fact of the </w:t>
      </w:r>
      <w:r w:rsidR="008718BE" w:rsidRPr="00A81732">
        <w:rPr>
          <w:rFonts w:ascii="Arial" w:eastAsia="Times New Roman" w:hAnsi="Arial" w:cs="Arial"/>
          <w:sz w:val="24"/>
          <w:szCs w:val="24"/>
          <w:lang w:val="en-ZA" w:eastAsia="en-ZA"/>
        </w:rPr>
        <w:t xml:space="preserve">two Romanians testing positive could never have been the reason for the declaration of the SOE and the suspension of inbound flights. </w:t>
      </w:r>
      <w:r w:rsidR="000B2FB6" w:rsidRPr="00A81732">
        <w:rPr>
          <w:rFonts w:ascii="Arial" w:eastAsia="Times New Roman" w:hAnsi="Arial" w:cs="Arial"/>
          <w:sz w:val="24"/>
          <w:szCs w:val="24"/>
          <w:lang w:val="en-ZA" w:eastAsia="en-ZA"/>
        </w:rPr>
        <w:t xml:space="preserve">As far as it is concerned, the </w:t>
      </w:r>
      <w:r w:rsidR="00633C97" w:rsidRPr="00A81732">
        <w:rPr>
          <w:rFonts w:ascii="Arial" w:eastAsia="Times New Roman" w:hAnsi="Arial" w:cs="Arial"/>
          <w:sz w:val="24"/>
          <w:szCs w:val="24"/>
          <w:lang w:val="en-ZA" w:eastAsia="en-ZA"/>
        </w:rPr>
        <w:t xml:space="preserve">true reason </w:t>
      </w:r>
      <w:r w:rsidR="008718BE" w:rsidRPr="00A81732">
        <w:rPr>
          <w:rFonts w:ascii="Arial" w:eastAsia="Times New Roman" w:hAnsi="Arial" w:cs="Arial"/>
          <w:sz w:val="24"/>
          <w:szCs w:val="24"/>
          <w:lang w:val="en-ZA" w:eastAsia="en-ZA"/>
        </w:rPr>
        <w:t>was the worldwide outbreak of the disease a</w:t>
      </w:r>
      <w:r w:rsidR="005004C1" w:rsidRPr="00A81732">
        <w:rPr>
          <w:rFonts w:ascii="Arial" w:eastAsia="Times New Roman" w:hAnsi="Arial" w:cs="Arial"/>
          <w:sz w:val="24"/>
          <w:szCs w:val="24"/>
          <w:lang w:val="en-ZA" w:eastAsia="en-ZA"/>
        </w:rPr>
        <w:t xml:space="preserve">nd the calls made by </w:t>
      </w:r>
      <w:r w:rsidR="000B2FB6" w:rsidRPr="00A81732">
        <w:rPr>
          <w:rFonts w:ascii="Arial" w:eastAsia="Times New Roman" w:hAnsi="Arial" w:cs="Arial"/>
          <w:sz w:val="24"/>
          <w:szCs w:val="24"/>
          <w:lang w:val="en-ZA" w:eastAsia="en-ZA"/>
        </w:rPr>
        <w:t>WHO</w:t>
      </w:r>
      <w:r w:rsidR="008718BE" w:rsidRPr="00A81732">
        <w:rPr>
          <w:rFonts w:ascii="Arial" w:eastAsia="Times New Roman" w:hAnsi="Arial" w:cs="Arial"/>
          <w:sz w:val="24"/>
          <w:szCs w:val="24"/>
          <w:lang w:val="en-ZA" w:eastAsia="en-ZA"/>
        </w:rPr>
        <w:t xml:space="preserve"> to all countries to take steps </w:t>
      </w:r>
      <w:r w:rsidR="00A00DFB" w:rsidRPr="00A81732">
        <w:rPr>
          <w:rFonts w:ascii="Arial" w:eastAsia="Times New Roman" w:hAnsi="Arial" w:cs="Arial"/>
          <w:sz w:val="24"/>
          <w:szCs w:val="24"/>
          <w:lang w:val="en-ZA" w:eastAsia="en-ZA"/>
        </w:rPr>
        <w:t xml:space="preserve">to </w:t>
      </w:r>
      <w:r w:rsidR="004C0E73" w:rsidRPr="00A81732">
        <w:rPr>
          <w:rFonts w:ascii="Arial" w:eastAsia="Times New Roman" w:hAnsi="Arial" w:cs="Arial"/>
          <w:sz w:val="24"/>
          <w:szCs w:val="24"/>
          <w:lang w:val="en-ZA" w:eastAsia="en-ZA"/>
        </w:rPr>
        <w:t>stem the spread of the disease.</w:t>
      </w:r>
    </w:p>
    <w:p w14:paraId="73096C46" w14:textId="77777777" w:rsidR="00BB531E" w:rsidRPr="00DA7CFC" w:rsidRDefault="00BB531E" w:rsidP="00BD7951">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D30D283" w14:textId="56067E33" w:rsidR="00872D44"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[5]</w:t>
      </w:r>
      <w:r w:rsidRPr="00DA7CFC">
        <w:rPr>
          <w:rFonts w:ascii="Arial" w:eastAsia="Times New Roman" w:hAnsi="Arial" w:cs="Arial"/>
          <w:sz w:val="24"/>
          <w:szCs w:val="24"/>
          <w:lang w:val="en-ZA" w:eastAsia="en-ZA"/>
        </w:rPr>
        <w:tab/>
      </w:r>
      <w:r w:rsidR="00BD7951" w:rsidRPr="00A81732">
        <w:rPr>
          <w:rFonts w:ascii="Arial" w:eastAsia="Times New Roman" w:hAnsi="Arial" w:cs="Arial"/>
          <w:sz w:val="24"/>
          <w:szCs w:val="24"/>
          <w:lang w:val="en-ZA" w:eastAsia="en-ZA"/>
        </w:rPr>
        <w:t xml:space="preserve">Hollard opposed </w:t>
      </w:r>
      <w:r w:rsidR="000B2FB6" w:rsidRPr="00A81732">
        <w:rPr>
          <w:rFonts w:ascii="Arial" w:eastAsia="Times New Roman" w:hAnsi="Arial" w:cs="Arial"/>
          <w:sz w:val="24"/>
          <w:szCs w:val="24"/>
          <w:lang w:val="en-ZA" w:eastAsia="en-ZA"/>
        </w:rPr>
        <w:t xml:space="preserve">Gondwana’s </w:t>
      </w:r>
      <w:r w:rsidR="00BD7951" w:rsidRPr="00A81732">
        <w:rPr>
          <w:rFonts w:ascii="Arial" w:eastAsia="Times New Roman" w:hAnsi="Arial" w:cs="Arial"/>
          <w:sz w:val="24"/>
          <w:szCs w:val="24"/>
          <w:lang w:val="en-ZA" w:eastAsia="en-ZA"/>
        </w:rPr>
        <w:t>urgent application</w:t>
      </w:r>
      <w:r w:rsidR="00342AA8" w:rsidRPr="00A81732">
        <w:rPr>
          <w:rFonts w:ascii="Arial" w:eastAsia="Times New Roman" w:hAnsi="Arial" w:cs="Arial"/>
          <w:sz w:val="24"/>
          <w:szCs w:val="24"/>
          <w:lang w:val="en-ZA" w:eastAsia="en-ZA"/>
        </w:rPr>
        <w:t xml:space="preserve"> and fil</w:t>
      </w:r>
      <w:r w:rsidR="004A7C7E" w:rsidRPr="00A81732">
        <w:rPr>
          <w:rFonts w:ascii="Arial" w:eastAsia="Times New Roman" w:hAnsi="Arial" w:cs="Arial"/>
          <w:sz w:val="24"/>
          <w:szCs w:val="24"/>
          <w:lang w:val="en-ZA" w:eastAsia="en-ZA"/>
        </w:rPr>
        <w:t>ed an interlocutory application in which it sought wide-ranging relief</w:t>
      </w:r>
      <w:r w:rsidR="00BD7951" w:rsidRPr="00A81732">
        <w:rPr>
          <w:rFonts w:ascii="Arial" w:eastAsia="Times New Roman" w:hAnsi="Arial" w:cs="Arial"/>
          <w:sz w:val="24"/>
          <w:szCs w:val="24"/>
          <w:lang w:val="en-ZA" w:eastAsia="en-ZA"/>
        </w:rPr>
        <w:t>, amongst others</w:t>
      </w:r>
      <w:r w:rsidR="004A7C7E" w:rsidRPr="00A81732">
        <w:rPr>
          <w:rFonts w:ascii="Arial" w:eastAsia="Times New Roman" w:hAnsi="Arial" w:cs="Arial"/>
          <w:sz w:val="24"/>
          <w:szCs w:val="24"/>
          <w:lang w:val="en-ZA" w:eastAsia="en-ZA"/>
        </w:rPr>
        <w:t>,</w:t>
      </w:r>
      <w:r w:rsidR="00BD7951" w:rsidRPr="00A81732">
        <w:rPr>
          <w:rFonts w:ascii="Arial" w:eastAsia="Times New Roman" w:hAnsi="Arial" w:cs="Arial"/>
          <w:sz w:val="24"/>
          <w:szCs w:val="24"/>
          <w:lang w:val="en-ZA" w:eastAsia="en-ZA"/>
        </w:rPr>
        <w:t xml:space="preserve"> </w:t>
      </w:r>
      <w:r w:rsidR="004A7C7E" w:rsidRPr="00A81732">
        <w:rPr>
          <w:rFonts w:ascii="Arial" w:eastAsia="Times New Roman" w:hAnsi="Arial" w:cs="Arial"/>
          <w:sz w:val="24"/>
          <w:szCs w:val="24"/>
          <w:lang w:val="en-ZA" w:eastAsia="en-ZA"/>
        </w:rPr>
        <w:t xml:space="preserve">that </w:t>
      </w:r>
      <w:r w:rsidR="006E187C" w:rsidRPr="00A81732">
        <w:rPr>
          <w:rFonts w:ascii="Arial" w:eastAsia="Times New Roman" w:hAnsi="Arial" w:cs="Arial"/>
          <w:sz w:val="24"/>
          <w:szCs w:val="24"/>
          <w:lang w:val="en-ZA" w:eastAsia="en-ZA"/>
        </w:rPr>
        <w:t>Gondwana’s application</w:t>
      </w:r>
      <w:r w:rsidR="004A7C7E" w:rsidRPr="00A81732">
        <w:rPr>
          <w:rFonts w:ascii="Arial" w:eastAsia="Times New Roman" w:hAnsi="Arial" w:cs="Arial"/>
          <w:sz w:val="24"/>
          <w:szCs w:val="24"/>
          <w:lang w:val="en-ZA" w:eastAsia="en-ZA"/>
        </w:rPr>
        <w:t xml:space="preserve"> be struck for lack of urgency. </w:t>
      </w:r>
      <w:r w:rsidR="00F8744E" w:rsidRPr="00A81732">
        <w:rPr>
          <w:rFonts w:ascii="Arial" w:eastAsia="Times New Roman" w:hAnsi="Arial" w:cs="Arial"/>
          <w:sz w:val="24"/>
          <w:szCs w:val="24"/>
          <w:lang w:val="en-ZA" w:eastAsia="en-ZA"/>
        </w:rPr>
        <w:t>In</w:t>
      </w:r>
      <w:r w:rsidR="006E187C" w:rsidRPr="00A81732">
        <w:rPr>
          <w:rFonts w:ascii="Arial" w:eastAsia="Times New Roman" w:hAnsi="Arial" w:cs="Arial"/>
          <w:sz w:val="24"/>
          <w:szCs w:val="24"/>
          <w:lang w:val="en-ZA" w:eastAsia="en-ZA"/>
        </w:rPr>
        <w:t xml:space="preserve"> the event that the court found the application to be urgent, Hollard prayed for several alternative </w:t>
      </w:r>
      <w:r w:rsidR="008B5D7C" w:rsidRPr="00A81732">
        <w:rPr>
          <w:rFonts w:ascii="Arial" w:eastAsia="Times New Roman" w:hAnsi="Arial" w:cs="Arial"/>
          <w:sz w:val="24"/>
          <w:szCs w:val="24"/>
          <w:lang w:val="en-ZA" w:eastAsia="en-ZA"/>
        </w:rPr>
        <w:t>heads of relief</w:t>
      </w:r>
      <w:r w:rsidR="006E187C" w:rsidRPr="00A81732">
        <w:rPr>
          <w:rFonts w:ascii="Arial" w:eastAsia="Times New Roman" w:hAnsi="Arial" w:cs="Arial"/>
          <w:sz w:val="24"/>
          <w:szCs w:val="24"/>
          <w:lang w:val="en-ZA" w:eastAsia="en-ZA"/>
        </w:rPr>
        <w:t xml:space="preserve"> in the order listed</w:t>
      </w:r>
      <w:r w:rsidR="00DB2145" w:rsidRPr="00A81732">
        <w:rPr>
          <w:rFonts w:ascii="Arial" w:eastAsia="Times New Roman" w:hAnsi="Arial" w:cs="Arial"/>
          <w:sz w:val="24"/>
          <w:szCs w:val="24"/>
          <w:lang w:val="en-ZA" w:eastAsia="en-ZA"/>
        </w:rPr>
        <w:t xml:space="preserve"> below</w:t>
      </w:r>
      <w:r w:rsidR="00872D44" w:rsidRPr="00A81732">
        <w:rPr>
          <w:rFonts w:ascii="Arial" w:eastAsia="Times New Roman" w:hAnsi="Arial" w:cs="Arial"/>
          <w:sz w:val="24"/>
          <w:szCs w:val="24"/>
          <w:lang w:val="en-ZA" w:eastAsia="en-ZA"/>
        </w:rPr>
        <w:t>:</w:t>
      </w:r>
    </w:p>
    <w:p w14:paraId="55D10C19" w14:textId="77777777" w:rsidR="00872D44" w:rsidRPr="00DA7CFC" w:rsidRDefault="00872D44" w:rsidP="00872D44">
      <w:pPr>
        <w:shd w:val="clear" w:color="auto" w:fill="FFFFFF"/>
        <w:spacing w:after="0" w:line="480" w:lineRule="auto"/>
        <w:jc w:val="both"/>
        <w:rPr>
          <w:rFonts w:ascii="Arial" w:eastAsia="Times New Roman" w:hAnsi="Arial" w:cs="Arial"/>
          <w:sz w:val="24"/>
          <w:szCs w:val="24"/>
          <w:lang w:val="en-ZA" w:eastAsia="en-ZA"/>
        </w:rPr>
      </w:pPr>
    </w:p>
    <w:p w14:paraId="1A65386E" w14:textId="13069EB5" w:rsidR="00872D44" w:rsidRPr="00A81732" w:rsidRDefault="00A81732" w:rsidP="00A81732">
      <w:pPr>
        <w:shd w:val="clear" w:color="auto" w:fill="FFFFFF"/>
        <w:spacing w:after="0" w:line="480" w:lineRule="auto"/>
        <w:ind w:left="1134" w:hanging="774"/>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lastRenderedPageBreak/>
        <w:t>(a)</w:t>
      </w:r>
      <w:r w:rsidRPr="00DA7CFC">
        <w:rPr>
          <w:rFonts w:ascii="Arial" w:eastAsia="Times New Roman" w:hAnsi="Arial" w:cs="Arial"/>
          <w:sz w:val="24"/>
          <w:szCs w:val="24"/>
          <w:lang w:val="en-ZA" w:eastAsia="en-ZA"/>
        </w:rPr>
        <w:tab/>
      </w:r>
      <w:r w:rsidR="005D3775" w:rsidRPr="00A81732">
        <w:rPr>
          <w:rFonts w:ascii="Arial" w:eastAsia="Times New Roman" w:hAnsi="Arial" w:cs="Arial"/>
          <w:sz w:val="24"/>
          <w:szCs w:val="24"/>
          <w:lang w:val="en-ZA" w:eastAsia="en-ZA"/>
        </w:rPr>
        <w:t>T</w:t>
      </w:r>
      <w:r w:rsidR="004A7C7E" w:rsidRPr="00A81732">
        <w:rPr>
          <w:rFonts w:ascii="Arial" w:eastAsia="Times New Roman" w:hAnsi="Arial" w:cs="Arial"/>
          <w:sz w:val="24"/>
          <w:szCs w:val="24"/>
          <w:lang w:val="en-ZA" w:eastAsia="en-ZA"/>
        </w:rPr>
        <w:t xml:space="preserve">hat </w:t>
      </w:r>
      <w:r w:rsidR="009C7A8A" w:rsidRPr="00A81732">
        <w:rPr>
          <w:rFonts w:ascii="Arial" w:eastAsia="Times New Roman" w:hAnsi="Arial" w:cs="Arial"/>
          <w:sz w:val="24"/>
          <w:szCs w:val="24"/>
          <w:lang w:val="en-ZA" w:eastAsia="en-ZA"/>
        </w:rPr>
        <w:t xml:space="preserve">Gondwana </w:t>
      </w:r>
      <w:r w:rsidR="004A7C7E" w:rsidRPr="00A81732">
        <w:rPr>
          <w:rFonts w:ascii="Arial" w:eastAsia="Times New Roman" w:hAnsi="Arial" w:cs="Arial"/>
          <w:sz w:val="24"/>
          <w:szCs w:val="24"/>
          <w:lang w:val="en-ZA" w:eastAsia="en-ZA"/>
        </w:rPr>
        <w:t xml:space="preserve">be directed to discover </w:t>
      </w:r>
      <w:r w:rsidR="008924CD" w:rsidRPr="00A81732">
        <w:rPr>
          <w:rFonts w:ascii="Arial" w:eastAsia="Times New Roman" w:hAnsi="Arial" w:cs="Arial"/>
          <w:sz w:val="24"/>
          <w:szCs w:val="24"/>
          <w:lang w:val="en-ZA" w:eastAsia="en-ZA"/>
        </w:rPr>
        <w:t xml:space="preserve">an </w:t>
      </w:r>
      <w:r w:rsidR="007C7A67" w:rsidRPr="00A81732">
        <w:rPr>
          <w:rFonts w:ascii="Arial" w:eastAsia="Times New Roman" w:hAnsi="Arial" w:cs="Arial"/>
          <w:sz w:val="24"/>
          <w:szCs w:val="24"/>
          <w:lang w:val="en-ZA" w:eastAsia="en-ZA"/>
        </w:rPr>
        <w:t xml:space="preserve">allegedly champertous </w:t>
      </w:r>
      <w:r w:rsidR="008924CD" w:rsidRPr="00A81732">
        <w:rPr>
          <w:rFonts w:ascii="Arial" w:eastAsia="Times New Roman" w:hAnsi="Arial" w:cs="Arial"/>
          <w:sz w:val="24"/>
          <w:szCs w:val="24"/>
          <w:lang w:val="en-ZA" w:eastAsia="en-ZA"/>
        </w:rPr>
        <w:t>agreement it entered into with a</w:t>
      </w:r>
      <w:r w:rsidR="00B83BAC" w:rsidRPr="00A81732">
        <w:rPr>
          <w:rFonts w:ascii="Arial" w:eastAsia="Times New Roman" w:hAnsi="Arial" w:cs="Arial"/>
          <w:sz w:val="24"/>
          <w:szCs w:val="24"/>
          <w:lang w:val="en-ZA" w:eastAsia="en-ZA"/>
        </w:rPr>
        <w:t>n insurance</w:t>
      </w:r>
      <w:r w:rsidR="008924CD" w:rsidRPr="00A81732">
        <w:rPr>
          <w:rFonts w:ascii="Arial" w:eastAsia="Times New Roman" w:hAnsi="Arial" w:cs="Arial"/>
          <w:sz w:val="24"/>
          <w:szCs w:val="24"/>
          <w:lang w:val="en-ZA" w:eastAsia="en-ZA"/>
        </w:rPr>
        <w:t xml:space="preserve"> claims handler</w:t>
      </w:r>
      <w:r w:rsidR="00983FE4" w:rsidRPr="00A81732">
        <w:rPr>
          <w:rFonts w:ascii="Arial" w:eastAsia="Times New Roman" w:hAnsi="Arial" w:cs="Arial"/>
          <w:sz w:val="24"/>
          <w:szCs w:val="24"/>
          <w:lang w:val="en-ZA" w:eastAsia="en-ZA"/>
        </w:rPr>
        <w:t xml:space="preserve"> (ICA);</w:t>
      </w:r>
      <w:r w:rsidR="008924CD" w:rsidRPr="00A81732">
        <w:rPr>
          <w:rFonts w:ascii="Arial" w:eastAsia="Times New Roman" w:hAnsi="Arial" w:cs="Arial"/>
          <w:sz w:val="24"/>
          <w:szCs w:val="24"/>
          <w:lang w:val="en-ZA" w:eastAsia="en-ZA"/>
        </w:rPr>
        <w:t xml:space="preserve"> and upon being provided with it </w:t>
      </w:r>
      <w:r w:rsidR="00983FE4" w:rsidRPr="00A81732">
        <w:rPr>
          <w:rFonts w:ascii="Arial" w:eastAsia="Times New Roman" w:hAnsi="Arial" w:cs="Arial"/>
          <w:sz w:val="24"/>
          <w:szCs w:val="24"/>
          <w:lang w:val="en-ZA" w:eastAsia="en-ZA"/>
        </w:rPr>
        <w:t xml:space="preserve">for Hollard </w:t>
      </w:r>
      <w:r w:rsidR="008924CD" w:rsidRPr="00A81732">
        <w:rPr>
          <w:rFonts w:ascii="Arial" w:eastAsia="Times New Roman" w:hAnsi="Arial" w:cs="Arial"/>
          <w:sz w:val="24"/>
          <w:szCs w:val="24"/>
          <w:lang w:val="en-ZA" w:eastAsia="en-ZA"/>
        </w:rPr>
        <w:t xml:space="preserve">to be allowed to set the matter </w:t>
      </w:r>
      <w:r w:rsidR="00983FE4" w:rsidRPr="00A81732">
        <w:rPr>
          <w:rFonts w:ascii="Arial" w:eastAsia="Times New Roman" w:hAnsi="Arial" w:cs="Arial"/>
          <w:sz w:val="24"/>
          <w:szCs w:val="24"/>
          <w:lang w:val="en-ZA" w:eastAsia="en-ZA"/>
        </w:rPr>
        <w:t xml:space="preserve">down </w:t>
      </w:r>
      <w:r w:rsidR="005D3775" w:rsidRPr="00A81732">
        <w:rPr>
          <w:rFonts w:ascii="Arial" w:eastAsia="Times New Roman" w:hAnsi="Arial" w:cs="Arial"/>
          <w:sz w:val="24"/>
          <w:szCs w:val="24"/>
          <w:lang w:val="en-ZA" w:eastAsia="en-ZA"/>
        </w:rPr>
        <w:t xml:space="preserve">for a declarator that </w:t>
      </w:r>
      <w:r w:rsidR="00983FE4" w:rsidRPr="00A81732">
        <w:rPr>
          <w:rFonts w:ascii="Arial" w:eastAsia="Times New Roman" w:hAnsi="Arial" w:cs="Arial"/>
          <w:sz w:val="24"/>
          <w:szCs w:val="24"/>
          <w:lang w:val="en-ZA" w:eastAsia="en-ZA"/>
        </w:rPr>
        <w:t xml:space="preserve">Gondwana’s application </w:t>
      </w:r>
      <w:r w:rsidR="005D3775" w:rsidRPr="00A81732">
        <w:rPr>
          <w:rFonts w:ascii="Arial" w:eastAsia="Times New Roman" w:hAnsi="Arial" w:cs="Arial"/>
          <w:sz w:val="24"/>
          <w:szCs w:val="24"/>
          <w:lang w:val="en-ZA" w:eastAsia="en-ZA"/>
        </w:rPr>
        <w:t>is a nullity</w:t>
      </w:r>
      <w:r w:rsidR="00E15701" w:rsidRPr="00A81732">
        <w:rPr>
          <w:rFonts w:ascii="Arial" w:eastAsia="Times New Roman" w:hAnsi="Arial" w:cs="Arial"/>
          <w:sz w:val="24"/>
          <w:szCs w:val="24"/>
          <w:lang w:val="en-ZA" w:eastAsia="en-ZA"/>
        </w:rPr>
        <w:t>.</w:t>
      </w:r>
    </w:p>
    <w:p w14:paraId="21746FAE" w14:textId="583BF3FC" w:rsidR="00B1493E" w:rsidRPr="00A81732" w:rsidRDefault="00A81732" w:rsidP="00A81732">
      <w:pPr>
        <w:shd w:val="clear" w:color="auto" w:fill="FFFFFF"/>
        <w:spacing w:after="0" w:line="480" w:lineRule="auto"/>
        <w:ind w:left="1134" w:hanging="785"/>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(b)</w:t>
      </w:r>
      <w:r w:rsidRPr="00DA7CFC">
        <w:rPr>
          <w:rFonts w:ascii="Arial" w:eastAsia="Times New Roman" w:hAnsi="Arial" w:cs="Arial"/>
          <w:sz w:val="24"/>
          <w:szCs w:val="24"/>
          <w:lang w:val="en-ZA" w:eastAsia="en-ZA"/>
        </w:rPr>
        <w:tab/>
      </w:r>
      <w:r w:rsidR="00872D44" w:rsidRPr="00A81732">
        <w:rPr>
          <w:rFonts w:ascii="Arial" w:eastAsia="Times New Roman" w:hAnsi="Arial" w:cs="Arial"/>
          <w:sz w:val="24"/>
          <w:szCs w:val="24"/>
          <w:lang w:val="en-ZA" w:eastAsia="en-ZA"/>
        </w:rPr>
        <w:t>T</w:t>
      </w:r>
      <w:r w:rsidR="00142B92" w:rsidRPr="00A81732">
        <w:rPr>
          <w:rFonts w:ascii="Arial" w:eastAsia="Times New Roman" w:hAnsi="Arial" w:cs="Arial"/>
          <w:sz w:val="24"/>
          <w:szCs w:val="24"/>
          <w:lang w:val="en-ZA" w:eastAsia="en-ZA"/>
        </w:rPr>
        <w:t>hat the application i</w:t>
      </w:r>
      <w:r w:rsidR="006E187C" w:rsidRPr="00A81732">
        <w:rPr>
          <w:rFonts w:ascii="Arial" w:eastAsia="Times New Roman" w:hAnsi="Arial" w:cs="Arial"/>
          <w:sz w:val="24"/>
          <w:szCs w:val="24"/>
          <w:lang w:val="en-ZA" w:eastAsia="en-ZA"/>
        </w:rPr>
        <w:t>s premature because Hollard had not yet rejected or accepted Gondwana’s claim</w:t>
      </w:r>
      <w:r w:rsidR="00E15701" w:rsidRPr="00A81732">
        <w:rPr>
          <w:rFonts w:ascii="Arial" w:eastAsia="Times New Roman" w:hAnsi="Arial" w:cs="Arial"/>
          <w:sz w:val="24"/>
          <w:szCs w:val="24"/>
          <w:lang w:val="en-ZA" w:eastAsia="en-ZA"/>
        </w:rPr>
        <w:t>.</w:t>
      </w:r>
    </w:p>
    <w:p w14:paraId="24E5E825" w14:textId="6433ABBD" w:rsidR="005C6F30" w:rsidRPr="00A81732" w:rsidRDefault="00A81732" w:rsidP="00A81732">
      <w:pPr>
        <w:shd w:val="clear" w:color="auto" w:fill="FFFFFF"/>
        <w:spacing w:after="0" w:line="480" w:lineRule="auto"/>
        <w:ind w:left="1134" w:hanging="785"/>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(c)</w:t>
      </w:r>
      <w:r w:rsidRPr="00DA7CFC">
        <w:rPr>
          <w:rFonts w:ascii="Arial" w:eastAsia="Times New Roman" w:hAnsi="Arial" w:cs="Arial"/>
          <w:sz w:val="24"/>
          <w:szCs w:val="24"/>
          <w:lang w:val="en-ZA" w:eastAsia="en-ZA"/>
        </w:rPr>
        <w:tab/>
      </w:r>
      <w:r w:rsidR="005C6F30" w:rsidRPr="00A81732">
        <w:rPr>
          <w:rFonts w:ascii="Arial" w:eastAsia="Times New Roman" w:hAnsi="Arial" w:cs="Arial"/>
          <w:sz w:val="24"/>
          <w:szCs w:val="24"/>
          <w:lang w:val="en-ZA" w:eastAsia="en-ZA"/>
        </w:rPr>
        <w:t xml:space="preserve">That the application be struck from the roll because Gondwana clearly foresaw material disputes of fact whether it complied with its obligation to provide </w:t>
      </w:r>
      <w:r w:rsidR="00142B92" w:rsidRPr="00A81732">
        <w:rPr>
          <w:rFonts w:ascii="Arial" w:eastAsia="Times New Roman" w:hAnsi="Arial" w:cs="Arial"/>
          <w:sz w:val="24"/>
          <w:szCs w:val="24"/>
          <w:lang w:val="en-ZA" w:eastAsia="en-ZA"/>
        </w:rPr>
        <w:t xml:space="preserve">to </w:t>
      </w:r>
      <w:r w:rsidR="005D7575" w:rsidRPr="00A81732">
        <w:rPr>
          <w:rFonts w:ascii="Arial" w:eastAsia="Times New Roman" w:hAnsi="Arial" w:cs="Arial"/>
          <w:sz w:val="24"/>
          <w:szCs w:val="24"/>
          <w:lang w:val="en-ZA" w:eastAsia="en-ZA"/>
        </w:rPr>
        <w:t xml:space="preserve">Hollard </w:t>
      </w:r>
      <w:r w:rsidR="005C6F30" w:rsidRPr="00A81732">
        <w:rPr>
          <w:rFonts w:ascii="Arial" w:eastAsia="Times New Roman" w:hAnsi="Arial" w:cs="Arial"/>
          <w:sz w:val="24"/>
          <w:szCs w:val="24"/>
          <w:lang w:val="en-ZA" w:eastAsia="en-ZA"/>
        </w:rPr>
        <w:t>specified information to support the claim</w:t>
      </w:r>
      <w:r w:rsidR="005D7575" w:rsidRPr="00A81732">
        <w:rPr>
          <w:rFonts w:ascii="Arial" w:eastAsia="Times New Roman" w:hAnsi="Arial" w:cs="Arial"/>
          <w:sz w:val="24"/>
          <w:szCs w:val="24"/>
          <w:lang w:val="en-ZA" w:eastAsia="en-ZA"/>
        </w:rPr>
        <w:t xml:space="preserve"> for indem</w:t>
      </w:r>
      <w:r w:rsidR="00DB2145" w:rsidRPr="00A81732">
        <w:rPr>
          <w:rFonts w:ascii="Arial" w:eastAsia="Times New Roman" w:hAnsi="Arial" w:cs="Arial"/>
          <w:sz w:val="24"/>
          <w:szCs w:val="24"/>
          <w:lang w:val="en-ZA" w:eastAsia="en-ZA"/>
        </w:rPr>
        <w:t>nity</w:t>
      </w:r>
      <w:r w:rsidR="00E15701" w:rsidRPr="00A81732">
        <w:rPr>
          <w:rFonts w:ascii="Arial" w:eastAsia="Times New Roman" w:hAnsi="Arial" w:cs="Arial"/>
          <w:sz w:val="24"/>
          <w:szCs w:val="24"/>
          <w:lang w:val="en-ZA" w:eastAsia="en-ZA"/>
        </w:rPr>
        <w:t>.</w:t>
      </w:r>
    </w:p>
    <w:p w14:paraId="06359B97" w14:textId="61F1C36C" w:rsidR="007875D7" w:rsidRPr="00A81732" w:rsidRDefault="00A81732" w:rsidP="00A81732">
      <w:pPr>
        <w:shd w:val="clear" w:color="auto" w:fill="FFFFFF"/>
        <w:spacing w:after="0" w:line="480" w:lineRule="auto"/>
        <w:ind w:left="1134" w:hanging="785"/>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(d)</w:t>
      </w:r>
      <w:r w:rsidRPr="00DA7CFC">
        <w:rPr>
          <w:rFonts w:ascii="Arial" w:eastAsia="Times New Roman" w:hAnsi="Arial" w:cs="Arial"/>
          <w:sz w:val="24"/>
          <w:szCs w:val="24"/>
          <w:lang w:val="en-ZA" w:eastAsia="en-ZA"/>
        </w:rPr>
        <w:tab/>
      </w:r>
      <w:r w:rsidR="0044303E" w:rsidRPr="00A81732">
        <w:rPr>
          <w:rFonts w:ascii="Arial" w:eastAsia="Times New Roman" w:hAnsi="Arial" w:cs="Arial"/>
          <w:sz w:val="24"/>
          <w:szCs w:val="24"/>
          <w:lang w:val="en-ZA" w:eastAsia="en-ZA"/>
        </w:rPr>
        <w:t>Th</w:t>
      </w:r>
      <w:r w:rsidR="005C6F30" w:rsidRPr="00A81732">
        <w:rPr>
          <w:rFonts w:ascii="Arial" w:eastAsia="Times New Roman" w:hAnsi="Arial" w:cs="Arial"/>
          <w:sz w:val="24"/>
          <w:szCs w:val="24"/>
          <w:lang w:val="en-ZA" w:eastAsia="en-ZA"/>
        </w:rPr>
        <w:t>at in the event all of the above alternatives did not succeed, Hollard is entitled to obtain subpoenas</w:t>
      </w:r>
      <w:r w:rsidR="005C6F30" w:rsidRPr="00A81732">
        <w:rPr>
          <w:rFonts w:ascii="Arial" w:eastAsia="Times New Roman" w:hAnsi="Arial" w:cs="Arial"/>
          <w:i/>
          <w:sz w:val="24"/>
          <w:szCs w:val="24"/>
          <w:lang w:val="en-ZA" w:eastAsia="en-ZA"/>
        </w:rPr>
        <w:t xml:space="preserve"> duces tecum</w:t>
      </w:r>
      <w:r w:rsidR="005C6F30" w:rsidRPr="00A81732">
        <w:rPr>
          <w:rFonts w:ascii="Arial" w:eastAsia="Times New Roman" w:hAnsi="Arial" w:cs="Arial"/>
          <w:sz w:val="24"/>
          <w:szCs w:val="24"/>
          <w:lang w:val="en-ZA" w:eastAsia="en-ZA"/>
        </w:rPr>
        <w:t xml:space="preserve"> against certain of Gondwana’s </w:t>
      </w:r>
      <w:r w:rsidR="007875D7" w:rsidRPr="00A81732">
        <w:rPr>
          <w:rFonts w:ascii="Arial" w:eastAsia="Times New Roman" w:hAnsi="Arial" w:cs="Arial"/>
          <w:sz w:val="24"/>
          <w:szCs w:val="24"/>
          <w:lang w:val="en-ZA" w:eastAsia="en-ZA"/>
        </w:rPr>
        <w:t>witnesses in the urgent application, the A-G and the Cabinet Secretary</w:t>
      </w:r>
      <w:r w:rsidR="00E15701" w:rsidRPr="00A81732">
        <w:rPr>
          <w:rFonts w:ascii="Arial" w:eastAsia="Times New Roman" w:hAnsi="Arial" w:cs="Arial"/>
          <w:sz w:val="24"/>
          <w:szCs w:val="24"/>
          <w:lang w:val="en-ZA" w:eastAsia="en-ZA"/>
        </w:rPr>
        <w:t>.</w:t>
      </w:r>
    </w:p>
    <w:p w14:paraId="37F34D03" w14:textId="4B9041EF" w:rsidR="005D67AD" w:rsidRPr="00A81732" w:rsidRDefault="00A81732" w:rsidP="00A81732">
      <w:pPr>
        <w:shd w:val="clear" w:color="auto" w:fill="FFFFFF"/>
        <w:spacing w:after="0" w:line="480" w:lineRule="auto"/>
        <w:ind w:left="1134" w:hanging="785"/>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(e)</w:t>
      </w:r>
      <w:r w:rsidRPr="00DA7CFC">
        <w:rPr>
          <w:rFonts w:ascii="Arial" w:eastAsia="Times New Roman" w:hAnsi="Arial" w:cs="Arial"/>
          <w:sz w:val="24"/>
          <w:szCs w:val="24"/>
          <w:lang w:val="en-ZA" w:eastAsia="en-ZA"/>
        </w:rPr>
        <w:tab/>
      </w:r>
      <w:r w:rsidR="005D67AD" w:rsidRPr="00A81732">
        <w:rPr>
          <w:rFonts w:ascii="Arial" w:eastAsia="Times New Roman" w:hAnsi="Arial" w:cs="Arial"/>
          <w:sz w:val="24"/>
          <w:szCs w:val="24"/>
          <w:lang w:val="en-ZA" w:eastAsia="en-ZA"/>
        </w:rPr>
        <w:t>That Hollard be allowed to cross-examine two of Gondwana’s witnesses: Mr Gy</w:t>
      </w:r>
      <w:r w:rsidR="008B5D7C" w:rsidRPr="00A81732">
        <w:rPr>
          <w:rFonts w:ascii="Arial" w:eastAsia="Times New Roman" w:hAnsi="Arial" w:cs="Arial"/>
          <w:sz w:val="24"/>
          <w:szCs w:val="24"/>
          <w:lang w:val="en-ZA" w:eastAsia="en-ZA"/>
        </w:rPr>
        <w:t>sbert J Joubert and Dr Bernard S</w:t>
      </w:r>
      <w:r w:rsidR="005D67AD" w:rsidRPr="00A81732">
        <w:rPr>
          <w:rFonts w:ascii="Arial" w:eastAsia="Times New Roman" w:hAnsi="Arial" w:cs="Arial"/>
          <w:sz w:val="24"/>
          <w:szCs w:val="24"/>
          <w:lang w:val="en-ZA" w:eastAsia="en-ZA"/>
        </w:rPr>
        <w:t xml:space="preserve"> Haufiku</w:t>
      </w:r>
      <w:r w:rsidR="00142B92" w:rsidRPr="00A81732">
        <w:rPr>
          <w:rFonts w:ascii="Arial" w:eastAsia="Times New Roman" w:hAnsi="Arial" w:cs="Arial"/>
          <w:sz w:val="24"/>
          <w:szCs w:val="24"/>
          <w:lang w:val="en-ZA" w:eastAsia="en-ZA"/>
        </w:rPr>
        <w:t xml:space="preserve">, </w:t>
      </w:r>
      <w:r w:rsidR="005D7575" w:rsidRPr="00A81732">
        <w:rPr>
          <w:rFonts w:ascii="Arial" w:eastAsia="Times New Roman" w:hAnsi="Arial" w:cs="Arial"/>
          <w:sz w:val="24"/>
          <w:szCs w:val="24"/>
          <w:lang w:val="en-ZA" w:eastAsia="en-ZA"/>
        </w:rPr>
        <w:t>before it can file its answering affidavit</w:t>
      </w:r>
      <w:r w:rsidR="00497EA6" w:rsidRPr="00A81732">
        <w:rPr>
          <w:rFonts w:ascii="Arial" w:eastAsia="Times New Roman" w:hAnsi="Arial" w:cs="Arial"/>
          <w:sz w:val="24"/>
          <w:szCs w:val="24"/>
          <w:lang w:val="en-ZA" w:eastAsia="en-ZA"/>
        </w:rPr>
        <w:t>.</w:t>
      </w:r>
    </w:p>
    <w:p w14:paraId="45A58FDC" w14:textId="77777777" w:rsidR="007821C6" w:rsidRPr="00DA7CFC" w:rsidRDefault="007821C6" w:rsidP="007821C6">
      <w:pPr>
        <w:pStyle w:val="ListParagraph"/>
        <w:shd w:val="clear" w:color="auto" w:fill="FFFFFF"/>
        <w:spacing w:after="0" w:line="480" w:lineRule="auto"/>
        <w:jc w:val="both"/>
        <w:rPr>
          <w:rFonts w:ascii="Arial" w:eastAsia="Times New Roman" w:hAnsi="Arial" w:cs="Arial"/>
          <w:sz w:val="24"/>
          <w:szCs w:val="24"/>
          <w:lang w:val="en-ZA" w:eastAsia="en-ZA"/>
        </w:rPr>
      </w:pPr>
    </w:p>
    <w:p w14:paraId="477CF002" w14:textId="236917C3" w:rsidR="00497EA6"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[6]</w:t>
      </w:r>
      <w:r w:rsidRPr="00DA7CFC">
        <w:rPr>
          <w:rFonts w:ascii="Arial" w:eastAsia="Times New Roman" w:hAnsi="Arial" w:cs="Arial"/>
          <w:sz w:val="24"/>
          <w:szCs w:val="24"/>
          <w:lang w:val="en-ZA" w:eastAsia="en-ZA"/>
        </w:rPr>
        <w:tab/>
      </w:r>
      <w:r w:rsidR="00AB3891" w:rsidRPr="00A81732">
        <w:rPr>
          <w:rFonts w:ascii="Arial" w:eastAsia="Times New Roman" w:hAnsi="Arial" w:cs="Arial"/>
          <w:sz w:val="24"/>
          <w:szCs w:val="24"/>
          <w:lang w:val="en-ZA" w:eastAsia="en-ZA"/>
        </w:rPr>
        <w:t>Ho</w:t>
      </w:r>
      <w:r w:rsidR="007821C6" w:rsidRPr="00A81732">
        <w:rPr>
          <w:rFonts w:ascii="Arial" w:eastAsia="Times New Roman" w:hAnsi="Arial" w:cs="Arial"/>
          <w:sz w:val="24"/>
          <w:szCs w:val="24"/>
          <w:lang w:val="en-ZA" w:eastAsia="en-ZA"/>
        </w:rPr>
        <w:t>llard maintains that the Cabinet documents it seeks will support its ver</w:t>
      </w:r>
      <w:r w:rsidR="00727820" w:rsidRPr="00A81732">
        <w:rPr>
          <w:rFonts w:ascii="Arial" w:eastAsia="Times New Roman" w:hAnsi="Arial" w:cs="Arial"/>
          <w:sz w:val="24"/>
          <w:szCs w:val="24"/>
          <w:lang w:val="en-ZA" w:eastAsia="en-ZA"/>
        </w:rPr>
        <w:t>sion and will establish that</w:t>
      </w:r>
      <w:r w:rsidR="007821C6" w:rsidRPr="00A81732">
        <w:rPr>
          <w:rFonts w:ascii="Arial" w:eastAsia="Times New Roman" w:hAnsi="Arial" w:cs="Arial"/>
          <w:sz w:val="24"/>
          <w:szCs w:val="24"/>
          <w:lang w:val="en-ZA" w:eastAsia="en-ZA"/>
        </w:rPr>
        <w:t xml:space="preserve"> Cabinet had deliberated on Covid-19 long before 13 March 2020. In other words, that even if the two Romanians </w:t>
      </w:r>
      <w:r w:rsidR="00224925" w:rsidRPr="00A81732">
        <w:rPr>
          <w:rFonts w:ascii="Arial" w:eastAsia="Times New Roman" w:hAnsi="Arial" w:cs="Arial"/>
          <w:sz w:val="24"/>
          <w:szCs w:val="24"/>
          <w:lang w:val="en-ZA" w:eastAsia="en-ZA"/>
        </w:rPr>
        <w:t xml:space="preserve">had </w:t>
      </w:r>
      <w:r w:rsidR="007821C6" w:rsidRPr="00A81732">
        <w:rPr>
          <w:rFonts w:ascii="Arial" w:eastAsia="Times New Roman" w:hAnsi="Arial" w:cs="Arial"/>
          <w:sz w:val="24"/>
          <w:szCs w:val="24"/>
          <w:lang w:val="en-ZA" w:eastAsia="en-ZA"/>
        </w:rPr>
        <w:t>not arrive</w:t>
      </w:r>
      <w:r w:rsidR="00224925" w:rsidRPr="00A81732">
        <w:rPr>
          <w:rFonts w:ascii="Arial" w:eastAsia="Times New Roman" w:hAnsi="Arial" w:cs="Arial"/>
          <w:sz w:val="24"/>
          <w:szCs w:val="24"/>
          <w:lang w:val="en-ZA" w:eastAsia="en-ZA"/>
        </w:rPr>
        <w:t>d</w:t>
      </w:r>
      <w:r w:rsidR="007821C6" w:rsidRPr="00A81732">
        <w:rPr>
          <w:rFonts w:ascii="Arial" w:eastAsia="Times New Roman" w:hAnsi="Arial" w:cs="Arial"/>
          <w:sz w:val="24"/>
          <w:szCs w:val="24"/>
          <w:lang w:val="en-ZA" w:eastAsia="en-ZA"/>
        </w:rPr>
        <w:t xml:space="preserve"> in Namibia, Gondwana would have suffered the adverse consequences of the suspension of inbound flights.</w:t>
      </w:r>
    </w:p>
    <w:p w14:paraId="46FCBDB2" w14:textId="77777777" w:rsidR="007821C6" w:rsidRPr="00DA7CFC" w:rsidRDefault="007821C6" w:rsidP="00497EA6">
      <w:pPr>
        <w:shd w:val="clear" w:color="auto" w:fill="FFFFFF"/>
        <w:spacing w:after="0" w:line="480" w:lineRule="auto"/>
        <w:jc w:val="both"/>
        <w:rPr>
          <w:rFonts w:ascii="Arial" w:eastAsia="Times New Roman" w:hAnsi="Arial" w:cs="Arial"/>
          <w:sz w:val="24"/>
          <w:szCs w:val="24"/>
          <w:lang w:val="en-ZA" w:eastAsia="en-ZA"/>
        </w:rPr>
      </w:pPr>
    </w:p>
    <w:p w14:paraId="210E4D70" w14:textId="2EB284CE" w:rsidR="00D70942"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[7]</w:t>
      </w:r>
      <w:r w:rsidRPr="00DA7CFC">
        <w:rPr>
          <w:rFonts w:ascii="Arial" w:eastAsia="Times New Roman" w:hAnsi="Arial" w:cs="Arial"/>
          <w:sz w:val="24"/>
          <w:szCs w:val="24"/>
          <w:lang w:val="en-ZA" w:eastAsia="en-ZA"/>
        </w:rPr>
        <w:tab/>
      </w:r>
      <w:r w:rsidR="008B5D7C" w:rsidRPr="00A81732">
        <w:rPr>
          <w:rFonts w:ascii="Arial" w:eastAsia="Times New Roman" w:hAnsi="Arial" w:cs="Arial"/>
          <w:sz w:val="24"/>
          <w:szCs w:val="24"/>
          <w:lang w:val="en-ZA" w:eastAsia="en-ZA"/>
        </w:rPr>
        <w:t>In th</w:t>
      </w:r>
      <w:r w:rsidR="007C7A67" w:rsidRPr="00A81732">
        <w:rPr>
          <w:rFonts w:ascii="Arial" w:eastAsia="Times New Roman" w:hAnsi="Arial" w:cs="Arial"/>
          <w:sz w:val="24"/>
          <w:szCs w:val="24"/>
          <w:lang w:val="en-ZA" w:eastAsia="en-ZA"/>
        </w:rPr>
        <w:t>e</w:t>
      </w:r>
      <w:r w:rsidR="008B5D7C" w:rsidRPr="00A81732">
        <w:rPr>
          <w:rFonts w:ascii="Arial" w:eastAsia="Times New Roman" w:hAnsi="Arial" w:cs="Arial"/>
          <w:sz w:val="24"/>
          <w:szCs w:val="24"/>
          <w:lang w:val="en-ZA" w:eastAsia="en-ZA"/>
        </w:rPr>
        <w:t xml:space="preserve"> interlocutory application</w:t>
      </w:r>
      <w:r w:rsidR="002C1CFA" w:rsidRPr="00A81732">
        <w:rPr>
          <w:rFonts w:ascii="Arial" w:eastAsia="Times New Roman" w:hAnsi="Arial" w:cs="Arial"/>
          <w:sz w:val="24"/>
          <w:szCs w:val="24"/>
          <w:lang w:val="en-ZA" w:eastAsia="en-ZA"/>
        </w:rPr>
        <w:t>,</w:t>
      </w:r>
      <w:r w:rsidR="008B5D7C" w:rsidRPr="00A81732">
        <w:rPr>
          <w:rFonts w:ascii="Arial" w:eastAsia="Times New Roman" w:hAnsi="Arial" w:cs="Arial"/>
          <w:sz w:val="24"/>
          <w:szCs w:val="24"/>
          <w:lang w:val="en-ZA" w:eastAsia="en-ZA"/>
        </w:rPr>
        <w:t xml:space="preserve"> </w:t>
      </w:r>
      <w:r w:rsidR="00497EA6" w:rsidRPr="00A81732">
        <w:rPr>
          <w:rFonts w:ascii="Arial" w:eastAsia="Times New Roman" w:hAnsi="Arial" w:cs="Arial"/>
          <w:sz w:val="24"/>
          <w:szCs w:val="24"/>
          <w:lang w:val="en-ZA" w:eastAsia="en-ZA"/>
        </w:rPr>
        <w:t xml:space="preserve">Hollard </w:t>
      </w:r>
      <w:r w:rsidR="00D70942" w:rsidRPr="00A81732">
        <w:rPr>
          <w:rFonts w:ascii="Arial" w:eastAsia="Times New Roman" w:hAnsi="Arial" w:cs="Arial"/>
          <w:sz w:val="24"/>
          <w:szCs w:val="24"/>
          <w:lang w:val="en-ZA" w:eastAsia="en-ZA"/>
        </w:rPr>
        <w:t xml:space="preserve">had </w:t>
      </w:r>
      <w:r w:rsidR="00497EA6" w:rsidRPr="00A81732">
        <w:rPr>
          <w:rFonts w:ascii="Arial" w:eastAsia="Times New Roman" w:hAnsi="Arial" w:cs="Arial"/>
          <w:sz w:val="24"/>
          <w:szCs w:val="24"/>
          <w:lang w:val="en-ZA" w:eastAsia="en-ZA"/>
        </w:rPr>
        <w:t>also sought an order striking out c</w:t>
      </w:r>
      <w:r w:rsidR="00D70942" w:rsidRPr="00A81732">
        <w:rPr>
          <w:rFonts w:ascii="Arial" w:eastAsia="Times New Roman" w:hAnsi="Arial" w:cs="Arial"/>
          <w:sz w:val="24"/>
          <w:szCs w:val="24"/>
          <w:lang w:val="en-ZA" w:eastAsia="en-ZA"/>
        </w:rPr>
        <w:t>er</w:t>
      </w:r>
      <w:r w:rsidR="00497EA6" w:rsidRPr="00A81732">
        <w:rPr>
          <w:rFonts w:ascii="Arial" w:eastAsia="Times New Roman" w:hAnsi="Arial" w:cs="Arial"/>
          <w:sz w:val="24"/>
          <w:szCs w:val="24"/>
          <w:lang w:val="en-ZA" w:eastAsia="en-ZA"/>
        </w:rPr>
        <w:t>t</w:t>
      </w:r>
      <w:r w:rsidR="00D70942" w:rsidRPr="00A81732">
        <w:rPr>
          <w:rFonts w:ascii="Arial" w:eastAsia="Times New Roman" w:hAnsi="Arial" w:cs="Arial"/>
          <w:sz w:val="24"/>
          <w:szCs w:val="24"/>
          <w:lang w:val="en-ZA" w:eastAsia="en-ZA"/>
        </w:rPr>
        <w:t>ain evidential material in the affidavits filed by Gondwana in supp</w:t>
      </w:r>
      <w:r w:rsidR="00F04763" w:rsidRPr="00A81732">
        <w:rPr>
          <w:rFonts w:ascii="Arial" w:eastAsia="Times New Roman" w:hAnsi="Arial" w:cs="Arial"/>
          <w:sz w:val="24"/>
          <w:szCs w:val="24"/>
          <w:lang w:val="en-ZA" w:eastAsia="en-ZA"/>
        </w:rPr>
        <w:t>ort of its claim for indemnity.</w:t>
      </w:r>
    </w:p>
    <w:p w14:paraId="4BB1D904" w14:textId="77777777" w:rsidR="00D70942" w:rsidRPr="00DA7CFC" w:rsidRDefault="00D70942" w:rsidP="00497EA6">
      <w:pPr>
        <w:shd w:val="clear" w:color="auto" w:fill="FFFFFF"/>
        <w:spacing w:after="0" w:line="480" w:lineRule="auto"/>
        <w:jc w:val="both"/>
        <w:rPr>
          <w:rFonts w:ascii="Arial" w:eastAsia="Times New Roman" w:hAnsi="Arial" w:cs="Arial"/>
          <w:sz w:val="24"/>
          <w:szCs w:val="24"/>
          <w:lang w:val="en-ZA" w:eastAsia="en-ZA"/>
        </w:rPr>
      </w:pPr>
    </w:p>
    <w:p w14:paraId="4E884ADC" w14:textId="4E4F9116" w:rsidR="00007E5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lastRenderedPageBreak/>
        <w:t>[8]</w:t>
      </w:r>
      <w:r w:rsidRPr="00DA7CFC">
        <w:rPr>
          <w:rFonts w:ascii="Arial" w:eastAsia="Times New Roman" w:hAnsi="Arial" w:cs="Arial"/>
          <w:sz w:val="24"/>
          <w:szCs w:val="24"/>
          <w:lang w:val="en-ZA" w:eastAsia="en-ZA"/>
        </w:rPr>
        <w:tab/>
      </w:r>
      <w:r w:rsidR="00B26B5A" w:rsidRPr="00A81732">
        <w:rPr>
          <w:rFonts w:ascii="Arial" w:eastAsia="Times New Roman" w:hAnsi="Arial" w:cs="Arial"/>
          <w:sz w:val="24"/>
          <w:szCs w:val="24"/>
          <w:lang w:val="en-ZA" w:eastAsia="en-ZA"/>
        </w:rPr>
        <w:t xml:space="preserve">The </w:t>
      </w:r>
      <w:r w:rsidR="0044303E" w:rsidRPr="00A81732">
        <w:rPr>
          <w:rFonts w:ascii="Arial" w:eastAsia="Times New Roman" w:hAnsi="Arial" w:cs="Arial"/>
          <w:sz w:val="24"/>
          <w:szCs w:val="24"/>
          <w:lang w:val="en-ZA" w:eastAsia="en-ZA"/>
        </w:rPr>
        <w:t xml:space="preserve">matter came before </w:t>
      </w:r>
      <w:r w:rsidR="00BD7951" w:rsidRPr="00A81732">
        <w:rPr>
          <w:rFonts w:ascii="Arial" w:eastAsia="Times New Roman" w:hAnsi="Arial" w:cs="Arial"/>
          <w:sz w:val="24"/>
          <w:szCs w:val="24"/>
          <w:lang w:val="en-ZA" w:eastAsia="en-ZA"/>
        </w:rPr>
        <w:t>Miller AJ who sustained Hollard’s lack of urgency objection and struck the matter from the roll.</w:t>
      </w:r>
      <w:r w:rsidR="00074FE6" w:rsidRPr="00A81732">
        <w:rPr>
          <w:rFonts w:ascii="Arial" w:eastAsia="Times New Roman" w:hAnsi="Arial" w:cs="Arial"/>
          <w:sz w:val="24"/>
          <w:szCs w:val="24"/>
          <w:lang w:val="en-ZA" w:eastAsia="en-ZA"/>
        </w:rPr>
        <w:t xml:space="preserve"> Gondwana </w:t>
      </w:r>
      <w:r w:rsidR="00E3235D" w:rsidRPr="00A81732">
        <w:rPr>
          <w:rFonts w:ascii="Arial" w:eastAsia="Times New Roman" w:hAnsi="Arial" w:cs="Arial"/>
          <w:sz w:val="24"/>
          <w:szCs w:val="24"/>
          <w:lang w:val="en-ZA" w:eastAsia="en-ZA"/>
        </w:rPr>
        <w:t xml:space="preserve">then elected to proceed with the application </w:t>
      </w:r>
      <w:r w:rsidR="008B5D7C" w:rsidRPr="00A81732">
        <w:rPr>
          <w:rFonts w:ascii="Arial" w:eastAsia="Times New Roman" w:hAnsi="Arial" w:cs="Arial"/>
          <w:sz w:val="24"/>
          <w:szCs w:val="24"/>
          <w:lang w:val="en-ZA" w:eastAsia="en-ZA"/>
        </w:rPr>
        <w:t xml:space="preserve">seeking indemnity </w:t>
      </w:r>
      <w:r w:rsidR="009757F0" w:rsidRPr="00A81732">
        <w:rPr>
          <w:rFonts w:ascii="Arial" w:eastAsia="Times New Roman" w:hAnsi="Arial" w:cs="Arial"/>
          <w:sz w:val="24"/>
          <w:szCs w:val="24"/>
          <w:lang w:val="en-ZA" w:eastAsia="en-ZA"/>
        </w:rPr>
        <w:t>in the ordinary course</w:t>
      </w:r>
      <w:r w:rsidR="00142B92" w:rsidRPr="00A81732">
        <w:rPr>
          <w:rFonts w:ascii="Arial" w:eastAsia="Times New Roman" w:hAnsi="Arial" w:cs="Arial"/>
          <w:sz w:val="24"/>
          <w:szCs w:val="24"/>
          <w:lang w:val="en-ZA" w:eastAsia="en-ZA"/>
        </w:rPr>
        <w:t>.</w:t>
      </w:r>
      <w:r w:rsidR="009C7A8A" w:rsidRPr="00A81732">
        <w:rPr>
          <w:rFonts w:ascii="Arial" w:eastAsia="Times New Roman" w:hAnsi="Arial" w:cs="Arial"/>
          <w:sz w:val="24"/>
          <w:szCs w:val="24"/>
          <w:lang w:val="en-ZA" w:eastAsia="en-ZA"/>
        </w:rPr>
        <w:t xml:space="preserve"> Hollard </w:t>
      </w:r>
      <w:r w:rsidR="009757F0" w:rsidRPr="00A81732">
        <w:rPr>
          <w:rFonts w:ascii="Arial" w:eastAsia="Times New Roman" w:hAnsi="Arial" w:cs="Arial"/>
          <w:sz w:val="24"/>
          <w:szCs w:val="24"/>
          <w:lang w:val="en-ZA" w:eastAsia="en-ZA"/>
        </w:rPr>
        <w:t xml:space="preserve">claimed that </w:t>
      </w:r>
      <w:r w:rsidR="008B5D7C" w:rsidRPr="00A81732">
        <w:rPr>
          <w:rFonts w:ascii="Arial" w:eastAsia="Times New Roman" w:hAnsi="Arial" w:cs="Arial"/>
          <w:sz w:val="24"/>
          <w:szCs w:val="24"/>
          <w:lang w:val="en-ZA" w:eastAsia="en-ZA"/>
        </w:rPr>
        <w:t xml:space="preserve">regardless of the urgent application being struck, it </w:t>
      </w:r>
      <w:r w:rsidR="00913A72" w:rsidRPr="00A81732">
        <w:rPr>
          <w:rFonts w:ascii="Arial" w:eastAsia="Times New Roman" w:hAnsi="Arial" w:cs="Arial"/>
          <w:sz w:val="24"/>
          <w:szCs w:val="24"/>
          <w:lang w:val="en-ZA" w:eastAsia="en-ZA"/>
        </w:rPr>
        <w:t xml:space="preserve">was </w:t>
      </w:r>
      <w:r w:rsidR="008B5D7C" w:rsidRPr="00A81732">
        <w:rPr>
          <w:rFonts w:ascii="Arial" w:eastAsia="Times New Roman" w:hAnsi="Arial" w:cs="Arial"/>
          <w:sz w:val="24"/>
          <w:szCs w:val="24"/>
          <w:lang w:val="en-ZA" w:eastAsia="en-ZA"/>
        </w:rPr>
        <w:t xml:space="preserve">still </w:t>
      </w:r>
      <w:r w:rsidR="009757F0" w:rsidRPr="00A81732">
        <w:rPr>
          <w:rFonts w:ascii="Arial" w:eastAsia="Times New Roman" w:hAnsi="Arial" w:cs="Arial"/>
          <w:sz w:val="24"/>
          <w:szCs w:val="24"/>
          <w:lang w:val="en-ZA" w:eastAsia="en-ZA"/>
        </w:rPr>
        <w:t>entitled to</w:t>
      </w:r>
      <w:r w:rsidR="00EB5BC3" w:rsidRPr="00A81732">
        <w:rPr>
          <w:rFonts w:ascii="Arial" w:eastAsia="Times New Roman" w:hAnsi="Arial" w:cs="Arial"/>
          <w:sz w:val="24"/>
          <w:szCs w:val="24"/>
          <w:lang w:val="en-ZA" w:eastAsia="en-ZA"/>
        </w:rPr>
        <w:t xml:space="preserve"> </w:t>
      </w:r>
      <w:r w:rsidR="009757F0" w:rsidRPr="00A81732">
        <w:rPr>
          <w:rFonts w:ascii="Arial" w:eastAsia="Times New Roman" w:hAnsi="Arial" w:cs="Arial"/>
          <w:sz w:val="24"/>
          <w:szCs w:val="24"/>
          <w:lang w:val="en-ZA" w:eastAsia="en-ZA"/>
        </w:rPr>
        <w:t>the subpoenas</w:t>
      </w:r>
      <w:r w:rsidR="009757F0" w:rsidRPr="00A81732">
        <w:rPr>
          <w:rFonts w:ascii="Arial" w:eastAsia="Times New Roman" w:hAnsi="Arial" w:cs="Arial"/>
          <w:i/>
          <w:sz w:val="24"/>
          <w:szCs w:val="24"/>
          <w:lang w:val="en-ZA" w:eastAsia="en-ZA"/>
        </w:rPr>
        <w:t xml:space="preserve"> duces tecum</w:t>
      </w:r>
      <w:r w:rsidR="009757F0" w:rsidRPr="00A81732">
        <w:rPr>
          <w:rFonts w:ascii="Arial" w:eastAsia="Times New Roman" w:hAnsi="Arial" w:cs="Arial"/>
          <w:sz w:val="24"/>
          <w:szCs w:val="24"/>
          <w:lang w:val="en-ZA" w:eastAsia="en-ZA"/>
        </w:rPr>
        <w:t xml:space="preserve"> that it had initially sought in </w:t>
      </w:r>
      <w:r w:rsidR="00C70F39" w:rsidRPr="00A81732">
        <w:rPr>
          <w:rFonts w:ascii="Arial" w:eastAsia="Times New Roman" w:hAnsi="Arial" w:cs="Arial"/>
          <w:sz w:val="24"/>
          <w:szCs w:val="24"/>
          <w:lang w:val="en-ZA" w:eastAsia="en-ZA"/>
        </w:rPr>
        <w:t xml:space="preserve">the last resort. Although Gondwana made some protestations about the propriety of the subpoenas </w:t>
      </w:r>
      <w:r w:rsidR="00C70F39" w:rsidRPr="00A81732">
        <w:rPr>
          <w:rFonts w:ascii="Arial" w:eastAsia="Times New Roman" w:hAnsi="Arial" w:cs="Arial"/>
          <w:i/>
          <w:sz w:val="24"/>
          <w:szCs w:val="24"/>
          <w:lang w:val="en-ZA" w:eastAsia="en-ZA"/>
        </w:rPr>
        <w:t>duces tecum</w:t>
      </w:r>
      <w:r w:rsidR="00C70F39" w:rsidRPr="00A81732">
        <w:rPr>
          <w:rFonts w:ascii="Arial" w:eastAsia="Times New Roman" w:hAnsi="Arial" w:cs="Arial"/>
          <w:sz w:val="24"/>
          <w:szCs w:val="24"/>
          <w:lang w:val="en-ZA" w:eastAsia="en-ZA"/>
        </w:rPr>
        <w:t xml:space="preserve">, Hollard persisted with the request to the managing judge </w:t>
      </w:r>
      <w:r w:rsidR="00F73004" w:rsidRPr="00A81732">
        <w:rPr>
          <w:rFonts w:ascii="Arial" w:eastAsia="Times New Roman" w:hAnsi="Arial" w:cs="Arial"/>
          <w:sz w:val="24"/>
          <w:szCs w:val="24"/>
          <w:lang w:val="en-ZA" w:eastAsia="en-ZA"/>
        </w:rPr>
        <w:t xml:space="preserve">who authorised the issuance of the subpoenas against the A-G and the Cabinet Secretary. </w:t>
      </w:r>
    </w:p>
    <w:p w14:paraId="07086058" w14:textId="77777777" w:rsidR="008C3C90" w:rsidRPr="00DA7CFC" w:rsidRDefault="008C3C90" w:rsidP="00497EA6">
      <w:pPr>
        <w:shd w:val="clear" w:color="auto" w:fill="FFFFFF"/>
        <w:spacing w:after="0" w:line="480" w:lineRule="auto"/>
        <w:jc w:val="both"/>
        <w:rPr>
          <w:rFonts w:ascii="Arial" w:eastAsia="Times New Roman" w:hAnsi="Arial" w:cs="Arial"/>
          <w:sz w:val="24"/>
          <w:szCs w:val="24"/>
          <w:lang w:val="en-ZA" w:eastAsia="en-ZA"/>
        </w:rPr>
      </w:pPr>
    </w:p>
    <w:p w14:paraId="2974D1EE" w14:textId="5AB146D6" w:rsidR="000B79DA" w:rsidRPr="008C3C90" w:rsidRDefault="008C3C90" w:rsidP="00497EA6">
      <w:pPr>
        <w:shd w:val="clear" w:color="auto" w:fill="FFFFFF"/>
        <w:spacing w:after="0" w:line="480" w:lineRule="auto"/>
        <w:jc w:val="both"/>
        <w:rPr>
          <w:rFonts w:ascii="Arial" w:eastAsia="Times New Roman" w:hAnsi="Arial" w:cs="Arial"/>
          <w:sz w:val="24"/>
          <w:szCs w:val="24"/>
          <w:u w:val="single"/>
          <w:lang w:val="en-ZA" w:eastAsia="en-ZA"/>
        </w:rPr>
      </w:pPr>
      <w:r w:rsidRPr="008C3C90">
        <w:rPr>
          <w:rFonts w:ascii="Arial" w:eastAsia="Times New Roman" w:hAnsi="Arial" w:cs="Arial"/>
          <w:sz w:val="24"/>
          <w:szCs w:val="24"/>
          <w:u w:val="single"/>
          <w:lang w:val="en-ZA" w:eastAsia="en-ZA"/>
        </w:rPr>
        <w:t xml:space="preserve">The subpoenas and their </w:t>
      </w:r>
      <w:r>
        <w:rPr>
          <w:rFonts w:ascii="Arial" w:eastAsia="Times New Roman" w:hAnsi="Arial" w:cs="Arial"/>
          <w:sz w:val="24"/>
          <w:szCs w:val="24"/>
          <w:u w:val="single"/>
          <w:lang w:val="en-ZA" w:eastAsia="en-ZA"/>
        </w:rPr>
        <w:t>j</w:t>
      </w:r>
      <w:r w:rsidRPr="008C3C90">
        <w:rPr>
          <w:rFonts w:ascii="Arial" w:eastAsia="Times New Roman" w:hAnsi="Arial" w:cs="Arial"/>
          <w:sz w:val="24"/>
          <w:szCs w:val="24"/>
          <w:u w:val="single"/>
          <w:lang w:val="en-ZA" w:eastAsia="en-ZA"/>
        </w:rPr>
        <w:t>ustification</w:t>
      </w:r>
    </w:p>
    <w:p w14:paraId="7D89DFAC" w14:textId="62513557" w:rsidR="00B8663D"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[9]</w:t>
      </w:r>
      <w:r>
        <w:rPr>
          <w:rFonts w:ascii="Arial" w:eastAsia="Times New Roman" w:hAnsi="Arial" w:cs="Arial"/>
          <w:sz w:val="24"/>
          <w:szCs w:val="24"/>
          <w:lang w:val="en-ZA" w:eastAsia="en-ZA"/>
        </w:rPr>
        <w:tab/>
      </w:r>
      <w:r w:rsidR="00D736ED" w:rsidRPr="00A81732">
        <w:rPr>
          <w:rFonts w:ascii="Arial" w:eastAsia="Times New Roman" w:hAnsi="Arial" w:cs="Arial"/>
          <w:sz w:val="24"/>
          <w:szCs w:val="24"/>
          <w:lang w:val="en-ZA" w:eastAsia="en-ZA"/>
        </w:rPr>
        <w:t xml:space="preserve">In the court </w:t>
      </w:r>
      <w:r w:rsidR="00D736ED" w:rsidRPr="00A81732">
        <w:rPr>
          <w:rFonts w:ascii="Arial" w:eastAsia="Times New Roman" w:hAnsi="Arial" w:cs="Arial"/>
          <w:i/>
          <w:sz w:val="24"/>
          <w:szCs w:val="24"/>
          <w:lang w:val="en-ZA" w:eastAsia="en-ZA"/>
        </w:rPr>
        <w:t>a quo</w:t>
      </w:r>
      <w:r w:rsidR="004C0E73" w:rsidRPr="00A81732">
        <w:rPr>
          <w:rFonts w:ascii="Arial" w:eastAsia="Times New Roman" w:hAnsi="Arial" w:cs="Arial"/>
          <w:i/>
          <w:sz w:val="24"/>
          <w:szCs w:val="24"/>
          <w:lang w:val="en-ZA" w:eastAsia="en-ZA"/>
        </w:rPr>
        <w:t>,</w:t>
      </w:r>
      <w:r w:rsidR="00D736ED" w:rsidRPr="00A81732">
        <w:rPr>
          <w:rFonts w:ascii="Arial" w:eastAsia="Times New Roman" w:hAnsi="Arial" w:cs="Arial"/>
          <w:sz w:val="24"/>
          <w:szCs w:val="24"/>
          <w:lang w:val="en-ZA" w:eastAsia="en-ZA"/>
        </w:rPr>
        <w:t xml:space="preserve"> </w:t>
      </w:r>
      <w:r w:rsidR="00B8663D" w:rsidRPr="00A81732">
        <w:rPr>
          <w:rFonts w:ascii="Arial" w:eastAsia="Times New Roman" w:hAnsi="Arial" w:cs="Arial"/>
          <w:sz w:val="24"/>
          <w:szCs w:val="24"/>
          <w:lang w:val="en-ZA" w:eastAsia="en-ZA"/>
        </w:rPr>
        <w:t xml:space="preserve">Hollard withdrew the subpoena </w:t>
      </w:r>
      <w:r w:rsidR="00B8663D" w:rsidRPr="00A81732">
        <w:rPr>
          <w:rFonts w:ascii="Arial" w:eastAsia="Times New Roman" w:hAnsi="Arial" w:cs="Arial"/>
          <w:i/>
          <w:sz w:val="24"/>
          <w:szCs w:val="24"/>
          <w:lang w:val="en-ZA" w:eastAsia="en-ZA"/>
        </w:rPr>
        <w:t>duces tecum</w:t>
      </w:r>
      <w:r w:rsidR="00B8663D" w:rsidRPr="00A81732">
        <w:rPr>
          <w:rFonts w:ascii="Arial" w:eastAsia="Times New Roman" w:hAnsi="Arial" w:cs="Arial"/>
          <w:sz w:val="24"/>
          <w:szCs w:val="24"/>
          <w:lang w:val="en-ZA" w:eastAsia="en-ZA"/>
        </w:rPr>
        <w:t xml:space="preserve"> against the</w:t>
      </w:r>
      <w:r w:rsidR="00B4659D" w:rsidRPr="00A81732">
        <w:rPr>
          <w:rFonts w:ascii="Arial" w:eastAsia="Times New Roman" w:hAnsi="Arial" w:cs="Arial"/>
          <w:sz w:val="24"/>
          <w:szCs w:val="24"/>
          <w:lang w:val="en-ZA" w:eastAsia="en-ZA"/>
        </w:rPr>
        <w:t xml:space="preserve"> </w:t>
      </w:r>
      <w:r w:rsidR="004C0E73" w:rsidRPr="00A81732">
        <w:rPr>
          <w:rFonts w:ascii="Arial" w:eastAsia="Times New Roman" w:hAnsi="Arial" w:cs="Arial"/>
          <w:sz w:val="24"/>
          <w:szCs w:val="24"/>
          <w:lang w:val="en-ZA" w:eastAsia="en-ZA"/>
        </w:rPr>
        <w:br/>
      </w:r>
      <w:r w:rsidR="00B8663D" w:rsidRPr="00A81732">
        <w:rPr>
          <w:rFonts w:ascii="Arial" w:eastAsia="Times New Roman" w:hAnsi="Arial" w:cs="Arial"/>
          <w:sz w:val="24"/>
          <w:szCs w:val="24"/>
          <w:lang w:val="en-ZA" w:eastAsia="en-ZA"/>
        </w:rPr>
        <w:t>A-G subsequent to the latter bringing a</w:t>
      </w:r>
      <w:r w:rsidR="00F725E2" w:rsidRPr="00A81732">
        <w:rPr>
          <w:rFonts w:ascii="Arial" w:eastAsia="Times New Roman" w:hAnsi="Arial" w:cs="Arial"/>
          <w:sz w:val="24"/>
          <w:szCs w:val="24"/>
          <w:lang w:val="en-ZA" w:eastAsia="en-ZA"/>
        </w:rPr>
        <w:t xml:space="preserve"> rescission </w:t>
      </w:r>
      <w:r w:rsidR="00B8663D" w:rsidRPr="00A81732">
        <w:rPr>
          <w:rFonts w:ascii="Arial" w:eastAsia="Times New Roman" w:hAnsi="Arial" w:cs="Arial"/>
          <w:sz w:val="24"/>
          <w:szCs w:val="24"/>
          <w:lang w:val="en-ZA" w:eastAsia="en-ZA"/>
        </w:rPr>
        <w:t>application to set it aside. For completeness, suffice it to state that it required the A-G to produce documents and correspondence (including but not limited to all letters, notes, e-mails, texts or other electronic messages or WhatsApp) exchanged between members of Cabinet and relating to the outbreak of the Covid-19 pandemic.</w:t>
      </w:r>
    </w:p>
    <w:p w14:paraId="6764CE4F" w14:textId="77777777" w:rsidR="008C3C90" w:rsidRDefault="008C3C90" w:rsidP="00497EA6">
      <w:pPr>
        <w:shd w:val="clear" w:color="auto" w:fill="FFFFFF"/>
        <w:spacing w:after="0" w:line="480" w:lineRule="auto"/>
        <w:jc w:val="both"/>
        <w:rPr>
          <w:rFonts w:ascii="Arial" w:eastAsia="Times New Roman" w:hAnsi="Arial" w:cs="Arial"/>
          <w:sz w:val="24"/>
          <w:szCs w:val="24"/>
          <w:lang w:val="en-ZA" w:eastAsia="en-ZA"/>
        </w:rPr>
      </w:pPr>
    </w:p>
    <w:p w14:paraId="67E85911" w14:textId="7794B3E6" w:rsidR="000B79DA"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[10]</w:t>
      </w:r>
      <w:r w:rsidRPr="00DA7CFC">
        <w:rPr>
          <w:rFonts w:ascii="Arial" w:eastAsia="Times New Roman" w:hAnsi="Arial" w:cs="Arial"/>
          <w:sz w:val="24"/>
          <w:szCs w:val="24"/>
          <w:lang w:val="en-ZA" w:eastAsia="en-ZA"/>
        </w:rPr>
        <w:tab/>
      </w:r>
      <w:r w:rsidR="000B79DA" w:rsidRPr="00A81732">
        <w:rPr>
          <w:rFonts w:ascii="Arial" w:eastAsia="Times New Roman" w:hAnsi="Arial" w:cs="Arial"/>
          <w:sz w:val="24"/>
          <w:szCs w:val="24"/>
          <w:lang w:val="en-ZA" w:eastAsia="en-ZA"/>
        </w:rPr>
        <w:t xml:space="preserve">The subpoena </w:t>
      </w:r>
      <w:r w:rsidR="00913A72" w:rsidRPr="00A81732">
        <w:rPr>
          <w:rFonts w:ascii="Arial" w:eastAsia="Times New Roman" w:hAnsi="Arial" w:cs="Arial"/>
          <w:i/>
          <w:sz w:val="24"/>
          <w:szCs w:val="24"/>
          <w:lang w:val="en-ZA" w:eastAsia="en-ZA"/>
        </w:rPr>
        <w:t>duces tecum</w:t>
      </w:r>
      <w:r w:rsidR="00913A72" w:rsidRPr="00A81732">
        <w:rPr>
          <w:rFonts w:ascii="Arial" w:eastAsia="Times New Roman" w:hAnsi="Arial" w:cs="Arial"/>
          <w:sz w:val="24"/>
          <w:szCs w:val="24"/>
          <w:lang w:val="en-ZA" w:eastAsia="en-ZA"/>
        </w:rPr>
        <w:t xml:space="preserve"> </w:t>
      </w:r>
      <w:r w:rsidR="000B79DA" w:rsidRPr="00A81732">
        <w:rPr>
          <w:rFonts w:ascii="Arial" w:eastAsia="Times New Roman" w:hAnsi="Arial" w:cs="Arial"/>
          <w:sz w:val="24"/>
          <w:szCs w:val="24"/>
          <w:lang w:val="en-ZA" w:eastAsia="en-ZA"/>
        </w:rPr>
        <w:t>against the Cabinet Secretary required him to produce the following</w:t>
      </w:r>
      <w:r w:rsidR="00B8663D" w:rsidRPr="00A81732">
        <w:rPr>
          <w:rFonts w:ascii="Arial" w:eastAsia="Times New Roman" w:hAnsi="Arial" w:cs="Arial"/>
          <w:sz w:val="24"/>
          <w:szCs w:val="24"/>
          <w:lang w:val="en-ZA" w:eastAsia="en-ZA"/>
        </w:rPr>
        <w:t xml:space="preserve">: </w:t>
      </w:r>
    </w:p>
    <w:p w14:paraId="76FE1357" w14:textId="77777777" w:rsidR="009C1035" w:rsidRPr="00DA7CFC" w:rsidRDefault="009C1035" w:rsidP="00497EA6">
      <w:pPr>
        <w:shd w:val="clear" w:color="auto" w:fill="FFFFFF"/>
        <w:spacing w:after="0" w:line="480" w:lineRule="auto"/>
        <w:jc w:val="both"/>
        <w:rPr>
          <w:rFonts w:ascii="Arial" w:eastAsia="Times New Roman" w:hAnsi="Arial" w:cs="Arial"/>
          <w:sz w:val="24"/>
          <w:szCs w:val="24"/>
          <w:lang w:val="en-ZA" w:eastAsia="en-ZA"/>
        </w:rPr>
      </w:pPr>
    </w:p>
    <w:p w14:paraId="2C577D72" w14:textId="7EF5F1DA" w:rsidR="000B79DA" w:rsidRPr="00DA7CFC" w:rsidRDefault="000B79DA" w:rsidP="00D3027E">
      <w:pPr>
        <w:shd w:val="clear" w:color="auto" w:fill="FFFFFF"/>
        <w:spacing w:after="0" w:line="48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‘1. The minutes of t</w:t>
      </w:r>
      <w:r w:rsidR="00B4659D">
        <w:rPr>
          <w:rFonts w:ascii="Arial" w:eastAsia="Times New Roman" w:hAnsi="Arial" w:cs="Arial"/>
          <w:lang w:val="en-ZA" w:eastAsia="en-ZA"/>
        </w:rPr>
        <w:t>he Cabinet meetings where Covid</w:t>
      </w:r>
      <w:r w:rsidRPr="00DA7CFC">
        <w:rPr>
          <w:rFonts w:ascii="Arial" w:eastAsia="Times New Roman" w:hAnsi="Arial" w:cs="Arial"/>
          <w:lang w:val="en-ZA" w:eastAsia="en-ZA"/>
        </w:rPr>
        <w:t>-19 and Regulations issued by the President of the Republic of Namibia in relation to Covid-19 was discussed up and until 30 June 2020;</w:t>
      </w:r>
    </w:p>
    <w:p w14:paraId="009DEA34" w14:textId="75DB56DE" w:rsidR="000B79DA" w:rsidRPr="00DA7CFC" w:rsidRDefault="000B79DA" w:rsidP="00D3027E">
      <w:pPr>
        <w:shd w:val="clear" w:color="auto" w:fill="FFFFFF"/>
        <w:spacing w:after="0" w:line="480" w:lineRule="auto"/>
        <w:ind w:left="720"/>
        <w:jc w:val="both"/>
        <w:rPr>
          <w:rFonts w:ascii="Arial" w:eastAsia="Times New Roman" w:hAnsi="Arial" w:cs="Arial"/>
          <w:sz w:val="24"/>
          <w:szCs w:val="24"/>
          <w:lang w:val="en-ZA" w:eastAsia="en-ZA"/>
        </w:rPr>
      </w:pPr>
      <w:r w:rsidRPr="00DA7CFC">
        <w:rPr>
          <w:rFonts w:ascii="Arial" w:eastAsia="Times New Roman" w:hAnsi="Arial" w:cs="Arial"/>
          <w:lang w:val="en-ZA" w:eastAsia="en-ZA"/>
        </w:rPr>
        <w:t>2. The documents and correspondence exchanged between members of the Cabinet of the Republic of Namibia (concerning the measures to be implemented or to be included in Covid-19 Regulations) up until 30 June 2020.’</w:t>
      </w:r>
    </w:p>
    <w:p w14:paraId="0D104A1C" w14:textId="77777777" w:rsidR="009C7A8A" w:rsidRPr="00DA7CFC" w:rsidRDefault="009C7A8A" w:rsidP="009C7A8A">
      <w:pPr>
        <w:shd w:val="clear" w:color="auto" w:fill="FFFFFF"/>
        <w:spacing w:after="0" w:line="480" w:lineRule="auto"/>
        <w:jc w:val="both"/>
        <w:rPr>
          <w:rFonts w:ascii="Arial" w:eastAsia="Times New Roman" w:hAnsi="Arial" w:cs="Arial"/>
          <w:sz w:val="24"/>
          <w:szCs w:val="24"/>
          <w:lang w:val="en-ZA" w:eastAsia="en-ZA"/>
        </w:rPr>
      </w:pPr>
    </w:p>
    <w:p w14:paraId="7C4A79C5" w14:textId="0207B427" w:rsidR="006108F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lastRenderedPageBreak/>
        <w:t>[11]</w:t>
      </w:r>
      <w:r w:rsidRPr="00DA7CFC">
        <w:rPr>
          <w:rFonts w:ascii="Arial" w:eastAsia="Times New Roman" w:hAnsi="Arial" w:cs="Arial"/>
          <w:sz w:val="24"/>
          <w:szCs w:val="24"/>
          <w:lang w:val="en-ZA" w:eastAsia="en-ZA"/>
        </w:rPr>
        <w:tab/>
      </w:r>
      <w:r w:rsidR="006108FE" w:rsidRPr="00A81732">
        <w:rPr>
          <w:rFonts w:ascii="Arial" w:eastAsia="Times New Roman" w:hAnsi="Arial" w:cs="Arial"/>
          <w:sz w:val="24"/>
          <w:szCs w:val="24"/>
          <w:lang w:val="en-ZA" w:eastAsia="en-ZA"/>
        </w:rPr>
        <w:t xml:space="preserve">In </w:t>
      </w:r>
      <w:r w:rsidR="00913A72" w:rsidRPr="00A81732">
        <w:rPr>
          <w:rFonts w:ascii="Arial" w:eastAsia="Times New Roman" w:hAnsi="Arial" w:cs="Arial"/>
          <w:sz w:val="24"/>
          <w:szCs w:val="24"/>
          <w:lang w:val="en-ZA" w:eastAsia="en-ZA"/>
        </w:rPr>
        <w:t xml:space="preserve">its </w:t>
      </w:r>
      <w:r w:rsidR="006108FE" w:rsidRPr="00A81732">
        <w:rPr>
          <w:rFonts w:ascii="Arial" w:eastAsia="Times New Roman" w:hAnsi="Arial" w:cs="Arial"/>
          <w:sz w:val="24"/>
          <w:szCs w:val="24"/>
          <w:lang w:val="en-ZA" w:eastAsia="en-ZA"/>
        </w:rPr>
        <w:t xml:space="preserve">interlocutory application, Hollard </w:t>
      </w:r>
      <w:r w:rsidR="003C20DB" w:rsidRPr="00A81732">
        <w:rPr>
          <w:rFonts w:ascii="Arial" w:eastAsia="Times New Roman" w:hAnsi="Arial" w:cs="Arial"/>
          <w:sz w:val="24"/>
          <w:szCs w:val="24"/>
          <w:lang w:val="en-ZA" w:eastAsia="en-ZA"/>
        </w:rPr>
        <w:t xml:space="preserve">justified the subpoenas </w:t>
      </w:r>
      <w:r w:rsidR="003C20DB" w:rsidRPr="00A81732">
        <w:rPr>
          <w:rFonts w:ascii="Arial" w:eastAsia="Times New Roman" w:hAnsi="Arial" w:cs="Arial"/>
          <w:i/>
          <w:sz w:val="24"/>
          <w:szCs w:val="24"/>
          <w:lang w:val="en-ZA" w:eastAsia="en-ZA"/>
        </w:rPr>
        <w:t>duces tecum</w:t>
      </w:r>
      <w:r w:rsidR="003C20DB" w:rsidRPr="00A81732">
        <w:rPr>
          <w:rFonts w:ascii="Arial" w:eastAsia="Times New Roman" w:hAnsi="Arial" w:cs="Arial"/>
          <w:sz w:val="24"/>
          <w:szCs w:val="24"/>
          <w:lang w:val="en-ZA" w:eastAsia="en-ZA"/>
        </w:rPr>
        <w:t xml:space="preserve"> against the two constitutional functionaries as follows: </w:t>
      </w:r>
    </w:p>
    <w:p w14:paraId="502E687C" w14:textId="77777777" w:rsidR="006108FE" w:rsidRPr="00DA7CFC" w:rsidRDefault="006108FE" w:rsidP="006108FE">
      <w:pPr>
        <w:pStyle w:val="ListParagraph"/>
        <w:spacing w:after="0" w:line="360" w:lineRule="auto"/>
        <w:jc w:val="both"/>
        <w:rPr>
          <w:rFonts w:ascii="Arial" w:eastAsia="Times New Roman" w:hAnsi="Arial" w:cs="Arial"/>
          <w:lang w:val="en-ZA" w:eastAsia="en-ZA"/>
        </w:rPr>
      </w:pPr>
    </w:p>
    <w:p w14:paraId="1F6B48DF" w14:textId="700DA962" w:rsidR="006108FE" w:rsidRPr="00DA7CFC" w:rsidRDefault="006108FE" w:rsidP="004265F1">
      <w:pPr>
        <w:spacing w:after="0" w:line="36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 xml:space="preserve">’17.4 Hollard is entitled to have </w:t>
      </w:r>
      <w:r w:rsidRPr="00DA7CFC">
        <w:rPr>
          <w:rFonts w:ascii="Arial" w:eastAsia="Times New Roman" w:hAnsi="Arial" w:cs="Arial"/>
          <w:i/>
          <w:lang w:val="en-ZA" w:eastAsia="en-ZA"/>
        </w:rPr>
        <w:t>subpoenas duces tecum</w:t>
      </w:r>
      <w:r w:rsidRPr="00DA7CFC">
        <w:rPr>
          <w:rFonts w:ascii="Arial" w:eastAsia="Times New Roman" w:hAnsi="Arial" w:cs="Arial"/>
          <w:lang w:val="en-ZA" w:eastAsia="en-ZA"/>
        </w:rPr>
        <w:t xml:space="preserve"> issued before it will file answering affidavits in accordance with proper time periods . . .  and also before it cross-examines Gondwan</w:t>
      </w:r>
      <w:r w:rsidR="00E42D51" w:rsidRPr="00DA7CFC">
        <w:rPr>
          <w:rFonts w:ascii="Arial" w:eastAsia="Times New Roman" w:hAnsi="Arial" w:cs="Arial"/>
          <w:lang w:val="en-ZA" w:eastAsia="en-ZA"/>
        </w:rPr>
        <w:t>a’</w:t>
      </w:r>
      <w:r w:rsidR="00045794">
        <w:rPr>
          <w:rFonts w:ascii="Arial" w:eastAsia="Times New Roman" w:hAnsi="Arial" w:cs="Arial"/>
          <w:lang w:val="en-ZA" w:eastAsia="en-ZA"/>
        </w:rPr>
        <w:t>s witnesses [</w:t>
      </w:r>
      <w:r w:rsidRPr="00DA7CFC">
        <w:rPr>
          <w:rFonts w:ascii="Arial" w:eastAsia="Times New Roman" w:hAnsi="Arial" w:cs="Arial"/>
          <w:lang w:val="en-ZA" w:eastAsia="en-ZA"/>
        </w:rPr>
        <w:t>who deposed to affidavits in its application]</w:t>
      </w:r>
    </w:p>
    <w:p w14:paraId="71D75519" w14:textId="77777777" w:rsidR="006108FE" w:rsidRPr="00DA7CFC" w:rsidRDefault="006108FE" w:rsidP="004265F1">
      <w:pPr>
        <w:spacing w:after="0" w:line="360" w:lineRule="auto"/>
        <w:ind w:firstLine="720"/>
        <w:jc w:val="both"/>
        <w:rPr>
          <w:rFonts w:ascii="Arial" w:eastAsia="Times New Roman" w:hAnsi="Arial" w:cs="Arial"/>
          <w:lang w:val="en-ZA" w:eastAsia="en-ZA"/>
        </w:rPr>
      </w:pPr>
      <w:r w:rsidRPr="00DA7CFC">
        <w:rPr>
          <w:rFonts w:ascii="Arial" w:eastAsia="Times New Roman" w:hAnsi="Arial" w:cs="Arial"/>
          <w:lang w:val="en-ZA" w:eastAsia="en-ZA"/>
        </w:rPr>
        <w:t>...</w:t>
      </w:r>
    </w:p>
    <w:p w14:paraId="6CE881DC" w14:textId="5728067E" w:rsidR="006108FE" w:rsidRPr="00DA7CFC" w:rsidRDefault="006108FE" w:rsidP="004265F1">
      <w:pPr>
        <w:spacing w:after="0" w:line="36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17.6 Hollard must be given an opportunity to cross-examine certain witness</w:t>
      </w:r>
      <w:r w:rsidR="00045794">
        <w:rPr>
          <w:rFonts w:ascii="Arial" w:eastAsia="Times New Roman" w:hAnsi="Arial" w:cs="Arial"/>
          <w:lang w:val="en-ZA" w:eastAsia="en-ZA"/>
        </w:rPr>
        <w:t>es</w:t>
      </w:r>
      <w:r w:rsidRPr="00DA7CFC">
        <w:rPr>
          <w:rFonts w:ascii="Arial" w:eastAsia="Times New Roman" w:hAnsi="Arial" w:cs="Arial"/>
          <w:lang w:val="en-ZA" w:eastAsia="en-ZA"/>
        </w:rPr>
        <w:t xml:space="preserve"> who deposed to affidavits on behalf of Gondwana.’</w:t>
      </w:r>
    </w:p>
    <w:p w14:paraId="7FA872D6" w14:textId="77777777" w:rsidR="006108FE" w:rsidRPr="00DA7CFC" w:rsidRDefault="006108FE" w:rsidP="009C7A8A">
      <w:pPr>
        <w:shd w:val="clear" w:color="auto" w:fill="FFFFFF"/>
        <w:spacing w:after="0" w:line="480" w:lineRule="auto"/>
        <w:jc w:val="both"/>
        <w:rPr>
          <w:rFonts w:ascii="Arial" w:eastAsia="Times New Roman" w:hAnsi="Arial" w:cs="Arial"/>
          <w:sz w:val="24"/>
          <w:szCs w:val="24"/>
          <w:lang w:val="en-ZA" w:eastAsia="en-ZA"/>
        </w:rPr>
      </w:pPr>
    </w:p>
    <w:p w14:paraId="1219B7AF" w14:textId="75B0C5BB" w:rsidR="006108FE" w:rsidRPr="00DA7CFC" w:rsidRDefault="00860416" w:rsidP="009C7A8A">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 xml:space="preserve">And that: </w:t>
      </w:r>
    </w:p>
    <w:p w14:paraId="6E6FDC16" w14:textId="02DFBBAF" w:rsidR="00DA1A87" w:rsidRDefault="00860416" w:rsidP="004265F1">
      <w:pPr>
        <w:shd w:val="clear" w:color="auto" w:fill="FFFFFF"/>
        <w:spacing w:after="0" w:line="36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w:t>
      </w:r>
      <w:r w:rsidR="007F1D76" w:rsidRPr="00DA7CFC">
        <w:rPr>
          <w:rFonts w:ascii="Arial" w:eastAsia="Times New Roman" w:hAnsi="Arial" w:cs="Arial"/>
          <w:lang w:val="en-ZA" w:eastAsia="en-ZA"/>
        </w:rPr>
        <w:t>60.1 Any person who is entitled to, and government was obliged to, consider contributions made by members of the public in respect of any measures implemented by Government with reference to the Covid-19 disease.</w:t>
      </w:r>
    </w:p>
    <w:p w14:paraId="12974EBD" w14:textId="77777777" w:rsidR="000C0983" w:rsidRPr="00DA7CFC" w:rsidRDefault="000C0983" w:rsidP="004265F1">
      <w:pPr>
        <w:shd w:val="clear" w:color="auto" w:fill="FFFFFF"/>
        <w:spacing w:after="0" w:line="360" w:lineRule="auto"/>
        <w:ind w:left="720"/>
        <w:jc w:val="both"/>
        <w:rPr>
          <w:rFonts w:ascii="Arial" w:eastAsia="Times New Roman" w:hAnsi="Arial" w:cs="Arial"/>
          <w:lang w:val="en-ZA" w:eastAsia="en-ZA"/>
        </w:rPr>
      </w:pPr>
    </w:p>
    <w:p w14:paraId="31BAE510" w14:textId="333B2504" w:rsidR="007F1D76" w:rsidRDefault="007F1D76" w:rsidP="004265F1">
      <w:pPr>
        <w:shd w:val="clear" w:color="auto" w:fill="FFFFFF"/>
        <w:spacing w:after="0" w:line="36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60.2. Hollard does not accuse anybody of being in cahoots or collusion with anybody else. Hollard simply wants to ascertain which information, if any, was exchanged between Gondwana’s representatives (including legal representative that is employed by ICA) and officials of the Government of Namibia. These documents are of pivotal importance for the intended cross-examination of Mr Joubert and Dr Haufiku, as well as to present Hollard’s case and to meet Gondwana’s allegations.</w:t>
      </w:r>
    </w:p>
    <w:p w14:paraId="51B45D09" w14:textId="77777777" w:rsidR="000C0983" w:rsidRPr="00DA7CFC" w:rsidRDefault="000C0983" w:rsidP="004265F1">
      <w:pPr>
        <w:shd w:val="clear" w:color="auto" w:fill="FFFFFF"/>
        <w:spacing w:after="0" w:line="360" w:lineRule="auto"/>
        <w:ind w:left="720"/>
        <w:jc w:val="both"/>
        <w:rPr>
          <w:rFonts w:ascii="Arial" w:eastAsia="Times New Roman" w:hAnsi="Arial" w:cs="Arial"/>
          <w:lang w:val="en-ZA" w:eastAsia="en-ZA"/>
        </w:rPr>
      </w:pPr>
    </w:p>
    <w:p w14:paraId="7C23E36D" w14:textId="74BB2AAD" w:rsidR="007F1D76" w:rsidRPr="00DA7CFC" w:rsidRDefault="007F1D76" w:rsidP="004265F1">
      <w:pPr>
        <w:shd w:val="clear" w:color="auto" w:fill="FFFFFF"/>
        <w:spacing w:after="0" w:line="36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60.3. The documents requested in the subpoenas duces tecum are also not in possession of Gondwana. It is of utmost importance for Hollard to obtain access to the documents to present its case.’</w:t>
      </w:r>
    </w:p>
    <w:p w14:paraId="6A52E773" w14:textId="77777777" w:rsidR="007F1D76" w:rsidRPr="00DA7CFC" w:rsidRDefault="007F1D76" w:rsidP="009C7A8A">
      <w:pPr>
        <w:shd w:val="clear" w:color="auto" w:fill="FFFFFF"/>
        <w:spacing w:after="0" w:line="480" w:lineRule="auto"/>
        <w:jc w:val="both"/>
        <w:rPr>
          <w:rFonts w:ascii="Arial" w:eastAsia="Times New Roman" w:hAnsi="Arial" w:cs="Arial"/>
          <w:sz w:val="24"/>
          <w:szCs w:val="24"/>
          <w:lang w:val="en-ZA" w:eastAsia="en-ZA"/>
        </w:rPr>
      </w:pPr>
    </w:p>
    <w:p w14:paraId="4B612010" w14:textId="0B2B6E30" w:rsidR="007F1D76"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[12]</w:t>
      </w:r>
      <w:r w:rsidRPr="00DA7CFC">
        <w:rPr>
          <w:rFonts w:ascii="Arial" w:eastAsia="Times New Roman" w:hAnsi="Arial" w:cs="Arial"/>
          <w:sz w:val="24"/>
          <w:szCs w:val="24"/>
          <w:lang w:val="en-ZA" w:eastAsia="en-ZA"/>
        </w:rPr>
        <w:tab/>
      </w:r>
      <w:r w:rsidR="007F1D76" w:rsidRPr="00A81732">
        <w:rPr>
          <w:rFonts w:ascii="Arial" w:eastAsia="Times New Roman" w:hAnsi="Arial" w:cs="Arial"/>
          <w:sz w:val="24"/>
          <w:szCs w:val="24"/>
          <w:lang w:val="en-ZA" w:eastAsia="en-ZA"/>
        </w:rPr>
        <w:t xml:space="preserve">It is made clear in the affidavit in support of the interlocutory </w:t>
      </w:r>
      <w:r w:rsidR="00913A72" w:rsidRPr="00A81732">
        <w:rPr>
          <w:rFonts w:ascii="Arial" w:eastAsia="Times New Roman" w:hAnsi="Arial" w:cs="Arial"/>
          <w:sz w:val="24"/>
          <w:szCs w:val="24"/>
          <w:lang w:val="en-ZA" w:eastAsia="en-ZA"/>
        </w:rPr>
        <w:t xml:space="preserve">application </w:t>
      </w:r>
      <w:r w:rsidR="007F1D76" w:rsidRPr="00A81732">
        <w:rPr>
          <w:rFonts w:ascii="Arial" w:eastAsia="Times New Roman" w:hAnsi="Arial" w:cs="Arial"/>
          <w:sz w:val="24"/>
          <w:szCs w:val="24"/>
          <w:lang w:val="en-ZA" w:eastAsia="en-ZA"/>
        </w:rPr>
        <w:t>that Gondwana cannot ‘demand affidavits from Hollard to say pertinent things under oath before</w:t>
      </w:r>
      <w:r w:rsidR="00F04763" w:rsidRPr="00A81732">
        <w:rPr>
          <w:rFonts w:ascii="Arial" w:eastAsia="Times New Roman" w:hAnsi="Arial" w:cs="Arial"/>
          <w:sz w:val="24"/>
          <w:szCs w:val="24"/>
          <w:lang w:val="en-ZA" w:eastAsia="en-ZA"/>
        </w:rPr>
        <w:t>. . .</w:t>
      </w:r>
      <w:r w:rsidR="007F1D76" w:rsidRPr="00A81732">
        <w:rPr>
          <w:rFonts w:ascii="Arial" w:eastAsia="Times New Roman" w:hAnsi="Arial" w:cs="Arial"/>
          <w:sz w:val="24"/>
          <w:szCs w:val="24"/>
          <w:lang w:val="en-ZA" w:eastAsia="en-ZA"/>
        </w:rPr>
        <w:t xml:space="preserve"> Hollard becomes entitled to the procedural device of issuing subpoenas </w:t>
      </w:r>
      <w:r w:rsidR="007F1D76" w:rsidRPr="00A81732">
        <w:rPr>
          <w:rFonts w:ascii="Arial" w:eastAsia="Times New Roman" w:hAnsi="Arial" w:cs="Arial"/>
          <w:i/>
          <w:sz w:val="24"/>
          <w:szCs w:val="24"/>
          <w:lang w:val="en-ZA" w:eastAsia="en-ZA"/>
        </w:rPr>
        <w:t>duces tecum</w:t>
      </w:r>
      <w:r w:rsidR="007F1D76" w:rsidRPr="00A81732">
        <w:rPr>
          <w:rFonts w:ascii="Arial" w:eastAsia="Times New Roman" w:hAnsi="Arial" w:cs="Arial"/>
          <w:sz w:val="24"/>
          <w:szCs w:val="24"/>
          <w:lang w:val="en-ZA" w:eastAsia="en-ZA"/>
        </w:rPr>
        <w:t>.’</w:t>
      </w:r>
    </w:p>
    <w:p w14:paraId="7C051711" w14:textId="77777777" w:rsidR="007F1D76" w:rsidRPr="00DA7CFC" w:rsidRDefault="007F1D76" w:rsidP="00F7300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CC34B82" w14:textId="524165F0" w:rsidR="00FC1F21"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lastRenderedPageBreak/>
        <w:t>[13]</w:t>
      </w:r>
      <w:r w:rsidRPr="00DA7CFC">
        <w:rPr>
          <w:rFonts w:ascii="Arial" w:eastAsia="Times New Roman" w:hAnsi="Arial" w:cs="Arial"/>
          <w:sz w:val="24"/>
          <w:szCs w:val="24"/>
          <w:lang w:val="en-ZA" w:eastAsia="en-ZA"/>
        </w:rPr>
        <w:tab/>
      </w:r>
      <w:r w:rsidR="00BA59BD" w:rsidRPr="00A81732">
        <w:rPr>
          <w:rFonts w:ascii="Arial" w:eastAsia="Times New Roman" w:hAnsi="Arial" w:cs="Arial"/>
          <w:sz w:val="24"/>
          <w:szCs w:val="24"/>
          <w:lang w:val="en-ZA" w:eastAsia="en-ZA"/>
        </w:rPr>
        <w:t xml:space="preserve">Hollard </w:t>
      </w:r>
      <w:r w:rsidR="00C35BBD" w:rsidRPr="00A81732">
        <w:rPr>
          <w:rFonts w:ascii="Arial" w:eastAsia="Times New Roman" w:hAnsi="Arial" w:cs="Arial"/>
          <w:sz w:val="24"/>
          <w:szCs w:val="24"/>
          <w:lang w:val="en-ZA" w:eastAsia="en-ZA"/>
        </w:rPr>
        <w:t>anchor</w:t>
      </w:r>
      <w:r w:rsidR="001D375F" w:rsidRPr="00A81732">
        <w:rPr>
          <w:rFonts w:ascii="Arial" w:eastAsia="Times New Roman" w:hAnsi="Arial" w:cs="Arial"/>
          <w:sz w:val="24"/>
          <w:szCs w:val="24"/>
          <w:lang w:val="en-ZA" w:eastAsia="en-ZA"/>
        </w:rPr>
        <w:t>ed</w:t>
      </w:r>
      <w:r w:rsidR="00C35BBD" w:rsidRPr="00A81732">
        <w:rPr>
          <w:rFonts w:ascii="Arial" w:eastAsia="Times New Roman" w:hAnsi="Arial" w:cs="Arial"/>
          <w:sz w:val="24"/>
          <w:szCs w:val="24"/>
          <w:lang w:val="en-ZA" w:eastAsia="en-ZA"/>
        </w:rPr>
        <w:t xml:space="preserve"> the right to </w:t>
      </w:r>
      <w:r w:rsidR="009C7A8A" w:rsidRPr="00A81732">
        <w:rPr>
          <w:rFonts w:ascii="Arial" w:eastAsia="Times New Roman" w:hAnsi="Arial" w:cs="Arial"/>
          <w:sz w:val="24"/>
          <w:szCs w:val="24"/>
          <w:lang w:val="en-ZA" w:eastAsia="en-ZA"/>
        </w:rPr>
        <w:t xml:space="preserve">the production of </w:t>
      </w:r>
      <w:r w:rsidR="00CD496F" w:rsidRPr="00A81732">
        <w:rPr>
          <w:rFonts w:ascii="Arial" w:eastAsia="Times New Roman" w:hAnsi="Arial" w:cs="Arial"/>
          <w:sz w:val="24"/>
          <w:szCs w:val="24"/>
          <w:lang w:val="en-ZA" w:eastAsia="en-ZA"/>
        </w:rPr>
        <w:t xml:space="preserve">the Cabinet </w:t>
      </w:r>
      <w:r w:rsidR="009C7A8A" w:rsidRPr="00A81732">
        <w:rPr>
          <w:rFonts w:ascii="Arial" w:eastAsia="Times New Roman" w:hAnsi="Arial" w:cs="Arial"/>
          <w:sz w:val="24"/>
          <w:szCs w:val="24"/>
          <w:lang w:val="en-ZA" w:eastAsia="en-ZA"/>
        </w:rPr>
        <w:t xml:space="preserve">documents </w:t>
      </w:r>
      <w:r w:rsidR="00C35BBD" w:rsidRPr="00A81732">
        <w:rPr>
          <w:rFonts w:ascii="Arial" w:eastAsia="Times New Roman" w:hAnsi="Arial" w:cs="Arial"/>
          <w:sz w:val="24"/>
          <w:szCs w:val="24"/>
          <w:lang w:val="en-ZA" w:eastAsia="en-ZA"/>
        </w:rPr>
        <w:t>on Art</w:t>
      </w:r>
      <w:r w:rsidR="000B351E" w:rsidRPr="00A81732">
        <w:rPr>
          <w:rFonts w:ascii="Arial" w:eastAsia="Times New Roman" w:hAnsi="Arial" w:cs="Arial"/>
          <w:sz w:val="24"/>
          <w:szCs w:val="24"/>
          <w:lang w:val="en-ZA" w:eastAsia="en-ZA"/>
        </w:rPr>
        <w:t xml:space="preserve"> 12</w:t>
      </w:r>
      <w:r w:rsidR="00C35BBD" w:rsidRPr="00A81732">
        <w:rPr>
          <w:rFonts w:ascii="Arial" w:eastAsia="Times New Roman" w:hAnsi="Arial" w:cs="Arial"/>
          <w:sz w:val="24"/>
          <w:szCs w:val="24"/>
          <w:lang w:val="en-ZA" w:eastAsia="en-ZA"/>
        </w:rPr>
        <w:t>(1)</w:t>
      </w:r>
      <w:r w:rsidR="00685455" w:rsidRPr="00A81732">
        <w:rPr>
          <w:rFonts w:ascii="Arial" w:eastAsia="Times New Roman" w:hAnsi="Arial" w:cs="Arial"/>
          <w:sz w:val="24"/>
          <w:szCs w:val="24"/>
          <w:lang w:val="en-ZA" w:eastAsia="en-ZA"/>
        </w:rPr>
        <w:t>(a) and</w:t>
      </w:r>
      <w:r w:rsidR="00C35BBD" w:rsidRPr="00A81732">
        <w:rPr>
          <w:rFonts w:ascii="Arial" w:eastAsia="Times New Roman" w:hAnsi="Arial" w:cs="Arial"/>
          <w:sz w:val="24"/>
          <w:szCs w:val="24"/>
          <w:lang w:val="en-ZA" w:eastAsia="en-ZA"/>
        </w:rPr>
        <w:t xml:space="preserve"> (e)</w:t>
      </w:r>
      <w:r w:rsidR="001D375F" w:rsidRPr="000B351E">
        <w:rPr>
          <w:rStyle w:val="FootnoteReference"/>
          <w:rFonts w:ascii="Arial" w:eastAsia="Times New Roman" w:hAnsi="Arial" w:cs="Arial"/>
          <w:sz w:val="24"/>
          <w:szCs w:val="24"/>
          <w:lang w:val="en-ZA" w:eastAsia="en-ZA"/>
        </w:rPr>
        <w:footnoteReference w:id="1"/>
      </w:r>
      <w:r w:rsidR="00C35BBD" w:rsidRPr="00A81732">
        <w:rPr>
          <w:rFonts w:ascii="Arial" w:eastAsia="Times New Roman" w:hAnsi="Arial" w:cs="Arial"/>
          <w:sz w:val="24"/>
          <w:szCs w:val="24"/>
          <w:lang w:val="en-ZA" w:eastAsia="en-ZA"/>
        </w:rPr>
        <w:t xml:space="preserve"> of the </w:t>
      </w:r>
      <w:r w:rsidR="00913A72" w:rsidRPr="00A81732">
        <w:rPr>
          <w:rFonts w:ascii="Arial" w:eastAsia="Times New Roman" w:hAnsi="Arial" w:cs="Arial"/>
          <w:sz w:val="24"/>
          <w:szCs w:val="24"/>
          <w:lang w:val="en-ZA" w:eastAsia="en-ZA"/>
        </w:rPr>
        <w:t xml:space="preserve">Namibian </w:t>
      </w:r>
      <w:r w:rsidR="00C35BBD" w:rsidRPr="00A81732">
        <w:rPr>
          <w:rFonts w:ascii="Arial" w:eastAsia="Times New Roman" w:hAnsi="Arial" w:cs="Arial"/>
          <w:sz w:val="24"/>
          <w:szCs w:val="24"/>
          <w:lang w:val="en-ZA" w:eastAsia="en-ZA"/>
        </w:rPr>
        <w:t>Constitution</w:t>
      </w:r>
      <w:r w:rsidR="00913A72" w:rsidRPr="00A81732">
        <w:rPr>
          <w:rFonts w:ascii="Arial" w:eastAsia="Times New Roman" w:hAnsi="Arial" w:cs="Arial"/>
          <w:sz w:val="24"/>
          <w:szCs w:val="24"/>
          <w:lang w:val="en-ZA" w:eastAsia="en-ZA"/>
        </w:rPr>
        <w:t xml:space="preserve"> (the Constitution)</w:t>
      </w:r>
      <w:r w:rsidR="00D736ED" w:rsidRPr="00A81732">
        <w:rPr>
          <w:rFonts w:ascii="Arial" w:eastAsia="Times New Roman" w:hAnsi="Arial" w:cs="Arial"/>
          <w:sz w:val="24"/>
          <w:szCs w:val="24"/>
          <w:lang w:val="en-ZA" w:eastAsia="en-ZA"/>
        </w:rPr>
        <w:t xml:space="preserve">. In </w:t>
      </w:r>
      <w:r w:rsidR="00913A72" w:rsidRPr="00A81732">
        <w:rPr>
          <w:rFonts w:ascii="Arial" w:eastAsia="Times New Roman" w:hAnsi="Arial" w:cs="Arial"/>
          <w:sz w:val="24"/>
          <w:szCs w:val="24"/>
          <w:lang w:val="en-ZA" w:eastAsia="en-ZA"/>
        </w:rPr>
        <w:t xml:space="preserve">other words that </w:t>
      </w:r>
      <w:r w:rsidR="00C35BBD" w:rsidRPr="00A81732">
        <w:rPr>
          <w:rFonts w:ascii="Arial" w:eastAsia="Times New Roman" w:hAnsi="Arial" w:cs="Arial"/>
          <w:sz w:val="24"/>
          <w:szCs w:val="24"/>
          <w:lang w:val="en-ZA" w:eastAsia="en-ZA"/>
        </w:rPr>
        <w:t xml:space="preserve">in </w:t>
      </w:r>
      <w:r w:rsidR="001D375F" w:rsidRPr="00A81732">
        <w:rPr>
          <w:rFonts w:ascii="Arial" w:eastAsia="Times New Roman" w:hAnsi="Arial" w:cs="Arial"/>
          <w:sz w:val="24"/>
          <w:szCs w:val="24"/>
          <w:lang w:val="en-ZA" w:eastAsia="en-ZA"/>
        </w:rPr>
        <w:t xml:space="preserve">the </w:t>
      </w:r>
      <w:r w:rsidR="00BA59BD" w:rsidRPr="00A81732">
        <w:rPr>
          <w:rFonts w:ascii="Arial" w:eastAsia="Times New Roman" w:hAnsi="Arial" w:cs="Arial"/>
          <w:sz w:val="24"/>
          <w:szCs w:val="24"/>
          <w:lang w:val="en-ZA" w:eastAsia="en-ZA"/>
        </w:rPr>
        <w:t>motion proceedings wherein it is</w:t>
      </w:r>
      <w:r w:rsidR="00D736ED" w:rsidRPr="00A81732">
        <w:rPr>
          <w:rFonts w:ascii="Arial" w:eastAsia="Times New Roman" w:hAnsi="Arial" w:cs="Arial"/>
          <w:sz w:val="24"/>
          <w:szCs w:val="24"/>
          <w:lang w:val="en-ZA" w:eastAsia="en-ZA"/>
        </w:rPr>
        <w:t xml:space="preserve"> a respondent</w:t>
      </w:r>
      <w:r w:rsidR="006021EB" w:rsidRPr="00A81732">
        <w:rPr>
          <w:rFonts w:ascii="Arial" w:eastAsia="Times New Roman" w:hAnsi="Arial" w:cs="Arial"/>
          <w:sz w:val="24"/>
          <w:szCs w:val="24"/>
          <w:lang w:val="en-ZA" w:eastAsia="en-ZA"/>
        </w:rPr>
        <w:t xml:space="preserve"> it has the right</w:t>
      </w:r>
      <w:r w:rsidR="00BA59BD" w:rsidRPr="00A81732">
        <w:rPr>
          <w:rFonts w:ascii="Arial" w:eastAsia="Times New Roman" w:hAnsi="Arial" w:cs="Arial"/>
          <w:sz w:val="24"/>
          <w:szCs w:val="24"/>
          <w:lang w:val="en-ZA" w:eastAsia="en-ZA"/>
        </w:rPr>
        <w:t xml:space="preserve"> before it can file an answering affidavit</w:t>
      </w:r>
      <w:r w:rsidR="00793C88" w:rsidRPr="00A81732">
        <w:rPr>
          <w:rFonts w:ascii="Arial" w:eastAsia="Times New Roman" w:hAnsi="Arial" w:cs="Arial"/>
          <w:sz w:val="24"/>
          <w:szCs w:val="24"/>
          <w:lang w:val="en-ZA" w:eastAsia="en-ZA"/>
        </w:rPr>
        <w:t>,</w:t>
      </w:r>
      <w:r w:rsidR="00BA59BD" w:rsidRPr="00A81732">
        <w:rPr>
          <w:rFonts w:ascii="Arial" w:eastAsia="Times New Roman" w:hAnsi="Arial" w:cs="Arial"/>
          <w:sz w:val="24"/>
          <w:szCs w:val="24"/>
          <w:lang w:val="en-ZA" w:eastAsia="en-ZA"/>
        </w:rPr>
        <w:t xml:space="preserve"> to demand the production </w:t>
      </w:r>
      <w:r w:rsidR="00FC1F21" w:rsidRPr="00A81732">
        <w:rPr>
          <w:rFonts w:ascii="Arial" w:eastAsia="Times New Roman" w:hAnsi="Arial" w:cs="Arial"/>
          <w:sz w:val="24"/>
          <w:szCs w:val="24"/>
          <w:lang w:val="en-ZA" w:eastAsia="en-ZA"/>
        </w:rPr>
        <w:t xml:space="preserve">(discovery) </w:t>
      </w:r>
      <w:r w:rsidR="00BA59BD" w:rsidRPr="00A81732">
        <w:rPr>
          <w:rFonts w:ascii="Arial" w:eastAsia="Times New Roman" w:hAnsi="Arial" w:cs="Arial"/>
          <w:sz w:val="24"/>
          <w:szCs w:val="24"/>
          <w:lang w:val="en-ZA" w:eastAsia="en-ZA"/>
        </w:rPr>
        <w:t xml:space="preserve">of documents </w:t>
      </w:r>
      <w:r w:rsidR="001D375F" w:rsidRPr="00A81732">
        <w:rPr>
          <w:rFonts w:ascii="Arial" w:eastAsia="Times New Roman" w:hAnsi="Arial" w:cs="Arial"/>
          <w:sz w:val="24"/>
          <w:szCs w:val="24"/>
          <w:lang w:val="en-ZA" w:eastAsia="en-ZA"/>
        </w:rPr>
        <w:t>and</w:t>
      </w:r>
      <w:r w:rsidR="00BA59BD" w:rsidRPr="00A81732">
        <w:rPr>
          <w:rFonts w:ascii="Arial" w:eastAsia="Times New Roman" w:hAnsi="Arial" w:cs="Arial"/>
          <w:sz w:val="24"/>
          <w:szCs w:val="24"/>
          <w:lang w:val="en-ZA" w:eastAsia="en-ZA"/>
        </w:rPr>
        <w:t xml:space="preserve"> to cross-examine </w:t>
      </w:r>
      <w:r w:rsidR="00462BE8" w:rsidRPr="00A81732">
        <w:rPr>
          <w:rFonts w:ascii="Arial" w:eastAsia="Times New Roman" w:hAnsi="Arial" w:cs="Arial"/>
          <w:sz w:val="24"/>
          <w:szCs w:val="24"/>
          <w:lang w:val="en-ZA" w:eastAsia="en-ZA"/>
        </w:rPr>
        <w:t xml:space="preserve">Gondwana’s </w:t>
      </w:r>
      <w:r w:rsidR="00112C5B" w:rsidRPr="00A81732">
        <w:rPr>
          <w:rFonts w:ascii="Arial" w:eastAsia="Times New Roman" w:hAnsi="Arial" w:cs="Arial"/>
          <w:sz w:val="24"/>
          <w:szCs w:val="24"/>
          <w:lang w:val="en-ZA" w:eastAsia="en-ZA"/>
        </w:rPr>
        <w:t xml:space="preserve">affidavit </w:t>
      </w:r>
      <w:r w:rsidR="00BA59BD" w:rsidRPr="00A81732">
        <w:rPr>
          <w:rFonts w:ascii="Arial" w:eastAsia="Times New Roman" w:hAnsi="Arial" w:cs="Arial"/>
          <w:sz w:val="24"/>
          <w:szCs w:val="24"/>
          <w:lang w:val="en-ZA" w:eastAsia="en-ZA"/>
        </w:rPr>
        <w:t>witness</w:t>
      </w:r>
      <w:r w:rsidR="001D375F" w:rsidRPr="00A81732">
        <w:rPr>
          <w:rFonts w:ascii="Arial" w:eastAsia="Times New Roman" w:hAnsi="Arial" w:cs="Arial"/>
          <w:sz w:val="24"/>
          <w:szCs w:val="24"/>
          <w:lang w:val="en-ZA" w:eastAsia="en-ZA"/>
        </w:rPr>
        <w:t>es</w:t>
      </w:r>
      <w:r w:rsidR="00BA59BD" w:rsidRPr="00A81732">
        <w:rPr>
          <w:rFonts w:ascii="Arial" w:eastAsia="Times New Roman" w:hAnsi="Arial" w:cs="Arial"/>
          <w:sz w:val="24"/>
          <w:szCs w:val="24"/>
          <w:lang w:val="en-ZA" w:eastAsia="en-ZA"/>
        </w:rPr>
        <w:t xml:space="preserve"> on the strength of documents produced </w:t>
      </w:r>
      <w:r w:rsidR="006021EB" w:rsidRPr="00A81732">
        <w:rPr>
          <w:rFonts w:ascii="Arial" w:eastAsia="Times New Roman" w:hAnsi="Arial" w:cs="Arial"/>
          <w:sz w:val="24"/>
          <w:szCs w:val="24"/>
          <w:lang w:val="en-ZA" w:eastAsia="en-ZA"/>
        </w:rPr>
        <w:t>ad</w:t>
      </w:r>
      <w:r w:rsidR="00112C5B" w:rsidRPr="00A81732">
        <w:rPr>
          <w:rFonts w:ascii="Arial" w:eastAsia="Times New Roman" w:hAnsi="Arial" w:cs="Arial"/>
          <w:sz w:val="24"/>
          <w:szCs w:val="24"/>
          <w:lang w:val="en-ZA" w:eastAsia="en-ZA"/>
        </w:rPr>
        <w:t xml:space="preserve"> </w:t>
      </w:r>
      <w:r w:rsidR="001D375F" w:rsidRPr="00A81732">
        <w:rPr>
          <w:rFonts w:ascii="Arial" w:eastAsia="Times New Roman" w:hAnsi="Arial" w:cs="Arial"/>
          <w:sz w:val="24"/>
          <w:szCs w:val="24"/>
          <w:lang w:val="en-ZA" w:eastAsia="en-ZA"/>
        </w:rPr>
        <w:t xml:space="preserve">subpoena </w:t>
      </w:r>
      <w:r w:rsidR="001D375F" w:rsidRPr="00A81732">
        <w:rPr>
          <w:rFonts w:ascii="Arial" w:eastAsia="Times New Roman" w:hAnsi="Arial" w:cs="Arial"/>
          <w:i/>
          <w:sz w:val="24"/>
          <w:szCs w:val="24"/>
          <w:lang w:val="en-ZA" w:eastAsia="en-ZA"/>
        </w:rPr>
        <w:t>duces tecum</w:t>
      </w:r>
      <w:r w:rsidR="001D375F" w:rsidRPr="00A81732">
        <w:rPr>
          <w:rFonts w:ascii="Arial" w:eastAsia="Times New Roman" w:hAnsi="Arial" w:cs="Arial"/>
          <w:sz w:val="24"/>
          <w:szCs w:val="24"/>
          <w:lang w:val="en-ZA" w:eastAsia="en-ZA"/>
        </w:rPr>
        <w:t>.</w:t>
      </w:r>
    </w:p>
    <w:p w14:paraId="4E90BA59" w14:textId="77777777" w:rsidR="00FC1F21" w:rsidRPr="00DA7CFC" w:rsidRDefault="00FC1F21" w:rsidP="00F7300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762AFDF" w14:textId="3C2C32C9" w:rsidR="00FC1F21" w:rsidRPr="00DA7CFC" w:rsidRDefault="00FC1F21" w:rsidP="00F73004">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DA7CFC">
        <w:rPr>
          <w:rFonts w:ascii="Arial" w:eastAsia="Times New Roman" w:hAnsi="Arial" w:cs="Arial"/>
          <w:sz w:val="24"/>
          <w:szCs w:val="24"/>
          <w:u w:val="single"/>
          <w:lang w:val="en-ZA" w:eastAsia="en-ZA"/>
        </w:rPr>
        <w:t xml:space="preserve">Intervention </w:t>
      </w:r>
      <w:r w:rsidR="0015325D">
        <w:rPr>
          <w:rFonts w:ascii="Arial" w:eastAsia="Times New Roman" w:hAnsi="Arial" w:cs="Arial"/>
          <w:sz w:val="24"/>
          <w:szCs w:val="24"/>
          <w:u w:val="single"/>
          <w:lang w:val="en-ZA" w:eastAsia="en-ZA"/>
        </w:rPr>
        <w:t xml:space="preserve">by </w:t>
      </w:r>
      <w:r w:rsidR="00DF77ED">
        <w:rPr>
          <w:rFonts w:ascii="Arial" w:eastAsia="Times New Roman" w:hAnsi="Arial" w:cs="Arial"/>
          <w:sz w:val="24"/>
          <w:szCs w:val="24"/>
          <w:u w:val="single"/>
          <w:lang w:val="en-ZA" w:eastAsia="en-ZA"/>
        </w:rPr>
        <w:t xml:space="preserve">the </w:t>
      </w:r>
      <w:r w:rsidRPr="00DA7CFC">
        <w:rPr>
          <w:rFonts w:ascii="Arial" w:eastAsia="Times New Roman" w:hAnsi="Arial" w:cs="Arial"/>
          <w:sz w:val="24"/>
          <w:szCs w:val="24"/>
          <w:u w:val="single"/>
          <w:lang w:val="en-ZA" w:eastAsia="en-ZA"/>
        </w:rPr>
        <w:t xml:space="preserve">A-G and </w:t>
      </w:r>
      <w:r w:rsidR="00DF77ED">
        <w:rPr>
          <w:rFonts w:ascii="Arial" w:eastAsia="Times New Roman" w:hAnsi="Arial" w:cs="Arial"/>
          <w:sz w:val="24"/>
          <w:szCs w:val="24"/>
          <w:u w:val="single"/>
          <w:lang w:val="en-ZA" w:eastAsia="en-ZA"/>
        </w:rPr>
        <w:t xml:space="preserve">the </w:t>
      </w:r>
      <w:r w:rsidRPr="00DA7CFC">
        <w:rPr>
          <w:rFonts w:ascii="Arial" w:eastAsia="Times New Roman" w:hAnsi="Arial" w:cs="Arial"/>
          <w:sz w:val="24"/>
          <w:szCs w:val="24"/>
          <w:u w:val="single"/>
          <w:lang w:val="en-ZA" w:eastAsia="en-ZA"/>
        </w:rPr>
        <w:t>Cabinet Secretary</w:t>
      </w:r>
    </w:p>
    <w:p w14:paraId="3834C72D" w14:textId="7F919FFD" w:rsidR="006D1C93"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[14]</w:t>
      </w:r>
      <w:r w:rsidRPr="00DA7CFC">
        <w:rPr>
          <w:rFonts w:ascii="Arial" w:eastAsia="Times New Roman" w:hAnsi="Arial" w:cs="Arial"/>
          <w:sz w:val="24"/>
          <w:szCs w:val="24"/>
          <w:lang w:val="en-ZA" w:eastAsia="en-ZA"/>
        </w:rPr>
        <w:tab/>
      </w:r>
      <w:r w:rsidR="006D1C93" w:rsidRPr="00A81732">
        <w:rPr>
          <w:rFonts w:ascii="Arial" w:eastAsia="Times New Roman" w:hAnsi="Arial" w:cs="Arial"/>
          <w:sz w:val="24"/>
          <w:szCs w:val="24"/>
          <w:lang w:val="en-ZA" w:eastAsia="en-ZA"/>
        </w:rPr>
        <w:t xml:space="preserve">Upon being served </w:t>
      </w:r>
      <w:r w:rsidR="00CE322C" w:rsidRPr="00A81732">
        <w:rPr>
          <w:rFonts w:ascii="Arial" w:eastAsia="Times New Roman" w:hAnsi="Arial" w:cs="Arial"/>
          <w:sz w:val="24"/>
          <w:szCs w:val="24"/>
          <w:lang w:val="en-ZA" w:eastAsia="en-ZA"/>
        </w:rPr>
        <w:t xml:space="preserve">with </w:t>
      </w:r>
      <w:r w:rsidR="006D1C93" w:rsidRPr="00A81732">
        <w:rPr>
          <w:rFonts w:ascii="Arial" w:eastAsia="Times New Roman" w:hAnsi="Arial" w:cs="Arial"/>
          <w:sz w:val="24"/>
          <w:szCs w:val="24"/>
          <w:lang w:val="en-ZA" w:eastAsia="en-ZA"/>
        </w:rPr>
        <w:t xml:space="preserve">the subpoenas </w:t>
      </w:r>
      <w:r w:rsidR="006D1C93" w:rsidRPr="00A81732">
        <w:rPr>
          <w:rFonts w:ascii="Arial" w:eastAsia="Times New Roman" w:hAnsi="Arial" w:cs="Arial"/>
          <w:i/>
          <w:sz w:val="24"/>
          <w:szCs w:val="24"/>
          <w:lang w:val="en-ZA" w:eastAsia="en-ZA"/>
        </w:rPr>
        <w:t>duces tecum</w:t>
      </w:r>
      <w:r w:rsidR="006D1C93" w:rsidRPr="00A81732">
        <w:rPr>
          <w:rFonts w:ascii="Arial" w:eastAsia="Times New Roman" w:hAnsi="Arial" w:cs="Arial"/>
          <w:sz w:val="24"/>
          <w:szCs w:val="24"/>
          <w:lang w:val="en-ZA" w:eastAsia="en-ZA"/>
        </w:rPr>
        <w:t>, the A-G and the Cabinet Secretary brought an urgent application to</w:t>
      </w:r>
      <w:r w:rsidR="001D375F" w:rsidRPr="00A81732">
        <w:rPr>
          <w:rFonts w:ascii="Arial" w:eastAsia="Times New Roman" w:hAnsi="Arial" w:cs="Arial"/>
          <w:sz w:val="24"/>
          <w:szCs w:val="24"/>
          <w:lang w:val="en-ZA" w:eastAsia="en-ZA"/>
        </w:rPr>
        <w:t>,</w:t>
      </w:r>
      <w:r w:rsidR="006D1C93" w:rsidRPr="00A81732">
        <w:rPr>
          <w:rFonts w:ascii="Arial" w:eastAsia="Times New Roman" w:hAnsi="Arial" w:cs="Arial"/>
          <w:sz w:val="24"/>
          <w:szCs w:val="24"/>
          <w:lang w:val="en-ZA" w:eastAsia="en-ZA"/>
        </w:rPr>
        <w:t xml:space="preserve"> on </w:t>
      </w:r>
      <w:r w:rsidR="00DF77ED" w:rsidRPr="00A81732">
        <w:rPr>
          <w:rFonts w:ascii="Arial" w:eastAsia="Times New Roman" w:hAnsi="Arial" w:cs="Arial"/>
          <w:sz w:val="24"/>
          <w:szCs w:val="24"/>
          <w:lang w:val="en-ZA" w:eastAsia="en-ZA"/>
        </w:rPr>
        <w:t xml:space="preserve">an </w:t>
      </w:r>
      <w:r w:rsidR="006D1C93" w:rsidRPr="00A81732">
        <w:rPr>
          <w:rFonts w:ascii="Arial" w:eastAsia="Times New Roman" w:hAnsi="Arial" w:cs="Arial"/>
          <w:sz w:val="24"/>
          <w:szCs w:val="24"/>
          <w:lang w:val="en-ZA" w:eastAsia="en-ZA"/>
        </w:rPr>
        <w:t>interim basis</w:t>
      </w:r>
      <w:r w:rsidR="001D375F" w:rsidRPr="00A81732">
        <w:rPr>
          <w:rFonts w:ascii="Arial" w:eastAsia="Times New Roman" w:hAnsi="Arial" w:cs="Arial"/>
          <w:sz w:val="24"/>
          <w:szCs w:val="24"/>
          <w:lang w:val="en-ZA" w:eastAsia="en-ZA"/>
        </w:rPr>
        <w:t>,</w:t>
      </w:r>
      <w:r w:rsidR="006D1C93" w:rsidRPr="00A81732">
        <w:rPr>
          <w:rFonts w:ascii="Arial" w:eastAsia="Times New Roman" w:hAnsi="Arial" w:cs="Arial"/>
          <w:sz w:val="24"/>
          <w:szCs w:val="24"/>
          <w:lang w:val="en-ZA" w:eastAsia="en-ZA"/>
        </w:rPr>
        <w:t xml:space="preserve"> interdict implementation of the subpoena</w:t>
      </w:r>
      <w:r w:rsidR="00CD496F" w:rsidRPr="00A81732">
        <w:rPr>
          <w:rFonts w:ascii="Arial" w:eastAsia="Times New Roman" w:hAnsi="Arial" w:cs="Arial"/>
          <w:sz w:val="24"/>
          <w:szCs w:val="24"/>
          <w:lang w:val="en-ZA" w:eastAsia="en-ZA"/>
        </w:rPr>
        <w:t>s</w:t>
      </w:r>
      <w:r w:rsidR="006D1C93" w:rsidRPr="00A81732">
        <w:rPr>
          <w:rFonts w:ascii="Arial" w:eastAsia="Times New Roman" w:hAnsi="Arial" w:cs="Arial"/>
          <w:sz w:val="24"/>
          <w:szCs w:val="24"/>
          <w:lang w:val="en-ZA" w:eastAsia="en-ZA"/>
        </w:rPr>
        <w:t xml:space="preserve"> and </w:t>
      </w:r>
      <w:r w:rsidR="00CE322C" w:rsidRPr="00A81732">
        <w:rPr>
          <w:rFonts w:ascii="Arial" w:eastAsia="Times New Roman" w:hAnsi="Arial" w:cs="Arial"/>
          <w:sz w:val="24"/>
          <w:szCs w:val="24"/>
          <w:lang w:val="en-ZA" w:eastAsia="en-ZA"/>
        </w:rPr>
        <w:t xml:space="preserve">for </w:t>
      </w:r>
      <w:r w:rsidR="00793C88" w:rsidRPr="00A81732">
        <w:rPr>
          <w:rFonts w:ascii="Arial" w:eastAsia="Times New Roman" w:hAnsi="Arial" w:cs="Arial"/>
          <w:sz w:val="24"/>
          <w:szCs w:val="24"/>
          <w:lang w:val="en-ZA" w:eastAsia="en-ZA"/>
        </w:rPr>
        <w:t xml:space="preserve">a </w:t>
      </w:r>
      <w:r w:rsidR="00913A72" w:rsidRPr="00A81732">
        <w:rPr>
          <w:rFonts w:ascii="Arial" w:eastAsia="Times New Roman" w:hAnsi="Arial" w:cs="Arial"/>
          <w:sz w:val="24"/>
          <w:szCs w:val="24"/>
          <w:lang w:val="en-ZA" w:eastAsia="en-ZA"/>
        </w:rPr>
        <w:t xml:space="preserve">High Court Rule </w:t>
      </w:r>
      <w:r w:rsidR="00D3027E" w:rsidRPr="00A81732">
        <w:rPr>
          <w:rFonts w:ascii="Arial" w:eastAsia="Times New Roman" w:hAnsi="Arial" w:cs="Arial"/>
          <w:sz w:val="24"/>
          <w:szCs w:val="24"/>
          <w:lang w:val="en-ZA" w:eastAsia="en-ZA"/>
        </w:rPr>
        <w:t>103</w:t>
      </w:r>
      <w:r w:rsidR="00913A72" w:rsidRPr="00A81732">
        <w:rPr>
          <w:rFonts w:ascii="Arial" w:eastAsia="Times New Roman" w:hAnsi="Arial" w:cs="Arial"/>
          <w:sz w:val="24"/>
          <w:szCs w:val="24"/>
          <w:lang w:val="en-ZA" w:eastAsia="en-ZA"/>
        </w:rPr>
        <w:t xml:space="preserve"> </w:t>
      </w:r>
      <w:r w:rsidR="00CE322C" w:rsidRPr="00A81732">
        <w:rPr>
          <w:rFonts w:ascii="Arial" w:eastAsia="Times New Roman" w:hAnsi="Arial" w:cs="Arial"/>
          <w:sz w:val="24"/>
          <w:szCs w:val="24"/>
          <w:lang w:val="en-ZA" w:eastAsia="en-ZA"/>
        </w:rPr>
        <w:t xml:space="preserve">rescission </w:t>
      </w:r>
      <w:r w:rsidR="006D1C93" w:rsidRPr="00A81732">
        <w:rPr>
          <w:rFonts w:ascii="Arial" w:eastAsia="Times New Roman" w:hAnsi="Arial" w:cs="Arial"/>
          <w:sz w:val="24"/>
          <w:szCs w:val="24"/>
          <w:lang w:val="en-ZA" w:eastAsia="en-ZA"/>
        </w:rPr>
        <w:t xml:space="preserve">of the court order that authorised the </w:t>
      </w:r>
      <w:r w:rsidR="001151FD" w:rsidRPr="00A81732">
        <w:rPr>
          <w:rFonts w:ascii="Arial" w:eastAsia="Times New Roman" w:hAnsi="Arial" w:cs="Arial"/>
          <w:sz w:val="24"/>
          <w:szCs w:val="24"/>
          <w:lang w:val="en-ZA" w:eastAsia="en-ZA"/>
        </w:rPr>
        <w:t xml:space="preserve">issuing of the </w:t>
      </w:r>
      <w:r w:rsidR="006D1C93" w:rsidRPr="00A81732">
        <w:rPr>
          <w:rFonts w:ascii="Arial" w:eastAsia="Times New Roman" w:hAnsi="Arial" w:cs="Arial"/>
          <w:sz w:val="24"/>
          <w:szCs w:val="24"/>
          <w:lang w:val="en-ZA" w:eastAsia="en-ZA"/>
        </w:rPr>
        <w:t>subpoena</w:t>
      </w:r>
      <w:r w:rsidR="00CE322C" w:rsidRPr="00A81732">
        <w:rPr>
          <w:rFonts w:ascii="Arial" w:eastAsia="Times New Roman" w:hAnsi="Arial" w:cs="Arial"/>
          <w:sz w:val="24"/>
          <w:szCs w:val="24"/>
          <w:lang w:val="en-ZA" w:eastAsia="en-ZA"/>
        </w:rPr>
        <w:t>s</w:t>
      </w:r>
      <w:r w:rsidR="006021EB" w:rsidRPr="00A81732">
        <w:rPr>
          <w:rFonts w:ascii="Arial" w:eastAsia="Times New Roman" w:hAnsi="Arial" w:cs="Arial"/>
          <w:sz w:val="24"/>
          <w:szCs w:val="24"/>
          <w:lang w:val="en-ZA" w:eastAsia="en-ZA"/>
        </w:rPr>
        <w:t>.</w:t>
      </w:r>
      <w:r w:rsidR="006D1C93" w:rsidRPr="00A81732">
        <w:rPr>
          <w:rFonts w:ascii="Arial" w:eastAsia="Times New Roman" w:hAnsi="Arial" w:cs="Arial"/>
          <w:sz w:val="24"/>
          <w:szCs w:val="24"/>
          <w:lang w:val="en-ZA" w:eastAsia="en-ZA"/>
        </w:rPr>
        <w:t xml:space="preserve"> The parties came to an agreement in relation to the interim relief and proceeded to have the rescission application adjudicated. </w:t>
      </w:r>
    </w:p>
    <w:p w14:paraId="36D10516" w14:textId="77777777" w:rsidR="006D1C93" w:rsidRPr="00DA7CFC" w:rsidRDefault="006D1C93" w:rsidP="006D1C9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4E45B10" w14:textId="4E90E1AC" w:rsidR="00532B65"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[15]</w:t>
      </w:r>
      <w:r w:rsidRPr="00DA7CFC">
        <w:rPr>
          <w:rFonts w:ascii="Arial" w:eastAsia="Times New Roman" w:hAnsi="Arial" w:cs="Arial"/>
          <w:sz w:val="24"/>
          <w:szCs w:val="24"/>
          <w:lang w:val="en-ZA" w:eastAsia="en-ZA"/>
        </w:rPr>
        <w:tab/>
      </w:r>
      <w:r w:rsidR="003F6130" w:rsidRPr="00A81732">
        <w:rPr>
          <w:rFonts w:ascii="Arial" w:eastAsia="Times New Roman" w:hAnsi="Arial" w:cs="Arial"/>
          <w:sz w:val="24"/>
          <w:szCs w:val="24"/>
          <w:lang w:val="en-ZA" w:eastAsia="en-ZA"/>
        </w:rPr>
        <w:t>In the rescission application</w:t>
      </w:r>
      <w:r w:rsidR="00B26D57" w:rsidRPr="00A81732">
        <w:rPr>
          <w:rFonts w:ascii="Arial" w:eastAsia="Times New Roman" w:hAnsi="Arial" w:cs="Arial"/>
          <w:sz w:val="24"/>
          <w:szCs w:val="24"/>
          <w:lang w:val="en-ZA" w:eastAsia="en-ZA"/>
        </w:rPr>
        <w:t>,</w:t>
      </w:r>
      <w:r w:rsidR="003F6130" w:rsidRPr="00A81732">
        <w:rPr>
          <w:rFonts w:ascii="Arial" w:eastAsia="Times New Roman" w:hAnsi="Arial" w:cs="Arial"/>
          <w:sz w:val="24"/>
          <w:szCs w:val="24"/>
          <w:lang w:val="en-ZA" w:eastAsia="en-ZA"/>
        </w:rPr>
        <w:t xml:space="preserve"> the </w:t>
      </w:r>
      <w:r w:rsidR="00E33463" w:rsidRPr="00A81732">
        <w:rPr>
          <w:rFonts w:ascii="Arial" w:eastAsia="Times New Roman" w:hAnsi="Arial" w:cs="Arial"/>
          <w:sz w:val="24"/>
          <w:szCs w:val="24"/>
          <w:lang w:val="en-ZA" w:eastAsia="en-ZA"/>
        </w:rPr>
        <w:t xml:space="preserve">A-G and the Cabinet Secretary </w:t>
      </w:r>
      <w:r w:rsidR="00CE322C" w:rsidRPr="00A81732">
        <w:rPr>
          <w:rFonts w:ascii="Arial" w:eastAsia="Times New Roman" w:hAnsi="Arial" w:cs="Arial"/>
          <w:sz w:val="24"/>
          <w:szCs w:val="24"/>
          <w:lang w:val="en-ZA" w:eastAsia="en-ZA"/>
        </w:rPr>
        <w:t xml:space="preserve">raised several grounds. </w:t>
      </w:r>
      <w:r w:rsidR="00026D6F" w:rsidRPr="00A81732">
        <w:rPr>
          <w:rFonts w:ascii="Arial" w:eastAsia="Times New Roman" w:hAnsi="Arial" w:cs="Arial"/>
          <w:sz w:val="24"/>
          <w:szCs w:val="24"/>
          <w:lang w:val="en-ZA" w:eastAsia="en-ZA"/>
        </w:rPr>
        <w:t xml:space="preserve">They complained that considering that the orders were </w:t>
      </w:r>
      <w:r w:rsidR="00CE322C" w:rsidRPr="00A81732">
        <w:rPr>
          <w:rFonts w:ascii="Arial" w:eastAsia="Times New Roman" w:hAnsi="Arial" w:cs="Arial"/>
          <w:sz w:val="24"/>
          <w:szCs w:val="24"/>
          <w:lang w:val="en-ZA" w:eastAsia="en-ZA"/>
        </w:rPr>
        <w:t>‘</w:t>
      </w:r>
      <w:r w:rsidR="001F375B" w:rsidRPr="00A81732">
        <w:rPr>
          <w:rFonts w:ascii="Arial" w:eastAsia="Times New Roman" w:hAnsi="Arial" w:cs="Arial"/>
          <w:sz w:val="24"/>
          <w:szCs w:val="24"/>
          <w:lang w:val="en-ZA" w:eastAsia="en-ZA"/>
        </w:rPr>
        <w:t xml:space="preserve">extraordinary and </w:t>
      </w:r>
      <w:r w:rsidR="00026D6F" w:rsidRPr="00A81732">
        <w:rPr>
          <w:rFonts w:ascii="Arial" w:eastAsia="Times New Roman" w:hAnsi="Arial" w:cs="Arial"/>
          <w:sz w:val="24"/>
          <w:szCs w:val="24"/>
          <w:lang w:val="en-ZA" w:eastAsia="en-ZA"/>
        </w:rPr>
        <w:t>invasive</w:t>
      </w:r>
      <w:r w:rsidR="00CE322C" w:rsidRPr="00A81732">
        <w:rPr>
          <w:rFonts w:ascii="Arial" w:eastAsia="Times New Roman" w:hAnsi="Arial" w:cs="Arial"/>
          <w:sz w:val="24"/>
          <w:szCs w:val="24"/>
          <w:lang w:val="en-ZA" w:eastAsia="en-ZA"/>
        </w:rPr>
        <w:t>’</w:t>
      </w:r>
      <w:r w:rsidR="00026D6F" w:rsidRPr="00A81732">
        <w:rPr>
          <w:rFonts w:ascii="Arial" w:eastAsia="Times New Roman" w:hAnsi="Arial" w:cs="Arial"/>
          <w:sz w:val="24"/>
          <w:szCs w:val="24"/>
          <w:lang w:val="en-ZA" w:eastAsia="en-ZA"/>
        </w:rPr>
        <w:t xml:space="preserve"> </w:t>
      </w:r>
      <w:r w:rsidR="001F375B" w:rsidRPr="00A81732">
        <w:rPr>
          <w:rFonts w:ascii="Arial" w:eastAsia="Times New Roman" w:hAnsi="Arial" w:cs="Arial"/>
          <w:sz w:val="24"/>
          <w:szCs w:val="24"/>
          <w:lang w:val="en-ZA" w:eastAsia="en-ZA"/>
        </w:rPr>
        <w:t xml:space="preserve">against two </w:t>
      </w:r>
      <w:r w:rsidR="00C62B48" w:rsidRPr="00A81732">
        <w:rPr>
          <w:rFonts w:ascii="Arial" w:eastAsia="Times New Roman" w:hAnsi="Arial" w:cs="Arial"/>
          <w:sz w:val="24"/>
          <w:szCs w:val="24"/>
          <w:lang w:val="en-ZA" w:eastAsia="en-ZA"/>
        </w:rPr>
        <w:t xml:space="preserve">constitutional office holders </w:t>
      </w:r>
      <w:r w:rsidR="001F375B" w:rsidRPr="00A81732">
        <w:rPr>
          <w:rFonts w:ascii="Arial" w:eastAsia="Times New Roman" w:hAnsi="Arial" w:cs="Arial"/>
          <w:sz w:val="24"/>
          <w:szCs w:val="24"/>
          <w:lang w:val="en-ZA" w:eastAsia="en-ZA"/>
        </w:rPr>
        <w:t>who had not be</w:t>
      </w:r>
      <w:r w:rsidR="00CE322C" w:rsidRPr="00A81732">
        <w:rPr>
          <w:rFonts w:ascii="Arial" w:eastAsia="Times New Roman" w:hAnsi="Arial" w:cs="Arial"/>
          <w:sz w:val="24"/>
          <w:szCs w:val="24"/>
          <w:lang w:val="en-ZA" w:eastAsia="en-ZA"/>
        </w:rPr>
        <w:t>e</w:t>
      </w:r>
      <w:r w:rsidR="001F375B" w:rsidRPr="00A81732">
        <w:rPr>
          <w:rFonts w:ascii="Arial" w:eastAsia="Times New Roman" w:hAnsi="Arial" w:cs="Arial"/>
          <w:sz w:val="24"/>
          <w:szCs w:val="24"/>
          <w:lang w:val="en-ZA" w:eastAsia="en-ZA"/>
        </w:rPr>
        <w:t xml:space="preserve">n cited in the suit between Gondwana and Hollard, they ought to have been afforded an opportunity to make representations before the subpoenas were authorised. </w:t>
      </w:r>
      <w:r w:rsidR="006021EB" w:rsidRPr="00A81732">
        <w:rPr>
          <w:rFonts w:ascii="Arial" w:eastAsia="Times New Roman" w:hAnsi="Arial" w:cs="Arial"/>
          <w:sz w:val="24"/>
          <w:szCs w:val="24"/>
          <w:lang w:val="en-ZA" w:eastAsia="en-ZA"/>
        </w:rPr>
        <w:t xml:space="preserve">Particular </w:t>
      </w:r>
      <w:r w:rsidR="001F375B" w:rsidRPr="00A81732">
        <w:rPr>
          <w:rFonts w:ascii="Arial" w:eastAsia="Times New Roman" w:hAnsi="Arial" w:cs="Arial"/>
          <w:sz w:val="24"/>
          <w:szCs w:val="24"/>
          <w:lang w:val="en-ZA" w:eastAsia="en-ZA"/>
        </w:rPr>
        <w:t xml:space="preserve">emphasis was placed on the fact that if an opportunity for representations was given, they could </w:t>
      </w:r>
      <w:r w:rsidR="001F375B" w:rsidRPr="00A81732">
        <w:rPr>
          <w:rFonts w:ascii="Arial" w:eastAsia="Times New Roman" w:hAnsi="Arial" w:cs="Arial"/>
          <w:sz w:val="24"/>
          <w:szCs w:val="24"/>
          <w:lang w:val="en-ZA" w:eastAsia="en-ZA"/>
        </w:rPr>
        <w:lastRenderedPageBreak/>
        <w:t xml:space="preserve">have demonstrated how the subpoenas interfered with their </w:t>
      </w:r>
      <w:r w:rsidR="00CE322C" w:rsidRPr="00A81732">
        <w:rPr>
          <w:rFonts w:ascii="Arial" w:eastAsia="Times New Roman" w:hAnsi="Arial" w:cs="Arial"/>
          <w:sz w:val="24"/>
          <w:szCs w:val="24"/>
          <w:lang w:val="en-ZA" w:eastAsia="en-ZA"/>
        </w:rPr>
        <w:t xml:space="preserve">constitutionally directed </w:t>
      </w:r>
      <w:r w:rsidR="001F375B" w:rsidRPr="00A81732">
        <w:rPr>
          <w:rFonts w:ascii="Arial" w:eastAsia="Times New Roman" w:hAnsi="Arial" w:cs="Arial"/>
          <w:sz w:val="24"/>
          <w:szCs w:val="24"/>
          <w:lang w:val="en-ZA" w:eastAsia="en-ZA"/>
        </w:rPr>
        <w:t>duty of confidentiality and secrecy in relation to Cabinet deliberations.</w:t>
      </w:r>
      <w:r w:rsidR="007D4F1D" w:rsidRPr="00A81732">
        <w:rPr>
          <w:rFonts w:ascii="Arial" w:eastAsia="Times New Roman" w:hAnsi="Arial" w:cs="Arial"/>
          <w:sz w:val="24"/>
          <w:szCs w:val="24"/>
          <w:lang w:val="en-ZA" w:eastAsia="en-ZA"/>
        </w:rPr>
        <w:t xml:space="preserve"> It was also asserted that the subpoenas were unintelligible, lacked specificity, </w:t>
      </w:r>
      <w:r w:rsidR="00CE322C" w:rsidRPr="00A81732">
        <w:rPr>
          <w:rFonts w:ascii="Arial" w:eastAsia="Times New Roman" w:hAnsi="Arial" w:cs="Arial"/>
          <w:sz w:val="24"/>
          <w:szCs w:val="24"/>
          <w:lang w:val="en-ZA" w:eastAsia="en-ZA"/>
        </w:rPr>
        <w:t xml:space="preserve">and </w:t>
      </w:r>
      <w:r w:rsidR="007D4F1D" w:rsidRPr="00A81732">
        <w:rPr>
          <w:rFonts w:ascii="Arial" w:eastAsia="Times New Roman" w:hAnsi="Arial" w:cs="Arial"/>
          <w:sz w:val="24"/>
          <w:szCs w:val="24"/>
          <w:lang w:val="en-ZA" w:eastAsia="en-ZA"/>
        </w:rPr>
        <w:t>did not demonstrate relevance of the documents demanded</w:t>
      </w:r>
      <w:r w:rsidR="006021EB" w:rsidRPr="00A81732">
        <w:rPr>
          <w:rFonts w:ascii="Arial" w:eastAsia="Times New Roman" w:hAnsi="Arial" w:cs="Arial"/>
          <w:sz w:val="24"/>
          <w:szCs w:val="24"/>
          <w:lang w:val="en-ZA" w:eastAsia="en-ZA"/>
        </w:rPr>
        <w:t>.</w:t>
      </w:r>
      <w:r w:rsidR="00CE322C" w:rsidRPr="00A81732">
        <w:rPr>
          <w:rFonts w:ascii="Arial" w:eastAsia="Times New Roman" w:hAnsi="Arial" w:cs="Arial"/>
          <w:sz w:val="24"/>
          <w:szCs w:val="24"/>
          <w:lang w:val="en-ZA" w:eastAsia="en-ZA"/>
        </w:rPr>
        <w:t xml:space="preserve"> </w:t>
      </w:r>
    </w:p>
    <w:p w14:paraId="12FAB715" w14:textId="77777777" w:rsidR="00532B65" w:rsidRPr="00DA7CFC" w:rsidRDefault="00532B65" w:rsidP="006D1C9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AC39081" w14:textId="3480CADF" w:rsidR="00E33463"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[16]</w:t>
      </w:r>
      <w:r w:rsidRPr="00DA7CFC">
        <w:rPr>
          <w:rFonts w:ascii="Arial" w:eastAsia="Times New Roman" w:hAnsi="Arial" w:cs="Arial"/>
          <w:sz w:val="24"/>
          <w:szCs w:val="24"/>
          <w:lang w:val="en-ZA" w:eastAsia="en-ZA"/>
        </w:rPr>
        <w:tab/>
      </w:r>
      <w:r w:rsidR="00913A72" w:rsidRPr="00A81732">
        <w:rPr>
          <w:rFonts w:ascii="Arial" w:eastAsia="Times New Roman" w:hAnsi="Arial" w:cs="Arial"/>
          <w:sz w:val="24"/>
          <w:szCs w:val="24"/>
          <w:lang w:val="en-ZA" w:eastAsia="en-ZA"/>
        </w:rPr>
        <w:t xml:space="preserve">It was also </w:t>
      </w:r>
      <w:r w:rsidR="006021EB" w:rsidRPr="00A81732">
        <w:rPr>
          <w:rFonts w:ascii="Arial" w:eastAsia="Times New Roman" w:hAnsi="Arial" w:cs="Arial"/>
          <w:sz w:val="24"/>
          <w:szCs w:val="24"/>
          <w:lang w:val="en-ZA" w:eastAsia="en-ZA"/>
        </w:rPr>
        <w:t xml:space="preserve">alleged </w:t>
      </w:r>
      <w:r w:rsidR="00913A72" w:rsidRPr="00A81732">
        <w:rPr>
          <w:rFonts w:ascii="Arial" w:eastAsia="Times New Roman" w:hAnsi="Arial" w:cs="Arial"/>
          <w:sz w:val="24"/>
          <w:szCs w:val="24"/>
          <w:lang w:val="en-ZA" w:eastAsia="en-ZA"/>
        </w:rPr>
        <w:t>that Hollard was not entitled to</w:t>
      </w:r>
      <w:r w:rsidR="00DA255F" w:rsidRPr="00A81732">
        <w:rPr>
          <w:rFonts w:ascii="Arial" w:eastAsia="Times New Roman" w:hAnsi="Arial" w:cs="Arial"/>
          <w:sz w:val="24"/>
          <w:szCs w:val="24"/>
          <w:lang w:val="en-ZA" w:eastAsia="en-ZA"/>
        </w:rPr>
        <w:t xml:space="preserve"> a</w:t>
      </w:r>
      <w:r w:rsidR="00913A72" w:rsidRPr="00A81732">
        <w:rPr>
          <w:rFonts w:ascii="Arial" w:eastAsia="Times New Roman" w:hAnsi="Arial" w:cs="Arial"/>
          <w:sz w:val="24"/>
          <w:szCs w:val="24"/>
          <w:lang w:val="en-ZA" w:eastAsia="en-ZA"/>
        </w:rPr>
        <w:t xml:space="preserve"> subpoena </w:t>
      </w:r>
      <w:r w:rsidR="00913A72" w:rsidRPr="00A81732">
        <w:rPr>
          <w:rFonts w:ascii="Arial" w:eastAsia="Times New Roman" w:hAnsi="Arial" w:cs="Arial"/>
          <w:i/>
          <w:sz w:val="24"/>
          <w:szCs w:val="24"/>
          <w:lang w:val="en-ZA" w:eastAsia="en-ZA"/>
        </w:rPr>
        <w:t>duces tecum</w:t>
      </w:r>
      <w:r w:rsidR="00913A72" w:rsidRPr="00A81732">
        <w:rPr>
          <w:rFonts w:ascii="Arial" w:eastAsia="Times New Roman" w:hAnsi="Arial" w:cs="Arial"/>
          <w:sz w:val="24"/>
          <w:szCs w:val="24"/>
          <w:lang w:val="en-ZA" w:eastAsia="en-ZA"/>
        </w:rPr>
        <w:t xml:space="preserve"> in motion proceedings and that the procedural device was only applicable in action proceedings. </w:t>
      </w:r>
      <w:r w:rsidR="003F6130" w:rsidRPr="00A81732">
        <w:rPr>
          <w:rFonts w:ascii="Arial" w:eastAsia="Times New Roman" w:hAnsi="Arial" w:cs="Arial"/>
          <w:sz w:val="24"/>
          <w:szCs w:val="24"/>
          <w:lang w:val="en-ZA" w:eastAsia="en-ZA"/>
        </w:rPr>
        <w:t xml:space="preserve">It is </w:t>
      </w:r>
      <w:r w:rsidR="00772FF2" w:rsidRPr="00A81732">
        <w:rPr>
          <w:rFonts w:ascii="Arial" w:eastAsia="Times New Roman" w:hAnsi="Arial" w:cs="Arial"/>
          <w:sz w:val="24"/>
          <w:szCs w:val="24"/>
          <w:lang w:val="en-ZA" w:eastAsia="en-ZA"/>
        </w:rPr>
        <w:t xml:space="preserve">further </w:t>
      </w:r>
      <w:r w:rsidR="003F6130" w:rsidRPr="00A81732">
        <w:rPr>
          <w:rFonts w:ascii="Arial" w:eastAsia="Times New Roman" w:hAnsi="Arial" w:cs="Arial"/>
          <w:sz w:val="24"/>
          <w:szCs w:val="24"/>
          <w:lang w:val="en-ZA" w:eastAsia="en-ZA"/>
        </w:rPr>
        <w:t xml:space="preserve">contended </w:t>
      </w:r>
      <w:r w:rsidR="00913A72" w:rsidRPr="00A81732">
        <w:rPr>
          <w:rFonts w:ascii="Arial" w:eastAsia="Times New Roman" w:hAnsi="Arial" w:cs="Arial"/>
          <w:sz w:val="24"/>
          <w:szCs w:val="24"/>
          <w:lang w:val="en-ZA" w:eastAsia="en-ZA"/>
        </w:rPr>
        <w:t xml:space="preserve">that </w:t>
      </w:r>
      <w:r w:rsidR="00532B65" w:rsidRPr="00A81732">
        <w:rPr>
          <w:rFonts w:ascii="Arial" w:eastAsia="Times New Roman" w:hAnsi="Arial" w:cs="Arial"/>
          <w:sz w:val="24"/>
          <w:szCs w:val="24"/>
          <w:lang w:val="en-ZA" w:eastAsia="en-ZA"/>
        </w:rPr>
        <w:t>at the stage the subpoena</w:t>
      </w:r>
      <w:r w:rsidR="003F6130" w:rsidRPr="00A81732">
        <w:rPr>
          <w:rFonts w:ascii="Arial" w:eastAsia="Times New Roman" w:hAnsi="Arial" w:cs="Arial"/>
          <w:sz w:val="24"/>
          <w:szCs w:val="24"/>
          <w:lang w:val="en-ZA" w:eastAsia="en-ZA"/>
        </w:rPr>
        <w:t>s</w:t>
      </w:r>
      <w:r w:rsidR="00532B65" w:rsidRPr="00A81732">
        <w:rPr>
          <w:rFonts w:ascii="Arial" w:eastAsia="Times New Roman" w:hAnsi="Arial" w:cs="Arial"/>
          <w:sz w:val="24"/>
          <w:szCs w:val="24"/>
          <w:lang w:val="en-ZA" w:eastAsia="en-ZA"/>
        </w:rPr>
        <w:t xml:space="preserve"> </w:t>
      </w:r>
      <w:r w:rsidR="00532B65" w:rsidRPr="00A81732">
        <w:rPr>
          <w:rFonts w:ascii="Arial" w:eastAsia="Times New Roman" w:hAnsi="Arial" w:cs="Arial"/>
          <w:i/>
          <w:sz w:val="24"/>
          <w:szCs w:val="24"/>
          <w:lang w:val="en-ZA" w:eastAsia="en-ZA"/>
        </w:rPr>
        <w:t>duces tecum</w:t>
      </w:r>
      <w:r w:rsidR="00532B65" w:rsidRPr="00A81732">
        <w:rPr>
          <w:rFonts w:ascii="Arial" w:eastAsia="Times New Roman" w:hAnsi="Arial" w:cs="Arial"/>
          <w:sz w:val="24"/>
          <w:szCs w:val="24"/>
          <w:lang w:val="en-ZA" w:eastAsia="en-ZA"/>
        </w:rPr>
        <w:t xml:space="preserve"> were authorised, </w:t>
      </w:r>
      <w:r w:rsidR="00913A72" w:rsidRPr="00A81732">
        <w:rPr>
          <w:rFonts w:ascii="Arial" w:eastAsia="Times New Roman" w:hAnsi="Arial" w:cs="Arial"/>
          <w:sz w:val="24"/>
          <w:szCs w:val="24"/>
          <w:lang w:val="en-ZA" w:eastAsia="en-ZA"/>
        </w:rPr>
        <w:t xml:space="preserve">an answering affidavit </w:t>
      </w:r>
      <w:r w:rsidR="00532B65" w:rsidRPr="00A81732">
        <w:rPr>
          <w:rFonts w:ascii="Arial" w:eastAsia="Times New Roman" w:hAnsi="Arial" w:cs="Arial"/>
          <w:sz w:val="24"/>
          <w:szCs w:val="24"/>
          <w:lang w:val="en-ZA" w:eastAsia="en-ZA"/>
        </w:rPr>
        <w:t xml:space="preserve">had not been filed and therefore no dispute of fact had arisen for the matter to be referred to oral evidence </w:t>
      </w:r>
      <w:r w:rsidR="003F6130" w:rsidRPr="00A81732">
        <w:rPr>
          <w:rFonts w:ascii="Arial" w:eastAsia="Times New Roman" w:hAnsi="Arial" w:cs="Arial"/>
          <w:sz w:val="24"/>
          <w:szCs w:val="24"/>
          <w:lang w:val="en-ZA" w:eastAsia="en-ZA"/>
        </w:rPr>
        <w:t>in terms of High Court Rule 6</w:t>
      </w:r>
      <w:r w:rsidR="005C3755" w:rsidRPr="00A81732">
        <w:rPr>
          <w:rFonts w:ascii="Arial" w:eastAsia="Times New Roman" w:hAnsi="Arial" w:cs="Arial"/>
          <w:sz w:val="24"/>
          <w:szCs w:val="24"/>
          <w:lang w:val="en-ZA" w:eastAsia="en-ZA"/>
        </w:rPr>
        <w:t>7</w:t>
      </w:r>
      <w:r w:rsidR="003A2A99" w:rsidRPr="00A81732">
        <w:rPr>
          <w:rFonts w:ascii="Arial" w:eastAsia="Times New Roman" w:hAnsi="Arial" w:cs="Arial"/>
          <w:sz w:val="24"/>
          <w:szCs w:val="24"/>
          <w:lang w:val="en-ZA" w:eastAsia="en-ZA"/>
        </w:rPr>
        <w:t>(1)</w:t>
      </w:r>
      <w:r w:rsidR="003F6130" w:rsidRPr="00A81732">
        <w:rPr>
          <w:rFonts w:ascii="Arial" w:eastAsia="Times New Roman" w:hAnsi="Arial" w:cs="Arial"/>
          <w:sz w:val="24"/>
          <w:szCs w:val="24"/>
          <w:lang w:val="en-ZA" w:eastAsia="en-ZA"/>
        </w:rPr>
        <w:t xml:space="preserve"> </w:t>
      </w:r>
      <w:r w:rsidR="00C0020A" w:rsidRPr="00A81732">
        <w:rPr>
          <w:rFonts w:ascii="Arial" w:eastAsia="Times New Roman" w:hAnsi="Arial" w:cs="Arial"/>
          <w:sz w:val="24"/>
          <w:szCs w:val="24"/>
          <w:lang w:val="en-ZA" w:eastAsia="en-ZA"/>
        </w:rPr>
        <w:t xml:space="preserve">for </w:t>
      </w:r>
      <w:r w:rsidR="00532B65" w:rsidRPr="00A81732">
        <w:rPr>
          <w:rFonts w:ascii="Arial" w:eastAsia="Times New Roman" w:hAnsi="Arial" w:cs="Arial"/>
          <w:sz w:val="24"/>
          <w:szCs w:val="24"/>
          <w:lang w:val="en-ZA" w:eastAsia="en-ZA"/>
        </w:rPr>
        <w:t xml:space="preserve">evidence </w:t>
      </w:r>
      <w:r w:rsidR="00C0020A" w:rsidRPr="00A81732">
        <w:rPr>
          <w:rFonts w:ascii="Arial" w:eastAsia="Times New Roman" w:hAnsi="Arial" w:cs="Arial"/>
          <w:sz w:val="24"/>
          <w:szCs w:val="24"/>
          <w:lang w:val="en-ZA" w:eastAsia="en-ZA"/>
        </w:rPr>
        <w:t xml:space="preserve">to be </w:t>
      </w:r>
      <w:r w:rsidR="00532B65" w:rsidRPr="00A81732">
        <w:rPr>
          <w:rFonts w:ascii="Arial" w:eastAsia="Times New Roman" w:hAnsi="Arial" w:cs="Arial"/>
          <w:sz w:val="24"/>
          <w:szCs w:val="24"/>
          <w:lang w:val="en-ZA" w:eastAsia="en-ZA"/>
        </w:rPr>
        <w:t xml:space="preserve">led and witnesses </w:t>
      </w:r>
      <w:r w:rsidR="00C0020A" w:rsidRPr="00A81732">
        <w:rPr>
          <w:rFonts w:ascii="Arial" w:eastAsia="Times New Roman" w:hAnsi="Arial" w:cs="Arial"/>
          <w:sz w:val="24"/>
          <w:szCs w:val="24"/>
          <w:lang w:val="en-ZA" w:eastAsia="en-ZA"/>
        </w:rPr>
        <w:t xml:space="preserve">to be </w:t>
      </w:r>
      <w:r w:rsidR="00532B65" w:rsidRPr="00A81732">
        <w:rPr>
          <w:rFonts w:ascii="Arial" w:eastAsia="Times New Roman" w:hAnsi="Arial" w:cs="Arial"/>
          <w:sz w:val="24"/>
          <w:szCs w:val="24"/>
          <w:lang w:val="en-ZA" w:eastAsia="en-ZA"/>
        </w:rPr>
        <w:t xml:space="preserve">cross-examined. </w:t>
      </w:r>
    </w:p>
    <w:p w14:paraId="4403D990" w14:textId="77777777" w:rsidR="007D4F1D" w:rsidRPr="00DA7CFC" w:rsidRDefault="007D4F1D" w:rsidP="006D1C9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CCA90F5" w14:textId="3299ADE9" w:rsidR="000A73B7"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[17]</w:t>
      </w:r>
      <w:r w:rsidRPr="00DA7CFC">
        <w:rPr>
          <w:rFonts w:ascii="Arial" w:eastAsia="Times New Roman" w:hAnsi="Arial" w:cs="Arial"/>
          <w:sz w:val="24"/>
          <w:szCs w:val="24"/>
          <w:lang w:val="en-ZA" w:eastAsia="en-ZA"/>
        </w:rPr>
        <w:tab/>
      </w:r>
      <w:r w:rsidR="007D4F1D" w:rsidRPr="00A81732">
        <w:rPr>
          <w:rFonts w:ascii="Arial" w:eastAsia="Times New Roman" w:hAnsi="Arial" w:cs="Arial"/>
          <w:sz w:val="24"/>
          <w:szCs w:val="24"/>
          <w:lang w:val="en-ZA" w:eastAsia="en-ZA"/>
        </w:rPr>
        <w:t>All those grounds were disputed by Hollard</w:t>
      </w:r>
      <w:r w:rsidR="00CF4055" w:rsidRPr="00A81732">
        <w:rPr>
          <w:rFonts w:ascii="Arial" w:eastAsia="Times New Roman" w:hAnsi="Arial" w:cs="Arial"/>
          <w:sz w:val="24"/>
          <w:szCs w:val="24"/>
          <w:lang w:val="en-ZA" w:eastAsia="en-ZA"/>
        </w:rPr>
        <w:t xml:space="preserve">. It </w:t>
      </w:r>
      <w:r w:rsidR="00CE322C" w:rsidRPr="00A81732">
        <w:rPr>
          <w:rFonts w:ascii="Arial" w:eastAsia="Times New Roman" w:hAnsi="Arial" w:cs="Arial"/>
          <w:sz w:val="24"/>
          <w:szCs w:val="24"/>
          <w:lang w:val="en-ZA" w:eastAsia="en-ZA"/>
        </w:rPr>
        <w:t xml:space="preserve">maintained that the two </w:t>
      </w:r>
      <w:r w:rsidR="00CF4055" w:rsidRPr="00A81732">
        <w:rPr>
          <w:rFonts w:ascii="Arial" w:eastAsia="Times New Roman" w:hAnsi="Arial" w:cs="Arial"/>
          <w:sz w:val="24"/>
          <w:szCs w:val="24"/>
          <w:lang w:val="en-ZA" w:eastAsia="en-ZA"/>
        </w:rPr>
        <w:t xml:space="preserve">officials </w:t>
      </w:r>
      <w:r w:rsidR="00CE322C" w:rsidRPr="00A81732">
        <w:rPr>
          <w:rFonts w:ascii="Arial" w:eastAsia="Times New Roman" w:hAnsi="Arial" w:cs="Arial"/>
          <w:sz w:val="24"/>
          <w:szCs w:val="24"/>
          <w:lang w:val="en-ZA" w:eastAsia="en-ZA"/>
        </w:rPr>
        <w:t>had not established any valid basis for the setting aside of the subpoenas</w:t>
      </w:r>
      <w:r w:rsidR="00302431" w:rsidRPr="00A81732">
        <w:rPr>
          <w:rFonts w:ascii="Arial" w:eastAsia="Times New Roman" w:hAnsi="Arial" w:cs="Arial"/>
          <w:sz w:val="24"/>
          <w:szCs w:val="24"/>
          <w:lang w:val="en-ZA" w:eastAsia="en-ZA"/>
        </w:rPr>
        <w:t xml:space="preserve"> </w:t>
      </w:r>
      <w:r w:rsidR="00532B65" w:rsidRPr="00A81732">
        <w:rPr>
          <w:rFonts w:ascii="Arial" w:eastAsia="Times New Roman" w:hAnsi="Arial" w:cs="Arial"/>
          <w:i/>
          <w:sz w:val="24"/>
          <w:szCs w:val="24"/>
          <w:lang w:val="en-ZA" w:eastAsia="en-ZA"/>
        </w:rPr>
        <w:t>duces tecum</w:t>
      </w:r>
      <w:r w:rsidR="00532B65" w:rsidRPr="00A81732">
        <w:rPr>
          <w:rFonts w:ascii="Arial" w:eastAsia="Times New Roman" w:hAnsi="Arial" w:cs="Arial"/>
          <w:sz w:val="24"/>
          <w:szCs w:val="24"/>
          <w:lang w:val="en-ZA" w:eastAsia="en-ZA"/>
        </w:rPr>
        <w:t xml:space="preserve"> </w:t>
      </w:r>
      <w:r w:rsidR="00302431" w:rsidRPr="00A81732">
        <w:rPr>
          <w:rFonts w:ascii="Arial" w:eastAsia="Times New Roman" w:hAnsi="Arial" w:cs="Arial"/>
          <w:sz w:val="24"/>
          <w:szCs w:val="24"/>
          <w:lang w:val="en-ZA" w:eastAsia="en-ZA"/>
        </w:rPr>
        <w:t>either on the basis of protected secrecy or privilege</w:t>
      </w:r>
      <w:r w:rsidR="007D4F1D" w:rsidRPr="00A81732">
        <w:rPr>
          <w:rFonts w:ascii="Arial" w:eastAsia="Times New Roman" w:hAnsi="Arial" w:cs="Arial"/>
          <w:sz w:val="24"/>
          <w:szCs w:val="24"/>
          <w:lang w:val="en-ZA" w:eastAsia="en-ZA"/>
        </w:rPr>
        <w:t>.</w:t>
      </w:r>
      <w:r w:rsidR="00302431" w:rsidRPr="00A81732">
        <w:rPr>
          <w:rFonts w:ascii="Arial" w:eastAsia="Times New Roman" w:hAnsi="Arial" w:cs="Arial"/>
          <w:sz w:val="24"/>
          <w:szCs w:val="24"/>
          <w:lang w:val="en-ZA" w:eastAsia="en-ZA"/>
        </w:rPr>
        <w:t xml:space="preserve"> </w:t>
      </w:r>
      <w:r w:rsidR="00CF4055" w:rsidRPr="00A81732">
        <w:rPr>
          <w:rFonts w:ascii="Arial" w:eastAsia="Times New Roman" w:hAnsi="Arial" w:cs="Arial"/>
          <w:sz w:val="24"/>
          <w:szCs w:val="24"/>
          <w:lang w:val="en-ZA" w:eastAsia="en-ZA"/>
        </w:rPr>
        <w:t xml:space="preserve">According to </w:t>
      </w:r>
      <w:r w:rsidR="00302431" w:rsidRPr="00A81732">
        <w:rPr>
          <w:rFonts w:ascii="Arial" w:eastAsia="Times New Roman" w:hAnsi="Arial" w:cs="Arial"/>
          <w:sz w:val="24"/>
          <w:szCs w:val="24"/>
          <w:lang w:val="en-ZA" w:eastAsia="en-ZA"/>
        </w:rPr>
        <w:t>Hollard</w:t>
      </w:r>
      <w:r w:rsidR="00CF4055" w:rsidRPr="00A81732">
        <w:rPr>
          <w:rFonts w:ascii="Arial" w:eastAsia="Times New Roman" w:hAnsi="Arial" w:cs="Arial"/>
          <w:sz w:val="24"/>
          <w:szCs w:val="24"/>
          <w:lang w:val="en-ZA" w:eastAsia="en-ZA"/>
        </w:rPr>
        <w:t>,</w:t>
      </w:r>
      <w:r w:rsidR="00302431" w:rsidRPr="00A81732">
        <w:rPr>
          <w:rFonts w:ascii="Arial" w:eastAsia="Times New Roman" w:hAnsi="Arial" w:cs="Arial"/>
          <w:sz w:val="24"/>
          <w:szCs w:val="24"/>
          <w:lang w:val="en-ZA" w:eastAsia="en-ZA"/>
        </w:rPr>
        <w:t xml:space="preserve"> </w:t>
      </w:r>
      <w:r w:rsidR="0047639B" w:rsidRPr="00A81732">
        <w:rPr>
          <w:rFonts w:ascii="Arial" w:eastAsia="Times New Roman" w:hAnsi="Arial" w:cs="Arial"/>
          <w:sz w:val="24"/>
          <w:szCs w:val="24"/>
          <w:lang w:val="en-ZA" w:eastAsia="en-ZA"/>
        </w:rPr>
        <w:t xml:space="preserve">the two functionaries </w:t>
      </w:r>
      <w:r w:rsidR="000A73B7" w:rsidRPr="00A81732">
        <w:rPr>
          <w:rFonts w:ascii="Arial" w:eastAsia="Times New Roman" w:hAnsi="Arial" w:cs="Arial"/>
          <w:sz w:val="24"/>
          <w:szCs w:val="24"/>
          <w:lang w:val="en-ZA" w:eastAsia="en-ZA"/>
        </w:rPr>
        <w:t>were</w:t>
      </w:r>
      <w:r w:rsidR="0047639B" w:rsidRPr="00A81732">
        <w:rPr>
          <w:rFonts w:ascii="Arial" w:eastAsia="Times New Roman" w:hAnsi="Arial" w:cs="Arial"/>
          <w:sz w:val="24"/>
          <w:szCs w:val="24"/>
          <w:lang w:val="en-ZA" w:eastAsia="en-ZA"/>
        </w:rPr>
        <w:t xml:space="preserve"> not entitled to any special treatment when it c</w:t>
      </w:r>
      <w:r w:rsidR="000A73B7" w:rsidRPr="00A81732">
        <w:rPr>
          <w:rFonts w:ascii="Arial" w:eastAsia="Times New Roman" w:hAnsi="Arial" w:cs="Arial"/>
          <w:sz w:val="24"/>
          <w:szCs w:val="24"/>
          <w:lang w:val="en-ZA" w:eastAsia="en-ZA"/>
        </w:rPr>
        <w:t>ame</w:t>
      </w:r>
      <w:r w:rsidR="0047639B" w:rsidRPr="00A81732">
        <w:rPr>
          <w:rFonts w:ascii="Arial" w:eastAsia="Times New Roman" w:hAnsi="Arial" w:cs="Arial"/>
          <w:sz w:val="24"/>
          <w:szCs w:val="24"/>
          <w:lang w:val="en-ZA" w:eastAsia="en-ZA"/>
        </w:rPr>
        <w:t xml:space="preserve"> to being required to produce documents required by litigants</w:t>
      </w:r>
      <w:r w:rsidR="006835C8" w:rsidRPr="00A81732">
        <w:rPr>
          <w:rFonts w:ascii="Arial" w:eastAsia="Times New Roman" w:hAnsi="Arial" w:cs="Arial"/>
          <w:sz w:val="24"/>
          <w:szCs w:val="24"/>
          <w:lang w:val="en-ZA" w:eastAsia="en-ZA"/>
        </w:rPr>
        <w:t xml:space="preserve"> – </w:t>
      </w:r>
      <w:r w:rsidR="0047639B" w:rsidRPr="00A81732">
        <w:rPr>
          <w:rFonts w:ascii="Arial" w:eastAsia="Times New Roman" w:hAnsi="Arial" w:cs="Arial"/>
          <w:sz w:val="24"/>
          <w:szCs w:val="24"/>
          <w:lang w:val="en-ZA" w:eastAsia="en-ZA"/>
        </w:rPr>
        <w:t xml:space="preserve">and that the claim they made to being granted </w:t>
      </w:r>
      <w:r w:rsidR="0047639B" w:rsidRPr="00A81732">
        <w:rPr>
          <w:rFonts w:ascii="Arial" w:eastAsia="Times New Roman" w:hAnsi="Arial" w:cs="Arial"/>
          <w:i/>
          <w:sz w:val="24"/>
          <w:szCs w:val="24"/>
          <w:lang w:val="en-ZA" w:eastAsia="en-ZA"/>
        </w:rPr>
        <w:t>audi</w:t>
      </w:r>
      <w:r w:rsidR="0047639B" w:rsidRPr="00A81732">
        <w:rPr>
          <w:rFonts w:ascii="Arial" w:eastAsia="Times New Roman" w:hAnsi="Arial" w:cs="Arial"/>
          <w:sz w:val="24"/>
          <w:szCs w:val="24"/>
          <w:lang w:val="en-ZA" w:eastAsia="en-ZA"/>
        </w:rPr>
        <w:t xml:space="preserve"> before the subpoenas were issued</w:t>
      </w:r>
      <w:r w:rsidR="00532B65" w:rsidRPr="00A81732">
        <w:rPr>
          <w:rFonts w:ascii="Arial" w:eastAsia="Times New Roman" w:hAnsi="Arial" w:cs="Arial"/>
          <w:sz w:val="24"/>
          <w:szCs w:val="24"/>
          <w:lang w:val="en-ZA" w:eastAsia="en-ZA"/>
        </w:rPr>
        <w:t>,</w:t>
      </w:r>
      <w:r w:rsidR="0047639B" w:rsidRPr="00A81732">
        <w:rPr>
          <w:rFonts w:ascii="Arial" w:eastAsia="Times New Roman" w:hAnsi="Arial" w:cs="Arial"/>
          <w:sz w:val="24"/>
          <w:szCs w:val="24"/>
          <w:lang w:val="en-ZA" w:eastAsia="en-ZA"/>
        </w:rPr>
        <w:t xml:space="preserve"> ha</w:t>
      </w:r>
      <w:r w:rsidR="000A73B7" w:rsidRPr="00A81732">
        <w:rPr>
          <w:rFonts w:ascii="Arial" w:eastAsia="Times New Roman" w:hAnsi="Arial" w:cs="Arial"/>
          <w:sz w:val="24"/>
          <w:szCs w:val="24"/>
          <w:lang w:val="en-ZA" w:eastAsia="en-ZA"/>
        </w:rPr>
        <w:t>d</w:t>
      </w:r>
      <w:r w:rsidR="0047639B" w:rsidRPr="00A81732">
        <w:rPr>
          <w:rFonts w:ascii="Arial" w:eastAsia="Times New Roman" w:hAnsi="Arial" w:cs="Arial"/>
          <w:sz w:val="24"/>
          <w:szCs w:val="24"/>
          <w:lang w:val="en-ZA" w:eastAsia="en-ZA"/>
        </w:rPr>
        <w:t xml:space="preserve"> no basis in law.</w:t>
      </w:r>
      <w:r w:rsidR="00302431" w:rsidRPr="00A81732">
        <w:rPr>
          <w:rFonts w:ascii="Arial" w:eastAsia="Times New Roman" w:hAnsi="Arial" w:cs="Arial"/>
          <w:sz w:val="24"/>
          <w:szCs w:val="24"/>
          <w:lang w:val="en-ZA" w:eastAsia="en-ZA"/>
        </w:rPr>
        <w:t xml:space="preserve"> </w:t>
      </w:r>
    </w:p>
    <w:p w14:paraId="0BFB51E6" w14:textId="77777777" w:rsidR="000A73B7" w:rsidRPr="00DA7CFC" w:rsidRDefault="000A73B7" w:rsidP="006D1C93">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6F24E8D" w14:textId="475DD08A" w:rsidR="007D4F1D"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[18]</w:t>
      </w:r>
      <w:r w:rsidRPr="00DA7CFC">
        <w:rPr>
          <w:rFonts w:ascii="Arial" w:eastAsia="Times New Roman" w:hAnsi="Arial" w:cs="Arial"/>
          <w:sz w:val="24"/>
          <w:szCs w:val="24"/>
          <w:lang w:val="en-ZA" w:eastAsia="en-ZA"/>
        </w:rPr>
        <w:tab/>
      </w:r>
      <w:r w:rsidR="00B4191C" w:rsidRPr="00A81732">
        <w:rPr>
          <w:rFonts w:ascii="Arial" w:eastAsia="Times New Roman" w:hAnsi="Arial" w:cs="Arial"/>
          <w:sz w:val="24"/>
          <w:szCs w:val="24"/>
          <w:lang w:val="en-ZA" w:eastAsia="en-ZA"/>
        </w:rPr>
        <w:t xml:space="preserve">Hollard also pleaded that </w:t>
      </w:r>
      <w:r w:rsidR="00FC04D8" w:rsidRPr="00A81732">
        <w:rPr>
          <w:rFonts w:ascii="Arial" w:eastAsia="Times New Roman" w:hAnsi="Arial" w:cs="Arial"/>
          <w:sz w:val="24"/>
          <w:szCs w:val="24"/>
          <w:lang w:val="en-ZA" w:eastAsia="en-ZA"/>
        </w:rPr>
        <w:t>the information it sought</w:t>
      </w:r>
      <w:r w:rsidR="00CD496F" w:rsidRPr="00A81732">
        <w:rPr>
          <w:rFonts w:ascii="Arial" w:eastAsia="Times New Roman" w:hAnsi="Arial" w:cs="Arial"/>
          <w:sz w:val="24"/>
          <w:szCs w:val="24"/>
          <w:lang w:val="en-ZA" w:eastAsia="en-ZA"/>
        </w:rPr>
        <w:t xml:space="preserve"> was </w:t>
      </w:r>
      <w:r w:rsidR="00B4191C" w:rsidRPr="00A81732">
        <w:rPr>
          <w:rFonts w:ascii="Arial" w:eastAsia="Times New Roman" w:hAnsi="Arial" w:cs="Arial"/>
          <w:sz w:val="24"/>
          <w:szCs w:val="24"/>
          <w:lang w:val="en-ZA" w:eastAsia="en-ZA"/>
        </w:rPr>
        <w:t xml:space="preserve">predicated on </w:t>
      </w:r>
      <w:r w:rsidR="00CD496F" w:rsidRPr="00A81732">
        <w:rPr>
          <w:rFonts w:ascii="Arial" w:eastAsia="Times New Roman" w:hAnsi="Arial" w:cs="Arial"/>
          <w:sz w:val="24"/>
          <w:szCs w:val="24"/>
          <w:lang w:val="en-ZA" w:eastAsia="en-ZA"/>
        </w:rPr>
        <w:t xml:space="preserve">its </w:t>
      </w:r>
      <w:r w:rsidR="00A42D44" w:rsidRPr="00A81732">
        <w:rPr>
          <w:rFonts w:ascii="Arial" w:eastAsia="Times New Roman" w:hAnsi="Arial" w:cs="Arial"/>
          <w:sz w:val="24"/>
          <w:szCs w:val="24"/>
          <w:lang w:val="en-ZA" w:eastAsia="en-ZA"/>
        </w:rPr>
        <w:t>Art</w:t>
      </w:r>
      <w:r w:rsidR="00CD496F" w:rsidRPr="00A81732">
        <w:rPr>
          <w:rFonts w:ascii="Arial" w:eastAsia="Times New Roman" w:hAnsi="Arial" w:cs="Arial"/>
          <w:sz w:val="24"/>
          <w:szCs w:val="24"/>
          <w:lang w:val="en-ZA" w:eastAsia="en-ZA"/>
        </w:rPr>
        <w:t xml:space="preserve"> </w:t>
      </w:r>
      <w:r w:rsidR="00FC04D8" w:rsidRPr="00A81732">
        <w:rPr>
          <w:rFonts w:ascii="Arial" w:eastAsia="Times New Roman" w:hAnsi="Arial" w:cs="Arial"/>
          <w:sz w:val="24"/>
          <w:szCs w:val="24"/>
          <w:lang w:val="en-ZA" w:eastAsia="en-ZA"/>
        </w:rPr>
        <w:t xml:space="preserve">12 </w:t>
      </w:r>
      <w:r w:rsidR="000A73B7" w:rsidRPr="00A81732">
        <w:rPr>
          <w:rFonts w:ascii="Arial" w:eastAsia="Times New Roman" w:hAnsi="Arial" w:cs="Arial"/>
          <w:sz w:val="24"/>
          <w:szCs w:val="24"/>
          <w:lang w:val="en-ZA" w:eastAsia="en-ZA"/>
        </w:rPr>
        <w:t>right</w:t>
      </w:r>
      <w:r w:rsidR="00B4191C" w:rsidRPr="00A81732">
        <w:rPr>
          <w:rFonts w:ascii="Arial" w:eastAsia="Times New Roman" w:hAnsi="Arial" w:cs="Arial"/>
          <w:sz w:val="24"/>
          <w:szCs w:val="24"/>
          <w:lang w:val="en-ZA" w:eastAsia="en-ZA"/>
        </w:rPr>
        <w:t xml:space="preserve"> to a fair trial and </w:t>
      </w:r>
      <w:r w:rsidR="00532B65" w:rsidRPr="00A81732">
        <w:rPr>
          <w:rFonts w:ascii="Arial" w:eastAsia="Times New Roman" w:hAnsi="Arial" w:cs="Arial"/>
          <w:sz w:val="24"/>
          <w:szCs w:val="24"/>
          <w:lang w:val="en-ZA" w:eastAsia="en-ZA"/>
        </w:rPr>
        <w:t xml:space="preserve">not sourced </w:t>
      </w:r>
      <w:r w:rsidR="007A3AC7" w:rsidRPr="00A81732">
        <w:rPr>
          <w:rFonts w:ascii="Arial" w:eastAsia="Times New Roman" w:hAnsi="Arial" w:cs="Arial"/>
          <w:sz w:val="24"/>
          <w:szCs w:val="24"/>
          <w:lang w:val="en-ZA" w:eastAsia="en-ZA"/>
        </w:rPr>
        <w:t>in th</w:t>
      </w:r>
      <w:r w:rsidR="00C35600" w:rsidRPr="00A81732">
        <w:rPr>
          <w:rFonts w:ascii="Arial" w:eastAsia="Times New Roman" w:hAnsi="Arial" w:cs="Arial"/>
          <w:sz w:val="24"/>
          <w:szCs w:val="24"/>
          <w:lang w:val="en-ZA" w:eastAsia="en-ZA"/>
        </w:rPr>
        <w:t>e rules of court and therefore r</w:t>
      </w:r>
      <w:r w:rsidR="007A3AC7" w:rsidRPr="00A81732">
        <w:rPr>
          <w:rFonts w:ascii="Arial" w:eastAsia="Times New Roman" w:hAnsi="Arial" w:cs="Arial"/>
          <w:sz w:val="24"/>
          <w:szCs w:val="24"/>
          <w:lang w:val="en-ZA" w:eastAsia="en-ZA"/>
        </w:rPr>
        <w:t>ules 37 and 65</w:t>
      </w:r>
      <w:r w:rsidR="00772FF2" w:rsidRPr="00A81732">
        <w:rPr>
          <w:rFonts w:ascii="Arial" w:eastAsia="Times New Roman" w:hAnsi="Arial" w:cs="Arial"/>
          <w:sz w:val="24"/>
          <w:szCs w:val="24"/>
          <w:lang w:val="en-ZA" w:eastAsia="en-ZA"/>
        </w:rPr>
        <w:t xml:space="preserve"> </w:t>
      </w:r>
      <w:r w:rsidR="007A3AC7" w:rsidRPr="00A81732">
        <w:rPr>
          <w:rFonts w:ascii="Arial" w:eastAsia="Times New Roman" w:hAnsi="Arial" w:cs="Arial"/>
          <w:sz w:val="24"/>
          <w:szCs w:val="24"/>
          <w:lang w:val="en-ZA" w:eastAsia="en-ZA"/>
        </w:rPr>
        <w:t xml:space="preserve">were irrelevant; </w:t>
      </w:r>
      <w:r w:rsidR="000A73B7" w:rsidRPr="00A81732">
        <w:rPr>
          <w:rFonts w:ascii="Arial" w:eastAsia="Times New Roman" w:hAnsi="Arial" w:cs="Arial"/>
          <w:sz w:val="24"/>
          <w:szCs w:val="24"/>
          <w:lang w:val="en-ZA" w:eastAsia="en-ZA"/>
        </w:rPr>
        <w:t>that as an outsider to C</w:t>
      </w:r>
      <w:r w:rsidR="00FC04D8" w:rsidRPr="00A81732">
        <w:rPr>
          <w:rFonts w:ascii="Arial" w:eastAsia="Times New Roman" w:hAnsi="Arial" w:cs="Arial"/>
          <w:sz w:val="24"/>
          <w:szCs w:val="24"/>
          <w:lang w:val="en-ZA" w:eastAsia="en-ZA"/>
        </w:rPr>
        <w:t>abinet</w:t>
      </w:r>
      <w:r w:rsidR="000A73B7" w:rsidRPr="00A81732">
        <w:rPr>
          <w:rFonts w:ascii="Arial" w:eastAsia="Times New Roman" w:hAnsi="Arial" w:cs="Arial"/>
          <w:sz w:val="24"/>
          <w:szCs w:val="24"/>
          <w:lang w:val="en-ZA" w:eastAsia="en-ZA"/>
        </w:rPr>
        <w:t xml:space="preserve"> deliberations</w:t>
      </w:r>
      <w:r w:rsidR="00FC04D8" w:rsidRPr="00A81732">
        <w:rPr>
          <w:rFonts w:ascii="Arial" w:eastAsia="Times New Roman" w:hAnsi="Arial" w:cs="Arial"/>
          <w:sz w:val="24"/>
          <w:szCs w:val="24"/>
          <w:lang w:val="en-ZA" w:eastAsia="en-ZA"/>
        </w:rPr>
        <w:t xml:space="preserve"> it had no access to the information; that the information in question concerns decisions </w:t>
      </w:r>
      <w:r w:rsidR="007A3AC7" w:rsidRPr="00A81732">
        <w:rPr>
          <w:rFonts w:ascii="Arial" w:eastAsia="Times New Roman" w:hAnsi="Arial" w:cs="Arial"/>
          <w:sz w:val="24"/>
          <w:szCs w:val="24"/>
          <w:lang w:val="en-ZA" w:eastAsia="en-ZA"/>
        </w:rPr>
        <w:t xml:space="preserve">made </w:t>
      </w:r>
      <w:r w:rsidR="00FC04D8" w:rsidRPr="00A81732">
        <w:rPr>
          <w:rFonts w:ascii="Arial" w:eastAsia="Times New Roman" w:hAnsi="Arial" w:cs="Arial"/>
          <w:sz w:val="24"/>
          <w:szCs w:val="24"/>
          <w:lang w:val="en-ZA" w:eastAsia="en-ZA"/>
        </w:rPr>
        <w:t>in the public int</w:t>
      </w:r>
      <w:r w:rsidR="0071473D" w:rsidRPr="00A81732">
        <w:rPr>
          <w:rFonts w:ascii="Arial" w:eastAsia="Times New Roman" w:hAnsi="Arial" w:cs="Arial"/>
          <w:sz w:val="24"/>
          <w:szCs w:val="24"/>
          <w:lang w:val="en-ZA" w:eastAsia="en-ZA"/>
        </w:rPr>
        <w:t>e</w:t>
      </w:r>
      <w:r w:rsidR="00FC04D8" w:rsidRPr="00A81732">
        <w:rPr>
          <w:rFonts w:ascii="Arial" w:eastAsia="Times New Roman" w:hAnsi="Arial" w:cs="Arial"/>
          <w:sz w:val="24"/>
          <w:szCs w:val="24"/>
          <w:lang w:val="en-ZA" w:eastAsia="en-ZA"/>
        </w:rPr>
        <w:t xml:space="preserve">rest and that all </w:t>
      </w:r>
      <w:r w:rsidR="007A3AC7" w:rsidRPr="00A81732">
        <w:rPr>
          <w:rFonts w:ascii="Arial" w:eastAsia="Times New Roman" w:hAnsi="Arial" w:cs="Arial"/>
          <w:sz w:val="24"/>
          <w:szCs w:val="24"/>
          <w:lang w:val="en-ZA" w:eastAsia="en-ZA"/>
        </w:rPr>
        <w:t xml:space="preserve">that </w:t>
      </w:r>
      <w:r w:rsidR="00FC04D8" w:rsidRPr="00A81732">
        <w:rPr>
          <w:rFonts w:ascii="Arial" w:eastAsia="Times New Roman" w:hAnsi="Arial" w:cs="Arial"/>
          <w:sz w:val="24"/>
          <w:szCs w:val="24"/>
          <w:lang w:val="en-ZA" w:eastAsia="en-ZA"/>
        </w:rPr>
        <w:t xml:space="preserve">the </w:t>
      </w:r>
      <w:r w:rsidR="00B4191C" w:rsidRPr="00A81732">
        <w:rPr>
          <w:rFonts w:ascii="Arial" w:eastAsia="Times New Roman" w:hAnsi="Arial" w:cs="Arial"/>
          <w:sz w:val="24"/>
          <w:szCs w:val="24"/>
          <w:lang w:val="en-ZA" w:eastAsia="en-ZA"/>
        </w:rPr>
        <w:t xml:space="preserve">A-G and the Cabinet Secretary </w:t>
      </w:r>
      <w:r w:rsidR="00FC04D8" w:rsidRPr="00A81732">
        <w:rPr>
          <w:rFonts w:ascii="Arial" w:eastAsia="Times New Roman" w:hAnsi="Arial" w:cs="Arial"/>
          <w:sz w:val="24"/>
          <w:szCs w:val="24"/>
          <w:lang w:val="en-ZA" w:eastAsia="en-ZA"/>
        </w:rPr>
        <w:t>needed</w:t>
      </w:r>
      <w:r w:rsidR="0071473D" w:rsidRPr="00A81732">
        <w:rPr>
          <w:rFonts w:ascii="Arial" w:eastAsia="Times New Roman" w:hAnsi="Arial" w:cs="Arial"/>
          <w:sz w:val="24"/>
          <w:szCs w:val="24"/>
          <w:lang w:val="en-ZA" w:eastAsia="en-ZA"/>
        </w:rPr>
        <w:t xml:space="preserve"> to do was to produce the information </w:t>
      </w:r>
      <w:r w:rsidR="007A3AC7" w:rsidRPr="00A81732">
        <w:rPr>
          <w:rFonts w:ascii="Arial" w:eastAsia="Times New Roman" w:hAnsi="Arial" w:cs="Arial"/>
          <w:sz w:val="24"/>
          <w:szCs w:val="24"/>
          <w:lang w:val="en-ZA" w:eastAsia="en-ZA"/>
        </w:rPr>
        <w:t xml:space="preserve">required </w:t>
      </w:r>
      <w:r w:rsidR="0071473D" w:rsidRPr="00A81732">
        <w:rPr>
          <w:rFonts w:ascii="Arial" w:eastAsia="Times New Roman" w:hAnsi="Arial" w:cs="Arial"/>
          <w:sz w:val="24"/>
          <w:szCs w:val="24"/>
          <w:lang w:val="en-ZA" w:eastAsia="en-ZA"/>
        </w:rPr>
        <w:t xml:space="preserve">and object to </w:t>
      </w:r>
      <w:r w:rsidR="00DF6BF0" w:rsidRPr="00A81732">
        <w:rPr>
          <w:rFonts w:ascii="Arial" w:eastAsia="Times New Roman" w:hAnsi="Arial" w:cs="Arial"/>
          <w:sz w:val="24"/>
          <w:szCs w:val="24"/>
          <w:lang w:val="en-ZA" w:eastAsia="en-ZA"/>
        </w:rPr>
        <w:t xml:space="preserve">the </w:t>
      </w:r>
      <w:r w:rsidR="0071473D" w:rsidRPr="00A81732">
        <w:rPr>
          <w:rFonts w:ascii="Arial" w:eastAsia="Times New Roman" w:hAnsi="Arial" w:cs="Arial"/>
          <w:sz w:val="24"/>
          <w:szCs w:val="24"/>
          <w:lang w:val="en-ZA" w:eastAsia="en-ZA"/>
        </w:rPr>
        <w:t>production of any of it on</w:t>
      </w:r>
      <w:r w:rsidR="004D70F6" w:rsidRPr="00A81732">
        <w:rPr>
          <w:rFonts w:ascii="Arial" w:eastAsia="Times New Roman" w:hAnsi="Arial" w:cs="Arial"/>
          <w:sz w:val="24"/>
          <w:szCs w:val="24"/>
          <w:lang w:val="en-ZA" w:eastAsia="en-ZA"/>
        </w:rPr>
        <w:t xml:space="preserve"> any valid </w:t>
      </w:r>
      <w:r w:rsidR="004D70F6" w:rsidRPr="00A81732">
        <w:rPr>
          <w:rFonts w:ascii="Arial" w:eastAsia="Times New Roman" w:hAnsi="Arial" w:cs="Arial"/>
          <w:sz w:val="24"/>
          <w:szCs w:val="24"/>
          <w:lang w:val="en-ZA" w:eastAsia="en-ZA"/>
        </w:rPr>
        <w:lastRenderedPageBreak/>
        <w:t>ground</w:t>
      </w:r>
      <w:r w:rsidR="00B4191C" w:rsidRPr="00A81732">
        <w:rPr>
          <w:rFonts w:ascii="Arial" w:eastAsia="Times New Roman" w:hAnsi="Arial" w:cs="Arial"/>
          <w:sz w:val="24"/>
          <w:szCs w:val="24"/>
          <w:lang w:val="en-ZA" w:eastAsia="en-ZA"/>
        </w:rPr>
        <w:t xml:space="preserve"> as </w:t>
      </w:r>
      <w:r w:rsidR="004D70F6" w:rsidRPr="00A81732">
        <w:rPr>
          <w:rFonts w:ascii="Arial" w:eastAsia="Times New Roman" w:hAnsi="Arial" w:cs="Arial"/>
          <w:sz w:val="24"/>
          <w:szCs w:val="24"/>
          <w:lang w:val="en-ZA" w:eastAsia="en-ZA"/>
        </w:rPr>
        <w:t xml:space="preserve">only the court could decide whether or not the information </w:t>
      </w:r>
      <w:r w:rsidR="007A3AC7" w:rsidRPr="00A81732">
        <w:rPr>
          <w:rFonts w:ascii="Arial" w:eastAsia="Times New Roman" w:hAnsi="Arial" w:cs="Arial"/>
          <w:sz w:val="24"/>
          <w:szCs w:val="24"/>
          <w:lang w:val="en-ZA" w:eastAsia="en-ZA"/>
        </w:rPr>
        <w:t xml:space="preserve">should </w:t>
      </w:r>
      <w:r w:rsidR="004D70F6" w:rsidRPr="00A81732">
        <w:rPr>
          <w:rFonts w:ascii="Arial" w:eastAsia="Times New Roman" w:hAnsi="Arial" w:cs="Arial"/>
          <w:sz w:val="24"/>
          <w:szCs w:val="24"/>
          <w:lang w:val="en-ZA" w:eastAsia="en-ZA"/>
        </w:rPr>
        <w:t>be suppressed.</w:t>
      </w:r>
    </w:p>
    <w:p w14:paraId="4443046D" w14:textId="77777777" w:rsidR="00FC1F21" w:rsidRPr="00DA7CFC" w:rsidRDefault="00FC1F21" w:rsidP="00F7300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A0D963F" w14:textId="6ECAE9ED" w:rsidR="00FC1F21" w:rsidRPr="00DA7CFC" w:rsidRDefault="006D1C93" w:rsidP="00F73004">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DA7CFC">
        <w:rPr>
          <w:rFonts w:ascii="Arial" w:eastAsia="Times New Roman" w:hAnsi="Arial" w:cs="Arial"/>
          <w:sz w:val="24"/>
          <w:szCs w:val="24"/>
          <w:u w:val="single"/>
          <w:lang w:val="en-ZA" w:eastAsia="en-ZA"/>
        </w:rPr>
        <w:t>The High Court</w:t>
      </w:r>
    </w:p>
    <w:p w14:paraId="494C402F" w14:textId="20A70426" w:rsidR="00890BC2"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[19]</w:t>
      </w:r>
      <w:r w:rsidRPr="00DA7CFC">
        <w:rPr>
          <w:rFonts w:ascii="Arial" w:eastAsia="Times New Roman" w:hAnsi="Arial" w:cs="Arial"/>
          <w:sz w:val="24"/>
          <w:szCs w:val="24"/>
          <w:lang w:val="en-ZA" w:eastAsia="en-ZA"/>
        </w:rPr>
        <w:tab/>
      </w:r>
      <w:r w:rsidR="00BA59BD" w:rsidRPr="00A81732">
        <w:rPr>
          <w:rFonts w:ascii="Arial" w:eastAsia="Times New Roman" w:hAnsi="Arial" w:cs="Arial"/>
          <w:sz w:val="24"/>
          <w:szCs w:val="24"/>
          <w:lang w:val="en-ZA" w:eastAsia="en-ZA"/>
        </w:rPr>
        <w:t xml:space="preserve">The High Court agreed with Hollard </w:t>
      </w:r>
      <w:r w:rsidR="007D4F1D" w:rsidRPr="00A81732">
        <w:rPr>
          <w:rFonts w:ascii="Arial" w:eastAsia="Times New Roman" w:hAnsi="Arial" w:cs="Arial"/>
          <w:sz w:val="24"/>
          <w:szCs w:val="24"/>
          <w:lang w:val="en-ZA" w:eastAsia="en-ZA"/>
        </w:rPr>
        <w:t xml:space="preserve">and dismissed the </w:t>
      </w:r>
      <w:r w:rsidR="00FF371A" w:rsidRPr="00A81732">
        <w:rPr>
          <w:rFonts w:ascii="Arial" w:eastAsia="Times New Roman" w:hAnsi="Arial" w:cs="Arial"/>
          <w:sz w:val="24"/>
          <w:szCs w:val="24"/>
          <w:lang w:val="en-ZA" w:eastAsia="en-ZA"/>
        </w:rPr>
        <w:t xml:space="preserve">rescission </w:t>
      </w:r>
      <w:r w:rsidR="00BA59BD" w:rsidRPr="00A81732">
        <w:rPr>
          <w:rFonts w:ascii="Arial" w:eastAsia="Times New Roman" w:hAnsi="Arial" w:cs="Arial"/>
          <w:sz w:val="24"/>
          <w:szCs w:val="24"/>
          <w:lang w:val="en-ZA" w:eastAsia="en-ZA"/>
        </w:rPr>
        <w:t>application</w:t>
      </w:r>
      <w:r w:rsidR="00FF371A" w:rsidRPr="00A81732">
        <w:rPr>
          <w:rFonts w:ascii="Arial" w:eastAsia="Times New Roman" w:hAnsi="Arial" w:cs="Arial"/>
          <w:sz w:val="24"/>
          <w:szCs w:val="24"/>
          <w:lang w:val="en-ZA" w:eastAsia="en-ZA"/>
        </w:rPr>
        <w:t>.</w:t>
      </w:r>
      <w:r w:rsidR="00BA59BD" w:rsidRPr="00A81732">
        <w:rPr>
          <w:rFonts w:ascii="Arial" w:eastAsia="Times New Roman" w:hAnsi="Arial" w:cs="Arial"/>
          <w:sz w:val="24"/>
          <w:szCs w:val="24"/>
          <w:lang w:val="en-ZA" w:eastAsia="en-ZA"/>
        </w:rPr>
        <w:t xml:space="preserve"> </w:t>
      </w:r>
      <w:r w:rsidR="007A3AC7" w:rsidRPr="00A81732">
        <w:rPr>
          <w:rFonts w:ascii="Arial" w:eastAsia="Times New Roman" w:hAnsi="Arial" w:cs="Arial"/>
          <w:sz w:val="24"/>
          <w:szCs w:val="24"/>
          <w:lang w:val="en-ZA" w:eastAsia="en-ZA"/>
        </w:rPr>
        <w:t>Hollard concede</w:t>
      </w:r>
      <w:r w:rsidR="006021EB" w:rsidRPr="00A81732">
        <w:rPr>
          <w:rFonts w:ascii="Arial" w:eastAsia="Times New Roman" w:hAnsi="Arial" w:cs="Arial"/>
          <w:sz w:val="24"/>
          <w:szCs w:val="24"/>
          <w:lang w:val="en-ZA" w:eastAsia="en-ZA"/>
        </w:rPr>
        <w:t>d</w:t>
      </w:r>
      <w:r w:rsidR="007A3AC7" w:rsidRPr="00A81732">
        <w:rPr>
          <w:rFonts w:ascii="Arial" w:eastAsia="Times New Roman" w:hAnsi="Arial" w:cs="Arial"/>
          <w:sz w:val="24"/>
          <w:szCs w:val="24"/>
          <w:lang w:val="en-ZA" w:eastAsia="en-ZA"/>
        </w:rPr>
        <w:t xml:space="preserve"> </w:t>
      </w:r>
      <w:r w:rsidR="00890BC2" w:rsidRPr="00A81732">
        <w:rPr>
          <w:rFonts w:ascii="Arial" w:eastAsia="Times New Roman" w:hAnsi="Arial" w:cs="Arial"/>
          <w:sz w:val="24"/>
          <w:szCs w:val="24"/>
          <w:lang w:val="en-ZA" w:eastAsia="en-ZA"/>
        </w:rPr>
        <w:t xml:space="preserve">on appeal that the High Court was made aware that the application in respect of the A-G was </w:t>
      </w:r>
      <w:r w:rsidR="006224DA" w:rsidRPr="00A81732">
        <w:rPr>
          <w:rFonts w:ascii="Arial" w:eastAsia="Times New Roman" w:hAnsi="Arial" w:cs="Arial"/>
          <w:sz w:val="24"/>
          <w:szCs w:val="24"/>
          <w:lang w:val="en-ZA" w:eastAsia="en-ZA"/>
        </w:rPr>
        <w:t>withdrawn</w:t>
      </w:r>
      <w:r w:rsidR="00890BC2" w:rsidRPr="00A81732">
        <w:rPr>
          <w:rFonts w:ascii="Arial" w:eastAsia="Times New Roman" w:hAnsi="Arial" w:cs="Arial"/>
          <w:sz w:val="24"/>
          <w:szCs w:val="24"/>
          <w:lang w:val="en-ZA" w:eastAsia="en-ZA"/>
        </w:rPr>
        <w:t xml:space="preserve"> and that the subpoena affecting the A-G ought to have been set aside</w:t>
      </w:r>
      <w:r w:rsidR="000A73B7" w:rsidRPr="00A81732">
        <w:rPr>
          <w:rFonts w:ascii="Arial" w:eastAsia="Times New Roman" w:hAnsi="Arial" w:cs="Arial"/>
          <w:sz w:val="24"/>
          <w:szCs w:val="24"/>
          <w:lang w:val="en-ZA" w:eastAsia="en-ZA"/>
        </w:rPr>
        <w:t>, but regrettably was not</w:t>
      </w:r>
      <w:r w:rsidR="00890BC2" w:rsidRPr="00A81732">
        <w:rPr>
          <w:rFonts w:ascii="Arial" w:eastAsia="Times New Roman" w:hAnsi="Arial" w:cs="Arial"/>
          <w:sz w:val="24"/>
          <w:szCs w:val="24"/>
          <w:lang w:val="en-ZA" w:eastAsia="en-ZA"/>
        </w:rPr>
        <w:t xml:space="preserve">. </w:t>
      </w:r>
      <w:r w:rsidR="001759B8" w:rsidRPr="00A81732">
        <w:rPr>
          <w:rFonts w:ascii="Arial" w:eastAsia="Times New Roman" w:hAnsi="Arial" w:cs="Arial"/>
          <w:sz w:val="24"/>
          <w:szCs w:val="24"/>
          <w:lang w:val="en-ZA" w:eastAsia="en-ZA"/>
        </w:rPr>
        <w:t xml:space="preserve">It follows that the subpoena </w:t>
      </w:r>
      <w:r w:rsidR="007A3AC7" w:rsidRPr="00A81732">
        <w:rPr>
          <w:rFonts w:ascii="Arial" w:eastAsia="Times New Roman" w:hAnsi="Arial" w:cs="Arial"/>
          <w:i/>
          <w:sz w:val="24"/>
          <w:szCs w:val="24"/>
          <w:lang w:val="en-ZA" w:eastAsia="en-ZA"/>
        </w:rPr>
        <w:t>duces tecum</w:t>
      </w:r>
      <w:r w:rsidR="007A3AC7" w:rsidRPr="00A81732">
        <w:rPr>
          <w:rFonts w:ascii="Arial" w:eastAsia="Times New Roman" w:hAnsi="Arial" w:cs="Arial"/>
          <w:sz w:val="24"/>
          <w:szCs w:val="24"/>
          <w:lang w:val="en-ZA" w:eastAsia="en-ZA"/>
        </w:rPr>
        <w:t xml:space="preserve"> </w:t>
      </w:r>
      <w:r w:rsidR="00003586" w:rsidRPr="00A81732">
        <w:rPr>
          <w:rFonts w:ascii="Arial" w:eastAsia="Times New Roman" w:hAnsi="Arial" w:cs="Arial"/>
          <w:sz w:val="24"/>
          <w:szCs w:val="24"/>
          <w:lang w:val="en-ZA" w:eastAsia="en-ZA"/>
        </w:rPr>
        <w:t>against the A-G should be set aside.</w:t>
      </w:r>
    </w:p>
    <w:p w14:paraId="32E33878" w14:textId="77777777" w:rsidR="00890BC2" w:rsidRPr="00DA7CFC" w:rsidRDefault="00890BC2" w:rsidP="00F7300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430D9DC" w14:textId="2F60015E" w:rsidR="00E2790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[20]</w:t>
      </w:r>
      <w:r w:rsidRPr="00DA7CFC">
        <w:rPr>
          <w:rFonts w:ascii="Arial" w:eastAsia="Times New Roman" w:hAnsi="Arial" w:cs="Arial"/>
          <w:sz w:val="24"/>
          <w:szCs w:val="24"/>
          <w:lang w:val="en-ZA" w:eastAsia="en-ZA"/>
        </w:rPr>
        <w:tab/>
      </w:r>
      <w:r w:rsidR="00890BC2" w:rsidRPr="00A81732">
        <w:rPr>
          <w:rFonts w:ascii="Arial" w:eastAsia="Times New Roman" w:hAnsi="Arial" w:cs="Arial"/>
          <w:sz w:val="24"/>
          <w:szCs w:val="24"/>
          <w:lang w:val="en-ZA" w:eastAsia="en-ZA"/>
        </w:rPr>
        <w:t xml:space="preserve">As concerns the Cabinet Secretary, not </w:t>
      </w:r>
      <w:r w:rsidR="00BA59BD" w:rsidRPr="00A81732">
        <w:rPr>
          <w:rFonts w:ascii="Arial" w:eastAsia="Times New Roman" w:hAnsi="Arial" w:cs="Arial"/>
          <w:sz w:val="24"/>
          <w:szCs w:val="24"/>
          <w:lang w:val="en-ZA" w:eastAsia="en-ZA"/>
        </w:rPr>
        <w:t xml:space="preserve">only did the High Court endorse Hollard’s propositions in </w:t>
      </w:r>
      <w:r w:rsidR="00890BC2" w:rsidRPr="00A81732">
        <w:rPr>
          <w:rFonts w:ascii="Arial" w:eastAsia="Times New Roman" w:hAnsi="Arial" w:cs="Arial"/>
          <w:sz w:val="24"/>
          <w:szCs w:val="24"/>
          <w:lang w:val="en-ZA" w:eastAsia="en-ZA"/>
        </w:rPr>
        <w:t xml:space="preserve">justification of the subpoena </w:t>
      </w:r>
      <w:r w:rsidR="00890BC2" w:rsidRPr="00A81732">
        <w:rPr>
          <w:rFonts w:ascii="Arial" w:eastAsia="Times New Roman" w:hAnsi="Arial" w:cs="Arial"/>
          <w:i/>
          <w:sz w:val="24"/>
          <w:szCs w:val="24"/>
          <w:lang w:val="en-ZA" w:eastAsia="en-ZA"/>
        </w:rPr>
        <w:t>duces tecum</w:t>
      </w:r>
      <w:r w:rsidR="00BA59BD" w:rsidRPr="00A81732">
        <w:rPr>
          <w:rFonts w:ascii="Arial" w:eastAsia="Times New Roman" w:hAnsi="Arial" w:cs="Arial"/>
          <w:sz w:val="24"/>
          <w:szCs w:val="24"/>
          <w:lang w:val="en-ZA" w:eastAsia="en-ZA"/>
        </w:rPr>
        <w:t xml:space="preserve">, </w:t>
      </w:r>
      <w:r w:rsidR="00890BC2" w:rsidRPr="00A81732">
        <w:rPr>
          <w:rFonts w:ascii="Arial" w:eastAsia="Times New Roman" w:hAnsi="Arial" w:cs="Arial"/>
          <w:sz w:val="24"/>
          <w:szCs w:val="24"/>
          <w:lang w:val="en-ZA" w:eastAsia="en-ZA"/>
        </w:rPr>
        <w:t xml:space="preserve">but </w:t>
      </w:r>
      <w:r w:rsidR="00BA59BD" w:rsidRPr="00A81732">
        <w:rPr>
          <w:rFonts w:ascii="Arial" w:eastAsia="Times New Roman" w:hAnsi="Arial" w:cs="Arial"/>
          <w:sz w:val="24"/>
          <w:szCs w:val="24"/>
          <w:lang w:val="en-ZA" w:eastAsia="en-ZA"/>
        </w:rPr>
        <w:t xml:space="preserve">it went further and </w:t>
      </w:r>
      <w:r w:rsidR="00890BC2" w:rsidRPr="00A81732">
        <w:rPr>
          <w:rFonts w:ascii="Arial" w:eastAsia="Times New Roman" w:hAnsi="Arial" w:cs="Arial"/>
          <w:sz w:val="24"/>
          <w:szCs w:val="24"/>
          <w:lang w:val="en-ZA" w:eastAsia="en-ZA"/>
        </w:rPr>
        <w:t>held that</w:t>
      </w:r>
      <w:r w:rsidR="00BA59BD" w:rsidRPr="00A81732">
        <w:rPr>
          <w:rFonts w:ascii="Arial" w:eastAsia="Times New Roman" w:hAnsi="Arial" w:cs="Arial"/>
          <w:sz w:val="24"/>
          <w:szCs w:val="24"/>
          <w:lang w:val="en-ZA" w:eastAsia="en-ZA"/>
        </w:rPr>
        <w:t xml:space="preserve"> the right to discovery</w:t>
      </w:r>
      <w:r w:rsidR="00DC1C6C" w:rsidRPr="00A81732">
        <w:rPr>
          <w:rFonts w:ascii="Arial" w:eastAsia="Times New Roman" w:hAnsi="Arial" w:cs="Arial"/>
          <w:sz w:val="24"/>
          <w:szCs w:val="24"/>
          <w:lang w:val="en-ZA" w:eastAsia="en-ZA"/>
        </w:rPr>
        <w:t xml:space="preserve"> (and I assume production of documents) </w:t>
      </w:r>
      <w:r w:rsidR="00BA59BD" w:rsidRPr="00A81732">
        <w:rPr>
          <w:rFonts w:ascii="Arial" w:eastAsia="Times New Roman" w:hAnsi="Arial" w:cs="Arial"/>
          <w:sz w:val="24"/>
          <w:szCs w:val="24"/>
          <w:lang w:val="en-ZA" w:eastAsia="en-ZA"/>
        </w:rPr>
        <w:t xml:space="preserve"> include</w:t>
      </w:r>
      <w:r w:rsidR="00890BC2" w:rsidRPr="00A81732">
        <w:rPr>
          <w:rFonts w:ascii="Arial" w:eastAsia="Times New Roman" w:hAnsi="Arial" w:cs="Arial"/>
          <w:sz w:val="24"/>
          <w:szCs w:val="24"/>
          <w:lang w:val="en-ZA" w:eastAsia="en-ZA"/>
        </w:rPr>
        <w:t>s</w:t>
      </w:r>
      <w:r w:rsidR="00BA59BD" w:rsidRPr="00A81732">
        <w:rPr>
          <w:rFonts w:ascii="Arial" w:eastAsia="Times New Roman" w:hAnsi="Arial" w:cs="Arial"/>
          <w:sz w:val="24"/>
          <w:szCs w:val="24"/>
          <w:lang w:val="en-ZA" w:eastAsia="en-ZA"/>
        </w:rPr>
        <w:t xml:space="preserve"> pr</w:t>
      </w:r>
      <w:r w:rsidR="009C7A8A" w:rsidRPr="00A81732">
        <w:rPr>
          <w:rFonts w:ascii="Arial" w:eastAsia="Times New Roman" w:hAnsi="Arial" w:cs="Arial"/>
          <w:sz w:val="24"/>
          <w:szCs w:val="24"/>
          <w:lang w:val="en-ZA" w:eastAsia="en-ZA"/>
        </w:rPr>
        <w:t>e-</w:t>
      </w:r>
      <w:r w:rsidR="00BA59BD" w:rsidRPr="00A81732">
        <w:rPr>
          <w:rFonts w:ascii="Arial" w:eastAsia="Times New Roman" w:hAnsi="Arial" w:cs="Arial"/>
          <w:sz w:val="24"/>
          <w:szCs w:val="24"/>
          <w:lang w:val="en-ZA" w:eastAsia="en-ZA"/>
        </w:rPr>
        <w:t>litigation discovery</w:t>
      </w:r>
      <w:r w:rsidR="009C7A8A" w:rsidRPr="00A81732">
        <w:rPr>
          <w:rFonts w:ascii="Arial" w:eastAsia="Times New Roman" w:hAnsi="Arial" w:cs="Arial"/>
          <w:sz w:val="24"/>
          <w:szCs w:val="24"/>
          <w:lang w:val="en-ZA" w:eastAsia="en-ZA"/>
        </w:rPr>
        <w:t>.</w:t>
      </w:r>
      <w:r w:rsidR="00BA59BD" w:rsidRPr="00A81732">
        <w:rPr>
          <w:rFonts w:ascii="Arial" w:eastAsia="Times New Roman" w:hAnsi="Arial" w:cs="Arial"/>
          <w:sz w:val="24"/>
          <w:szCs w:val="24"/>
          <w:lang w:val="en-ZA" w:eastAsia="en-ZA"/>
        </w:rPr>
        <w:t xml:space="preserve"> In other wor</w:t>
      </w:r>
      <w:r w:rsidR="009C7A8A" w:rsidRPr="00A81732">
        <w:rPr>
          <w:rFonts w:ascii="Arial" w:eastAsia="Times New Roman" w:hAnsi="Arial" w:cs="Arial"/>
          <w:sz w:val="24"/>
          <w:szCs w:val="24"/>
          <w:lang w:val="en-ZA" w:eastAsia="en-ZA"/>
        </w:rPr>
        <w:t xml:space="preserve">ds, that </w:t>
      </w:r>
      <w:r w:rsidR="00A42D44" w:rsidRPr="00A81732">
        <w:rPr>
          <w:rFonts w:ascii="Arial" w:eastAsia="Times New Roman" w:hAnsi="Arial" w:cs="Arial"/>
          <w:sz w:val="24"/>
          <w:szCs w:val="24"/>
          <w:lang w:val="en-ZA" w:eastAsia="en-ZA"/>
        </w:rPr>
        <w:t>Art</w:t>
      </w:r>
      <w:r w:rsidR="00890BC2" w:rsidRPr="00A81732">
        <w:rPr>
          <w:rFonts w:ascii="Arial" w:eastAsia="Times New Roman" w:hAnsi="Arial" w:cs="Arial"/>
          <w:sz w:val="24"/>
          <w:szCs w:val="24"/>
          <w:lang w:val="en-ZA" w:eastAsia="en-ZA"/>
        </w:rPr>
        <w:t xml:space="preserve"> </w:t>
      </w:r>
      <w:r w:rsidR="00495DDF" w:rsidRPr="00A81732">
        <w:rPr>
          <w:rFonts w:ascii="Arial" w:eastAsia="Times New Roman" w:hAnsi="Arial" w:cs="Arial"/>
          <w:sz w:val="24"/>
          <w:szCs w:val="24"/>
          <w:lang w:val="en-ZA" w:eastAsia="en-ZA"/>
        </w:rPr>
        <w:t>12(1)</w:t>
      </w:r>
      <w:r w:rsidR="009C7A8A" w:rsidRPr="00A81732">
        <w:rPr>
          <w:rFonts w:ascii="Arial" w:eastAsia="Times New Roman" w:hAnsi="Arial" w:cs="Arial"/>
          <w:sz w:val="24"/>
          <w:szCs w:val="24"/>
          <w:lang w:val="en-ZA" w:eastAsia="en-ZA"/>
        </w:rPr>
        <w:t>(e) of the C</w:t>
      </w:r>
      <w:r w:rsidR="00BA59BD" w:rsidRPr="00A81732">
        <w:rPr>
          <w:rFonts w:ascii="Arial" w:eastAsia="Times New Roman" w:hAnsi="Arial" w:cs="Arial"/>
          <w:sz w:val="24"/>
          <w:szCs w:val="24"/>
          <w:lang w:val="en-ZA" w:eastAsia="en-ZA"/>
        </w:rPr>
        <w:t>onstitution guarantees the right to seek discovery from anyone who may possess relevant evidence for the purpose of instituting or def</w:t>
      </w:r>
      <w:r w:rsidR="009C7A8A" w:rsidRPr="00A81732">
        <w:rPr>
          <w:rFonts w:ascii="Arial" w:eastAsia="Times New Roman" w:hAnsi="Arial" w:cs="Arial"/>
          <w:sz w:val="24"/>
          <w:szCs w:val="24"/>
          <w:lang w:val="en-ZA" w:eastAsia="en-ZA"/>
        </w:rPr>
        <w:t>ending</w:t>
      </w:r>
      <w:r w:rsidR="00BA59BD" w:rsidRPr="00A81732">
        <w:rPr>
          <w:rFonts w:ascii="Arial" w:eastAsia="Times New Roman" w:hAnsi="Arial" w:cs="Arial"/>
          <w:sz w:val="24"/>
          <w:szCs w:val="24"/>
          <w:lang w:val="en-ZA" w:eastAsia="en-ZA"/>
        </w:rPr>
        <w:t xml:space="preserve"> legal proceedings.</w:t>
      </w:r>
      <w:r w:rsidR="00890BC2" w:rsidRPr="00A81732">
        <w:rPr>
          <w:rFonts w:ascii="Arial" w:eastAsia="Times New Roman" w:hAnsi="Arial" w:cs="Arial"/>
          <w:sz w:val="24"/>
          <w:szCs w:val="24"/>
          <w:lang w:val="en-ZA" w:eastAsia="en-ZA"/>
        </w:rPr>
        <w:t xml:space="preserve"> The High Court rejected the reliance on secrecy of Cabinet decisions and was satisfied that the subpoena</w:t>
      </w:r>
      <w:r w:rsidR="00D6361B" w:rsidRPr="00A81732">
        <w:rPr>
          <w:rFonts w:ascii="Arial" w:eastAsia="Times New Roman" w:hAnsi="Arial" w:cs="Arial"/>
          <w:sz w:val="24"/>
          <w:szCs w:val="24"/>
          <w:lang w:val="en-ZA" w:eastAsia="en-ZA"/>
        </w:rPr>
        <w:t xml:space="preserve">s </w:t>
      </w:r>
      <w:r w:rsidR="00890BC2" w:rsidRPr="00A81732">
        <w:rPr>
          <w:rFonts w:ascii="Arial" w:eastAsia="Times New Roman" w:hAnsi="Arial" w:cs="Arial"/>
          <w:sz w:val="24"/>
          <w:szCs w:val="24"/>
          <w:lang w:val="en-ZA" w:eastAsia="en-ZA"/>
        </w:rPr>
        <w:t>w</w:t>
      </w:r>
      <w:r w:rsidR="00D6361B" w:rsidRPr="00A81732">
        <w:rPr>
          <w:rFonts w:ascii="Arial" w:eastAsia="Times New Roman" w:hAnsi="Arial" w:cs="Arial"/>
          <w:sz w:val="24"/>
          <w:szCs w:val="24"/>
          <w:lang w:val="en-ZA" w:eastAsia="en-ZA"/>
        </w:rPr>
        <w:t>ere</w:t>
      </w:r>
      <w:r w:rsidR="00890BC2" w:rsidRPr="00A81732">
        <w:rPr>
          <w:rFonts w:ascii="Arial" w:eastAsia="Times New Roman" w:hAnsi="Arial" w:cs="Arial"/>
          <w:sz w:val="24"/>
          <w:szCs w:val="24"/>
          <w:lang w:val="en-ZA" w:eastAsia="en-ZA"/>
        </w:rPr>
        <w:t xml:space="preserve"> intelligible and </w:t>
      </w:r>
      <w:r w:rsidR="007A3AC7" w:rsidRPr="00A81732">
        <w:rPr>
          <w:rFonts w:ascii="Arial" w:eastAsia="Times New Roman" w:hAnsi="Arial" w:cs="Arial"/>
          <w:sz w:val="24"/>
          <w:szCs w:val="24"/>
          <w:lang w:val="en-ZA" w:eastAsia="en-ZA"/>
        </w:rPr>
        <w:t>that t</w:t>
      </w:r>
      <w:r w:rsidR="00D6361B" w:rsidRPr="00A81732">
        <w:rPr>
          <w:rFonts w:ascii="Arial" w:eastAsia="Times New Roman" w:hAnsi="Arial" w:cs="Arial"/>
          <w:sz w:val="24"/>
          <w:szCs w:val="24"/>
          <w:lang w:val="en-ZA" w:eastAsia="en-ZA"/>
        </w:rPr>
        <w:t>hey</w:t>
      </w:r>
      <w:r w:rsidR="007A3AC7" w:rsidRPr="00A81732">
        <w:rPr>
          <w:rFonts w:ascii="Arial" w:eastAsia="Times New Roman" w:hAnsi="Arial" w:cs="Arial"/>
          <w:sz w:val="24"/>
          <w:szCs w:val="24"/>
          <w:lang w:val="en-ZA" w:eastAsia="en-ZA"/>
        </w:rPr>
        <w:t xml:space="preserve"> </w:t>
      </w:r>
      <w:r w:rsidR="00890BC2" w:rsidRPr="00A81732">
        <w:rPr>
          <w:rFonts w:ascii="Arial" w:eastAsia="Times New Roman" w:hAnsi="Arial" w:cs="Arial"/>
          <w:sz w:val="24"/>
          <w:szCs w:val="24"/>
          <w:lang w:val="en-ZA" w:eastAsia="en-ZA"/>
        </w:rPr>
        <w:t>sufficiently</w:t>
      </w:r>
      <w:r w:rsidR="00D6361B" w:rsidRPr="00A81732">
        <w:rPr>
          <w:rFonts w:ascii="Arial" w:eastAsia="Times New Roman" w:hAnsi="Arial" w:cs="Arial"/>
          <w:sz w:val="24"/>
          <w:szCs w:val="24"/>
          <w:lang w:val="en-ZA" w:eastAsia="en-ZA"/>
        </w:rPr>
        <w:t xml:space="preserve"> and </w:t>
      </w:r>
      <w:r w:rsidR="00890BC2" w:rsidRPr="00A81732">
        <w:rPr>
          <w:rFonts w:ascii="Arial" w:eastAsia="Times New Roman" w:hAnsi="Arial" w:cs="Arial"/>
          <w:sz w:val="24"/>
          <w:szCs w:val="24"/>
          <w:lang w:val="en-ZA" w:eastAsia="en-ZA"/>
        </w:rPr>
        <w:t>clearly identified the documents that were required by Hollard</w:t>
      </w:r>
      <w:r w:rsidR="007A3AC7" w:rsidRPr="00A81732">
        <w:rPr>
          <w:rFonts w:ascii="Arial" w:eastAsia="Times New Roman" w:hAnsi="Arial" w:cs="Arial"/>
          <w:sz w:val="24"/>
          <w:szCs w:val="24"/>
          <w:lang w:val="en-ZA" w:eastAsia="en-ZA"/>
        </w:rPr>
        <w:t xml:space="preserve"> from the Cabinet Secretary</w:t>
      </w:r>
      <w:r w:rsidR="00890BC2" w:rsidRPr="00A81732">
        <w:rPr>
          <w:rFonts w:ascii="Arial" w:eastAsia="Times New Roman" w:hAnsi="Arial" w:cs="Arial"/>
          <w:sz w:val="24"/>
          <w:szCs w:val="24"/>
          <w:lang w:val="en-ZA" w:eastAsia="en-ZA"/>
        </w:rPr>
        <w:t xml:space="preserve">. </w:t>
      </w:r>
    </w:p>
    <w:p w14:paraId="01DFF6D5" w14:textId="77777777" w:rsidR="00C41406" w:rsidRPr="00DA7CFC" w:rsidRDefault="00C41406" w:rsidP="00196634">
      <w:pPr>
        <w:rPr>
          <w:rFonts w:ascii="Arial" w:eastAsia="Times New Roman" w:hAnsi="Arial" w:cs="Arial"/>
          <w:sz w:val="24"/>
          <w:szCs w:val="24"/>
          <w:u w:val="single"/>
          <w:lang w:val="en-ZA" w:eastAsia="en-ZA"/>
        </w:rPr>
      </w:pPr>
    </w:p>
    <w:p w14:paraId="5C49AC08" w14:textId="69B964B1" w:rsidR="003A01A3"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[21]</w:t>
      </w:r>
      <w:r>
        <w:rPr>
          <w:rFonts w:ascii="Arial" w:eastAsia="Times New Roman" w:hAnsi="Arial" w:cs="Arial"/>
          <w:sz w:val="24"/>
          <w:szCs w:val="24"/>
          <w:lang w:val="en-ZA" w:eastAsia="en-ZA"/>
        </w:rPr>
        <w:tab/>
      </w:r>
      <w:r w:rsidR="00BC2778" w:rsidRPr="00A81732">
        <w:rPr>
          <w:rFonts w:ascii="Arial" w:eastAsia="Times New Roman" w:hAnsi="Arial" w:cs="Arial"/>
          <w:sz w:val="24"/>
          <w:szCs w:val="24"/>
          <w:lang w:val="en-ZA" w:eastAsia="en-ZA"/>
        </w:rPr>
        <w:t xml:space="preserve">The learned judge </w:t>
      </w:r>
      <w:r w:rsidR="00BC2778" w:rsidRPr="00A81732">
        <w:rPr>
          <w:rFonts w:ascii="Arial" w:eastAsia="Times New Roman" w:hAnsi="Arial" w:cs="Arial"/>
          <w:i/>
          <w:sz w:val="24"/>
          <w:szCs w:val="24"/>
          <w:lang w:val="en-ZA" w:eastAsia="en-ZA"/>
        </w:rPr>
        <w:t>a quo</w:t>
      </w:r>
      <w:r w:rsidR="00BC2778" w:rsidRPr="00A81732">
        <w:rPr>
          <w:rFonts w:ascii="Arial" w:eastAsia="Times New Roman" w:hAnsi="Arial" w:cs="Arial"/>
          <w:sz w:val="24"/>
          <w:szCs w:val="24"/>
          <w:lang w:val="en-ZA" w:eastAsia="en-ZA"/>
        </w:rPr>
        <w:t xml:space="preserve"> took the view that ‘in appropriate circumstances’ the court would be entitled ‘to peer behind the veil of secrecy and demand disclosure of documents, minutes and decisions made by Cabinet’. Relying on a </w:t>
      </w:r>
      <w:r w:rsidR="00D4069F" w:rsidRPr="00A81732">
        <w:rPr>
          <w:rFonts w:ascii="Arial" w:eastAsia="Times New Roman" w:hAnsi="Arial" w:cs="Arial"/>
          <w:sz w:val="24"/>
          <w:szCs w:val="24"/>
          <w:lang w:val="en-ZA" w:eastAsia="en-ZA"/>
        </w:rPr>
        <w:t>d</w:t>
      </w:r>
      <w:r w:rsidR="006E52AF" w:rsidRPr="00A81732">
        <w:rPr>
          <w:rFonts w:ascii="Arial" w:eastAsia="Times New Roman" w:hAnsi="Arial" w:cs="Arial"/>
          <w:sz w:val="24"/>
          <w:szCs w:val="24"/>
          <w:lang w:val="en-ZA" w:eastAsia="en-ZA"/>
        </w:rPr>
        <w:t xml:space="preserve">ecision </w:t>
      </w:r>
      <w:r w:rsidR="00BC2778" w:rsidRPr="00A81732">
        <w:rPr>
          <w:rFonts w:ascii="Arial" w:eastAsia="Times New Roman" w:hAnsi="Arial" w:cs="Arial"/>
          <w:sz w:val="24"/>
          <w:szCs w:val="24"/>
          <w:lang w:val="en-ZA" w:eastAsia="en-ZA"/>
        </w:rPr>
        <w:t xml:space="preserve">of this </w:t>
      </w:r>
      <w:r w:rsidR="00D4069F" w:rsidRPr="00A81732">
        <w:rPr>
          <w:rFonts w:ascii="Arial" w:eastAsia="Times New Roman" w:hAnsi="Arial" w:cs="Arial"/>
          <w:sz w:val="24"/>
          <w:szCs w:val="24"/>
          <w:lang w:val="en-ZA" w:eastAsia="en-ZA"/>
        </w:rPr>
        <w:t xml:space="preserve">court in </w:t>
      </w:r>
      <w:r w:rsidR="00D4069F" w:rsidRPr="00A81732">
        <w:rPr>
          <w:rFonts w:ascii="Arial" w:eastAsia="Times New Roman" w:hAnsi="Arial" w:cs="Arial"/>
          <w:i/>
          <w:sz w:val="24"/>
          <w:szCs w:val="24"/>
          <w:lang w:val="en-ZA" w:eastAsia="en-ZA"/>
        </w:rPr>
        <w:t>D</w:t>
      </w:r>
      <w:r w:rsidR="0085378D" w:rsidRPr="00A81732">
        <w:rPr>
          <w:rFonts w:ascii="Arial" w:eastAsia="Times New Roman" w:hAnsi="Arial" w:cs="Arial"/>
          <w:i/>
          <w:sz w:val="24"/>
          <w:szCs w:val="24"/>
          <w:lang w:val="en-ZA" w:eastAsia="en-ZA"/>
        </w:rPr>
        <w:t>irector-</w:t>
      </w:r>
      <w:r w:rsidR="00D4069F" w:rsidRPr="00A81732">
        <w:rPr>
          <w:rFonts w:ascii="Arial" w:eastAsia="Times New Roman" w:hAnsi="Arial" w:cs="Arial"/>
          <w:i/>
          <w:sz w:val="24"/>
          <w:szCs w:val="24"/>
          <w:lang w:val="en-ZA" w:eastAsia="en-ZA"/>
        </w:rPr>
        <w:t>G</w:t>
      </w:r>
      <w:r w:rsidR="0085378D" w:rsidRPr="00A81732">
        <w:rPr>
          <w:rFonts w:ascii="Arial" w:eastAsia="Times New Roman" w:hAnsi="Arial" w:cs="Arial"/>
          <w:i/>
          <w:sz w:val="24"/>
          <w:szCs w:val="24"/>
          <w:lang w:val="en-ZA" w:eastAsia="en-ZA"/>
        </w:rPr>
        <w:t>eneral of the</w:t>
      </w:r>
      <w:r w:rsidR="00D4069F" w:rsidRPr="00A81732">
        <w:rPr>
          <w:rFonts w:ascii="Arial" w:eastAsia="Times New Roman" w:hAnsi="Arial" w:cs="Arial"/>
          <w:i/>
          <w:sz w:val="24"/>
          <w:szCs w:val="24"/>
          <w:lang w:val="en-ZA" w:eastAsia="en-ZA"/>
        </w:rPr>
        <w:t xml:space="preserve"> Namibian Central Intelligence Service v Haufiku </w:t>
      </w:r>
      <w:r w:rsidR="0085378D" w:rsidRPr="00A81732">
        <w:rPr>
          <w:rFonts w:ascii="Arial" w:eastAsia="Times New Roman" w:hAnsi="Arial" w:cs="Arial"/>
          <w:i/>
          <w:sz w:val="24"/>
          <w:szCs w:val="24"/>
          <w:lang w:val="en-ZA" w:eastAsia="en-ZA"/>
        </w:rPr>
        <w:t>&amp;</w:t>
      </w:r>
      <w:r w:rsidR="00D4069F" w:rsidRPr="00A81732">
        <w:rPr>
          <w:rFonts w:ascii="Arial" w:eastAsia="Times New Roman" w:hAnsi="Arial" w:cs="Arial"/>
          <w:i/>
          <w:sz w:val="24"/>
          <w:szCs w:val="24"/>
          <w:lang w:val="en-ZA" w:eastAsia="en-ZA"/>
        </w:rPr>
        <w:t xml:space="preserve"> others</w:t>
      </w:r>
      <w:r w:rsidR="00D4069F" w:rsidRPr="00A81732">
        <w:rPr>
          <w:rFonts w:ascii="Arial" w:eastAsia="Times New Roman" w:hAnsi="Arial" w:cs="Arial"/>
          <w:sz w:val="24"/>
          <w:szCs w:val="24"/>
          <w:lang w:val="en-ZA" w:eastAsia="en-ZA"/>
        </w:rPr>
        <w:t xml:space="preserve"> </w:t>
      </w:r>
      <w:r w:rsidR="00D4069F" w:rsidRPr="00DA7CFC">
        <w:rPr>
          <w:rStyle w:val="FootnoteReference"/>
          <w:rFonts w:ascii="Arial" w:eastAsia="Times New Roman" w:hAnsi="Arial" w:cs="Arial"/>
          <w:sz w:val="24"/>
          <w:szCs w:val="24"/>
          <w:lang w:val="en-ZA" w:eastAsia="en-ZA"/>
        </w:rPr>
        <w:footnoteReference w:id="2"/>
      </w:r>
      <w:r w:rsidR="00D4069F" w:rsidRPr="00A81732">
        <w:rPr>
          <w:rFonts w:ascii="Arial" w:eastAsia="Times New Roman" w:hAnsi="Arial" w:cs="Arial"/>
          <w:sz w:val="24"/>
          <w:szCs w:val="24"/>
          <w:lang w:val="en-ZA" w:eastAsia="en-ZA"/>
        </w:rPr>
        <w:t xml:space="preserve"> the High Court reasoned that secrecy of documents, which would . . . include </w:t>
      </w:r>
      <w:r w:rsidR="008B28FB" w:rsidRPr="00A81732">
        <w:rPr>
          <w:rFonts w:ascii="Arial" w:eastAsia="Times New Roman" w:hAnsi="Arial" w:cs="Arial"/>
          <w:sz w:val="24"/>
          <w:szCs w:val="24"/>
          <w:lang w:val="en-ZA" w:eastAsia="en-ZA"/>
        </w:rPr>
        <w:lastRenderedPageBreak/>
        <w:t>confidentiality, cannot be invok</w:t>
      </w:r>
      <w:r w:rsidR="00D4069F" w:rsidRPr="00A81732">
        <w:rPr>
          <w:rFonts w:ascii="Arial" w:eastAsia="Times New Roman" w:hAnsi="Arial" w:cs="Arial"/>
          <w:sz w:val="24"/>
          <w:szCs w:val="24"/>
          <w:lang w:val="en-ZA" w:eastAsia="en-ZA"/>
        </w:rPr>
        <w:t xml:space="preserve">ed by the Government, </w:t>
      </w:r>
      <w:r w:rsidR="003B20CD" w:rsidRPr="00A81732">
        <w:rPr>
          <w:rFonts w:ascii="Arial" w:eastAsia="Times New Roman" w:hAnsi="Arial" w:cs="Arial"/>
          <w:sz w:val="24"/>
          <w:szCs w:val="24"/>
          <w:lang w:val="en-ZA" w:eastAsia="en-ZA"/>
        </w:rPr>
        <w:t>willy-</w:t>
      </w:r>
      <w:r w:rsidR="004A4954" w:rsidRPr="00A81732">
        <w:rPr>
          <w:rFonts w:ascii="Arial" w:eastAsia="Times New Roman" w:hAnsi="Arial" w:cs="Arial"/>
          <w:sz w:val="24"/>
          <w:szCs w:val="24"/>
          <w:lang w:val="en-ZA" w:eastAsia="en-ZA"/>
        </w:rPr>
        <w:t>n</w:t>
      </w:r>
      <w:r w:rsidR="003B20CD" w:rsidRPr="00A81732">
        <w:rPr>
          <w:rFonts w:ascii="Arial" w:eastAsia="Times New Roman" w:hAnsi="Arial" w:cs="Arial"/>
          <w:sz w:val="24"/>
          <w:szCs w:val="24"/>
          <w:lang w:val="en-ZA" w:eastAsia="en-ZA"/>
        </w:rPr>
        <w:t>illy</w:t>
      </w:r>
      <w:r w:rsidR="00D4069F" w:rsidRPr="00A81732">
        <w:rPr>
          <w:rFonts w:ascii="Arial" w:eastAsia="Times New Roman" w:hAnsi="Arial" w:cs="Arial"/>
          <w:sz w:val="24"/>
          <w:szCs w:val="24"/>
          <w:lang w:val="en-ZA" w:eastAsia="en-ZA"/>
        </w:rPr>
        <w:t>’ and that a ‘proper case m</w:t>
      </w:r>
      <w:r w:rsidR="006E52AF" w:rsidRPr="00A81732">
        <w:rPr>
          <w:rFonts w:ascii="Arial" w:eastAsia="Times New Roman" w:hAnsi="Arial" w:cs="Arial"/>
          <w:sz w:val="24"/>
          <w:szCs w:val="24"/>
          <w:lang w:val="en-ZA" w:eastAsia="en-ZA"/>
        </w:rPr>
        <w:t>ust</w:t>
      </w:r>
      <w:r w:rsidR="00D4069F" w:rsidRPr="00A81732">
        <w:rPr>
          <w:rFonts w:ascii="Arial" w:eastAsia="Times New Roman" w:hAnsi="Arial" w:cs="Arial"/>
          <w:sz w:val="24"/>
          <w:szCs w:val="24"/>
          <w:lang w:val="en-ZA" w:eastAsia="en-ZA"/>
        </w:rPr>
        <w:t xml:space="preserve"> be made for the invocation of either and to the satisfaction of the court’. In that endeavour, the court will ‘lea</w:t>
      </w:r>
      <w:r w:rsidR="004A4954" w:rsidRPr="00A81732">
        <w:rPr>
          <w:rFonts w:ascii="Arial" w:eastAsia="Times New Roman" w:hAnsi="Arial" w:cs="Arial"/>
          <w:sz w:val="24"/>
          <w:szCs w:val="24"/>
          <w:lang w:val="en-ZA" w:eastAsia="en-ZA"/>
        </w:rPr>
        <w:t>n</w:t>
      </w:r>
      <w:r w:rsidR="00D4069F" w:rsidRPr="00A81732">
        <w:rPr>
          <w:rFonts w:ascii="Arial" w:eastAsia="Times New Roman" w:hAnsi="Arial" w:cs="Arial"/>
          <w:sz w:val="24"/>
          <w:szCs w:val="24"/>
          <w:lang w:val="en-ZA" w:eastAsia="en-ZA"/>
        </w:rPr>
        <w:t xml:space="preserve"> in favour of upholding fundamental rights and freedoms </w:t>
      </w:r>
      <w:r w:rsidR="00233F3D" w:rsidRPr="00A81732">
        <w:rPr>
          <w:rFonts w:ascii="Arial" w:eastAsia="Times New Roman" w:hAnsi="Arial" w:cs="Arial"/>
          <w:sz w:val="24"/>
          <w:szCs w:val="24"/>
          <w:lang w:val="en-ZA" w:eastAsia="en-ZA"/>
        </w:rPr>
        <w:t>enshrined in the Constitution’.</w:t>
      </w:r>
    </w:p>
    <w:p w14:paraId="268E2169" w14:textId="77777777" w:rsidR="00233F3D" w:rsidRPr="00233F3D" w:rsidRDefault="00233F3D" w:rsidP="00233F3D">
      <w:pPr>
        <w:pStyle w:val="ListParagraph"/>
        <w:rPr>
          <w:rFonts w:ascii="Arial" w:eastAsia="Times New Roman" w:hAnsi="Arial" w:cs="Arial"/>
          <w:sz w:val="24"/>
          <w:szCs w:val="24"/>
          <w:lang w:val="en-ZA" w:eastAsia="en-ZA"/>
        </w:rPr>
      </w:pPr>
    </w:p>
    <w:p w14:paraId="1038B1F0" w14:textId="05EECF42" w:rsidR="007A3AC7"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[22]</w:t>
      </w:r>
      <w:r w:rsidRPr="00DA7CFC">
        <w:rPr>
          <w:rFonts w:ascii="Arial" w:eastAsia="Times New Roman" w:hAnsi="Arial" w:cs="Arial"/>
          <w:sz w:val="24"/>
          <w:szCs w:val="24"/>
          <w:lang w:val="en-ZA" w:eastAsia="en-ZA"/>
        </w:rPr>
        <w:tab/>
      </w:r>
      <w:r w:rsidR="008B28FB" w:rsidRPr="00A81732">
        <w:rPr>
          <w:rFonts w:ascii="Arial" w:eastAsia="Times New Roman" w:hAnsi="Arial" w:cs="Arial"/>
          <w:sz w:val="24"/>
          <w:szCs w:val="24"/>
          <w:lang w:val="en-ZA" w:eastAsia="en-ZA"/>
        </w:rPr>
        <w:t xml:space="preserve">The </w:t>
      </w:r>
      <w:r w:rsidR="00D4069F" w:rsidRPr="00A81732">
        <w:rPr>
          <w:rFonts w:ascii="Arial" w:eastAsia="Times New Roman" w:hAnsi="Arial" w:cs="Arial"/>
          <w:sz w:val="24"/>
          <w:szCs w:val="24"/>
          <w:lang w:val="en-ZA" w:eastAsia="en-ZA"/>
        </w:rPr>
        <w:t>High Court</w:t>
      </w:r>
      <w:r w:rsidR="008B28FB" w:rsidRPr="00A81732">
        <w:rPr>
          <w:rFonts w:ascii="Arial" w:eastAsia="Times New Roman" w:hAnsi="Arial" w:cs="Arial"/>
          <w:sz w:val="24"/>
          <w:szCs w:val="24"/>
          <w:lang w:val="en-ZA" w:eastAsia="en-ZA"/>
        </w:rPr>
        <w:t xml:space="preserve"> </w:t>
      </w:r>
      <w:r w:rsidR="006021EB" w:rsidRPr="00A81732">
        <w:rPr>
          <w:rFonts w:ascii="Arial" w:eastAsia="Times New Roman" w:hAnsi="Arial" w:cs="Arial"/>
          <w:sz w:val="24"/>
          <w:szCs w:val="24"/>
          <w:lang w:val="en-ZA" w:eastAsia="en-ZA"/>
        </w:rPr>
        <w:t xml:space="preserve">reasoned </w:t>
      </w:r>
      <w:r w:rsidR="00D4069F" w:rsidRPr="00A81732">
        <w:rPr>
          <w:rFonts w:ascii="Arial" w:eastAsia="Times New Roman" w:hAnsi="Arial" w:cs="Arial"/>
          <w:sz w:val="24"/>
          <w:szCs w:val="24"/>
          <w:lang w:val="en-ZA" w:eastAsia="en-ZA"/>
        </w:rPr>
        <w:t xml:space="preserve">that </w:t>
      </w:r>
      <w:r w:rsidR="003A01A3" w:rsidRPr="00A81732">
        <w:rPr>
          <w:rFonts w:ascii="Arial" w:eastAsia="Times New Roman" w:hAnsi="Arial" w:cs="Arial"/>
          <w:sz w:val="24"/>
          <w:szCs w:val="24"/>
          <w:lang w:val="en-ZA" w:eastAsia="en-ZA"/>
        </w:rPr>
        <w:t xml:space="preserve">production of the Cabinet </w:t>
      </w:r>
      <w:r w:rsidR="00D4069F" w:rsidRPr="00A81732">
        <w:rPr>
          <w:rFonts w:ascii="Arial" w:eastAsia="Times New Roman" w:hAnsi="Arial" w:cs="Arial"/>
          <w:sz w:val="24"/>
          <w:szCs w:val="24"/>
          <w:lang w:val="en-ZA" w:eastAsia="en-ZA"/>
        </w:rPr>
        <w:t xml:space="preserve">documents </w:t>
      </w:r>
      <w:r w:rsidR="008B28FB" w:rsidRPr="00A81732">
        <w:rPr>
          <w:rFonts w:ascii="Arial" w:eastAsia="Times New Roman" w:hAnsi="Arial" w:cs="Arial"/>
          <w:sz w:val="24"/>
          <w:szCs w:val="24"/>
          <w:lang w:val="en-ZA" w:eastAsia="en-ZA"/>
        </w:rPr>
        <w:t>was</w:t>
      </w:r>
      <w:r w:rsidR="00D4069F" w:rsidRPr="00A81732">
        <w:rPr>
          <w:rFonts w:ascii="Arial" w:eastAsia="Times New Roman" w:hAnsi="Arial" w:cs="Arial"/>
          <w:sz w:val="24"/>
          <w:szCs w:val="24"/>
          <w:lang w:val="en-ZA" w:eastAsia="en-ZA"/>
        </w:rPr>
        <w:t xml:space="preserve"> necessary for </w:t>
      </w:r>
      <w:r w:rsidR="003A01A3" w:rsidRPr="00A81732">
        <w:rPr>
          <w:rFonts w:ascii="Arial" w:eastAsia="Times New Roman" w:hAnsi="Arial" w:cs="Arial"/>
          <w:sz w:val="24"/>
          <w:szCs w:val="24"/>
          <w:lang w:val="en-ZA" w:eastAsia="en-ZA"/>
        </w:rPr>
        <w:t xml:space="preserve">the exercise of </w:t>
      </w:r>
      <w:r w:rsidR="00D4069F" w:rsidRPr="00A81732">
        <w:rPr>
          <w:rFonts w:ascii="Arial" w:eastAsia="Times New Roman" w:hAnsi="Arial" w:cs="Arial"/>
          <w:sz w:val="24"/>
          <w:szCs w:val="24"/>
          <w:lang w:val="en-ZA" w:eastAsia="en-ZA"/>
        </w:rPr>
        <w:t xml:space="preserve">Hollard’s right </w:t>
      </w:r>
      <w:r w:rsidR="003A01A3" w:rsidRPr="00A81732">
        <w:rPr>
          <w:rFonts w:ascii="Arial" w:eastAsia="Times New Roman" w:hAnsi="Arial" w:cs="Arial"/>
          <w:sz w:val="24"/>
          <w:szCs w:val="24"/>
          <w:lang w:val="en-ZA" w:eastAsia="en-ZA"/>
        </w:rPr>
        <w:t xml:space="preserve">under </w:t>
      </w:r>
      <w:r w:rsidR="00A42D44" w:rsidRPr="00A81732">
        <w:rPr>
          <w:rFonts w:ascii="Arial" w:eastAsia="Times New Roman" w:hAnsi="Arial" w:cs="Arial"/>
          <w:sz w:val="24"/>
          <w:szCs w:val="24"/>
          <w:lang w:val="en-ZA" w:eastAsia="en-ZA"/>
        </w:rPr>
        <w:t>Art</w:t>
      </w:r>
      <w:r w:rsidR="003A01A3" w:rsidRPr="00A81732">
        <w:rPr>
          <w:rFonts w:ascii="Arial" w:eastAsia="Times New Roman" w:hAnsi="Arial" w:cs="Arial"/>
          <w:sz w:val="24"/>
          <w:szCs w:val="24"/>
          <w:lang w:val="en-ZA" w:eastAsia="en-ZA"/>
        </w:rPr>
        <w:t xml:space="preserve"> 12. In the view of the </w:t>
      </w:r>
      <w:r w:rsidR="004E476A" w:rsidRPr="00A81732">
        <w:rPr>
          <w:rFonts w:ascii="Arial" w:eastAsia="Times New Roman" w:hAnsi="Arial" w:cs="Arial"/>
          <w:sz w:val="24"/>
          <w:szCs w:val="24"/>
          <w:lang w:val="en-ZA" w:eastAsia="en-ZA"/>
        </w:rPr>
        <w:t xml:space="preserve">High Court, </w:t>
      </w:r>
      <w:r w:rsidR="00D4069F" w:rsidRPr="00A81732">
        <w:rPr>
          <w:rFonts w:ascii="Arial" w:eastAsia="Times New Roman" w:hAnsi="Arial" w:cs="Arial"/>
          <w:sz w:val="24"/>
          <w:szCs w:val="24"/>
          <w:lang w:val="en-ZA" w:eastAsia="en-ZA"/>
        </w:rPr>
        <w:t>the ‘documents an</w:t>
      </w:r>
      <w:r w:rsidR="003B20CD" w:rsidRPr="00A81732">
        <w:rPr>
          <w:rFonts w:ascii="Arial" w:eastAsia="Times New Roman" w:hAnsi="Arial" w:cs="Arial"/>
          <w:sz w:val="24"/>
          <w:szCs w:val="24"/>
          <w:lang w:val="en-ZA" w:eastAsia="en-ZA"/>
        </w:rPr>
        <w:t>d records of discussions that pe</w:t>
      </w:r>
      <w:r w:rsidR="00D4069F" w:rsidRPr="00A81732">
        <w:rPr>
          <w:rFonts w:ascii="Arial" w:eastAsia="Times New Roman" w:hAnsi="Arial" w:cs="Arial"/>
          <w:sz w:val="24"/>
          <w:szCs w:val="24"/>
          <w:lang w:val="en-ZA" w:eastAsia="en-ZA"/>
        </w:rPr>
        <w:t>rtain to the Covid-19</w:t>
      </w:r>
      <w:r w:rsidR="003B20CD" w:rsidRPr="00A81732">
        <w:rPr>
          <w:rFonts w:ascii="Arial" w:eastAsia="Times New Roman" w:hAnsi="Arial" w:cs="Arial"/>
          <w:sz w:val="24"/>
          <w:szCs w:val="24"/>
          <w:lang w:val="en-ZA" w:eastAsia="en-ZA"/>
        </w:rPr>
        <w:t xml:space="preserve"> pandemic, which it claims may have a be</w:t>
      </w:r>
      <w:r w:rsidR="008B28FB" w:rsidRPr="00A81732">
        <w:rPr>
          <w:rFonts w:ascii="Arial" w:eastAsia="Times New Roman" w:hAnsi="Arial" w:cs="Arial"/>
          <w:sz w:val="24"/>
          <w:szCs w:val="24"/>
          <w:lang w:val="en-ZA" w:eastAsia="en-ZA"/>
        </w:rPr>
        <w:t>aring</w:t>
      </w:r>
      <w:r w:rsidR="003B20CD" w:rsidRPr="00A81732">
        <w:rPr>
          <w:rFonts w:ascii="Arial" w:eastAsia="Times New Roman" w:hAnsi="Arial" w:cs="Arial"/>
          <w:sz w:val="24"/>
          <w:szCs w:val="24"/>
          <w:lang w:val="en-ZA" w:eastAsia="en-ZA"/>
        </w:rPr>
        <w:t xml:space="preserve"> on the case launched against it by Gondwana . . . would not be regarded for any proper reason to be secret, because they relate to the pandemic, which was declared as such in the interest of all Namibians’.</w:t>
      </w:r>
    </w:p>
    <w:p w14:paraId="73092F81" w14:textId="77777777" w:rsidR="00233F3D" w:rsidRDefault="00233F3D" w:rsidP="00233F3D">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AB83F55" w14:textId="271B696D" w:rsidR="003656B1"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[23]</w:t>
      </w:r>
      <w:r>
        <w:rPr>
          <w:rFonts w:ascii="Arial" w:eastAsia="Times New Roman" w:hAnsi="Arial" w:cs="Arial"/>
          <w:sz w:val="24"/>
          <w:szCs w:val="24"/>
          <w:lang w:val="en-ZA" w:eastAsia="en-ZA"/>
        </w:rPr>
        <w:tab/>
      </w:r>
      <w:r w:rsidR="007A3AC7" w:rsidRPr="00A81732">
        <w:rPr>
          <w:rFonts w:ascii="Arial" w:eastAsia="Times New Roman" w:hAnsi="Arial" w:cs="Arial"/>
          <w:sz w:val="24"/>
          <w:szCs w:val="24"/>
          <w:lang w:val="en-ZA" w:eastAsia="en-ZA"/>
        </w:rPr>
        <w:t xml:space="preserve">The High Court </w:t>
      </w:r>
      <w:r w:rsidR="006021EB" w:rsidRPr="00A81732">
        <w:rPr>
          <w:rFonts w:ascii="Arial" w:eastAsia="Times New Roman" w:hAnsi="Arial" w:cs="Arial"/>
          <w:sz w:val="24"/>
          <w:szCs w:val="24"/>
          <w:lang w:val="en-ZA" w:eastAsia="en-ZA"/>
        </w:rPr>
        <w:t xml:space="preserve">held </w:t>
      </w:r>
      <w:r w:rsidR="007A3AC7" w:rsidRPr="00A81732">
        <w:rPr>
          <w:rFonts w:ascii="Arial" w:eastAsia="Times New Roman" w:hAnsi="Arial" w:cs="Arial"/>
          <w:sz w:val="24"/>
          <w:szCs w:val="24"/>
          <w:lang w:val="en-ZA" w:eastAsia="en-ZA"/>
        </w:rPr>
        <w:t xml:space="preserve">that Rule 37 could </w:t>
      </w:r>
      <w:r w:rsidR="003A01A3" w:rsidRPr="00A81732">
        <w:rPr>
          <w:rFonts w:ascii="Arial" w:eastAsia="Times New Roman" w:hAnsi="Arial" w:cs="Arial"/>
          <w:sz w:val="24"/>
          <w:szCs w:val="24"/>
          <w:lang w:val="en-ZA" w:eastAsia="en-ZA"/>
        </w:rPr>
        <w:t xml:space="preserve">in appropriate circumstances </w:t>
      </w:r>
      <w:r w:rsidR="007A3AC7" w:rsidRPr="00A81732">
        <w:rPr>
          <w:rFonts w:ascii="Arial" w:eastAsia="Times New Roman" w:hAnsi="Arial" w:cs="Arial"/>
          <w:sz w:val="24"/>
          <w:szCs w:val="24"/>
          <w:lang w:val="en-ZA" w:eastAsia="en-ZA"/>
        </w:rPr>
        <w:t xml:space="preserve">be used </w:t>
      </w:r>
      <w:r w:rsidR="003A01A3" w:rsidRPr="00A81732">
        <w:rPr>
          <w:rFonts w:ascii="Arial" w:eastAsia="Times New Roman" w:hAnsi="Arial" w:cs="Arial"/>
          <w:sz w:val="24"/>
          <w:szCs w:val="24"/>
          <w:lang w:val="en-ZA" w:eastAsia="en-ZA"/>
        </w:rPr>
        <w:t xml:space="preserve">in motion proceedings </w:t>
      </w:r>
      <w:r w:rsidR="007A3AC7" w:rsidRPr="00A81732">
        <w:rPr>
          <w:rFonts w:ascii="Arial" w:eastAsia="Times New Roman" w:hAnsi="Arial" w:cs="Arial"/>
          <w:sz w:val="24"/>
          <w:szCs w:val="24"/>
          <w:lang w:val="en-ZA" w:eastAsia="en-ZA"/>
        </w:rPr>
        <w:t xml:space="preserve">in the court’s discretion to order discovery by means of subpoena </w:t>
      </w:r>
      <w:r w:rsidR="007A3AC7" w:rsidRPr="00A81732">
        <w:rPr>
          <w:rFonts w:ascii="Arial" w:eastAsia="Times New Roman" w:hAnsi="Arial" w:cs="Arial"/>
          <w:i/>
          <w:sz w:val="24"/>
          <w:szCs w:val="24"/>
          <w:lang w:val="en-ZA" w:eastAsia="en-ZA"/>
        </w:rPr>
        <w:t>duces tecum</w:t>
      </w:r>
      <w:r w:rsidR="00CA325E" w:rsidRPr="00A81732">
        <w:rPr>
          <w:rFonts w:ascii="Arial" w:eastAsia="Times New Roman" w:hAnsi="Arial" w:cs="Arial"/>
          <w:i/>
          <w:sz w:val="24"/>
          <w:szCs w:val="24"/>
          <w:lang w:val="en-ZA" w:eastAsia="en-ZA"/>
        </w:rPr>
        <w:t>.</w:t>
      </w:r>
      <w:r w:rsidR="00CA325E" w:rsidRPr="00A81732">
        <w:rPr>
          <w:rFonts w:ascii="Arial" w:eastAsia="Times New Roman" w:hAnsi="Arial" w:cs="Arial"/>
          <w:sz w:val="24"/>
          <w:szCs w:val="24"/>
          <w:lang w:val="en-ZA" w:eastAsia="en-ZA"/>
        </w:rPr>
        <w:t xml:space="preserve"> According to the court </w:t>
      </w:r>
      <w:r w:rsidR="00CA325E" w:rsidRPr="00A81732">
        <w:rPr>
          <w:rFonts w:ascii="Arial" w:eastAsia="Times New Roman" w:hAnsi="Arial" w:cs="Arial"/>
          <w:i/>
          <w:sz w:val="24"/>
          <w:szCs w:val="24"/>
          <w:lang w:val="en-ZA" w:eastAsia="en-ZA"/>
        </w:rPr>
        <w:t>a quo</w:t>
      </w:r>
      <w:r w:rsidR="00CA325E" w:rsidRPr="00A81732">
        <w:rPr>
          <w:rFonts w:ascii="Arial" w:eastAsia="Times New Roman" w:hAnsi="Arial" w:cs="Arial"/>
          <w:sz w:val="24"/>
          <w:szCs w:val="24"/>
          <w:lang w:val="en-ZA" w:eastAsia="en-ZA"/>
        </w:rPr>
        <w:t>,</w:t>
      </w:r>
      <w:r w:rsidR="007A3AC7" w:rsidRPr="00A81732">
        <w:rPr>
          <w:rFonts w:ascii="Arial" w:eastAsia="Times New Roman" w:hAnsi="Arial" w:cs="Arial"/>
          <w:sz w:val="24"/>
          <w:szCs w:val="24"/>
          <w:lang w:val="en-ZA" w:eastAsia="en-ZA"/>
        </w:rPr>
        <w:t xml:space="preserve"> </w:t>
      </w:r>
      <w:r w:rsidR="00B077D5" w:rsidRPr="00A81732">
        <w:rPr>
          <w:rFonts w:ascii="Arial" w:eastAsia="Times New Roman" w:hAnsi="Arial" w:cs="Arial"/>
          <w:sz w:val="24"/>
          <w:szCs w:val="24"/>
          <w:lang w:val="en-ZA" w:eastAsia="en-ZA"/>
        </w:rPr>
        <w:t xml:space="preserve">although the rule applies ‘primarily’ </w:t>
      </w:r>
      <w:r w:rsidR="00567AE3" w:rsidRPr="00A81732">
        <w:rPr>
          <w:rFonts w:ascii="Arial" w:eastAsia="Times New Roman" w:hAnsi="Arial" w:cs="Arial"/>
          <w:sz w:val="24"/>
          <w:szCs w:val="24"/>
          <w:lang w:val="en-ZA" w:eastAsia="en-ZA"/>
        </w:rPr>
        <w:t xml:space="preserve">to </w:t>
      </w:r>
      <w:r w:rsidR="00B077D5" w:rsidRPr="00A81732">
        <w:rPr>
          <w:rFonts w:ascii="Arial" w:eastAsia="Times New Roman" w:hAnsi="Arial" w:cs="Arial"/>
          <w:sz w:val="24"/>
          <w:szCs w:val="24"/>
          <w:lang w:val="en-ZA" w:eastAsia="en-ZA"/>
        </w:rPr>
        <w:t>trial proceedings,  ‘it may be unfair to confine the application of the rule strictly</w:t>
      </w:r>
      <w:r w:rsidR="00567AE3" w:rsidRPr="00A81732">
        <w:rPr>
          <w:rFonts w:ascii="Arial" w:eastAsia="Times New Roman" w:hAnsi="Arial" w:cs="Arial"/>
          <w:sz w:val="24"/>
          <w:szCs w:val="24"/>
          <w:lang w:val="en-ZA" w:eastAsia="en-ZA"/>
        </w:rPr>
        <w:t xml:space="preserve"> to</w:t>
      </w:r>
      <w:r w:rsidR="00B077D5" w:rsidRPr="00A81732">
        <w:rPr>
          <w:rFonts w:ascii="Arial" w:eastAsia="Times New Roman" w:hAnsi="Arial" w:cs="Arial"/>
          <w:sz w:val="24"/>
          <w:szCs w:val="24"/>
          <w:lang w:val="en-ZA" w:eastAsia="en-ZA"/>
        </w:rPr>
        <w:t xml:space="preserve"> matters for trial’ and that ‘there may be instances where certain documents are required to be obtained, in order to procure some evidence in preparation of pleadings or other pre-tr</w:t>
      </w:r>
      <w:r w:rsidR="003656B1" w:rsidRPr="00A81732">
        <w:rPr>
          <w:rFonts w:ascii="Arial" w:eastAsia="Times New Roman" w:hAnsi="Arial" w:cs="Arial"/>
          <w:sz w:val="24"/>
          <w:szCs w:val="24"/>
          <w:lang w:val="en-ZA" w:eastAsia="en-ZA"/>
        </w:rPr>
        <w:t xml:space="preserve">ial </w:t>
      </w:r>
      <w:r w:rsidR="00B077D5" w:rsidRPr="00A81732">
        <w:rPr>
          <w:rFonts w:ascii="Arial" w:eastAsia="Times New Roman" w:hAnsi="Arial" w:cs="Arial"/>
          <w:sz w:val="24"/>
          <w:szCs w:val="24"/>
          <w:lang w:val="en-ZA" w:eastAsia="en-ZA"/>
        </w:rPr>
        <w:t xml:space="preserve">purposes’. </w:t>
      </w:r>
    </w:p>
    <w:p w14:paraId="78630BFA" w14:textId="77777777" w:rsidR="00233F3D" w:rsidRPr="00DA7CFC" w:rsidRDefault="00233F3D" w:rsidP="00233F3D">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09366CF" w14:textId="57A149E3" w:rsidR="00567AE3"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[24]</w:t>
      </w:r>
      <w:r>
        <w:rPr>
          <w:rFonts w:ascii="Arial" w:eastAsia="Times New Roman" w:hAnsi="Arial" w:cs="Arial"/>
          <w:sz w:val="24"/>
          <w:szCs w:val="24"/>
          <w:lang w:val="en-ZA" w:eastAsia="en-ZA"/>
        </w:rPr>
        <w:tab/>
      </w:r>
      <w:r w:rsidR="00B077D5" w:rsidRPr="00A81732">
        <w:rPr>
          <w:rFonts w:ascii="Arial" w:eastAsia="Times New Roman" w:hAnsi="Arial" w:cs="Arial"/>
          <w:sz w:val="24"/>
          <w:szCs w:val="24"/>
          <w:lang w:val="en-ZA" w:eastAsia="en-ZA"/>
        </w:rPr>
        <w:t xml:space="preserve">The learned judge </w:t>
      </w:r>
      <w:r w:rsidR="00772FF2" w:rsidRPr="00A81732">
        <w:rPr>
          <w:rFonts w:ascii="Arial" w:eastAsia="Times New Roman" w:hAnsi="Arial" w:cs="Arial"/>
          <w:sz w:val="24"/>
          <w:szCs w:val="24"/>
          <w:lang w:val="en-ZA" w:eastAsia="en-ZA"/>
        </w:rPr>
        <w:t>held</w:t>
      </w:r>
      <w:r w:rsidR="00B077D5" w:rsidRPr="00A81732">
        <w:rPr>
          <w:rFonts w:ascii="Arial" w:eastAsia="Times New Roman" w:hAnsi="Arial" w:cs="Arial"/>
          <w:sz w:val="24"/>
          <w:szCs w:val="24"/>
          <w:lang w:val="en-ZA" w:eastAsia="en-ZA"/>
        </w:rPr>
        <w:t>:</w:t>
      </w:r>
    </w:p>
    <w:p w14:paraId="15EB8EF5" w14:textId="77777777" w:rsidR="00C35600" w:rsidRPr="00DA7CFC" w:rsidRDefault="00C35600" w:rsidP="00C35600">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65155A4" w14:textId="272635AF" w:rsidR="00134B53" w:rsidRPr="00C35600" w:rsidRDefault="004201F2" w:rsidP="00C35600">
      <w:pPr>
        <w:spacing w:line="360" w:lineRule="auto"/>
        <w:ind w:left="720"/>
        <w:jc w:val="both"/>
        <w:rPr>
          <w:rFonts w:ascii="Arial" w:eastAsia="Times New Roman" w:hAnsi="Arial" w:cs="Arial"/>
          <w:lang w:val="en-ZA" w:eastAsia="en-ZA"/>
        </w:rPr>
      </w:pPr>
      <w:r w:rsidRPr="00DA7CFC">
        <w:rPr>
          <w:rFonts w:ascii="Arial" w:eastAsia="Times New Roman" w:hAnsi="Arial" w:cs="Arial"/>
          <w:lang w:val="en-ZA" w:eastAsia="en-ZA"/>
        </w:rPr>
        <w:t>‘</w:t>
      </w:r>
      <w:r w:rsidR="00B077D5" w:rsidRPr="00DA7CFC">
        <w:rPr>
          <w:rFonts w:ascii="Arial" w:eastAsia="Times New Roman" w:hAnsi="Arial" w:cs="Arial"/>
          <w:lang w:val="en-ZA" w:eastAsia="en-ZA"/>
        </w:rPr>
        <w:t xml:space="preserve">[69] </w:t>
      </w:r>
      <w:r w:rsidR="00567AE3" w:rsidRPr="00DA7CFC">
        <w:rPr>
          <w:rFonts w:ascii="Arial" w:eastAsia="Times New Roman" w:hAnsi="Arial" w:cs="Arial"/>
          <w:lang w:val="en-ZA" w:eastAsia="en-ZA"/>
        </w:rPr>
        <w:tab/>
      </w:r>
      <w:r w:rsidR="00B077D5" w:rsidRPr="00DA7CFC">
        <w:rPr>
          <w:rFonts w:ascii="Arial" w:eastAsia="Times New Roman" w:hAnsi="Arial" w:cs="Arial"/>
          <w:lang w:val="en-ZA" w:eastAsia="en-ZA"/>
        </w:rPr>
        <w:t>I am accordingly in agreement with Mr Heathcote that this rule must be accorded a wide, generous and purposive interpretation in order to enable litigants, in appropriate cases, to fully enjoy their rights to access critical information as they seek to prosecute their cases. This is so because if the documents, if relevant, may only be availed or only be made available at trial, a party may be deprived of the facilities to properly prepare their case or defence, as the case may be’.</w:t>
      </w:r>
    </w:p>
    <w:p w14:paraId="294F5ED4" w14:textId="22564E62" w:rsidR="00134B53" w:rsidRPr="00A81732" w:rsidRDefault="00A81732" w:rsidP="00A81732">
      <w:pPr>
        <w:shd w:val="clear" w:color="auto" w:fill="FFFFFF"/>
        <w:spacing w:after="0" w:line="480" w:lineRule="auto"/>
        <w:jc w:val="both"/>
        <w:rPr>
          <w:rFonts w:ascii="Arial" w:eastAsia="Times New Roman" w:hAnsi="Arial" w:cs="Arial"/>
          <w:sz w:val="24"/>
          <w:szCs w:val="24"/>
          <w:u w:val="single"/>
          <w:lang w:val="en-ZA" w:eastAsia="en-ZA"/>
        </w:rPr>
      </w:pPr>
      <w:r w:rsidRPr="00DA7CFC">
        <w:rPr>
          <w:rFonts w:ascii="Arial" w:eastAsia="Times New Roman" w:hAnsi="Arial" w:cs="Arial"/>
          <w:sz w:val="24"/>
          <w:szCs w:val="24"/>
          <w:lang w:val="en-ZA" w:eastAsia="en-ZA"/>
        </w:rPr>
        <w:lastRenderedPageBreak/>
        <w:t>[25]</w:t>
      </w:r>
      <w:r w:rsidRPr="00DA7CFC">
        <w:rPr>
          <w:rFonts w:ascii="Arial" w:eastAsia="Times New Roman" w:hAnsi="Arial" w:cs="Arial"/>
          <w:sz w:val="24"/>
          <w:szCs w:val="24"/>
          <w:lang w:val="en-ZA" w:eastAsia="en-ZA"/>
        </w:rPr>
        <w:tab/>
      </w:r>
      <w:r w:rsidR="00134B53" w:rsidRPr="00A81732">
        <w:rPr>
          <w:rFonts w:ascii="Arial" w:eastAsia="Times New Roman" w:hAnsi="Arial" w:cs="Arial"/>
          <w:sz w:val="24"/>
          <w:szCs w:val="24"/>
          <w:lang w:val="en-ZA" w:eastAsia="en-ZA"/>
        </w:rPr>
        <w:t xml:space="preserve">The court </w:t>
      </w:r>
      <w:r w:rsidR="00134B53" w:rsidRPr="00A81732">
        <w:rPr>
          <w:rFonts w:ascii="Arial" w:eastAsia="Times New Roman" w:hAnsi="Arial" w:cs="Arial"/>
          <w:i/>
          <w:sz w:val="24"/>
          <w:szCs w:val="24"/>
          <w:lang w:val="en-ZA" w:eastAsia="en-ZA"/>
        </w:rPr>
        <w:t>a quo</w:t>
      </w:r>
      <w:r w:rsidR="00134B53" w:rsidRPr="00A81732">
        <w:rPr>
          <w:rFonts w:ascii="Arial" w:eastAsia="Times New Roman" w:hAnsi="Arial" w:cs="Arial"/>
          <w:sz w:val="24"/>
          <w:szCs w:val="24"/>
          <w:lang w:val="en-ZA" w:eastAsia="en-ZA"/>
        </w:rPr>
        <w:t xml:space="preserve"> </w:t>
      </w:r>
      <w:r w:rsidR="006021EB" w:rsidRPr="00A81732">
        <w:rPr>
          <w:rFonts w:ascii="Arial" w:eastAsia="Times New Roman" w:hAnsi="Arial" w:cs="Arial"/>
          <w:sz w:val="24"/>
          <w:szCs w:val="24"/>
          <w:lang w:val="en-ZA" w:eastAsia="en-ZA"/>
        </w:rPr>
        <w:t xml:space="preserve">was satisfied </w:t>
      </w:r>
      <w:r w:rsidR="00134B53" w:rsidRPr="00A81732">
        <w:rPr>
          <w:rFonts w:ascii="Arial" w:eastAsia="Times New Roman" w:hAnsi="Arial" w:cs="Arial"/>
          <w:sz w:val="24"/>
          <w:szCs w:val="24"/>
          <w:lang w:val="en-ZA" w:eastAsia="en-ZA"/>
        </w:rPr>
        <w:t xml:space="preserve">that the subpoenas </w:t>
      </w:r>
      <w:r w:rsidR="006021EB" w:rsidRPr="00A81732">
        <w:rPr>
          <w:rFonts w:ascii="Arial" w:eastAsia="Times New Roman" w:hAnsi="Arial" w:cs="Arial"/>
          <w:i/>
          <w:sz w:val="24"/>
          <w:szCs w:val="24"/>
          <w:lang w:val="en-ZA" w:eastAsia="en-ZA"/>
        </w:rPr>
        <w:t>duces tecum</w:t>
      </w:r>
      <w:r w:rsidR="006021EB" w:rsidRPr="00A81732">
        <w:rPr>
          <w:rFonts w:ascii="Arial" w:eastAsia="Times New Roman" w:hAnsi="Arial" w:cs="Arial"/>
          <w:sz w:val="24"/>
          <w:szCs w:val="24"/>
          <w:lang w:val="en-ZA" w:eastAsia="en-ZA"/>
        </w:rPr>
        <w:t xml:space="preserve"> </w:t>
      </w:r>
      <w:r w:rsidR="00134B53" w:rsidRPr="00A81732">
        <w:rPr>
          <w:rFonts w:ascii="Arial" w:eastAsia="Times New Roman" w:hAnsi="Arial" w:cs="Arial"/>
          <w:sz w:val="24"/>
          <w:szCs w:val="24"/>
          <w:lang w:val="en-ZA" w:eastAsia="en-ZA"/>
        </w:rPr>
        <w:t xml:space="preserve">were </w:t>
      </w:r>
      <w:r w:rsidR="00567AE3" w:rsidRPr="00A81732">
        <w:rPr>
          <w:rFonts w:ascii="Arial" w:eastAsia="Times New Roman" w:hAnsi="Arial" w:cs="Arial"/>
          <w:sz w:val="24"/>
          <w:szCs w:val="24"/>
          <w:lang w:val="en-ZA" w:eastAsia="en-ZA"/>
        </w:rPr>
        <w:t>n</w:t>
      </w:r>
      <w:r w:rsidR="00134B53" w:rsidRPr="00A81732">
        <w:rPr>
          <w:rFonts w:ascii="Arial" w:eastAsia="Times New Roman" w:hAnsi="Arial" w:cs="Arial"/>
          <w:sz w:val="24"/>
          <w:szCs w:val="24"/>
          <w:lang w:val="en-ZA" w:eastAsia="en-ZA"/>
        </w:rPr>
        <w:t xml:space="preserve">ot an abuse of the court process and that nothing was tendered by the </w:t>
      </w:r>
      <w:r w:rsidR="00FA34D2" w:rsidRPr="00A81732">
        <w:rPr>
          <w:rFonts w:ascii="Arial" w:eastAsia="Times New Roman" w:hAnsi="Arial" w:cs="Arial"/>
          <w:sz w:val="24"/>
          <w:szCs w:val="24"/>
          <w:lang w:val="en-ZA" w:eastAsia="en-ZA"/>
        </w:rPr>
        <w:t xml:space="preserve">two </w:t>
      </w:r>
      <w:r w:rsidR="00255C77" w:rsidRPr="00A81732">
        <w:rPr>
          <w:rFonts w:ascii="Arial" w:eastAsia="Times New Roman" w:hAnsi="Arial" w:cs="Arial"/>
          <w:sz w:val="24"/>
          <w:szCs w:val="24"/>
          <w:lang w:val="en-ZA" w:eastAsia="en-ZA"/>
        </w:rPr>
        <w:t xml:space="preserve">officials </w:t>
      </w:r>
      <w:r w:rsidR="00FA34D2" w:rsidRPr="00A81732">
        <w:rPr>
          <w:rFonts w:ascii="Arial" w:eastAsia="Times New Roman" w:hAnsi="Arial" w:cs="Arial"/>
          <w:sz w:val="24"/>
          <w:szCs w:val="24"/>
          <w:lang w:val="en-ZA" w:eastAsia="en-ZA"/>
        </w:rPr>
        <w:t>showing</w:t>
      </w:r>
      <w:r w:rsidR="00134B53" w:rsidRPr="00A81732">
        <w:rPr>
          <w:rFonts w:ascii="Arial" w:eastAsia="Times New Roman" w:hAnsi="Arial" w:cs="Arial"/>
          <w:sz w:val="24"/>
          <w:szCs w:val="24"/>
          <w:lang w:val="en-ZA" w:eastAsia="en-ZA"/>
        </w:rPr>
        <w:t xml:space="preserve"> the State discharged the onus that the interests of justice to Hollard ‘must be subordinated to non-disclosure in favour of the State because of public interest in the non-disclosure’. The High Court concluded that the two </w:t>
      </w:r>
      <w:r w:rsidR="00FA34D2" w:rsidRPr="00A81732">
        <w:rPr>
          <w:rFonts w:ascii="Arial" w:eastAsia="Times New Roman" w:hAnsi="Arial" w:cs="Arial"/>
          <w:sz w:val="24"/>
          <w:szCs w:val="24"/>
          <w:lang w:val="en-ZA" w:eastAsia="en-ZA"/>
        </w:rPr>
        <w:t>officials</w:t>
      </w:r>
      <w:r w:rsidR="00134B53" w:rsidRPr="00A81732">
        <w:rPr>
          <w:rFonts w:ascii="Arial" w:eastAsia="Times New Roman" w:hAnsi="Arial" w:cs="Arial"/>
          <w:sz w:val="24"/>
          <w:szCs w:val="24"/>
          <w:lang w:val="en-ZA" w:eastAsia="en-ZA"/>
        </w:rPr>
        <w:t xml:space="preserve"> ‘have failed </w:t>
      </w:r>
      <w:r w:rsidR="005A630A" w:rsidRPr="00A81732">
        <w:rPr>
          <w:rFonts w:ascii="Arial" w:eastAsia="Times New Roman" w:hAnsi="Arial" w:cs="Arial"/>
          <w:sz w:val="24"/>
          <w:szCs w:val="24"/>
          <w:lang w:val="en-ZA" w:eastAsia="en-ZA"/>
        </w:rPr>
        <w:t xml:space="preserve">to demonstrate to the court that there is any proper legal basis </w:t>
      </w:r>
      <w:r w:rsidR="004E476A" w:rsidRPr="00A81732">
        <w:rPr>
          <w:rFonts w:ascii="Arial" w:eastAsia="Times New Roman" w:hAnsi="Arial" w:cs="Arial"/>
          <w:sz w:val="24"/>
          <w:szCs w:val="24"/>
          <w:lang w:val="en-ZA" w:eastAsia="en-ZA"/>
        </w:rPr>
        <w:t>for setting aside the subpoena</w:t>
      </w:r>
      <w:r w:rsidR="00A574F8" w:rsidRPr="00A81732">
        <w:rPr>
          <w:rFonts w:ascii="Arial" w:eastAsia="Times New Roman" w:hAnsi="Arial" w:cs="Arial"/>
          <w:sz w:val="24"/>
          <w:szCs w:val="24"/>
          <w:lang w:val="en-ZA" w:eastAsia="en-ZA"/>
        </w:rPr>
        <w:t xml:space="preserve"> . . . </w:t>
      </w:r>
      <w:r w:rsidR="005A630A" w:rsidRPr="00A81732">
        <w:rPr>
          <w:rFonts w:ascii="Arial" w:eastAsia="Times New Roman" w:hAnsi="Arial" w:cs="Arial"/>
          <w:sz w:val="24"/>
          <w:szCs w:val="24"/>
          <w:lang w:val="en-ZA" w:eastAsia="en-ZA"/>
        </w:rPr>
        <w:t>especially considering that there is no evidence that public interest would be prejudicially affected by the production</w:t>
      </w:r>
      <w:r w:rsidR="00F24448" w:rsidRPr="00A81732">
        <w:rPr>
          <w:rFonts w:ascii="Arial" w:eastAsia="Times New Roman" w:hAnsi="Arial" w:cs="Arial"/>
          <w:sz w:val="24"/>
          <w:szCs w:val="24"/>
          <w:lang w:val="en-ZA" w:eastAsia="en-ZA"/>
        </w:rPr>
        <w:t xml:space="preserve"> of the required documents and information’.</w:t>
      </w:r>
    </w:p>
    <w:p w14:paraId="5DACBD5A" w14:textId="77777777" w:rsidR="00007E5E" w:rsidRPr="00DA7CFC" w:rsidRDefault="00007E5E"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194230E" w14:textId="4B1194F2" w:rsidR="008B28FB" w:rsidRPr="00DA7CFC" w:rsidRDefault="008B28FB" w:rsidP="00007E5E">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DA7CFC">
        <w:rPr>
          <w:rFonts w:ascii="Arial" w:eastAsia="Times New Roman" w:hAnsi="Arial" w:cs="Arial"/>
          <w:sz w:val="24"/>
          <w:szCs w:val="24"/>
          <w:u w:val="single"/>
          <w:lang w:val="en-ZA" w:eastAsia="en-ZA"/>
        </w:rPr>
        <w:t>The appeal</w:t>
      </w:r>
    </w:p>
    <w:p w14:paraId="5834CC5B" w14:textId="73EFE6EE" w:rsidR="000D2293"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[26]</w:t>
      </w:r>
      <w:r w:rsidRPr="00DA7CFC">
        <w:rPr>
          <w:rFonts w:ascii="Arial" w:eastAsia="Times New Roman" w:hAnsi="Arial" w:cs="Arial"/>
          <w:sz w:val="24"/>
          <w:szCs w:val="24"/>
          <w:lang w:val="en-ZA" w:eastAsia="en-ZA"/>
        </w:rPr>
        <w:tab/>
      </w:r>
      <w:r w:rsidR="0095684E" w:rsidRPr="00A81732">
        <w:rPr>
          <w:rFonts w:ascii="Arial" w:eastAsia="Times New Roman" w:hAnsi="Arial" w:cs="Arial"/>
          <w:sz w:val="24"/>
          <w:szCs w:val="24"/>
          <w:lang w:val="en-ZA" w:eastAsia="en-ZA"/>
        </w:rPr>
        <w:t>The Cabinet Secretary impugns the High Court’s judgment and order on a very wide front.</w:t>
      </w:r>
      <w:r w:rsidR="00220E4A" w:rsidRPr="00A81732">
        <w:rPr>
          <w:rFonts w:ascii="Arial" w:eastAsia="Times New Roman" w:hAnsi="Arial" w:cs="Arial"/>
          <w:sz w:val="24"/>
          <w:szCs w:val="24"/>
          <w:lang w:val="en-ZA" w:eastAsia="en-ZA"/>
        </w:rPr>
        <w:t xml:space="preserve"> I will refer to only those grounds of appeal that are material to the outcome of the appeal.</w:t>
      </w:r>
      <w:r w:rsidR="00EE5FF1" w:rsidRPr="00A81732">
        <w:rPr>
          <w:rFonts w:ascii="Arial" w:eastAsia="Times New Roman" w:hAnsi="Arial" w:cs="Arial"/>
          <w:sz w:val="24"/>
          <w:szCs w:val="24"/>
          <w:lang w:val="en-ZA" w:eastAsia="en-ZA"/>
        </w:rPr>
        <w:t xml:space="preserve"> It is stated that the High Court erred in its interpretation of </w:t>
      </w:r>
      <w:r w:rsidR="002B76CE" w:rsidRPr="00A81732">
        <w:rPr>
          <w:rFonts w:ascii="Arial" w:eastAsia="Times New Roman" w:hAnsi="Arial" w:cs="Arial"/>
          <w:sz w:val="24"/>
          <w:szCs w:val="24"/>
          <w:lang w:val="en-ZA" w:eastAsia="en-ZA"/>
        </w:rPr>
        <w:t>A</w:t>
      </w:r>
      <w:r w:rsidR="00EE5FF1" w:rsidRPr="00A81732">
        <w:rPr>
          <w:rFonts w:ascii="Arial" w:eastAsia="Times New Roman" w:hAnsi="Arial" w:cs="Arial"/>
          <w:sz w:val="24"/>
          <w:szCs w:val="24"/>
          <w:lang w:val="en-ZA" w:eastAsia="en-ZA"/>
        </w:rPr>
        <w:t xml:space="preserve">rt 12(1)(e) as including the right in motion proceedings to a subpoena </w:t>
      </w:r>
      <w:r w:rsidR="00EE5FF1" w:rsidRPr="00A81732">
        <w:rPr>
          <w:rFonts w:ascii="Arial" w:eastAsia="Times New Roman" w:hAnsi="Arial" w:cs="Arial"/>
          <w:i/>
          <w:sz w:val="24"/>
          <w:szCs w:val="24"/>
          <w:lang w:val="en-ZA" w:eastAsia="en-ZA"/>
        </w:rPr>
        <w:t>duces tecum</w:t>
      </w:r>
      <w:r w:rsidR="00EE5FF1" w:rsidRPr="00A81732">
        <w:rPr>
          <w:rFonts w:ascii="Arial" w:eastAsia="Times New Roman" w:hAnsi="Arial" w:cs="Arial"/>
          <w:sz w:val="24"/>
          <w:szCs w:val="24"/>
          <w:lang w:val="en-ZA" w:eastAsia="en-ZA"/>
        </w:rPr>
        <w:t xml:space="preserve"> </w:t>
      </w:r>
      <w:r w:rsidR="000D2293" w:rsidRPr="00A81732">
        <w:rPr>
          <w:rFonts w:ascii="Arial" w:eastAsia="Times New Roman" w:hAnsi="Arial" w:cs="Arial"/>
          <w:sz w:val="24"/>
          <w:szCs w:val="24"/>
          <w:lang w:val="en-ZA" w:eastAsia="en-ZA"/>
        </w:rPr>
        <w:t>‘</w:t>
      </w:r>
      <w:r w:rsidR="004E476A" w:rsidRPr="00A81732">
        <w:rPr>
          <w:rFonts w:ascii="Arial" w:eastAsia="Times New Roman" w:hAnsi="Arial" w:cs="Arial"/>
          <w:sz w:val="24"/>
          <w:szCs w:val="24"/>
          <w:lang w:val="en-ZA" w:eastAsia="en-ZA"/>
        </w:rPr>
        <w:t>against a non-party</w:t>
      </w:r>
      <w:r w:rsidR="00A574F8" w:rsidRPr="00A81732">
        <w:rPr>
          <w:rFonts w:ascii="Arial" w:eastAsia="Times New Roman" w:hAnsi="Arial" w:cs="Arial"/>
          <w:sz w:val="24"/>
          <w:szCs w:val="24"/>
          <w:lang w:val="en-ZA" w:eastAsia="en-ZA"/>
        </w:rPr>
        <w:t xml:space="preserve"> . . . </w:t>
      </w:r>
      <w:r w:rsidR="00C41039" w:rsidRPr="00A81732">
        <w:rPr>
          <w:rFonts w:ascii="Arial" w:eastAsia="Times New Roman" w:hAnsi="Arial" w:cs="Arial"/>
          <w:sz w:val="24"/>
          <w:szCs w:val="24"/>
          <w:lang w:val="en-ZA" w:eastAsia="en-ZA"/>
        </w:rPr>
        <w:t>and in particular against members of the Cabinet to produce documents</w:t>
      </w:r>
      <w:r w:rsidR="00233F3D" w:rsidRPr="00A81732">
        <w:rPr>
          <w:rFonts w:ascii="Arial" w:eastAsia="Times New Roman" w:hAnsi="Arial" w:cs="Arial"/>
          <w:sz w:val="24"/>
          <w:szCs w:val="24"/>
          <w:lang w:val="en-ZA" w:eastAsia="en-ZA"/>
        </w:rPr>
        <w:t xml:space="preserve"> </w:t>
      </w:r>
      <w:r w:rsidR="00C41039" w:rsidRPr="00A81732">
        <w:rPr>
          <w:rFonts w:ascii="Arial" w:eastAsia="Times New Roman" w:hAnsi="Arial" w:cs="Arial"/>
          <w:sz w:val="24"/>
          <w:szCs w:val="24"/>
          <w:lang w:val="en-ZA" w:eastAsia="en-ZA"/>
        </w:rPr>
        <w:t xml:space="preserve"> </w:t>
      </w:r>
      <w:r w:rsidR="00233F3D" w:rsidRPr="00A81732">
        <w:rPr>
          <w:rFonts w:ascii="Arial" w:eastAsia="Times New Roman" w:hAnsi="Arial" w:cs="Arial"/>
          <w:sz w:val="24"/>
          <w:szCs w:val="24"/>
          <w:lang w:val="en-ZA" w:eastAsia="en-ZA"/>
        </w:rPr>
        <w:t xml:space="preserve">. . . </w:t>
      </w:r>
      <w:r w:rsidR="00C41039" w:rsidRPr="00A81732">
        <w:rPr>
          <w:rFonts w:ascii="Arial" w:eastAsia="Times New Roman" w:hAnsi="Arial" w:cs="Arial"/>
          <w:sz w:val="24"/>
          <w:szCs w:val="24"/>
          <w:lang w:val="en-ZA" w:eastAsia="en-ZA"/>
        </w:rPr>
        <w:t>for the purpose</w:t>
      </w:r>
      <w:r w:rsidR="00E70AEF" w:rsidRPr="00A81732">
        <w:rPr>
          <w:rFonts w:ascii="Arial" w:eastAsia="Times New Roman" w:hAnsi="Arial" w:cs="Arial"/>
          <w:sz w:val="24"/>
          <w:szCs w:val="24"/>
          <w:lang w:val="en-ZA" w:eastAsia="en-ZA"/>
        </w:rPr>
        <w:t xml:space="preserve"> of</w:t>
      </w:r>
      <w:r w:rsidR="00C41039" w:rsidRPr="00A81732">
        <w:rPr>
          <w:rFonts w:ascii="Arial" w:eastAsia="Times New Roman" w:hAnsi="Arial" w:cs="Arial"/>
          <w:sz w:val="24"/>
          <w:szCs w:val="24"/>
          <w:lang w:val="en-ZA" w:eastAsia="en-ZA"/>
        </w:rPr>
        <w:t xml:space="preserve"> </w:t>
      </w:r>
      <w:r w:rsidR="00066583" w:rsidRPr="00A81732">
        <w:rPr>
          <w:rFonts w:ascii="Arial" w:eastAsia="Times New Roman" w:hAnsi="Arial" w:cs="Arial"/>
          <w:sz w:val="24"/>
          <w:szCs w:val="24"/>
          <w:lang w:val="en-ZA" w:eastAsia="en-ZA"/>
        </w:rPr>
        <w:t>preparing</w:t>
      </w:r>
      <w:r w:rsidR="00233F3D" w:rsidRPr="00A81732">
        <w:rPr>
          <w:rFonts w:ascii="Arial" w:eastAsia="Times New Roman" w:hAnsi="Arial" w:cs="Arial"/>
          <w:sz w:val="24"/>
          <w:szCs w:val="24"/>
          <w:lang w:val="en-ZA" w:eastAsia="en-ZA"/>
        </w:rPr>
        <w:t xml:space="preserve"> . . . </w:t>
      </w:r>
      <w:r w:rsidR="00066583" w:rsidRPr="00A81732">
        <w:rPr>
          <w:rFonts w:ascii="Arial" w:eastAsia="Times New Roman" w:hAnsi="Arial" w:cs="Arial"/>
          <w:sz w:val="24"/>
          <w:szCs w:val="24"/>
          <w:lang w:val="en-ZA" w:eastAsia="en-ZA"/>
        </w:rPr>
        <w:t xml:space="preserve">answering affidavits and in the case of an Applicant for purposes of preparing </w:t>
      </w:r>
      <w:r w:rsidR="00233F3D" w:rsidRPr="00A81732">
        <w:rPr>
          <w:rFonts w:ascii="Arial" w:eastAsia="Times New Roman" w:hAnsi="Arial" w:cs="Arial"/>
          <w:sz w:val="24"/>
          <w:szCs w:val="24"/>
          <w:lang w:val="en-ZA" w:eastAsia="en-ZA"/>
        </w:rPr>
        <w:t xml:space="preserve">. . . </w:t>
      </w:r>
      <w:r w:rsidR="00066583" w:rsidRPr="00A81732">
        <w:rPr>
          <w:rFonts w:ascii="Arial" w:eastAsia="Times New Roman" w:hAnsi="Arial" w:cs="Arial"/>
          <w:sz w:val="24"/>
          <w:szCs w:val="24"/>
          <w:lang w:val="en-ZA" w:eastAsia="en-ZA"/>
        </w:rPr>
        <w:t xml:space="preserve"> case for institution’.</w:t>
      </w:r>
      <w:r w:rsidR="002B76CE" w:rsidRPr="00A81732">
        <w:rPr>
          <w:rFonts w:ascii="Arial" w:eastAsia="Times New Roman" w:hAnsi="Arial" w:cs="Arial"/>
          <w:sz w:val="24"/>
          <w:szCs w:val="24"/>
          <w:lang w:val="en-ZA" w:eastAsia="en-ZA"/>
        </w:rPr>
        <w:t xml:space="preserve"> </w:t>
      </w:r>
    </w:p>
    <w:p w14:paraId="54CD4421" w14:textId="77777777" w:rsidR="000D2293" w:rsidRPr="00DA7CFC" w:rsidRDefault="000D2293"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D8B70B3" w14:textId="7B0E00CD" w:rsidR="000D2293"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[27]</w:t>
      </w:r>
      <w:r w:rsidRPr="00DA7CFC">
        <w:rPr>
          <w:rFonts w:ascii="Arial" w:eastAsia="Times New Roman" w:hAnsi="Arial" w:cs="Arial"/>
          <w:sz w:val="24"/>
          <w:szCs w:val="24"/>
          <w:lang w:val="en-ZA" w:eastAsia="en-ZA"/>
        </w:rPr>
        <w:tab/>
      </w:r>
      <w:r w:rsidR="002B76CE" w:rsidRPr="00A81732">
        <w:rPr>
          <w:rFonts w:ascii="Arial" w:eastAsia="Times New Roman" w:hAnsi="Arial" w:cs="Arial"/>
          <w:sz w:val="24"/>
          <w:szCs w:val="24"/>
          <w:lang w:val="en-ZA" w:eastAsia="en-ZA"/>
        </w:rPr>
        <w:t xml:space="preserve">It is also said </w:t>
      </w:r>
      <w:r w:rsidR="00224D69" w:rsidRPr="00A81732">
        <w:rPr>
          <w:rFonts w:ascii="Arial" w:eastAsia="Times New Roman" w:hAnsi="Arial" w:cs="Arial"/>
          <w:sz w:val="24"/>
          <w:szCs w:val="24"/>
          <w:lang w:val="en-ZA" w:eastAsia="en-ZA"/>
        </w:rPr>
        <w:t xml:space="preserve">that ordering the </w:t>
      </w:r>
      <w:r w:rsidR="000D2293" w:rsidRPr="00A81732">
        <w:rPr>
          <w:rFonts w:ascii="Arial" w:eastAsia="Times New Roman" w:hAnsi="Arial" w:cs="Arial"/>
          <w:sz w:val="24"/>
          <w:szCs w:val="24"/>
          <w:lang w:val="en-ZA" w:eastAsia="en-ZA"/>
        </w:rPr>
        <w:t xml:space="preserve">A-G and the Cabinet Secretary </w:t>
      </w:r>
      <w:r w:rsidR="00224D69" w:rsidRPr="00A81732">
        <w:rPr>
          <w:rFonts w:ascii="Arial" w:eastAsia="Times New Roman" w:hAnsi="Arial" w:cs="Arial"/>
          <w:sz w:val="24"/>
          <w:szCs w:val="24"/>
          <w:lang w:val="en-ZA" w:eastAsia="en-ZA"/>
        </w:rPr>
        <w:t xml:space="preserve">to produce documents for the purpose of </w:t>
      </w:r>
      <w:r w:rsidR="00C12E50" w:rsidRPr="00A81732">
        <w:rPr>
          <w:rFonts w:ascii="Arial" w:eastAsia="Times New Roman" w:hAnsi="Arial" w:cs="Arial"/>
          <w:sz w:val="24"/>
          <w:szCs w:val="24"/>
          <w:lang w:val="en-ZA" w:eastAsia="en-ZA"/>
        </w:rPr>
        <w:t>Hollard</w:t>
      </w:r>
      <w:r w:rsidR="00224D69" w:rsidRPr="00A81732">
        <w:rPr>
          <w:rFonts w:ascii="Arial" w:eastAsia="Times New Roman" w:hAnsi="Arial" w:cs="Arial"/>
          <w:sz w:val="24"/>
          <w:szCs w:val="24"/>
          <w:lang w:val="en-ZA" w:eastAsia="en-ZA"/>
        </w:rPr>
        <w:t xml:space="preserve">’s preparation of its answering affidavit is ‘incompatible and inconsistent with the binding decision of this Court in Chairperson of the </w:t>
      </w:r>
      <w:r w:rsidR="00224D69" w:rsidRPr="00A81732">
        <w:rPr>
          <w:rFonts w:ascii="Arial" w:eastAsia="Times New Roman" w:hAnsi="Arial" w:cs="Arial"/>
          <w:i/>
          <w:sz w:val="24"/>
          <w:szCs w:val="24"/>
          <w:lang w:val="en-ZA" w:eastAsia="en-ZA"/>
        </w:rPr>
        <w:t>Tender Board v Pamo Trading</w:t>
      </w:r>
      <w:r w:rsidR="00411CF5" w:rsidRPr="00DA7CFC">
        <w:rPr>
          <w:rStyle w:val="FootnoteReference"/>
          <w:rFonts w:ascii="Arial" w:eastAsia="Times New Roman" w:hAnsi="Arial" w:cs="Arial"/>
          <w:i/>
          <w:sz w:val="24"/>
          <w:szCs w:val="24"/>
          <w:lang w:val="en-ZA" w:eastAsia="en-ZA"/>
        </w:rPr>
        <w:footnoteReference w:id="3"/>
      </w:r>
      <w:r w:rsidR="00E70AEF" w:rsidRPr="00A81732">
        <w:rPr>
          <w:rFonts w:ascii="Arial" w:eastAsia="Times New Roman" w:hAnsi="Arial" w:cs="Arial"/>
          <w:sz w:val="24"/>
          <w:szCs w:val="24"/>
          <w:lang w:val="en-ZA" w:eastAsia="en-ZA"/>
        </w:rPr>
        <w:t>’.</w:t>
      </w:r>
    </w:p>
    <w:p w14:paraId="2FFA05F1" w14:textId="77777777" w:rsidR="000D2293" w:rsidRPr="00DA7CFC" w:rsidRDefault="000D2293"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B2AD2D7" w14:textId="0606011B" w:rsidR="00224D69"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[28]</w:t>
      </w:r>
      <w:r w:rsidRPr="00DA7CFC">
        <w:rPr>
          <w:rFonts w:ascii="Arial" w:eastAsia="Times New Roman" w:hAnsi="Arial" w:cs="Arial"/>
          <w:sz w:val="24"/>
          <w:szCs w:val="24"/>
          <w:lang w:val="en-ZA" w:eastAsia="en-ZA"/>
        </w:rPr>
        <w:tab/>
      </w:r>
      <w:r w:rsidR="00C829E1" w:rsidRPr="00A81732">
        <w:rPr>
          <w:rFonts w:ascii="Arial" w:eastAsia="Times New Roman" w:hAnsi="Arial" w:cs="Arial"/>
          <w:sz w:val="24"/>
          <w:szCs w:val="24"/>
          <w:lang w:val="en-ZA" w:eastAsia="en-ZA"/>
        </w:rPr>
        <w:t>T</w:t>
      </w:r>
      <w:r w:rsidR="00224D69" w:rsidRPr="00A81732">
        <w:rPr>
          <w:rFonts w:ascii="Arial" w:eastAsia="Times New Roman" w:hAnsi="Arial" w:cs="Arial"/>
          <w:sz w:val="24"/>
          <w:szCs w:val="24"/>
          <w:lang w:val="en-ZA" w:eastAsia="en-ZA"/>
        </w:rPr>
        <w:t xml:space="preserve">he Cabinet Secretary also </w:t>
      </w:r>
      <w:r w:rsidR="00772FF2" w:rsidRPr="00A81732">
        <w:rPr>
          <w:rFonts w:ascii="Arial" w:eastAsia="Times New Roman" w:hAnsi="Arial" w:cs="Arial"/>
          <w:sz w:val="24"/>
          <w:szCs w:val="24"/>
          <w:lang w:val="en-ZA" w:eastAsia="en-ZA"/>
        </w:rPr>
        <w:t xml:space="preserve">attacks </w:t>
      </w:r>
      <w:r w:rsidR="00224D69" w:rsidRPr="00A81732">
        <w:rPr>
          <w:rFonts w:ascii="Arial" w:eastAsia="Times New Roman" w:hAnsi="Arial" w:cs="Arial"/>
          <w:sz w:val="24"/>
          <w:szCs w:val="24"/>
          <w:lang w:val="en-ZA" w:eastAsia="en-ZA"/>
        </w:rPr>
        <w:t xml:space="preserve">the court </w:t>
      </w:r>
      <w:r w:rsidR="00224D69" w:rsidRPr="00A81732">
        <w:rPr>
          <w:rFonts w:ascii="Arial" w:eastAsia="Times New Roman" w:hAnsi="Arial" w:cs="Arial"/>
          <w:i/>
          <w:sz w:val="24"/>
          <w:szCs w:val="24"/>
          <w:lang w:val="en-ZA" w:eastAsia="en-ZA"/>
        </w:rPr>
        <w:t>a quo’s</w:t>
      </w:r>
      <w:r w:rsidR="00224D69" w:rsidRPr="00A81732">
        <w:rPr>
          <w:rFonts w:ascii="Arial" w:eastAsia="Times New Roman" w:hAnsi="Arial" w:cs="Arial"/>
          <w:sz w:val="24"/>
          <w:szCs w:val="24"/>
          <w:lang w:val="en-ZA" w:eastAsia="en-ZA"/>
        </w:rPr>
        <w:t xml:space="preserve"> application of Rule 37 to motion proceedings.</w:t>
      </w:r>
      <w:r w:rsidR="00C233F8" w:rsidRPr="00A81732">
        <w:rPr>
          <w:rFonts w:ascii="Arial" w:eastAsia="Times New Roman" w:hAnsi="Arial" w:cs="Arial"/>
          <w:sz w:val="24"/>
          <w:szCs w:val="24"/>
          <w:lang w:val="en-ZA" w:eastAsia="en-ZA"/>
        </w:rPr>
        <w:t xml:space="preserve"> A further ground of appeal is that the High Court erred in </w:t>
      </w:r>
      <w:r w:rsidR="005254E2" w:rsidRPr="00A81732">
        <w:rPr>
          <w:rFonts w:ascii="Arial" w:eastAsia="Times New Roman" w:hAnsi="Arial" w:cs="Arial"/>
          <w:sz w:val="24"/>
          <w:szCs w:val="24"/>
          <w:lang w:val="en-ZA" w:eastAsia="en-ZA"/>
        </w:rPr>
        <w:t xml:space="preserve">holding </w:t>
      </w:r>
      <w:r w:rsidR="005254E2" w:rsidRPr="00A81732">
        <w:rPr>
          <w:rFonts w:ascii="Arial" w:eastAsia="Times New Roman" w:hAnsi="Arial" w:cs="Arial"/>
          <w:sz w:val="24"/>
          <w:szCs w:val="24"/>
          <w:lang w:val="en-ZA" w:eastAsia="en-ZA"/>
        </w:rPr>
        <w:lastRenderedPageBreak/>
        <w:t xml:space="preserve">that Hollard was entitled to seek leave from court to issue subpoenas </w:t>
      </w:r>
      <w:r w:rsidR="005254E2" w:rsidRPr="00A81732">
        <w:rPr>
          <w:rFonts w:ascii="Arial" w:eastAsia="Times New Roman" w:hAnsi="Arial" w:cs="Arial"/>
          <w:i/>
          <w:sz w:val="24"/>
          <w:szCs w:val="24"/>
          <w:lang w:val="en-ZA" w:eastAsia="en-ZA"/>
        </w:rPr>
        <w:t>duces tecum</w:t>
      </w:r>
      <w:r w:rsidR="005254E2" w:rsidRPr="00A81732">
        <w:rPr>
          <w:rFonts w:ascii="Arial" w:eastAsia="Times New Roman" w:hAnsi="Arial" w:cs="Arial"/>
          <w:sz w:val="24"/>
          <w:szCs w:val="24"/>
          <w:lang w:val="en-ZA" w:eastAsia="en-ZA"/>
        </w:rPr>
        <w:t xml:space="preserve"> without any notice to the two </w:t>
      </w:r>
      <w:r w:rsidR="002B76CE" w:rsidRPr="00A81732">
        <w:rPr>
          <w:rFonts w:ascii="Arial" w:eastAsia="Times New Roman" w:hAnsi="Arial" w:cs="Arial"/>
          <w:sz w:val="24"/>
          <w:szCs w:val="24"/>
          <w:lang w:val="en-ZA" w:eastAsia="en-ZA"/>
        </w:rPr>
        <w:t>officials</w:t>
      </w:r>
      <w:r w:rsidR="005254E2" w:rsidRPr="00A81732">
        <w:rPr>
          <w:rFonts w:ascii="Arial" w:eastAsia="Times New Roman" w:hAnsi="Arial" w:cs="Arial"/>
          <w:sz w:val="24"/>
          <w:szCs w:val="24"/>
          <w:lang w:val="en-ZA" w:eastAsia="en-ZA"/>
        </w:rPr>
        <w:t xml:space="preserve">. It is said in that regard that </w:t>
      </w:r>
      <w:r w:rsidR="002B76CE" w:rsidRPr="00A81732">
        <w:rPr>
          <w:rFonts w:ascii="Arial" w:eastAsia="Times New Roman" w:hAnsi="Arial" w:cs="Arial"/>
          <w:sz w:val="24"/>
          <w:szCs w:val="24"/>
          <w:lang w:val="en-ZA" w:eastAsia="en-ZA"/>
        </w:rPr>
        <w:t xml:space="preserve">because of </w:t>
      </w:r>
      <w:r w:rsidR="005254E2" w:rsidRPr="00A81732">
        <w:rPr>
          <w:rFonts w:ascii="Arial" w:eastAsia="Times New Roman" w:hAnsi="Arial" w:cs="Arial"/>
          <w:sz w:val="24"/>
          <w:szCs w:val="24"/>
          <w:lang w:val="en-ZA" w:eastAsia="en-ZA"/>
        </w:rPr>
        <w:t>the extraordinary nature of the subpoenas and the constitutional positions of the two officials, the High Court erred in</w:t>
      </w:r>
      <w:r w:rsidR="003B725D" w:rsidRPr="00A81732">
        <w:rPr>
          <w:rFonts w:ascii="Arial" w:eastAsia="Times New Roman" w:hAnsi="Arial" w:cs="Arial"/>
          <w:sz w:val="24"/>
          <w:szCs w:val="24"/>
          <w:lang w:val="en-ZA" w:eastAsia="en-ZA"/>
        </w:rPr>
        <w:t xml:space="preserve"> </w:t>
      </w:r>
      <w:r w:rsidR="005254E2" w:rsidRPr="00A81732">
        <w:rPr>
          <w:rFonts w:ascii="Arial" w:eastAsia="Times New Roman" w:hAnsi="Arial" w:cs="Arial"/>
          <w:sz w:val="24"/>
          <w:szCs w:val="24"/>
          <w:lang w:val="en-ZA" w:eastAsia="en-ZA"/>
        </w:rPr>
        <w:t xml:space="preserve">not finding that they were in the circumstances necessary parties with </w:t>
      </w:r>
      <w:r w:rsidR="002B76CE" w:rsidRPr="00A81732">
        <w:rPr>
          <w:rFonts w:ascii="Arial" w:eastAsia="Times New Roman" w:hAnsi="Arial" w:cs="Arial"/>
          <w:sz w:val="24"/>
          <w:szCs w:val="24"/>
          <w:lang w:val="en-ZA" w:eastAsia="en-ZA"/>
        </w:rPr>
        <w:t xml:space="preserve">a </w:t>
      </w:r>
      <w:r w:rsidR="005254E2" w:rsidRPr="00A81732">
        <w:rPr>
          <w:rFonts w:ascii="Arial" w:eastAsia="Times New Roman" w:hAnsi="Arial" w:cs="Arial"/>
          <w:sz w:val="24"/>
          <w:szCs w:val="24"/>
          <w:lang w:val="en-ZA" w:eastAsia="en-ZA"/>
        </w:rPr>
        <w:t>substantial direct interest in the issuance of the subpoena</w:t>
      </w:r>
      <w:r w:rsidR="00255C77" w:rsidRPr="00A81732">
        <w:rPr>
          <w:rFonts w:ascii="Arial" w:eastAsia="Times New Roman" w:hAnsi="Arial" w:cs="Arial"/>
          <w:sz w:val="24"/>
          <w:szCs w:val="24"/>
          <w:lang w:val="en-ZA" w:eastAsia="en-ZA"/>
        </w:rPr>
        <w:t xml:space="preserve">s </w:t>
      </w:r>
      <w:r w:rsidR="00255C77" w:rsidRPr="00A81732">
        <w:rPr>
          <w:rFonts w:ascii="Arial" w:eastAsia="Times New Roman" w:hAnsi="Arial" w:cs="Arial"/>
          <w:i/>
          <w:sz w:val="24"/>
          <w:szCs w:val="24"/>
          <w:lang w:val="en-ZA" w:eastAsia="en-ZA"/>
        </w:rPr>
        <w:t>duces tecum</w:t>
      </w:r>
      <w:r w:rsidR="009821AC" w:rsidRPr="00A81732">
        <w:rPr>
          <w:rFonts w:ascii="Arial" w:eastAsia="Times New Roman" w:hAnsi="Arial" w:cs="Arial"/>
          <w:sz w:val="24"/>
          <w:szCs w:val="24"/>
          <w:lang w:val="en-ZA" w:eastAsia="en-ZA"/>
        </w:rPr>
        <w:t>.</w:t>
      </w:r>
      <w:r w:rsidR="005254E2" w:rsidRPr="00A81732">
        <w:rPr>
          <w:rFonts w:ascii="Arial" w:eastAsia="Times New Roman" w:hAnsi="Arial" w:cs="Arial"/>
          <w:sz w:val="24"/>
          <w:szCs w:val="24"/>
          <w:lang w:val="en-ZA" w:eastAsia="en-ZA"/>
        </w:rPr>
        <w:t xml:space="preserve"> </w:t>
      </w:r>
    </w:p>
    <w:p w14:paraId="3B009D02" w14:textId="4DF1179D" w:rsidR="008B28FB" w:rsidRPr="00DA7CFC" w:rsidRDefault="008B28FB"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3E79151" w14:textId="080CEF8F" w:rsidR="00007E5E" w:rsidRPr="00DA7CFC" w:rsidRDefault="00C41406" w:rsidP="00007E5E">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DA7CFC">
        <w:rPr>
          <w:rFonts w:ascii="Arial" w:eastAsia="Times New Roman" w:hAnsi="Arial" w:cs="Arial"/>
          <w:sz w:val="24"/>
          <w:szCs w:val="24"/>
          <w:u w:val="single"/>
          <w:lang w:val="en-ZA" w:eastAsia="en-ZA"/>
        </w:rPr>
        <w:t>Submissions</w:t>
      </w:r>
    </w:p>
    <w:p w14:paraId="61658030" w14:textId="0DF390D3" w:rsidR="00446475" w:rsidRPr="00DA7CFC" w:rsidRDefault="00446475" w:rsidP="00007E5E">
      <w:pPr>
        <w:pStyle w:val="ListParagraph"/>
        <w:shd w:val="clear" w:color="auto" w:fill="FFFFFF"/>
        <w:spacing w:after="0" w:line="480" w:lineRule="auto"/>
        <w:ind w:left="0"/>
        <w:jc w:val="both"/>
        <w:rPr>
          <w:rFonts w:ascii="Arial" w:eastAsia="Times New Roman" w:hAnsi="Arial" w:cs="Arial"/>
          <w:i/>
          <w:sz w:val="24"/>
          <w:szCs w:val="24"/>
          <w:lang w:val="en-ZA" w:eastAsia="en-ZA"/>
        </w:rPr>
      </w:pPr>
      <w:r w:rsidRPr="00DA7CFC">
        <w:rPr>
          <w:rFonts w:ascii="Arial" w:eastAsia="Times New Roman" w:hAnsi="Arial" w:cs="Arial"/>
          <w:i/>
          <w:sz w:val="24"/>
          <w:szCs w:val="24"/>
          <w:lang w:val="en-ZA" w:eastAsia="en-ZA"/>
        </w:rPr>
        <w:t>The Cabinet Secretary</w:t>
      </w:r>
    </w:p>
    <w:p w14:paraId="01B82D30" w14:textId="240AA451" w:rsidR="000F7F2C"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[29]</w:t>
      </w:r>
      <w:r w:rsidRPr="00DA7CFC">
        <w:rPr>
          <w:rFonts w:ascii="Arial" w:eastAsia="Times New Roman" w:hAnsi="Arial" w:cs="Arial"/>
          <w:sz w:val="24"/>
          <w:szCs w:val="24"/>
          <w:lang w:val="en-ZA" w:eastAsia="en-ZA"/>
        </w:rPr>
        <w:tab/>
      </w:r>
      <w:r w:rsidR="00C3166B" w:rsidRPr="00A81732">
        <w:rPr>
          <w:rFonts w:ascii="Arial" w:eastAsia="Times New Roman" w:hAnsi="Arial" w:cs="Arial"/>
          <w:sz w:val="24"/>
          <w:szCs w:val="24"/>
          <w:lang w:val="en-ZA" w:eastAsia="en-ZA"/>
        </w:rPr>
        <w:t>The Cabinet Secretary’s written and oral submissions in substance mirror the grounds of appeal and I do not find it necessary to regurgitate them especially in the view that I take of the outcome of the appeal.</w:t>
      </w:r>
    </w:p>
    <w:p w14:paraId="2B754EE8" w14:textId="77777777" w:rsidR="00E711E7" w:rsidRPr="00DA7CFC" w:rsidRDefault="00E711E7" w:rsidP="00007E5E">
      <w:pPr>
        <w:pStyle w:val="ListParagraph"/>
        <w:shd w:val="clear" w:color="auto" w:fill="FFFFFF"/>
        <w:spacing w:after="0" w:line="480" w:lineRule="auto"/>
        <w:ind w:left="0"/>
        <w:jc w:val="both"/>
        <w:rPr>
          <w:rFonts w:ascii="Arial" w:eastAsia="Times New Roman" w:hAnsi="Arial" w:cs="Arial"/>
          <w:i/>
          <w:sz w:val="24"/>
          <w:szCs w:val="24"/>
          <w:lang w:val="en-ZA" w:eastAsia="en-ZA"/>
        </w:rPr>
      </w:pPr>
    </w:p>
    <w:p w14:paraId="4EFE4B94" w14:textId="0CA64303" w:rsidR="00446475" w:rsidRPr="00DA7CFC" w:rsidRDefault="00446475" w:rsidP="00007E5E">
      <w:pPr>
        <w:pStyle w:val="ListParagraph"/>
        <w:shd w:val="clear" w:color="auto" w:fill="FFFFFF"/>
        <w:spacing w:after="0" w:line="480" w:lineRule="auto"/>
        <w:ind w:left="0"/>
        <w:jc w:val="both"/>
        <w:rPr>
          <w:rFonts w:ascii="Arial" w:eastAsia="Times New Roman" w:hAnsi="Arial" w:cs="Arial"/>
          <w:i/>
          <w:sz w:val="24"/>
          <w:szCs w:val="24"/>
          <w:lang w:val="en-ZA" w:eastAsia="en-ZA"/>
        </w:rPr>
      </w:pPr>
      <w:r w:rsidRPr="00DA7CFC">
        <w:rPr>
          <w:rFonts w:ascii="Arial" w:eastAsia="Times New Roman" w:hAnsi="Arial" w:cs="Arial"/>
          <w:i/>
          <w:sz w:val="24"/>
          <w:szCs w:val="24"/>
          <w:lang w:val="en-ZA" w:eastAsia="en-ZA"/>
        </w:rPr>
        <w:t>Hollard</w:t>
      </w:r>
    </w:p>
    <w:p w14:paraId="5FA149B9" w14:textId="55BAD0C2" w:rsidR="0001415D"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[30]</w:t>
      </w:r>
      <w:r w:rsidRPr="00DA7CFC">
        <w:rPr>
          <w:rFonts w:ascii="Arial" w:eastAsia="Times New Roman" w:hAnsi="Arial" w:cs="Arial"/>
          <w:sz w:val="24"/>
          <w:szCs w:val="24"/>
          <w:lang w:val="en-ZA" w:eastAsia="en-ZA"/>
        </w:rPr>
        <w:tab/>
      </w:r>
      <w:r w:rsidR="00446475" w:rsidRPr="00A81732">
        <w:rPr>
          <w:rFonts w:ascii="Arial" w:eastAsia="Times New Roman" w:hAnsi="Arial" w:cs="Arial"/>
          <w:sz w:val="24"/>
          <w:szCs w:val="24"/>
          <w:lang w:val="en-ZA" w:eastAsia="en-ZA"/>
        </w:rPr>
        <w:t xml:space="preserve">In </w:t>
      </w:r>
      <w:r w:rsidR="009821AC" w:rsidRPr="00A81732">
        <w:rPr>
          <w:rFonts w:ascii="Arial" w:eastAsia="Times New Roman" w:hAnsi="Arial" w:cs="Arial"/>
          <w:sz w:val="24"/>
          <w:szCs w:val="24"/>
          <w:lang w:val="en-ZA" w:eastAsia="en-ZA"/>
        </w:rPr>
        <w:t xml:space="preserve">its </w:t>
      </w:r>
      <w:r w:rsidR="00A939E2" w:rsidRPr="00A81732">
        <w:rPr>
          <w:rFonts w:ascii="Arial" w:eastAsia="Times New Roman" w:hAnsi="Arial" w:cs="Arial"/>
          <w:sz w:val="24"/>
          <w:szCs w:val="24"/>
          <w:lang w:val="en-ZA" w:eastAsia="en-ZA"/>
        </w:rPr>
        <w:t>written heads of argument</w:t>
      </w:r>
      <w:r w:rsidR="00446475" w:rsidRPr="00A81732">
        <w:rPr>
          <w:rFonts w:ascii="Arial" w:eastAsia="Times New Roman" w:hAnsi="Arial" w:cs="Arial"/>
          <w:sz w:val="24"/>
          <w:szCs w:val="24"/>
          <w:lang w:val="en-ZA" w:eastAsia="en-ZA"/>
        </w:rPr>
        <w:t xml:space="preserve"> Hollard supports </w:t>
      </w:r>
      <w:r w:rsidR="00FE7387" w:rsidRPr="00A81732">
        <w:rPr>
          <w:rFonts w:ascii="Arial" w:eastAsia="Times New Roman" w:hAnsi="Arial" w:cs="Arial"/>
          <w:sz w:val="24"/>
          <w:szCs w:val="24"/>
          <w:lang w:val="en-ZA" w:eastAsia="en-ZA"/>
        </w:rPr>
        <w:t xml:space="preserve">the </w:t>
      </w:r>
      <w:r w:rsidR="00446475" w:rsidRPr="00A81732">
        <w:rPr>
          <w:rFonts w:ascii="Arial" w:eastAsia="Times New Roman" w:hAnsi="Arial" w:cs="Arial"/>
          <w:sz w:val="24"/>
          <w:szCs w:val="24"/>
          <w:lang w:val="en-ZA" w:eastAsia="en-ZA"/>
        </w:rPr>
        <w:t>High Court’s judgment and order</w:t>
      </w:r>
      <w:r w:rsidR="00C3166B" w:rsidRPr="00A81732">
        <w:rPr>
          <w:rFonts w:ascii="Arial" w:eastAsia="Times New Roman" w:hAnsi="Arial" w:cs="Arial"/>
          <w:sz w:val="24"/>
          <w:szCs w:val="24"/>
          <w:lang w:val="en-ZA" w:eastAsia="en-ZA"/>
        </w:rPr>
        <w:t>,</w:t>
      </w:r>
      <w:r w:rsidR="00446475" w:rsidRPr="00A81732">
        <w:rPr>
          <w:rFonts w:ascii="Arial" w:eastAsia="Times New Roman" w:hAnsi="Arial" w:cs="Arial"/>
          <w:sz w:val="24"/>
          <w:szCs w:val="24"/>
          <w:lang w:val="en-ZA" w:eastAsia="en-ZA"/>
        </w:rPr>
        <w:t xml:space="preserve"> </w:t>
      </w:r>
      <w:r w:rsidR="00FE7387" w:rsidRPr="00A81732">
        <w:rPr>
          <w:rFonts w:ascii="Arial" w:eastAsia="Times New Roman" w:hAnsi="Arial" w:cs="Arial"/>
          <w:sz w:val="24"/>
          <w:szCs w:val="24"/>
          <w:lang w:val="en-ZA" w:eastAsia="en-ZA"/>
        </w:rPr>
        <w:t xml:space="preserve">principally as validating </w:t>
      </w:r>
      <w:r w:rsidR="00ED611A" w:rsidRPr="00A81732">
        <w:rPr>
          <w:rFonts w:ascii="Arial" w:eastAsia="Times New Roman" w:hAnsi="Arial" w:cs="Arial"/>
          <w:sz w:val="24"/>
          <w:szCs w:val="24"/>
          <w:lang w:val="en-ZA" w:eastAsia="en-ZA"/>
        </w:rPr>
        <w:t xml:space="preserve">its alleged right </w:t>
      </w:r>
      <w:r w:rsidR="00A939E2" w:rsidRPr="00A81732">
        <w:rPr>
          <w:rFonts w:ascii="Arial" w:eastAsia="Times New Roman" w:hAnsi="Arial" w:cs="Arial"/>
          <w:sz w:val="24"/>
          <w:szCs w:val="24"/>
          <w:lang w:val="en-ZA" w:eastAsia="en-ZA"/>
        </w:rPr>
        <w:t xml:space="preserve">to fair trial </w:t>
      </w:r>
      <w:r w:rsidR="00FE7387" w:rsidRPr="00A81732">
        <w:rPr>
          <w:rFonts w:ascii="Arial" w:eastAsia="Times New Roman" w:hAnsi="Arial" w:cs="Arial"/>
          <w:sz w:val="24"/>
          <w:szCs w:val="24"/>
          <w:lang w:val="en-ZA" w:eastAsia="en-ZA"/>
        </w:rPr>
        <w:t xml:space="preserve">under </w:t>
      </w:r>
      <w:r w:rsidR="00A42D44" w:rsidRPr="00A81732">
        <w:rPr>
          <w:rFonts w:ascii="Arial" w:eastAsia="Times New Roman" w:hAnsi="Arial" w:cs="Arial"/>
          <w:sz w:val="24"/>
          <w:szCs w:val="24"/>
          <w:lang w:val="en-ZA" w:eastAsia="en-ZA"/>
        </w:rPr>
        <w:t>Art</w:t>
      </w:r>
      <w:r w:rsidR="00FE7387" w:rsidRPr="00A81732">
        <w:rPr>
          <w:rFonts w:ascii="Arial" w:eastAsia="Times New Roman" w:hAnsi="Arial" w:cs="Arial"/>
          <w:sz w:val="24"/>
          <w:szCs w:val="24"/>
          <w:lang w:val="en-ZA" w:eastAsia="en-ZA"/>
        </w:rPr>
        <w:t xml:space="preserve"> 12(1)(e).</w:t>
      </w:r>
      <w:r w:rsidR="00ED611A" w:rsidRPr="00A81732">
        <w:rPr>
          <w:rFonts w:ascii="Arial" w:eastAsia="Times New Roman" w:hAnsi="Arial" w:cs="Arial"/>
          <w:sz w:val="24"/>
          <w:szCs w:val="24"/>
          <w:lang w:val="en-ZA" w:eastAsia="en-ZA"/>
        </w:rPr>
        <w:t xml:space="preserve"> </w:t>
      </w:r>
      <w:r w:rsidR="00DA656B" w:rsidRPr="00A81732">
        <w:rPr>
          <w:rFonts w:ascii="Arial" w:eastAsia="Times New Roman" w:hAnsi="Arial" w:cs="Arial"/>
          <w:sz w:val="24"/>
          <w:szCs w:val="24"/>
          <w:lang w:val="en-ZA" w:eastAsia="en-ZA"/>
        </w:rPr>
        <w:t xml:space="preserve">That right, the argument goes, is not sourced in Rule 37 of the High Court Rules. </w:t>
      </w:r>
      <w:r w:rsidR="0001415D" w:rsidRPr="00A81732">
        <w:rPr>
          <w:rFonts w:ascii="Arial" w:eastAsia="Times New Roman" w:hAnsi="Arial" w:cs="Arial"/>
          <w:sz w:val="24"/>
          <w:szCs w:val="24"/>
          <w:lang w:val="en-ZA" w:eastAsia="en-ZA"/>
        </w:rPr>
        <w:t>It was argued</w:t>
      </w:r>
      <w:r w:rsidR="00026579" w:rsidRPr="00DA7CFC">
        <w:rPr>
          <w:rStyle w:val="FootnoteReference"/>
          <w:rFonts w:ascii="Arial" w:eastAsia="Times New Roman" w:hAnsi="Arial" w:cs="Arial"/>
          <w:sz w:val="24"/>
          <w:szCs w:val="24"/>
          <w:lang w:val="en-ZA" w:eastAsia="en-ZA"/>
        </w:rPr>
        <w:footnoteReference w:id="4"/>
      </w:r>
      <w:r w:rsidR="0001415D" w:rsidRPr="00A81732">
        <w:rPr>
          <w:rFonts w:ascii="Arial" w:eastAsia="Times New Roman" w:hAnsi="Arial" w:cs="Arial"/>
          <w:sz w:val="24"/>
          <w:szCs w:val="24"/>
          <w:lang w:val="en-ZA" w:eastAsia="en-ZA"/>
        </w:rPr>
        <w:t xml:space="preserve"> that the court retains an inherent jurisdiction ‘to adapt its procedure in circumstances where the rules of court or the common law</w:t>
      </w:r>
      <w:r w:rsidR="00026579" w:rsidRPr="00A81732">
        <w:rPr>
          <w:rFonts w:ascii="Arial" w:eastAsia="Times New Roman" w:hAnsi="Arial" w:cs="Arial"/>
          <w:sz w:val="24"/>
          <w:szCs w:val="24"/>
          <w:lang w:val="en-ZA" w:eastAsia="en-ZA"/>
        </w:rPr>
        <w:t xml:space="preserve"> do not make provision for a particular need or right’</w:t>
      </w:r>
      <w:r w:rsidR="00E110F8" w:rsidRPr="00A81732">
        <w:rPr>
          <w:rFonts w:ascii="Arial" w:eastAsia="Times New Roman" w:hAnsi="Arial" w:cs="Arial"/>
          <w:sz w:val="24"/>
          <w:szCs w:val="24"/>
          <w:lang w:val="en-ZA" w:eastAsia="en-ZA"/>
        </w:rPr>
        <w:t>.</w:t>
      </w:r>
      <w:r w:rsidR="00C3166B" w:rsidRPr="00A81732">
        <w:rPr>
          <w:rFonts w:ascii="Arial" w:eastAsia="Times New Roman" w:hAnsi="Arial" w:cs="Arial"/>
          <w:sz w:val="24"/>
          <w:szCs w:val="24"/>
          <w:lang w:val="en-ZA" w:eastAsia="en-ZA"/>
        </w:rPr>
        <w:t xml:space="preserve"> </w:t>
      </w:r>
    </w:p>
    <w:p w14:paraId="232A3C3A" w14:textId="77777777" w:rsidR="0001415D" w:rsidRPr="00DA7CFC" w:rsidRDefault="0001415D"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52B2DB5" w14:textId="57B13917" w:rsidR="00A939E2"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[31]</w:t>
      </w:r>
      <w:r w:rsidRPr="00DA7CFC">
        <w:rPr>
          <w:rFonts w:ascii="Arial" w:eastAsia="Times New Roman" w:hAnsi="Arial" w:cs="Arial"/>
          <w:sz w:val="24"/>
          <w:szCs w:val="24"/>
          <w:lang w:val="en-ZA" w:eastAsia="en-ZA"/>
        </w:rPr>
        <w:tab/>
      </w:r>
      <w:r w:rsidR="00DA656B" w:rsidRPr="00A81732">
        <w:rPr>
          <w:rFonts w:ascii="Arial" w:eastAsia="Times New Roman" w:hAnsi="Arial" w:cs="Arial"/>
          <w:sz w:val="24"/>
          <w:szCs w:val="24"/>
          <w:lang w:val="en-ZA" w:eastAsia="en-ZA"/>
        </w:rPr>
        <w:t xml:space="preserve">It is </w:t>
      </w:r>
      <w:r w:rsidR="00A939E2" w:rsidRPr="00A81732">
        <w:rPr>
          <w:rFonts w:ascii="Arial" w:eastAsia="Times New Roman" w:hAnsi="Arial" w:cs="Arial"/>
          <w:sz w:val="24"/>
          <w:szCs w:val="24"/>
          <w:lang w:val="en-ZA" w:eastAsia="en-ZA"/>
        </w:rPr>
        <w:t xml:space="preserve">stated </w:t>
      </w:r>
      <w:r w:rsidR="00DA656B" w:rsidRPr="00A81732">
        <w:rPr>
          <w:rFonts w:ascii="Arial" w:eastAsia="Times New Roman" w:hAnsi="Arial" w:cs="Arial"/>
          <w:sz w:val="24"/>
          <w:szCs w:val="24"/>
          <w:lang w:val="en-ZA" w:eastAsia="en-ZA"/>
        </w:rPr>
        <w:t xml:space="preserve">that to the extent that the High Court invoked </w:t>
      </w:r>
      <w:r w:rsidR="003742E4" w:rsidRPr="00A81732">
        <w:rPr>
          <w:rFonts w:ascii="Arial" w:eastAsia="Times New Roman" w:hAnsi="Arial" w:cs="Arial"/>
          <w:sz w:val="24"/>
          <w:szCs w:val="24"/>
          <w:lang w:val="en-ZA" w:eastAsia="en-ZA"/>
        </w:rPr>
        <w:t xml:space="preserve">Rule 37 </w:t>
      </w:r>
      <w:r w:rsidR="00DA656B" w:rsidRPr="00A81732">
        <w:rPr>
          <w:rFonts w:ascii="Arial" w:eastAsia="Times New Roman" w:hAnsi="Arial" w:cs="Arial"/>
          <w:sz w:val="24"/>
          <w:szCs w:val="24"/>
          <w:lang w:val="en-ZA" w:eastAsia="en-ZA"/>
        </w:rPr>
        <w:t xml:space="preserve">and adapted it to motion proceedings through a purposive interpretation, it did so </w:t>
      </w:r>
      <w:r w:rsidR="00DA656B" w:rsidRPr="00A81732">
        <w:rPr>
          <w:rFonts w:ascii="Arial" w:eastAsia="Times New Roman" w:hAnsi="Arial" w:cs="Arial"/>
          <w:i/>
          <w:sz w:val="24"/>
          <w:szCs w:val="24"/>
          <w:lang w:val="en-ZA" w:eastAsia="en-ZA"/>
        </w:rPr>
        <w:t>obiter</w:t>
      </w:r>
      <w:r w:rsidR="00DA656B" w:rsidRPr="00A81732">
        <w:rPr>
          <w:rFonts w:ascii="Arial" w:eastAsia="Times New Roman" w:hAnsi="Arial" w:cs="Arial"/>
          <w:sz w:val="24"/>
          <w:szCs w:val="24"/>
          <w:lang w:val="en-ZA" w:eastAsia="en-ZA"/>
        </w:rPr>
        <w:t>.</w:t>
      </w:r>
      <w:r w:rsidR="003742E4" w:rsidRPr="00A81732">
        <w:rPr>
          <w:rFonts w:ascii="Arial" w:eastAsia="Times New Roman" w:hAnsi="Arial" w:cs="Arial"/>
          <w:sz w:val="24"/>
          <w:szCs w:val="24"/>
          <w:lang w:val="en-ZA" w:eastAsia="en-ZA"/>
        </w:rPr>
        <w:t xml:space="preserve"> The gravamen of Hollard’s opposition to the Cabinet Secretary’s appeal is that </w:t>
      </w:r>
      <w:r w:rsidR="0034256A" w:rsidRPr="00A81732">
        <w:rPr>
          <w:rFonts w:ascii="Arial" w:eastAsia="Times New Roman" w:hAnsi="Arial" w:cs="Arial"/>
          <w:sz w:val="24"/>
          <w:szCs w:val="24"/>
          <w:lang w:val="en-ZA" w:eastAsia="en-ZA"/>
        </w:rPr>
        <w:t xml:space="preserve">the </w:t>
      </w:r>
      <w:r w:rsidR="0034256A" w:rsidRPr="00A81732">
        <w:rPr>
          <w:rFonts w:ascii="Arial" w:eastAsia="Times New Roman" w:hAnsi="Arial" w:cs="Arial"/>
          <w:sz w:val="24"/>
          <w:szCs w:val="24"/>
          <w:lang w:val="en-ZA" w:eastAsia="en-ZA"/>
        </w:rPr>
        <w:lastRenderedPageBreak/>
        <w:t xml:space="preserve">objections raised in the rescission application to the subpoena </w:t>
      </w:r>
      <w:r w:rsidR="0034256A" w:rsidRPr="00A81732">
        <w:rPr>
          <w:rFonts w:ascii="Arial" w:eastAsia="Times New Roman" w:hAnsi="Arial" w:cs="Arial"/>
          <w:i/>
          <w:sz w:val="24"/>
          <w:szCs w:val="24"/>
          <w:lang w:val="en-ZA" w:eastAsia="en-ZA"/>
        </w:rPr>
        <w:t>duces tecum</w:t>
      </w:r>
      <w:r w:rsidR="0034256A" w:rsidRPr="00A81732">
        <w:rPr>
          <w:rFonts w:ascii="Arial" w:eastAsia="Times New Roman" w:hAnsi="Arial" w:cs="Arial"/>
          <w:sz w:val="24"/>
          <w:szCs w:val="24"/>
          <w:lang w:val="en-ZA" w:eastAsia="en-ZA"/>
        </w:rPr>
        <w:t xml:space="preserve"> </w:t>
      </w:r>
      <w:r w:rsidR="000F7F2C" w:rsidRPr="00A81732">
        <w:rPr>
          <w:rFonts w:ascii="Arial" w:eastAsia="Times New Roman" w:hAnsi="Arial" w:cs="Arial"/>
          <w:sz w:val="24"/>
          <w:szCs w:val="24"/>
          <w:lang w:val="en-ZA" w:eastAsia="en-ZA"/>
        </w:rPr>
        <w:t xml:space="preserve">did not disclose any valid defence for its setting aside. </w:t>
      </w:r>
    </w:p>
    <w:p w14:paraId="3973A641" w14:textId="77777777" w:rsidR="00A939E2" w:rsidRPr="00DA7CFC" w:rsidRDefault="00A939E2"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407AAE5" w14:textId="78C0FFD5" w:rsidR="00446475"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[32]</w:t>
      </w:r>
      <w:r w:rsidRPr="00DA7CFC">
        <w:rPr>
          <w:rFonts w:ascii="Arial" w:eastAsia="Times New Roman" w:hAnsi="Arial" w:cs="Arial"/>
          <w:sz w:val="24"/>
          <w:szCs w:val="24"/>
          <w:lang w:val="en-ZA" w:eastAsia="en-ZA"/>
        </w:rPr>
        <w:tab/>
      </w:r>
      <w:r w:rsidR="000F7F2C" w:rsidRPr="00A81732">
        <w:rPr>
          <w:rFonts w:ascii="Arial" w:eastAsia="Times New Roman" w:hAnsi="Arial" w:cs="Arial"/>
          <w:sz w:val="24"/>
          <w:szCs w:val="24"/>
          <w:lang w:val="en-ZA" w:eastAsia="en-ZA"/>
        </w:rPr>
        <w:t xml:space="preserve">Hollard rejected </w:t>
      </w:r>
      <w:r w:rsidR="00C01F66" w:rsidRPr="00A81732">
        <w:rPr>
          <w:rFonts w:ascii="Arial" w:eastAsia="Times New Roman" w:hAnsi="Arial" w:cs="Arial"/>
          <w:sz w:val="24"/>
          <w:szCs w:val="24"/>
          <w:lang w:val="en-ZA" w:eastAsia="en-ZA"/>
        </w:rPr>
        <w:t xml:space="preserve">the notion that Cabinet deliberations </w:t>
      </w:r>
      <w:r w:rsidR="00F046AD" w:rsidRPr="00A81732">
        <w:rPr>
          <w:rFonts w:ascii="Arial" w:eastAsia="Times New Roman" w:hAnsi="Arial" w:cs="Arial"/>
          <w:sz w:val="24"/>
          <w:szCs w:val="24"/>
          <w:lang w:val="en-ZA" w:eastAsia="en-ZA"/>
        </w:rPr>
        <w:t xml:space="preserve">should </w:t>
      </w:r>
      <w:r w:rsidR="00C01F66" w:rsidRPr="00A81732">
        <w:rPr>
          <w:rFonts w:ascii="Arial" w:eastAsia="Times New Roman" w:hAnsi="Arial" w:cs="Arial"/>
          <w:sz w:val="24"/>
          <w:szCs w:val="24"/>
          <w:lang w:val="en-ZA" w:eastAsia="en-ZA"/>
        </w:rPr>
        <w:t>be accorded special status.</w:t>
      </w:r>
      <w:r w:rsidR="009B17CC" w:rsidRPr="00A81732">
        <w:rPr>
          <w:rFonts w:ascii="Arial" w:eastAsia="Times New Roman" w:hAnsi="Arial" w:cs="Arial"/>
          <w:sz w:val="24"/>
          <w:szCs w:val="24"/>
          <w:lang w:val="en-ZA" w:eastAsia="en-ZA"/>
        </w:rPr>
        <w:t xml:space="preserve"> </w:t>
      </w:r>
      <w:r w:rsidR="00797DDA" w:rsidRPr="00A81732">
        <w:rPr>
          <w:rFonts w:ascii="Arial" w:eastAsia="Times New Roman" w:hAnsi="Arial" w:cs="Arial"/>
          <w:sz w:val="24"/>
          <w:szCs w:val="24"/>
          <w:lang w:val="en-ZA" w:eastAsia="en-ZA"/>
        </w:rPr>
        <w:t>In the latter respect it relied on comparative jurisprudence</w:t>
      </w:r>
      <w:r w:rsidR="005F57D4" w:rsidRPr="00DA7CFC">
        <w:rPr>
          <w:rStyle w:val="FootnoteReference"/>
          <w:rFonts w:ascii="Arial" w:eastAsia="Times New Roman" w:hAnsi="Arial" w:cs="Arial"/>
          <w:sz w:val="24"/>
          <w:szCs w:val="24"/>
          <w:lang w:val="en-ZA" w:eastAsia="en-ZA"/>
        </w:rPr>
        <w:footnoteReference w:id="5"/>
      </w:r>
      <w:r w:rsidR="00797DDA" w:rsidRPr="00A81732">
        <w:rPr>
          <w:rFonts w:ascii="Arial" w:eastAsia="Times New Roman" w:hAnsi="Arial" w:cs="Arial"/>
          <w:sz w:val="24"/>
          <w:szCs w:val="24"/>
          <w:lang w:val="en-ZA" w:eastAsia="en-ZA"/>
        </w:rPr>
        <w:t xml:space="preserve"> and a decision</w:t>
      </w:r>
      <w:r w:rsidR="009829EA" w:rsidRPr="00DA7CFC">
        <w:rPr>
          <w:rStyle w:val="FootnoteReference"/>
          <w:rFonts w:ascii="Arial" w:eastAsia="Times New Roman" w:hAnsi="Arial" w:cs="Arial"/>
          <w:sz w:val="24"/>
          <w:szCs w:val="24"/>
          <w:lang w:val="en-ZA" w:eastAsia="en-ZA"/>
        </w:rPr>
        <w:footnoteReference w:id="6"/>
      </w:r>
      <w:r w:rsidR="00797DDA" w:rsidRPr="00A81732">
        <w:rPr>
          <w:rFonts w:ascii="Arial" w:eastAsia="Times New Roman" w:hAnsi="Arial" w:cs="Arial"/>
          <w:sz w:val="24"/>
          <w:szCs w:val="24"/>
          <w:lang w:val="en-ZA" w:eastAsia="en-ZA"/>
        </w:rPr>
        <w:t xml:space="preserve"> of the High Court of Namibia which it claims establish the principle that Cabinet deliberations are not immune to discovery and that if the government wishes to suppress disclosure</w:t>
      </w:r>
      <w:r w:rsidR="008877BE" w:rsidRPr="00A81732">
        <w:rPr>
          <w:rFonts w:ascii="Arial" w:eastAsia="Times New Roman" w:hAnsi="Arial" w:cs="Arial"/>
          <w:sz w:val="24"/>
          <w:szCs w:val="24"/>
          <w:lang w:val="en-ZA" w:eastAsia="en-ZA"/>
        </w:rPr>
        <w:t>,</w:t>
      </w:r>
      <w:r w:rsidR="00797DDA" w:rsidRPr="00A81732">
        <w:rPr>
          <w:rFonts w:ascii="Arial" w:eastAsia="Times New Roman" w:hAnsi="Arial" w:cs="Arial"/>
          <w:sz w:val="24"/>
          <w:szCs w:val="24"/>
          <w:lang w:val="en-ZA" w:eastAsia="en-ZA"/>
        </w:rPr>
        <w:t xml:space="preserve"> it bears the onus.</w:t>
      </w:r>
      <w:r w:rsidR="00E2083F" w:rsidRPr="00A81732">
        <w:rPr>
          <w:rFonts w:ascii="Arial" w:eastAsia="Times New Roman" w:hAnsi="Arial" w:cs="Arial"/>
          <w:sz w:val="24"/>
          <w:szCs w:val="24"/>
          <w:lang w:val="en-ZA" w:eastAsia="en-ZA"/>
        </w:rPr>
        <w:t xml:space="preserve"> Hollard submitted </w:t>
      </w:r>
      <w:r w:rsidR="004D6124" w:rsidRPr="00A81732">
        <w:rPr>
          <w:rFonts w:ascii="Arial" w:eastAsia="Times New Roman" w:hAnsi="Arial" w:cs="Arial"/>
          <w:sz w:val="24"/>
          <w:szCs w:val="24"/>
          <w:lang w:val="en-ZA" w:eastAsia="en-ZA"/>
        </w:rPr>
        <w:t xml:space="preserve">further </w:t>
      </w:r>
      <w:r w:rsidR="00E2083F" w:rsidRPr="00A81732">
        <w:rPr>
          <w:rFonts w:ascii="Arial" w:eastAsia="Times New Roman" w:hAnsi="Arial" w:cs="Arial"/>
          <w:sz w:val="24"/>
          <w:szCs w:val="24"/>
          <w:lang w:val="en-ZA" w:eastAsia="en-ZA"/>
        </w:rPr>
        <w:t xml:space="preserve">that without access to the information it seeks, it will not be able to defend itself meaningfully against Gondwana’s claim and that the information </w:t>
      </w:r>
      <w:r w:rsidR="0049496D" w:rsidRPr="00A81732">
        <w:rPr>
          <w:rFonts w:ascii="Arial" w:eastAsia="Times New Roman" w:hAnsi="Arial" w:cs="Arial"/>
          <w:sz w:val="24"/>
          <w:szCs w:val="24"/>
          <w:lang w:val="en-ZA" w:eastAsia="en-ZA"/>
        </w:rPr>
        <w:t>relates to decisions taken by the government in the public interest</w:t>
      </w:r>
      <w:r w:rsidR="00722D76" w:rsidRPr="00A81732">
        <w:rPr>
          <w:rFonts w:ascii="Arial" w:eastAsia="Times New Roman" w:hAnsi="Arial" w:cs="Arial"/>
          <w:sz w:val="24"/>
          <w:szCs w:val="24"/>
          <w:lang w:val="en-ZA" w:eastAsia="en-ZA"/>
        </w:rPr>
        <w:t>.</w:t>
      </w:r>
    </w:p>
    <w:p w14:paraId="59E854BF" w14:textId="77777777" w:rsidR="00E2083F" w:rsidRPr="00DA7CFC" w:rsidRDefault="00E2083F"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700D9C4" w14:textId="42B20C26" w:rsidR="009829EA"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[33]</w:t>
      </w:r>
      <w:r w:rsidRPr="00DA7CFC">
        <w:rPr>
          <w:rFonts w:ascii="Arial" w:eastAsia="Times New Roman" w:hAnsi="Arial" w:cs="Arial"/>
          <w:sz w:val="24"/>
          <w:szCs w:val="24"/>
          <w:lang w:val="en-ZA" w:eastAsia="en-ZA"/>
        </w:rPr>
        <w:tab/>
      </w:r>
      <w:r w:rsidR="0013650E" w:rsidRPr="00A81732">
        <w:rPr>
          <w:rFonts w:ascii="Arial" w:eastAsia="Times New Roman" w:hAnsi="Arial" w:cs="Arial"/>
          <w:sz w:val="24"/>
          <w:szCs w:val="24"/>
          <w:lang w:val="en-ZA" w:eastAsia="en-ZA"/>
        </w:rPr>
        <w:t xml:space="preserve">Hollard cautioned that if </w:t>
      </w:r>
      <w:r w:rsidR="00E2083F" w:rsidRPr="00A81732">
        <w:rPr>
          <w:rFonts w:ascii="Arial" w:eastAsia="Times New Roman" w:hAnsi="Arial" w:cs="Arial"/>
          <w:sz w:val="24"/>
          <w:szCs w:val="24"/>
          <w:lang w:val="en-ZA" w:eastAsia="en-ZA"/>
        </w:rPr>
        <w:t>credence is given to the Cabinet Secretary’s argument that he ought to have been given the opportunity</w:t>
      </w:r>
      <w:r w:rsidR="00722D76" w:rsidRPr="00A81732">
        <w:rPr>
          <w:rFonts w:ascii="Arial" w:eastAsia="Times New Roman" w:hAnsi="Arial" w:cs="Arial"/>
          <w:sz w:val="24"/>
          <w:szCs w:val="24"/>
          <w:lang w:val="en-ZA" w:eastAsia="en-ZA"/>
        </w:rPr>
        <w:t xml:space="preserve"> to make representations before the subpoena</w:t>
      </w:r>
      <w:r w:rsidR="00BD1985" w:rsidRPr="00A81732">
        <w:rPr>
          <w:rFonts w:ascii="Arial" w:eastAsia="Times New Roman" w:hAnsi="Arial" w:cs="Arial"/>
          <w:sz w:val="24"/>
          <w:szCs w:val="24"/>
          <w:lang w:val="en-ZA" w:eastAsia="en-ZA"/>
        </w:rPr>
        <w:t xml:space="preserve"> </w:t>
      </w:r>
      <w:r w:rsidR="00BD1985" w:rsidRPr="00A81732">
        <w:rPr>
          <w:rFonts w:ascii="Arial" w:eastAsia="Times New Roman" w:hAnsi="Arial" w:cs="Arial"/>
          <w:i/>
          <w:sz w:val="24"/>
          <w:szCs w:val="24"/>
          <w:lang w:val="en-ZA" w:eastAsia="en-ZA"/>
        </w:rPr>
        <w:t>duces tecum</w:t>
      </w:r>
      <w:r w:rsidR="00722D76" w:rsidRPr="00A81732">
        <w:rPr>
          <w:rFonts w:ascii="Arial" w:eastAsia="Times New Roman" w:hAnsi="Arial" w:cs="Arial"/>
          <w:sz w:val="24"/>
          <w:szCs w:val="24"/>
          <w:lang w:val="en-ZA" w:eastAsia="en-ZA"/>
        </w:rPr>
        <w:t xml:space="preserve"> was authorised against him, chaos would result in our civil justice system</w:t>
      </w:r>
      <w:r w:rsidR="00B035F7" w:rsidRPr="00DA7CFC">
        <w:rPr>
          <w:rStyle w:val="FootnoteReference"/>
          <w:rFonts w:ascii="Arial" w:eastAsia="Times New Roman" w:hAnsi="Arial" w:cs="Arial"/>
          <w:sz w:val="24"/>
          <w:szCs w:val="24"/>
          <w:lang w:val="en-ZA" w:eastAsia="en-ZA"/>
        </w:rPr>
        <w:footnoteReference w:id="7"/>
      </w:r>
      <w:r w:rsidR="00722D76" w:rsidRPr="00A81732">
        <w:rPr>
          <w:rFonts w:ascii="Arial" w:eastAsia="Times New Roman" w:hAnsi="Arial" w:cs="Arial"/>
          <w:sz w:val="24"/>
          <w:szCs w:val="24"/>
          <w:lang w:val="en-ZA" w:eastAsia="en-ZA"/>
        </w:rPr>
        <w:t>.</w:t>
      </w:r>
      <w:r w:rsidR="00BD1985" w:rsidRPr="00A81732">
        <w:rPr>
          <w:rFonts w:ascii="Arial" w:eastAsia="Times New Roman" w:hAnsi="Arial" w:cs="Arial"/>
          <w:sz w:val="24"/>
          <w:szCs w:val="24"/>
          <w:lang w:val="en-ZA" w:eastAsia="en-ZA"/>
        </w:rPr>
        <w:t xml:space="preserve"> </w:t>
      </w:r>
      <w:r w:rsidR="00B035F7" w:rsidRPr="00A81732">
        <w:rPr>
          <w:rFonts w:ascii="Arial" w:eastAsia="Times New Roman" w:hAnsi="Arial" w:cs="Arial"/>
          <w:sz w:val="24"/>
          <w:szCs w:val="24"/>
          <w:lang w:val="en-ZA" w:eastAsia="en-ZA"/>
        </w:rPr>
        <w:t xml:space="preserve">It was submitted that </w:t>
      </w:r>
      <w:r w:rsidR="001A7263" w:rsidRPr="00A81732">
        <w:rPr>
          <w:rFonts w:ascii="Arial" w:eastAsia="Times New Roman" w:hAnsi="Arial" w:cs="Arial"/>
          <w:sz w:val="24"/>
          <w:szCs w:val="24"/>
          <w:lang w:val="en-ZA" w:eastAsia="en-ZA"/>
        </w:rPr>
        <w:t>since the present are motion proceedings</w:t>
      </w:r>
      <w:r w:rsidR="009829EA" w:rsidRPr="00A81732">
        <w:rPr>
          <w:rFonts w:ascii="Arial" w:eastAsia="Times New Roman" w:hAnsi="Arial" w:cs="Arial"/>
          <w:sz w:val="24"/>
          <w:szCs w:val="24"/>
          <w:lang w:val="en-ZA" w:eastAsia="en-ZA"/>
        </w:rPr>
        <w:t>,</w:t>
      </w:r>
      <w:r w:rsidR="001A7263" w:rsidRPr="00A81732">
        <w:rPr>
          <w:rFonts w:ascii="Arial" w:eastAsia="Times New Roman" w:hAnsi="Arial" w:cs="Arial"/>
          <w:sz w:val="24"/>
          <w:szCs w:val="24"/>
          <w:lang w:val="en-ZA" w:eastAsia="en-ZA"/>
        </w:rPr>
        <w:t xml:space="preserve"> no provision exists in the rules for subpoena </w:t>
      </w:r>
      <w:r w:rsidR="001A7263" w:rsidRPr="00A81732">
        <w:rPr>
          <w:rFonts w:ascii="Arial" w:eastAsia="Times New Roman" w:hAnsi="Arial" w:cs="Arial"/>
          <w:i/>
          <w:sz w:val="24"/>
          <w:szCs w:val="24"/>
          <w:lang w:val="en-ZA" w:eastAsia="en-ZA"/>
        </w:rPr>
        <w:t>duces tecum</w:t>
      </w:r>
      <w:r w:rsidR="001A7263" w:rsidRPr="00A81732">
        <w:rPr>
          <w:rFonts w:ascii="Arial" w:eastAsia="Times New Roman" w:hAnsi="Arial" w:cs="Arial"/>
          <w:sz w:val="24"/>
          <w:szCs w:val="24"/>
          <w:lang w:val="en-ZA" w:eastAsia="en-ZA"/>
        </w:rPr>
        <w:t xml:space="preserve"> </w:t>
      </w:r>
      <w:r w:rsidR="009829EA" w:rsidRPr="00A81732">
        <w:rPr>
          <w:rFonts w:ascii="Arial" w:eastAsia="Times New Roman" w:hAnsi="Arial" w:cs="Arial"/>
          <w:sz w:val="24"/>
          <w:szCs w:val="24"/>
          <w:lang w:val="en-ZA" w:eastAsia="en-ZA"/>
        </w:rPr>
        <w:t xml:space="preserve">and that </w:t>
      </w:r>
      <w:r w:rsidR="001A7263" w:rsidRPr="00A81732">
        <w:rPr>
          <w:rFonts w:ascii="Arial" w:eastAsia="Times New Roman" w:hAnsi="Arial" w:cs="Arial"/>
          <w:sz w:val="24"/>
          <w:szCs w:val="24"/>
          <w:lang w:val="en-ZA" w:eastAsia="en-ZA"/>
        </w:rPr>
        <w:t>leave of court was required</w:t>
      </w:r>
      <w:r w:rsidR="004B4630" w:rsidRPr="00DA7CFC">
        <w:rPr>
          <w:rStyle w:val="FootnoteReference"/>
          <w:rFonts w:ascii="Arial" w:eastAsia="Times New Roman" w:hAnsi="Arial" w:cs="Arial"/>
          <w:sz w:val="24"/>
          <w:szCs w:val="24"/>
          <w:lang w:val="en-ZA" w:eastAsia="en-ZA"/>
        </w:rPr>
        <w:footnoteReference w:id="8"/>
      </w:r>
      <w:r w:rsidR="004B4630" w:rsidRPr="00A81732">
        <w:rPr>
          <w:rFonts w:ascii="Arial" w:eastAsia="Times New Roman" w:hAnsi="Arial" w:cs="Arial"/>
          <w:sz w:val="24"/>
          <w:szCs w:val="24"/>
          <w:lang w:val="en-ZA" w:eastAsia="en-ZA"/>
        </w:rPr>
        <w:t>,</w:t>
      </w:r>
      <w:r w:rsidR="001A7263" w:rsidRPr="00A81732">
        <w:rPr>
          <w:rFonts w:ascii="Arial" w:eastAsia="Times New Roman" w:hAnsi="Arial" w:cs="Arial"/>
          <w:sz w:val="24"/>
          <w:szCs w:val="24"/>
          <w:lang w:val="en-ZA" w:eastAsia="en-ZA"/>
        </w:rPr>
        <w:t xml:space="preserve"> to be granted in the exercise of the court’s inherent jurisdiction to adapt its procedure. </w:t>
      </w:r>
    </w:p>
    <w:p w14:paraId="73955ADB" w14:textId="77777777" w:rsidR="009829EA" w:rsidRPr="00DA7CFC" w:rsidRDefault="009829EA" w:rsidP="000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CB1BCFF" w14:textId="00E21634" w:rsidR="00554C8A"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[34]</w:t>
      </w:r>
      <w:r w:rsidRPr="00DA7CFC">
        <w:rPr>
          <w:rFonts w:ascii="Arial" w:eastAsia="Times New Roman" w:hAnsi="Arial" w:cs="Arial"/>
          <w:sz w:val="24"/>
          <w:szCs w:val="24"/>
          <w:lang w:val="en-ZA" w:eastAsia="en-ZA"/>
        </w:rPr>
        <w:tab/>
      </w:r>
      <w:r w:rsidR="001A7263" w:rsidRPr="00A81732">
        <w:rPr>
          <w:rFonts w:ascii="Arial" w:eastAsia="Times New Roman" w:hAnsi="Arial" w:cs="Arial"/>
          <w:sz w:val="24"/>
          <w:szCs w:val="24"/>
          <w:lang w:val="en-ZA" w:eastAsia="en-ZA"/>
        </w:rPr>
        <w:t xml:space="preserve">Just like </w:t>
      </w:r>
      <w:r w:rsidR="00417857" w:rsidRPr="00A81732">
        <w:rPr>
          <w:rFonts w:ascii="Arial" w:eastAsia="Times New Roman" w:hAnsi="Arial" w:cs="Arial"/>
          <w:sz w:val="24"/>
          <w:szCs w:val="24"/>
          <w:lang w:val="en-ZA" w:eastAsia="en-ZA"/>
        </w:rPr>
        <w:t xml:space="preserve">it is the case in relation to Rule 37 </w:t>
      </w:r>
      <w:r w:rsidR="001A7263" w:rsidRPr="00A81732">
        <w:rPr>
          <w:rFonts w:ascii="Arial" w:eastAsia="Times New Roman" w:hAnsi="Arial" w:cs="Arial"/>
          <w:sz w:val="24"/>
          <w:szCs w:val="24"/>
          <w:lang w:val="en-ZA" w:eastAsia="en-ZA"/>
        </w:rPr>
        <w:t xml:space="preserve">in action proceedings, </w:t>
      </w:r>
      <w:r w:rsidR="00417857" w:rsidRPr="00A81732">
        <w:rPr>
          <w:rFonts w:ascii="Arial" w:eastAsia="Times New Roman" w:hAnsi="Arial" w:cs="Arial"/>
          <w:sz w:val="24"/>
          <w:szCs w:val="24"/>
          <w:lang w:val="en-ZA" w:eastAsia="en-ZA"/>
        </w:rPr>
        <w:t>the argument went</w:t>
      </w:r>
      <w:r w:rsidR="001A7263" w:rsidRPr="00A81732">
        <w:rPr>
          <w:rFonts w:ascii="Arial" w:eastAsia="Times New Roman" w:hAnsi="Arial" w:cs="Arial"/>
          <w:sz w:val="24"/>
          <w:szCs w:val="24"/>
          <w:lang w:val="en-ZA" w:eastAsia="en-ZA"/>
        </w:rPr>
        <w:t>, it was not necessary to give notice to the party to be subpoena</w:t>
      </w:r>
      <w:r w:rsidR="009829EA" w:rsidRPr="00A81732">
        <w:rPr>
          <w:rFonts w:ascii="Arial" w:eastAsia="Times New Roman" w:hAnsi="Arial" w:cs="Arial"/>
          <w:sz w:val="24"/>
          <w:szCs w:val="24"/>
          <w:lang w:val="en-ZA" w:eastAsia="en-ZA"/>
        </w:rPr>
        <w:t>e</w:t>
      </w:r>
      <w:r w:rsidR="001A7263" w:rsidRPr="00A81732">
        <w:rPr>
          <w:rFonts w:ascii="Arial" w:eastAsia="Times New Roman" w:hAnsi="Arial" w:cs="Arial"/>
          <w:sz w:val="24"/>
          <w:szCs w:val="24"/>
          <w:lang w:val="en-ZA" w:eastAsia="en-ZA"/>
        </w:rPr>
        <w:t>d and that doing so would result in chaos.</w:t>
      </w:r>
      <w:r w:rsidR="00DD2E02" w:rsidRPr="00A81732">
        <w:rPr>
          <w:rFonts w:ascii="Arial" w:eastAsia="Times New Roman" w:hAnsi="Arial" w:cs="Arial"/>
          <w:sz w:val="24"/>
          <w:szCs w:val="24"/>
          <w:lang w:val="en-ZA" w:eastAsia="en-ZA"/>
        </w:rPr>
        <w:t xml:space="preserve"> Once subpoena</w:t>
      </w:r>
      <w:r w:rsidR="009829EA" w:rsidRPr="00A81732">
        <w:rPr>
          <w:rFonts w:ascii="Arial" w:eastAsia="Times New Roman" w:hAnsi="Arial" w:cs="Arial"/>
          <w:sz w:val="24"/>
          <w:szCs w:val="24"/>
          <w:lang w:val="en-ZA" w:eastAsia="en-ZA"/>
        </w:rPr>
        <w:t>e</w:t>
      </w:r>
      <w:r w:rsidR="00DD2E02" w:rsidRPr="00A81732">
        <w:rPr>
          <w:rFonts w:ascii="Arial" w:eastAsia="Times New Roman" w:hAnsi="Arial" w:cs="Arial"/>
          <w:sz w:val="24"/>
          <w:szCs w:val="24"/>
          <w:lang w:val="en-ZA" w:eastAsia="en-ZA"/>
        </w:rPr>
        <w:t>d</w:t>
      </w:r>
      <w:r w:rsidR="009829EA" w:rsidRPr="00A81732">
        <w:rPr>
          <w:rFonts w:ascii="Arial" w:eastAsia="Times New Roman" w:hAnsi="Arial" w:cs="Arial"/>
          <w:sz w:val="24"/>
          <w:szCs w:val="24"/>
          <w:lang w:val="en-ZA" w:eastAsia="en-ZA"/>
        </w:rPr>
        <w:t>,</w:t>
      </w:r>
      <w:r w:rsidR="00DD2E02" w:rsidRPr="00A81732">
        <w:rPr>
          <w:rFonts w:ascii="Arial" w:eastAsia="Times New Roman" w:hAnsi="Arial" w:cs="Arial"/>
          <w:sz w:val="24"/>
          <w:szCs w:val="24"/>
          <w:lang w:val="en-ZA" w:eastAsia="en-ZA"/>
        </w:rPr>
        <w:t xml:space="preserve"> the Cabinet Secretary was required to </w:t>
      </w:r>
      <w:r w:rsidR="00DD2E02" w:rsidRPr="00A81732">
        <w:rPr>
          <w:rFonts w:ascii="Arial" w:eastAsia="Times New Roman" w:hAnsi="Arial" w:cs="Arial"/>
          <w:sz w:val="24"/>
          <w:szCs w:val="24"/>
          <w:lang w:val="en-ZA" w:eastAsia="en-ZA"/>
        </w:rPr>
        <w:lastRenderedPageBreak/>
        <w:t xml:space="preserve">present himself, produce the documents in his possession and </w:t>
      </w:r>
      <w:r w:rsidR="009829EA" w:rsidRPr="00A81732">
        <w:rPr>
          <w:rFonts w:ascii="Arial" w:eastAsia="Times New Roman" w:hAnsi="Arial" w:cs="Arial"/>
          <w:sz w:val="24"/>
          <w:szCs w:val="24"/>
          <w:lang w:val="en-ZA" w:eastAsia="en-ZA"/>
        </w:rPr>
        <w:t>present</w:t>
      </w:r>
      <w:r w:rsidR="00DD2E02" w:rsidRPr="00A81732">
        <w:rPr>
          <w:rFonts w:ascii="Arial" w:eastAsia="Times New Roman" w:hAnsi="Arial" w:cs="Arial"/>
          <w:sz w:val="24"/>
          <w:szCs w:val="24"/>
          <w:lang w:val="en-ZA" w:eastAsia="en-ZA"/>
        </w:rPr>
        <w:t xml:space="preserve"> any </w:t>
      </w:r>
      <w:r w:rsidR="009829EA" w:rsidRPr="00A81732">
        <w:rPr>
          <w:rFonts w:ascii="Arial" w:eastAsia="Times New Roman" w:hAnsi="Arial" w:cs="Arial"/>
          <w:sz w:val="24"/>
          <w:szCs w:val="24"/>
          <w:lang w:val="en-ZA" w:eastAsia="en-ZA"/>
        </w:rPr>
        <w:t xml:space="preserve">valid </w:t>
      </w:r>
      <w:r w:rsidR="00DD2E02" w:rsidRPr="00A81732">
        <w:rPr>
          <w:rFonts w:ascii="Arial" w:eastAsia="Times New Roman" w:hAnsi="Arial" w:cs="Arial"/>
          <w:sz w:val="24"/>
          <w:szCs w:val="24"/>
          <w:lang w:val="en-ZA" w:eastAsia="en-ZA"/>
        </w:rPr>
        <w:t>objection for the decision of the court.</w:t>
      </w:r>
    </w:p>
    <w:p w14:paraId="59AC6B3D" w14:textId="77777777" w:rsidR="00554C8A" w:rsidRPr="00DA7CFC" w:rsidRDefault="00554C8A" w:rsidP="00007E5E">
      <w:pPr>
        <w:spacing w:after="0" w:line="480" w:lineRule="auto"/>
        <w:jc w:val="both"/>
        <w:rPr>
          <w:rFonts w:ascii="Arial" w:eastAsia="Calibri" w:hAnsi="Arial" w:cs="Arial"/>
          <w:b/>
          <w:sz w:val="24"/>
          <w:lang w:val="en-ZA"/>
        </w:rPr>
      </w:pPr>
    </w:p>
    <w:p w14:paraId="5F2DF6FA" w14:textId="4C29CACF" w:rsidR="00C41406" w:rsidRPr="007E1D4D" w:rsidRDefault="00AF6651" w:rsidP="00233F3D">
      <w:pPr>
        <w:spacing w:after="0" w:line="480" w:lineRule="auto"/>
        <w:rPr>
          <w:rFonts w:ascii="Arial" w:eastAsia="Times New Roman" w:hAnsi="Arial" w:cs="Arial"/>
          <w:sz w:val="24"/>
          <w:szCs w:val="24"/>
          <w:u w:val="single"/>
          <w:lang w:val="en-ZA" w:eastAsia="en-ZA"/>
        </w:rPr>
      </w:pPr>
      <w:r w:rsidRPr="007E1D4D">
        <w:rPr>
          <w:rFonts w:ascii="Arial" w:eastAsia="Times New Roman" w:hAnsi="Arial" w:cs="Arial"/>
          <w:sz w:val="24"/>
          <w:szCs w:val="24"/>
          <w:u w:val="single"/>
          <w:lang w:val="en-ZA" w:eastAsia="en-ZA"/>
        </w:rPr>
        <w:t xml:space="preserve">Analysis </w:t>
      </w:r>
    </w:p>
    <w:p w14:paraId="69E85515" w14:textId="4915B47A" w:rsidR="00837189"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554C8A" w:rsidRPr="00A81732">
        <w:rPr>
          <w:rFonts w:ascii="Arial" w:eastAsia="Times New Roman" w:hAnsi="Arial" w:cs="Arial"/>
          <w:sz w:val="24"/>
          <w:szCs w:val="24"/>
          <w:lang w:val="en-ZA" w:eastAsia="en-ZA"/>
        </w:rPr>
        <w:t>To recap, a</w:t>
      </w:r>
      <w:r w:rsidR="00446475" w:rsidRPr="00A81732">
        <w:rPr>
          <w:rFonts w:ascii="Arial" w:eastAsia="Times New Roman" w:hAnsi="Arial" w:cs="Arial"/>
          <w:sz w:val="24"/>
          <w:szCs w:val="24"/>
          <w:lang w:val="en-ZA" w:eastAsia="en-ZA"/>
        </w:rPr>
        <w:t>ccording to Hollard, to support its version and to refute that of Gondwana, it needs to have access to documents that served before Cabinet in connection with the</w:t>
      </w:r>
      <w:r w:rsidR="00554C8A" w:rsidRPr="00A81732">
        <w:rPr>
          <w:rFonts w:ascii="Arial" w:eastAsia="Times New Roman" w:hAnsi="Arial" w:cs="Arial"/>
          <w:sz w:val="24"/>
          <w:szCs w:val="24"/>
          <w:lang w:val="en-ZA" w:eastAsia="en-ZA"/>
        </w:rPr>
        <w:t xml:space="preserve"> Covid-19</w:t>
      </w:r>
      <w:r w:rsidR="00446475" w:rsidRPr="00A81732">
        <w:rPr>
          <w:rFonts w:ascii="Arial" w:eastAsia="Times New Roman" w:hAnsi="Arial" w:cs="Arial"/>
          <w:sz w:val="24"/>
          <w:szCs w:val="24"/>
          <w:lang w:val="en-ZA" w:eastAsia="en-ZA"/>
        </w:rPr>
        <w:t xml:space="preserve"> pandemic and the resultant declaration of the </w:t>
      </w:r>
      <w:r w:rsidR="009829EA" w:rsidRPr="00A81732">
        <w:rPr>
          <w:rFonts w:ascii="Arial" w:eastAsia="Times New Roman" w:hAnsi="Arial" w:cs="Arial"/>
          <w:sz w:val="24"/>
          <w:szCs w:val="24"/>
          <w:lang w:val="en-ZA" w:eastAsia="en-ZA"/>
        </w:rPr>
        <w:t xml:space="preserve">SOE. </w:t>
      </w:r>
      <w:r w:rsidR="00BA2AC4" w:rsidRPr="00A81732">
        <w:rPr>
          <w:rFonts w:ascii="Arial" w:eastAsia="Times New Roman" w:hAnsi="Arial" w:cs="Arial"/>
          <w:sz w:val="24"/>
          <w:szCs w:val="24"/>
          <w:lang w:val="en-ZA" w:eastAsia="en-ZA"/>
        </w:rPr>
        <w:t>On behalf of Hollard</w:t>
      </w:r>
      <w:r w:rsidR="00DF7E87" w:rsidRPr="00A81732">
        <w:rPr>
          <w:rFonts w:ascii="Arial" w:eastAsia="Times New Roman" w:hAnsi="Arial" w:cs="Arial"/>
          <w:sz w:val="24"/>
          <w:szCs w:val="24"/>
          <w:lang w:val="en-ZA" w:eastAsia="en-ZA"/>
        </w:rPr>
        <w:t>,</w:t>
      </w:r>
      <w:r w:rsidR="00BA2AC4" w:rsidRPr="00A81732">
        <w:rPr>
          <w:rFonts w:ascii="Arial" w:eastAsia="Times New Roman" w:hAnsi="Arial" w:cs="Arial"/>
          <w:sz w:val="24"/>
          <w:szCs w:val="24"/>
          <w:lang w:val="en-ZA" w:eastAsia="en-ZA"/>
        </w:rPr>
        <w:t xml:space="preserve"> </w:t>
      </w:r>
      <w:r w:rsidR="00256107" w:rsidRPr="00A81732">
        <w:rPr>
          <w:rFonts w:ascii="Arial" w:hAnsi="Arial" w:cs="Arial"/>
          <w:sz w:val="24"/>
          <w:szCs w:val="24"/>
        </w:rPr>
        <w:t xml:space="preserve">Mr Heathcote </w:t>
      </w:r>
      <w:r w:rsidR="00417857" w:rsidRPr="00A81732">
        <w:rPr>
          <w:rFonts w:ascii="Arial" w:hAnsi="Arial" w:cs="Arial"/>
          <w:sz w:val="24"/>
          <w:szCs w:val="24"/>
        </w:rPr>
        <w:t xml:space="preserve">emphasised </w:t>
      </w:r>
      <w:r w:rsidR="00256107" w:rsidRPr="00A81732">
        <w:rPr>
          <w:rFonts w:ascii="Arial" w:hAnsi="Arial" w:cs="Arial"/>
          <w:sz w:val="24"/>
          <w:szCs w:val="24"/>
        </w:rPr>
        <w:t xml:space="preserve">that the source for the subpoena </w:t>
      </w:r>
      <w:r w:rsidR="00256107" w:rsidRPr="00A81732">
        <w:rPr>
          <w:rFonts w:ascii="Arial" w:hAnsi="Arial" w:cs="Arial"/>
          <w:i/>
          <w:sz w:val="24"/>
          <w:szCs w:val="24"/>
        </w:rPr>
        <w:t>duces tecum</w:t>
      </w:r>
      <w:r w:rsidR="00256107" w:rsidRPr="00A81732">
        <w:rPr>
          <w:rFonts w:ascii="Arial" w:hAnsi="Arial" w:cs="Arial"/>
          <w:sz w:val="24"/>
          <w:szCs w:val="24"/>
        </w:rPr>
        <w:t xml:space="preserve"> granted by the court </w:t>
      </w:r>
      <w:r w:rsidR="00256107" w:rsidRPr="00A81732">
        <w:rPr>
          <w:rFonts w:ascii="Arial" w:hAnsi="Arial" w:cs="Arial"/>
          <w:i/>
          <w:sz w:val="24"/>
          <w:szCs w:val="24"/>
        </w:rPr>
        <w:t>a quo</w:t>
      </w:r>
      <w:r w:rsidR="00256107" w:rsidRPr="00A81732">
        <w:rPr>
          <w:rFonts w:ascii="Arial" w:hAnsi="Arial" w:cs="Arial"/>
          <w:sz w:val="24"/>
          <w:szCs w:val="24"/>
        </w:rPr>
        <w:t xml:space="preserve"> is </w:t>
      </w:r>
      <w:r w:rsidR="00A42D44" w:rsidRPr="00A81732">
        <w:rPr>
          <w:rFonts w:ascii="Arial" w:hAnsi="Arial" w:cs="Arial"/>
          <w:sz w:val="24"/>
          <w:szCs w:val="24"/>
        </w:rPr>
        <w:t>Art</w:t>
      </w:r>
      <w:r w:rsidR="00256107" w:rsidRPr="00A81732">
        <w:rPr>
          <w:rFonts w:ascii="Arial" w:hAnsi="Arial" w:cs="Arial"/>
          <w:sz w:val="24"/>
          <w:szCs w:val="24"/>
        </w:rPr>
        <w:t xml:space="preserve"> 12(1)(e) of the Constitution</w:t>
      </w:r>
      <w:r w:rsidR="00DF7E87" w:rsidRPr="00A81732">
        <w:rPr>
          <w:rFonts w:ascii="Arial" w:hAnsi="Arial" w:cs="Arial"/>
          <w:sz w:val="24"/>
          <w:szCs w:val="24"/>
        </w:rPr>
        <w:t xml:space="preserve"> – </w:t>
      </w:r>
      <w:r w:rsidR="00256107" w:rsidRPr="00A81732">
        <w:rPr>
          <w:rFonts w:ascii="Arial" w:hAnsi="Arial" w:cs="Arial"/>
          <w:sz w:val="24"/>
          <w:szCs w:val="24"/>
        </w:rPr>
        <w:t xml:space="preserve">a right not dependent on the rules of court. </w:t>
      </w:r>
      <w:r w:rsidR="000E1E45" w:rsidRPr="00A81732">
        <w:rPr>
          <w:rFonts w:ascii="Arial" w:hAnsi="Arial" w:cs="Arial"/>
          <w:sz w:val="24"/>
          <w:szCs w:val="24"/>
        </w:rPr>
        <w:t xml:space="preserve">According to counsel, </w:t>
      </w:r>
      <w:r w:rsidR="00256107" w:rsidRPr="00A81732">
        <w:rPr>
          <w:rFonts w:ascii="Arial" w:hAnsi="Arial" w:cs="Arial"/>
          <w:sz w:val="24"/>
          <w:szCs w:val="24"/>
        </w:rPr>
        <w:t xml:space="preserve">the High Court’s reliance on Rule 37 for the subpoena </w:t>
      </w:r>
      <w:r w:rsidR="00256107" w:rsidRPr="00A81732">
        <w:rPr>
          <w:rFonts w:ascii="Arial" w:hAnsi="Arial" w:cs="Arial"/>
          <w:i/>
          <w:sz w:val="24"/>
          <w:szCs w:val="24"/>
        </w:rPr>
        <w:t>duces tecum</w:t>
      </w:r>
      <w:r w:rsidR="00256107" w:rsidRPr="00A81732">
        <w:rPr>
          <w:rFonts w:ascii="Arial" w:hAnsi="Arial" w:cs="Arial"/>
          <w:sz w:val="24"/>
          <w:szCs w:val="24"/>
        </w:rPr>
        <w:t xml:space="preserve"> was </w:t>
      </w:r>
      <w:r w:rsidR="00256107" w:rsidRPr="00A81732">
        <w:rPr>
          <w:rFonts w:ascii="Arial" w:hAnsi="Arial" w:cs="Arial"/>
          <w:i/>
          <w:sz w:val="24"/>
          <w:szCs w:val="24"/>
        </w:rPr>
        <w:t xml:space="preserve">obiter </w:t>
      </w:r>
      <w:r w:rsidR="00256107" w:rsidRPr="00A81732">
        <w:rPr>
          <w:rFonts w:ascii="Arial" w:hAnsi="Arial" w:cs="Arial"/>
          <w:sz w:val="24"/>
          <w:szCs w:val="24"/>
        </w:rPr>
        <w:t xml:space="preserve">as the </w:t>
      </w:r>
      <w:r w:rsidR="00BA2AC4" w:rsidRPr="00A81732">
        <w:rPr>
          <w:rFonts w:ascii="Arial" w:hAnsi="Arial" w:cs="Arial"/>
          <w:sz w:val="24"/>
          <w:szCs w:val="24"/>
        </w:rPr>
        <w:t xml:space="preserve">learned judge held in the first place </w:t>
      </w:r>
      <w:r w:rsidR="00256107" w:rsidRPr="00A81732">
        <w:rPr>
          <w:rFonts w:ascii="Arial" w:hAnsi="Arial" w:cs="Arial"/>
          <w:sz w:val="24"/>
          <w:szCs w:val="24"/>
        </w:rPr>
        <w:t xml:space="preserve">that </w:t>
      </w:r>
      <w:r w:rsidR="00BA2AC4" w:rsidRPr="00A81732">
        <w:rPr>
          <w:rFonts w:ascii="Arial" w:hAnsi="Arial" w:cs="Arial"/>
          <w:sz w:val="24"/>
          <w:szCs w:val="24"/>
        </w:rPr>
        <w:t>he</w:t>
      </w:r>
      <w:r w:rsidR="00256107" w:rsidRPr="00A81732">
        <w:rPr>
          <w:rFonts w:ascii="Arial" w:hAnsi="Arial" w:cs="Arial"/>
          <w:sz w:val="24"/>
          <w:szCs w:val="24"/>
        </w:rPr>
        <w:t xml:space="preserve"> had the inherent power to grant such a</w:t>
      </w:r>
      <w:r w:rsidR="0088319D" w:rsidRPr="00A81732">
        <w:rPr>
          <w:rFonts w:ascii="Arial" w:hAnsi="Arial" w:cs="Arial"/>
          <w:sz w:val="24"/>
          <w:szCs w:val="24"/>
        </w:rPr>
        <w:t>n order</w:t>
      </w:r>
      <w:r w:rsidR="00256107" w:rsidRPr="00A81732">
        <w:rPr>
          <w:rFonts w:ascii="Arial" w:hAnsi="Arial" w:cs="Arial"/>
          <w:sz w:val="24"/>
          <w:szCs w:val="24"/>
        </w:rPr>
        <w:t xml:space="preserve"> </w:t>
      </w:r>
      <w:r w:rsidR="00DF7E87" w:rsidRPr="00A81732">
        <w:rPr>
          <w:rFonts w:ascii="Arial" w:hAnsi="Arial" w:cs="Arial"/>
          <w:sz w:val="24"/>
          <w:szCs w:val="24"/>
        </w:rPr>
        <w:t xml:space="preserve">to give effect to Hollard’s </w:t>
      </w:r>
      <w:r w:rsidR="00A42D44" w:rsidRPr="00A81732">
        <w:rPr>
          <w:rFonts w:ascii="Arial" w:hAnsi="Arial" w:cs="Arial"/>
          <w:sz w:val="24"/>
          <w:szCs w:val="24"/>
        </w:rPr>
        <w:t>Art</w:t>
      </w:r>
      <w:r w:rsidR="00DF7E87" w:rsidRPr="00A81732">
        <w:rPr>
          <w:rFonts w:ascii="Arial" w:hAnsi="Arial" w:cs="Arial"/>
          <w:sz w:val="24"/>
          <w:szCs w:val="24"/>
        </w:rPr>
        <w:t xml:space="preserve"> </w:t>
      </w:r>
      <w:r w:rsidR="00256107" w:rsidRPr="00A81732">
        <w:rPr>
          <w:rFonts w:ascii="Arial" w:hAnsi="Arial" w:cs="Arial"/>
          <w:sz w:val="24"/>
          <w:szCs w:val="24"/>
        </w:rPr>
        <w:t xml:space="preserve">12 right to a fair trial. </w:t>
      </w:r>
      <w:r w:rsidR="00512FAB" w:rsidRPr="00A81732">
        <w:rPr>
          <w:rFonts w:ascii="Arial" w:hAnsi="Arial" w:cs="Arial"/>
          <w:sz w:val="24"/>
          <w:szCs w:val="24"/>
        </w:rPr>
        <w:t>Reliance was placed in addition on the High Court’s wide</w:t>
      </w:r>
      <w:r w:rsidR="00256107" w:rsidRPr="00A81732">
        <w:rPr>
          <w:rFonts w:ascii="Arial" w:hAnsi="Arial" w:cs="Arial"/>
          <w:sz w:val="24"/>
          <w:szCs w:val="24"/>
        </w:rPr>
        <w:t xml:space="preserve"> discretionary </w:t>
      </w:r>
      <w:r w:rsidR="00512FAB" w:rsidRPr="00A81732">
        <w:rPr>
          <w:rFonts w:ascii="Arial" w:hAnsi="Arial" w:cs="Arial"/>
          <w:sz w:val="24"/>
          <w:szCs w:val="24"/>
        </w:rPr>
        <w:t xml:space="preserve">power </w:t>
      </w:r>
      <w:r w:rsidR="00256107" w:rsidRPr="00A81732">
        <w:rPr>
          <w:rFonts w:ascii="Arial" w:hAnsi="Arial" w:cs="Arial"/>
          <w:sz w:val="24"/>
          <w:szCs w:val="24"/>
        </w:rPr>
        <w:t xml:space="preserve">to adapt civil procedure to give effect to the constitutionally </w:t>
      </w:r>
      <w:r w:rsidR="00233F3D" w:rsidRPr="00A81732">
        <w:rPr>
          <w:rFonts w:ascii="Arial" w:hAnsi="Arial" w:cs="Arial"/>
          <w:sz w:val="24"/>
          <w:szCs w:val="24"/>
        </w:rPr>
        <w:t>guaranteed right to fair trial.</w:t>
      </w:r>
    </w:p>
    <w:p w14:paraId="29CD3D8A" w14:textId="77777777" w:rsidR="00233F3D" w:rsidRPr="007603EC" w:rsidRDefault="00233F3D" w:rsidP="00233F3D">
      <w:pPr>
        <w:pStyle w:val="ListParagraph"/>
        <w:shd w:val="clear" w:color="auto" w:fill="FFFFFF"/>
        <w:spacing w:after="0" w:line="480" w:lineRule="auto"/>
        <w:ind w:left="0"/>
        <w:jc w:val="both"/>
        <w:rPr>
          <w:rFonts w:ascii="Arial" w:hAnsi="Arial" w:cs="Arial"/>
          <w:sz w:val="24"/>
          <w:szCs w:val="24"/>
        </w:rPr>
      </w:pPr>
    </w:p>
    <w:p w14:paraId="3B1357AD" w14:textId="15A583D1" w:rsidR="009829EA"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233F3D">
        <w:rPr>
          <w:rFonts w:ascii="Arial" w:eastAsia="Times New Roman" w:hAnsi="Arial" w:cs="Arial"/>
          <w:sz w:val="24"/>
          <w:szCs w:val="24"/>
          <w:lang w:val="en-ZA" w:eastAsia="en-ZA"/>
        </w:rPr>
        <w:t>[36]</w:t>
      </w:r>
      <w:r w:rsidRPr="00233F3D">
        <w:rPr>
          <w:rFonts w:ascii="Arial" w:eastAsia="Times New Roman" w:hAnsi="Arial" w:cs="Arial"/>
          <w:sz w:val="24"/>
          <w:szCs w:val="24"/>
          <w:lang w:val="en-ZA" w:eastAsia="en-ZA"/>
        </w:rPr>
        <w:tab/>
      </w:r>
      <w:r w:rsidR="009829EA" w:rsidRPr="00A81732">
        <w:rPr>
          <w:rFonts w:ascii="Arial" w:eastAsia="Times New Roman" w:hAnsi="Arial" w:cs="Arial"/>
          <w:sz w:val="24"/>
          <w:szCs w:val="24"/>
          <w:lang w:val="en-ZA" w:eastAsia="en-ZA"/>
        </w:rPr>
        <w:t xml:space="preserve">In </w:t>
      </w:r>
      <w:r w:rsidR="00446475" w:rsidRPr="00A81732">
        <w:rPr>
          <w:rFonts w:ascii="Arial" w:eastAsia="Times New Roman" w:hAnsi="Arial" w:cs="Arial"/>
          <w:sz w:val="24"/>
          <w:szCs w:val="24"/>
          <w:lang w:val="en-ZA" w:eastAsia="en-ZA"/>
        </w:rPr>
        <w:t xml:space="preserve">oral argument, Mr Heathcote </w:t>
      </w:r>
      <w:r w:rsidR="00512FAB" w:rsidRPr="00A81732">
        <w:rPr>
          <w:rFonts w:ascii="Arial" w:eastAsia="Times New Roman" w:hAnsi="Arial" w:cs="Arial"/>
          <w:sz w:val="24"/>
          <w:szCs w:val="24"/>
          <w:lang w:val="en-ZA" w:eastAsia="en-ZA"/>
        </w:rPr>
        <w:t xml:space="preserve">also </w:t>
      </w:r>
      <w:r w:rsidR="00C321FD" w:rsidRPr="00A81732">
        <w:rPr>
          <w:rFonts w:ascii="Arial" w:eastAsia="Times New Roman" w:hAnsi="Arial" w:cs="Arial"/>
          <w:sz w:val="24"/>
          <w:szCs w:val="24"/>
          <w:lang w:val="en-ZA" w:eastAsia="en-ZA"/>
        </w:rPr>
        <w:t>relied for the</w:t>
      </w:r>
      <w:r w:rsidR="00446475" w:rsidRPr="00A81732">
        <w:rPr>
          <w:rFonts w:ascii="Arial" w:eastAsia="Times New Roman" w:hAnsi="Arial" w:cs="Arial"/>
          <w:sz w:val="24"/>
          <w:szCs w:val="24"/>
          <w:lang w:val="en-ZA" w:eastAsia="en-ZA"/>
        </w:rPr>
        <w:t xml:space="preserve"> far-reaching propositions which f</w:t>
      </w:r>
      <w:r w:rsidR="00512FAB" w:rsidRPr="00A81732">
        <w:rPr>
          <w:rFonts w:ascii="Arial" w:eastAsia="Times New Roman" w:hAnsi="Arial" w:cs="Arial"/>
          <w:sz w:val="24"/>
          <w:szCs w:val="24"/>
          <w:lang w:val="en-ZA" w:eastAsia="en-ZA"/>
        </w:rPr>
        <w:t>ound favour with the High Court</w:t>
      </w:r>
      <w:r w:rsidR="00446475" w:rsidRPr="00A81732">
        <w:rPr>
          <w:rFonts w:ascii="Arial" w:eastAsia="Times New Roman" w:hAnsi="Arial" w:cs="Arial"/>
          <w:sz w:val="24"/>
          <w:szCs w:val="24"/>
          <w:lang w:val="en-ZA" w:eastAsia="en-ZA"/>
        </w:rPr>
        <w:t xml:space="preserve"> on a practice </w:t>
      </w:r>
      <w:r w:rsidR="00C321FD" w:rsidRPr="00A81732">
        <w:rPr>
          <w:rFonts w:ascii="Arial" w:eastAsia="Times New Roman" w:hAnsi="Arial" w:cs="Arial"/>
          <w:sz w:val="24"/>
          <w:szCs w:val="24"/>
          <w:lang w:val="en-ZA" w:eastAsia="en-ZA"/>
        </w:rPr>
        <w:t xml:space="preserve">applied </w:t>
      </w:r>
      <w:r w:rsidR="009829EA" w:rsidRPr="00A81732">
        <w:rPr>
          <w:rFonts w:ascii="Arial" w:eastAsia="Times New Roman" w:hAnsi="Arial" w:cs="Arial"/>
          <w:sz w:val="24"/>
          <w:szCs w:val="24"/>
          <w:lang w:val="en-ZA" w:eastAsia="en-ZA"/>
        </w:rPr>
        <w:t>in the Commercial C</w:t>
      </w:r>
      <w:r w:rsidR="00446475" w:rsidRPr="00A81732">
        <w:rPr>
          <w:rFonts w:ascii="Arial" w:eastAsia="Times New Roman" w:hAnsi="Arial" w:cs="Arial"/>
          <w:sz w:val="24"/>
          <w:szCs w:val="24"/>
          <w:lang w:val="en-ZA" w:eastAsia="en-ZA"/>
        </w:rPr>
        <w:t>ourt of England</w:t>
      </w:r>
      <w:r w:rsidR="00612EFD" w:rsidRPr="00A81732">
        <w:rPr>
          <w:rFonts w:ascii="Arial" w:eastAsia="Times New Roman" w:hAnsi="Arial" w:cs="Arial"/>
          <w:sz w:val="24"/>
          <w:szCs w:val="24"/>
          <w:lang w:val="en-ZA" w:eastAsia="en-ZA"/>
        </w:rPr>
        <w:t xml:space="preserve"> </w:t>
      </w:r>
      <w:r w:rsidR="00DF7E87" w:rsidRPr="00A81732">
        <w:rPr>
          <w:rFonts w:ascii="Arial" w:eastAsia="Times New Roman" w:hAnsi="Arial" w:cs="Arial"/>
          <w:sz w:val="24"/>
          <w:szCs w:val="24"/>
          <w:lang w:val="en-ZA" w:eastAsia="en-ZA"/>
        </w:rPr>
        <w:t>–</w:t>
      </w:r>
      <w:r w:rsidR="00612EFD" w:rsidRPr="00A81732">
        <w:rPr>
          <w:rFonts w:ascii="Arial" w:eastAsia="Times New Roman" w:hAnsi="Arial" w:cs="Arial"/>
          <w:sz w:val="24"/>
          <w:szCs w:val="24"/>
          <w:lang w:val="en-ZA" w:eastAsia="en-ZA"/>
        </w:rPr>
        <w:t xml:space="preserve"> </w:t>
      </w:r>
      <w:r w:rsidR="00446475" w:rsidRPr="00A81732">
        <w:rPr>
          <w:rFonts w:ascii="Arial" w:eastAsia="Times New Roman" w:hAnsi="Arial" w:cs="Arial"/>
          <w:sz w:val="24"/>
          <w:szCs w:val="24"/>
          <w:lang w:val="en-ZA" w:eastAsia="en-ZA"/>
        </w:rPr>
        <w:t xml:space="preserve">known as </w:t>
      </w:r>
      <w:r w:rsidR="00446475" w:rsidRPr="00A81732">
        <w:rPr>
          <w:rFonts w:ascii="Arial" w:eastAsia="Times New Roman" w:hAnsi="Arial" w:cs="Arial"/>
          <w:i/>
          <w:sz w:val="24"/>
          <w:szCs w:val="24"/>
          <w:lang w:val="en-ZA" w:eastAsia="en-ZA"/>
        </w:rPr>
        <w:t>Khan</w:t>
      </w:r>
      <w:r w:rsidR="00003586" w:rsidRPr="00A81732">
        <w:rPr>
          <w:rFonts w:ascii="Arial" w:eastAsia="Times New Roman" w:hAnsi="Arial" w:cs="Arial"/>
          <w:i/>
          <w:sz w:val="24"/>
          <w:szCs w:val="24"/>
          <w:lang w:val="en-ZA" w:eastAsia="en-ZA"/>
        </w:rPr>
        <w:t>na</w:t>
      </w:r>
      <w:r w:rsidR="00446475" w:rsidRPr="00A81732">
        <w:rPr>
          <w:rFonts w:ascii="Arial" w:eastAsia="Times New Roman" w:hAnsi="Arial" w:cs="Arial"/>
          <w:sz w:val="24"/>
          <w:szCs w:val="24"/>
          <w:lang w:val="en-ZA" w:eastAsia="en-ZA"/>
        </w:rPr>
        <w:t xml:space="preserve"> summonses</w:t>
      </w:r>
      <w:r w:rsidR="00003586" w:rsidRPr="00A81732">
        <w:rPr>
          <w:rFonts w:ascii="Arial" w:eastAsia="Times New Roman" w:hAnsi="Arial" w:cs="Arial"/>
          <w:sz w:val="24"/>
          <w:szCs w:val="24"/>
          <w:lang w:val="en-ZA" w:eastAsia="en-ZA"/>
        </w:rPr>
        <w:t xml:space="preserve"> (</w:t>
      </w:r>
      <w:r w:rsidR="00003586" w:rsidRPr="00A81732">
        <w:rPr>
          <w:rFonts w:ascii="Arial" w:eastAsia="Times New Roman" w:hAnsi="Arial" w:cs="Arial"/>
          <w:i/>
          <w:sz w:val="24"/>
          <w:szCs w:val="24"/>
          <w:lang w:val="en-ZA" w:eastAsia="en-ZA"/>
        </w:rPr>
        <w:t>Khanna v Lovell White Durrant</w:t>
      </w:r>
      <w:r w:rsidR="00003586" w:rsidRPr="00A81732">
        <w:rPr>
          <w:rFonts w:ascii="Arial" w:eastAsia="Times New Roman" w:hAnsi="Arial" w:cs="Arial"/>
          <w:sz w:val="24"/>
          <w:szCs w:val="24"/>
          <w:lang w:val="en-ZA" w:eastAsia="en-ZA"/>
        </w:rPr>
        <w:t xml:space="preserve"> [199</w:t>
      </w:r>
      <w:r w:rsidR="00B70AB0" w:rsidRPr="00A81732">
        <w:rPr>
          <w:rFonts w:ascii="Arial" w:eastAsia="Times New Roman" w:hAnsi="Arial" w:cs="Arial"/>
          <w:sz w:val="24"/>
          <w:szCs w:val="24"/>
          <w:lang w:val="en-ZA" w:eastAsia="en-ZA"/>
        </w:rPr>
        <w:t>4</w:t>
      </w:r>
      <w:r w:rsidR="00003586" w:rsidRPr="00A81732">
        <w:rPr>
          <w:rFonts w:ascii="Arial" w:eastAsia="Times New Roman" w:hAnsi="Arial" w:cs="Arial"/>
          <w:sz w:val="24"/>
          <w:szCs w:val="24"/>
          <w:lang w:val="en-ZA" w:eastAsia="en-ZA"/>
        </w:rPr>
        <w:t xml:space="preserve">] </w:t>
      </w:r>
      <w:r w:rsidR="00B70AB0" w:rsidRPr="00A81732">
        <w:rPr>
          <w:rFonts w:ascii="Arial" w:eastAsia="Times New Roman" w:hAnsi="Arial" w:cs="Arial"/>
          <w:sz w:val="24"/>
          <w:szCs w:val="24"/>
          <w:lang w:val="en-ZA" w:eastAsia="en-ZA"/>
        </w:rPr>
        <w:t>4</w:t>
      </w:r>
      <w:r w:rsidR="00003586" w:rsidRPr="00A81732">
        <w:rPr>
          <w:rFonts w:ascii="Arial" w:eastAsia="Times New Roman" w:hAnsi="Arial" w:cs="Arial"/>
          <w:sz w:val="24"/>
          <w:szCs w:val="24"/>
          <w:lang w:val="en-ZA" w:eastAsia="en-ZA"/>
        </w:rPr>
        <w:t xml:space="preserve"> </w:t>
      </w:r>
      <w:r w:rsidR="00B70AB0" w:rsidRPr="00A81732">
        <w:rPr>
          <w:rFonts w:ascii="Arial" w:eastAsia="Times New Roman" w:hAnsi="Arial" w:cs="Arial"/>
          <w:sz w:val="24"/>
          <w:szCs w:val="24"/>
          <w:lang w:val="en-ZA" w:eastAsia="en-ZA"/>
        </w:rPr>
        <w:t>ALL ER</w:t>
      </w:r>
      <w:r w:rsidR="00003586" w:rsidRPr="00A81732">
        <w:rPr>
          <w:rFonts w:ascii="Arial" w:eastAsia="Times New Roman" w:hAnsi="Arial" w:cs="Arial"/>
          <w:sz w:val="24"/>
          <w:szCs w:val="24"/>
          <w:lang w:val="en-ZA" w:eastAsia="en-ZA"/>
        </w:rPr>
        <w:t xml:space="preserve"> 121</w:t>
      </w:r>
      <w:r w:rsidR="00C01513" w:rsidRPr="00A81732">
        <w:rPr>
          <w:rFonts w:ascii="Arial" w:eastAsia="Times New Roman" w:hAnsi="Arial" w:cs="Arial"/>
          <w:sz w:val="24"/>
          <w:szCs w:val="24"/>
          <w:lang w:val="en-ZA" w:eastAsia="en-ZA"/>
        </w:rPr>
        <w:t>)</w:t>
      </w:r>
      <w:r w:rsidR="00446475" w:rsidRPr="00A81732">
        <w:rPr>
          <w:rFonts w:ascii="Arial" w:eastAsia="Times New Roman" w:hAnsi="Arial" w:cs="Arial"/>
          <w:sz w:val="24"/>
          <w:szCs w:val="24"/>
          <w:lang w:val="en-ZA" w:eastAsia="en-ZA"/>
        </w:rPr>
        <w:t>.</w:t>
      </w:r>
      <w:r w:rsidR="00AD16D7" w:rsidRPr="00A81732">
        <w:rPr>
          <w:rFonts w:ascii="Arial" w:eastAsia="Times New Roman" w:hAnsi="Arial" w:cs="Arial"/>
          <w:sz w:val="24"/>
          <w:szCs w:val="24"/>
          <w:lang w:val="en-ZA" w:eastAsia="en-ZA"/>
        </w:rPr>
        <w:t xml:space="preserve"> The sour</w:t>
      </w:r>
      <w:r w:rsidR="00C01513" w:rsidRPr="00A81732">
        <w:rPr>
          <w:rFonts w:ascii="Arial" w:eastAsia="Times New Roman" w:hAnsi="Arial" w:cs="Arial"/>
          <w:sz w:val="24"/>
          <w:szCs w:val="24"/>
          <w:lang w:val="en-ZA" w:eastAsia="en-ZA"/>
        </w:rPr>
        <w:t xml:space="preserve">ce for that procedure is </w:t>
      </w:r>
      <w:r w:rsidR="00894DFE" w:rsidRPr="00A81732">
        <w:rPr>
          <w:rFonts w:ascii="Arial" w:eastAsia="Times New Roman" w:hAnsi="Arial" w:cs="Arial"/>
          <w:sz w:val="24"/>
          <w:szCs w:val="24"/>
          <w:lang w:val="en-ZA" w:eastAsia="en-ZA"/>
        </w:rPr>
        <w:t>the Engl</w:t>
      </w:r>
      <w:r w:rsidR="002C5A29" w:rsidRPr="00A81732">
        <w:rPr>
          <w:rFonts w:ascii="Arial" w:eastAsia="Times New Roman" w:hAnsi="Arial" w:cs="Arial"/>
          <w:sz w:val="24"/>
          <w:szCs w:val="24"/>
          <w:lang w:val="en-ZA" w:eastAsia="en-ZA"/>
        </w:rPr>
        <w:t xml:space="preserve">and and Wales </w:t>
      </w:r>
      <w:r w:rsidR="00C01513" w:rsidRPr="00A81732">
        <w:rPr>
          <w:rFonts w:ascii="Arial" w:eastAsia="Times New Roman" w:hAnsi="Arial" w:cs="Arial"/>
          <w:sz w:val="24"/>
          <w:szCs w:val="24"/>
          <w:lang w:val="en-ZA" w:eastAsia="en-ZA"/>
        </w:rPr>
        <w:t>Civil P</w:t>
      </w:r>
      <w:r w:rsidR="00AD16D7" w:rsidRPr="00A81732">
        <w:rPr>
          <w:rFonts w:ascii="Arial" w:eastAsia="Times New Roman" w:hAnsi="Arial" w:cs="Arial"/>
          <w:sz w:val="24"/>
          <w:szCs w:val="24"/>
          <w:lang w:val="en-ZA" w:eastAsia="en-ZA"/>
        </w:rPr>
        <w:t>rocedure rule 34.2</w:t>
      </w:r>
      <w:r w:rsidR="00610970" w:rsidRPr="00A81732">
        <w:rPr>
          <w:rFonts w:ascii="Arial" w:eastAsia="Times New Roman" w:hAnsi="Arial" w:cs="Arial"/>
          <w:sz w:val="24"/>
          <w:szCs w:val="24"/>
          <w:lang w:val="en-ZA" w:eastAsia="en-ZA"/>
        </w:rPr>
        <w:t>.(</w:t>
      </w:r>
      <w:r w:rsidR="00AD16D7" w:rsidRPr="00A81732">
        <w:rPr>
          <w:rFonts w:ascii="Arial" w:eastAsia="Times New Roman" w:hAnsi="Arial" w:cs="Arial"/>
          <w:sz w:val="24"/>
          <w:szCs w:val="24"/>
          <w:lang w:val="en-ZA" w:eastAsia="en-ZA"/>
        </w:rPr>
        <w:t>4) which a party to litigation may use to subpoena documents.</w:t>
      </w:r>
      <w:r w:rsidR="00F8327C" w:rsidRPr="00A81732">
        <w:rPr>
          <w:rFonts w:ascii="Arial" w:eastAsia="Times New Roman" w:hAnsi="Arial" w:cs="Arial"/>
          <w:sz w:val="24"/>
          <w:szCs w:val="24"/>
          <w:lang w:val="en-ZA" w:eastAsia="en-ZA"/>
        </w:rPr>
        <w:t xml:space="preserve"> The English courts have recognised that the rule may be used to subpoena documents </w:t>
      </w:r>
      <w:r w:rsidR="004355C8" w:rsidRPr="00A81732">
        <w:rPr>
          <w:rFonts w:ascii="Arial" w:eastAsia="Times New Roman" w:hAnsi="Arial" w:cs="Arial"/>
          <w:sz w:val="24"/>
          <w:szCs w:val="24"/>
          <w:lang w:val="en-ZA" w:eastAsia="en-ZA"/>
        </w:rPr>
        <w:t xml:space="preserve">from non-parties </w:t>
      </w:r>
      <w:r w:rsidR="00F8327C" w:rsidRPr="00A81732">
        <w:rPr>
          <w:rFonts w:ascii="Arial" w:eastAsia="Times New Roman" w:hAnsi="Arial" w:cs="Arial"/>
          <w:sz w:val="24"/>
          <w:szCs w:val="24"/>
          <w:lang w:val="en-ZA" w:eastAsia="en-ZA"/>
        </w:rPr>
        <w:t>even before a matter has been set down for trial</w:t>
      </w:r>
      <w:r w:rsidR="00F8266E" w:rsidRPr="00A81732">
        <w:rPr>
          <w:rFonts w:ascii="Arial" w:eastAsia="Times New Roman" w:hAnsi="Arial" w:cs="Arial"/>
          <w:sz w:val="24"/>
          <w:szCs w:val="24"/>
          <w:lang w:val="en-ZA" w:eastAsia="en-ZA"/>
        </w:rPr>
        <w:t xml:space="preserve">. It involves </w:t>
      </w:r>
      <w:r w:rsidR="00F8266E" w:rsidRPr="00A81732">
        <w:rPr>
          <w:rFonts w:ascii="Arial" w:eastAsia="Times New Roman" w:hAnsi="Arial" w:cs="Arial"/>
          <w:color w:val="222222"/>
          <w:sz w:val="24"/>
          <w:szCs w:val="24"/>
          <w:shd w:val="clear" w:color="auto" w:fill="FFFFFF"/>
          <w:lang w:val="en-GB" w:eastAsia="en-GB"/>
        </w:rPr>
        <w:t xml:space="preserve">requiring a third party to produce documents </w:t>
      </w:r>
      <w:r w:rsidR="002C5A29" w:rsidRPr="00A81732">
        <w:rPr>
          <w:rFonts w:ascii="Arial" w:eastAsia="Times New Roman" w:hAnsi="Arial" w:cs="Arial"/>
          <w:color w:val="222222"/>
          <w:sz w:val="24"/>
          <w:szCs w:val="24"/>
          <w:shd w:val="clear" w:color="auto" w:fill="FFFFFF"/>
          <w:lang w:val="en-GB" w:eastAsia="en-GB"/>
        </w:rPr>
        <w:t xml:space="preserve">ad </w:t>
      </w:r>
      <w:r w:rsidR="00F8266E" w:rsidRPr="00A81732">
        <w:rPr>
          <w:rFonts w:ascii="Arial" w:eastAsia="Times New Roman" w:hAnsi="Arial" w:cs="Arial"/>
          <w:color w:val="222222"/>
          <w:sz w:val="24"/>
          <w:szCs w:val="24"/>
          <w:shd w:val="clear" w:color="auto" w:fill="FFFFFF"/>
          <w:lang w:val="en-GB" w:eastAsia="en-GB"/>
        </w:rPr>
        <w:t xml:space="preserve">subpoena </w:t>
      </w:r>
      <w:r w:rsidR="00F8266E" w:rsidRPr="00A81732">
        <w:rPr>
          <w:rFonts w:ascii="Arial" w:eastAsia="Times New Roman" w:hAnsi="Arial" w:cs="Arial"/>
          <w:i/>
          <w:color w:val="222222"/>
          <w:sz w:val="24"/>
          <w:szCs w:val="24"/>
          <w:shd w:val="clear" w:color="auto" w:fill="FFFFFF"/>
          <w:lang w:val="en-GB" w:eastAsia="en-GB"/>
        </w:rPr>
        <w:t>duces tecum</w:t>
      </w:r>
      <w:r w:rsidR="00F8266E" w:rsidRPr="00A81732">
        <w:rPr>
          <w:rFonts w:ascii="Arial" w:eastAsia="Times New Roman" w:hAnsi="Arial" w:cs="Arial"/>
          <w:color w:val="222222"/>
          <w:sz w:val="24"/>
          <w:szCs w:val="24"/>
          <w:shd w:val="clear" w:color="auto" w:fill="FFFFFF"/>
          <w:lang w:val="en-GB" w:eastAsia="en-GB"/>
        </w:rPr>
        <w:t xml:space="preserve"> at an interlocutory stage </w:t>
      </w:r>
      <w:r w:rsidR="000F3DE9" w:rsidRPr="00A81732">
        <w:rPr>
          <w:rFonts w:ascii="Arial" w:eastAsia="Times New Roman" w:hAnsi="Arial" w:cs="Arial"/>
          <w:color w:val="222222"/>
          <w:sz w:val="24"/>
          <w:szCs w:val="24"/>
          <w:shd w:val="clear" w:color="auto" w:fill="FFFFFF"/>
          <w:lang w:val="en-GB" w:eastAsia="en-GB"/>
        </w:rPr>
        <w:t xml:space="preserve">if production on the </w:t>
      </w:r>
      <w:r w:rsidR="003830C2" w:rsidRPr="00A81732">
        <w:rPr>
          <w:rFonts w:ascii="Arial" w:eastAsia="Times New Roman" w:hAnsi="Arial" w:cs="Arial"/>
          <w:color w:val="222222"/>
          <w:sz w:val="24"/>
          <w:szCs w:val="24"/>
          <w:shd w:val="clear" w:color="auto" w:fill="FFFFFF"/>
          <w:lang w:val="en-GB" w:eastAsia="en-GB"/>
        </w:rPr>
        <w:t xml:space="preserve">date of </w:t>
      </w:r>
      <w:r w:rsidR="000F3DE9" w:rsidRPr="00A81732">
        <w:rPr>
          <w:rFonts w:ascii="Arial" w:eastAsia="Times New Roman" w:hAnsi="Arial" w:cs="Arial"/>
          <w:color w:val="222222"/>
          <w:sz w:val="24"/>
          <w:szCs w:val="24"/>
          <w:shd w:val="clear" w:color="auto" w:fill="FFFFFF"/>
          <w:lang w:val="en-GB" w:eastAsia="en-GB"/>
        </w:rPr>
        <w:t xml:space="preserve">trial would likely lead to postponement. </w:t>
      </w:r>
      <w:r w:rsidR="003830C2" w:rsidRPr="00A81732">
        <w:rPr>
          <w:rFonts w:ascii="Arial" w:eastAsia="Times New Roman" w:hAnsi="Arial" w:cs="Arial"/>
          <w:color w:val="222222"/>
          <w:sz w:val="24"/>
          <w:szCs w:val="24"/>
          <w:shd w:val="clear" w:color="auto" w:fill="FFFFFF"/>
          <w:lang w:val="en-GB" w:eastAsia="en-GB"/>
        </w:rPr>
        <w:t xml:space="preserve">The practice is </w:t>
      </w:r>
      <w:r w:rsidR="000F3DE9" w:rsidRPr="00A81732">
        <w:rPr>
          <w:rFonts w:ascii="Arial" w:eastAsia="Times New Roman" w:hAnsi="Arial" w:cs="Arial"/>
          <w:color w:val="222222"/>
          <w:sz w:val="24"/>
          <w:szCs w:val="24"/>
          <w:shd w:val="clear" w:color="auto" w:fill="FFFFFF"/>
          <w:lang w:val="en-GB" w:eastAsia="en-GB"/>
        </w:rPr>
        <w:t xml:space="preserve">thus </w:t>
      </w:r>
      <w:r w:rsidR="00F8266E" w:rsidRPr="00A81732">
        <w:rPr>
          <w:rFonts w:ascii="Arial" w:eastAsia="Times New Roman" w:hAnsi="Arial" w:cs="Arial"/>
          <w:color w:val="222222"/>
          <w:sz w:val="24"/>
          <w:szCs w:val="24"/>
          <w:shd w:val="clear" w:color="auto" w:fill="FFFFFF"/>
          <w:lang w:val="en-GB" w:eastAsia="en-GB"/>
        </w:rPr>
        <w:lastRenderedPageBreak/>
        <w:t xml:space="preserve">designed to produce evidence at an earlier stage </w:t>
      </w:r>
      <w:r w:rsidR="003830C2" w:rsidRPr="00A81732">
        <w:rPr>
          <w:rFonts w:ascii="Arial" w:eastAsia="Times New Roman" w:hAnsi="Arial" w:cs="Arial"/>
          <w:color w:val="222222"/>
          <w:sz w:val="24"/>
          <w:szCs w:val="24"/>
          <w:shd w:val="clear" w:color="auto" w:fill="FFFFFF"/>
          <w:lang w:val="en-GB" w:eastAsia="en-GB"/>
        </w:rPr>
        <w:t>to save costs</w:t>
      </w:r>
      <w:r w:rsidR="00F8266E" w:rsidRPr="00A81732">
        <w:rPr>
          <w:rFonts w:ascii="Arial" w:eastAsia="Times New Roman" w:hAnsi="Arial" w:cs="Arial"/>
          <w:color w:val="222222"/>
          <w:sz w:val="24"/>
          <w:szCs w:val="24"/>
          <w:shd w:val="clear" w:color="auto" w:fill="FFFFFF"/>
          <w:lang w:val="en-GB" w:eastAsia="en-GB"/>
        </w:rPr>
        <w:t xml:space="preserve">. </w:t>
      </w:r>
      <w:r w:rsidR="004355C8" w:rsidRPr="00A81732">
        <w:rPr>
          <w:rFonts w:ascii="Arial" w:eastAsia="Times New Roman" w:hAnsi="Arial" w:cs="Arial"/>
          <w:color w:val="222222"/>
          <w:sz w:val="24"/>
          <w:szCs w:val="24"/>
          <w:shd w:val="clear" w:color="auto" w:fill="FFFFFF"/>
          <w:lang w:val="en-GB" w:eastAsia="en-GB"/>
        </w:rPr>
        <w:t>The rule is limited to trial actions.</w:t>
      </w:r>
    </w:p>
    <w:p w14:paraId="68D97EAC" w14:textId="77777777" w:rsidR="00AD16D7" w:rsidRPr="00DA7CFC" w:rsidRDefault="00AD16D7" w:rsidP="009829E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5B45346" w14:textId="1340FFAE" w:rsidR="004F55DD"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[37]</w:t>
      </w:r>
      <w:r w:rsidRPr="00DA7CFC">
        <w:rPr>
          <w:rFonts w:ascii="Arial" w:eastAsia="Times New Roman" w:hAnsi="Arial" w:cs="Arial"/>
          <w:sz w:val="24"/>
          <w:szCs w:val="24"/>
          <w:lang w:val="en-ZA" w:eastAsia="en-ZA"/>
        </w:rPr>
        <w:tab/>
      </w:r>
      <w:r w:rsidR="008626CB" w:rsidRPr="00A81732">
        <w:rPr>
          <w:rFonts w:ascii="Arial" w:eastAsia="Times New Roman" w:hAnsi="Arial" w:cs="Arial"/>
          <w:sz w:val="24"/>
          <w:szCs w:val="24"/>
          <w:lang w:val="en-ZA" w:eastAsia="en-ZA"/>
        </w:rPr>
        <w:t xml:space="preserve">I find </w:t>
      </w:r>
      <w:r w:rsidR="003830C2" w:rsidRPr="00A81732">
        <w:rPr>
          <w:rFonts w:ascii="Arial" w:eastAsia="Times New Roman" w:hAnsi="Arial" w:cs="Arial"/>
          <w:sz w:val="24"/>
          <w:szCs w:val="24"/>
          <w:lang w:val="en-ZA" w:eastAsia="en-ZA"/>
        </w:rPr>
        <w:t xml:space="preserve">Mr Heathcote’s </w:t>
      </w:r>
      <w:r w:rsidR="009829EA" w:rsidRPr="00A81732">
        <w:rPr>
          <w:rFonts w:ascii="Arial" w:eastAsia="Times New Roman" w:hAnsi="Arial" w:cs="Arial"/>
          <w:sz w:val="24"/>
          <w:szCs w:val="24"/>
          <w:lang w:val="en-ZA" w:eastAsia="en-ZA"/>
        </w:rPr>
        <w:t>reliance on the English practice</w:t>
      </w:r>
      <w:r w:rsidR="008626CB" w:rsidRPr="00A81732">
        <w:rPr>
          <w:rFonts w:ascii="Arial" w:eastAsia="Times New Roman" w:hAnsi="Arial" w:cs="Arial"/>
          <w:sz w:val="24"/>
          <w:szCs w:val="24"/>
          <w:lang w:val="en-ZA" w:eastAsia="en-ZA"/>
        </w:rPr>
        <w:t xml:space="preserve"> incongruous</w:t>
      </w:r>
      <w:r w:rsidR="009829EA" w:rsidRPr="00A81732">
        <w:rPr>
          <w:rFonts w:ascii="Arial" w:eastAsia="Times New Roman" w:hAnsi="Arial" w:cs="Arial"/>
          <w:sz w:val="24"/>
          <w:szCs w:val="24"/>
          <w:lang w:val="en-ZA" w:eastAsia="en-ZA"/>
        </w:rPr>
        <w:t xml:space="preserve"> with the </w:t>
      </w:r>
      <w:r w:rsidR="00F94040" w:rsidRPr="00A81732">
        <w:rPr>
          <w:rFonts w:ascii="Arial" w:eastAsia="Times New Roman" w:hAnsi="Arial" w:cs="Arial"/>
          <w:sz w:val="24"/>
          <w:szCs w:val="24"/>
          <w:lang w:val="en-ZA" w:eastAsia="en-ZA"/>
        </w:rPr>
        <w:t xml:space="preserve">stance taken </w:t>
      </w:r>
      <w:r w:rsidR="009829EA" w:rsidRPr="00A81732">
        <w:rPr>
          <w:rFonts w:ascii="Arial" w:eastAsia="Times New Roman" w:hAnsi="Arial" w:cs="Arial"/>
          <w:sz w:val="24"/>
          <w:szCs w:val="24"/>
          <w:lang w:val="en-ZA" w:eastAsia="en-ZA"/>
        </w:rPr>
        <w:t>on appeal that Holl</w:t>
      </w:r>
      <w:r w:rsidR="00325AEC" w:rsidRPr="00A81732">
        <w:rPr>
          <w:rFonts w:ascii="Arial" w:eastAsia="Times New Roman" w:hAnsi="Arial" w:cs="Arial"/>
          <w:sz w:val="24"/>
          <w:szCs w:val="24"/>
          <w:lang w:val="en-ZA" w:eastAsia="en-ZA"/>
        </w:rPr>
        <w:t>ard does not place reliance on r</w:t>
      </w:r>
      <w:r w:rsidR="009829EA" w:rsidRPr="00A81732">
        <w:rPr>
          <w:rFonts w:ascii="Arial" w:eastAsia="Times New Roman" w:hAnsi="Arial" w:cs="Arial"/>
          <w:sz w:val="24"/>
          <w:szCs w:val="24"/>
          <w:lang w:val="en-ZA" w:eastAsia="en-ZA"/>
        </w:rPr>
        <w:t xml:space="preserve">ule 37 for the subpoenas it sought. </w:t>
      </w:r>
      <w:r w:rsidR="001D261C" w:rsidRPr="00A81732">
        <w:rPr>
          <w:rFonts w:ascii="Arial" w:eastAsia="Times New Roman" w:hAnsi="Arial" w:cs="Arial"/>
          <w:i/>
          <w:sz w:val="24"/>
          <w:szCs w:val="24"/>
          <w:lang w:val="en-ZA" w:eastAsia="en-ZA"/>
        </w:rPr>
        <w:t>Khan</w:t>
      </w:r>
      <w:r w:rsidR="004B7099" w:rsidRPr="00A81732">
        <w:rPr>
          <w:rFonts w:ascii="Arial" w:eastAsia="Times New Roman" w:hAnsi="Arial" w:cs="Arial"/>
          <w:i/>
          <w:sz w:val="24"/>
          <w:szCs w:val="24"/>
          <w:lang w:val="en-ZA" w:eastAsia="en-ZA"/>
        </w:rPr>
        <w:t>na</w:t>
      </w:r>
      <w:r w:rsidR="001D261C" w:rsidRPr="00A81732">
        <w:rPr>
          <w:rFonts w:ascii="Arial" w:eastAsia="Times New Roman" w:hAnsi="Arial" w:cs="Arial"/>
          <w:sz w:val="24"/>
          <w:szCs w:val="24"/>
          <w:lang w:val="en-ZA" w:eastAsia="en-ZA"/>
        </w:rPr>
        <w:t xml:space="preserve"> summonses are sourced in the English </w:t>
      </w:r>
      <w:r w:rsidR="004B7099" w:rsidRPr="00A81732">
        <w:rPr>
          <w:rFonts w:ascii="Arial" w:eastAsia="Times New Roman" w:hAnsi="Arial" w:cs="Arial"/>
          <w:sz w:val="24"/>
          <w:szCs w:val="24"/>
          <w:lang w:val="en-ZA" w:eastAsia="en-ZA"/>
        </w:rPr>
        <w:t>Civil Procedure</w:t>
      </w:r>
      <w:r w:rsidR="001D261C" w:rsidRPr="00A81732">
        <w:rPr>
          <w:rFonts w:ascii="Arial" w:eastAsia="Times New Roman" w:hAnsi="Arial" w:cs="Arial"/>
          <w:sz w:val="24"/>
          <w:szCs w:val="24"/>
          <w:lang w:val="en-ZA" w:eastAsia="en-ZA"/>
        </w:rPr>
        <w:t xml:space="preserve"> equivalent</w:t>
      </w:r>
      <w:r w:rsidR="004B7099" w:rsidRPr="00A81732">
        <w:rPr>
          <w:rFonts w:ascii="Arial" w:eastAsia="Times New Roman" w:hAnsi="Arial" w:cs="Arial"/>
          <w:sz w:val="24"/>
          <w:szCs w:val="24"/>
          <w:lang w:val="en-ZA" w:eastAsia="en-ZA"/>
        </w:rPr>
        <w:t xml:space="preserve"> (r. 34.2.(4)</w:t>
      </w:r>
      <w:r w:rsidR="009829EA" w:rsidRPr="00A81732">
        <w:rPr>
          <w:rFonts w:ascii="Arial" w:eastAsia="Times New Roman" w:hAnsi="Arial" w:cs="Arial"/>
          <w:sz w:val="24"/>
          <w:szCs w:val="24"/>
          <w:lang w:val="en-ZA" w:eastAsia="en-ZA"/>
        </w:rPr>
        <w:t xml:space="preserve">) </w:t>
      </w:r>
      <w:r w:rsidR="00325AEC" w:rsidRPr="00A81732">
        <w:rPr>
          <w:rFonts w:ascii="Arial" w:eastAsia="Times New Roman" w:hAnsi="Arial" w:cs="Arial"/>
          <w:sz w:val="24"/>
          <w:szCs w:val="24"/>
          <w:lang w:val="en-ZA" w:eastAsia="en-ZA"/>
        </w:rPr>
        <w:t>of our r</w:t>
      </w:r>
      <w:r w:rsidR="001D261C" w:rsidRPr="00A81732">
        <w:rPr>
          <w:rFonts w:ascii="Arial" w:eastAsia="Times New Roman" w:hAnsi="Arial" w:cs="Arial"/>
          <w:sz w:val="24"/>
          <w:szCs w:val="24"/>
          <w:lang w:val="en-ZA" w:eastAsia="en-ZA"/>
        </w:rPr>
        <w:t>ule 37</w:t>
      </w:r>
      <w:r w:rsidR="002C5A29" w:rsidRPr="00A81732">
        <w:rPr>
          <w:rFonts w:ascii="Arial" w:eastAsia="Times New Roman" w:hAnsi="Arial" w:cs="Arial"/>
          <w:sz w:val="24"/>
          <w:szCs w:val="24"/>
          <w:lang w:val="en-ZA" w:eastAsia="en-ZA"/>
        </w:rPr>
        <w:t xml:space="preserve"> and s</w:t>
      </w:r>
      <w:r w:rsidR="00C963C6" w:rsidRPr="00A81732">
        <w:rPr>
          <w:rFonts w:ascii="Arial" w:eastAsia="Times New Roman" w:hAnsi="Arial" w:cs="Arial"/>
          <w:sz w:val="24"/>
          <w:szCs w:val="24"/>
          <w:lang w:val="en-ZA" w:eastAsia="en-ZA"/>
        </w:rPr>
        <w:t>ince Hollard does not rely on a rule</w:t>
      </w:r>
      <w:r w:rsidR="009829EA" w:rsidRPr="00A81732">
        <w:rPr>
          <w:rFonts w:ascii="Arial" w:eastAsia="Times New Roman" w:hAnsi="Arial" w:cs="Arial"/>
          <w:sz w:val="24"/>
          <w:szCs w:val="24"/>
          <w:lang w:val="en-ZA" w:eastAsia="en-ZA"/>
        </w:rPr>
        <w:t>,</w:t>
      </w:r>
      <w:r w:rsidR="00C963C6" w:rsidRPr="00A81732">
        <w:rPr>
          <w:rFonts w:ascii="Arial" w:eastAsia="Times New Roman" w:hAnsi="Arial" w:cs="Arial"/>
          <w:sz w:val="24"/>
          <w:szCs w:val="24"/>
          <w:lang w:val="en-ZA" w:eastAsia="en-ZA"/>
        </w:rPr>
        <w:t xml:space="preserve"> it is unnecessary to further consider the reli</w:t>
      </w:r>
      <w:r w:rsidR="009829EA" w:rsidRPr="00A81732">
        <w:rPr>
          <w:rFonts w:ascii="Arial" w:eastAsia="Times New Roman" w:hAnsi="Arial" w:cs="Arial"/>
          <w:sz w:val="24"/>
          <w:szCs w:val="24"/>
          <w:lang w:val="en-ZA" w:eastAsia="en-ZA"/>
        </w:rPr>
        <w:t>ance on the English Commercial C</w:t>
      </w:r>
      <w:r w:rsidR="00C963C6" w:rsidRPr="00A81732">
        <w:rPr>
          <w:rFonts w:ascii="Arial" w:eastAsia="Times New Roman" w:hAnsi="Arial" w:cs="Arial"/>
          <w:sz w:val="24"/>
          <w:szCs w:val="24"/>
          <w:lang w:val="en-ZA" w:eastAsia="en-ZA"/>
        </w:rPr>
        <w:t>ourt practice.</w:t>
      </w:r>
    </w:p>
    <w:p w14:paraId="63044ADF" w14:textId="77777777" w:rsidR="004F55DD" w:rsidRPr="000B71AD" w:rsidRDefault="004F55DD" w:rsidP="004F55DD">
      <w:pPr>
        <w:spacing w:line="360" w:lineRule="auto"/>
        <w:jc w:val="both"/>
        <w:rPr>
          <w:rFonts w:ascii="Arial" w:eastAsia="Times New Roman" w:hAnsi="Arial" w:cs="Arial"/>
          <w:sz w:val="24"/>
          <w:szCs w:val="24"/>
          <w:lang w:eastAsia="en-ZA"/>
        </w:rPr>
      </w:pPr>
    </w:p>
    <w:p w14:paraId="47A5437E" w14:textId="746D7F85" w:rsidR="006C3950"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9D1EBD" w:rsidRPr="00A81732">
        <w:rPr>
          <w:rFonts w:ascii="Arial" w:hAnsi="Arial" w:cs="Arial"/>
          <w:sz w:val="24"/>
          <w:szCs w:val="24"/>
        </w:rPr>
        <w:t>The role of an appellate court is to ascertain whether the first instance court came to a correct conclusion on the</w:t>
      </w:r>
      <w:r w:rsidR="006C3950" w:rsidRPr="00A81732">
        <w:rPr>
          <w:rFonts w:ascii="Arial" w:hAnsi="Arial" w:cs="Arial"/>
          <w:sz w:val="24"/>
          <w:szCs w:val="24"/>
        </w:rPr>
        <w:t xml:space="preserve"> facts and the law. T</w:t>
      </w:r>
      <w:r w:rsidR="009D1EBD" w:rsidRPr="00A81732">
        <w:rPr>
          <w:rFonts w:ascii="Arial" w:hAnsi="Arial" w:cs="Arial"/>
          <w:sz w:val="24"/>
          <w:szCs w:val="24"/>
        </w:rPr>
        <w:t>he appeal court engages in a consideration of the case afresh based, of course</w:t>
      </w:r>
      <w:r w:rsidR="0046674C" w:rsidRPr="00A81732">
        <w:rPr>
          <w:rFonts w:ascii="Arial" w:hAnsi="Arial" w:cs="Arial"/>
          <w:sz w:val="24"/>
          <w:szCs w:val="24"/>
        </w:rPr>
        <w:t>,</w:t>
      </w:r>
      <w:r w:rsidR="009D1EBD" w:rsidRPr="00A81732">
        <w:rPr>
          <w:rFonts w:ascii="Arial" w:hAnsi="Arial" w:cs="Arial"/>
          <w:sz w:val="24"/>
          <w:szCs w:val="24"/>
        </w:rPr>
        <w:t xml:space="preserve"> on the </w:t>
      </w:r>
      <w:r w:rsidR="0046674C" w:rsidRPr="00A81732">
        <w:rPr>
          <w:rFonts w:ascii="Arial" w:hAnsi="Arial" w:cs="Arial"/>
          <w:sz w:val="24"/>
          <w:szCs w:val="24"/>
        </w:rPr>
        <w:t>record and the grounds of appeal</w:t>
      </w:r>
      <w:r w:rsidR="00233F3D" w:rsidRPr="00A81732">
        <w:rPr>
          <w:rFonts w:ascii="Arial" w:hAnsi="Arial" w:cs="Arial"/>
          <w:sz w:val="24"/>
          <w:szCs w:val="24"/>
        </w:rPr>
        <w:t>.</w:t>
      </w:r>
    </w:p>
    <w:p w14:paraId="70C4ABDE" w14:textId="77777777" w:rsidR="00233F3D" w:rsidRPr="00233F3D" w:rsidRDefault="00233F3D" w:rsidP="00233F3D">
      <w:pPr>
        <w:rPr>
          <w:rFonts w:ascii="Arial" w:hAnsi="Arial" w:cs="Arial"/>
          <w:sz w:val="24"/>
          <w:szCs w:val="24"/>
        </w:rPr>
      </w:pPr>
    </w:p>
    <w:p w14:paraId="637AEEC6" w14:textId="3DE711C8"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994C7F" w:rsidRPr="00A81732">
        <w:rPr>
          <w:rFonts w:ascii="Arial" w:hAnsi="Arial" w:cs="Arial"/>
          <w:sz w:val="24"/>
          <w:szCs w:val="24"/>
        </w:rPr>
        <w:t xml:space="preserve">The question </w:t>
      </w:r>
      <w:r w:rsidR="006C3950" w:rsidRPr="00A81732">
        <w:rPr>
          <w:rFonts w:ascii="Arial" w:hAnsi="Arial" w:cs="Arial"/>
          <w:sz w:val="24"/>
          <w:szCs w:val="24"/>
        </w:rPr>
        <w:t xml:space="preserve">then </w:t>
      </w:r>
      <w:r w:rsidR="00994C7F" w:rsidRPr="00A81732">
        <w:rPr>
          <w:rFonts w:ascii="Arial" w:hAnsi="Arial" w:cs="Arial"/>
          <w:sz w:val="24"/>
          <w:szCs w:val="24"/>
        </w:rPr>
        <w:t xml:space="preserve">is, was the High Court correct to grant the subpoena </w:t>
      </w:r>
      <w:r w:rsidR="00994C7F" w:rsidRPr="00A81732">
        <w:rPr>
          <w:rFonts w:ascii="Arial" w:hAnsi="Arial" w:cs="Arial"/>
          <w:i/>
          <w:sz w:val="24"/>
          <w:szCs w:val="24"/>
        </w:rPr>
        <w:t>duces tecum</w:t>
      </w:r>
      <w:r w:rsidR="00994C7F" w:rsidRPr="00A81732">
        <w:rPr>
          <w:rFonts w:ascii="Arial" w:hAnsi="Arial" w:cs="Arial"/>
          <w:sz w:val="24"/>
          <w:szCs w:val="24"/>
        </w:rPr>
        <w:t xml:space="preserve"> against the Cabinet Secretary in the circumstances it did? Could it grant such</w:t>
      </w:r>
      <w:r w:rsidR="002C5A29" w:rsidRPr="00A81732">
        <w:rPr>
          <w:rFonts w:ascii="Arial" w:hAnsi="Arial" w:cs="Arial"/>
          <w:sz w:val="24"/>
          <w:szCs w:val="24"/>
        </w:rPr>
        <w:t xml:space="preserve"> an order in motion proceedings</w:t>
      </w:r>
      <w:r w:rsidR="00994C7F" w:rsidRPr="00A81732">
        <w:rPr>
          <w:rFonts w:ascii="Arial" w:hAnsi="Arial" w:cs="Arial"/>
          <w:sz w:val="24"/>
          <w:szCs w:val="24"/>
        </w:rPr>
        <w:t xml:space="preserve"> before pleadings had closed and a triable dispute of fact had arisen? In the absence of a specific provision in the rules to sanction </w:t>
      </w:r>
      <w:r w:rsidR="002C5A29" w:rsidRPr="00A81732">
        <w:rPr>
          <w:rFonts w:ascii="Arial" w:hAnsi="Arial" w:cs="Arial"/>
          <w:sz w:val="24"/>
          <w:szCs w:val="24"/>
        </w:rPr>
        <w:t>the relief sought by Hollard</w:t>
      </w:r>
      <w:r w:rsidR="00994C7F" w:rsidRPr="00A81732">
        <w:rPr>
          <w:rFonts w:ascii="Arial" w:hAnsi="Arial" w:cs="Arial"/>
          <w:sz w:val="24"/>
          <w:szCs w:val="24"/>
        </w:rPr>
        <w:t>, could the High Court grant such an order against the Cabinet Secretary without him having prior warning or being afforded the opportunity to make representations?</w:t>
      </w:r>
      <w:r w:rsidR="0046674C" w:rsidRPr="00A81732">
        <w:rPr>
          <w:rFonts w:ascii="Arial" w:hAnsi="Arial" w:cs="Arial"/>
          <w:sz w:val="24"/>
          <w:szCs w:val="24"/>
        </w:rPr>
        <w:t xml:space="preserve"> All these questions quite fairly and reasonably </w:t>
      </w:r>
      <w:r w:rsidR="00C556A5" w:rsidRPr="00A81732">
        <w:rPr>
          <w:rFonts w:ascii="Arial" w:hAnsi="Arial" w:cs="Arial"/>
          <w:sz w:val="24"/>
          <w:szCs w:val="24"/>
        </w:rPr>
        <w:t>arise</w:t>
      </w:r>
      <w:r w:rsidR="0046674C" w:rsidRPr="00A81732">
        <w:rPr>
          <w:rFonts w:ascii="Arial" w:hAnsi="Arial" w:cs="Arial"/>
          <w:sz w:val="24"/>
          <w:szCs w:val="24"/>
        </w:rPr>
        <w:t xml:space="preserve"> from the grounds of appeal that I have summarised.</w:t>
      </w:r>
    </w:p>
    <w:p w14:paraId="63324E2C" w14:textId="77777777" w:rsidR="00233F3D" w:rsidRPr="00DA7CFC" w:rsidRDefault="00233F3D" w:rsidP="00233F3D">
      <w:pPr>
        <w:pStyle w:val="ListParagraph"/>
        <w:shd w:val="clear" w:color="auto" w:fill="FFFFFF"/>
        <w:spacing w:after="0" w:line="480" w:lineRule="auto"/>
        <w:ind w:left="0"/>
        <w:jc w:val="both"/>
        <w:rPr>
          <w:rFonts w:ascii="Arial" w:hAnsi="Arial" w:cs="Arial"/>
          <w:sz w:val="24"/>
          <w:szCs w:val="24"/>
        </w:rPr>
      </w:pPr>
    </w:p>
    <w:p w14:paraId="5259D178" w14:textId="3AC12F55" w:rsidR="00DC205A" w:rsidRPr="00A81732" w:rsidRDefault="00A81732" w:rsidP="00A81732">
      <w:pPr>
        <w:shd w:val="clear" w:color="auto" w:fill="FFFFFF"/>
        <w:spacing w:after="0" w:line="480" w:lineRule="auto"/>
        <w:jc w:val="both"/>
        <w:rPr>
          <w:rFonts w:ascii="Arial" w:hAnsi="Arial" w:cs="Arial"/>
          <w:sz w:val="24"/>
          <w:szCs w:val="24"/>
        </w:rPr>
      </w:pPr>
      <w:r w:rsidRPr="00DA7CFC">
        <w:rPr>
          <w:rFonts w:ascii="Arial" w:hAnsi="Arial" w:cs="Arial"/>
          <w:sz w:val="24"/>
          <w:szCs w:val="24"/>
        </w:rPr>
        <w:t>[40]</w:t>
      </w:r>
      <w:r w:rsidRPr="00DA7CFC">
        <w:rPr>
          <w:rFonts w:ascii="Arial" w:hAnsi="Arial" w:cs="Arial"/>
          <w:sz w:val="24"/>
          <w:szCs w:val="24"/>
        </w:rPr>
        <w:tab/>
      </w:r>
      <w:r w:rsidR="00256BD2" w:rsidRPr="00A81732">
        <w:rPr>
          <w:rFonts w:ascii="Arial" w:hAnsi="Arial" w:cs="Arial"/>
          <w:sz w:val="24"/>
          <w:szCs w:val="24"/>
        </w:rPr>
        <w:t xml:space="preserve">I </w:t>
      </w:r>
      <w:r w:rsidR="00A0597D" w:rsidRPr="00A81732">
        <w:rPr>
          <w:rFonts w:ascii="Arial" w:hAnsi="Arial" w:cs="Arial"/>
          <w:sz w:val="24"/>
          <w:szCs w:val="24"/>
        </w:rPr>
        <w:t xml:space="preserve">propose to </w:t>
      </w:r>
      <w:r w:rsidR="005E2238" w:rsidRPr="00A81732">
        <w:rPr>
          <w:rFonts w:ascii="Arial" w:hAnsi="Arial" w:cs="Arial"/>
          <w:sz w:val="24"/>
          <w:szCs w:val="24"/>
        </w:rPr>
        <w:t xml:space="preserve">test the correctness of the High Court’s original order authorising the subpoenas </w:t>
      </w:r>
      <w:r w:rsidR="005E2238" w:rsidRPr="00A81732">
        <w:rPr>
          <w:rFonts w:ascii="Arial" w:hAnsi="Arial" w:cs="Arial"/>
          <w:i/>
          <w:sz w:val="24"/>
          <w:szCs w:val="24"/>
        </w:rPr>
        <w:t>duces tecum</w:t>
      </w:r>
      <w:r w:rsidR="005E2238" w:rsidRPr="00A81732">
        <w:rPr>
          <w:rFonts w:ascii="Arial" w:hAnsi="Arial" w:cs="Arial"/>
          <w:sz w:val="24"/>
          <w:szCs w:val="24"/>
        </w:rPr>
        <w:t xml:space="preserve"> and its dismissal of the A-G’s and Cabinet Secretary’s rescission application against the backdrop of our system of civil procedure. </w:t>
      </w:r>
    </w:p>
    <w:p w14:paraId="2F9BEF33" w14:textId="07F51896" w:rsidR="000C4C05"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994C7F" w:rsidRPr="00A81732">
        <w:rPr>
          <w:rFonts w:ascii="Arial" w:hAnsi="Arial" w:cs="Arial"/>
          <w:sz w:val="24"/>
          <w:szCs w:val="24"/>
        </w:rPr>
        <w:t>Civil proceedings in the High Court are conducted according to rules and procedures determined in terms of s 39 of the High Court Act 16 of 1990</w:t>
      </w:r>
      <w:r w:rsidR="00612EFD" w:rsidRPr="00A81732">
        <w:rPr>
          <w:rFonts w:ascii="Arial" w:hAnsi="Arial" w:cs="Arial"/>
          <w:sz w:val="24"/>
          <w:szCs w:val="24"/>
        </w:rPr>
        <w:t>.</w:t>
      </w:r>
      <w:r w:rsidR="00994C7F" w:rsidRPr="00DA7CFC">
        <w:rPr>
          <w:rStyle w:val="FootnoteReference"/>
          <w:rFonts w:ascii="Arial" w:hAnsi="Arial" w:cs="Arial"/>
          <w:sz w:val="24"/>
          <w:szCs w:val="24"/>
        </w:rPr>
        <w:footnoteReference w:id="9"/>
      </w:r>
      <w:r w:rsidR="00994C7F" w:rsidRPr="00A81732">
        <w:rPr>
          <w:rFonts w:ascii="Arial" w:hAnsi="Arial" w:cs="Arial"/>
          <w:sz w:val="24"/>
          <w:szCs w:val="24"/>
        </w:rPr>
        <w:t xml:space="preserve"> Those rules make provision for the manner in which particular claims may be instituted and defended and also f</w:t>
      </w:r>
      <w:r w:rsidR="000C4C05" w:rsidRPr="00A81732">
        <w:rPr>
          <w:rFonts w:ascii="Arial" w:hAnsi="Arial" w:cs="Arial"/>
          <w:sz w:val="24"/>
          <w:szCs w:val="24"/>
        </w:rPr>
        <w:t>or</w:t>
      </w:r>
      <w:r w:rsidR="00994C7F" w:rsidRPr="00A81732">
        <w:rPr>
          <w:rFonts w:ascii="Arial" w:hAnsi="Arial" w:cs="Arial"/>
          <w:sz w:val="24"/>
          <w:szCs w:val="24"/>
        </w:rPr>
        <w:t xml:space="preserve"> securing evidence </w:t>
      </w:r>
      <w:r w:rsidR="00007597" w:rsidRPr="00A81732">
        <w:rPr>
          <w:rFonts w:ascii="Arial" w:hAnsi="Arial" w:cs="Arial"/>
          <w:sz w:val="24"/>
          <w:szCs w:val="24"/>
        </w:rPr>
        <w:t>to</w:t>
      </w:r>
      <w:r w:rsidR="00994C7F" w:rsidRPr="00A81732">
        <w:rPr>
          <w:rFonts w:ascii="Arial" w:hAnsi="Arial" w:cs="Arial"/>
          <w:sz w:val="24"/>
          <w:szCs w:val="24"/>
        </w:rPr>
        <w:t xml:space="preserve"> support a party’s case. The purpose of the rules is to ensure an ord</w:t>
      </w:r>
      <w:r w:rsidR="00233F3D" w:rsidRPr="00A81732">
        <w:rPr>
          <w:rFonts w:ascii="Arial" w:hAnsi="Arial" w:cs="Arial"/>
          <w:sz w:val="24"/>
          <w:szCs w:val="24"/>
        </w:rPr>
        <w:t>erly and predictable procedure.</w:t>
      </w:r>
    </w:p>
    <w:p w14:paraId="0B700A40" w14:textId="77777777" w:rsidR="00233F3D" w:rsidRPr="00DA7CFC" w:rsidRDefault="00233F3D" w:rsidP="00233F3D">
      <w:pPr>
        <w:pStyle w:val="ListParagraph"/>
        <w:shd w:val="clear" w:color="auto" w:fill="FFFFFF"/>
        <w:spacing w:after="0" w:line="480" w:lineRule="auto"/>
        <w:ind w:left="0"/>
        <w:jc w:val="both"/>
        <w:rPr>
          <w:rFonts w:ascii="Arial" w:hAnsi="Arial" w:cs="Arial"/>
          <w:sz w:val="24"/>
          <w:szCs w:val="24"/>
        </w:rPr>
      </w:pPr>
    </w:p>
    <w:p w14:paraId="6A08DB76" w14:textId="7ED6CEAC" w:rsidR="000C4C05"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C4C05" w:rsidRPr="00A81732">
        <w:rPr>
          <w:rFonts w:ascii="Arial" w:hAnsi="Arial" w:cs="Arial"/>
          <w:sz w:val="24"/>
          <w:szCs w:val="24"/>
        </w:rPr>
        <w:t xml:space="preserve">Where the legislature has provided for a specific procedure for the ventilation of legal disputes it is to that procedure that the public must have recourse in the first place and not the Constitution. If the procedure is found wanting viewed from the prism of the Constitution, the appropriate thing is not to skirt the </w:t>
      </w:r>
      <w:r w:rsidR="002C5A29" w:rsidRPr="00A81732">
        <w:rPr>
          <w:rFonts w:ascii="Arial" w:hAnsi="Arial" w:cs="Arial"/>
          <w:sz w:val="24"/>
          <w:szCs w:val="24"/>
        </w:rPr>
        <w:t xml:space="preserve">applicable </w:t>
      </w:r>
      <w:r w:rsidR="000C4C05" w:rsidRPr="00A81732">
        <w:rPr>
          <w:rFonts w:ascii="Arial" w:hAnsi="Arial" w:cs="Arial"/>
          <w:sz w:val="24"/>
          <w:szCs w:val="24"/>
        </w:rPr>
        <w:t>procedure but to challenge it and have it set aside.</w:t>
      </w:r>
      <w:r w:rsidR="00A069E6" w:rsidRPr="00DA7CFC">
        <w:rPr>
          <w:rStyle w:val="FootnoteReference"/>
          <w:rFonts w:ascii="Arial" w:hAnsi="Arial" w:cs="Arial"/>
          <w:sz w:val="24"/>
          <w:szCs w:val="24"/>
        </w:rPr>
        <w:footnoteReference w:id="10"/>
      </w:r>
      <w:r w:rsidR="00007597" w:rsidRPr="00A81732">
        <w:rPr>
          <w:rFonts w:ascii="Arial" w:hAnsi="Arial" w:cs="Arial"/>
          <w:sz w:val="24"/>
          <w:szCs w:val="24"/>
        </w:rPr>
        <w:t xml:space="preserve"> That is the principle of subs</w:t>
      </w:r>
      <w:r w:rsidR="006C3950" w:rsidRPr="00A81732">
        <w:rPr>
          <w:rFonts w:ascii="Arial" w:hAnsi="Arial" w:cs="Arial"/>
          <w:sz w:val="24"/>
          <w:szCs w:val="24"/>
        </w:rPr>
        <w:t>idiarity</w:t>
      </w:r>
      <w:r w:rsidR="00AF6C53" w:rsidRPr="00A81732">
        <w:rPr>
          <w:rFonts w:ascii="Arial" w:hAnsi="Arial" w:cs="Arial"/>
          <w:sz w:val="24"/>
          <w:szCs w:val="24"/>
        </w:rPr>
        <w:t xml:space="preserve"> which guards against </w:t>
      </w:r>
      <w:r w:rsidR="002C5A29" w:rsidRPr="00A81732">
        <w:rPr>
          <w:rFonts w:ascii="Arial" w:hAnsi="Arial" w:cs="Arial"/>
          <w:sz w:val="24"/>
          <w:szCs w:val="24"/>
        </w:rPr>
        <w:t xml:space="preserve">the flourishing of </w:t>
      </w:r>
      <w:r w:rsidR="00AF6C53" w:rsidRPr="00A81732">
        <w:rPr>
          <w:rFonts w:ascii="Arial" w:hAnsi="Arial" w:cs="Arial"/>
          <w:sz w:val="24"/>
          <w:szCs w:val="24"/>
        </w:rPr>
        <w:t>parallel systems of law</w:t>
      </w:r>
      <w:r w:rsidR="006C3950" w:rsidRPr="00A81732">
        <w:rPr>
          <w:rFonts w:ascii="Arial" w:hAnsi="Arial" w:cs="Arial"/>
          <w:sz w:val="24"/>
          <w:szCs w:val="24"/>
        </w:rPr>
        <w:t>.</w:t>
      </w:r>
    </w:p>
    <w:p w14:paraId="384CA7D6" w14:textId="77777777" w:rsidR="00233F3D" w:rsidRPr="00DA7CFC" w:rsidRDefault="00233F3D" w:rsidP="00233F3D">
      <w:pPr>
        <w:pStyle w:val="ListParagraph"/>
        <w:shd w:val="clear" w:color="auto" w:fill="FFFFFF"/>
        <w:spacing w:after="0" w:line="480" w:lineRule="auto"/>
        <w:ind w:left="0"/>
        <w:jc w:val="both"/>
        <w:rPr>
          <w:rFonts w:ascii="Arial" w:hAnsi="Arial" w:cs="Arial"/>
          <w:sz w:val="24"/>
          <w:szCs w:val="24"/>
        </w:rPr>
      </w:pPr>
    </w:p>
    <w:p w14:paraId="35644AEE" w14:textId="34E31B7E"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994C7F" w:rsidRPr="00A81732">
        <w:rPr>
          <w:rFonts w:ascii="Arial" w:hAnsi="Arial" w:cs="Arial"/>
          <w:sz w:val="24"/>
          <w:szCs w:val="24"/>
        </w:rPr>
        <w:t>Namibia’s civil litigation process is delineated into action and motion proceedings</w:t>
      </w:r>
      <w:r w:rsidR="00994C7F" w:rsidRPr="00DA7CFC">
        <w:rPr>
          <w:rStyle w:val="FootnoteReference"/>
          <w:rFonts w:ascii="Arial" w:hAnsi="Arial" w:cs="Arial"/>
          <w:sz w:val="24"/>
          <w:szCs w:val="24"/>
        </w:rPr>
        <w:footnoteReference w:id="11"/>
      </w:r>
      <w:r w:rsidR="00994C7F" w:rsidRPr="00A81732">
        <w:rPr>
          <w:rFonts w:ascii="Arial" w:hAnsi="Arial" w:cs="Arial"/>
          <w:sz w:val="24"/>
          <w:szCs w:val="24"/>
        </w:rPr>
        <w:t xml:space="preserve">, each with its peculiar rules and practices. It is largely left to a </w:t>
      </w:r>
      <w:r w:rsidR="00994C7F" w:rsidRPr="00A81732">
        <w:rPr>
          <w:rFonts w:ascii="Arial" w:hAnsi="Arial" w:cs="Arial"/>
          <w:i/>
          <w:sz w:val="24"/>
          <w:szCs w:val="24"/>
        </w:rPr>
        <w:t>dominis litis</w:t>
      </w:r>
      <w:r w:rsidR="00994C7F" w:rsidRPr="00A81732">
        <w:rPr>
          <w:rFonts w:ascii="Arial" w:hAnsi="Arial" w:cs="Arial"/>
          <w:sz w:val="24"/>
          <w:szCs w:val="24"/>
        </w:rPr>
        <w:t xml:space="preserve"> party’s election which route to follow. Besides, the choice o</w:t>
      </w:r>
      <w:r w:rsidR="00735379" w:rsidRPr="00A81732">
        <w:rPr>
          <w:rFonts w:ascii="Arial" w:hAnsi="Arial" w:cs="Arial"/>
          <w:sz w:val="24"/>
          <w:szCs w:val="24"/>
        </w:rPr>
        <w:t>f</w:t>
      </w:r>
      <w:r w:rsidR="00994C7F" w:rsidRPr="00A81732">
        <w:rPr>
          <w:rFonts w:ascii="Arial" w:hAnsi="Arial" w:cs="Arial"/>
          <w:sz w:val="24"/>
          <w:szCs w:val="24"/>
        </w:rPr>
        <w:t xml:space="preserve"> route chosen by the </w:t>
      </w:r>
      <w:r w:rsidR="00994C7F" w:rsidRPr="00A81732">
        <w:rPr>
          <w:rFonts w:ascii="Arial" w:hAnsi="Arial" w:cs="Arial"/>
          <w:i/>
          <w:sz w:val="24"/>
          <w:szCs w:val="24"/>
        </w:rPr>
        <w:t>dominis litis</w:t>
      </w:r>
      <w:r w:rsidR="00994C7F" w:rsidRPr="00A81732">
        <w:rPr>
          <w:rFonts w:ascii="Arial" w:hAnsi="Arial" w:cs="Arial"/>
          <w:sz w:val="24"/>
          <w:szCs w:val="24"/>
        </w:rPr>
        <w:t xml:space="preserve"> party dictates the manner in which the party sued is to defend the claim.</w:t>
      </w:r>
    </w:p>
    <w:p w14:paraId="4103B1AB" w14:textId="77777777" w:rsidR="00233F3D" w:rsidRPr="00233F3D" w:rsidRDefault="00233F3D" w:rsidP="00233F3D">
      <w:pPr>
        <w:rPr>
          <w:rFonts w:ascii="Arial" w:hAnsi="Arial" w:cs="Arial"/>
          <w:sz w:val="24"/>
          <w:szCs w:val="24"/>
        </w:rPr>
      </w:pPr>
    </w:p>
    <w:p w14:paraId="5C45E2EB" w14:textId="2A828FC3" w:rsidR="00994C7F" w:rsidRPr="00A81732" w:rsidRDefault="00A81732" w:rsidP="00A81732">
      <w:pPr>
        <w:shd w:val="clear" w:color="auto" w:fill="FFFFFF"/>
        <w:spacing w:after="0" w:line="480" w:lineRule="auto"/>
        <w:jc w:val="both"/>
        <w:rPr>
          <w:rFonts w:ascii="Arial" w:hAnsi="Arial" w:cs="Arial"/>
          <w:sz w:val="24"/>
          <w:szCs w:val="24"/>
        </w:rPr>
      </w:pPr>
      <w:r w:rsidRPr="00DA7CFC">
        <w:rPr>
          <w:rFonts w:ascii="Arial" w:hAnsi="Arial" w:cs="Arial"/>
          <w:sz w:val="24"/>
          <w:szCs w:val="24"/>
        </w:rPr>
        <w:t>[44]</w:t>
      </w:r>
      <w:r w:rsidRPr="00DA7CFC">
        <w:rPr>
          <w:rFonts w:ascii="Arial" w:hAnsi="Arial" w:cs="Arial"/>
          <w:sz w:val="24"/>
          <w:szCs w:val="24"/>
        </w:rPr>
        <w:tab/>
      </w:r>
      <w:r w:rsidR="00994C7F" w:rsidRPr="00A81732">
        <w:rPr>
          <w:rFonts w:ascii="Arial" w:hAnsi="Arial" w:cs="Arial"/>
          <w:sz w:val="24"/>
          <w:szCs w:val="24"/>
        </w:rPr>
        <w:t xml:space="preserve">Under our current system of civil procedure, a party initiates litigation based on the evidential material </w:t>
      </w:r>
      <w:r w:rsidR="00F15F13" w:rsidRPr="00A81732">
        <w:rPr>
          <w:rFonts w:ascii="Arial" w:hAnsi="Arial" w:cs="Arial"/>
          <w:sz w:val="24"/>
          <w:szCs w:val="24"/>
        </w:rPr>
        <w:t>available to it</w:t>
      </w:r>
      <w:r w:rsidR="00994C7F" w:rsidRPr="00A81732">
        <w:rPr>
          <w:rFonts w:ascii="Arial" w:hAnsi="Arial" w:cs="Arial"/>
          <w:sz w:val="24"/>
          <w:szCs w:val="24"/>
        </w:rPr>
        <w:t xml:space="preserve"> at the time a suit is contemplated. The party sued presents its defence also on the basis of the material in its possession. In action </w:t>
      </w:r>
      <w:r w:rsidR="00994C7F" w:rsidRPr="00A81732">
        <w:rPr>
          <w:rFonts w:ascii="Arial" w:hAnsi="Arial" w:cs="Arial"/>
          <w:sz w:val="24"/>
          <w:szCs w:val="24"/>
        </w:rPr>
        <w:lastRenderedPageBreak/>
        <w:t>proceedings</w:t>
      </w:r>
      <w:r w:rsidR="000C4C05" w:rsidRPr="00A81732">
        <w:rPr>
          <w:rFonts w:ascii="Arial" w:hAnsi="Arial" w:cs="Arial"/>
          <w:sz w:val="24"/>
          <w:szCs w:val="24"/>
        </w:rPr>
        <w:t>,</w:t>
      </w:r>
      <w:r w:rsidR="00994C7F" w:rsidRPr="00A81732">
        <w:rPr>
          <w:rFonts w:ascii="Arial" w:hAnsi="Arial" w:cs="Arial"/>
          <w:sz w:val="24"/>
          <w:szCs w:val="24"/>
        </w:rPr>
        <w:t xml:space="preserve"> the </w:t>
      </w:r>
      <w:r w:rsidR="006331C5" w:rsidRPr="00A81732">
        <w:rPr>
          <w:rFonts w:ascii="Arial" w:hAnsi="Arial" w:cs="Arial"/>
          <w:sz w:val="24"/>
          <w:szCs w:val="24"/>
        </w:rPr>
        <w:t xml:space="preserve">procedural </w:t>
      </w:r>
      <w:r w:rsidR="00994C7F" w:rsidRPr="00A81732">
        <w:rPr>
          <w:rFonts w:ascii="Arial" w:hAnsi="Arial" w:cs="Arial"/>
          <w:sz w:val="24"/>
          <w:szCs w:val="24"/>
        </w:rPr>
        <w:t xml:space="preserve">device of a request for further particulars before plea has been abolished. </w:t>
      </w:r>
      <w:r w:rsidR="000C4C05" w:rsidRPr="00A81732">
        <w:rPr>
          <w:rFonts w:ascii="Arial" w:hAnsi="Arial" w:cs="Arial"/>
          <w:sz w:val="24"/>
          <w:szCs w:val="24"/>
        </w:rPr>
        <w:t xml:space="preserve">In other words, a party is not entitled to demand further particulars in order to present its defence. That is a </w:t>
      </w:r>
      <w:r w:rsidR="00EE519A" w:rsidRPr="00A81732">
        <w:rPr>
          <w:rFonts w:ascii="Arial" w:hAnsi="Arial" w:cs="Arial"/>
          <w:sz w:val="24"/>
          <w:szCs w:val="24"/>
        </w:rPr>
        <w:t xml:space="preserve">deliberate </w:t>
      </w:r>
      <w:r w:rsidR="000C4C05" w:rsidRPr="00A81732">
        <w:rPr>
          <w:rFonts w:ascii="Arial" w:hAnsi="Arial" w:cs="Arial"/>
          <w:sz w:val="24"/>
          <w:szCs w:val="24"/>
        </w:rPr>
        <w:t>choice mad</w:t>
      </w:r>
      <w:r w:rsidR="00C556A5" w:rsidRPr="00A81732">
        <w:rPr>
          <w:rFonts w:ascii="Arial" w:hAnsi="Arial" w:cs="Arial"/>
          <w:sz w:val="24"/>
          <w:szCs w:val="24"/>
        </w:rPr>
        <w:t>e</w:t>
      </w:r>
      <w:r w:rsidR="000C4C05" w:rsidRPr="00A81732">
        <w:rPr>
          <w:rFonts w:ascii="Arial" w:hAnsi="Arial" w:cs="Arial"/>
          <w:sz w:val="24"/>
          <w:szCs w:val="24"/>
        </w:rPr>
        <w:t xml:space="preserve"> by the rule-maker</w:t>
      </w:r>
      <w:r w:rsidR="00F52D80" w:rsidRPr="00A81732">
        <w:rPr>
          <w:rFonts w:ascii="Arial" w:hAnsi="Arial" w:cs="Arial"/>
          <w:sz w:val="24"/>
          <w:szCs w:val="24"/>
        </w:rPr>
        <w:t xml:space="preserve"> and </w:t>
      </w:r>
      <w:r w:rsidR="000C4C05" w:rsidRPr="00A81732">
        <w:rPr>
          <w:rFonts w:ascii="Arial" w:hAnsi="Arial" w:cs="Arial"/>
          <w:sz w:val="24"/>
          <w:szCs w:val="24"/>
        </w:rPr>
        <w:t>must have implications for motion proceedings where</w:t>
      </w:r>
      <w:r w:rsidR="006C3950" w:rsidRPr="00A81732">
        <w:rPr>
          <w:rFonts w:ascii="Arial" w:hAnsi="Arial" w:cs="Arial"/>
          <w:sz w:val="24"/>
          <w:szCs w:val="24"/>
        </w:rPr>
        <w:t>,</w:t>
      </w:r>
      <w:r w:rsidR="000C4C05" w:rsidRPr="00A81732">
        <w:rPr>
          <w:rFonts w:ascii="Arial" w:hAnsi="Arial" w:cs="Arial"/>
          <w:sz w:val="24"/>
          <w:szCs w:val="24"/>
        </w:rPr>
        <w:t xml:space="preserve"> in the history of our civil practice</w:t>
      </w:r>
      <w:r w:rsidR="006C3950" w:rsidRPr="00A81732">
        <w:rPr>
          <w:rFonts w:ascii="Arial" w:hAnsi="Arial" w:cs="Arial"/>
          <w:sz w:val="24"/>
          <w:szCs w:val="24"/>
        </w:rPr>
        <w:t>,</w:t>
      </w:r>
      <w:r w:rsidR="000C4C05" w:rsidRPr="00A81732">
        <w:rPr>
          <w:rFonts w:ascii="Arial" w:hAnsi="Arial" w:cs="Arial"/>
          <w:sz w:val="24"/>
          <w:szCs w:val="24"/>
        </w:rPr>
        <w:t xml:space="preserve"> such a right never existed.</w:t>
      </w:r>
    </w:p>
    <w:p w14:paraId="0A9547A8" w14:textId="77777777" w:rsidR="00973268" w:rsidRPr="00DA7CFC" w:rsidRDefault="00973268" w:rsidP="00994C7F">
      <w:pPr>
        <w:spacing w:line="480" w:lineRule="auto"/>
        <w:jc w:val="both"/>
        <w:rPr>
          <w:rFonts w:ascii="Arial" w:hAnsi="Arial" w:cs="Arial"/>
          <w:sz w:val="24"/>
          <w:szCs w:val="24"/>
        </w:rPr>
      </w:pPr>
    </w:p>
    <w:p w14:paraId="79278DBF" w14:textId="5535D3A0"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94C7F" w:rsidRPr="00A81732">
        <w:rPr>
          <w:rFonts w:ascii="Arial" w:hAnsi="Arial" w:cs="Arial"/>
          <w:sz w:val="24"/>
          <w:szCs w:val="24"/>
        </w:rPr>
        <w:t>In motion proceedings, the respondent is required to file an answering affidavit without seeking further particulars</w:t>
      </w:r>
      <w:r w:rsidR="0045694F" w:rsidRPr="00A81732">
        <w:rPr>
          <w:rFonts w:ascii="Arial" w:hAnsi="Arial" w:cs="Arial"/>
          <w:sz w:val="24"/>
          <w:szCs w:val="24"/>
        </w:rPr>
        <w:t>. Discovery is not available in motion proceedings as of right and is granted only exceptionally</w:t>
      </w:r>
      <w:r w:rsidR="008C73E5">
        <w:rPr>
          <w:rStyle w:val="FootnoteReference"/>
          <w:rFonts w:ascii="Arial" w:hAnsi="Arial" w:cs="Arial"/>
          <w:sz w:val="24"/>
          <w:szCs w:val="24"/>
        </w:rPr>
        <w:footnoteReference w:id="12"/>
      </w:r>
      <w:r w:rsidR="008C73E5" w:rsidRPr="00A81732">
        <w:rPr>
          <w:rFonts w:ascii="Arial" w:hAnsi="Arial" w:cs="Arial"/>
          <w:sz w:val="24"/>
          <w:szCs w:val="24"/>
        </w:rPr>
        <w:t xml:space="preserve"> and in any event only against a party to proceedings</w:t>
      </w:r>
      <w:r w:rsidR="0045694F" w:rsidRPr="00A81732">
        <w:rPr>
          <w:rFonts w:ascii="Arial" w:hAnsi="Arial" w:cs="Arial"/>
          <w:sz w:val="24"/>
          <w:szCs w:val="24"/>
        </w:rPr>
        <w:t>.</w:t>
      </w:r>
      <w:r w:rsidR="00EE519A" w:rsidRPr="00A81732">
        <w:rPr>
          <w:rFonts w:ascii="Arial" w:hAnsi="Arial" w:cs="Arial"/>
          <w:sz w:val="24"/>
          <w:szCs w:val="24"/>
        </w:rPr>
        <w:t xml:space="preserve"> </w:t>
      </w:r>
      <w:r w:rsidR="008C73E5" w:rsidRPr="00A81732">
        <w:rPr>
          <w:rFonts w:ascii="Arial" w:hAnsi="Arial" w:cs="Arial"/>
          <w:sz w:val="24"/>
          <w:szCs w:val="24"/>
        </w:rPr>
        <w:t xml:space="preserve">Only </w:t>
      </w:r>
      <w:r w:rsidR="00994C7F" w:rsidRPr="00A81732">
        <w:rPr>
          <w:rFonts w:ascii="Arial" w:hAnsi="Arial" w:cs="Arial"/>
          <w:sz w:val="24"/>
          <w:szCs w:val="24"/>
        </w:rPr>
        <w:t>if there are irresolvable disputes of fact on the papers may the matter be referred to oral evidence in terms o</w:t>
      </w:r>
      <w:r w:rsidR="0016229C" w:rsidRPr="00A81732">
        <w:rPr>
          <w:rFonts w:ascii="Arial" w:hAnsi="Arial" w:cs="Arial"/>
          <w:sz w:val="24"/>
          <w:szCs w:val="24"/>
        </w:rPr>
        <w:t>f r</w:t>
      </w:r>
      <w:r w:rsidR="00994C7F" w:rsidRPr="00A81732">
        <w:rPr>
          <w:rFonts w:ascii="Arial" w:hAnsi="Arial" w:cs="Arial"/>
          <w:sz w:val="24"/>
          <w:szCs w:val="24"/>
        </w:rPr>
        <w:t>ule 6</w:t>
      </w:r>
      <w:r w:rsidR="00CA195E" w:rsidRPr="00A81732">
        <w:rPr>
          <w:rFonts w:ascii="Arial" w:hAnsi="Arial" w:cs="Arial"/>
          <w:sz w:val="24"/>
          <w:szCs w:val="24"/>
        </w:rPr>
        <w:t>7(1)</w:t>
      </w:r>
      <w:r w:rsidR="00994C7F" w:rsidRPr="00DA7CFC">
        <w:rPr>
          <w:rStyle w:val="FootnoteReference"/>
          <w:rFonts w:ascii="Arial" w:hAnsi="Arial" w:cs="Arial"/>
          <w:sz w:val="24"/>
          <w:szCs w:val="24"/>
        </w:rPr>
        <w:footnoteReference w:id="13"/>
      </w:r>
      <w:r w:rsidR="00994C7F" w:rsidRPr="00A81732">
        <w:rPr>
          <w:rFonts w:ascii="Arial" w:hAnsi="Arial" w:cs="Arial"/>
          <w:sz w:val="24"/>
          <w:szCs w:val="24"/>
        </w:rPr>
        <w:t>. In the latter respect, parties will have the right, subject to the court’s oversight</w:t>
      </w:r>
      <w:r w:rsidR="003A160D" w:rsidRPr="00A81732">
        <w:rPr>
          <w:rFonts w:ascii="Arial" w:hAnsi="Arial" w:cs="Arial"/>
          <w:sz w:val="24"/>
          <w:szCs w:val="24"/>
        </w:rPr>
        <w:t>,</w:t>
      </w:r>
      <w:r w:rsidR="00994C7F" w:rsidRPr="00A81732">
        <w:rPr>
          <w:rFonts w:ascii="Arial" w:hAnsi="Arial" w:cs="Arial"/>
          <w:sz w:val="24"/>
          <w:szCs w:val="24"/>
        </w:rPr>
        <w:t xml:space="preserve"> to demand discovery and production of documents.</w:t>
      </w:r>
    </w:p>
    <w:p w14:paraId="3C289E99" w14:textId="77777777" w:rsidR="00233F3D" w:rsidRPr="00233F3D" w:rsidRDefault="00233F3D" w:rsidP="00233F3D">
      <w:pPr>
        <w:rPr>
          <w:rFonts w:ascii="Arial" w:hAnsi="Arial" w:cs="Arial"/>
          <w:sz w:val="24"/>
          <w:szCs w:val="24"/>
        </w:rPr>
      </w:pPr>
    </w:p>
    <w:p w14:paraId="2BF6E437" w14:textId="117CF926" w:rsidR="00805B8C" w:rsidRPr="00A81732" w:rsidRDefault="00A81732" w:rsidP="00A81732">
      <w:pPr>
        <w:shd w:val="clear" w:color="auto" w:fill="FFFFFF"/>
        <w:spacing w:after="0" w:line="480" w:lineRule="auto"/>
        <w:jc w:val="both"/>
        <w:rPr>
          <w:rFonts w:ascii="Arial" w:hAnsi="Arial" w:cs="Arial"/>
          <w:sz w:val="24"/>
          <w:szCs w:val="24"/>
        </w:rPr>
      </w:pPr>
      <w:r w:rsidRPr="00511F10">
        <w:rPr>
          <w:rFonts w:ascii="Arial" w:hAnsi="Arial" w:cs="Arial"/>
          <w:sz w:val="24"/>
          <w:szCs w:val="24"/>
        </w:rPr>
        <w:t>[46]</w:t>
      </w:r>
      <w:r w:rsidRPr="00511F10">
        <w:rPr>
          <w:rFonts w:ascii="Arial" w:hAnsi="Arial" w:cs="Arial"/>
          <w:sz w:val="24"/>
          <w:szCs w:val="24"/>
        </w:rPr>
        <w:tab/>
      </w:r>
      <w:r w:rsidR="00994C7F" w:rsidRPr="00A81732">
        <w:rPr>
          <w:rFonts w:ascii="Arial" w:hAnsi="Arial" w:cs="Arial"/>
          <w:sz w:val="24"/>
          <w:szCs w:val="24"/>
        </w:rPr>
        <w:t xml:space="preserve">Under </w:t>
      </w:r>
      <w:r w:rsidR="006C3950" w:rsidRPr="00A81732">
        <w:rPr>
          <w:rFonts w:ascii="Arial" w:hAnsi="Arial" w:cs="Arial"/>
          <w:sz w:val="24"/>
          <w:szCs w:val="24"/>
        </w:rPr>
        <w:t xml:space="preserve">Namibia’s </w:t>
      </w:r>
      <w:r w:rsidR="00994C7F" w:rsidRPr="00A81732">
        <w:rPr>
          <w:rFonts w:ascii="Arial" w:hAnsi="Arial" w:cs="Arial"/>
          <w:sz w:val="24"/>
          <w:szCs w:val="24"/>
        </w:rPr>
        <w:t xml:space="preserve">system of civil procedure, </w:t>
      </w:r>
      <w:r w:rsidR="00805B8C" w:rsidRPr="00A81732">
        <w:rPr>
          <w:rFonts w:ascii="Arial" w:hAnsi="Arial" w:cs="Arial"/>
          <w:sz w:val="24"/>
          <w:szCs w:val="24"/>
        </w:rPr>
        <w:t xml:space="preserve">a subpoena </w:t>
      </w:r>
      <w:r w:rsidR="00805B8C" w:rsidRPr="00A81732">
        <w:rPr>
          <w:rFonts w:ascii="Arial" w:hAnsi="Arial" w:cs="Arial"/>
          <w:i/>
          <w:sz w:val="24"/>
          <w:szCs w:val="24"/>
        </w:rPr>
        <w:t>duces tecum</w:t>
      </w:r>
      <w:r w:rsidR="00805B8C" w:rsidRPr="00A81732">
        <w:rPr>
          <w:rFonts w:ascii="Arial" w:hAnsi="Arial" w:cs="Arial"/>
          <w:sz w:val="24"/>
          <w:szCs w:val="24"/>
        </w:rPr>
        <w:t xml:space="preserve"> is available </w:t>
      </w:r>
      <w:r w:rsidR="00994C7F" w:rsidRPr="00A81732">
        <w:rPr>
          <w:rFonts w:ascii="Arial" w:hAnsi="Arial" w:cs="Arial"/>
          <w:sz w:val="24"/>
          <w:szCs w:val="24"/>
        </w:rPr>
        <w:t xml:space="preserve">only </w:t>
      </w:r>
      <w:r w:rsidR="005B0894" w:rsidRPr="00A81732">
        <w:rPr>
          <w:rFonts w:ascii="Arial" w:hAnsi="Arial" w:cs="Arial"/>
          <w:sz w:val="24"/>
          <w:szCs w:val="24"/>
        </w:rPr>
        <w:t>in</w:t>
      </w:r>
      <w:r w:rsidR="00994C7F" w:rsidRPr="00A81732">
        <w:rPr>
          <w:rFonts w:ascii="Arial" w:hAnsi="Arial" w:cs="Arial"/>
          <w:sz w:val="24"/>
          <w:szCs w:val="24"/>
        </w:rPr>
        <w:t xml:space="preserve"> action proceedings. In its current fo</w:t>
      </w:r>
      <w:r w:rsidR="00197B8D" w:rsidRPr="00A81732">
        <w:rPr>
          <w:rFonts w:ascii="Arial" w:hAnsi="Arial" w:cs="Arial"/>
          <w:sz w:val="24"/>
          <w:szCs w:val="24"/>
        </w:rPr>
        <w:t>r</w:t>
      </w:r>
      <w:r w:rsidR="00994C7F" w:rsidRPr="00A81732">
        <w:rPr>
          <w:rFonts w:ascii="Arial" w:hAnsi="Arial" w:cs="Arial"/>
          <w:sz w:val="24"/>
          <w:szCs w:val="24"/>
        </w:rPr>
        <w:t>m, Namibia</w:t>
      </w:r>
      <w:r w:rsidR="003830C2" w:rsidRPr="00A81732">
        <w:rPr>
          <w:rFonts w:ascii="Arial" w:hAnsi="Arial" w:cs="Arial"/>
          <w:sz w:val="24"/>
          <w:szCs w:val="24"/>
        </w:rPr>
        <w:t>’s</w:t>
      </w:r>
      <w:r w:rsidR="00994C7F" w:rsidRPr="00A81732">
        <w:rPr>
          <w:rFonts w:ascii="Arial" w:hAnsi="Arial" w:cs="Arial"/>
          <w:sz w:val="24"/>
          <w:szCs w:val="24"/>
        </w:rPr>
        <w:t xml:space="preserve"> </w:t>
      </w:r>
      <w:r w:rsidR="003830C2" w:rsidRPr="00A81732">
        <w:rPr>
          <w:rFonts w:ascii="Arial" w:hAnsi="Arial" w:cs="Arial"/>
          <w:sz w:val="24"/>
          <w:szCs w:val="24"/>
        </w:rPr>
        <w:t xml:space="preserve">civil procedure </w:t>
      </w:r>
      <w:r w:rsidR="00994C7F" w:rsidRPr="00A81732">
        <w:rPr>
          <w:rFonts w:ascii="Arial" w:hAnsi="Arial" w:cs="Arial"/>
          <w:sz w:val="24"/>
          <w:szCs w:val="24"/>
        </w:rPr>
        <w:t>does not recognise pre-litigation</w:t>
      </w:r>
      <w:r w:rsidR="003A160D" w:rsidRPr="00A81732">
        <w:rPr>
          <w:rFonts w:ascii="Arial" w:hAnsi="Arial" w:cs="Arial"/>
          <w:sz w:val="24"/>
          <w:szCs w:val="24"/>
        </w:rPr>
        <w:t xml:space="preserve"> (or preliminary)</w:t>
      </w:r>
      <w:r w:rsidR="00994C7F" w:rsidRPr="00A81732">
        <w:rPr>
          <w:rFonts w:ascii="Arial" w:hAnsi="Arial" w:cs="Arial"/>
          <w:sz w:val="24"/>
          <w:szCs w:val="24"/>
        </w:rPr>
        <w:t xml:space="preserve"> discovery, either in action or motion proceedings. It certainly does not entitle a respondent in motion proceedings to demand discovery or to cross-examine the opponent</w:t>
      </w:r>
      <w:r w:rsidR="003A160D" w:rsidRPr="00A81732">
        <w:rPr>
          <w:rFonts w:ascii="Arial" w:hAnsi="Arial" w:cs="Arial"/>
          <w:sz w:val="24"/>
          <w:szCs w:val="24"/>
        </w:rPr>
        <w:t>’</w:t>
      </w:r>
      <w:r w:rsidR="00994C7F" w:rsidRPr="00A81732">
        <w:rPr>
          <w:rFonts w:ascii="Arial" w:hAnsi="Arial" w:cs="Arial"/>
          <w:sz w:val="24"/>
          <w:szCs w:val="24"/>
        </w:rPr>
        <w:t>s witnesses before filing an answering affidavit.</w:t>
      </w:r>
    </w:p>
    <w:p w14:paraId="3F7BD777" w14:textId="7B9A8F64" w:rsidR="006C3950" w:rsidRPr="005E2238" w:rsidRDefault="005E2238" w:rsidP="00994C7F">
      <w:pPr>
        <w:spacing w:line="480" w:lineRule="auto"/>
        <w:jc w:val="both"/>
        <w:rPr>
          <w:rFonts w:ascii="Arial" w:hAnsi="Arial" w:cs="Arial"/>
          <w:sz w:val="24"/>
          <w:szCs w:val="24"/>
          <w:u w:val="single"/>
        </w:rPr>
      </w:pPr>
      <w:r w:rsidRPr="005E2238">
        <w:rPr>
          <w:rFonts w:ascii="Arial" w:hAnsi="Arial" w:cs="Arial"/>
          <w:sz w:val="24"/>
          <w:szCs w:val="24"/>
          <w:u w:val="single"/>
        </w:rPr>
        <w:lastRenderedPageBreak/>
        <w:t>The High Court’s approach considered</w:t>
      </w:r>
    </w:p>
    <w:p w14:paraId="29E19482" w14:textId="50AAF381" w:rsidR="005E2238" w:rsidRPr="005E2238" w:rsidRDefault="005E2238" w:rsidP="00994C7F">
      <w:pPr>
        <w:spacing w:line="480" w:lineRule="auto"/>
        <w:jc w:val="both"/>
        <w:rPr>
          <w:rFonts w:ascii="Arial" w:hAnsi="Arial" w:cs="Arial"/>
          <w:i/>
          <w:sz w:val="24"/>
          <w:szCs w:val="24"/>
        </w:rPr>
      </w:pPr>
      <w:r w:rsidRPr="005E2238">
        <w:rPr>
          <w:rFonts w:ascii="Arial" w:hAnsi="Arial" w:cs="Arial"/>
          <w:i/>
          <w:sz w:val="24"/>
          <w:szCs w:val="24"/>
        </w:rPr>
        <w:t xml:space="preserve">Reliance on </w:t>
      </w:r>
      <w:r w:rsidR="00A42D44">
        <w:rPr>
          <w:rFonts w:ascii="Arial" w:hAnsi="Arial" w:cs="Arial"/>
          <w:i/>
          <w:sz w:val="24"/>
          <w:szCs w:val="24"/>
        </w:rPr>
        <w:t>Art</w:t>
      </w:r>
      <w:r w:rsidRPr="005E2238">
        <w:rPr>
          <w:rFonts w:ascii="Arial" w:hAnsi="Arial" w:cs="Arial"/>
          <w:i/>
          <w:sz w:val="24"/>
          <w:szCs w:val="24"/>
        </w:rPr>
        <w:t xml:space="preserve"> 12</w:t>
      </w:r>
    </w:p>
    <w:p w14:paraId="5D869AEB" w14:textId="5FFB7A3D"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6C3950" w:rsidRPr="00A81732">
        <w:rPr>
          <w:rFonts w:ascii="Arial" w:hAnsi="Arial" w:cs="Arial"/>
          <w:sz w:val="24"/>
          <w:szCs w:val="24"/>
        </w:rPr>
        <w:t>A</w:t>
      </w:r>
      <w:r w:rsidR="000D1944" w:rsidRPr="00A81732">
        <w:rPr>
          <w:rFonts w:ascii="Arial" w:hAnsi="Arial" w:cs="Arial"/>
          <w:sz w:val="24"/>
          <w:szCs w:val="24"/>
        </w:rPr>
        <w:t xml:space="preserve">t </w:t>
      </w:r>
      <w:r w:rsidR="00B56EF2" w:rsidRPr="00A81732">
        <w:rPr>
          <w:rFonts w:ascii="Arial" w:hAnsi="Arial" w:cs="Arial"/>
          <w:sz w:val="24"/>
          <w:szCs w:val="24"/>
        </w:rPr>
        <w:t>Hollard’s prompting</w:t>
      </w:r>
      <w:r w:rsidR="00994C7F" w:rsidRPr="00A81732">
        <w:rPr>
          <w:rFonts w:ascii="Arial" w:hAnsi="Arial" w:cs="Arial"/>
          <w:sz w:val="24"/>
          <w:szCs w:val="24"/>
        </w:rPr>
        <w:t xml:space="preserve">, the High Court sanctioned a wholesale departure from established procedure </w:t>
      </w:r>
      <w:r w:rsidR="00C536DC" w:rsidRPr="00A81732">
        <w:rPr>
          <w:rFonts w:ascii="Arial" w:hAnsi="Arial" w:cs="Arial"/>
          <w:sz w:val="24"/>
          <w:szCs w:val="24"/>
        </w:rPr>
        <w:t xml:space="preserve">by </w:t>
      </w:r>
      <w:r w:rsidR="006C3950" w:rsidRPr="00A81732">
        <w:rPr>
          <w:rFonts w:ascii="Arial" w:hAnsi="Arial" w:cs="Arial"/>
          <w:sz w:val="24"/>
          <w:szCs w:val="24"/>
        </w:rPr>
        <w:t>invoking</w:t>
      </w:r>
      <w:r w:rsidR="00994C7F" w:rsidRPr="00A81732">
        <w:rPr>
          <w:rFonts w:ascii="Arial" w:hAnsi="Arial" w:cs="Arial"/>
          <w:sz w:val="24"/>
          <w:szCs w:val="24"/>
        </w:rPr>
        <w:t xml:space="preserve"> </w:t>
      </w:r>
      <w:r w:rsidR="00A42D44" w:rsidRPr="00A81732">
        <w:rPr>
          <w:rFonts w:ascii="Arial" w:hAnsi="Arial" w:cs="Arial"/>
          <w:sz w:val="24"/>
          <w:szCs w:val="24"/>
        </w:rPr>
        <w:t>Art</w:t>
      </w:r>
      <w:r w:rsidR="00994C7F" w:rsidRPr="00A81732">
        <w:rPr>
          <w:rFonts w:ascii="Arial" w:hAnsi="Arial" w:cs="Arial"/>
          <w:sz w:val="24"/>
          <w:szCs w:val="24"/>
        </w:rPr>
        <w:t xml:space="preserve"> 12(1)(e) of the Constitution </w:t>
      </w:r>
      <w:r w:rsidR="006C3950" w:rsidRPr="00A81732">
        <w:rPr>
          <w:rFonts w:ascii="Arial" w:hAnsi="Arial" w:cs="Arial"/>
          <w:sz w:val="24"/>
          <w:szCs w:val="24"/>
        </w:rPr>
        <w:t xml:space="preserve">– and </w:t>
      </w:r>
      <w:r w:rsidR="00994C7F" w:rsidRPr="00A81732">
        <w:rPr>
          <w:rFonts w:ascii="Arial" w:hAnsi="Arial" w:cs="Arial"/>
          <w:sz w:val="24"/>
          <w:szCs w:val="24"/>
        </w:rPr>
        <w:t>allowing Hollard to demand production of documents from the Cabinet Secretary for the purpose of cross-examin</w:t>
      </w:r>
      <w:r w:rsidR="000D1944" w:rsidRPr="00A81732">
        <w:rPr>
          <w:rFonts w:ascii="Arial" w:hAnsi="Arial" w:cs="Arial"/>
          <w:sz w:val="24"/>
          <w:szCs w:val="24"/>
        </w:rPr>
        <w:t xml:space="preserve">ing </w:t>
      </w:r>
      <w:r w:rsidR="00994C7F" w:rsidRPr="00A81732">
        <w:rPr>
          <w:rFonts w:ascii="Arial" w:hAnsi="Arial" w:cs="Arial"/>
          <w:sz w:val="24"/>
          <w:szCs w:val="24"/>
        </w:rPr>
        <w:t xml:space="preserve">witnesses for Gondwana </w:t>
      </w:r>
      <w:r w:rsidR="000D1944" w:rsidRPr="00A81732">
        <w:rPr>
          <w:rFonts w:ascii="Arial" w:hAnsi="Arial" w:cs="Arial"/>
          <w:sz w:val="24"/>
          <w:szCs w:val="24"/>
        </w:rPr>
        <w:t xml:space="preserve">in </w:t>
      </w:r>
      <w:r w:rsidR="006C3950" w:rsidRPr="00A81732">
        <w:rPr>
          <w:rFonts w:ascii="Arial" w:hAnsi="Arial" w:cs="Arial"/>
          <w:sz w:val="24"/>
          <w:szCs w:val="24"/>
        </w:rPr>
        <w:t xml:space="preserve">anticipated </w:t>
      </w:r>
      <w:r w:rsidR="000D1944" w:rsidRPr="00A81732">
        <w:rPr>
          <w:rFonts w:ascii="Arial" w:hAnsi="Arial" w:cs="Arial"/>
          <w:sz w:val="24"/>
          <w:szCs w:val="24"/>
        </w:rPr>
        <w:t xml:space="preserve">interlocutory proceedings </w:t>
      </w:r>
      <w:r w:rsidR="00994C7F" w:rsidRPr="00A81732">
        <w:rPr>
          <w:rFonts w:ascii="Arial" w:hAnsi="Arial" w:cs="Arial"/>
          <w:sz w:val="24"/>
          <w:szCs w:val="24"/>
        </w:rPr>
        <w:t xml:space="preserve">and to gainsay Gondwana’s assertions regarding the reason for the declaration of the </w:t>
      </w:r>
      <w:r w:rsidR="000D1944" w:rsidRPr="00A81732">
        <w:rPr>
          <w:rFonts w:ascii="Arial" w:hAnsi="Arial" w:cs="Arial"/>
          <w:sz w:val="24"/>
          <w:szCs w:val="24"/>
        </w:rPr>
        <w:t xml:space="preserve">SOE </w:t>
      </w:r>
      <w:r w:rsidR="00994C7F" w:rsidRPr="00A81732">
        <w:rPr>
          <w:rFonts w:ascii="Arial" w:hAnsi="Arial" w:cs="Arial"/>
          <w:sz w:val="24"/>
          <w:szCs w:val="24"/>
        </w:rPr>
        <w:t xml:space="preserve">and </w:t>
      </w:r>
      <w:r w:rsidR="000D1944" w:rsidRPr="00A81732">
        <w:rPr>
          <w:rFonts w:ascii="Arial" w:hAnsi="Arial" w:cs="Arial"/>
          <w:sz w:val="24"/>
          <w:szCs w:val="24"/>
        </w:rPr>
        <w:t xml:space="preserve">the </w:t>
      </w:r>
      <w:r w:rsidR="00994C7F" w:rsidRPr="00A81732">
        <w:rPr>
          <w:rFonts w:ascii="Arial" w:hAnsi="Arial" w:cs="Arial"/>
          <w:sz w:val="24"/>
          <w:szCs w:val="24"/>
        </w:rPr>
        <w:t>suspension of inbound flights.</w:t>
      </w:r>
    </w:p>
    <w:p w14:paraId="4A662CC9" w14:textId="77777777" w:rsidR="00E823A3" w:rsidRPr="00DA7CFC" w:rsidRDefault="00E823A3" w:rsidP="00E823A3">
      <w:pPr>
        <w:pStyle w:val="ListParagraph"/>
        <w:shd w:val="clear" w:color="auto" w:fill="FFFFFF"/>
        <w:spacing w:after="0" w:line="480" w:lineRule="auto"/>
        <w:ind w:left="0"/>
        <w:jc w:val="both"/>
        <w:rPr>
          <w:rFonts w:ascii="Arial" w:hAnsi="Arial" w:cs="Arial"/>
          <w:sz w:val="24"/>
          <w:szCs w:val="24"/>
        </w:rPr>
      </w:pPr>
    </w:p>
    <w:p w14:paraId="123FAB2D" w14:textId="1E2A1A1D" w:rsidR="00E25CB5"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0E0D0E" w:rsidRPr="00A81732">
        <w:rPr>
          <w:rFonts w:ascii="Arial" w:hAnsi="Arial" w:cs="Arial"/>
          <w:sz w:val="24"/>
          <w:szCs w:val="24"/>
        </w:rPr>
        <w:t xml:space="preserve">If regard is had to the principle of subsidiarity, </w:t>
      </w:r>
      <w:r w:rsidR="00805B8C" w:rsidRPr="00A81732">
        <w:rPr>
          <w:rFonts w:ascii="Arial" w:hAnsi="Arial" w:cs="Arial"/>
          <w:sz w:val="24"/>
          <w:szCs w:val="24"/>
        </w:rPr>
        <w:t xml:space="preserve">Hollard’s case </w:t>
      </w:r>
      <w:r w:rsidR="00994C7F" w:rsidRPr="00A81732">
        <w:rPr>
          <w:rFonts w:ascii="Arial" w:hAnsi="Arial" w:cs="Arial"/>
          <w:sz w:val="24"/>
          <w:szCs w:val="24"/>
        </w:rPr>
        <w:t xml:space="preserve">before the High Court was not advanced on the basis that the current rules of procedure impeded </w:t>
      </w:r>
      <w:r w:rsidR="00805B8C" w:rsidRPr="00A81732">
        <w:rPr>
          <w:rFonts w:ascii="Arial" w:hAnsi="Arial" w:cs="Arial"/>
          <w:sz w:val="24"/>
          <w:szCs w:val="24"/>
        </w:rPr>
        <w:t xml:space="preserve">its </w:t>
      </w:r>
      <w:r w:rsidR="00994C7F" w:rsidRPr="00A81732">
        <w:rPr>
          <w:rFonts w:ascii="Arial" w:hAnsi="Arial" w:cs="Arial"/>
          <w:sz w:val="24"/>
          <w:szCs w:val="24"/>
        </w:rPr>
        <w:t xml:space="preserve">right to a fair trial in </w:t>
      </w:r>
      <w:r w:rsidR="000E1E45" w:rsidRPr="00A81732">
        <w:rPr>
          <w:rFonts w:ascii="Arial" w:hAnsi="Arial" w:cs="Arial"/>
          <w:sz w:val="24"/>
          <w:szCs w:val="24"/>
        </w:rPr>
        <w:t>so</w:t>
      </w:r>
      <w:r w:rsidR="00994C7F" w:rsidRPr="00A81732">
        <w:rPr>
          <w:rFonts w:ascii="Arial" w:hAnsi="Arial" w:cs="Arial"/>
          <w:sz w:val="24"/>
          <w:szCs w:val="24"/>
        </w:rPr>
        <w:t xml:space="preserve"> far as they impose limitations on what it sought to do and that the</w:t>
      </w:r>
      <w:r w:rsidR="000E0D0E" w:rsidRPr="00A81732">
        <w:rPr>
          <w:rFonts w:ascii="Arial" w:hAnsi="Arial" w:cs="Arial"/>
          <w:sz w:val="24"/>
          <w:szCs w:val="24"/>
        </w:rPr>
        <w:t xml:space="preserve"> established rules and the common law informing them</w:t>
      </w:r>
      <w:r w:rsidR="00994C7F" w:rsidRPr="00A81732">
        <w:rPr>
          <w:rFonts w:ascii="Arial" w:hAnsi="Arial" w:cs="Arial"/>
          <w:sz w:val="24"/>
          <w:szCs w:val="24"/>
        </w:rPr>
        <w:t xml:space="preserve"> must make way to </w:t>
      </w:r>
      <w:r w:rsidR="00805B8C" w:rsidRPr="00A81732">
        <w:rPr>
          <w:rFonts w:ascii="Arial" w:hAnsi="Arial" w:cs="Arial"/>
          <w:sz w:val="24"/>
          <w:szCs w:val="24"/>
        </w:rPr>
        <w:t>the novel procedure</w:t>
      </w:r>
      <w:r w:rsidR="00994C7F" w:rsidRPr="00A81732">
        <w:rPr>
          <w:rFonts w:ascii="Arial" w:hAnsi="Arial" w:cs="Arial"/>
          <w:sz w:val="24"/>
          <w:szCs w:val="24"/>
        </w:rPr>
        <w:t xml:space="preserve"> deployed by Hollard. Until that happen</w:t>
      </w:r>
      <w:r w:rsidR="006C3950" w:rsidRPr="00A81732">
        <w:rPr>
          <w:rFonts w:ascii="Arial" w:hAnsi="Arial" w:cs="Arial"/>
          <w:sz w:val="24"/>
          <w:szCs w:val="24"/>
        </w:rPr>
        <w:t>ed</w:t>
      </w:r>
      <w:r w:rsidR="00994C7F" w:rsidRPr="00A81732">
        <w:rPr>
          <w:rFonts w:ascii="Arial" w:hAnsi="Arial" w:cs="Arial"/>
          <w:sz w:val="24"/>
          <w:szCs w:val="24"/>
        </w:rPr>
        <w:t xml:space="preserve">, </w:t>
      </w:r>
      <w:r w:rsidR="006C3950" w:rsidRPr="00A81732">
        <w:rPr>
          <w:rFonts w:ascii="Arial" w:hAnsi="Arial" w:cs="Arial"/>
          <w:sz w:val="24"/>
          <w:szCs w:val="24"/>
        </w:rPr>
        <w:t xml:space="preserve">Hollard and the </w:t>
      </w:r>
      <w:r w:rsidR="0070256A" w:rsidRPr="00A81732">
        <w:rPr>
          <w:rFonts w:ascii="Arial" w:hAnsi="Arial" w:cs="Arial"/>
          <w:sz w:val="24"/>
          <w:szCs w:val="24"/>
        </w:rPr>
        <w:t>High C</w:t>
      </w:r>
      <w:r w:rsidR="006C3950" w:rsidRPr="00A81732">
        <w:rPr>
          <w:rFonts w:ascii="Arial" w:hAnsi="Arial" w:cs="Arial"/>
          <w:sz w:val="24"/>
          <w:szCs w:val="24"/>
        </w:rPr>
        <w:t>ourt were</w:t>
      </w:r>
      <w:r w:rsidR="00994C7F" w:rsidRPr="00A81732">
        <w:rPr>
          <w:rFonts w:ascii="Arial" w:hAnsi="Arial" w:cs="Arial"/>
          <w:sz w:val="24"/>
          <w:szCs w:val="24"/>
        </w:rPr>
        <w:t xml:space="preserve"> bound by the existing regime of rules applicable to the particular circumstances.</w:t>
      </w:r>
    </w:p>
    <w:p w14:paraId="04BC6C8E" w14:textId="77777777" w:rsidR="00E823A3" w:rsidRPr="00E823A3" w:rsidRDefault="00E823A3" w:rsidP="00E823A3">
      <w:pPr>
        <w:rPr>
          <w:rFonts w:ascii="Arial" w:hAnsi="Arial" w:cs="Arial"/>
          <w:sz w:val="24"/>
          <w:szCs w:val="24"/>
        </w:rPr>
      </w:pPr>
    </w:p>
    <w:p w14:paraId="572359B3" w14:textId="7A5BBF28" w:rsidR="00994C7F" w:rsidRPr="00A81732" w:rsidRDefault="00A81732" w:rsidP="00A81732">
      <w:pPr>
        <w:shd w:val="clear" w:color="auto" w:fill="FFFFFF"/>
        <w:spacing w:after="0" w:line="480" w:lineRule="auto"/>
        <w:jc w:val="both"/>
        <w:rPr>
          <w:rFonts w:ascii="Arial" w:hAnsi="Arial" w:cs="Arial"/>
          <w:i/>
          <w:sz w:val="24"/>
          <w:szCs w:val="24"/>
        </w:rPr>
      </w:pPr>
      <w:r>
        <w:rPr>
          <w:rFonts w:ascii="Arial" w:hAnsi="Arial" w:cs="Arial"/>
          <w:sz w:val="24"/>
          <w:szCs w:val="24"/>
        </w:rPr>
        <w:t>[49]</w:t>
      </w:r>
      <w:r>
        <w:rPr>
          <w:rFonts w:ascii="Arial" w:hAnsi="Arial" w:cs="Arial"/>
          <w:sz w:val="24"/>
          <w:szCs w:val="24"/>
        </w:rPr>
        <w:tab/>
      </w:r>
      <w:r w:rsidR="00994C7F" w:rsidRPr="00A81732">
        <w:rPr>
          <w:rFonts w:ascii="Arial" w:hAnsi="Arial" w:cs="Arial"/>
          <w:sz w:val="24"/>
          <w:szCs w:val="24"/>
        </w:rPr>
        <w:t>It is not surprising that the South African Courts have refused to recognise a right to pre-litigation discovery even in cir</w:t>
      </w:r>
      <w:r w:rsidR="000E0D0E" w:rsidRPr="00A81732">
        <w:rPr>
          <w:rFonts w:ascii="Arial" w:hAnsi="Arial" w:cs="Arial"/>
          <w:sz w:val="24"/>
          <w:szCs w:val="24"/>
        </w:rPr>
        <w:t>cumstances where that country’s</w:t>
      </w:r>
      <w:r w:rsidR="00994C7F" w:rsidRPr="00A81732">
        <w:rPr>
          <w:rFonts w:ascii="Arial" w:hAnsi="Arial" w:cs="Arial"/>
          <w:sz w:val="24"/>
          <w:szCs w:val="24"/>
        </w:rPr>
        <w:t xml:space="preserve"> Constitution has guaranteed a right of access to information</w:t>
      </w:r>
      <w:r w:rsidR="00805B8C" w:rsidRPr="00A81732">
        <w:rPr>
          <w:rFonts w:ascii="Arial" w:hAnsi="Arial" w:cs="Arial"/>
          <w:sz w:val="24"/>
          <w:szCs w:val="24"/>
        </w:rPr>
        <w:t xml:space="preserve"> both from p</w:t>
      </w:r>
      <w:r w:rsidR="00FC4049" w:rsidRPr="00A81732">
        <w:rPr>
          <w:rFonts w:ascii="Arial" w:hAnsi="Arial" w:cs="Arial"/>
          <w:sz w:val="24"/>
          <w:szCs w:val="24"/>
        </w:rPr>
        <w:t xml:space="preserve">ublic </w:t>
      </w:r>
      <w:r w:rsidR="00805B8C" w:rsidRPr="00A81732">
        <w:rPr>
          <w:rFonts w:ascii="Arial" w:hAnsi="Arial" w:cs="Arial"/>
          <w:sz w:val="24"/>
          <w:szCs w:val="24"/>
        </w:rPr>
        <w:t>bodies and private instances</w:t>
      </w:r>
      <w:r w:rsidR="00D65BD1" w:rsidRPr="00A81732">
        <w:rPr>
          <w:rFonts w:ascii="Arial" w:hAnsi="Arial" w:cs="Arial"/>
          <w:sz w:val="24"/>
          <w:szCs w:val="24"/>
        </w:rPr>
        <w:t>.</w:t>
      </w:r>
      <w:r w:rsidR="006C3950" w:rsidRPr="00DA7CFC">
        <w:rPr>
          <w:rStyle w:val="FootnoteReference"/>
          <w:rFonts w:ascii="Arial" w:hAnsi="Arial" w:cs="Arial"/>
          <w:sz w:val="24"/>
          <w:szCs w:val="24"/>
        </w:rPr>
        <w:footnoteReference w:id="14"/>
      </w:r>
      <w:r w:rsidR="009D0C07" w:rsidRPr="00A81732">
        <w:rPr>
          <w:rFonts w:ascii="Arial" w:hAnsi="Arial" w:cs="Arial"/>
          <w:sz w:val="24"/>
          <w:szCs w:val="24"/>
        </w:rPr>
        <w:t xml:space="preserve"> Brand JA</w:t>
      </w:r>
      <w:r w:rsidR="00994C7F" w:rsidRPr="00A81732">
        <w:rPr>
          <w:rFonts w:ascii="Arial" w:hAnsi="Arial" w:cs="Arial"/>
          <w:sz w:val="24"/>
          <w:szCs w:val="24"/>
        </w:rPr>
        <w:t xml:space="preserve"> put it as follows in </w:t>
      </w:r>
      <w:r w:rsidR="00994C7F" w:rsidRPr="00A81732">
        <w:rPr>
          <w:rFonts w:ascii="Arial" w:hAnsi="Arial" w:cs="Arial"/>
          <w:i/>
          <w:sz w:val="24"/>
          <w:szCs w:val="24"/>
        </w:rPr>
        <w:t>Unitas Hospital v Van Wyk</w:t>
      </w:r>
      <w:r w:rsidR="00994C7F" w:rsidRPr="00DA7CFC">
        <w:rPr>
          <w:rStyle w:val="FootnoteReference"/>
          <w:rFonts w:ascii="Arial" w:hAnsi="Arial" w:cs="Arial"/>
          <w:sz w:val="24"/>
          <w:szCs w:val="24"/>
        </w:rPr>
        <w:footnoteReference w:id="15"/>
      </w:r>
      <w:r w:rsidR="00994C7F" w:rsidRPr="00A81732">
        <w:rPr>
          <w:rFonts w:ascii="Arial" w:hAnsi="Arial" w:cs="Arial"/>
          <w:i/>
          <w:sz w:val="24"/>
          <w:szCs w:val="24"/>
        </w:rPr>
        <w:t>:</w:t>
      </w:r>
    </w:p>
    <w:p w14:paraId="0E915494" w14:textId="77777777" w:rsidR="009C4E56" w:rsidRPr="00162A82" w:rsidRDefault="009C4E56" w:rsidP="009C4E56">
      <w:pPr>
        <w:pStyle w:val="ListParagraph"/>
        <w:shd w:val="clear" w:color="auto" w:fill="FFFFFF"/>
        <w:spacing w:after="0" w:line="480" w:lineRule="auto"/>
        <w:ind w:left="0"/>
        <w:jc w:val="both"/>
        <w:rPr>
          <w:rFonts w:ascii="Arial" w:hAnsi="Arial" w:cs="Arial"/>
          <w:i/>
          <w:sz w:val="24"/>
          <w:szCs w:val="24"/>
        </w:rPr>
      </w:pPr>
    </w:p>
    <w:p w14:paraId="2FF5A1C8" w14:textId="7AF86120" w:rsidR="00E823A3" w:rsidRDefault="00994C7F" w:rsidP="000912CD">
      <w:pPr>
        <w:spacing w:after="0" w:line="360" w:lineRule="auto"/>
        <w:ind w:left="720"/>
        <w:jc w:val="both"/>
        <w:rPr>
          <w:rFonts w:ascii="Arial" w:hAnsi="Arial" w:cs="Arial"/>
        </w:rPr>
      </w:pPr>
      <w:r w:rsidRPr="00DA7CFC">
        <w:rPr>
          <w:rFonts w:ascii="Arial" w:hAnsi="Arial" w:cs="Arial"/>
        </w:rPr>
        <w:t>‘[21]</w:t>
      </w:r>
      <w:r w:rsidR="00A574F8">
        <w:rPr>
          <w:rFonts w:ascii="Arial" w:hAnsi="Arial" w:cs="Arial"/>
        </w:rPr>
        <w:t xml:space="preserve"> . . . </w:t>
      </w:r>
      <w:r w:rsidRPr="00DA7CFC">
        <w:rPr>
          <w:rFonts w:ascii="Arial" w:hAnsi="Arial" w:cs="Arial"/>
        </w:rPr>
        <w:t xml:space="preserve">I do not believe that open and democratic societies would encourage what is commonly referred to as ‘fishing expeditions’ which could well arise if s 50 is used to </w:t>
      </w:r>
      <w:r w:rsidRPr="00DA7CFC">
        <w:rPr>
          <w:rFonts w:ascii="Arial" w:hAnsi="Arial" w:cs="Arial"/>
        </w:rPr>
        <w:lastRenderedPageBreak/>
        <w:t xml:space="preserve">facilitate pre-action discovery as a general practice (see </w:t>
      </w:r>
      <w:r w:rsidRPr="00C4613F">
        <w:rPr>
          <w:rFonts w:ascii="Arial" w:hAnsi="Arial" w:cs="Arial"/>
          <w:i/>
        </w:rPr>
        <w:t>Inkatha Freedom Party</w:t>
      </w:r>
      <w:r w:rsidRPr="00DA7CFC">
        <w:rPr>
          <w:rFonts w:ascii="Arial" w:hAnsi="Arial" w:cs="Arial"/>
        </w:rPr>
        <w:t xml:space="preserve"> (</w:t>
      </w:r>
      <w:r w:rsidRPr="00C4613F">
        <w:rPr>
          <w:rFonts w:ascii="Arial" w:hAnsi="Arial" w:cs="Arial"/>
          <w:i/>
        </w:rPr>
        <w:t>supra</w:t>
      </w:r>
      <w:r w:rsidRPr="00DA7CFC">
        <w:rPr>
          <w:rFonts w:ascii="Arial" w:hAnsi="Arial" w:cs="Arial"/>
        </w:rPr>
        <w:t xml:space="preserve"> 137C). Nor do I believe that such a society would require a potential defendant, as a general rule, to disclose his or her whole case before any action is launched. The deference shown by s 7 to the rules of discovery is, in my view, not without reason. These rules have served us well for many years. They have their own built-in measures of control to promote fairness and to avoid abuse. Documents are only discoverable if they are relevant to the litigation while relevance is determined by the issues on the pleadings. The deference shown to discovery rules is a clear indication, I think, that the legislature had no intention to allow prospective litigants to avoid these measures of control by compelling pre-action discovery under s 50 as a matter of course.’</w:t>
      </w:r>
    </w:p>
    <w:p w14:paraId="25B307C8" w14:textId="77777777" w:rsidR="000912CD" w:rsidRPr="000B71AD" w:rsidRDefault="000912CD" w:rsidP="000912CD">
      <w:pPr>
        <w:spacing w:after="0" w:line="480" w:lineRule="auto"/>
        <w:jc w:val="both"/>
        <w:rPr>
          <w:rFonts w:ascii="Arial" w:hAnsi="Arial" w:cs="Arial"/>
          <w:sz w:val="24"/>
          <w:szCs w:val="24"/>
        </w:rPr>
      </w:pPr>
    </w:p>
    <w:p w14:paraId="5184E44F" w14:textId="123BFA2E"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6C3950" w:rsidRPr="00A81732">
        <w:rPr>
          <w:rFonts w:ascii="Arial" w:hAnsi="Arial" w:cs="Arial"/>
          <w:sz w:val="24"/>
          <w:szCs w:val="24"/>
        </w:rPr>
        <w:t>In the absence of an enabling legislative or rule framework</w:t>
      </w:r>
      <w:r w:rsidR="00F23478" w:rsidRPr="00A81732">
        <w:rPr>
          <w:rFonts w:ascii="Arial" w:hAnsi="Arial" w:cs="Arial"/>
          <w:sz w:val="24"/>
          <w:szCs w:val="24"/>
        </w:rPr>
        <w:t xml:space="preserve"> the</w:t>
      </w:r>
      <w:r w:rsidR="006C3950" w:rsidRPr="00A81732">
        <w:rPr>
          <w:rFonts w:ascii="Arial" w:hAnsi="Arial" w:cs="Arial"/>
          <w:sz w:val="24"/>
          <w:szCs w:val="24"/>
        </w:rPr>
        <w:t xml:space="preserve"> </w:t>
      </w:r>
      <w:r w:rsidR="00805B8C" w:rsidRPr="00A81732">
        <w:rPr>
          <w:rFonts w:ascii="Arial" w:hAnsi="Arial" w:cs="Arial"/>
          <w:sz w:val="24"/>
          <w:szCs w:val="24"/>
        </w:rPr>
        <w:t xml:space="preserve">novel </w:t>
      </w:r>
      <w:r w:rsidR="00994C7F" w:rsidRPr="00A81732">
        <w:rPr>
          <w:rFonts w:ascii="Arial" w:hAnsi="Arial" w:cs="Arial"/>
          <w:sz w:val="24"/>
          <w:szCs w:val="24"/>
        </w:rPr>
        <w:t xml:space="preserve">procedure </w:t>
      </w:r>
      <w:r w:rsidR="006C3950" w:rsidRPr="00A81732">
        <w:rPr>
          <w:rFonts w:ascii="Arial" w:hAnsi="Arial" w:cs="Arial"/>
          <w:sz w:val="24"/>
          <w:szCs w:val="24"/>
        </w:rPr>
        <w:t xml:space="preserve">deployed </w:t>
      </w:r>
      <w:r w:rsidR="00994C7F" w:rsidRPr="00A81732">
        <w:rPr>
          <w:rFonts w:ascii="Arial" w:hAnsi="Arial" w:cs="Arial"/>
          <w:sz w:val="24"/>
          <w:szCs w:val="24"/>
        </w:rPr>
        <w:t xml:space="preserve">by Hollard </w:t>
      </w:r>
      <w:r w:rsidR="004F4423" w:rsidRPr="00A81732">
        <w:rPr>
          <w:rFonts w:ascii="Arial" w:hAnsi="Arial" w:cs="Arial"/>
          <w:sz w:val="24"/>
          <w:szCs w:val="24"/>
        </w:rPr>
        <w:t>a</w:t>
      </w:r>
      <w:r w:rsidR="00805B8C" w:rsidRPr="00A81732">
        <w:rPr>
          <w:rFonts w:ascii="Arial" w:hAnsi="Arial" w:cs="Arial"/>
          <w:sz w:val="24"/>
          <w:szCs w:val="24"/>
        </w:rPr>
        <w:t>nd sanctioned by the High Court</w:t>
      </w:r>
      <w:r w:rsidR="004F4423" w:rsidRPr="00A81732">
        <w:rPr>
          <w:rFonts w:ascii="Arial" w:hAnsi="Arial" w:cs="Arial"/>
          <w:sz w:val="24"/>
          <w:szCs w:val="24"/>
        </w:rPr>
        <w:t xml:space="preserve"> </w:t>
      </w:r>
      <w:r w:rsidR="00F23478" w:rsidRPr="00A81732">
        <w:rPr>
          <w:rFonts w:ascii="Arial" w:hAnsi="Arial" w:cs="Arial"/>
          <w:sz w:val="24"/>
          <w:szCs w:val="24"/>
        </w:rPr>
        <w:t xml:space="preserve">is </w:t>
      </w:r>
      <w:r w:rsidR="00994C7F" w:rsidRPr="00A81732">
        <w:rPr>
          <w:rFonts w:ascii="Arial" w:hAnsi="Arial" w:cs="Arial"/>
          <w:sz w:val="24"/>
          <w:szCs w:val="24"/>
        </w:rPr>
        <w:t>bound to open the floodgates for fishing expeditions, abuse</w:t>
      </w:r>
      <w:r w:rsidR="00E25CB5" w:rsidRPr="00A81732">
        <w:rPr>
          <w:rFonts w:ascii="Arial" w:hAnsi="Arial" w:cs="Arial"/>
          <w:sz w:val="24"/>
          <w:szCs w:val="24"/>
        </w:rPr>
        <w:t>,</w:t>
      </w:r>
      <w:r w:rsidR="00994C7F" w:rsidRPr="00A81732">
        <w:rPr>
          <w:rFonts w:ascii="Arial" w:hAnsi="Arial" w:cs="Arial"/>
          <w:sz w:val="24"/>
          <w:szCs w:val="24"/>
        </w:rPr>
        <w:t xml:space="preserve"> uncertainty and potentially contradictory practices by managing judges and bring the civil justice system into disrepute. It is no wonder that in </w:t>
      </w:r>
      <w:r w:rsidR="00994C7F" w:rsidRPr="00A81732">
        <w:rPr>
          <w:rFonts w:ascii="Arial" w:hAnsi="Arial" w:cs="Arial"/>
          <w:i/>
          <w:sz w:val="24"/>
          <w:szCs w:val="24"/>
        </w:rPr>
        <w:t>Chairperson of the Tender Board v Pamo Trading</w:t>
      </w:r>
      <w:r w:rsidR="00994C7F" w:rsidRPr="000912CD">
        <w:rPr>
          <w:rStyle w:val="FootnoteReference"/>
          <w:rFonts w:ascii="Arial" w:hAnsi="Arial" w:cs="Arial"/>
          <w:sz w:val="24"/>
          <w:szCs w:val="24"/>
        </w:rPr>
        <w:footnoteReference w:id="16"/>
      </w:r>
      <w:r w:rsidR="00994C7F" w:rsidRPr="00A81732">
        <w:rPr>
          <w:rFonts w:ascii="Arial" w:hAnsi="Arial" w:cs="Arial"/>
          <w:sz w:val="24"/>
          <w:szCs w:val="24"/>
        </w:rPr>
        <w:t xml:space="preserve"> Smuts JA stated: </w:t>
      </w:r>
    </w:p>
    <w:p w14:paraId="6B4B76A0" w14:textId="77777777" w:rsidR="002F15A1" w:rsidRPr="007E5734" w:rsidRDefault="002F15A1" w:rsidP="002F15A1">
      <w:pPr>
        <w:pStyle w:val="ListParagraph"/>
        <w:shd w:val="clear" w:color="auto" w:fill="FFFFFF"/>
        <w:spacing w:after="0" w:line="480" w:lineRule="auto"/>
        <w:ind w:left="0"/>
        <w:jc w:val="both"/>
        <w:rPr>
          <w:rFonts w:ascii="Arial" w:hAnsi="Arial" w:cs="Arial"/>
          <w:sz w:val="24"/>
          <w:szCs w:val="24"/>
        </w:rPr>
      </w:pPr>
    </w:p>
    <w:p w14:paraId="491FF79B" w14:textId="7C022AEA" w:rsidR="00E25CB5" w:rsidRDefault="00994C7F" w:rsidP="009D5264">
      <w:pPr>
        <w:spacing w:after="0" w:line="360" w:lineRule="auto"/>
        <w:ind w:left="720"/>
        <w:jc w:val="both"/>
        <w:rPr>
          <w:rFonts w:ascii="Arial" w:hAnsi="Arial" w:cs="Arial"/>
        </w:rPr>
      </w:pPr>
      <w:r w:rsidRPr="00DA7CFC">
        <w:rPr>
          <w:rFonts w:ascii="Arial" w:hAnsi="Arial" w:cs="Arial"/>
        </w:rPr>
        <w:t>‘I accept that under the common law pre-litigation discovery is a rare exception and would not be permitted as a ‘fishing expedition’ to enable persons to ascertain whether they have a case or not. Although discovery under judicial case management in the High Court rules can be ordered at a very early stage of proceedings to ensure that cases are dealt with expeditiously and fairly, this would of course only arise after the institution of proceedings. But the respondents do not have to invoke judicial case management to secure early discovery or the record of the decision making.’</w:t>
      </w:r>
    </w:p>
    <w:p w14:paraId="0B42D55C" w14:textId="77777777" w:rsidR="00B56EF2" w:rsidRPr="00A9093C" w:rsidRDefault="00B56EF2" w:rsidP="0031134A">
      <w:pPr>
        <w:spacing w:line="480" w:lineRule="auto"/>
        <w:jc w:val="both"/>
        <w:rPr>
          <w:rFonts w:ascii="Arial" w:hAnsi="Arial" w:cs="Arial"/>
          <w:sz w:val="24"/>
          <w:szCs w:val="24"/>
        </w:rPr>
      </w:pPr>
    </w:p>
    <w:p w14:paraId="56C7C564" w14:textId="37FC5D67" w:rsidR="00994C7F" w:rsidRPr="005E2238" w:rsidRDefault="00994C7F" w:rsidP="00994C7F">
      <w:pPr>
        <w:spacing w:line="360" w:lineRule="auto"/>
        <w:jc w:val="both"/>
        <w:rPr>
          <w:rFonts w:ascii="Arial" w:hAnsi="Arial" w:cs="Arial"/>
          <w:i/>
          <w:sz w:val="24"/>
          <w:szCs w:val="24"/>
        </w:rPr>
      </w:pPr>
      <w:r w:rsidRPr="005E2238">
        <w:rPr>
          <w:rFonts w:ascii="Arial" w:hAnsi="Arial" w:cs="Arial"/>
          <w:i/>
          <w:sz w:val="24"/>
          <w:szCs w:val="24"/>
        </w:rPr>
        <w:t>Pre-litigation discovery</w:t>
      </w:r>
    </w:p>
    <w:p w14:paraId="320A999A" w14:textId="5F2FD61D"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94C7F" w:rsidRPr="00A81732">
        <w:rPr>
          <w:rFonts w:ascii="Arial" w:hAnsi="Arial" w:cs="Arial"/>
          <w:sz w:val="24"/>
          <w:szCs w:val="24"/>
        </w:rPr>
        <w:t xml:space="preserve">I accept that there will be cases where a prospective plaintiff or applicant wishes to obtain certain information in order to institute legal proceedings and, by parity of reasoning, for a defendant or respondent to mount a defence to a claim. This is the realm of pre-litigation or preliminary discovery. How is such a situation to be dealt with </w:t>
      </w:r>
      <w:r w:rsidR="00994C7F" w:rsidRPr="00A81732">
        <w:rPr>
          <w:rFonts w:ascii="Arial" w:hAnsi="Arial" w:cs="Arial"/>
          <w:sz w:val="24"/>
          <w:szCs w:val="24"/>
        </w:rPr>
        <w:lastRenderedPageBreak/>
        <w:t xml:space="preserve">under our law? </w:t>
      </w:r>
      <w:r w:rsidR="007A0222" w:rsidRPr="00A81732">
        <w:rPr>
          <w:rFonts w:ascii="Arial" w:hAnsi="Arial" w:cs="Arial"/>
          <w:sz w:val="24"/>
          <w:szCs w:val="24"/>
        </w:rPr>
        <w:t xml:space="preserve">I have already shown that </w:t>
      </w:r>
      <w:r w:rsidR="00805B8C" w:rsidRPr="00A81732">
        <w:rPr>
          <w:rFonts w:ascii="Arial" w:hAnsi="Arial" w:cs="Arial"/>
          <w:sz w:val="24"/>
          <w:szCs w:val="24"/>
        </w:rPr>
        <w:t xml:space="preserve">this court </w:t>
      </w:r>
      <w:r w:rsidR="007A0222" w:rsidRPr="00A81732">
        <w:rPr>
          <w:rFonts w:ascii="Arial" w:hAnsi="Arial" w:cs="Arial"/>
          <w:sz w:val="24"/>
          <w:szCs w:val="24"/>
        </w:rPr>
        <w:t xml:space="preserve">recognised in </w:t>
      </w:r>
      <w:r w:rsidR="00E25CB5" w:rsidRPr="00A81732">
        <w:rPr>
          <w:rFonts w:ascii="Arial" w:hAnsi="Arial" w:cs="Arial"/>
          <w:i/>
          <w:sz w:val="24"/>
          <w:szCs w:val="24"/>
        </w:rPr>
        <w:t>Pamo</w:t>
      </w:r>
      <w:r w:rsidR="00E25CB5" w:rsidRPr="00A81732">
        <w:rPr>
          <w:rFonts w:ascii="Arial" w:hAnsi="Arial" w:cs="Arial"/>
          <w:sz w:val="24"/>
          <w:szCs w:val="24"/>
        </w:rPr>
        <w:t xml:space="preserve"> </w:t>
      </w:r>
      <w:r w:rsidR="007A0222" w:rsidRPr="00A81732">
        <w:rPr>
          <w:rFonts w:ascii="Arial" w:hAnsi="Arial" w:cs="Arial"/>
          <w:sz w:val="24"/>
          <w:szCs w:val="24"/>
        </w:rPr>
        <w:t>that at common law there is a limited right to pre-litigation discovery.</w:t>
      </w:r>
    </w:p>
    <w:p w14:paraId="1DCA060F" w14:textId="77777777" w:rsidR="00E823A3" w:rsidRPr="00DA7CFC" w:rsidRDefault="00E823A3" w:rsidP="00E823A3">
      <w:pPr>
        <w:pStyle w:val="ListParagraph"/>
        <w:shd w:val="clear" w:color="auto" w:fill="FFFFFF"/>
        <w:spacing w:after="0" w:line="480" w:lineRule="auto"/>
        <w:ind w:left="0"/>
        <w:jc w:val="both"/>
        <w:rPr>
          <w:rFonts w:ascii="Arial" w:hAnsi="Arial" w:cs="Arial"/>
          <w:sz w:val="24"/>
          <w:szCs w:val="24"/>
        </w:rPr>
      </w:pPr>
    </w:p>
    <w:p w14:paraId="0F87F7E3" w14:textId="1D81AA72"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994C7F" w:rsidRPr="00A81732">
        <w:rPr>
          <w:rFonts w:ascii="Arial" w:hAnsi="Arial" w:cs="Arial"/>
          <w:sz w:val="24"/>
          <w:szCs w:val="24"/>
        </w:rPr>
        <w:t>Some jurisdictions</w:t>
      </w:r>
      <w:r w:rsidR="00994C7F" w:rsidRPr="00DA7CFC">
        <w:rPr>
          <w:rStyle w:val="FootnoteReference"/>
          <w:rFonts w:ascii="Arial" w:hAnsi="Arial" w:cs="Arial"/>
          <w:sz w:val="24"/>
          <w:szCs w:val="24"/>
        </w:rPr>
        <w:footnoteReference w:id="17"/>
      </w:r>
      <w:r w:rsidR="00994C7F" w:rsidRPr="00A81732">
        <w:rPr>
          <w:rFonts w:ascii="Arial" w:hAnsi="Arial" w:cs="Arial"/>
          <w:sz w:val="24"/>
          <w:szCs w:val="24"/>
        </w:rPr>
        <w:t xml:space="preserve"> have enacted specific provisions for such discovery in two circumstances. Either where the identity or location of a prospective defendant is unknown or where a prospective plaintiff has reasonable belief</w:t>
      </w:r>
      <w:r w:rsidR="00994C7F" w:rsidRPr="00DA7CFC">
        <w:rPr>
          <w:rStyle w:val="FootnoteReference"/>
          <w:rFonts w:ascii="Arial" w:hAnsi="Arial" w:cs="Arial"/>
          <w:sz w:val="24"/>
          <w:szCs w:val="24"/>
        </w:rPr>
        <w:footnoteReference w:id="18"/>
      </w:r>
      <w:r w:rsidR="00994C7F" w:rsidRPr="00A81732">
        <w:rPr>
          <w:rFonts w:ascii="Arial" w:hAnsi="Arial" w:cs="Arial"/>
          <w:sz w:val="24"/>
          <w:szCs w:val="24"/>
        </w:rPr>
        <w:t xml:space="preserve"> that a</w:t>
      </w:r>
      <w:r w:rsidR="00805B8C" w:rsidRPr="00A81732">
        <w:rPr>
          <w:rFonts w:ascii="Arial" w:hAnsi="Arial" w:cs="Arial"/>
          <w:sz w:val="24"/>
          <w:szCs w:val="24"/>
        </w:rPr>
        <w:t xml:space="preserve">n intended </w:t>
      </w:r>
      <w:r w:rsidR="00994C7F" w:rsidRPr="00A81732">
        <w:rPr>
          <w:rFonts w:ascii="Arial" w:hAnsi="Arial" w:cs="Arial"/>
          <w:sz w:val="24"/>
          <w:szCs w:val="24"/>
        </w:rPr>
        <w:t xml:space="preserve">respondent has in his </w:t>
      </w:r>
      <w:r w:rsidR="00805B8C" w:rsidRPr="00A81732">
        <w:rPr>
          <w:rFonts w:ascii="Arial" w:hAnsi="Arial" w:cs="Arial"/>
          <w:sz w:val="24"/>
          <w:szCs w:val="24"/>
        </w:rPr>
        <w:t xml:space="preserve">or her </w:t>
      </w:r>
      <w:r w:rsidR="00994C7F" w:rsidRPr="00A81732">
        <w:rPr>
          <w:rFonts w:ascii="Arial" w:hAnsi="Arial" w:cs="Arial"/>
          <w:sz w:val="24"/>
          <w:szCs w:val="24"/>
        </w:rPr>
        <w:t xml:space="preserve">possession or control documents relevant to the question whether the prospective plaintiff has the right to obtain relief. In both circumstances an application is made to court. Naturally, where there is a danger that the </w:t>
      </w:r>
      <w:r w:rsidR="004F4423" w:rsidRPr="00A81732">
        <w:rPr>
          <w:rFonts w:ascii="Arial" w:hAnsi="Arial" w:cs="Arial"/>
          <w:sz w:val="24"/>
          <w:szCs w:val="24"/>
        </w:rPr>
        <w:t xml:space="preserve">intended </w:t>
      </w:r>
      <w:r w:rsidR="00994C7F" w:rsidRPr="00A81732">
        <w:rPr>
          <w:rFonts w:ascii="Arial" w:hAnsi="Arial" w:cs="Arial"/>
          <w:sz w:val="24"/>
          <w:szCs w:val="24"/>
        </w:rPr>
        <w:t xml:space="preserve">relief is likely to be frustrated or defeated through premature disclosure, such an application </w:t>
      </w:r>
      <w:r w:rsidR="006C3950" w:rsidRPr="00A81732">
        <w:rPr>
          <w:rFonts w:ascii="Arial" w:hAnsi="Arial" w:cs="Arial"/>
          <w:sz w:val="24"/>
          <w:szCs w:val="24"/>
        </w:rPr>
        <w:t>may</w:t>
      </w:r>
      <w:r w:rsidR="00994C7F" w:rsidRPr="00A81732">
        <w:rPr>
          <w:rFonts w:ascii="Arial" w:hAnsi="Arial" w:cs="Arial"/>
          <w:sz w:val="24"/>
          <w:szCs w:val="24"/>
        </w:rPr>
        <w:t xml:space="preserve"> be heard </w:t>
      </w:r>
      <w:r w:rsidR="00994C7F" w:rsidRPr="00A81732">
        <w:rPr>
          <w:rFonts w:ascii="Arial" w:hAnsi="Arial" w:cs="Arial"/>
          <w:i/>
          <w:sz w:val="24"/>
          <w:szCs w:val="24"/>
        </w:rPr>
        <w:t>ex parte</w:t>
      </w:r>
      <w:r w:rsidR="00E823A3" w:rsidRPr="00A81732">
        <w:rPr>
          <w:rFonts w:ascii="Arial" w:hAnsi="Arial" w:cs="Arial"/>
          <w:sz w:val="24"/>
          <w:szCs w:val="24"/>
        </w:rPr>
        <w:t>.</w:t>
      </w:r>
    </w:p>
    <w:p w14:paraId="7BB62A19" w14:textId="77777777" w:rsidR="00E823A3" w:rsidRPr="00E823A3" w:rsidRDefault="00E823A3" w:rsidP="00E823A3">
      <w:pPr>
        <w:rPr>
          <w:rFonts w:ascii="Arial" w:hAnsi="Arial" w:cs="Arial"/>
          <w:sz w:val="24"/>
          <w:szCs w:val="24"/>
        </w:rPr>
      </w:pPr>
    </w:p>
    <w:p w14:paraId="461EDCD8" w14:textId="223522D9"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8D11A3" w:rsidRPr="00A81732">
        <w:rPr>
          <w:rFonts w:ascii="Arial" w:hAnsi="Arial" w:cs="Arial"/>
          <w:sz w:val="24"/>
          <w:szCs w:val="24"/>
        </w:rPr>
        <w:t>For example,</w:t>
      </w:r>
      <w:r w:rsidR="006C3950" w:rsidRPr="00A81732">
        <w:rPr>
          <w:rFonts w:ascii="Arial" w:hAnsi="Arial" w:cs="Arial"/>
          <w:sz w:val="24"/>
          <w:szCs w:val="24"/>
        </w:rPr>
        <w:t xml:space="preserve"> in</w:t>
      </w:r>
      <w:r w:rsidR="008D11A3" w:rsidRPr="00A81732">
        <w:rPr>
          <w:rFonts w:ascii="Arial" w:hAnsi="Arial" w:cs="Arial"/>
          <w:sz w:val="24"/>
          <w:szCs w:val="24"/>
        </w:rPr>
        <w:t xml:space="preserve"> England</w:t>
      </w:r>
      <w:r w:rsidR="00B85653" w:rsidRPr="00A81732">
        <w:rPr>
          <w:rFonts w:ascii="Arial" w:hAnsi="Arial" w:cs="Arial"/>
          <w:sz w:val="24"/>
          <w:szCs w:val="24"/>
        </w:rPr>
        <w:t xml:space="preserve"> </w:t>
      </w:r>
      <w:r w:rsidR="00994C7F" w:rsidRPr="00A81732">
        <w:rPr>
          <w:rFonts w:ascii="Arial" w:hAnsi="Arial" w:cs="Arial"/>
          <w:sz w:val="24"/>
          <w:szCs w:val="24"/>
        </w:rPr>
        <w:t>preliminary discovery may be granted in order to identify a potential defendant.</w:t>
      </w:r>
      <w:r w:rsidR="00994C7F" w:rsidRPr="00DA7CFC">
        <w:rPr>
          <w:rStyle w:val="FootnoteReference"/>
          <w:rFonts w:ascii="Arial" w:hAnsi="Arial" w:cs="Arial"/>
          <w:sz w:val="24"/>
          <w:szCs w:val="24"/>
        </w:rPr>
        <w:footnoteReference w:id="19"/>
      </w:r>
      <w:r w:rsidR="00994C7F" w:rsidRPr="00A81732">
        <w:rPr>
          <w:rFonts w:ascii="Arial" w:hAnsi="Arial" w:cs="Arial"/>
          <w:sz w:val="24"/>
          <w:szCs w:val="24"/>
        </w:rPr>
        <w:t xml:space="preserve"> Australian courts have followed th</w:t>
      </w:r>
      <w:r w:rsidR="008D11A3" w:rsidRPr="00A81732">
        <w:rPr>
          <w:rFonts w:ascii="Arial" w:hAnsi="Arial" w:cs="Arial"/>
          <w:sz w:val="24"/>
          <w:szCs w:val="24"/>
        </w:rPr>
        <w:t xml:space="preserve">at </w:t>
      </w:r>
      <w:r w:rsidR="00994C7F" w:rsidRPr="00A81732">
        <w:rPr>
          <w:rFonts w:ascii="Arial" w:hAnsi="Arial" w:cs="Arial"/>
          <w:sz w:val="24"/>
          <w:szCs w:val="24"/>
        </w:rPr>
        <w:t>approach.</w:t>
      </w:r>
      <w:r w:rsidR="00994C7F" w:rsidRPr="00DA7CFC">
        <w:rPr>
          <w:rStyle w:val="FootnoteReference"/>
          <w:rFonts w:ascii="Arial" w:hAnsi="Arial" w:cs="Arial"/>
          <w:sz w:val="24"/>
          <w:szCs w:val="24"/>
        </w:rPr>
        <w:footnoteReference w:id="20"/>
      </w:r>
      <w:r w:rsidR="00994C7F" w:rsidRPr="00A81732">
        <w:rPr>
          <w:rFonts w:ascii="Arial" w:hAnsi="Arial" w:cs="Arial"/>
          <w:sz w:val="24"/>
          <w:szCs w:val="24"/>
        </w:rPr>
        <w:t xml:space="preserve"> The case cited by Mr Heathcote, </w:t>
      </w:r>
      <w:r w:rsidR="00B1162F" w:rsidRPr="00A81732">
        <w:rPr>
          <w:rFonts w:ascii="Arial" w:hAnsi="Arial" w:cs="Arial"/>
          <w:i/>
          <w:sz w:val="24"/>
          <w:szCs w:val="24"/>
        </w:rPr>
        <w:t>Krygkor Pensioenfonds v Smith</w:t>
      </w:r>
      <w:r w:rsidR="005405A9" w:rsidRPr="00A81732">
        <w:rPr>
          <w:rFonts w:ascii="Arial" w:hAnsi="Arial" w:cs="Arial"/>
          <w:sz w:val="24"/>
          <w:szCs w:val="24"/>
        </w:rPr>
        <w:t>,</w:t>
      </w:r>
      <w:r w:rsidR="00B1162F" w:rsidRPr="00AE20DE">
        <w:rPr>
          <w:rStyle w:val="FootnoteReference"/>
          <w:rFonts w:ascii="Arial" w:hAnsi="Arial" w:cs="Arial"/>
          <w:sz w:val="24"/>
          <w:szCs w:val="24"/>
        </w:rPr>
        <w:footnoteReference w:id="21"/>
      </w:r>
      <w:r w:rsidR="00B1162F" w:rsidRPr="00A81732">
        <w:rPr>
          <w:rFonts w:ascii="Arial" w:hAnsi="Arial" w:cs="Arial"/>
          <w:sz w:val="24"/>
          <w:szCs w:val="24"/>
        </w:rPr>
        <w:t xml:space="preserve"> </w:t>
      </w:r>
      <w:r w:rsidR="00994C7F" w:rsidRPr="00A81732">
        <w:rPr>
          <w:rFonts w:ascii="Arial" w:hAnsi="Arial" w:cs="Arial"/>
          <w:sz w:val="24"/>
          <w:szCs w:val="24"/>
        </w:rPr>
        <w:t xml:space="preserve">and the cases cited therein fall within that </w:t>
      </w:r>
      <w:r w:rsidR="00805B8C" w:rsidRPr="00A81732">
        <w:rPr>
          <w:rFonts w:ascii="Arial" w:hAnsi="Arial" w:cs="Arial"/>
          <w:sz w:val="24"/>
          <w:szCs w:val="24"/>
        </w:rPr>
        <w:t xml:space="preserve">category </w:t>
      </w:r>
      <w:r w:rsidR="00994C7F" w:rsidRPr="00A81732">
        <w:rPr>
          <w:rFonts w:ascii="Arial" w:hAnsi="Arial" w:cs="Arial"/>
          <w:sz w:val="24"/>
          <w:szCs w:val="24"/>
        </w:rPr>
        <w:t xml:space="preserve">and I find nothing objectionable about the practice. </w:t>
      </w:r>
    </w:p>
    <w:p w14:paraId="0AFD4B55" w14:textId="77777777" w:rsidR="00E823A3" w:rsidRPr="00E823A3" w:rsidRDefault="00E823A3" w:rsidP="00E823A3">
      <w:pPr>
        <w:rPr>
          <w:rFonts w:ascii="Arial" w:hAnsi="Arial" w:cs="Arial"/>
          <w:sz w:val="24"/>
          <w:szCs w:val="24"/>
        </w:rPr>
      </w:pPr>
    </w:p>
    <w:p w14:paraId="6967659C" w14:textId="0957900C" w:rsidR="00846C02"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994C7F" w:rsidRPr="00A81732">
        <w:rPr>
          <w:rFonts w:ascii="Arial" w:hAnsi="Arial" w:cs="Arial"/>
          <w:sz w:val="24"/>
          <w:szCs w:val="24"/>
        </w:rPr>
        <w:t xml:space="preserve">The </w:t>
      </w:r>
      <w:r w:rsidR="00A523F0" w:rsidRPr="00A81732">
        <w:rPr>
          <w:rFonts w:ascii="Arial" w:hAnsi="Arial" w:cs="Arial"/>
          <w:sz w:val="24"/>
          <w:szCs w:val="24"/>
        </w:rPr>
        <w:t xml:space="preserve">reported </w:t>
      </w:r>
      <w:r w:rsidR="00994C7F" w:rsidRPr="00A81732">
        <w:rPr>
          <w:rFonts w:ascii="Arial" w:hAnsi="Arial" w:cs="Arial"/>
          <w:sz w:val="24"/>
          <w:szCs w:val="24"/>
        </w:rPr>
        <w:t xml:space="preserve">cases certainly do not support the general proposition put forward by Mr Heathcote that the court has the power </w:t>
      </w:r>
      <w:r w:rsidR="006C3950" w:rsidRPr="00A81732">
        <w:rPr>
          <w:rFonts w:ascii="Arial" w:hAnsi="Arial" w:cs="Arial"/>
          <w:sz w:val="24"/>
          <w:szCs w:val="24"/>
        </w:rPr>
        <w:t>independent of the rules of court</w:t>
      </w:r>
      <w:r w:rsidR="00994C7F" w:rsidRPr="00A81732">
        <w:rPr>
          <w:rFonts w:ascii="Arial" w:hAnsi="Arial" w:cs="Arial"/>
          <w:sz w:val="24"/>
          <w:szCs w:val="24"/>
        </w:rPr>
        <w:t xml:space="preserve"> to grant the extra-ordinary preliminary discovery that Hollard sought</w:t>
      </w:r>
      <w:r w:rsidR="003B32BE" w:rsidRPr="00A81732">
        <w:rPr>
          <w:rFonts w:ascii="Arial" w:hAnsi="Arial" w:cs="Arial"/>
          <w:sz w:val="24"/>
          <w:szCs w:val="24"/>
        </w:rPr>
        <w:t xml:space="preserve"> in motion proceedings</w:t>
      </w:r>
      <w:r w:rsidR="00994C7F" w:rsidRPr="00A81732">
        <w:rPr>
          <w:rFonts w:ascii="Arial" w:hAnsi="Arial" w:cs="Arial"/>
          <w:sz w:val="24"/>
          <w:szCs w:val="24"/>
        </w:rPr>
        <w:t xml:space="preserve">. </w:t>
      </w:r>
      <w:r w:rsidR="00A523F0" w:rsidRPr="00A81732">
        <w:rPr>
          <w:rFonts w:ascii="Arial" w:hAnsi="Arial" w:cs="Arial"/>
          <w:sz w:val="24"/>
          <w:szCs w:val="24"/>
        </w:rPr>
        <w:t xml:space="preserve">On the contrary, it </w:t>
      </w:r>
      <w:r w:rsidR="00846C02" w:rsidRPr="00A81732">
        <w:rPr>
          <w:rFonts w:ascii="Arial" w:hAnsi="Arial" w:cs="Arial"/>
          <w:sz w:val="24"/>
          <w:szCs w:val="24"/>
        </w:rPr>
        <w:t xml:space="preserve">is apparent from the </w:t>
      </w:r>
      <w:r w:rsidR="00A523F0" w:rsidRPr="00A81732">
        <w:rPr>
          <w:rFonts w:ascii="Arial" w:hAnsi="Arial" w:cs="Arial"/>
          <w:sz w:val="24"/>
          <w:szCs w:val="24"/>
        </w:rPr>
        <w:t xml:space="preserve">sworn translation of the </w:t>
      </w:r>
      <w:r w:rsidR="000C7F95" w:rsidRPr="00A81732">
        <w:rPr>
          <w:rFonts w:ascii="Arial" w:hAnsi="Arial" w:cs="Arial"/>
          <w:sz w:val="24"/>
          <w:szCs w:val="24"/>
        </w:rPr>
        <w:t xml:space="preserve">judgment in </w:t>
      </w:r>
      <w:r w:rsidR="00A523F0" w:rsidRPr="00A81732">
        <w:rPr>
          <w:rFonts w:ascii="Arial" w:hAnsi="Arial" w:cs="Arial"/>
          <w:i/>
          <w:sz w:val="24"/>
          <w:szCs w:val="24"/>
        </w:rPr>
        <w:t>Krygkor Pensioenfonds</w:t>
      </w:r>
      <w:r w:rsidR="00A523F0" w:rsidRPr="00A81732">
        <w:rPr>
          <w:rFonts w:ascii="Arial" w:hAnsi="Arial" w:cs="Arial"/>
          <w:sz w:val="24"/>
          <w:szCs w:val="24"/>
        </w:rPr>
        <w:t xml:space="preserve"> </w:t>
      </w:r>
      <w:r w:rsidR="003B32BE" w:rsidRPr="00A81732">
        <w:rPr>
          <w:rFonts w:ascii="Arial" w:hAnsi="Arial" w:cs="Arial"/>
          <w:sz w:val="24"/>
          <w:szCs w:val="24"/>
        </w:rPr>
        <w:t>(</w:t>
      </w:r>
      <w:r w:rsidR="000C7F95" w:rsidRPr="00A81732">
        <w:rPr>
          <w:rFonts w:ascii="Arial" w:hAnsi="Arial" w:cs="Arial"/>
          <w:sz w:val="24"/>
          <w:szCs w:val="24"/>
        </w:rPr>
        <w:t xml:space="preserve">helpfully provided </w:t>
      </w:r>
      <w:r w:rsidR="00846C02" w:rsidRPr="00A81732">
        <w:rPr>
          <w:rFonts w:ascii="Arial" w:hAnsi="Arial" w:cs="Arial"/>
          <w:sz w:val="24"/>
          <w:szCs w:val="24"/>
        </w:rPr>
        <w:t xml:space="preserve">to us </w:t>
      </w:r>
      <w:r w:rsidR="00237505" w:rsidRPr="00A81732">
        <w:rPr>
          <w:rFonts w:ascii="Arial" w:hAnsi="Arial" w:cs="Arial"/>
          <w:sz w:val="24"/>
          <w:szCs w:val="24"/>
        </w:rPr>
        <w:t>by Mr Heathcote during argument on appeal</w:t>
      </w:r>
      <w:r w:rsidR="000C7F95" w:rsidRPr="00A81732">
        <w:rPr>
          <w:rFonts w:ascii="Arial" w:hAnsi="Arial" w:cs="Arial"/>
          <w:sz w:val="24"/>
          <w:szCs w:val="24"/>
        </w:rPr>
        <w:t>)</w:t>
      </w:r>
      <w:r w:rsidR="00237505" w:rsidRPr="00A81732">
        <w:rPr>
          <w:rFonts w:ascii="Arial" w:hAnsi="Arial" w:cs="Arial"/>
          <w:sz w:val="24"/>
          <w:szCs w:val="24"/>
        </w:rPr>
        <w:t xml:space="preserve"> </w:t>
      </w:r>
      <w:r w:rsidR="00A54093" w:rsidRPr="00A81732">
        <w:rPr>
          <w:rFonts w:ascii="Arial" w:hAnsi="Arial" w:cs="Arial"/>
          <w:sz w:val="24"/>
          <w:szCs w:val="24"/>
        </w:rPr>
        <w:t xml:space="preserve">that </w:t>
      </w:r>
      <w:r w:rsidR="00237505" w:rsidRPr="00A81732">
        <w:rPr>
          <w:rFonts w:ascii="Arial" w:hAnsi="Arial" w:cs="Arial"/>
          <w:sz w:val="24"/>
          <w:szCs w:val="24"/>
        </w:rPr>
        <w:t xml:space="preserve">the exception to the normal procedure is where a ‘prospective claimant applied to </w:t>
      </w:r>
      <w:r w:rsidR="00237505" w:rsidRPr="00A81732">
        <w:rPr>
          <w:rFonts w:ascii="Arial" w:hAnsi="Arial" w:cs="Arial"/>
          <w:sz w:val="24"/>
          <w:szCs w:val="24"/>
        </w:rPr>
        <w:lastRenderedPageBreak/>
        <w:t xml:space="preserve">a partnership’s agent to compel the agent to disclose the name of the partner in order to enable the claimant to institute an action against the partnership’. </w:t>
      </w:r>
      <w:r w:rsidR="00A54093" w:rsidRPr="00A81732">
        <w:rPr>
          <w:rFonts w:ascii="Arial" w:hAnsi="Arial" w:cs="Arial"/>
          <w:sz w:val="24"/>
          <w:szCs w:val="24"/>
        </w:rPr>
        <w:t xml:space="preserve">The sworn translation records </w:t>
      </w:r>
      <w:r w:rsidR="00237505" w:rsidRPr="00A81732">
        <w:rPr>
          <w:rFonts w:ascii="Arial" w:hAnsi="Arial" w:cs="Arial"/>
          <w:sz w:val="24"/>
          <w:szCs w:val="24"/>
        </w:rPr>
        <w:t>further as follows</w:t>
      </w:r>
      <w:r w:rsidR="00A54093" w:rsidRPr="00A81732">
        <w:rPr>
          <w:rFonts w:ascii="Arial" w:hAnsi="Arial" w:cs="Arial"/>
          <w:sz w:val="24"/>
          <w:szCs w:val="24"/>
        </w:rPr>
        <w:t>:</w:t>
      </w:r>
      <w:r w:rsidR="00237505" w:rsidRPr="00A81732">
        <w:rPr>
          <w:rFonts w:ascii="Arial" w:hAnsi="Arial" w:cs="Arial"/>
          <w:sz w:val="24"/>
          <w:szCs w:val="24"/>
        </w:rPr>
        <w:t xml:space="preserve"> </w:t>
      </w:r>
    </w:p>
    <w:p w14:paraId="0798A4A1" w14:textId="77777777" w:rsidR="002A1B67" w:rsidRDefault="002A1B67" w:rsidP="002A1B67">
      <w:pPr>
        <w:pStyle w:val="ListParagraph"/>
        <w:shd w:val="clear" w:color="auto" w:fill="FFFFFF"/>
        <w:spacing w:after="0" w:line="480" w:lineRule="auto"/>
        <w:ind w:left="0"/>
        <w:jc w:val="both"/>
        <w:rPr>
          <w:rFonts w:ascii="Arial" w:hAnsi="Arial" w:cs="Arial"/>
          <w:sz w:val="24"/>
          <w:szCs w:val="24"/>
        </w:rPr>
      </w:pPr>
    </w:p>
    <w:p w14:paraId="4F285E46" w14:textId="62EBDDD0" w:rsidR="00846C02" w:rsidRDefault="00237505" w:rsidP="009D5264">
      <w:pPr>
        <w:spacing w:after="0" w:line="360" w:lineRule="auto"/>
        <w:ind w:left="720"/>
        <w:jc w:val="both"/>
        <w:rPr>
          <w:rFonts w:ascii="Arial" w:hAnsi="Arial" w:cs="Arial"/>
          <w:sz w:val="24"/>
          <w:szCs w:val="24"/>
        </w:rPr>
      </w:pPr>
      <w:r w:rsidRPr="00A54093">
        <w:rPr>
          <w:rFonts w:ascii="Arial" w:hAnsi="Arial" w:cs="Arial"/>
        </w:rPr>
        <w:t xml:space="preserve">‘In the present case it is not denied that the respondent bona fide intends to bring his action, and the sole object of the application is to obtain from the appellant, who is the only person who can give it, information as to the names of the persons forming the company which the respondent intends to sue. The </w:t>
      </w:r>
      <w:r w:rsidR="00AE20DE" w:rsidRPr="00A54093">
        <w:rPr>
          <w:rFonts w:ascii="Arial" w:hAnsi="Arial" w:cs="Arial"/>
        </w:rPr>
        <w:t>appli</w:t>
      </w:r>
      <w:r w:rsidR="00AE20DE">
        <w:rPr>
          <w:rFonts w:ascii="Arial" w:hAnsi="Arial" w:cs="Arial"/>
        </w:rPr>
        <w:t>cation . . .</w:t>
      </w:r>
      <w:r w:rsidRPr="00A54093">
        <w:rPr>
          <w:rFonts w:ascii="Arial" w:hAnsi="Arial" w:cs="Arial"/>
        </w:rPr>
        <w:t>was properly granted.</w:t>
      </w:r>
      <w:r w:rsidR="00270791" w:rsidRPr="00A54093">
        <w:rPr>
          <w:rFonts w:ascii="Arial" w:hAnsi="Arial" w:cs="Arial"/>
        </w:rPr>
        <w:t xml:space="preserve"> The relief, the court made clear, was proper in view of the </w:t>
      </w:r>
      <w:r w:rsidR="00C03022">
        <w:rPr>
          <w:rFonts w:ascii="Arial" w:hAnsi="Arial" w:cs="Arial"/>
        </w:rPr>
        <w:t>“</w:t>
      </w:r>
      <w:r w:rsidR="00270791" w:rsidRPr="00A54093">
        <w:rPr>
          <w:rFonts w:ascii="Arial" w:hAnsi="Arial" w:cs="Arial"/>
        </w:rPr>
        <w:t>rule of procedure which req</w:t>
      </w:r>
      <w:r w:rsidR="00C03022">
        <w:rPr>
          <w:rFonts w:ascii="Arial" w:hAnsi="Arial" w:cs="Arial"/>
        </w:rPr>
        <w:t>uires that the parties be named”</w:t>
      </w:r>
      <w:r w:rsidR="00270791">
        <w:rPr>
          <w:rFonts w:ascii="Arial" w:hAnsi="Arial" w:cs="Arial"/>
          <w:sz w:val="24"/>
          <w:szCs w:val="24"/>
        </w:rPr>
        <w:t>.</w:t>
      </w:r>
      <w:r w:rsidR="005E211D">
        <w:rPr>
          <w:rFonts w:ascii="Arial" w:hAnsi="Arial" w:cs="Arial"/>
          <w:sz w:val="24"/>
          <w:szCs w:val="24"/>
        </w:rPr>
        <w:t>’</w:t>
      </w:r>
    </w:p>
    <w:p w14:paraId="7B221C47" w14:textId="77777777" w:rsidR="00E823A3" w:rsidRDefault="00E823A3" w:rsidP="007E5734">
      <w:pPr>
        <w:spacing w:line="480" w:lineRule="auto"/>
        <w:jc w:val="both"/>
        <w:rPr>
          <w:rFonts w:ascii="Arial" w:hAnsi="Arial" w:cs="Arial"/>
          <w:sz w:val="24"/>
          <w:szCs w:val="24"/>
        </w:rPr>
      </w:pPr>
    </w:p>
    <w:p w14:paraId="1B48AA55" w14:textId="5B4FFAF8" w:rsidR="00E51332"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994C7F" w:rsidRPr="00A81732">
        <w:rPr>
          <w:rFonts w:ascii="Arial" w:hAnsi="Arial" w:cs="Arial"/>
          <w:sz w:val="24"/>
          <w:szCs w:val="24"/>
        </w:rPr>
        <w:t xml:space="preserve">In fact, </w:t>
      </w:r>
      <w:r w:rsidR="00994C7F" w:rsidRPr="00A81732">
        <w:rPr>
          <w:rFonts w:ascii="Arial" w:hAnsi="Arial" w:cs="Arial"/>
          <w:i/>
          <w:sz w:val="24"/>
          <w:szCs w:val="24"/>
        </w:rPr>
        <w:t>Krygkor</w:t>
      </w:r>
      <w:r w:rsidR="00994C7F" w:rsidRPr="00A81732">
        <w:rPr>
          <w:rFonts w:ascii="Arial" w:hAnsi="Arial" w:cs="Arial"/>
          <w:sz w:val="24"/>
          <w:szCs w:val="24"/>
        </w:rPr>
        <w:t xml:space="preserve"> </w:t>
      </w:r>
      <w:r w:rsidR="0010295D" w:rsidRPr="00A81732">
        <w:rPr>
          <w:rFonts w:ascii="Arial" w:hAnsi="Arial" w:cs="Arial"/>
          <w:i/>
          <w:sz w:val="24"/>
          <w:szCs w:val="24"/>
        </w:rPr>
        <w:t>Pensioenfonds</w:t>
      </w:r>
      <w:r w:rsidR="0010295D" w:rsidRPr="00A81732">
        <w:rPr>
          <w:rFonts w:ascii="Arial" w:hAnsi="Arial" w:cs="Arial"/>
          <w:sz w:val="24"/>
          <w:szCs w:val="24"/>
        </w:rPr>
        <w:t xml:space="preserve"> </w:t>
      </w:r>
      <w:r w:rsidR="00A54093" w:rsidRPr="00A81732">
        <w:rPr>
          <w:rFonts w:ascii="Arial" w:hAnsi="Arial" w:cs="Arial"/>
          <w:sz w:val="24"/>
          <w:szCs w:val="24"/>
        </w:rPr>
        <w:t xml:space="preserve">expresses the salutary caution </w:t>
      </w:r>
      <w:r w:rsidR="00994C7F" w:rsidRPr="00A81732">
        <w:rPr>
          <w:rFonts w:ascii="Arial" w:hAnsi="Arial" w:cs="Arial"/>
          <w:sz w:val="24"/>
          <w:szCs w:val="24"/>
        </w:rPr>
        <w:t>that only</w:t>
      </w:r>
      <w:r w:rsidR="007A0222" w:rsidRPr="00A81732">
        <w:rPr>
          <w:rFonts w:ascii="Arial" w:hAnsi="Arial" w:cs="Arial"/>
          <w:sz w:val="24"/>
          <w:szCs w:val="24"/>
        </w:rPr>
        <w:t xml:space="preserve"> in exceptional cases will the c</w:t>
      </w:r>
      <w:r w:rsidR="00994C7F" w:rsidRPr="00A81732">
        <w:rPr>
          <w:rFonts w:ascii="Arial" w:hAnsi="Arial" w:cs="Arial"/>
          <w:sz w:val="24"/>
          <w:szCs w:val="24"/>
        </w:rPr>
        <w:t xml:space="preserve">ourt exercise its inherent power to allow a procedure for which no provision is made in the ordinary law of procedure. </w:t>
      </w:r>
      <w:r w:rsidR="00A54093" w:rsidRPr="00A81732">
        <w:rPr>
          <w:rFonts w:ascii="Arial" w:hAnsi="Arial" w:cs="Arial"/>
          <w:sz w:val="24"/>
          <w:szCs w:val="24"/>
        </w:rPr>
        <w:t xml:space="preserve">Speaking of that normal procedure, </w:t>
      </w:r>
      <w:r w:rsidR="00270791" w:rsidRPr="00A81732">
        <w:rPr>
          <w:rFonts w:ascii="Arial" w:hAnsi="Arial" w:cs="Arial"/>
          <w:sz w:val="24"/>
          <w:szCs w:val="24"/>
        </w:rPr>
        <w:t>Grosskopf J</w:t>
      </w:r>
      <w:r w:rsidR="00615858" w:rsidRPr="00A81732">
        <w:rPr>
          <w:rFonts w:ascii="Arial" w:hAnsi="Arial" w:cs="Arial"/>
          <w:sz w:val="24"/>
          <w:szCs w:val="24"/>
        </w:rPr>
        <w:t>A</w:t>
      </w:r>
      <w:r w:rsidR="00270791" w:rsidRPr="00A81732">
        <w:rPr>
          <w:rFonts w:ascii="Arial" w:hAnsi="Arial" w:cs="Arial"/>
          <w:sz w:val="24"/>
          <w:szCs w:val="24"/>
        </w:rPr>
        <w:t xml:space="preserve"> made it clear in </w:t>
      </w:r>
      <w:r w:rsidR="00270791" w:rsidRPr="00A81732">
        <w:rPr>
          <w:rFonts w:ascii="Arial" w:hAnsi="Arial" w:cs="Arial"/>
          <w:i/>
          <w:sz w:val="24"/>
          <w:szCs w:val="24"/>
        </w:rPr>
        <w:t>Krygkor</w:t>
      </w:r>
      <w:r w:rsidR="00270791" w:rsidRPr="00A81732">
        <w:rPr>
          <w:rFonts w:ascii="Arial" w:hAnsi="Arial" w:cs="Arial"/>
          <w:sz w:val="24"/>
          <w:szCs w:val="24"/>
        </w:rPr>
        <w:t xml:space="preserve"> </w:t>
      </w:r>
      <w:r w:rsidR="003B32BE" w:rsidRPr="00A81732">
        <w:rPr>
          <w:rFonts w:ascii="Arial" w:hAnsi="Arial" w:cs="Arial"/>
          <w:i/>
          <w:sz w:val="24"/>
          <w:szCs w:val="24"/>
        </w:rPr>
        <w:t>Pensioenfonds</w:t>
      </w:r>
      <w:r w:rsidR="003B32BE" w:rsidRPr="00A81732">
        <w:rPr>
          <w:rFonts w:ascii="Arial" w:hAnsi="Arial" w:cs="Arial"/>
          <w:sz w:val="24"/>
          <w:szCs w:val="24"/>
        </w:rPr>
        <w:t xml:space="preserve"> </w:t>
      </w:r>
      <w:r w:rsidR="00270791" w:rsidRPr="00A81732">
        <w:rPr>
          <w:rFonts w:ascii="Arial" w:hAnsi="Arial" w:cs="Arial"/>
          <w:sz w:val="24"/>
          <w:szCs w:val="24"/>
        </w:rPr>
        <w:t>that, barring the exceptional case:</w:t>
      </w:r>
    </w:p>
    <w:p w14:paraId="7DB56C72" w14:textId="77777777" w:rsidR="00604A7E" w:rsidRDefault="00604A7E" w:rsidP="00604A7E">
      <w:pPr>
        <w:pStyle w:val="ListParagraph"/>
        <w:shd w:val="clear" w:color="auto" w:fill="FFFFFF"/>
        <w:spacing w:after="0" w:line="480" w:lineRule="auto"/>
        <w:ind w:left="0"/>
        <w:jc w:val="both"/>
        <w:rPr>
          <w:rFonts w:ascii="Arial" w:hAnsi="Arial" w:cs="Arial"/>
          <w:sz w:val="24"/>
          <w:szCs w:val="24"/>
        </w:rPr>
      </w:pPr>
    </w:p>
    <w:p w14:paraId="282F95B4" w14:textId="327D42D1" w:rsidR="0031134A" w:rsidRDefault="00270791" w:rsidP="00E823A3">
      <w:pPr>
        <w:spacing w:line="360" w:lineRule="auto"/>
        <w:ind w:left="720"/>
        <w:jc w:val="both"/>
        <w:rPr>
          <w:rFonts w:ascii="Arial" w:hAnsi="Arial" w:cs="Arial"/>
        </w:rPr>
      </w:pPr>
      <w:r w:rsidRPr="00270791">
        <w:rPr>
          <w:rFonts w:ascii="Arial" w:hAnsi="Arial" w:cs="Arial"/>
        </w:rPr>
        <w:t xml:space="preserve">‘Normally, the provision of information is regulated as part of the legal proceedings regulated by the rules of court. Provision is made for </w:t>
      </w:r>
      <w:r w:rsidRPr="00AE20DE">
        <w:rPr>
          <w:rFonts w:ascii="Arial" w:hAnsi="Arial" w:cs="Arial"/>
          <w:i/>
        </w:rPr>
        <w:t>inter partes</w:t>
      </w:r>
      <w:r w:rsidRPr="00270791">
        <w:rPr>
          <w:rFonts w:ascii="Arial" w:hAnsi="Arial" w:cs="Arial"/>
        </w:rPr>
        <w:t xml:space="preserve"> exposures and for witness summonses or writs of summons to appear in respect of third parties. Our courts are traditionally disinclined to go beyond these stipulations.</w:t>
      </w:r>
      <w:r>
        <w:rPr>
          <w:rFonts w:ascii="Arial" w:hAnsi="Arial" w:cs="Arial"/>
        </w:rPr>
        <w:t>’</w:t>
      </w:r>
    </w:p>
    <w:p w14:paraId="3A3F5224" w14:textId="77777777" w:rsidR="00E823A3" w:rsidRPr="00A54093" w:rsidRDefault="00E823A3" w:rsidP="00E823A3">
      <w:pPr>
        <w:spacing w:line="360" w:lineRule="auto"/>
        <w:ind w:left="720"/>
        <w:jc w:val="both"/>
        <w:rPr>
          <w:rFonts w:ascii="Arial" w:hAnsi="Arial" w:cs="Arial"/>
        </w:rPr>
      </w:pPr>
    </w:p>
    <w:p w14:paraId="7DAE6766" w14:textId="0BB441DE" w:rsidR="00E51332"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94C7F" w:rsidRPr="00A81732">
        <w:rPr>
          <w:rFonts w:ascii="Arial" w:hAnsi="Arial" w:cs="Arial"/>
          <w:sz w:val="24"/>
          <w:szCs w:val="24"/>
        </w:rPr>
        <w:t xml:space="preserve">Even where, in exceptional circumstances, the court </w:t>
      </w:r>
      <w:r w:rsidR="000D04D9" w:rsidRPr="00A81732">
        <w:rPr>
          <w:rFonts w:ascii="Arial" w:hAnsi="Arial" w:cs="Arial"/>
          <w:sz w:val="24"/>
          <w:szCs w:val="24"/>
        </w:rPr>
        <w:t xml:space="preserve">is persuaded to </w:t>
      </w:r>
      <w:r w:rsidR="00095269" w:rsidRPr="00A81732">
        <w:rPr>
          <w:rFonts w:ascii="Arial" w:hAnsi="Arial" w:cs="Arial"/>
          <w:sz w:val="24"/>
          <w:szCs w:val="24"/>
        </w:rPr>
        <w:t>grant</w:t>
      </w:r>
      <w:r w:rsidR="00994C7F" w:rsidRPr="00A81732">
        <w:rPr>
          <w:rFonts w:ascii="Arial" w:hAnsi="Arial" w:cs="Arial"/>
          <w:sz w:val="24"/>
          <w:szCs w:val="24"/>
        </w:rPr>
        <w:t xml:space="preserve"> pre-litigation discovery, a proper case must be made out by the person seeking such an order, including why the person against whom the order is sought should not be cited or made aware of the </w:t>
      </w:r>
      <w:r w:rsidR="006C3950" w:rsidRPr="00A81732">
        <w:rPr>
          <w:rFonts w:ascii="Arial" w:hAnsi="Arial" w:cs="Arial"/>
          <w:sz w:val="24"/>
          <w:szCs w:val="24"/>
        </w:rPr>
        <w:t xml:space="preserve">intended </w:t>
      </w:r>
      <w:r w:rsidR="00994C7F" w:rsidRPr="00A81732">
        <w:rPr>
          <w:rFonts w:ascii="Arial" w:hAnsi="Arial" w:cs="Arial"/>
          <w:sz w:val="24"/>
          <w:szCs w:val="24"/>
        </w:rPr>
        <w:t>relief</w:t>
      </w:r>
      <w:r w:rsidR="006C3950" w:rsidRPr="00A81732">
        <w:rPr>
          <w:rFonts w:ascii="Arial" w:hAnsi="Arial" w:cs="Arial"/>
          <w:sz w:val="24"/>
          <w:szCs w:val="24"/>
        </w:rPr>
        <w:t>.</w:t>
      </w:r>
    </w:p>
    <w:p w14:paraId="6866EC77" w14:textId="77777777" w:rsidR="00E823A3" w:rsidRPr="00DA7CFC" w:rsidRDefault="00E823A3" w:rsidP="00E823A3">
      <w:pPr>
        <w:pStyle w:val="ListParagraph"/>
        <w:shd w:val="clear" w:color="auto" w:fill="FFFFFF"/>
        <w:spacing w:after="0" w:line="480" w:lineRule="auto"/>
        <w:ind w:left="0"/>
        <w:jc w:val="both"/>
        <w:rPr>
          <w:rFonts w:ascii="Arial" w:hAnsi="Arial" w:cs="Arial"/>
          <w:sz w:val="24"/>
          <w:szCs w:val="24"/>
        </w:rPr>
      </w:pPr>
    </w:p>
    <w:p w14:paraId="3768BC32" w14:textId="635EAAE5"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94C7F" w:rsidRPr="00A81732">
        <w:rPr>
          <w:rFonts w:ascii="Arial" w:hAnsi="Arial" w:cs="Arial"/>
          <w:sz w:val="24"/>
          <w:szCs w:val="24"/>
        </w:rPr>
        <w:t xml:space="preserve">On the facts before us, no case is made out why the Cabinet Secretary was not cited or at the very least made aware that such information is required and that should </w:t>
      </w:r>
      <w:r w:rsidR="00994C7F" w:rsidRPr="00A81732">
        <w:rPr>
          <w:rFonts w:ascii="Arial" w:hAnsi="Arial" w:cs="Arial"/>
          <w:sz w:val="24"/>
          <w:szCs w:val="24"/>
        </w:rPr>
        <w:lastRenderedPageBreak/>
        <w:t xml:space="preserve">he fail to provide it legal recourse may be sought to compel him to do so. There is no </w:t>
      </w:r>
      <w:r w:rsidR="001F0B77" w:rsidRPr="00A81732">
        <w:rPr>
          <w:rFonts w:ascii="Arial" w:hAnsi="Arial" w:cs="Arial"/>
          <w:sz w:val="24"/>
          <w:szCs w:val="24"/>
        </w:rPr>
        <w:t xml:space="preserve">suggestion </w:t>
      </w:r>
      <w:r w:rsidR="00994C7F" w:rsidRPr="00A81732">
        <w:rPr>
          <w:rFonts w:ascii="Arial" w:hAnsi="Arial" w:cs="Arial"/>
          <w:sz w:val="24"/>
          <w:szCs w:val="24"/>
        </w:rPr>
        <w:t xml:space="preserve">on the </w:t>
      </w:r>
      <w:r w:rsidR="001F0B77" w:rsidRPr="00A81732">
        <w:rPr>
          <w:rFonts w:ascii="Arial" w:hAnsi="Arial" w:cs="Arial"/>
          <w:sz w:val="24"/>
          <w:szCs w:val="24"/>
        </w:rPr>
        <w:t xml:space="preserve">present record that </w:t>
      </w:r>
      <w:r w:rsidR="00994C7F" w:rsidRPr="00A81732">
        <w:rPr>
          <w:rFonts w:ascii="Arial" w:hAnsi="Arial" w:cs="Arial"/>
          <w:sz w:val="24"/>
          <w:szCs w:val="24"/>
        </w:rPr>
        <w:t>had the Cabinet Secretary</w:t>
      </w:r>
      <w:r w:rsidR="00E51332" w:rsidRPr="00A81732">
        <w:rPr>
          <w:rFonts w:ascii="Arial" w:hAnsi="Arial" w:cs="Arial"/>
          <w:sz w:val="24"/>
          <w:szCs w:val="24"/>
        </w:rPr>
        <w:t xml:space="preserve"> </w:t>
      </w:r>
      <w:r w:rsidR="00994C7F" w:rsidRPr="00A81732">
        <w:rPr>
          <w:rFonts w:ascii="Arial" w:hAnsi="Arial" w:cs="Arial"/>
          <w:sz w:val="24"/>
          <w:szCs w:val="24"/>
        </w:rPr>
        <w:t xml:space="preserve">been cited the information sought </w:t>
      </w:r>
      <w:r w:rsidR="001F0B77" w:rsidRPr="00A81732">
        <w:rPr>
          <w:rFonts w:ascii="Arial" w:hAnsi="Arial" w:cs="Arial"/>
          <w:sz w:val="24"/>
          <w:szCs w:val="24"/>
        </w:rPr>
        <w:t>might</w:t>
      </w:r>
      <w:r w:rsidR="00994C7F" w:rsidRPr="00A81732">
        <w:rPr>
          <w:rFonts w:ascii="Arial" w:hAnsi="Arial" w:cs="Arial"/>
          <w:sz w:val="24"/>
          <w:szCs w:val="24"/>
        </w:rPr>
        <w:t xml:space="preserve"> have disappeared.</w:t>
      </w:r>
    </w:p>
    <w:p w14:paraId="4094E833" w14:textId="77777777" w:rsidR="00E823A3" w:rsidRPr="00E823A3" w:rsidRDefault="00E823A3" w:rsidP="00E823A3">
      <w:pPr>
        <w:rPr>
          <w:rFonts w:ascii="Arial" w:hAnsi="Arial" w:cs="Arial"/>
          <w:sz w:val="24"/>
          <w:szCs w:val="24"/>
        </w:rPr>
      </w:pPr>
    </w:p>
    <w:p w14:paraId="03A55549" w14:textId="414919FF" w:rsidR="00FD7F40"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994C7F" w:rsidRPr="00A81732">
        <w:rPr>
          <w:rFonts w:ascii="Arial" w:hAnsi="Arial" w:cs="Arial"/>
          <w:sz w:val="24"/>
          <w:szCs w:val="24"/>
        </w:rPr>
        <w:t>I</w:t>
      </w:r>
      <w:r w:rsidR="004F4423" w:rsidRPr="00A81732">
        <w:rPr>
          <w:rFonts w:ascii="Arial" w:hAnsi="Arial" w:cs="Arial"/>
          <w:sz w:val="24"/>
          <w:szCs w:val="24"/>
        </w:rPr>
        <w:t xml:space="preserve"> find it anomalous for </w:t>
      </w:r>
      <w:r w:rsidR="00994C7F" w:rsidRPr="00A81732">
        <w:rPr>
          <w:rFonts w:ascii="Arial" w:hAnsi="Arial" w:cs="Arial"/>
          <w:sz w:val="24"/>
          <w:szCs w:val="24"/>
        </w:rPr>
        <w:t xml:space="preserve">Mr Heathcote </w:t>
      </w:r>
      <w:r w:rsidR="004F4423" w:rsidRPr="00A81732">
        <w:rPr>
          <w:rFonts w:ascii="Arial" w:hAnsi="Arial" w:cs="Arial"/>
          <w:sz w:val="24"/>
          <w:szCs w:val="24"/>
        </w:rPr>
        <w:t>to disavow</w:t>
      </w:r>
      <w:r w:rsidR="00994C7F" w:rsidRPr="00A81732">
        <w:rPr>
          <w:rFonts w:ascii="Arial" w:hAnsi="Arial" w:cs="Arial"/>
          <w:sz w:val="24"/>
          <w:szCs w:val="24"/>
        </w:rPr>
        <w:t xml:space="preserve"> reliance on </w:t>
      </w:r>
      <w:r w:rsidR="00AE20DE" w:rsidRPr="00A81732">
        <w:rPr>
          <w:rFonts w:ascii="Arial" w:hAnsi="Arial" w:cs="Arial"/>
          <w:sz w:val="24"/>
          <w:szCs w:val="24"/>
        </w:rPr>
        <w:t>r</w:t>
      </w:r>
      <w:r w:rsidR="00994C7F" w:rsidRPr="00A81732">
        <w:rPr>
          <w:rFonts w:ascii="Arial" w:hAnsi="Arial" w:cs="Arial"/>
          <w:sz w:val="24"/>
          <w:szCs w:val="24"/>
        </w:rPr>
        <w:t xml:space="preserve">ule 37 for the relief Hollard obtained against the Cabinet Secretary </w:t>
      </w:r>
      <w:r w:rsidR="004F4423" w:rsidRPr="00A81732">
        <w:rPr>
          <w:rFonts w:ascii="Arial" w:hAnsi="Arial" w:cs="Arial"/>
          <w:sz w:val="24"/>
          <w:szCs w:val="24"/>
        </w:rPr>
        <w:t xml:space="preserve">while placing reliance </w:t>
      </w:r>
      <w:r w:rsidR="00994C7F" w:rsidRPr="00A81732">
        <w:rPr>
          <w:rFonts w:ascii="Arial" w:hAnsi="Arial" w:cs="Arial"/>
          <w:sz w:val="24"/>
          <w:szCs w:val="24"/>
        </w:rPr>
        <w:t>on the jurisprudence</w:t>
      </w:r>
      <w:r w:rsidR="00994C7F" w:rsidRPr="00DA7CFC">
        <w:rPr>
          <w:rStyle w:val="FootnoteReference"/>
          <w:rFonts w:ascii="Arial" w:hAnsi="Arial" w:cs="Arial"/>
          <w:sz w:val="24"/>
          <w:szCs w:val="24"/>
        </w:rPr>
        <w:footnoteReference w:id="22"/>
      </w:r>
      <w:r w:rsidR="00994C7F" w:rsidRPr="00A81732">
        <w:rPr>
          <w:rFonts w:ascii="Arial" w:hAnsi="Arial" w:cs="Arial"/>
          <w:sz w:val="24"/>
          <w:szCs w:val="24"/>
        </w:rPr>
        <w:t xml:space="preserve"> </w:t>
      </w:r>
      <w:r w:rsidR="00805B8C" w:rsidRPr="00A81732">
        <w:rPr>
          <w:rFonts w:ascii="Arial" w:hAnsi="Arial" w:cs="Arial"/>
          <w:sz w:val="24"/>
          <w:szCs w:val="24"/>
        </w:rPr>
        <w:t xml:space="preserve">developed </w:t>
      </w:r>
      <w:r w:rsidR="00994C7F" w:rsidRPr="00A81732">
        <w:rPr>
          <w:rFonts w:ascii="Arial" w:hAnsi="Arial" w:cs="Arial"/>
          <w:sz w:val="24"/>
          <w:szCs w:val="24"/>
        </w:rPr>
        <w:t>on the same rule to deny the Cabinet Secretary the right to have been afforded the oppor</w:t>
      </w:r>
      <w:r w:rsidR="00E823A3" w:rsidRPr="00A81732">
        <w:rPr>
          <w:rFonts w:ascii="Arial" w:hAnsi="Arial" w:cs="Arial"/>
          <w:sz w:val="24"/>
          <w:szCs w:val="24"/>
        </w:rPr>
        <w:t>tunity to make representations.</w:t>
      </w:r>
    </w:p>
    <w:p w14:paraId="02EFCF37" w14:textId="77777777" w:rsidR="00E823A3" w:rsidRPr="00DA7CFC" w:rsidRDefault="00E823A3" w:rsidP="00E823A3">
      <w:pPr>
        <w:pStyle w:val="ListParagraph"/>
        <w:shd w:val="clear" w:color="auto" w:fill="FFFFFF"/>
        <w:spacing w:after="0" w:line="480" w:lineRule="auto"/>
        <w:ind w:left="0"/>
        <w:jc w:val="both"/>
        <w:rPr>
          <w:rFonts w:ascii="Arial" w:hAnsi="Arial" w:cs="Arial"/>
          <w:sz w:val="24"/>
          <w:szCs w:val="24"/>
        </w:rPr>
      </w:pPr>
    </w:p>
    <w:p w14:paraId="600194E9" w14:textId="2029FEEF" w:rsidR="00A71968"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994C7F" w:rsidRPr="00A81732">
        <w:rPr>
          <w:rFonts w:ascii="Arial" w:hAnsi="Arial" w:cs="Arial"/>
          <w:sz w:val="24"/>
          <w:szCs w:val="24"/>
        </w:rPr>
        <w:t>In my view, there is a very weighty consideration why in circumstances where a court is approached to invoke its inherent power to order pre-litigation discovery, different considerations would apply</w:t>
      </w:r>
      <w:r w:rsidR="001F0B77" w:rsidRPr="00A81732">
        <w:rPr>
          <w:rFonts w:ascii="Arial" w:hAnsi="Arial" w:cs="Arial"/>
          <w:sz w:val="24"/>
          <w:szCs w:val="24"/>
        </w:rPr>
        <w:t xml:space="preserve"> compa</w:t>
      </w:r>
      <w:r w:rsidR="00370AC1" w:rsidRPr="00A81732">
        <w:rPr>
          <w:rFonts w:ascii="Arial" w:hAnsi="Arial" w:cs="Arial"/>
          <w:sz w:val="24"/>
          <w:szCs w:val="24"/>
        </w:rPr>
        <w:t>red to when a party resorts to r</w:t>
      </w:r>
      <w:r w:rsidR="001F0B77" w:rsidRPr="00A81732">
        <w:rPr>
          <w:rFonts w:ascii="Arial" w:hAnsi="Arial" w:cs="Arial"/>
          <w:sz w:val="24"/>
          <w:szCs w:val="24"/>
        </w:rPr>
        <w:t>ule 37</w:t>
      </w:r>
      <w:r w:rsidR="00994C7F" w:rsidRPr="00A81732">
        <w:rPr>
          <w:rFonts w:ascii="Arial" w:hAnsi="Arial" w:cs="Arial"/>
          <w:sz w:val="24"/>
          <w:szCs w:val="24"/>
        </w:rPr>
        <w:t xml:space="preserve">. </w:t>
      </w:r>
      <w:r w:rsidR="007B6175" w:rsidRPr="00A81732">
        <w:rPr>
          <w:rFonts w:ascii="Arial" w:hAnsi="Arial" w:cs="Arial"/>
          <w:sz w:val="24"/>
          <w:szCs w:val="24"/>
        </w:rPr>
        <w:t xml:space="preserve">I will set out some of these </w:t>
      </w:r>
      <w:r w:rsidR="00A71968" w:rsidRPr="00A81732">
        <w:rPr>
          <w:rFonts w:ascii="Arial" w:hAnsi="Arial" w:cs="Arial"/>
          <w:sz w:val="24"/>
          <w:szCs w:val="24"/>
        </w:rPr>
        <w:t xml:space="preserve">criteria and </w:t>
      </w:r>
      <w:r w:rsidR="003B32BE" w:rsidRPr="00A81732">
        <w:rPr>
          <w:rFonts w:ascii="Arial" w:hAnsi="Arial" w:cs="Arial"/>
          <w:sz w:val="24"/>
          <w:szCs w:val="24"/>
        </w:rPr>
        <w:t>in</w:t>
      </w:r>
      <w:r w:rsidR="00A71968" w:rsidRPr="00A81732">
        <w:rPr>
          <w:rFonts w:ascii="Arial" w:hAnsi="Arial" w:cs="Arial"/>
          <w:sz w:val="24"/>
          <w:szCs w:val="24"/>
        </w:rPr>
        <w:t xml:space="preserve"> so doing am not suggesting that they are exhaustive.</w:t>
      </w:r>
    </w:p>
    <w:p w14:paraId="6D89AFDC" w14:textId="77777777" w:rsidR="009D5264" w:rsidRDefault="009D5264" w:rsidP="009D5264">
      <w:pPr>
        <w:pStyle w:val="ListParagraph"/>
        <w:shd w:val="clear" w:color="auto" w:fill="FFFFFF"/>
        <w:spacing w:after="0" w:line="480" w:lineRule="auto"/>
        <w:ind w:left="0"/>
        <w:jc w:val="both"/>
        <w:rPr>
          <w:rFonts w:ascii="Arial" w:hAnsi="Arial" w:cs="Arial"/>
          <w:sz w:val="24"/>
          <w:szCs w:val="24"/>
        </w:rPr>
      </w:pPr>
    </w:p>
    <w:p w14:paraId="64D4F2C6" w14:textId="3D1C0C34" w:rsidR="00994C7F" w:rsidRPr="00A81732" w:rsidRDefault="00A81732" w:rsidP="00A81732">
      <w:pPr>
        <w:shd w:val="clear" w:color="auto" w:fill="FFFFFF"/>
        <w:spacing w:after="0"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994C7F" w:rsidRPr="00A81732">
        <w:rPr>
          <w:rFonts w:ascii="Arial" w:hAnsi="Arial" w:cs="Arial"/>
          <w:sz w:val="24"/>
          <w:szCs w:val="24"/>
        </w:rPr>
        <w:t xml:space="preserve">Since </w:t>
      </w:r>
      <w:r w:rsidR="001F0B77" w:rsidRPr="00A81732">
        <w:rPr>
          <w:rFonts w:ascii="Arial" w:hAnsi="Arial" w:cs="Arial"/>
          <w:sz w:val="24"/>
          <w:szCs w:val="24"/>
        </w:rPr>
        <w:t xml:space="preserve">in that </w:t>
      </w:r>
      <w:r w:rsidR="003B32BE" w:rsidRPr="00A81732">
        <w:rPr>
          <w:rFonts w:ascii="Arial" w:hAnsi="Arial" w:cs="Arial"/>
          <w:sz w:val="24"/>
          <w:szCs w:val="24"/>
        </w:rPr>
        <w:t>situation</w:t>
      </w:r>
      <w:r w:rsidR="001F0B77" w:rsidRPr="00A81732">
        <w:rPr>
          <w:rFonts w:ascii="Arial" w:hAnsi="Arial" w:cs="Arial"/>
          <w:sz w:val="24"/>
          <w:szCs w:val="24"/>
        </w:rPr>
        <w:t xml:space="preserve"> </w:t>
      </w:r>
      <w:r w:rsidR="00994C7F" w:rsidRPr="00A81732">
        <w:rPr>
          <w:rFonts w:ascii="Arial" w:hAnsi="Arial" w:cs="Arial"/>
          <w:sz w:val="24"/>
          <w:szCs w:val="24"/>
        </w:rPr>
        <w:t>the court is not acting under the authority of a rule or statute, it has to ensure that there is fairness</w:t>
      </w:r>
      <w:r w:rsidR="002E5589" w:rsidRPr="00A81732">
        <w:rPr>
          <w:rFonts w:ascii="Arial" w:hAnsi="Arial" w:cs="Arial"/>
          <w:sz w:val="24"/>
          <w:szCs w:val="24"/>
        </w:rPr>
        <w:t xml:space="preserve"> to both the party seeking pre-litigation discovery and the person against whom the coercive order is sought</w:t>
      </w:r>
      <w:r w:rsidR="00994C7F" w:rsidRPr="00A81732">
        <w:rPr>
          <w:rFonts w:ascii="Arial" w:hAnsi="Arial" w:cs="Arial"/>
          <w:sz w:val="24"/>
          <w:szCs w:val="24"/>
        </w:rPr>
        <w:t xml:space="preserve">. </w:t>
      </w:r>
      <w:r w:rsidR="00994C7F" w:rsidRPr="00A81732">
        <w:rPr>
          <w:rFonts w:ascii="Arial" w:hAnsi="Arial" w:cs="Arial"/>
          <w:i/>
          <w:sz w:val="24"/>
          <w:szCs w:val="24"/>
        </w:rPr>
        <w:t>Ex parte</w:t>
      </w:r>
      <w:r w:rsidR="00994C7F" w:rsidRPr="00A81732">
        <w:rPr>
          <w:rFonts w:ascii="Arial" w:hAnsi="Arial" w:cs="Arial"/>
          <w:sz w:val="24"/>
          <w:szCs w:val="24"/>
        </w:rPr>
        <w:t xml:space="preserve"> proceedings should only be countenanced if the circumstances clearly justify</w:t>
      </w:r>
      <w:r w:rsidR="00E60031" w:rsidRPr="00A81732">
        <w:rPr>
          <w:rFonts w:ascii="Arial" w:hAnsi="Arial" w:cs="Arial"/>
          <w:sz w:val="24"/>
          <w:szCs w:val="24"/>
        </w:rPr>
        <w:t xml:space="preserve"> it</w:t>
      </w:r>
      <w:r w:rsidR="00994C7F" w:rsidRPr="00A81732">
        <w:rPr>
          <w:rFonts w:ascii="Arial" w:hAnsi="Arial" w:cs="Arial"/>
          <w:sz w:val="24"/>
          <w:szCs w:val="24"/>
        </w:rPr>
        <w:t xml:space="preserve">. Where there is no risk of destruction or concealment of the information sought, affected persons must be cited or be made aware of the </w:t>
      </w:r>
      <w:r w:rsidR="001F0B77" w:rsidRPr="00A81732">
        <w:rPr>
          <w:rFonts w:ascii="Arial" w:hAnsi="Arial" w:cs="Arial"/>
          <w:sz w:val="24"/>
          <w:szCs w:val="24"/>
        </w:rPr>
        <w:t xml:space="preserve">intended </w:t>
      </w:r>
      <w:r w:rsidR="00994C7F" w:rsidRPr="00A81732">
        <w:rPr>
          <w:rFonts w:ascii="Arial" w:hAnsi="Arial" w:cs="Arial"/>
          <w:sz w:val="24"/>
          <w:szCs w:val="24"/>
        </w:rPr>
        <w:t>relief</w:t>
      </w:r>
      <w:r w:rsidR="00412D32" w:rsidRPr="00A81732">
        <w:rPr>
          <w:rFonts w:ascii="Arial" w:hAnsi="Arial" w:cs="Arial"/>
          <w:sz w:val="24"/>
          <w:szCs w:val="24"/>
        </w:rPr>
        <w:t xml:space="preserve"> </w:t>
      </w:r>
      <w:r w:rsidR="00994C7F" w:rsidRPr="00A81732">
        <w:rPr>
          <w:rFonts w:ascii="Arial" w:hAnsi="Arial" w:cs="Arial"/>
          <w:sz w:val="24"/>
          <w:szCs w:val="24"/>
        </w:rPr>
        <w:t>–</w:t>
      </w:r>
      <w:r w:rsidR="00412D32" w:rsidRPr="00A81732">
        <w:rPr>
          <w:rFonts w:ascii="Arial" w:hAnsi="Arial" w:cs="Arial"/>
          <w:sz w:val="24"/>
          <w:szCs w:val="24"/>
        </w:rPr>
        <w:t xml:space="preserve"> </w:t>
      </w:r>
      <w:r w:rsidR="00994C7F" w:rsidRPr="00A81732">
        <w:rPr>
          <w:rFonts w:ascii="Arial" w:hAnsi="Arial" w:cs="Arial"/>
          <w:sz w:val="24"/>
          <w:szCs w:val="24"/>
        </w:rPr>
        <w:t xml:space="preserve">if </w:t>
      </w:r>
      <w:r w:rsidR="001F0B77" w:rsidRPr="00A81732">
        <w:rPr>
          <w:rFonts w:ascii="Arial" w:hAnsi="Arial" w:cs="Arial"/>
          <w:sz w:val="24"/>
          <w:szCs w:val="24"/>
        </w:rPr>
        <w:t xml:space="preserve">only </w:t>
      </w:r>
      <w:r w:rsidR="00994C7F" w:rsidRPr="00A81732">
        <w:rPr>
          <w:rFonts w:ascii="Arial" w:hAnsi="Arial" w:cs="Arial"/>
          <w:sz w:val="24"/>
          <w:szCs w:val="24"/>
        </w:rPr>
        <w:t xml:space="preserve">to elicit their attitude to such relief. If the proceedings </w:t>
      </w:r>
      <w:r w:rsidR="00482E76" w:rsidRPr="00A81732">
        <w:rPr>
          <w:rFonts w:ascii="Arial" w:hAnsi="Arial" w:cs="Arial"/>
          <w:sz w:val="24"/>
          <w:szCs w:val="24"/>
        </w:rPr>
        <w:t>proceeded</w:t>
      </w:r>
      <w:r w:rsidR="00994C7F" w:rsidRPr="00A81732">
        <w:rPr>
          <w:rFonts w:ascii="Arial" w:hAnsi="Arial" w:cs="Arial"/>
          <w:sz w:val="24"/>
          <w:szCs w:val="24"/>
        </w:rPr>
        <w:t xml:space="preserve"> </w:t>
      </w:r>
      <w:r w:rsidR="00994C7F" w:rsidRPr="00A81732">
        <w:rPr>
          <w:rFonts w:ascii="Arial" w:hAnsi="Arial" w:cs="Arial"/>
          <w:i/>
          <w:sz w:val="24"/>
          <w:szCs w:val="24"/>
        </w:rPr>
        <w:t>ex parte</w:t>
      </w:r>
      <w:r w:rsidR="00994C7F" w:rsidRPr="00A81732">
        <w:rPr>
          <w:rFonts w:ascii="Arial" w:hAnsi="Arial" w:cs="Arial"/>
          <w:sz w:val="24"/>
          <w:szCs w:val="24"/>
        </w:rPr>
        <w:t xml:space="preserve">, the affected person must be afforded sufficient opportunity to state their case after the initial order is granted. </w:t>
      </w:r>
    </w:p>
    <w:p w14:paraId="254F02EF" w14:textId="77777777" w:rsidR="00CD13BD" w:rsidRPr="007603EC" w:rsidRDefault="00CD13BD" w:rsidP="00CD13BD">
      <w:pPr>
        <w:pStyle w:val="ListParagraph"/>
        <w:shd w:val="clear" w:color="auto" w:fill="FFFFFF"/>
        <w:spacing w:after="0" w:line="480" w:lineRule="auto"/>
        <w:ind w:left="0"/>
        <w:jc w:val="both"/>
        <w:rPr>
          <w:rFonts w:ascii="Arial" w:hAnsi="Arial" w:cs="Arial"/>
          <w:sz w:val="24"/>
          <w:szCs w:val="24"/>
        </w:rPr>
      </w:pPr>
    </w:p>
    <w:p w14:paraId="137F85EE" w14:textId="5324699E" w:rsidR="00E51332"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lastRenderedPageBreak/>
        <w:t>[61]</w:t>
      </w:r>
      <w:r>
        <w:rPr>
          <w:rFonts w:ascii="Arial" w:eastAsia="Calibri" w:hAnsi="Arial" w:cs="Arial"/>
          <w:sz w:val="24"/>
          <w:szCs w:val="24"/>
        </w:rPr>
        <w:tab/>
      </w:r>
      <w:r w:rsidR="00994C7F" w:rsidRPr="00A81732">
        <w:rPr>
          <w:rFonts w:ascii="Arial" w:eastAsia="Calibri" w:hAnsi="Arial" w:cs="Arial"/>
          <w:sz w:val="24"/>
          <w:szCs w:val="24"/>
        </w:rPr>
        <w:t xml:space="preserve">A government official in his or her official capacity is in no different position to any other person in that regard. A repository of official government documents may, upon being served with a court order requiring </w:t>
      </w:r>
      <w:r w:rsidR="003B32BE" w:rsidRPr="00A81732">
        <w:rPr>
          <w:rFonts w:ascii="Arial" w:eastAsia="Calibri" w:hAnsi="Arial" w:cs="Arial"/>
          <w:sz w:val="24"/>
          <w:szCs w:val="24"/>
        </w:rPr>
        <w:t xml:space="preserve">him or her </w:t>
      </w:r>
      <w:r w:rsidR="00994C7F" w:rsidRPr="00A81732">
        <w:rPr>
          <w:rFonts w:ascii="Arial" w:eastAsia="Calibri" w:hAnsi="Arial" w:cs="Arial"/>
          <w:sz w:val="24"/>
          <w:szCs w:val="24"/>
        </w:rPr>
        <w:t xml:space="preserve">to make pre-litigation discovery, object to </w:t>
      </w:r>
      <w:r w:rsidR="00DE283E" w:rsidRPr="00A81732">
        <w:rPr>
          <w:rFonts w:ascii="Arial" w:eastAsia="Calibri" w:hAnsi="Arial" w:cs="Arial"/>
          <w:sz w:val="24"/>
          <w:szCs w:val="24"/>
        </w:rPr>
        <w:t>its</w:t>
      </w:r>
      <w:r w:rsidR="00994C7F" w:rsidRPr="00A81732">
        <w:rPr>
          <w:rFonts w:ascii="Arial" w:eastAsia="Calibri" w:hAnsi="Arial" w:cs="Arial"/>
          <w:sz w:val="24"/>
          <w:szCs w:val="24"/>
        </w:rPr>
        <w:t xml:space="preserve"> production either because it is privileged, secret</w:t>
      </w:r>
      <w:r w:rsidR="00DE283E" w:rsidRPr="00A81732">
        <w:rPr>
          <w:rFonts w:ascii="Arial" w:eastAsia="Calibri" w:hAnsi="Arial" w:cs="Arial"/>
          <w:sz w:val="24"/>
          <w:szCs w:val="24"/>
        </w:rPr>
        <w:t xml:space="preserve"> or irrelevant</w:t>
      </w:r>
      <w:r w:rsidR="00CD13BD" w:rsidRPr="00A81732">
        <w:rPr>
          <w:rFonts w:ascii="Arial" w:eastAsia="Calibri" w:hAnsi="Arial" w:cs="Arial"/>
          <w:sz w:val="24"/>
          <w:szCs w:val="24"/>
        </w:rPr>
        <w:t>.</w:t>
      </w:r>
    </w:p>
    <w:p w14:paraId="392ED532" w14:textId="77777777" w:rsidR="00CD13BD" w:rsidRPr="00CD13BD" w:rsidRDefault="00CD13BD" w:rsidP="00CD13BD">
      <w:pPr>
        <w:rPr>
          <w:rFonts w:ascii="Arial" w:eastAsia="Calibri" w:hAnsi="Arial" w:cs="Arial"/>
          <w:sz w:val="24"/>
          <w:szCs w:val="24"/>
        </w:rPr>
      </w:pPr>
    </w:p>
    <w:p w14:paraId="7B8709AF" w14:textId="26BF6EBA" w:rsidR="00994C7F"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[62]</w:t>
      </w:r>
      <w:r>
        <w:rPr>
          <w:rFonts w:ascii="Arial" w:eastAsia="Calibri" w:hAnsi="Arial" w:cs="Arial"/>
          <w:sz w:val="24"/>
          <w:szCs w:val="24"/>
        </w:rPr>
        <w:tab/>
      </w:r>
      <w:r w:rsidR="00994C7F" w:rsidRPr="00A81732">
        <w:rPr>
          <w:rFonts w:ascii="Arial" w:eastAsia="Calibri" w:hAnsi="Arial" w:cs="Arial"/>
          <w:sz w:val="24"/>
          <w:szCs w:val="24"/>
        </w:rPr>
        <w:t>Thus, in the ordinary course, a government official who has been r</w:t>
      </w:r>
      <w:r w:rsidR="00FD4C66" w:rsidRPr="00A81732">
        <w:rPr>
          <w:rFonts w:ascii="Arial" w:eastAsia="Calibri" w:hAnsi="Arial" w:cs="Arial"/>
          <w:sz w:val="24"/>
          <w:szCs w:val="24"/>
        </w:rPr>
        <w:t>equired to produce documents may</w:t>
      </w:r>
      <w:r w:rsidR="00994C7F" w:rsidRPr="00A81732">
        <w:rPr>
          <w:rFonts w:ascii="Arial" w:eastAsia="Calibri" w:hAnsi="Arial" w:cs="Arial"/>
          <w:sz w:val="24"/>
          <w:szCs w:val="24"/>
        </w:rPr>
        <w:t xml:space="preserve"> object, </w:t>
      </w:r>
      <w:r w:rsidR="00FD4C66" w:rsidRPr="00A81732">
        <w:rPr>
          <w:rFonts w:ascii="Arial" w:eastAsia="Calibri" w:hAnsi="Arial" w:cs="Arial"/>
          <w:sz w:val="24"/>
          <w:szCs w:val="24"/>
        </w:rPr>
        <w:t xml:space="preserve">and must </w:t>
      </w:r>
      <w:r w:rsidR="00994C7F" w:rsidRPr="00A81732">
        <w:rPr>
          <w:rFonts w:ascii="Arial" w:eastAsia="Calibri" w:hAnsi="Arial" w:cs="Arial"/>
          <w:sz w:val="24"/>
          <w:szCs w:val="24"/>
        </w:rPr>
        <w:t xml:space="preserve">state the basis for such objection </w:t>
      </w:r>
      <w:r w:rsidR="00805B8C" w:rsidRPr="00A81732">
        <w:rPr>
          <w:rFonts w:ascii="Arial" w:eastAsia="Calibri" w:hAnsi="Arial" w:cs="Arial"/>
          <w:sz w:val="24"/>
          <w:szCs w:val="24"/>
        </w:rPr>
        <w:t xml:space="preserve">whereupon </w:t>
      </w:r>
      <w:r w:rsidR="00994C7F" w:rsidRPr="00A81732">
        <w:rPr>
          <w:rFonts w:ascii="Arial" w:eastAsia="Calibri" w:hAnsi="Arial" w:cs="Arial"/>
          <w:sz w:val="24"/>
          <w:szCs w:val="24"/>
        </w:rPr>
        <w:t xml:space="preserve">the court </w:t>
      </w:r>
      <w:r w:rsidR="00805B8C" w:rsidRPr="00A81732">
        <w:rPr>
          <w:rFonts w:ascii="Arial" w:eastAsia="Calibri" w:hAnsi="Arial" w:cs="Arial"/>
          <w:sz w:val="24"/>
          <w:szCs w:val="24"/>
        </w:rPr>
        <w:t xml:space="preserve">will </w:t>
      </w:r>
      <w:r w:rsidR="00994C7F" w:rsidRPr="00A81732">
        <w:rPr>
          <w:rFonts w:ascii="Arial" w:eastAsia="Calibri" w:hAnsi="Arial" w:cs="Arial"/>
          <w:sz w:val="24"/>
          <w:szCs w:val="24"/>
        </w:rPr>
        <w:t xml:space="preserve">adjudicate the matter. In the first place, as correctly held by the court </w:t>
      </w:r>
      <w:r w:rsidR="00994C7F" w:rsidRPr="00A81732">
        <w:rPr>
          <w:rFonts w:ascii="Arial" w:eastAsia="Calibri" w:hAnsi="Arial" w:cs="Arial"/>
          <w:i/>
          <w:sz w:val="24"/>
          <w:szCs w:val="24"/>
        </w:rPr>
        <w:t>a quo</w:t>
      </w:r>
      <w:r w:rsidR="00994C7F" w:rsidRPr="00A81732">
        <w:rPr>
          <w:rFonts w:ascii="Arial" w:eastAsia="Calibri" w:hAnsi="Arial" w:cs="Arial"/>
          <w:sz w:val="24"/>
          <w:szCs w:val="24"/>
        </w:rPr>
        <w:t xml:space="preserve"> bound as it was by this court’s jurisprudence, there is no right to blanket prohibition of disclosure of information in the government’s possession on the basis that it is secret. The court is the ultimate determiner of whether government information may be disclosed or suppressed. On the other hand, when an objection to produce is taken it is not to be rejected lightly.</w:t>
      </w:r>
    </w:p>
    <w:p w14:paraId="137F6762" w14:textId="77777777" w:rsidR="00CD13BD" w:rsidRPr="00DA7CFC" w:rsidRDefault="00CD13BD" w:rsidP="00CD13BD">
      <w:pPr>
        <w:pStyle w:val="ListParagraph"/>
        <w:shd w:val="clear" w:color="auto" w:fill="FFFFFF"/>
        <w:spacing w:after="0" w:line="480" w:lineRule="auto"/>
        <w:ind w:left="0"/>
        <w:jc w:val="both"/>
        <w:rPr>
          <w:rFonts w:ascii="Arial" w:eastAsia="Calibri" w:hAnsi="Arial" w:cs="Arial"/>
          <w:sz w:val="24"/>
          <w:szCs w:val="24"/>
        </w:rPr>
      </w:pPr>
    </w:p>
    <w:p w14:paraId="32181832" w14:textId="21B0BBEE" w:rsidR="00994C7F"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[63]</w:t>
      </w:r>
      <w:r>
        <w:rPr>
          <w:rFonts w:ascii="Arial" w:eastAsia="Calibri" w:hAnsi="Arial" w:cs="Arial"/>
          <w:sz w:val="24"/>
          <w:szCs w:val="24"/>
        </w:rPr>
        <w:tab/>
      </w:r>
      <w:r w:rsidR="00F70BEC" w:rsidRPr="00A81732">
        <w:rPr>
          <w:rFonts w:ascii="Arial" w:eastAsia="Calibri" w:hAnsi="Arial" w:cs="Arial"/>
          <w:sz w:val="24"/>
          <w:szCs w:val="24"/>
        </w:rPr>
        <w:t xml:space="preserve">It needs to be stressed that </w:t>
      </w:r>
      <w:r w:rsidR="00994C7F" w:rsidRPr="00A81732">
        <w:rPr>
          <w:rFonts w:ascii="Arial" w:eastAsia="Calibri" w:hAnsi="Arial" w:cs="Arial"/>
          <w:sz w:val="24"/>
          <w:szCs w:val="24"/>
        </w:rPr>
        <w:t xml:space="preserve">in any process where a person is </w:t>
      </w:r>
      <w:r w:rsidR="00F70BEC" w:rsidRPr="00A81732">
        <w:rPr>
          <w:rFonts w:ascii="Arial" w:eastAsia="Calibri" w:hAnsi="Arial" w:cs="Arial"/>
          <w:sz w:val="24"/>
          <w:szCs w:val="24"/>
        </w:rPr>
        <w:t xml:space="preserve">being </w:t>
      </w:r>
      <w:r w:rsidR="00994C7F" w:rsidRPr="00A81732">
        <w:rPr>
          <w:rFonts w:ascii="Arial" w:eastAsia="Calibri" w:hAnsi="Arial" w:cs="Arial"/>
          <w:sz w:val="24"/>
          <w:szCs w:val="24"/>
        </w:rPr>
        <w:t xml:space="preserve">compelled </w:t>
      </w:r>
      <w:r w:rsidR="00F70BEC" w:rsidRPr="00A81732">
        <w:rPr>
          <w:rFonts w:ascii="Arial" w:eastAsia="Calibri" w:hAnsi="Arial" w:cs="Arial"/>
          <w:i/>
          <w:sz w:val="24"/>
          <w:szCs w:val="24"/>
        </w:rPr>
        <w:t>ex parte</w:t>
      </w:r>
      <w:r w:rsidR="00F70BEC" w:rsidRPr="00A81732">
        <w:rPr>
          <w:rFonts w:ascii="Arial" w:eastAsia="Calibri" w:hAnsi="Arial" w:cs="Arial"/>
          <w:sz w:val="24"/>
          <w:szCs w:val="24"/>
        </w:rPr>
        <w:t xml:space="preserve"> to do something </w:t>
      </w:r>
      <w:r w:rsidR="00994C7F" w:rsidRPr="00A81732">
        <w:rPr>
          <w:rFonts w:ascii="Arial" w:eastAsia="Calibri" w:hAnsi="Arial" w:cs="Arial"/>
          <w:sz w:val="24"/>
          <w:szCs w:val="24"/>
        </w:rPr>
        <w:t>on pain of contempt of court</w:t>
      </w:r>
      <w:r w:rsidR="00412D32" w:rsidRPr="00A81732">
        <w:rPr>
          <w:rFonts w:ascii="Arial" w:eastAsia="Calibri" w:hAnsi="Arial" w:cs="Arial"/>
          <w:sz w:val="24"/>
          <w:szCs w:val="24"/>
        </w:rPr>
        <w:t xml:space="preserve"> </w:t>
      </w:r>
      <w:r w:rsidR="009843D2" w:rsidRPr="00A81732">
        <w:rPr>
          <w:rFonts w:ascii="Arial" w:eastAsia="Calibri" w:hAnsi="Arial" w:cs="Arial"/>
          <w:sz w:val="24"/>
          <w:szCs w:val="24"/>
        </w:rPr>
        <w:t>–</w:t>
      </w:r>
      <w:r w:rsidR="00412D32" w:rsidRPr="00A81732">
        <w:rPr>
          <w:rFonts w:ascii="Arial" w:eastAsia="Calibri" w:hAnsi="Arial" w:cs="Arial"/>
          <w:sz w:val="24"/>
          <w:szCs w:val="24"/>
        </w:rPr>
        <w:t xml:space="preserve"> </w:t>
      </w:r>
      <w:r w:rsidR="00994C7F" w:rsidRPr="00A81732">
        <w:rPr>
          <w:rFonts w:ascii="Arial" w:eastAsia="Calibri" w:hAnsi="Arial" w:cs="Arial"/>
          <w:sz w:val="24"/>
          <w:szCs w:val="24"/>
        </w:rPr>
        <w:t xml:space="preserve">such as to produce </w:t>
      </w:r>
      <w:r w:rsidR="00F70BEC" w:rsidRPr="00A81732">
        <w:rPr>
          <w:rFonts w:ascii="Arial" w:eastAsia="Calibri" w:hAnsi="Arial" w:cs="Arial"/>
          <w:sz w:val="24"/>
          <w:szCs w:val="24"/>
        </w:rPr>
        <w:t>documents needed for litigation</w:t>
      </w:r>
      <w:r w:rsidR="00412D32" w:rsidRPr="00A81732">
        <w:rPr>
          <w:rFonts w:ascii="Arial" w:eastAsia="Calibri" w:hAnsi="Arial" w:cs="Arial"/>
          <w:sz w:val="24"/>
          <w:szCs w:val="24"/>
        </w:rPr>
        <w:t xml:space="preserve"> </w:t>
      </w:r>
      <w:r w:rsidR="009843D2" w:rsidRPr="00A81732">
        <w:rPr>
          <w:rFonts w:ascii="Arial" w:eastAsia="Calibri" w:hAnsi="Arial" w:cs="Arial"/>
          <w:sz w:val="24"/>
          <w:szCs w:val="24"/>
        </w:rPr>
        <w:t>–</w:t>
      </w:r>
      <w:r w:rsidR="00412D32" w:rsidRPr="00A81732">
        <w:rPr>
          <w:rFonts w:ascii="Arial" w:eastAsia="Calibri" w:hAnsi="Arial" w:cs="Arial"/>
          <w:sz w:val="24"/>
          <w:szCs w:val="24"/>
        </w:rPr>
        <w:t xml:space="preserve"> </w:t>
      </w:r>
      <w:r w:rsidR="00F70BEC" w:rsidRPr="00A81732">
        <w:rPr>
          <w:rFonts w:ascii="Arial" w:eastAsia="Calibri" w:hAnsi="Arial" w:cs="Arial"/>
          <w:sz w:val="24"/>
          <w:szCs w:val="24"/>
        </w:rPr>
        <w:t>that</w:t>
      </w:r>
      <w:r w:rsidR="00994C7F" w:rsidRPr="00A81732">
        <w:rPr>
          <w:rFonts w:ascii="Arial" w:eastAsia="Calibri" w:hAnsi="Arial" w:cs="Arial"/>
          <w:sz w:val="24"/>
          <w:szCs w:val="24"/>
        </w:rPr>
        <w:t xml:space="preserve"> imposes a special obligation on the person</w:t>
      </w:r>
      <w:r w:rsidR="00207577" w:rsidRPr="00A81732">
        <w:rPr>
          <w:rFonts w:ascii="Arial" w:eastAsia="Calibri" w:hAnsi="Arial" w:cs="Arial"/>
          <w:sz w:val="24"/>
          <w:szCs w:val="24"/>
        </w:rPr>
        <w:t xml:space="preserve"> seeking the coercive process </w:t>
      </w:r>
      <w:r w:rsidR="00994C7F" w:rsidRPr="00A81732">
        <w:rPr>
          <w:rFonts w:ascii="Arial" w:eastAsia="Calibri" w:hAnsi="Arial" w:cs="Arial"/>
          <w:sz w:val="24"/>
          <w:szCs w:val="24"/>
        </w:rPr>
        <w:t xml:space="preserve">and certainly the court which has inherent power to prevent an abuse of its process – to make sure that the seeker of the order makes out a proper case for it. </w:t>
      </w:r>
      <w:r w:rsidR="00B01B4C" w:rsidRPr="00A81732">
        <w:rPr>
          <w:rFonts w:ascii="Arial" w:eastAsia="Calibri" w:hAnsi="Arial" w:cs="Arial"/>
          <w:sz w:val="24"/>
          <w:szCs w:val="24"/>
        </w:rPr>
        <w:t>Such relief should not be had for the asking.</w:t>
      </w:r>
    </w:p>
    <w:p w14:paraId="4F6CAEB3" w14:textId="77777777" w:rsidR="00CD13BD" w:rsidRPr="00DA7CFC" w:rsidRDefault="00CD13BD" w:rsidP="00CD13BD">
      <w:pPr>
        <w:pStyle w:val="ListParagraph"/>
        <w:shd w:val="clear" w:color="auto" w:fill="FFFFFF"/>
        <w:spacing w:after="0" w:line="480" w:lineRule="auto"/>
        <w:ind w:left="0"/>
        <w:jc w:val="both"/>
        <w:rPr>
          <w:rFonts w:ascii="Arial" w:eastAsia="Calibri" w:hAnsi="Arial" w:cs="Arial"/>
          <w:sz w:val="24"/>
          <w:szCs w:val="24"/>
        </w:rPr>
      </w:pPr>
    </w:p>
    <w:p w14:paraId="3F130712" w14:textId="2F01F07C" w:rsidR="00664B71"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[64]</w:t>
      </w:r>
      <w:r>
        <w:rPr>
          <w:rFonts w:ascii="Arial" w:eastAsia="Calibri" w:hAnsi="Arial" w:cs="Arial"/>
          <w:sz w:val="24"/>
          <w:szCs w:val="24"/>
        </w:rPr>
        <w:tab/>
      </w:r>
      <w:r w:rsidR="00994C7F" w:rsidRPr="00A81732">
        <w:rPr>
          <w:rFonts w:ascii="Arial" w:eastAsia="Calibri" w:hAnsi="Arial" w:cs="Arial"/>
          <w:sz w:val="24"/>
          <w:szCs w:val="24"/>
        </w:rPr>
        <w:t xml:space="preserve">As </w:t>
      </w:r>
      <w:r w:rsidR="00994C7F" w:rsidRPr="00A81732">
        <w:rPr>
          <w:rFonts w:ascii="Arial" w:eastAsia="Calibri" w:hAnsi="Arial" w:cs="Arial"/>
          <w:i/>
          <w:sz w:val="24"/>
          <w:szCs w:val="24"/>
        </w:rPr>
        <w:t>Sarfu</w:t>
      </w:r>
      <w:r w:rsidR="00664B71">
        <w:rPr>
          <w:rStyle w:val="FootnoteReference"/>
          <w:rFonts w:ascii="Arial" w:eastAsia="Calibri" w:hAnsi="Arial" w:cs="Arial"/>
          <w:i/>
          <w:sz w:val="24"/>
          <w:szCs w:val="24"/>
        </w:rPr>
        <w:footnoteReference w:id="23"/>
      </w:r>
      <w:r w:rsidR="00664B71" w:rsidRPr="00A81732">
        <w:rPr>
          <w:rFonts w:ascii="Arial" w:eastAsia="Calibri" w:hAnsi="Arial" w:cs="Arial"/>
          <w:i/>
          <w:sz w:val="24"/>
          <w:szCs w:val="24"/>
        </w:rPr>
        <w:t xml:space="preserve"> </w:t>
      </w:r>
      <w:r w:rsidR="00994C7F" w:rsidRPr="00A81732">
        <w:rPr>
          <w:rFonts w:ascii="Arial" w:eastAsia="Calibri" w:hAnsi="Arial" w:cs="Arial"/>
          <w:sz w:val="24"/>
          <w:szCs w:val="24"/>
        </w:rPr>
        <w:t xml:space="preserve">warns, the court must </w:t>
      </w:r>
      <w:r w:rsidR="00000FEB" w:rsidRPr="00A81732">
        <w:rPr>
          <w:rFonts w:ascii="Arial" w:eastAsia="Calibri" w:hAnsi="Arial" w:cs="Arial"/>
          <w:sz w:val="24"/>
          <w:szCs w:val="24"/>
        </w:rPr>
        <w:t>‘</w:t>
      </w:r>
      <w:r w:rsidR="00994C7F" w:rsidRPr="00A81732">
        <w:rPr>
          <w:rFonts w:ascii="Arial" w:eastAsia="Calibri" w:hAnsi="Arial" w:cs="Arial"/>
          <w:sz w:val="24"/>
          <w:szCs w:val="24"/>
        </w:rPr>
        <w:t>exercise restraint</w:t>
      </w:r>
      <w:r w:rsidR="00000FEB" w:rsidRPr="00A81732">
        <w:rPr>
          <w:rFonts w:ascii="Arial" w:eastAsia="Calibri" w:hAnsi="Arial" w:cs="Arial"/>
          <w:sz w:val="24"/>
          <w:szCs w:val="24"/>
        </w:rPr>
        <w:t>’</w:t>
      </w:r>
      <w:r w:rsidR="00994C7F" w:rsidRPr="00A81732">
        <w:rPr>
          <w:rFonts w:ascii="Arial" w:eastAsia="Calibri" w:hAnsi="Arial" w:cs="Arial"/>
          <w:sz w:val="24"/>
          <w:szCs w:val="24"/>
        </w:rPr>
        <w:t xml:space="preserve"> when what is demanded to be disclosed potentially involves integrity of the operation of the Executive.</w:t>
      </w:r>
      <w:r w:rsidR="00664B71" w:rsidRPr="00A81732">
        <w:rPr>
          <w:rFonts w:ascii="Arial" w:eastAsia="Calibri" w:hAnsi="Arial" w:cs="Arial"/>
          <w:sz w:val="24"/>
          <w:szCs w:val="24"/>
        </w:rPr>
        <w:t xml:space="preserve"> Where it </w:t>
      </w:r>
      <w:r w:rsidR="0099212E" w:rsidRPr="00A81732">
        <w:rPr>
          <w:rFonts w:ascii="Arial" w:eastAsia="Calibri" w:hAnsi="Arial" w:cs="Arial"/>
          <w:sz w:val="24"/>
          <w:szCs w:val="24"/>
        </w:rPr>
        <w:t xml:space="preserve">is </w:t>
      </w:r>
      <w:r w:rsidR="00664B71" w:rsidRPr="00A81732">
        <w:rPr>
          <w:rFonts w:ascii="Arial" w:eastAsia="Calibri" w:hAnsi="Arial" w:cs="Arial"/>
          <w:sz w:val="24"/>
          <w:szCs w:val="24"/>
        </w:rPr>
        <w:t xml:space="preserve">permissible to seek the production of Cabinet documents in the course of litigation the same considerations would apply as that which faced the SA Constitutional Court in </w:t>
      </w:r>
      <w:r w:rsidR="00664B71" w:rsidRPr="00A81732">
        <w:rPr>
          <w:rFonts w:ascii="Arial" w:eastAsia="Calibri" w:hAnsi="Arial" w:cs="Arial"/>
          <w:i/>
          <w:sz w:val="24"/>
          <w:szCs w:val="24"/>
        </w:rPr>
        <w:lastRenderedPageBreak/>
        <w:t xml:space="preserve">Sarfu </w:t>
      </w:r>
      <w:r w:rsidR="00664B71" w:rsidRPr="00A81732">
        <w:rPr>
          <w:rFonts w:ascii="Arial" w:eastAsia="Calibri" w:hAnsi="Arial" w:cs="Arial"/>
          <w:sz w:val="24"/>
          <w:szCs w:val="24"/>
        </w:rPr>
        <w:t xml:space="preserve">where a litigant sought to compel the President of South Africa to testify in contested proceedings. </w:t>
      </w:r>
      <w:r w:rsidR="0099212E" w:rsidRPr="00A81732">
        <w:rPr>
          <w:rFonts w:ascii="Arial" w:eastAsia="Calibri" w:hAnsi="Arial" w:cs="Arial"/>
          <w:sz w:val="24"/>
          <w:szCs w:val="24"/>
        </w:rPr>
        <w:t xml:space="preserve">In such a situation, the court should seek to balance two interests. As recognised in </w:t>
      </w:r>
      <w:r w:rsidR="0099212E" w:rsidRPr="00A81732">
        <w:rPr>
          <w:rFonts w:ascii="Arial" w:eastAsia="Calibri" w:hAnsi="Arial" w:cs="Arial"/>
          <w:i/>
          <w:sz w:val="24"/>
          <w:szCs w:val="24"/>
        </w:rPr>
        <w:t>Sarfu</w:t>
      </w:r>
      <w:r w:rsidR="0099212E" w:rsidRPr="00A81732">
        <w:rPr>
          <w:rFonts w:ascii="Arial" w:eastAsia="Calibri" w:hAnsi="Arial" w:cs="Arial"/>
          <w:sz w:val="24"/>
          <w:szCs w:val="24"/>
        </w:rPr>
        <w:t xml:space="preserve">, there </w:t>
      </w:r>
      <w:r w:rsidR="0000134D" w:rsidRPr="00A81732">
        <w:rPr>
          <w:rFonts w:ascii="Arial" w:eastAsia="Calibri" w:hAnsi="Arial" w:cs="Arial"/>
          <w:sz w:val="24"/>
          <w:szCs w:val="24"/>
        </w:rPr>
        <w:t xml:space="preserve">is the </w:t>
      </w:r>
      <w:r w:rsidR="0099212E" w:rsidRPr="00A81732">
        <w:rPr>
          <w:rFonts w:ascii="Arial" w:eastAsia="Calibri" w:hAnsi="Arial" w:cs="Arial"/>
          <w:sz w:val="24"/>
          <w:szCs w:val="24"/>
        </w:rPr>
        <w:t>‘</w:t>
      </w:r>
      <w:r w:rsidR="0000134D" w:rsidRPr="00A81732">
        <w:rPr>
          <w:rFonts w:ascii="Arial" w:eastAsia="Calibri" w:hAnsi="Arial" w:cs="Arial"/>
          <w:sz w:val="24"/>
          <w:szCs w:val="24"/>
        </w:rPr>
        <w:t>public interest that the efficiency of the Executive is not impeded and that a robust and open discussion ta</w:t>
      </w:r>
      <w:r w:rsidR="0099212E" w:rsidRPr="00A81732">
        <w:rPr>
          <w:rFonts w:ascii="Arial" w:eastAsia="Calibri" w:hAnsi="Arial" w:cs="Arial"/>
          <w:sz w:val="24"/>
          <w:szCs w:val="24"/>
        </w:rPr>
        <w:t>ke</w:t>
      </w:r>
      <w:r w:rsidR="0000134D" w:rsidRPr="00A81732">
        <w:rPr>
          <w:rFonts w:ascii="Arial" w:eastAsia="Calibri" w:hAnsi="Arial" w:cs="Arial"/>
          <w:sz w:val="24"/>
          <w:szCs w:val="24"/>
        </w:rPr>
        <w:t xml:space="preserve"> place unhindered at meetings of the Cabinet when sensitive and important matters of policy are discussed</w:t>
      </w:r>
      <w:r w:rsidR="0099212E" w:rsidRPr="00A81732">
        <w:rPr>
          <w:rFonts w:ascii="Arial" w:eastAsia="Calibri" w:hAnsi="Arial" w:cs="Arial"/>
          <w:sz w:val="24"/>
          <w:szCs w:val="24"/>
        </w:rPr>
        <w:t>’</w:t>
      </w:r>
      <w:r w:rsidR="0000134D" w:rsidRPr="00A81732">
        <w:rPr>
          <w:rFonts w:ascii="Arial" w:eastAsia="Calibri" w:hAnsi="Arial" w:cs="Arial"/>
          <w:sz w:val="24"/>
          <w:szCs w:val="24"/>
        </w:rPr>
        <w:t xml:space="preserve">. </w:t>
      </w:r>
      <w:r w:rsidR="0099212E" w:rsidRPr="00A81732">
        <w:rPr>
          <w:rFonts w:ascii="Arial" w:eastAsia="Calibri" w:hAnsi="Arial" w:cs="Arial"/>
          <w:sz w:val="24"/>
          <w:szCs w:val="24"/>
        </w:rPr>
        <w:t>The second interest is the need to ensure that courts are not impeded in the administration of justice and that litigants are afforded every reasonable facility to exercise their rights. ‘</w:t>
      </w:r>
      <w:r w:rsidR="0000134D" w:rsidRPr="00A81732">
        <w:rPr>
          <w:rFonts w:ascii="Arial" w:eastAsia="Calibri" w:hAnsi="Arial" w:cs="Arial"/>
          <w:sz w:val="24"/>
          <w:szCs w:val="24"/>
        </w:rPr>
        <w:t xml:space="preserve">Careful consideration must </w:t>
      </w:r>
      <w:r w:rsidR="00CD13BD" w:rsidRPr="00A81732">
        <w:rPr>
          <w:rFonts w:ascii="Arial" w:eastAsia="Calibri" w:hAnsi="Arial" w:cs="Arial"/>
          <w:sz w:val="24"/>
          <w:szCs w:val="24"/>
        </w:rPr>
        <w:t xml:space="preserve">. . . </w:t>
      </w:r>
      <w:r w:rsidR="0000134D" w:rsidRPr="00A81732">
        <w:rPr>
          <w:rFonts w:ascii="Arial" w:eastAsia="Calibri" w:hAnsi="Arial" w:cs="Arial"/>
          <w:sz w:val="24"/>
          <w:szCs w:val="24"/>
        </w:rPr>
        <w:t xml:space="preserve">be given to a decision compelling [production of Cabinet documents and deliberations] and such an order should not be made unless the interests of justice clearly demand that this be done. The Judiciary must exercise appropriate restraint in such </w:t>
      </w:r>
      <w:r w:rsidR="00B52920" w:rsidRPr="00A81732">
        <w:rPr>
          <w:rFonts w:ascii="Arial" w:eastAsia="Calibri" w:hAnsi="Arial" w:cs="Arial"/>
          <w:sz w:val="24"/>
          <w:szCs w:val="24"/>
        </w:rPr>
        <w:t>cases, sensitive to the status</w:t>
      </w:r>
      <w:r w:rsidR="009D5264" w:rsidRPr="00A81732">
        <w:rPr>
          <w:rFonts w:ascii="Arial" w:eastAsia="Calibri" w:hAnsi="Arial" w:cs="Arial"/>
          <w:sz w:val="24"/>
          <w:szCs w:val="24"/>
        </w:rPr>
        <w:t xml:space="preserve"> . . . </w:t>
      </w:r>
      <w:r w:rsidR="0000134D" w:rsidRPr="00A81732">
        <w:rPr>
          <w:rFonts w:ascii="Arial" w:eastAsia="Calibri" w:hAnsi="Arial" w:cs="Arial"/>
          <w:sz w:val="24"/>
          <w:szCs w:val="24"/>
        </w:rPr>
        <w:t>and integrity of the executive arm of government.</w:t>
      </w:r>
      <w:r w:rsidR="0099212E" w:rsidRPr="00A81732">
        <w:rPr>
          <w:rFonts w:ascii="Arial" w:eastAsia="Calibri" w:hAnsi="Arial" w:cs="Arial"/>
          <w:sz w:val="24"/>
          <w:szCs w:val="24"/>
        </w:rPr>
        <w:t>’</w:t>
      </w:r>
    </w:p>
    <w:p w14:paraId="78E674A1" w14:textId="77777777" w:rsidR="00CD13BD" w:rsidRDefault="00CD13BD" w:rsidP="00CD13BD">
      <w:pPr>
        <w:pStyle w:val="ListParagraph"/>
        <w:shd w:val="clear" w:color="auto" w:fill="FFFFFF"/>
        <w:spacing w:after="0" w:line="480" w:lineRule="auto"/>
        <w:ind w:left="0"/>
        <w:jc w:val="both"/>
        <w:rPr>
          <w:rFonts w:ascii="Arial" w:eastAsia="Calibri" w:hAnsi="Arial" w:cs="Arial"/>
          <w:sz w:val="24"/>
          <w:szCs w:val="24"/>
        </w:rPr>
      </w:pPr>
    </w:p>
    <w:p w14:paraId="4EF8B08D" w14:textId="72AD94E7" w:rsidR="00857A07"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[65]</w:t>
      </w:r>
      <w:r>
        <w:rPr>
          <w:rFonts w:ascii="Arial" w:eastAsia="Calibri" w:hAnsi="Arial" w:cs="Arial"/>
          <w:sz w:val="24"/>
          <w:szCs w:val="24"/>
        </w:rPr>
        <w:tab/>
      </w:r>
      <w:r w:rsidR="00DE283E" w:rsidRPr="00A81732">
        <w:rPr>
          <w:rFonts w:ascii="Arial" w:eastAsia="Calibri" w:hAnsi="Arial" w:cs="Arial"/>
          <w:sz w:val="24"/>
          <w:szCs w:val="24"/>
        </w:rPr>
        <w:t>I</w:t>
      </w:r>
      <w:r w:rsidR="00994C7F" w:rsidRPr="00A81732">
        <w:rPr>
          <w:rFonts w:ascii="Arial" w:eastAsia="Calibri" w:hAnsi="Arial" w:cs="Arial"/>
          <w:sz w:val="24"/>
          <w:szCs w:val="24"/>
        </w:rPr>
        <w:t xml:space="preserve">t would be setting a dangerous precedent to hold that all a litigant need do is ask for the information without demonstrating its relevance, that it is not available </w:t>
      </w:r>
      <w:r w:rsidR="00490ABA" w:rsidRPr="00A81732">
        <w:rPr>
          <w:rFonts w:ascii="Arial" w:eastAsia="Calibri" w:hAnsi="Arial" w:cs="Arial"/>
          <w:sz w:val="24"/>
          <w:szCs w:val="24"/>
        </w:rPr>
        <w:t>any other way</w:t>
      </w:r>
      <w:r w:rsidR="00994C7F" w:rsidRPr="00A81732">
        <w:rPr>
          <w:rFonts w:ascii="Arial" w:eastAsia="Calibri" w:hAnsi="Arial" w:cs="Arial"/>
          <w:sz w:val="24"/>
          <w:szCs w:val="24"/>
        </w:rPr>
        <w:t xml:space="preserve"> </w:t>
      </w:r>
      <w:r w:rsidR="00490ABA" w:rsidRPr="00A81732">
        <w:rPr>
          <w:rFonts w:ascii="Arial" w:eastAsia="Calibri" w:hAnsi="Arial" w:cs="Arial"/>
          <w:sz w:val="24"/>
          <w:szCs w:val="24"/>
        </w:rPr>
        <w:t xml:space="preserve">and </w:t>
      </w:r>
      <w:r w:rsidR="00994C7F" w:rsidRPr="00A81732">
        <w:rPr>
          <w:rFonts w:ascii="Arial" w:eastAsia="Calibri" w:hAnsi="Arial" w:cs="Arial"/>
          <w:sz w:val="24"/>
          <w:szCs w:val="24"/>
        </w:rPr>
        <w:t>that without its production the person seeking it will suffer trial prejudice</w:t>
      </w:r>
      <w:r w:rsidR="00CD13BD" w:rsidRPr="00A81732">
        <w:rPr>
          <w:rFonts w:ascii="Arial" w:eastAsia="Calibri" w:hAnsi="Arial" w:cs="Arial"/>
          <w:sz w:val="24"/>
          <w:szCs w:val="24"/>
        </w:rPr>
        <w:t>.</w:t>
      </w:r>
    </w:p>
    <w:p w14:paraId="53AB25B0" w14:textId="77777777" w:rsidR="00CD13BD" w:rsidRPr="00CD13BD" w:rsidRDefault="00CD13BD" w:rsidP="00CD13BD">
      <w:pPr>
        <w:rPr>
          <w:rFonts w:ascii="Arial" w:eastAsia="Calibri" w:hAnsi="Arial" w:cs="Arial"/>
          <w:sz w:val="24"/>
          <w:szCs w:val="24"/>
        </w:rPr>
      </w:pPr>
    </w:p>
    <w:p w14:paraId="6AF565DE" w14:textId="311E4CD6" w:rsidR="00590169"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[66]</w:t>
      </w:r>
      <w:r>
        <w:rPr>
          <w:rFonts w:ascii="Arial" w:eastAsia="Calibri" w:hAnsi="Arial" w:cs="Arial"/>
          <w:sz w:val="24"/>
          <w:szCs w:val="24"/>
        </w:rPr>
        <w:tab/>
      </w:r>
      <w:r w:rsidR="00994C7F" w:rsidRPr="00A81732">
        <w:rPr>
          <w:rFonts w:ascii="Arial" w:eastAsia="Calibri" w:hAnsi="Arial" w:cs="Arial"/>
          <w:sz w:val="24"/>
          <w:szCs w:val="24"/>
        </w:rPr>
        <w:t xml:space="preserve">In the present case, </w:t>
      </w:r>
      <w:r w:rsidR="001E693A" w:rsidRPr="00A81732">
        <w:rPr>
          <w:rFonts w:ascii="Arial" w:eastAsia="Calibri" w:hAnsi="Arial" w:cs="Arial"/>
          <w:sz w:val="24"/>
          <w:szCs w:val="24"/>
        </w:rPr>
        <w:t xml:space="preserve">not only did the relief </w:t>
      </w:r>
      <w:r w:rsidR="00B315CC" w:rsidRPr="00A81732">
        <w:rPr>
          <w:rFonts w:ascii="Arial" w:eastAsia="Calibri" w:hAnsi="Arial" w:cs="Arial"/>
          <w:sz w:val="24"/>
          <w:szCs w:val="24"/>
        </w:rPr>
        <w:t>not fall</w:t>
      </w:r>
      <w:r w:rsidR="001E693A" w:rsidRPr="00A81732">
        <w:rPr>
          <w:rFonts w:ascii="Arial" w:eastAsia="Calibri" w:hAnsi="Arial" w:cs="Arial"/>
          <w:sz w:val="24"/>
          <w:szCs w:val="24"/>
        </w:rPr>
        <w:t xml:space="preserve"> within the recognised common law exception</w:t>
      </w:r>
      <w:r w:rsidR="00B315CC" w:rsidRPr="00A81732">
        <w:rPr>
          <w:rFonts w:ascii="Arial" w:eastAsia="Calibri" w:hAnsi="Arial" w:cs="Arial"/>
          <w:sz w:val="24"/>
          <w:szCs w:val="24"/>
        </w:rPr>
        <w:t>,</w:t>
      </w:r>
      <w:r w:rsidR="001E693A" w:rsidRPr="00A81732">
        <w:rPr>
          <w:rFonts w:ascii="Arial" w:eastAsia="Calibri" w:hAnsi="Arial" w:cs="Arial"/>
          <w:sz w:val="24"/>
          <w:szCs w:val="24"/>
        </w:rPr>
        <w:t xml:space="preserve"> but even assuming it did, </w:t>
      </w:r>
      <w:r w:rsidR="009A528D" w:rsidRPr="00A81732">
        <w:rPr>
          <w:rFonts w:ascii="Arial" w:eastAsia="Calibri" w:hAnsi="Arial" w:cs="Arial"/>
          <w:sz w:val="24"/>
          <w:szCs w:val="24"/>
        </w:rPr>
        <w:t xml:space="preserve">a case was not made out to justify </w:t>
      </w:r>
      <w:r w:rsidR="00994C7F" w:rsidRPr="00A81732">
        <w:rPr>
          <w:rFonts w:ascii="Arial" w:eastAsia="Calibri" w:hAnsi="Arial" w:cs="Arial"/>
          <w:sz w:val="24"/>
          <w:szCs w:val="24"/>
        </w:rPr>
        <w:t>the width and brea</w:t>
      </w:r>
      <w:r w:rsidR="008A44EA" w:rsidRPr="00A81732">
        <w:rPr>
          <w:rFonts w:ascii="Arial" w:eastAsia="Calibri" w:hAnsi="Arial" w:cs="Arial"/>
          <w:sz w:val="24"/>
          <w:szCs w:val="24"/>
        </w:rPr>
        <w:t>d</w:t>
      </w:r>
      <w:r w:rsidR="00994C7F" w:rsidRPr="00A81732">
        <w:rPr>
          <w:rFonts w:ascii="Arial" w:eastAsia="Calibri" w:hAnsi="Arial" w:cs="Arial"/>
          <w:sz w:val="24"/>
          <w:szCs w:val="24"/>
        </w:rPr>
        <w:t xml:space="preserve">th of the discovery sought (Cabinet deliberations and exchanges between its members) given that the issue as defined by Hollard (the reason for the </w:t>
      </w:r>
      <w:r w:rsidR="00E41F8F" w:rsidRPr="00A81732">
        <w:rPr>
          <w:rFonts w:ascii="Arial" w:eastAsia="Calibri" w:hAnsi="Arial" w:cs="Arial"/>
          <w:sz w:val="24"/>
          <w:szCs w:val="24"/>
        </w:rPr>
        <w:t>SOE</w:t>
      </w:r>
      <w:r w:rsidR="00994C7F" w:rsidRPr="00A81732">
        <w:rPr>
          <w:rFonts w:ascii="Arial" w:eastAsia="Calibri" w:hAnsi="Arial" w:cs="Arial"/>
          <w:sz w:val="24"/>
          <w:szCs w:val="24"/>
        </w:rPr>
        <w:t xml:space="preserve">) is quite </w:t>
      </w:r>
      <w:r w:rsidR="008A44EA" w:rsidRPr="00A81732">
        <w:rPr>
          <w:rFonts w:ascii="Arial" w:eastAsia="Calibri" w:hAnsi="Arial" w:cs="Arial"/>
          <w:sz w:val="24"/>
          <w:szCs w:val="24"/>
        </w:rPr>
        <w:t>confined</w:t>
      </w:r>
      <w:r w:rsidR="00300B26" w:rsidRPr="00A81732">
        <w:rPr>
          <w:rFonts w:ascii="Arial" w:eastAsia="Calibri" w:hAnsi="Arial" w:cs="Arial"/>
          <w:sz w:val="24"/>
          <w:szCs w:val="24"/>
        </w:rPr>
        <w:t>.</w:t>
      </w:r>
    </w:p>
    <w:p w14:paraId="2BC0513F" w14:textId="77777777" w:rsidR="00CD13BD" w:rsidRPr="007603EC" w:rsidRDefault="00CD13BD" w:rsidP="00CD13BD">
      <w:pPr>
        <w:pStyle w:val="ListParagraph"/>
        <w:shd w:val="clear" w:color="auto" w:fill="FFFFFF"/>
        <w:spacing w:after="0" w:line="480" w:lineRule="auto"/>
        <w:ind w:left="0"/>
        <w:jc w:val="both"/>
        <w:rPr>
          <w:rFonts w:ascii="Arial" w:eastAsia="Calibri" w:hAnsi="Arial" w:cs="Arial"/>
          <w:sz w:val="24"/>
          <w:szCs w:val="24"/>
        </w:rPr>
      </w:pPr>
    </w:p>
    <w:p w14:paraId="1D9D5FD8" w14:textId="6EE4EB63" w:rsidR="00994C7F"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[67]</w:t>
      </w:r>
      <w:r>
        <w:rPr>
          <w:rFonts w:ascii="Arial" w:eastAsia="Calibri" w:hAnsi="Arial" w:cs="Arial"/>
          <w:sz w:val="24"/>
          <w:szCs w:val="24"/>
        </w:rPr>
        <w:tab/>
      </w:r>
      <w:r w:rsidR="001E693A" w:rsidRPr="00A81732">
        <w:rPr>
          <w:rFonts w:ascii="Arial" w:eastAsia="Calibri" w:hAnsi="Arial" w:cs="Arial"/>
          <w:sz w:val="24"/>
          <w:szCs w:val="24"/>
        </w:rPr>
        <w:t>Besides, i</w:t>
      </w:r>
      <w:r w:rsidR="00994C7F" w:rsidRPr="00A81732">
        <w:rPr>
          <w:rFonts w:ascii="Arial" w:eastAsia="Calibri" w:hAnsi="Arial" w:cs="Arial"/>
          <w:sz w:val="24"/>
          <w:szCs w:val="24"/>
        </w:rPr>
        <w:t xml:space="preserve">t is a matter of public record that in the wake of the outbreak of the Covid-19 pandemic, the </w:t>
      </w:r>
      <w:r w:rsidR="008A44EA" w:rsidRPr="00A81732">
        <w:rPr>
          <w:rFonts w:ascii="Arial" w:eastAsia="Calibri" w:hAnsi="Arial" w:cs="Arial"/>
          <w:sz w:val="24"/>
          <w:szCs w:val="24"/>
        </w:rPr>
        <w:t>GRN</w:t>
      </w:r>
      <w:r w:rsidR="00994C7F" w:rsidRPr="00A81732">
        <w:rPr>
          <w:rFonts w:ascii="Arial" w:eastAsia="Calibri" w:hAnsi="Arial" w:cs="Arial"/>
          <w:sz w:val="24"/>
          <w:szCs w:val="24"/>
        </w:rPr>
        <w:t xml:space="preserve"> had rolled out a massive information outreach including regular briefings – some of it by the head of state. Several political executives who are </w:t>
      </w:r>
      <w:r w:rsidR="00994C7F" w:rsidRPr="00A81732">
        <w:rPr>
          <w:rFonts w:ascii="Arial" w:eastAsia="Calibri" w:hAnsi="Arial" w:cs="Arial"/>
          <w:sz w:val="24"/>
          <w:szCs w:val="24"/>
        </w:rPr>
        <w:lastRenderedPageBreak/>
        <w:t>members of Cabinet gave regular briefings</w:t>
      </w:r>
      <w:r w:rsidR="00994C7F" w:rsidRPr="00DA7CFC">
        <w:rPr>
          <w:rStyle w:val="FootnoteReference"/>
          <w:rFonts w:ascii="Arial" w:eastAsia="Calibri" w:hAnsi="Arial" w:cs="Arial"/>
          <w:sz w:val="24"/>
          <w:szCs w:val="24"/>
        </w:rPr>
        <w:footnoteReference w:id="24"/>
      </w:r>
      <w:r w:rsidR="00994C7F" w:rsidRPr="00A81732">
        <w:rPr>
          <w:rFonts w:ascii="Arial" w:eastAsia="Calibri" w:hAnsi="Arial" w:cs="Arial"/>
          <w:sz w:val="24"/>
          <w:szCs w:val="24"/>
        </w:rPr>
        <w:t xml:space="preserve"> including the Ministers of Health, Justice and the Attorney-General. There is no indication </w:t>
      </w:r>
      <w:r w:rsidR="008A44EA" w:rsidRPr="00A81732">
        <w:rPr>
          <w:rFonts w:ascii="Arial" w:eastAsia="Calibri" w:hAnsi="Arial" w:cs="Arial"/>
          <w:sz w:val="24"/>
          <w:szCs w:val="24"/>
        </w:rPr>
        <w:t xml:space="preserve">on the record </w:t>
      </w:r>
      <w:r w:rsidR="00994C7F" w:rsidRPr="00A81732">
        <w:rPr>
          <w:rFonts w:ascii="Arial" w:eastAsia="Calibri" w:hAnsi="Arial" w:cs="Arial"/>
          <w:sz w:val="24"/>
          <w:szCs w:val="24"/>
        </w:rPr>
        <w:t xml:space="preserve">that it was pointed out to the managing judge that Hollard could not garner the information it sought from such </w:t>
      </w:r>
      <w:r w:rsidR="00D36021" w:rsidRPr="00A81732">
        <w:rPr>
          <w:rFonts w:ascii="Arial" w:eastAsia="Calibri" w:hAnsi="Arial" w:cs="Arial"/>
          <w:sz w:val="24"/>
          <w:szCs w:val="24"/>
        </w:rPr>
        <w:t xml:space="preserve">alternative </w:t>
      </w:r>
      <w:r w:rsidR="00994C7F" w:rsidRPr="00A81732">
        <w:rPr>
          <w:rFonts w:ascii="Arial" w:eastAsia="Calibri" w:hAnsi="Arial" w:cs="Arial"/>
          <w:sz w:val="24"/>
          <w:szCs w:val="24"/>
        </w:rPr>
        <w:t xml:space="preserve">sources. If established to exist, statements by responsible government officials addressing </w:t>
      </w:r>
      <w:r w:rsidR="008A44EA" w:rsidRPr="00A81732">
        <w:rPr>
          <w:rFonts w:ascii="Arial" w:eastAsia="Calibri" w:hAnsi="Arial" w:cs="Arial"/>
          <w:sz w:val="24"/>
          <w:szCs w:val="24"/>
        </w:rPr>
        <w:t xml:space="preserve">issues </w:t>
      </w:r>
      <w:r w:rsidR="00994C7F" w:rsidRPr="00A81732">
        <w:rPr>
          <w:rFonts w:ascii="Arial" w:eastAsia="Calibri" w:hAnsi="Arial" w:cs="Arial"/>
          <w:sz w:val="24"/>
          <w:szCs w:val="24"/>
        </w:rPr>
        <w:t xml:space="preserve">raised </w:t>
      </w:r>
      <w:r w:rsidR="008A44EA" w:rsidRPr="00A81732">
        <w:rPr>
          <w:rFonts w:ascii="Arial" w:eastAsia="Calibri" w:hAnsi="Arial" w:cs="Arial"/>
          <w:sz w:val="24"/>
          <w:szCs w:val="24"/>
        </w:rPr>
        <w:t xml:space="preserve">on pleadings </w:t>
      </w:r>
      <w:r w:rsidR="00994C7F" w:rsidRPr="00A81732">
        <w:rPr>
          <w:rFonts w:ascii="Arial" w:eastAsia="Calibri" w:hAnsi="Arial" w:cs="Arial"/>
          <w:sz w:val="24"/>
          <w:szCs w:val="24"/>
        </w:rPr>
        <w:t>by litigants can be attributed in court proceedings to its author(s).</w:t>
      </w:r>
      <w:r w:rsidR="00994C7F" w:rsidRPr="00DA7CFC">
        <w:rPr>
          <w:rStyle w:val="FootnoteReference"/>
          <w:rFonts w:ascii="Arial" w:eastAsia="Calibri" w:hAnsi="Arial" w:cs="Arial"/>
          <w:sz w:val="24"/>
          <w:szCs w:val="24"/>
        </w:rPr>
        <w:footnoteReference w:id="25"/>
      </w:r>
      <w:r w:rsidR="00994C7F" w:rsidRPr="00A81732">
        <w:rPr>
          <w:rFonts w:ascii="Arial" w:eastAsia="Calibri" w:hAnsi="Arial" w:cs="Arial"/>
          <w:sz w:val="24"/>
          <w:szCs w:val="24"/>
        </w:rPr>
        <w:t xml:space="preserve"> </w:t>
      </w:r>
    </w:p>
    <w:p w14:paraId="3827885C" w14:textId="77777777" w:rsidR="00CD13BD" w:rsidRPr="00CD13BD" w:rsidRDefault="00CD13BD" w:rsidP="00CD13BD">
      <w:pPr>
        <w:rPr>
          <w:rFonts w:ascii="Arial" w:eastAsia="Calibri" w:hAnsi="Arial" w:cs="Arial"/>
          <w:sz w:val="24"/>
          <w:szCs w:val="24"/>
        </w:rPr>
      </w:pPr>
    </w:p>
    <w:p w14:paraId="43C15562" w14:textId="19F2AE50" w:rsidR="00590169"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[68]</w:t>
      </w:r>
      <w:r>
        <w:rPr>
          <w:rFonts w:ascii="Arial" w:eastAsia="Calibri" w:hAnsi="Arial" w:cs="Arial"/>
          <w:sz w:val="24"/>
          <w:szCs w:val="24"/>
        </w:rPr>
        <w:tab/>
      </w:r>
      <w:r w:rsidR="00851AA1" w:rsidRPr="00A81732">
        <w:rPr>
          <w:rFonts w:ascii="Arial" w:eastAsia="Calibri" w:hAnsi="Arial" w:cs="Arial"/>
          <w:sz w:val="24"/>
          <w:szCs w:val="24"/>
        </w:rPr>
        <w:t>Thus, w</w:t>
      </w:r>
      <w:r w:rsidR="00994C7F" w:rsidRPr="00A81732">
        <w:rPr>
          <w:rFonts w:ascii="Arial" w:eastAsia="Calibri" w:hAnsi="Arial" w:cs="Arial"/>
          <w:sz w:val="24"/>
          <w:szCs w:val="24"/>
        </w:rPr>
        <w:t>he</w:t>
      </w:r>
      <w:r w:rsidR="00851AA1" w:rsidRPr="00A81732">
        <w:rPr>
          <w:rFonts w:ascii="Arial" w:eastAsia="Calibri" w:hAnsi="Arial" w:cs="Arial"/>
          <w:sz w:val="24"/>
          <w:szCs w:val="24"/>
        </w:rPr>
        <w:t>re</w:t>
      </w:r>
      <w:r w:rsidR="00994C7F" w:rsidRPr="00A81732">
        <w:rPr>
          <w:rFonts w:ascii="Arial" w:eastAsia="Calibri" w:hAnsi="Arial" w:cs="Arial"/>
          <w:sz w:val="24"/>
          <w:szCs w:val="24"/>
        </w:rPr>
        <w:t xml:space="preserve"> potentially there </w:t>
      </w:r>
      <w:r w:rsidR="00FF4491" w:rsidRPr="00A81732">
        <w:rPr>
          <w:rFonts w:ascii="Arial" w:eastAsia="Calibri" w:hAnsi="Arial" w:cs="Arial"/>
          <w:sz w:val="24"/>
          <w:szCs w:val="24"/>
        </w:rPr>
        <w:t xml:space="preserve">is </w:t>
      </w:r>
      <w:r w:rsidR="00264B77" w:rsidRPr="00A81732">
        <w:rPr>
          <w:rFonts w:ascii="Arial" w:eastAsia="Calibri" w:hAnsi="Arial" w:cs="Arial"/>
          <w:sz w:val="24"/>
          <w:szCs w:val="24"/>
        </w:rPr>
        <w:t xml:space="preserve">available </w:t>
      </w:r>
      <w:r w:rsidR="00851AA1" w:rsidRPr="00A81732">
        <w:rPr>
          <w:rFonts w:ascii="Arial" w:eastAsia="Calibri" w:hAnsi="Arial" w:cs="Arial"/>
          <w:sz w:val="24"/>
          <w:szCs w:val="24"/>
        </w:rPr>
        <w:t xml:space="preserve">alternative admissible </w:t>
      </w:r>
      <w:r w:rsidR="00FF4491" w:rsidRPr="00A81732">
        <w:rPr>
          <w:rFonts w:ascii="Arial" w:eastAsia="Calibri" w:hAnsi="Arial" w:cs="Arial"/>
          <w:sz w:val="24"/>
          <w:szCs w:val="24"/>
        </w:rPr>
        <w:t xml:space="preserve">evidence (or </w:t>
      </w:r>
      <w:r w:rsidR="00994C7F" w:rsidRPr="00A81732">
        <w:rPr>
          <w:rFonts w:ascii="Arial" w:eastAsia="Calibri" w:hAnsi="Arial" w:cs="Arial"/>
          <w:sz w:val="24"/>
          <w:szCs w:val="24"/>
        </w:rPr>
        <w:t>sources of information</w:t>
      </w:r>
      <w:r w:rsidR="00300B26" w:rsidRPr="00A81732">
        <w:rPr>
          <w:rFonts w:ascii="Arial" w:eastAsia="Calibri" w:hAnsi="Arial" w:cs="Arial"/>
          <w:sz w:val="24"/>
          <w:szCs w:val="24"/>
        </w:rPr>
        <w:t>)</w:t>
      </w:r>
      <w:r w:rsidR="002370A6" w:rsidRPr="00A81732">
        <w:rPr>
          <w:rFonts w:ascii="Arial" w:eastAsia="Calibri" w:hAnsi="Arial" w:cs="Arial"/>
          <w:sz w:val="24"/>
          <w:szCs w:val="24"/>
        </w:rPr>
        <w:t xml:space="preserve"> </w:t>
      </w:r>
      <w:r w:rsidR="00AC7A0A" w:rsidRPr="00A81732">
        <w:rPr>
          <w:rFonts w:ascii="Arial" w:eastAsia="Calibri" w:hAnsi="Arial" w:cs="Arial"/>
          <w:sz w:val="24"/>
          <w:szCs w:val="24"/>
        </w:rPr>
        <w:t xml:space="preserve">a litigant should </w:t>
      </w:r>
      <w:r w:rsidR="002370A6" w:rsidRPr="00A81732">
        <w:rPr>
          <w:rFonts w:ascii="Arial" w:eastAsia="Calibri" w:hAnsi="Arial" w:cs="Arial"/>
          <w:sz w:val="24"/>
          <w:szCs w:val="24"/>
        </w:rPr>
        <w:t xml:space="preserve">only in the last resort </w:t>
      </w:r>
      <w:r w:rsidR="00994C7F" w:rsidRPr="00A81732">
        <w:rPr>
          <w:rFonts w:ascii="Arial" w:eastAsia="Calibri" w:hAnsi="Arial" w:cs="Arial"/>
          <w:sz w:val="24"/>
          <w:szCs w:val="24"/>
        </w:rPr>
        <w:t>seek disclosure of Cabinet documents and deliberations</w:t>
      </w:r>
      <w:r w:rsidR="002370A6" w:rsidRPr="00A81732">
        <w:rPr>
          <w:rFonts w:ascii="Arial" w:eastAsia="Calibri" w:hAnsi="Arial" w:cs="Arial"/>
          <w:sz w:val="24"/>
          <w:szCs w:val="24"/>
        </w:rPr>
        <w:t>.</w:t>
      </w:r>
      <w:r w:rsidR="00994C7F" w:rsidRPr="00A81732">
        <w:rPr>
          <w:rFonts w:ascii="Arial" w:eastAsia="Calibri" w:hAnsi="Arial" w:cs="Arial"/>
          <w:sz w:val="24"/>
          <w:szCs w:val="24"/>
        </w:rPr>
        <w:t xml:space="preserve"> </w:t>
      </w:r>
      <w:r w:rsidR="00300B26" w:rsidRPr="00A81732">
        <w:rPr>
          <w:rFonts w:ascii="Arial" w:eastAsia="Calibri" w:hAnsi="Arial" w:cs="Arial"/>
          <w:sz w:val="24"/>
          <w:szCs w:val="24"/>
        </w:rPr>
        <w:t>If it were otherwise</w:t>
      </w:r>
      <w:r w:rsidR="00AC7A0A" w:rsidRPr="00A81732">
        <w:rPr>
          <w:rFonts w:ascii="Arial" w:eastAsia="Calibri" w:hAnsi="Arial" w:cs="Arial"/>
          <w:sz w:val="24"/>
          <w:szCs w:val="24"/>
        </w:rPr>
        <w:t xml:space="preserve"> </w:t>
      </w:r>
      <w:r w:rsidR="00163EF5" w:rsidRPr="00A81732">
        <w:rPr>
          <w:rFonts w:ascii="Arial" w:eastAsia="Calibri" w:hAnsi="Arial" w:cs="Arial"/>
          <w:sz w:val="24"/>
          <w:szCs w:val="24"/>
        </w:rPr>
        <w:t xml:space="preserve">it </w:t>
      </w:r>
      <w:r w:rsidR="00994C7F" w:rsidRPr="00A81732">
        <w:rPr>
          <w:rFonts w:ascii="Arial" w:eastAsia="Calibri" w:hAnsi="Arial" w:cs="Arial"/>
          <w:sz w:val="24"/>
          <w:szCs w:val="24"/>
        </w:rPr>
        <w:t>can have deleterious consequences for our system of Cabinet government.</w:t>
      </w:r>
      <w:r w:rsidR="002370A6" w:rsidRPr="00A81732">
        <w:rPr>
          <w:rFonts w:ascii="Arial" w:eastAsia="Calibri" w:hAnsi="Arial" w:cs="Arial"/>
          <w:sz w:val="24"/>
          <w:szCs w:val="24"/>
        </w:rPr>
        <w:t xml:space="preserve"> The Cabinet occupies a central</w:t>
      </w:r>
      <w:r w:rsidR="00994C7F" w:rsidRPr="00A81732">
        <w:rPr>
          <w:rFonts w:ascii="Arial" w:eastAsia="Calibri" w:hAnsi="Arial" w:cs="Arial"/>
          <w:sz w:val="24"/>
          <w:szCs w:val="24"/>
        </w:rPr>
        <w:t xml:space="preserve"> role in our national affairs. As </w:t>
      </w:r>
      <w:r w:rsidR="00A42D44" w:rsidRPr="00A81732">
        <w:rPr>
          <w:rFonts w:ascii="Arial" w:eastAsia="Calibri" w:hAnsi="Arial" w:cs="Arial"/>
          <w:sz w:val="24"/>
          <w:szCs w:val="24"/>
        </w:rPr>
        <w:t>Art</w:t>
      </w:r>
      <w:r w:rsidR="00994C7F" w:rsidRPr="00A81732">
        <w:rPr>
          <w:rFonts w:ascii="Arial" w:eastAsia="Calibri" w:hAnsi="Arial" w:cs="Arial"/>
          <w:sz w:val="24"/>
          <w:szCs w:val="24"/>
        </w:rPr>
        <w:t xml:space="preserve"> </w:t>
      </w:r>
      <w:r w:rsidR="00D501D5" w:rsidRPr="00A81732">
        <w:rPr>
          <w:rFonts w:ascii="Arial" w:eastAsia="Calibri" w:hAnsi="Arial" w:cs="Arial"/>
          <w:sz w:val="24"/>
          <w:szCs w:val="24"/>
        </w:rPr>
        <w:t>40 of the Constitution provides</w:t>
      </w:r>
      <w:r w:rsidR="002D40CC" w:rsidRPr="00A81732">
        <w:rPr>
          <w:rFonts w:ascii="Arial" w:eastAsia="Calibri" w:hAnsi="Arial" w:cs="Arial"/>
          <w:sz w:val="24"/>
          <w:szCs w:val="24"/>
        </w:rPr>
        <w:t>,</w:t>
      </w:r>
      <w:r w:rsidR="00D501D5" w:rsidRPr="00A81732">
        <w:rPr>
          <w:rFonts w:ascii="Arial" w:eastAsia="Calibri" w:hAnsi="Arial" w:cs="Arial"/>
          <w:sz w:val="24"/>
          <w:szCs w:val="24"/>
        </w:rPr>
        <w:t xml:space="preserve"> its</w:t>
      </w:r>
      <w:r w:rsidR="00994C7F" w:rsidRPr="00A81732">
        <w:rPr>
          <w:rFonts w:ascii="Arial" w:eastAsia="Calibri" w:hAnsi="Arial" w:cs="Arial"/>
          <w:sz w:val="24"/>
          <w:szCs w:val="24"/>
        </w:rPr>
        <w:t xml:space="preserve"> work and responsibilities touch upon virtually all aspects of our lives as inhabitants. That </w:t>
      </w:r>
      <w:r w:rsidR="002370A6" w:rsidRPr="00A81732">
        <w:rPr>
          <w:rFonts w:ascii="Arial" w:eastAsia="Calibri" w:hAnsi="Arial" w:cs="Arial"/>
          <w:sz w:val="24"/>
          <w:szCs w:val="24"/>
        </w:rPr>
        <w:t>its members should perform that</w:t>
      </w:r>
      <w:r w:rsidR="00994C7F" w:rsidRPr="00A81732">
        <w:rPr>
          <w:rFonts w:ascii="Arial" w:eastAsia="Calibri" w:hAnsi="Arial" w:cs="Arial"/>
          <w:sz w:val="24"/>
          <w:szCs w:val="24"/>
        </w:rPr>
        <w:t xml:space="preserve"> task conscientiously, in confidence and through robust debate is the antithesis of what they say at that forum being opened up to the public</w:t>
      </w:r>
      <w:r w:rsidR="00AE0E5D" w:rsidRPr="00A81732">
        <w:rPr>
          <w:rFonts w:ascii="Arial" w:eastAsia="Calibri" w:hAnsi="Arial" w:cs="Arial"/>
          <w:sz w:val="24"/>
          <w:szCs w:val="24"/>
        </w:rPr>
        <w:t xml:space="preserve"> </w:t>
      </w:r>
      <w:r w:rsidR="00490ABA" w:rsidRPr="00A81732">
        <w:rPr>
          <w:rFonts w:ascii="Arial" w:eastAsia="Calibri" w:hAnsi="Arial" w:cs="Arial"/>
          <w:sz w:val="24"/>
          <w:szCs w:val="24"/>
        </w:rPr>
        <w:t>for the asking.</w:t>
      </w:r>
    </w:p>
    <w:p w14:paraId="3F2CF665" w14:textId="77777777" w:rsidR="00E719F0" w:rsidRPr="00EB07BB" w:rsidRDefault="00E719F0" w:rsidP="00E719F0">
      <w:pPr>
        <w:pStyle w:val="ListParagraph"/>
        <w:shd w:val="clear" w:color="auto" w:fill="FFFFFF"/>
        <w:spacing w:after="0" w:line="480" w:lineRule="auto"/>
        <w:ind w:left="0"/>
        <w:jc w:val="both"/>
        <w:rPr>
          <w:rFonts w:ascii="Arial" w:eastAsia="Calibri" w:hAnsi="Arial" w:cs="Arial"/>
          <w:sz w:val="24"/>
          <w:szCs w:val="24"/>
        </w:rPr>
      </w:pPr>
    </w:p>
    <w:p w14:paraId="5EA89501" w14:textId="77777777" w:rsidR="00994C7F" w:rsidRPr="00DA7CFC" w:rsidRDefault="00994C7F" w:rsidP="00994C7F">
      <w:pPr>
        <w:spacing w:line="480" w:lineRule="auto"/>
        <w:jc w:val="both"/>
        <w:rPr>
          <w:rFonts w:ascii="Arial" w:eastAsia="Calibri" w:hAnsi="Arial" w:cs="Arial"/>
          <w:sz w:val="24"/>
          <w:szCs w:val="24"/>
          <w:u w:val="single"/>
        </w:rPr>
      </w:pPr>
      <w:r w:rsidRPr="00DA7CFC">
        <w:rPr>
          <w:rFonts w:ascii="Arial" w:eastAsia="Calibri" w:hAnsi="Arial" w:cs="Arial"/>
          <w:sz w:val="24"/>
          <w:szCs w:val="24"/>
          <w:u w:val="single"/>
        </w:rPr>
        <w:t>Conclusion</w:t>
      </w:r>
    </w:p>
    <w:p w14:paraId="046931FE" w14:textId="498AECE8" w:rsidR="00994C7F" w:rsidRPr="00A81732" w:rsidRDefault="00A81732" w:rsidP="00A81732">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[69]</w:t>
      </w:r>
      <w:r>
        <w:rPr>
          <w:rFonts w:ascii="Arial" w:eastAsia="Calibri" w:hAnsi="Arial" w:cs="Arial"/>
          <w:sz w:val="24"/>
          <w:szCs w:val="24"/>
        </w:rPr>
        <w:tab/>
      </w:r>
      <w:r w:rsidR="00994C7F" w:rsidRPr="00A81732">
        <w:rPr>
          <w:rFonts w:ascii="Arial" w:eastAsia="Calibri" w:hAnsi="Arial" w:cs="Arial"/>
          <w:sz w:val="24"/>
          <w:szCs w:val="24"/>
        </w:rPr>
        <w:t>The conclusion I come to is that the High Court erred in departing from the well-established procedure for the conduct of motion proceedings without th</w:t>
      </w:r>
      <w:r w:rsidR="00D6282A" w:rsidRPr="00A81732">
        <w:rPr>
          <w:rFonts w:ascii="Arial" w:eastAsia="Calibri" w:hAnsi="Arial" w:cs="Arial"/>
          <w:sz w:val="24"/>
          <w:szCs w:val="24"/>
        </w:rPr>
        <w:t>at procedure</w:t>
      </w:r>
      <w:r w:rsidR="00994C7F" w:rsidRPr="00A81732">
        <w:rPr>
          <w:rFonts w:ascii="Arial" w:eastAsia="Calibri" w:hAnsi="Arial" w:cs="Arial"/>
          <w:sz w:val="24"/>
          <w:szCs w:val="24"/>
        </w:rPr>
        <w:t xml:space="preserve"> being challenged</w:t>
      </w:r>
      <w:r w:rsidR="00FF4491" w:rsidRPr="00A81732">
        <w:rPr>
          <w:rFonts w:ascii="Arial" w:eastAsia="Calibri" w:hAnsi="Arial" w:cs="Arial"/>
          <w:sz w:val="24"/>
          <w:szCs w:val="24"/>
        </w:rPr>
        <w:t>.</w:t>
      </w:r>
      <w:r w:rsidR="00994C7F" w:rsidRPr="00A81732">
        <w:rPr>
          <w:rFonts w:ascii="Arial" w:eastAsia="Calibri" w:hAnsi="Arial" w:cs="Arial"/>
          <w:sz w:val="24"/>
          <w:szCs w:val="24"/>
        </w:rPr>
        <w:t xml:space="preserve"> </w:t>
      </w:r>
      <w:r w:rsidR="00FF4491" w:rsidRPr="00A81732">
        <w:rPr>
          <w:rFonts w:ascii="Arial" w:eastAsia="Calibri" w:hAnsi="Arial" w:cs="Arial"/>
          <w:sz w:val="24"/>
          <w:szCs w:val="24"/>
        </w:rPr>
        <w:t xml:space="preserve">When the subpoenas </w:t>
      </w:r>
      <w:r w:rsidR="00FF4491" w:rsidRPr="00A81732">
        <w:rPr>
          <w:rFonts w:ascii="Arial" w:eastAsia="Calibri" w:hAnsi="Arial" w:cs="Arial"/>
          <w:i/>
          <w:sz w:val="24"/>
          <w:szCs w:val="24"/>
        </w:rPr>
        <w:t>duces tecum</w:t>
      </w:r>
      <w:r w:rsidR="00FF4491" w:rsidRPr="00A81732">
        <w:rPr>
          <w:rFonts w:ascii="Arial" w:eastAsia="Calibri" w:hAnsi="Arial" w:cs="Arial"/>
          <w:sz w:val="24"/>
          <w:szCs w:val="24"/>
        </w:rPr>
        <w:t xml:space="preserve"> were </w:t>
      </w:r>
      <w:r w:rsidR="00FF4491" w:rsidRPr="00A81732">
        <w:rPr>
          <w:rFonts w:ascii="Arial" w:eastAsia="Times New Roman" w:hAnsi="Arial" w:cs="Arial"/>
          <w:sz w:val="24"/>
          <w:szCs w:val="24"/>
          <w:lang w:val="en-ZA" w:eastAsia="en-ZA"/>
        </w:rPr>
        <w:t>sought and authorised, Hollard had not yet filed its answering affidavit.</w:t>
      </w:r>
      <w:r w:rsidR="00994C7F" w:rsidRPr="00A81732">
        <w:rPr>
          <w:rFonts w:ascii="Arial" w:eastAsia="Calibri" w:hAnsi="Arial" w:cs="Arial"/>
          <w:sz w:val="24"/>
          <w:szCs w:val="24"/>
        </w:rPr>
        <w:t xml:space="preserve"> Hollard was </w:t>
      </w:r>
      <w:r w:rsidR="00FF4491" w:rsidRPr="00A81732">
        <w:rPr>
          <w:rFonts w:ascii="Arial" w:eastAsia="Calibri" w:hAnsi="Arial" w:cs="Arial"/>
          <w:sz w:val="24"/>
          <w:szCs w:val="24"/>
        </w:rPr>
        <w:t xml:space="preserve">therefore </w:t>
      </w:r>
      <w:r w:rsidR="00994C7F" w:rsidRPr="00A81732">
        <w:rPr>
          <w:rFonts w:ascii="Arial" w:eastAsia="Calibri" w:hAnsi="Arial" w:cs="Arial"/>
          <w:sz w:val="24"/>
          <w:szCs w:val="24"/>
        </w:rPr>
        <w:t xml:space="preserve">not entitled to </w:t>
      </w:r>
      <w:r w:rsidR="00994C7F" w:rsidRPr="00A81732">
        <w:rPr>
          <w:rFonts w:ascii="Arial" w:eastAsia="Calibri" w:hAnsi="Arial" w:cs="Arial"/>
          <w:sz w:val="24"/>
          <w:szCs w:val="24"/>
        </w:rPr>
        <w:lastRenderedPageBreak/>
        <w:t xml:space="preserve">demand discovery </w:t>
      </w:r>
      <w:r w:rsidR="001E693A" w:rsidRPr="00A81732">
        <w:rPr>
          <w:rFonts w:ascii="Arial" w:eastAsia="Calibri" w:hAnsi="Arial" w:cs="Arial"/>
          <w:sz w:val="24"/>
          <w:szCs w:val="24"/>
        </w:rPr>
        <w:t>a</w:t>
      </w:r>
      <w:r w:rsidR="00E719F0" w:rsidRPr="00A81732">
        <w:rPr>
          <w:rFonts w:ascii="Arial" w:eastAsia="Calibri" w:hAnsi="Arial" w:cs="Arial"/>
          <w:sz w:val="24"/>
          <w:szCs w:val="24"/>
        </w:rPr>
        <w:t>n</w:t>
      </w:r>
      <w:r w:rsidR="001E693A" w:rsidRPr="00A81732">
        <w:rPr>
          <w:rFonts w:ascii="Arial" w:eastAsia="Calibri" w:hAnsi="Arial" w:cs="Arial"/>
          <w:sz w:val="24"/>
          <w:szCs w:val="24"/>
        </w:rPr>
        <w:t xml:space="preserve">d subpoena </w:t>
      </w:r>
      <w:r w:rsidR="001E693A" w:rsidRPr="00A81732">
        <w:rPr>
          <w:rFonts w:ascii="Arial" w:eastAsia="Calibri" w:hAnsi="Arial" w:cs="Arial"/>
          <w:i/>
          <w:sz w:val="24"/>
          <w:szCs w:val="24"/>
        </w:rPr>
        <w:t>duces tecum</w:t>
      </w:r>
      <w:r w:rsidR="001E693A" w:rsidRPr="00A81732">
        <w:rPr>
          <w:rFonts w:ascii="Arial" w:eastAsia="Calibri" w:hAnsi="Arial" w:cs="Arial"/>
          <w:sz w:val="24"/>
          <w:szCs w:val="24"/>
        </w:rPr>
        <w:t xml:space="preserve"> </w:t>
      </w:r>
      <w:r w:rsidR="00994C7F" w:rsidRPr="00A81732">
        <w:rPr>
          <w:rFonts w:ascii="Arial" w:eastAsia="Calibri" w:hAnsi="Arial" w:cs="Arial"/>
          <w:sz w:val="24"/>
          <w:szCs w:val="24"/>
        </w:rPr>
        <w:t xml:space="preserve">before it had filed its answering affidavit and before pleadings closed and a triable dispute of </w:t>
      </w:r>
      <w:r w:rsidR="00CD13BD" w:rsidRPr="00A81732">
        <w:rPr>
          <w:rFonts w:ascii="Arial" w:eastAsia="Calibri" w:hAnsi="Arial" w:cs="Arial"/>
          <w:sz w:val="24"/>
          <w:szCs w:val="24"/>
        </w:rPr>
        <w:t>fact had arisen.</w:t>
      </w:r>
    </w:p>
    <w:p w14:paraId="7837344C" w14:textId="77777777" w:rsidR="00CD13BD" w:rsidRPr="00DA7CFC" w:rsidRDefault="00CD13BD" w:rsidP="00CD13BD">
      <w:pPr>
        <w:pStyle w:val="ListParagraph"/>
        <w:shd w:val="clear" w:color="auto" w:fill="FFFFFF"/>
        <w:spacing w:after="0" w:line="480" w:lineRule="auto"/>
        <w:ind w:left="0"/>
        <w:jc w:val="both"/>
        <w:rPr>
          <w:rFonts w:ascii="Arial" w:eastAsia="Calibri" w:hAnsi="Arial" w:cs="Arial"/>
          <w:sz w:val="24"/>
          <w:szCs w:val="24"/>
        </w:rPr>
      </w:pPr>
    </w:p>
    <w:p w14:paraId="4039F081" w14:textId="48F35F60" w:rsidR="00A069E6"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[70]</w:t>
      </w:r>
      <w:r w:rsidRPr="00DA7CFC">
        <w:rPr>
          <w:rFonts w:ascii="Arial" w:eastAsia="Times New Roman" w:hAnsi="Arial" w:cs="Arial"/>
          <w:sz w:val="24"/>
          <w:szCs w:val="24"/>
          <w:lang w:val="en-ZA" w:eastAsia="en-ZA"/>
        </w:rPr>
        <w:tab/>
      </w:r>
      <w:r w:rsidR="00A069E6" w:rsidRPr="00A81732">
        <w:rPr>
          <w:rFonts w:ascii="Arial" w:eastAsia="Times New Roman" w:hAnsi="Arial" w:cs="Arial"/>
          <w:sz w:val="24"/>
          <w:szCs w:val="24"/>
          <w:lang w:val="en-ZA" w:eastAsia="en-ZA"/>
        </w:rPr>
        <w:t xml:space="preserve">Although repeated reference is made in </w:t>
      </w:r>
      <w:r w:rsidR="001E693A" w:rsidRPr="00A81732">
        <w:rPr>
          <w:rFonts w:ascii="Arial" w:eastAsia="Times New Roman" w:hAnsi="Arial" w:cs="Arial"/>
          <w:sz w:val="24"/>
          <w:szCs w:val="24"/>
          <w:lang w:val="en-ZA" w:eastAsia="en-ZA"/>
        </w:rPr>
        <w:t>Hollard’s</w:t>
      </w:r>
      <w:r w:rsidR="00A069E6" w:rsidRPr="00A81732">
        <w:rPr>
          <w:rFonts w:ascii="Arial" w:eastAsia="Times New Roman" w:hAnsi="Arial" w:cs="Arial"/>
          <w:sz w:val="24"/>
          <w:szCs w:val="24"/>
          <w:lang w:val="en-ZA" w:eastAsia="en-ZA"/>
        </w:rPr>
        <w:t xml:space="preserve"> interlocutory application to disputes of fact that Gondwana should have foreseen, that remains academic until all the pleadings (answer and reply) had been filed. If no genuine disputes of fact arise after the close of pleadings, the application brought by Gondwana stands to be adjudicated on the trite discipline applicable to motion proceedings.</w:t>
      </w:r>
      <w:r w:rsidR="00A069E6" w:rsidRPr="00DA7CFC">
        <w:rPr>
          <w:rStyle w:val="FootnoteReference"/>
          <w:rFonts w:ascii="Arial" w:eastAsia="Times New Roman" w:hAnsi="Arial" w:cs="Arial"/>
          <w:sz w:val="24"/>
          <w:szCs w:val="24"/>
          <w:lang w:val="en-ZA" w:eastAsia="en-ZA"/>
        </w:rPr>
        <w:footnoteReference w:id="26"/>
      </w:r>
      <w:r w:rsidR="00A069E6" w:rsidRPr="00A81732">
        <w:rPr>
          <w:rFonts w:ascii="Arial" w:eastAsia="Times New Roman" w:hAnsi="Arial" w:cs="Arial"/>
          <w:sz w:val="24"/>
          <w:szCs w:val="24"/>
          <w:lang w:val="en-ZA" w:eastAsia="en-ZA"/>
        </w:rPr>
        <w:t xml:space="preserve"> There would then be no need for the production of documents under subpoena </w:t>
      </w:r>
      <w:r w:rsidR="00A069E6" w:rsidRPr="00A81732">
        <w:rPr>
          <w:rFonts w:ascii="Arial" w:eastAsia="Times New Roman" w:hAnsi="Arial" w:cs="Arial"/>
          <w:i/>
          <w:sz w:val="24"/>
          <w:szCs w:val="24"/>
          <w:lang w:val="en-ZA" w:eastAsia="en-ZA"/>
        </w:rPr>
        <w:t>duces tecum.</w:t>
      </w:r>
    </w:p>
    <w:p w14:paraId="09CC67C6" w14:textId="77777777" w:rsidR="00A069E6" w:rsidRPr="00DA7CFC" w:rsidRDefault="00A069E6" w:rsidP="00A069E6">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4DCE4C1" w14:textId="05FA3B9F" w:rsidR="00F91417"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[71]</w:t>
      </w:r>
      <w:r w:rsidRPr="00DA7CFC">
        <w:rPr>
          <w:rFonts w:ascii="Arial" w:eastAsia="Times New Roman" w:hAnsi="Arial" w:cs="Arial"/>
          <w:sz w:val="24"/>
          <w:szCs w:val="24"/>
          <w:lang w:val="en-ZA" w:eastAsia="en-ZA"/>
        </w:rPr>
        <w:tab/>
      </w:r>
      <w:r w:rsidR="008F014E" w:rsidRPr="00A81732">
        <w:rPr>
          <w:rFonts w:ascii="Arial" w:eastAsia="Calibri" w:hAnsi="Arial" w:cs="Arial"/>
          <w:sz w:val="24"/>
          <w:szCs w:val="24"/>
        </w:rPr>
        <w:t xml:space="preserve">Without statutory intervention, </w:t>
      </w:r>
      <w:r w:rsidR="00A069E6" w:rsidRPr="00A81732">
        <w:rPr>
          <w:rFonts w:ascii="Arial" w:eastAsia="Calibri" w:hAnsi="Arial" w:cs="Arial"/>
          <w:sz w:val="24"/>
          <w:szCs w:val="24"/>
        </w:rPr>
        <w:t>I am not prepared to sanction the extra-ordinary</w:t>
      </w:r>
      <w:r w:rsidR="00A069E6" w:rsidRPr="00A81732">
        <w:rPr>
          <w:rFonts w:ascii="Arial" w:eastAsia="Times New Roman" w:hAnsi="Arial" w:cs="Arial"/>
          <w:sz w:val="24"/>
          <w:szCs w:val="24"/>
          <w:lang w:val="en-ZA" w:eastAsia="en-ZA"/>
        </w:rPr>
        <w:t xml:space="preserve"> procedure adopted by Hollard in the present case: A procedure which asserts a procedural right in motion proceedings to suspend the fi</w:t>
      </w:r>
      <w:r w:rsidR="00171B7E" w:rsidRPr="00A81732">
        <w:rPr>
          <w:rFonts w:ascii="Arial" w:eastAsia="Times New Roman" w:hAnsi="Arial" w:cs="Arial"/>
          <w:sz w:val="24"/>
          <w:szCs w:val="24"/>
          <w:lang w:val="en-ZA" w:eastAsia="en-ZA"/>
        </w:rPr>
        <w:t xml:space="preserve">ling of an answering affidavit; </w:t>
      </w:r>
      <w:r w:rsidR="00A069E6" w:rsidRPr="00A81732">
        <w:rPr>
          <w:rFonts w:ascii="Arial" w:eastAsia="Times New Roman" w:hAnsi="Arial" w:cs="Arial"/>
          <w:sz w:val="24"/>
          <w:szCs w:val="24"/>
          <w:lang w:val="en-ZA" w:eastAsia="en-ZA"/>
        </w:rPr>
        <w:t xml:space="preserve">demand the production of documents under </w:t>
      </w:r>
      <w:r w:rsidR="00A069E6" w:rsidRPr="00A81732">
        <w:rPr>
          <w:rFonts w:ascii="Arial" w:eastAsia="Times New Roman" w:hAnsi="Arial" w:cs="Arial"/>
          <w:i/>
          <w:sz w:val="24"/>
          <w:szCs w:val="24"/>
          <w:lang w:val="en-ZA" w:eastAsia="en-ZA"/>
        </w:rPr>
        <w:t>subpoena</w:t>
      </w:r>
      <w:r w:rsidR="00171B7E" w:rsidRPr="00A81732">
        <w:rPr>
          <w:rFonts w:ascii="Arial" w:eastAsia="Times New Roman" w:hAnsi="Arial" w:cs="Arial"/>
          <w:sz w:val="24"/>
          <w:szCs w:val="24"/>
          <w:lang w:val="en-ZA" w:eastAsia="en-ZA"/>
        </w:rPr>
        <w:t xml:space="preserve">; </w:t>
      </w:r>
      <w:r w:rsidR="00A069E6" w:rsidRPr="00A81732">
        <w:rPr>
          <w:rFonts w:ascii="Arial" w:eastAsia="Times New Roman" w:hAnsi="Arial" w:cs="Arial"/>
          <w:sz w:val="24"/>
          <w:szCs w:val="24"/>
          <w:lang w:val="en-ZA" w:eastAsia="en-ZA"/>
        </w:rPr>
        <w:t xml:space="preserve">first cross-examine a deponent to an affidavit in the applicant’s founding papers and then only file an answering affidavit. </w:t>
      </w:r>
      <w:r w:rsidR="0099572B" w:rsidRPr="00A81732">
        <w:rPr>
          <w:rFonts w:ascii="Arial" w:eastAsia="Times New Roman" w:hAnsi="Arial" w:cs="Arial"/>
          <w:sz w:val="24"/>
          <w:szCs w:val="24"/>
          <w:lang w:val="en-ZA" w:eastAsia="en-ZA"/>
        </w:rPr>
        <w:t xml:space="preserve">By allowing </w:t>
      </w:r>
      <w:r w:rsidR="00D6282A" w:rsidRPr="00A81732">
        <w:rPr>
          <w:rFonts w:ascii="Arial" w:eastAsia="Times New Roman" w:hAnsi="Arial" w:cs="Arial"/>
          <w:sz w:val="24"/>
          <w:szCs w:val="24"/>
          <w:lang w:val="en-ZA" w:eastAsia="en-ZA"/>
        </w:rPr>
        <w:t>that procedure</w:t>
      </w:r>
      <w:r w:rsidR="0099572B" w:rsidRPr="00A81732">
        <w:rPr>
          <w:rFonts w:ascii="Arial" w:eastAsia="Times New Roman" w:hAnsi="Arial" w:cs="Arial"/>
          <w:sz w:val="24"/>
          <w:szCs w:val="24"/>
          <w:lang w:val="en-ZA" w:eastAsia="en-ZA"/>
        </w:rPr>
        <w:t xml:space="preserve"> the court </w:t>
      </w:r>
      <w:r w:rsidR="0099572B" w:rsidRPr="00A81732">
        <w:rPr>
          <w:rFonts w:ascii="Arial" w:eastAsia="Times New Roman" w:hAnsi="Arial" w:cs="Arial"/>
          <w:i/>
          <w:sz w:val="24"/>
          <w:szCs w:val="24"/>
          <w:lang w:val="en-ZA" w:eastAsia="en-ZA"/>
        </w:rPr>
        <w:t>a quo</w:t>
      </w:r>
      <w:r w:rsidR="0099572B" w:rsidRPr="00A81732">
        <w:rPr>
          <w:rFonts w:ascii="Arial" w:eastAsia="Times New Roman" w:hAnsi="Arial" w:cs="Arial"/>
          <w:sz w:val="24"/>
          <w:szCs w:val="24"/>
          <w:lang w:val="en-ZA" w:eastAsia="en-ZA"/>
        </w:rPr>
        <w:t xml:space="preserve"> has created a parallel system of civil procedure. </w:t>
      </w:r>
    </w:p>
    <w:p w14:paraId="34C9D8F9" w14:textId="77777777" w:rsidR="00A069E6" w:rsidRPr="00DA7CFC" w:rsidRDefault="00A069E6" w:rsidP="00A069E6">
      <w:pPr>
        <w:pStyle w:val="ListParagraph"/>
        <w:rPr>
          <w:rFonts w:ascii="Arial" w:eastAsia="Times New Roman" w:hAnsi="Arial" w:cs="Arial"/>
          <w:sz w:val="24"/>
          <w:szCs w:val="24"/>
          <w:lang w:val="en-ZA" w:eastAsia="en-ZA"/>
        </w:rPr>
      </w:pPr>
    </w:p>
    <w:p w14:paraId="42CEC3B8" w14:textId="7D8F4669" w:rsidR="00DE2EE8"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AD209F">
        <w:rPr>
          <w:rFonts w:ascii="Arial" w:eastAsia="Times New Roman" w:hAnsi="Arial" w:cs="Arial"/>
          <w:sz w:val="24"/>
          <w:szCs w:val="24"/>
          <w:lang w:val="en-ZA" w:eastAsia="en-ZA"/>
        </w:rPr>
        <w:t>[72]</w:t>
      </w:r>
      <w:r w:rsidRPr="00AD209F">
        <w:rPr>
          <w:rFonts w:ascii="Arial" w:eastAsia="Times New Roman" w:hAnsi="Arial" w:cs="Arial"/>
          <w:sz w:val="24"/>
          <w:szCs w:val="24"/>
          <w:lang w:val="en-ZA" w:eastAsia="en-ZA"/>
        </w:rPr>
        <w:tab/>
      </w:r>
      <w:r w:rsidR="0077292E" w:rsidRPr="00A81732">
        <w:rPr>
          <w:rFonts w:ascii="Arial" w:eastAsia="Times New Roman" w:hAnsi="Arial" w:cs="Arial"/>
          <w:sz w:val="24"/>
          <w:szCs w:val="24"/>
          <w:lang w:val="en-ZA" w:eastAsia="en-ZA"/>
        </w:rPr>
        <w:t>For the same reason</w:t>
      </w:r>
      <w:r w:rsidR="00A069E6" w:rsidRPr="00A81732">
        <w:rPr>
          <w:rFonts w:ascii="Arial" w:eastAsia="Times New Roman" w:hAnsi="Arial" w:cs="Arial"/>
          <w:sz w:val="24"/>
          <w:szCs w:val="24"/>
          <w:lang w:val="en-ZA" w:eastAsia="en-ZA"/>
        </w:rPr>
        <w:t xml:space="preserve">, the </w:t>
      </w:r>
      <w:r w:rsidR="0077292E" w:rsidRPr="00A81732">
        <w:rPr>
          <w:rFonts w:ascii="Arial" w:eastAsia="Times New Roman" w:hAnsi="Arial" w:cs="Arial"/>
          <w:sz w:val="24"/>
          <w:szCs w:val="24"/>
          <w:lang w:val="en-ZA" w:eastAsia="en-ZA"/>
        </w:rPr>
        <w:t xml:space="preserve">view taken </w:t>
      </w:r>
      <w:r w:rsidR="00D6282A" w:rsidRPr="00A81732">
        <w:rPr>
          <w:rFonts w:ascii="Arial" w:eastAsia="Times New Roman" w:hAnsi="Arial" w:cs="Arial"/>
          <w:sz w:val="24"/>
          <w:szCs w:val="24"/>
          <w:lang w:val="en-ZA" w:eastAsia="en-ZA"/>
        </w:rPr>
        <w:t>by the High Court</w:t>
      </w:r>
      <w:r w:rsidR="00A069E6" w:rsidRPr="00A81732">
        <w:rPr>
          <w:rFonts w:ascii="Arial" w:eastAsia="Times New Roman" w:hAnsi="Arial" w:cs="Arial"/>
          <w:sz w:val="24"/>
          <w:szCs w:val="24"/>
          <w:lang w:val="en-ZA" w:eastAsia="en-ZA"/>
        </w:rPr>
        <w:t xml:space="preserve"> relying on </w:t>
      </w:r>
      <w:r w:rsidR="00A42D44" w:rsidRPr="00A81732">
        <w:rPr>
          <w:rFonts w:ascii="Arial" w:eastAsia="Times New Roman" w:hAnsi="Arial" w:cs="Arial"/>
          <w:sz w:val="24"/>
          <w:szCs w:val="24"/>
          <w:lang w:val="en-ZA" w:eastAsia="en-ZA"/>
        </w:rPr>
        <w:t>Art</w:t>
      </w:r>
      <w:r w:rsidR="00A069E6" w:rsidRPr="00A81732">
        <w:rPr>
          <w:rFonts w:ascii="Arial" w:eastAsia="Times New Roman" w:hAnsi="Arial" w:cs="Arial"/>
          <w:sz w:val="24"/>
          <w:szCs w:val="24"/>
          <w:lang w:val="en-ZA" w:eastAsia="en-ZA"/>
        </w:rPr>
        <w:t xml:space="preserve"> 12(1)(e) –</w:t>
      </w:r>
      <w:r w:rsidR="008B2736" w:rsidRPr="00A81732">
        <w:rPr>
          <w:rFonts w:ascii="Arial" w:eastAsia="Times New Roman" w:hAnsi="Arial" w:cs="Arial"/>
          <w:sz w:val="24"/>
          <w:szCs w:val="24"/>
          <w:lang w:val="en-ZA" w:eastAsia="en-ZA"/>
        </w:rPr>
        <w:t xml:space="preserve"> </w:t>
      </w:r>
      <w:r w:rsidR="00A069E6" w:rsidRPr="00A81732">
        <w:rPr>
          <w:rFonts w:ascii="Arial" w:eastAsia="Times New Roman" w:hAnsi="Arial" w:cs="Arial"/>
          <w:sz w:val="24"/>
          <w:szCs w:val="24"/>
          <w:lang w:val="en-ZA" w:eastAsia="en-ZA"/>
        </w:rPr>
        <w:t>that a prospective litigant has a right</w:t>
      </w:r>
      <w:r w:rsidR="00F91417" w:rsidRPr="00A81732">
        <w:rPr>
          <w:rFonts w:ascii="Arial" w:eastAsia="Times New Roman" w:hAnsi="Arial" w:cs="Arial"/>
          <w:sz w:val="24"/>
          <w:szCs w:val="24"/>
          <w:lang w:val="en-ZA" w:eastAsia="en-ZA"/>
        </w:rPr>
        <w:t xml:space="preserve"> to</w:t>
      </w:r>
      <w:r w:rsidR="00A069E6" w:rsidRPr="00A81732">
        <w:rPr>
          <w:rFonts w:ascii="Arial" w:eastAsia="Times New Roman" w:hAnsi="Arial" w:cs="Arial"/>
          <w:sz w:val="24"/>
          <w:szCs w:val="24"/>
          <w:lang w:val="en-ZA" w:eastAsia="en-ZA"/>
        </w:rPr>
        <w:t xml:space="preserve"> obtain evidence and documents (including from the Cabinet) for the purpose of instituting legal proceedings is stating the principle too widely. For </w:t>
      </w:r>
      <w:r w:rsidR="00FF4491" w:rsidRPr="00A81732">
        <w:rPr>
          <w:rFonts w:ascii="Arial" w:eastAsia="Times New Roman" w:hAnsi="Arial" w:cs="Arial"/>
          <w:sz w:val="24"/>
          <w:szCs w:val="24"/>
          <w:lang w:val="en-ZA" w:eastAsia="en-ZA"/>
        </w:rPr>
        <w:t xml:space="preserve">present purposes, </w:t>
      </w:r>
      <w:r w:rsidR="00A069E6" w:rsidRPr="00A81732">
        <w:rPr>
          <w:rFonts w:ascii="Arial" w:eastAsia="Times New Roman" w:hAnsi="Arial" w:cs="Arial"/>
          <w:sz w:val="24"/>
          <w:szCs w:val="24"/>
          <w:lang w:val="en-ZA" w:eastAsia="en-ZA"/>
        </w:rPr>
        <w:t xml:space="preserve">I will confine </w:t>
      </w:r>
      <w:r w:rsidR="008F0398" w:rsidRPr="00A81732">
        <w:rPr>
          <w:rFonts w:ascii="Arial" w:eastAsia="Times New Roman" w:hAnsi="Arial" w:cs="Arial"/>
          <w:sz w:val="24"/>
          <w:szCs w:val="24"/>
          <w:lang w:val="en-ZA" w:eastAsia="en-ZA"/>
        </w:rPr>
        <w:t xml:space="preserve">that </w:t>
      </w:r>
      <w:r w:rsidR="00FF4491" w:rsidRPr="00A81732">
        <w:rPr>
          <w:rFonts w:ascii="Arial" w:eastAsia="Times New Roman" w:hAnsi="Arial" w:cs="Arial"/>
          <w:sz w:val="24"/>
          <w:szCs w:val="24"/>
          <w:lang w:val="en-ZA" w:eastAsia="en-ZA"/>
        </w:rPr>
        <w:t xml:space="preserve">exceptional </w:t>
      </w:r>
      <w:r w:rsidR="008F0398" w:rsidRPr="00A81732">
        <w:rPr>
          <w:rFonts w:ascii="Arial" w:eastAsia="Times New Roman" w:hAnsi="Arial" w:cs="Arial"/>
          <w:sz w:val="24"/>
          <w:szCs w:val="24"/>
          <w:lang w:val="en-ZA" w:eastAsia="en-ZA"/>
        </w:rPr>
        <w:t>remedy to the</w:t>
      </w:r>
      <w:r w:rsidR="00552235" w:rsidRPr="00A81732">
        <w:rPr>
          <w:rFonts w:ascii="Arial" w:eastAsia="Times New Roman" w:hAnsi="Arial" w:cs="Arial"/>
          <w:sz w:val="24"/>
          <w:szCs w:val="24"/>
          <w:lang w:val="en-ZA" w:eastAsia="en-ZA"/>
        </w:rPr>
        <w:t xml:space="preserve"> </w:t>
      </w:r>
      <w:r w:rsidR="00FF4491" w:rsidRPr="00A81732">
        <w:rPr>
          <w:rFonts w:ascii="Arial" w:eastAsia="Times New Roman" w:hAnsi="Arial" w:cs="Arial"/>
          <w:sz w:val="24"/>
          <w:szCs w:val="24"/>
          <w:lang w:val="en-ZA" w:eastAsia="en-ZA"/>
        </w:rPr>
        <w:t xml:space="preserve">kind of situation </w:t>
      </w:r>
      <w:r w:rsidR="008F0398" w:rsidRPr="00A81732">
        <w:rPr>
          <w:rFonts w:ascii="Arial" w:eastAsia="Times New Roman" w:hAnsi="Arial" w:cs="Arial"/>
          <w:sz w:val="24"/>
          <w:szCs w:val="24"/>
          <w:lang w:val="en-ZA" w:eastAsia="en-ZA"/>
        </w:rPr>
        <w:t xml:space="preserve">already recognised under common law. </w:t>
      </w:r>
    </w:p>
    <w:p w14:paraId="0362C7E6" w14:textId="03566E07" w:rsidR="00AC7A0A"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lastRenderedPageBreak/>
        <w:t>[73]</w:t>
      </w:r>
      <w:r w:rsidRPr="00DA7CFC">
        <w:rPr>
          <w:rFonts w:ascii="Arial" w:eastAsia="Times New Roman" w:hAnsi="Arial" w:cs="Arial"/>
          <w:sz w:val="24"/>
          <w:szCs w:val="24"/>
          <w:lang w:val="en-ZA" w:eastAsia="en-ZA"/>
        </w:rPr>
        <w:tab/>
      </w:r>
      <w:r w:rsidR="00AC7A0A" w:rsidRPr="00A81732">
        <w:rPr>
          <w:rFonts w:ascii="Arial" w:eastAsia="Calibri" w:hAnsi="Arial" w:cs="Arial"/>
          <w:sz w:val="24"/>
          <w:szCs w:val="24"/>
        </w:rPr>
        <w:t xml:space="preserve">The appeal must therefore succeed and the subpoenas </w:t>
      </w:r>
      <w:r w:rsidR="00AC7A0A" w:rsidRPr="00A81732">
        <w:rPr>
          <w:rFonts w:ascii="Arial" w:eastAsia="Calibri" w:hAnsi="Arial" w:cs="Arial"/>
          <w:i/>
          <w:sz w:val="24"/>
          <w:szCs w:val="24"/>
        </w:rPr>
        <w:t>duces tecum</w:t>
      </w:r>
      <w:r w:rsidR="00AC7A0A" w:rsidRPr="00A81732">
        <w:rPr>
          <w:rFonts w:ascii="Arial" w:eastAsia="Calibri" w:hAnsi="Arial" w:cs="Arial"/>
          <w:sz w:val="24"/>
          <w:szCs w:val="24"/>
        </w:rPr>
        <w:t xml:space="preserve"> issued against both the A-G and the Cabinet Secretary </w:t>
      </w:r>
      <w:r w:rsidR="00FB2182" w:rsidRPr="00A81732">
        <w:rPr>
          <w:rFonts w:ascii="Arial" w:eastAsia="Calibri" w:hAnsi="Arial" w:cs="Arial"/>
          <w:sz w:val="24"/>
          <w:szCs w:val="24"/>
        </w:rPr>
        <w:t xml:space="preserve">should </w:t>
      </w:r>
      <w:r w:rsidR="00AC7A0A" w:rsidRPr="00A81732">
        <w:rPr>
          <w:rFonts w:ascii="Arial" w:eastAsia="Calibri" w:hAnsi="Arial" w:cs="Arial"/>
          <w:sz w:val="24"/>
          <w:szCs w:val="24"/>
        </w:rPr>
        <w:t>be set aside.</w:t>
      </w:r>
    </w:p>
    <w:p w14:paraId="686E89B1" w14:textId="77777777" w:rsidR="0077292E" w:rsidRPr="00DA7CFC" w:rsidRDefault="0077292E" w:rsidP="00A069E6">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p>
    <w:p w14:paraId="56F88DA3" w14:textId="67CBDAAE" w:rsidR="008F0398" w:rsidRPr="00DA7CFC" w:rsidRDefault="00061D63" w:rsidP="00A069E6">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DA7CFC">
        <w:rPr>
          <w:rFonts w:ascii="Arial" w:eastAsia="Times New Roman" w:hAnsi="Arial" w:cs="Arial"/>
          <w:sz w:val="24"/>
          <w:szCs w:val="24"/>
          <w:u w:val="single"/>
          <w:lang w:val="en-ZA" w:eastAsia="en-ZA"/>
        </w:rPr>
        <w:t>Order</w:t>
      </w:r>
      <w:r w:rsidR="003D06DE" w:rsidRPr="00DA7CFC">
        <w:rPr>
          <w:rFonts w:ascii="Arial" w:eastAsia="Times New Roman" w:hAnsi="Arial" w:cs="Arial"/>
          <w:sz w:val="24"/>
          <w:szCs w:val="24"/>
          <w:u w:val="single"/>
          <w:lang w:val="en-ZA" w:eastAsia="en-ZA"/>
        </w:rPr>
        <w:t xml:space="preserve"> </w:t>
      </w:r>
    </w:p>
    <w:p w14:paraId="3D8C3B92" w14:textId="5C33542A" w:rsidR="00ED3DF6"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[74]</w:t>
      </w:r>
      <w:r>
        <w:rPr>
          <w:rFonts w:ascii="Arial" w:eastAsia="Times New Roman" w:hAnsi="Arial" w:cs="Arial"/>
          <w:sz w:val="24"/>
          <w:szCs w:val="24"/>
          <w:lang w:val="en-ZA" w:eastAsia="en-ZA"/>
        </w:rPr>
        <w:tab/>
      </w:r>
      <w:r w:rsidR="008F0398" w:rsidRPr="00A81732">
        <w:rPr>
          <w:rFonts w:ascii="Arial" w:eastAsia="Times New Roman" w:hAnsi="Arial" w:cs="Arial"/>
          <w:sz w:val="24"/>
          <w:szCs w:val="24"/>
          <w:lang w:val="en-ZA" w:eastAsia="en-ZA"/>
        </w:rPr>
        <w:t>In the result, I make the following order:</w:t>
      </w:r>
    </w:p>
    <w:p w14:paraId="69923CBC" w14:textId="77777777" w:rsidR="00BE4CBE" w:rsidRPr="00DA7CFC" w:rsidRDefault="00BE4CBE" w:rsidP="00BE4CB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A30EA90" w14:textId="2BB5996D" w:rsidR="00BE4CBE" w:rsidRPr="00A81732" w:rsidRDefault="00A81732" w:rsidP="00A81732">
      <w:pPr>
        <w:shd w:val="clear" w:color="auto" w:fill="FFFFFF"/>
        <w:spacing w:after="0" w:line="480" w:lineRule="auto"/>
        <w:ind w:left="1080" w:hanging="360"/>
        <w:jc w:val="both"/>
        <w:rPr>
          <w:rFonts w:ascii="Arial" w:eastAsia="Times New Roman" w:hAnsi="Arial" w:cs="Arial"/>
          <w:sz w:val="24"/>
          <w:szCs w:val="24"/>
          <w:lang w:val="en-ZA" w:eastAsia="en-ZA"/>
        </w:rPr>
      </w:pPr>
      <w:r w:rsidRPr="00DA7CFC">
        <w:rPr>
          <w:rFonts w:ascii="Arial" w:eastAsia="Times New Roman" w:hAnsi="Arial" w:cs="Arial"/>
          <w:sz w:val="24"/>
          <w:szCs w:val="24"/>
          <w:lang w:val="en-ZA" w:eastAsia="en-ZA"/>
        </w:rPr>
        <w:t>1.</w:t>
      </w:r>
      <w:r w:rsidRPr="00DA7CFC">
        <w:rPr>
          <w:rFonts w:ascii="Arial" w:eastAsia="Times New Roman" w:hAnsi="Arial" w:cs="Arial"/>
          <w:sz w:val="24"/>
          <w:szCs w:val="24"/>
          <w:lang w:val="en-ZA" w:eastAsia="en-ZA"/>
        </w:rPr>
        <w:tab/>
      </w:r>
      <w:r w:rsidR="00BE4CBE" w:rsidRPr="00A81732">
        <w:rPr>
          <w:rFonts w:ascii="Arial" w:eastAsia="Times New Roman" w:hAnsi="Arial" w:cs="Arial"/>
          <w:sz w:val="24"/>
          <w:szCs w:val="24"/>
          <w:lang w:val="en-ZA" w:eastAsia="en-ZA"/>
        </w:rPr>
        <w:t xml:space="preserve">The appeal succeeds and the judgment and order of the High Court are set aside and replaced by the following: </w:t>
      </w:r>
    </w:p>
    <w:p w14:paraId="31A3703A" w14:textId="77777777" w:rsidR="00BE4CBE" w:rsidRPr="00BE4CBE" w:rsidRDefault="00BE4CBE" w:rsidP="00BE4CBE">
      <w:pPr>
        <w:pStyle w:val="ListParagraph"/>
        <w:shd w:val="clear" w:color="auto" w:fill="FFFFFF"/>
        <w:spacing w:after="0" w:line="480" w:lineRule="auto"/>
        <w:jc w:val="both"/>
        <w:rPr>
          <w:rFonts w:ascii="Arial" w:eastAsia="Times New Roman" w:hAnsi="Arial" w:cs="Arial"/>
          <w:sz w:val="24"/>
          <w:szCs w:val="24"/>
          <w:lang w:val="en-ZA" w:eastAsia="en-ZA"/>
        </w:rPr>
      </w:pPr>
    </w:p>
    <w:p w14:paraId="26A60AAB" w14:textId="572C60CB" w:rsidR="00BE4CBE" w:rsidRPr="005026C4" w:rsidRDefault="00BE4CBE" w:rsidP="005026C4">
      <w:pPr>
        <w:shd w:val="clear" w:color="auto" w:fill="FFFFFF"/>
        <w:spacing w:after="0" w:line="480" w:lineRule="auto"/>
        <w:ind w:left="1701" w:hanging="567"/>
        <w:jc w:val="both"/>
        <w:rPr>
          <w:rFonts w:ascii="Arial" w:eastAsia="Times New Roman" w:hAnsi="Arial" w:cs="Arial"/>
          <w:sz w:val="24"/>
          <w:szCs w:val="24"/>
          <w:lang w:val="en-ZA" w:eastAsia="en-ZA"/>
        </w:rPr>
      </w:pPr>
      <w:r w:rsidRPr="005026C4">
        <w:rPr>
          <w:rFonts w:ascii="Arial" w:eastAsia="Times New Roman" w:hAnsi="Arial" w:cs="Arial"/>
          <w:sz w:val="24"/>
          <w:szCs w:val="24"/>
          <w:lang w:val="en-ZA" w:eastAsia="en-ZA"/>
        </w:rPr>
        <w:t>‘</w:t>
      </w:r>
      <w:r w:rsidR="005026C4" w:rsidRPr="005026C4">
        <w:rPr>
          <w:rFonts w:ascii="Arial" w:eastAsia="Times New Roman" w:hAnsi="Arial" w:cs="Arial"/>
          <w:sz w:val="24"/>
          <w:szCs w:val="24"/>
          <w:lang w:val="en-ZA" w:eastAsia="en-ZA"/>
        </w:rPr>
        <w:t xml:space="preserve">(i) </w:t>
      </w:r>
      <w:r w:rsidR="005026C4">
        <w:rPr>
          <w:rFonts w:ascii="Arial" w:eastAsia="Times New Roman" w:hAnsi="Arial" w:cs="Arial"/>
          <w:sz w:val="24"/>
          <w:szCs w:val="24"/>
          <w:lang w:val="en-ZA" w:eastAsia="en-ZA"/>
        </w:rPr>
        <w:t xml:space="preserve"> </w:t>
      </w:r>
      <w:r w:rsidRPr="005026C4">
        <w:rPr>
          <w:rFonts w:ascii="Arial" w:eastAsia="Times New Roman" w:hAnsi="Arial" w:cs="Arial"/>
          <w:sz w:val="24"/>
          <w:szCs w:val="24"/>
          <w:lang w:val="en-ZA" w:eastAsia="en-ZA"/>
        </w:rPr>
        <w:t xml:space="preserve">The application for the rescission of the order of 3 June 2021, authorising the issuing of subpoenas </w:t>
      </w:r>
      <w:r w:rsidRPr="005026C4">
        <w:rPr>
          <w:rFonts w:ascii="Arial" w:eastAsia="Times New Roman" w:hAnsi="Arial" w:cs="Arial"/>
          <w:i/>
          <w:sz w:val="24"/>
          <w:szCs w:val="24"/>
          <w:lang w:val="en-ZA" w:eastAsia="en-ZA"/>
        </w:rPr>
        <w:t>duces tecum</w:t>
      </w:r>
      <w:r w:rsidRPr="005026C4">
        <w:rPr>
          <w:rFonts w:ascii="Arial" w:eastAsia="Times New Roman" w:hAnsi="Arial" w:cs="Arial"/>
          <w:sz w:val="24"/>
          <w:szCs w:val="24"/>
          <w:lang w:val="en-ZA" w:eastAsia="en-ZA"/>
        </w:rPr>
        <w:t xml:space="preserve"> against the Attorney-General and the Secretary to Cabinet, is granted.</w:t>
      </w:r>
    </w:p>
    <w:p w14:paraId="1112875B" w14:textId="77777777" w:rsidR="00BE4CBE" w:rsidRPr="00FC04A1" w:rsidRDefault="00BE4CBE" w:rsidP="00FC04A1">
      <w:pPr>
        <w:shd w:val="clear" w:color="auto" w:fill="FFFFFF"/>
        <w:spacing w:after="0" w:line="480" w:lineRule="auto"/>
        <w:ind w:left="1080"/>
        <w:jc w:val="both"/>
        <w:rPr>
          <w:rFonts w:ascii="Arial" w:eastAsia="Times New Roman" w:hAnsi="Arial" w:cs="Arial"/>
          <w:sz w:val="24"/>
          <w:szCs w:val="24"/>
          <w:lang w:val="en-ZA" w:eastAsia="en-ZA"/>
        </w:rPr>
      </w:pPr>
    </w:p>
    <w:p w14:paraId="3FD5D6B2" w14:textId="662A910A" w:rsidR="00BE4CBE" w:rsidRPr="00A81732" w:rsidRDefault="00A81732" w:rsidP="00A81732">
      <w:pPr>
        <w:shd w:val="clear" w:color="auto" w:fill="FFFFFF"/>
        <w:spacing w:after="0" w:line="480" w:lineRule="auto"/>
        <w:ind w:left="1701" w:hanging="621"/>
        <w:jc w:val="both"/>
        <w:rPr>
          <w:rFonts w:ascii="Arial" w:eastAsia="Times New Roman" w:hAnsi="Arial" w:cs="Arial"/>
          <w:sz w:val="24"/>
          <w:szCs w:val="24"/>
          <w:lang w:val="en-ZA" w:eastAsia="en-ZA"/>
        </w:rPr>
      </w:pPr>
      <w:r w:rsidRPr="005026C4">
        <w:rPr>
          <w:rFonts w:ascii="Arial" w:eastAsia="Times New Roman" w:hAnsi="Arial" w:cs="Arial"/>
          <w:sz w:val="24"/>
          <w:szCs w:val="24"/>
          <w:lang w:val="en-ZA" w:eastAsia="en-ZA"/>
        </w:rPr>
        <w:t>(ii)</w:t>
      </w:r>
      <w:r w:rsidRPr="005026C4">
        <w:rPr>
          <w:rFonts w:ascii="Arial" w:eastAsia="Times New Roman" w:hAnsi="Arial" w:cs="Arial"/>
          <w:sz w:val="24"/>
          <w:szCs w:val="24"/>
          <w:lang w:val="en-ZA" w:eastAsia="en-ZA"/>
        </w:rPr>
        <w:tab/>
      </w:r>
      <w:r w:rsidR="00BE4CBE" w:rsidRPr="00A81732">
        <w:rPr>
          <w:rFonts w:ascii="Arial" w:eastAsia="Times New Roman" w:hAnsi="Arial" w:cs="Arial"/>
          <w:sz w:val="24"/>
          <w:szCs w:val="24"/>
          <w:lang w:val="en-ZA" w:eastAsia="en-ZA"/>
        </w:rPr>
        <w:t xml:space="preserve">The subpoena </w:t>
      </w:r>
      <w:r w:rsidR="00BE4CBE" w:rsidRPr="00A81732">
        <w:rPr>
          <w:rFonts w:ascii="Arial" w:eastAsia="Times New Roman" w:hAnsi="Arial" w:cs="Arial"/>
          <w:i/>
          <w:sz w:val="24"/>
          <w:szCs w:val="24"/>
          <w:lang w:val="en-ZA" w:eastAsia="en-ZA"/>
        </w:rPr>
        <w:t>duces tecum</w:t>
      </w:r>
      <w:r w:rsidR="00BE4CBE" w:rsidRPr="00A81732">
        <w:rPr>
          <w:rFonts w:ascii="Arial" w:eastAsia="Times New Roman" w:hAnsi="Arial" w:cs="Arial"/>
          <w:sz w:val="24"/>
          <w:szCs w:val="24"/>
          <w:lang w:val="en-ZA" w:eastAsia="en-ZA"/>
        </w:rPr>
        <w:t xml:space="preserve"> issued against the Secretary to Cabinet is set aside, with costs, including costs of one instructing and one instructed legal practitioner.</w:t>
      </w:r>
    </w:p>
    <w:p w14:paraId="7F11D138" w14:textId="77777777" w:rsidR="00BE4CBE" w:rsidRPr="00BE4CBE" w:rsidRDefault="00BE4CBE" w:rsidP="00BE4CBE">
      <w:pPr>
        <w:pStyle w:val="ListParagraph"/>
        <w:rPr>
          <w:rFonts w:ascii="Arial" w:eastAsia="Times New Roman" w:hAnsi="Arial" w:cs="Arial"/>
          <w:sz w:val="24"/>
          <w:szCs w:val="24"/>
          <w:lang w:val="en-ZA" w:eastAsia="en-ZA"/>
        </w:rPr>
      </w:pPr>
    </w:p>
    <w:p w14:paraId="456E3491" w14:textId="1AECE184" w:rsidR="00BE4CBE" w:rsidRPr="00A81732" w:rsidRDefault="00A81732" w:rsidP="00A81732">
      <w:pPr>
        <w:shd w:val="clear" w:color="auto" w:fill="FFFFFF"/>
        <w:spacing w:after="0" w:line="480" w:lineRule="auto"/>
        <w:ind w:left="1701" w:hanging="621"/>
        <w:jc w:val="both"/>
        <w:rPr>
          <w:rFonts w:ascii="Arial" w:eastAsia="Times New Roman" w:hAnsi="Arial" w:cs="Arial"/>
          <w:sz w:val="24"/>
          <w:szCs w:val="24"/>
          <w:lang w:val="en-ZA" w:eastAsia="en-ZA"/>
        </w:rPr>
      </w:pPr>
      <w:r w:rsidRPr="005026C4">
        <w:rPr>
          <w:rFonts w:ascii="Arial" w:eastAsia="Times New Roman" w:hAnsi="Arial" w:cs="Arial"/>
          <w:sz w:val="24"/>
          <w:szCs w:val="24"/>
          <w:lang w:val="en-ZA" w:eastAsia="en-ZA"/>
        </w:rPr>
        <w:t>(iii)</w:t>
      </w:r>
      <w:r w:rsidRPr="005026C4">
        <w:rPr>
          <w:rFonts w:ascii="Arial" w:eastAsia="Times New Roman" w:hAnsi="Arial" w:cs="Arial"/>
          <w:sz w:val="24"/>
          <w:szCs w:val="24"/>
          <w:lang w:val="en-ZA" w:eastAsia="en-ZA"/>
        </w:rPr>
        <w:tab/>
      </w:r>
      <w:r w:rsidR="00BE4CBE" w:rsidRPr="00A81732">
        <w:rPr>
          <w:rFonts w:ascii="Arial" w:eastAsia="Times New Roman" w:hAnsi="Arial" w:cs="Arial"/>
          <w:sz w:val="24"/>
          <w:szCs w:val="24"/>
          <w:lang w:val="en-ZA" w:eastAsia="en-ZA"/>
        </w:rPr>
        <w:t xml:space="preserve">In respect of the Attorney-General, the first respondent (Hollard Insurance Company Limited) is ordered to pay the costs of </w:t>
      </w:r>
      <w:r w:rsidR="00FC04A1" w:rsidRPr="00A81732">
        <w:rPr>
          <w:rFonts w:ascii="Arial" w:eastAsia="Times New Roman" w:hAnsi="Arial" w:cs="Arial"/>
          <w:sz w:val="24"/>
          <w:szCs w:val="24"/>
          <w:lang w:val="en-ZA" w:eastAsia="en-ZA"/>
        </w:rPr>
        <w:t xml:space="preserve">the Attorney-General up to the date of the </w:t>
      </w:r>
      <w:r w:rsidR="00BE4CBE" w:rsidRPr="00A81732">
        <w:rPr>
          <w:rFonts w:ascii="Arial" w:eastAsia="Times New Roman" w:hAnsi="Arial" w:cs="Arial"/>
          <w:sz w:val="24"/>
          <w:szCs w:val="24"/>
          <w:lang w:val="en-ZA" w:eastAsia="en-ZA"/>
        </w:rPr>
        <w:t xml:space="preserve">withdrawal of the subpoena </w:t>
      </w:r>
      <w:r w:rsidR="00BE4CBE" w:rsidRPr="00A81732">
        <w:rPr>
          <w:rFonts w:ascii="Arial" w:eastAsia="Times New Roman" w:hAnsi="Arial" w:cs="Arial"/>
          <w:i/>
          <w:sz w:val="24"/>
          <w:szCs w:val="24"/>
          <w:lang w:val="en-ZA" w:eastAsia="en-ZA"/>
        </w:rPr>
        <w:t>duces tecum</w:t>
      </w:r>
      <w:r w:rsidR="00FC04A1" w:rsidRPr="00A81732">
        <w:rPr>
          <w:rFonts w:ascii="Arial" w:eastAsia="Times New Roman" w:hAnsi="Arial" w:cs="Arial"/>
          <w:sz w:val="24"/>
          <w:szCs w:val="24"/>
          <w:lang w:val="en-ZA" w:eastAsia="en-ZA"/>
        </w:rPr>
        <w:t xml:space="preserve"> against him.</w:t>
      </w:r>
    </w:p>
    <w:p w14:paraId="62DABCAE" w14:textId="77777777" w:rsidR="00FC04A1" w:rsidRPr="00FC04A1" w:rsidRDefault="00FC04A1" w:rsidP="00FC04A1">
      <w:pPr>
        <w:pStyle w:val="ListParagraph"/>
        <w:rPr>
          <w:rFonts w:ascii="Arial" w:eastAsia="Times New Roman" w:hAnsi="Arial" w:cs="Arial"/>
          <w:sz w:val="24"/>
          <w:szCs w:val="24"/>
          <w:lang w:val="en-ZA" w:eastAsia="en-ZA"/>
        </w:rPr>
      </w:pPr>
    </w:p>
    <w:p w14:paraId="230A7296" w14:textId="6FBD47DF" w:rsidR="00FC04A1" w:rsidRPr="00A81732" w:rsidRDefault="00A81732" w:rsidP="00A81732">
      <w:pPr>
        <w:shd w:val="clear" w:color="auto" w:fill="FFFFFF"/>
        <w:spacing w:after="0" w:line="480" w:lineRule="auto"/>
        <w:ind w:left="1701" w:hanging="720"/>
        <w:jc w:val="both"/>
        <w:rPr>
          <w:rFonts w:ascii="Arial" w:eastAsia="Times New Roman" w:hAnsi="Arial" w:cs="Arial"/>
          <w:sz w:val="24"/>
          <w:szCs w:val="24"/>
          <w:lang w:val="en-ZA" w:eastAsia="en-ZA"/>
        </w:rPr>
      </w:pPr>
      <w:r w:rsidRPr="00BE4CBE">
        <w:rPr>
          <w:rFonts w:ascii="Arial" w:eastAsia="Times New Roman" w:hAnsi="Arial" w:cs="Arial"/>
          <w:sz w:val="24"/>
          <w:szCs w:val="24"/>
          <w:lang w:val="en-ZA" w:eastAsia="en-ZA"/>
        </w:rPr>
        <w:t>(iv)</w:t>
      </w:r>
      <w:r w:rsidRPr="00BE4CBE">
        <w:rPr>
          <w:rFonts w:ascii="Arial" w:eastAsia="Times New Roman" w:hAnsi="Arial" w:cs="Arial"/>
          <w:sz w:val="24"/>
          <w:szCs w:val="24"/>
          <w:lang w:val="en-ZA" w:eastAsia="en-ZA"/>
        </w:rPr>
        <w:tab/>
      </w:r>
      <w:r w:rsidR="00FC04A1" w:rsidRPr="00A81732">
        <w:rPr>
          <w:rFonts w:ascii="Arial" w:eastAsia="Times New Roman" w:hAnsi="Arial" w:cs="Arial"/>
          <w:sz w:val="24"/>
          <w:szCs w:val="24"/>
          <w:lang w:val="en-ZA" w:eastAsia="en-ZA"/>
        </w:rPr>
        <w:t>The costs are not subject to the provisions of Rule 32(11).’</w:t>
      </w:r>
    </w:p>
    <w:p w14:paraId="2FE366E8" w14:textId="77777777" w:rsidR="00BE4CBE" w:rsidRPr="00DA7CFC" w:rsidRDefault="00BE4CBE" w:rsidP="00BE4CBE">
      <w:pPr>
        <w:pStyle w:val="ListParagraph"/>
        <w:shd w:val="clear" w:color="auto" w:fill="FFFFFF"/>
        <w:spacing w:after="0" w:line="480" w:lineRule="auto"/>
        <w:jc w:val="both"/>
        <w:rPr>
          <w:rFonts w:ascii="Arial" w:eastAsia="Times New Roman" w:hAnsi="Arial" w:cs="Arial"/>
          <w:lang w:val="en-ZA" w:eastAsia="en-ZA"/>
        </w:rPr>
      </w:pPr>
    </w:p>
    <w:p w14:paraId="4B4514D2" w14:textId="0757F8FF" w:rsidR="00BE4CBE" w:rsidRPr="00A81732" w:rsidRDefault="00A81732" w:rsidP="00A81732">
      <w:pPr>
        <w:shd w:val="clear" w:color="auto" w:fill="FFFFFF"/>
        <w:spacing w:after="0" w:line="480" w:lineRule="auto"/>
        <w:ind w:left="720" w:hanging="360"/>
        <w:jc w:val="both"/>
        <w:rPr>
          <w:rFonts w:ascii="Arial" w:eastAsia="Times New Roman" w:hAnsi="Arial" w:cs="Arial"/>
          <w:sz w:val="24"/>
          <w:szCs w:val="24"/>
          <w:lang w:val="en-ZA" w:eastAsia="en-ZA"/>
        </w:rPr>
      </w:pPr>
      <w:r w:rsidRPr="00E957A5">
        <w:rPr>
          <w:rFonts w:ascii="Arial" w:eastAsia="Times New Roman" w:hAnsi="Arial" w:cs="Arial"/>
          <w:sz w:val="24"/>
          <w:szCs w:val="24"/>
          <w:lang w:val="en-ZA" w:eastAsia="en-ZA"/>
        </w:rPr>
        <w:t>2.</w:t>
      </w:r>
      <w:r w:rsidRPr="00E957A5">
        <w:rPr>
          <w:rFonts w:ascii="Arial" w:eastAsia="Times New Roman" w:hAnsi="Arial" w:cs="Arial"/>
          <w:sz w:val="24"/>
          <w:szCs w:val="24"/>
          <w:lang w:val="en-ZA" w:eastAsia="en-ZA"/>
        </w:rPr>
        <w:tab/>
      </w:r>
      <w:r w:rsidR="00BE4CBE" w:rsidRPr="00A81732">
        <w:rPr>
          <w:rFonts w:ascii="Arial" w:eastAsia="Times New Roman" w:hAnsi="Arial" w:cs="Arial"/>
          <w:sz w:val="24"/>
          <w:szCs w:val="24"/>
          <w:lang w:val="en-ZA" w:eastAsia="en-ZA"/>
        </w:rPr>
        <w:t>The appellants are granted costs in the appeal, to include costs consequent upon the employment of one instructing and two instructed legal practitioners.</w:t>
      </w:r>
    </w:p>
    <w:p w14:paraId="221C168D" w14:textId="77777777" w:rsidR="00BE4CBE" w:rsidRPr="00DA7CFC" w:rsidRDefault="00BE4CBE" w:rsidP="00BE4CBE">
      <w:pPr>
        <w:spacing w:line="480" w:lineRule="auto"/>
        <w:jc w:val="both"/>
        <w:rPr>
          <w:rFonts w:ascii="Arial" w:hAnsi="Arial" w:cs="Arial"/>
          <w:sz w:val="24"/>
          <w:szCs w:val="24"/>
        </w:rPr>
      </w:pPr>
    </w:p>
    <w:p w14:paraId="2A99DD74" w14:textId="77777777" w:rsidR="00BE4CBE" w:rsidRPr="00490ABA" w:rsidRDefault="00BE4CBE" w:rsidP="00BE4CBE">
      <w:pPr>
        <w:spacing w:after="0" w:line="240" w:lineRule="auto"/>
        <w:rPr>
          <w:rFonts w:ascii="Arial" w:eastAsia="Calibri" w:hAnsi="Arial" w:cs="Arial"/>
          <w:b/>
          <w:sz w:val="24"/>
          <w:szCs w:val="24"/>
          <w:lang w:val="en-ZA"/>
        </w:rPr>
      </w:pPr>
      <w:r w:rsidRPr="00DA7CFC">
        <w:rPr>
          <w:rFonts w:ascii="Arial" w:eastAsia="Calibri" w:hAnsi="Arial" w:cs="Arial"/>
          <w:b/>
          <w:sz w:val="24"/>
          <w:lang w:val="en-ZA"/>
        </w:rPr>
        <w:lastRenderedPageBreak/>
        <w:t>__________________</w:t>
      </w:r>
    </w:p>
    <w:p w14:paraId="5C2E7DBA" w14:textId="1A50BE49" w:rsidR="00BE4CBE" w:rsidRPr="00DA7CFC" w:rsidRDefault="00BE4CBE" w:rsidP="00FC04A1">
      <w:pPr>
        <w:spacing w:after="0" w:line="480" w:lineRule="auto"/>
        <w:jc w:val="both"/>
        <w:outlineLvl w:val="0"/>
        <w:rPr>
          <w:rFonts w:ascii="Arial" w:eastAsia="Calibri" w:hAnsi="Arial" w:cs="Arial"/>
          <w:b/>
          <w:sz w:val="24"/>
          <w:lang w:val="en-ZA"/>
        </w:rPr>
      </w:pPr>
      <w:r w:rsidRPr="00DA7CFC">
        <w:rPr>
          <w:rFonts w:ascii="Arial" w:eastAsia="Calibri" w:hAnsi="Arial" w:cs="Arial"/>
          <w:b/>
          <w:sz w:val="24"/>
          <w:lang w:val="en-ZA"/>
        </w:rPr>
        <w:t>DAMASEB DCJ</w:t>
      </w:r>
    </w:p>
    <w:p w14:paraId="7E9A264D" w14:textId="77777777" w:rsidR="00BE4CBE" w:rsidRDefault="00BE4CBE" w:rsidP="00BE4CBE">
      <w:pPr>
        <w:spacing w:after="0" w:line="480" w:lineRule="auto"/>
        <w:jc w:val="both"/>
        <w:rPr>
          <w:rFonts w:ascii="Arial" w:eastAsia="Calibri" w:hAnsi="Arial" w:cs="Arial"/>
          <w:b/>
          <w:sz w:val="24"/>
          <w:lang w:val="en-ZA"/>
        </w:rPr>
      </w:pPr>
    </w:p>
    <w:p w14:paraId="7ABC6117" w14:textId="77777777" w:rsidR="00BE4CBE" w:rsidRDefault="00BE4CBE" w:rsidP="00BE4CBE">
      <w:pPr>
        <w:spacing w:after="0" w:line="480" w:lineRule="auto"/>
        <w:jc w:val="both"/>
        <w:rPr>
          <w:rFonts w:ascii="Arial" w:eastAsia="Calibri" w:hAnsi="Arial" w:cs="Arial"/>
          <w:b/>
          <w:sz w:val="24"/>
          <w:lang w:val="en-ZA"/>
        </w:rPr>
      </w:pPr>
    </w:p>
    <w:p w14:paraId="27E598C8" w14:textId="77777777" w:rsidR="00BE4CBE" w:rsidRPr="00DA7CFC" w:rsidRDefault="00BE4CBE" w:rsidP="00BE4CBE">
      <w:pPr>
        <w:spacing w:after="0" w:line="480" w:lineRule="auto"/>
        <w:jc w:val="both"/>
        <w:rPr>
          <w:rFonts w:ascii="Arial" w:eastAsia="Calibri" w:hAnsi="Arial" w:cs="Arial"/>
          <w:b/>
          <w:sz w:val="24"/>
          <w:lang w:val="en-ZA"/>
        </w:rPr>
      </w:pPr>
      <w:r w:rsidRPr="00DA7CFC">
        <w:rPr>
          <w:rFonts w:ascii="Arial" w:eastAsia="Calibri" w:hAnsi="Arial" w:cs="Arial"/>
          <w:b/>
          <w:sz w:val="24"/>
          <w:lang w:val="en-ZA"/>
        </w:rPr>
        <w:t>__________________</w:t>
      </w:r>
    </w:p>
    <w:p w14:paraId="343C95FB" w14:textId="26A0C8B8" w:rsidR="00BE4CBE" w:rsidRDefault="00BE4CBE" w:rsidP="00BE4CBE">
      <w:pPr>
        <w:pStyle w:val="ListParagraph"/>
        <w:shd w:val="clear" w:color="auto" w:fill="FFFFFF"/>
        <w:spacing w:after="0" w:line="480" w:lineRule="auto"/>
        <w:ind w:left="0"/>
        <w:jc w:val="both"/>
        <w:rPr>
          <w:rFonts w:ascii="Arial" w:eastAsia="Calibri" w:hAnsi="Arial" w:cs="Arial"/>
          <w:b/>
          <w:sz w:val="24"/>
          <w:lang w:val="en-ZA"/>
        </w:rPr>
      </w:pPr>
      <w:r w:rsidRPr="00DA7CFC">
        <w:rPr>
          <w:rFonts w:ascii="Arial" w:eastAsia="Calibri" w:hAnsi="Arial" w:cs="Arial"/>
          <w:b/>
          <w:sz w:val="24"/>
          <w:lang w:val="en-ZA"/>
        </w:rPr>
        <w:t>MAINGA JA</w:t>
      </w:r>
    </w:p>
    <w:p w14:paraId="20EC7C80" w14:textId="77777777" w:rsidR="00395B1D" w:rsidRPr="00FC04A1" w:rsidRDefault="00395B1D" w:rsidP="00BE4CB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EDFECEC" w14:textId="77777777" w:rsidR="00E957A5" w:rsidRDefault="00E957A5">
      <w:pPr>
        <w:spacing w:after="0" w:line="240" w:lineRule="auto"/>
        <w:rPr>
          <w:rFonts w:ascii="Arial" w:hAnsi="Arial" w:cs="Arial"/>
          <w:sz w:val="24"/>
          <w:szCs w:val="24"/>
        </w:rPr>
      </w:pPr>
      <w:r>
        <w:rPr>
          <w:rFonts w:ascii="Arial" w:hAnsi="Arial" w:cs="Arial"/>
          <w:sz w:val="24"/>
          <w:szCs w:val="24"/>
        </w:rPr>
        <w:br w:type="page"/>
      </w:r>
    </w:p>
    <w:p w14:paraId="5F4EF600" w14:textId="0AA108EC" w:rsidR="00BE4CBE" w:rsidRPr="00BE4CBE" w:rsidRDefault="00BE4CBE" w:rsidP="00BE4CBE">
      <w:pPr>
        <w:spacing w:after="0" w:line="480" w:lineRule="auto"/>
        <w:jc w:val="both"/>
        <w:rPr>
          <w:rFonts w:ascii="Arial" w:hAnsi="Arial" w:cs="Arial"/>
          <w:sz w:val="24"/>
          <w:szCs w:val="24"/>
        </w:rPr>
      </w:pPr>
      <w:r>
        <w:rPr>
          <w:rFonts w:ascii="Arial" w:hAnsi="Arial" w:cs="Arial"/>
          <w:sz w:val="24"/>
          <w:szCs w:val="24"/>
        </w:rPr>
        <w:lastRenderedPageBreak/>
        <w:t xml:space="preserve">FRANK </w:t>
      </w:r>
      <w:r w:rsidRPr="00A42926">
        <w:rPr>
          <w:rFonts w:ascii="Arial" w:hAnsi="Arial" w:cs="Arial"/>
          <w:sz w:val="24"/>
          <w:szCs w:val="24"/>
        </w:rPr>
        <w:t>AJA:</w:t>
      </w:r>
    </w:p>
    <w:p w14:paraId="7AA95E71" w14:textId="0347C8A8" w:rsidR="00BE4CB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BE4CBE">
        <w:rPr>
          <w:rFonts w:ascii="Arial" w:eastAsia="Times New Roman" w:hAnsi="Arial" w:cs="Arial"/>
          <w:sz w:val="24"/>
          <w:szCs w:val="24"/>
          <w:lang w:val="en-ZA" w:eastAsia="en-ZA"/>
        </w:rPr>
        <w:t>[75]</w:t>
      </w:r>
      <w:r w:rsidRPr="00BE4CBE">
        <w:rPr>
          <w:rFonts w:ascii="Arial" w:eastAsia="Times New Roman" w:hAnsi="Arial" w:cs="Arial"/>
          <w:sz w:val="24"/>
          <w:szCs w:val="24"/>
          <w:lang w:val="en-ZA" w:eastAsia="en-ZA"/>
        </w:rPr>
        <w:tab/>
      </w:r>
      <w:r w:rsidR="00BE4CBE" w:rsidRPr="00A81732">
        <w:rPr>
          <w:rFonts w:ascii="Arial" w:hAnsi="Arial" w:cs="Arial"/>
          <w:sz w:val="24"/>
          <w:szCs w:val="24"/>
        </w:rPr>
        <w:t>The facts and disputes arising between the parties in this matter are evident from the judgment of Damaseb DCJ and I do not reiterate them. I agree with the conclusion and the order granted by Damaseb DCJ and these are my reasons for this.</w:t>
      </w:r>
    </w:p>
    <w:p w14:paraId="632A20D7" w14:textId="77777777" w:rsidR="00BE4CBE" w:rsidRPr="00BE4CBE" w:rsidRDefault="00BE4CBE" w:rsidP="00BE4CB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D5926E0" w14:textId="4E17D5B4" w:rsidR="00BE4CB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BE4CBE">
        <w:rPr>
          <w:rFonts w:ascii="Arial" w:eastAsia="Times New Roman" w:hAnsi="Arial" w:cs="Arial"/>
          <w:sz w:val="24"/>
          <w:szCs w:val="24"/>
          <w:lang w:val="en-ZA" w:eastAsia="en-ZA"/>
        </w:rPr>
        <w:t>[76]</w:t>
      </w:r>
      <w:r w:rsidRPr="00BE4CBE">
        <w:rPr>
          <w:rFonts w:ascii="Arial" w:eastAsia="Times New Roman" w:hAnsi="Arial" w:cs="Arial"/>
          <w:sz w:val="24"/>
          <w:szCs w:val="24"/>
          <w:lang w:val="en-ZA" w:eastAsia="en-ZA"/>
        </w:rPr>
        <w:tab/>
      </w:r>
      <w:r w:rsidR="00BE4CBE" w:rsidRPr="00A81732">
        <w:rPr>
          <w:rFonts w:ascii="Arial" w:hAnsi="Arial" w:cs="Arial"/>
          <w:sz w:val="24"/>
          <w:szCs w:val="24"/>
        </w:rPr>
        <w:t xml:space="preserve">Because Gondwana decided to approach the court </w:t>
      </w:r>
      <w:r w:rsidR="00BE4CBE" w:rsidRPr="00A81732">
        <w:rPr>
          <w:rFonts w:ascii="Arial" w:hAnsi="Arial" w:cs="Arial"/>
          <w:i/>
          <w:sz w:val="24"/>
          <w:szCs w:val="24"/>
        </w:rPr>
        <w:t xml:space="preserve">a quo </w:t>
      </w:r>
      <w:r w:rsidR="00BE4CBE" w:rsidRPr="00A81732">
        <w:rPr>
          <w:rFonts w:ascii="Arial" w:hAnsi="Arial" w:cs="Arial"/>
          <w:sz w:val="24"/>
          <w:szCs w:val="24"/>
        </w:rPr>
        <w:t>by way of an application, it meant that the rules applicable to application proceedings applied. This further meant that Gondwana did not foresee material factual disputes as this is what application proceedings are primarily designed for. It further follows that what was foreseen was that there would be an exchange of the usual number of affidavits whereafter the application would be dealt with by the court.</w:t>
      </w:r>
    </w:p>
    <w:p w14:paraId="0F1E2700" w14:textId="77777777" w:rsidR="00BE4CBE" w:rsidRPr="00BE4CBE" w:rsidRDefault="00BE4CBE" w:rsidP="00BE4CBE">
      <w:pPr>
        <w:rPr>
          <w:rFonts w:ascii="Arial" w:hAnsi="Arial" w:cs="Arial"/>
          <w:sz w:val="24"/>
          <w:szCs w:val="24"/>
        </w:rPr>
      </w:pPr>
    </w:p>
    <w:p w14:paraId="6D0B0BBA" w14:textId="36848D07" w:rsidR="00BE4CB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BE4CBE">
        <w:rPr>
          <w:rFonts w:ascii="Arial" w:eastAsia="Times New Roman" w:hAnsi="Arial" w:cs="Arial"/>
          <w:sz w:val="24"/>
          <w:szCs w:val="24"/>
          <w:lang w:val="en-ZA" w:eastAsia="en-ZA"/>
        </w:rPr>
        <w:t>[77]</w:t>
      </w:r>
      <w:r w:rsidRPr="00BE4CBE">
        <w:rPr>
          <w:rFonts w:ascii="Arial" w:eastAsia="Times New Roman" w:hAnsi="Arial" w:cs="Arial"/>
          <w:sz w:val="24"/>
          <w:szCs w:val="24"/>
          <w:lang w:val="en-ZA" w:eastAsia="en-ZA"/>
        </w:rPr>
        <w:tab/>
      </w:r>
      <w:r w:rsidR="00BE4CBE" w:rsidRPr="00A81732">
        <w:rPr>
          <w:rFonts w:ascii="Arial" w:hAnsi="Arial" w:cs="Arial"/>
          <w:sz w:val="24"/>
          <w:szCs w:val="24"/>
        </w:rPr>
        <w:t xml:space="preserve">If it turned out that Gondwana’s assumption that no material factual dispute(s) would arise was wrong then the court </w:t>
      </w:r>
      <w:r w:rsidR="00BE4CBE" w:rsidRPr="00A81732">
        <w:rPr>
          <w:rFonts w:ascii="Arial" w:hAnsi="Arial" w:cs="Arial"/>
          <w:i/>
          <w:sz w:val="24"/>
          <w:szCs w:val="24"/>
        </w:rPr>
        <w:t xml:space="preserve">a quo </w:t>
      </w:r>
      <w:r w:rsidR="00BE4CBE" w:rsidRPr="00A81732">
        <w:rPr>
          <w:rFonts w:ascii="Arial" w:hAnsi="Arial" w:cs="Arial"/>
          <w:sz w:val="24"/>
          <w:szCs w:val="24"/>
        </w:rPr>
        <w:t>would have three options to consider, namely: dismiss the application or direct that oral evidence be heard on specific issues or refer that matter to a trial</w:t>
      </w:r>
      <w:r w:rsidR="00D83CC4" w:rsidRPr="00A81732">
        <w:rPr>
          <w:rFonts w:ascii="Arial" w:hAnsi="Arial" w:cs="Arial"/>
          <w:sz w:val="24"/>
          <w:szCs w:val="24"/>
        </w:rPr>
        <w:t>.</w:t>
      </w:r>
      <w:r w:rsidR="00BE4CBE" w:rsidRPr="00A42926">
        <w:rPr>
          <w:rStyle w:val="FootnoteReference"/>
          <w:rFonts w:ascii="Arial" w:hAnsi="Arial" w:cs="Arial"/>
          <w:sz w:val="24"/>
          <w:szCs w:val="24"/>
        </w:rPr>
        <w:footnoteReference w:id="27"/>
      </w:r>
    </w:p>
    <w:p w14:paraId="7F3699BB" w14:textId="77777777" w:rsidR="00BE4CBE" w:rsidRPr="00BE4CBE" w:rsidRDefault="00BE4CBE" w:rsidP="00BE4CBE">
      <w:pPr>
        <w:rPr>
          <w:rFonts w:ascii="Arial" w:hAnsi="Arial" w:cs="Arial"/>
          <w:sz w:val="24"/>
          <w:szCs w:val="24"/>
        </w:rPr>
      </w:pPr>
    </w:p>
    <w:p w14:paraId="4470F175" w14:textId="257695C2" w:rsidR="00BE4CB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BE4CBE">
        <w:rPr>
          <w:rFonts w:ascii="Arial" w:eastAsia="Times New Roman" w:hAnsi="Arial" w:cs="Arial"/>
          <w:sz w:val="24"/>
          <w:szCs w:val="24"/>
          <w:lang w:val="en-ZA" w:eastAsia="en-ZA"/>
        </w:rPr>
        <w:t>[78]</w:t>
      </w:r>
      <w:r w:rsidRPr="00BE4CBE">
        <w:rPr>
          <w:rFonts w:ascii="Arial" w:eastAsia="Times New Roman" w:hAnsi="Arial" w:cs="Arial"/>
          <w:sz w:val="24"/>
          <w:szCs w:val="24"/>
          <w:lang w:val="en-ZA" w:eastAsia="en-ZA"/>
        </w:rPr>
        <w:tab/>
      </w:r>
      <w:r w:rsidR="00BE4CBE" w:rsidRPr="00A81732">
        <w:rPr>
          <w:rFonts w:ascii="Arial" w:hAnsi="Arial" w:cs="Arial"/>
          <w:sz w:val="24"/>
          <w:szCs w:val="24"/>
        </w:rPr>
        <w:t>Where the matter is referred to oral evidence the court may ‘order any deponent to appear personally or grant leave for him or her or any other person to be subpoenaed to appear and be examined and cross-examined as a witness’. Similarly when</w:t>
      </w:r>
      <w:r w:rsidR="003A15C2" w:rsidRPr="00A81732">
        <w:rPr>
          <w:rFonts w:ascii="Arial" w:hAnsi="Arial" w:cs="Arial"/>
          <w:sz w:val="24"/>
          <w:szCs w:val="24"/>
        </w:rPr>
        <w:t xml:space="preserve"> a matter is referred to trial </w:t>
      </w:r>
      <w:r w:rsidR="00BE4CBE" w:rsidRPr="00A81732">
        <w:rPr>
          <w:rFonts w:ascii="Arial" w:hAnsi="Arial" w:cs="Arial"/>
          <w:sz w:val="24"/>
          <w:szCs w:val="24"/>
        </w:rPr>
        <w:t>the normal trial procedures will provide for the matters relating to witnesses and other trial related procedures.</w:t>
      </w:r>
    </w:p>
    <w:p w14:paraId="655B13DD" w14:textId="77777777" w:rsidR="00BE4CBE" w:rsidRPr="00C35600" w:rsidRDefault="00BE4CBE" w:rsidP="00C35600">
      <w:pPr>
        <w:rPr>
          <w:rFonts w:ascii="Arial" w:hAnsi="Arial" w:cs="Arial"/>
          <w:sz w:val="24"/>
          <w:szCs w:val="24"/>
        </w:rPr>
      </w:pPr>
    </w:p>
    <w:p w14:paraId="64505362" w14:textId="6C5477D1" w:rsidR="00BE4CBE" w:rsidRPr="00A81732" w:rsidRDefault="00A81732" w:rsidP="00A81732">
      <w:pPr>
        <w:shd w:val="clear" w:color="auto" w:fill="FFFFFF"/>
        <w:spacing w:after="0" w:line="480" w:lineRule="auto"/>
        <w:jc w:val="both"/>
        <w:rPr>
          <w:rFonts w:ascii="Arial" w:eastAsia="Times New Roman" w:hAnsi="Arial" w:cs="Arial"/>
          <w:sz w:val="24"/>
          <w:szCs w:val="24"/>
          <w:lang w:val="en-ZA" w:eastAsia="en-ZA"/>
        </w:rPr>
      </w:pPr>
      <w:r w:rsidRPr="00BE4CBE">
        <w:rPr>
          <w:rFonts w:ascii="Arial" w:eastAsia="Times New Roman" w:hAnsi="Arial" w:cs="Arial"/>
          <w:sz w:val="24"/>
          <w:szCs w:val="24"/>
          <w:lang w:val="en-ZA" w:eastAsia="en-ZA"/>
        </w:rPr>
        <w:t>[79]</w:t>
      </w:r>
      <w:r w:rsidRPr="00BE4CBE">
        <w:rPr>
          <w:rFonts w:ascii="Arial" w:eastAsia="Times New Roman" w:hAnsi="Arial" w:cs="Arial"/>
          <w:sz w:val="24"/>
          <w:szCs w:val="24"/>
          <w:lang w:val="en-ZA" w:eastAsia="en-ZA"/>
        </w:rPr>
        <w:tab/>
      </w:r>
      <w:r w:rsidR="00BE4CBE" w:rsidRPr="00A81732">
        <w:rPr>
          <w:rFonts w:ascii="Arial" w:hAnsi="Arial" w:cs="Arial"/>
          <w:sz w:val="24"/>
          <w:szCs w:val="24"/>
        </w:rPr>
        <w:t xml:space="preserve">Because that whole basis of the application procedure is the premise that it would primarily be utilised in situations where no material factual disputes arise it is the court seized with the application and only that court that can direct that oral </w:t>
      </w:r>
      <w:r w:rsidR="00BE4CBE" w:rsidRPr="00A81732">
        <w:rPr>
          <w:rFonts w:ascii="Arial" w:hAnsi="Arial" w:cs="Arial"/>
          <w:sz w:val="24"/>
          <w:szCs w:val="24"/>
        </w:rPr>
        <w:lastRenderedPageBreak/>
        <w:t xml:space="preserve">evidence be heard, either in respect of certain deponents or subsequent to the issuing of subpoenas. As put in </w:t>
      </w:r>
      <w:r w:rsidR="00BE4CBE" w:rsidRPr="00A81732">
        <w:rPr>
          <w:rFonts w:ascii="Arial" w:hAnsi="Arial" w:cs="Arial"/>
          <w:i/>
          <w:sz w:val="24"/>
          <w:szCs w:val="24"/>
        </w:rPr>
        <w:t>Herbstein and Van Winsen: The Civil Practice of the High Courts of South Africa</w:t>
      </w:r>
      <w:r w:rsidR="00BE4CBE" w:rsidRPr="00A42926">
        <w:rPr>
          <w:rStyle w:val="FootnoteReference"/>
          <w:rFonts w:ascii="Arial" w:hAnsi="Arial" w:cs="Arial"/>
          <w:sz w:val="24"/>
          <w:szCs w:val="24"/>
        </w:rPr>
        <w:footnoteReference w:id="28"/>
      </w:r>
      <w:r w:rsidR="00BE4CBE" w:rsidRPr="00A81732">
        <w:rPr>
          <w:rFonts w:ascii="Arial" w:hAnsi="Arial" w:cs="Arial"/>
          <w:sz w:val="24"/>
          <w:szCs w:val="24"/>
        </w:rPr>
        <w:t xml:space="preserve"> where a similar rule with regards to referral to evidence in applications apply:</w:t>
      </w:r>
    </w:p>
    <w:p w14:paraId="789BCA4A" w14:textId="77777777" w:rsidR="00BE4CBE" w:rsidRPr="00A42926" w:rsidRDefault="00BE4CBE" w:rsidP="00BE4CBE">
      <w:pPr>
        <w:pStyle w:val="NoSpacing"/>
        <w:spacing w:line="480" w:lineRule="auto"/>
        <w:jc w:val="both"/>
        <w:rPr>
          <w:rFonts w:ascii="Arial" w:hAnsi="Arial" w:cs="Arial"/>
          <w:sz w:val="24"/>
          <w:szCs w:val="24"/>
        </w:rPr>
      </w:pPr>
    </w:p>
    <w:p w14:paraId="0BAC641C" w14:textId="77777777" w:rsidR="00BE4CBE" w:rsidRPr="00A42926" w:rsidRDefault="00BE4CBE" w:rsidP="00BE4CBE">
      <w:pPr>
        <w:pStyle w:val="ListParagraph"/>
        <w:spacing w:line="360" w:lineRule="auto"/>
        <w:jc w:val="both"/>
        <w:rPr>
          <w:rFonts w:ascii="Arial" w:hAnsi="Arial" w:cs="Arial"/>
        </w:rPr>
      </w:pPr>
      <w:r>
        <w:rPr>
          <w:rFonts w:ascii="Arial" w:hAnsi="Arial" w:cs="Arial"/>
        </w:rPr>
        <w:t>‘. . .</w:t>
      </w:r>
      <w:r w:rsidRPr="00A42926">
        <w:rPr>
          <w:rFonts w:ascii="Arial" w:hAnsi="Arial" w:cs="Arial"/>
        </w:rPr>
        <w:t xml:space="preserve"> a party to an application cannot on his authority cause the registrar to subpoena a witness to appear at the hearing of the application, for the discretion to direct the calling of witnesses under (the Rule) lies with the court and not a party. No witness may be called without the express approval of the court, which will, as part of its order, direct which witnesses are to be called and specify the issues on which oral evidence is to be heard.</w:t>
      </w:r>
      <w:r>
        <w:rPr>
          <w:rFonts w:ascii="Arial" w:hAnsi="Arial" w:cs="Arial"/>
        </w:rPr>
        <w:t>’</w:t>
      </w:r>
    </w:p>
    <w:p w14:paraId="6F8936F3" w14:textId="77777777" w:rsidR="00BE4CBE" w:rsidRPr="00C35600" w:rsidRDefault="00BE4CBE" w:rsidP="00BE4CBE">
      <w:pPr>
        <w:spacing w:line="360" w:lineRule="auto"/>
        <w:jc w:val="both"/>
        <w:rPr>
          <w:rFonts w:ascii="Arial" w:hAnsi="Arial" w:cs="Arial"/>
          <w:sz w:val="24"/>
          <w:szCs w:val="24"/>
        </w:rPr>
      </w:pPr>
    </w:p>
    <w:p w14:paraId="7E0DEBA1" w14:textId="63E2D75D"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[80]</w:t>
      </w:r>
      <w:r w:rsidRPr="00A42926">
        <w:rPr>
          <w:rFonts w:ascii="Arial" w:hAnsi="Arial" w:cs="Arial"/>
          <w:sz w:val="24"/>
          <w:szCs w:val="24"/>
        </w:rPr>
        <w:tab/>
      </w:r>
      <w:r w:rsidR="00BE4CBE" w:rsidRPr="00A42926">
        <w:rPr>
          <w:rFonts w:ascii="Arial" w:hAnsi="Arial" w:cs="Arial"/>
          <w:sz w:val="24"/>
          <w:szCs w:val="24"/>
        </w:rPr>
        <w:t>In many orders where there is referral to evidence</w:t>
      </w:r>
      <w:r w:rsidR="00BE4CBE">
        <w:rPr>
          <w:rFonts w:ascii="Arial" w:hAnsi="Arial" w:cs="Arial"/>
          <w:sz w:val="24"/>
          <w:szCs w:val="24"/>
        </w:rPr>
        <w:t>,</w:t>
      </w:r>
      <w:r w:rsidR="00BE4CBE" w:rsidRPr="00A42926">
        <w:rPr>
          <w:rFonts w:ascii="Arial" w:hAnsi="Arial" w:cs="Arial"/>
          <w:sz w:val="24"/>
          <w:szCs w:val="24"/>
        </w:rPr>
        <w:t xml:space="preserve"> parties are authorised to subpoena witnesses. It is thus a common occurrence when disputes in applications are referred to evidence</w:t>
      </w:r>
      <w:r w:rsidR="00D83CC4">
        <w:rPr>
          <w:rFonts w:ascii="Arial" w:hAnsi="Arial" w:cs="Arial"/>
          <w:sz w:val="24"/>
          <w:szCs w:val="24"/>
        </w:rPr>
        <w:t>.</w:t>
      </w:r>
      <w:r w:rsidR="00BE4CBE" w:rsidRPr="00A42926">
        <w:rPr>
          <w:rStyle w:val="FootnoteReference"/>
          <w:rFonts w:ascii="Arial" w:hAnsi="Arial" w:cs="Arial"/>
          <w:sz w:val="24"/>
          <w:szCs w:val="24"/>
        </w:rPr>
        <w:footnoteReference w:id="29"/>
      </w:r>
    </w:p>
    <w:p w14:paraId="77157A4B" w14:textId="77777777" w:rsidR="00BE4CBE" w:rsidRPr="00A42926" w:rsidRDefault="00BE4CBE" w:rsidP="00BE4CBE">
      <w:pPr>
        <w:pStyle w:val="NoSpacing"/>
        <w:spacing w:line="480" w:lineRule="auto"/>
        <w:jc w:val="both"/>
        <w:rPr>
          <w:rFonts w:ascii="Arial" w:hAnsi="Arial" w:cs="Arial"/>
          <w:sz w:val="24"/>
          <w:szCs w:val="24"/>
        </w:rPr>
      </w:pPr>
    </w:p>
    <w:p w14:paraId="0E01845D" w14:textId="3DA7A7F3"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[81]</w:t>
      </w:r>
      <w:r w:rsidRPr="00A42926">
        <w:rPr>
          <w:rFonts w:ascii="Arial" w:hAnsi="Arial" w:cs="Arial"/>
          <w:sz w:val="24"/>
          <w:szCs w:val="24"/>
        </w:rPr>
        <w:tab/>
      </w:r>
      <w:r w:rsidR="00BE4CBE" w:rsidRPr="00A42926">
        <w:rPr>
          <w:rFonts w:ascii="Arial" w:hAnsi="Arial" w:cs="Arial"/>
          <w:sz w:val="24"/>
          <w:szCs w:val="24"/>
        </w:rPr>
        <w:t xml:space="preserve">The question that arises in this matter is whether a court seized with the case management of an application where only the founding papers (Notice of Motion and Founding Affidavits) have been filed can direct that a subpoena </w:t>
      </w:r>
      <w:r w:rsidR="00BE4CBE" w:rsidRPr="00A42926">
        <w:rPr>
          <w:rFonts w:ascii="Arial" w:hAnsi="Arial" w:cs="Arial"/>
          <w:i/>
          <w:sz w:val="24"/>
          <w:szCs w:val="24"/>
        </w:rPr>
        <w:t xml:space="preserve">duces tecum </w:t>
      </w:r>
      <w:r w:rsidR="00BE4CBE" w:rsidRPr="00A42926">
        <w:rPr>
          <w:rFonts w:ascii="Arial" w:hAnsi="Arial" w:cs="Arial"/>
          <w:sz w:val="24"/>
          <w:szCs w:val="24"/>
        </w:rPr>
        <w:t>be issued. In other words</w:t>
      </w:r>
      <w:r w:rsidR="00BE4CBE">
        <w:rPr>
          <w:rFonts w:ascii="Arial" w:hAnsi="Arial" w:cs="Arial"/>
          <w:sz w:val="24"/>
          <w:szCs w:val="24"/>
        </w:rPr>
        <w:t>,</w:t>
      </w:r>
      <w:r w:rsidR="00BE4CBE" w:rsidRPr="00A42926">
        <w:rPr>
          <w:rFonts w:ascii="Arial" w:hAnsi="Arial" w:cs="Arial"/>
          <w:sz w:val="24"/>
          <w:szCs w:val="24"/>
        </w:rPr>
        <w:t xml:space="preserve"> whether the court in application proceedings can direct the issuing of such subpoena without knowing what the material disputes (if any) will be as this will only become apparent subsequent to the filing of the answering affidavits. It should also be kept in mind that a subpoena </w:t>
      </w:r>
      <w:r w:rsidR="00BE4CBE" w:rsidRPr="00A42926">
        <w:rPr>
          <w:rFonts w:ascii="Arial" w:hAnsi="Arial" w:cs="Arial"/>
          <w:i/>
          <w:sz w:val="24"/>
          <w:szCs w:val="24"/>
        </w:rPr>
        <w:t xml:space="preserve">duces tecum </w:t>
      </w:r>
      <w:r w:rsidR="00BE4CBE" w:rsidRPr="00A42926">
        <w:rPr>
          <w:rFonts w:ascii="Arial" w:hAnsi="Arial" w:cs="Arial"/>
          <w:sz w:val="24"/>
          <w:szCs w:val="24"/>
        </w:rPr>
        <w:t xml:space="preserve">is by its nature directed at a person who is not a party to the application for parties can be made to discover </w:t>
      </w:r>
      <w:r w:rsidR="00BE4CBE" w:rsidRPr="00A42926">
        <w:rPr>
          <w:rFonts w:ascii="Arial" w:hAnsi="Arial" w:cs="Arial"/>
          <w:sz w:val="24"/>
          <w:szCs w:val="24"/>
        </w:rPr>
        <w:lastRenderedPageBreak/>
        <w:t>documents pursuant to discovery procedures. It should be pointed out that discovery in applications only apply ‘to such extent as the court may direct’</w:t>
      </w:r>
      <w:r w:rsidR="008A09BA">
        <w:rPr>
          <w:rFonts w:ascii="Arial" w:hAnsi="Arial" w:cs="Arial"/>
          <w:sz w:val="24"/>
          <w:szCs w:val="24"/>
        </w:rPr>
        <w:t>.</w:t>
      </w:r>
      <w:r w:rsidR="00BE4CBE" w:rsidRPr="00A42926">
        <w:rPr>
          <w:rStyle w:val="FootnoteReference"/>
          <w:rFonts w:ascii="Arial" w:hAnsi="Arial" w:cs="Arial"/>
          <w:sz w:val="24"/>
          <w:szCs w:val="24"/>
        </w:rPr>
        <w:footnoteReference w:id="30"/>
      </w:r>
    </w:p>
    <w:p w14:paraId="6B3F93A9" w14:textId="77777777" w:rsidR="00BE4CBE" w:rsidRPr="00A42926" w:rsidRDefault="00BE4CBE" w:rsidP="00BE4CBE">
      <w:pPr>
        <w:pStyle w:val="ListParagraph"/>
        <w:jc w:val="both"/>
        <w:rPr>
          <w:rFonts w:ascii="Arial" w:hAnsi="Arial" w:cs="Arial"/>
          <w:sz w:val="24"/>
          <w:szCs w:val="24"/>
        </w:rPr>
      </w:pPr>
    </w:p>
    <w:p w14:paraId="0110BD39" w14:textId="6A9DAAA0"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[82]</w:t>
      </w:r>
      <w:r w:rsidRPr="00A42926">
        <w:rPr>
          <w:rFonts w:ascii="Arial" w:hAnsi="Arial" w:cs="Arial"/>
          <w:sz w:val="24"/>
          <w:szCs w:val="24"/>
        </w:rPr>
        <w:tab/>
      </w:r>
      <w:r w:rsidR="00BE4CBE" w:rsidRPr="00A42926">
        <w:rPr>
          <w:rFonts w:ascii="Arial" w:hAnsi="Arial" w:cs="Arial"/>
          <w:sz w:val="24"/>
          <w:szCs w:val="24"/>
        </w:rPr>
        <w:t xml:space="preserve">That there is no general right to information, either through the discovery procedure or through the use of subpoenas (including subpoenas </w:t>
      </w:r>
      <w:r w:rsidR="00BE4CBE" w:rsidRPr="00A42926">
        <w:rPr>
          <w:rFonts w:ascii="Arial" w:hAnsi="Arial" w:cs="Arial"/>
          <w:i/>
          <w:sz w:val="24"/>
          <w:szCs w:val="24"/>
        </w:rPr>
        <w:t xml:space="preserve">duces tecum), </w:t>
      </w:r>
      <w:r w:rsidR="00BE4CBE" w:rsidRPr="00A42926">
        <w:rPr>
          <w:rFonts w:ascii="Arial" w:hAnsi="Arial" w:cs="Arial"/>
          <w:sz w:val="24"/>
          <w:szCs w:val="24"/>
        </w:rPr>
        <w:t xml:space="preserve">outside </w:t>
      </w:r>
      <w:r w:rsidR="00B152DB">
        <w:rPr>
          <w:rFonts w:ascii="Arial" w:hAnsi="Arial" w:cs="Arial"/>
          <w:sz w:val="24"/>
          <w:szCs w:val="24"/>
        </w:rPr>
        <w:t>the rules of court can in my view</w:t>
      </w:r>
      <w:r w:rsidR="00BE4CBE" w:rsidRPr="00A42926">
        <w:rPr>
          <w:rFonts w:ascii="Arial" w:hAnsi="Arial" w:cs="Arial"/>
          <w:sz w:val="24"/>
          <w:szCs w:val="24"/>
        </w:rPr>
        <w:t xml:space="preserve"> be accepted as the law. In </w:t>
      </w:r>
      <w:r w:rsidR="00BE4CBE" w:rsidRPr="00A42926">
        <w:rPr>
          <w:rFonts w:ascii="Arial" w:hAnsi="Arial" w:cs="Arial"/>
          <w:i/>
          <w:sz w:val="24"/>
          <w:szCs w:val="24"/>
        </w:rPr>
        <w:t>Krygkor Pen</w:t>
      </w:r>
      <w:r w:rsidR="00BE4CBE">
        <w:rPr>
          <w:rFonts w:ascii="Arial" w:hAnsi="Arial" w:cs="Arial"/>
          <w:i/>
          <w:sz w:val="24"/>
          <w:szCs w:val="24"/>
        </w:rPr>
        <w:t>sioenf</w:t>
      </w:r>
      <w:r w:rsidR="00BE4CBE" w:rsidRPr="00A42926">
        <w:rPr>
          <w:rFonts w:ascii="Arial" w:hAnsi="Arial" w:cs="Arial"/>
          <w:i/>
          <w:sz w:val="24"/>
          <w:szCs w:val="24"/>
        </w:rPr>
        <w:t>onds v Smith</w:t>
      </w:r>
      <w:r w:rsidR="00BE4CBE" w:rsidRPr="00B50020">
        <w:rPr>
          <w:rStyle w:val="FootnoteReference"/>
          <w:rFonts w:ascii="Arial" w:hAnsi="Arial" w:cs="Arial"/>
          <w:sz w:val="24"/>
          <w:szCs w:val="24"/>
        </w:rPr>
        <w:footnoteReference w:id="31"/>
      </w:r>
      <w:r w:rsidR="00BE4CBE" w:rsidRPr="00A42926">
        <w:rPr>
          <w:rFonts w:ascii="Arial" w:hAnsi="Arial" w:cs="Arial"/>
          <w:i/>
          <w:sz w:val="24"/>
          <w:szCs w:val="24"/>
        </w:rPr>
        <w:t xml:space="preserve"> </w:t>
      </w:r>
      <w:r w:rsidR="00BE4CBE" w:rsidRPr="00A42926">
        <w:rPr>
          <w:rFonts w:ascii="Arial" w:hAnsi="Arial" w:cs="Arial"/>
          <w:sz w:val="24"/>
          <w:szCs w:val="24"/>
        </w:rPr>
        <w:t>the position is stated as follows:</w:t>
      </w:r>
    </w:p>
    <w:p w14:paraId="7A37ECE0" w14:textId="77777777" w:rsidR="00BE4CBE" w:rsidRPr="00A42926" w:rsidRDefault="00BE4CBE" w:rsidP="00BE4CBE">
      <w:pPr>
        <w:pStyle w:val="ListParagraph"/>
        <w:spacing w:after="0" w:line="480" w:lineRule="auto"/>
        <w:jc w:val="both"/>
        <w:rPr>
          <w:rFonts w:ascii="Arial" w:hAnsi="Arial" w:cs="Arial"/>
          <w:sz w:val="24"/>
          <w:szCs w:val="24"/>
        </w:rPr>
      </w:pPr>
    </w:p>
    <w:p w14:paraId="4E873DEB" w14:textId="77777777" w:rsidR="00BE4CBE" w:rsidRPr="00A42926" w:rsidRDefault="00BE4CBE" w:rsidP="00BE4CBE">
      <w:pPr>
        <w:pStyle w:val="NoSpacing"/>
        <w:spacing w:line="360" w:lineRule="auto"/>
        <w:ind w:left="720"/>
        <w:jc w:val="both"/>
        <w:rPr>
          <w:rFonts w:ascii="Arial" w:hAnsi="Arial" w:cs="Arial"/>
        </w:rPr>
      </w:pPr>
      <w:r>
        <w:rPr>
          <w:rFonts w:ascii="Arial" w:hAnsi="Arial" w:cs="Arial"/>
        </w:rPr>
        <w:t>‘</w:t>
      </w:r>
      <w:r w:rsidRPr="00A42926">
        <w:rPr>
          <w:rFonts w:ascii="Arial" w:hAnsi="Arial" w:cs="Arial"/>
        </w:rPr>
        <w:t xml:space="preserve">Normally, the provision of information is regulated as part of the legal proceedings regulated by the rules of court, provision is made for </w:t>
      </w:r>
      <w:r w:rsidRPr="004B2FDD">
        <w:rPr>
          <w:rFonts w:ascii="Arial" w:hAnsi="Arial" w:cs="Arial"/>
          <w:i/>
        </w:rPr>
        <w:t>inter partes</w:t>
      </w:r>
      <w:r w:rsidRPr="00A42926">
        <w:rPr>
          <w:rFonts w:ascii="Arial" w:hAnsi="Arial" w:cs="Arial"/>
        </w:rPr>
        <w:t xml:space="preserve"> exposures and for witness summonses or writs of summons to appear in respect of third parties. Our courts are traditionally disinclined to go beyond these stipulations. See, for example, a part from those already dealt with herein, </w:t>
      </w:r>
      <w:r w:rsidRPr="004B2FDD">
        <w:rPr>
          <w:rFonts w:ascii="Arial" w:hAnsi="Arial" w:cs="Arial"/>
          <w:i/>
        </w:rPr>
        <w:t>Biden v French and D’Esterre Diamond Mining Company</w:t>
      </w:r>
      <w:r w:rsidRPr="00A42926">
        <w:rPr>
          <w:rFonts w:ascii="Arial" w:hAnsi="Arial" w:cs="Arial"/>
        </w:rPr>
        <w:t xml:space="preserve"> (1882) 1 Buch AC 95; </w:t>
      </w:r>
      <w:r w:rsidRPr="004B2FDD">
        <w:rPr>
          <w:rFonts w:ascii="Arial" w:hAnsi="Arial" w:cs="Arial"/>
          <w:i/>
        </w:rPr>
        <w:t>Colonial Government v W H Tatham</w:t>
      </w:r>
      <w:r w:rsidRPr="00A42926">
        <w:rPr>
          <w:rFonts w:ascii="Arial" w:hAnsi="Arial" w:cs="Arial"/>
        </w:rPr>
        <w:t xml:space="preserve"> (1902) 23 NLR 153 at 157-8; </w:t>
      </w:r>
      <w:r w:rsidRPr="004B2FDD">
        <w:rPr>
          <w:rFonts w:ascii="Arial" w:hAnsi="Arial" w:cs="Arial"/>
          <w:i/>
        </w:rPr>
        <w:t>Spies v Vorster</w:t>
      </w:r>
      <w:r w:rsidRPr="00A42926">
        <w:rPr>
          <w:rFonts w:ascii="Arial" w:hAnsi="Arial" w:cs="Arial"/>
        </w:rPr>
        <w:t xml:space="preserve"> 1910 NLR 205 at 216; </w:t>
      </w:r>
      <w:r w:rsidRPr="004B2FDD">
        <w:rPr>
          <w:rFonts w:ascii="Arial" w:hAnsi="Arial" w:cs="Arial"/>
          <w:i/>
        </w:rPr>
        <w:t>Messina Brothers, Coles and Searle v Hansen and Schrader Ltd</w:t>
      </w:r>
      <w:r w:rsidRPr="00A42926">
        <w:rPr>
          <w:rFonts w:ascii="Arial" w:hAnsi="Arial" w:cs="Arial"/>
        </w:rPr>
        <w:t xml:space="preserve"> 1911 CPD 781; </w:t>
      </w:r>
      <w:r w:rsidRPr="004B2FDD">
        <w:rPr>
          <w:rFonts w:ascii="Arial" w:hAnsi="Arial" w:cs="Arial"/>
          <w:i/>
        </w:rPr>
        <w:t>Moulded Components and Rotomoulding South Africa  (Pty) Ltd v Coucourakis and Another</w:t>
      </w:r>
      <w:r w:rsidRPr="00A42926">
        <w:rPr>
          <w:rFonts w:ascii="Arial" w:hAnsi="Arial" w:cs="Arial"/>
        </w:rPr>
        <w:t xml:space="preserve"> 1979 (2) SA 457 (W) at 462H-463B; </w:t>
      </w:r>
      <w:r w:rsidRPr="004B2FDD">
        <w:rPr>
          <w:rFonts w:ascii="Arial" w:hAnsi="Arial" w:cs="Arial"/>
          <w:i/>
        </w:rPr>
        <w:t>Roamer Watch Co SA and Another v African Textile Distributors also t/a M K Patel Wholesale Merchants and Direct Importers</w:t>
      </w:r>
      <w:r w:rsidRPr="00A42926">
        <w:rPr>
          <w:rFonts w:ascii="Arial" w:hAnsi="Arial" w:cs="Arial"/>
        </w:rPr>
        <w:t xml:space="preserve"> 1980 (2) SA 254 (W) at 282C and 284C and </w:t>
      </w:r>
      <w:r w:rsidRPr="004B2FDD">
        <w:rPr>
          <w:rFonts w:ascii="Arial" w:hAnsi="Arial" w:cs="Arial"/>
          <w:i/>
        </w:rPr>
        <w:t>Seetal v Pravitha and Another NO</w:t>
      </w:r>
      <w:r w:rsidRPr="00A42926">
        <w:rPr>
          <w:rFonts w:ascii="Arial" w:hAnsi="Arial" w:cs="Arial"/>
        </w:rPr>
        <w:t xml:space="preserve"> 1983 (3) SA 827 (D) at 832G-833E. Also compare the discussion in </w:t>
      </w:r>
      <w:r w:rsidRPr="004B2FDD">
        <w:rPr>
          <w:rFonts w:ascii="Arial" w:hAnsi="Arial" w:cs="Arial"/>
          <w:i/>
        </w:rPr>
        <w:t>Jafta</w:t>
      </w:r>
      <w:r w:rsidRPr="00A42926">
        <w:rPr>
          <w:rFonts w:ascii="Arial" w:hAnsi="Arial" w:cs="Arial"/>
        </w:rPr>
        <w:t xml:space="preserve">’s case </w:t>
      </w:r>
      <w:r w:rsidRPr="004B2FDD">
        <w:rPr>
          <w:rFonts w:ascii="Arial" w:hAnsi="Arial" w:cs="Arial"/>
          <w:i/>
        </w:rPr>
        <w:t>supra</w:t>
      </w:r>
      <w:r w:rsidRPr="00A42926">
        <w:rPr>
          <w:rFonts w:ascii="Arial" w:hAnsi="Arial" w:cs="Arial"/>
        </w:rPr>
        <w:t xml:space="preserve"> at 293J-294D. What is clear from these modifications is that only in exceptional cases will the Court exercise its inherent power to follow proceedings for which no provision is made in the ordinary law of procedure. The exceptional cases are described in various ways in the decisions referred to above. For present purposes, however, it is sufficient to say that the Court will exercise such jurisdiction just where justice requires deviation from the ordinary procedural rules. And even where a deviation may be necessary the Court will naturally endeavour to adhere as closely as po</w:t>
      </w:r>
      <w:r>
        <w:rPr>
          <w:rFonts w:ascii="Arial" w:hAnsi="Arial" w:cs="Arial"/>
        </w:rPr>
        <w:t>ssible to recognised practices.’</w:t>
      </w:r>
    </w:p>
    <w:p w14:paraId="355F3F02" w14:textId="77777777" w:rsidR="00BE4CBE" w:rsidRPr="00A42926" w:rsidRDefault="00BE4CBE" w:rsidP="00BE4CBE">
      <w:pPr>
        <w:pStyle w:val="NoSpacing"/>
        <w:spacing w:line="480" w:lineRule="auto"/>
        <w:jc w:val="both"/>
        <w:rPr>
          <w:rFonts w:ascii="Arial" w:hAnsi="Arial" w:cs="Arial"/>
        </w:rPr>
      </w:pPr>
    </w:p>
    <w:p w14:paraId="2200F304" w14:textId="45ABCB28"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[83]</w:t>
      </w:r>
      <w:r w:rsidRPr="00A42926">
        <w:rPr>
          <w:rFonts w:ascii="Arial" w:hAnsi="Arial" w:cs="Arial"/>
          <w:sz w:val="24"/>
          <w:szCs w:val="24"/>
        </w:rPr>
        <w:tab/>
      </w:r>
      <w:r w:rsidR="00BE4CBE" w:rsidRPr="00A42926">
        <w:rPr>
          <w:rFonts w:ascii="Arial" w:hAnsi="Arial" w:cs="Arial"/>
          <w:sz w:val="24"/>
          <w:szCs w:val="24"/>
        </w:rPr>
        <w:t xml:space="preserve">In </w:t>
      </w:r>
      <w:r w:rsidR="00BE4CBE" w:rsidRPr="00A42926">
        <w:rPr>
          <w:rFonts w:ascii="Arial" w:hAnsi="Arial" w:cs="Arial"/>
          <w:i/>
          <w:sz w:val="24"/>
          <w:szCs w:val="24"/>
        </w:rPr>
        <w:t xml:space="preserve">Krygkor </w:t>
      </w:r>
      <w:r w:rsidR="00BE4CBE" w:rsidRPr="00A42926">
        <w:rPr>
          <w:rFonts w:ascii="Arial" w:hAnsi="Arial" w:cs="Arial"/>
          <w:sz w:val="24"/>
          <w:szCs w:val="24"/>
        </w:rPr>
        <w:t xml:space="preserve">the applicant sought an order against her ex-husband’s pension fund compelling it to furnish certain information to her about payments made to him. In terms </w:t>
      </w:r>
      <w:r w:rsidR="00BE4CBE" w:rsidRPr="00A42926">
        <w:rPr>
          <w:rFonts w:ascii="Arial" w:hAnsi="Arial" w:cs="Arial"/>
          <w:sz w:val="24"/>
          <w:szCs w:val="24"/>
        </w:rPr>
        <w:lastRenderedPageBreak/>
        <w:t xml:space="preserve">of a divorce order she would be entitled to half of such pay-outs and her husband, who went on pension, did not make any payment to her and refused to provide her with the necessary information. The court held that even if it had the inherent power to do so it would not do so if the information could have been obtained by using normal discovery procedures or by serving on a non-litigant a subpoena </w:t>
      </w:r>
      <w:r w:rsidR="00BE4CBE" w:rsidRPr="00A42926">
        <w:rPr>
          <w:rFonts w:ascii="Arial" w:hAnsi="Arial" w:cs="Arial"/>
          <w:i/>
          <w:sz w:val="24"/>
          <w:szCs w:val="24"/>
        </w:rPr>
        <w:t xml:space="preserve">duces tecum </w:t>
      </w:r>
      <w:r w:rsidR="00BE4CBE" w:rsidRPr="00A42926">
        <w:rPr>
          <w:rFonts w:ascii="Arial" w:hAnsi="Arial" w:cs="Arial"/>
          <w:sz w:val="24"/>
          <w:szCs w:val="24"/>
        </w:rPr>
        <w:t>in the ordinary course. As use could be made of the discovery procedures on the facts of this case the application was dismissed with costs.</w:t>
      </w:r>
    </w:p>
    <w:p w14:paraId="19779847" w14:textId="77777777" w:rsidR="00BE4CBE" w:rsidRPr="00A42926" w:rsidRDefault="00BE4CBE" w:rsidP="00BE4CBE">
      <w:pPr>
        <w:pStyle w:val="NoSpacing"/>
        <w:spacing w:line="480" w:lineRule="auto"/>
        <w:jc w:val="both"/>
        <w:rPr>
          <w:rFonts w:ascii="Arial" w:hAnsi="Arial" w:cs="Arial"/>
          <w:sz w:val="24"/>
          <w:szCs w:val="24"/>
        </w:rPr>
      </w:pPr>
    </w:p>
    <w:p w14:paraId="1C199BA2" w14:textId="21975530"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[84]</w:t>
      </w:r>
      <w:r w:rsidRPr="00A42926">
        <w:rPr>
          <w:rFonts w:ascii="Arial" w:hAnsi="Arial" w:cs="Arial"/>
          <w:sz w:val="24"/>
          <w:szCs w:val="24"/>
        </w:rPr>
        <w:tab/>
      </w:r>
      <w:r w:rsidR="00BE4CBE" w:rsidRPr="00A42926">
        <w:rPr>
          <w:rFonts w:ascii="Arial" w:hAnsi="Arial" w:cs="Arial"/>
          <w:sz w:val="24"/>
          <w:szCs w:val="24"/>
        </w:rPr>
        <w:t>In Namibia</w:t>
      </w:r>
      <w:r w:rsidR="00BE4CBE">
        <w:rPr>
          <w:rFonts w:ascii="Arial" w:hAnsi="Arial" w:cs="Arial"/>
          <w:sz w:val="24"/>
          <w:szCs w:val="24"/>
        </w:rPr>
        <w:t>,</w:t>
      </w:r>
      <w:r w:rsidR="00BE4CBE" w:rsidRPr="00A42926">
        <w:rPr>
          <w:rFonts w:ascii="Arial" w:hAnsi="Arial" w:cs="Arial"/>
          <w:sz w:val="24"/>
          <w:szCs w:val="24"/>
        </w:rPr>
        <w:t xml:space="preserve"> this </w:t>
      </w:r>
      <w:r w:rsidR="00BE4CBE">
        <w:rPr>
          <w:rFonts w:ascii="Arial" w:hAnsi="Arial" w:cs="Arial"/>
          <w:sz w:val="24"/>
          <w:szCs w:val="24"/>
        </w:rPr>
        <w:t>C</w:t>
      </w:r>
      <w:r w:rsidR="00BE4CBE" w:rsidRPr="00A42926">
        <w:rPr>
          <w:rFonts w:ascii="Arial" w:hAnsi="Arial" w:cs="Arial"/>
          <w:sz w:val="24"/>
          <w:szCs w:val="24"/>
        </w:rPr>
        <w:t xml:space="preserve">ourt in </w:t>
      </w:r>
      <w:r w:rsidR="00BE4CBE" w:rsidRPr="00A42926">
        <w:rPr>
          <w:rFonts w:ascii="Arial" w:hAnsi="Arial" w:cs="Arial"/>
          <w:i/>
          <w:sz w:val="24"/>
          <w:szCs w:val="24"/>
        </w:rPr>
        <w:t>Chairperson of the Tender Board v Pamo Trading Enterprises</w:t>
      </w:r>
      <w:r w:rsidR="00BE4CBE" w:rsidRPr="002F0A2E">
        <w:rPr>
          <w:rStyle w:val="FootnoteReference"/>
          <w:rFonts w:ascii="Arial" w:hAnsi="Arial" w:cs="Arial"/>
          <w:sz w:val="24"/>
          <w:szCs w:val="24"/>
        </w:rPr>
        <w:footnoteReference w:id="32"/>
      </w:r>
      <w:r w:rsidR="00BE4CBE" w:rsidRPr="00A42926">
        <w:rPr>
          <w:rFonts w:ascii="Arial" w:hAnsi="Arial" w:cs="Arial"/>
          <w:sz w:val="24"/>
          <w:szCs w:val="24"/>
        </w:rPr>
        <w:t xml:space="preserve">, in essence, came to the same conclusion. In this case an unsuccessful tenderer sought documents from the </w:t>
      </w:r>
      <w:r w:rsidR="00BE4CBE">
        <w:rPr>
          <w:rFonts w:ascii="Arial" w:hAnsi="Arial" w:cs="Arial"/>
          <w:sz w:val="24"/>
          <w:szCs w:val="24"/>
        </w:rPr>
        <w:t>Tender B</w:t>
      </w:r>
      <w:r w:rsidR="00BE4CBE" w:rsidRPr="00A42926">
        <w:rPr>
          <w:rFonts w:ascii="Arial" w:hAnsi="Arial" w:cs="Arial"/>
          <w:sz w:val="24"/>
          <w:szCs w:val="24"/>
        </w:rPr>
        <w:t>oard for the purposes of seeking advice in order to decide whether or not to review the decision of the Tender Board. This pre-litigation discovery was sought on the basis of an entitlement thereto pursuant to Arts 12 and 18 of the Constitution.</w:t>
      </w:r>
    </w:p>
    <w:p w14:paraId="1D746667" w14:textId="77777777" w:rsidR="00BE4CBE" w:rsidRPr="00A42926" w:rsidRDefault="00BE4CBE" w:rsidP="00BE4CBE">
      <w:pPr>
        <w:pStyle w:val="ListParagraph"/>
        <w:jc w:val="both"/>
        <w:rPr>
          <w:rFonts w:ascii="Arial" w:hAnsi="Arial" w:cs="Arial"/>
          <w:sz w:val="24"/>
          <w:szCs w:val="24"/>
        </w:rPr>
      </w:pPr>
    </w:p>
    <w:p w14:paraId="15893B03" w14:textId="55AE7A51" w:rsidR="00BE4CBE" w:rsidRPr="00A42926" w:rsidRDefault="00A81732" w:rsidP="00A81732">
      <w:pPr>
        <w:pStyle w:val="NoSpacing"/>
        <w:tabs>
          <w:tab w:val="left" w:pos="567"/>
        </w:tabs>
        <w:spacing w:line="480" w:lineRule="auto"/>
        <w:jc w:val="both"/>
        <w:rPr>
          <w:rFonts w:ascii="Arial" w:hAnsi="Arial" w:cs="Arial"/>
          <w:sz w:val="24"/>
          <w:szCs w:val="24"/>
        </w:rPr>
      </w:pPr>
      <w:r w:rsidRPr="00A42926">
        <w:rPr>
          <w:rFonts w:ascii="Arial" w:hAnsi="Arial" w:cs="Arial"/>
          <w:sz w:val="24"/>
          <w:szCs w:val="24"/>
        </w:rPr>
        <w:t>[85]</w:t>
      </w:r>
      <w:r w:rsidRPr="00A42926">
        <w:rPr>
          <w:rFonts w:ascii="Arial" w:hAnsi="Arial" w:cs="Arial"/>
          <w:sz w:val="24"/>
          <w:szCs w:val="24"/>
        </w:rPr>
        <w:tab/>
      </w:r>
      <w:r w:rsidR="00BE4CBE" w:rsidRPr="00A42926">
        <w:rPr>
          <w:rFonts w:ascii="Arial" w:hAnsi="Arial" w:cs="Arial"/>
          <w:sz w:val="24"/>
          <w:szCs w:val="24"/>
        </w:rPr>
        <w:t>This court found that pre-litigation discovery was not a constitutional right either under Art 12 or Art 18 but could be granted in exceptional circumstances in rare cases</w:t>
      </w:r>
      <w:r w:rsidR="00BE4CBE" w:rsidRPr="00A42926">
        <w:rPr>
          <w:rStyle w:val="FootnoteReference"/>
          <w:rFonts w:ascii="Arial" w:hAnsi="Arial" w:cs="Arial"/>
          <w:sz w:val="24"/>
          <w:szCs w:val="24"/>
        </w:rPr>
        <w:footnoteReference w:id="33"/>
      </w:r>
      <w:r w:rsidR="00BE4CBE" w:rsidRPr="00A42926">
        <w:rPr>
          <w:rFonts w:ascii="Arial" w:hAnsi="Arial" w:cs="Arial"/>
          <w:sz w:val="24"/>
          <w:szCs w:val="24"/>
        </w:rPr>
        <w:t>.</w:t>
      </w:r>
      <w:r w:rsidR="00BE4CBE">
        <w:rPr>
          <w:rFonts w:ascii="Arial" w:hAnsi="Arial" w:cs="Arial"/>
          <w:sz w:val="24"/>
          <w:szCs w:val="24"/>
        </w:rPr>
        <w:t xml:space="preserve"> F</w:t>
      </w:r>
      <w:r w:rsidR="00BE4CBE" w:rsidRPr="00A42926">
        <w:rPr>
          <w:rFonts w:ascii="Arial" w:hAnsi="Arial" w:cs="Arial"/>
          <w:sz w:val="24"/>
          <w:szCs w:val="24"/>
        </w:rPr>
        <w:t xml:space="preserve">urther, </w:t>
      </w:r>
      <w:r w:rsidR="00BE4CBE">
        <w:rPr>
          <w:rFonts w:ascii="Arial" w:hAnsi="Arial" w:cs="Arial"/>
          <w:sz w:val="24"/>
          <w:szCs w:val="24"/>
        </w:rPr>
        <w:t xml:space="preserve">the court in </w:t>
      </w:r>
      <w:r w:rsidR="00BE4CBE" w:rsidRPr="00707D22">
        <w:rPr>
          <w:rFonts w:ascii="Arial" w:hAnsi="Arial" w:cs="Arial"/>
          <w:i/>
          <w:sz w:val="24"/>
          <w:szCs w:val="24"/>
        </w:rPr>
        <w:t>Pamo Trading</w:t>
      </w:r>
      <w:r w:rsidR="00BE4CBE">
        <w:rPr>
          <w:rFonts w:ascii="Arial" w:hAnsi="Arial" w:cs="Arial"/>
          <w:sz w:val="24"/>
          <w:szCs w:val="24"/>
        </w:rPr>
        <w:t xml:space="preserve"> </w:t>
      </w:r>
      <w:r w:rsidR="00017152">
        <w:rPr>
          <w:rFonts w:ascii="Arial" w:hAnsi="Arial" w:cs="Arial"/>
          <w:sz w:val="24"/>
          <w:szCs w:val="24"/>
        </w:rPr>
        <w:t>–</w:t>
      </w:r>
      <w:r w:rsidR="00BE4CBE">
        <w:rPr>
          <w:rFonts w:ascii="Arial" w:hAnsi="Arial" w:cs="Arial"/>
          <w:sz w:val="24"/>
          <w:szCs w:val="24"/>
        </w:rPr>
        <w:t xml:space="preserve"> </w:t>
      </w:r>
      <w:r w:rsidR="00BE4CBE" w:rsidRPr="00A42926">
        <w:rPr>
          <w:rFonts w:ascii="Arial" w:hAnsi="Arial" w:cs="Arial"/>
          <w:sz w:val="24"/>
          <w:szCs w:val="24"/>
        </w:rPr>
        <w:t xml:space="preserve">after referring to the South African case of </w:t>
      </w:r>
      <w:r w:rsidR="00BE4CBE" w:rsidRPr="00A42926">
        <w:rPr>
          <w:rFonts w:ascii="Arial" w:hAnsi="Arial" w:cs="Arial"/>
          <w:i/>
          <w:sz w:val="24"/>
          <w:szCs w:val="24"/>
        </w:rPr>
        <w:t>Unitas Hospital v Van Wyk</w:t>
      </w:r>
      <w:r w:rsidR="00BE4CBE">
        <w:rPr>
          <w:rFonts w:ascii="Arial" w:hAnsi="Arial" w:cs="Arial"/>
          <w:i/>
          <w:sz w:val="24"/>
          <w:szCs w:val="24"/>
        </w:rPr>
        <w:t xml:space="preserve"> &amp; another</w:t>
      </w:r>
      <w:r w:rsidR="00BE4CBE" w:rsidRPr="00B01E58">
        <w:rPr>
          <w:rStyle w:val="FootnoteReference"/>
          <w:rFonts w:ascii="Arial" w:hAnsi="Arial" w:cs="Arial"/>
          <w:sz w:val="24"/>
          <w:szCs w:val="24"/>
        </w:rPr>
        <w:footnoteReference w:id="34"/>
      </w:r>
      <w:r w:rsidR="00016397">
        <w:rPr>
          <w:rFonts w:ascii="Arial" w:hAnsi="Arial" w:cs="Arial"/>
          <w:i/>
          <w:sz w:val="24"/>
          <w:szCs w:val="24"/>
        </w:rPr>
        <w:t xml:space="preserve"> </w:t>
      </w:r>
      <w:r w:rsidR="00AE7B4E">
        <w:rPr>
          <w:rFonts w:ascii="Arial" w:hAnsi="Arial" w:cs="Arial"/>
          <w:i/>
          <w:sz w:val="24"/>
          <w:szCs w:val="24"/>
        </w:rPr>
        <w:t>–</w:t>
      </w:r>
      <w:r w:rsidR="00BE4CBE" w:rsidRPr="00A42926">
        <w:rPr>
          <w:rFonts w:ascii="Arial" w:hAnsi="Arial" w:cs="Arial"/>
          <w:i/>
          <w:sz w:val="24"/>
          <w:szCs w:val="24"/>
        </w:rPr>
        <w:t xml:space="preserve"> </w:t>
      </w:r>
      <w:r w:rsidR="00BE4CBE" w:rsidRPr="00A42926">
        <w:rPr>
          <w:rFonts w:ascii="Arial" w:hAnsi="Arial" w:cs="Arial"/>
          <w:sz w:val="24"/>
          <w:szCs w:val="24"/>
        </w:rPr>
        <w:t>concluded as follows:</w:t>
      </w:r>
    </w:p>
    <w:p w14:paraId="4CA9A167" w14:textId="77777777" w:rsidR="00BE4CBE" w:rsidRPr="00EC0DE3" w:rsidRDefault="00BE4CBE" w:rsidP="00BE4CBE">
      <w:pPr>
        <w:pStyle w:val="NoSpacing"/>
        <w:spacing w:line="480" w:lineRule="auto"/>
        <w:ind w:left="720"/>
        <w:jc w:val="both"/>
        <w:rPr>
          <w:rFonts w:ascii="Arial" w:hAnsi="Arial" w:cs="Arial"/>
          <w:sz w:val="24"/>
          <w:szCs w:val="24"/>
        </w:rPr>
      </w:pPr>
    </w:p>
    <w:p w14:paraId="22A1D8EB" w14:textId="6B465ED1" w:rsidR="00BE4CBE" w:rsidRPr="00A42926" w:rsidRDefault="00BE4CBE" w:rsidP="00BE4CBE">
      <w:pPr>
        <w:pStyle w:val="NoSpacing"/>
        <w:spacing w:line="360" w:lineRule="auto"/>
        <w:ind w:left="720"/>
        <w:jc w:val="both"/>
        <w:rPr>
          <w:rFonts w:ascii="Arial" w:hAnsi="Arial" w:cs="Arial"/>
        </w:rPr>
      </w:pPr>
      <w:r>
        <w:rPr>
          <w:rFonts w:ascii="Arial" w:hAnsi="Arial" w:cs="Arial"/>
        </w:rPr>
        <w:t>‘</w:t>
      </w:r>
      <w:r w:rsidRPr="00A42926">
        <w:rPr>
          <w:rFonts w:ascii="Arial" w:hAnsi="Arial" w:cs="Arial"/>
        </w:rPr>
        <w:t>Quite apart from the weighty consideration of an adequate alternative remedy in the hands of the respondent which would preclude the need to develop the common law on the facts of this case, the respondents furthermore do not properly specify in their application what right they wish to protect, what information is required and how that would assist them in exercising, asserting or protecting that right.</w:t>
      </w:r>
    </w:p>
    <w:p w14:paraId="360B6372" w14:textId="77777777" w:rsidR="00BE4CBE" w:rsidRPr="00EC0DE3" w:rsidRDefault="00BE4CBE" w:rsidP="00BE4CBE">
      <w:pPr>
        <w:pStyle w:val="NoSpacing"/>
        <w:spacing w:line="360" w:lineRule="auto"/>
        <w:ind w:left="720"/>
        <w:jc w:val="both"/>
        <w:rPr>
          <w:rFonts w:ascii="Arial" w:hAnsi="Arial" w:cs="Arial"/>
        </w:rPr>
      </w:pPr>
    </w:p>
    <w:p w14:paraId="6DF2EF77" w14:textId="6DA253E2" w:rsidR="00BE4CBE" w:rsidRPr="00A42926" w:rsidRDefault="00BE4CBE" w:rsidP="00BE4CBE">
      <w:pPr>
        <w:pStyle w:val="NoSpacing"/>
        <w:spacing w:line="360" w:lineRule="auto"/>
        <w:ind w:left="720"/>
        <w:jc w:val="both"/>
        <w:rPr>
          <w:rFonts w:ascii="Arial" w:hAnsi="Arial" w:cs="Arial"/>
        </w:rPr>
      </w:pPr>
      <w:r w:rsidRPr="00A42926">
        <w:rPr>
          <w:rFonts w:ascii="Arial" w:hAnsi="Arial" w:cs="Arial"/>
        </w:rPr>
        <w:lastRenderedPageBreak/>
        <w:t>As I have pointed out, the respondents were sketchy and vague in setting out the right they wish to assert and not even address the further aspects of explaining what information is required and how this could assist them in asserting their right. The vagueness in this regard is compounded by their failure to exercise their statutory and constitutional right to request reasons before launching their application. The respondents thus comprehensively failed to justify the need to develop the common law to compel the board to provide t</w:t>
      </w:r>
      <w:r>
        <w:rPr>
          <w:rFonts w:ascii="Arial" w:hAnsi="Arial" w:cs="Arial"/>
        </w:rPr>
        <w:t>he documentation sought by them</w:t>
      </w:r>
      <w:r w:rsidRPr="00A42926">
        <w:rPr>
          <w:rFonts w:ascii="Arial" w:hAnsi="Arial" w:cs="Arial"/>
        </w:rPr>
        <w:t>.</w:t>
      </w:r>
      <w:r>
        <w:rPr>
          <w:rFonts w:ascii="Arial" w:hAnsi="Arial" w:cs="Arial"/>
        </w:rPr>
        <w:t>’</w:t>
      </w:r>
      <w:r w:rsidR="008362EF">
        <w:rPr>
          <w:rStyle w:val="FootnoteReference"/>
          <w:rFonts w:ascii="Arial" w:hAnsi="Arial" w:cs="Arial"/>
        </w:rPr>
        <w:footnoteReference w:id="35"/>
      </w:r>
    </w:p>
    <w:p w14:paraId="1BD9AD61" w14:textId="77777777" w:rsidR="00BE4CBE" w:rsidRPr="00A42926" w:rsidRDefault="00BE4CBE" w:rsidP="00BE4CBE">
      <w:pPr>
        <w:pStyle w:val="ListParagraph"/>
        <w:spacing w:line="480" w:lineRule="auto"/>
        <w:jc w:val="both"/>
        <w:rPr>
          <w:rFonts w:ascii="Arial" w:hAnsi="Arial" w:cs="Arial"/>
          <w:sz w:val="24"/>
          <w:szCs w:val="24"/>
        </w:rPr>
      </w:pPr>
    </w:p>
    <w:p w14:paraId="08DD338A" w14:textId="103ED643"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[86]</w:t>
      </w:r>
      <w:r w:rsidRPr="00A42926">
        <w:rPr>
          <w:rFonts w:ascii="Arial" w:hAnsi="Arial" w:cs="Arial"/>
          <w:sz w:val="24"/>
          <w:szCs w:val="24"/>
        </w:rPr>
        <w:tab/>
      </w:r>
      <w:r w:rsidR="00BE4CBE" w:rsidRPr="00A42926">
        <w:rPr>
          <w:rFonts w:ascii="Arial" w:hAnsi="Arial" w:cs="Arial"/>
          <w:sz w:val="24"/>
          <w:szCs w:val="24"/>
        </w:rPr>
        <w:t xml:space="preserve">In </w:t>
      </w:r>
      <w:r w:rsidR="00BE4CBE" w:rsidRPr="00A42926">
        <w:rPr>
          <w:rFonts w:ascii="Arial" w:hAnsi="Arial" w:cs="Arial"/>
          <w:i/>
          <w:sz w:val="24"/>
          <w:szCs w:val="24"/>
        </w:rPr>
        <w:t>Unitas</w:t>
      </w:r>
      <w:r w:rsidR="00BE4CBE">
        <w:rPr>
          <w:rFonts w:ascii="Arial" w:hAnsi="Arial" w:cs="Arial"/>
          <w:sz w:val="24"/>
          <w:szCs w:val="24"/>
        </w:rPr>
        <w:t>,</w:t>
      </w:r>
      <w:r w:rsidR="00BE4CBE" w:rsidRPr="00A42926">
        <w:rPr>
          <w:rFonts w:ascii="Arial" w:hAnsi="Arial" w:cs="Arial"/>
          <w:i/>
          <w:sz w:val="24"/>
          <w:szCs w:val="24"/>
        </w:rPr>
        <w:t xml:space="preserve"> </w:t>
      </w:r>
      <w:r w:rsidR="00BE4CBE" w:rsidRPr="00A42926">
        <w:rPr>
          <w:rFonts w:ascii="Arial" w:hAnsi="Arial" w:cs="Arial"/>
          <w:sz w:val="24"/>
          <w:szCs w:val="24"/>
        </w:rPr>
        <w:t>the South African court held that in its view open and democratic countries would not necessar</w:t>
      </w:r>
      <w:r w:rsidR="00BE4CBE">
        <w:rPr>
          <w:rFonts w:ascii="Arial" w:hAnsi="Arial" w:cs="Arial"/>
          <w:sz w:val="24"/>
          <w:szCs w:val="24"/>
        </w:rPr>
        <w:t>ily</w:t>
      </w:r>
      <w:r w:rsidR="00BE4CBE" w:rsidRPr="00A42926">
        <w:rPr>
          <w:rFonts w:ascii="Arial" w:hAnsi="Arial" w:cs="Arial"/>
          <w:sz w:val="24"/>
          <w:szCs w:val="24"/>
        </w:rPr>
        <w:t xml:space="preserve"> encourage </w:t>
      </w:r>
      <w:r w:rsidR="00BE4CBE">
        <w:rPr>
          <w:rFonts w:ascii="Arial" w:hAnsi="Arial" w:cs="Arial"/>
          <w:sz w:val="24"/>
          <w:szCs w:val="24"/>
        </w:rPr>
        <w:t>‘</w:t>
      </w:r>
      <w:r w:rsidR="00BE4CBE" w:rsidRPr="00A42926">
        <w:rPr>
          <w:rFonts w:ascii="Arial" w:hAnsi="Arial" w:cs="Arial"/>
          <w:sz w:val="24"/>
          <w:szCs w:val="24"/>
        </w:rPr>
        <w:t>what is commonly refer</w:t>
      </w:r>
      <w:r w:rsidR="00BE4CBE">
        <w:rPr>
          <w:rFonts w:ascii="Arial" w:hAnsi="Arial" w:cs="Arial"/>
          <w:sz w:val="24"/>
          <w:szCs w:val="24"/>
        </w:rPr>
        <w:t>red to as “fishing expeditions”’</w:t>
      </w:r>
      <w:r w:rsidR="00BE4CBE" w:rsidRPr="00A42926">
        <w:rPr>
          <w:rFonts w:ascii="Arial" w:hAnsi="Arial" w:cs="Arial"/>
          <w:sz w:val="24"/>
          <w:szCs w:val="24"/>
        </w:rPr>
        <w:t xml:space="preserve"> which would happen if pre-litigation discovery is accepted as a general rule nor would such a country require a potential defendant, to disclose his or her whole case before proceedings are launched against such person. That the rules relating to discovery had served that country well over the years </w:t>
      </w:r>
      <w:r w:rsidR="00BE4CBE">
        <w:rPr>
          <w:rFonts w:ascii="Arial" w:hAnsi="Arial" w:cs="Arial"/>
          <w:sz w:val="24"/>
          <w:szCs w:val="24"/>
        </w:rPr>
        <w:t>and had built</w:t>
      </w:r>
      <w:r w:rsidR="00BE4CBE" w:rsidRPr="00A42926">
        <w:rPr>
          <w:rFonts w:ascii="Arial" w:hAnsi="Arial" w:cs="Arial"/>
          <w:sz w:val="24"/>
          <w:szCs w:val="24"/>
        </w:rPr>
        <w:t>-in measures to promote fairness and avoid abuse. Documents are only discoverable if relevant to the litigation which is determined by</w:t>
      </w:r>
      <w:r w:rsidR="00BE4CBE">
        <w:rPr>
          <w:rFonts w:ascii="Arial" w:hAnsi="Arial" w:cs="Arial"/>
          <w:sz w:val="24"/>
          <w:szCs w:val="24"/>
        </w:rPr>
        <w:t xml:space="preserve"> reference to the </w:t>
      </w:r>
      <w:r w:rsidR="00BE4CBE" w:rsidRPr="00A42926">
        <w:rPr>
          <w:rFonts w:ascii="Arial" w:hAnsi="Arial" w:cs="Arial"/>
          <w:sz w:val="24"/>
          <w:szCs w:val="24"/>
        </w:rPr>
        <w:t xml:space="preserve">issues </w:t>
      </w:r>
      <w:r w:rsidR="00BE4CBE">
        <w:rPr>
          <w:rFonts w:ascii="Arial" w:hAnsi="Arial" w:cs="Arial"/>
          <w:sz w:val="24"/>
          <w:szCs w:val="24"/>
        </w:rPr>
        <w:t xml:space="preserve">in </w:t>
      </w:r>
      <w:r w:rsidR="00BE4CBE" w:rsidRPr="00A42926">
        <w:rPr>
          <w:rFonts w:ascii="Arial" w:hAnsi="Arial" w:cs="Arial"/>
          <w:sz w:val="24"/>
          <w:szCs w:val="24"/>
        </w:rPr>
        <w:t>the litigation under consideration. Whereas it is correct that the fact that the information sought will, in the general scheme of things only become available in terms of the rules this does not mean that there is an absolute bar to that information prior to the date it would become available pursuant to the rules. However</w:t>
      </w:r>
      <w:r w:rsidR="00BE4CBE">
        <w:rPr>
          <w:rFonts w:ascii="Arial" w:hAnsi="Arial" w:cs="Arial"/>
          <w:sz w:val="24"/>
          <w:szCs w:val="24"/>
        </w:rPr>
        <w:t>, if the information</w:t>
      </w:r>
      <w:r w:rsidR="00BE4CBE" w:rsidRPr="00A42926">
        <w:rPr>
          <w:rFonts w:ascii="Arial" w:hAnsi="Arial" w:cs="Arial"/>
          <w:sz w:val="24"/>
          <w:szCs w:val="24"/>
        </w:rPr>
        <w:t xml:space="preserve"> which would be available at a later stage, is needed prior to such later stage a litigant would have to </w:t>
      </w:r>
      <w:r w:rsidR="00BE4CBE">
        <w:rPr>
          <w:rFonts w:ascii="Arial" w:hAnsi="Arial" w:cs="Arial"/>
          <w:sz w:val="24"/>
          <w:szCs w:val="24"/>
        </w:rPr>
        <w:t>justify it and show an</w:t>
      </w:r>
      <w:r w:rsidR="00BE4CBE" w:rsidRPr="00A42926">
        <w:rPr>
          <w:rFonts w:ascii="Arial" w:hAnsi="Arial" w:cs="Arial"/>
          <w:sz w:val="24"/>
          <w:szCs w:val="24"/>
        </w:rPr>
        <w:t xml:space="preserve"> ‘element of need’ or a ‘special advantage’ before </w:t>
      </w:r>
      <w:r w:rsidR="00BE4CBE">
        <w:rPr>
          <w:rFonts w:ascii="Arial" w:hAnsi="Arial" w:cs="Arial"/>
          <w:sz w:val="24"/>
          <w:szCs w:val="24"/>
        </w:rPr>
        <w:t xml:space="preserve">a </w:t>
      </w:r>
      <w:r w:rsidR="00BE4CBE" w:rsidRPr="00A42926">
        <w:rPr>
          <w:rFonts w:ascii="Arial" w:hAnsi="Arial" w:cs="Arial"/>
          <w:sz w:val="24"/>
          <w:szCs w:val="24"/>
        </w:rPr>
        <w:t>court will allow it. In other words</w:t>
      </w:r>
      <w:r w:rsidR="00BE4CBE">
        <w:rPr>
          <w:rFonts w:ascii="Arial" w:hAnsi="Arial" w:cs="Arial"/>
          <w:sz w:val="24"/>
          <w:szCs w:val="24"/>
        </w:rPr>
        <w:t>,</w:t>
      </w:r>
      <w:r w:rsidR="00BE4CBE" w:rsidRPr="00A42926">
        <w:rPr>
          <w:rFonts w:ascii="Arial" w:hAnsi="Arial" w:cs="Arial"/>
          <w:sz w:val="24"/>
          <w:szCs w:val="24"/>
        </w:rPr>
        <w:t xml:space="preserve"> it will remain an exceptional case</w:t>
      </w:r>
      <w:r w:rsidR="00BE4CBE" w:rsidRPr="00A42926">
        <w:rPr>
          <w:rStyle w:val="FootnoteReference"/>
          <w:rFonts w:ascii="Arial" w:hAnsi="Arial" w:cs="Arial"/>
          <w:sz w:val="24"/>
          <w:szCs w:val="24"/>
        </w:rPr>
        <w:footnoteReference w:id="36"/>
      </w:r>
      <w:r w:rsidR="00BE4CBE" w:rsidRPr="00A42926">
        <w:rPr>
          <w:rFonts w:ascii="Arial" w:hAnsi="Arial" w:cs="Arial"/>
          <w:sz w:val="24"/>
          <w:szCs w:val="24"/>
        </w:rPr>
        <w:t xml:space="preserve">. </w:t>
      </w:r>
    </w:p>
    <w:p w14:paraId="290EEBAF" w14:textId="77777777" w:rsidR="00BE4CBE" w:rsidRPr="00A42926" w:rsidRDefault="00BE4CBE" w:rsidP="00BE4CBE">
      <w:pPr>
        <w:pStyle w:val="NoSpacing"/>
        <w:spacing w:line="480" w:lineRule="auto"/>
        <w:jc w:val="both"/>
        <w:rPr>
          <w:rFonts w:ascii="Arial" w:hAnsi="Arial" w:cs="Arial"/>
          <w:sz w:val="24"/>
          <w:szCs w:val="24"/>
        </w:rPr>
      </w:pPr>
    </w:p>
    <w:p w14:paraId="3C74550B" w14:textId="7134C38C"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[87]</w:t>
      </w:r>
      <w:r w:rsidRPr="00A42926">
        <w:rPr>
          <w:rFonts w:ascii="Arial" w:hAnsi="Arial" w:cs="Arial"/>
          <w:sz w:val="24"/>
          <w:szCs w:val="24"/>
        </w:rPr>
        <w:tab/>
      </w:r>
      <w:r w:rsidR="00BE4CBE" w:rsidRPr="00A42926">
        <w:rPr>
          <w:rFonts w:ascii="Arial" w:hAnsi="Arial" w:cs="Arial"/>
          <w:sz w:val="24"/>
          <w:szCs w:val="24"/>
        </w:rPr>
        <w:t xml:space="preserve">As in South Africa, the rules in Namibia served us well for decades and the inherent jurisdiction of the High Court to depart from the rules when circumstances warrant it has insured that the rules remain the procedural backbone for litigation that </w:t>
      </w:r>
      <w:r w:rsidR="00BE4CBE" w:rsidRPr="00A42926">
        <w:rPr>
          <w:rFonts w:ascii="Arial" w:hAnsi="Arial" w:cs="Arial"/>
          <w:sz w:val="24"/>
          <w:szCs w:val="24"/>
        </w:rPr>
        <w:lastRenderedPageBreak/>
        <w:t>is fair to all concerned in such litigation. It has never been sugges</w:t>
      </w:r>
      <w:r w:rsidR="00C21DB8">
        <w:rPr>
          <w:rFonts w:ascii="Arial" w:hAnsi="Arial" w:cs="Arial"/>
          <w:sz w:val="24"/>
          <w:szCs w:val="24"/>
        </w:rPr>
        <w:t>ted that the rules which apply</w:t>
      </w:r>
      <w:r w:rsidR="00BE4CBE" w:rsidRPr="00A42926">
        <w:rPr>
          <w:rFonts w:ascii="Arial" w:hAnsi="Arial" w:cs="Arial"/>
          <w:sz w:val="24"/>
          <w:szCs w:val="24"/>
        </w:rPr>
        <w:t xml:space="preserve"> to all litigants equally was in any matter skewed so as to favour one party over the other</w:t>
      </w:r>
      <w:r w:rsidR="003A15C2">
        <w:rPr>
          <w:rFonts w:ascii="Arial" w:hAnsi="Arial" w:cs="Arial"/>
          <w:sz w:val="24"/>
          <w:szCs w:val="24"/>
        </w:rPr>
        <w:t>,</w:t>
      </w:r>
      <w:r w:rsidR="00BE4CBE" w:rsidRPr="00A42926">
        <w:rPr>
          <w:rFonts w:ascii="Arial" w:hAnsi="Arial" w:cs="Arial"/>
          <w:sz w:val="24"/>
          <w:szCs w:val="24"/>
        </w:rPr>
        <w:t xml:space="preserve"> nor could there be if regard is had to the rules </w:t>
      </w:r>
      <w:r w:rsidR="00B152DB">
        <w:rPr>
          <w:rFonts w:ascii="Arial" w:hAnsi="Arial" w:cs="Arial"/>
          <w:sz w:val="24"/>
          <w:szCs w:val="24"/>
        </w:rPr>
        <w:t>coupled with the</w:t>
      </w:r>
      <w:r w:rsidR="00BE4CBE" w:rsidRPr="00A42926">
        <w:rPr>
          <w:rFonts w:ascii="Arial" w:hAnsi="Arial" w:cs="Arial"/>
          <w:sz w:val="24"/>
          <w:szCs w:val="24"/>
        </w:rPr>
        <w:t xml:space="preserve"> power of the High Court to ameliorate the effect of non-compliance with the rules, and in its inherent jurisdiction authorises a departure from the rules in exceptional circumstances. It is evidently sensible that the question of the relevancy of evidence (both oral and documentary) only be determined after the disputes between the litigants have been identified on the pleadings in both actions and applications. As in South Africa, the rules in Namibia (which to a large extent borrows from the South Afri</w:t>
      </w:r>
      <w:r w:rsidR="00BE4CBE">
        <w:rPr>
          <w:rFonts w:ascii="Arial" w:hAnsi="Arial" w:cs="Arial"/>
          <w:sz w:val="24"/>
          <w:szCs w:val="24"/>
        </w:rPr>
        <w:t>can rules) ‘have their own built</w:t>
      </w:r>
      <w:r w:rsidR="00BE4CBE" w:rsidRPr="00A42926">
        <w:rPr>
          <w:rFonts w:ascii="Arial" w:hAnsi="Arial" w:cs="Arial"/>
          <w:sz w:val="24"/>
          <w:szCs w:val="24"/>
        </w:rPr>
        <w:t>-in measures of control to promote fairness and to avoid abuse’.</w:t>
      </w:r>
      <w:r w:rsidR="00BE4CBE">
        <w:rPr>
          <w:rFonts w:ascii="Arial" w:hAnsi="Arial" w:cs="Arial"/>
          <w:sz w:val="24"/>
          <w:szCs w:val="24"/>
        </w:rPr>
        <w:t xml:space="preserve"> The r</w:t>
      </w:r>
      <w:r w:rsidR="00BE4CBE" w:rsidRPr="00A42926">
        <w:rPr>
          <w:rFonts w:ascii="Arial" w:hAnsi="Arial" w:cs="Arial"/>
          <w:sz w:val="24"/>
          <w:szCs w:val="24"/>
        </w:rPr>
        <w:t xml:space="preserve">ules thus objectively viewed provide the framework for </w:t>
      </w:r>
      <w:r w:rsidR="00BE4CBE">
        <w:rPr>
          <w:rFonts w:ascii="Arial" w:hAnsi="Arial" w:cs="Arial"/>
          <w:sz w:val="24"/>
          <w:szCs w:val="24"/>
        </w:rPr>
        <w:t xml:space="preserve">a </w:t>
      </w:r>
      <w:r w:rsidR="00BE4CBE" w:rsidRPr="00A42926">
        <w:rPr>
          <w:rFonts w:ascii="Arial" w:hAnsi="Arial" w:cs="Arial"/>
          <w:sz w:val="24"/>
          <w:szCs w:val="24"/>
        </w:rPr>
        <w:t>fair trial as</w:t>
      </w:r>
      <w:r w:rsidR="00BE4CBE">
        <w:rPr>
          <w:rFonts w:ascii="Arial" w:hAnsi="Arial" w:cs="Arial"/>
          <w:sz w:val="24"/>
          <w:szCs w:val="24"/>
        </w:rPr>
        <w:t xml:space="preserve"> contemplated in Art 12 of the C</w:t>
      </w:r>
      <w:r w:rsidR="00BE4CBE" w:rsidRPr="00A42926">
        <w:rPr>
          <w:rFonts w:ascii="Arial" w:hAnsi="Arial" w:cs="Arial"/>
          <w:sz w:val="24"/>
          <w:szCs w:val="24"/>
        </w:rPr>
        <w:t>onstitution.</w:t>
      </w:r>
    </w:p>
    <w:p w14:paraId="55EF50E0" w14:textId="77777777" w:rsidR="00BE4CBE" w:rsidRPr="00A42926" w:rsidRDefault="00BE4CBE" w:rsidP="00BE4CBE">
      <w:pPr>
        <w:pStyle w:val="NoSpacing"/>
        <w:spacing w:line="480" w:lineRule="auto"/>
        <w:jc w:val="both"/>
        <w:rPr>
          <w:rFonts w:ascii="Arial" w:hAnsi="Arial" w:cs="Arial"/>
          <w:sz w:val="24"/>
          <w:szCs w:val="24"/>
        </w:rPr>
      </w:pPr>
    </w:p>
    <w:p w14:paraId="58FE7EF6" w14:textId="7DF31335"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[88]</w:t>
      </w:r>
      <w:r w:rsidRPr="00A42926">
        <w:rPr>
          <w:rFonts w:ascii="Arial" w:hAnsi="Arial" w:cs="Arial"/>
          <w:sz w:val="24"/>
          <w:szCs w:val="24"/>
        </w:rPr>
        <w:tab/>
      </w:r>
      <w:r w:rsidR="00BE4CBE" w:rsidRPr="00A42926">
        <w:rPr>
          <w:rFonts w:ascii="Arial" w:hAnsi="Arial" w:cs="Arial"/>
          <w:sz w:val="24"/>
          <w:szCs w:val="24"/>
        </w:rPr>
        <w:t>As is evident from what is stated above there may</w:t>
      </w:r>
      <w:r w:rsidR="00BE4CBE">
        <w:rPr>
          <w:rFonts w:ascii="Arial" w:hAnsi="Arial" w:cs="Arial"/>
          <w:sz w:val="24"/>
          <w:szCs w:val="24"/>
        </w:rPr>
        <w:t xml:space="preserve"> be</w:t>
      </w:r>
      <w:r w:rsidR="00BE4CBE" w:rsidRPr="00A42926">
        <w:rPr>
          <w:rFonts w:ascii="Arial" w:hAnsi="Arial" w:cs="Arial"/>
          <w:sz w:val="24"/>
          <w:szCs w:val="24"/>
        </w:rPr>
        <w:t xml:space="preserve"> cases where the rules are inadequate and where a rigid adherence to the rules would constitute an unfairness to a litigant but this will indeed be a rare exception. Where such exception arises</w:t>
      </w:r>
      <w:r w:rsidR="00BE4CBE">
        <w:rPr>
          <w:rFonts w:ascii="Arial" w:hAnsi="Arial" w:cs="Arial"/>
          <w:sz w:val="24"/>
          <w:szCs w:val="24"/>
        </w:rPr>
        <w:t>,</w:t>
      </w:r>
      <w:r w:rsidR="00F9644A">
        <w:rPr>
          <w:rFonts w:ascii="Arial" w:hAnsi="Arial" w:cs="Arial"/>
          <w:sz w:val="24"/>
          <w:szCs w:val="24"/>
        </w:rPr>
        <w:t xml:space="preserve"> the High Court will have the</w:t>
      </w:r>
      <w:r w:rsidR="00BE4CBE" w:rsidRPr="00A42926">
        <w:rPr>
          <w:rFonts w:ascii="Arial" w:hAnsi="Arial" w:cs="Arial"/>
          <w:sz w:val="24"/>
          <w:szCs w:val="24"/>
        </w:rPr>
        <w:t xml:space="preserve"> power to deal with it and to remedy such unfairness with an appropriate order in its inherent jurisdiction. As also pointed out in the cases mentioned above, it goes without saying that such unfairness cannot arise in circumstances where the rules or the law provides an adequate remedy because if there is such a remedy the litigant will be expected to adhere to the existing remedies. The fact that the remedy might not be available at the time </w:t>
      </w:r>
      <w:r w:rsidR="00BE4CBE">
        <w:rPr>
          <w:rFonts w:ascii="Arial" w:hAnsi="Arial" w:cs="Arial"/>
          <w:sz w:val="24"/>
          <w:szCs w:val="24"/>
        </w:rPr>
        <w:t>most convenient</w:t>
      </w:r>
      <w:r w:rsidR="00BE4CBE" w:rsidRPr="00A42926">
        <w:rPr>
          <w:rFonts w:ascii="Arial" w:hAnsi="Arial" w:cs="Arial"/>
          <w:sz w:val="24"/>
          <w:szCs w:val="24"/>
        </w:rPr>
        <w:t xml:space="preserve"> to a </w:t>
      </w:r>
      <w:r w:rsidR="00BE4CBE">
        <w:rPr>
          <w:rFonts w:ascii="Arial" w:hAnsi="Arial" w:cs="Arial"/>
          <w:sz w:val="24"/>
          <w:szCs w:val="24"/>
        </w:rPr>
        <w:t xml:space="preserve">particular </w:t>
      </w:r>
      <w:r w:rsidR="00BE4CBE" w:rsidRPr="00A42926">
        <w:rPr>
          <w:rFonts w:ascii="Arial" w:hAnsi="Arial" w:cs="Arial"/>
          <w:sz w:val="24"/>
          <w:szCs w:val="24"/>
        </w:rPr>
        <w:t>litigant cannot be an excuse for a deviation from the rules.</w:t>
      </w:r>
    </w:p>
    <w:p w14:paraId="36597830" w14:textId="77777777" w:rsidR="00BE4CBE" w:rsidRPr="00A42926" w:rsidRDefault="00BE4CBE" w:rsidP="00BE4CBE">
      <w:pPr>
        <w:pStyle w:val="ListParagraph"/>
        <w:jc w:val="both"/>
        <w:rPr>
          <w:rFonts w:ascii="Arial" w:hAnsi="Arial" w:cs="Arial"/>
          <w:sz w:val="24"/>
          <w:szCs w:val="24"/>
        </w:rPr>
      </w:pPr>
    </w:p>
    <w:p w14:paraId="21649498" w14:textId="4580EC39"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[89]</w:t>
      </w:r>
      <w:r w:rsidRPr="00A42926">
        <w:rPr>
          <w:rFonts w:ascii="Arial" w:hAnsi="Arial" w:cs="Arial"/>
          <w:sz w:val="24"/>
          <w:szCs w:val="24"/>
        </w:rPr>
        <w:tab/>
      </w:r>
      <w:r w:rsidR="00BE4CBE" w:rsidRPr="00A42926">
        <w:rPr>
          <w:rFonts w:ascii="Arial" w:hAnsi="Arial" w:cs="Arial"/>
          <w:sz w:val="24"/>
          <w:szCs w:val="24"/>
        </w:rPr>
        <w:t>With the above principles in mind</w:t>
      </w:r>
      <w:r w:rsidR="00BE4CBE">
        <w:rPr>
          <w:rFonts w:ascii="Arial" w:hAnsi="Arial" w:cs="Arial"/>
          <w:sz w:val="24"/>
          <w:szCs w:val="24"/>
        </w:rPr>
        <w:t>,</w:t>
      </w:r>
      <w:r w:rsidR="00BE4CBE" w:rsidRPr="00A42926">
        <w:rPr>
          <w:rFonts w:ascii="Arial" w:hAnsi="Arial" w:cs="Arial"/>
          <w:sz w:val="24"/>
          <w:szCs w:val="24"/>
        </w:rPr>
        <w:t xml:space="preserve"> I now turn to consider whether the present matter was one where Hollard established exceptional circumstances for a subpoena </w:t>
      </w:r>
      <w:r w:rsidR="00BE4CBE" w:rsidRPr="00A42926">
        <w:rPr>
          <w:rFonts w:ascii="Arial" w:hAnsi="Arial" w:cs="Arial"/>
          <w:i/>
          <w:sz w:val="24"/>
          <w:szCs w:val="24"/>
        </w:rPr>
        <w:t xml:space="preserve">duces tecum </w:t>
      </w:r>
      <w:r w:rsidR="00BE4CBE" w:rsidRPr="00A42926">
        <w:rPr>
          <w:rFonts w:ascii="Arial" w:hAnsi="Arial" w:cs="Arial"/>
          <w:sz w:val="24"/>
          <w:szCs w:val="24"/>
        </w:rPr>
        <w:t xml:space="preserve">to the Secretary to Cabinet (the Secretary) prior to filing an answering </w:t>
      </w:r>
      <w:r w:rsidR="00BE4CBE" w:rsidRPr="00A42926">
        <w:rPr>
          <w:rFonts w:ascii="Arial" w:hAnsi="Arial" w:cs="Arial"/>
          <w:sz w:val="24"/>
          <w:szCs w:val="24"/>
        </w:rPr>
        <w:lastRenderedPageBreak/>
        <w:t xml:space="preserve">affidavit </w:t>
      </w:r>
      <w:r w:rsidR="00BE4CBE">
        <w:rPr>
          <w:rFonts w:ascii="Arial" w:hAnsi="Arial" w:cs="Arial"/>
          <w:sz w:val="24"/>
          <w:szCs w:val="24"/>
        </w:rPr>
        <w:t>in the application brought by G</w:t>
      </w:r>
      <w:r w:rsidR="00BE4CBE" w:rsidRPr="00A42926">
        <w:rPr>
          <w:rFonts w:ascii="Arial" w:hAnsi="Arial" w:cs="Arial"/>
          <w:sz w:val="24"/>
          <w:szCs w:val="24"/>
        </w:rPr>
        <w:t xml:space="preserve">ondwana against it. The subpoena directs the Secretary to produce certain </w:t>
      </w:r>
      <w:r w:rsidR="009A6446">
        <w:rPr>
          <w:rFonts w:ascii="Arial" w:hAnsi="Arial" w:cs="Arial"/>
          <w:sz w:val="24"/>
          <w:szCs w:val="24"/>
        </w:rPr>
        <w:t>C</w:t>
      </w:r>
      <w:r w:rsidR="00BE4CBE" w:rsidRPr="00A42926">
        <w:rPr>
          <w:rFonts w:ascii="Arial" w:hAnsi="Arial" w:cs="Arial"/>
          <w:sz w:val="24"/>
          <w:szCs w:val="24"/>
        </w:rPr>
        <w:t xml:space="preserve">abinet minutes and other documents and correspondence exchanged between members of </w:t>
      </w:r>
      <w:r w:rsidR="009A6446">
        <w:rPr>
          <w:rFonts w:ascii="Arial" w:hAnsi="Arial" w:cs="Arial"/>
          <w:sz w:val="24"/>
          <w:szCs w:val="24"/>
        </w:rPr>
        <w:t>C</w:t>
      </w:r>
      <w:r w:rsidR="00BE4CBE" w:rsidRPr="00A42926">
        <w:rPr>
          <w:rFonts w:ascii="Arial" w:hAnsi="Arial" w:cs="Arial"/>
          <w:sz w:val="24"/>
          <w:szCs w:val="24"/>
        </w:rPr>
        <w:t>abinet.</w:t>
      </w:r>
    </w:p>
    <w:p w14:paraId="2AA545D0" w14:textId="77777777" w:rsidR="00BE4CBE" w:rsidRPr="00A42926" w:rsidRDefault="00BE4CBE" w:rsidP="00BE4CBE">
      <w:pPr>
        <w:pStyle w:val="ListParagraph"/>
        <w:jc w:val="both"/>
        <w:rPr>
          <w:rFonts w:ascii="Arial" w:hAnsi="Arial" w:cs="Arial"/>
          <w:sz w:val="24"/>
          <w:szCs w:val="24"/>
        </w:rPr>
      </w:pPr>
    </w:p>
    <w:p w14:paraId="2174180D" w14:textId="48C84160"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[90]</w:t>
      </w:r>
      <w:r w:rsidRPr="00A42926">
        <w:rPr>
          <w:rFonts w:ascii="Arial" w:hAnsi="Arial" w:cs="Arial"/>
          <w:sz w:val="24"/>
          <w:szCs w:val="24"/>
        </w:rPr>
        <w:tab/>
      </w:r>
      <w:r w:rsidR="00BE4CBE">
        <w:rPr>
          <w:rFonts w:ascii="Arial" w:hAnsi="Arial" w:cs="Arial"/>
          <w:sz w:val="24"/>
          <w:szCs w:val="24"/>
        </w:rPr>
        <w:t>G</w:t>
      </w:r>
      <w:r w:rsidR="00BE4CBE" w:rsidRPr="00A42926">
        <w:rPr>
          <w:rFonts w:ascii="Arial" w:hAnsi="Arial" w:cs="Arial"/>
          <w:sz w:val="24"/>
          <w:szCs w:val="24"/>
        </w:rPr>
        <w:t>ondwana brought an urgent application seeking a declarator that Hollard is liable to indemnify it in terms of a policy issued by the latter to the former for damages suffered by the former allegedly as a result of the outbreak of Covid-19 in Windhoek on 13 March 2020 which allegedly in turn led</w:t>
      </w:r>
      <w:r w:rsidR="00BE4CBE">
        <w:rPr>
          <w:rFonts w:ascii="Arial" w:hAnsi="Arial" w:cs="Arial"/>
          <w:sz w:val="24"/>
          <w:szCs w:val="24"/>
        </w:rPr>
        <w:t xml:space="preserve"> to a country-wide lockdown by G</w:t>
      </w:r>
      <w:r w:rsidR="00BE4CBE" w:rsidRPr="00A42926">
        <w:rPr>
          <w:rFonts w:ascii="Arial" w:hAnsi="Arial" w:cs="Arial"/>
          <w:sz w:val="24"/>
          <w:szCs w:val="24"/>
        </w:rPr>
        <w:t>overnment.</w:t>
      </w:r>
    </w:p>
    <w:p w14:paraId="7DCB7C3E" w14:textId="77777777" w:rsidR="00BE4CBE" w:rsidRPr="00A42926" w:rsidRDefault="00BE4CBE" w:rsidP="00BE4CBE">
      <w:pPr>
        <w:pStyle w:val="ListParagraph"/>
        <w:jc w:val="both"/>
        <w:rPr>
          <w:rFonts w:ascii="Arial" w:hAnsi="Arial" w:cs="Arial"/>
          <w:sz w:val="24"/>
          <w:szCs w:val="24"/>
        </w:rPr>
      </w:pPr>
    </w:p>
    <w:p w14:paraId="026A4858" w14:textId="5D776771"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[91]</w:t>
      </w:r>
      <w:r w:rsidRPr="00A42926">
        <w:rPr>
          <w:rFonts w:ascii="Arial" w:hAnsi="Arial" w:cs="Arial"/>
          <w:sz w:val="24"/>
          <w:szCs w:val="24"/>
        </w:rPr>
        <w:tab/>
      </w:r>
      <w:r w:rsidR="00BE4CBE" w:rsidRPr="00A42926">
        <w:rPr>
          <w:rFonts w:ascii="Arial" w:hAnsi="Arial" w:cs="Arial"/>
          <w:sz w:val="24"/>
          <w:szCs w:val="24"/>
        </w:rPr>
        <w:t xml:space="preserve">Hollard, in response to the application, did not file an answering affidavit but what it </w:t>
      </w:r>
      <w:r w:rsidR="00BE4CBE" w:rsidRPr="00707D22">
        <w:rPr>
          <w:rFonts w:ascii="Arial" w:hAnsi="Arial" w:cs="Arial"/>
          <w:sz w:val="24"/>
          <w:szCs w:val="24"/>
        </w:rPr>
        <w:t>termed a</w:t>
      </w:r>
      <w:r w:rsidR="00BE4CBE" w:rsidRPr="00A42926">
        <w:rPr>
          <w:rFonts w:ascii="Arial" w:hAnsi="Arial" w:cs="Arial"/>
          <w:sz w:val="24"/>
          <w:szCs w:val="24"/>
        </w:rPr>
        <w:t>n ‘interlocutory application’. In the interlocutory application it sought</w:t>
      </w:r>
      <w:r w:rsidR="00BE4CBE">
        <w:rPr>
          <w:rFonts w:ascii="Arial" w:hAnsi="Arial" w:cs="Arial"/>
          <w:sz w:val="24"/>
          <w:szCs w:val="24"/>
        </w:rPr>
        <w:t xml:space="preserve"> the following relief against G</w:t>
      </w:r>
      <w:r w:rsidR="00BE4CBE" w:rsidRPr="00A42926">
        <w:rPr>
          <w:rFonts w:ascii="Arial" w:hAnsi="Arial" w:cs="Arial"/>
          <w:sz w:val="24"/>
          <w:szCs w:val="24"/>
        </w:rPr>
        <w:t>ondwana:</w:t>
      </w:r>
    </w:p>
    <w:p w14:paraId="42660826" w14:textId="77777777" w:rsidR="00BE4CBE" w:rsidRPr="00A42926" w:rsidRDefault="00BE4CBE" w:rsidP="00BE4CBE">
      <w:pPr>
        <w:pStyle w:val="ListParagraph"/>
        <w:jc w:val="both"/>
        <w:rPr>
          <w:rFonts w:ascii="Arial" w:hAnsi="Arial" w:cs="Arial"/>
          <w:sz w:val="24"/>
          <w:szCs w:val="24"/>
        </w:rPr>
      </w:pPr>
    </w:p>
    <w:p w14:paraId="5F536BC7" w14:textId="20EA742B" w:rsidR="00BE4CBE" w:rsidRDefault="00A81732" w:rsidP="00A81732">
      <w:pPr>
        <w:pStyle w:val="NoSpacing"/>
        <w:spacing w:line="48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E4CBE" w:rsidRPr="00A42926">
        <w:rPr>
          <w:rFonts w:ascii="Arial" w:hAnsi="Arial" w:cs="Arial"/>
          <w:sz w:val="24"/>
          <w:szCs w:val="24"/>
        </w:rPr>
        <w:t xml:space="preserve">That the urgent application be </w:t>
      </w:r>
      <w:r w:rsidR="00BE4CBE">
        <w:rPr>
          <w:rFonts w:ascii="Arial" w:hAnsi="Arial" w:cs="Arial"/>
          <w:sz w:val="24"/>
          <w:szCs w:val="24"/>
        </w:rPr>
        <w:t>dismissed for ‘lack of urgency’,</w:t>
      </w:r>
      <w:r w:rsidR="00BE4CBE" w:rsidRPr="00A42926">
        <w:rPr>
          <w:rFonts w:ascii="Arial" w:hAnsi="Arial" w:cs="Arial"/>
          <w:sz w:val="24"/>
          <w:szCs w:val="24"/>
        </w:rPr>
        <w:t xml:space="preserve"> alternatively</w:t>
      </w:r>
      <w:r w:rsidR="00BE4CBE">
        <w:rPr>
          <w:rFonts w:ascii="Arial" w:hAnsi="Arial" w:cs="Arial"/>
          <w:sz w:val="24"/>
          <w:szCs w:val="24"/>
        </w:rPr>
        <w:t>;</w:t>
      </w:r>
      <w:r w:rsidR="00BE4CBE" w:rsidRPr="00A42926">
        <w:rPr>
          <w:rFonts w:ascii="Arial" w:hAnsi="Arial" w:cs="Arial"/>
          <w:sz w:val="24"/>
          <w:szCs w:val="24"/>
        </w:rPr>
        <w:t xml:space="preserve"> </w:t>
      </w:r>
    </w:p>
    <w:p w14:paraId="1E5A9733" w14:textId="77777777" w:rsidR="00BE4CBE" w:rsidRPr="00A42926" w:rsidRDefault="00BE4CBE" w:rsidP="00CD214B">
      <w:pPr>
        <w:pStyle w:val="NoSpacing"/>
        <w:spacing w:line="480" w:lineRule="auto"/>
        <w:ind w:left="720"/>
        <w:jc w:val="both"/>
        <w:rPr>
          <w:rFonts w:ascii="Arial" w:hAnsi="Arial" w:cs="Arial"/>
          <w:sz w:val="24"/>
          <w:szCs w:val="24"/>
        </w:rPr>
      </w:pPr>
    </w:p>
    <w:p w14:paraId="14673434" w14:textId="11771843" w:rsidR="00BE4CBE" w:rsidRDefault="00A81732" w:rsidP="00A81732">
      <w:pPr>
        <w:pStyle w:val="NoSpacing"/>
        <w:spacing w:line="48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E4CBE" w:rsidRPr="00A42926">
        <w:rPr>
          <w:rFonts w:ascii="Arial" w:hAnsi="Arial" w:cs="Arial"/>
          <w:sz w:val="24"/>
          <w:szCs w:val="24"/>
        </w:rPr>
        <w:t xml:space="preserve">If the application is urgent that </w:t>
      </w:r>
      <w:r w:rsidR="00BE4CBE">
        <w:rPr>
          <w:rFonts w:ascii="Arial" w:hAnsi="Arial" w:cs="Arial"/>
          <w:sz w:val="24"/>
          <w:szCs w:val="24"/>
        </w:rPr>
        <w:t>G</w:t>
      </w:r>
      <w:r w:rsidR="00BE4CBE" w:rsidRPr="00A42926">
        <w:rPr>
          <w:rFonts w:ascii="Arial" w:hAnsi="Arial" w:cs="Arial"/>
          <w:sz w:val="24"/>
          <w:szCs w:val="24"/>
        </w:rPr>
        <w:t xml:space="preserve">ondwana be ordered to provide Hollard with a copy of an agreement it concluded with Insurance Claims Africa (ICA) and allowing it to approach the court on the same papers once they studied the said agreement to have the application declared </w:t>
      </w:r>
      <w:r w:rsidR="00BE4CBE" w:rsidRPr="00707D22">
        <w:rPr>
          <w:rFonts w:ascii="Arial" w:hAnsi="Arial" w:cs="Arial"/>
          <w:sz w:val="24"/>
          <w:szCs w:val="24"/>
        </w:rPr>
        <w:t>null and void.</w:t>
      </w:r>
      <w:r w:rsidR="00BE4CBE" w:rsidRPr="00A42926">
        <w:rPr>
          <w:rFonts w:ascii="Arial" w:hAnsi="Arial" w:cs="Arial"/>
          <w:sz w:val="24"/>
          <w:szCs w:val="24"/>
        </w:rPr>
        <w:t xml:space="preserve"> (In the founding affidavit to the interlocutory application</w:t>
      </w:r>
      <w:r w:rsidR="00BE4CBE">
        <w:rPr>
          <w:rFonts w:ascii="Arial" w:hAnsi="Arial" w:cs="Arial"/>
          <w:sz w:val="24"/>
          <w:szCs w:val="24"/>
        </w:rPr>
        <w:t>,</w:t>
      </w:r>
      <w:r w:rsidR="00BE4CBE" w:rsidRPr="00A42926">
        <w:rPr>
          <w:rFonts w:ascii="Arial" w:hAnsi="Arial" w:cs="Arial"/>
          <w:sz w:val="24"/>
          <w:szCs w:val="24"/>
        </w:rPr>
        <w:t xml:space="preserve"> allegations are made that the agreement with ICA may constitute an illegal contingency agreement), further and alternatively;</w:t>
      </w:r>
    </w:p>
    <w:p w14:paraId="564A7CF7" w14:textId="77777777" w:rsidR="00BE4CBE" w:rsidRPr="00A42926" w:rsidRDefault="00BE4CBE" w:rsidP="00BE4CBE">
      <w:pPr>
        <w:pStyle w:val="NoSpacing"/>
        <w:spacing w:line="480" w:lineRule="auto"/>
        <w:jc w:val="both"/>
        <w:rPr>
          <w:rFonts w:ascii="Arial" w:hAnsi="Arial" w:cs="Arial"/>
          <w:sz w:val="24"/>
          <w:szCs w:val="24"/>
        </w:rPr>
      </w:pPr>
    </w:p>
    <w:p w14:paraId="02A8F3EA" w14:textId="0BDBFC9F" w:rsidR="00BE4CBE" w:rsidRDefault="00A81732" w:rsidP="00A81732">
      <w:pPr>
        <w:pStyle w:val="NoSpacing"/>
        <w:spacing w:line="48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BE4CBE" w:rsidRPr="00A42926">
        <w:rPr>
          <w:rFonts w:ascii="Arial" w:hAnsi="Arial" w:cs="Arial"/>
          <w:sz w:val="24"/>
          <w:szCs w:val="24"/>
        </w:rPr>
        <w:t xml:space="preserve">Insofar as the matter is found to be urgent and the agreement with ICA is not an illegal contingency agreement then the application is premature and </w:t>
      </w:r>
      <w:r w:rsidR="00BE4CBE" w:rsidRPr="00A42926">
        <w:rPr>
          <w:rFonts w:ascii="Arial" w:hAnsi="Arial" w:cs="Arial"/>
          <w:sz w:val="24"/>
          <w:szCs w:val="24"/>
        </w:rPr>
        <w:lastRenderedPageBreak/>
        <w:t xml:space="preserve">academic and Hollard has not yet rejected </w:t>
      </w:r>
      <w:r w:rsidR="00BE4CBE">
        <w:rPr>
          <w:rFonts w:ascii="Arial" w:hAnsi="Arial" w:cs="Arial"/>
          <w:sz w:val="24"/>
          <w:szCs w:val="24"/>
        </w:rPr>
        <w:t>G</w:t>
      </w:r>
      <w:r w:rsidR="00BE4CBE" w:rsidRPr="00A42926">
        <w:rPr>
          <w:rFonts w:ascii="Arial" w:hAnsi="Arial" w:cs="Arial"/>
          <w:sz w:val="24"/>
          <w:szCs w:val="24"/>
        </w:rPr>
        <w:t>ondwana’</w:t>
      </w:r>
      <w:r w:rsidR="00BE4CBE">
        <w:rPr>
          <w:rFonts w:ascii="Arial" w:hAnsi="Arial" w:cs="Arial"/>
          <w:sz w:val="24"/>
          <w:szCs w:val="24"/>
        </w:rPr>
        <w:t>s</w:t>
      </w:r>
      <w:r w:rsidR="00BE4CBE" w:rsidRPr="00A42926">
        <w:rPr>
          <w:rFonts w:ascii="Arial" w:hAnsi="Arial" w:cs="Arial"/>
          <w:sz w:val="24"/>
          <w:szCs w:val="24"/>
        </w:rPr>
        <w:t xml:space="preserve"> claim; further </w:t>
      </w:r>
      <w:r w:rsidR="00BE4CBE">
        <w:rPr>
          <w:rFonts w:ascii="Arial" w:hAnsi="Arial" w:cs="Arial"/>
          <w:sz w:val="24"/>
          <w:szCs w:val="24"/>
        </w:rPr>
        <w:t xml:space="preserve">and </w:t>
      </w:r>
      <w:r w:rsidR="00BE4CBE" w:rsidRPr="00A42926">
        <w:rPr>
          <w:rFonts w:ascii="Arial" w:hAnsi="Arial" w:cs="Arial"/>
          <w:sz w:val="24"/>
          <w:szCs w:val="24"/>
        </w:rPr>
        <w:t>alternatively;</w:t>
      </w:r>
    </w:p>
    <w:p w14:paraId="26A205DE" w14:textId="77777777" w:rsidR="00BE4CBE" w:rsidRPr="00A42926" w:rsidRDefault="00BE4CBE" w:rsidP="00BE4CBE">
      <w:pPr>
        <w:pStyle w:val="NoSpacing"/>
        <w:spacing w:line="480" w:lineRule="auto"/>
        <w:jc w:val="both"/>
        <w:rPr>
          <w:rFonts w:ascii="Arial" w:hAnsi="Arial" w:cs="Arial"/>
          <w:sz w:val="24"/>
          <w:szCs w:val="24"/>
        </w:rPr>
      </w:pPr>
    </w:p>
    <w:p w14:paraId="30C7CF6C" w14:textId="09FEB7C0" w:rsidR="00BE4CBE" w:rsidRDefault="00A81732" w:rsidP="00A81732">
      <w:pPr>
        <w:pStyle w:val="NoSpacing"/>
        <w:spacing w:line="480" w:lineRule="auto"/>
        <w:ind w:left="108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E4CBE">
        <w:rPr>
          <w:rFonts w:ascii="Arial" w:hAnsi="Arial" w:cs="Arial"/>
          <w:sz w:val="24"/>
          <w:szCs w:val="24"/>
        </w:rPr>
        <w:t>That G</w:t>
      </w:r>
      <w:r w:rsidR="00BE4CBE" w:rsidRPr="00A42926">
        <w:rPr>
          <w:rFonts w:ascii="Arial" w:hAnsi="Arial" w:cs="Arial"/>
          <w:sz w:val="24"/>
          <w:szCs w:val="24"/>
        </w:rPr>
        <w:t xml:space="preserve">ondwana should have foreseen material factual disputes in respect of certain </w:t>
      </w:r>
      <w:r w:rsidR="00BE4CBE">
        <w:rPr>
          <w:rFonts w:ascii="Arial" w:hAnsi="Arial" w:cs="Arial"/>
          <w:sz w:val="24"/>
          <w:szCs w:val="24"/>
        </w:rPr>
        <w:t>information allegedly due by G</w:t>
      </w:r>
      <w:r w:rsidR="00BE4CBE" w:rsidRPr="00A42926">
        <w:rPr>
          <w:rFonts w:ascii="Arial" w:hAnsi="Arial" w:cs="Arial"/>
          <w:sz w:val="24"/>
          <w:szCs w:val="24"/>
        </w:rPr>
        <w:t>ondwana to Hollard which wa</w:t>
      </w:r>
      <w:r w:rsidR="00BE4CBE">
        <w:rPr>
          <w:rFonts w:ascii="Arial" w:hAnsi="Arial" w:cs="Arial"/>
          <w:sz w:val="24"/>
          <w:szCs w:val="24"/>
        </w:rPr>
        <w:t>rrant the striking from the roll</w:t>
      </w:r>
      <w:r w:rsidR="00BE4CBE" w:rsidRPr="00A42926">
        <w:rPr>
          <w:rFonts w:ascii="Arial" w:hAnsi="Arial" w:cs="Arial"/>
          <w:sz w:val="24"/>
          <w:szCs w:val="24"/>
        </w:rPr>
        <w:t xml:space="preserve"> Gondwana’s application; further alternatively;</w:t>
      </w:r>
    </w:p>
    <w:p w14:paraId="7C6D2E6F" w14:textId="77777777" w:rsidR="00BE4CBE" w:rsidRPr="00A42926" w:rsidRDefault="00BE4CBE" w:rsidP="00BE4CBE">
      <w:pPr>
        <w:pStyle w:val="NoSpacing"/>
        <w:spacing w:line="480" w:lineRule="auto"/>
        <w:jc w:val="both"/>
        <w:rPr>
          <w:rFonts w:ascii="Arial" w:hAnsi="Arial" w:cs="Arial"/>
          <w:sz w:val="24"/>
          <w:szCs w:val="24"/>
        </w:rPr>
      </w:pPr>
    </w:p>
    <w:p w14:paraId="039B4E1E" w14:textId="1627A557" w:rsidR="00BE4CBE" w:rsidRDefault="00A81732" w:rsidP="00A81732">
      <w:pPr>
        <w:pStyle w:val="NoSpacing"/>
        <w:spacing w:line="480" w:lineRule="auto"/>
        <w:ind w:left="108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BE4CBE" w:rsidRPr="00A42926">
        <w:rPr>
          <w:rFonts w:ascii="Arial" w:hAnsi="Arial" w:cs="Arial"/>
          <w:sz w:val="24"/>
          <w:szCs w:val="24"/>
        </w:rPr>
        <w:t>Insofar as all Hollar</w:t>
      </w:r>
      <w:r w:rsidR="001E6248">
        <w:rPr>
          <w:rFonts w:ascii="Arial" w:hAnsi="Arial" w:cs="Arial"/>
          <w:sz w:val="24"/>
          <w:szCs w:val="24"/>
        </w:rPr>
        <w:t>d’s points mentioned in (a) – (d</w:t>
      </w:r>
      <w:r w:rsidR="00BE4CBE" w:rsidRPr="00A42926">
        <w:rPr>
          <w:rFonts w:ascii="Arial" w:hAnsi="Arial" w:cs="Arial"/>
          <w:sz w:val="24"/>
          <w:szCs w:val="24"/>
        </w:rPr>
        <w:t>) are</w:t>
      </w:r>
      <w:r w:rsidR="00BE4CBE">
        <w:rPr>
          <w:rFonts w:ascii="Arial" w:hAnsi="Arial" w:cs="Arial"/>
          <w:sz w:val="24"/>
          <w:szCs w:val="24"/>
        </w:rPr>
        <w:t xml:space="preserve"> dismissed ‘then in that event’:</w:t>
      </w:r>
    </w:p>
    <w:p w14:paraId="7FC6E5C1" w14:textId="77777777" w:rsidR="008362EF" w:rsidRPr="00A42926" w:rsidRDefault="008362EF" w:rsidP="008362EF">
      <w:pPr>
        <w:pStyle w:val="NoSpacing"/>
        <w:spacing w:line="480" w:lineRule="auto"/>
        <w:jc w:val="both"/>
        <w:rPr>
          <w:rFonts w:ascii="Arial" w:hAnsi="Arial" w:cs="Arial"/>
          <w:sz w:val="24"/>
          <w:szCs w:val="24"/>
        </w:rPr>
      </w:pPr>
    </w:p>
    <w:p w14:paraId="781076B0" w14:textId="2AEE61B8" w:rsidR="00BE4CBE" w:rsidRDefault="00A81732" w:rsidP="00A81732">
      <w:pPr>
        <w:pStyle w:val="NoSpacing"/>
        <w:spacing w:line="480" w:lineRule="auto"/>
        <w:ind w:left="180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BE4CBE" w:rsidRPr="00A42926">
        <w:rPr>
          <w:rFonts w:ascii="Arial" w:hAnsi="Arial" w:cs="Arial"/>
          <w:sz w:val="24"/>
          <w:szCs w:val="24"/>
        </w:rPr>
        <w:t xml:space="preserve">Hollard is entitled to issue subpoenas </w:t>
      </w:r>
      <w:r w:rsidR="00BE4CBE" w:rsidRPr="00A42926">
        <w:rPr>
          <w:rFonts w:ascii="Arial" w:hAnsi="Arial" w:cs="Arial"/>
          <w:i/>
          <w:sz w:val="24"/>
          <w:szCs w:val="24"/>
        </w:rPr>
        <w:t xml:space="preserve">duces tecum </w:t>
      </w:r>
      <w:r w:rsidR="00BE4CBE" w:rsidRPr="00A42926">
        <w:rPr>
          <w:rFonts w:ascii="Arial" w:hAnsi="Arial" w:cs="Arial"/>
          <w:sz w:val="24"/>
          <w:szCs w:val="24"/>
        </w:rPr>
        <w:t>in respect of four mentioned individuals namely, Dr Haufiku, Dr Kandetu, Mr Mbandeka, Dr Simaata and Ms Eysele. (Dr Haufiku was a deponent to an affidavit</w:t>
      </w:r>
      <w:r w:rsidR="00BE4CBE">
        <w:rPr>
          <w:rFonts w:ascii="Arial" w:hAnsi="Arial" w:cs="Arial"/>
          <w:sz w:val="24"/>
          <w:szCs w:val="24"/>
        </w:rPr>
        <w:t xml:space="preserve"> in the G</w:t>
      </w:r>
      <w:r w:rsidR="00BE4CBE" w:rsidRPr="00A42926">
        <w:rPr>
          <w:rFonts w:ascii="Arial" w:hAnsi="Arial" w:cs="Arial"/>
          <w:sz w:val="24"/>
          <w:szCs w:val="24"/>
        </w:rPr>
        <w:t>ondwana application, Dr Kandetu was involved in the Covid-19 task force, Mr Mbandeka is the Attor</w:t>
      </w:r>
      <w:r w:rsidR="00BE4CBE">
        <w:rPr>
          <w:rFonts w:ascii="Arial" w:hAnsi="Arial" w:cs="Arial"/>
          <w:sz w:val="24"/>
          <w:szCs w:val="24"/>
        </w:rPr>
        <w:t>ney-General, Dr Simaata is the S</w:t>
      </w:r>
      <w:r w:rsidR="00BE4CBE" w:rsidRPr="00A42926">
        <w:rPr>
          <w:rFonts w:ascii="Arial" w:hAnsi="Arial" w:cs="Arial"/>
          <w:sz w:val="24"/>
          <w:szCs w:val="24"/>
        </w:rPr>
        <w:t>ecretary</w:t>
      </w:r>
      <w:r w:rsidR="00BE4CBE">
        <w:rPr>
          <w:rFonts w:ascii="Arial" w:hAnsi="Arial" w:cs="Arial"/>
          <w:sz w:val="24"/>
          <w:szCs w:val="24"/>
        </w:rPr>
        <w:t xml:space="preserve"> to C</w:t>
      </w:r>
      <w:r w:rsidR="00BE4CBE" w:rsidRPr="00A42926">
        <w:rPr>
          <w:rFonts w:ascii="Arial" w:hAnsi="Arial" w:cs="Arial"/>
          <w:sz w:val="24"/>
          <w:szCs w:val="24"/>
        </w:rPr>
        <w:t>abinet and Ms Eysele</w:t>
      </w:r>
      <w:r w:rsidR="00BE4CBE">
        <w:rPr>
          <w:rFonts w:ascii="Arial" w:hAnsi="Arial" w:cs="Arial"/>
          <w:sz w:val="24"/>
          <w:szCs w:val="24"/>
        </w:rPr>
        <w:t xml:space="preserve"> who</w:t>
      </w:r>
      <w:r w:rsidR="00BE4CBE" w:rsidRPr="00A42926">
        <w:rPr>
          <w:rFonts w:ascii="Arial" w:hAnsi="Arial" w:cs="Arial"/>
          <w:sz w:val="24"/>
          <w:szCs w:val="24"/>
        </w:rPr>
        <w:t xml:space="preserve"> is involved with Marsh (Namib</w:t>
      </w:r>
      <w:r w:rsidR="00BE4CBE">
        <w:rPr>
          <w:rFonts w:ascii="Arial" w:hAnsi="Arial" w:cs="Arial"/>
          <w:sz w:val="24"/>
          <w:szCs w:val="24"/>
        </w:rPr>
        <w:t xml:space="preserve">ia) </w:t>
      </w:r>
      <w:r w:rsidR="00794465">
        <w:rPr>
          <w:rFonts w:ascii="Arial" w:hAnsi="Arial" w:cs="Arial"/>
          <w:sz w:val="24"/>
          <w:szCs w:val="24"/>
        </w:rPr>
        <w:t>(</w:t>
      </w:r>
      <w:r w:rsidR="00BE4CBE">
        <w:rPr>
          <w:rFonts w:ascii="Arial" w:hAnsi="Arial" w:cs="Arial"/>
          <w:sz w:val="24"/>
          <w:szCs w:val="24"/>
        </w:rPr>
        <w:t>Pty</w:t>
      </w:r>
      <w:r w:rsidR="00794465">
        <w:rPr>
          <w:rFonts w:ascii="Arial" w:hAnsi="Arial" w:cs="Arial"/>
          <w:sz w:val="24"/>
          <w:szCs w:val="24"/>
        </w:rPr>
        <w:t>)</w:t>
      </w:r>
      <w:r w:rsidR="00BE4CBE">
        <w:rPr>
          <w:rFonts w:ascii="Arial" w:hAnsi="Arial" w:cs="Arial"/>
          <w:sz w:val="24"/>
          <w:szCs w:val="24"/>
        </w:rPr>
        <w:t xml:space="preserve"> Ltd is the broker for G</w:t>
      </w:r>
      <w:r w:rsidR="00BE4CBE" w:rsidRPr="00A42926">
        <w:rPr>
          <w:rFonts w:ascii="Arial" w:hAnsi="Arial" w:cs="Arial"/>
          <w:sz w:val="24"/>
          <w:szCs w:val="24"/>
        </w:rPr>
        <w:t>ondwana in respect of its insurance portfolio);</w:t>
      </w:r>
    </w:p>
    <w:p w14:paraId="7FDEF769" w14:textId="77777777" w:rsidR="00BE4CBE" w:rsidRPr="00A42926" w:rsidRDefault="00BE4CBE" w:rsidP="00BE4CBE">
      <w:pPr>
        <w:pStyle w:val="NoSpacing"/>
        <w:spacing w:line="480" w:lineRule="auto"/>
        <w:ind w:left="1800"/>
        <w:jc w:val="both"/>
        <w:rPr>
          <w:rFonts w:ascii="Arial" w:hAnsi="Arial" w:cs="Arial"/>
          <w:sz w:val="24"/>
          <w:szCs w:val="24"/>
        </w:rPr>
      </w:pPr>
    </w:p>
    <w:p w14:paraId="2AA63B12" w14:textId="464046F1" w:rsidR="00BE4CBE" w:rsidRDefault="00A81732" w:rsidP="00A81732">
      <w:pPr>
        <w:pStyle w:val="NoSpacing"/>
        <w:spacing w:line="480" w:lineRule="auto"/>
        <w:ind w:left="180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BE4CBE" w:rsidRPr="00A42926">
        <w:rPr>
          <w:rFonts w:ascii="Arial" w:hAnsi="Arial" w:cs="Arial"/>
          <w:sz w:val="24"/>
          <w:szCs w:val="24"/>
        </w:rPr>
        <w:t>Hollard’s striking-out application in respe</w:t>
      </w:r>
      <w:r w:rsidR="00BE4CBE">
        <w:rPr>
          <w:rFonts w:ascii="Arial" w:hAnsi="Arial" w:cs="Arial"/>
          <w:sz w:val="24"/>
          <w:szCs w:val="24"/>
        </w:rPr>
        <w:t>ct of evidence objected to in G</w:t>
      </w:r>
      <w:r w:rsidR="00BE4CBE" w:rsidRPr="00A42926">
        <w:rPr>
          <w:rFonts w:ascii="Arial" w:hAnsi="Arial" w:cs="Arial"/>
          <w:sz w:val="24"/>
          <w:szCs w:val="24"/>
        </w:rPr>
        <w:t>ondwana’s founding paper</w:t>
      </w:r>
      <w:r w:rsidR="00BE4CBE">
        <w:rPr>
          <w:rFonts w:ascii="Arial" w:hAnsi="Arial" w:cs="Arial"/>
          <w:sz w:val="24"/>
          <w:szCs w:val="24"/>
        </w:rPr>
        <w:t>s had to be dealt with; and</w:t>
      </w:r>
    </w:p>
    <w:p w14:paraId="0403D123" w14:textId="77777777" w:rsidR="00BE4CBE" w:rsidRPr="00A42926" w:rsidRDefault="00BE4CBE" w:rsidP="00BE4CBE">
      <w:pPr>
        <w:pStyle w:val="NoSpacing"/>
        <w:spacing w:line="480" w:lineRule="auto"/>
        <w:jc w:val="both"/>
        <w:rPr>
          <w:rFonts w:ascii="Arial" w:hAnsi="Arial" w:cs="Arial"/>
          <w:sz w:val="24"/>
          <w:szCs w:val="24"/>
        </w:rPr>
      </w:pPr>
    </w:p>
    <w:p w14:paraId="0D9C2C82" w14:textId="4D1553E5" w:rsidR="00FC04A1" w:rsidRPr="00C35600" w:rsidRDefault="00A81732" w:rsidP="00A81732">
      <w:pPr>
        <w:pStyle w:val="NoSpacing"/>
        <w:spacing w:line="480" w:lineRule="auto"/>
        <w:ind w:left="1800" w:hanging="720"/>
        <w:jc w:val="both"/>
        <w:rPr>
          <w:rFonts w:ascii="Arial" w:hAnsi="Arial" w:cs="Arial"/>
          <w:sz w:val="24"/>
          <w:szCs w:val="24"/>
        </w:rPr>
      </w:pPr>
      <w:r w:rsidRPr="00C35600">
        <w:rPr>
          <w:rFonts w:ascii="Arial" w:hAnsi="Arial" w:cs="Arial"/>
          <w:sz w:val="24"/>
          <w:szCs w:val="24"/>
        </w:rPr>
        <w:t>(iii)</w:t>
      </w:r>
      <w:r w:rsidRPr="00C35600">
        <w:rPr>
          <w:rFonts w:ascii="Arial" w:hAnsi="Arial" w:cs="Arial"/>
          <w:sz w:val="24"/>
          <w:szCs w:val="24"/>
        </w:rPr>
        <w:tab/>
      </w:r>
      <w:r w:rsidR="00BE4CBE" w:rsidRPr="00A42926">
        <w:rPr>
          <w:rFonts w:ascii="Arial" w:hAnsi="Arial" w:cs="Arial"/>
          <w:sz w:val="24"/>
          <w:szCs w:val="24"/>
        </w:rPr>
        <w:t xml:space="preserve">A declaration that Hollard is entitled to cross-examine Mr Gys Joubert (the </w:t>
      </w:r>
      <w:r w:rsidR="00BE4CBE">
        <w:rPr>
          <w:rFonts w:ascii="Arial" w:hAnsi="Arial" w:cs="Arial"/>
          <w:sz w:val="24"/>
          <w:szCs w:val="24"/>
        </w:rPr>
        <w:t>Managing Director of Gondwana Collection Namibia</w:t>
      </w:r>
      <w:r w:rsidR="00BE4CBE" w:rsidRPr="00A42926">
        <w:rPr>
          <w:rFonts w:ascii="Arial" w:hAnsi="Arial" w:cs="Arial"/>
          <w:sz w:val="24"/>
          <w:szCs w:val="24"/>
        </w:rPr>
        <w:t>), and the deponent of an affidavit, and Dr Haufiku, who deposed to a supporting affidavit to the founding affidavit of Hollard.</w:t>
      </w:r>
    </w:p>
    <w:p w14:paraId="48F88DC5" w14:textId="286530FE"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lastRenderedPageBreak/>
        <w:t>[92]</w:t>
      </w:r>
      <w:r w:rsidRPr="00A42926">
        <w:rPr>
          <w:rFonts w:ascii="Arial" w:hAnsi="Arial" w:cs="Arial"/>
          <w:sz w:val="24"/>
          <w:szCs w:val="24"/>
        </w:rPr>
        <w:tab/>
      </w:r>
      <w:r w:rsidR="00BE4CBE" w:rsidRPr="00A42926">
        <w:rPr>
          <w:rFonts w:ascii="Arial" w:hAnsi="Arial" w:cs="Arial"/>
          <w:sz w:val="24"/>
          <w:szCs w:val="24"/>
        </w:rPr>
        <w:t xml:space="preserve">I must point out that the interlocutory application, in respect of most of the relief sought therein, is not interlocutory at all but seeks to raise points which should have been raised </w:t>
      </w:r>
      <w:r w:rsidR="00BE4CBE" w:rsidRPr="001F5165">
        <w:rPr>
          <w:rFonts w:ascii="Arial" w:hAnsi="Arial" w:cs="Arial"/>
          <w:i/>
          <w:sz w:val="24"/>
          <w:szCs w:val="24"/>
        </w:rPr>
        <w:t xml:space="preserve">in </w:t>
      </w:r>
      <w:r w:rsidR="00BE4CBE" w:rsidRPr="00A42926">
        <w:rPr>
          <w:rFonts w:ascii="Arial" w:hAnsi="Arial" w:cs="Arial"/>
          <w:i/>
          <w:sz w:val="24"/>
          <w:szCs w:val="24"/>
        </w:rPr>
        <w:t xml:space="preserve">limine </w:t>
      </w:r>
      <w:r w:rsidR="00BE4CBE" w:rsidRPr="00A42926">
        <w:rPr>
          <w:rFonts w:ascii="Arial" w:hAnsi="Arial" w:cs="Arial"/>
          <w:sz w:val="24"/>
          <w:szCs w:val="24"/>
        </w:rPr>
        <w:t xml:space="preserve">in an answering affidavit. This relates to all the issues raised in paragraphs (a) – (d) above. In applications, unless a litigant wishes to raise legal issues only when a </w:t>
      </w:r>
      <w:r w:rsidR="00016397">
        <w:rPr>
          <w:rFonts w:ascii="Arial" w:hAnsi="Arial" w:cs="Arial"/>
          <w:sz w:val="24"/>
          <w:szCs w:val="24"/>
        </w:rPr>
        <w:t>rule 66</w:t>
      </w:r>
      <w:r w:rsidR="00B518A1">
        <w:rPr>
          <w:rFonts w:ascii="Arial" w:hAnsi="Arial" w:cs="Arial"/>
          <w:sz w:val="24"/>
          <w:szCs w:val="24"/>
        </w:rPr>
        <w:t>(1)</w:t>
      </w:r>
      <w:r w:rsidR="00BE4CBE" w:rsidRPr="00A42926">
        <w:rPr>
          <w:rFonts w:ascii="Arial" w:hAnsi="Arial" w:cs="Arial"/>
          <w:sz w:val="24"/>
          <w:szCs w:val="24"/>
        </w:rPr>
        <w:t>(c) notice will suffice, a respondent is required to fi</w:t>
      </w:r>
      <w:r w:rsidR="00BE4CBE">
        <w:rPr>
          <w:rFonts w:ascii="Arial" w:hAnsi="Arial" w:cs="Arial"/>
          <w:sz w:val="24"/>
          <w:szCs w:val="24"/>
        </w:rPr>
        <w:t>l</w:t>
      </w:r>
      <w:r w:rsidR="00BE4CBE" w:rsidRPr="00A42926">
        <w:rPr>
          <w:rFonts w:ascii="Arial" w:hAnsi="Arial" w:cs="Arial"/>
          <w:sz w:val="24"/>
          <w:szCs w:val="24"/>
        </w:rPr>
        <w:t>e an answering affidavit which deals with all aspects such respondent in</w:t>
      </w:r>
      <w:r w:rsidR="00BE4CBE">
        <w:rPr>
          <w:rFonts w:ascii="Arial" w:hAnsi="Arial" w:cs="Arial"/>
          <w:sz w:val="24"/>
          <w:szCs w:val="24"/>
        </w:rPr>
        <w:t>tends to raise i</w:t>
      </w:r>
      <w:r w:rsidR="00BE4CBE" w:rsidRPr="00A42926">
        <w:rPr>
          <w:rFonts w:ascii="Arial" w:hAnsi="Arial" w:cs="Arial"/>
          <w:sz w:val="24"/>
          <w:szCs w:val="24"/>
        </w:rPr>
        <w:t>n answer to the founding affidavit(s). Thus</w:t>
      </w:r>
      <w:r w:rsidR="00BE4CBE">
        <w:rPr>
          <w:rFonts w:ascii="Arial" w:hAnsi="Arial" w:cs="Arial"/>
          <w:sz w:val="24"/>
          <w:szCs w:val="24"/>
        </w:rPr>
        <w:t>,</w:t>
      </w:r>
      <w:r w:rsidR="00BE4CBE" w:rsidRPr="00A42926">
        <w:rPr>
          <w:rFonts w:ascii="Arial" w:hAnsi="Arial" w:cs="Arial"/>
          <w:sz w:val="24"/>
          <w:szCs w:val="24"/>
        </w:rPr>
        <w:t xml:space="preserve"> one cannot raise a special defence and not plead over one’s other defence(s)</w:t>
      </w:r>
      <w:r w:rsidR="00BE4CBE" w:rsidRPr="00A42926">
        <w:rPr>
          <w:rStyle w:val="FootnoteReference"/>
          <w:rFonts w:ascii="Arial" w:hAnsi="Arial" w:cs="Arial"/>
          <w:sz w:val="24"/>
          <w:szCs w:val="24"/>
        </w:rPr>
        <w:footnoteReference w:id="37"/>
      </w:r>
      <w:r w:rsidR="00BE4CBE">
        <w:rPr>
          <w:rFonts w:ascii="Arial" w:hAnsi="Arial" w:cs="Arial"/>
          <w:sz w:val="24"/>
          <w:szCs w:val="24"/>
        </w:rPr>
        <w:t>. If the time provided by G</w:t>
      </w:r>
      <w:r w:rsidR="00BE4CBE" w:rsidRPr="00A42926">
        <w:rPr>
          <w:rFonts w:ascii="Arial" w:hAnsi="Arial" w:cs="Arial"/>
          <w:sz w:val="24"/>
          <w:szCs w:val="24"/>
        </w:rPr>
        <w:t>ondwana in the bringing of the urgent application was not sufficient Hollard should have raised the urgency issue up front in an answering affidavit and dealt with this issue and then sought a postponement to file a complete answering affidavit at some stage indicating at least the nature of its other defences. There was simply no basis for bringing a so-called ‘interlocutory application’</w:t>
      </w:r>
      <w:r w:rsidR="00BE4CBE" w:rsidRPr="00A42926">
        <w:rPr>
          <w:rStyle w:val="FootnoteReference"/>
          <w:rFonts w:ascii="Arial" w:hAnsi="Arial" w:cs="Arial"/>
          <w:sz w:val="24"/>
          <w:szCs w:val="24"/>
        </w:rPr>
        <w:footnoteReference w:id="38"/>
      </w:r>
      <w:r w:rsidR="00BE4CBE" w:rsidRPr="00A42926">
        <w:rPr>
          <w:rFonts w:ascii="Arial" w:hAnsi="Arial" w:cs="Arial"/>
          <w:sz w:val="24"/>
          <w:szCs w:val="24"/>
        </w:rPr>
        <w:t xml:space="preserve">. Whereas the relief sought and referred to above does not feature in this appeal it is apposite that I mention two aspects. How the court </w:t>
      </w:r>
      <w:r w:rsidR="00BE4CBE" w:rsidRPr="00A42926">
        <w:rPr>
          <w:rFonts w:ascii="Arial" w:hAnsi="Arial" w:cs="Arial"/>
          <w:i/>
          <w:sz w:val="24"/>
          <w:szCs w:val="24"/>
        </w:rPr>
        <w:t xml:space="preserve">a quo </w:t>
      </w:r>
      <w:r w:rsidR="00BE4CBE" w:rsidRPr="00A42926">
        <w:rPr>
          <w:rFonts w:ascii="Arial" w:hAnsi="Arial" w:cs="Arial"/>
          <w:sz w:val="24"/>
          <w:szCs w:val="24"/>
        </w:rPr>
        <w:t xml:space="preserve">was to decide if the factual disputes was such as </w:t>
      </w:r>
      <w:r w:rsidR="00BE4CBE">
        <w:rPr>
          <w:rFonts w:ascii="Arial" w:hAnsi="Arial" w:cs="Arial"/>
          <w:sz w:val="24"/>
          <w:szCs w:val="24"/>
        </w:rPr>
        <w:t>to dismiss the application of G</w:t>
      </w:r>
      <w:r w:rsidR="00BE4CBE" w:rsidRPr="00A42926">
        <w:rPr>
          <w:rFonts w:ascii="Arial" w:hAnsi="Arial" w:cs="Arial"/>
          <w:sz w:val="24"/>
          <w:szCs w:val="24"/>
        </w:rPr>
        <w:t>ondwana without an answering affidavit simply cannot be done except to, in essence, use this ‘interlocutory application’ to respond to the founding affidavit. In respect of the point that the</w:t>
      </w:r>
      <w:r w:rsidR="00BE4CBE">
        <w:rPr>
          <w:rFonts w:ascii="Arial" w:hAnsi="Arial" w:cs="Arial"/>
          <w:sz w:val="24"/>
          <w:szCs w:val="24"/>
        </w:rPr>
        <w:t xml:space="preserve"> application was premature as G</w:t>
      </w:r>
      <w:r w:rsidR="00BE4CBE" w:rsidRPr="00A42926">
        <w:rPr>
          <w:rFonts w:ascii="Arial" w:hAnsi="Arial" w:cs="Arial"/>
          <w:sz w:val="24"/>
          <w:szCs w:val="24"/>
        </w:rPr>
        <w:t xml:space="preserve">ondwana’s claim had not yet been rejected by Hollard it is quite a strange claim to make because in the founding affidavit </w:t>
      </w:r>
      <w:r w:rsidR="00BE4CBE" w:rsidRPr="00A42926">
        <w:rPr>
          <w:rFonts w:ascii="Arial" w:hAnsi="Arial" w:cs="Arial"/>
          <w:sz w:val="24"/>
          <w:szCs w:val="24"/>
        </w:rPr>
        <w:lastRenderedPageBreak/>
        <w:t xml:space="preserve">supporting the interlocutory application it is clear that Hollard rejects the claim as its stance is that the Covid-19 infection of the Romanians </w:t>
      </w:r>
      <w:r w:rsidR="00BE4CBE">
        <w:rPr>
          <w:rFonts w:ascii="Arial" w:hAnsi="Arial" w:cs="Arial"/>
          <w:sz w:val="24"/>
          <w:szCs w:val="24"/>
        </w:rPr>
        <w:t>did not occur within 25 km of G</w:t>
      </w:r>
      <w:r w:rsidR="00BE4CBE" w:rsidRPr="00A42926">
        <w:rPr>
          <w:rFonts w:ascii="Arial" w:hAnsi="Arial" w:cs="Arial"/>
          <w:sz w:val="24"/>
          <w:szCs w:val="24"/>
        </w:rPr>
        <w:t>ondwana’s business premises as prescribed in the policy and also that it was not this outbreak that caused the gover</w:t>
      </w:r>
      <w:r w:rsidR="00BE4CBE">
        <w:rPr>
          <w:rFonts w:ascii="Arial" w:hAnsi="Arial" w:cs="Arial"/>
          <w:sz w:val="24"/>
          <w:szCs w:val="24"/>
        </w:rPr>
        <w:t>nment lock-down as alleged by G</w:t>
      </w:r>
      <w:r w:rsidR="00BE4CBE" w:rsidRPr="00A42926">
        <w:rPr>
          <w:rFonts w:ascii="Arial" w:hAnsi="Arial" w:cs="Arial"/>
          <w:sz w:val="24"/>
          <w:szCs w:val="24"/>
        </w:rPr>
        <w:t>ondwana which according to Ho</w:t>
      </w:r>
      <w:r w:rsidR="00BE4CBE">
        <w:rPr>
          <w:rFonts w:ascii="Arial" w:hAnsi="Arial" w:cs="Arial"/>
          <w:sz w:val="24"/>
          <w:szCs w:val="24"/>
        </w:rPr>
        <w:t>llard is fatal to the case of Gondwana. The rejection of G</w:t>
      </w:r>
      <w:r w:rsidR="00BE4CBE" w:rsidRPr="00A42926">
        <w:rPr>
          <w:rFonts w:ascii="Arial" w:hAnsi="Arial" w:cs="Arial"/>
          <w:sz w:val="24"/>
          <w:szCs w:val="24"/>
        </w:rPr>
        <w:t>ondwana’s claim was thus a foregone conclusion.</w:t>
      </w:r>
    </w:p>
    <w:p w14:paraId="0263A872" w14:textId="77777777" w:rsidR="00BE4CBE" w:rsidRPr="00A42926" w:rsidRDefault="00BE4CBE" w:rsidP="00BE4CBE">
      <w:pPr>
        <w:pStyle w:val="NoSpacing"/>
        <w:spacing w:line="480" w:lineRule="auto"/>
        <w:jc w:val="both"/>
        <w:rPr>
          <w:rFonts w:ascii="Arial" w:hAnsi="Arial" w:cs="Arial"/>
          <w:sz w:val="24"/>
          <w:szCs w:val="24"/>
        </w:rPr>
      </w:pPr>
    </w:p>
    <w:p w14:paraId="4441C3C7" w14:textId="59518B98"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[93]</w:t>
      </w:r>
      <w:r w:rsidRPr="00A42926">
        <w:rPr>
          <w:rFonts w:ascii="Arial" w:hAnsi="Arial" w:cs="Arial"/>
          <w:sz w:val="24"/>
          <w:szCs w:val="24"/>
        </w:rPr>
        <w:tab/>
      </w:r>
      <w:r w:rsidR="00BE4CBE" w:rsidRPr="00A42926">
        <w:rPr>
          <w:rFonts w:ascii="Arial" w:hAnsi="Arial" w:cs="Arial"/>
          <w:sz w:val="24"/>
          <w:szCs w:val="24"/>
        </w:rPr>
        <w:t xml:space="preserve">I mention the above response to the urgent application however as it demonstrates the attitude of Hollard that it, as respondent, can decide what procedure should apply to it and if the rules of court do not provide for such procedures they will ignore the rules so as to assert their right to a fair trial. As will become apparent below when Gondwana insisted that Hollard adhere to the </w:t>
      </w:r>
      <w:r w:rsidR="00B518A1">
        <w:rPr>
          <w:rFonts w:ascii="Arial" w:hAnsi="Arial" w:cs="Arial"/>
          <w:sz w:val="24"/>
          <w:szCs w:val="24"/>
        </w:rPr>
        <w:t>r</w:t>
      </w:r>
      <w:r w:rsidR="00BE4CBE" w:rsidRPr="00A42926">
        <w:rPr>
          <w:rFonts w:ascii="Arial" w:hAnsi="Arial" w:cs="Arial"/>
          <w:sz w:val="24"/>
          <w:szCs w:val="24"/>
        </w:rPr>
        <w:t>ules,</w:t>
      </w:r>
      <w:r w:rsidR="00BE4CBE">
        <w:rPr>
          <w:rFonts w:ascii="Arial" w:hAnsi="Arial" w:cs="Arial"/>
          <w:sz w:val="24"/>
          <w:szCs w:val="24"/>
        </w:rPr>
        <w:t xml:space="preserve"> the latter</w:t>
      </w:r>
      <w:r w:rsidR="00BE4CBE" w:rsidRPr="00A42926">
        <w:rPr>
          <w:rFonts w:ascii="Arial" w:hAnsi="Arial" w:cs="Arial"/>
          <w:sz w:val="24"/>
          <w:szCs w:val="24"/>
        </w:rPr>
        <w:t xml:space="preserve"> in an arrogant fashion, dismissed such suggestion and insisted it would determine the procedures applicable to it.</w:t>
      </w:r>
    </w:p>
    <w:p w14:paraId="2A008323" w14:textId="77777777" w:rsidR="00BE4CBE" w:rsidRPr="00A42926" w:rsidRDefault="00BE4CBE" w:rsidP="00BE4CBE">
      <w:pPr>
        <w:pStyle w:val="NoSpacing"/>
        <w:spacing w:line="480" w:lineRule="auto"/>
        <w:jc w:val="both"/>
        <w:rPr>
          <w:rFonts w:ascii="Arial" w:hAnsi="Arial" w:cs="Arial"/>
          <w:sz w:val="24"/>
          <w:szCs w:val="24"/>
        </w:rPr>
      </w:pPr>
    </w:p>
    <w:p w14:paraId="70B39806" w14:textId="36B5036F" w:rsidR="00BE4CBE" w:rsidRDefault="00A81732" w:rsidP="00A81732">
      <w:pPr>
        <w:pStyle w:val="NoSpacing"/>
        <w:spacing w:line="48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BE4CBE" w:rsidRPr="00A42926">
        <w:rPr>
          <w:rFonts w:ascii="Arial" w:hAnsi="Arial" w:cs="Arial"/>
          <w:sz w:val="24"/>
          <w:szCs w:val="24"/>
        </w:rPr>
        <w:t>It follows from the relief sought in par</w:t>
      </w:r>
      <w:r w:rsidR="00BE4CBE">
        <w:rPr>
          <w:rFonts w:ascii="Arial" w:hAnsi="Arial" w:cs="Arial"/>
          <w:sz w:val="24"/>
          <w:szCs w:val="24"/>
        </w:rPr>
        <w:t>agraph</w:t>
      </w:r>
      <w:r w:rsidR="00BE4CBE" w:rsidRPr="00A42926">
        <w:rPr>
          <w:rFonts w:ascii="Arial" w:hAnsi="Arial" w:cs="Arial"/>
          <w:sz w:val="24"/>
          <w:szCs w:val="24"/>
        </w:rPr>
        <w:t xml:space="preserve"> (c) of the interlocutory application that Hollard sought to cross-examine the witnesses mentioned prior to the filing of an answering affidavit. The reason for the subpoena </w:t>
      </w:r>
      <w:r w:rsidR="00BE4CBE" w:rsidRPr="00A42926">
        <w:rPr>
          <w:rFonts w:ascii="Arial" w:hAnsi="Arial" w:cs="Arial"/>
          <w:i/>
          <w:sz w:val="24"/>
          <w:szCs w:val="24"/>
        </w:rPr>
        <w:t xml:space="preserve">duces tecum </w:t>
      </w:r>
      <w:r w:rsidR="00BE4CBE" w:rsidRPr="00A42926">
        <w:rPr>
          <w:rFonts w:ascii="Arial" w:hAnsi="Arial" w:cs="Arial"/>
          <w:sz w:val="24"/>
          <w:szCs w:val="24"/>
        </w:rPr>
        <w:t>directed at the Secretary</w:t>
      </w:r>
      <w:r w:rsidR="00BE4CBE">
        <w:rPr>
          <w:rFonts w:ascii="Arial" w:hAnsi="Arial" w:cs="Arial"/>
          <w:sz w:val="24"/>
          <w:szCs w:val="24"/>
        </w:rPr>
        <w:t xml:space="preserve"> to Cabinet</w:t>
      </w:r>
      <w:r w:rsidR="00BE4CBE" w:rsidRPr="00A42926">
        <w:rPr>
          <w:rFonts w:ascii="Arial" w:hAnsi="Arial" w:cs="Arial"/>
          <w:sz w:val="24"/>
          <w:szCs w:val="24"/>
        </w:rPr>
        <w:t xml:space="preserve"> is stated to be that the documents specified in this subpoena were needed for the purpose of cross-examination of Dr Haufiku. This is also apparent from the fact that the calling of the witnesses and the issuing of the subpoenas </w:t>
      </w:r>
      <w:r w:rsidR="00BE4CBE" w:rsidRPr="00A42926">
        <w:rPr>
          <w:rFonts w:ascii="Arial" w:hAnsi="Arial" w:cs="Arial"/>
          <w:i/>
          <w:sz w:val="24"/>
          <w:szCs w:val="24"/>
        </w:rPr>
        <w:t xml:space="preserve">duces tecum </w:t>
      </w:r>
      <w:r w:rsidR="00BE4CBE" w:rsidRPr="00A42926">
        <w:rPr>
          <w:rFonts w:ascii="Arial" w:hAnsi="Arial" w:cs="Arial"/>
          <w:sz w:val="24"/>
          <w:szCs w:val="24"/>
        </w:rPr>
        <w:t>w</w:t>
      </w:r>
      <w:r w:rsidR="00BE4CBE">
        <w:rPr>
          <w:rFonts w:ascii="Arial" w:hAnsi="Arial" w:cs="Arial"/>
          <w:sz w:val="24"/>
          <w:szCs w:val="24"/>
        </w:rPr>
        <w:t>ere</w:t>
      </w:r>
      <w:r w:rsidR="00BE4CBE" w:rsidRPr="00A42926">
        <w:rPr>
          <w:rFonts w:ascii="Arial" w:hAnsi="Arial" w:cs="Arial"/>
          <w:sz w:val="24"/>
          <w:szCs w:val="24"/>
        </w:rPr>
        <w:t xml:space="preserve"> persisted with and w</w:t>
      </w:r>
      <w:r w:rsidR="00BE4CBE">
        <w:rPr>
          <w:rFonts w:ascii="Arial" w:hAnsi="Arial" w:cs="Arial"/>
          <w:sz w:val="24"/>
          <w:szCs w:val="24"/>
        </w:rPr>
        <w:t>ere</w:t>
      </w:r>
      <w:r w:rsidR="00BE4CBE" w:rsidRPr="00A42926">
        <w:rPr>
          <w:rFonts w:ascii="Arial" w:hAnsi="Arial" w:cs="Arial"/>
          <w:sz w:val="24"/>
          <w:szCs w:val="24"/>
        </w:rPr>
        <w:t xml:space="preserve"> obtained at the case management meeting from the managing judge after the application proceeded in the normal cause and prior to the filing of the answering affidavit.</w:t>
      </w:r>
    </w:p>
    <w:p w14:paraId="64CB7863" w14:textId="77777777" w:rsidR="00BE4CBE" w:rsidRPr="00D17D9C" w:rsidRDefault="00BE4CBE" w:rsidP="00BE4CBE">
      <w:pPr>
        <w:pStyle w:val="NoSpacing"/>
        <w:spacing w:line="480" w:lineRule="auto"/>
        <w:jc w:val="both"/>
        <w:rPr>
          <w:rFonts w:ascii="Arial" w:hAnsi="Arial" w:cs="Arial"/>
          <w:sz w:val="24"/>
          <w:szCs w:val="24"/>
        </w:rPr>
      </w:pPr>
    </w:p>
    <w:p w14:paraId="34DC14DE" w14:textId="13BF8DF1" w:rsidR="00BE4CBE" w:rsidRPr="00A42926" w:rsidRDefault="00A81732" w:rsidP="00A81732">
      <w:pPr>
        <w:pStyle w:val="NoSpacing"/>
        <w:spacing w:line="480" w:lineRule="auto"/>
        <w:jc w:val="both"/>
        <w:rPr>
          <w:rFonts w:ascii="Arial" w:hAnsi="Arial" w:cs="Arial"/>
        </w:rPr>
      </w:pPr>
      <w:r w:rsidRPr="00A42926">
        <w:rPr>
          <w:rFonts w:ascii="Arial" w:hAnsi="Arial" w:cs="Arial"/>
          <w:sz w:val="24"/>
          <w:szCs w:val="24"/>
        </w:rPr>
        <w:lastRenderedPageBreak/>
        <w:t>[95]</w:t>
      </w:r>
      <w:r w:rsidRPr="00A42926">
        <w:rPr>
          <w:rFonts w:ascii="Arial" w:hAnsi="Arial" w:cs="Arial"/>
          <w:sz w:val="24"/>
          <w:szCs w:val="24"/>
        </w:rPr>
        <w:tab/>
      </w:r>
      <w:r w:rsidR="00BE4CBE" w:rsidRPr="00A42926">
        <w:rPr>
          <w:rFonts w:ascii="Arial" w:hAnsi="Arial" w:cs="Arial"/>
          <w:sz w:val="24"/>
          <w:szCs w:val="24"/>
        </w:rPr>
        <w:t>In the founding affidavit to the interlocutory application</w:t>
      </w:r>
      <w:r w:rsidR="00BE4CBE">
        <w:rPr>
          <w:rFonts w:ascii="Arial" w:hAnsi="Arial" w:cs="Arial"/>
          <w:sz w:val="24"/>
          <w:szCs w:val="24"/>
        </w:rPr>
        <w:t>,</w:t>
      </w:r>
      <w:r w:rsidR="00BE4CBE" w:rsidRPr="00A42926">
        <w:rPr>
          <w:rFonts w:ascii="Arial" w:hAnsi="Arial" w:cs="Arial"/>
          <w:sz w:val="24"/>
          <w:szCs w:val="24"/>
        </w:rPr>
        <w:t xml:space="preserve"> the managing director of Hollard states </w:t>
      </w:r>
      <w:r w:rsidR="00BE4CBE">
        <w:rPr>
          <w:rFonts w:ascii="Arial" w:hAnsi="Arial" w:cs="Arial"/>
          <w:sz w:val="24"/>
          <w:szCs w:val="24"/>
        </w:rPr>
        <w:t xml:space="preserve">that </w:t>
      </w:r>
      <w:r w:rsidR="00BE4CBE" w:rsidRPr="00A42926">
        <w:rPr>
          <w:rFonts w:ascii="Arial" w:hAnsi="Arial" w:cs="Arial"/>
          <w:sz w:val="24"/>
          <w:szCs w:val="24"/>
        </w:rPr>
        <w:t>the basis of this application</w:t>
      </w:r>
      <w:r w:rsidR="00BE4CBE">
        <w:rPr>
          <w:rFonts w:ascii="Arial" w:hAnsi="Arial" w:cs="Arial"/>
          <w:sz w:val="24"/>
          <w:szCs w:val="24"/>
        </w:rPr>
        <w:t xml:space="preserve"> is</w:t>
      </w:r>
      <w:r w:rsidR="00BE4CBE" w:rsidRPr="00A42926">
        <w:rPr>
          <w:rFonts w:ascii="Arial" w:hAnsi="Arial" w:cs="Arial"/>
          <w:sz w:val="24"/>
          <w:szCs w:val="24"/>
        </w:rPr>
        <w:t xml:space="preserve"> as follows:  ‘At the heart of this matter lies Article 12 of the Nam</w:t>
      </w:r>
      <w:r w:rsidR="00BE4CBE">
        <w:rPr>
          <w:rFonts w:ascii="Arial" w:hAnsi="Arial" w:cs="Arial"/>
          <w:sz w:val="24"/>
          <w:szCs w:val="24"/>
        </w:rPr>
        <w:t>ibian Constitution (Article 12)’</w:t>
      </w:r>
      <w:r w:rsidR="00BE4CBE" w:rsidRPr="00A42926">
        <w:rPr>
          <w:rFonts w:ascii="Arial" w:hAnsi="Arial" w:cs="Arial"/>
          <w:sz w:val="24"/>
          <w:szCs w:val="24"/>
        </w:rPr>
        <w:t xml:space="preserve"> and sanctimoniously states </w:t>
      </w:r>
      <w:r w:rsidR="00BE4CBE">
        <w:rPr>
          <w:rFonts w:ascii="Arial" w:hAnsi="Arial" w:cs="Arial"/>
          <w:sz w:val="24"/>
          <w:szCs w:val="24"/>
        </w:rPr>
        <w:t>that ‘G</w:t>
      </w:r>
      <w:r w:rsidR="00BE4CBE" w:rsidRPr="00A42926">
        <w:rPr>
          <w:rFonts w:ascii="Arial" w:hAnsi="Arial" w:cs="Arial"/>
          <w:sz w:val="24"/>
          <w:szCs w:val="24"/>
        </w:rPr>
        <w:t xml:space="preserve">ondwana cannot, and hopefully does not, dispute the application of </w:t>
      </w:r>
      <w:r w:rsidR="00BE4CBE">
        <w:rPr>
          <w:rFonts w:ascii="Arial" w:hAnsi="Arial" w:cs="Arial"/>
          <w:sz w:val="24"/>
          <w:szCs w:val="24"/>
        </w:rPr>
        <w:t>Article 12 . . .</w:t>
      </w:r>
      <w:r w:rsidR="00BE4CBE" w:rsidRPr="00A42926">
        <w:rPr>
          <w:rFonts w:ascii="Arial" w:hAnsi="Arial" w:cs="Arial"/>
          <w:sz w:val="24"/>
          <w:szCs w:val="24"/>
        </w:rPr>
        <w:t>’.</w:t>
      </w:r>
      <w:r w:rsidR="00BE4CBE" w:rsidRPr="00A42926">
        <w:rPr>
          <w:rFonts w:ascii="Arial" w:hAnsi="Arial" w:cs="Arial"/>
        </w:rPr>
        <w:t xml:space="preserve">  </w:t>
      </w:r>
    </w:p>
    <w:p w14:paraId="7A1957B2" w14:textId="77777777" w:rsidR="00BE4CBE" w:rsidRPr="00EC0DE3" w:rsidRDefault="00BE4CBE" w:rsidP="00BE4CBE">
      <w:pPr>
        <w:pStyle w:val="NoSpacing"/>
        <w:spacing w:line="480" w:lineRule="auto"/>
        <w:ind w:left="720"/>
        <w:jc w:val="both"/>
        <w:rPr>
          <w:rFonts w:ascii="Arial" w:hAnsi="Arial" w:cs="Arial"/>
          <w:sz w:val="24"/>
          <w:szCs w:val="24"/>
        </w:rPr>
      </w:pPr>
    </w:p>
    <w:p w14:paraId="394639B5" w14:textId="0FE9B488"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[96]</w:t>
      </w:r>
      <w:r w:rsidRPr="00A42926">
        <w:rPr>
          <w:rFonts w:ascii="Arial" w:hAnsi="Arial" w:cs="Arial"/>
          <w:sz w:val="24"/>
          <w:szCs w:val="24"/>
        </w:rPr>
        <w:tab/>
      </w:r>
      <w:r w:rsidR="00BE4CBE" w:rsidRPr="00A42926">
        <w:rPr>
          <w:rFonts w:ascii="Arial" w:hAnsi="Arial" w:cs="Arial"/>
          <w:sz w:val="24"/>
          <w:szCs w:val="24"/>
        </w:rPr>
        <w:t>Under the heading ‘Subpoenas’ in the interlocutory application Hollard, presumably bolstered by the reliance on Art 12 as set out above</w:t>
      </w:r>
      <w:r w:rsidR="00016397">
        <w:rPr>
          <w:rFonts w:ascii="Arial" w:hAnsi="Arial" w:cs="Arial"/>
          <w:sz w:val="24"/>
          <w:szCs w:val="24"/>
        </w:rPr>
        <w:t>,</w:t>
      </w:r>
      <w:r w:rsidR="00BE4CBE" w:rsidRPr="00A42926">
        <w:rPr>
          <w:rFonts w:ascii="Arial" w:hAnsi="Arial" w:cs="Arial"/>
          <w:sz w:val="24"/>
          <w:szCs w:val="24"/>
        </w:rPr>
        <w:t xml:space="preserve"> fires the following warning shot at </w:t>
      </w:r>
      <w:r w:rsidR="000E3F30">
        <w:rPr>
          <w:rFonts w:ascii="Arial" w:hAnsi="Arial" w:cs="Arial"/>
          <w:sz w:val="24"/>
          <w:szCs w:val="24"/>
        </w:rPr>
        <w:t>Gondwana</w:t>
      </w:r>
      <w:r w:rsidR="00BE4CBE" w:rsidRPr="00A42926">
        <w:rPr>
          <w:rFonts w:ascii="Arial" w:hAnsi="Arial" w:cs="Arial"/>
          <w:sz w:val="24"/>
          <w:szCs w:val="24"/>
        </w:rPr>
        <w:t xml:space="preserve">: </w:t>
      </w:r>
    </w:p>
    <w:p w14:paraId="562099E9" w14:textId="77777777" w:rsidR="00BE4CBE" w:rsidRPr="00A42926" w:rsidRDefault="00BE4CBE" w:rsidP="00BE4CBE">
      <w:pPr>
        <w:pStyle w:val="ListParagraph"/>
        <w:ind w:left="360"/>
        <w:jc w:val="both"/>
        <w:rPr>
          <w:rFonts w:ascii="Arial" w:hAnsi="Arial" w:cs="Arial"/>
          <w:sz w:val="24"/>
          <w:szCs w:val="24"/>
        </w:rPr>
      </w:pPr>
    </w:p>
    <w:p w14:paraId="3BBD7296" w14:textId="016E12C8" w:rsidR="00BE4CBE" w:rsidRPr="00A42926" w:rsidRDefault="00BE4CBE" w:rsidP="00BE4CBE">
      <w:pPr>
        <w:pStyle w:val="NoSpacing"/>
        <w:spacing w:line="360" w:lineRule="auto"/>
        <w:ind w:left="720"/>
        <w:jc w:val="both"/>
        <w:rPr>
          <w:rFonts w:ascii="Arial" w:hAnsi="Arial" w:cs="Arial"/>
        </w:rPr>
      </w:pPr>
      <w:r>
        <w:rPr>
          <w:rFonts w:ascii="Arial" w:hAnsi="Arial" w:cs="Arial"/>
        </w:rPr>
        <w:t>‘</w:t>
      </w:r>
      <w:r w:rsidRPr="00A42926">
        <w:rPr>
          <w:rFonts w:ascii="Arial" w:hAnsi="Arial" w:cs="Arial"/>
        </w:rPr>
        <w:t xml:space="preserve">Any person who wishes to make out a case that Hollard is abusing its rights (which is denied by Hollard) must make out such case. It is not </w:t>
      </w:r>
      <w:r>
        <w:rPr>
          <w:rFonts w:ascii="Arial" w:hAnsi="Arial" w:cs="Arial"/>
        </w:rPr>
        <w:t>for G</w:t>
      </w:r>
      <w:r w:rsidRPr="00A42926">
        <w:rPr>
          <w:rFonts w:ascii="Arial" w:hAnsi="Arial" w:cs="Arial"/>
        </w:rPr>
        <w:t xml:space="preserve">ondwana to demand affidavits from Hollard to say pertinent things under oath </w:t>
      </w:r>
      <w:r>
        <w:rPr>
          <w:rFonts w:ascii="Arial" w:hAnsi="Arial" w:cs="Arial"/>
        </w:rPr>
        <w:t>before – according to G</w:t>
      </w:r>
      <w:r w:rsidRPr="00A42926">
        <w:rPr>
          <w:rFonts w:ascii="Arial" w:hAnsi="Arial" w:cs="Arial"/>
        </w:rPr>
        <w:t xml:space="preserve">ondwana – Hollard becomes entitled to the procedural device of issuing subpoenas </w:t>
      </w:r>
      <w:r w:rsidR="000E3F30">
        <w:rPr>
          <w:rFonts w:ascii="Arial" w:hAnsi="Arial" w:cs="Arial"/>
          <w:i/>
        </w:rPr>
        <w:t>duces</w:t>
      </w:r>
      <w:r w:rsidRPr="00A42926">
        <w:rPr>
          <w:rFonts w:ascii="Arial" w:hAnsi="Arial" w:cs="Arial"/>
          <w:i/>
        </w:rPr>
        <w:t xml:space="preserve"> tecum</w:t>
      </w:r>
      <w:r w:rsidRPr="00A42926">
        <w:rPr>
          <w:rFonts w:ascii="Arial" w:hAnsi="Arial" w:cs="Arial"/>
        </w:rPr>
        <w:t>.</w:t>
      </w:r>
      <w:r>
        <w:rPr>
          <w:rFonts w:ascii="Arial" w:hAnsi="Arial" w:cs="Arial"/>
        </w:rPr>
        <w:t>’</w:t>
      </w:r>
    </w:p>
    <w:p w14:paraId="6DE1B064" w14:textId="77777777" w:rsidR="00BE4CBE" w:rsidRPr="008F3E26" w:rsidRDefault="00BE4CBE" w:rsidP="008362EF">
      <w:pPr>
        <w:pStyle w:val="NoSpacing"/>
        <w:spacing w:line="480" w:lineRule="auto"/>
        <w:jc w:val="both"/>
        <w:rPr>
          <w:rFonts w:ascii="Arial" w:hAnsi="Arial" w:cs="Arial"/>
          <w:color w:val="000000" w:themeColor="text1"/>
          <w:sz w:val="24"/>
          <w:szCs w:val="24"/>
        </w:rPr>
      </w:pPr>
    </w:p>
    <w:p w14:paraId="0638EC9C" w14:textId="56BC4681" w:rsidR="00BE4CBE" w:rsidRPr="008F3E26" w:rsidRDefault="00A81732" w:rsidP="00A81732">
      <w:pPr>
        <w:pStyle w:val="NoSpacing"/>
        <w:spacing w:line="480" w:lineRule="auto"/>
        <w:jc w:val="both"/>
        <w:rPr>
          <w:rFonts w:ascii="Arial" w:hAnsi="Arial" w:cs="Arial"/>
          <w:color w:val="000000" w:themeColor="text1"/>
          <w:sz w:val="24"/>
          <w:szCs w:val="24"/>
        </w:rPr>
      </w:pPr>
      <w:r w:rsidRPr="008F3E26">
        <w:rPr>
          <w:rFonts w:ascii="Arial" w:hAnsi="Arial" w:cs="Arial"/>
          <w:sz w:val="24"/>
          <w:szCs w:val="24"/>
        </w:rPr>
        <w:t>[97]</w:t>
      </w:r>
      <w:r w:rsidRPr="008F3E26">
        <w:rPr>
          <w:rFonts w:ascii="Arial" w:hAnsi="Arial" w:cs="Arial"/>
          <w:sz w:val="24"/>
          <w:szCs w:val="24"/>
        </w:rPr>
        <w:tab/>
      </w:r>
      <w:r w:rsidR="00BE4CBE" w:rsidRPr="008F3E26">
        <w:rPr>
          <w:rFonts w:ascii="Arial" w:hAnsi="Arial" w:cs="Arial"/>
          <w:color w:val="000000" w:themeColor="text1"/>
          <w:sz w:val="24"/>
          <w:szCs w:val="24"/>
        </w:rPr>
        <w:t xml:space="preserve">Gondwana’s urgent application was eventually dismissed on the basis that it was not urgent. The High Court thus did not deal with all the alternative relief that would only follow had the urgency point not succeeded. After the dismissal of Hollard’s application based on the finding that it was not urgent, Gondwana in terms of </w:t>
      </w:r>
      <w:r w:rsidR="007E63CE">
        <w:rPr>
          <w:rFonts w:ascii="Arial" w:hAnsi="Arial" w:cs="Arial"/>
          <w:color w:val="000000" w:themeColor="text1"/>
          <w:sz w:val="24"/>
          <w:szCs w:val="24"/>
        </w:rPr>
        <w:t>r</w:t>
      </w:r>
      <w:r w:rsidR="00BE4CBE" w:rsidRPr="008F3E26">
        <w:rPr>
          <w:rFonts w:ascii="Arial" w:hAnsi="Arial" w:cs="Arial"/>
          <w:color w:val="000000" w:themeColor="text1"/>
          <w:sz w:val="24"/>
          <w:szCs w:val="24"/>
        </w:rPr>
        <w:t>ule 73 (5)</w:t>
      </w:r>
      <w:r w:rsidR="00BE4CBE" w:rsidRPr="008F3E26">
        <w:rPr>
          <w:rStyle w:val="FootnoteReference"/>
          <w:rFonts w:ascii="Arial" w:hAnsi="Arial" w:cs="Arial"/>
          <w:color w:val="000000" w:themeColor="text1"/>
          <w:sz w:val="24"/>
          <w:szCs w:val="24"/>
        </w:rPr>
        <w:footnoteReference w:id="39"/>
      </w:r>
      <w:r w:rsidR="00BE4CBE" w:rsidRPr="008F3E26">
        <w:rPr>
          <w:rFonts w:ascii="Arial" w:hAnsi="Arial" w:cs="Arial"/>
          <w:color w:val="000000" w:themeColor="text1"/>
          <w:sz w:val="24"/>
          <w:szCs w:val="24"/>
        </w:rPr>
        <w:t xml:space="preserve"> elected to proceed with the application in the ordinary course and the matter was referred to case management.</w:t>
      </w:r>
    </w:p>
    <w:p w14:paraId="50D9CEF3" w14:textId="77777777" w:rsidR="00BE4CBE" w:rsidRPr="00A42926" w:rsidRDefault="00BE4CBE" w:rsidP="00BE4CBE">
      <w:pPr>
        <w:pStyle w:val="NoSpacing"/>
        <w:spacing w:line="480" w:lineRule="auto"/>
        <w:jc w:val="both"/>
        <w:rPr>
          <w:rFonts w:ascii="Arial" w:hAnsi="Arial" w:cs="Arial"/>
          <w:sz w:val="24"/>
          <w:szCs w:val="24"/>
        </w:rPr>
      </w:pPr>
    </w:p>
    <w:p w14:paraId="4EE5158C" w14:textId="56109F4E"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[98]</w:t>
      </w:r>
      <w:r w:rsidRPr="00A42926">
        <w:rPr>
          <w:rFonts w:ascii="Arial" w:hAnsi="Arial" w:cs="Arial"/>
          <w:sz w:val="24"/>
          <w:szCs w:val="24"/>
        </w:rPr>
        <w:tab/>
      </w:r>
      <w:r w:rsidR="00BE4CBE" w:rsidRPr="00A42926">
        <w:rPr>
          <w:rFonts w:ascii="Arial" w:hAnsi="Arial" w:cs="Arial"/>
          <w:sz w:val="24"/>
          <w:szCs w:val="24"/>
        </w:rPr>
        <w:t>It needs</w:t>
      </w:r>
      <w:r w:rsidR="00BE4CBE">
        <w:rPr>
          <w:rFonts w:ascii="Arial" w:hAnsi="Arial" w:cs="Arial"/>
          <w:sz w:val="24"/>
          <w:szCs w:val="24"/>
        </w:rPr>
        <w:t xml:space="preserve"> to be mentioned in passing that G</w:t>
      </w:r>
      <w:r w:rsidR="00BE4CBE" w:rsidRPr="00A42926">
        <w:rPr>
          <w:rFonts w:ascii="Arial" w:hAnsi="Arial" w:cs="Arial"/>
          <w:sz w:val="24"/>
          <w:szCs w:val="24"/>
        </w:rPr>
        <w:t xml:space="preserve">ondwana filed an answering affidavit to the interlocutory application brought by Hollard where it states in respect of the subpoenas </w:t>
      </w:r>
      <w:r w:rsidR="00BE4CBE" w:rsidRPr="00A42926">
        <w:rPr>
          <w:rFonts w:ascii="Arial" w:hAnsi="Arial" w:cs="Arial"/>
          <w:i/>
          <w:sz w:val="24"/>
          <w:szCs w:val="24"/>
        </w:rPr>
        <w:t xml:space="preserve">duces tecum </w:t>
      </w:r>
      <w:r w:rsidR="00BE4CBE" w:rsidRPr="00A42926">
        <w:rPr>
          <w:rFonts w:ascii="Arial" w:hAnsi="Arial" w:cs="Arial"/>
          <w:sz w:val="24"/>
          <w:szCs w:val="24"/>
        </w:rPr>
        <w:t xml:space="preserve">sought as an alternative that it was seeking the sanction of the court to conduct ‘an unwarranted fishing expedition’ and that Hollard was required </w:t>
      </w:r>
      <w:r w:rsidR="00BE4CBE" w:rsidRPr="00A42926">
        <w:rPr>
          <w:rFonts w:ascii="Arial" w:hAnsi="Arial" w:cs="Arial"/>
          <w:sz w:val="24"/>
          <w:szCs w:val="24"/>
        </w:rPr>
        <w:lastRenderedPageBreak/>
        <w:t>to file an answering affidavit before it could make application for such an order and concluded that ‘Hollard is protected by rule</w:t>
      </w:r>
      <w:r w:rsidR="002C61A0">
        <w:rPr>
          <w:rFonts w:ascii="Arial" w:hAnsi="Arial" w:cs="Arial"/>
          <w:sz w:val="24"/>
          <w:szCs w:val="24"/>
        </w:rPr>
        <w:t>s</w:t>
      </w:r>
      <w:r w:rsidR="00BE4CBE" w:rsidRPr="00A42926">
        <w:rPr>
          <w:rFonts w:ascii="Arial" w:hAnsi="Arial" w:cs="Arial"/>
          <w:sz w:val="24"/>
          <w:szCs w:val="24"/>
        </w:rPr>
        <w:t xml:space="preserve"> of evidence which apply to motion proceedings and it is not necessary for Hollard to issue the subpoenas in order to meet Gondwana’s case in the main application’.   </w:t>
      </w:r>
    </w:p>
    <w:p w14:paraId="45786A76" w14:textId="77777777" w:rsidR="00BE4CBE" w:rsidRPr="00A42926" w:rsidRDefault="00BE4CBE" w:rsidP="00BE4CBE">
      <w:pPr>
        <w:pStyle w:val="NoSpacing"/>
        <w:spacing w:line="480" w:lineRule="auto"/>
        <w:jc w:val="both"/>
        <w:rPr>
          <w:rFonts w:ascii="Arial" w:hAnsi="Arial" w:cs="Arial"/>
          <w:sz w:val="24"/>
          <w:szCs w:val="24"/>
        </w:rPr>
      </w:pPr>
    </w:p>
    <w:p w14:paraId="3798F919" w14:textId="1DF1888F"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[99]</w:t>
      </w:r>
      <w:r w:rsidRPr="00A42926">
        <w:rPr>
          <w:rFonts w:ascii="Arial" w:hAnsi="Arial" w:cs="Arial"/>
          <w:sz w:val="24"/>
          <w:szCs w:val="24"/>
        </w:rPr>
        <w:tab/>
      </w:r>
      <w:r w:rsidR="00BE4CBE" w:rsidRPr="00A42926">
        <w:rPr>
          <w:rFonts w:ascii="Arial" w:hAnsi="Arial" w:cs="Arial"/>
          <w:sz w:val="24"/>
          <w:szCs w:val="24"/>
        </w:rPr>
        <w:t xml:space="preserve">Hollard at a case management meeting informed </w:t>
      </w:r>
      <w:r w:rsidR="00BE4CBE">
        <w:rPr>
          <w:rFonts w:ascii="Arial" w:hAnsi="Arial" w:cs="Arial"/>
          <w:sz w:val="24"/>
          <w:szCs w:val="24"/>
        </w:rPr>
        <w:t>G</w:t>
      </w:r>
      <w:r w:rsidR="00BE4CBE" w:rsidRPr="00A42926">
        <w:rPr>
          <w:rFonts w:ascii="Arial" w:hAnsi="Arial" w:cs="Arial"/>
          <w:sz w:val="24"/>
          <w:szCs w:val="24"/>
        </w:rPr>
        <w:t>ondwana that it would apply to the managing judge for an order to issue the subpoena</w:t>
      </w:r>
      <w:r w:rsidR="00BE4CBE">
        <w:rPr>
          <w:rFonts w:ascii="Arial" w:hAnsi="Arial" w:cs="Arial"/>
          <w:sz w:val="24"/>
          <w:szCs w:val="24"/>
        </w:rPr>
        <w:t>s to which G</w:t>
      </w:r>
      <w:r w:rsidR="00BE4CBE" w:rsidRPr="00A42926">
        <w:rPr>
          <w:rFonts w:ascii="Arial" w:hAnsi="Arial" w:cs="Arial"/>
          <w:sz w:val="24"/>
          <w:szCs w:val="24"/>
        </w:rPr>
        <w:t>ondwana indicated that they could not prevent Hollard from so applying. The application was then made and the managing judge granted Hollard the order that it sought. This lead to</w:t>
      </w:r>
      <w:r w:rsidR="00BE4CBE">
        <w:rPr>
          <w:rFonts w:ascii="Arial" w:hAnsi="Arial" w:cs="Arial"/>
          <w:sz w:val="24"/>
          <w:szCs w:val="24"/>
        </w:rPr>
        <w:t xml:space="preserve"> an application by the Attorney-</w:t>
      </w:r>
      <w:r w:rsidR="00BE4CBE" w:rsidRPr="00A42926">
        <w:rPr>
          <w:rFonts w:ascii="Arial" w:hAnsi="Arial" w:cs="Arial"/>
          <w:sz w:val="24"/>
          <w:szCs w:val="24"/>
        </w:rPr>
        <w:t>General and the Secretary to</w:t>
      </w:r>
      <w:r w:rsidR="00BE4CBE">
        <w:rPr>
          <w:rFonts w:ascii="Arial" w:hAnsi="Arial" w:cs="Arial"/>
          <w:sz w:val="24"/>
          <w:szCs w:val="24"/>
        </w:rPr>
        <w:t xml:space="preserve"> Cabinet to</w:t>
      </w:r>
      <w:r w:rsidR="00BE4CBE" w:rsidRPr="00A42926">
        <w:rPr>
          <w:rFonts w:ascii="Arial" w:hAnsi="Arial" w:cs="Arial"/>
          <w:sz w:val="24"/>
          <w:szCs w:val="24"/>
        </w:rPr>
        <w:t xml:space="preserve"> have the subpoenas </w:t>
      </w:r>
      <w:r w:rsidR="002C61A0">
        <w:rPr>
          <w:rFonts w:ascii="Arial" w:hAnsi="Arial" w:cs="Arial"/>
          <w:i/>
          <w:sz w:val="24"/>
          <w:szCs w:val="24"/>
        </w:rPr>
        <w:t>duces</w:t>
      </w:r>
      <w:r w:rsidR="00BE4CBE" w:rsidRPr="00A42926">
        <w:rPr>
          <w:rFonts w:ascii="Arial" w:hAnsi="Arial" w:cs="Arial"/>
          <w:i/>
          <w:sz w:val="24"/>
          <w:szCs w:val="24"/>
        </w:rPr>
        <w:t xml:space="preserve"> tecum </w:t>
      </w:r>
      <w:r w:rsidR="00BE4CBE" w:rsidRPr="00A42926">
        <w:rPr>
          <w:rFonts w:ascii="Arial" w:hAnsi="Arial" w:cs="Arial"/>
          <w:sz w:val="24"/>
          <w:szCs w:val="24"/>
        </w:rPr>
        <w:t>directed at them to be set aside.</w:t>
      </w:r>
    </w:p>
    <w:p w14:paraId="029911D2" w14:textId="77777777" w:rsidR="00BE4CBE" w:rsidRPr="00A42926" w:rsidRDefault="00BE4CBE" w:rsidP="00BE4CBE">
      <w:pPr>
        <w:pStyle w:val="NoSpacing"/>
        <w:spacing w:line="480" w:lineRule="auto"/>
        <w:jc w:val="both"/>
        <w:rPr>
          <w:rFonts w:ascii="Arial" w:hAnsi="Arial" w:cs="Arial"/>
          <w:sz w:val="24"/>
          <w:szCs w:val="24"/>
        </w:rPr>
      </w:pPr>
    </w:p>
    <w:p w14:paraId="454D61AE" w14:textId="2838967A"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[100]</w:t>
      </w:r>
      <w:r w:rsidRPr="00A42926">
        <w:rPr>
          <w:rFonts w:ascii="Arial" w:hAnsi="Arial" w:cs="Arial"/>
          <w:sz w:val="24"/>
          <w:szCs w:val="24"/>
        </w:rPr>
        <w:tab/>
      </w:r>
      <w:r w:rsidR="00BE4CBE" w:rsidRPr="00A42926">
        <w:rPr>
          <w:rFonts w:ascii="Arial" w:hAnsi="Arial" w:cs="Arial"/>
          <w:sz w:val="24"/>
          <w:szCs w:val="24"/>
        </w:rPr>
        <w:t>During the course of the proceedings instituted by the two government officials to have the subpoenas directed at them set aside</w:t>
      </w:r>
      <w:r w:rsidR="00BE4CBE">
        <w:rPr>
          <w:rFonts w:ascii="Arial" w:hAnsi="Arial" w:cs="Arial"/>
          <w:sz w:val="24"/>
          <w:szCs w:val="24"/>
        </w:rPr>
        <w:t>,</w:t>
      </w:r>
      <w:r w:rsidR="00BE4CBE" w:rsidRPr="00A42926">
        <w:rPr>
          <w:rFonts w:ascii="Arial" w:hAnsi="Arial" w:cs="Arial"/>
          <w:sz w:val="24"/>
          <w:szCs w:val="24"/>
        </w:rPr>
        <w:t xml:space="preserve"> Hollard withdrew the subpoena issued against the Attorney-General </w:t>
      </w:r>
      <w:r w:rsidR="00BE4CBE">
        <w:rPr>
          <w:rFonts w:ascii="Arial" w:hAnsi="Arial" w:cs="Arial"/>
          <w:sz w:val="24"/>
          <w:szCs w:val="24"/>
        </w:rPr>
        <w:t>and it was conceded in this C</w:t>
      </w:r>
      <w:r w:rsidR="00BE4CBE" w:rsidRPr="00A42926">
        <w:rPr>
          <w:rFonts w:ascii="Arial" w:hAnsi="Arial" w:cs="Arial"/>
          <w:sz w:val="24"/>
          <w:szCs w:val="24"/>
        </w:rPr>
        <w:t xml:space="preserve">ourt that the correct order in respect of </w:t>
      </w:r>
      <w:r w:rsidR="00BE4CBE">
        <w:rPr>
          <w:rFonts w:ascii="Arial" w:hAnsi="Arial" w:cs="Arial"/>
          <w:sz w:val="24"/>
          <w:szCs w:val="24"/>
        </w:rPr>
        <w:t xml:space="preserve">the </w:t>
      </w:r>
      <w:r w:rsidR="00BE4CBE" w:rsidRPr="00A42926">
        <w:rPr>
          <w:rFonts w:ascii="Arial" w:hAnsi="Arial" w:cs="Arial"/>
          <w:sz w:val="24"/>
          <w:szCs w:val="24"/>
        </w:rPr>
        <w:t xml:space="preserve">Attorney-General would have been a costs order in his favour up to the point of the withdrawal of the subpoenas against him. Whereas the court </w:t>
      </w:r>
      <w:r w:rsidR="00BE4CBE" w:rsidRPr="00A42926">
        <w:rPr>
          <w:rFonts w:ascii="Arial" w:hAnsi="Arial" w:cs="Arial"/>
          <w:i/>
          <w:sz w:val="24"/>
          <w:szCs w:val="24"/>
        </w:rPr>
        <w:t xml:space="preserve">a quo </w:t>
      </w:r>
      <w:r w:rsidR="00BE4CBE" w:rsidRPr="00A42926">
        <w:rPr>
          <w:rFonts w:ascii="Arial" w:hAnsi="Arial" w:cs="Arial"/>
          <w:sz w:val="24"/>
          <w:szCs w:val="24"/>
        </w:rPr>
        <w:t xml:space="preserve">was aware of the fact </w:t>
      </w:r>
      <w:r w:rsidR="00BE4CBE">
        <w:rPr>
          <w:rFonts w:ascii="Arial" w:hAnsi="Arial" w:cs="Arial"/>
          <w:sz w:val="24"/>
          <w:szCs w:val="24"/>
        </w:rPr>
        <w:t xml:space="preserve">that </w:t>
      </w:r>
      <w:r w:rsidR="00BE4CBE" w:rsidRPr="00A42926">
        <w:rPr>
          <w:rFonts w:ascii="Arial" w:hAnsi="Arial" w:cs="Arial"/>
          <w:sz w:val="24"/>
          <w:szCs w:val="24"/>
        </w:rPr>
        <w:t>the subpoena against the Attorney-General had been withdrawn</w:t>
      </w:r>
      <w:r w:rsidR="00BE4CBE" w:rsidRPr="00A42926">
        <w:rPr>
          <w:rStyle w:val="FootnoteReference"/>
          <w:rFonts w:ascii="Arial" w:hAnsi="Arial" w:cs="Arial"/>
          <w:sz w:val="24"/>
          <w:szCs w:val="24"/>
        </w:rPr>
        <w:footnoteReference w:id="40"/>
      </w:r>
      <w:r w:rsidR="00BE4CBE" w:rsidRPr="00A42926">
        <w:rPr>
          <w:rFonts w:ascii="Arial" w:hAnsi="Arial" w:cs="Arial"/>
          <w:sz w:val="24"/>
          <w:szCs w:val="24"/>
        </w:rPr>
        <w:t xml:space="preserve"> it nevertheless dismissed his application with costs and furthermore where it quotes the subpoena it states to be the one directed at the Secretary</w:t>
      </w:r>
      <w:r w:rsidR="00BE4CBE">
        <w:rPr>
          <w:rFonts w:ascii="Arial" w:hAnsi="Arial" w:cs="Arial"/>
          <w:sz w:val="24"/>
          <w:szCs w:val="24"/>
        </w:rPr>
        <w:t xml:space="preserve"> to Cabinet</w:t>
      </w:r>
      <w:r w:rsidR="00BE4CBE" w:rsidRPr="00A42926">
        <w:rPr>
          <w:rFonts w:ascii="Arial" w:hAnsi="Arial" w:cs="Arial"/>
          <w:sz w:val="24"/>
          <w:szCs w:val="24"/>
        </w:rPr>
        <w:t xml:space="preserve"> it actually quotes the subpoena directed at the Attorney-General</w:t>
      </w:r>
      <w:r w:rsidR="00A71A3B">
        <w:rPr>
          <w:rFonts w:ascii="Arial" w:hAnsi="Arial" w:cs="Arial"/>
          <w:sz w:val="24"/>
          <w:szCs w:val="24"/>
        </w:rPr>
        <w:t>.</w:t>
      </w:r>
      <w:r w:rsidR="00BE4CBE" w:rsidRPr="00A42926">
        <w:rPr>
          <w:rStyle w:val="FootnoteReference"/>
          <w:rFonts w:ascii="Arial" w:hAnsi="Arial" w:cs="Arial"/>
          <w:sz w:val="24"/>
          <w:szCs w:val="24"/>
        </w:rPr>
        <w:footnoteReference w:id="41"/>
      </w:r>
    </w:p>
    <w:p w14:paraId="44A9397D" w14:textId="77777777" w:rsidR="00BE4CBE" w:rsidRPr="00395B1D" w:rsidRDefault="00BE4CBE" w:rsidP="00395B1D">
      <w:pPr>
        <w:spacing w:after="0" w:line="480" w:lineRule="auto"/>
        <w:jc w:val="both"/>
        <w:rPr>
          <w:rFonts w:ascii="Arial" w:hAnsi="Arial" w:cs="Arial"/>
          <w:sz w:val="24"/>
          <w:szCs w:val="24"/>
        </w:rPr>
      </w:pPr>
    </w:p>
    <w:p w14:paraId="2B0F42C2" w14:textId="35375EB2"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[101]</w:t>
      </w:r>
      <w:r w:rsidRPr="00A42926">
        <w:rPr>
          <w:rFonts w:ascii="Arial" w:hAnsi="Arial" w:cs="Arial"/>
          <w:sz w:val="24"/>
          <w:szCs w:val="24"/>
        </w:rPr>
        <w:tab/>
      </w:r>
      <w:r w:rsidR="00BE4CBE" w:rsidRPr="00A42926">
        <w:rPr>
          <w:rFonts w:ascii="Arial" w:hAnsi="Arial" w:cs="Arial"/>
          <w:sz w:val="24"/>
          <w:szCs w:val="24"/>
        </w:rPr>
        <w:t xml:space="preserve">For the purpose of the appeal it is thus only necessary to consider whether the authorisation by the court </w:t>
      </w:r>
      <w:r w:rsidR="00BE4CBE" w:rsidRPr="00A42926">
        <w:rPr>
          <w:rFonts w:ascii="Arial" w:hAnsi="Arial" w:cs="Arial"/>
          <w:i/>
          <w:sz w:val="24"/>
          <w:szCs w:val="24"/>
        </w:rPr>
        <w:t xml:space="preserve">a quo </w:t>
      </w:r>
      <w:r w:rsidR="00BE4CBE" w:rsidRPr="00A42926">
        <w:rPr>
          <w:rFonts w:ascii="Arial" w:hAnsi="Arial" w:cs="Arial"/>
          <w:sz w:val="24"/>
          <w:szCs w:val="24"/>
        </w:rPr>
        <w:t xml:space="preserve">for the issuing of the subpoena </w:t>
      </w:r>
      <w:r w:rsidR="00BE4CBE" w:rsidRPr="00A42926">
        <w:rPr>
          <w:rFonts w:ascii="Arial" w:hAnsi="Arial" w:cs="Arial"/>
          <w:i/>
          <w:sz w:val="24"/>
          <w:szCs w:val="24"/>
        </w:rPr>
        <w:t>duce</w:t>
      </w:r>
      <w:r w:rsidR="00A71A3B">
        <w:rPr>
          <w:rFonts w:ascii="Arial" w:hAnsi="Arial" w:cs="Arial"/>
          <w:i/>
          <w:sz w:val="24"/>
          <w:szCs w:val="24"/>
        </w:rPr>
        <w:t>s</w:t>
      </w:r>
      <w:r w:rsidR="00BE4CBE" w:rsidRPr="00A42926">
        <w:rPr>
          <w:rFonts w:ascii="Arial" w:hAnsi="Arial" w:cs="Arial"/>
          <w:i/>
          <w:sz w:val="24"/>
          <w:szCs w:val="24"/>
        </w:rPr>
        <w:t xml:space="preserve"> tecum </w:t>
      </w:r>
      <w:r w:rsidR="00BE4CBE" w:rsidRPr="00A42926">
        <w:rPr>
          <w:rFonts w:ascii="Arial" w:hAnsi="Arial" w:cs="Arial"/>
          <w:sz w:val="24"/>
          <w:szCs w:val="24"/>
        </w:rPr>
        <w:t xml:space="preserve">on the </w:t>
      </w:r>
      <w:r w:rsidR="00BE4CBE" w:rsidRPr="00A42926">
        <w:rPr>
          <w:rFonts w:ascii="Arial" w:hAnsi="Arial" w:cs="Arial"/>
          <w:sz w:val="24"/>
          <w:szCs w:val="24"/>
        </w:rPr>
        <w:lastRenderedPageBreak/>
        <w:t xml:space="preserve">Secretary </w:t>
      </w:r>
      <w:r w:rsidR="00BE4CBE">
        <w:rPr>
          <w:rFonts w:ascii="Arial" w:hAnsi="Arial" w:cs="Arial"/>
          <w:sz w:val="24"/>
          <w:szCs w:val="24"/>
        </w:rPr>
        <w:t xml:space="preserve">to Cabinet </w:t>
      </w:r>
      <w:r w:rsidR="00BE4CBE" w:rsidRPr="00A42926">
        <w:rPr>
          <w:rFonts w:ascii="Arial" w:hAnsi="Arial" w:cs="Arial"/>
          <w:sz w:val="24"/>
          <w:szCs w:val="24"/>
        </w:rPr>
        <w:t xml:space="preserve">was properly granted and only in relation to the legal background spelled above. This aspect is spelled out in the judgment </w:t>
      </w:r>
      <w:r w:rsidR="00BE4CBE" w:rsidRPr="00A42926">
        <w:rPr>
          <w:rFonts w:ascii="Arial" w:hAnsi="Arial" w:cs="Arial"/>
          <w:i/>
          <w:sz w:val="24"/>
          <w:szCs w:val="24"/>
        </w:rPr>
        <w:t>a quo</w:t>
      </w:r>
      <w:r w:rsidR="00BE4CBE" w:rsidRPr="00A42926">
        <w:rPr>
          <w:rFonts w:ascii="Arial" w:hAnsi="Arial" w:cs="Arial"/>
          <w:sz w:val="24"/>
          <w:szCs w:val="24"/>
        </w:rPr>
        <w:t xml:space="preserve"> as follows:</w:t>
      </w:r>
    </w:p>
    <w:p w14:paraId="0380D7DC" w14:textId="77777777" w:rsidR="00BE4CBE" w:rsidRPr="00A42926" w:rsidRDefault="00BE4CBE" w:rsidP="00BE4CBE">
      <w:pPr>
        <w:pStyle w:val="NoSpacing"/>
        <w:spacing w:line="480" w:lineRule="auto"/>
        <w:ind w:left="720"/>
        <w:jc w:val="both"/>
        <w:rPr>
          <w:rFonts w:ascii="Arial" w:hAnsi="Arial" w:cs="Arial"/>
          <w:sz w:val="24"/>
          <w:szCs w:val="24"/>
        </w:rPr>
      </w:pPr>
    </w:p>
    <w:p w14:paraId="00E5BC10" w14:textId="77777777" w:rsidR="00BE4CBE" w:rsidRPr="00A42926" w:rsidRDefault="00BE4CBE" w:rsidP="00BE4CBE">
      <w:pPr>
        <w:pStyle w:val="NoSpacing"/>
        <w:spacing w:line="360" w:lineRule="auto"/>
        <w:ind w:left="720"/>
        <w:jc w:val="both"/>
        <w:rPr>
          <w:rFonts w:ascii="Arial" w:hAnsi="Arial" w:cs="Arial"/>
          <w:sz w:val="24"/>
          <w:szCs w:val="24"/>
        </w:rPr>
      </w:pPr>
      <w:r>
        <w:rPr>
          <w:rFonts w:ascii="Arial" w:hAnsi="Arial" w:cs="Arial"/>
        </w:rPr>
        <w:t>‘</w:t>
      </w:r>
      <w:r w:rsidRPr="00A42926">
        <w:rPr>
          <w:rFonts w:ascii="Arial" w:hAnsi="Arial" w:cs="Arial"/>
        </w:rPr>
        <w:t>The first point of attack by the applicants was that this was no</w:t>
      </w:r>
      <w:r>
        <w:rPr>
          <w:rFonts w:ascii="Arial" w:hAnsi="Arial" w:cs="Arial"/>
        </w:rPr>
        <w:t>t</w:t>
      </w:r>
      <w:r w:rsidRPr="00A42926">
        <w:rPr>
          <w:rFonts w:ascii="Arial" w:hAnsi="Arial" w:cs="Arial"/>
        </w:rPr>
        <w:t xml:space="preserve"> a proper case in which to apply and be granted subpoena </w:t>
      </w:r>
      <w:r w:rsidRPr="00A42926">
        <w:rPr>
          <w:rFonts w:ascii="Arial" w:hAnsi="Arial" w:cs="Arial"/>
          <w:i/>
        </w:rPr>
        <w:t>duces tecum</w:t>
      </w:r>
      <w:r w:rsidRPr="00A42926">
        <w:rPr>
          <w:rFonts w:ascii="Arial" w:hAnsi="Arial" w:cs="Arial"/>
        </w:rPr>
        <w:t>. This, it was submitted, was for the reason that in the main application, Hollard had not yet filed its answering affidavit. For that reason, it was argued, there was no dispute of fact that had developed and which could require a resolution that would entail the issuance of a subpoena. The application for the subpoena was, in the absence of a dispute of fact, accordingly an abuse of process by Hollard and for that reason, the court should</w:t>
      </w:r>
      <w:r>
        <w:rPr>
          <w:rFonts w:ascii="Arial" w:hAnsi="Arial" w:cs="Arial"/>
        </w:rPr>
        <w:t xml:space="preserve"> set aside the subpoenas issued</w:t>
      </w:r>
      <w:r w:rsidRPr="00A42926">
        <w:rPr>
          <w:rFonts w:ascii="Arial" w:hAnsi="Arial" w:cs="Arial"/>
        </w:rPr>
        <w:t>.</w:t>
      </w:r>
      <w:r>
        <w:rPr>
          <w:rFonts w:ascii="Arial" w:hAnsi="Arial" w:cs="Arial"/>
        </w:rPr>
        <w:t>’</w:t>
      </w:r>
      <w:r>
        <w:rPr>
          <w:rStyle w:val="FootnoteReference"/>
          <w:rFonts w:ascii="Arial" w:hAnsi="Arial" w:cs="Arial"/>
        </w:rPr>
        <w:footnoteReference w:id="42"/>
      </w:r>
    </w:p>
    <w:p w14:paraId="086C5A94" w14:textId="77777777" w:rsidR="00BE4CBE" w:rsidRPr="00A42926" w:rsidRDefault="00BE4CBE" w:rsidP="00BE4CBE">
      <w:pPr>
        <w:pStyle w:val="ListParagraph"/>
        <w:spacing w:after="0" w:line="480" w:lineRule="auto"/>
        <w:jc w:val="both"/>
        <w:rPr>
          <w:rFonts w:ascii="Arial" w:hAnsi="Arial" w:cs="Arial"/>
          <w:sz w:val="24"/>
          <w:szCs w:val="24"/>
        </w:rPr>
      </w:pPr>
    </w:p>
    <w:p w14:paraId="3FDB8C0D" w14:textId="786426F4"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[102]</w:t>
      </w:r>
      <w:r w:rsidRPr="00A42926">
        <w:rPr>
          <w:rFonts w:ascii="Arial" w:hAnsi="Arial" w:cs="Arial"/>
          <w:sz w:val="24"/>
          <w:szCs w:val="24"/>
        </w:rPr>
        <w:tab/>
      </w:r>
      <w:r w:rsidR="00BE4CBE" w:rsidRPr="00A42926">
        <w:rPr>
          <w:rFonts w:ascii="Arial" w:hAnsi="Arial" w:cs="Arial"/>
          <w:sz w:val="24"/>
          <w:szCs w:val="24"/>
        </w:rPr>
        <w:t>Hollard’s case in respect of the above aspect ra</w:t>
      </w:r>
      <w:r w:rsidR="00BE4CBE">
        <w:rPr>
          <w:rFonts w:ascii="Arial" w:hAnsi="Arial" w:cs="Arial"/>
          <w:sz w:val="24"/>
          <w:szCs w:val="24"/>
        </w:rPr>
        <w:t>ised by G</w:t>
      </w:r>
      <w:r w:rsidR="00BE4CBE" w:rsidRPr="00A42926">
        <w:rPr>
          <w:rFonts w:ascii="Arial" w:hAnsi="Arial" w:cs="Arial"/>
          <w:sz w:val="24"/>
          <w:szCs w:val="24"/>
        </w:rPr>
        <w:t xml:space="preserve">ondwana as spelled out by the judge </w:t>
      </w:r>
      <w:r w:rsidR="00BE4CBE" w:rsidRPr="00A42926">
        <w:rPr>
          <w:rFonts w:ascii="Arial" w:hAnsi="Arial" w:cs="Arial"/>
          <w:i/>
          <w:sz w:val="24"/>
          <w:szCs w:val="24"/>
        </w:rPr>
        <w:t xml:space="preserve">a quo </w:t>
      </w:r>
      <w:r w:rsidR="00B152DB">
        <w:rPr>
          <w:rFonts w:ascii="Arial" w:hAnsi="Arial" w:cs="Arial"/>
          <w:sz w:val="24"/>
          <w:szCs w:val="24"/>
        </w:rPr>
        <w:t xml:space="preserve">is </w:t>
      </w:r>
      <w:r w:rsidR="00BE4CBE" w:rsidRPr="00A42926">
        <w:rPr>
          <w:rFonts w:ascii="Arial" w:hAnsi="Arial" w:cs="Arial"/>
          <w:sz w:val="24"/>
          <w:szCs w:val="24"/>
        </w:rPr>
        <w:t>as follows:</w:t>
      </w:r>
    </w:p>
    <w:p w14:paraId="64989B1C" w14:textId="77777777" w:rsidR="00BE4CBE" w:rsidRPr="00A42926" w:rsidRDefault="00BE4CBE" w:rsidP="00BE4CBE">
      <w:pPr>
        <w:pStyle w:val="NoSpacing"/>
        <w:spacing w:line="480" w:lineRule="auto"/>
        <w:jc w:val="both"/>
        <w:rPr>
          <w:rFonts w:ascii="Arial" w:hAnsi="Arial" w:cs="Arial"/>
          <w:sz w:val="24"/>
          <w:szCs w:val="24"/>
        </w:rPr>
      </w:pPr>
    </w:p>
    <w:p w14:paraId="4D837529" w14:textId="77777777" w:rsidR="00BE4CBE" w:rsidRPr="00A42926" w:rsidRDefault="00BE4CBE" w:rsidP="00BE4CBE">
      <w:pPr>
        <w:pStyle w:val="NoSpacing"/>
        <w:spacing w:line="360" w:lineRule="auto"/>
        <w:ind w:left="720"/>
        <w:jc w:val="both"/>
        <w:rPr>
          <w:rFonts w:ascii="Arial" w:hAnsi="Arial" w:cs="Arial"/>
        </w:rPr>
      </w:pPr>
      <w:r>
        <w:rPr>
          <w:rFonts w:ascii="Arial" w:hAnsi="Arial" w:cs="Arial"/>
        </w:rPr>
        <w:t>‘</w:t>
      </w:r>
      <w:r w:rsidRPr="00A42926">
        <w:rPr>
          <w:rFonts w:ascii="Arial" w:hAnsi="Arial" w:cs="Arial"/>
        </w:rPr>
        <w:t xml:space="preserve">It was Hollard’s case that in essence, it sought the relief granted by the court in a bid to enforce its fair trial rights envisaged in Art 12 of the Constitution. In this connection, it had and has a right to adequate facilities to prepare his defence against the proceedings initiated </w:t>
      </w:r>
      <w:r>
        <w:rPr>
          <w:rFonts w:ascii="Arial" w:hAnsi="Arial" w:cs="Arial"/>
        </w:rPr>
        <w:t>against it by G</w:t>
      </w:r>
      <w:r w:rsidRPr="00A42926">
        <w:rPr>
          <w:rFonts w:ascii="Arial" w:hAnsi="Arial" w:cs="Arial"/>
        </w:rPr>
        <w:t xml:space="preserve">ondwana. The application it made was to give effect to this Constitutional right in Art 12. </w:t>
      </w:r>
      <w:r>
        <w:rPr>
          <w:rFonts w:ascii="Arial" w:hAnsi="Arial" w:cs="Arial"/>
        </w:rPr>
        <w:t>To hold</w:t>
      </w:r>
      <w:r w:rsidRPr="00A42926">
        <w:rPr>
          <w:rFonts w:ascii="Arial" w:hAnsi="Arial" w:cs="Arial"/>
        </w:rPr>
        <w:t xml:space="preserve"> otherwise</w:t>
      </w:r>
      <w:r>
        <w:rPr>
          <w:rFonts w:ascii="Arial" w:hAnsi="Arial" w:cs="Arial"/>
        </w:rPr>
        <w:t>,</w:t>
      </w:r>
      <w:r w:rsidRPr="00A42926">
        <w:rPr>
          <w:rFonts w:ascii="Arial" w:hAnsi="Arial" w:cs="Arial"/>
        </w:rPr>
        <w:t xml:space="preserve"> would render the right illuso</w:t>
      </w:r>
      <w:r>
        <w:rPr>
          <w:rFonts w:ascii="Arial" w:hAnsi="Arial" w:cs="Arial"/>
        </w:rPr>
        <w:t>ry.’</w:t>
      </w:r>
      <w:r>
        <w:rPr>
          <w:rStyle w:val="FootnoteReference"/>
          <w:rFonts w:ascii="Arial" w:hAnsi="Arial" w:cs="Arial"/>
        </w:rPr>
        <w:footnoteReference w:id="43"/>
      </w:r>
    </w:p>
    <w:p w14:paraId="473286A0" w14:textId="77777777" w:rsidR="00BE4CBE" w:rsidRPr="00093101" w:rsidRDefault="00BE4CBE" w:rsidP="00BE4CBE">
      <w:pPr>
        <w:pStyle w:val="NoSpacing"/>
        <w:spacing w:line="480" w:lineRule="auto"/>
        <w:jc w:val="both"/>
        <w:rPr>
          <w:rFonts w:ascii="Arial" w:hAnsi="Arial" w:cs="Arial"/>
          <w:sz w:val="24"/>
          <w:szCs w:val="24"/>
        </w:rPr>
      </w:pPr>
    </w:p>
    <w:p w14:paraId="78639511" w14:textId="66056798"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[103]</w:t>
      </w:r>
      <w:r w:rsidRPr="00A42926">
        <w:rPr>
          <w:rFonts w:ascii="Arial" w:hAnsi="Arial" w:cs="Arial"/>
          <w:sz w:val="24"/>
          <w:szCs w:val="24"/>
        </w:rPr>
        <w:tab/>
      </w:r>
      <w:r w:rsidR="00BE4CBE" w:rsidRPr="00A42926">
        <w:rPr>
          <w:rFonts w:ascii="Arial" w:hAnsi="Arial" w:cs="Arial"/>
          <w:sz w:val="24"/>
          <w:szCs w:val="24"/>
        </w:rPr>
        <w:t xml:space="preserve">The judge </w:t>
      </w:r>
      <w:r w:rsidR="00BE4CBE" w:rsidRPr="00A42926">
        <w:rPr>
          <w:rFonts w:ascii="Arial" w:hAnsi="Arial" w:cs="Arial"/>
          <w:i/>
          <w:sz w:val="24"/>
          <w:szCs w:val="24"/>
        </w:rPr>
        <w:t xml:space="preserve">a quo </w:t>
      </w:r>
      <w:r w:rsidR="00BE4CBE" w:rsidRPr="00A42926">
        <w:rPr>
          <w:rFonts w:ascii="Arial" w:hAnsi="Arial" w:cs="Arial"/>
          <w:sz w:val="24"/>
          <w:szCs w:val="24"/>
        </w:rPr>
        <w:t>concentrates on the abuse element referr</w:t>
      </w:r>
      <w:r w:rsidR="00BE4CBE">
        <w:rPr>
          <w:rFonts w:ascii="Arial" w:hAnsi="Arial" w:cs="Arial"/>
          <w:sz w:val="24"/>
          <w:szCs w:val="24"/>
        </w:rPr>
        <w:t>ed to above in his summary of G</w:t>
      </w:r>
      <w:r w:rsidR="00BE4CBE" w:rsidRPr="00A42926">
        <w:rPr>
          <w:rFonts w:ascii="Arial" w:hAnsi="Arial" w:cs="Arial"/>
          <w:sz w:val="24"/>
          <w:szCs w:val="24"/>
        </w:rPr>
        <w:t>ondwana’s position and states that ‘abuse does not appear to be an element</w:t>
      </w:r>
      <w:r w:rsidR="00A71A3B">
        <w:rPr>
          <w:rFonts w:ascii="Arial" w:hAnsi="Arial" w:cs="Arial"/>
          <w:sz w:val="24"/>
          <w:szCs w:val="24"/>
        </w:rPr>
        <w:t>’</w:t>
      </w:r>
      <w:r w:rsidR="00BE4CBE" w:rsidRPr="00A42926">
        <w:rPr>
          <w:rFonts w:ascii="Arial" w:hAnsi="Arial" w:cs="Arial"/>
          <w:sz w:val="24"/>
          <w:szCs w:val="24"/>
        </w:rPr>
        <w:t>. And as stated above, the applicants do not allege abuse in the circumstances of this case and then concludes this aspect as follows:</w:t>
      </w:r>
    </w:p>
    <w:p w14:paraId="1F5AB16D" w14:textId="77777777" w:rsidR="00BE4CBE" w:rsidRPr="00A42926" w:rsidRDefault="00BE4CBE" w:rsidP="00BE4CBE">
      <w:pPr>
        <w:pStyle w:val="NoSpacing"/>
        <w:spacing w:line="480" w:lineRule="auto"/>
        <w:jc w:val="both"/>
        <w:rPr>
          <w:rFonts w:ascii="Arial" w:hAnsi="Arial" w:cs="Arial"/>
          <w:sz w:val="24"/>
          <w:szCs w:val="24"/>
        </w:rPr>
      </w:pPr>
    </w:p>
    <w:p w14:paraId="75556D00" w14:textId="77777777" w:rsidR="00BE4CBE" w:rsidRPr="00A42926" w:rsidRDefault="00BE4CBE" w:rsidP="00BE4CBE">
      <w:pPr>
        <w:pStyle w:val="NoSpacing"/>
        <w:spacing w:line="360" w:lineRule="auto"/>
        <w:ind w:left="720"/>
        <w:jc w:val="both"/>
        <w:rPr>
          <w:rFonts w:ascii="Arial" w:hAnsi="Arial" w:cs="Arial"/>
        </w:rPr>
      </w:pPr>
      <w:r>
        <w:rPr>
          <w:rFonts w:ascii="Arial" w:hAnsi="Arial" w:cs="Arial"/>
        </w:rPr>
        <w:t>‘</w:t>
      </w:r>
      <w:r w:rsidRPr="00A42926">
        <w:rPr>
          <w:rFonts w:ascii="Arial" w:hAnsi="Arial" w:cs="Arial"/>
        </w:rPr>
        <w:t xml:space="preserve">The party to litigation should be allowed to access documents and it needs to be able to properly prosecute its case and this is what Hollard has stated that it seeks to do. Nothing of substance appears to or seeks to detract from their position, which can be </w:t>
      </w:r>
      <w:r w:rsidRPr="00A42926">
        <w:rPr>
          <w:rFonts w:ascii="Arial" w:hAnsi="Arial" w:cs="Arial"/>
        </w:rPr>
        <w:lastRenderedPageBreak/>
        <w:t>regarded as trite. A legitimate purpose for the issuance of the subpoenas have been stated on oath by Hollard and it must be accepted as g</w:t>
      </w:r>
      <w:r>
        <w:rPr>
          <w:rFonts w:ascii="Arial" w:hAnsi="Arial" w:cs="Arial"/>
        </w:rPr>
        <w:t>enuine and perfectly legitimate.’</w:t>
      </w:r>
    </w:p>
    <w:p w14:paraId="69438100" w14:textId="77777777" w:rsidR="00BE4CBE" w:rsidRPr="00A42926" w:rsidRDefault="00BE4CBE" w:rsidP="00BE4CBE">
      <w:pPr>
        <w:pStyle w:val="NoSpacing"/>
        <w:spacing w:line="480" w:lineRule="auto"/>
        <w:jc w:val="both"/>
        <w:rPr>
          <w:rFonts w:ascii="Arial" w:hAnsi="Arial" w:cs="Arial"/>
          <w:sz w:val="24"/>
          <w:szCs w:val="24"/>
        </w:rPr>
      </w:pPr>
    </w:p>
    <w:p w14:paraId="5DB8BB55" w14:textId="448CBB97"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[104]</w:t>
      </w:r>
      <w:r w:rsidRPr="00A42926">
        <w:rPr>
          <w:rFonts w:ascii="Arial" w:hAnsi="Arial" w:cs="Arial"/>
          <w:sz w:val="24"/>
          <w:szCs w:val="24"/>
        </w:rPr>
        <w:tab/>
      </w:r>
      <w:r w:rsidR="00BE4CBE" w:rsidRPr="00A42926">
        <w:rPr>
          <w:rFonts w:ascii="Arial" w:hAnsi="Arial" w:cs="Arial"/>
          <w:sz w:val="24"/>
          <w:szCs w:val="24"/>
        </w:rPr>
        <w:t xml:space="preserve">There was no suggestion in the founding affidavit of the interlocutory application that if Hollard had to wait until the close of pleadings or after the answering affidavit had been filed and it was then decided by the court that there was a material dispute of fact in respect of whether the Covid-19 lock-down </w:t>
      </w:r>
      <w:r w:rsidR="00BE4CBE">
        <w:rPr>
          <w:rFonts w:ascii="Arial" w:hAnsi="Arial" w:cs="Arial"/>
          <w:sz w:val="24"/>
          <w:szCs w:val="24"/>
        </w:rPr>
        <w:t>announced by G</w:t>
      </w:r>
      <w:r w:rsidR="00BE4CBE" w:rsidRPr="00A42926">
        <w:rPr>
          <w:rFonts w:ascii="Arial" w:hAnsi="Arial" w:cs="Arial"/>
          <w:sz w:val="24"/>
          <w:szCs w:val="24"/>
        </w:rPr>
        <w:t>overnment was caused by the discovery of the disease in two Romanian tourists (</w:t>
      </w:r>
      <w:r w:rsidR="00BE4CBE">
        <w:rPr>
          <w:rFonts w:ascii="Arial" w:hAnsi="Arial" w:cs="Arial"/>
          <w:sz w:val="24"/>
          <w:szCs w:val="24"/>
        </w:rPr>
        <w:t>as alleged by G</w:t>
      </w:r>
      <w:r w:rsidR="00BE4CBE" w:rsidRPr="00A42926">
        <w:rPr>
          <w:rFonts w:ascii="Arial" w:hAnsi="Arial" w:cs="Arial"/>
          <w:sz w:val="24"/>
          <w:szCs w:val="24"/>
        </w:rPr>
        <w:t xml:space="preserve">ondwana) or based on the exhortations </w:t>
      </w:r>
      <w:r w:rsidR="00BE4CBE">
        <w:rPr>
          <w:rFonts w:ascii="Arial" w:hAnsi="Arial" w:cs="Arial"/>
          <w:sz w:val="24"/>
          <w:szCs w:val="24"/>
        </w:rPr>
        <w:t>of the World Health Organis</w:t>
      </w:r>
      <w:r w:rsidR="00BE4CBE" w:rsidRPr="00A42926">
        <w:rPr>
          <w:rFonts w:ascii="Arial" w:hAnsi="Arial" w:cs="Arial"/>
          <w:sz w:val="24"/>
          <w:szCs w:val="24"/>
        </w:rPr>
        <w:t>ation for the global lock-down so as to present or hinder the spreading of the disease globally</w:t>
      </w:r>
      <w:r w:rsidR="00016397">
        <w:rPr>
          <w:rFonts w:ascii="Arial" w:hAnsi="Arial" w:cs="Arial"/>
          <w:sz w:val="24"/>
          <w:szCs w:val="24"/>
        </w:rPr>
        <w:t xml:space="preserve"> </w:t>
      </w:r>
      <w:r w:rsidR="00A71A3B">
        <w:rPr>
          <w:rFonts w:ascii="Arial" w:hAnsi="Arial" w:cs="Arial"/>
          <w:sz w:val="24"/>
          <w:szCs w:val="24"/>
        </w:rPr>
        <w:t>(</w:t>
      </w:r>
      <w:r w:rsidR="00BE4CBE" w:rsidRPr="00A42926">
        <w:rPr>
          <w:rFonts w:ascii="Arial" w:hAnsi="Arial" w:cs="Arial"/>
          <w:sz w:val="24"/>
          <w:szCs w:val="24"/>
        </w:rPr>
        <w:t>as alleged by Hollard) that it would be irrevocably prejudiced in any manner.</w:t>
      </w:r>
      <w:r w:rsidR="00BE4CBE">
        <w:rPr>
          <w:rFonts w:ascii="Arial" w:hAnsi="Arial" w:cs="Arial"/>
          <w:sz w:val="24"/>
          <w:szCs w:val="24"/>
        </w:rPr>
        <w:t xml:space="preserve"> Furthermore, Hol</w:t>
      </w:r>
      <w:r w:rsidR="00BE4CBE" w:rsidRPr="00A42926">
        <w:rPr>
          <w:rFonts w:ascii="Arial" w:hAnsi="Arial" w:cs="Arial"/>
          <w:sz w:val="24"/>
          <w:szCs w:val="24"/>
        </w:rPr>
        <w:t xml:space="preserve">lard stated expressly that the documentation would be needed for cross-examination of certain mentioned deponents with reference to such documents. Once again whether the deponents would have to give oral evidence would also depend on what material facts or disputes the court would decide to refer to evidence. Thus for example, if the court decided, assuming that Hollard persisted with its ‘illegal contingency agreement’ point to deal with it </w:t>
      </w:r>
      <w:r w:rsidR="00BE4CBE" w:rsidRPr="00A42926">
        <w:rPr>
          <w:rFonts w:ascii="Arial" w:hAnsi="Arial" w:cs="Arial"/>
          <w:i/>
          <w:sz w:val="24"/>
          <w:szCs w:val="24"/>
        </w:rPr>
        <w:t xml:space="preserve">in limine </w:t>
      </w:r>
      <w:r w:rsidR="00BE4CBE" w:rsidRPr="00A42926">
        <w:rPr>
          <w:rFonts w:ascii="Arial" w:hAnsi="Arial" w:cs="Arial"/>
          <w:sz w:val="24"/>
          <w:szCs w:val="24"/>
        </w:rPr>
        <w:t xml:space="preserve">and if this point was decided in favour of Hollard there simply would not have been any need to refer any other disputes to evidence. A similar situation would arise if the application is dismissed on the basis that Hollard should have foreseen factual disputes. The same reasoning would apply to all the other points taken </w:t>
      </w:r>
      <w:r w:rsidR="00BE4CBE" w:rsidRPr="008325C8">
        <w:rPr>
          <w:rFonts w:ascii="Arial" w:hAnsi="Arial" w:cs="Arial"/>
          <w:i/>
          <w:sz w:val="24"/>
          <w:szCs w:val="24"/>
        </w:rPr>
        <w:t>in limine</w:t>
      </w:r>
      <w:r w:rsidR="00BE4CBE" w:rsidRPr="00A42926">
        <w:rPr>
          <w:rFonts w:ascii="Arial" w:hAnsi="Arial" w:cs="Arial"/>
          <w:i/>
          <w:sz w:val="24"/>
          <w:szCs w:val="24"/>
        </w:rPr>
        <w:t xml:space="preserve"> </w:t>
      </w:r>
      <w:r w:rsidR="00BE4CBE" w:rsidRPr="00A42926">
        <w:rPr>
          <w:rFonts w:ascii="Arial" w:hAnsi="Arial" w:cs="Arial"/>
          <w:sz w:val="24"/>
          <w:szCs w:val="24"/>
        </w:rPr>
        <w:t xml:space="preserve">in the interlocutory application mentioned above. There is simply no basis for allowing the respondent in application proceedings to, in interlocutory applications, simply file papers to state that they foresee certain factual disputes, and then asked for a referral to oral evidence on those facts and seek documents </w:t>
      </w:r>
      <w:r w:rsidR="00BE4CBE" w:rsidRPr="00A42926">
        <w:rPr>
          <w:rFonts w:ascii="Arial" w:hAnsi="Arial" w:cs="Arial"/>
          <w:i/>
          <w:sz w:val="24"/>
          <w:szCs w:val="24"/>
        </w:rPr>
        <w:t xml:space="preserve">duces tecum </w:t>
      </w:r>
      <w:r w:rsidR="00BE4CBE" w:rsidRPr="00A42926">
        <w:rPr>
          <w:rFonts w:ascii="Arial" w:hAnsi="Arial" w:cs="Arial"/>
          <w:sz w:val="24"/>
          <w:szCs w:val="24"/>
        </w:rPr>
        <w:t xml:space="preserve">to use for the intended cross-examination. This would be tantamount to ignoring the current rules and from a practical perspective have the effect of doing away with answering affidavits or lead to unnecessary delays. </w:t>
      </w:r>
      <w:r w:rsidR="00BE4CBE" w:rsidRPr="00A42926">
        <w:rPr>
          <w:rFonts w:ascii="Arial" w:hAnsi="Arial" w:cs="Arial"/>
          <w:sz w:val="24"/>
          <w:szCs w:val="24"/>
        </w:rPr>
        <w:lastRenderedPageBreak/>
        <w:t xml:space="preserve">What happens to the oral evidence that is heard midstream? Does it simply become part of the record to be followed by the answering affidavit or does one simply assume that after such oral evidence one or other of the parties will have to concede to one version in respect of the factual disputes referred to for oral evidence. What happens if further factual disputes develop after the filing of an answering affidavit and subsequent to the hearing of oral evidence </w:t>
      </w:r>
      <w:r w:rsidR="00BE4CBE" w:rsidRPr="008325C8">
        <w:rPr>
          <w:rFonts w:ascii="Arial" w:hAnsi="Arial" w:cs="Arial"/>
          <w:i/>
          <w:sz w:val="24"/>
          <w:szCs w:val="24"/>
        </w:rPr>
        <w:t>in limine</w:t>
      </w:r>
      <w:r w:rsidR="00BE4CBE" w:rsidRPr="00A42926">
        <w:rPr>
          <w:rFonts w:ascii="Arial" w:hAnsi="Arial" w:cs="Arial"/>
          <w:i/>
          <w:sz w:val="24"/>
          <w:szCs w:val="24"/>
        </w:rPr>
        <w:t xml:space="preserve"> </w:t>
      </w:r>
      <w:r w:rsidR="00BE4CBE" w:rsidRPr="00A42926">
        <w:rPr>
          <w:rFonts w:ascii="Arial" w:hAnsi="Arial" w:cs="Arial"/>
          <w:sz w:val="24"/>
          <w:szCs w:val="24"/>
        </w:rPr>
        <w:t xml:space="preserve">as envisaged in this matter? Is there a further referral to evidence by the court? To seek to cross-examine deponents prior to allowing the court hearing the application to decide on what issues oral evidence should be heard is simply astoundingly outlandish and falls to be rejected out of hand. Obviously, if the hearing of oral evidence of the deponents can’t be dealt with in this manner, neither can subpoenas </w:t>
      </w:r>
      <w:r w:rsidR="00BE4CBE" w:rsidRPr="00A42926">
        <w:rPr>
          <w:rFonts w:ascii="Arial" w:hAnsi="Arial" w:cs="Arial"/>
          <w:i/>
          <w:sz w:val="24"/>
          <w:szCs w:val="24"/>
        </w:rPr>
        <w:t xml:space="preserve">duces tecum </w:t>
      </w:r>
      <w:r w:rsidR="00BE4CBE" w:rsidRPr="00A42926">
        <w:rPr>
          <w:rFonts w:ascii="Arial" w:hAnsi="Arial" w:cs="Arial"/>
          <w:sz w:val="24"/>
          <w:szCs w:val="24"/>
        </w:rPr>
        <w:t>be issued for the purpose of cross-examining witnesses at such an early stage of the proceedings.</w:t>
      </w:r>
    </w:p>
    <w:p w14:paraId="12F7A005" w14:textId="77777777" w:rsidR="00BE4CBE" w:rsidRPr="00A42926" w:rsidRDefault="00BE4CBE" w:rsidP="00BE4CBE">
      <w:pPr>
        <w:pStyle w:val="NoSpacing"/>
        <w:spacing w:line="480" w:lineRule="auto"/>
        <w:jc w:val="both"/>
        <w:rPr>
          <w:rFonts w:ascii="Arial" w:hAnsi="Arial" w:cs="Arial"/>
          <w:sz w:val="24"/>
          <w:szCs w:val="24"/>
        </w:rPr>
      </w:pPr>
    </w:p>
    <w:p w14:paraId="40C2A81F" w14:textId="674B085D"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[105]</w:t>
      </w:r>
      <w:r w:rsidRPr="00A42926">
        <w:rPr>
          <w:rFonts w:ascii="Arial" w:hAnsi="Arial" w:cs="Arial"/>
          <w:sz w:val="24"/>
          <w:szCs w:val="24"/>
        </w:rPr>
        <w:tab/>
      </w:r>
      <w:r w:rsidR="00BE4CBE" w:rsidRPr="00A42926">
        <w:rPr>
          <w:rFonts w:ascii="Arial" w:hAnsi="Arial" w:cs="Arial"/>
          <w:sz w:val="24"/>
          <w:szCs w:val="24"/>
        </w:rPr>
        <w:t>The fact that Hollard sought to cross-examine the deponents prior to filing an answering affidavit, in any event, indicates that the purpose for this was to either elicit admissions from them or put evidence before the court through them that might supplement the allegations that they would then set out in the answering affidavits. This would amount to a fishing expedition</w:t>
      </w:r>
      <w:r w:rsidR="008C71FF">
        <w:rPr>
          <w:rFonts w:ascii="Arial" w:hAnsi="Arial" w:cs="Arial"/>
          <w:sz w:val="24"/>
          <w:szCs w:val="24"/>
        </w:rPr>
        <w:t>.</w:t>
      </w:r>
      <w:r w:rsidR="00BE4CBE" w:rsidRPr="00A42926">
        <w:rPr>
          <w:rStyle w:val="FootnoteReference"/>
          <w:rFonts w:ascii="Arial" w:hAnsi="Arial" w:cs="Arial"/>
          <w:sz w:val="24"/>
          <w:szCs w:val="24"/>
        </w:rPr>
        <w:footnoteReference w:id="44"/>
      </w:r>
      <w:r w:rsidR="00BE4CBE" w:rsidRPr="00A42926">
        <w:rPr>
          <w:rFonts w:ascii="Arial" w:hAnsi="Arial" w:cs="Arial"/>
          <w:sz w:val="24"/>
          <w:szCs w:val="24"/>
        </w:rPr>
        <w:t xml:space="preserve"> It goes without saying that the court should not assist a party in such endeavour by authorising the issuing of a subpoena </w:t>
      </w:r>
      <w:r w:rsidR="00BE4CBE" w:rsidRPr="00A42926">
        <w:rPr>
          <w:rFonts w:ascii="Arial" w:hAnsi="Arial" w:cs="Arial"/>
          <w:i/>
          <w:sz w:val="24"/>
          <w:szCs w:val="24"/>
        </w:rPr>
        <w:t xml:space="preserve">duces tecum </w:t>
      </w:r>
      <w:r w:rsidR="00BE4CBE" w:rsidRPr="00A42926">
        <w:rPr>
          <w:rFonts w:ascii="Arial" w:hAnsi="Arial" w:cs="Arial"/>
          <w:sz w:val="24"/>
          <w:szCs w:val="24"/>
        </w:rPr>
        <w:t>the purpose of which is to assist such party in his or her ‘fishing expedition’.</w:t>
      </w:r>
    </w:p>
    <w:p w14:paraId="06B891F8" w14:textId="77777777" w:rsidR="00BE4CBE" w:rsidRPr="00A42926" w:rsidRDefault="00BE4CBE" w:rsidP="00BE4CBE">
      <w:pPr>
        <w:pStyle w:val="ListParagraph"/>
        <w:jc w:val="both"/>
        <w:rPr>
          <w:rFonts w:ascii="Arial" w:hAnsi="Arial" w:cs="Arial"/>
          <w:sz w:val="24"/>
          <w:szCs w:val="24"/>
        </w:rPr>
      </w:pPr>
    </w:p>
    <w:p w14:paraId="71C48F5D" w14:textId="3917F627" w:rsidR="00BE4CBE" w:rsidRDefault="00A81732" w:rsidP="00A81732">
      <w:pPr>
        <w:pStyle w:val="NoSpacing"/>
        <w:spacing w:line="480" w:lineRule="auto"/>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BE4CBE" w:rsidRPr="00A42926">
        <w:rPr>
          <w:rFonts w:ascii="Arial" w:hAnsi="Arial" w:cs="Arial"/>
          <w:sz w:val="24"/>
          <w:szCs w:val="24"/>
        </w:rPr>
        <w:t>At the heart of the issue in this matter is an affidavit by Dr Haufiku to the effect that the country wide lock-down announced was impo</w:t>
      </w:r>
      <w:r w:rsidR="00BE4CBE">
        <w:rPr>
          <w:rFonts w:ascii="Arial" w:hAnsi="Arial" w:cs="Arial"/>
          <w:sz w:val="24"/>
          <w:szCs w:val="24"/>
        </w:rPr>
        <w:t>sed ‘in response to, and          were. . .</w:t>
      </w:r>
      <w:r w:rsidR="00BE4CBE" w:rsidRPr="00A42926">
        <w:rPr>
          <w:rFonts w:ascii="Arial" w:hAnsi="Arial" w:cs="Arial"/>
          <w:sz w:val="24"/>
          <w:szCs w:val="24"/>
        </w:rPr>
        <w:t xml:space="preserve">caused by the outbreak of Covid-19 in Windhoek’. Hollard took issue with this by casting aspersions on the integrity of Dr Haufiku as he is </w:t>
      </w:r>
      <w:r w:rsidR="00BE4CBE">
        <w:rPr>
          <w:rFonts w:ascii="Arial" w:hAnsi="Arial" w:cs="Arial"/>
          <w:sz w:val="24"/>
          <w:szCs w:val="24"/>
        </w:rPr>
        <w:t xml:space="preserve">a shareholder of </w:t>
      </w:r>
      <w:r w:rsidR="00BE4CBE">
        <w:rPr>
          <w:rFonts w:ascii="Arial" w:hAnsi="Arial" w:cs="Arial"/>
          <w:sz w:val="24"/>
          <w:szCs w:val="24"/>
        </w:rPr>
        <w:lastRenderedPageBreak/>
        <w:t>G</w:t>
      </w:r>
      <w:r w:rsidR="00BE4CBE" w:rsidRPr="00A42926">
        <w:rPr>
          <w:rFonts w:ascii="Arial" w:hAnsi="Arial" w:cs="Arial"/>
          <w:sz w:val="24"/>
          <w:szCs w:val="24"/>
        </w:rPr>
        <w:t xml:space="preserve">ondwana and hence, according to Hollard has a financial interest in the application and by denying the veracity of </w:t>
      </w:r>
      <w:r w:rsidR="00BE4CBE">
        <w:rPr>
          <w:rFonts w:ascii="Arial" w:hAnsi="Arial" w:cs="Arial"/>
          <w:sz w:val="24"/>
          <w:szCs w:val="24"/>
        </w:rPr>
        <w:t>these</w:t>
      </w:r>
      <w:r w:rsidR="00BE4CBE" w:rsidRPr="00A42926">
        <w:rPr>
          <w:rFonts w:ascii="Arial" w:hAnsi="Arial" w:cs="Arial"/>
          <w:sz w:val="24"/>
          <w:szCs w:val="24"/>
        </w:rPr>
        <w:t xml:space="preserve"> allegations as none of the proclamations announcing </w:t>
      </w:r>
      <w:r w:rsidR="00BE4CBE">
        <w:rPr>
          <w:rFonts w:ascii="Arial" w:hAnsi="Arial" w:cs="Arial"/>
          <w:sz w:val="24"/>
          <w:szCs w:val="24"/>
        </w:rPr>
        <w:t>the lock-down</w:t>
      </w:r>
      <w:r w:rsidR="00BE4CBE" w:rsidRPr="00A42926">
        <w:rPr>
          <w:rFonts w:ascii="Arial" w:hAnsi="Arial" w:cs="Arial"/>
          <w:sz w:val="24"/>
          <w:szCs w:val="24"/>
        </w:rPr>
        <w:t xml:space="preserve"> state the cause of the lock-down to be the outbreak of the disease in Windhoek. It is then averred by Hollard that </w:t>
      </w:r>
      <w:r w:rsidR="00BE4CBE">
        <w:rPr>
          <w:rFonts w:ascii="Arial" w:hAnsi="Arial" w:cs="Arial"/>
          <w:sz w:val="24"/>
          <w:szCs w:val="24"/>
        </w:rPr>
        <w:t>it is clear that the lock-down</w:t>
      </w:r>
      <w:r w:rsidR="00BE4CBE" w:rsidRPr="00A42926">
        <w:rPr>
          <w:rFonts w:ascii="Arial" w:hAnsi="Arial" w:cs="Arial"/>
          <w:sz w:val="24"/>
          <w:szCs w:val="24"/>
        </w:rPr>
        <w:t xml:space="preserve"> w</w:t>
      </w:r>
      <w:r w:rsidR="00BE4CBE">
        <w:rPr>
          <w:rFonts w:ascii="Arial" w:hAnsi="Arial" w:cs="Arial"/>
          <w:sz w:val="24"/>
          <w:szCs w:val="24"/>
        </w:rPr>
        <w:t>as</w:t>
      </w:r>
      <w:r w:rsidR="00BE4CBE" w:rsidRPr="00A42926">
        <w:rPr>
          <w:rFonts w:ascii="Arial" w:hAnsi="Arial" w:cs="Arial"/>
          <w:sz w:val="24"/>
          <w:szCs w:val="24"/>
        </w:rPr>
        <w:t xml:space="preserve"> implemented because of the </w:t>
      </w:r>
      <w:r w:rsidR="00BE4CBE">
        <w:rPr>
          <w:rFonts w:ascii="Arial" w:hAnsi="Arial" w:cs="Arial"/>
          <w:sz w:val="24"/>
          <w:szCs w:val="24"/>
        </w:rPr>
        <w:t>G</w:t>
      </w:r>
      <w:r w:rsidR="00BE4CBE" w:rsidRPr="00A42926">
        <w:rPr>
          <w:rFonts w:ascii="Arial" w:hAnsi="Arial" w:cs="Arial"/>
          <w:sz w:val="24"/>
          <w:szCs w:val="24"/>
        </w:rPr>
        <w:t>overnment</w:t>
      </w:r>
      <w:r w:rsidR="00BE4CBE">
        <w:rPr>
          <w:rFonts w:ascii="Arial" w:hAnsi="Arial" w:cs="Arial"/>
          <w:sz w:val="24"/>
          <w:szCs w:val="24"/>
        </w:rPr>
        <w:t>’s fear of</w:t>
      </w:r>
      <w:r w:rsidR="00BE4CBE" w:rsidRPr="00A42926">
        <w:rPr>
          <w:rFonts w:ascii="Arial" w:hAnsi="Arial" w:cs="Arial"/>
          <w:sz w:val="24"/>
          <w:szCs w:val="24"/>
        </w:rPr>
        <w:t xml:space="preserve"> the spread of this ‘worldwide outbreak’ to this country and that it contends that the lock-down would have been implemented even in the absence of any confirmed cases in Namibia. In this court there was also a reference to the time period from the time it was established that the two tourists indeed had Covid-19 </w:t>
      </w:r>
      <w:r w:rsidR="00BE4CBE">
        <w:rPr>
          <w:rFonts w:ascii="Arial" w:hAnsi="Arial" w:cs="Arial"/>
          <w:sz w:val="24"/>
          <w:szCs w:val="24"/>
        </w:rPr>
        <w:t>at a C</w:t>
      </w:r>
      <w:r w:rsidR="00BE4CBE" w:rsidRPr="00A42926">
        <w:rPr>
          <w:rFonts w:ascii="Arial" w:hAnsi="Arial" w:cs="Arial"/>
          <w:sz w:val="24"/>
          <w:szCs w:val="24"/>
        </w:rPr>
        <w:t>abinet meeting resolving the lock-down to submit the version of Dr Haufiku was improbable. Whereas Hollard stated in the interlocutory application that it has no personal knowledge of what cause</w:t>
      </w:r>
      <w:r w:rsidR="00BE4CBE">
        <w:rPr>
          <w:rFonts w:ascii="Arial" w:hAnsi="Arial" w:cs="Arial"/>
          <w:sz w:val="24"/>
          <w:szCs w:val="24"/>
        </w:rPr>
        <w:t>d C</w:t>
      </w:r>
      <w:r w:rsidR="00BE4CBE" w:rsidRPr="00A42926">
        <w:rPr>
          <w:rFonts w:ascii="Arial" w:hAnsi="Arial" w:cs="Arial"/>
          <w:sz w:val="24"/>
          <w:szCs w:val="24"/>
        </w:rPr>
        <w:t>abinet to resolve to have a lock-down d</w:t>
      </w:r>
      <w:r w:rsidR="00BE4CBE">
        <w:rPr>
          <w:rFonts w:ascii="Arial" w:hAnsi="Arial" w:cs="Arial"/>
          <w:sz w:val="24"/>
          <w:szCs w:val="24"/>
        </w:rPr>
        <w:t>eclared, hence request for the C</w:t>
      </w:r>
      <w:r w:rsidR="00BE4CBE" w:rsidRPr="00A42926">
        <w:rPr>
          <w:rFonts w:ascii="Arial" w:hAnsi="Arial" w:cs="Arial"/>
          <w:sz w:val="24"/>
          <w:szCs w:val="24"/>
        </w:rPr>
        <w:t xml:space="preserve">abinet minutes and the communication </w:t>
      </w:r>
      <w:r w:rsidR="00BE4CBE">
        <w:rPr>
          <w:rFonts w:ascii="Arial" w:hAnsi="Arial" w:cs="Arial"/>
          <w:sz w:val="24"/>
          <w:szCs w:val="24"/>
        </w:rPr>
        <w:t>between C</w:t>
      </w:r>
      <w:r w:rsidR="00BE4CBE" w:rsidRPr="00A42926">
        <w:rPr>
          <w:rFonts w:ascii="Arial" w:hAnsi="Arial" w:cs="Arial"/>
          <w:sz w:val="24"/>
          <w:szCs w:val="24"/>
        </w:rPr>
        <w:t>abinet members, there was no suggestion that the facts raised by them and stated above would not have been enough to establish a genuine factual dispute in this regard</w:t>
      </w:r>
      <w:r w:rsidR="00BE4CBE">
        <w:rPr>
          <w:rFonts w:ascii="Arial" w:hAnsi="Arial" w:cs="Arial"/>
          <w:sz w:val="24"/>
          <w:szCs w:val="24"/>
        </w:rPr>
        <w:t>. In fact, counse</w:t>
      </w:r>
      <w:r w:rsidR="00BE4CBE" w:rsidRPr="00A42926">
        <w:rPr>
          <w:rFonts w:ascii="Arial" w:hAnsi="Arial" w:cs="Arial"/>
          <w:sz w:val="24"/>
          <w:szCs w:val="24"/>
        </w:rPr>
        <w:t>l for Hollard informed the court that an answering affidavit had eventually been filed where the facts and reasons relied on to dispute the averments of Dr Haufiku had been spelled out in this answering affidavit</w:t>
      </w:r>
      <w:r w:rsidR="004A5A03">
        <w:rPr>
          <w:rFonts w:ascii="Arial" w:hAnsi="Arial" w:cs="Arial"/>
          <w:sz w:val="24"/>
          <w:szCs w:val="24"/>
        </w:rPr>
        <w:t>.</w:t>
      </w:r>
      <w:r w:rsidR="00BE4CBE" w:rsidRPr="00A42926">
        <w:rPr>
          <w:rStyle w:val="FootnoteReference"/>
          <w:rFonts w:ascii="Arial" w:hAnsi="Arial" w:cs="Arial"/>
          <w:sz w:val="24"/>
          <w:szCs w:val="24"/>
        </w:rPr>
        <w:footnoteReference w:id="45"/>
      </w:r>
      <w:r w:rsidR="00BE4CBE" w:rsidRPr="00A42926">
        <w:rPr>
          <w:rFonts w:ascii="Arial" w:hAnsi="Arial" w:cs="Arial"/>
          <w:sz w:val="24"/>
          <w:szCs w:val="24"/>
        </w:rPr>
        <w:t xml:space="preserve"> There was thus no need for the order sought to ‘properly prosecute’ the defence</w:t>
      </w:r>
      <w:r w:rsidR="004A5A03">
        <w:rPr>
          <w:rFonts w:ascii="Arial" w:hAnsi="Arial" w:cs="Arial"/>
          <w:sz w:val="24"/>
          <w:szCs w:val="24"/>
        </w:rPr>
        <w:t>.</w:t>
      </w:r>
      <w:r w:rsidR="00BE4CBE" w:rsidRPr="00A42926">
        <w:rPr>
          <w:rStyle w:val="FootnoteReference"/>
          <w:rFonts w:ascii="Arial" w:hAnsi="Arial" w:cs="Arial"/>
          <w:sz w:val="24"/>
          <w:szCs w:val="24"/>
        </w:rPr>
        <w:footnoteReference w:id="46"/>
      </w:r>
    </w:p>
    <w:p w14:paraId="1CBCCC70" w14:textId="77777777" w:rsidR="00BE4CBE" w:rsidRPr="00A42926" w:rsidRDefault="00BE4CBE" w:rsidP="00BE4CBE">
      <w:pPr>
        <w:pStyle w:val="NoSpacing"/>
        <w:spacing w:line="480" w:lineRule="auto"/>
        <w:jc w:val="both"/>
        <w:rPr>
          <w:rFonts w:ascii="Arial" w:hAnsi="Arial" w:cs="Arial"/>
          <w:sz w:val="24"/>
          <w:szCs w:val="24"/>
        </w:rPr>
      </w:pPr>
    </w:p>
    <w:p w14:paraId="11FB9CA9" w14:textId="459FFBBB"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[107]</w:t>
      </w:r>
      <w:r w:rsidRPr="00A42926">
        <w:rPr>
          <w:rFonts w:ascii="Arial" w:hAnsi="Arial" w:cs="Arial"/>
          <w:sz w:val="24"/>
          <w:szCs w:val="24"/>
        </w:rPr>
        <w:tab/>
      </w:r>
      <w:r w:rsidR="00BE4CBE" w:rsidRPr="00A42926">
        <w:rPr>
          <w:rFonts w:ascii="Arial" w:hAnsi="Arial" w:cs="Arial"/>
          <w:sz w:val="24"/>
          <w:szCs w:val="24"/>
        </w:rPr>
        <w:t>There was just simply no reason for Hollard to be exempted from the ordinary rules when it came to the applicati</w:t>
      </w:r>
      <w:r w:rsidR="00BE4CBE">
        <w:rPr>
          <w:rFonts w:ascii="Arial" w:hAnsi="Arial" w:cs="Arial"/>
          <w:sz w:val="24"/>
          <w:szCs w:val="24"/>
        </w:rPr>
        <w:t>on instituted against them by G</w:t>
      </w:r>
      <w:r w:rsidR="00BE4CBE" w:rsidRPr="00A42926">
        <w:rPr>
          <w:rFonts w:ascii="Arial" w:hAnsi="Arial" w:cs="Arial"/>
          <w:sz w:val="24"/>
          <w:szCs w:val="24"/>
        </w:rPr>
        <w:t xml:space="preserve">ondwana. They would become entitled to a referral to oral evidence coupled with an order to issue subpoenas </w:t>
      </w:r>
      <w:r w:rsidR="00BE4CBE" w:rsidRPr="00A42926">
        <w:rPr>
          <w:rFonts w:ascii="Arial" w:hAnsi="Arial" w:cs="Arial"/>
          <w:i/>
          <w:sz w:val="24"/>
          <w:szCs w:val="24"/>
        </w:rPr>
        <w:t xml:space="preserve">duces tecum </w:t>
      </w:r>
      <w:r w:rsidR="00BE4CBE" w:rsidRPr="00A42926">
        <w:rPr>
          <w:rFonts w:ascii="Arial" w:hAnsi="Arial" w:cs="Arial"/>
          <w:sz w:val="24"/>
          <w:szCs w:val="24"/>
        </w:rPr>
        <w:t>once the pleadings had closed and if the court, on the basis of the affidavits placed before it, was satisfied that the dispute as to the cause of the lock-</w:t>
      </w:r>
      <w:r w:rsidR="00BE4CBE" w:rsidRPr="00A42926">
        <w:rPr>
          <w:rFonts w:ascii="Arial" w:hAnsi="Arial" w:cs="Arial"/>
          <w:sz w:val="24"/>
          <w:szCs w:val="24"/>
        </w:rPr>
        <w:lastRenderedPageBreak/>
        <w:t>down was material and would have to be resolved on the basis of the hearing of oral evidence. There is no basis or need, in the absence of exceptional circumstances, to establish prior to the full exchange of affidavits, whether and which material factual disputes are bound to arise, so as to attempt to take one’s best guess as to whether an applicant is to be exempt from the relevant rules of court. As mentioned the deviation from the rules should be limited to exceptional circumstances unless one opens up a situation where each litigant can decide for him or herself which procedural rules should apply in his or her case as was done by Hollard.</w:t>
      </w:r>
    </w:p>
    <w:p w14:paraId="7CB5CD2B" w14:textId="77777777" w:rsidR="00BE4CBE" w:rsidRPr="00A42926" w:rsidRDefault="00BE4CBE" w:rsidP="00BE4CBE">
      <w:pPr>
        <w:pStyle w:val="ListParagraph"/>
        <w:jc w:val="both"/>
        <w:rPr>
          <w:rFonts w:ascii="Arial" w:hAnsi="Arial" w:cs="Arial"/>
          <w:sz w:val="24"/>
          <w:szCs w:val="24"/>
        </w:rPr>
      </w:pPr>
    </w:p>
    <w:p w14:paraId="658CD94A" w14:textId="6D287F13" w:rsidR="00BE4CBE" w:rsidRPr="00A42926" w:rsidRDefault="00A81732" w:rsidP="00A81732">
      <w:pPr>
        <w:pStyle w:val="NoSpacing"/>
        <w:spacing w:line="480" w:lineRule="auto"/>
        <w:jc w:val="both"/>
        <w:rPr>
          <w:rFonts w:ascii="Arial" w:hAnsi="Arial" w:cs="Arial"/>
          <w:sz w:val="24"/>
          <w:szCs w:val="24"/>
        </w:rPr>
      </w:pPr>
      <w:r w:rsidRPr="00A42926">
        <w:rPr>
          <w:rFonts w:ascii="Arial" w:hAnsi="Arial" w:cs="Arial"/>
          <w:sz w:val="24"/>
          <w:szCs w:val="24"/>
        </w:rPr>
        <w:t>[108]</w:t>
      </w:r>
      <w:r w:rsidRPr="00A42926">
        <w:rPr>
          <w:rFonts w:ascii="Arial" w:hAnsi="Arial" w:cs="Arial"/>
          <w:sz w:val="24"/>
          <w:szCs w:val="24"/>
        </w:rPr>
        <w:tab/>
      </w:r>
      <w:r w:rsidR="00BE4CBE" w:rsidRPr="00A42926">
        <w:rPr>
          <w:rFonts w:ascii="Arial" w:hAnsi="Arial" w:cs="Arial"/>
          <w:sz w:val="24"/>
          <w:szCs w:val="24"/>
        </w:rPr>
        <w:t xml:space="preserve">The mere invocation of Art 12 by a party to litigation does not mean, without more, that the relief sought must be granted. As mentioned above it would mean that each litigant would be entitled to stipulate the procedures that will apply to his or her litigation. I have pointed out above if there are exceptional circumstances which need to be established by a party to the litigation the court can sanction a deviation from the </w:t>
      </w:r>
      <w:r w:rsidR="00BE4CBE">
        <w:rPr>
          <w:rFonts w:ascii="Arial" w:hAnsi="Arial" w:cs="Arial"/>
          <w:sz w:val="24"/>
          <w:szCs w:val="24"/>
        </w:rPr>
        <w:t>r</w:t>
      </w:r>
      <w:r w:rsidR="00BE4CBE" w:rsidRPr="00A42926">
        <w:rPr>
          <w:rFonts w:ascii="Arial" w:hAnsi="Arial" w:cs="Arial"/>
          <w:sz w:val="24"/>
          <w:szCs w:val="24"/>
        </w:rPr>
        <w:t xml:space="preserve">ules. This Hollard did not establish, in fact it was not addressed at all because it was assumed that the mere invocation of Art 12 gives a party such right. In such circumstances, it was a misdirection to approve the application which amounted to nothing more than expressing knowledge of the contents of Art 12 without understanding its role when it comes to the rules of the High Court. To have granted the application in the above circumstances was to, an effect, respond to a pious incantation of Art 12 by Hollard and to aid and abet </w:t>
      </w:r>
      <w:r w:rsidR="00BE4CBE">
        <w:rPr>
          <w:rFonts w:ascii="Arial" w:hAnsi="Arial" w:cs="Arial"/>
          <w:sz w:val="24"/>
          <w:szCs w:val="24"/>
        </w:rPr>
        <w:t>it</w:t>
      </w:r>
      <w:r w:rsidR="00BE4CBE" w:rsidRPr="00A42926">
        <w:rPr>
          <w:rFonts w:ascii="Arial" w:hAnsi="Arial" w:cs="Arial"/>
          <w:sz w:val="24"/>
          <w:szCs w:val="24"/>
        </w:rPr>
        <w:t xml:space="preserve">s conduct </w:t>
      </w:r>
      <w:r w:rsidR="00BE4CBE">
        <w:rPr>
          <w:rFonts w:ascii="Arial" w:hAnsi="Arial" w:cs="Arial"/>
          <w:sz w:val="24"/>
          <w:szCs w:val="24"/>
        </w:rPr>
        <w:t xml:space="preserve">of </w:t>
      </w:r>
      <w:r w:rsidR="00BE4CBE" w:rsidRPr="00A42926">
        <w:rPr>
          <w:rFonts w:ascii="Arial" w:hAnsi="Arial" w:cs="Arial"/>
          <w:sz w:val="24"/>
          <w:szCs w:val="24"/>
        </w:rPr>
        <w:t>a ‘fishing expedition’.</w:t>
      </w:r>
    </w:p>
    <w:p w14:paraId="20015AC8" w14:textId="6F046F70" w:rsidR="00BE4CBE" w:rsidRPr="00395B1D" w:rsidRDefault="00395B1D" w:rsidP="00395B1D">
      <w:pPr>
        <w:spacing w:after="0" w:line="240" w:lineRule="auto"/>
        <w:rPr>
          <w:rFonts w:ascii="Arial" w:hAnsi="Arial" w:cs="Arial"/>
          <w:sz w:val="24"/>
          <w:szCs w:val="24"/>
          <w:lang w:val="en-ZA"/>
        </w:rPr>
      </w:pPr>
      <w:r>
        <w:rPr>
          <w:rFonts w:ascii="Arial" w:hAnsi="Arial" w:cs="Arial"/>
          <w:sz w:val="24"/>
          <w:szCs w:val="24"/>
        </w:rPr>
        <w:br w:type="page"/>
      </w:r>
    </w:p>
    <w:p w14:paraId="20E9C900" w14:textId="3CC1AD77" w:rsidR="00BE4CBE" w:rsidRDefault="00A81732" w:rsidP="00A81732">
      <w:pPr>
        <w:pStyle w:val="NoSpacing"/>
        <w:spacing w:line="480" w:lineRule="auto"/>
        <w:jc w:val="both"/>
        <w:rPr>
          <w:rFonts w:ascii="Arial" w:hAnsi="Arial" w:cs="Arial"/>
          <w:sz w:val="24"/>
          <w:szCs w:val="24"/>
        </w:rPr>
      </w:pPr>
      <w:r>
        <w:rPr>
          <w:rFonts w:ascii="Arial" w:hAnsi="Arial" w:cs="Arial"/>
          <w:sz w:val="24"/>
          <w:szCs w:val="24"/>
        </w:rPr>
        <w:lastRenderedPageBreak/>
        <w:t>[109]</w:t>
      </w:r>
      <w:r>
        <w:rPr>
          <w:rFonts w:ascii="Arial" w:hAnsi="Arial" w:cs="Arial"/>
          <w:sz w:val="24"/>
          <w:szCs w:val="24"/>
        </w:rPr>
        <w:tab/>
      </w:r>
      <w:r w:rsidR="00BE4CBE" w:rsidRPr="00A42926">
        <w:rPr>
          <w:rFonts w:ascii="Arial" w:hAnsi="Arial" w:cs="Arial"/>
          <w:sz w:val="24"/>
          <w:szCs w:val="24"/>
        </w:rPr>
        <w:t xml:space="preserve">It follows that the order of the High Court </w:t>
      </w:r>
      <w:r w:rsidR="00BE4CBE" w:rsidRPr="00A42926">
        <w:rPr>
          <w:rFonts w:ascii="Arial" w:hAnsi="Arial" w:cs="Arial"/>
          <w:i/>
          <w:sz w:val="24"/>
          <w:szCs w:val="24"/>
        </w:rPr>
        <w:t>a quo</w:t>
      </w:r>
      <w:r w:rsidR="00BE4CBE" w:rsidRPr="00A42926">
        <w:rPr>
          <w:rFonts w:ascii="Arial" w:hAnsi="Arial" w:cs="Arial"/>
          <w:sz w:val="24"/>
          <w:szCs w:val="24"/>
        </w:rPr>
        <w:t xml:space="preserve"> is to be set aside and the appeal accordingly succeeds</w:t>
      </w:r>
      <w:r w:rsidR="00BE4CBE">
        <w:rPr>
          <w:rFonts w:ascii="Arial" w:hAnsi="Arial" w:cs="Arial"/>
          <w:sz w:val="24"/>
          <w:szCs w:val="24"/>
        </w:rPr>
        <w:t xml:space="preserve"> as per the order of Damaseb DCJ</w:t>
      </w:r>
      <w:r w:rsidR="00BE4CBE" w:rsidRPr="00A42926">
        <w:rPr>
          <w:rFonts w:ascii="Arial" w:hAnsi="Arial" w:cs="Arial"/>
          <w:sz w:val="24"/>
          <w:szCs w:val="24"/>
        </w:rPr>
        <w:t>.</w:t>
      </w:r>
    </w:p>
    <w:p w14:paraId="18341227" w14:textId="159C582F" w:rsidR="00395B1D" w:rsidRPr="00A42926" w:rsidRDefault="00395B1D" w:rsidP="00395B1D">
      <w:pPr>
        <w:pStyle w:val="NoSpacing"/>
        <w:spacing w:line="480" w:lineRule="auto"/>
        <w:jc w:val="both"/>
        <w:rPr>
          <w:rFonts w:ascii="Arial" w:hAnsi="Arial" w:cs="Arial"/>
          <w:sz w:val="24"/>
          <w:szCs w:val="24"/>
        </w:rPr>
      </w:pPr>
    </w:p>
    <w:p w14:paraId="006F059E" w14:textId="5F184A6D" w:rsidR="00BE4CBE" w:rsidRPr="00A42926" w:rsidRDefault="00BE4CBE" w:rsidP="00BE4CBE">
      <w:pPr>
        <w:spacing w:after="0" w:line="240" w:lineRule="auto"/>
        <w:jc w:val="both"/>
        <w:rPr>
          <w:rFonts w:ascii="Arial" w:hAnsi="Arial" w:cs="Arial"/>
          <w:sz w:val="24"/>
          <w:szCs w:val="24"/>
        </w:rPr>
      </w:pPr>
    </w:p>
    <w:p w14:paraId="3E373DDD" w14:textId="77777777" w:rsidR="00BE4CBE" w:rsidRPr="00A42926" w:rsidRDefault="00BE4CBE" w:rsidP="00BE4CBE">
      <w:pPr>
        <w:spacing w:after="0" w:line="240" w:lineRule="auto"/>
        <w:jc w:val="both"/>
        <w:rPr>
          <w:rFonts w:ascii="Arial" w:hAnsi="Arial" w:cs="Arial"/>
          <w:b/>
          <w:sz w:val="24"/>
          <w:szCs w:val="24"/>
        </w:rPr>
      </w:pPr>
      <w:r w:rsidRPr="00A42926">
        <w:rPr>
          <w:rFonts w:ascii="Arial" w:hAnsi="Arial" w:cs="Arial"/>
          <w:b/>
          <w:sz w:val="24"/>
          <w:szCs w:val="24"/>
        </w:rPr>
        <w:t>__________________</w:t>
      </w:r>
    </w:p>
    <w:p w14:paraId="7166BE37" w14:textId="48C473A9" w:rsidR="00FC04A1" w:rsidRDefault="00FC04A1" w:rsidP="0093713F">
      <w:pPr>
        <w:spacing w:after="0" w:line="240" w:lineRule="auto"/>
        <w:jc w:val="both"/>
        <w:rPr>
          <w:rFonts w:ascii="Arial" w:hAnsi="Arial" w:cs="Arial"/>
          <w:b/>
          <w:sz w:val="24"/>
          <w:szCs w:val="24"/>
        </w:rPr>
      </w:pPr>
      <w:r>
        <w:rPr>
          <w:rFonts w:ascii="Arial" w:hAnsi="Arial" w:cs="Arial"/>
          <w:b/>
          <w:sz w:val="24"/>
          <w:szCs w:val="24"/>
        </w:rPr>
        <w:t>FRANK AJA</w:t>
      </w:r>
    </w:p>
    <w:p w14:paraId="40C193BA" w14:textId="77777777" w:rsidR="00395B1D" w:rsidRDefault="00395B1D" w:rsidP="0093713F">
      <w:pPr>
        <w:spacing w:after="0" w:line="240" w:lineRule="auto"/>
        <w:jc w:val="both"/>
        <w:rPr>
          <w:rFonts w:ascii="Arial" w:hAnsi="Arial" w:cs="Arial"/>
          <w:b/>
          <w:sz w:val="24"/>
          <w:szCs w:val="24"/>
        </w:rPr>
      </w:pPr>
    </w:p>
    <w:p w14:paraId="5D4D1937" w14:textId="77777777" w:rsidR="00395B1D" w:rsidRDefault="00395B1D" w:rsidP="0093713F">
      <w:pPr>
        <w:spacing w:after="0" w:line="240" w:lineRule="auto"/>
        <w:jc w:val="both"/>
        <w:rPr>
          <w:rFonts w:ascii="Arial" w:hAnsi="Arial" w:cs="Arial"/>
          <w:b/>
          <w:sz w:val="24"/>
          <w:szCs w:val="24"/>
        </w:rPr>
      </w:pPr>
    </w:p>
    <w:p w14:paraId="71CD3A3B" w14:textId="77777777" w:rsidR="00395B1D" w:rsidRDefault="00395B1D" w:rsidP="0093713F">
      <w:pPr>
        <w:spacing w:after="0" w:line="240" w:lineRule="auto"/>
        <w:jc w:val="both"/>
        <w:rPr>
          <w:rFonts w:ascii="Arial" w:hAnsi="Arial" w:cs="Arial"/>
          <w:b/>
          <w:sz w:val="24"/>
          <w:szCs w:val="24"/>
        </w:rPr>
      </w:pPr>
    </w:p>
    <w:p w14:paraId="693FCECF" w14:textId="77777777" w:rsidR="00395B1D" w:rsidRDefault="00395B1D" w:rsidP="0093713F">
      <w:pPr>
        <w:spacing w:after="0" w:line="240" w:lineRule="auto"/>
        <w:jc w:val="both"/>
        <w:rPr>
          <w:rFonts w:ascii="Arial" w:hAnsi="Arial" w:cs="Arial"/>
          <w:b/>
          <w:sz w:val="24"/>
          <w:szCs w:val="24"/>
        </w:rPr>
      </w:pPr>
    </w:p>
    <w:p w14:paraId="4FEDD242" w14:textId="77777777" w:rsidR="00395B1D" w:rsidRDefault="00395B1D" w:rsidP="0093713F">
      <w:pPr>
        <w:spacing w:after="0" w:line="240" w:lineRule="auto"/>
        <w:jc w:val="both"/>
        <w:rPr>
          <w:rFonts w:ascii="Arial" w:hAnsi="Arial" w:cs="Arial"/>
          <w:b/>
          <w:sz w:val="24"/>
          <w:szCs w:val="24"/>
        </w:rPr>
      </w:pPr>
    </w:p>
    <w:p w14:paraId="71A81FDD" w14:textId="77777777" w:rsidR="00395B1D" w:rsidRDefault="00395B1D" w:rsidP="0093713F">
      <w:pPr>
        <w:spacing w:after="0" w:line="240" w:lineRule="auto"/>
        <w:jc w:val="both"/>
        <w:rPr>
          <w:rFonts w:ascii="Arial" w:hAnsi="Arial" w:cs="Arial"/>
          <w:b/>
          <w:sz w:val="24"/>
          <w:szCs w:val="24"/>
        </w:rPr>
      </w:pPr>
    </w:p>
    <w:p w14:paraId="59DB6515" w14:textId="77777777" w:rsidR="00395B1D" w:rsidRDefault="00395B1D" w:rsidP="0093713F">
      <w:pPr>
        <w:spacing w:after="0" w:line="240" w:lineRule="auto"/>
        <w:jc w:val="both"/>
        <w:rPr>
          <w:rFonts w:ascii="Arial" w:hAnsi="Arial" w:cs="Arial"/>
          <w:b/>
          <w:sz w:val="24"/>
          <w:szCs w:val="24"/>
        </w:rPr>
      </w:pPr>
    </w:p>
    <w:p w14:paraId="50C1C3F3" w14:textId="77777777" w:rsidR="00395B1D" w:rsidRDefault="00395B1D" w:rsidP="0093713F">
      <w:pPr>
        <w:spacing w:after="0" w:line="240" w:lineRule="auto"/>
        <w:jc w:val="both"/>
        <w:rPr>
          <w:rFonts w:ascii="Arial" w:hAnsi="Arial" w:cs="Arial"/>
          <w:b/>
          <w:sz w:val="24"/>
          <w:szCs w:val="24"/>
        </w:rPr>
      </w:pPr>
    </w:p>
    <w:p w14:paraId="34871BA4" w14:textId="77777777" w:rsidR="00395B1D" w:rsidRDefault="00395B1D" w:rsidP="0093713F">
      <w:pPr>
        <w:spacing w:after="0" w:line="240" w:lineRule="auto"/>
        <w:jc w:val="both"/>
        <w:rPr>
          <w:rFonts w:ascii="Arial" w:hAnsi="Arial" w:cs="Arial"/>
          <w:b/>
          <w:sz w:val="24"/>
          <w:szCs w:val="24"/>
        </w:rPr>
      </w:pPr>
    </w:p>
    <w:p w14:paraId="3E3C3EAA" w14:textId="77777777" w:rsidR="00395B1D" w:rsidRDefault="00395B1D" w:rsidP="0093713F">
      <w:pPr>
        <w:spacing w:after="0" w:line="240" w:lineRule="auto"/>
        <w:jc w:val="both"/>
        <w:rPr>
          <w:rFonts w:ascii="Arial" w:hAnsi="Arial" w:cs="Arial"/>
          <w:b/>
          <w:sz w:val="24"/>
          <w:szCs w:val="24"/>
        </w:rPr>
      </w:pPr>
    </w:p>
    <w:p w14:paraId="283CE2AA" w14:textId="77777777" w:rsidR="00395B1D" w:rsidRDefault="00395B1D" w:rsidP="0093713F">
      <w:pPr>
        <w:spacing w:after="0" w:line="240" w:lineRule="auto"/>
        <w:jc w:val="both"/>
        <w:rPr>
          <w:rFonts w:ascii="Arial" w:hAnsi="Arial" w:cs="Arial"/>
          <w:b/>
          <w:sz w:val="24"/>
          <w:szCs w:val="24"/>
        </w:rPr>
      </w:pPr>
    </w:p>
    <w:p w14:paraId="42D0649B" w14:textId="77777777" w:rsidR="00395B1D" w:rsidRDefault="00395B1D" w:rsidP="0093713F">
      <w:pPr>
        <w:spacing w:after="0" w:line="240" w:lineRule="auto"/>
        <w:jc w:val="both"/>
        <w:rPr>
          <w:rFonts w:ascii="Arial" w:hAnsi="Arial" w:cs="Arial"/>
          <w:b/>
          <w:sz w:val="24"/>
          <w:szCs w:val="24"/>
        </w:rPr>
      </w:pPr>
    </w:p>
    <w:p w14:paraId="4FB067C6" w14:textId="77777777" w:rsidR="00395B1D" w:rsidRDefault="00395B1D" w:rsidP="0093713F">
      <w:pPr>
        <w:spacing w:after="0" w:line="240" w:lineRule="auto"/>
        <w:jc w:val="both"/>
        <w:rPr>
          <w:rFonts w:ascii="Arial" w:hAnsi="Arial" w:cs="Arial"/>
          <w:b/>
          <w:sz w:val="24"/>
          <w:szCs w:val="24"/>
        </w:rPr>
      </w:pPr>
    </w:p>
    <w:p w14:paraId="3D89EC20" w14:textId="77777777" w:rsidR="00395B1D" w:rsidRDefault="00395B1D" w:rsidP="0093713F">
      <w:pPr>
        <w:spacing w:after="0" w:line="240" w:lineRule="auto"/>
        <w:jc w:val="both"/>
        <w:rPr>
          <w:rFonts w:ascii="Arial" w:hAnsi="Arial" w:cs="Arial"/>
          <w:b/>
          <w:sz w:val="24"/>
          <w:szCs w:val="24"/>
        </w:rPr>
      </w:pPr>
    </w:p>
    <w:p w14:paraId="6F344F41" w14:textId="77777777" w:rsidR="00395B1D" w:rsidRDefault="00395B1D" w:rsidP="0093713F">
      <w:pPr>
        <w:spacing w:after="0" w:line="240" w:lineRule="auto"/>
        <w:jc w:val="both"/>
        <w:rPr>
          <w:rFonts w:ascii="Arial" w:hAnsi="Arial" w:cs="Arial"/>
          <w:b/>
          <w:sz w:val="24"/>
          <w:szCs w:val="24"/>
        </w:rPr>
      </w:pPr>
    </w:p>
    <w:p w14:paraId="44D16354" w14:textId="77777777" w:rsidR="00395B1D" w:rsidRDefault="00395B1D" w:rsidP="0093713F">
      <w:pPr>
        <w:spacing w:after="0" w:line="240" w:lineRule="auto"/>
        <w:jc w:val="both"/>
        <w:rPr>
          <w:rFonts w:ascii="Arial" w:hAnsi="Arial" w:cs="Arial"/>
          <w:b/>
          <w:sz w:val="24"/>
          <w:szCs w:val="24"/>
        </w:rPr>
      </w:pPr>
    </w:p>
    <w:p w14:paraId="2FDC6AF4" w14:textId="77777777" w:rsidR="00395B1D" w:rsidRDefault="00395B1D" w:rsidP="0093713F">
      <w:pPr>
        <w:spacing w:after="0" w:line="240" w:lineRule="auto"/>
        <w:jc w:val="both"/>
        <w:rPr>
          <w:rFonts w:ascii="Arial" w:hAnsi="Arial" w:cs="Arial"/>
          <w:b/>
          <w:sz w:val="24"/>
          <w:szCs w:val="24"/>
        </w:rPr>
      </w:pPr>
    </w:p>
    <w:p w14:paraId="35FFD986" w14:textId="77777777" w:rsidR="00395B1D" w:rsidRDefault="00395B1D" w:rsidP="0093713F">
      <w:pPr>
        <w:spacing w:after="0" w:line="240" w:lineRule="auto"/>
        <w:jc w:val="both"/>
        <w:rPr>
          <w:rFonts w:ascii="Arial" w:hAnsi="Arial" w:cs="Arial"/>
          <w:b/>
          <w:sz w:val="24"/>
          <w:szCs w:val="24"/>
        </w:rPr>
      </w:pPr>
    </w:p>
    <w:p w14:paraId="3348BD13" w14:textId="77777777" w:rsidR="00395B1D" w:rsidRDefault="00395B1D" w:rsidP="0093713F">
      <w:pPr>
        <w:spacing w:after="0" w:line="240" w:lineRule="auto"/>
        <w:jc w:val="both"/>
        <w:rPr>
          <w:rFonts w:ascii="Arial" w:hAnsi="Arial" w:cs="Arial"/>
          <w:b/>
          <w:sz w:val="24"/>
          <w:szCs w:val="24"/>
        </w:rPr>
      </w:pPr>
    </w:p>
    <w:p w14:paraId="088A621D" w14:textId="77777777" w:rsidR="00395B1D" w:rsidRDefault="00395B1D" w:rsidP="0093713F">
      <w:pPr>
        <w:spacing w:after="0" w:line="240" w:lineRule="auto"/>
        <w:jc w:val="both"/>
        <w:rPr>
          <w:rFonts w:ascii="Arial" w:hAnsi="Arial" w:cs="Arial"/>
          <w:b/>
          <w:sz w:val="24"/>
          <w:szCs w:val="24"/>
        </w:rPr>
      </w:pPr>
    </w:p>
    <w:p w14:paraId="3FE2AEB4" w14:textId="77777777" w:rsidR="00395B1D" w:rsidRDefault="00395B1D" w:rsidP="0093713F">
      <w:pPr>
        <w:spacing w:after="0" w:line="240" w:lineRule="auto"/>
        <w:jc w:val="both"/>
        <w:rPr>
          <w:rFonts w:ascii="Arial" w:hAnsi="Arial" w:cs="Arial"/>
          <w:b/>
          <w:sz w:val="24"/>
          <w:szCs w:val="24"/>
        </w:rPr>
      </w:pPr>
    </w:p>
    <w:p w14:paraId="765503C2" w14:textId="77777777" w:rsidR="00395B1D" w:rsidRDefault="00395B1D" w:rsidP="0093713F">
      <w:pPr>
        <w:spacing w:after="0" w:line="240" w:lineRule="auto"/>
        <w:jc w:val="both"/>
        <w:rPr>
          <w:rFonts w:ascii="Arial" w:hAnsi="Arial" w:cs="Arial"/>
          <w:b/>
          <w:sz w:val="24"/>
          <w:szCs w:val="24"/>
        </w:rPr>
      </w:pPr>
    </w:p>
    <w:p w14:paraId="367E178C" w14:textId="77777777" w:rsidR="00395B1D" w:rsidRDefault="00395B1D" w:rsidP="0093713F">
      <w:pPr>
        <w:spacing w:after="0" w:line="240" w:lineRule="auto"/>
        <w:jc w:val="both"/>
        <w:rPr>
          <w:rFonts w:ascii="Arial" w:hAnsi="Arial" w:cs="Arial"/>
          <w:b/>
          <w:sz w:val="24"/>
          <w:szCs w:val="24"/>
        </w:rPr>
      </w:pPr>
    </w:p>
    <w:p w14:paraId="1E5A2942" w14:textId="77777777" w:rsidR="00395B1D" w:rsidRDefault="00395B1D" w:rsidP="0093713F">
      <w:pPr>
        <w:spacing w:after="0" w:line="240" w:lineRule="auto"/>
        <w:jc w:val="both"/>
        <w:rPr>
          <w:rFonts w:ascii="Arial" w:hAnsi="Arial" w:cs="Arial"/>
          <w:b/>
          <w:sz w:val="24"/>
          <w:szCs w:val="24"/>
        </w:rPr>
      </w:pPr>
    </w:p>
    <w:p w14:paraId="03ED82D3" w14:textId="77777777" w:rsidR="00395B1D" w:rsidRDefault="00395B1D" w:rsidP="0093713F">
      <w:pPr>
        <w:spacing w:after="0" w:line="240" w:lineRule="auto"/>
        <w:jc w:val="both"/>
        <w:rPr>
          <w:rFonts w:ascii="Arial" w:hAnsi="Arial" w:cs="Arial"/>
          <w:b/>
          <w:sz w:val="24"/>
          <w:szCs w:val="24"/>
        </w:rPr>
      </w:pPr>
    </w:p>
    <w:p w14:paraId="49C094D2" w14:textId="77777777" w:rsidR="00395B1D" w:rsidRDefault="00395B1D" w:rsidP="0093713F">
      <w:pPr>
        <w:spacing w:after="0" w:line="240" w:lineRule="auto"/>
        <w:jc w:val="both"/>
        <w:rPr>
          <w:rFonts w:ascii="Arial" w:hAnsi="Arial" w:cs="Arial"/>
          <w:b/>
          <w:sz w:val="24"/>
          <w:szCs w:val="24"/>
        </w:rPr>
      </w:pPr>
    </w:p>
    <w:p w14:paraId="7C1A10A8" w14:textId="77777777" w:rsidR="00395B1D" w:rsidRDefault="00395B1D" w:rsidP="0093713F">
      <w:pPr>
        <w:spacing w:after="0" w:line="240" w:lineRule="auto"/>
        <w:jc w:val="both"/>
        <w:rPr>
          <w:rFonts w:ascii="Arial" w:hAnsi="Arial" w:cs="Arial"/>
          <w:b/>
          <w:sz w:val="24"/>
          <w:szCs w:val="24"/>
        </w:rPr>
      </w:pPr>
    </w:p>
    <w:p w14:paraId="0EFDEB1B" w14:textId="77777777" w:rsidR="00395B1D" w:rsidRDefault="00395B1D" w:rsidP="0093713F">
      <w:pPr>
        <w:spacing w:after="0" w:line="240" w:lineRule="auto"/>
        <w:jc w:val="both"/>
        <w:rPr>
          <w:rFonts w:ascii="Arial" w:hAnsi="Arial" w:cs="Arial"/>
          <w:b/>
          <w:sz w:val="24"/>
          <w:szCs w:val="24"/>
        </w:rPr>
      </w:pPr>
    </w:p>
    <w:p w14:paraId="3E3117D7" w14:textId="77777777" w:rsidR="00395B1D" w:rsidRDefault="00395B1D" w:rsidP="0093713F">
      <w:pPr>
        <w:spacing w:after="0" w:line="240" w:lineRule="auto"/>
        <w:jc w:val="both"/>
        <w:rPr>
          <w:rFonts w:ascii="Arial" w:hAnsi="Arial" w:cs="Arial"/>
          <w:b/>
          <w:sz w:val="24"/>
          <w:szCs w:val="24"/>
        </w:rPr>
      </w:pPr>
    </w:p>
    <w:p w14:paraId="7C6C734F" w14:textId="77777777" w:rsidR="00395B1D" w:rsidRDefault="00395B1D" w:rsidP="0093713F">
      <w:pPr>
        <w:spacing w:after="0" w:line="240" w:lineRule="auto"/>
        <w:jc w:val="both"/>
        <w:rPr>
          <w:rFonts w:ascii="Arial" w:hAnsi="Arial" w:cs="Arial"/>
          <w:b/>
          <w:sz w:val="24"/>
          <w:szCs w:val="24"/>
        </w:rPr>
      </w:pPr>
    </w:p>
    <w:p w14:paraId="6790A697" w14:textId="77777777" w:rsidR="00395B1D" w:rsidRDefault="00395B1D" w:rsidP="0093713F">
      <w:pPr>
        <w:spacing w:after="0" w:line="240" w:lineRule="auto"/>
        <w:jc w:val="both"/>
        <w:rPr>
          <w:rFonts w:ascii="Arial" w:hAnsi="Arial" w:cs="Arial"/>
          <w:b/>
          <w:sz w:val="24"/>
          <w:szCs w:val="24"/>
        </w:rPr>
      </w:pPr>
    </w:p>
    <w:p w14:paraId="3353E9AA" w14:textId="77777777" w:rsidR="00395B1D" w:rsidRDefault="00395B1D" w:rsidP="0093713F">
      <w:pPr>
        <w:spacing w:after="0" w:line="240" w:lineRule="auto"/>
        <w:jc w:val="both"/>
        <w:rPr>
          <w:rFonts w:ascii="Arial" w:hAnsi="Arial" w:cs="Arial"/>
          <w:b/>
          <w:sz w:val="24"/>
          <w:szCs w:val="24"/>
        </w:rPr>
      </w:pPr>
    </w:p>
    <w:p w14:paraId="3537ED6F" w14:textId="77777777" w:rsidR="00395B1D" w:rsidRDefault="00395B1D" w:rsidP="0093713F">
      <w:pPr>
        <w:spacing w:after="0" w:line="240" w:lineRule="auto"/>
        <w:jc w:val="both"/>
        <w:rPr>
          <w:rFonts w:ascii="Arial" w:hAnsi="Arial" w:cs="Arial"/>
          <w:b/>
          <w:sz w:val="24"/>
          <w:szCs w:val="24"/>
        </w:rPr>
      </w:pPr>
    </w:p>
    <w:p w14:paraId="3D9C8A86" w14:textId="77777777" w:rsidR="00395B1D" w:rsidRDefault="00395B1D" w:rsidP="0093713F">
      <w:pPr>
        <w:spacing w:after="0" w:line="240" w:lineRule="auto"/>
        <w:jc w:val="both"/>
        <w:rPr>
          <w:rFonts w:ascii="Arial" w:hAnsi="Arial" w:cs="Arial"/>
          <w:b/>
          <w:sz w:val="24"/>
          <w:szCs w:val="24"/>
        </w:rPr>
      </w:pPr>
    </w:p>
    <w:p w14:paraId="397B104B" w14:textId="77777777" w:rsidR="00395B1D" w:rsidRDefault="00395B1D" w:rsidP="0093713F">
      <w:pPr>
        <w:spacing w:after="0" w:line="240" w:lineRule="auto"/>
        <w:jc w:val="both"/>
        <w:rPr>
          <w:rFonts w:ascii="Arial" w:hAnsi="Arial" w:cs="Arial"/>
          <w:b/>
          <w:sz w:val="24"/>
          <w:szCs w:val="24"/>
        </w:rPr>
      </w:pPr>
    </w:p>
    <w:p w14:paraId="412CF060" w14:textId="77777777" w:rsidR="00395B1D" w:rsidRDefault="00395B1D" w:rsidP="0093713F">
      <w:pPr>
        <w:spacing w:after="0" w:line="240" w:lineRule="auto"/>
        <w:jc w:val="both"/>
        <w:rPr>
          <w:rFonts w:ascii="Arial" w:hAnsi="Arial" w:cs="Arial"/>
          <w:b/>
          <w:sz w:val="24"/>
          <w:szCs w:val="24"/>
        </w:rPr>
      </w:pPr>
    </w:p>
    <w:p w14:paraId="740E78A0" w14:textId="77777777" w:rsidR="00395B1D" w:rsidRDefault="00395B1D" w:rsidP="0093713F">
      <w:pPr>
        <w:spacing w:after="0" w:line="240" w:lineRule="auto"/>
        <w:jc w:val="both"/>
        <w:rPr>
          <w:rFonts w:ascii="Arial" w:hAnsi="Arial" w:cs="Arial"/>
          <w:b/>
          <w:sz w:val="24"/>
          <w:szCs w:val="24"/>
        </w:rPr>
      </w:pPr>
    </w:p>
    <w:p w14:paraId="6A368596" w14:textId="77777777" w:rsidR="00395B1D" w:rsidRDefault="00395B1D" w:rsidP="0093713F">
      <w:pPr>
        <w:spacing w:after="0" w:line="240" w:lineRule="auto"/>
        <w:jc w:val="both"/>
        <w:rPr>
          <w:rFonts w:ascii="Arial" w:hAnsi="Arial" w:cs="Arial"/>
          <w:b/>
          <w:sz w:val="24"/>
          <w:szCs w:val="24"/>
        </w:rPr>
      </w:pPr>
    </w:p>
    <w:p w14:paraId="48AFC83F" w14:textId="77777777" w:rsidR="00395B1D" w:rsidRDefault="00395B1D" w:rsidP="0093713F">
      <w:pPr>
        <w:spacing w:after="0" w:line="240" w:lineRule="auto"/>
        <w:jc w:val="both"/>
        <w:rPr>
          <w:rFonts w:ascii="Arial" w:hAnsi="Arial" w:cs="Arial"/>
          <w:b/>
          <w:sz w:val="24"/>
          <w:szCs w:val="24"/>
        </w:rPr>
      </w:pPr>
    </w:p>
    <w:p w14:paraId="1AA2034A" w14:textId="77777777" w:rsidR="00395B1D" w:rsidRDefault="00395B1D" w:rsidP="0093713F">
      <w:pPr>
        <w:spacing w:after="0" w:line="240" w:lineRule="auto"/>
        <w:jc w:val="both"/>
        <w:rPr>
          <w:rFonts w:ascii="Arial" w:hAnsi="Arial" w:cs="Arial"/>
          <w:b/>
          <w:sz w:val="24"/>
          <w:szCs w:val="24"/>
        </w:rPr>
      </w:pPr>
    </w:p>
    <w:p w14:paraId="5464DEA9" w14:textId="77777777" w:rsidR="00395B1D" w:rsidRDefault="00395B1D" w:rsidP="0093713F">
      <w:pPr>
        <w:spacing w:after="0" w:line="240" w:lineRule="auto"/>
        <w:jc w:val="both"/>
        <w:rPr>
          <w:rFonts w:ascii="Arial" w:hAnsi="Arial" w:cs="Arial"/>
          <w:b/>
          <w:sz w:val="24"/>
          <w:szCs w:val="24"/>
        </w:rPr>
      </w:pPr>
    </w:p>
    <w:p w14:paraId="3CBEDCC0" w14:textId="77777777" w:rsidR="00395B1D" w:rsidRDefault="00395B1D" w:rsidP="0093713F">
      <w:pPr>
        <w:spacing w:after="0" w:line="240" w:lineRule="auto"/>
        <w:jc w:val="both"/>
        <w:rPr>
          <w:rFonts w:ascii="Arial" w:hAnsi="Arial" w:cs="Arial"/>
          <w:b/>
          <w:sz w:val="24"/>
          <w:szCs w:val="24"/>
        </w:rPr>
      </w:pPr>
    </w:p>
    <w:p w14:paraId="0127860C" w14:textId="77777777" w:rsidR="00395B1D" w:rsidRPr="0093713F" w:rsidRDefault="00395B1D" w:rsidP="0093713F">
      <w:pPr>
        <w:spacing w:after="0" w:line="240" w:lineRule="auto"/>
        <w:jc w:val="both"/>
        <w:rPr>
          <w:rFonts w:ascii="Arial" w:hAnsi="Arial" w:cs="Arial"/>
          <w:b/>
          <w:sz w:val="24"/>
          <w:szCs w:val="24"/>
        </w:rPr>
      </w:pPr>
    </w:p>
    <w:tbl>
      <w:tblPr>
        <w:tblW w:w="9270" w:type="dxa"/>
        <w:tblLook w:val="04A0" w:firstRow="1" w:lastRow="0" w:firstColumn="1" w:lastColumn="0" w:noHBand="0" w:noVBand="1"/>
      </w:tblPr>
      <w:tblGrid>
        <w:gridCol w:w="4111"/>
        <w:gridCol w:w="5159"/>
      </w:tblGrid>
      <w:tr w:rsidR="00DA7CFC" w:rsidRPr="00DA7CFC" w14:paraId="39E3096E" w14:textId="77777777" w:rsidTr="004F2D97">
        <w:tc>
          <w:tcPr>
            <w:tcW w:w="4111" w:type="dxa"/>
            <w:shd w:val="clear" w:color="auto" w:fill="auto"/>
          </w:tcPr>
          <w:p w14:paraId="6D5235ED" w14:textId="7B867C98"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r w:rsidRPr="00DA7CFC">
              <w:rPr>
                <w:rFonts w:ascii="Arial" w:eastAsia="Calibri" w:hAnsi="Arial" w:cs="Arial"/>
                <w:sz w:val="24"/>
                <w:lang w:val="en-ZA"/>
              </w:rPr>
              <w:lastRenderedPageBreak/>
              <w:t>APPEARANCES</w:t>
            </w:r>
          </w:p>
          <w:p w14:paraId="05EBBA84" w14:textId="77777777"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p>
          <w:p w14:paraId="3F5EFF58" w14:textId="25559F45"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r w:rsidRPr="00DA7CFC">
              <w:rPr>
                <w:rFonts w:ascii="Arial" w:eastAsia="Calibri" w:hAnsi="Arial" w:cs="Arial"/>
                <w:sz w:val="24"/>
                <w:lang w:val="en-ZA"/>
              </w:rPr>
              <w:t>APPELLANT</w:t>
            </w:r>
            <w:r w:rsidR="00467BA8">
              <w:rPr>
                <w:rFonts w:ascii="Arial" w:eastAsia="Calibri" w:hAnsi="Arial" w:cs="Arial"/>
                <w:sz w:val="24"/>
                <w:lang w:val="en-ZA"/>
              </w:rPr>
              <w:t>S</w:t>
            </w:r>
            <w:r w:rsidRPr="00DA7CFC">
              <w:rPr>
                <w:rFonts w:ascii="Arial" w:eastAsia="Calibri" w:hAnsi="Arial" w:cs="Arial"/>
                <w:sz w:val="24"/>
                <w:lang w:val="en-ZA"/>
              </w:rPr>
              <w:t>:</w:t>
            </w:r>
          </w:p>
        </w:tc>
        <w:tc>
          <w:tcPr>
            <w:tcW w:w="5159" w:type="dxa"/>
            <w:shd w:val="clear" w:color="auto" w:fill="auto"/>
          </w:tcPr>
          <w:p w14:paraId="3A769EF2" w14:textId="77777777"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p>
          <w:p w14:paraId="73BC8ACB" w14:textId="77777777"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p>
          <w:p w14:paraId="232588A1" w14:textId="004DC21F" w:rsidR="00007E5E" w:rsidRPr="00DA7CFC" w:rsidRDefault="009F0C00" w:rsidP="004F2D97">
            <w:pPr>
              <w:autoSpaceDE w:val="0"/>
              <w:autoSpaceDN w:val="0"/>
              <w:adjustRightInd w:val="0"/>
              <w:spacing w:after="0" w:line="480" w:lineRule="auto"/>
              <w:jc w:val="both"/>
              <w:rPr>
                <w:rFonts w:ascii="Arial" w:eastAsia="Calibri" w:hAnsi="Arial" w:cs="Arial"/>
                <w:sz w:val="24"/>
                <w:lang w:val="en-ZA"/>
              </w:rPr>
            </w:pPr>
            <w:r w:rsidRPr="00DA7CFC">
              <w:rPr>
                <w:rFonts w:ascii="Arial" w:eastAsia="Calibri" w:hAnsi="Arial" w:cs="Arial"/>
                <w:sz w:val="24"/>
                <w:lang w:val="en-ZA"/>
              </w:rPr>
              <w:t xml:space="preserve">S Namandje (with him </w:t>
            </w:r>
            <w:r w:rsidR="00BB63B7" w:rsidRPr="00DA7CFC">
              <w:rPr>
                <w:rFonts w:ascii="Arial" w:eastAsia="Calibri" w:hAnsi="Arial" w:cs="Arial"/>
                <w:sz w:val="24"/>
                <w:lang w:val="en-ZA"/>
              </w:rPr>
              <w:t xml:space="preserve">E </w:t>
            </w:r>
            <w:r w:rsidRPr="00DA7CFC">
              <w:rPr>
                <w:rFonts w:ascii="Arial" w:eastAsia="Calibri" w:hAnsi="Arial" w:cs="Arial"/>
                <w:sz w:val="24"/>
                <w:lang w:val="en-ZA"/>
              </w:rPr>
              <w:t>Nekwaya)</w:t>
            </w:r>
          </w:p>
          <w:p w14:paraId="71F75E21" w14:textId="14EFF966" w:rsidR="00007E5E" w:rsidRPr="00DA7CFC" w:rsidRDefault="00A42D44" w:rsidP="004F2D97">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Instructed by</w:t>
            </w:r>
            <w:r w:rsidR="00007E5E" w:rsidRPr="00DA7CFC">
              <w:rPr>
                <w:rFonts w:ascii="Arial" w:eastAsia="Calibri" w:hAnsi="Arial" w:cs="Arial"/>
                <w:sz w:val="24"/>
                <w:lang w:val="en-ZA"/>
              </w:rPr>
              <w:t xml:space="preserve"> Government Attorney</w:t>
            </w:r>
          </w:p>
        </w:tc>
      </w:tr>
      <w:tr w:rsidR="00DA7CFC" w:rsidRPr="00DA7CFC" w14:paraId="71B91864" w14:textId="77777777" w:rsidTr="004F2D97">
        <w:tc>
          <w:tcPr>
            <w:tcW w:w="4111" w:type="dxa"/>
            <w:shd w:val="clear" w:color="auto" w:fill="auto"/>
          </w:tcPr>
          <w:p w14:paraId="55ED9B19" w14:textId="77777777"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p>
        </w:tc>
        <w:tc>
          <w:tcPr>
            <w:tcW w:w="5159" w:type="dxa"/>
            <w:shd w:val="clear" w:color="auto" w:fill="auto"/>
          </w:tcPr>
          <w:p w14:paraId="1763FBA1" w14:textId="77777777" w:rsidR="00007E5E" w:rsidRPr="00DA7CFC" w:rsidRDefault="00007E5E" w:rsidP="004F2D97">
            <w:pPr>
              <w:autoSpaceDE w:val="0"/>
              <w:autoSpaceDN w:val="0"/>
              <w:adjustRightInd w:val="0"/>
              <w:spacing w:after="0" w:line="480" w:lineRule="auto"/>
              <w:jc w:val="both"/>
              <w:rPr>
                <w:rFonts w:ascii="Arial" w:eastAsia="Calibri" w:hAnsi="Arial" w:cs="Arial"/>
                <w:sz w:val="24"/>
                <w:lang w:val="en-ZA"/>
              </w:rPr>
            </w:pPr>
          </w:p>
        </w:tc>
      </w:tr>
      <w:tr w:rsidR="00DA7CFC" w:rsidRPr="00DA7CFC" w14:paraId="52A1B708" w14:textId="77777777" w:rsidTr="004F2D97">
        <w:tc>
          <w:tcPr>
            <w:tcW w:w="4111" w:type="dxa"/>
            <w:shd w:val="clear" w:color="auto" w:fill="auto"/>
          </w:tcPr>
          <w:p w14:paraId="64E9AA6A" w14:textId="60CBE152" w:rsidR="00007E5E" w:rsidRPr="00DA7CFC" w:rsidRDefault="00467BA8" w:rsidP="004F2D97">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 xml:space="preserve">SECOND </w:t>
            </w:r>
            <w:r w:rsidR="00007E5E" w:rsidRPr="00DA7CFC">
              <w:rPr>
                <w:rFonts w:ascii="Arial" w:eastAsia="Calibri" w:hAnsi="Arial" w:cs="Arial"/>
                <w:sz w:val="24"/>
                <w:lang w:val="en-ZA"/>
              </w:rPr>
              <w:t>RESPONDENT:</w:t>
            </w:r>
          </w:p>
        </w:tc>
        <w:tc>
          <w:tcPr>
            <w:tcW w:w="5159" w:type="dxa"/>
            <w:shd w:val="clear" w:color="auto" w:fill="auto"/>
          </w:tcPr>
          <w:p w14:paraId="733B8889" w14:textId="064367CB" w:rsidR="00007E5E" w:rsidRPr="00DA7CFC" w:rsidRDefault="009F0C00" w:rsidP="004F2D97">
            <w:pPr>
              <w:autoSpaceDE w:val="0"/>
              <w:autoSpaceDN w:val="0"/>
              <w:adjustRightInd w:val="0"/>
              <w:spacing w:after="0" w:line="480" w:lineRule="auto"/>
              <w:jc w:val="both"/>
              <w:rPr>
                <w:rFonts w:ascii="Arial" w:eastAsia="Calibri" w:hAnsi="Arial" w:cs="Arial"/>
                <w:sz w:val="24"/>
                <w:lang w:val="en-ZA"/>
              </w:rPr>
            </w:pPr>
            <w:r w:rsidRPr="00DA7CFC">
              <w:rPr>
                <w:rFonts w:ascii="Arial" w:eastAsia="Calibri" w:hAnsi="Arial" w:cs="Arial"/>
                <w:sz w:val="24"/>
                <w:lang w:val="en-ZA"/>
              </w:rPr>
              <w:t>R Heathcote (with him</w:t>
            </w:r>
            <w:r w:rsidR="00B315CC">
              <w:rPr>
                <w:rFonts w:ascii="Arial" w:eastAsia="Calibri" w:hAnsi="Arial" w:cs="Arial"/>
                <w:sz w:val="24"/>
                <w:lang w:val="en-ZA"/>
              </w:rPr>
              <w:t xml:space="preserve"> </w:t>
            </w:r>
            <w:r w:rsidR="000139AF" w:rsidRPr="00DA7CFC">
              <w:rPr>
                <w:rFonts w:ascii="Arial" w:eastAsia="Calibri" w:hAnsi="Arial" w:cs="Arial"/>
                <w:sz w:val="24"/>
                <w:lang w:val="en-ZA"/>
              </w:rPr>
              <w:t>B de Jager)</w:t>
            </w:r>
          </w:p>
          <w:p w14:paraId="4DF1DC6A" w14:textId="20E5CF57" w:rsidR="00007E5E" w:rsidRPr="00DA7CFC" w:rsidRDefault="00EC30B6" w:rsidP="00ED3DF6">
            <w:pPr>
              <w:autoSpaceDE w:val="0"/>
              <w:autoSpaceDN w:val="0"/>
              <w:adjustRightInd w:val="0"/>
              <w:spacing w:after="0" w:line="480" w:lineRule="auto"/>
              <w:jc w:val="both"/>
              <w:rPr>
                <w:rFonts w:ascii="Arial" w:eastAsia="Calibri" w:hAnsi="Arial" w:cs="Arial"/>
                <w:sz w:val="24"/>
                <w:lang w:val="en-ZA"/>
              </w:rPr>
            </w:pPr>
            <w:r w:rsidRPr="00DA7CFC">
              <w:rPr>
                <w:rFonts w:ascii="Arial" w:eastAsia="Calibri" w:hAnsi="Arial" w:cs="Arial"/>
                <w:sz w:val="24"/>
                <w:lang w:val="en-ZA"/>
              </w:rPr>
              <w:t xml:space="preserve">Instructed by </w:t>
            </w:r>
            <w:r w:rsidR="00ED3DF6" w:rsidRPr="00DA7CFC">
              <w:rPr>
                <w:rFonts w:ascii="Arial" w:eastAsia="Calibri" w:hAnsi="Arial" w:cs="Arial"/>
                <w:sz w:val="24"/>
                <w:lang w:val="en-ZA"/>
              </w:rPr>
              <w:t>Fisher, Quarmby &amp; Pfeiffer</w:t>
            </w:r>
          </w:p>
        </w:tc>
      </w:tr>
    </w:tbl>
    <w:p w14:paraId="555B8252" w14:textId="77777777" w:rsidR="004F2D97" w:rsidRPr="00DA7CFC" w:rsidRDefault="004F2D97">
      <w:pPr>
        <w:rPr>
          <w:rFonts w:ascii="Arial" w:hAnsi="Arial" w:cs="Arial"/>
        </w:rPr>
      </w:pPr>
    </w:p>
    <w:sectPr w:rsidR="004F2D97" w:rsidRPr="00DA7CFC" w:rsidSect="004F2D97">
      <w:headerReference w:type="default" r:id="rId12"/>
      <w:pgSz w:w="11900" w:h="16840"/>
      <w:pgMar w:top="810" w:right="1440" w:bottom="99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E28" w14:textId="77777777" w:rsidR="00F34C83" w:rsidRDefault="00F34C83">
      <w:pPr>
        <w:spacing w:after="0" w:line="240" w:lineRule="auto"/>
      </w:pPr>
      <w:r>
        <w:separator/>
      </w:r>
    </w:p>
  </w:endnote>
  <w:endnote w:type="continuationSeparator" w:id="0">
    <w:p w14:paraId="04A23B2C" w14:textId="77777777" w:rsidR="00F34C83" w:rsidRDefault="00F3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F201" w14:textId="77777777" w:rsidR="00F34C83" w:rsidRDefault="00F34C83">
      <w:pPr>
        <w:spacing w:after="0" w:line="240" w:lineRule="auto"/>
      </w:pPr>
      <w:r>
        <w:separator/>
      </w:r>
    </w:p>
  </w:footnote>
  <w:footnote w:type="continuationSeparator" w:id="0">
    <w:p w14:paraId="2267AD38" w14:textId="77777777" w:rsidR="00F34C83" w:rsidRDefault="00F34C83">
      <w:pPr>
        <w:spacing w:after="0" w:line="240" w:lineRule="auto"/>
      </w:pPr>
      <w:r>
        <w:continuationSeparator/>
      </w:r>
    </w:p>
  </w:footnote>
  <w:footnote w:id="1">
    <w:p w14:paraId="3C40839F" w14:textId="6F773D4A" w:rsidR="00D1057E" w:rsidRPr="00D3027E" w:rsidRDefault="00A069E6" w:rsidP="00D3027E">
      <w:pPr>
        <w:pStyle w:val="FootnoteText"/>
        <w:jc w:val="both"/>
        <w:rPr>
          <w:rFonts w:ascii="Arial" w:hAnsi="Arial" w:cs="Arial"/>
          <w:sz w:val="20"/>
          <w:szCs w:val="20"/>
        </w:rPr>
      </w:pPr>
      <w:r w:rsidRPr="00D3027E">
        <w:rPr>
          <w:rStyle w:val="FootnoteReference"/>
          <w:rFonts w:ascii="Arial" w:hAnsi="Arial" w:cs="Arial"/>
          <w:sz w:val="20"/>
          <w:szCs w:val="20"/>
        </w:rPr>
        <w:footnoteRef/>
      </w:r>
      <w:r w:rsidR="009023C2">
        <w:rPr>
          <w:rFonts w:ascii="Arial" w:hAnsi="Arial" w:cs="Arial"/>
          <w:sz w:val="20"/>
          <w:szCs w:val="20"/>
        </w:rPr>
        <w:t xml:space="preserve"> </w:t>
      </w:r>
      <w:r w:rsidR="00BD5C09">
        <w:rPr>
          <w:rFonts w:ascii="Arial" w:hAnsi="Arial" w:cs="Arial"/>
          <w:sz w:val="20"/>
          <w:szCs w:val="20"/>
        </w:rPr>
        <w:t>‘</w:t>
      </w:r>
      <w:r w:rsidR="00D1057E" w:rsidRPr="00D3027E">
        <w:rPr>
          <w:rFonts w:ascii="Arial" w:hAnsi="Arial" w:cs="Arial"/>
          <w:sz w:val="20"/>
          <w:szCs w:val="20"/>
        </w:rPr>
        <w:t>(1) (a)</w:t>
      </w:r>
      <w:r w:rsidR="009023C2">
        <w:rPr>
          <w:rFonts w:ascii="Arial" w:hAnsi="Arial" w:cs="Arial"/>
          <w:sz w:val="20"/>
          <w:szCs w:val="20"/>
        </w:rPr>
        <w:t xml:space="preserve"> </w:t>
      </w:r>
      <w:r w:rsidR="00D1057E" w:rsidRPr="00D3027E">
        <w:rPr>
          <w:rFonts w:ascii="Arial" w:hAnsi="Arial" w:cs="Arial"/>
          <w:sz w:val="20"/>
          <w:szCs w:val="20"/>
        </w:rPr>
        <w:t>In the determination of their civil rights and obligations or any criminal charges against them, all persons shall be entitled to a fair and public hearing by an independent, impartial and competent Court or Tribunal established by law: provided that such Court or Tribunal may exclude the press and/or the public from all or any part of the trial for reasons of morals, the public order or national security, as is necessary in a democratic society.</w:t>
      </w:r>
    </w:p>
    <w:p w14:paraId="120651A4" w14:textId="10302B98" w:rsidR="00D1057E" w:rsidRPr="00D3027E" w:rsidRDefault="00D1057E" w:rsidP="00D3027E">
      <w:pPr>
        <w:pStyle w:val="FootnoteText"/>
        <w:jc w:val="both"/>
        <w:rPr>
          <w:rFonts w:ascii="Arial" w:hAnsi="Arial" w:cs="Arial"/>
          <w:sz w:val="20"/>
          <w:szCs w:val="20"/>
        </w:rPr>
      </w:pPr>
      <w:r w:rsidRPr="00D3027E">
        <w:rPr>
          <w:rFonts w:ascii="Arial" w:hAnsi="Arial" w:cs="Arial"/>
          <w:sz w:val="20"/>
          <w:szCs w:val="20"/>
        </w:rPr>
        <w:t xml:space="preserve">(b) . . . </w:t>
      </w:r>
    </w:p>
    <w:p w14:paraId="16B165E4" w14:textId="2DD38E83" w:rsidR="00D1057E" w:rsidRPr="00D3027E" w:rsidRDefault="00D1057E" w:rsidP="00D3027E">
      <w:pPr>
        <w:pStyle w:val="FootnoteText"/>
        <w:jc w:val="both"/>
        <w:rPr>
          <w:rFonts w:ascii="Arial" w:hAnsi="Arial" w:cs="Arial"/>
          <w:sz w:val="20"/>
          <w:szCs w:val="20"/>
        </w:rPr>
      </w:pPr>
      <w:r w:rsidRPr="00D3027E">
        <w:rPr>
          <w:rFonts w:ascii="Arial" w:hAnsi="Arial" w:cs="Arial"/>
          <w:sz w:val="20"/>
          <w:szCs w:val="20"/>
        </w:rPr>
        <w:t xml:space="preserve">(c) . . . </w:t>
      </w:r>
    </w:p>
    <w:p w14:paraId="17B8094C" w14:textId="41D94F56" w:rsidR="00D1057E" w:rsidRPr="00D3027E" w:rsidRDefault="00D1057E" w:rsidP="00D3027E">
      <w:pPr>
        <w:pStyle w:val="FootnoteText"/>
        <w:jc w:val="both"/>
        <w:rPr>
          <w:rFonts w:ascii="Arial" w:hAnsi="Arial" w:cs="Arial"/>
          <w:sz w:val="20"/>
          <w:szCs w:val="20"/>
        </w:rPr>
      </w:pPr>
      <w:r w:rsidRPr="00D3027E">
        <w:rPr>
          <w:rFonts w:ascii="Arial" w:hAnsi="Arial" w:cs="Arial"/>
          <w:sz w:val="20"/>
          <w:szCs w:val="20"/>
        </w:rPr>
        <w:t xml:space="preserve">(d) . . . </w:t>
      </w:r>
    </w:p>
    <w:p w14:paraId="67060E0A" w14:textId="273EA8A1" w:rsidR="00A069E6" w:rsidRPr="00D3027E" w:rsidRDefault="00D1057E" w:rsidP="00D3027E">
      <w:pPr>
        <w:pStyle w:val="FootnoteText"/>
        <w:jc w:val="both"/>
        <w:rPr>
          <w:rFonts w:ascii="Arial" w:hAnsi="Arial" w:cs="Arial"/>
          <w:color w:val="FF0000"/>
          <w:sz w:val="22"/>
          <w:szCs w:val="22"/>
        </w:rPr>
      </w:pPr>
      <w:r w:rsidRPr="00D3027E">
        <w:rPr>
          <w:rFonts w:ascii="Arial" w:hAnsi="Arial" w:cs="Arial"/>
          <w:sz w:val="20"/>
          <w:szCs w:val="20"/>
        </w:rPr>
        <w:t>(e) All persons shall be afforded adequate time and facilities for the preparation and presentation of their defence, before the commencement of and during their trial, and shall be entitled to be defended by a legal practitioner of their choice.</w:t>
      </w:r>
      <w:r w:rsidR="00BD5C09">
        <w:rPr>
          <w:rFonts w:ascii="Arial" w:hAnsi="Arial" w:cs="Arial"/>
          <w:sz w:val="20"/>
          <w:szCs w:val="20"/>
        </w:rPr>
        <w:t>’</w:t>
      </w:r>
      <w:r w:rsidRPr="00D3027E" w:rsidDel="00D1057E">
        <w:rPr>
          <w:rFonts w:ascii="Arial" w:hAnsi="Arial" w:cs="Arial"/>
          <w:color w:val="FF0000"/>
          <w:sz w:val="22"/>
          <w:szCs w:val="22"/>
        </w:rPr>
        <w:t xml:space="preserve"> </w:t>
      </w:r>
    </w:p>
  </w:footnote>
  <w:footnote w:id="2">
    <w:p w14:paraId="1812D491" w14:textId="4A26CF72" w:rsidR="00A069E6" w:rsidRPr="00D4069F" w:rsidRDefault="00A069E6" w:rsidP="00D3027E">
      <w:pPr>
        <w:pStyle w:val="FootnoteText"/>
        <w:jc w:val="both"/>
        <w:rPr>
          <w:rFonts w:ascii="Arial" w:hAnsi="Arial" w:cs="Arial"/>
          <w:sz w:val="20"/>
          <w:szCs w:val="20"/>
          <w:lang w:val="en-ZA"/>
        </w:rPr>
      </w:pPr>
      <w:r w:rsidRPr="00D4069F">
        <w:rPr>
          <w:rStyle w:val="FootnoteReference"/>
          <w:rFonts w:ascii="Arial" w:hAnsi="Arial" w:cs="Arial"/>
          <w:sz w:val="20"/>
          <w:szCs w:val="20"/>
        </w:rPr>
        <w:footnoteRef/>
      </w:r>
      <w:r w:rsidRPr="00D4069F">
        <w:rPr>
          <w:rFonts w:ascii="Arial" w:hAnsi="Arial" w:cs="Arial"/>
          <w:sz w:val="20"/>
          <w:szCs w:val="20"/>
        </w:rPr>
        <w:t xml:space="preserve"> </w:t>
      </w:r>
      <w:r w:rsidR="008A115F">
        <w:rPr>
          <w:rFonts w:ascii="Arial" w:hAnsi="Arial" w:cs="Arial"/>
          <w:i/>
          <w:sz w:val="20"/>
          <w:szCs w:val="20"/>
        </w:rPr>
        <w:t>Director-General o</w:t>
      </w:r>
      <w:r w:rsidR="0085378D">
        <w:rPr>
          <w:rFonts w:ascii="Arial" w:hAnsi="Arial" w:cs="Arial"/>
          <w:i/>
          <w:sz w:val="20"/>
          <w:szCs w:val="20"/>
        </w:rPr>
        <w:t>f t</w:t>
      </w:r>
      <w:r w:rsidR="008A115F" w:rsidRPr="008A115F">
        <w:rPr>
          <w:rFonts w:ascii="Arial" w:hAnsi="Arial" w:cs="Arial"/>
          <w:i/>
          <w:sz w:val="20"/>
          <w:szCs w:val="20"/>
        </w:rPr>
        <w:t xml:space="preserve">he Namibian Central Intelligence Service </w:t>
      </w:r>
      <w:r w:rsidR="0085378D">
        <w:rPr>
          <w:rFonts w:ascii="Arial" w:hAnsi="Arial" w:cs="Arial"/>
          <w:i/>
          <w:sz w:val="20"/>
          <w:szCs w:val="20"/>
        </w:rPr>
        <w:t>&amp;</w:t>
      </w:r>
      <w:r w:rsidR="008A115F" w:rsidRPr="008A115F">
        <w:rPr>
          <w:rFonts w:ascii="Arial" w:hAnsi="Arial" w:cs="Arial"/>
          <w:i/>
          <w:sz w:val="20"/>
          <w:szCs w:val="20"/>
        </w:rPr>
        <w:t xml:space="preserve"> </w:t>
      </w:r>
      <w:r w:rsidR="008A115F">
        <w:rPr>
          <w:rFonts w:ascii="Arial" w:hAnsi="Arial" w:cs="Arial"/>
          <w:i/>
          <w:sz w:val="20"/>
          <w:szCs w:val="20"/>
        </w:rPr>
        <w:t>a</w:t>
      </w:r>
      <w:r w:rsidR="008A115F" w:rsidRPr="008A115F">
        <w:rPr>
          <w:rFonts w:ascii="Arial" w:hAnsi="Arial" w:cs="Arial"/>
          <w:i/>
          <w:sz w:val="20"/>
          <w:szCs w:val="20"/>
        </w:rPr>
        <w:t xml:space="preserve">nother </w:t>
      </w:r>
      <w:r w:rsidR="008A115F">
        <w:rPr>
          <w:rFonts w:ascii="Arial" w:hAnsi="Arial" w:cs="Arial"/>
          <w:i/>
          <w:sz w:val="20"/>
          <w:szCs w:val="20"/>
        </w:rPr>
        <w:t>v</w:t>
      </w:r>
      <w:r w:rsidR="008A115F" w:rsidRPr="008A115F">
        <w:rPr>
          <w:rFonts w:ascii="Arial" w:hAnsi="Arial" w:cs="Arial"/>
          <w:i/>
          <w:sz w:val="20"/>
          <w:szCs w:val="20"/>
        </w:rPr>
        <w:t xml:space="preserve"> Haufiku </w:t>
      </w:r>
      <w:r w:rsidR="00C35600">
        <w:rPr>
          <w:rFonts w:ascii="Arial" w:hAnsi="Arial" w:cs="Arial"/>
          <w:i/>
          <w:sz w:val="20"/>
          <w:szCs w:val="20"/>
        </w:rPr>
        <w:t>&amp;</w:t>
      </w:r>
      <w:r w:rsidR="008A115F" w:rsidRPr="008A115F">
        <w:rPr>
          <w:rFonts w:ascii="Arial" w:hAnsi="Arial" w:cs="Arial"/>
          <w:i/>
          <w:sz w:val="20"/>
          <w:szCs w:val="20"/>
        </w:rPr>
        <w:t xml:space="preserve"> </w:t>
      </w:r>
      <w:r w:rsidR="008A115F">
        <w:rPr>
          <w:rFonts w:ascii="Arial" w:hAnsi="Arial" w:cs="Arial"/>
          <w:i/>
          <w:sz w:val="20"/>
          <w:szCs w:val="20"/>
        </w:rPr>
        <w:t>o</w:t>
      </w:r>
      <w:r w:rsidR="008A115F" w:rsidRPr="008A115F">
        <w:rPr>
          <w:rFonts w:ascii="Arial" w:hAnsi="Arial" w:cs="Arial"/>
          <w:i/>
          <w:sz w:val="20"/>
          <w:szCs w:val="20"/>
        </w:rPr>
        <w:t xml:space="preserve">thers </w:t>
      </w:r>
      <w:r w:rsidR="008A115F" w:rsidRPr="00193963">
        <w:rPr>
          <w:rFonts w:ascii="Arial" w:hAnsi="Arial" w:cs="Arial"/>
          <w:sz w:val="20"/>
          <w:szCs w:val="20"/>
        </w:rPr>
        <w:t>2019 (2) NR 556 (SC</w:t>
      </w:r>
      <w:r w:rsidR="008A115F" w:rsidRPr="008A115F">
        <w:rPr>
          <w:rFonts w:ascii="Arial" w:hAnsi="Arial" w:cs="Arial"/>
          <w:i/>
          <w:sz w:val="20"/>
          <w:szCs w:val="20"/>
        </w:rPr>
        <w:t>)</w:t>
      </w:r>
      <w:r w:rsidR="00FD379B">
        <w:rPr>
          <w:rFonts w:ascii="Arial" w:hAnsi="Arial" w:cs="Arial"/>
          <w:i/>
          <w:sz w:val="20"/>
          <w:szCs w:val="20"/>
        </w:rPr>
        <w:t xml:space="preserve"> </w:t>
      </w:r>
      <w:r w:rsidRPr="00D4069F">
        <w:rPr>
          <w:rFonts w:ascii="Arial" w:hAnsi="Arial" w:cs="Arial"/>
          <w:sz w:val="20"/>
          <w:szCs w:val="20"/>
          <w:lang w:val="en-ZA"/>
        </w:rPr>
        <w:t>para</w:t>
      </w:r>
      <w:r w:rsidR="003F0D9A">
        <w:rPr>
          <w:rFonts w:ascii="Arial" w:hAnsi="Arial" w:cs="Arial"/>
          <w:sz w:val="20"/>
          <w:szCs w:val="20"/>
          <w:lang w:val="en-ZA"/>
        </w:rPr>
        <w:t>s</w:t>
      </w:r>
      <w:r w:rsidR="00C35600">
        <w:rPr>
          <w:rFonts w:ascii="Arial" w:hAnsi="Arial" w:cs="Arial"/>
          <w:sz w:val="20"/>
          <w:szCs w:val="20"/>
          <w:lang w:val="en-ZA"/>
        </w:rPr>
        <w:t xml:space="preserve"> 85-</w:t>
      </w:r>
      <w:r w:rsidRPr="00D4069F">
        <w:rPr>
          <w:rFonts w:ascii="Arial" w:hAnsi="Arial" w:cs="Arial"/>
          <w:sz w:val="20"/>
          <w:szCs w:val="20"/>
          <w:lang w:val="en-ZA"/>
        </w:rPr>
        <w:t>86</w:t>
      </w:r>
      <w:r>
        <w:rPr>
          <w:rFonts w:ascii="Arial" w:hAnsi="Arial" w:cs="Arial"/>
          <w:sz w:val="20"/>
          <w:szCs w:val="20"/>
          <w:lang w:val="en-ZA"/>
        </w:rPr>
        <w:t>.</w:t>
      </w:r>
    </w:p>
  </w:footnote>
  <w:footnote w:id="3">
    <w:p w14:paraId="6F4CFCC5" w14:textId="422D1916" w:rsidR="00411CF5" w:rsidRPr="00C35600" w:rsidRDefault="00411CF5">
      <w:pPr>
        <w:pStyle w:val="FootnoteText"/>
        <w:rPr>
          <w:rFonts w:ascii="Arial" w:hAnsi="Arial" w:cs="Arial"/>
          <w:sz w:val="20"/>
          <w:szCs w:val="20"/>
          <w:lang w:val="en-ZA"/>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00CA6978" w:rsidRPr="00C35600">
        <w:rPr>
          <w:rFonts w:ascii="Arial" w:hAnsi="Arial" w:cs="Arial"/>
          <w:i/>
          <w:sz w:val="20"/>
          <w:szCs w:val="20"/>
        </w:rPr>
        <w:t>Chairperson of the</w:t>
      </w:r>
      <w:r w:rsidRPr="00C35600">
        <w:rPr>
          <w:rFonts w:ascii="Arial" w:eastAsia="Times New Roman" w:hAnsi="Arial" w:cs="Arial"/>
          <w:i/>
          <w:sz w:val="20"/>
          <w:szCs w:val="20"/>
          <w:lang w:val="en-ZA" w:eastAsia="en-ZA"/>
        </w:rPr>
        <w:t>Tender</w:t>
      </w:r>
      <w:r w:rsidRPr="00D3027E">
        <w:rPr>
          <w:rFonts w:ascii="Arial" w:eastAsia="Times New Roman" w:hAnsi="Arial" w:cs="Arial"/>
          <w:i/>
          <w:sz w:val="20"/>
          <w:szCs w:val="20"/>
          <w:lang w:val="en-ZA" w:eastAsia="en-ZA"/>
        </w:rPr>
        <w:t xml:space="preserve"> Board </w:t>
      </w:r>
      <w:r w:rsidR="00CA6978">
        <w:rPr>
          <w:rFonts w:ascii="Arial" w:eastAsia="Times New Roman" w:hAnsi="Arial" w:cs="Arial"/>
          <w:i/>
          <w:sz w:val="20"/>
          <w:szCs w:val="20"/>
          <w:lang w:val="en-ZA" w:eastAsia="en-ZA"/>
        </w:rPr>
        <w:t xml:space="preserve">of Namibia </w:t>
      </w:r>
      <w:r w:rsidRPr="00D3027E">
        <w:rPr>
          <w:rFonts w:ascii="Arial" w:eastAsia="Times New Roman" w:hAnsi="Arial" w:cs="Arial"/>
          <w:i/>
          <w:sz w:val="20"/>
          <w:szCs w:val="20"/>
          <w:lang w:val="en-ZA" w:eastAsia="en-ZA"/>
        </w:rPr>
        <w:t>v Pamo Trading</w:t>
      </w:r>
      <w:r w:rsidRPr="00D3027E">
        <w:rPr>
          <w:rFonts w:ascii="Arial" w:eastAsia="Times New Roman" w:hAnsi="Arial" w:cs="Arial"/>
          <w:sz w:val="20"/>
          <w:szCs w:val="20"/>
          <w:lang w:val="en-ZA" w:eastAsia="en-ZA"/>
        </w:rPr>
        <w:t xml:space="preserve"> </w:t>
      </w:r>
      <w:r w:rsidR="00CA6978">
        <w:rPr>
          <w:rFonts w:ascii="Arial" w:eastAsia="Times New Roman" w:hAnsi="Arial" w:cs="Arial"/>
          <w:sz w:val="20"/>
          <w:szCs w:val="20"/>
          <w:lang w:val="en-ZA" w:eastAsia="en-ZA"/>
        </w:rPr>
        <w:t xml:space="preserve">Enterprises CC </w:t>
      </w:r>
      <w:r w:rsidR="00C35600">
        <w:rPr>
          <w:rFonts w:ascii="Arial" w:eastAsia="Times New Roman" w:hAnsi="Arial" w:cs="Arial"/>
          <w:sz w:val="20"/>
          <w:szCs w:val="20"/>
          <w:lang w:val="en-ZA" w:eastAsia="en-ZA"/>
        </w:rPr>
        <w:t>&amp;</w:t>
      </w:r>
      <w:r w:rsidR="00CA6978">
        <w:rPr>
          <w:rFonts w:ascii="Arial" w:eastAsia="Times New Roman" w:hAnsi="Arial" w:cs="Arial"/>
          <w:sz w:val="20"/>
          <w:szCs w:val="20"/>
          <w:lang w:val="en-ZA" w:eastAsia="en-ZA"/>
        </w:rPr>
        <w:t xml:space="preserve"> another </w:t>
      </w:r>
      <w:r w:rsidRPr="00D3027E">
        <w:rPr>
          <w:rFonts w:ascii="Arial" w:eastAsia="Times New Roman" w:hAnsi="Arial" w:cs="Arial"/>
          <w:sz w:val="20"/>
          <w:szCs w:val="20"/>
          <w:lang w:val="en-ZA" w:eastAsia="en-ZA"/>
        </w:rPr>
        <w:t>2017</w:t>
      </w:r>
      <w:r w:rsidR="00CA6978">
        <w:rPr>
          <w:rFonts w:ascii="Arial" w:eastAsia="Times New Roman" w:hAnsi="Arial" w:cs="Arial"/>
          <w:sz w:val="20"/>
          <w:szCs w:val="20"/>
          <w:lang w:val="en-ZA" w:eastAsia="en-ZA"/>
        </w:rPr>
        <w:t xml:space="preserve"> (1)</w:t>
      </w:r>
      <w:r w:rsidRPr="00D3027E">
        <w:rPr>
          <w:rFonts w:ascii="Arial" w:eastAsia="Times New Roman" w:hAnsi="Arial" w:cs="Arial"/>
          <w:sz w:val="20"/>
          <w:szCs w:val="20"/>
          <w:lang w:val="en-ZA" w:eastAsia="en-ZA"/>
        </w:rPr>
        <w:t xml:space="preserve"> NR </w:t>
      </w:r>
      <w:r w:rsidR="00CA6978">
        <w:rPr>
          <w:rFonts w:ascii="Arial" w:eastAsia="Times New Roman" w:hAnsi="Arial" w:cs="Arial"/>
          <w:sz w:val="20"/>
          <w:szCs w:val="20"/>
          <w:lang w:val="en-ZA" w:eastAsia="en-ZA"/>
        </w:rPr>
        <w:t xml:space="preserve">1 </w:t>
      </w:r>
      <w:r w:rsidRPr="00D3027E">
        <w:rPr>
          <w:rFonts w:ascii="Arial" w:eastAsia="Times New Roman" w:hAnsi="Arial" w:cs="Arial"/>
          <w:sz w:val="20"/>
          <w:szCs w:val="20"/>
          <w:lang w:val="en-ZA" w:eastAsia="en-ZA"/>
        </w:rPr>
        <w:t>(SC</w:t>
      </w:r>
      <w:r w:rsidRPr="00C829E1">
        <w:rPr>
          <w:rFonts w:ascii="Arial" w:eastAsia="Times New Roman" w:hAnsi="Arial" w:cs="Arial"/>
          <w:sz w:val="20"/>
          <w:szCs w:val="20"/>
          <w:lang w:val="en-ZA" w:eastAsia="en-ZA"/>
        </w:rPr>
        <w:t>)</w:t>
      </w:r>
      <w:r w:rsidR="003F0D9A" w:rsidRPr="00C829E1">
        <w:rPr>
          <w:rFonts w:ascii="Arial" w:eastAsia="Times New Roman" w:hAnsi="Arial" w:cs="Arial"/>
          <w:sz w:val="20"/>
          <w:szCs w:val="20"/>
          <w:lang w:val="en-ZA" w:eastAsia="en-ZA"/>
        </w:rPr>
        <w:t xml:space="preserve"> </w:t>
      </w:r>
      <w:r w:rsidR="00CA6978">
        <w:rPr>
          <w:rFonts w:ascii="Arial" w:eastAsia="Times New Roman" w:hAnsi="Arial" w:cs="Arial"/>
          <w:sz w:val="20"/>
          <w:szCs w:val="20"/>
          <w:lang w:val="en-ZA" w:eastAsia="en-ZA"/>
        </w:rPr>
        <w:t>at</w:t>
      </w:r>
      <w:r w:rsidR="00C829E1" w:rsidRPr="00C829E1">
        <w:rPr>
          <w:rFonts w:ascii="Arial" w:eastAsia="Times New Roman" w:hAnsi="Arial" w:cs="Arial"/>
          <w:sz w:val="20"/>
          <w:szCs w:val="20"/>
          <w:lang w:val="en-ZA" w:eastAsia="en-ZA"/>
        </w:rPr>
        <w:t xml:space="preserve"> 16-19</w:t>
      </w:r>
      <w:r w:rsidRPr="00C829E1">
        <w:rPr>
          <w:rFonts w:ascii="Arial" w:eastAsia="Times New Roman" w:hAnsi="Arial" w:cs="Arial"/>
          <w:sz w:val="20"/>
          <w:szCs w:val="20"/>
          <w:lang w:val="en-ZA" w:eastAsia="en-ZA"/>
        </w:rPr>
        <w:t>.</w:t>
      </w:r>
    </w:p>
  </w:footnote>
  <w:footnote w:id="4">
    <w:p w14:paraId="43265F42" w14:textId="61D150C5" w:rsidR="001A2CEF" w:rsidRPr="00D3027E" w:rsidRDefault="00A069E6">
      <w:pPr>
        <w:pStyle w:val="FootnoteText"/>
        <w:rPr>
          <w:rFonts w:ascii="Arial" w:hAnsi="Arial" w:cs="Arial"/>
          <w:sz w:val="20"/>
          <w:szCs w:val="20"/>
        </w:rPr>
      </w:pPr>
      <w:r w:rsidRPr="00D3027E">
        <w:rPr>
          <w:rStyle w:val="FootnoteReference"/>
          <w:rFonts w:ascii="Arial" w:hAnsi="Arial" w:cs="Arial"/>
          <w:sz w:val="20"/>
          <w:szCs w:val="20"/>
        </w:rPr>
        <w:footnoteRef/>
      </w:r>
      <w:r w:rsidRPr="00D3027E">
        <w:rPr>
          <w:rFonts w:ascii="Arial" w:hAnsi="Arial" w:cs="Arial"/>
          <w:sz w:val="20"/>
          <w:szCs w:val="20"/>
        </w:rPr>
        <w:t xml:space="preserve"> Relying on amongst others </w:t>
      </w:r>
      <w:r w:rsidR="00956619" w:rsidRPr="00D3027E">
        <w:rPr>
          <w:rFonts w:ascii="Arial" w:hAnsi="Arial" w:cs="Arial"/>
          <w:i/>
          <w:sz w:val="20"/>
          <w:szCs w:val="20"/>
        </w:rPr>
        <w:t>Krygkor Pensioenfonds v Smith</w:t>
      </w:r>
      <w:r w:rsidR="001A2CEF">
        <w:rPr>
          <w:rFonts w:ascii="Arial" w:hAnsi="Arial" w:cs="Arial"/>
          <w:sz w:val="20"/>
          <w:szCs w:val="20"/>
        </w:rPr>
        <w:t xml:space="preserve"> 1993 (3) SA 459 (A).</w:t>
      </w:r>
    </w:p>
  </w:footnote>
  <w:footnote w:id="5">
    <w:p w14:paraId="5626E3EC" w14:textId="4F6E35E5" w:rsidR="005F57D4" w:rsidRPr="00074242" w:rsidRDefault="005F57D4" w:rsidP="006131DD">
      <w:pPr>
        <w:pStyle w:val="FootnoteText"/>
        <w:jc w:val="both"/>
        <w:rPr>
          <w:rFonts w:ascii="Arial" w:hAnsi="Arial" w:cs="Arial"/>
          <w:sz w:val="20"/>
          <w:szCs w:val="20"/>
        </w:rPr>
      </w:pPr>
      <w:r w:rsidRPr="00074242">
        <w:rPr>
          <w:rStyle w:val="FootnoteReference"/>
          <w:rFonts w:ascii="Arial" w:hAnsi="Arial" w:cs="Arial"/>
          <w:sz w:val="20"/>
          <w:szCs w:val="20"/>
        </w:rPr>
        <w:footnoteRef/>
      </w:r>
      <w:r w:rsidRPr="00074242">
        <w:rPr>
          <w:rFonts w:ascii="Arial" w:hAnsi="Arial" w:cs="Arial"/>
          <w:sz w:val="20"/>
          <w:szCs w:val="20"/>
        </w:rPr>
        <w:t xml:space="preserve"> </w:t>
      </w:r>
      <w:r w:rsidR="00E020A5" w:rsidRPr="00074242">
        <w:rPr>
          <w:rFonts w:ascii="Arial" w:hAnsi="Arial" w:cs="Arial"/>
          <w:i/>
          <w:sz w:val="20"/>
          <w:szCs w:val="20"/>
        </w:rPr>
        <w:t>Swissborough Diamond Mines</w:t>
      </w:r>
      <w:r w:rsidR="00541E44">
        <w:rPr>
          <w:rFonts w:ascii="Arial" w:hAnsi="Arial" w:cs="Arial"/>
          <w:i/>
          <w:sz w:val="20"/>
          <w:szCs w:val="20"/>
        </w:rPr>
        <w:t xml:space="preserve"> (Pty</w:t>
      </w:r>
      <w:r w:rsidR="00C35600">
        <w:rPr>
          <w:rFonts w:ascii="Arial" w:hAnsi="Arial" w:cs="Arial"/>
          <w:i/>
          <w:sz w:val="20"/>
          <w:szCs w:val="20"/>
        </w:rPr>
        <w:t>) Ltd</w:t>
      </w:r>
      <w:r w:rsidR="00541E44">
        <w:rPr>
          <w:rFonts w:ascii="Arial" w:hAnsi="Arial" w:cs="Arial"/>
          <w:i/>
          <w:sz w:val="20"/>
          <w:szCs w:val="20"/>
        </w:rPr>
        <w:t xml:space="preserve"> </w:t>
      </w:r>
      <w:r w:rsidR="0085378D">
        <w:rPr>
          <w:rFonts w:ascii="Arial" w:hAnsi="Arial" w:cs="Arial"/>
          <w:i/>
          <w:sz w:val="20"/>
          <w:szCs w:val="20"/>
        </w:rPr>
        <w:t>&amp;</w:t>
      </w:r>
      <w:r w:rsidR="00541E44">
        <w:rPr>
          <w:rFonts w:ascii="Arial" w:hAnsi="Arial" w:cs="Arial"/>
          <w:i/>
          <w:sz w:val="20"/>
          <w:szCs w:val="20"/>
        </w:rPr>
        <w:t xml:space="preserve"> others</w:t>
      </w:r>
      <w:r w:rsidR="00E020A5" w:rsidRPr="00074242">
        <w:rPr>
          <w:rFonts w:ascii="Arial" w:hAnsi="Arial" w:cs="Arial"/>
          <w:i/>
          <w:sz w:val="20"/>
          <w:szCs w:val="20"/>
        </w:rPr>
        <w:t xml:space="preserve"> v Government of </w:t>
      </w:r>
      <w:r w:rsidR="00240A39">
        <w:rPr>
          <w:rFonts w:ascii="Arial" w:hAnsi="Arial" w:cs="Arial"/>
          <w:i/>
          <w:sz w:val="20"/>
          <w:szCs w:val="20"/>
        </w:rPr>
        <w:t xml:space="preserve">the </w:t>
      </w:r>
      <w:r w:rsidR="00E020A5" w:rsidRPr="00074242">
        <w:rPr>
          <w:rFonts w:ascii="Arial" w:hAnsi="Arial" w:cs="Arial"/>
          <w:i/>
          <w:sz w:val="20"/>
          <w:szCs w:val="20"/>
        </w:rPr>
        <w:t>R</w:t>
      </w:r>
      <w:r w:rsidR="00240A39">
        <w:rPr>
          <w:rFonts w:ascii="Arial" w:hAnsi="Arial" w:cs="Arial"/>
          <w:i/>
          <w:sz w:val="20"/>
          <w:szCs w:val="20"/>
        </w:rPr>
        <w:t xml:space="preserve">epublic of </w:t>
      </w:r>
      <w:r w:rsidR="00E020A5" w:rsidRPr="00074242">
        <w:rPr>
          <w:rFonts w:ascii="Arial" w:hAnsi="Arial" w:cs="Arial"/>
          <w:i/>
          <w:sz w:val="20"/>
          <w:szCs w:val="20"/>
        </w:rPr>
        <w:t>S</w:t>
      </w:r>
      <w:r w:rsidR="00240A39">
        <w:rPr>
          <w:rFonts w:ascii="Arial" w:hAnsi="Arial" w:cs="Arial"/>
          <w:i/>
          <w:sz w:val="20"/>
          <w:szCs w:val="20"/>
        </w:rPr>
        <w:t xml:space="preserve">outh </w:t>
      </w:r>
      <w:r w:rsidR="00E020A5" w:rsidRPr="00074242">
        <w:rPr>
          <w:rFonts w:ascii="Arial" w:hAnsi="Arial" w:cs="Arial"/>
          <w:i/>
          <w:sz w:val="20"/>
          <w:szCs w:val="20"/>
        </w:rPr>
        <w:t>A</w:t>
      </w:r>
      <w:r w:rsidR="00240A39">
        <w:rPr>
          <w:rFonts w:ascii="Arial" w:hAnsi="Arial" w:cs="Arial"/>
          <w:i/>
          <w:sz w:val="20"/>
          <w:szCs w:val="20"/>
        </w:rPr>
        <w:t xml:space="preserve">frica </w:t>
      </w:r>
      <w:r w:rsidR="00C35600">
        <w:rPr>
          <w:rFonts w:ascii="Arial" w:hAnsi="Arial" w:cs="Arial"/>
          <w:i/>
          <w:sz w:val="20"/>
          <w:szCs w:val="20"/>
        </w:rPr>
        <w:t xml:space="preserve">&amp; </w:t>
      </w:r>
      <w:r w:rsidR="00240A39">
        <w:rPr>
          <w:rFonts w:ascii="Arial" w:hAnsi="Arial" w:cs="Arial"/>
          <w:i/>
          <w:sz w:val="20"/>
          <w:szCs w:val="20"/>
        </w:rPr>
        <w:t>others</w:t>
      </w:r>
      <w:r w:rsidR="00240A39">
        <w:rPr>
          <w:rFonts w:ascii="Arial" w:hAnsi="Arial" w:cs="Arial"/>
          <w:sz w:val="20"/>
          <w:szCs w:val="20"/>
        </w:rPr>
        <w:t xml:space="preserve"> 1999 (2) SA 279 (T) at 343 -</w:t>
      </w:r>
      <w:r w:rsidR="0085378D">
        <w:rPr>
          <w:rFonts w:ascii="Arial" w:hAnsi="Arial" w:cs="Arial"/>
          <w:sz w:val="20"/>
          <w:szCs w:val="20"/>
        </w:rPr>
        <w:t>344. P W Hogg</w:t>
      </w:r>
      <w:r w:rsidR="00BA2AC4">
        <w:rPr>
          <w:rFonts w:ascii="Arial" w:hAnsi="Arial" w:cs="Arial"/>
          <w:sz w:val="20"/>
          <w:szCs w:val="20"/>
        </w:rPr>
        <w:t xml:space="preserve"> </w:t>
      </w:r>
      <w:r w:rsidR="00E61CB4" w:rsidRPr="0085378D">
        <w:rPr>
          <w:rFonts w:ascii="Arial" w:hAnsi="Arial" w:cs="Arial"/>
          <w:i/>
          <w:sz w:val="20"/>
          <w:szCs w:val="20"/>
        </w:rPr>
        <w:t>Constitutional Law of Canada</w:t>
      </w:r>
      <w:r w:rsidR="00E61CB4" w:rsidRPr="00074242">
        <w:rPr>
          <w:rFonts w:ascii="Arial" w:hAnsi="Arial" w:cs="Arial"/>
          <w:sz w:val="20"/>
          <w:szCs w:val="20"/>
        </w:rPr>
        <w:t xml:space="preserve"> </w:t>
      </w:r>
      <w:r w:rsidR="0085378D">
        <w:rPr>
          <w:rFonts w:ascii="Arial" w:hAnsi="Arial" w:cs="Arial"/>
          <w:sz w:val="20"/>
          <w:szCs w:val="20"/>
        </w:rPr>
        <w:t>(</w:t>
      </w:r>
      <w:r w:rsidR="00E61CB4" w:rsidRPr="00074242">
        <w:rPr>
          <w:rFonts w:ascii="Arial" w:hAnsi="Arial" w:cs="Arial"/>
          <w:sz w:val="20"/>
          <w:szCs w:val="20"/>
        </w:rPr>
        <w:t>5 ed</w:t>
      </w:r>
      <w:r w:rsidR="0085378D">
        <w:rPr>
          <w:rFonts w:ascii="Arial" w:hAnsi="Arial" w:cs="Arial"/>
          <w:sz w:val="20"/>
          <w:szCs w:val="20"/>
        </w:rPr>
        <w:t>)</w:t>
      </w:r>
      <w:r w:rsidR="00E61CB4" w:rsidRPr="00074242">
        <w:rPr>
          <w:rFonts w:ascii="Arial" w:hAnsi="Arial" w:cs="Arial"/>
          <w:sz w:val="20"/>
          <w:szCs w:val="20"/>
        </w:rPr>
        <w:t xml:space="preserve"> </w:t>
      </w:r>
      <w:r w:rsidR="0085378D">
        <w:rPr>
          <w:rFonts w:ascii="Arial" w:hAnsi="Arial" w:cs="Arial"/>
          <w:sz w:val="20"/>
          <w:szCs w:val="20"/>
        </w:rPr>
        <w:t>v</w:t>
      </w:r>
      <w:r w:rsidR="00E61CB4" w:rsidRPr="00074242">
        <w:rPr>
          <w:rFonts w:ascii="Arial" w:hAnsi="Arial" w:cs="Arial"/>
          <w:sz w:val="20"/>
          <w:szCs w:val="20"/>
        </w:rPr>
        <w:t>ol 1</w:t>
      </w:r>
      <w:r w:rsidR="005125D9">
        <w:rPr>
          <w:rFonts w:ascii="Arial" w:hAnsi="Arial" w:cs="Arial"/>
          <w:sz w:val="20"/>
          <w:szCs w:val="20"/>
        </w:rPr>
        <w:t xml:space="preserve"> </w:t>
      </w:r>
      <w:r w:rsidR="00E61CB4" w:rsidRPr="00074242">
        <w:rPr>
          <w:rFonts w:ascii="Arial" w:hAnsi="Arial" w:cs="Arial"/>
          <w:sz w:val="20"/>
          <w:szCs w:val="20"/>
        </w:rPr>
        <w:t xml:space="preserve">at 311-312. </w:t>
      </w:r>
      <w:r w:rsidR="00E61CB4" w:rsidRPr="00074242">
        <w:rPr>
          <w:rFonts w:ascii="Arial" w:hAnsi="Arial" w:cs="Arial"/>
          <w:i/>
          <w:sz w:val="20"/>
          <w:szCs w:val="20"/>
        </w:rPr>
        <w:t>President of the R</w:t>
      </w:r>
      <w:r w:rsidR="005125D9">
        <w:rPr>
          <w:rFonts w:ascii="Arial" w:hAnsi="Arial" w:cs="Arial"/>
          <w:i/>
          <w:sz w:val="20"/>
          <w:szCs w:val="20"/>
        </w:rPr>
        <w:t>epublic of South Africa</w:t>
      </w:r>
      <w:r w:rsidR="0085378D">
        <w:rPr>
          <w:rFonts w:ascii="Arial" w:hAnsi="Arial" w:cs="Arial"/>
          <w:i/>
          <w:sz w:val="20"/>
          <w:szCs w:val="20"/>
        </w:rPr>
        <w:t xml:space="preserve"> &amp; others</w:t>
      </w:r>
      <w:r w:rsidR="005125D9">
        <w:rPr>
          <w:rFonts w:ascii="Arial" w:hAnsi="Arial" w:cs="Arial"/>
          <w:i/>
          <w:sz w:val="20"/>
          <w:szCs w:val="20"/>
        </w:rPr>
        <w:t xml:space="preserve"> </w:t>
      </w:r>
      <w:r w:rsidR="0085378D">
        <w:rPr>
          <w:rFonts w:ascii="Arial" w:hAnsi="Arial" w:cs="Arial"/>
          <w:i/>
          <w:sz w:val="20"/>
          <w:szCs w:val="20"/>
        </w:rPr>
        <w:t xml:space="preserve">v South African Rugby </w:t>
      </w:r>
      <w:r w:rsidR="00E61CB4" w:rsidRPr="00074242">
        <w:rPr>
          <w:rFonts w:ascii="Arial" w:hAnsi="Arial" w:cs="Arial"/>
          <w:i/>
          <w:sz w:val="20"/>
          <w:szCs w:val="20"/>
        </w:rPr>
        <w:t>Football Union</w:t>
      </w:r>
      <w:r w:rsidR="005125D9">
        <w:rPr>
          <w:rFonts w:ascii="Arial" w:hAnsi="Arial" w:cs="Arial"/>
          <w:sz w:val="20"/>
          <w:szCs w:val="20"/>
        </w:rPr>
        <w:t xml:space="preserve"> </w:t>
      </w:r>
      <w:r w:rsidR="0085378D">
        <w:rPr>
          <w:rFonts w:ascii="Arial" w:hAnsi="Arial" w:cs="Arial"/>
          <w:i/>
          <w:sz w:val="20"/>
          <w:szCs w:val="20"/>
        </w:rPr>
        <w:t xml:space="preserve">&amp; others </w:t>
      </w:r>
      <w:r w:rsidR="005125D9">
        <w:rPr>
          <w:rFonts w:ascii="Arial" w:hAnsi="Arial" w:cs="Arial"/>
          <w:sz w:val="20"/>
          <w:szCs w:val="20"/>
        </w:rPr>
        <w:t>2000 (1) SA 1 (CC)</w:t>
      </w:r>
      <w:r w:rsidR="00E61CB4" w:rsidRPr="00074242">
        <w:rPr>
          <w:rFonts w:ascii="Arial" w:hAnsi="Arial" w:cs="Arial"/>
          <w:sz w:val="20"/>
          <w:szCs w:val="20"/>
        </w:rPr>
        <w:t xml:space="preserve"> para 243.</w:t>
      </w:r>
      <w:r w:rsidR="00B9196F" w:rsidRPr="00074242">
        <w:rPr>
          <w:rFonts w:ascii="Arial" w:hAnsi="Arial" w:cs="Arial"/>
          <w:sz w:val="20"/>
          <w:szCs w:val="20"/>
        </w:rPr>
        <w:t xml:space="preserve"> </w:t>
      </w:r>
      <w:r w:rsidR="00B9196F" w:rsidRPr="00074242">
        <w:rPr>
          <w:rFonts w:ascii="Arial" w:hAnsi="Arial" w:cs="Arial"/>
          <w:i/>
          <w:sz w:val="20"/>
          <w:szCs w:val="20"/>
        </w:rPr>
        <w:t xml:space="preserve">Van der Linde v </w:t>
      </w:r>
      <w:r w:rsidR="001B62F4" w:rsidRPr="00074242">
        <w:rPr>
          <w:rFonts w:ascii="Arial" w:hAnsi="Arial" w:cs="Arial"/>
          <w:i/>
          <w:sz w:val="20"/>
          <w:szCs w:val="20"/>
        </w:rPr>
        <w:t>Calitz</w:t>
      </w:r>
      <w:r w:rsidR="00B9196F" w:rsidRPr="00074242">
        <w:rPr>
          <w:rFonts w:ascii="Arial" w:hAnsi="Arial" w:cs="Arial"/>
          <w:sz w:val="20"/>
          <w:szCs w:val="20"/>
        </w:rPr>
        <w:t xml:space="preserve"> 1967 </w:t>
      </w:r>
      <w:r w:rsidR="005125D9">
        <w:rPr>
          <w:rFonts w:ascii="Arial" w:hAnsi="Arial" w:cs="Arial"/>
          <w:sz w:val="20"/>
          <w:szCs w:val="20"/>
        </w:rPr>
        <w:t xml:space="preserve">(2) </w:t>
      </w:r>
      <w:r w:rsidR="00B9196F" w:rsidRPr="00074242">
        <w:rPr>
          <w:rFonts w:ascii="Arial" w:hAnsi="Arial" w:cs="Arial"/>
          <w:sz w:val="20"/>
          <w:szCs w:val="20"/>
        </w:rPr>
        <w:t>(SA) 239 (A).</w:t>
      </w:r>
    </w:p>
  </w:footnote>
  <w:footnote w:id="6">
    <w:p w14:paraId="0786F7AF" w14:textId="71961E62" w:rsidR="00A069E6" w:rsidRPr="00074242" w:rsidRDefault="00A069E6" w:rsidP="006131DD">
      <w:pPr>
        <w:pStyle w:val="FootnoteText"/>
        <w:jc w:val="both"/>
        <w:rPr>
          <w:rFonts w:ascii="Arial" w:hAnsi="Arial" w:cs="Arial"/>
          <w:sz w:val="20"/>
          <w:szCs w:val="20"/>
        </w:rPr>
      </w:pPr>
      <w:r w:rsidRPr="00074242">
        <w:rPr>
          <w:rStyle w:val="FootnoteReference"/>
          <w:rFonts w:ascii="Arial" w:hAnsi="Arial" w:cs="Arial"/>
          <w:sz w:val="20"/>
          <w:szCs w:val="20"/>
        </w:rPr>
        <w:footnoteRef/>
      </w:r>
      <w:r w:rsidRPr="00074242">
        <w:rPr>
          <w:rFonts w:ascii="Arial" w:hAnsi="Arial" w:cs="Arial"/>
          <w:sz w:val="20"/>
          <w:szCs w:val="20"/>
        </w:rPr>
        <w:t xml:space="preserve"> </w:t>
      </w:r>
      <w:r w:rsidR="00F52091" w:rsidRPr="00F72F3F">
        <w:rPr>
          <w:rFonts w:ascii="Arial" w:hAnsi="Arial" w:cs="Arial"/>
          <w:i/>
          <w:sz w:val="20"/>
          <w:szCs w:val="20"/>
        </w:rPr>
        <w:t xml:space="preserve">Nakanyala v Inspector-General Namibia </w:t>
      </w:r>
      <w:r w:rsidR="0058288C">
        <w:rPr>
          <w:rFonts w:ascii="Arial" w:hAnsi="Arial" w:cs="Arial"/>
          <w:i/>
          <w:sz w:val="20"/>
          <w:szCs w:val="20"/>
        </w:rPr>
        <w:t xml:space="preserve">&amp; </w:t>
      </w:r>
      <w:r w:rsidR="00F52091" w:rsidRPr="00F72F3F">
        <w:rPr>
          <w:rFonts w:ascii="Arial" w:hAnsi="Arial" w:cs="Arial"/>
          <w:i/>
          <w:sz w:val="20"/>
          <w:szCs w:val="20"/>
        </w:rPr>
        <w:t>others</w:t>
      </w:r>
      <w:r w:rsidR="00F52091">
        <w:rPr>
          <w:rFonts w:ascii="Arial" w:hAnsi="Arial" w:cs="Arial"/>
          <w:sz w:val="20"/>
          <w:szCs w:val="20"/>
        </w:rPr>
        <w:t xml:space="preserve"> 2012 (1) NR 200</w:t>
      </w:r>
      <w:r w:rsidR="00FD5E5C">
        <w:rPr>
          <w:rFonts w:ascii="Arial" w:hAnsi="Arial" w:cs="Arial"/>
          <w:sz w:val="20"/>
          <w:szCs w:val="20"/>
        </w:rPr>
        <w:t xml:space="preserve"> </w:t>
      </w:r>
      <w:r w:rsidR="00F52091">
        <w:rPr>
          <w:rFonts w:ascii="Arial" w:hAnsi="Arial" w:cs="Arial"/>
          <w:sz w:val="20"/>
          <w:szCs w:val="20"/>
        </w:rPr>
        <w:t>(HC).</w:t>
      </w:r>
    </w:p>
  </w:footnote>
  <w:footnote w:id="7">
    <w:p w14:paraId="20EB8AA8" w14:textId="3CA7316B" w:rsidR="00A069E6" w:rsidRPr="00074242" w:rsidRDefault="00A069E6" w:rsidP="006131DD">
      <w:pPr>
        <w:pStyle w:val="FootnoteText"/>
        <w:jc w:val="both"/>
        <w:rPr>
          <w:rFonts w:ascii="Arial" w:hAnsi="Arial" w:cs="Arial"/>
          <w:sz w:val="20"/>
          <w:szCs w:val="20"/>
        </w:rPr>
      </w:pPr>
      <w:r w:rsidRPr="00074242">
        <w:rPr>
          <w:rStyle w:val="FootnoteReference"/>
          <w:rFonts w:ascii="Arial" w:hAnsi="Arial" w:cs="Arial"/>
          <w:sz w:val="20"/>
          <w:szCs w:val="20"/>
        </w:rPr>
        <w:footnoteRef/>
      </w:r>
      <w:r w:rsidRPr="00074242">
        <w:rPr>
          <w:rFonts w:ascii="Arial" w:hAnsi="Arial" w:cs="Arial"/>
          <w:sz w:val="20"/>
          <w:szCs w:val="20"/>
        </w:rPr>
        <w:t xml:space="preserve"> </w:t>
      </w:r>
      <w:r w:rsidRPr="00074242">
        <w:rPr>
          <w:rFonts w:ascii="Arial" w:hAnsi="Arial" w:cs="Arial"/>
          <w:i/>
          <w:sz w:val="20"/>
          <w:szCs w:val="20"/>
        </w:rPr>
        <w:t xml:space="preserve">Podlas v Cohen </w:t>
      </w:r>
      <w:r w:rsidR="00456931">
        <w:rPr>
          <w:rFonts w:ascii="Arial" w:hAnsi="Arial" w:cs="Arial"/>
          <w:i/>
          <w:sz w:val="20"/>
          <w:szCs w:val="20"/>
        </w:rPr>
        <w:t>&amp;</w:t>
      </w:r>
      <w:r w:rsidRPr="00074242">
        <w:rPr>
          <w:rFonts w:ascii="Arial" w:hAnsi="Arial" w:cs="Arial"/>
          <w:i/>
          <w:sz w:val="20"/>
          <w:szCs w:val="20"/>
        </w:rPr>
        <w:t xml:space="preserve"> Bryden NNO </w:t>
      </w:r>
      <w:r w:rsidR="0058288C">
        <w:rPr>
          <w:rFonts w:ascii="Arial" w:hAnsi="Arial" w:cs="Arial"/>
          <w:i/>
          <w:sz w:val="20"/>
          <w:szCs w:val="20"/>
        </w:rPr>
        <w:t>&amp;</w:t>
      </w:r>
      <w:r w:rsidRPr="00074242">
        <w:rPr>
          <w:rFonts w:ascii="Arial" w:hAnsi="Arial" w:cs="Arial"/>
          <w:i/>
          <w:sz w:val="20"/>
          <w:szCs w:val="20"/>
        </w:rPr>
        <w:t xml:space="preserve"> </w:t>
      </w:r>
      <w:r w:rsidR="00FD5E5C">
        <w:rPr>
          <w:rFonts w:ascii="Arial" w:hAnsi="Arial" w:cs="Arial"/>
          <w:i/>
          <w:sz w:val="20"/>
          <w:szCs w:val="20"/>
        </w:rPr>
        <w:t>o</w:t>
      </w:r>
      <w:r w:rsidRPr="00074242">
        <w:rPr>
          <w:rFonts w:ascii="Arial" w:hAnsi="Arial" w:cs="Arial"/>
          <w:i/>
          <w:sz w:val="20"/>
          <w:szCs w:val="20"/>
        </w:rPr>
        <w:t>thers</w:t>
      </w:r>
      <w:r w:rsidRPr="00074242">
        <w:rPr>
          <w:rFonts w:ascii="Arial" w:hAnsi="Arial" w:cs="Arial"/>
          <w:sz w:val="20"/>
          <w:szCs w:val="20"/>
        </w:rPr>
        <w:t xml:space="preserve"> 1994 (4) SA 662 at 675F-G.</w:t>
      </w:r>
    </w:p>
  </w:footnote>
  <w:footnote w:id="8">
    <w:p w14:paraId="79F83767" w14:textId="184B4641" w:rsidR="004B4630" w:rsidRPr="004B1163" w:rsidRDefault="004B4630" w:rsidP="004B4630">
      <w:pPr>
        <w:pStyle w:val="FootnoteText"/>
        <w:jc w:val="both"/>
        <w:rPr>
          <w:lang w:val="en-ZA"/>
        </w:rPr>
      </w:pPr>
      <w:r w:rsidRPr="00074242">
        <w:rPr>
          <w:rStyle w:val="FootnoteReference"/>
          <w:rFonts w:ascii="Arial" w:hAnsi="Arial" w:cs="Arial"/>
          <w:sz w:val="20"/>
          <w:szCs w:val="20"/>
        </w:rPr>
        <w:footnoteRef/>
      </w:r>
      <w:r w:rsidRPr="00074242">
        <w:rPr>
          <w:rFonts w:ascii="Arial" w:hAnsi="Arial" w:cs="Arial"/>
          <w:i/>
          <w:sz w:val="20"/>
          <w:szCs w:val="20"/>
        </w:rPr>
        <w:t>C</w:t>
      </w:r>
      <w:r>
        <w:rPr>
          <w:rFonts w:ascii="Arial" w:hAnsi="Arial" w:cs="Arial"/>
          <w:i/>
          <w:sz w:val="20"/>
          <w:szCs w:val="20"/>
        </w:rPr>
        <w:t>a</w:t>
      </w:r>
      <w:r w:rsidRPr="00074242">
        <w:rPr>
          <w:rFonts w:ascii="Arial" w:hAnsi="Arial" w:cs="Arial"/>
          <w:i/>
          <w:sz w:val="20"/>
          <w:szCs w:val="20"/>
        </w:rPr>
        <w:t xml:space="preserve">mpbell </w:t>
      </w:r>
      <w:r w:rsidR="0058288C">
        <w:rPr>
          <w:rFonts w:ascii="Arial" w:hAnsi="Arial" w:cs="Arial"/>
          <w:i/>
          <w:sz w:val="20"/>
          <w:szCs w:val="20"/>
        </w:rPr>
        <w:t>&amp; a</w:t>
      </w:r>
      <w:r w:rsidRPr="00074242">
        <w:rPr>
          <w:rFonts w:ascii="Arial" w:hAnsi="Arial" w:cs="Arial"/>
          <w:i/>
          <w:sz w:val="20"/>
          <w:szCs w:val="20"/>
        </w:rPr>
        <w:t xml:space="preserve">nother v Kwapa </w:t>
      </w:r>
      <w:r w:rsidR="0058288C">
        <w:rPr>
          <w:rFonts w:ascii="Arial" w:hAnsi="Arial" w:cs="Arial"/>
          <w:i/>
          <w:sz w:val="20"/>
          <w:szCs w:val="20"/>
        </w:rPr>
        <w:t>&amp; a</w:t>
      </w:r>
      <w:r w:rsidRPr="00074242">
        <w:rPr>
          <w:rFonts w:ascii="Arial" w:hAnsi="Arial" w:cs="Arial"/>
          <w:i/>
          <w:sz w:val="20"/>
          <w:szCs w:val="20"/>
        </w:rPr>
        <w:t>nother</w:t>
      </w:r>
      <w:r w:rsidRPr="00074242">
        <w:rPr>
          <w:rFonts w:ascii="Arial" w:hAnsi="Arial" w:cs="Arial"/>
          <w:sz w:val="20"/>
          <w:szCs w:val="20"/>
        </w:rPr>
        <w:t xml:space="preserve"> 2002 (6) SA 379 (W).</w:t>
      </w:r>
      <w:r>
        <w:t xml:space="preserve"> </w:t>
      </w:r>
    </w:p>
  </w:footnote>
  <w:footnote w:id="9">
    <w:p w14:paraId="6DB168B7" w14:textId="3B94B3E0" w:rsidR="00A069E6" w:rsidRPr="00D3027E" w:rsidRDefault="00A069E6" w:rsidP="00046DE0">
      <w:pPr>
        <w:pStyle w:val="FootnoteText"/>
        <w:jc w:val="both"/>
        <w:rPr>
          <w:rFonts w:ascii="Arial" w:hAnsi="Arial" w:cs="Arial"/>
          <w:sz w:val="20"/>
          <w:szCs w:val="20"/>
        </w:rPr>
      </w:pPr>
      <w:r w:rsidRPr="00D3027E">
        <w:rPr>
          <w:rStyle w:val="FootnoteReference"/>
          <w:rFonts w:ascii="Arial" w:hAnsi="Arial" w:cs="Arial"/>
          <w:sz w:val="20"/>
          <w:szCs w:val="20"/>
        </w:rPr>
        <w:footnoteRef/>
      </w:r>
      <w:r w:rsidR="00C556A5">
        <w:rPr>
          <w:rFonts w:ascii="Arial" w:hAnsi="Arial" w:cs="Arial"/>
          <w:sz w:val="20"/>
          <w:szCs w:val="20"/>
        </w:rPr>
        <w:t xml:space="preserve"> </w:t>
      </w:r>
      <w:r w:rsidR="000C57EF">
        <w:rPr>
          <w:rFonts w:ascii="Arial" w:hAnsi="Arial" w:cs="Arial"/>
          <w:sz w:val="20"/>
          <w:szCs w:val="20"/>
        </w:rPr>
        <w:t xml:space="preserve">39 </w:t>
      </w:r>
      <w:r w:rsidRPr="00D3027E">
        <w:rPr>
          <w:rFonts w:ascii="Arial" w:hAnsi="Arial" w:cs="Arial"/>
          <w:sz w:val="20"/>
          <w:szCs w:val="20"/>
        </w:rPr>
        <w:t>(1) The Judge-President may, with the approval of the President, make rules for regulating the conduct of the proceedings of the High Court, and may prescribe therein-</w:t>
      </w:r>
    </w:p>
    <w:p w14:paraId="4A0B1EA7" w14:textId="77777777" w:rsidR="00A069E6" w:rsidRPr="00D3027E" w:rsidRDefault="00A069E6" w:rsidP="00046DE0">
      <w:pPr>
        <w:pStyle w:val="FootnoteText"/>
        <w:jc w:val="both"/>
        <w:rPr>
          <w:rFonts w:ascii="Arial" w:hAnsi="Arial" w:cs="Arial"/>
          <w:sz w:val="20"/>
          <w:szCs w:val="20"/>
        </w:rPr>
      </w:pPr>
      <w:r w:rsidRPr="00D3027E">
        <w:rPr>
          <w:rFonts w:ascii="Arial" w:hAnsi="Arial" w:cs="Arial"/>
          <w:sz w:val="20"/>
          <w:szCs w:val="20"/>
        </w:rPr>
        <w:t>(a) . . .</w:t>
      </w:r>
    </w:p>
    <w:p w14:paraId="27A3D558" w14:textId="77777777" w:rsidR="00A069E6" w:rsidRPr="00D3027E" w:rsidRDefault="00A069E6" w:rsidP="00046DE0">
      <w:pPr>
        <w:pStyle w:val="FootnoteText"/>
        <w:jc w:val="both"/>
        <w:rPr>
          <w:rFonts w:ascii="Arial" w:hAnsi="Arial" w:cs="Arial"/>
          <w:sz w:val="20"/>
          <w:szCs w:val="20"/>
        </w:rPr>
      </w:pPr>
      <w:r w:rsidRPr="00D3027E">
        <w:rPr>
          <w:rFonts w:ascii="Arial" w:hAnsi="Arial" w:cs="Arial"/>
          <w:sz w:val="20"/>
          <w:szCs w:val="20"/>
        </w:rPr>
        <w:t xml:space="preserve">(b) . . . </w:t>
      </w:r>
    </w:p>
    <w:p w14:paraId="533C614B" w14:textId="21912546" w:rsidR="00A069E6" w:rsidRPr="00030215" w:rsidRDefault="00A069E6" w:rsidP="00046DE0">
      <w:pPr>
        <w:pStyle w:val="FootnoteText"/>
        <w:jc w:val="both"/>
      </w:pPr>
      <w:r w:rsidRPr="00D3027E">
        <w:rPr>
          <w:rFonts w:ascii="Arial" w:hAnsi="Arial" w:cs="Arial"/>
          <w:sz w:val="20"/>
          <w:szCs w:val="20"/>
        </w:rPr>
        <w:t>(c) the practice and procedure in connection with the service of any summons, pleading, subpoena or other document or in connection with the issue of interrogatories or the e</w:t>
      </w:r>
      <w:r w:rsidR="004355C8">
        <w:rPr>
          <w:rFonts w:ascii="Arial" w:hAnsi="Arial" w:cs="Arial"/>
          <w:sz w:val="20"/>
          <w:szCs w:val="20"/>
        </w:rPr>
        <w:t>xecution of any writ or warrant</w:t>
      </w:r>
      <w:r w:rsidRPr="00D3027E">
        <w:rPr>
          <w:rFonts w:ascii="Arial" w:hAnsi="Arial" w:cs="Arial"/>
          <w:sz w:val="20"/>
          <w:szCs w:val="20"/>
        </w:rPr>
        <w:t xml:space="preserve"> . . .</w:t>
      </w:r>
      <w:r w:rsidR="004355C8">
        <w:rPr>
          <w:rFonts w:ascii="Arial" w:hAnsi="Arial" w:cs="Arial"/>
          <w:sz w:val="20"/>
          <w:szCs w:val="20"/>
        </w:rPr>
        <w:t>’</w:t>
      </w:r>
    </w:p>
  </w:footnote>
  <w:footnote w:id="10">
    <w:p w14:paraId="749B6F6A" w14:textId="23A8EC49" w:rsidR="00A069E6" w:rsidRPr="00891C0A" w:rsidRDefault="00A069E6" w:rsidP="00046DE0">
      <w:pPr>
        <w:pStyle w:val="FootnoteText"/>
        <w:jc w:val="both"/>
        <w:rPr>
          <w:rFonts w:ascii="Arial" w:hAnsi="Arial" w:cs="Arial"/>
          <w:sz w:val="20"/>
          <w:szCs w:val="20"/>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00C20122" w:rsidRPr="00D40131">
        <w:rPr>
          <w:rFonts w:ascii="Arial" w:hAnsi="Arial" w:cs="Arial"/>
          <w:i/>
          <w:sz w:val="20"/>
          <w:szCs w:val="20"/>
        </w:rPr>
        <w:t xml:space="preserve">Masule v Prime Minister </w:t>
      </w:r>
      <w:r w:rsidR="00C20122" w:rsidRPr="00C20122">
        <w:rPr>
          <w:rFonts w:ascii="Arial" w:hAnsi="Arial" w:cs="Arial"/>
          <w:i/>
          <w:sz w:val="20"/>
          <w:szCs w:val="20"/>
        </w:rPr>
        <w:t xml:space="preserve">of </w:t>
      </w:r>
      <w:r w:rsidR="0016229C" w:rsidRPr="00C20122">
        <w:rPr>
          <w:rFonts w:ascii="Arial" w:hAnsi="Arial" w:cs="Arial"/>
          <w:i/>
          <w:sz w:val="20"/>
          <w:szCs w:val="20"/>
        </w:rPr>
        <w:t>the</w:t>
      </w:r>
      <w:r w:rsidR="00C20122" w:rsidRPr="00C20122">
        <w:rPr>
          <w:rFonts w:ascii="Arial" w:hAnsi="Arial" w:cs="Arial"/>
          <w:i/>
          <w:sz w:val="20"/>
          <w:szCs w:val="20"/>
        </w:rPr>
        <w:t xml:space="preserve"> Republic of Namibia </w:t>
      </w:r>
      <w:r w:rsidR="00891C0A">
        <w:rPr>
          <w:rFonts w:ascii="Arial" w:hAnsi="Arial" w:cs="Arial"/>
          <w:i/>
          <w:sz w:val="20"/>
          <w:szCs w:val="20"/>
        </w:rPr>
        <w:t>&amp; o</w:t>
      </w:r>
      <w:r w:rsidR="00C20122" w:rsidRPr="00C20122">
        <w:rPr>
          <w:rFonts w:ascii="Arial" w:hAnsi="Arial" w:cs="Arial"/>
          <w:i/>
          <w:sz w:val="20"/>
          <w:szCs w:val="20"/>
        </w:rPr>
        <w:t xml:space="preserve">thers </w:t>
      </w:r>
      <w:r w:rsidR="00C20122" w:rsidRPr="00D3027E">
        <w:rPr>
          <w:rFonts w:ascii="Arial" w:hAnsi="Arial" w:cs="Arial"/>
          <w:sz w:val="20"/>
          <w:szCs w:val="20"/>
        </w:rPr>
        <w:t>2022 (1) NR 10 (SC)</w:t>
      </w:r>
      <w:r w:rsidR="003F0D9A">
        <w:rPr>
          <w:rFonts w:ascii="Arial" w:hAnsi="Arial" w:cs="Arial"/>
          <w:sz w:val="20"/>
          <w:szCs w:val="20"/>
        </w:rPr>
        <w:t xml:space="preserve"> </w:t>
      </w:r>
      <w:r w:rsidR="00095C55">
        <w:rPr>
          <w:rFonts w:ascii="Arial" w:hAnsi="Arial" w:cs="Arial"/>
          <w:sz w:val="20"/>
          <w:szCs w:val="20"/>
        </w:rPr>
        <w:t>paras 34 and 35.</w:t>
      </w:r>
    </w:p>
  </w:footnote>
  <w:footnote w:id="11">
    <w:p w14:paraId="4E6D494B" w14:textId="5FC44171" w:rsidR="00A069E6" w:rsidRPr="00D3027E" w:rsidRDefault="00A069E6" w:rsidP="00046DE0">
      <w:pPr>
        <w:pStyle w:val="FootnoteText"/>
        <w:jc w:val="both"/>
        <w:rPr>
          <w:rFonts w:ascii="Arial" w:hAnsi="Arial" w:cs="Arial"/>
          <w:sz w:val="22"/>
          <w:szCs w:val="22"/>
        </w:rPr>
      </w:pPr>
      <w:r w:rsidRPr="00D3027E">
        <w:rPr>
          <w:rStyle w:val="FootnoteReference"/>
          <w:rFonts w:ascii="Arial" w:hAnsi="Arial" w:cs="Arial"/>
          <w:sz w:val="20"/>
          <w:szCs w:val="20"/>
        </w:rPr>
        <w:footnoteRef/>
      </w:r>
      <w:r w:rsidRPr="00D3027E">
        <w:rPr>
          <w:rFonts w:ascii="Arial" w:hAnsi="Arial" w:cs="Arial"/>
          <w:sz w:val="20"/>
          <w:szCs w:val="20"/>
        </w:rPr>
        <w:t xml:space="preserve"> Action proceedings </w:t>
      </w:r>
      <w:r w:rsidR="000C57EF">
        <w:rPr>
          <w:rFonts w:ascii="Arial" w:hAnsi="Arial" w:cs="Arial"/>
          <w:sz w:val="20"/>
          <w:szCs w:val="20"/>
        </w:rPr>
        <w:t xml:space="preserve">are </w:t>
      </w:r>
      <w:r w:rsidRPr="00D3027E">
        <w:rPr>
          <w:rFonts w:ascii="Arial" w:hAnsi="Arial" w:cs="Arial"/>
          <w:sz w:val="20"/>
          <w:szCs w:val="20"/>
        </w:rPr>
        <w:t>governed under Part 2</w:t>
      </w:r>
      <w:r w:rsidR="000C57EF">
        <w:rPr>
          <w:rFonts w:ascii="Arial" w:hAnsi="Arial" w:cs="Arial"/>
          <w:sz w:val="20"/>
          <w:szCs w:val="20"/>
        </w:rPr>
        <w:t xml:space="preserve"> and</w:t>
      </w:r>
      <w:r w:rsidRPr="00D3027E">
        <w:rPr>
          <w:rFonts w:ascii="Arial" w:hAnsi="Arial" w:cs="Arial"/>
          <w:sz w:val="20"/>
          <w:szCs w:val="20"/>
        </w:rPr>
        <w:t xml:space="preserve"> 3 in the Rules</w:t>
      </w:r>
      <w:r w:rsidR="000C57EF">
        <w:rPr>
          <w:rFonts w:ascii="Arial" w:hAnsi="Arial" w:cs="Arial"/>
          <w:sz w:val="20"/>
          <w:szCs w:val="20"/>
        </w:rPr>
        <w:t xml:space="preserve"> of the High Court</w:t>
      </w:r>
      <w:r w:rsidRPr="00D3027E">
        <w:rPr>
          <w:rFonts w:ascii="Arial" w:hAnsi="Arial" w:cs="Arial"/>
          <w:sz w:val="20"/>
          <w:szCs w:val="20"/>
        </w:rPr>
        <w:t xml:space="preserve"> and Applications </w:t>
      </w:r>
      <w:r w:rsidR="000C57EF">
        <w:rPr>
          <w:rFonts w:ascii="Arial" w:hAnsi="Arial" w:cs="Arial"/>
          <w:sz w:val="20"/>
          <w:szCs w:val="20"/>
        </w:rPr>
        <w:t xml:space="preserve">are governed </w:t>
      </w:r>
      <w:r w:rsidRPr="00D3027E">
        <w:rPr>
          <w:rFonts w:ascii="Arial" w:hAnsi="Arial" w:cs="Arial"/>
          <w:sz w:val="20"/>
          <w:szCs w:val="20"/>
        </w:rPr>
        <w:t>under Part 8.</w:t>
      </w:r>
    </w:p>
  </w:footnote>
  <w:footnote w:id="12">
    <w:p w14:paraId="568EA210" w14:textId="5BE3E7F1" w:rsidR="008C73E5" w:rsidRPr="008D03A4" w:rsidRDefault="008C73E5" w:rsidP="008D03A4">
      <w:pPr>
        <w:pStyle w:val="FootnoteText"/>
        <w:rPr>
          <w:rFonts w:ascii="Arial" w:hAnsi="Arial" w:cs="Arial"/>
          <w:sz w:val="20"/>
          <w:szCs w:val="20"/>
        </w:rPr>
      </w:pPr>
      <w:r w:rsidRPr="008D03A4">
        <w:rPr>
          <w:rStyle w:val="FootnoteReference"/>
          <w:rFonts w:ascii="Arial" w:hAnsi="Arial" w:cs="Arial"/>
          <w:sz w:val="20"/>
          <w:szCs w:val="20"/>
        </w:rPr>
        <w:footnoteRef/>
      </w:r>
      <w:r w:rsidRPr="008D03A4">
        <w:rPr>
          <w:rFonts w:ascii="Arial" w:hAnsi="Arial" w:cs="Arial"/>
          <w:sz w:val="20"/>
          <w:szCs w:val="20"/>
        </w:rPr>
        <w:t xml:space="preserve"> </w:t>
      </w:r>
      <w:r w:rsidR="00290BF1" w:rsidRPr="00290BF1">
        <w:rPr>
          <w:rFonts w:ascii="Arial" w:hAnsi="Arial" w:cs="Arial"/>
          <w:i/>
          <w:sz w:val="20"/>
          <w:szCs w:val="20"/>
        </w:rPr>
        <w:t xml:space="preserve">Moulded Components </w:t>
      </w:r>
      <w:r w:rsidR="00456931">
        <w:rPr>
          <w:rFonts w:ascii="Arial" w:hAnsi="Arial" w:cs="Arial"/>
          <w:i/>
          <w:sz w:val="20"/>
          <w:szCs w:val="20"/>
        </w:rPr>
        <w:t>&amp;</w:t>
      </w:r>
      <w:r w:rsidR="00290BF1" w:rsidRPr="00290BF1">
        <w:rPr>
          <w:rFonts w:ascii="Arial" w:hAnsi="Arial" w:cs="Arial"/>
          <w:i/>
          <w:sz w:val="20"/>
          <w:szCs w:val="20"/>
        </w:rPr>
        <w:t xml:space="preserve"> </w:t>
      </w:r>
      <w:r w:rsidR="00A06F59" w:rsidRPr="00290BF1">
        <w:rPr>
          <w:rFonts w:ascii="Arial" w:hAnsi="Arial" w:cs="Arial"/>
          <w:i/>
          <w:sz w:val="20"/>
          <w:szCs w:val="20"/>
        </w:rPr>
        <w:t>Ratomoulding SA (Pty) Ltd</w:t>
      </w:r>
      <w:r w:rsidR="00A06F59" w:rsidRPr="008D03A4">
        <w:rPr>
          <w:rFonts w:ascii="Arial" w:hAnsi="Arial" w:cs="Arial"/>
          <w:i/>
          <w:sz w:val="20"/>
          <w:szCs w:val="20"/>
        </w:rPr>
        <w:t xml:space="preserve"> v Coucourakis </w:t>
      </w:r>
      <w:r w:rsidR="00511F10">
        <w:rPr>
          <w:rFonts w:ascii="Arial" w:hAnsi="Arial" w:cs="Arial"/>
          <w:i/>
          <w:sz w:val="20"/>
          <w:szCs w:val="20"/>
        </w:rPr>
        <w:t>&amp; a</w:t>
      </w:r>
      <w:r w:rsidR="00A06F59" w:rsidRPr="008D03A4">
        <w:rPr>
          <w:rFonts w:ascii="Arial" w:hAnsi="Arial" w:cs="Arial"/>
          <w:i/>
          <w:sz w:val="20"/>
          <w:szCs w:val="20"/>
        </w:rPr>
        <w:t>nother</w:t>
      </w:r>
      <w:r w:rsidR="00A06F59" w:rsidRPr="008D03A4">
        <w:rPr>
          <w:rFonts w:ascii="Arial" w:hAnsi="Arial" w:cs="Arial"/>
          <w:sz w:val="20"/>
          <w:szCs w:val="20"/>
        </w:rPr>
        <w:t xml:space="preserve"> 1979 (2) SA</w:t>
      </w:r>
      <w:r w:rsidR="00290BF1">
        <w:rPr>
          <w:rFonts w:ascii="Arial" w:hAnsi="Arial" w:cs="Arial"/>
          <w:sz w:val="20"/>
          <w:szCs w:val="20"/>
        </w:rPr>
        <w:t xml:space="preserve"> </w:t>
      </w:r>
      <w:r w:rsidR="00A06F59" w:rsidRPr="008D03A4">
        <w:rPr>
          <w:rFonts w:ascii="Arial" w:hAnsi="Arial" w:cs="Arial"/>
          <w:sz w:val="20"/>
          <w:szCs w:val="20"/>
        </w:rPr>
        <w:t xml:space="preserve">457 (W) at 470D-E; </w:t>
      </w:r>
      <w:r w:rsidR="00A06F59" w:rsidRPr="008D03A4">
        <w:rPr>
          <w:rFonts w:ascii="Arial" w:hAnsi="Arial" w:cs="Arial"/>
          <w:i/>
          <w:sz w:val="20"/>
          <w:szCs w:val="20"/>
        </w:rPr>
        <w:t xml:space="preserve">Kauaaka </w:t>
      </w:r>
      <w:r w:rsidR="00511F10">
        <w:rPr>
          <w:rFonts w:ascii="Arial" w:hAnsi="Arial" w:cs="Arial"/>
          <w:i/>
          <w:sz w:val="20"/>
          <w:szCs w:val="20"/>
        </w:rPr>
        <w:t>&amp; o</w:t>
      </w:r>
      <w:r w:rsidR="00A06F59" w:rsidRPr="008D03A4">
        <w:rPr>
          <w:rFonts w:ascii="Arial" w:hAnsi="Arial" w:cs="Arial"/>
          <w:i/>
          <w:sz w:val="20"/>
          <w:szCs w:val="20"/>
        </w:rPr>
        <w:t>thers v St Phillips Faith Healing Church</w:t>
      </w:r>
      <w:r w:rsidR="00A06F59" w:rsidRPr="008D03A4">
        <w:rPr>
          <w:rFonts w:ascii="Arial" w:hAnsi="Arial" w:cs="Arial"/>
          <w:sz w:val="20"/>
          <w:szCs w:val="20"/>
        </w:rPr>
        <w:t xml:space="preserve"> 2007 (1) NR 276 (HC) para 17.</w:t>
      </w:r>
    </w:p>
  </w:footnote>
  <w:footnote w:id="13">
    <w:p w14:paraId="371F3B1A" w14:textId="5F9F505D" w:rsidR="00C556A5" w:rsidRPr="008D03A4" w:rsidRDefault="00A069E6" w:rsidP="008D03A4">
      <w:pPr>
        <w:spacing w:line="240" w:lineRule="auto"/>
        <w:jc w:val="both"/>
        <w:rPr>
          <w:rFonts w:ascii="Arial" w:hAnsi="Arial" w:cs="Arial"/>
          <w:sz w:val="20"/>
          <w:szCs w:val="20"/>
        </w:rPr>
      </w:pPr>
      <w:r w:rsidRPr="008D03A4">
        <w:rPr>
          <w:rStyle w:val="FootnoteReference"/>
          <w:rFonts w:ascii="Arial" w:hAnsi="Arial" w:cs="Arial"/>
          <w:sz w:val="20"/>
          <w:szCs w:val="20"/>
        </w:rPr>
        <w:footnoteRef/>
      </w:r>
      <w:r w:rsidRPr="008D03A4">
        <w:rPr>
          <w:rFonts w:ascii="Arial" w:hAnsi="Arial" w:cs="Arial"/>
          <w:sz w:val="20"/>
          <w:szCs w:val="20"/>
        </w:rPr>
        <w:t xml:space="preserve"> ‘(1) Where an application cannot properly be decided on the affidavits the</w:t>
      </w:r>
      <w:r w:rsidR="00C556A5" w:rsidRPr="008D03A4">
        <w:rPr>
          <w:rFonts w:ascii="Arial" w:hAnsi="Arial" w:cs="Arial"/>
          <w:sz w:val="20"/>
          <w:szCs w:val="20"/>
        </w:rPr>
        <w:t xml:space="preserve"> </w:t>
      </w:r>
      <w:r w:rsidRPr="008D03A4">
        <w:rPr>
          <w:rFonts w:ascii="Arial" w:hAnsi="Arial" w:cs="Arial"/>
          <w:sz w:val="20"/>
          <w:szCs w:val="20"/>
        </w:rPr>
        <w:t>court may dismiss the application or make any order the court considers suitable or proper with the view to ensuring a just and expeditious decision and in particular, but without affecting the generality of the foregoing, it may –</w:t>
      </w:r>
    </w:p>
    <w:p w14:paraId="07B1A987" w14:textId="77777777" w:rsidR="00A069E6" w:rsidRPr="008D03A4" w:rsidRDefault="00A069E6" w:rsidP="008D03A4">
      <w:pPr>
        <w:spacing w:line="240" w:lineRule="auto"/>
        <w:ind w:left="720"/>
        <w:jc w:val="both"/>
        <w:rPr>
          <w:rFonts w:ascii="Arial" w:hAnsi="Arial" w:cs="Arial"/>
          <w:sz w:val="20"/>
          <w:szCs w:val="20"/>
        </w:rPr>
      </w:pPr>
      <w:r w:rsidRPr="008D03A4">
        <w:rPr>
          <w:rFonts w:ascii="Arial" w:hAnsi="Arial" w:cs="Arial"/>
          <w:sz w:val="20"/>
          <w:szCs w:val="20"/>
        </w:rPr>
        <w:t xml:space="preserve">(a) direct that oral evidence be heard </w:t>
      </w:r>
      <w:r w:rsidRPr="008D03A4">
        <w:rPr>
          <w:rFonts w:ascii="Arial" w:hAnsi="Arial" w:cs="Arial"/>
          <w:sz w:val="20"/>
          <w:szCs w:val="20"/>
          <w:u w:val="single"/>
        </w:rPr>
        <w:t>on specified issues</w:t>
      </w:r>
      <w:r w:rsidRPr="008D03A4">
        <w:rPr>
          <w:rFonts w:ascii="Arial" w:hAnsi="Arial" w:cs="Arial"/>
          <w:sz w:val="20"/>
          <w:szCs w:val="20"/>
        </w:rPr>
        <w:t xml:space="preserve"> with a view to resolving any dispute of fact and to that end may order any deponent to appear personally or grant leave for him or her or any other person to be subpoenaed to appear and be examined and cross-examined as a witness; or</w:t>
      </w:r>
    </w:p>
    <w:p w14:paraId="24940827" w14:textId="119EB4EA" w:rsidR="00A069E6" w:rsidRPr="00D3027E" w:rsidRDefault="00A069E6" w:rsidP="008D03A4">
      <w:pPr>
        <w:spacing w:line="240" w:lineRule="auto"/>
        <w:ind w:left="720"/>
        <w:jc w:val="both"/>
        <w:rPr>
          <w:sz w:val="20"/>
          <w:szCs w:val="20"/>
        </w:rPr>
      </w:pPr>
      <w:r w:rsidRPr="008D03A4">
        <w:rPr>
          <w:rFonts w:ascii="Arial" w:hAnsi="Arial" w:cs="Arial"/>
          <w:sz w:val="20"/>
          <w:szCs w:val="20"/>
        </w:rPr>
        <w:t>(b) refer the matter to trial with appropriate directions as to pleadings, definition of issues or any other relevant matter</w:t>
      </w:r>
      <w:r w:rsidR="00987A34">
        <w:rPr>
          <w:rFonts w:ascii="Arial" w:hAnsi="Arial" w:cs="Arial"/>
          <w:sz w:val="20"/>
          <w:szCs w:val="20"/>
        </w:rPr>
        <w:t>.</w:t>
      </w:r>
      <w:r w:rsidRPr="008D03A4">
        <w:rPr>
          <w:rFonts w:ascii="Arial" w:hAnsi="Arial" w:cs="Arial"/>
          <w:sz w:val="20"/>
          <w:szCs w:val="20"/>
        </w:rPr>
        <w:t>’</w:t>
      </w:r>
    </w:p>
  </w:footnote>
  <w:footnote w:id="14">
    <w:p w14:paraId="3EBD425B" w14:textId="5BC845A9" w:rsidR="006C3950" w:rsidRPr="00C4613F" w:rsidRDefault="006C3950" w:rsidP="004D2572">
      <w:pPr>
        <w:pStyle w:val="FootnoteText"/>
        <w:jc w:val="both"/>
        <w:rPr>
          <w:rFonts w:ascii="Arial" w:hAnsi="Arial" w:cs="Arial"/>
          <w:sz w:val="20"/>
          <w:szCs w:val="20"/>
        </w:rPr>
      </w:pPr>
      <w:r w:rsidRPr="00303C42">
        <w:rPr>
          <w:rStyle w:val="FootnoteReference"/>
          <w:rFonts w:ascii="Arial" w:hAnsi="Arial" w:cs="Arial"/>
          <w:sz w:val="20"/>
          <w:szCs w:val="20"/>
        </w:rPr>
        <w:footnoteRef/>
      </w:r>
      <w:r w:rsidRPr="00303C42">
        <w:rPr>
          <w:rFonts w:ascii="Arial" w:hAnsi="Arial" w:cs="Arial"/>
          <w:sz w:val="20"/>
          <w:szCs w:val="20"/>
        </w:rPr>
        <w:t xml:space="preserve"> </w:t>
      </w:r>
      <w:r w:rsidR="0077564C" w:rsidRPr="00303C42">
        <w:rPr>
          <w:rFonts w:ascii="Arial" w:hAnsi="Arial" w:cs="Arial"/>
          <w:sz w:val="20"/>
          <w:szCs w:val="20"/>
        </w:rPr>
        <w:t>S</w:t>
      </w:r>
      <w:r w:rsidR="004D2572" w:rsidRPr="00303C42">
        <w:rPr>
          <w:rFonts w:ascii="Arial" w:hAnsi="Arial" w:cs="Arial"/>
          <w:sz w:val="20"/>
          <w:szCs w:val="20"/>
        </w:rPr>
        <w:t>ection</w:t>
      </w:r>
      <w:r w:rsidR="0077564C" w:rsidRPr="00303C42">
        <w:rPr>
          <w:rFonts w:ascii="Arial" w:hAnsi="Arial" w:cs="Arial"/>
          <w:sz w:val="20"/>
          <w:szCs w:val="20"/>
        </w:rPr>
        <w:t xml:space="preserve"> 32 of the South African Constitution of 1996 guarantees everyone the right of access</w:t>
      </w:r>
      <w:r w:rsidR="004D2572" w:rsidRPr="00303C42">
        <w:rPr>
          <w:rFonts w:ascii="Arial" w:hAnsi="Arial" w:cs="Arial"/>
          <w:sz w:val="20"/>
          <w:szCs w:val="20"/>
        </w:rPr>
        <w:t xml:space="preserve"> to information</w:t>
      </w:r>
      <w:r w:rsidR="0077564C" w:rsidRPr="00303C42">
        <w:rPr>
          <w:rFonts w:ascii="Arial" w:hAnsi="Arial" w:cs="Arial"/>
          <w:sz w:val="20"/>
          <w:szCs w:val="20"/>
        </w:rPr>
        <w:t xml:space="preserve"> </w:t>
      </w:r>
      <w:r w:rsidR="00EA6740" w:rsidRPr="00303C42">
        <w:rPr>
          <w:rFonts w:ascii="Arial" w:hAnsi="Arial" w:cs="Arial"/>
          <w:sz w:val="20"/>
          <w:szCs w:val="20"/>
        </w:rPr>
        <w:t xml:space="preserve">held by the state </w:t>
      </w:r>
      <w:r w:rsidR="0077564C" w:rsidRPr="00303C42">
        <w:rPr>
          <w:rFonts w:ascii="Arial" w:hAnsi="Arial" w:cs="Arial"/>
          <w:sz w:val="20"/>
          <w:szCs w:val="20"/>
        </w:rPr>
        <w:t>or by any other person and that is required for the exercise or protection of any right</w:t>
      </w:r>
      <w:r w:rsidR="00EA6740" w:rsidRPr="00303C42">
        <w:rPr>
          <w:rFonts w:ascii="Arial" w:hAnsi="Arial" w:cs="Arial"/>
          <w:sz w:val="20"/>
          <w:szCs w:val="20"/>
        </w:rPr>
        <w:t>s</w:t>
      </w:r>
      <w:r w:rsidR="00282AF2">
        <w:rPr>
          <w:rFonts w:ascii="Arial" w:hAnsi="Arial" w:cs="Arial"/>
          <w:sz w:val="20"/>
          <w:szCs w:val="20"/>
        </w:rPr>
        <w:t xml:space="preserve">. That right is given effect </w:t>
      </w:r>
      <w:r w:rsidR="0077564C" w:rsidRPr="00303C42">
        <w:rPr>
          <w:rFonts w:ascii="Arial" w:hAnsi="Arial" w:cs="Arial"/>
          <w:sz w:val="20"/>
          <w:szCs w:val="20"/>
        </w:rPr>
        <w:t xml:space="preserve">under the Promotion of Access to Information Act 2 of 2000, which in terms of s 46 relates to disclosure by public bodies and s 50 relates to </w:t>
      </w:r>
      <w:r w:rsidR="00EA6740" w:rsidRPr="00303C42">
        <w:rPr>
          <w:rFonts w:ascii="Arial" w:hAnsi="Arial" w:cs="Arial"/>
          <w:sz w:val="20"/>
          <w:szCs w:val="20"/>
        </w:rPr>
        <w:t xml:space="preserve">the </w:t>
      </w:r>
      <w:r w:rsidR="0077564C" w:rsidRPr="00303C42">
        <w:rPr>
          <w:rFonts w:ascii="Arial" w:hAnsi="Arial" w:cs="Arial"/>
          <w:sz w:val="20"/>
          <w:szCs w:val="20"/>
        </w:rPr>
        <w:t xml:space="preserve">right of access to records of private bodies. </w:t>
      </w:r>
    </w:p>
  </w:footnote>
  <w:footnote w:id="15">
    <w:p w14:paraId="3123F360" w14:textId="712AD448" w:rsidR="00A069E6" w:rsidRPr="00303C42" w:rsidRDefault="00A069E6" w:rsidP="004D2572">
      <w:pPr>
        <w:pStyle w:val="FootnoteText"/>
        <w:jc w:val="both"/>
        <w:rPr>
          <w:rFonts w:ascii="Arial" w:hAnsi="Arial" w:cs="Arial"/>
          <w:sz w:val="20"/>
          <w:szCs w:val="20"/>
        </w:rPr>
      </w:pPr>
      <w:r w:rsidRPr="00303C42">
        <w:rPr>
          <w:rStyle w:val="FootnoteReference"/>
          <w:rFonts w:ascii="Arial" w:hAnsi="Arial" w:cs="Arial"/>
          <w:sz w:val="20"/>
          <w:szCs w:val="20"/>
        </w:rPr>
        <w:footnoteRef/>
      </w:r>
      <w:r w:rsidRPr="00303C42">
        <w:rPr>
          <w:rFonts w:ascii="Arial" w:hAnsi="Arial" w:cs="Arial"/>
          <w:sz w:val="20"/>
          <w:szCs w:val="20"/>
        </w:rPr>
        <w:t xml:space="preserve"> </w:t>
      </w:r>
      <w:r w:rsidRPr="00303C42">
        <w:rPr>
          <w:rFonts w:ascii="Arial" w:hAnsi="Arial" w:cs="Arial"/>
          <w:i/>
          <w:sz w:val="20"/>
          <w:szCs w:val="20"/>
        </w:rPr>
        <w:t>Unitas Hospital v Van Wyk</w:t>
      </w:r>
      <w:r w:rsidRPr="00303C42">
        <w:rPr>
          <w:rFonts w:ascii="Arial" w:hAnsi="Arial" w:cs="Arial"/>
          <w:sz w:val="20"/>
          <w:szCs w:val="20"/>
        </w:rPr>
        <w:t xml:space="preserve"> </w:t>
      </w:r>
      <w:r w:rsidR="00C4613F">
        <w:rPr>
          <w:rFonts w:ascii="Arial" w:hAnsi="Arial" w:cs="Arial"/>
          <w:i/>
          <w:sz w:val="20"/>
          <w:szCs w:val="20"/>
        </w:rPr>
        <w:t>&amp; a</w:t>
      </w:r>
      <w:r w:rsidR="009442D8" w:rsidRPr="00F45CC9">
        <w:rPr>
          <w:rFonts w:ascii="Arial" w:hAnsi="Arial" w:cs="Arial"/>
          <w:i/>
          <w:sz w:val="20"/>
          <w:szCs w:val="20"/>
        </w:rPr>
        <w:t>nother</w:t>
      </w:r>
      <w:r w:rsidR="009442D8">
        <w:rPr>
          <w:rFonts w:ascii="Arial" w:hAnsi="Arial" w:cs="Arial"/>
          <w:sz w:val="20"/>
          <w:szCs w:val="20"/>
        </w:rPr>
        <w:t xml:space="preserve"> </w:t>
      </w:r>
      <w:r w:rsidRPr="00303C42">
        <w:rPr>
          <w:rFonts w:ascii="Arial" w:hAnsi="Arial" w:cs="Arial"/>
          <w:sz w:val="20"/>
          <w:szCs w:val="20"/>
        </w:rPr>
        <w:t xml:space="preserve">[2006] </w:t>
      </w:r>
      <w:r w:rsidR="009442D8">
        <w:rPr>
          <w:rFonts w:ascii="Arial" w:hAnsi="Arial" w:cs="Arial"/>
          <w:sz w:val="20"/>
          <w:szCs w:val="20"/>
        </w:rPr>
        <w:t xml:space="preserve">(4) </w:t>
      </w:r>
      <w:r w:rsidRPr="00303C42">
        <w:rPr>
          <w:rFonts w:ascii="Arial" w:hAnsi="Arial" w:cs="Arial"/>
          <w:sz w:val="20"/>
          <w:szCs w:val="20"/>
        </w:rPr>
        <w:t xml:space="preserve">SA </w:t>
      </w:r>
      <w:r w:rsidR="009442D8">
        <w:rPr>
          <w:rFonts w:ascii="Arial" w:hAnsi="Arial" w:cs="Arial"/>
          <w:sz w:val="20"/>
          <w:szCs w:val="20"/>
        </w:rPr>
        <w:t xml:space="preserve">4 </w:t>
      </w:r>
      <w:r w:rsidRPr="00303C42">
        <w:rPr>
          <w:rFonts w:ascii="Arial" w:hAnsi="Arial" w:cs="Arial"/>
          <w:sz w:val="20"/>
          <w:szCs w:val="20"/>
        </w:rPr>
        <w:t>3</w:t>
      </w:r>
      <w:r w:rsidR="009442D8">
        <w:rPr>
          <w:rFonts w:ascii="Arial" w:hAnsi="Arial" w:cs="Arial"/>
          <w:sz w:val="20"/>
          <w:szCs w:val="20"/>
        </w:rPr>
        <w:t>6 (</w:t>
      </w:r>
      <w:r w:rsidRPr="00303C42">
        <w:rPr>
          <w:rFonts w:ascii="Arial" w:hAnsi="Arial" w:cs="Arial"/>
          <w:sz w:val="20"/>
          <w:szCs w:val="20"/>
        </w:rPr>
        <w:t>S</w:t>
      </w:r>
      <w:r w:rsidR="009442D8">
        <w:rPr>
          <w:rFonts w:ascii="Arial" w:hAnsi="Arial" w:cs="Arial"/>
          <w:sz w:val="20"/>
          <w:szCs w:val="20"/>
        </w:rPr>
        <w:t>C</w:t>
      </w:r>
      <w:r w:rsidRPr="00303C42">
        <w:rPr>
          <w:rFonts w:ascii="Arial" w:hAnsi="Arial" w:cs="Arial"/>
          <w:sz w:val="20"/>
          <w:szCs w:val="20"/>
        </w:rPr>
        <w:t>A) para 21.</w:t>
      </w:r>
    </w:p>
  </w:footnote>
  <w:footnote w:id="16">
    <w:p w14:paraId="4B3C6EF5" w14:textId="64E2E5C4" w:rsidR="00A069E6" w:rsidRPr="00D3027E" w:rsidRDefault="00A069E6" w:rsidP="004D2572">
      <w:pPr>
        <w:pStyle w:val="FootnoteText"/>
        <w:jc w:val="both"/>
        <w:rPr>
          <w:rFonts w:ascii="Arial" w:hAnsi="Arial" w:cs="Arial"/>
          <w:sz w:val="22"/>
          <w:szCs w:val="22"/>
        </w:rPr>
      </w:pPr>
      <w:r w:rsidRPr="00303C42">
        <w:rPr>
          <w:rStyle w:val="FootnoteReference"/>
          <w:rFonts w:ascii="Arial" w:hAnsi="Arial" w:cs="Arial"/>
          <w:sz w:val="20"/>
          <w:szCs w:val="20"/>
        </w:rPr>
        <w:footnoteRef/>
      </w:r>
      <w:r w:rsidRPr="00303C42">
        <w:rPr>
          <w:rFonts w:ascii="Arial" w:hAnsi="Arial" w:cs="Arial"/>
          <w:sz w:val="20"/>
          <w:szCs w:val="20"/>
        </w:rPr>
        <w:t xml:space="preserve"> </w:t>
      </w:r>
      <w:r w:rsidR="006944BF" w:rsidRPr="006944BF">
        <w:rPr>
          <w:rFonts w:ascii="Arial" w:hAnsi="Arial" w:cs="Arial"/>
          <w:i/>
          <w:sz w:val="20"/>
          <w:szCs w:val="20"/>
        </w:rPr>
        <w:t>Chairperson of the</w:t>
      </w:r>
      <w:r w:rsidR="0033798F">
        <w:rPr>
          <w:rFonts w:ascii="Arial" w:hAnsi="Arial" w:cs="Arial"/>
          <w:i/>
          <w:sz w:val="20"/>
          <w:szCs w:val="20"/>
        </w:rPr>
        <w:t xml:space="preserve"> </w:t>
      </w:r>
      <w:r w:rsidR="006944BF" w:rsidRPr="006944BF">
        <w:rPr>
          <w:rFonts w:ascii="Arial" w:hAnsi="Arial" w:cs="Arial"/>
          <w:i/>
          <w:sz w:val="20"/>
          <w:szCs w:val="20"/>
        </w:rPr>
        <w:t xml:space="preserve">Tender Board of Namibia v Pamo Trading Enterprises CC </w:t>
      </w:r>
      <w:r w:rsidR="000912CD">
        <w:rPr>
          <w:rFonts w:ascii="Arial" w:hAnsi="Arial" w:cs="Arial"/>
          <w:i/>
          <w:sz w:val="20"/>
          <w:szCs w:val="20"/>
        </w:rPr>
        <w:t>&amp; a</w:t>
      </w:r>
      <w:r w:rsidR="006944BF" w:rsidRPr="006944BF">
        <w:rPr>
          <w:rFonts w:ascii="Arial" w:hAnsi="Arial" w:cs="Arial"/>
          <w:i/>
          <w:sz w:val="20"/>
          <w:szCs w:val="20"/>
        </w:rPr>
        <w:t xml:space="preserve">nother </w:t>
      </w:r>
      <w:r w:rsidR="006944BF" w:rsidRPr="00A632BC">
        <w:rPr>
          <w:rFonts w:ascii="Arial" w:hAnsi="Arial" w:cs="Arial"/>
          <w:sz w:val="20"/>
          <w:szCs w:val="20"/>
        </w:rPr>
        <w:t>2017 (1) NR 1 (SC)</w:t>
      </w:r>
      <w:r w:rsidR="0033798F">
        <w:rPr>
          <w:rFonts w:ascii="Arial" w:hAnsi="Arial" w:cs="Arial"/>
          <w:i/>
          <w:sz w:val="20"/>
          <w:szCs w:val="20"/>
        </w:rPr>
        <w:t xml:space="preserve"> </w:t>
      </w:r>
      <w:r w:rsidRPr="00303C42">
        <w:rPr>
          <w:rFonts w:ascii="Arial" w:hAnsi="Arial" w:cs="Arial"/>
          <w:sz w:val="20"/>
          <w:szCs w:val="20"/>
        </w:rPr>
        <w:t>para 66.</w:t>
      </w:r>
    </w:p>
  </w:footnote>
  <w:footnote w:id="17">
    <w:p w14:paraId="687998F9" w14:textId="77777777" w:rsidR="00A069E6" w:rsidRPr="00D3027E" w:rsidRDefault="00A069E6" w:rsidP="00D3027E">
      <w:pPr>
        <w:pStyle w:val="FootnoteText"/>
        <w:jc w:val="both"/>
        <w:rPr>
          <w:rFonts w:ascii="Arial" w:hAnsi="Arial" w:cs="Arial"/>
          <w:sz w:val="20"/>
          <w:szCs w:val="20"/>
        </w:rPr>
      </w:pPr>
      <w:r w:rsidRPr="00D3027E">
        <w:rPr>
          <w:rStyle w:val="FootnoteReference"/>
          <w:rFonts w:ascii="Arial" w:hAnsi="Arial" w:cs="Arial"/>
          <w:sz w:val="20"/>
          <w:szCs w:val="20"/>
        </w:rPr>
        <w:footnoteRef/>
      </w:r>
      <w:r w:rsidRPr="00D3027E">
        <w:rPr>
          <w:rFonts w:ascii="Arial" w:hAnsi="Arial" w:cs="Arial"/>
          <w:sz w:val="20"/>
          <w:szCs w:val="20"/>
        </w:rPr>
        <w:t xml:space="preserve"> For example, Australia: Federal Rules 2011 (Cth), rule 7.22 and rule 7.23, available at www.comlaw.gov.au/Details /F2011L011L01551.</w:t>
      </w:r>
    </w:p>
  </w:footnote>
  <w:footnote w:id="18">
    <w:p w14:paraId="1BEE7ED9" w14:textId="77777777" w:rsidR="00A069E6" w:rsidRPr="00D3027E" w:rsidRDefault="00A069E6" w:rsidP="00D3027E">
      <w:pPr>
        <w:pStyle w:val="FootnoteText"/>
        <w:jc w:val="both"/>
        <w:rPr>
          <w:rFonts w:ascii="Arial" w:hAnsi="Arial" w:cs="Arial"/>
          <w:sz w:val="22"/>
          <w:szCs w:val="22"/>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Pr="00D3027E">
        <w:rPr>
          <w:rFonts w:ascii="Arial" w:hAnsi="Arial" w:cs="Arial"/>
          <w:i/>
          <w:sz w:val="20"/>
          <w:szCs w:val="20"/>
        </w:rPr>
        <w:t>Pfizer Ireland Pharmaceuticals v Samsung Bioepis AU Pty Ltd</w:t>
      </w:r>
      <w:r w:rsidRPr="00D3027E">
        <w:rPr>
          <w:rFonts w:ascii="Arial" w:hAnsi="Arial" w:cs="Arial"/>
          <w:sz w:val="20"/>
          <w:szCs w:val="20"/>
        </w:rPr>
        <w:t xml:space="preserve"> [2017] FCAFC 193.</w:t>
      </w:r>
    </w:p>
  </w:footnote>
  <w:footnote w:id="19">
    <w:p w14:paraId="2784FE03" w14:textId="57860160" w:rsidR="00A069E6" w:rsidRPr="00D3027E" w:rsidRDefault="00A069E6" w:rsidP="00D3027E">
      <w:pPr>
        <w:pStyle w:val="FootnoteText"/>
        <w:jc w:val="both"/>
        <w:rPr>
          <w:rFonts w:ascii="Arial" w:hAnsi="Arial" w:cs="Arial"/>
          <w:sz w:val="20"/>
          <w:szCs w:val="20"/>
        </w:rPr>
      </w:pPr>
      <w:r w:rsidRPr="00D3027E">
        <w:rPr>
          <w:rStyle w:val="FootnoteReference"/>
          <w:rFonts w:ascii="Arial" w:hAnsi="Arial" w:cs="Arial"/>
          <w:i/>
          <w:sz w:val="20"/>
          <w:szCs w:val="20"/>
        </w:rPr>
        <w:footnoteRef/>
      </w:r>
      <w:r w:rsidRPr="00D3027E">
        <w:rPr>
          <w:rFonts w:ascii="Arial" w:hAnsi="Arial" w:cs="Arial"/>
          <w:i/>
          <w:sz w:val="20"/>
          <w:szCs w:val="20"/>
        </w:rPr>
        <w:t xml:space="preserve"> Norwich Pharmacal Co v Customs and Excise Commissioners</w:t>
      </w:r>
      <w:r w:rsidRPr="00D3027E">
        <w:rPr>
          <w:rFonts w:ascii="Arial" w:hAnsi="Arial" w:cs="Arial"/>
          <w:sz w:val="20"/>
          <w:szCs w:val="20"/>
        </w:rPr>
        <w:t xml:space="preserve"> [1974] AC 133</w:t>
      </w:r>
      <w:r w:rsidR="00E25CB5" w:rsidRPr="006608BD">
        <w:rPr>
          <w:rFonts w:ascii="Arial" w:hAnsi="Arial" w:cs="Arial"/>
          <w:sz w:val="20"/>
          <w:szCs w:val="20"/>
        </w:rPr>
        <w:t>.</w:t>
      </w:r>
    </w:p>
  </w:footnote>
  <w:footnote w:id="20">
    <w:p w14:paraId="34116EE4" w14:textId="77777777" w:rsidR="00A069E6" w:rsidRPr="00D3027E" w:rsidRDefault="00A069E6" w:rsidP="00D3027E">
      <w:pPr>
        <w:pStyle w:val="FootnoteText"/>
        <w:jc w:val="both"/>
        <w:rPr>
          <w:rFonts w:ascii="Arial" w:hAnsi="Arial" w:cs="Arial"/>
          <w:sz w:val="20"/>
          <w:szCs w:val="20"/>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Pr="00D3027E">
        <w:rPr>
          <w:rFonts w:ascii="Arial" w:hAnsi="Arial" w:cs="Arial"/>
          <w:i/>
          <w:sz w:val="20"/>
          <w:szCs w:val="20"/>
        </w:rPr>
        <w:t>Re Pyne</w:t>
      </w:r>
      <w:r w:rsidRPr="00D3027E">
        <w:rPr>
          <w:rFonts w:ascii="Arial" w:hAnsi="Arial" w:cs="Arial"/>
          <w:sz w:val="20"/>
          <w:szCs w:val="20"/>
        </w:rPr>
        <w:t xml:space="preserve"> [1996] QSC 128.</w:t>
      </w:r>
    </w:p>
  </w:footnote>
  <w:footnote w:id="21">
    <w:p w14:paraId="41AE5E5C" w14:textId="4CC8AFFC" w:rsidR="00B1162F" w:rsidRPr="00D3027E" w:rsidRDefault="00B1162F">
      <w:pPr>
        <w:pStyle w:val="FootnoteText"/>
        <w:rPr>
          <w:lang w:val="en-ZA"/>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Pr="00D3027E">
        <w:rPr>
          <w:rFonts w:ascii="Arial" w:hAnsi="Arial" w:cs="Arial"/>
          <w:i/>
          <w:sz w:val="20"/>
          <w:szCs w:val="20"/>
        </w:rPr>
        <w:t>Krygkor Pensioenfonds v Smith</w:t>
      </w:r>
      <w:r w:rsidR="006738CF">
        <w:rPr>
          <w:rFonts w:ascii="Arial" w:hAnsi="Arial" w:cs="Arial"/>
          <w:sz w:val="20"/>
          <w:szCs w:val="20"/>
        </w:rPr>
        <w:t xml:space="preserve"> </w:t>
      </w:r>
      <w:r w:rsidRPr="00D3027E">
        <w:rPr>
          <w:rFonts w:ascii="Arial" w:hAnsi="Arial" w:cs="Arial"/>
          <w:sz w:val="20"/>
          <w:szCs w:val="20"/>
        </w:rPr>
        <w:t>[1993] 2 All SA 296 (A) (31 March 1993).</w:t>
      </w:r>
    </w:p>
  </w:footnote>
  <w:footnote w:id="22">
    <w:p w14:paraId="1BD7E457" w14:textId="3C32CD72" w:rsidR="00A069E6" w:rsidRPr="00D3027E" w:rsidRDefault="00A069E6" w:rsidP="00D3027E">
      <w:pPr>
        <w:pStyle w:val="FootnoteText"/>
        <w:jc w:val="both"/>
        <w:rPr>
          <w:rFonts w:ascii="Arial" w:hAnsi="Arial" w:cs="Arial"/>
          <w:sz w:val="22"/>
          <w:szCs w:val="22"/>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Pr="00D3027E">
        <w:rPr>
          <w:rFonts w:ascii="Arial" w:hAnsi="Arial" w:cs="Arial"/>
          <w:i/>
          <w:sz w:val="20"/>
          <w:szCs w:val="20"/>
        </w:rPr>
        <w:t xml:space="preserve">Podlas v Cohen </w:t>
      </w:r>
      <w:r w:rsidR="00456931">
        <w:rPr>
          <w:rFonts w:ascii="Arial" w:hAnsi="Arial" w:cs="Arial"/>
          <w:i/>
          <w:sz w:val="20"/>
          <w:szCs w:val="20"/>
        </w:rPr>
        <w:t>&amp;</w:t>
      </w:r>
      <w:r w:rsidRPr="00D3027E">
        <w:rPr>
          <w:rFonts w:ascii="Arial" w:hAnsi="Arial" w:cs="Arial"/>
          <w:i/>
          <w:sz w:val="20"/>
          <w:szCs w:val="20"/>
        </w:rPr>
        <w:t xml:space="preserve"> Bryden NNO </w:t>
      </w:r>
      <w:r w:rsidR="00334D58">
        <w:rPr>
          <w:rFonts w:ascii="Arial" w:hAnsi="Arial" w:cs="Arial"/>
          <w:i/>
          <w:sz w:val="20"/>
          <w:szCs w:val="20"/>
        </w:rPr>
        <w:t>&amp; o</w:t>
      </w:r>
      <w:r w:rsidRPr="00D3027E">
        <w:rPr>
          <w:rFonts w:ascii="Arial" w:hAnsi="Arial" w:cs="Arial"/>
          <w:i/>
          <w:sz w:val="20"/>
          <w:szCs w:val="20"/>
        </w:rPr>
        <w:t>thers</w:t>
      </w:r>
      <w:r w:rsidRPr="00D3027E">
        <w:rPr>
          <w:rFonts w:ascii="Arial" w:hAnsi="Arial" w:cs="Arial"/>
          <w:sz w:val="20"/>
          <w:szCs w:val="20"/>
        </w:rPr>
        <w:t xml:space="preserve"> 1994 (4) SA 662 at 675F-G; JR de Ville, </w:t>
      </w:r>
      <w:r w:rsidRPr="00E957A5">
        <w:rPr>
          <w:rFonts w:ascii="Arial" w:hAnsi="Arial" w:cs="Arial"/>
          <w:i/>
          <w:sz w:val="20"/>
          <w:szCs w:val="20"/>
        </w:rPr>
        <w:t>Judicial Review of Administrative Action in S</w:t>
      </w:r>
      <w:r w:rsidR="00A3063D" w:rsidRPr="00E957A5">
        <w:rPr>
          <w:rFonts w:ascii="Arial" w:hAnsi="Arial" w:cs="Arial"/>
          <w:i/>
          <w:sz w:val="20"/>
          <w:szCs w:val="20"/>
        </w:rPr>
        <w:t xml:space="preserve">outh </w:t>
      </w:r>
      <w:r w:rsidRPr="00E957A5">
        <w:rPr>
          <w:rFonts w:ascii="Arial" w:hAnsi="Arial" w:cs="Arial"/>
          <w:i/>
          <w:sz w:val="20"/>
          <w:szCs w:val="20"/>
        </w:rPr>
        <w:t>A</w:t>
      </w:r>
      <w:r w:rsidR="00A3063D" w:rsidRPr="00E957A5">
        <w:rPr>
          <w:rFonts w:ascii="Arial" w:hAnsi="Arial" w:cs="Arial"/>
          <w:i/>
          <w:sz w:val="20"/>
          <w:szCs w:val="20"/>
        </w:rPr>
        <w:t>frica</w:t>
      </w:r>
      <w:r w:rsidRPr="00D3027E">
        <w:rPr>
          <w:rFonts w:ascii="Arial" w:hAnsi="Arial" w:cs="Arial"/>
          <w:sz w:val="20"/>
          <w:szCs w:val="20"/>
        </w:rPr>
        <w:t xml:space="preserve">, revised </w:t>
      </w:r>
      <w:r w:rsidR="00E957A5">
        <w:rPr>
          <w:rFonts w:ascii="Arial" w:hAnsi="Arial" w:cs="Arial"/>
          <w:sz w:val="20"/>
          <w:szCs w:val="20"/>
        </w:rPr>
        <w:t>(1</w:t>
      </w:r>
      <w:r w:rsidRPr="00D3027E">
        <w:rPr>
          <w:rFonts w:ascii="Arial" w:hAnsi="Arial" w:cs="Arial"/>
          <w:sz w:val="20"/>
          <w:szCs w:val="20"/>
        </w:rPr>
        <w:t xml:space="preserve"> ed</w:t>
      </w:r>
      <w:r w:rsidR="00E957A5">
        <w:rPr>
          <w:rFonts w:ascii="Arial" w:hAnsi="Arial" w:cs="Arial"/>
          <w:sz w:val="20"/>
          <w:szCs w:val="20"/>
        </w:rPr>
        <w:t>)</w:t>
      </w:r>
      <w:r w:rsidRPr="00D3027E">
        <w:rPr>
          <w:rFonts w:ascii="Arial" w:hAnsi="Arial" w:cs="Arial"/>
          <w:sz w:val="20"/>
          <w:szCs w:val="20"/>
        </w:rPr>
        <w:t>, at 242-245.</w:t>
      </w:r>
    </w:p>
  </w:footnote>
  <w:footnote w:id="23">
    <w:p w14:paraId="507E9170" w14:textId="480F34DF" w:rsidR="00664B71" w:rsidRPr="00B52920" w:rsidRDefault="00664B71">
      <w:pPr>
        <w:pStyle w:val="FootnoteText"/>
        <w:rPr>
          <w:rFonts w:ascii="Arial" w:hAnsi="Arial" w:cs="Arial"/>
          <w:sz w:val="20"/>
          <w:szCs w:val="20"/>
        </w:rPr>
      </w:pPr>
      <w:r w:rsidRPr="00B52920">
        <w:rPr>
          <w:rStyle w:val="FootnoteReference"/>
          <w:rFonts w:ascii="Arial" w:hAnsi="Arial" w:cs="Arial"/>
          <w:sz w:val="20"/>
          <w:szCs w:val="20"/>
        </w:rPr>
        <w:footnoteRef/>
      </w:r>
      <w:r w:rsidRPr="00B52920">
        <w:rPr>
          <w:rFonts w:ascii="Arial" w:hAnsi="Arial" w:cs="Arial"/>
          <w:sz w:val="20"/>
          <w:szCs w:val="20"/>
        </w:rPr>
        <w:t xml:space="preserve"> </w:t>
      </w:r>
      <w:r w:rsidRPr="00B52920">
        <w:rPr>
          <w:rFonts w:ascii="Arial" w:hAnsi="Arial" w:cs="Arial"/>
          <w:i/>
          <w:sz w:val="20"/>
          <w:szCs w:val="20"/>
        </w:rPr>
        <w:t>President of the R</w:t>
      </w:r>
      <w:r w:rsidR="00383438">
        <w:rPr>
          <w:rFonts w:ascii="Arial" w:hAnsi="Arial" w:cs="Arial"/>
          <w:i/>
          <w:sz w:val="20"/>
          <w:szCs w:val="20"/>
        </w:rPr>
        <w:t xml:space="preserve">epublic of </w:t>
      </w:r>
      <w:r w:rsidRPr="00B52920">
        <w:rPr>
          <w:rFonts w:ascii="Arial" w:hAnsi="Arial" w:cs="Arial"/>
          <w:i/>
          <w:sz w:val="20"/>
          <w:szCs w:val="20"/>
        </w:rPr>
        <w:t>S</w:t>
      </w:r>
      <w:r w:rsidR="00383438">
        <w:rPr>
          <w:rFonts w:ascii="Arial" w:hAnsi="Arial" w:cs="Arial"/>
          <w:i/>
          <w:sz w:val="20"/>
          <w:szCs w:val="20"/>
        </w:rPr>
        <w:t xml:space="preserve">outh </w:t>
      </w:r>
      <w:r w:rsidRPr="00B52920">
        <w:rPr>
          <w:rFonts w:ascii="Arial" w:hAnsi="Arial" w:cs="Arial"/>
          <w:i/>
          <w:sz w:val="20"/>
          <w:szCs w:val="20"/>
        </w:rPr>
        <w:t>A</w:t>
      </w:r>
      <w:r w:rsidR="00383438">
        <w:rPr>
          <w:rFonts w:ascii="Arial" w:hAnsi="Arial" w:cs="Arial"/>
          <w:i/>
          <w:sz w:val="20"/>
          <w:szCs w:val="20"/>
        </w:rPr>
        <w:t>frica &amp; others</w:t>
      </w:r>
      <w:r w:rsidRPr="00B52920">
        <w:rPr>
          <w:rFonts w:ascii="Arial" w:hAnsi="Arial" w:cs="Arial"/>
          <w:i/>
          <w:sz w:val="20"/>
          <w:szCs w:val="20"/>
        </w:rPr>
        <w:t xml:space="preserve"> v South African Rugby Football Union</w:t>
      </w:r>
      <w:r w:rsidR="00383438">
        <w:rPr>
          <w:rFonts w:ascii="Arial" w:hAnsi="Arial" w:cs="Arial"/>
          <w:i/>
          <w:sz w:val="20"/>
          <w:szCs w:val="20"/>
        </w:rPr>
        <w:t xml:space="preserve"> &amp; others </w:t>
      </w:r>
      <w:r w:rsidRPr="00B52920">
        <w:rPr>
          <w:rFonts w:ascii="Arial" w:hAnsi="Arial" w:cs="Arial"/>
          <w:sz w:val="20"/>
          <w:szCs w:val="20"/>
        </w:rPr>
        <w:t>2000 (1) SA 1 (CC) para 234.</w:t>
      </w:r>
    </w:p>
  </w:footnote>
  <w:footnote w:id="24">
    <w:p w14:paraId="445FAA55" w14:textId="1B2F1132" w:rsidR="00A069E6" w:rsidRPr="00D3027E" w:rsidRDefault="00A069E6" w:rsidP="00D3027E">
      <w:pPr>
        <w:pStyle w:val="FootnoteText"/>
        <w:jc w:val="both"/>
        <w:rPr>
          <w:rFonts w:ascii="Arial" w:hAnsi="Arial" w:cs="Arial"/>
          <w:sz w:val="20"/>
          <w:szCs w:val="20"/>
        </w:rPr>
      </w:pPr>
      <w:r w:rsidRPr="00D3027E">
        <w:rPr>
          <w:rStyle w:val="FootnoteReference"/>
          <w:rFonts w:ascii="Arial" w:hAnsi="Arial" w:cs="Arial"/>
          <w:sz w:val="20"/>
          <w:szCs w:val="20"/>
        </w:rPr>
        <w:footnoteRef/>
      </w:r>
      <w:r w:rsidRPr="00D3027E">
        <w:rPr>
          <w:rFonts w:ascii="Arial" w:hAnsi="Arial" w:cs="Arial"/>
          <w:sz w:val="20"/>
          <w:szCs w:val="20"/>
        </w:rPr>
        <w:t xml:space="preserve"> </w:t>
      </w:r>
      <w:r w:rsidRPr="00022AB0">
        <w:rPr>
          <w:rFonts w:ascii="Arial" w:hAnsi="Arial" w:cs="Arial"/>
          <w:sz w:val="20"/>
          <w:szCs w:val="20"/>
        </w:rPr>
        <w:t xml:space="preserve">These are </w:t>
      </w:r>
      <w:r w:rsidR="00022AB0" w:rsidRPr="00022AB0">
        <w:rPr>
          <w:rFonts w:ascii="Arial" w:hAnsi="Arial" w:cs="Arial"/>
          <w:sz w:val="20"/>
          <w:szCs w:val="20"/>
        </w:rPr>
        <w:t>in</w:t>
      </w:r>
      <w:r w:rsidR="00000FEB">
        <w:rPr>
          <w:rFonts w:ascii="Arial" w:hAnsi="Arial" w:cs="Arial"/>
          <w:sz w:val="20"/>
          <w:szCs w:val="20"/>
        </w:rPr>
        <w:t xml:space="preserve"> </w:t>
      </w:r>
      <w:r w:rsidR="00022AB0" w:rsidRPr="00022AB0">
        <w:rPr>
          <w:rFonts w:ascii="Arial" w:hAnsi="Arial" w:cs="Arial"/>
          <w:sz w:val="20"/>
          <w:szCs w:val="20"/>
        </w:rPr>
        <w:t>fact</w:t>
      </w:r>
      <w:r w:rsidRPr="00022AB0">
        <w:rPr>
          <w:rFonts w:ascii="Arial" w:hAnsi="Arial" w:cs="Arial"/>
          <w:sz w:val="20"/>
          <w:szCs w:val="20"/>
        </w:rPr>
        <w:t xml:space="preserve"> referred to by Gondwana</w:t>
      </w:r>
      <w:r w:rsidR="00C435F7">
        <w:rPr>
          <w:rFonts w:ascii="Arial" w:hAnsi="Arial" w:cs="Arial"/>
          <w:sz w:val="20"/>
          <w:szCs w:val="20"/>
        </w:rPr>
        <w:t xml:space="preserve"> (attributing it to Hollard as the source)</w:t>
      </w:r>
      <w:r w:rsidRPr="00022AB0">
        <w:rPr>
          <w:rFonts w:ascii="Arial" w:hAnsi="Arial" w:cs="Arial"/>
          <w:sz w:val="20"/>
          <w:szCs w:val="20"/>
        </w:rPr>
        <w:t xml:space="preserve"> in an </w:t>
      </w:r>
      <w:r w:rsidR="00022AB0" w:rsidRPr="00022AB0">
        <w:rPr>
          <w:rFonts w:ascii="Arial" w:hAnsi="Arial" w:cs="Arial"/>
          <w:sz w:val="20"/>
          <w:szCs w:val="20"/>
        </w:rPr>
        <w:t xml:space="preserve">answering </w:t>
      </w:r>
      <w:r w:rsidRPr="00022AB0">
        <w:rPr>
          <w:rFonts w:ascii="Arial" w:hAnsi="Arial" w:cs="Arial"/>
          <w:sz w:val="20"/>
          <w:szCs w:val="20"/>
        </w:rPr>
        <w:t xml:space="preserve">affidavit deposed to </w:t>
      </w:r>
      <w:r w:rsidR="00022AB0" w:rsidRPr="00022AB0">
        <w:rPr>
          <w:rFonts w:ascii="Arial" w:hAnsi="Arial" w:cs="Arial"/>
          <w:sz w:val="20"/>
          <w:szCs w:val="20"/>
        </w:rPr>
        <w:t>on its behalf in Hollard</w:t>
      </w:r>
      <w:r w:rsidR="00B218E2">
        <w:rPr>
          <w:rFonts w:ascii="Arial" w:hAnsi="Arial" w:cs="Arial"/>
          <w:sz w:val="20"/>
          <w:szCs w:val="20"/>
        </w:rPr>
        <w:t>’</w:t>
      </w:r>
      <w:r w:rsidR="00022AB0" w:rsidRPr="00022AB0">
        <w:rPr>
          <w:rFonts w:ascii="Arial" w:hAnsi="Arial" w:cs="Arial"/>
          <w:sz w:val="20"/>
          <w:szCs w:val="20"/>
        </w:rPr>
        <w:t xml:space="preserve">s interlocutory application. </w:t>
      </w:r>
      <w:r w:rsidRPr="00022AB0">
        <w:rPr>
          <w:rFonts w:ascii="Arial" w:hAnsi="Arial" w:cs="Arial"/>
          <w:sz w:val="20"/>
          <w:szCs w:val="20"/>
        </w:rPr>
        <w:t xml:space="preserve"> </w:t>
      </w:r>
      <w:r w:rsidR="00715D2F" w:rsidRPr="00022AB0">
        <w:rPr>
          <w:rFonts w:ascii="Arial" w:hAnsi="Arial" w:cs="Arial"/>
          <w:sz w:val="20"/>
          <w:szCs w:val="20"/>
        </w:rPr>
        <w:t xml:space="preserve">There reference is made to statements by at least one member of the Cabinet (Utoni Nujoma, MP </w:t>
      </w:r>
      <w:r w:rsidR="00C435F7">
        <w:rPr>
          <w:rFonts w:ascii="Arial" w:hAnsi="Arial" w:cs="Arial"/>
          <w:sz w:val="20"/>
          <w:szCs w:val="20"/>
        </w:rPr>
        <w:t>referring to</w:t>
      </w:r>
      <w:r w:rsidR="00715D2F" w:rsidRPr="00022AB0">
        <w:rPr>
          <w:rFonts w:ascii="Arial" w:hAnsi="Arial" w:cs="Arial"/>
          <w:sz w:val="20"/>
          <w:szCs w:val="20"/>
        </w:rPr>
        <w:t xml:space="preserve"> </w:t>
      </w:r>
      <w:r w:rsidR="00715D2F" w:rsidRPr="00D3027E">
        <w:rPr>
          <w:rFonts w:ascii="Arial" w:hAnsi="Arial" w:cs="Arial"/>
          <w:sz w:val="20"/>
          <w:szCs w:val="20"/>
        </w:rPr>
        <w:t>Cabinet meetings he attended and decisions taken there</w:t>
      </w:r>
      <w:r w:rsidR="003F0D9A">
        <w:rPr>
          <w:rFonts w:ascii="Arial" w:hAnsi="Arial" w:cs="Arial"/>
          <w:sz w:val="20"/>
          <w:szCs w:val="20"/>
        </w:rPr>
        <w:t xml:space="preserve"> concerning Covid-19 and the declaration of the state of emergency</w:t>
      </w:r>
      <w:r w:rsidR="005277F2">
        <w:rPr>
          <w:rFonts w:ascii="Arial" w:hAnsi="Arial" w:cs="Arial"/>
          <w:sz w:val="20"/>
          <w:szCs w:val="20"/>
        </w:rPr>
        <w:t>)</w:t>
      </w:r>
      <w:r w:rsidR="00715D2F" w:rsidRPr="00D3027E">
        <w:rPr>
          <w:rFonts w:ascii="Arial" w:hAnsi="Arial" w:cs="Arial"/>
          <w:sz w:val="20"/>
          <w:szCs w:val="20"/>
        </w:rPr>
        <w:t>.</w:t>
      </w:r>
    </w:p>
  </w:footnote>
  <w:footnote w:id="25">
    <w:p w14:paraId="251658B8" w14:textId="024C7123" w:rsidR="00A069E6" w:rsidRPr="00D3027E" w:rsidRDefault="00A069E6" w:rsidP="00D3027E">
      <w:pPr>
        <w:pStyle w:val="FootnoteText"/>
        <w:jc w:val="both"/>
        <w:rPr>
          <w:rFonts w:ascii="Arial" w:hAnsi="Arial" w:cs="Arial"/>
          <w:sz w:val="20"/>
          <w:szCs w:val="20"/>
        </w:rPr>
      </w:pPr>
      <w:r w:rsidRPr="00D3027E">
        <w:rPr>
          <w:rStyle w:val="FootnoteReference"/>
          <w:rFonts w:ascii="Arial" w:hAnsi="Arial" w:cs="Arial"/>
          <w:sz w:val="20"/>
          <w:szCs w:val="20"/>
        </w:rPr>
        <w:footnoteRef/>
      </w:r>
      <w:r w:rsidRPr="00D3027E">
        <w:rPr>
          <w:rFonts w:ascii="Arial" w:hAnsi="Arial" w:cs="Arial"/>
          <w:sz w:val="20"/>
          <w:szCs w:val="20"/>
        </w:rPr>
        <w:t xml:space="preserve"> Compare: </w:t>
      </w:r>
      <w:r w:rsidRPr="00D3027E">
        <w:rPr>
          <w:rFonts w:ascii="Arial" w:hAnsi="Arial" w:cs="Arial"/>
          <w:i/>
          <w:sz w:val="20"/>
          <w:szCs w:val="20"/>
        </w:rPr>
        <w:t xml:space="preserve">Namibia Media Holdings (Pty) Ltd </w:t>
      </w:r>
      <w:r w:rsidR="00383438">
        <w:rPr>
          <w:rFonts w:ascii="Arial" w:hAnsi="Arial" w:cs="Arial"/>
          <w:i/>
          <w:sz w:val="20"/>
          <w:szCs w:val="20"/>
        </w:rPr>
        <w:t>&amp; a</w:t>
      </w:r>
      <w:r w:rsidRPr="00D3027E">
        <w:rPr>
          <w:rFonts w:ascii="Arial" w:hAnsi="Arial" w:cs="Arial"/>
          <w:i/>
          <w:sz w:val="20"/>
          <w:szCs w:val="20"/>
        </w:rPr>
        <w:t xml:space="preserve">nother v Lombaard </w:t>
      </w:r>
      <w:r w:rsidR="00383438">
        <w:rPr>
          <w:rFonts w:ascii="Arial" w:hAnsi="Arial" w:cs="Arial"/>
          <w:i/>
          <w:sz w:val="20"/>
          <w:szCs w:val="20"/>
        </w:rPr>
        <w:t>&amp; a</w:t>
      </w:r>
      <w:r w:rsidRPr="00D3027E">
        <w:rPr>
          <w:rFonts w:ascii="Arial" w:hAnsi="Arial" w:cs="Arial"/>
          <w:i/>
          <w:sz w:val="20"/>
          <w:szCs w:val="20"/>
        </w:rPr>
        <w:t>nother</w:t>
      </w:r>
      <w:r w:rsidRPr="00D3027E">
        <w:rPr>
          <w:rFonts w:ascii="Arial" w:hAnsi="Arial" w:cs="Arial"/>
          <w:sz w:val="20"/>
          <w:szCs w:val="20"/>
        </w:rPr>
        <w:t xml:space="preserve"> 2022 (3) NR 682 (SC) paras 134-142.</w:t>
      </w:r>
    </w:p>
  </w:footnote>
  <w:footnote w:id="26">
    <w:p w14:paraId="7E9D9367" w14:textId="18DCE348" w:rsidR="0099212E" w:rsidRPr="00B745B1" w:rsidRDefault="00A069E6" w:rsidP="0099212E">
      <w:pPr>
        <w:pStyle w:val="FootnoteText"/>
        <w:jc w:val="both"/>
        <w:rPr>
          <w:rFonts w:ascii="Arial" w:hAnsi="Arial" w:cs="Arial"/>
          <w:sz w:val="20"/>
          <w:szCs w:val="20"/>
        </w:rPr>
      </w:pPr>
      <w:r w:rsidRPr="001629D2">
        <w:rPr>
          <w:rStyle w:val="FootnoteReference"/>
          <w:rFonts w:ascii="Arial" w:hAnsi="Arial" w:cs="Arial"/>
          <w:sz w:val="20"/>
          <w:szCs w:val="20"/>
        </w:rPr>
        <w:footnoteRef/>
      </w:r>
      <w:r w:rsidRPr="001629D2">
        <w:rPr>
          <w:rFonts w:ascii="Arial" w:hAnsi="Arial" w:cs="Arial"/>
          <w:sz w:val="20"/>
          <w:szCs w:val="20"/>
        </w:rPr>
        <w:t xml:space="preserve"> </w:t>
      </w:r>
      <w:r w:rsidR="00715D2F" w:rsidRPr="00B745B1">
        <w:rPr>
          <w:rFonts w:ascii="Arial" w:hAnsi="Arial" w:cs="Arial"/>
          <w:sz w:val="20"/>
          <w:szCs w:val="20"/>
        </w:rPr>
        <w:t xml:space="preserve">Motion proceedings are designed for the resolution of </w:t>
      </w:r>
      <w:r w:rsidR="00EB70AE" w:rsidRPr="00B745B1">
        <w:rPr>
          <w:rFonts w:ascii="Arial" w:hAnsi="Arial" w:cs="Arial"/>
          <w:sz w:val="20"/>
          <w:szCs w:val="20"/>
        </w:rPr>
        <w:t>common cause</w:t>
      </w:r>
      <w:r w:rsidR="00715D2F" w:rsidRPr="00B745B1">
        <w:rPr>
          <w:rFonts w:ascii="Arial" w:hAnsi="Arial" w:cs="Arial"/>
          <w:sz w:val="20"/>
          <w:szCs w:val="20"/>
        </w:rPr>
        <w:t xml:space="preserve"> facts.</w:t>
      </w:r>
      <w:r w:rsidR="00EB70AE" w:rsidRPr="00B745B1">
        <w:rPr>
          <w:rFonts w:ascii="Arial" w:hAnsi="Arial" w:cs="Arial"/>
          <w:sz w:val="20"/>
          <w:szCs w:val="20"/>
        </w:rPr>
        <w:t xml:space="preserve"> </w:t>
      </w:r>
      <w:r w:rsidR="0099212E" w:rsidRPr="00B745B1">
        <w:rPr>
          <w:rFonts w:ascii="Arial" w:hAnsi="Arial" w:cs="Arial"/>
          <w:sz w:val="20"/>
          <w:szCs w:val="20"/>
        </w:rPr>
        <w:t>In motion proceedings, the affidavits constitute the pleadings and evidence</w:t>
      </w:r>
      <w:r w:rsidR="004F6A29" w:rsidRPr="00B745B1">
        <w:rPr>
          <w:rFonts w:ascii="Arial" w:hAnsi="Arial" w:cs="Arial"/>
          <w:sz w:val="20"/>
          <w:szCs w:val="20"/>
        </w:rPr>
        <w:t>,</w:t>
      </w:r>
      <w:r w:rsidR="0099212E" w:rsidRPr="00B745B1">
        <w:rPr>
          <w:rFonts w:ascii="Arial" w:hAnsi="Arial" w:cs="Arial"/>
          <w:sz w:val="20"/>
          <w:szCs w:val="20"/>
        </w:rPr>
        <w:t xml:space="preserve"> therefore the parties must make out their cases on affidavit. </w:t>
      </w:r>
      <w:r w:rsidR="004F6A29" w:rsidRPr="00B745B1">
        <w:rPr>
          <w:rFonts w:ascii="Arial" w:hAnsi="Arial" w:cs="Arial"/>
          <w:sz w:val="20"/>
          <w:szCs w:val="20"/>
        </w:rPr>
        <w:t xml:space="preserve">Where there are genuine disputes of fact on the papers and these have not been referred to oral evidence, the version of the respondent prevails unless it is so far-fetched that it can be rejected merely on the papers. </w:t>
      </w:r>
    </w:p>
    <w:p w14:paraId="533BE99F" w14:textId="4F834287" w:rsidR="00A069E6" w:rsidRPr="00B745B1" w:rsidRDefault="00A069E6" w:rsidP="00D3027E">
      <w:pPr>
        <w:pStyle w:val="FootnoteText"/>
        <w:jc w:val="both"/>
        <w:rPr>
          <w:rFonts w:ascii="Arial" w:hAnsi="Arial" w:cs="Arial"/>
          <w:sz w:val="20"/>
          <w:szCs w:val="20"/>
        </w:rPr>
      </w:pPr>
    </w:p>
  </w:footnote>
  <w:footnote w:id="27">
    <w:p w14:paraId="594221A1"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Rule 67(1) of the Rules of the High Court.</w:t>
      </w:r>
    </w:p>
  </w:footnote>
  <w:footnote w:id="28">
    <w:p w14:paraId="59110AF5"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A C Celliers, C Loots and H C Nel </w:t>
      </w:r>
      <w:r w:rsidRPr="008362EF">
        <w:rPr>
          <w:rFonts w:ascii="Arial" w:hAnsi="Arial" w:cs="Arial"/>
          <w:i/>
          <w:sz w:val="20"/>
          <w:szCs w:val="20"/>
        </w:rPr>
        <w:t>Herbstein and Van Winsen The Civil Practice of the High Courts of South Africa</w:t>
      </w:r>
      <w:r w:rsidRPr="008362EF">
        <w:rPr>
          <w:rFonts w:ascii="Arial" w:hAnsi="Arial" w:cs="Arial"/>
          <w:sz w:val="20"/>
          <w:szCs w:val="20"/>
        </w:rPr>
        <w:t xml:space="preserve"> 5</w:t>
      </w:r>
      <w:r w:rsidRPr="008362EF">
        <w:rPr>
          <w:rFonts w:ascii="Arial" w:hAnsi="Arial" w:cs="Arial"/>
          <w:sz w:val="20"/>
          <w:szCs w:val="20"/>
          <w:vertAlign w:val="superscript"/>
        </w:rPr>
        <w:t xml:space="preserve"> </w:t>
      </w:r>
      <w:r w:rsidRPr="008362EF">
        <w:rPr>
          <w:rFonts w:ascii="Arial" w:hAnsi="Arial" w:cs="Arial"/>
          <w:sz w:val="20"/>
          <w:szCs w:val="20"/>
        </w:rPr>
        <w:t xml:space="preserve">ed Vol 1 at 465. See also 3 ed at 93–94 and </w:t>
      </w:r>
      <w:r w:rsidRPr="008362EF">
        <w:rPr>
          <w:rFonts w:ascii="Arial" w:hAnsi="Arial" w:cs="Arial"/>
          <w:i/>
          <w:sz w:val="20"/>
          <w:szCs w:val="20"/>
        </w:rPr>
        <w:t xml:space="preserve">Campbell &amp; another v Kwapa &amp; another </w:t>
      </w:r>
      <w:r w:rsidRPr="008362EF">
        <w:rPr>
          <w:rFonts w:ascii="Arial" w:hAnsi="Arial" w:cs="Arial"/>
          <w:sz w:val="20"/>
          <w:szCs w:val="20"/>
        </w:rPr>
        <w:t>2002 (6) SA 379 (W) at 381F-382D.</w:t>
      </w:r>
    </w:p>
  </w:footnote>
  <w:footnote w:id="29">
    <w:p w14:paraId="7DDE414D" w14:textId="2D0FE7D5"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See eg </w:t>
      </w:r>
      <w:r w:rsidRPr="008362EF">
        <w:rPr>
          <w:rFonts w:ascii="Arial" w:hAnsi="Arial" w:cs="Arial"/>
          <w:i/>
          <w:sz w:val="20"/>
          <w:szCs w:val="20"/>
        </w:rPr>
        <w:t xml:space="preserve">Alpine Caterers Namibia (Pty) Ltd v Owen &amp; others </w:t>
      </w:r>
      <w:r w:rsidRPr="008362EF">
        <w:rPr>
          <w:rFonts w:ascii="Arial" w:hAnsi="Arial" w:cs="Arial"/>
          <w:sz w:val="20"/>
          <w:szCs w:val="20"/>
        </w:rPr>
        <w:t xml:space="preserve">1991 NR 310 (HC) at 316J–317H and </w:t>
      </w:r>
      <w:r w:rsidRPr="008362EF">
        <w:rPr>
          <w:rFonts w:ascii="Arial" w:hAnsi="Arial" w:cs="Arial"/>
          <w:i/>
          <w:sz w:val="20"/>
          <w:szCs w:val="20"/>
        </w:rPr>
        <w:t xml:space="preserve">Rosen v Barclays National Bank Ltd </w:t>
      </w:r>
      <w:r w:rsidRPr="008362EF">
        <w:rPr>
          <w:rFonts w:ascii="Arial" w:hAnsi="Arial" w:cs="Arial"/>
          <w:sz w:val="20"/>
          <w:szCs w:val="20"/>
        </w:rPr>
        <w:t>1984 (3) SA 974 (W).</w:t>
      </w:r>
    </w:p>
  </w:footnote>
  <w:footnote w:id="30">
    <w:p w14:paraId="527C212E"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Rule 70(3).</w:t>
      </w:r>
    </w:p>
  </w:footnote>
  <w:footnote w:id="31">
    <w:p w14:paraId="7F11C570"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Krygkor Pensioenfonds v Smith</w:t>
      </w:r>
      <w:r w:rsidRPr="008362EF">
        <w:rPr>
          <w:rFonts w:ascii="Arial" w:hAnsi="Arial" w:cs="Arial"/>
          <w:sz w:val="20"/>
          <w:szCs w:val="20"/>
        </w:rPr>
        <w:t xml:space="preserve"> 1993 (3) SA 459 (A) at 469E–I. I quote the portion from a sworn English translation handed up by counsel for Hollard.</w:t>
      </w:r>
    </w:p>
  </w:footnote>
  <w:footnote w:id="32">
    <w:p w14:paraId="67D050D2" w14:textId="11F40510"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Chairperson of the Tender Board </w:t>
      </w:r>
      <w:r w:rsidR="00E957A5">
        <w:rPr>
          <w:rFonts w:ascii="Arial" w:hAnsi="Arial" w:cs="Arial"/>
          <w:i/>
          <w:sz w:val="20"/>
          <w:szCs w:val="20"/>
        </w:rPr>
        <w:t xml:space="preserve">&amp; another </w:t>
      </w:r>
      <w:r w:rsidRPr="008362EF">
        <w:rPr>
          <w:rFonts w:ascii="Arial" w:hAnsi="Arial" w:cs="Arial"/>
          <w:i/>
          <w:sz w:val="20"/>
          <w:szCs w:val="20"/>
        </w:rPr>
        <w:t>v Pamo Trading Enterprises</w:t>
      </w:r>
      <w:r w:rsidR="00E957A5">
        <w:rPr>
          <w:rFonts w:ascii="Arial" w:hAnsi="Arial" w:cs="Arial"/>
          <w:i/>
          <w:sz w:val="20"/>
          <w:szCs w:val="20"/>
        </w:rPr>
        <w:t xml:space="preserve"> &amp; others </w:t>
      </w:r>
      <w:r w:rsidR="00E957A5" w:rsidRPr="008362EF">
        <w:rPr>
          <w:rFonts w:ascii="Arial" w:hAnsi="Arial" w:cs="Arial"/>
          <w:i/>
          <w:sz w:val="20"/>
          <w:szCs w:val="20"/>
        </w:rPr>
        <w:t>2017</w:t>
      </w:r>
      <w:r w:rsidRPr="008362EF">
        <w:rPr>
          <w:rFonts w:ascii="Arial" w:hAnsi="Arial" w:cs="Arial"/>
          <w:sz w:val="20"/>
          <w:szCs w:val="20"/>
        </w:rPr>
        <w:t xml:space="preserve"> (1) NR 1 (SC).</w:t>
      </w:r>
    </w:p>
  </w:footnote>
  <w:footnote w:id="33">
    <w:p w14:paraId="3DB9814C"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Supra</w:t>
      </w:r>
      <w:r w:rsidRPr="008362EF">
        <w:rPr>
          <w:rFonts w:ascii="Arial" w:hAnsi="Arial" w:cs="Arial"/>
          <w:sz w:val="20"/>
          <w:szCs w:val="20"/>
        </w:rPr>
        <w:t xml:space="preserve"> para 66.</w:t>
      </w:r>
    </w:p>
  </w:footnote>
  <w:footnote w:id="34">
    <w:p w14:paraId="10A227DD"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Unitas Hospital v Van Wyk &amp; another </w:t>
      </w:r>
      <w:r w:rsidRPr="008362EF">
        <w:rPr>
          <w:rFonts w:ascii="Arial" w:hAnsi="Arial" w:cs="Arial"/>
          <w:sz w:val="20"/>
          <w:szCs w:val="20"/>
        </w:rPr>
        <w:t>2006 (4) SA 436 (SCA).</w:t>
      </w:r>
    </w:p>
  </w:footnote>
  <w:footnote w:id="35">
    <w:p w14:paraId="241ACF24" w14:textId="1606F155" w:rsidR="008362EF" w:rsidRPr="008362EF" w:rsidRDefault="008362EF">
      <w:pPr>
        <w:pStyle w:val="FootnoteText"/>
        <w:rPr>
          <w:rFonts w:ascii="Arial" w:hAnsi="Arial" w:cs="Arial"/>
          <w:sz w:val="20"/>
          <w:szCs w:val="20"/>
          <w:lang w:val="en-ZA"/>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Pamo Trading</w:t>
      </w:r>
      <w:r w:rsidRPr="008362EF">
        <w:rPr>
          <w:rFonts w:ascii="Arial" w:hAnsi="Arial" w:cs="Arial"/>
          <w:sz w:val="20"/>
          <w:szCs w:val="20"/>
        </w:rPr>
        <w:t xml:space="preserve"> paras 72-73.</w:t>
      </w:r>
    </w:p>
  </w:footnote>
  <w:footnote w:id="36">
    <w:p w14:paraId="37E0084D"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Unitas </w:t>
      </w:r>
      <w:r w:rsidRPr="008362EF">
        <w:rPr>
          <w:rFonts w:ascii="Arial" w:hAnsi="Arial" w:cs="Arial"/>
          <w:sz w:val="20"/>
          <w:szCs w:val="20"/>
        </w:rPr>
        <w:t>paras 21 and 22.</w:t>
      </w:r>
    </w:p>
  </w:footnote>
  <w:footnote w:id="37">
    <w:p w14:paraId="28AB4299"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With the possible exception of a defence of lack of jurisdiction.</w:t>
      </w:r>
    </w:p>
  </w:footnote>
  <w:footnote w:id="38">
    <w:p w14:paraId="4D26AC24"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Republikeinse Publikasies (Edms) Bpk v Afrikaanse Pers Publikasies (Edms) Bpk</w:t>
      </w:r>
      <w:r w:rsidRPr="008362EF">
        <w:rPr>
          <w:rFonts w:ascii="Arial" w:hAnsi="Arial" w:cs="Arial"/>
          <w:sz w:val="20"/>
          <w:szCs w:val="20"/>
        </w:rPr>
        <w:t xml:space="preserve"> 1972 (1) SA 773 (A) at 782A-D which reads as follows (my own translation): ‘In the case of an urgent application, an applicant is allowed to act by way of a notice of motion without adhering to the rules applicable in the ordinary course. The applicant is allowed, in a sense to, in the circumstances of the case, make his or her own rules which must as “far as possible” be in accordance with the existing rules. Rule 6(12) thus provides for a process subject to different rules than the normal ones and when the applicant appears before the judge he must then seek leave of the judge to allow his or her non-adherence with the ordinary rules. He or she need not obtain the prior approval of the judge for the non-adherence to the ordinary rules because rule 6(12) expressly stipulates that the judge can deal with such matter as he or she deems fit. Where an applicant acts under this rule, he or she notifies the respondent that the application is regarded as an urgent one and it follows, in my view, that the respondent is compelled, in the sense that he or she runs the risk of an order against him or her by default, to provisionally accept the rules stipulated by the applicant. When the case serves before the judge, the respondent can object, but he or she dare not in the meantime, ignore the rules set by the applicant.’</w:t>
      </w:r>
    </w:p>
  </w:footnote>
  <w:footnote w:id="39">
    <w:p w14:paraId="5FA6C2A2"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Rules of the High Court.</w:t>
      </w:r>
    </w:p>
  </w:footnote>
  <w:footnote w:id="40">
    <w:p w14:paraId="1B85ADBA"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The Attorney-General and Another v Gondwana Collection Limited and Others </w:t>
      </w:r>
      <w:r w:rsidRPr="008362EF">
        <w:rPr>
          <w:rFonts w:ascii="Arial" w:hAnsi="Arial" w:cs="Arial"/>
          <w:sz w:val="20"/>
          <w:szCs w:val="20"/>
        </w:rPr>
        <w:t xml:space="preserve">(HC-MD-CIV-MOT-REV-2021/00234) [2022] NAHCMD 23 (28 January 2022) paras 4 and 2 of the order (Judgment </w:t>
      </w:r>
      <w:r w:rsidRPr="008362EF">
        <w:rPr>
          <w:rFonts w:ascii="Arial" w:hAnsi="Arial" w:cs="Arial"/>
          <w:i/>
          <w:sz w:val="20"/>
          <w:szCs w:val="20"/>
        </w:rPr>
        <w:t>a quo</w:t>
      </w:r>
      <w:r w:rsidRPr="008362EF">
        <w:rPr>
          <w:rFonts w:ascii="Arial" w:hAnsi="Arial" w:cs="Arial"/>
          <w:sz w:val="20"/>
          <w:szCs w:val="20"/>
        </w:rPr>
        <w:t>).</w:t>
      </w:r>
    </w:p>
  </w:footnote>
  <w:footnote w:id="41">
    <w:p w14:paraId="7266691F"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Judgment </w:t>
      </w:r>
      <w:r w:rsidRPr="008362EF">
        <w:rPr>
          <w:rFonts w:ascii="Arial" w:hAnsi="Arial" w:cs="Arial"/>
          <w:i/>
          <w:sz w:val="20"/>
          <w:szCs w:val="20"/>
        </w:rPr>
        <w:t xml:space="preserve">a quo </w:t>
      </w:r>
      <w:r w:rsidRPr="008362EF">
        <w:rPr>
          <w:rFonts w:ascii="Arial" w:hAnsi="Arial" w:cs="Arial"/>
          <w:sz w:val="20"/>
          <w:szCs w:val="20"/>
        </w:rPr>
        <w:t>para 75. The subpoena directed at the Secretary to Cabinet is not that extensive as in the one directed at the Attorney-General.</w:t>
      </w:r>
      <w:r w:rsidRPr="008362EF">
        <w:rPr>
          <w:rFonts w:ascii="Arial" w:hAnsi="Arial" w:cs="Arial"/>
          <w:i/>
          <w:sz w:val="20"/>
          <w:szCs w:val="20"/>
        </w:rPr>
        <w:t xml:space="preserve"> </w:t>
      </w:r>
    </w:p>
  </w:footnote>
  <w:footnote w:id="42">
    <w:p w14:paraId="5DDBBF13"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Judgment </w:t>
      </w:r>
      <w:r w:rsidRPr="008362EF">
        <w:rPr>
          <w:rFonts w:ascii="Arial" w:hAnsi="Arial" w:cs="Arial"/>
          <w:i/>
          <w:sz w:val="20"/>
          <w:szCs w:val="20"/>
        </w:rPr>
        <w:t>a quo</w:t>
      </w:r>
      <w:r w:rsidRPr="008362EF">
        <w:rPr>
          <w:rFonts w:ascii="Arial" w:hAnsi="Arial" w:cs="Arial"/>
          <w:sz w:val="20"/>
          <w:szCs w:val="20"/>
        </w:rPr>
        <w:t xml:space="preserve"> para 29.</w:t>
      </w:r>
    </w:p>
  </w:footnote>
  <w:footnote w:id="43">
    <w:p w14:paraId="523E1CA2"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Judgment </w:t>
      </w:r>
      <w:r w:rsidRPr="008362EF">
        <w:rPr>
          <w:rFonts w:ascii="Arial" w:hAnsi="Arial" w:cs="Arial"/>
          <w:i/>
          <w:sz w:val="20"/>
          <w:szCs w:val="20"/>
        </w:rPr>
        <w:t>a quo</w:t>
      </w:r>
      <w:r w:rsidRPr="008362EF">
        <w:rPr>
          <w:rFonts w:ascii="Arial" w:hAnsi="Arial" w:cs="Arial"/>
          <w:sz w:val="20"/>
          <w:szCs w:val="20"/>
        </w:rPr>
        <w:t xml:space="preserve"> para 33.</w:t>
      </w:r>
    </w:p>
  </w:footnote>
  <w:footnote w:id="44">
    <w:p w14:paraId="33DD5FCC" w14:textId="77777777" w:rsidR="00BE4CBE" w:rsidRPr="008362EF" w:rsidRDefault="00BE4CBE" w:rsidP="00BE4CBE">
      <w:pPr>
        <w:pStyle w:val="FootnoteText"/>
        <w:jc w:val="both"/>
        <w:rPr>
          <w:rFonts w:ascii="Arial" w:hAnsi="Arial" w:cs="Arial"/>
          <w:i/>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Hopf v Pretoria City Council </w:t>
      </w:r>
      <w:r w:rsidRPr="008362EF">
        <w:rPr>
          <w:rFonts w:ascii="Arial" w:hAnsi="Arial" w:cs="Arial"/>
          <w:sz w:val="20"/>
          <w:szCs w:val="20"/>
        </w:rPr>
        <w:t xml:space="preserve">1947 (2) SA 752 (T) at 768 and </w:t>
      </w:r>
      <w:r w:rsidRPr="008362EF">
        <w:rPr>
          <w:rFonts w:ascii="Arial" w:hAnsi="Arial" w:cs="Arial"/>
          <w:i/>
          <w:sz w:val="20"/>
          <w:szCs w:val="20"/>
        </w:rPr>
        <w:t>Seton Co v Silveroak Industries (Ltd)</w:t>
      </w:r>
      <w:r w:rsidRPr="008362EF">
        <w:rPr>
          <w:rFonts w:ascii="Arial" w:hAnsi="Arial" w:cs="Arial"/>
          <w:sz w:val="20"/>
          <w:szCs w:val="20"/>
        </w:rPr>
        <w:t xml:space="preserve"> 2000 (2) SA 215 (T) at 213.</w:t>
      </w:r>
    </w:p>
  </w:footnote>
  <w:footnote w:id="45">
    <w:p w14:paraId="4EB0F2FE"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Room Hire Co (Pty) Ltd v Jeppe Street Mansions (Pty) Ltd </w:t>
      </w:r>
      <w:r w:rsidRPr="008362EF">
        <w:rPr>
          <w:rFonts w:ascii="Arial" w:hAnsi="Arial" w:cs="Arial"/>
          <w:sz w:val="20"/>
          <w:szCs w:val="20"/>
        </w:rPr>
        <w:t xml:space="preserve">1949 (3) SA 1155 (T) at 1163 and </w:t>
      </w:r>
      <w:r w:rsidRPr="008362EF">
        <w:rPr>
          <w:rFonts w:ascii="Arial" w:hAnsi="Arial" w:cs="Arial"/>
          <w:i/>
          <w:sz w:val="20"/>
          <w:szCs w:val="20"/>
        </w:rPr>
        <w:t xml:space="preserve">Wightman t/a JW Construction v Headfour (Pty) Ltd &amp; another </w:t>
      </w:r>
      <w:r w:rsidRPr="008362EF">
        <w:rPr>
          <w:rFonts w:ascii="Arial" w:hAnsi="Arial" w:cs="Arial"/>
          <w:sz w:val="20"/>
          <w:szCs w:val="20"/>
        </w:rPr>
        <w:t>2008 (3) SA 371 (SCA) para 13.</w:t>
      </w:r>
    </w:p>
  </w:footnote>
  <w:footnote w:id="46">
    <w:p w14:paraId="7566EAF6" w14:textId="77777777" w:rsidR="00BE4CBE" w:rsidRPr="008362EF" w:rsidRDefault="00BE4CBE" w:rsidP="00BE4CBE">
      <w:pPr>
        <w:pStyle w:val="FootnoteText"/>
        <w:jc w:val="both"/>
        <w:rPr>
          <w:rFonts w:ascii="Arial" w:hAnsi="Arial" w:cs="Arial"/>
          <w:sz w:val="20"/>
          <w:szCs w:val="20"/>
        </w:rPr>
      </w:pPr>
      <w:r w:rsidRPr="008362EF">
        <w:rPr>
          <w:rStyle w:val="FootnoteReference"/>
          <w:rFonts w:ascii="Arial" w:hAnsi="Arial" w:cs="Arial"/>
          <w:sz w:val="20"/>
          <w:szCs w:val="20"/>
        </w:rPr>
        <w:footnoteRef/>
      </w:r>
      <w:r w:rsidRPr="008362EF">
        <w:rPr>
          <w:rFonts w:ascii="Arial" w:hAnsi="Arial" w:cs="Arial"/>
          <w:sz w:val="20"/>
          <w:szCs w:val="20"/>
        </w:rPr>
        <w:t xml:space="preserve"> </w:t>
      </w:r>
      <w:r w:rsidRPr="008362EF">
        <w:rPr>
          <w:rFonts w:ascii="Arial" w:hAnsi="Arial" w:cs="Arial"/>
          <w:i/>
          <w:sz w:val="20"/>
          <w:szCs w:val="20"/>
        </w:rPr>
        <w:t xml:space="preserve">Inkatha Freedom Party v Truth and Reconciliation Commission </w:t>
      </w:r>
      <w:r w:rsidRPr="008362EF">
        <w:rPr>
          <w:rFonts w:ascii="Arial" w:hAnsi="Arial" w:cs="Arial"/>
          <w:sz w:val="20"/>
          <w:szCs w:val="20"/>
        </w:rPr>
        <w:t>2000 (3) SA 119 (C) at 137C.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43161"/>
      <w:docPartObj>
        <w:docPartGallery w:val="Page Numbers (Top of Page)"/>
        <w:docPartUnique/>
      </w:docPartObj>
    </w:sdtPr>
    <w:sdtEndPr>
      <w:rPr>
        <w:noProof/>
      </w:rPr>
    </w:sdtEndPr>
    <w:sdtContent>
      <w:p w14:paraId="309D8F58" w14:textId="77777777" w:rsidR="00A069E6" w:rsidRDefault="00A069E6">
        <w:pPr>
          <w:pStyle w:val="Header"/>
          <w:jc w:val="right"/>
        </w:pPr>
        <w:r w:rsidRPr="0007607B">
          <w:rPr>
            <w:rFonts w:ascii="Arial" w:hAnsi="Arial" w:cs="Arial"/>
            <w:sz w:val="24"/>
            <w:szCs w:val="24"/>
          </w:rPr>
          <w:fldChar w:fldCharType="begin"/>
        </w:r>
        <w:r w:rsidRPr="0007607B">
          <w:rPr>
            <w:rFonts w:ascii="Arial" w:hAnsi="Arial" w:cs="Arial"/>
            <w:sz w:val="24"/>
            <w:szCs w:val="24"/>
          </w:rPr>
          <w:instrText xml:space="preserve"> PAGE   \* MERGEFORMAT </w:instrText>
        </w:r>
        <w:r w:rsidRPr="0007607B">
          <w:rPr>
            <w:rFonts w:ascii="Arial" w:hAnsi="Arial" w:cs="Arial"/>
            <w:sz w:val="24"/>
            <w:szCs w:val="24"/>
          </w:rPr>
          <w:fldChar w:fldCharType="separate"/>
        </w:r>
        <w:r w:rsidR="00BF3AEA">
          <w:rPr>
            <w:rFonts w:ascii="Arial" w:hAnsi="Arial" w:cs="Arial"/>
            <w:noProof/>
            <w:sz w:val="24"/>
            <w:szCs w:val="24"/>
          </w:rPr>
          <w:t>3</w:t>
        </w:r>
        <w:r w:rsidRPr="0007607B">
          <w:rPr>
            <w:rFonts w:ascii="Arial" w:hAnsi="Arial" w:cs="Arial"/>
            <w:noProof/>
            <w:sz w:val="24"/>
            <w:szCs w:val="24"/>
          </w:rPr>
          <w:fldChar w:fldCharType="end"/>
        </w:r>
      </w:p>
    </w:sdtContent>
  </w:sdt>
  <w:p w14:paraId="2790E548" w14:textId="77777777" w:rsidR="00A069E6" w:rsidRDefault="00A0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E2"/>
    <w:multiLevelType w:val="hybridMultilevel"/>
    <w:tmpl w:val="EA8A3C20"/>
    <w:lvl w:ilvl="0" w:tplc="CB98FF4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5D1B90"/>
    <w:multiLevelType w:val="multilevel"/>
    <w:tmpl w:val="699E6D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76734"/>
    <w:multiLevelType w:val="hybridMultilevel"/>
    <w:tmpl w:val="D8467DB6"/>
    <w:lvl w:ilvl="0" w:tplc="44666338">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367101A"/>
    <w:multiLevelType w:val="hybridMultilevel"/>
    <w:tmpl w:val="A060FC0E"/>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4" w15:restartNumberingAfterBreak="0">
    <w:nsid w:val="1D8E02CE"/>
    <w:multiLevelType w:val="hybridMultilevel"/>
    <w:tmpl w:val="9AAC295A"/>
    <w:lvl w:ilvl="0" w:tplc="834209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00C35"/>
    <w:multiLevelType w:val="hybridMultilevel"/>
    <w:tmpl w:val="135CFE36"/>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A848DB"/>
    <w:multiLevelType w:val="hybridMultilevel"/>
    <w:tmpl w:val="54940DB8"/>
    <w:lvl w:ilvl="0" w:tplc="84D43D7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32581D3E"/>
    <w:multiLevelType w:val="hybridMultilevel"/>
    <w:tmpl w:val="34FE5F26"/>
    <w:lvl w:ilvl="0" w:tplc="C08651C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FC259D"/>
    <w:multiLevelType w:val="hybridMultilevel"/>
    <w:tmpl w:val="5CBAD1B4"/>
    <w:lvl w:ilvl="0" w:tplc="543E2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835757"/>
    <w:multiLevelType w:val="hybridMultilevel"/>
    <w:tmpl w:val="EA8242D8"/>
    <w:lvl w:ilvl="0" w:tplc="3EA24D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4DD32C0"/>
    <w:multiLevelType w:val="hybridMultilevel"/>
    <w:tmpl w:val="10A4C38A"/>
    <w:lvl w:ilvl="0" w:tplc="1EACF53A">
      <w:start w:val="1"/>
      <w:numFmt w:val="decimal"/>
      <w:lvlText w:val="[%1]"/>
      <w:lvlJc w:val="left"/>
      <w:pPr>
        <w:ind w:left="720" w:hanging="360"/>
      </w:pPr>
      <w:rPr>
        <w:rFonts w:hint="default"/>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1F1C75"/>
    <w:multiLevelType w:val="hybridMultilevel"/>
    <w:tmpl w:val="E1F0644E"/>
    <w:lvl w:ilvl="0" w:tplc="3EA24D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1C57B3"/>
    <w:multiLevelType w:val="hybridMultilevel"/>
    <w:tmpl w:val="E638AB96"/>
    <w:lvl w:ilvl="0" w:tplc="672A48DE">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C362A7"/>
    <w:multiLevelType w:val="hybridMultilevel"/>
    <w:tmpl w:val="B65A0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733159405">
    <w:abstractNumId w:val="10"/>
  </w:num>
  <w:num w:numId="2" w16cid:durableId="1508247600">
    <w:abstractNumId w:val="9"/>
  </w:num>
  <w:num w:numId="3" w16cid:durableId="1589342655">
    <w:abstractNumId w:val="13"/>
  </w:num>
  <w:num w:numId="4" w16cid:durableId="177353269">
    <w:abstractNumId w:val="3"/>
  </w:num>
  <w:num w:numId="5" w16cid:durableId="548762480">
    <w:abstractNumId w:val="1"/>
  </w:num>
  <w:num w:numId="6" w16cid:durableId="156501429">
    <w:abstractNumId w:val="2"/>
  </w:num>
  <w:num w:numId="7" w16cid:durableId="253973337">
    <w:abstractNumId w:val="11"/>
  </w:num>
  <w:num w:numId="8" w16cid:durableId="76218462">
    <w:abstractNumId w:val="5"/>
  </w:num>
  <w:num w:numId="9" w16cid:durableId="1861625911">
    <w:abstractNumId w:val="4"/>
  </w:num>
  <w:num w:numId="10" w16cid:durableId="1529223861">
    <w:abstractNumId w:val="8"/>
  </w:num>
  <w:num w:numId="11" w16cid:durableId="55322319">
    <w:abstractNumId w:val="14"/>
  </w:num>
  <w:num w:numId="12" w16cid:durableId="210044044">
    <w:abstractNumId w:val="6"/>
  </w:num>
  <w:num w:numId="13" w16cid:durableId="358239186">
    <w:abstractNumId w:val="7"/>
  </w:num>
  <w:num w:numId="14" w16cid:durableId="1274827297">
    <w:abstractNumId w:val="12"/>
  </w:num>
  <w:num w:numId="15" w16cid:durableId="1060980298">
    <w:abstractNumId w:val="15"/>
  </w:num>
  <w:num w:numId="16" w16cid:durableId="118182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5E"/>
    <w:rsid w:val="00000FEB"/>
    <w:rsid w:val="0000134D"/>
    <w:rsid w:val="00002695"/>
    <w:rsid w:val="000028DC"/>
    <w:rsid w:val="00003586"/>
    <w:rsid w:val="00005770"/>
    <w:rsid w:val="00005B7B"/>
    <w:rsid w:val="00005CCD"/>
    <w:rsid w:val="00005E5F"/>
    <w:rsid w:val="00005FA6"/>
    <w:rsid w:val="000066B2"/>
    <w:rsid w:val="00006A3A"/>
    <w:rsid w:val="00006D9E"/>
    <w:rsid w:val="00007098"/>
    <w:rsid w:val="000073EC"/>
    <w:rsid w:val="00007597"/>
    <w:rsid w:val="00007E5E"/>
    <w:rsid w:val="000111B7"/>
    <w:rsid w:val="000119B7"/>
    <w:rsid w:val="00011F4F"/>
    <w:rsid w:val="00012406"/>
    <w:rsid w:val="00013354"/>
    <w:rsid w:val="0001363E"/>
    <w:rsid w:val="000139AF"/>
    <w:rsid w:val="0001415D"/>
    <w:rsid w:val="00014ECD"/>
    <w:rsid w:val="00015287"/>
    <w:rsid w:val="00016222"/>
    <w:rsid w:val="00016362"/>
    <w:rsid w:val="00016397"/>
    <w:rsid w:val="00017152"/>
    <w:rsid w:val="00020256"/>
    <w:rsid w:val="00021E86"/>
    <w:rsid w:val="0002234D"/>
    <w:rsid w:val="00022AB0"/>
    <w:rsid w:val="00022D11"/>
    <w:rsid w:val="00022E21"/>
    <w:rsid w:val="00023153"/>
    <w:rsid w:val="00024211"/>
    <w:rsid w:val="00024615"/>
    <w:rsid w:val="00024757"/>
    <w:rsid w:val="00026579"/>
    <w:rsid w:val="000268D5"/>
    <w:rsid w:val="00026D6F"/>
    <w:rsid w:val="00027F1C"/>
    <w:rsid w:val="00031EDB"/>
    <w:rsid w:val="000323C1"/>
    <w:rsid w:val="00033119"/>
    <w:rsid w:val="0003599B"/>
    <w:rsid w:val="00037F46"/>
    <w:rsid w:val="00040D0B"/>
    <w:rsid w:val="00043737"/>
    <w:rsid w:val="00044D0B"/>
    <w:rsid w:val="0004509A"/>
    <w:rsid w:val="000454F6"/>
    <w:rsid w:val="00045794"/>
    <w:rsid w:val="0004582C"/>
    <w:rsid w:val="00046CA0"/>
    <w:rsid w:val="00046DE0"/>
    <w:rsid w:val="0004739B"/>
    <w:rsid w:val="000501E1"/>
    <w:rsid w:val="0005176A"/>
    <w:rsid w:val="00051854"/>
    <w:rsid w:val="00052175"/>
    <w:rsid w:val="000544FA"/>
    <w:rsid w:val="00056202"/>
    <w:rsid w:val="00061D63"/>
    <w:rsid w:val="0006414C"/>
    <w:rsid w:val="00066165"/>
    <w:rsid w:val="00066583"/>
    <w:rsid w:val="00066C53"/>
    <w:rsid w:val="00067033"/>
    <w:rsid w:val="00067236"/>
    <w:rsid w:val="00067349"/>
    <w:rsid w:val="00071B43"/>
    <w:rsid w:val="00074242"/>
    <w:rsid w:val="00074350"/>
    <w:rsid w:val="00074FE6"/>
    <w:rsid w:val="00075168"/>
    <w:rsid w:val="00075FCC"/>
    <w:rsid w:val="0007607B"/>
    <w:rsid w:val="000765D1"/>
    <w:rsid w:val="00076FCC"/>
    <w:rsid w:val="000815AE"/>
    <w:rsid w:val="000817B4"/>
    <w:rsid w:val="00081C62"/>
    <w:rsid w:val="00082052"/>
    <w:rsid w:val="00083D0B"/>
    <w:rsid w:val="0008415E"/>
    <w:rsid w:val="00084586"/>
    <w:rsid w:val="00084EB9"/>
    <w:rsid w:val="000850BF"/>
    <w:rsid w:val="0008591C"/>
    <w:rsid w:val="00085F00"/>
    <w:rsid w:val="00086823"/>
    <w:rsid w:val="00086F90"/>
    <w:rsid w:val="00087FAC"/>
    <w:rsid w:val="00090F5C"/>
    <w:rsid w:val="000912CD"/>
    <w:rsid w:val="00091432"/>
    <w:rsid w:val="00092CD7"/>
    <w:rsid w:val="00093101"/>
    <w:rsid w:val="000948E0"/>
    <w:rsid w:val="00095269"/>
    <w:rsid w:val="00095C55"/>
    <w:rsid w:val="00097118"/>
    <w:rsid w:val="000A2015"/>
    <w:rsid w:val="000A2403"/>
    <w:rsid w:val="000A57DA"/>
    <w:rsid w:val="000A699A"/>
    <w:rsid w:val="000A6FB3"/>
    <w:rsid w:val="000A712D"/>
    <w:rsid w:val="000A73B7"/>
    <w:rsid w:val="000A783F"/>
    <w:rsid w:val="000B016F"/>
    <w:rsid w:val="000B1BA9"/>
    <w:rsid w:val="000B2FB6"/>
    <w:rsid w:val="000B32C6"/>
    <w:rsid w:val="000B351E"/>
    <w:rsid w:val="000B40E8"/>
    <w:rsid w:val="000B5612"/>
    <w:rsid w:val="000B71AD"/>
    <w:rsid w:val="000B79DA"/>
    <w:rsid w:val="000C0008"/>
    <w:rsid w:val="000C0983"/>
    <w:rsid w:val="000C2BCB"/>
    <w:rsid w:val="000C2DAF"/>
    <w:rsid w:val="000C4C05"/>
    <w:rsid w:val="000C4D6C"/>
    <w:rsid w:val="000C523D"/>
    <w:rsid w:val="000C57EF"/>
    <w:rsid w:val="000C6ABC"/>
    <w:rsid w:val="000C7F95"/>
    <w:rsid w:val="000D04D9"/>
    <w:rsid w:val="000D10FB"/>
    <w:rsid w:val="000D1944"/>
    <w:rsid w:val="000D2293"/>
    <w:rsid w:val="000D2AF6"/>
    <w:rsid w:val="000D53B8"/>
    <w:rsid w:val="000D5544"/>
    <w:rsid w:val="000D5D6D"/>
    <w:rsid w:val="000E05E2"/>
    <w:rsid w:val="000E0D0E"/>
    <w:rsid w:val="000E0DDE"/>
    <w:rsid w:val="000E16E8"/>
    <w:rsid w:val="000E1D28"/>
    <w:rsid w:val="000E1E45"/>
    <w:rsid w:val="000E274A"/>
    <w:rsid w:val="000E2AB5"/>
    <w:rsid w:val="000E3411"/>
    <w:rsid w:val="000E35B8"/>
    <w:rsid w:val="000E3637"/>
    <w:rsid w:val="000E391B"/>
    <w:rsid w:val="000E3F30"/>
    <w:rsid w:val="000E47EF"/>
    <w:rsid w:val="000E497D"/>
    <w:rsid w:val="000E6D34"/>
    <w:rsid w:val="000E72C8"/>
    <w:rsid w:val="000F0D66"/>
    <w:rsid w:val="000F3387"/>
    <w:rsid w:val="000F3DE9"/>
    <w:rsid w:val="000F4EEF"/>
    <w:rsid w:val="000F5C23"/>
    <w:rsid w:val="000F5DF8"/>
    <w:rsid w:val="000F64FD"/>
    <w:rsid w:val="000F7F2C"/>
    <w:rsid w:val="0010293F"/>
    <w:rsid w:val="0010295D"/>
    <w:rsid w:val="00103555"/>
    <w:rsid w:val="001045D5"/>
    <w:rsid w:val="0010566D"/>
    <w:rsid w:val="0010628B"/>
    <w:rsid w:val="00107639"/>
    <w:rsid w:val="0011091C"/>
    <w:rsid w:val="001121BF"/>
    <w:rsid w:val="001124B5"/>
    <w:rsid w:val="00112BBB"/>
    <w:rsid w:val="00112C5B"/>
    <w:rsid w:val="00112EC0"/>
    <w:rsid w:val="00113E99"/>
    <w:rsid w:val="00113EB2"/>
    <w:rsid w:val="001140DA"/>
    <w:rsid w:val="00114F00"/>
    <w:rsid w:val="00114F5C"/>
    <w:rsid w:val="001151FD"/>
    <w:rsid w:val="0011557B"/>
    <w:rsid w:val="001169BD"/>
    <w:rsid w:val="00116A6B"/>
    <w:rsid w:val="00117E0A"/>
    <w:rsid w:val="00121F7F"/>
    <w:rsid w:val="0012288D"/>
    <w:rsid w:val="0012292B"/>
    <w:rsid w:val="00123003"/>
    <w:rsid w:val="001241DF"/>
    <w:rsid w:val="001243CF"/>
    <w:rsid w:val="0012546B"/>
    <w:rsid w:val="00125EA7"/>
    <w:rsid w:val="00126463"/>
    <w:rsid w:val="00127230"/>
    <w:rsid w:val="00127695"/>
    <w:rsid w:val="00130EDE"/>
    <w:rsid w:val="00130F2F"/>
    <w:rsid w:val="00132D4B"/>
    <w:rsid w:val="001336AA"/>
    <w:rsid w:val="00134096"/>
    <w:rsid w:val="00134714"/>
    <w:rsid w:val="00134B53"/>
    <w:rsid w:val="0013577D"/>
    <w:rsid w:val="00135A09"/>
    <w:rsid w:val="00135A8B"/>
    <w:rsid w:val="00135DAB"/>
    <w:rsid w:val="0013650E"/>
    <w:rsid w:val="00136D22"/>
    <w:rsid w:val="00136D2F"/>
    <w:rsid w:val="00137F29"/>
    <w:rsid w:val="00140FF5"/>
    <w:rsid w:val="001414AD"/>
    <w:rsid w:val="0014212A"/>
    <w:rsid w:val="00142B92"/>
    <w:rsid w:val="00142FB6"/>
    <w:rsid w:val="001436E1"/>
    <w:rsid w:val="00145470"/>
    <w:rsid w:val="00145780"/>
    <w:rsid w:val="00145EE7"/>
    <w:rsid w:val="00146328"/>
    <w:rsid w:val="00146BEF"/>
    <w:rsid w:val="00147789"/>
    <w:rsid w:val="00151E35"/>
    <w:rsid w:val="00152607"/>
    <w:rsid w:val="00152918"/>
    <w:rsid w:val="00152C82"/>
    <w:rsid w:val="00152E11"/>
    <w:rsid w:val="0015325D"/>
    <w:rsid w:val="00154E6E"/>
    <w:rsid w:val="0015565F"/>
    <w:rsid w:val="001556B6"/>
    <w:rsid w:val="00155AE7"/>
    <w:rsid w:val="001569B9"/>
    <w:rsid w:val="00156EE7"/>
    <w:rsid w:val="0015701A"/>
    <w:rsid w:val="001570E5"/>
    <w:rsid w:val="00157731"/>
    <w:rsid w:val="0016194B"/>
    <w:rsid w:val="0016229C"/>
    <w:rsid w:val="001629D2"/>
    <w:rsid w:val="00162A82"/>
    <w:rsid w:val="00163EF5"/>
    <w:rsid w:val="001645C3"/>
    <w:rsid w:val="00164BAB"/>
    <w:rsid w:val="001661A2"/>
    <w:rsid w:val="001663AF"/>
    <w:rsid w:val="00166AF7"/>
    <w:rsid w:val="00167CB5"/>
    <w:rsid w:val="0017084A"/>
    <w:rsid w:val="0017168F"/>
    <w:rsid w:val="00171AD6"/>
    <w:rsid w:val="00171B7E"/>
    <w:rsid w:val="00173631"/>
    <w:rsid w:val="00173876"/>
    <w:rsid w:val="00173DC8"/>
    <w:rsid w:val="00174170"/>
    <w:rsid w:val="00174531"/>
    <w:rsid w:val="001757CB"/>
    <w:rsid w:val="001759B8"/>
    <w:rsid w:val="00175AF2"/>
    <w:rsid w:val="001767CE"/>
    <w:rsid w:val="00176A29"/>
    <w:rsid w:val="00176C76"/>
    <w:rsid w:val="00180702"/>
    <w:rsid w:val="00181A5F"/>
    <w:rsid w:val="00182836"/>
    <w:rsid w:val="00183928"/>
    <w:rsid w:val="00183AED"/>
    <w:rsid w:val="00187ED7"/>
    <w:rsid w:val="00191FBC"/>
    <w:rsid w:val="001929B9"/>
    <w:rsid w:val="0019303F"/>
    <w:rsid w:val="00193963"/>
    <w:rsid w:val="00193D84"/>
    <w:rsid w:val="00194865"/>
    <w:rsid w:val="00194A7D"/>
    <w:rsid w:val="001954B4"/>
    <w:rsid w:val="001959D5"/>
    <w:rsid w:val="00196634"/>
    <w:rsid w:val="001969AA"/>
    <w:rsid w:val="00197336"/>
    <w:rsid w:val="00197B8D"/>
    <w:rsid w:val="001A2CEF"/>
    <w:rsid w:val="001A6225"/>
    <w:rsid w:val="001A631C"/>
    <w:rsid w:val="001A63CA"/>
    <w:rsid w:val="001A6B08"/>
    <w:rsid w:val="001A7051"/>
    <w:rsid w:val="001A7263"/>
    <w:rsid w:val="001A76F1"/>
    <w:rsid w:val="001B005A"/>
    <w:rsid w:val="001B1583"/>
    <w:rsid w:val="001B1C5A"/>
    <w:rsid w:val="001B1D41"/>
    <w:rsid w:val="001B1DC8"/>
    <w:rsid w:val="001B1FDA"/>
    <w:rsid w:val="001B2616"/>
    <w:rsid w:val="001B486A"/>
    <w:rsid w:val="001B4A66"/>
    <w:rsid w:val="001B4B37"/>
    <w:rsid w:val="001B52E9"/>
    <w:rsid w:val="001B629E"/>
    <w:rsid w:val="001B62F4"/>
    <w:rsid w:val="001C0374"/>
    <w:rsid w:val="001C0431"/>
    <w:rsid w:val="001C0A8B"/>
    <w:rsid w:val="001C0AF2"/>
    <w:rsid w:val="001C186D"/>
    <w:rsid w:val="001C261E"/>
    <w:rsid w:val="001C4B03"/>
    <w:rsid w:val="001C4CB9"/>
    <w:rsid w:val="001C5545"/>
    <w:rsid w:val="001D015A"/>
    <w:rsid w:val="001D1327"/>
    <w:rsid w:val="001D13F0"/>
    <w:rsid w:val="001D261C"/>
    <w:rsid w:val="001D2860"/>
    <w:rsid w:val="001D2E20"/>
    <w:rsid w:val="001D3129"/>
    <w:rsid w:val="001D3455"/>
    <w:rsid w:val="001D375F"/>
    <w:rsid w:val="001D731E"/>
    <w:rsid w:val="001D7B0B"/>
    <w:rsid w:val="001E08CB"/>
    <w:rsid w:val="001E0E49"/>
    <w:rsid w:val="001E1FE1"/>
    <w:rsid w:val="001E3629"/>
    <w:rsid w:val="001E4003"/>
    <w:rsid w:val="001E4A87"/>
    <w:rsid w:val="001E5831"/>
    <w:rsid w:val="001E5952"/>
    <w:rsid w:val="001E6248"/>
    <w:rsid w:val="001E693A"/>
    <w:rsid w:val="001E6AFA"/>
    <w:rsid w:val="001F07FB"/>
    <w:rsid w:val="001F0B77"/>
    <w:rsid w:val="001F0CA2"/>
    <w:rsid w:val="001F162F"/>
    <w:rsid w:val="001F2540"/>
    <w:rsid w:val="001F375B"/>
    <w:rsid w:val="001F393C"/>
    <w:rsid w:val="001F4B01"/>
    <w:rsid w:val="001F7292"/>
    <w:rsid w:val="001F737D"/>
    <w:rsid w:val="00200119"/>
    <w:rsid w:val="002019AC"/>
    <w:rsid w:val="00202976"/>
    <w:rsid w:val="00202DEF"/>
    <w:rsid w:val="0020312F"/>
    <w:rsid w:val="002037AF"/>
    <w:rsid w:val="00204209"/>
    <w:rsid w:val="00205069"/>
    <w:rsid w:val="00205149"/>
    <w:rsid w:val="00206DF3"/>
    <w:rsid w:val="00207577"/>
    <w:rsid w:val="00207C47"/>
    <w:rsid w:val="00210F32"/>
    <w:rsid w:val="00211287"/>
    <w:rsid w:val="00211D6A"/>
    <w:rsid w:val="00214DC2"/>
    <w:rsid w:val="00215EDE"/>
    <w:rsid w:val="0021664F"/>
    <w:rsid w:val="00216927"/>
    <w:rsid w:val="002176C6"/>
    <w:rsid w:val="00217F9F"/>
    <w:rsid w:val="002205C5"/>
    <w:rsid w:val="00220944"/>
    <w:rsid w:val="002209AA"/>
    <w:rsid w:val="00220D47"/>
    <w:rsid w:val="00220E4A"/>
    <w:rsid w:val="00220F8E"/>
    <w:rsid w:val="00223839"/>
    <w:rsid w:val="00224925"/>
    <w:rsid w:val="00224947"/>
    <w:rsid w:val="00224BD2"/>
    <w:rsid w:val="00224D69"/>
    <w:rsid w:val="002252D4"/>
    <w:rsid w:val="0022560C"/>
    <w:rsid w:val="00225D01"/>
    <w:rsid w:val="00227102"/>
    <w:rsid w:val="00227364"/>
    <w:rsid w:val="00230919"/>
    <w:rsid w:val="00230939"/>
    <w:rsid w:val="00232E86"/>
    <w:rsid w:val="0023324B"/>
    <w:rsid w:val="00233F3D"/>
    <w:rsid w:val="002370A6"/>
    <w:rsid w:val="00237505"/>
    <w:rsid w:val="00240679"/>
    <w:rsid w:val="00240A39"/>
    <w:rsid w:val="0024184B"/>
    <w:rsid w:val="00241B48"/>
    <w:rsid w:val="00241FB6"/>
    <w:rsid w:val="0024239F"/>
    <w:rsid w:val="00242D0A"/>
    <w:rsid w:val="002432E8"/>
    <w:rsid w:val="0024428E"/>
    <w:rsid w:val="00245727"/>
    <w:rsid w:val="00246565"/>
    <w:rsid w:val="00247450"/>
    <w:rsid w:val="00247AE5"/>
    <w:rsid w:val="002501CC"/>
    <w:rsid w:val="00252F04"/>
    <w:rsid w:val="00253D8B"/>
    <w:rsid w:val="00254DF5"/>
    <w:rsid w:val="0025522A"/>
    <w:rsid w:val="0025554E"/>
    <w:rsid w:val="00255C77"/>
    <w:rsid w:val="00256107"/>
    <w:rsid w:val="00256BD2"/>
    <w:rsid w:val="00257589"/>
    <w:rsid w:val="0025795E"/>
    <w:rsid w:val="00257BDF"/>
    <w:rsid w:val="0026286A"/>
    <w:rsid w:val="00262CC6"/>
    <w:rsid w:val="002640C9"/>
    <w:rsid w:val="0026455C"/>
    <w:rsid w:val="00264B77"/>
    <w:rsid w:val="002655F2"/>
    <w:rsid w:val="00265F92"/>
    <w:rsid w:val="00266288"/>
    <w:rsid w:val="002664C1"/>
    <w:rsid w:val="00267F13"/>
    <w:rsid w:val="00270791"/>
    <w:rsid w:val="00270F15"/>
    <w:rsid w:val="00271772"/>
    <w:rsid w:val="00272EF0"/>
    <w:rsid w:val="002743EE"/>
    <w:rsid w:val="002755AB"/>
    <w:rsid w:val="002759E6"/>
    <w:rsid w:val="00276935"/>
    <w:rsid w:val="002773C2"/>
    <w:rsid w:val="00280187"/>
    <w:rsid w:val="002807AB"/>
    <w:rsid w:val="0028160F"/>
    <w:rsid w:val="00281F5C"/>
    <w:rsid w:val="00282AF2"/>
    <w:rsid w:val="00282D8E"/>
    <w:rsid w:val="002852B3"/>
    <w:rsid w:val="00285ADF"/>
    <w:rsid w:val="00286417"/>
    <w:rsid w:val="00287DAF"/>
    <w:rsid w:val="00290BE9"/>
    <w:rsid w:val="00290BF1"/>
    <w:rsid w:val="0029224B"/>
    <w:rsid w:val="00292884"/>
    <w:rsid w:val="0029346A"/>
    <w:rsid w:val="00294597"/>
    <w:rsid w:val="0029468D"/>
    <w:rsid w:val="00294B29"/>
    <w:rsid w:val="002956B6"/>
    <w:rsid w:val="00296B5B"/>
    <w:rsid w:val="002975F1"/>
    <w:rsid w:val="00297AC4"/>
    <w:rsid w:val="002A1B67"/>
    <w:rsid w:val="002A3D77"/>
    <w:rsid w:val="002A470B"/>
    <w:rsid w:val="002A51A8"/>
    <w:rsid w:val="002A6091"/>
    <w:rsid w:val="002A661A"/>
    <w:rsid w:val="002B0495"/>
    <w:rsid w:val="002B3441"/>
    <w:rsid w:val="002B3DDB"/>
    <w:rsid w:val="002B5928"/>
    <w:rsid w:val="002B60D8"/>
    <w:rsid w:val="002B63F3"/>
    <w:rsid w:val="002B72F5"/>
    <w:rsid w:val="002B76CE"/>
    <w:rsid w:val="002C0105"/>
    <w:rsid w:val="002C021A"/>
    <w:rsid w:val="002C0FBF"/>
    <w:rsid w:val="002C1CFA"/>
    <w:rsid w:val="002C2E68"/>
    <w:rsid w:val="002C360C"/>
    <w:rsid w:val="002C5A29"/>
    <w:rsid w:val="002C61A0"/>
    <w:rsid w:val="002C7837"/>
    <w:rsid w:val="002C7F4D"/>
    <w:rsid w:val="002D1F92"/>
    <w:rsid w:val="002D39B1"/>
    <w:rsid w:val="002D40CC"/>
    <w:rsid w:val="002D55E2"/>
    <w:rsid w:val="002D57FC"/>
    <w:rsid w:val="002D7983"/>
    <w:rsid w:val="002E07A5"/>
    <w:rsid w:val="002E089C"/>
    <w:rsid w:val="002E2AC3"/>
    <w:rsid w:val="002E35D8"/>
    <w:rsid w:val="002E3788"/>
    <w:rsid w:val="002E3EE1"/>
    <w:rsid w:val="002E5085"/>
    <w:rsid w:val="002E5589"/>
    <w:rsid w:val="002E5B85"/>
    <w:rsid w:val="002E693A"/>
    <w:rsid w:val="002F0765"/>
    <w:rsid w:val="002F15A1"/>
    <w:rsid w:val="002F2699"/>
    <w:rsid w:val="002F3007"/>
    <w:rsid w:val="002F37E9"/>
    <w:rsid w:val="002F395A"/>
    <w:rsid w:val="002F5482"/>
    <w:rsid w:val="002F587B"/>
    <w:rsid w:val="002F593B"/>
    <w:rsid w:val="002F5987"/>
    <w:rsid w:val="002F6BC2"/>
    <w:rsid w:val="002F6E5E"/>
    <w:rsid w:val="002F70EA"/>
    <w:rsid w:val="002F71EC"/>
    <w:rsid w:val="002F71EF"/>
    <w:rsid w:val="002F73D2"/>
    <w:rsid w:val="002F7AD5"/>
    <w:rsid w:val="00300B26"/>
    <w:rsid w:val="00300BF5"/>
    <w:rsid w:val="0030116A"/>
    <w:rsid w:val="003019F6"/>
    <w:rsid w:val="00301AB8"/>
    <w:rsid w:val="00302431"/>
    <w:rsid w:val="00303C42"/>
    <w:rsid w:val="00304543"/>
    <w:rsid w:val="003045D9"/>
    <w:rsid w:val="003061B2"/>
    <w:rsid w:val="003064F1"/>
    <w:rsid w:val="003070A2"/>
    <w:rsid w:val="00307318"/>
    <w:rsid w:val="00307746"/>
    <w:rsid w:val="003103ED"/>
    <w:rsid w:val="00310D12"/>
    <w:rsid w:val="0031134A"/>
    <w:rsid w:val="003116D8"/>
    <w:rsid w:val="00311755"/>
    <w:rsid w:val="00312D6B"/>
    <w:rsid w:val="00312D99"/>
    <w:rsid w:val="00313EB5"/>
    <w:rsid w:val="00314E05"/>
    <w:rsid w:val="003157E6"/>
    <w:rsid w:val="00315A44"/>
    <w:rsid w:val="00316516"/>
    <w:rsid w:val="003168FF"/>
    <w:rsid w:val="00317056"/>
    <w:rsid w:val="003173BC"/>
    <w:rsid w:val="0031797F"/>
    <w:rsid w:val="00321681"/>
    <w:rsid w:val="00321A8A"/>
    <w:rsid w:val="00321DBD"/>
    <w:rsid w:val="003228A2"/>
    <w:rsid w:val="00323C07"/>
    <w:rsid w:val="00323FEA"/>
    <w:rsid w:val="00324515"/>
    <w:rsid w:val="003249E8"/>
    <w:rsid w:val="00324FA7"/>
    <w:rsid w:val="00325478"/>
    <w:rsid w:val="00325697"/>
    <w:rsid w:val="00325A50"/>
    <w:rsid w:val="00325AEC"/>
    <w:rsid w:val="003266ED"/>
    <w:rsid w:val="003268E3"/>
    <w:rsid w:val="003302C6"/>
    <w:rsid w:val="0033062E"/>
    <w:rsid w:val="00330797"/>
    <w:rsid w:val="0033218F"/>
    <w:rsid w:val="0033238F"/>
    <w:rsid w:val="0033261F"/>
    <w:rsid w:val="00334D58"/>
    <w:rsid w:val="0033555E"/>
    <w:rsid w:val="00335817"/>
    <w:rsid w:val="0033787C"/>
    <w:rsid w:val="0033798F"/>
    <w:rsid w:val="003401EF"/>
    <w:rsid w:val="00342106"/>
    <w:rsid w:val="0034256A"/>
    <w:rsid w:val="00342AA8"/>
    <w:rsid w:val="00342C25"/>
    <w:rsid w:val="00346A14"/>
    <w:rsid w:val="003516DE"/>
    <w:rsid w:val="00351CD8"/>
    <w:rsid w:val="00354938"/>
    <w:rsid w:val="003551BD"/>
    <w:rsid w:val="00355C9D"/>
    <w:rsid w:val="00355CB4"/>
    <w:rsid w:val="003565DB"/>
    <w:rsid w:val="0035670A"/>
    <w:rsid w:val="003572AF"/>
    <w:rsid w:val="003574DC"/>
    <w:rsid w:val="00357744"/>
    <w:rsid w:val="00357DB9"/>
    <w:rsid w:val="003608B0"/>
    <w:rsid w:val="003609D0"/>
    <w:rsid w:val="00361111"/>
    <w:rsid w:val="003632C9"/>
    <w:rsid w:val="00363827"/>
    <w:rsid w:val="0036444A"/>
    <w:rsid w:val="00364D4F"/>
    <w:rsid w:val="003656B1"/>
    <w:rsid w:val="00365877"/>
    <w:rsid w:val="00370AC1"/>
    <w:rsid w:val="003715BE"/>
    <w:rsid w:val="00371700"/>
    <w:rsid w:val="00371D95"/>
    <w:rsid w:val="00373F3E"/>
    <w:rsid w:val="003742E4"/>
    <w:rsid w:val="003759AD"/>
    <w:rsid w:val="003765D2"/>
    <w:rsid w:val="00380239"/>
    <w:rsid w:val="00380376"/>
    <w:rsid w:val="00380A73"/>
    <w:rsid w:val="003830C2"/>
    <w:rsid w:val="00383438"/>
    <w:rsid w:val="00384291"/>
    <w:rsid w:val="0038575A"/>
    <w:rsid w:val="00386D32"/>
    <w:rsid w:val="00391ACA"/>
    <w:rsid w:val="00391E25"/>
    <w:rsid w:val="00392B3D"/>
    <w:rsid w:val="00393CBA"/>
    <w:rsid w:val="0039511A"/>
    <w:rsid w:val="003953CB"/>
    <w:rsid w:val="00395A7C"/>
    <w:rsid w:val="00395B1D"/>
    <w:rsid w:val="00397BA7"/>
    <w:rsid w:val="00397EB0"/>
    <w:rsid w:val="003A011D"/>
    <w:rsid w:val="003A01A3"/>
    <w:rsid w:val="003A03BF"/>
    <w:rsid w:val="003A15C2"/>
    <w:rsid w:val="003A160D"/>
    <w:rsid w:val="003A2109"/>
    <w:rsid w:val="003A2A99"/>
    <w:rsid w:val="003A32EF"/>
    <w:rsid w:val="003A3533"/>
    <w:rsid w:val="003A46FD"/>
    <w:rsid w:val="003A6777"/>
    <w:rsid w:val="003A774C"/>
    <w:rsid w:val="003B009C"/>
    <w:rsid w:val="003B060B"/>
    <w:rsid w:val="003B0BFD"/>
    <w:rsid w:val="003B1933"/>
    <w:rsid w:val="003B1D2C"/>
    <w:rsid w:val="003B20CD"/>
    <w:rsid w:val="003B258C"/>
    <w:rsid w:val="003B32BE"/>
    <w:rsid w:val="003B3BF0"/>
    <w:rsid w:val="003B725D"/>
    <w:rsid w:val="003C0575"/>
    <w:rsid w:val="003C1FD4"/>
    <w:rsid w:val="003C20DB"/>
    <w:rsid w:val="003C2226"/>
    <w:rsid w:val="003C3ED4"/>
    <w:rsid w:val="003C6114"/>
    <w:rsid w:val="003C617C"/>
    <w:rsid w:val="003C7A27"/>
    <w:rsid w:val="003C7AB5"/>
    <w:rsid w:val="003D016E"/>
    <w:rsid w:val="003D06DE"/>
    <w:rsid w:val="003D290A"/>
    <w:rsid w:val="003D2D82"/>
    <w:rsid w:val="003D3343"/>
    <w:rsid w:val="003D6C70"/>
    <w:rsid w:val="003E42DA"/>
    <w:rsid w:val="003E5A0B"/>
    <w:rsid w:val="003E7A35"/>
    <w:rsid w:val="003F0AFE"/>
    <w:rsid w:val="003F0D9A"/>
    <w:rsid w:val="003F1E69"/>
    <w:rsid w:val="003F3000"/>
    <w:rsid w:val="003F3491"/>
    <w:rsid w:val="003F4CE4"/>
    <w:rsid w:val="003F5E4B"/>
    <w:rsid w:val="003F6130"/>
    <w:rsid w:val="003F67DC"/>
    <w:rsid w:val="0040042D"/>
    <w:rsid w:val="004010E5"/>
    <w:rsid w:val="004013AC"/>
    <w:rsid w:val="0040360D"/>
    <w:rsid w:val="00403A3A"/>
    <w:rsid w:val="00405C4B"/>
    <w:rsid w:val="00406763"/>
    <w:rsid w:val="00406D59"/>
    <w:rsid w:val="00407A8C"/>
    <w:rsid w:val="00407AB5"/>
    <w:rsid w:val="00411CF5"/>
    <w:rsid w:val="00412088"/>
    <w:rsid w:val="00412C9B"/>
    <w:rsid w:val="00412D32"/>
    <w:rsid w:val="0041778D"/>
    <w:rsid w:val="00417857"/>
    <w:rsid w:val="004201F2"/>
    <w:rsid w:val="004204C0"/>
    <w:rsid w:val="00421CDE"/>
    <w:rsid w:val="004230D7"/>
    <w:rsid w:val="0042385C"/>
    <w:rsid w:val="0042504C"/>
    <w:rsid w:val="004265F1"/>
    <w:rsid w:val="004302C3"/>
    <w:rsid w:val="00430651"/>
    <w:rsid w:val="00434904"/>
    <w:rsid w:val="00434FBC"/>
    <w:rsid w:val="004355C8"/>
    <w:rsid w:val="00435DEB"/>
    <w:rsid w:val="00436F6D"/>
    <w:rsid w:val="004374F9"/>
    <w:rsid w:val="00437EE6"/>
    <w:rsid w:val="004402AA"/>
    <w:rsid w:val="00440D25"/>
    <w:rsid w:val="00441B92"/>
    <w:rsid w:val="0044248C"/>
    <w:rsid w:val="0044303E"/>
    <w:rsid w:val="00446475"/>
    <w:rsid w:val="00446F38"/>
    <w:rsid w:val="00452EBB"/>
    <w:rsid w:val="00453756"/>
    <w:rsid w:val="00454167"/>
    <w:rsid w:val="004555D4"/>
    <w:rsid w:val="00456931"/>
    <w:rsid w:val="0045694F"/>
    <w:rsid w:val="00457B65"/>
    <w:rsid w:val="004609D7"/>
    <w:rsid w:val="00461413"/>
    <w:rsid w:val="00462531"/>
    <w:rsid w:val="004626D5"/>
    <w:rsid w:val="004629CA"/>
    <w:rsid w:val="00462B48"/>
    <w:rsid w:val="00462BE8"/>
    <w:rsid w:val="00463C97"/>
    <w:rsid w:val="00465AEA"/>
    <w:rsid w:val="0046674C"/>
    <w:rsid w:val="00466F9F"/>
    <w:rsid w:val="00467916"/>
    <w:rsid w:val="00467BA8"/>
    <w:rsid w:val="00467F75"/>
    <w:rsid w:val="00471E19"/>
    <w:rsid w:val="00472B31"/>
    <w:rsid w:val="00472C51"/>
    <w:rsid w:val="0047312B"/>
    <w:rsid w:val="00473D14"/>
    <w:rsid w:val="0047481F"/>
    <w:rsid w:val="0047567B"/>
    <w:rsid w:val="004758D3"/>
    <w:rsid w:val="00475CB1"/>
    <w:rsid w:val="00475D81"/>
    <w:rsid w:val="0047639B"/>
    <w:rsid w:val="00482588"/>
    <w:rsid w:val="00482E76"/>
    <w:rsid w:val="00483EEA"/>
    <w:rsid w:val="00483F1D"/>
    <w:rsid w:val="00484604"/>
    <w:rsid w:val="0048461A"/>
    <w:rsid w:val="0048465D"/>
    <w:rsid w:val="00484B9E"/>
    <w:rsid w:val="00485702"/>
    <w:rsid w:val="00485FCC"/>
    <w:rsid w:val="0048748A"/>
    <w:rsid w:val="00487A26"/>
    <w:rsid w:val="00487DEA"/>
    <w:rsid w:val="00490ABA"/>
    <w:rsid w:val="00490B49"/>
    <w:rsid w:val="00491430"/>
    <w:rsid w:val="0049200C"/>
    <w:rsid w:val="00492C74"/>
    <w:rsid w:val="0049353D"/>
    <w:rsid w:val="004935EE"/>
    <w:rsid w:val="00493664"/>
    <w:rsid w:val="0049469D"/>
    <w:rsid w:val="0049496D"/>
    <w:rsid w:val="00494EF7"/>
    <w:rsid w:val="00495D4F"/>
    <w:rsid w:val="00495DDF"/>
    <w:rsid w:val="0049630C"/>
    <w:rsid w:val="004973C1"/>
    <w:rsid w:val="00497EA6"/>
    <w:rsid w:val="004A0397"/>
    <w:rsid w:val="004A15D8"/>
    <w:rsid w:val="004A3573"/>
    <w:rsid w:val="004A4954"/>
    <w:rsid w:val="004A5A03"/>
    <w:rsid w:val="004A5C74"/>
    <w:rsid w:val="004A5DCF"/>
    <w:rsid w:val="004A6499"/>
    <w:rsid w:val="004A7A0E"/>
    <w:rsid w:val="004A7C7E"/>
    <w:rsid w:val="004B1163"/>
    <w:rsid w:val="004B132B"/>
    <w:rsid w:val="004B34F4"/>
    <w:rsid w:val="004B4630"/>
    <w:rsid w:val="004B4E98"/>
    <w:rsid w:val="004B7099"/>
    <w:rsid w:val="004B7509"/>
    <w:rsid w:val="004B7CF7"/>
    <w:rsid w:val="004C0E73"/>
    <w:rsid w:val="004C2B89"/>
    <w:rsid w:val="004C2F3F"/>
    <w:rsid w:val="004C45CA"/>
    <w:rsid w:val="004C6501"/>
    <w:rsid w:val="004C70C9"/>
    <w:rsid w:val="004D0D4E"/>
    <w:rsid w:val="004D10B6"/>
    <w:rsid w:val="004D2572"/>
    <w:rsid w:val="004D2EA8"/>
    <w:rsid w:val="004D6124"/>
    <w:rsid w:val="004D6AD1"/>
    <w:rsid w:val="004D6E77"/>
    <w:rsid w:val="004D70F6"/>
    <w:rsid w:val="004D78DB"/>
    <w:rsid w:val="004D7FE5"/>
    <w:rsid w:val="004E0B4D"/>
    <w:rsid w:val="004E289E"/>
    <w:rsid w:val="004E359C"/>
    <w:rsid w:val="004E476A"/>
    <w:rsid w:val="004E6BBA"/>
    <w:rsid w:val="004E7A1D"/>
    <w:rsid w:val="004F00D9"/>
    <w:rsid w:val="004F0C59"/>
    <w:rsid w:val="004F0F95"/>
    <w:rsid w:val="004F2159"/>
    <w:rsid w:val="004F2D97"/>
    <w:rsid w:val="004F317A"/>
    <w:rsid w:val="004F41C1"/>
    <w:rsid w:val="004F4423"/>
    <w:rsid w:val="004F46DC"/>
    <w:rsid w:val="004F55DD"/>
    <w:rsid w:val="004F6009"/>
    <w:rsid w:val="004F6050"/>
    <w:rsid w:val="004F6A29"/>
    <w:rsid w:val="004F7A7A"/>
    <w:rsid w:val="005004C1"/>
    <w:rsid w:val="00501EDC"/>
    <w:rsid w:val="00501F69"/>
    <w:rsid w:val="005026C4"/>
    <w:rsid w:val="00502F66"/>
    <w:rsid w:val="00503BD1"/>
    <w:rsid w:val="00504587"/>
    <w:rsid w:val="00505392"/>
    <w:rsid w:val="00505CEA"/>
    <w:rsid w:val="00510F7B"/>
    <w:rsid w:val="00511F10"/>
    <w:rsid w:val="00512318"/>
    <w:rsid w:val="005125D9"/>
    <w:rsid w:val="00512FAB"/>
    <w:rsid w:val="00514086"/>
    <w:rsid w:val="005149E0"/>
    <w:rsid w:val="00514F9D"/>
    <w:rsid w:val="00516561"/>
    <w:rsid w:val="00522023"/>
    <w:rsid w:val="00523E4E"/>
    <w:rsid w:val="005241A4"/>
    <w:rsid w:val="005254E2"/>
    <w:rsid w:val="00525CFD"/>
    <w:rsid w:val="00526861"/>
    <w:rsid w:val="005277F2"/>
    <w:rsid w:val="005302A6"/>
    <w:rsid w:val="00530C69"/>
    <w:rsid w:val="00530D7C"/>
    <w:rsid w:val="0053279D"/>
    <w:rsid w:val="00532AEE"/>
    <w:rsid w:val="00532B65"/>
    <w:rsid w:val="00532CB7"/>
    <w:rsid w:val="00532EEF"/>
    <w:rsid w:val="00536E30"/>
    <w:rsid w:val="00537BC8"/>
    <w:rsid w:val="005405A9"/>
    <w:rsid w:val="005418CB"/>
    <w:rsid w:val="00541E44"/>
    <w:rsid w:val="00543492"/>
    <w:rsid w:val="005451A5"/>
    <w:rsid w:val="005465B5"/>
    <w:rsid w:val="0054740C"/>
    <w:rsid w:val="00547D2D"/>
    <w:rsid w:val="00551119"/>
    <w:rsid w:val="0055169A"/>
    <w:rsid w:val="00552235"/>
    <w:rsid w:val="00552B44"/>
    <w:rsid w:val="00553B63"/>
    <w:rsid w:val="00553C23"/>
    <w:rsid w:val="00553E9D"/>
    <w:rsid w:val="00553FE4"/>
    <w:rsid w:val="00554C8A"/>
    <w:rsid w:val="00555064"/>
    <w:rsid w:val="00555858"/>
    <w:rsid w:val="00556075"/>
    <w:rsid w:val="00556837"/>
    <w:rsid w:val="00560142"/>
    <w:rsid w:val="00560894"/>
    <w:rsid w:val="00561A5E"/>
    <w:rsid w:val="005628D6"/>
    <w:rsid w:val="005645F5"/>
    <w:rsid w:val="0056523B"/>
    <w:rsid w:val="00567004"/>
    <w:rsid w:val="00567AE3"/>
    <w:rsid w:val="005725A6"/>
    <w:rsid w:val="00572B14"/>
    <w:rsid w:val="005734AB"/>
    <w:rsid w:val="0057583F"/>
    <w:rsid w:val="005766CC"/>
    <w:rsid w:val="00576B5D"/>
    <w:rsid w:val="00576F1F"/>
    <w:rsid w:val="005817AB"/>
    <w:rsid w:val="0058288C"/>
    <w:rsid w:val="00582AB4"/>
    <w:rsid w:val="00584E4C"/>
    <w:rsid w:val="00586912"/>
    <w:rsid w:val="00587194"/>
    <w:rsid w:val="00590169"/>
    <w:rsid w:val="00590F96"/>
    <w:rsid w:val="0059146F"/>
    <w:rsid w:val="00592F9F"/>
    <w:rsid w:val="00593D2C"/>
    <w:rsid w:val="00594C2D"/>
    <w:rsid w:val="005959FA"/>
    <w:rsid w:val="00596E36"/>
    <w:rsid w:val="005976B0"/>
    <w:rsid w:val="005A1157"/>
    <w:rsid w:val="005A202E"/>
    <w:rsid w:val="005A2CE1"/>
    <w:rsid w:val="005A2D73"/>
    <w:rsid w:val="005A3C0B"/>
    <w:rsid w:val="005A42C0"/>
    <w:rsid w:val="005A630A"/>
    <w:rsid w:val="005A69E3"/>
    <w:rsid w:val="005A7AE4"/>
    <w:rsid w:val="005B084A"/>
    <w:rsid w:val="005B0894"/>
    <w:rsid w:val="005B0FBC"/>
    <w:rsid w:val="005B11ED"/>
    <w:rsid w:val="005B1203"/>
    <w:rsid w:val="005B1768"/>
    <w:rsid w:val="005B28ED"/>
    <w:rsid w:val="005B2A88"/>
    <w:rsid w:val="005B2B2F"/>
    <w:rsid w:val="005B4732"/>
    <w:rsid w:val="005B5654"/>
    <w:rsid w:val="005B5B62"/>
    <w:rsid w:val="005B63C5"/>
    <w:rsid w:val="005B6576"/>
    <w:rsid w:val="005B6A83"/>
    <w:rsid w:val="005B6E26"/>
    <w:rsid w:val="005B7F25"/>
    <w:rsid w:val="005C215F"/>
    <w:rsid w:val="005C272B"/>
    <w:rsid w:val="005C2AAD"/>
    <w:rsid w:val="005C2DCD"/>
    <w:rsid w:val="005C3457"/>
    <w:rsid w:val="005C3755"/>
    <w:rsid w:val="005C37C5"/>
    <w:rsid w:val="005C4E2A"/>
    <w:rsid w:val="005C57EF"/>
    <w:rsid w:val="005C5C75"/>
    <w:rsid w:val="005C6F30"/>
    <w:rsid w:val="005C72D5"/>
    <w:rsid w:val="005C79E3"/>
    <w:rsid w:val="005C7C10"/>
    <w:rsid w:val="005D0D4C"/>
    <w:rsid w:val="005D14E5"/>
    <w:rsid w:val="005D2227"/>
    <w:rsid w:val="005D22BA"/>
    <w:rsid w:val="005D3775"/>
    <w:rsid w:val="005D37EF"/>
    <w:rsid w:val="005D3F38"/>
    <w:rsid w:val="005D4C6E"/>
    <w:rsid w:val="005D67AD"/>
    <w:rsid w:val="005D6F20"/>
    <w:rsid w:val="005D7575"/>
    <w:rsid w:val="005E211D"/>
    <w:rsid w:val="005E2238"/>
    <w:rsid w:val="005E252C"/>
    <w:rsid w:val="005E3E39"/>
    <w:rsid w:val="005E489E"/>
    <w:rsid w:val="005E52EF"/>
    <w:rsid w:val="005E6731"/>
    <w:rsid w:val="005E6967"/>
    <w:rsid w:val="005F01F4"/>
    <w:rsid w:val="005F143C"/>
    <w:rsid w:val="005F17C0"/>
    <w:rsid w:val="005F189D"/>
    <w:rsid w:val="005F21EB"/>
    <w:rsid w:val="005F238C"/>
    <w:rsid w:val="005F57D4"/>
    <w:rsid w:val="005F58CD"/>
    <w:rsid w:val="005F5C17"/>
    <w:rsid w:val="005F6BB8"/>
    <w:rsid w:val="005F7E37"/>
    <w:rsid w:val="00600D11"/>
    <w:rsid w:val="0060136F"/>
    <w:rsid w:val="00601D11"/>
    <w:rsid w:val="006021EB"/>
    <w:rsid w:val="00602303"/>
    <w:rsid w:val="00604A7E"/>
    <w:rsid w:val="00604B6E"/>
    <w:rsid w:val="00604BA6"/>
    <w:rsid w:val="00604C8F"/>
    <w:rsid w:val="00605198"/>
    <w:rsid w:val="00605847"/>
    <w:rsid w:val="00605EA6"/>
    <w:rsid w:val="00605F90"/>
    <w:rsid w:val="0060724D"/>
    <w:rsid w:val="006108FE"/>
    <w:rsid w:val="00610970"/>
    <w:rsid w:val="00611718"/>
    <w:rsid w:val="006124C3"/>
    <w:rsid w:val="0061250F"/>
    <w:rsid w:val="00612839"/>
    <w:rsid w:val="00612EFD"/>
    <w:rsid w:val="006131BD"/>
    <w:rsid w:val="006131DD"/>
    <w:rsid w:val="00613574"/>
    <w:rsid w:val="00613A3A"/>
    <w:rsid w:val="00614409"/>
    <w:rsid w:val="006144E9"/>
    <w:rsid w:val="0061462C"/>
    <w:rsid w:val="0061499F"/>
    <w:rsid w:val="00614B50"/>
    <w:rsid w:val="00615858"/>
    <w:rsid w:val="00615DFB"/>
    <w:rsid w:val="00615EF7"/>
    <w:rsid w:val="006216C4"/>
    <w:rsid w:val="00621D7D"/>
    <w:rsid w:val="00621DA1"/>
    <w:rsid w:val="006224DA"/>
    <w:rsid w:val="00624A3B"/>
    <w:rsid w:val="00625A5A"/>
    <w:rsid w:val="00626ED6"/>
    <w:rsid w:val="00627124"/>
    <w:rsid w:val="00631435"/>
    <w:rsid w:val="00632BB0"/>
    <w:rsid w:val="00632ED8"/>
    <w:rsid w:val="006330D5"/>
    <w:rsid w:val="006331C5"/>
    <w:rsid w:val="00633736"/>
    <w:rsid w:val="00633938"/>
    <w:rsid w:val="00633C97"/>
    <w:rsid w:val="00634ABF"/>
    <w:rsid w:val="0063785D"/>
    <w:rsid w:val="00641469"/>
    <w:rsid w:val="00642010"/>
    <w:rsid w:val="006428AC"/>
    <w:rsid w:val="00643908"/>
    <w:rsid w:val="00644C0B"/>
    <w:rsid w:val="00645FDD"/>
    <w:rsid w:val="0064733B"/>
    <w:rsid w:val="00650818"/>
    <w:rsid w:val="00652CEB"/>
    <w:rsid w:val="00653294"/>
    <w:rsid w:val="0065359B"/>
    <w:rsid w:val="00653C9B"/>
    <w:rsid w:val="00653D83"/>
    <w:rsid w:val="00653FEE"/>
    <w:rsid w:val="006543D5"/>
    <w:rsid w:val="00655A0A"/>
    <w:rsid w:val="006562BA"/>
    <w:rsid w:val="0066002B"/>
    <w:rsid w:val="006608BD"/>
    <w:rsid w:val="00660CE7"/>
    <w:rsid w:val="00661B09"/>
    <w:rsid w:val="00662A70"/>
    <w:rsid w:val="00662B22"/>
    <w:rsid w:val="006637B3"/>
    <w:rsid w:val="00664B71"/>
    <w:rsid w:val="00664F9A"/>
    <w:rsid w:val="00665D18"/>
    <w:rsid w:val="00666041"/>
    <w:rsid w:val="006663F3"/>
    <w:rsid w:val="006663F6"/>
    <w:rsid w:val="006666D4"/>
    <w:rsid w:val="00667FE7"/>
    <w:rsid w:val="00670CEF"/>
    <w:rsid w:val="00670FE9"/>
    <w:rsid w:val="00673465"/>
    <w:rsid w:val="006738CF"/>
    <w:rsid w:val="00673F57"/>
    <w:rsid w:val="00675ABF"/>
    <w:rsid w:val="006764A3"/>
    <w:rsid w:val="00677DFF"/>
    <w:rsid w:val="00681F3B"/>
    <w:rsid w:val="00682338"/>
    <w:rsid w:val="006835C8"/>
    <w:rsid w:val="00685205"/>
    <w:rsid w:val="0068528F"/>
    <w:rsid w:val="00685455"/>
    <w:rsid w:val="00685936"/>
    <w:rsid w:val="0069061A"/>
    <w:rsid w:val="00691A79"/>
    <w:rsid w:val="00692B46"/>
    <w:rsid w:val="00692C83"/>
    <w:rsid w:val="00693FF6"/>
    <w:rsid w:val="006944BF"/>
    <w:rsid w:val="00695FE7"/>
    <w:rsid w:val="006A01A9"/>
    <w:rsid w:val="006A2153"/>
    <w:rsid w:val="006A2251"/>
    <w:rsid w:val="006A49A2"/>
    <w:rsid w:val="006A4F4D"/>
    <w:rsid w:val="006A5909"/>
    <w:rsid w:val="006B00FB"/>
    <w:rsid w:val="006B184E"/>
    <w:rsid w:val="006B2E7A"/>
    <w:rsid w:val="006B4005"/>
    <w:rsid w:val="006B4C06"/>
    <w:rsid w:val="006B5EDB"/>
    <w:rsid w:val="006B6273"/>
    <w:rsid w:val="006B7273"/>
    <w:rsid w:val="006B76B6"/>
    <w:rsid w:val="006C10F7"/>
    <w:rsid w:val="006C21C6"/>
    <w:rsid w:val="006C3950"/>
    <w:rsid w:val="006C56D5"/>
    <w:rsid w:val="006C6616"/>
    <w:rsid w:val="006D02CC"/>
    <w:rsid w:val="006D07BA"/>
    <w:rsid w:val="006D1C93"/>
    <w:rsid w:val="006D2877"/>
    <w:rsid w:val="006D47A1"/>
    <w:rsid w:val="006D58CF"/>
    <w:rsid w:val="006D593E"/>
    <w:rsid w:val="006D620C"/>
    <w:rsid w:val="006E1804"/>
    <w:rsid w:val="006E187C"/>
    <w:rsid w:val="006E1BA7"/>
    <w:rsid w:val="006E52AF"/>
    <w:rsid w:val="006E7C5C"/>
    <w:rsid w:val="006F05C5"/>
    <w:rsid w:val="006F315B"/>
    <w:rsid w:val="006F3D1A"/>
    <w:rsid w:val="006F51F5"/>
    <w:rsid w:val="006F5226"/>
    <w:rsid w:val="006F6142"/>
    <w:rsid w:val="006F6BE8"/>
    <w:rsid w:val="006F6F3A"/>
    <w:rsid w:val="006F7158"/>
    <w:rsid w:val="006F7DB7"/>
    <w:rsid w:val="006F7E81"/>
    <w:rsid w:val="00700C91"/>
    <w:rsid w:val="0070155B"/>
    <w:rsid w:val="0070256A"/>
    <w:rsid w:val="0070339A"/>
    <w:rsid w:val="00703F28"/>
    <w:rsid w:val="00703F84"/>
    <w:rsid w:val="00706267"/>
    <w:rsid w:val="007072D7"/>
    <w:rsid w:val="00707709"/>
    <w:rsid w:val="00711D58"/>
    <w:rsid w:val="00712116"/>
    <w:rsid w:val="00712FCA"/>
    <w:rsid w:val="00714285"/>
    <w:rsid w:val="0071473D"/>
    <w:rsid w:val="00715BDA"/>
    <w:rsid w:val="00715CED"/>
    <w:rsid w:val="00715D2F"/>
    <w:rsid w:val="00715D41"/>
    <w:rsid w:val="0071649A"/>
    <w:rsid w:val="00716627"/>
    <w:rsid w:val="0071717A"/>
    <w:rsid w:val="00717EA7"/>
    <w:rsid w:val="0072135C"/>
    <w:rsid w:val="007213E3"/>
    <w:rsid w:val="00721592"/>
    <w:rsid w:val="00721613"/>
    <w:rsid w:val="00721C99"/>
    <w:rsid w:val="00722D76"/>
    <w:rsid w:val="00723025"/>
    <w:rsid w:val="0072449D"/>
    <w:rsid w:val="007271E4"/>
    <w:rsid w:val="007273A5"/>
    <w:rsid w:val="007275F9"/>
    <w:rsid w:val="00727820"/>
    <w:rsid w:val="00731BC8"/>
    <w:rsid w:val="00732CCD"/>
    <w:rsid w:val="00732E8E"/>
    <w:rsid w:val="00735379"/>
    <w:rsid w:val="007355DA"/>
    <w:rsid w:val="007356D9"/>
    <w:rsid w:val="007356ED"/>
    <w:rsid w:val="007360A5"/>
    <w:rsid w:val="0074032F"/>
    <w:rsid w:val="00740EB0"/>
    <w:rsid w:val="00741DC7"/>
    <w:rsid w:val="00742405"/>
    <w:rsid w:val="00744DAC"/>
    <w:rsid w:val="00746F08"/>
    <w:rsid w:val="007473E5"/>
    <w:rsid w:val="0075292B"/>
    <w:rsid w:val="00752967"/>
    <w:rsid w:val="00752B3C"/>
    <w:rsid w:val="007532AE"/>
    <w:rsid w:val="00753889"/>
    <w:rsid w:val="00755B94"/>
    <w:rsid w:val="0075773C"/>
    <w:rsid w:val="007603EC"/>
    <w:rsid w:val="007606EB"/>
    <w:rsid w:val="00762204"/>
    <w:rsid w:val="007636F1"/>
    <w:rsid w:val="00765740"/>
    <w:rsid w:val="0076588A"/>
    <w:rsid w:val="00766512"/>
    <w:rsid w:val="007669E5"/>
    <w:rsid w:val="007676D1"/>
    <w:rsid w:val="00770ADC"/>
    <w:rsid w:val="00770FC1"/>
    <w:rsid w:val="00771D54"/>
    <w:rsid w:val="007723C6"/>
    <w:rsid w:val="0077292E"/>
    <w:rsid w:val="00772FF2"/>
    <w:rsid w:val="007737EC"/>
    <w:rsid w:val="0077513A"/>
    <w:rsid w:val="0077564C"/>
    <w:rsid w:val="00777B3A"/>
    <w:rsid w:val="00777B90"/>
    <w:rsid w:val="00777ED8"/>
    <w:rsid w:val="00777FCD"/>
    <w:rsid w:val="00780952"/>
    <w:rsid w:val="00780C32"/>
    <w:rsid w:val="007821C6"/>
    <w:rsid w:val="00782DFE"/>
    <w:rsid w:val="007834DF"/>
    <w:rsid w:val="00783A70"/>
    <w:rsid w:val="007847DC"/>
    <w:rsid w:val="007854F1"/>
    <w:rsid w:val="007875D7"/>
    <w:rsid w:val="00787883"/>
    <w:rsid w:val="00787904"/>
    <w:rsid w:val="00790357"/>
    <w:rsid w:val="00790DF2"/>
    <w:rsid w:val="00791ABA"/>
    <w:rsid w:val="0079318C"/>
    <w:rsid w:val="007932C2"/>
    <w:rsid w:val="00793C88"/>
    <w:rsid w:val="00794465"/>
    <w:rsid w:val="00796B18"/>
    <w:rsid w:val="00796C56"/>
    <w:rsid w:val="00796EE0"/>
    <w:rsid w:val="00797293"/>
    <w:rsid w:val="007973AC"/>
    <w:rsid w:val="00797676"/>
    <w:rsid w:val="00797A08"/>
    <w:rsid w:val="00797CA0"/>
    <w:rsid w:val="00797DDA"/>
    <w:rsid w:val="007A0222"/>
    <w:rsid w:val="007A03E0"/>
    <w:rsid w:val="007A0AFA"/>
    <w:rsid w:val="007A0B60"/>
    <w:rsid w:val="007A1C43"/>
    <w:rsid w:val="007A2421"/>
    <w:rsid w:val="007A3AC7"/>
    <w:rsid w:val="007A48F7"/>
    <w:rsid w:val="007B0E6D"/>
    <w:rsid w:val="007B2894"/>
    <w:rsid w:val="007B3921"/>
    <w:rsid w:val="007B3A32"/>
    <w:rsid w:val="007B5DB5"/>
    <w:rsid w:val="007B6175"/>
    <w:rsid w:val="007B6B47"/>
    <w:rsid w:val="007C05EA"/>
    <w:rsid w:val="007C06DA"/>
    <w:rsid w:val="007C14FC"/>
    <w:rsid w:val="007C1B02"/>
    <w:rsid w:val="007C1DD6"/>
    <w:rsid w:val="007C2D7E"/>
    <w:rsid w:val="007C736D"/>
    <w:rsid w:val="007C74AB"/>
    <w:rsid w:val="007C7A67"/>
    <w:rsid w:val="007C7B93"/>
    <w:rsid w:val="007D063C"/>
    <w:rsid w:val="007D23C0"/>
    <w:rsid w:val="007D3AF2"/>
    <w:rsid w:val="007D4B4F"/>
    <w:rsid w:val="007D4D1F"/>
    <w:rsid w:val="007D4F1D"/>
    <w:rsid w:val="007D53F2"/>
    <w:rsid w:val="007D5484"/>
    <w:rsid w:val="007D5963"/>
    <w:rsid w:val="007D63C8"/>
    <w:rsid w:val="007E022F"/>
    <w:rsid w:val="007E052E"/>
    <w:rsid w:val="007E0A44"/>
    <w:rsid w:val="007E1973"/>
    <w:rsid w:val="007E1D4D"/>
    <w:rsid w:val="007E29A8"/>
    <w:rsid w:val="007E3133"/>
    <w:rsid w:val="007E4B92"/>
    <w:rsid w:val="007E5734"/>
    <w:rsid w:val="007E5FA8"/>
    <w:rsid w:val="007E63CE"/>
    <w:rsid w:val="007E7C42"/>
    <w:rsid w:val="007F0585"/>
    <w:rsid w:val="007F0785"/>
    <w:rsid w:val="007F0D64"/>
    <w:rsid w:val="007F180B"/>
    <w:rsid w:val="007F1816"/>
    <w:rsid w:val="007F1D76"/>
    <w:rsid w:val="007F2558"/>
    <w:rsid w:val="007F3AA3"/>
    <w:rsid w:val="007F5101"/>
    <w:rsid w:val="007F680E"/>
    <w:rsid w:val="007F6BE7"/>
    <w:rsid w:val="007F7FF8"/>
    <w:rsid w:val="00803885"/>
    <w:rsid w:val="00805A83"/>
    <w:rsid w:val="00805B8C"/>
    <w:rsid w:val="00806BAE"/>
    <w:rsid w:val="00806C17"/>
    <w:rsid w:val="00807A2B"/>
    <w:rsid w:val="008109E6"/>
    <w:rsid w:val="00810EA2"/>
    <w:rsid w:val="00811E78"/>
    <w:rsid w:val="0081566C"/>
    <w:rsid w:val="00817800"/>
    <w:rsid w:val="00817EFD"/>
    <w:rsid w:val="0082011B"/>
    <w:rsid w:val="008211CD"/>
    <w:rsid w:val="00822A17"/>
    <w:rsid w:val="00823664"/>
    <w:rsid w:val="00824C3C"/>
    <w:rsid w:val="00825DAF"/>
    <w:rsid w:val="00825E77"/>
    <w:rsid w:val="008270AC"/>
    <w:rsid w:val="0083197B"/>
    <w:rsid w:val="008324D9"/>
    <w:rsid w:val="008343B2"/>
    <w:rsid w:val="008345FC"/>
    <w:rsid w:val="008355CA"/>
    <w:rsid w:val="008362EF"/>
    <w:rsid w:val="008365D1"/>
    <w:rsid w:val="00837189"/>
    <w:rsid w:val="00842501"/>
    <w:rsid w:val="00842D0E"/>
    <w:rsid w:val="00844BD1"/>
    <w:rsid w:val="00844F2A"/>
    <w:rsid w:val="00845E53"/>
    <w:rsid w:val="0084606A"/>
    <w:rsid w:val="0084650F"/>
    <w:rsid w:val="00846C02"/>
    <w:rsid w:val="008507CE"/>
    <w:rsid w:val="00850EC9"/>
    <w:rsid w:val="008513A6"/>
    <w:rsid w:val="00851AA1"/>
    <w:rsid w:val="00851AF1"/>
    <w:rsid w:val="0085264A"/>
    <w:rsid w:val="00852A68"/>
    <w:rsid w:val="0085378D"/>
    <w:rsid w:val="00853AD8"/>
    <w:rsid w:val="00856F20"/>
    <w:rsid w:val="008573FE"/>
    <w:rsid w:val="00857A07"/>
    <w:rsid w:val="00860416"/>
    <w:rsid w:val="008619A7"/>
    <w:rsid w:val="008626CB"/>
    <w:rsid w:val="0086295C"/>
    <w:rsid w:val="00862FDC"/>
    <w:rsid w:val="0086397B"/>
    <w:rsid w:val="008639B0"/>
    <w:rsid w:val="00864376"/>
    <w:rsid w:val="008644DD"/>
    <w:rsid w:val="008657DD"/>
    <w:rsid w:val="008667DE"/>
    <w:rsid w:val="00867467"/>
    <w:rsid w:val="00867E6D"/>
    <w:rsid w:val="008700C3"/>
    <w:rsid w:val="00870349"/>
    <w:rsid w:val="00870D42"/>
    <w:rsid w:val="00871230"/>
    <w:rsid w:val="008718BE"/>
    <w:rsid w:val="00872D44"/>
    <w:rsid w:val="00873BE7"/>
    <w:rsid w:val="00874BBE"/>
    <w:rsid w:val="00876166"/>
    <w:rsid w:val="0087752D"/>
    <w:rsid w:val="008778ED"/>
    <w:rsid w:val="00877A16"/>
    <w:rsid w:val="008807EA"/>
    <w:rsid w:val="00881B43"/>
    <w:rsid w:val="00881C87"/>
    <w:rsid w:val="0088319D"/>
    <w:rsid w:val="008841F7"/>
    <w:rsid w:val="008847B8"/>
    <w:rsid w:val="008853F9"/>
    <w:rsid w:val="00886BC2"/>
    <w:rsid w:val="00886FE6"/>
    <w:rsid w:val="00886FF3"/>
    <w:rsid w:val="008877BE"/>
    <w:rsid w:val="00887BF2"/>
    <w:rsid w:val="00887E6D"/>
    <w:rsid w:val="008901A9"/>
    <w:rsid w:val="008901BE"/>
    <w:rsid w:val="0089051B"/>
    <w:rsid w:val="00890AB8"/>
    <w:rsid w:val="00890BC2"/>
    <w:rsid w:val="00890D2D"/>
    <w:rsid w:val="00890F3A"/>
    <w:rsid w:val="0089107D"/>
    <w:rsid w:val="00891C0A"/>
    <w:rsid w:val="00892357"/>
    <w:rsid w:val="008924CD"/>
    <w:rsid w:val="008927AF"/>
    <w:rsid w:val="008931FD"/>
    <w:rsid w:val="008935F1"/>
    <w:rsid w:val="008942F3"/>
    <w:rsid w:val="00894DFE"/>
    <w:rsid w:val="008A09BA"/>
    <w:rsid w:val="008A115F"/>
    <w:rsid w:val="008A1BDB"/>
    <w:rsid w:val="008A24BA"/>
    <w:rsid w:val="008A4342"/>
    <w:rsid w:val="008A43D8"/>
    <w:rsid w:val="008A44EA"/>
    <w:rsid w:val="008A4EFD"/>
    <w:rsid w:val="008A52B4"/>
    <w:rsid w:val="008A6040"/>
    <w:rsid w:val="008A6312"/>
    <w:rsid w:val="008A7269"/>
    <w:rsid w:val="008A7938"/>
    <w:rsid w:val="008B1870"/>
    <w:rsid w:val="008B1D6C"/>
    <w:rsid w:val="008B2736"/>
    <w:rsid w:val="008B28FB"/>
    <w:rsid w:val="008B3059"/>
    <w:rsid w:val="008B381B"/>
    <w:rsid w:val="008B5C52"/>
    <w:rsid w:val="008B5D7C"/>
    <w:rsid w:val="008B6508"/>
    <w:rsid w:val="008B714B"/>
    <w:rsid w:val="008B7534"/>
    <w:rsid w:val="008C01A4"/>
    <w:rsid w:val="008C04D0"/>
    <w:rsid w:val="008C06BD"/>
    <w:rsid w:val="008C1414"/>
    <w:rsid w:val="008C1AAB"/>
    <w:rsid w:val="008C1EDB"/>
    <w:rsid w:val="008C22D4"/>
    <w:rsid w:val="008C23FF"/>
    <w:rsid w:val="008C3C90"/>
    <w:rsid w:val="008C4C0B"/>
    <w:rsid w:val="008C5C6C"/>
    <w:rsid w:val="008C6EAF"/>
    <w:rsid w:val="008C71FF"/>
    <w:rsid w:val="008C73E5"/>
    <w:rsid w:val="008C7648"/>
    <w:rsid w:val="008C79F2"/>
    <w:rsid w:val="008D03A4"/>
    <w:rsid w:val="008D0797"/>
    <w:rsid w:val="008D11A3"/>
    <w:rsid w:val="008D2B7D"/>
    <w:rsid w:val="008D3DAF"/>
    <w:rsid w:val="008D4C72"/>
    <w:rsid w:val="008D51C5"/>
    <w:rsid w:val="008D575D"/>
    <w:rsid w:val="008D6BF0"/>
    <w:rsid w:val="008E319F"/>
    <w:rsid w:val="008E721F"/>
    <w:rsid w:val="008E7A81"/>
    <w:rsid w:val="008F014E"/>
    <w:rsid w:val="008F0398"/>
    <w:rsid w:val="008F0E09"/>
    <w:rsid w:val="008F123D"/>
    <w:rsid w:val="008F1820"/>
    <w:rsid w:val="008F1956"/>
    <w:rsid w:val="008F19D0"/>
    <w:rsid w:val="008F2D6C"/>
    <w:rsid w:val="008F4241"/>
    <w:rsid w:val="008F4735"/>
    <w:rsid w:val="008F5446"/>
    <w:rsid w:val="008F56A1"/>
    <w:rsid w:val="008F5C7A"/>
    <w:rsid w:val="008F5E6B"/>
    <w:rsid w:val="008F61D8"/>
    <w:rsid w:val="008F699F"/>
    <w:rsid w:val="009008F9"/>
    <w:rsid w:val="00900ABE"/>
    <w:rsid w:val="009010B3"/>
    <w:rsid w:val="009023C2"/>
    <w:rsid w:val="00902CBA"/>
    <w:rsid w:val="00903378"/>
    <w:rsid w:val="009065A9"/>
    <w:rsid w:val="00906FC0"/>
    <w:rsid w:val="009105F6"/>
    <w:rsid w:val="00912773"/>
    <w:rsid w:val="00912839"/>
    <w:rsid w:val="00912D75"/>
    <w:rsid w:val="009134AC"/>
    <w:rsid w:val="00913A72"/>
    <w:rsid w:val="00913D87"/>
    <w:rsid w:val="009153C1"/>
    <w:rsid w:val="00916BD3"/>
    <w:rsid w:val="0092039F"/>
    <w:rsid w:val="009209FE"/>
    <w:rsid w:val="00921691"/>
    <w:rsid w:val="00922738"/>
    <w:rsid w:val="00924718"/>
    <w:rsid w:val="00926C36"/>
    <w:rsid w:val="00927884"/>
    <w:rsid w:val="00930363"/>
    <w:rsid w:val="0093036E"/>
    <w:rsid w:val="009311EE"/>
    <w:rsid w:val="00931AD5"/>
    <w:rsid w:val="00931BE9"/>
    <w:rsid w:val="009327F4"/>
    <w:rsid w:val="00932FD2"/>
    <w:rsid w:val="00933482"/>
    <w:rsid w:val="00933A91"/>
    <w:rsid w:val="00936FE3"/>
    <w:rsid w:val="0093713F"/>
    <w:rsid w:val="0094205E"/>
    <w:rsid w:val="009442D8"/>
    <w:rsid w:val="0094548F"/>
    <w:rsid w:val="00945DA4"/>
    <w:rsid w:val="00947DBB"/>
    <w:rsid w:val="009509BB"/>
    <w:rsid w:val="00951109"/>
    <w:rsid w:val="00952B4A"/>
    <w:rsid w:val="00953084"/>
    <w:rsid w:val="00953747"/>
    <w:rsid w:val="00953B97"/>
    <w:rsid w:val="009555F3"/>
    <w:rsid w:val="00955B13"/>
    <w:rsid w:val="00956619"/>
    <w:rsid w:val="0095684E"/>
    <w:rsid w:val="0095776A"/>
    <w:rsid w:val="009603A5"/>
    <w:rsid w:val="00961C4A"/>
    <w:rsid w:val="00962CBB"/>
    <w:rsid w:val="009649F7"/>
    <w:rsid w:val="00965800"/>
    <w:rsid w:val="0096630D"/>
    <w:rsid w:val="00966B3C"/>
    <w:rsid w:val="00966CEE"/>
    <w:rsid w:val="00967A11"/>
    <w:rsid w:val="009705E2"/>
    <w:rsid w:val="00971A97"/>
    <w:rsid w:val="009728A5"/>
    <w:rsid w:val="00972C50"/>
    <w:rsid w:val="00973268"/>
    <w:rsid w:val="00974117"/>
    <w:rsid w:val="00974784"/>
    <w:rsid w:val="009757F0"/>
    <w:rsid w:val="00976185"/>
    <w:rsid w:val="00976A23"/>
    <w:rsid w:val="00976D77"/>
    <w:rsid w:val="00976EBB"/>
    <w:rsid w:val="009776E4"/>
    <w:rsid w:val="009815FD"/>
    <w:rsid w:val="009821AC"/>
    <w:rsid w:val="0098240A"/>
    <w:rsid w:val="009829EA"/>
    <w:rsid w:val="00983FE4"/>
    <w:rsid w:val="009843D2"/>
    <w:rsid w:val="00984D27"/>
    <w:rsid w:val="00984E8E"/>
    <w:rsid w:val="0098571D"/>
    <w:rsid w:val="00987310"/>
    <w:rsid w:val="00987A34"/>
    <w:rsid w:val="00990DFD"/>
    <w:rsid w:val="0099135F"/>
    <w:rsid w:val="0099212E"/>
    <w:rsid w:val="009924B9"/>
    <w:rsid w:val="0099284C"/>
    <w:rsid w:val="00992DA2"/>
    <w:rsid w:val="00993358"/>
    <w:rsid w:val="0099385B"/>
    <w:rsid w:val="009940B1"/>
    <w:rsid w:val="00994C7F"/>
    <w:rsid w:val="0099572B"/>
    <w:rsid w:val="00995BF2"/>
    <w:rsid w:val="009978D3"/>
    <w:rsid w:val="009A0570"/>
    <w:rsid w:val="009A11A4"/>
    <w:rsid w:val="009A2257"/>
    <w:rsid w:val="009A2803"/>
    <w:rsid w:val="009A528D"/>
    <w:rsid w:val="009A6446"/>
    <w:rsid w:val="009B029A"/>
    <w:rsid w:val="009B0B9E"/>
    <w:rsid w:val="009B1520"/>
    <w:rsid w:val="009B17CC"/>
    <w:rsid w:val="009B2D00"/>
    <w:rsid w:val="009B4079"/>
    <w:rsid w:val="009B4D57"/>
    <w:rsid w:val="009B4FC7"/>
    <w:rsid w:val="009B5049"/>
    <w:rsid w:val="009B68F4"/>
    <w:rsid w:val="009B6A19"/>
    <w:rsid w:val="009B6A6F"/>
    <w:rsid w:val="009B726D"/>
    <w:rsid w:val="009C0300"/>
    <w:rsid w:val="009C1035"/>
    <w:rsid w:val="009C190E"/>
    <w:rsid w:val="009C37BF"/>
    <w:rsid w:val="009C4BC5"/>
    <w:rsid w:val="009C4E56"/>
    <w:rsid w:val="009C6102"/>
    <w:rsid w:val="009C68AF"/>
    <w:rsid w:val="009C6ECD"/>
    <w:rsid w:val="009C7A8A"/>
    <w:rsid w:val="009C7D06"/>
    <w:rsid w:val="009D0026"/>
    <w:rsid w:val="009D09ED"/>
    <w:rsid w:val="009D0C07"/>
    <w:rsid w:val="009D1813"/>
    <w:rsid w:val="009D1EBD"/>
    <w:rsid w:val="009D1FF4"/>
    <w:rsid w:val="009D3FDF"/>
    <w:rsid w:val="009D474C"/>
    <w:rsid w:val="009D50F4"/>
    <w:rsid w:val="009D5264"/>
    <w:rsid w:val="009D5D5D"/>
    <w:rsid w:val="009D7691"/>
    <w:rsid w:val="009D7D18"/>
    <w:rsid w:val="009E137B"/>
    <w:rsid w:val="009E1CCB"/>
    <w:rsid w:val="009E2239"/>
    <w:rsid w:val="009E267F"/>
    <w:rsid w:val="009E7180"/>
    <w:rsid w:val="009E72CD"/>
    <w:rsid w:val="009E73A2"/>
    <w:rsid w:val="009E74B7"/>
    <w:rsid w:val="009F0C00"/>
    <w:rsid w:val="009F0FFF"/>
    <w:rsid w:val="009F1128"/>
    <w:rsid w:val="009F35E1"/>
    <w:rsid w:val="009F462B"/>
    <w:rsid w:val="009F4DD1"/>
    <w:rsid w:val="009F563C"/>
    <w:rsid w:val="009F7388"/>
    <w:rsid w:val="009F78F6"/>
    <w:rsid w:val="009F7961"/>
    <w:rsid w:val="009F7C08"/>
    <w:rsid w:val="00A00180"/>
    <w:rsid w:val="00A00DFB"/>
    <w:rsid w:val="00A00F65"/>
    <w:rsid w:val="00A01A67"/>
    <w:rsid w:val="00A02C98"/>
    <w:rsid w:val="00A05249"/>
    <w:rsid w:val="00A0597D"/>
    <w:rsid w:val="00A069E6"/>
    <w:rsid w:val="00A06F59"/>
    <w:rsid w:val="00A07E31"/>
    <w:rsid w:val="00A10948"/>
    <w:rsid w:val="00A119D8"/>
    <w:rsid w:val="00A11E61"/>
    <w:rsid w:val="00A13BBB"/>
    <w:rsid w:val="00A153A0"/>
    <w:rsid w:val="00A16E4E"/>
    <w:rsid w:val="00A21B97"/>
    <w:rsid w:val="00A2234C"/>
    <w:rsid w:val="00A22F9B"/>
    <w:rsid w:val="00A234D1"/>
    <w:rsid w:val="00A237AC"/>
    <w:rsid w:val="00A23B8A"/>
    <w:rsid w:val="00A23C25"/>
    <w:rsid w:val="00A24833"/>
    <w:rsid w:val="00A24FEC"/>
    <w:rsid w:val="00A25A27"/>
    <w:rsid w:val="00A26B0D"/>
    <w:rsid w:val="00A27096"/>
    <w:rsid w:val="00A305E2"/>
    <w:rsid w:val="00A3063D"/>
    <w:rsid w:val="00A30CFA"/>
    <w:rsid w:val="00A31449"/>
    <w:rsid w:val="00A32026"/>
    <w:rsid w:val="00A32706"/>
    <w:rsid w:val="00A33B54"/>
    <w:rsid w:val="00A34BEA"/>
    <w:rsid w:val="00A34D2F"/>
    <w:rsid w:val="00A35019"/>
    <w:rsid w:val="00A351C3"/>
    <w:rsid w:val="00A35710"/>
    <w:rsid w:val="00A35A07"/>
    <w:rsid w:val="00A35D54"/>
    <w:rsid w:val="00A375D5"/>
    <w:rsid w:val="00A40341"/>
    <w:rsid w:val="00A40CAA"/>
    <w:rsid w:val="00A40E08"/>
    <w:rsid w:val="00A41BB5"/>
    <w:rsid w:val="00A42171"/>
    <w:rsid w:val="00A42D44"/>
    <w:rsid w:val="00A43D62"/>
    <w:rsid w:val="00A44CF1"/>
    <w:rsid w:val="00A475B9"/>
    <w:rsid w:val="00A50017"/>
    <w:rsid w:val="00A5077A"/>
    <w:rsid w:val="00A50817"/>
    <w:rsid w:val="00A512F4"/>
    <w:rsid w:val="00A520F0"/>
    <w:rsid w:val="00A523F0"/>
    <w:rsid w:val="00A52D7F"/>
    <w:rsid w:val="00A53601"/>
    <w:rsid w:val="00A54093"/>
    <w:rsid w:val="00A545E9"/>
    <w:rsid w:val="00A565FF"/>
    <w:rsid w:val="00A56B2F"/>
    <w:rsid w:val="00A574F8"/>
    <w:rsid w:val="00A612BA"/>
    <w:rsid w:val="00A613AA"/>
    <w:rsid w:val="00A62D78"/>
    <w:rsid w:val="00A62E68"/>
    <w:rsid w:val="00A632BC"/>
    <w:rsid w:val="00A635C4"/>
    <w:rsid w:val="00A658A0"/>
    <w:rsid w:val="00A702C7"/>
    <w:rsid w:val="00A70458"/>
    <w:rsid w:val="00A71100"/>
    <w:rsid w:val="00A71219"/>
    <w:rsid w:val="00A71968"/>
    <w:rsid w:val="00A71A3B"/>
    <w:rsid w:val="00A71E0F"/>
    <w:rsid w:val="00A71EE8"/>
    <w:rsid w:val="00A721DE"/>
    <w:rsid w:val="00A721F7"/>
    <w:rsid w:val="00A725F8"/>
    <w:rsid w:val="00A750F8"/>
    <w:rsid w:val="00A763DB"/>
    <w:rsid w:val="00A775C5"/>
    <w:rsid w:val="00A81181"/>
    <w:rsid w:val="00A81732"/>
    <w:rsid w:val="00A82798"/>
    <w:rsid w:val="00A8377D"/>
    <w:rsid w:val="00A83952"/>
    <w:rsid w:val="00A83D5E"/>
    <w:rsid w:val="00A843F4"/>
    <w:rsid w:val="00A848AA"/>
    <w:rsid w:val="00A863DC"/>
    <w:rsid w:val="00A86F67"/>
    <w:rsid w:val="00A90491"/>
    <w:rsid w:val="00A905B8"/>
    <w:rsid w:val="00A9093C"/>
    <w:rsid w:val="00A90B1D"/>
    <w:rsid w:val="00A91222"/>
    <w:rsid w:val="00A936EA"/>
    <w:rsid w:val="00A939E2"/>
    <w:rsid w:val="00AA03E3"/>
    <w:rsid w:val="00AA189C"/>
    <w:rsid w:val="00AA1AE9"/>
    <w:rsid w:val="00AA2293"/>
    <w:rsid w:val="00AA22FF"/>
    <w:rsid w:val="00AB0C8D"/>
    <w:rsid w:val="00AB13F3"/>
    <w:rsid w:val="00AB2112"/>
    <w:rsid w:val="00AB3891"/>
    <w:rsid w:val="00AB4856"/>
    <w:rsid w:val="00AB5A8D"/>
    <w:rsid w:val="00AB6310"/>
    <w:rsid w:val="00AB67C7"/>
    <w:rsid w:val="00AB764F"/>
    <w:rsid w:val="00AC177E"/>
    <w:rsid w:val="00AC48A4"/>
    <w:rsid w:val="00AC61C4"/>
    <w:rsid w:val="00AC65AC"/>
    <w:rsid w:val="00AC6ADF"/>
    <w:rsid w:val="00AC7A0A"/>
    <w:rsid w:val="00AD12C6"/>
    <w:rsid w:val="00AD16D7"/>
    <w:rsid w:val="00AD209F"/>
    <w:rsid w:val="00AD2F9C"/>
    <w:rsid w:val="00AD32A0"/>
    <w:rsid w:val="00AD3CA8"/>
    <w:rsid w:val="00AD424B"/>
    <w:rsid w:val="00AD6626"/>
    <w:rsid w:val="00AD66F7"/>
    <w:rsid w:val="00AD6DE0"/>
    <w:rsid w:val="00AD780B"/>
    <w:rsid w:val="00AD7A05"/>
    <w:rsid w:val="00AD7F9A"/>
    <w:rsid w:val="00AE06CD"/>
    <w:rsid w:val="00AE0D21"/>
    <w:rsid w:val="00AE0E5D"/>
    <w:rsid w:val="00AE20DE"/>
    <w:rsid w:val="00AE265B"/>
    <w:rsid w:val="00AE2A37"/>
    <w:rsid w:val="00AE31DF"/>
    <w:rsid w:val="00AE34F4"/>
    <w:rsid w:val="00AE404B"/>
    <w:rsid w:val="00AE48DD"/>
    <w:rsid w:val="00AE6CCD"/>
    <w:rsid w:val="00AE7AA1"/>
    <w:rsid w:val="00AE7B4E"/>
    <w:rsid w:val="00AE7E62"/>
    <w:rsid w:val="00AF0CEA"/>
    <w:rsid w:val="00AF37C1"/>
    <w:rsid w:val="00AF435D"/>
    <w:rsid w:val="00AF5061"/>
    <w:rsid w:val="00AF52C7"/>
    <w:rsid w:val="00AF5ABA"/>
    <w:rsid w:val="00AF5DBE"/>
    <w:rsid w:val="00AF6651"/>
    <w:rsid w:val="00AF6C53"/>
    <w:rsid w:val="00AF7620"/>
    <w:rsid w:val="00B000A5"/>
    <w:rsid w:val="00B00BFA"/>
    <w:rsid w:val="00B01B4C"/>
    <w:rsid w:val="00B02289"/>
    <w:rsid w:val="00B02934"/>
    <w:rsid w:val="00B0349F"/>
    <w:rsid w:val="00B035F7"/>
    <w:rsid w:val="00B0377F"/>
    <w:rsid w:val="00B03F37"/>
    <w:rsid w:val="00B054EA"/>
    <w:rsid w:val="00B06C0F"/>
    <w:rsid w:val="00B07129"/>
    <w:rsid w:val="00B07260"/>
    <w:rsid w:val="00B077D5"/>
    <w:rsid w:val="00B10860"/>
    <w:rsid w:val="00B1162F"/>
    <w:rsid w:val="00B11652"/>
    <w:rsid w:val="00B12688"/>
    <w:rsid w:val="00B137F7"/>
    <w:rsid w:val="00B14238"/>
    <w:rsid w:val="00B1459F"/>
    <w:rsid w:val="00B1493E"/>
    <w:rsid w:val="00B14FB3"/>
    <w:rsid w:val="00B152DB"/>
    <w:rsid w:val="00B158F0"/>
    <w:rsid w:val="00B16658"/>
    <w:rsid w:val="00B1698C"/>
    <w:rsid w:val="00B1770B"/>
    <w:rsid w:val="00B17E95"/>
    <w:rsid w:val="00B20491"/>
    <w:rsid w:val="00B213CB"/>
    <w:rsid w:val="00B218E2"/>
    <w:rsid w:val="00B24B5B"/>
    <w:rsid w:val="00B2546C"/>
    <w:rsid w:val="00B26845"/>
    <w:rsid w:val="00B26B5A"/>
    <w:rsid w:val="00B26D57"/>
    <w:rsid w:val="00B26E40"/>
    <w:rsid w:val="00B271D1"/>
    <w:rsid w:val="00B2791A"/>
    <w:rsid w:val="00B27C5A"/>
    <w:rsid w:val="00B27E8E"/>
    <w:rsid w:val="00B30361"/>
    <w:rsid w:val="00B315CC"/>
    <w:rsid w:val="00B31D7F"/>
    <w:rsid w:val="00B32065"/>
    <w:rsid w:val="00B3251B"/>
    <w:rsid w:val="00B33676"/>
    <w:rsid w:val="00B341B1"/>
    <w:rsid w:val="00B34398"/>
    <w:rsid w:val="00B34920"/>
    <w:rsid w:val="00B36287"/>
    <w:rsid w:val="00B36990"/>
    <w:rsid w:val="00B369BD"/>
    <w:rsid w:val="00B4191C"/>
    <w:rsid w:val="00B41A2D"/>
    <w:rsid w:val="00B42343"/>
    <w:rsid w:val="00B4252A"/>
    <w:rsid w:val="00B4280A"/>
    <w:rsid w:val="00B44518"/>
    <w:rsid w:val="00B45632"/>
    <w:rsid w:val="00B4659D"/>
    <w:rsid w:val="00B46B43"/>
    <w:rsid w:val="00B5019B"/>
    <w:rsid w:val="00B5061D"/>
    <w:rsid w:val="00B518A1"/>
    <w:rsid w:val="00B5279F"/>
    <w:rsid w:val="00B52920"/>
    <w:rsid w:val="00B52B65"/>
    <w:rsid w:val="00B554BF"/>
    <w:rsid w:val="00B5558A"/>
    <w:rsid w:val="00B568E0"/>
    <w:rsid w:val="00B56EF2"/>
    <w:rsid w:val="00B60207"/>
    <w:rsid w:val="00B60DE9"/>
    <w:rsid w:val="00B61595"/>
    <w:rsid w:val="00B61E58"/>
    <w:rsid w:val="00B62553"/>
    <w:rsid w:val="00B63B1D"/>
    <w:rsid w:val="00B64B6B"/>
    <w:rsid w:val="00B65C39"/>
    <w:rsid w:val="00B663E4"/>
    <w:rsid w:val="00B66402"/>
    <w:rsid w:val="00B66C95"/>
    <w:rsid w:val="00B67484"/>
    <w:rsid w:val="00B67CAC"/>
    <w:rsid w:val="00B70AB0"/>
    <w:rsid w:val="00B70C33"/>
    <w:rsid w:val="00B7361A"/>
    <w:rsid w:val="00B745B1"/>
    <w:rsid w:val="00B749C0"/>
    <w:rsid w:val="00B74AE9"/>
    <w:rsid w:val="00B75192"/>
    <w:rsid w:val="00B75E94"/>
    <w:rsid w:val="00B80933"/>
    <w:rsid w:val="00B80CD9"/>
    <w:rsid w:val="00B81EF5"/>
    <w:rsid w:val="00B828EB"/>
    <w:rsid w:val="00B82AA6"/>
    <w:rsid w:val="00B82F8E"/>
    <w:rsid w:val="00B83BAC"/>
    <w:rsid w:val="00B84AE3"/>
    <w:rsid w:val="00B85653"/>
    <w:rsid w:val="00B864DB"/>
    <w:rsid w:val="00B8663D"/>
    <w:rsid w:val="00B8746F"/>
    <w:rsid w:val="00B9196F"/>
    <w:rsid w:val="00B93020"/>
    <w:rsid w:val="00B940D0"/>
    <w:rsid w:val="00B94FFF"/>
    <w:rsid w:val="00B972DE"/>
    <w:rsid w:val="00B97659"/>
    <w:rsid w:val="00BA0438"/>
    <w:rsid w:val="00BA1FC0"/>
    <w:rsid w:val="00BA2AC4"/>
    <w:rsid w:val="00BA4200"/>
    <w:rsid w:val="00BA43FE"/>
    <w:rsid w:val="00BA59BD"/>
    <w:rsid w:val="00BA59F8"/>
    <w:rsid w:val="00BA6EB4"/>
    <w:rsid w:val="00BB0F6D"/>
    <w:rsid w:val="00BB393A"/>
    <w:rsid w:val="00BB46DA"/>
    <w:rsid w:val="00BB4ADC"/>
    <w:rsid w:val="00BB531E"/>
    <w:rsid w:val="00BB63B7"/>
    <w:rsid w:val="00BB74A9"/>
    <w:rsid w:val="00BB76CD"/>
    <w:rsid w:val="00BC051B"/>
    <w:rsid w:val="00BC0BD5"/>
    <w:rsid w:val="00BC176A"/>
    <w:rsid w:val="00BC1F80"/>
    <w:rsid w:val="00BC2778"/>
    <w:rsid w:val="00BC56B6"/>
    <w:rsid w:val="00BD0A9E"/>
    <w:rsid w:val="00BD1985"/>
    <w:rsid w:val="00BD2AC0"/>
    <w:rsid w:val="00BD372B"/>
    <w:rsid w:val="00BD4C2B"/>
    <w:rsid w:val="00BD5C09"/>
    <w:rsid w:val="00BD651B"/>
    <w:rsid w:val="00BD6F3A"/>
    <w:rsid w:val="00BD7951"/>
    <w:rsid w:val="00BD7DBF"/>
    <w:rsid w:val="00BE198E"/>
    <w:rsid w:val="00BE2FDB"/>
    <w:rsid w:val="00BE3F52"/>
    <w:rsid w:val="00BE4C91"/>
    <w:rsid w:val="00BE4CBE"/>
    <w:rsid w:val="00BE6B2D"/>
    <w:rsid w:val="00BE6C10"/>
    <w:rsid w:val="00BF056E"/>
    <w:rsid w:val="00BF0FEE"/>
    <w:rsid w:val="00BF1A90"/>
    <w:rsid w:val="00BF30B0"/>
    <w:rsid w:val="00BF30C5"/>
    <w:rsid w:val="00BF30E3"/>
    <w:rsid w:val="00BF3AEA"/>
    <w:rsid w:val="00BF42BE"/>
    <w:rsid w:val="00BF496F"/>
    <w:rsid w:val="00BF59F7"/>
    <w:rsid w:val="00BF5DB3"/>
    <w:rsid w:val="00BF6E2F"/>
    <w:rsid w:val="00BF78B2"/>
    <w:rsid w:val="00BF79F5"/>
    <w:rsid w:val="00BF7D27"/>
    <w:rsid w:val="00C0020A"/>
    <w:rsid w:val="00C0065A"/>
    <w:rsid w:val="00C01491"/>
    <w:rsid w:val="00C01513"/>
    <w:rsid w:val="00C018C0"/>
    <w:rsid w:val="00C01F66"/>
    <w:rsid w:val="00C02192"/>
    <w:rsid w:val="00C022EB"/>
    <w:rsid w:val="00C03022"/>
    <w:rsid w:val="00C03375"/>
    <w:rsid w:val="00C048BE"/>
    <w:rsid w:val="00C04EF4"/>
    <w:rsid w:val="00C05547"/>
    <w:rsid w:val="00C05AB2"/>
    <w:rsid w:val="00C05E17"/>
    <w:rsid w:val="00C06A96"/>
    <w:rsid w:val="00C07CD4"/>
    <w:rsid w:val="00C07F4B"/>
    <w:rsid w:val="00C10230"/>
    <w:rsid w:val="00C103B1"/>
    <w:rsid w:val="00C10605"/>
    <w:rsid w:val="00C10DC2"/>
    <w:rsid w:val="00C11C12"/>
    <w:rsid w:val="00C122D9"/>
    <w:rsid w:val="00C12E50"/>
    <w:rsid w:val="00C13D8C"/>
    <w:rsid w:val="00C15857"/>
    <w:rsid w:val="00C15DB8"/>
    <w:rsid w:val="00C17121"/>
    <w:rsid w:val="00C174B9"/>
    <w:rsid w:val="00C17D6A"/>
    <w:rsid w:val="00C17D95"/>
    <w:rsid w:val="00C20068"/>
    <w:rsid w:val="00C20122"/>
    <w:rsid w:val="00C21187"/>
    <w:rsid w:val="00C21DB8"/>
    <w:rsid w:val="00C233F8"/>
    <w:rsid w:val="00C237AD"/>
    <w:rsid w:val="00C23BEE"/>
    <w:rsid w:val="00C2495D"/>
    <w:rsid w:val="00C25118"/>
    <w:rsid w:val="00C269FF"/>
    <w:rsid w:val="00C3109F"/>
    <w:rsid w:val="00C3166B"/>
    <w:rsid w:val="00C31A64"/>
    <w:rsid w:val="00C31B4A"/>
    <w:rsid w:val="00C321FD"/>
    <w:rsid w:val="00C33110"/>
    <w:rsid w:val="00C34003"/>
    <w:rsid w:val="00C355E5"/>
    <w:rsid w:val="00C35600"/>
    <w:rsid w:val="00C35BBD"/>
    <w:rsid w:val="00C40EE5"/>
    <w:rsid w:val="00C41039"/>
    <w:rsid w:val="00C41406"/>
    <w:rsid w:val="00C435F7"/>
    <w:rsid w:val="00C43D3F"/>
    <w:rsid w:val="00C43EAB"/>
    <w:rsid w:val="00C4473F"/>
    <w:rsid w:val="00C44EF9"/>
    <w:rsid w:val="00C45BD4"/>
    <w:rsid w:val="00C4613F"/>
    <w:rsid w:val="00C46940"/>
    <w:rsid w:val="00C47D96"/>
    <w:rsid w:val="00C5029A"/>
    <w:rsid w:val="00C5163E"/>
    <w:rsid w:val="00C51EFC"/>
    <w:rsid w:val="00C52A84"/>
    <w:rsid w:val="00C52F09"/>
    <w:rsid w:val="00C536DC"/>
    <w:rsid w:val="00C5375F"/>
    <w:rsid w:val="00C5380D"/>
    <w:rsid w:val="00C548B9"/>
    <w:rsid w:val="00C556A5"/>
    <w:rsid w:val="00C565C4"/>
    <w:rsid w:val="00C568ED"/>
    <w:rsid w:val="00C56C6D"/>
    <w:rsid w:val="00C57311"/>
    <w:rsid w:val="00C57D14"/>
    <w:rsid w:val="00C57D8E"/>
    <w:rsid w:val="00C61F6A"/>
    <w:rsid w:val="00C629B3"/>
    <w:rsid w:val="00C62A1E"/>
    <w:rsid w:val="00C62B48"/>
    <w:rsid w:val="00C6332A"/>
    <w:rsid w:val="00C6416C"/>
    <w:rsid w:val="00C654F2"/>
    <w:rsid w:val="00C65C69"/>
    <w:rsid w:val="00C670F0"/>
    <w:rsid w:val="00C67249"/>
    <w:rsid w:val="00C67DB8"/>
    <w:rsid w:val="00C67EB8"/>
    <w:rsid w:val="00C70F39"/>
    <w:rsid w:val="00C716E8"/>
    <w:rsid w:val="00C727A4"/>
    <w:rsid w:val="00C73103"/>
    <w:rsid w:val="00C7351E"/>
    <w:rsid w:val="00C7376A"/>
    <w:rsid w:val="00C7469D"/>
    <w:rsid w:val="00C7470C"/>
    <w:rsid w:val="00C7643C"/>
    <w:rsid w:val="00C804DD"/>
    <w:rsid w:val="00C81E2C"/>
    <w:rsid w:val="00C825D3"/>
    <w:rsid w:val="00C82810"/>
    <w:rsid w:val="00C829E1"/>
    <w:rsid w:val="00C82B62"/>
    <w:rsid w:val="00C82C62"/>
    <w:rsid w:val="00C8460E"/>
    <w:rsid w:val="00C850E3"/>
    <w:rsid w:val="00C86F42"/>
    <w:rsid w:val="00C874E4"/>
    <w:rsid w:val="00C900E2"/>
    <w:rsid w:val="00C90C11"/>
    <w:rsid w:val="00C90E62"/>
    <w:rsid w:val="00C91A06"/>
    <w:rsid w:val="00C920E9"/>
    <w:rsid w:val="00C92AD6"/>
    <w:rsid w:val="00C93B73"/>
    <w:rsid w:val="00C93CC4"/>
    <w:rsid w:val="00C94273"/>
    <w:rsid w:val="00C94284"/>
    <w:rsid w:val="00C963C6"/>
    <w:rsid w:val="00C96659"/>
    <w:rsid w:val="00C96ED5"/>
    <w:rsid w:val="00CA09BC"/>
    <w:rsid w:val="00CA195E"/>
    <w:rsid w:val="00CA1CC6"/>
    <w:rsid w:val="00CA325E"/>
    <w:rsid w:val="00CA5592"/>
    <w:rsid w:val="00CA638A"/>
    <w:rsid w:val="00CA6579"/>
    <w:rsid w:val="00CA6978"/>
    <w:rsid w:val="00CA711C"/>
    <w:rsid w:val="00CB01C0"/>
    <w:rsid w:val="00CB060F"/>
    <w:rsid w:val="00CB1F79"/>
    <w:rsid w:val="00CB2102"/>
    <w:rsid w:val="00CB3081"/>
    <w:rsid w:val="00CB3467"/>
    <w:rsid w:val="00CB489E"/>
    <w:rsid w:val="00CB54A5"/>
    <w:rsid w:val="00CB5FEC"/>
    <w:rsid w:val="00CB6C15"/>
    <w:rsid w:val="00CB6DC1"/>
    <w:rsid w:val="00CB7196"/>
    <w:rsid w:val="00CB725D"/>
    <w:rsid w:val="00CC1E7A"/>
    <w:rsid w:val="00CC2E63"/>
    <w:rsid w:val="00CC3729"/>
    <w:rsid w:val="00CC467E"/>
    <w:rsid w:val="00CC55E3"/>
    <w:rsid w:val="00CC6570"/>
    <w:rsid w:val="00CC6C8E"/>
    <w:rsid w:val="00CC7347"/>
    <w:rsid w:val="00CC7518"/>
    <w:rsid w:val="00CD0FA7"/>
    <w:rsid w:val="00CD107B"/>
    <w:rsid w:val="00CD13BD"/>
    <w:rsid w:val="00CD214B"/>
    <w:rsid w:val="00CD2D19"/>
    <w:rsid w:val="00CD364E"/>
    <w:rsid w:val="00CD45FE"/>
    <w:rsid w:val="00CD496F"/>
    <w:rsid w:val="00CD5ADD"/>
    <w:rsid w:val="00CD686B"/>
    <w:rsid w:val="00CD70B4"/>
    <w:rsid w:val="00CD762A"/>
    <w:rsid w:val="00CE0AB0"/>
    <w:rsid w:val="00CE18BD"/>
    <w:rsid w:val="00CE25EC"/>
    <w:rsid w:val="00CE3104"/>
    <w:rsid w:val="00CE322C"/>
    <w:rsid w:val="00CE3AC4"/>
    <w:rsid w:val="00CE4DA8"/>
    <w:rsid w:val="00CE5FD4"/>
    <w:rsid w:val="00CE6760"/>
    <w:rsid w:val="00CE6BBD"/>
    <w:rsid w:val="00CF0F59"/>
    <w:rsid w:val="00CF2633"/>
    <w:rsid w:val="00CF347D"/>
    <w:rsid w:val="00CF3CEA"/>
    <w:rsid w:val="00CF4055"/>
    <w:rsid w:val="00CF62E3"/>
    <w:rsid w:val="00CF6B83"/>
    <w:rsid w:val="00CF6F88"/>
    <w:rsid w:val="00CF7061"/>
    <w:rsid w:val="00D0097D"/>
    <w:rsid w:val="00D00BC7"/>
    <w:rsid w:val="00D014D6"/>
    <w:rsid w:val="00D03359"/>
    <w:rsid w:val="00D0459E"/>
    <w:rsid w:val="00D0504C"/>
    <w:rsid w:val="00D07C55"/>
    <w:rsid w:val="00D07F27"/>
    <w:rsid w:val="00D1057E"/>
    <w:rsid w:val="00D10813"/>
    <w:rsid w:val="00D10A19"/>
    <w:rsid w:val="00D11B0D"/>
    <w:rsid w:val="00D12B85"/>
    <w:rsid w:val="00D146A3"/>
    <w:rsid w:val="00D14933"/>
    <w:rsid w:val="00D176F3"/>
    <w:rsid w:val="00D177F4"/>
    <w:rsid w:val="00D213C9"/>
    <w:rsid w:val="00D21F8D"/>
    <w:rsid w:val="00D22022"/>
    <w:rsid w:val="00D24685"/>
    <w:rsid w:val="00D25FAD"/>
    <w:rsid w:val="00D268AB"/>
    <w:rsid w:val="00D271B5"/>
    <w:rsid w:val="00D2773E"/>
    <w:rsid w:val="00D3027E"/>
    <w:rsid w:val="00D30DE1"/>
    <w:rsid w:val="00D31A6B"/>
    <w:rsid w:val="00D31CAE"/>
    <w:rsid w:val="00D32ABE"/>
    <w:rsid w:val="00D33D65"/>
    <w:rsid w:val="00D36021"/>
    <w:rsid w:val="00D361F4"/>
    <w:rsid w:val="00D36F7F"/>
    <w:rsid w:val="00D40131"/>
    <w:rsid w:val="00D4069F"/>
    <w:rsid w:val="00D40EAF"/>
    <w:rsid w:val="00D41E3D"/>
    <w:rsid w:val="00D42D1B"/>
    <w:rsid w:val="00D43E15"/>
    <w:rsid w:val="00D4410B"/>
    <w:rsid w:val="00D501D5"/>
    <w:rsid w:val="00D5041E"/>
    <w:rsid w:val="00D50642"/>
    <w:rsid w:val="00D515E9"/>
    <w:rsid w:val="00D519DF"/>
    <w:rsid w:val="00D5211E"/>
    <w:rsid w:val="00D52DD0"/>
    <w:rsid w:val="00D5330B"/>
    <w:rsid w:val="00D5420C"/>
    <w:rsid w:val="00D54563"/>
    <w:rsid w:val="00D54787"/>
    <w:rsid w:val="00D55509"/>
    <w:rsid w:val="00D57411"/>
    <w:rsid w:val="00D6282A"/>
    <w:rsid w:val="00D63189"/>
    <w:rsid w:val="00D6361B"/>
    <w:rsid w:val="00D65BD1"/>
    <w:rsid w:val="00D66A52"/>
    <w:rsid w:val="00D70942"/>
    <w:rsid w:val="00D72241"/>
    <w:rsid w:val="00D736ED"/>
    <w:rsid w:val="00D73EDD"/>
    <w:rsid w:val="00D74084"/>
    <w:rsid w:val="00D746B2"/>
    <w:rsid w:val="00D75650"/>
    <w:rsid w:val="00D77C1F"/>
    <w:rsid w:val="00D80508"/>
    <w:rsid w:val="00D80722"/>
    <w:rsid w:val="00D8094E"/>
    <w:rsid w:val="00D81018"/>
    <w:rsid w:val="00D8203C"/>
    <w:rsid w:val="00D83CC4"/>
    <w:rsid w:val="00D83D18"/>
    <w:rsid w:val="00D85DAB"/>
    <w:rsid w:val="00D87605"/>
    <w:rsid w:val="00D91EBF"/>
    <w:rsid w:val="00D92536"/>
    <w:rsid w:val="00D9285D"/>
    <w:rsid w:val="00D937D7"/>
    <w:rsid w:val="00D93822"/>
    <w:rsid w:val="00D93886"/>
    <w:rsid w:val="00D93FCE"/>
    <w:rsid w:val="00D955A3"/>
    <w:rsid w:val="00D97DD9"/>
    <w:rsid w:val="00DA0B3A"/>
    <w:rsid w:val="00DA1A87"/>
    <w:rsid w:val="00DA255F"/>
    <w:rsid w:val="00DA27C0"/>
    <w:rsid w:val="00DA43BD"/>
    <w:rsid w:val="00DA4C9A"/>
    <w:rsid w:val="00DA56B8"/>
    <w:rsid w:val="00DA656B"/>
    <w:rsid w:val="00DA7CFC"/>
    <w:rsid w:val="00DB0CBA"/>
    <w:rsid w:val="00DB1D75"/>
    <w:rsid w:val="00DB2145"/>
    <w:rsid w:val="00DB3165"/>
    <w:rsid w:val="00DB4ED5"/>
    <w:rsid w:val="00DB58F1"/>
    <w:rsid w:val="00DB5DD5"/>
    <w:rsid w:val="00DB5E5B"/>
    <w:rsid w:val="00DB6733"/>
    <w:rsid w:val="00DC01A1"/>
    <w:rsid w:val="00DC0505"/>
    <w:rsid w:val="00DC1C6C"/>
    <w:rsid w:val="00DC205A"/>
    <w:rsid w:val="00DC2657"/>
    <w:rsid w:val="00DC4D50"/>
    <w:rsid w:val="00DC780F"/>
    <w:rsid w:val="00DD0E0F"/>
    <w:rsid w:val="00DD120E"/>
    <w:rsid w:val="00DD2E02"/>
    <w:rsid w:val="00DD5518"/>
    <w:rsid w:val="00DD67BE"/>
    <w:rsid w:val="00DD6850"/>
    <w:rsid w:val="00DD69C3"/>
    <w:rsid w:val="00DD7795"/>
    <w:rsid w:val="00DE08E7"/>
    <w:rsid w:val="00DE283E"/>
    <w:rsid w:val="00DE2EE8"/>
    <w:rsid w:val="00DE3C6A"/>
    <w:rsid w:val="00DE4B0F"/>
    <w:rsid w:val="00DE4E88"/>
    <w:rsid w:val="00DF0253"/>
    <w:rsid w:val="00DF0268"/>
    <w:rsid w:val="00DF0A66"/>
    <w:rsid w:val="00DF0F42"/>
    <w:rsid w:val="00DF139A"/>
    <w:rsid w:val="00DF4EA7"/>
    <w:rsid w:val="00DF539C"/>
    <w:rsid w:val="00DF656D"/>
    <w:rsid w:val="00DF6BF0"/>
    <w:rsid w:val="00DF77ED"/>
    <w:rsid w:val="00DF7E87"/>
    <w:rsid w:val="00E0053F"/>
    <w:rsid w:val="00E008E3"/>
    <w:rsid w:val="00E014E2"/>
    <w:rsid w:val="00E0157A"/>
    <w:rsid w:val="00E01F2B"/>
    <w:rsid w:val="00E020A5"/>
    <w:rsid w:val="00E023CD"/>
    <w:rsid w:val="00E028A2"/>
    <w:rsid w:val="00E0323E"/>
    <w:rsid w:val="00E03C45"/>
    <w:rsid w:val="00E04882"/>
    <w:rsid w:val="00E06750"/>
    <w:rsid w:val="00E06968"/>
    <w:rsid w:val="00E10015"/>
    <w:rsid w:val="00E110F8"/>
    <w:rsid w:val="00E14085"/>
    <w:rsid w:val="00E1438B"/>
    <w:rsid w:val="00E14833"/>
    <w:rsid w:val="00E14AE1"/>
    <w:rsid w:val="00E15701"/>
    <w:rsid w:val="00E1791B"/>
    <w:rsid w:val="00E17DB3"/>
    <w:rsid w:val="00E17E83"/>
    <w:rsid w:val="00E17F1A"/>
    <w:rsid w:val="00E2083F"/>
    <w:rsid w:val="00E20925"/>
    <w:rsid w:val="00E21038"/>
    <w:rsid w:val="00E225DB"/>
    <w:rsid w:val="00E233DA"/>
    <w:rsid w:val="00E24570"/>
    <w:rsid w:val="00E25831"/>
    <w:rsid w:val="00E25B6B"/>
    <w:rsid w:val="00E25CB5"/>
    <w:rsid w:val="00E26035"/>
    <w:rsid w:val="00E2790E"/>
    <w:rsid w:val="00E27C41"/>
    <w:rsid w:val="00E3235D"/>
    <w:rsid w:val="00E33463"/>
    <w:rsid w:val="00E33535"/>
    <w:rsid w:val="00E37B2A"/>
    <w:rsid w:val="00E404BB"/>
    <w:rsid w:val="00E41349"/>
    <w:rsid w:val="00E41916"/>
    <w:rsid w:val="00E41F8F"/>
    <w:rsid w:val="00E4286C"/>
    <w:rsid w:val="00E42D51"/>
    <w:rsid w:val="00E43B9D"/>
    <w:rsid w:val="00E44F5E"/>
    <w:rsid w:val="00E45A5B"/>
    <w:rsid w:val="00E463B3"/>
    <w:rsid w:val="00E4783F"/>
    <w:rsid w:val="00E50D50"/>
    <w:rsid w:val="00E51322"/>
    <w:rsid w:val="00E51332"/>
    <w:rsid w:val="00E524AB"/>
    <w:rsid w:val="00E53211"/>
    <w:rsid w:val="00E540E6"/>
    <w:rsid w:val="00E54F69"/>
    <w:rsid w:val="00E562BC"/>
    <w:rsid w:val="00E56651"/>
    <w:rsid w:val="00E60023"/>
    <w:rsid w:val="00E60031"/>
    <w:rsid w:val="00E61C2D"/>
    <w:rsid w:val="00E61CB4"/>
    <w:rsid w:val="00E634C7"/>
    <w:rsid w:val="00E66849"/>
    <w:rsid w:val="00E67F0A"/>
    <w:rsid w:val="00E70AEF"/>
    <w:rsid w:val="00E711E7"/>
    <w:rsid w:val="00E719F0"/>
    <w:rsid w:val="00E74478"/>
    <w:rsid w:val="00E747E1"/>
    <w:rsid w:val="00E74A63"/>
    <w:rsid w:val="00E74FA6"/>
    <w:rsid w:val="00E751C1"/>
    <w:rsid w:val="00E75D64"/>
    <w:rsid w:val="00E75EFD"/>
    <w:rsid w:val="00E80CBF"/>
    <w:rsid w:val="00E81A47"/>
    <w:rsid w:val="00E823A3"/>
    <w:rsid w:val="00E83051"/>
    <w:rsid w:val="00E8652A"/>
    <w:rsid w:val="00E86579"/>
    <w:rsid w:val="00E8791A"/>
    <w:rsid w:val="00E87CB5"/>
    <w:rsid w:val="00E90DC9"/>
    <w:rsid w:val="00E932BB"/>
    <w:rsid w:val="00E943A5"/>
    <w:rsid w:val="00E946ED"/>
    <w:rsid w:val="00E957A5"/>
    <w:rsid w:val="00E95D31"/>
    <w:rsid w:val="00E97A86"/>
    <w:rsid w:val="00E97C2F"/>
    <w:rsid w:val="00EA0341"/>
    <w:rsid w:val="00EA042F"/>
    <w:rsid w:val="00EA2295"/>
    <w:rsid w:val="00EA24DA"/>
    <w:rsid w:val="00EA5960"/>
    <w:rsid w:val="00EA60D7"/>
    <w:rsid w:val="00EA6740"/>
    <w:rsid w:val="00EA6C3F"/>
    <w:rsid w:val="00EA6CBA"/>
    <w:rsid w:val="00EA71D4"/>
    <w:rsid w:val="00EA7B6B"/>
    <w:rsid w:val="00EB07BB"/>
    <w:rsid w:val="00EB13F5"/>
    <w:rsid w:val="00EB22C1"/>
    <w:rsid w:val="00EB4602"/>
    <w:rsid w:val="00EB5BC3"/>
    <w:rsid w:val="00EB70AE"/>
    <w:rsid w:val="00EB71E5"/>
    <w:rsid w:val="00EB78A6"/>
    <w:rsid w:val="00EB7CD0"/>
    <w:rsid w:val="00EC03BD"/>
    <w:rsid w:val="00EC0795"/>
    <w:rsid w:val="00EC0C72"/>
    <w:rsid w:val="00EC0DE3"/>
    <w:rsid w:val="00EC1DF1"/>
    <w:rsid w:val="00EC1ED7"/>
    <w:rsid w:val="00EC2F59"/>
    <w:rsid w:val="00EC30B6"/>
    <w:rsid w:val="00EC68E0"/>
    <w:rsid w:val="00EC738C"/>
    <w:rsid w:val="00EC73DC"/>
    <w:rsid w:val="00ED02A4"/>
    <w:rsid w:val="00ED0EBF"/>
    <w:rsid w:val="00ED323C"/>
    <w:rsid w:val="00ED3DF6"/>
    <w:rsid w:val="00ED46E8"/>
    <w:rsid w:val="00ED611A"/>
    <w:rsid w:val="00ED61FF"/>
    <w:rsid w:val="00ED6D6E"/>
    <w:rsid w:val="00EE04BC"/>
    <w:rsid w:val="00EE240F"/>
    <w:rsid w:val="00EE3443"/>
    <w:rsid w:val="00EE4317"/>
    <w:rsid w:val="00EE4C48"/>
    <w:rsid w:val="00EE519A"/>
    <w:rsid w:val="00EE5FF1"/>
    <w:rsid w:val="00EE61CD"/>
    <w:rsid w:val="00EE6791"/>
    <w:rsid w:val="00EE7CF8"/>
    <w:rsid w:val="00EF0167"/>
    <w:rsid w:val="00EF27AF"/>
    <w:rsid w:val="00EF3116"/>
    <w:rsid w:val="00EF364A"/>
    <w:rsid w:val="00EF3F49"/>
    <w:rsid w:val="00EF47FC"/>
    <w:rsid w:val="00EF494B"/>
    <w:rsid w:val="00EF4BA6"/>
    <w:rsid w:val="00EF5C90"/>
    <w:rsid w:val="00EF5FA2"/>
    <w:rsid w:val="00EF6078"/>
    <w:rsid w:val="00EF6A58"/>
    <w:rsid w:val="00F009E8"/>
    <w:rsid w:val="00F019F9"/>
    <w:rsid w:val="00F0220F"/>
    <w:rsid w:val="00F02413"/>
    <w:rsid w:val="00F027CB"/>
    <w:rsid w:val="00F046AD"/>
    <w:rsid w:val="00F04763"/>
    <w:rsid w:val="00F04BB6"/>
    <w:rsid w:val="00F069E3"/>
    <w:rsid w:val="00F07869"/>
    <w:rsid w:val="00F105F9"/>
    <w:rsid w:val="00F10AF5"/>
    <w:rsid w:val="00F11129"/>
    <w:rsid w:val="00F112AA"/>
    <w:rsid w:val="00F119BE"/>
    <w:rsid w:val="00F12852"/>
    <w:rsid w:val="00F12EC6"/>
    <w:rsid w:val="00F13431"/>
    <w:rsid w:val="00F13E7E"/>
    <w:rsid w:val="00F13E9E"/>
    <w:rsid w:val="00F14A2D"/>
    <w:rsid w:val="00F15315"/>
    <w:rsid w:val="00F15F13"/>
    <w:rsid w:val="00F175A5"/>
    <w:rsid w:val="00F20AE9"/>
    <w:rsid w:val="00F21648"/>
    <w:rsid w:val="00F21CDD"/>
    <w:rsid w:val="00F22CD1"/>
    <w:rsid w:val="00F22D01"/>
    <w:rsid w:val="00F22F31"/>
    <w:rsid w:val="00F2338C"/>
    <w:rsid w:val="00F2345E"/>
    <w:rsid w:val="00F23478"/>
    <w:rsid w:val="00F2395C"/>
    <w:rsid w:val="00F24448"/>
    <w:rsid w:val="00F275E7"/>
    <w:rsid w:val="00F2790A"/>
    <w:rsid w:val="00F309D9"/>
    <w:rsid w:val="00F32E95"/>
    <w:rsid w:val="00F345D5"/>
    <w:rsid w:val="00F34C83"/>
    <w:rsid w:val="00F36F7B"/>
    <w:rsid w:val="00F4084E"/>
    <w:rsid w:val="00F437B9"/>
    <w:rsid w:val="00F4464B"/>
    <w:rsid w:val="00F447CF"/>
    <w:rsid w:val="00F4537F"/>
    <w:rsid w:val="00F456EF"/>
    <w:rsid w:val="00F457D3"/>
    <w:rsid w:val="00F45CC9"/>
    <w:rsid w:val="00F46A7D"/>
    <w:rsid w:val="00F505CD"/>
    <w:rsid w:val="00F51A19"/>
    <w:rsid w:val="00F52091"/>
    <w:rsid w:val="00F52D80"/>
    <w:rsid w:val="00F53E53"/>
    <w:rsid w:val="00F544FD"/>
    <w:rsid w:val="00F54B72"/>
    <w:rsid w:val="00F55D11"/>
    <w:rsid w:val="00F55F2B"/>
    <w:rsid w:val="00F562B6"/>
    <w:rsid w:val="00F57FE4"/>
    <w:rsid w:val="00F608CB"/>
    <w:rsid w:val="00F60C0F"/>
    <w:rsid w:val="00F61AD4"/>
    <w:rsid w:val="00F61DC3"/>
    <w:rsid w:val="00F61F62"/>
    <w:rsid w:val="00F636B3"/>
    <w:rsid w:val="00F64079"/>
    <w:rsid w:val="00F64436"/>
    <w:rsid w:val="00F6469E"/>
    <w:rsid w:val="00F64AC6"/>
    <w:rsid w:val="00F65895"/>
    <w:rsid w:val="00F65E6A"/>
    <w:rsid w:val="00F70BEC"/>
    <w:rsid w:val="00F7109C"/>
    <w:rsid w:val="00F71660"/>
    <w:rsid w:val="00F720CA"/>
    <w:rsid w:val="00F725E2"/>
    <w:rsid w:val="00F72F3F"/>
    <w:rsid w:val="00F73004"/>
    <w:rsid w:val="00F733C8"/>
    <w:rsid w:val="00F74281"/>
    <w:rsid w:val="00F76343"/>
    <w:rsid w:val="00F772B8"/>
    <w:rsid w:val="00F77B5E"/>
    <w:rsid w:val="00F77F3C"/>
    <w:rsid w:val="00F80954"/>
    <w:rsid w:val="00F80DC2"/>
    <w:rsid w:val="00F8124B"/>
    <w:rsid w:val="00F81526"/>
    <w:rsid w:val="00F819A3"/>
    <w:rsid w:val="00F8266E"/>
    <w:rsid w:val="00F827C5"/>
    <w:rsid w:val="00F8327C"/>
    <w:rsid w:val="00F84FC8"/>
    <w:rsid w:val="00F85679"/>
    <w:rsid w:val="00F86E95"/>
    <w:rsid w:val="00F86E9D"/>
    <w:rsid w:val="00F8744E"/>
    <w:rsid w:val="00F91417"/>
    <w:rsid w:val="00F916E7"/>
    <w:rsid w:val="00F91E92"/>
    <w:rsid w:val="00F929E6"/>
    <w:rsid w:val="00F9312E"/>
    <w:rsid w:val="00F94040"/>
    <w:rsid w:val="00F94165"/>
    <w:rsid w:val="00F951B8"/>
    <w:rsid w:val="00F958F7"/>
    <w:rsid w:val="00F9628D"/>
    <w:rsid w:val="00F96381"/>
    <w:rsid w:val="00F9644A"/>
    <w:rsid w:val="00F970D2"/>
    <w:rsid w:val="00FA0F44"/>
    <w:rsid w:val="00FA1F84"/>
    <w:rsid w:val="00FA34D2"/>
    <w:rsid w:val="00FA369A"/>
    <w:rsid w:val="00FA3973"/>
    <w:rsid w:val="00FA3FE4"/>
    <w:rsid w:val="00FA5170"/>
    <w:rsid w:val="00FA6692"/>
    <w:rsid w:val="00FA7A59"/>
    <w:rsid w:val="00FB0193"/>
    <w:rsid w:val="00FB2182"/>
    <w:rsid w:val="00FB2E97"/>
    <w:rsid w:val="00FB5CBF"/>
    <w:rsid w:val="00FC04A1"/>
    <w:rsid w:val="00FC04D8"/>
    <w:rsid w:val="00FC1808"/>
    <w:rsid w:val="00FC1B02"/>
    <w:rsid w:val="00FC1F21"/>
    <w:rsid w:val="00FC274D"/>
    <w:rsid w:val="00FC3FAE"/>
    <w:rsid w:val="00FC4049"/>
    <w:rsid w:val="00FC48C2"/>
    <w:rsid w:val="00FC5BD4"/>
    <w:rsid w:val="00FD02FD"/>
    <w:rsid w:val="00FD163F"/>
    <w:rsid w:val="00FD379B"/>
    <w:rsid w:val="00FD4C66"/>
    <w:rsid w:val="00FD5E5C"/>
    <w:rsid w:val="00FD5F4A"/>
    <w:rsid w:val="00FD7F40"/>
    <w:rsid w:val="00FE1800"/>
    <w:rsid w:val="00FE703A"/>
    <w:rsid w:val="00FE7387"/>
    <w:rsid w:val="00FE7732"/>
    <w:rsid w:val="00FF0375"/>
    <w:rsid w:val="00FF079C"/>
    <w:rsid w:val="00FF1918"/>
    <w:rsid w:val="00FF23FD"/>
    <w:rsid w:val="00FF371A"/>
    <w:rsid w:val="00FF4491"/>
    <w:rsid w:val="00FF49C0"/>
    <w:rsid w:val="00FF5638"/>
    <w:rsid w:val="00FF5D88"/>
    <w:rsid w:val="00FF610D"/>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B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5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E"/>
    <w:pPr>
      <w:ind w:left="720"/>
      <w:contextualSpacing/>
    </w:pPr>
  </w:style>
  <w:style w:type="paragraph" w:styleId="Header">
    <w:name w:val="header"/>
    <w:basedOn w:val="Normal"/>
    <w:link w:val="HeaderChar"/>
    <w:uiPriority w:val="99"/>
    <w:unhideWhenUsed/>
    <w:rsid w:val="0000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5E"/>
    <w:rPr>
      <w:sz w:val="22"/>
      <w:szCs w:val="22"/>
      <w:lang w:val="en-US"/>
    </w:rPr>
  </w:style>
  <w:style w:type="paragraph" w:styleId="FootnoteText">
    <w:name w:val="footnote text"/>
    <w:basedOn w:val="Normal"/>
    <w:link w:val="FootnoteTextChar"/>
    <w:uiPriority w:val="99"/>
    <w:unhideWhenUsed/>
    <w:rsid w:val="00F636B3"/>
    <w:pPr>
      <w:spacing w:after="0" w:line="240" w:lineRule="auto"/>
    </w:pPr>
    <w:rPr>
      <w:sz w:val="24"/>
      <w:szCs w:val="24"/>
    </w:rPr>
  </w:style>
  <w:style w:type="character" w:customStyle="1" w:styleId="FootnoteTextChar">
    <w:name w:val="Footnote Text Char"/>
    <w:basedOn w:val="DefaultParagraphFont"/>
    <w:link w:val="FootnoteText"/>
    <w:uiPriority w:val="99"/>
    <w:rsid w:val="00F636B3"/>
    <w:rPr>
      <w:lang w:val="en-US"/>
    </w:rPr>
  </w:style>
  <w:style w:type="character" w:styleId="FootnoteReference">
    <w:name w:val="footnote reference"/>
    <w:basedOn w:val="DefaultParagraphFont"/>
    <w:uiPriority w:val="99"/>
    <w:unhideWhenUsed/>
    <w:rsid w:val="00F636B3"/>
    <w:rPr>
      <w:vertAlign w:val="superscript"/>
    </w:rPr>
  </w:style>
  <w:style w:type="paragraph" w:styleId="NormalWeb">
    <w:name w:val="Normal (Web)"/>
    <w:basedOn w:val="Normal"/>
    <w:uiPriority w:val="99"/>
    <w:semiHidden/>
    <w:unhideWhenUsed/>
    <w:rsid w:val="00232E8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B"/>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303E"/>
    <w:rPr>
      <w:sz w:val="18"/>
      <w:szCs w:val="18"/>
    </w:rPr>
  </w:style>
  <w:style w:type="paragraph" w:styleId="CommentText">
    <w:name w:val="annotation text"/>
    <w:basedOn w:val="Normal"/>
    <w:link w:val="CommentTextChar"/>
    <w:uiPriority w:val="99"/>
    <w:semiHidden/>
    <w:unhideWhenUsed/>
    <w:rsid w:val="0044303E"/>
    <w:pPr>
      <w:spacing w:line="240" w:lineRule="auto"/>
    </w:pPr>
    <w:rPr>
      <w:sz w:val="24"/>
      <w:szCs w:val="24"/>
    </w:rPr>
  </w:style>
  <w:style w:type="character" w:customStyle="1" w:styleId="CommentTextChar">
    <w:name w:val="Comment Text Char"/>
    <w:basedOn w:val="DefaultParagraphFont"/>
    <w:link w:val="CommentText"/>
    <w:uiPriority w:val="99"/>
    <w:semiHidden/>
    <w:rsid w:val="0044303E"/>
    <w:rPr>
      <w:lang w:val="en-US"/>
    </w:rPr>
  </w:style>
  <w:style w:type="paragraph" w:styleId="CommentSubject">
    <w:name w:val="annotation subject"/>
    <w:basedOn w:val="CommentText"/>
    <w:next w:val="CommentText"/>
    <w:link w:val="CommentSubjectChar"/>
    <w:uiPriority w:val="99"/>
    <w:semiHidden/>
    <w:unhideWhenUsed/>
    <w:rsid w:val="0044303E"/>
    <w:rPr>
      <w:b/>
      <w:bCs/>
      <w:sz w:val="20"/>
      <w:szCs w:val="20"/>
    </w:rPr>
  </w:style>
  <w:style w:type="character" w:customStyle="1" w:styleId="CommentSubjectChar">
    <w:name w:val="Comment Subject Char"/>
    <w:basedOn w:val="CommentTextChar"/>
    <w:link w:val="CommentSubject"/>
    <w:uiPriority w:val="99"/>
    <w:semiHidden/>
    <w:rsid w:val="0044303E"/>
    <w:rPr>
      <w:b/>
      <w:bCs/>
      <w:sz w:val="20"/>
      <w:szCs w:val="20"/>
      <w:lang w:val="en-US"/>
    </w:rPr>
  </w:style>
  <w:style w:type="paragraph" w:styleId="NoSpacing">
    <w:name w:val="No Spacing"/>
    <w:uiPriority w:val="1"/>
    <w:qFormat/>
    <w:rsid w:val="00BE4CBE"/>
    <w:rPr>
      <w:sz w:val="22"/>
      <w:szCs w:val="22"/>
      <w:lang w:val="en-ZA"/>
    </w:rPr>
  </w:style>
  <w:style w:type="paragraph" w:styleId="Footer">
    <w:name w:val="footer"/>
    <w:basedOn w:val="Normal"/>
    <w:link w:val="FooterChar"/>
    <w:uiPriority w:val="99"/>
    <w:unhideWhenUsed/>
    <w:rsid w:val="0007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7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95">
      <w:bodyDiv w:val="1"/>
      <w:marLeft w:val="0"/>
      <w:marRight w:val="0"/>
      <w:marTop w:val="0"/>
      <w:marBottom w:val="0"/>
      <w:divBdr>
        <w:top w:val="none" w:sz="0" w:space="0" w:color="auto"/>
        <w:left w:val="none" w:sz="0" w:space="0" w:color="auto"/>
        <w:bottom w:val="none" w:sz="0" w:space="0" w:color="auto"/>
        <w:right w:val="none" w:sz="0" w:space="0" w:color="auto"/>
      </w:divBdr>
      <w:divsChild>
        <w:div w:id="317270056">
          <w:marLeft w:val="0"/>
          <w:marRight w:val="0"/>
          <w:marTop w:val="0"/>
          <w:marBottom w:val="0"/>
          <w:divBdr>
            <w:top w:val="none" w:sz="0" w:space="0" w:color="auto"/>
            <w:left w:val="none" w:sz="0" w:space="0" w:color="auto"/>
            <w:bottom w:val="none" w:sz="0" w:space="0" w:color="auto"/>
            <w:right w:val="none" w:sz="0" w:space="0" w:color="auto"/>
          </w:divBdr>
          <w:divsChild>
            <w:div w:id="336537299">
              <w:marLeft w:val="0"/>
              <w:marRight w:val="0"/>
              <w:marTop w:val="0"/>
              <w:marBottom w:val="0"/>
              <w:divBdr>
                <w:top w:val="none" w:sz="0" w:space="0" w:color="auto"/>
                <w:left w:val="none" w:sz="0" w:space="0" w:color="auto"/>
                <w:bottom w:val="none" w:sz="0" w:space="0" w:color="auto"/>
                <w:right w:val="none" w:sz="0" w:space="0" w:color="auto"/>
              </w:divBdr>
            </w:div>
            <w:div w:id="597374331">
              <w:marLeft w:val="0"/>
              <w:marRight w:val="0"/>
              <w:marTop w:val="0"/>
              <w:marBottom w:val="0"/>
              <w:divBdr>
                <w:top w:val="none" w:sz="0" w:space="0" w:color="auto"/>
                <w:left w:val="none" w:sz="0" w:space="0" w:color="auto"/>
                <w:bottom w:val="none" w:sz="0" w:space="0" w:color="auto"/>
                <w:right w:val="none" w:sz="0" w:space="0" w:color="auto"/>
              </w:divBdr>
            </w:div>
            <w:div w:id="803618682">
              <w:marLeft w:val="0"/>
              <w:marRight w:val="0"/>
              <w:marTop w:val="0"/>
              <w:marBottom w:val="0"/>
              <w:divBdr>
                <w:top w:val="none" w:sz="0" w:space="0" w:color="auto"/>
                <w:left w:val="none" w:sz="0" w:space="0" w:color="auto"/>
                <w:bottom w:val="none" w:sz="0" w:space="0" w:color="auto"/>
                <w:right w:val="none" w:sz="0" w:space="0" w:color="auto"/>
              </w:divBdr>
            </w:div>
            <w:div w:id="1064066692">
              <w:marLeft w:val="0"/>
              <w:marRight w:val="0"/>
              <w:marTop w:val="0"/>
              <w:marBottom w:val="0"/>
              <w:divBdr>
                <w:top w:val="none" w:sz="0" w:space="0" w:color="auto"/>
                <w:left w:val="none" w:sz="0" w:space="0" w:color="auto"/>
                <w:bottom w:val="none" w:sz="0" w:space="0" w:color="auto"/>
                <w:right w:val="none" w:sz="0" w:space="0" w:color="auto"/>
              </w:divBdr>
            </w:div>
            <w:div w:id="1404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593">
      <w:bodyDiv w:val="1"/>
      <w:marLeft w:val="0"/>
      <w:marRight w:val="0"/>
      <w:marTop w:val="0"/>
      <w:marBottom w:val="0"/>
      <w:divBdr>
        <w:top w:val="none" w:sz="0" w:space="0" w:color="auto"/>
        <w:left w:val="none" w:sz="0" w:space="0" w:color="auto"/>
        <w:bottom w:val="none" w:sz="0" w:space="0" w:color="auto"/>
        <w:right w:val="none" w:sz="0" w:space="0" w:color="auto"/>
      </w:divBdr>
    </w:div>
    <w:div w:id="14729885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78">
          <w:marLeft w:val="0"/>
          <w:marRight w:val="0"/>
          <w:marTop w:val="0"/>
          <w:marBottom w:val="0"/>
          <w:divBdr>
            <w:top w:val="none" w:sz="0" w:space="0" w:color="auto"/>
            <w:left w:val="none" w:sz="0" w:space="0" w:color="auto"/>
            <w:bottom w:val="none" w:sz="0" w:space="0" w:color="auto"/>
            <w:right w:val="none" w:sz="0" w:space="0" w:color="auto"/>
          </w:divBdr>
          <w:divsChild>
            <w:div w:id="895356088">
              <w:marLeft w:val="0"/>
              <w:marRight w:val="0"/>
              <w:marTop w:val="0"/>
              <w:marBottom w:val="0"/>
              <w:divBdr>
                <w:top w:val="none" w:sz="0" w:space="0" w:color="auto"/>
                <w:left w:val="none" w:sz="0" w:space="0" w:color="auto"/>
                <w:bottom w:val="none" w:sz="0" w:space="0" w:color="auto"/>
                <w:right w:val="none" w:sz="0" w:space="0" w:color="auto"/>
              </w:divBdr>
              <w:divsChild>
                <w:div w:id="21081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2023-04-25T18:30:00+00:00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D2CE8-D349-4BF3-852A-24A313759CE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965BF235-89EB-4E9A-9B70-F9DA9E293605}">
  <ds:schemaRefs>
    <ds:schemaRef ds:uri="http://schemas.openxmlformats.org/officeDocument/2006/bibliography"/>
  </ds:schemaRefs>
</ds:datastoreItem>
</file>

<file path=customXml/itemProps3.xml><?xml version="1.0" encoding="utf-8"?>
<ds:datastoreItem xmlns:ds="http://schemas.openxmlformats.org/officeDocument/2006/customXml" ds:itemID="{33524FFA-A109-4F07-B3F8-1968B5D5B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AEFD0-1B14-4D57-A602-DD647B87A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11460</Words>
  <Characters>65325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Attorney-General and another v Gondwana Collection Ltd and others (SA 11-2022) [2023] NASC (26 April 2023) </dc:title>
  <dc:subject/>
  <dc:creator>Microsoft Office User</dc:creator>
  <cp:keywords/>
  <dc:description/>
  <cp:lastModifiedBy>Mariana Anguelov</cp:lastModifiedBy>
  <cp:revision>3</cp:revision>
  <cp:lastPrinted>2023-04-10T07:14:00Z</cp:lastPrinted>
  <dcterms:created xsi:type="dcterms:W3CDTF">2023-04-26T08:24:00Z</dcterms:created>
  <dcterms:modified xsi:type="dcterms:W3CDTF">2023-04-30T20:31:00Z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