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3D321" w14:textId="77777777" w:rsidR="00C46168" w:rsidRPr="0017295B" w:rsidRDefault="00D47D46" w:rsidP="00275892">
      <w:pPr>
        <w:spacing w:after="0" w:line="480" w:lineRule="auto"/>
        <w:jc w:val="right"/>
        <w:rPr>
          <w:rFonts w:cs="Arial"/>
          <w:b/>
        </w:rPr>
      </w:pPr>
      <w:r w:rsidRPr="0017295B">
        <w:rPr>
          <w:noProof/>
          <w:lang w:val="en-ZA" w:eastAsia="en-ZA"/>
        </w:rPr>
        <w:drawing>
          <wp:anchor distT="0" distB="0" distL="114300" distR="114300" simplePos="0" relativeHeight="251657728" behindDoc="0" locked="0" layoutInCell="1" allowOverlap="1" wp14:anchorId="1E7455EF" wp14:editId="701186B7">
            <wp:simplePos x="0" y="0"/>
            <wp:positionH relativeFrom="margin">
              <wp:posOffset>2175510</wp:posOffset>
            </wp:positionH>
            <wp:positionV relativeFrom="margin">
              <wp:posOffset>-386715</wp:posOffset>
            </wp:positionV>
            <wp:extent cx="1428750" cy="1485900"/>
            <wp:effectExtent l="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078961" w14:textId="77777777" w:rsidR="00C46168" w:rsidRPr="0017295B" w:rsidRDefault="00C46168" w:rsidP="00275892">
      <w:pPr>
        <w:spacing w:after="0" w:line="480" w:lineRule="auto"/>
        <w:jc w:val="right"/>
        <w:rPr>
          <w:rFonts w:cs="Arial"/>
          <w:b/>
        </w:rPr>
      </w:pPr>
    </w:p>
    <w:p w14:paraId="3E2E39C3" w14:textId="77777777" w:rsidR="00C46168" w:rsidRPr="0017295B" w:rsidRDefault="00C46168" w:rsidP="00275892">
      <w:pPr>
        <w:spacing w:after="0" w:line="480" w:lineRule="auto"/>
        <w:jc w:val="right"/>
        <w:rPr>
          <w:rFonts w:cs="Arial"/>
          <w:b/>
        </w:rPr>
      </w:pPr>
    </w:p>
    <w:p w14:paraId="0E6ABA6B" w14:textId="77777777" w:rsidR="00C46168" w:rsidRPr="0017295B" w:rsidRDefault="00C46168" w:rsidP="00275892">
      <w:pPr>
        <w:spacing w:after="0" w:line="480" w:lineRule="auto"/>
        <w:jc w:val="right"/>
        <w:rPr>
          <w:rFonts w:cs="Arial"/>
          <w:b/>
        </w:rPr>
      </w:pPr>
    </w:p>
    <w:p w14:paraId="2F7E66C6" w14:textId="77777777" w:rsidR="00FF4712" w:rsidRPr="0010407D" w:rsidRDefault="00FF4712" w:rsidP="00FF4712">
      <w:pPr>
        <w:spacing w:after="0" w:line="480" w:lineRule="auto"/>
        <w:jc w:val="right"/>
        <w:rPr>
          <w:rFonts w:ascii="Arial" w:hAnsi="Arial" w:cs="Arial"/>
          <w:b/>
          <w:sz w:val="24"/>
          <w:szCs w:val="24"/>
        </w:rPr>
      </w:pPr>
      <w:r w:rsidRPr="0010407D">
        <w:rPr>
          <w:rFonts w:ascii="Arial" w:hAnsi="Arial" w:cs="Arial"/>
          <w:b/>
          <w:sz w:val="24"/>
          <w:szCs w:val="24"/>
        </w:rPr>
        <w:t>REPORTABLE</w:t>
      </w:r>
    </w:p>
    <w:p w14:paraId="1F3993D9" w14:textId="77777777" w:rsidR="00FF4712" w:rsidRPr="006263C1" w:rsidRDefault="00FF4712" w:rsidP="00FF4712">
      <w:pPr>
        <w:spacing w:after="0" w:line="480" w:lineRule="auto"/>
        <w:jc w:val="right"/>
        <w:rPr>
          <w:rFonts w:ascii="Arial" w:hAnsi="Arial" w:cs="Arial"/>
          <w:sz w:val="24"/>
          <w:szCs w:val="24"/>
        </w:rPr>
      </w:pPr>
      <w:r w:rsidRPr="006263C1">
        <w:rPr>
          <w:rFonts w:ascii="Arial" w:hAnsi="Arial" w:cs="Arial"/>
          <w:sz w:val="24"/>
          <w:szCs w:val="24"/>
        </w:rPr>
        <w:t xml:space="preserve">CASE NO.: SA </w:t>
      </w:r>
      <w:r w:rsidR="00353A17">
        <w:rPr>
          <w:rFonts w:ascii="Arial" w:hAnsi="Arial" w:cs="Arial"/>
          <w:sz w:val="24"/>
          <w:szCs w:val="24"/>
        </w:rPr>
        <w:t>100</w:t>
      </w:r>
      <w:r>
        <w:rPr>
          <w:rFonts w:ascii="Arial" w:hAnsi="Arial" w:cs="Arial"/>
          <w:sz w:val="24"/>
          <w:szCs w:val="24"/>
        </w:rPr>
        <w:t>/20</w:t>
      </w:r>
      <w:r w:rsidR="00353A17">
        <w:rPr>
          <w:rFonts w:ascii="Arial" w:hAnsi="Arial" w:cs="Arial"/>
          <w:sz w:val="24"/>
          <w:szCs w:val="24"/>
        </w:rPr>
        <w:t>2</w:t>
      </w:r>
      <w:r w:rsidR="00301690">
        <w:rPr>
          <w:rFonts w:ascii="Arial" w:hAnsi="Arial" w:cs="Arial"/>
          <w:sz w:val="24"/>
          <w:szCs w:val="24"/>
        </w:rPr>
        <w:t>1</w:t>
      </w:r>
    </w:p>
    <w:p w14:paraId="7EE99E1B" w14:textId="77777777" w:rsidR="00FF4712" w:rsidRPr="004C1A1C" w:rsidRDefault="00FF4712" w:rsidP="00FF4712">
      <w:pPr>
        <w:spacing w:after="0" w:line="480" w:lineRule="auto"/>
        <w:jc w:val="both"/>
        <w:rPr>
          <w:rFonts w:ascii="Arial" w:hAnsi="Arial" w:cs="Arial"/>
          <w:b/>
          <w:sz w:val="24"/>
          <w:szCs w:val="24"/>
        </w:rPr>
      </w:pPr>
      <w:r w:rsidRPr="004C1A1C">
        <w:rPr>
          <w:rFonts w:ascii="Arial" w:hAnsi="Arial" w:cs="Arial"/>
          <w:b/>
          <w:sz w:val="24"/>
          <w:szCs w:val="24"/>
        </w:rPr>
        <w:t>IN THE SUPREME COURT OF NAMIBIA</w:t>
      </w:r>
    </w:p>
    <w:p w14:paraId="63636D70" w14:textId="77777777" w:rsidR="005D68F4" w:rsidRDefault="005D68F4" w:rsidP="00FF4712">
      <w:pPr>
        <w:spacing w:after="0" w:line="480" w:lineRule="auto"/>
        <w:jc w:val="both"/>
        <w:rPr>
          <w:rFonts w:ascii="Arial" w:hAnsi="Arial" w:cs="Arial"/>
          <w:sz w:val="24"/>
          <w:szCs w:val="24"/>
        </w:rPr>
      </w:pPr>
    </w:p>
    <w:p w14:paraId="786A56CC" w14:textId="77777777" w:rsidR="00FF4712" w:rsidRDefault="00FF4712" w:rsidP="00FF4712">
      <w:pPr>
        <w:spacing w:after="0" w:line="480" w:lineRule="auto"/>
        <w:jc w:val="both"/>
        <w:rPr>
          <w:rFonts w:ascii="Arial" w:hAnsi="Arial" w:cs="Arial"/>
          <w:sz w:val="24"/>
          <w:szCs w:val="24"/>
        </w:rPr>
      </w:pPr>
      <w:r>
        <w:rPr>
          <w:rFonts w:ascii="Arial" w:hAnsi="Arial" w:cs="Arial"/>
          <w:sz w:val="24"/>
          <w:szCs w:val="24"/>
        </w:rPr>
        <w:t>In the matter between:</w:t>
      </w:r>
    </w:p>
    <w:p w14:paraId="2290CCA4" w14:textId="77777777" w:rsidR="006C6D3F" w:rsidRDefault="006C6D3F" w:rsidP="00FF4712">
      <w:pPr>
        <w:spacing w:after="0" w:line="480" w:lineRule="auto"/>
        <w:jc w:val="both"/>
        <w:rPr>
          <w:rFonts w:ascii="Arial" w:hAnsi="Arial" w:cs="Arial"/>
          <w:sz w:val="24"/>
          <w:szCs w:val="24"/>
        </w:rPr>
      </w:pPr>
    </w:p>
    <w:tbl>
      <w:tblPr>
        <w:tblW w:w="0" w:type="auto"/>
        <w:tblLook w:val="04A0" w:firstRow="1" w:lastRow="0" w:firstColumn="1" w:lastColumn="0" w:noHBand="0" w:noVBand="1"/>
      </w:tblPr>
      <w:tblGrid>
        <w:gridCol w:w="6087"/>
        <w:gridCol w:w="3034"/>
      </w:tblGrid>
      <w:tr w:rsidR="00FF4712" w:rsidRPr="00500CF6" w14:paraId="52A14702" w14:textId="77777777" w:rsidTr="00BD7C87">
        <w:tc>
          <w:tcPr>
            <w:tcW w:w="6087" w:type="dxa"/>
            <w:shd w:val="clear" w:color="auto" w:fill="auto"/>
          </w:tcPr>
          <w:p w14:paraId="28078539" w14:textId="77777777" w:rsidR="00FF4712" w:rsidRPr="00500CF6" w:rsidRDefault="00301690" w:rsidP="003E1123">
            <w:pPr>
              <w:spacing w:line="480" w:lineRule="auto"/>
              <w:jc w:val="both"/>
              <w:rPr>
                <w:rFonts w:ascii="Arial" w:hAnsi="Arial" w:cs="Arial"/>
                <w:b/>
                <w:sz w:val="24"/>
                <w:szCs w:val="24"/>
              </w:rPr>
            </w:pPr>
            <w:r>
              <w:rPr>
                <w:rFonts w:ascii="Arial" w:hAnsi="Arial" w:cs="Arial"/>
                <w:b/>
                <w:sz w:val="24"/>
                <w:szCs w:val="24"/>
              </w:rPr>
              <w:t>SUSANN</w:t>
            </w:r>
            <w:r w:rsidR="003E1123">
              <w:rPr>
                <w:rFonts w:ascii="Arial" w:hAnsi="Arial" w:cs="Arial"/>
                <w:b/>
                <w:sz w:val="24"/>
                <w:szCs w:val="24"/>
              </w:rPr>
              <w:t>E</w:t>
            </w:r>
            <w:r>
              <w:rPr>
                <w:rFonts w:ascii="Arial" w:hAnsi="Arial" w:cs="Arial"/>
                <w:b/>
                <w:sz w:val="24"/>
                <w:szCs w:val="24"/>
              </w:rPr>
              <w:t xml:space="preserve"> HOFF</w:t>
            </w:r>
          </w:p>
        </w:tc>
        <w:tc>
          <w:tcPr>
            <w:tcW w:w="3034" w:type="dxa"/>
            <w:shd w:val="clear" w:color="auto" w:fill="auto"/>
          </w:tcPr>
          <w:p w14:paraId="438EA6C9" w14:textId="77777777" w:rsidR="00FF4712" w:rsidRPr="00500CF6" w:rsidRDefault="00345847" w:rsidP="004D0ADA">
            <w:pPr>
              <w:spacing w:line="480" w:lineRule="auto"/>
              <w:ind w:left="-108"/>
              <w:jc w:val="right"/>
              <w:rPr>
                <w:rFonts w:ascii="Arial" w:hAnsi="Arial" w:cs="Arial"/>
                <w:b/>
                <w:sz w:val="24"/>
                <w:szCs w:val="24"/>
              </w:rPr>
            </w:pPr>
            <w:r w:rsidRPr="00500CF6">
              <w:rPr>
                <w:rFonts w:ascii="Arial" w:hAnsi="Arial" w:cs="Arial"/>
                <w:b/>
                <w:sz w:val="24"/>
                <w:szCs w:val="24"/>
              </w:rPr>
              <w:t>Appellant</w:t>
            </w:r>
          </w:p>
        </w:tc>
      </w:tr>
      <w:tr w:rsidR="00FF4712" w:rsidRPr="00500CF6" w14:paraId="309C1E4E" w14:textId="77777777" w:rsidTr="00BD7C87">
        <w:tc>
          <w:tcPr>
            <w:tcW w:w="6087" w:type="dxa"/>
            <w:shd w:val="clear" w:color="auto" w:fill="auto"/>
          </w:tcPr>
          <w:p w14:paraId="102DF757" w14:textId="77777777" w:rsidR="00FF4712" w:rsidRPr="00500CF6" w:rsidRDefault="00446464" w:rsidP="00446464">
            <w:pPr>
              <w:spacing w:line="480" w:lineRule="auto"/>
              <w:ind w:left="-108" w:firstLine="108"/>
              <w:jc w:val="both"/>
              <w:rPr>
                <w:rFonts w:ascii="Arial" w:hAnsi="Arial" w:cs="Arial"/>
                <w:sz w:val="24"/>
                <w:szCs w:val="24"/>
              </w:rPr>
            </w:pPr>
            <w:r>
              <w:rPr>
                <w:rFonts w:ascii="Arial" w:hAnsi="Arial" w:cs="Arial"/>
                <w:sz w:val="24"/>
                <w:szCs w:val="24"/>
              </w:rPr>
              <w:t>a</w:t>
            </w:r>
            <w:r w:rsidR="00FF4712" w:rsidRPr="00500CF6">
              <w:rPr>
                <w:rFonts w:ascii="Arial" w:hAnsi="Arial" w:cs="Arial"/>
                <w:sz w:val="24"/>
                <w:szCs w:val="24"/>
              </w:rPr>
              <w:t>nd</w:t>
            </w:r>
          </w:p>
        </w:tc>
        <w:tc>
          <w:tcPr>
            <w:tcW w:w="3034" w:type="dxa"/>
            <w:shd w:val="clear" w:color="auto" w:fill="auto"/>
          </w:tcPr>
          <w:p w14:paraId="4E766F64" w14:textId="77777777" w:rsidR="00FF4712" w:rsidRPr="00500CF6" w:rsidRDefault="00FF4712" w:rsidP="00500CF6">
            <w:pPr>
              <w:spacing w:line="480" w:lineRule="auto"/>
              <w:jc w:val="right"/>
              <w:rPr>
                <w:rFonts w:ascii="Arial" w:hAnsi="Arial" w:cs="Arial"/>
                <w:b/>
                <w:sz w:val="24"/>
                <w:szCs w:val="24"/>
              </w:rPr>
            </w:pPr>
          </w:p>
        </w:tc>
      </w:tr>
      <w:tr w:rsidR="00FF4712" w:rsidRPr="00BD7C87" w14:paraId="5D9B340A" w14:textId="77777777" w:rsidTr="00BD7C87">
        <w:tc>
          <w:tcPr>
            <w:tcW w:w="6087" w:type="dxa"/>
            <w:shd w:val="clear" w:color="auto" w:fill="auto"/>
          </w:tcPr>
          <w:p w14:paraId="70435B0B" w14:textId="77777777" w:rsidR="00FF4712" w:rsidRPr="00500CF6" w:rsidRDefault="00353A17" w:rsidP="00446464">
            <w:pPr>
              <w:spacing w:line="480" w:lineRule="auto"/>
              <w:jc w:val="both"/>
              <w:rPr>
                <w:rFonts w:ascii="Arial" w:hAnsi="Arial" w:cs="Arial"/>
                <w:b/>
                <w:sz w:val="24"/>
                <w:szCs w:val="24"/>
              </w:rPr>
            </w:pPr>
            <w:r>
              <w:rPr>
                <w:rFonts w:ascii="Arial" w:hAnsi="Arial" w:cs="Arial"/>
                <w:b/>
                <w:sz w:val="24"/>
                <w:szCs w:val="24"/>
              </w:rPr>
              <w:t>E</w:t>
            </w:r>
            <w:r w:rsidR="00BD7C87">
              <w:rPr>
                <w:rFonts w:ascii="Arial" w:hAnsi="Arial" w:cs="Arial"/>
                <w:b/>
                <w:sz w:val="24"/>
                <w:szCs w:val="24"/>
              </w:rPr>
              <w:t>GBERT OTTO EUGEN HOFF</w:t>
            </w:r>
          </w:p>
        </w:tc>
        <w:tc>
          <w:tcPr>
            <w:tcW w:w="3034" w:type="dxa"/>
            <w:shd w:val="clear" w:color="auto" w:fill="auto"/>
          </w:tcPr>
          <w:p w14:paraId="6308A47D" w14:textId="77777777" w:rsidR="00FF4712" w:rsidRPr="00500CF6" w:rsidRDefault="006C6D3F" w:rsidP="00500CF6">
            <w:pPr>
              <w:spacing w:line="480" w:lineRule="auto"/>
              <w:jc w:val="right"/>
              <w:rPr>
                <w:rFonts w:ascii="Arial" w:hAnsi="Arial" w:cs="Arial"/>
                <w:b/>
                <w:sz w:val="24"/>
                <w:szCs w:val="24"/>
              </w:rPr>
            </w:pPr>
            <w:r>
              <w:rPr>
                <w:rFonts w:ascii="Arial" w:hAnsi="Arial" w:cs="Arial"/>
                <w:b/>
                <w:sz w:val="24"/>
                <w:szCs w:val="24"/>
              </w:rPr>
              <w:t xml:space="preserve"> </w:t>
            </w:r>
            <w:r w:rsidR="00345847" w:rsidRPr="00500CF6">
              <w:rPr>
                <w:rFonts w:ascii="Arial" w:hAnsi="Arial" w:cs="Arial"/>
                <w:b/>
                <w:sz w:val="24"/>
                <w:szCs w:val="24"/>
              </w:rPr>
              <w:t>Respondent</w:t>
            </w:r>
          </w:p>
        </w:tc>
      </w:tr>
    </w:tbl>
    <w:p w14:paraId="26283B4D" w14:textId="77777777" w:rsidR="00BD7C87" w:rsidRDefault="00BD7C87" w:rsidP="00BD7C87">
      <w:pPr>
        <w:spacing w:after="0" w:line="240" w:lineRule="auto"/>
        <w:jc w:val="both"/>
        <w:rPr>
          <w:rFonts w:ascii="Arial" w:hAnsi="Arial" w:cs="Arial"/>
          <w:b/>
          <w:sz w:val="24"/>
          <w:szCs w:val="24"/>
        </w:rPr>
      </w:pPr>
    </w:p>
    <w:p w14:paraId="7077C060" w14:textId="77777777" w:rsidR="00FF4712" w:rsidRDefault="00FF4712" w:rsidP="00225E79">
      <w:pPr>
        <w:spacing w:after="0" w:line="480" w:lineRule="auto"/>
        <w:jc w:val="both"/>
        <w:rPr>
          <w:rFonts w:ascii="Arial" w:hAnsi="Arial" w:cs="Arial"/>
          <w:sz w:val="24"/>
          <w:szCs w:val="24"/>
        </w:rPr>
      </w:pPr>
      <w:r w:rsidRPr="00594B41">
        <w:rPr>
          <w:rFonts w:ascii="Arial" w:hAnsi="Arial" w:cs="Arial"/>
          <w:b/>
          <w:sz w:val="24"/>
          <w:szCs w:val="24"/>
        </w:rPr>
        <w:t>Coram:</w:t>
      </w:r>
      <w:r w:rsidR="00594B41">
        <w:rPr>
          <w:rFonts w:ascii="Arial" w:hAnsi="Arial" w:cs="Arial"/>
          <w:sz w:val="24"/>
          <w:szCs w:val="24"/>
        </w:rPr>
        <w:tab/>
      </w:r>
      <w:r w:rsidR="00BD7C87">
        <w:rPr>
          <w:rFonts w:ascii="Arial" w:hAnsi="Arial" w:cs="Arial"/>
          <w:sz w:val="24"/>
          <w:szCs w:val="24"/>
        </w:rPr>
        <w:t xml:space="preserve">DAMASEB DCJ, </w:t>
      </w:r>
      <w:r w:rsidR="00861369">
        <w:rPr>
          <w:rFonts w:ascii="Arial" w:hAnsi="Arial" w:cs="Arial"/>
          <w:sz w:val="24"/>
          <w:szCs w:val="24"/>
        </w:rPr>
        <w:t>MAINGA</w:t>
      </w:r>
      <w:r>
        <w:rPr>
          <w:rFonts w:ascii="Arial" w:hAnsi="Arial" w:cs="Arial"/>
          <w:sz w:val="24"/>
          <w:szCs w:val="24"/>
        </w:rPr>
        <w:t xml:space="preserve"> JA </w:t>
      </w:r>
      <w:r w:rsidR="00861369" w:rsidRPr="007D275A">
        <w:rPr>
          <w:rFonts w:ascii="Arial" w:hAnsi="Arial" w:cs="Arial"/>
          <w:sz w:val="24"/>
          <w:szCs w:val="24"/>
        </w:rPr>
        <w:t>and</w:t>
      </w:r>
      <w:r w:rsidR="00270C55">
        <w:rPr>
          <w:rFonts w:ascii="Arial" w:hAnsi="Arial" w:cs="Arial"/>
          <w:sz w:val="24"/>
          <w:szCs w:val="24"/>
        </w:rPr>
        <w:t xml:space="preserve"> </w:t>
      </w:r>
      <w:r w:rsidR="00BD7C87">
        <w:rPr>
          <w:rFonts w:ascii="Arial" w:hAnsi="Arial" w:cs="Arial"/>
          <w:sz w:val="24"/>
          <w:szCs w:val="24"/>
        </w:rPr>
        <w:t xml:space="preserve">HOFF </w:t>
      </w:r>
      <w:r>
        <w:rPr>
          <w:rFonts w:ascii="Arial" w:hAnsi="Arial" w:cs="Arial"/>
          <w:sz w:val="24"/>
          <w:szCs w:val="24"/>
        </w:rPr>
        <w:t xml:space="preserve">JA </w:t>
      </w:r>
    </w:p>
    <w:p w14:paraId="3D1C270D" w14:textId="77777777" w:rsidR="00BB1B5D" w:rsidRDefault="00BB1B5D" w:rsidP="00FF4712">
      <w:pPr>
        <w:spacing w:after="0" w:line="480" w:lineRule="auto"/>
        <w:jc w:val="both"/>
        <w:rPr>
          <w:rFonts w:ascii="Arial" w:hAnsi="Arial" w:cs="Arial"/>
          <w:b/>
          <w:sz w:val="24"/>
          <w:szCs w:val="24"/>
        </w:rPr>
      </w:pPr>
    </w:p>
    <w:p w14:paraId="7C12E114" w14:textId="77777777" w:rsidR="00FF4712" w:rsidRPr="00594B41" w:rsidRDefault="00FF4712" w:rsidP="00FF4712">
      <w:pPr>
        <w:spacing w:after="0" w:line="480" w:lineRule="auto"/>
        <w:jc w:val="both"/>
        <w:rPr>
          <w:rFonts w:ascii="Arial" w:hAnsi="Arial" w:cs="Arial"/>
          <w:b/>
          <w:sz w:val="24"/>
          <w:szCs w:val="24"/>
        </w:rPr>
      </w:pPr>
      <w:r w:rsidRPr="00594B41">
        <w:rPr>
          <w:rFonts w:ascii="Arial" w:hAnsi="Arial" w:cs="Arial"/>
          <w:b/>
          <w:sz w:val="24"/>
          <w:szCs w:val="24"/>
        </w:rPr>
        <w:t>Heard</w:t>
      </w:r>
      <w:r w:rsidR="00594B41">
        <w:rPr>
          <w:rFonts w:ascii="Arial" w:hAnsi="Arial" w:cs="Arial"/>
          <w:b/>
          <w:sz w:val="24"/>
          <w:szCs w:val="24"/>
        </w:rPr>
        <w:t>:</w:t>
      </w:r>
      <w:r w:rsidR="00594B41">
        <w:rPr>
          <w:rFonts w:ascii="Arial" w:hAnsi="Arial" w:cs="Arial"/>
          <w:b/>
          <w:sz w:val="24"/>
          <w:szCs w:val="24"/>
        </w:rPr>
        <w:tab/>
      </w:r>
      <w:r w:rsidR="00353A17">
        <w:rPr>
          <w:rFonts w:ascii="Arial" w:hAnsi="Arial" w:cs="Arial"/>
          <w:b/>
          <w:sz w:val="24"/>
          <w:szCs w:val="24"/>
        </w:rPr>
        <w:t>2</w:t>
      </w:r>
      <w:r w:rsidR="00BD7C87">
        <w:rPr>
          <w:rFonts w:ascii="Arial" w:hAnsi="Arial" w:cs="Arial"/>
          <w:b/>
          <w:sz w:val="24"/>
          <w:szCs w:val="24"/>
        </w:rPr>
        <w:t>9</w:t>
      </w:r>
      <w:r w:rsidR="00270C55" w:rsidRPr="00594B41">
        <w:rPr>
          <w:rFonts w:ascii="Arial" w:hAnsi="Arial" w:cs="Arial"/>
          <w:b/>
          <w:sz w:val="24"/>
          <w:szCs w:val="24"/>
        </w:rPr>
        <w:t xml:space="preserve"> </w:t>
      </w:r>
      <w:r w:rsidR="00BD7C87">
        <w:rPr>
          <w:rFonts w:ascii="Arial" w:hAnsi="Arial" w:cs="Arial"/>
          <w:b/>
          <w:sz w:val="24"/>
          <w:szCs w:val="24"/>
        </w:rPr>
        <w:t>Ma</w:t>
      </w:r>
      <w:r w:rsidR="00353A17">
        <w:rPr>
          <w:rFonts w:ascii="Arial" w:hAnsi="Arial" w:cs="Arial"/>
          <w:b/>
          <w:sz w:val="24"/>
          <w:szCs w:val="24"/>
        </w:rPr>
        <w:t>r</w:t>
      </w:r>
      <w:r w:rsidR="00BD7C87">
        <w:rPr>
          <w:rFonts w:ascii="Arial" w:hAnsi="Arial" w:cs="Arial"/>
          <w:b/>
          <w:sz w:val="24"/>
          <w:szCs w:val="24"/>
        </w:rPr>
        <w:t>ch</w:t>
      </w:r>
      <w:r w:rsidRPr="00594B41">
        <w:rPr>
          <w:rFonts w:ascii="Arial" w:hAnsi="Arial" w:cs="Arial"/>
          <w:b/>
          <w:sz w:val="24"/>
          <w:szCs w:val="24"/>
        </w:rPr>
        <w:t xml:space="preserve"> 20</w:t>
      </w:r>
      <w:r w:rsidR="00225E79">
        <w:rPr>
          <w:rFonts w:ascii="Arial" w:hAnsi="Arial" w:cs="Arial"/>
          <w:b/>
          <w:sz w:val="24"/>
          <w:szCs w:val="24"/>
        </w:rPr>
        <w:t>2</w:t>
      </w:r>
      <w:r w:rsidR="00BD7C87">
        <w:rPr>
          <w:rFonts w:ascii="Arial" w:hAnsi="Arial" w:cs="Arial"/>
          <w:b/>
          <w:sz w:val="24"/>
          <w:szCs w:val="24"/>
        </w:rPr>
        <w:t>3</w:t>
      </w:r>
    </w:p>
    <w:p w14:paraId="7B51C7C7" w14:textId="77777777" w:rsidR="00225E79" w:rsidRDefault="00FF4712" w:rsidP="00FF4712">
      <w:pPr>
        <w:spacing w:after="0" w:line="480" w:lineRule="auto"/>
        <w:jc w:val="both"/>
        <w:rPr>
          <w:rFonts w:ascii="Arial" w:hAnsi="Arial" w:cs="Arial"/>
          <w:b/>
          <w:sz w:val="24"/>
          <w:szCs w:val="24"/>
        </w:rPr>
      </w:pPr>
      <w:r w:rsidRPr="00594B41">
        <w:rPr>
          <w:rFonts w:ascii="Arial" w:hAnsi="Arial" w:cs="Arial"/>
          <w:b/>
          <w:sz w:val="24"/>
          <w:szCs w:val="24"/>
        </w:rPr>
        <w:t>Delivered:</w:t>
      </w:r>
      <w:r w:rsidR="00EB4727">
        <w:rPr>
          <w:rFonts w:ascii="Arial" w:hAnsi="Arial" w:cs="Arial"/>
          <w:b/>
          <w:sz w:val="24"/>
          <w:szCs w:val="24"/>
        </w:rPr>
        <w:tab/>
      </w:r>
      <w:r w:rsidR="00760A86">
        <w:rPr>
          <w:rFonts w:ascii="Arial" w:hAnsi="Arial" w:cs="Arial"/>
          <w:b/>
          <w:sz w:val="24"/>
          <w:szCs w:val="24"/>
        </w:rPr>
        <w:t>23</w:t>
      </w:r>
      <w:r w:rsidR="00DA0644">
        <w:rPr>
          <w:rFonts w:ascii="Arial" w:hAnsi="Arial" w:cs="Arial"/>
          <w:b/>
          <w:sz w:val="24"/>
          <w:szCs w:val="24"/>
        </w:rPr>
        <w:t xml:space="preserve"> June </w:t>
      </w:r>
      <w:r w:rsidR="00EB4727">
        <w:rPr>
          <w:rFonts w:ascii="Arial" w:hAnsi="Arial" w:cs="Arial"/>
          <w:b/>
          <w:sz w:val="24"/>
          <w:szCs w:val="24"/>
        </w:rPr>
        <w:t>202</w:t>
      </w:r>
      <w:r w:rsidR="00BD7C87">
        <w:rPr>
          <w:rFonts w:ascii="Arial" w:hAnsi="Arial" w:cs="Arial"/>
          <w:b/>
          <w:sz w:val="24"/>
          <w:szCs w:val="24"/>
        </w:rPr>
        <w:t>3</w:t>
      </w:r>
    </w:p>
    <w:p w14:paraId="0B6A25E4" w14:textId="77777777" w:rsidR="003E1123" w:rsidRDefault="00225E79" w:rsidP="003E1123">
      <w:pPr>
        <w:spacing w:after="0" w:line="360" w:lineRule="auto"/>
        <w:jc w:val="both"/>
        <w:rPr>
          <w:rFonts w:ascii="Arial" w:hAnsi="Arial" w:cs="Arial"/>
          <w:sz w:val="24"/>
          <w:szCs w:val="24"/>
        </w:rPr>
      </w:pPr>
      <w:r>
        <w:rPr>
          <w:rFonts w:ascii="Arial" w:hAnsi="Arial" w:cs="Arial"/>
          <w:b/>
          <w:sz w:val="24"/>
          <w:szCs w:val="24"/>
        </w:rPr>
        <w:t>Summary:</w:t>
      </w:r>
      <w:r w:rsidR="00C46168">
        <w:rPr>
          <w:rFonts w:ascii="Arial" w:hAnsi="Arial" w:cs="Arial"/>
          <w:b/>
          <w:sz w:val="24"/>
          <w:szCs w:val="24"/>
        </w:rPr>
        <w:t xml:space="preserve"> </w:t>
      </w:r>
      <w:r w:rsidR="003E1123">
        <w:rPr>
          <w:rFonts w:ascii="Arial" w:hAnsi="Arial" w:cs="Arial"/>
          <w:b/>
          <w:sz w:val="24"/>
          <w:szCs w:val="24"/>
        </w:rPr>
        <w:tab/>
      </w:r>
      <w:r w:rsidR="003E1123" w:rsidRPr="0052725E">
        <w:rPr>
          <w:rFonts w:ascii="Arial" w:hAnsi="Arial" w:cs="Arial"/>
          <w:sz w:val="24"/>
          <w:szCs w:val="24"/>
        </w:rPr>
        <w:t xml:space="preserve">The appellant and </w:t>
      </w:r>
      <w:r w:rsidR="003E1123">
        <w:rPr>
          <w:rFonts w:ascii="Arial" w:hAnsi="Arial" w:cs="Arial"/>
          <w:sz w:val="24"/>
          <w:szCs w:val="24"/>
        </w:rPr>
        <w:t xml:space="preserve">the </w:t>
      </w:r>
      <w:r w:rsidR="003E1123" w:rsidRPr="0052725E">
        <w:rPr>
          <w:rFonts w:ascii="Arial" w:hAnsi="Arial" w:cs="Arial"/>
          <w:sz w:val="24"/>
          <w:szCs w:val="24"/>
        </w:rPr>
        <w:t>respondent were previously married to each other. In their divorce</w:t>
      </w:r>
      <w:r w:rsidR="00E17B31">
        <w:rPr>
          <w:rFonts w:ascii="Arial" w:hAnsi="Arial" w:cs="Arial"/>
          <w:sz w:val="24"/>
          <w:szCs w:val="24"/>
        </w:rPr>
        <w:t xml:space="preserve"> action in the</w:t>
      </w:r>
      <w:r w:rsidR="003E1123">
        <w:rPr>
          <w:rFonts w:ascii="Arial" w:hAnsi="Arial" w:cs="Arial"/>
          <w:sz w:val="24"/>
          <w:szCs w:val="24"/>
        </w:rPr>
        <w:t xml:space="preserve"> High Court</w:t>
      </w:r>
      <w:r w:rsidR="003E1123" w:rsidRPr="0052725E">
        <w:rPr>
          <w:rFonts w:ascii="Arial" w:hAnsi="Arial" w:cs="Arial"/>
          <w:sz w:val="24"/>
          <w:szCs w:val="24"/>
        </w:rPr>
        <w:t>, the parties concluded</w:t>
      </w:r>
      <w:r w:rsidR="003E1123">
        <w:rPr>
          <w:rFonts w:ascii="Arial" w:hAnsi="Arial" w:cs="Arial"/>
          <w:b/>
          <w:sz w:val="24"/>
          <w:szCs w:val="24"/>
        </w:rPr>
        <w:t xml:space="preserve"> </w:t>
      </w:r>
      <w:r w:rsidR="003E1123" w:rsidRPr="0052725E">
        <w:rPr>
          <w:rFonts w:ascii="Arial" w:hAnsi="Arial" w:cs="Arial"/>
          <w:sz w:val="24"/>
          <w:szCs w:val="24"/>
        </w:rPr>
        <w:t>a settlement agree</w:t>
      </w:r>
      <w:r w:rsidR="003E1123">
        <w:rPr>
          <w:rFonts w:ascii="Arial" w:hAnsi="Arial" w:cs="Arial"/>
          <w:sz w:val="24"/>
          <w:szCs w:val="24"/>
        </w:rPr>
        <w:t xml:space="preserve">ment. In terms of that agreement, the appellant and the respondent </w:t>
      </w:r>
      <w:r w:rsidR="003E1123" w:rsidRPr="00E17B31">
        <w:rPr>
          <w:rFonts w:ascii="Arial" w:hAnsi="Arial" w:cs="Arial"/>
          <w:i/>
          <w:sz w:val="24"/>
          <w:szCs w:val="24"/>
        </w:rPr>
        <w:t>inter alia</w:t>
      </w:r>
      <w:r w:rsidR="003E1123">
        <w:rPr>
          <w:rFonts w:ascii="Arial" w:hAnsi="Arial" w:cs="Arial"/>
          <w:sz w:val="24"/>
          <w:szCs w:val="24"/>
        </w:rPr>
        <w:t xml:space="preserve"> agreed that the appellant will retain as her sole and exclusive property, all horses and genetic bloodline in connection and / or associated with the Neu</w:t>
      </w:r>
      <w:r w:rsidR="00E17B31">
        <w:rPr>
          <w:rFonts w:ascii="Arial" w:hAnsi="Arial" w:cs="Arial"/>
          <w:sz w:val="24"/>
          <w:szCs w:val="24"/>
        </w:rPr>
        <w:t>-</w:t>
      </w:r>
      <w:r w:rsidR="003E1123">
        <w:rPr>
          <w:rFonts w:ascii="Arial" w:hAnsi="Arial" w:cs="Arial"/>
          <w:sz w:val="24"/>
          <w:szCs w:val="24"/>
        </w:rPr>
        <w:t>Heusis horse stud kept on farm Neu</w:t>
      </w:r>
      <w:r w:rsidR="00E17B31">
        <w:rPr>
          <w:rFonts w:ascii="Arial" w:hAnsi="Arial" w:cs="Arial"/>
          <w:sz w:val="24"/>
          <w:szCs w:val="24"/>
        </w:rPr>
        <w:t>-</w:t>
      </w:r>
      <w:r w:rsidR="003E1123">
        <w:rPr>
          <w:rFonts w:ascii="Arial" w:hAnsi="Arial" w:cs="Arial"/>
          <w:sz w:val="24"/>
          <w:szCs w:val="24"/>
        </w:rPr>
        <w:lastRenderedPageBreak/>
        <w:t xml:space="preserve">Heusis as at 20 June 2017 or wherever else the stud or portions of the stud may be kept. </w:t>
      </w:r>
    </w:p>
    <w:p w14:paraId="023C5467" w14:textId="77777777" w:rsidR="003E1123" w:rsidRDefault="003E1123" w:rsidP="003E1123">
      <w:pPr>
        <w:spacing w:after="0" w:line="360" w:lineRule="auto"/>
        <w:jc w:val="both"/>
        <w:rPr>
          <w:rFonts w:ascii="Arial" w:hAnsi="Arial" w:cs="Arial"/>
          <w:sz w:val="24"/>
          <w:szCs w:val="24"/>
        </w:rPr>
      </w:pPr>
    </w:p>
    <w:p w14:paraId="5F7EAC36" w14:textId="77777777" w:rsidR="003E1123" w:rsidRDefault="003E1123" w:rsidP="003E1123">
      <w:pPr>
        <w:spacing w:after="0" w:line="360" w:lineRule="auto"/>
        <w:jc w:val="both"/>
        <w:rPr>
          <w:rFonts w:ascii="Arial" w:hAnsi="Arial" w:cs="Arial"/>
          <w:sz w:val="24"/>
          <w:szCs w:val="24"/>
        </w:rPr>
      </w:pPr>
      <w:r>
        <w:rPr>
          <w:rFonts w:ascii="Arial" w:hAnsi="Arial" w:cs="Arial"/>
          <w:sz w:val="24"/>
          <w:szCs w:val="24"/>
        </w:rPr>
        <w:t xml:space="preserve">The appellant and the respondent further agreed that by no later than </w:t>
      </w:r>
      <w:r w:rsidR="00CA4248">
        <w:rPr>
          <w:rFonts w:ascii="Arial" w:hAnsi="Arial" w:cs="Arial"/>
          <w:sz w:val="24"/>
          <w:szCs w:val="24"/>
        </w:rPr>
        <w:t>29 June 2017</w:t>
      </w:r>
      <w:r w:rsidR="00E61DC7">
        <w:rPr>
          <w:rFonts w:ascii="Arial" w:hAnsi="Arial" w:cs="Arial"/>
          <w:sz w:val="24"/>
          <w:szCs w:val="24"/>
        </w:rPr>
        <w:t xml:space="preserve"> </w:t>
      </w:r>
      <w:r>
        <w:rPr>
          <w:rFonts w:ascii="Arial" w:hAnsi="Arial" w:cs="Arial"/>
          <w:sz w:val="24"/>
          <w:szCs w:val="24"/>
        </w:rPr>
        <w:t xml:space="preserve">the respondent shall provide the appellant with all records and/or invoices of vaccinations and other relevant veterinary records, if any, pertaining to and/or connected with the horses of the Neu-Heusis stud. They further recorded in the agreement, that the respondent ‘shall do his utmost to obtain proof of such records and invoices but, if same are not available’, the appellant accepted the respondent’s assurance that such vaccinations were administered to the Neu-Heusis stud from 2011-2016. </w:t>
      </w:r>
    </w:p>
    <w:p w14:paraId="19A187B0" w14:textId="77777777" w:rsidR="003E1123" w:rsidRDefault="003E1123" w:rsidP="003E1123">
      <w:pPr>
        <w:spacing w:after="0" w:line="360" w:lineRule="auto"/>
        <w:jc w:val="both"/>
        <w:rPr>
          <w:rFonts w:ascii="Arial" w:hAnsi="Arial" w:cs="Arial"/>
          <w:sz w:val="24"/>
          <w:szCs w:val="24"/>
        </w:rPr>
      </w:pPr>
    </w:p>
    <w:p w14:paraId="64DF1CEA" w14:textId="77777777" w:rsidR="003E1123" w:rsidRDefault="003E1123" w:rsidP="003E1123">
      <w:pPr>
        <w:spacing w:after="0" w:line="360" w:lineRule="auto"/>
        <w:jc w:val="both"/>
        <w:rPr>
          <w:rFonts w:ascii="Arial" w:hAnsi="Arial" w:cs="Arial"/>
          <w:sz w:val="24"/>
          <w:szCs w:val="24"/>
        </w:rPr>
      </w:pPr>
      <w:r>
        <w:rPr>
          <w:rFonts w:ascii="Arial" w:hAnsi="Arial" w:cs="Arial"/>
          <w:sz w:val="24"/>
          <w:szCs w:val="24"/>
        </w:rPr>
        <w:t>They also agreed in clause 26 of the agreement that th</w:t>
      </w:r>
      <w:r w:rsidR="00E17B31">
        <w:rPr>
          <w:rFonts w:ascii="Arial" w:hAnsi="Arial" w:cs="Arial"/>
          <w:sz w:val="24"/>
          <w:szCs w:val="24"/>
        </w:rPr>
        <w:t>e</w:t>
      </w:r>
      <w:r>
        <w:rPr>
          <w:rFonts w:ascii="Arial" w:hAnsi="Arial" w:cs="Arial"/>
          <w:sz w:val="24"/>
          <w:szCs w:val="24"/>
        </w:rPr>
        <w:t xml:space="preserve"> settlement agreement was </w:t>
      </w:r>
      <w:r w:rsidR="00E17B31">
        <w:rPr>
          <w:rFonts w:ascii="Arial" w:hAnsi="Arial" w:cs="Arial"/>
          <w:sz w:val="24"/>
          <w:szCs w:val="24"/>
        </w:rPr>
        <w:t>the</w:t>
      </w:r>
      <w:r>
        <w:rPr>
          <w:rFonts w:ascii="Arial" w:hAnsi="Arial" w:cs="Arial"/>
          <w:sz w:val="24"/>
          <w:szCs w:val="24"/>
        </w:rPr>
        <w:t xml:space="preserve"> full and final settlement of ‘past, present and future claims that the parties may have against each other’</w:t>
      </w:r>
      <w:r w:rsidR="004E4059">
        <w:rPr>
          <w:rFonts w:ascii="Arial" w:hAnsi="Arial" w:cs="Arial"/>
          <w:sz w:val="24"/>
          <w:szCs w:val="24"/>
        </w:rPr>
        <w:t>.</w:t>
      </w:r>
      <w:r>
        <w:rPr>
          <w:rFonts w:ascii="Arial" w:hAnsi="Arial" w:cs="Arial"/>
          <w:sz w:val="24"/>
          <w:szCs w:val="24"/>
        </w:rPr>
        <w:t xml:space="preserve"> The agreement was made an order of court and the divorce action was then finalized. </w:t>
      </w:r>
    </w:p>
    <w:p w14:paraId="5E651CC4" w14:textId="77777777" w:rsidR="003E1123" w:rsidRDefault="003E1123" w:rsidP="003E1123">
      <w:pPr>
        <w:spacing w:after="0" w:line="360" w:lineRule="auto"/>
        <w:jc w:val="both"/>
        <w:rPr>
          <w:rFonts w:ascii="Arial" w:hAnsi="Arial" w:cs="Arial"/>
          <w:sz w:val="24"/>
          <w:szCs w:val="24"/>
        </w:rPr>
      </w:pPr>
    </w:p>
    <w:p w14:paraId="680D6A49" w14:textId="77777777" w:rsidR="003E1123" w:rsidRDefault="003E1123" w:rsidP="003E1123">
      <w:pPr>
        <w:spacing w:after="0" w:line="360" w:lineRule="auto"/>
        <w:jc w:val="both"/>
        <w:rPr>
          <w:rFonts w:ascii="Arial" w:hAnsi="Arial" w:cs="Arial"/>
          <w:sz w:val="24"/>
          <w:szCs w:val="24"/>
        </w:rPr>
      </w:pPr>
      <w:r>
        <w:rPr>
          <w:rFonts w:ascii="Arial" w:hAnsi="Arial" w:cs="Arial"/>
          <w:sz w:val="24"/>
          <w:szCs w:val="24"/>
        </w:rPr>
        <w:t xml:space="preserve">The appellant alleging non-compliance by the respondent with </w:t>
      </w:r>
      <w:r w:rsidR="00E17B31">
        <w:rPr>
          <w:rFonts w:ascii="Arial" w:hAnsi="Arial" w:cs="Arial"/>
          <w:sz w:val="24"/>
          <w:szCs w:val="24"/>
        </w:rPr>
        <w:t xml:space="preserve">the </w:t>
      </w:r>
      <w:r>
        <w:rPr>
          <w:rFonts w:ascii="Arial" w:hAnsi="Arial" w:cs="Arial"/>
          <w:sz w:val="24"/>
          <w:szCs w:val="24"/>
        </w:rPr>
        <w:t xml:space="preserve">terms of the agreement instituted an action for damages in the court </w:t>
      </w:r>
      <w:r w:rsidRPr="00E17B31">
        <w:rPr>
          <w:rFonts w:ascii="Arial" w:hAnsi="Arial" w:cs="Arial"/>
          <w:i/>
          <w:sz w:val="24"/>
          <w:szCs w:val="24"/>
        </w:rPr>
        <w:t>a quo</w:t>
      </w:r>
      <w:r>
        <w:rPr>
          <w:rFonts w:ascii="Arial" w:hAnsi="Arial" w:cs="Arial"/>
          <w:sz w:val="24"/>
          <w:szCs w:val="24"/>
        </w:rPr>
        <w:t xml:space="preserve">. The respondent defended that action and raised a special plea of </w:t>
      </w:r>
      <w:r w:rsidRPr="001B1B7F">
        <w:rPr>
          <w:rFonts w:ascii="Arial" w:hAnsi="Arial" w:cs="Arial"/>
          <w:i/>
          <w:sz w:val="24"/>
          <w:szCs w:val="24"/>
        </w:rPr>
        <w:t>res judicata</w:t>
      </w:r>
      <w:r>
        <w:rPr>
          <w:rFonts w:ascii="Arial" w:hAnsi="Arial" w:cs="Arial"/>
          <w:sz w:val="24"/>
          <w:szCs w:val="24"/>
        </w:rPr>
        <w:t xml:space="preserve">. In the special plea, the respondent alleged that the claims set out in the particulars of claim by the appellant in the action for damages were part and parcel of the divorce action which was already settled. Further that, on account of clause 26, the appellant had no claim against the respondent.  </w:t>
      </w:r>
    </w:p>
    <w:p w14:paraId="65B35F9D" w14:textId="77777777" w:rsidR="003E1123" w:rsidRDefault="003E1123" w:rsidP="003E1123">
      <w:pPr>
        <w:spacing w:after="0" w:line="360" w:lineRule="auto"/>
        <w:jc w:val="both"/>
        <w:rPr>
          <w:rFonts w:ascii="Arial" w:hAnsi="Arial" w:cs="Arial"/>
          <w:sz w:val="24"/>
          <w:szCs w:val="24"/>
        </w:rPr>
      </w:pPr>
    </w:p>
    <w:p w14:paraId="2D67F5DC" w14:textId="77777777" w:rsidR="003E1123" w:rsidRDefault="003E1123" w:rsidP="003E1123">
      <w:pPr>
        <w:spacing w:after="0" w:line="360" w:lineRule="auto"/>
        <w:jc w:val="both"/>
        <w:rPr>
          <w:rFonts w:ascii="Arial" w:hAnsi="Arial" w:cs="Arial"/>
          <w:sz w:val="24"/>
          <w:szCs w:val="24"/>
        </w:rPr>
      </w:pPr>
      <w:r>
        <w:rPr>
          <w:rFonts w:ascii="Arial" w:hAnsi="Arial" w:cs="Arial"/>
          <w:sz w:val="24"/>
          <w:szCs w:val="24"/>
        </w:rPr>
        <w:t xml:space="preserve">The court </w:t>
      </w:r>
      <w:r w:rsidRPr="00E17B31">
        <w:rPr>
          <w:rFonts w:ascii="Arial" w:hAnsi="Arial" w:cs="Arial"/>
          <w:i/>
          <w:sz w:val="24"/>
          <w:szCs w:val="24"/>
        </w:rPr>
        <w:t>a quo</w:t>
      </w:r>
      <w:r>
        <w:rPr>
          <w:rFonts w:ascii="Arial" w:hAnsi="Arial" w:cs="Arial"/>
          <w:sz w:val="24"/>
          <w:szCs w:val="24"/>
        </w:rPr>
        <w:t xml:space="preserve"> upheld the special plea of </w:t>
      </w:r>
      <w:r w:rsidRPr="00E17B31">
        <w:rPr>
          <w:rFonts w:ascii="Arial" w:hAnsi="Arial" w:cs="Arial"/>
          <w:i/>
          <w:sz w:val="24"/>
          <w:szCs w:val="24"/>
        </w:rPr>
        <w:t>res judicata</w:t>
      </w:r>
      <w:r>
        <w:rPr>
          <w:rFonts w:ascii="Arial" w:hAnsi="Arial" w:cs="Arial"/>
          <w:sz w:val="24"/>
          <w:szCs w:val="24"/>
        </w:rPr>
        <w:t xml:space="preserve">. The appellant unsatisfied with the court </w:t>
      </w:r>
      <w:r w:rsidRPr="00E17B31">
        <w:rPr>
          <w:rFonts w:ascii="Arial" w:hAnsi="Arial" w:cs="Arial"/>
          <w:i/>
          <w:sz w:val="24"/>
          <w:szCs w:val="24"/>
        </w:rPr>
        <w:t>a quo’s</w:t>
      </w:r>
      <w:r>
        <w:rPr>
          <w:rFonts w:ascii="Arial" w:hAnsi="Arial" w:cs="Arial"/>
          <w:sz w:val="24"/>
          <w:szCs w:val="24"/>
        </w:rPr>
        <w:t xml:space="preserve"> decision appealed to this </w:t>
      </w:r>
      <w:r w:rsidR="00E17B31">
        <w:rPr>
          <w:rFonts w:ascii="Arial" w:hAnsi="Arial" w:cs="Arial"/>
          <w:sz w:val="24"/>
          <w:szCs w:val="24"/>
        </w:rPr>
        <w:t>C</w:t>
      </w:r>
      <w:r>
        <w:rPr>
          <w:rFonts w:ascii="Arial" w:hAnsi="Arial" w:cs="Arial"/>
          <w:sz w:val="24"/>
          <w:szCs w:val="24"/>
        </w:rPr>
        <w:t xml:space="preserve">ourt. </w:t>
      </w:r>
    </w:p>
    <w:p w14:paraId="084FBB03" w14:textId="77777777" w:rsidR="003E1123" w:rsidRDefault="003E1123" w:rsidP="003E1123">
      <w:pPr>
        <w:spacing w:after="0" w:line="360" w:lineRule="auto"/>
        <w:jc w:val="both"/>
        <w:rPr>
          <w:rFonts w:ascii="Arial" w:hAnsi="Arial" w:cs="Arial"/>
          <w:sz w:val="24"/>
          <w:szCs w:val="24"/>
        </w:rPr>
      </w:pPr>
    </w:p>
    <w:p w14:paraId="75C61D81" w14:textId="77777777" w:rsidR="003E1123" w:rsidRDefault="003E1123" w:rsidP="003E1123">
      <w:pPr>
        <w:pStyle w:val="ListParagraph"/>
        <w:tabs>
          <w:tab w:val="left" w:pos="0"/>
        </w:tabs>
        <w:spacing w:after="0" w:line="360" w:lineRule="auto"/>
        <w:ind w:left="0"/>
        <w:jc w:val="both"/>
        <w:rPr>
          <w:rFonts w:ascii="Arial" w:hAnsi="Arial" w:cs="Arial"/>
          <w:sz w:val="24"/>
          <w:szCs w:val="24"/>
        </w:rPr>
      </w:pPr>
      <w:r w:rsidRPr="00BD7C87">
        <w:rPr>
          <w:rFonts w:ascii="Arial" w:hAnsi="Arial" w:cs="Arial"/>
          <w:i/>
          <w:sz w:val="24"/>
          <w:szCs w:val="24"/>
        </w:rPr>
        <w:t>Held</w:t>
      </w:r>
      <w:r>
        <w:rPr>
          <w:rFonts w:ascii="Arial" w:hAnsi="Arial" w:cs="Arial"/>
          <w:i/>
          <w:sz w:val="24"/>
          <w:szCs w:val="24"/>
        </w:rPr>
        <w:t xml:space="preserve"> that</w:t>
      </w:r>
      <w:r w:rsidR="00E17B31">
        <w:rPr>
          <w:rFonts w:ascii="Arial" w:hAnsi="Arial" w:cs="Arial"/>
          <w:i/>
          <w:sz w:val="24"/>
          <w:szCs w:val="24"/>
        </w:rPr>
        <w:t>,</w:t>
      </w:r>
      <w:r>
        <w:rPr>
          <w:rFonts w:ascii="Arial" w:hAnsi="Arial" w:cs="Arial"/>
          <w:sz w:val="24"/>
          <w:szCs w:val="24"/>
        </w:rPr>
        <w:t xml:space="preserve"> from a reading of the clauses of the settlement agreement and the allegations made by the appellant, it is very clear that the appellant attempted to resurrect a cause of action under the guise of a misrepresentation, which in my opinion was extinguished </w:t>
      </w:r>
      <w:r>
        <w:rPr>
          <w:rFonts w:ascii="Arial" w:hAnsi="Arial" w:cs="Arial"/>
          <w:sz w:val="24"/>
          <w:szCs w:val="24"/>
        </w:rPr>
        <w:lastRenderedPageBreak/>
        <w:t>previously between the parties, when no reservations were made in the event something unforeseen at the time of signature arose.</w:t>
      </w:r>
    </w:p>
    <w:p w14:paraId="4C66DFA3" w14:textId="77777777" w:rsidR="003E1123" w:rsidRDefault="003E1123" w:rsidP="003E1123">
      <w:pPr>
        <w:pStyle w:val="ListParagraph"/>
        <w:tabs>
          <w:tab w:val="left" w:pos="0"/>
        </w:tabs>
        <w:spacing w:after="0" w:line="360" w:lineRule="auto"/>
        <w:ind w:left="0"/>
        <w:jc w:val="both"/>
        <w:rPr>
          <w:rFonts w:ascii="Arial" w:hAnsi="Arial" w:cs="Arial"/>
          <w:sz w:val="24"/>
          <w:szCs w:val="24"/>
        </w:rPr>
      </w:pPr>
    </w:p>
    <w:p w14:paraId="219E6122" w14:textId="77777777" w:rsidR="003E1123" w:rsidRDefault="003E1123" w:rsidP="00E17B31">
      <w:pPr>
        <w:spacing w:after="0" w:line="360" w:lineRule="auto"/>
        <w:jc w:val="both"/>
        <w:rPr>
          <w:rFonts w:ascii="Arial" w:hAnsi="Arial" w:cs="Arial"/>
          <w:sz w:val="24"/>
          <w:szCs w:val="24"/>
        </w:rPr>
      </w:pPr>
      <w:r>
        <w:rPr>
          <w:rFonts w:ascii="Arial" w:hAnsi="Arial" w:cs="Arial"/>
          <w:i/>
          <w:sz w:val="24"/>
          <w:szCs w:val="24"/>
        </w:rPr>
        <w:t>Held that</w:t>
      </w:r>
      <w:r w:rsidR="00E17B31">
        <w:rPr>
          <w:rFonts w:ascii="Arial" w:hAnsi="Arial" w:cs="Arial"/>
          <w:i/>
          <w:sz w:val="24"/>
          <w:szCs w:val="24"/>
        </w:rPr>
        <w:t>,</w:t>
      </w:r>
      <w:r>
        <w:rPr>
          <w:rFonts w:ascii="Arial" w:hAnsi="Arial" w:cs="Arial"/>
          <w:i/>
          <w:sz w:val="24"/>
          <w:szCs w:val="24"/>
        </w:rPr>
        <w:t xml:space="preserve"> </w:t>
      </w:r>
      <w:r>
        <w:rPr>
          <w:rFonts w:ascii="Arial" w:hAnsi="Arial" w:cs="Arial"/>
          <w:sz w:val="24"/>
          <w:szCs w:val="24"/>
        </w:rPr>
        <w:t>g</w:t>
      </w:r>
      <w:r w:rsidRPr="00961779">
        <w:rPr>
          <w:rFonts w:ascii="Arial" w:hAnsi="Arial" w:cs="Arial"/>
          <w:sz w:val="24"/>
          <w:szCs w:val="24"/>
        </w:rPr>
        <w:t>iven the language of the settl</w:t>
      </w:r>
      <w:r>
        <w:rPr>
          <w:rFonts w:ascii="Arial" w:hAnsi="Arial" w:cs="Arial"/>
          <w:sz w:val="24"/>
          <w:szCs w:val="24"/>
        </w:rPr>
        <w:t xml:space="preserve">ement agreement, clause 26 </w:t>
      </w:r>
      <w:r w:rsidRPr="00961779">
        <w:rPr>
          <w:rFonts w:ascii="Arial" w:hAnsi="Arial" w:cs="Arial"/>
          <w:sz w:val="24"/>
          <w:szCs w:val="24"/>
        </w:rPr>
        <w:t>provided for, present, past and future disputes. Clause 26 cannot be read in isolation – it should be read with other clauses of the agreement and the issue whether it limits appellant to sue on the agreement do</w:t>
      </w:r>
      <w:r>
        <w:rPr>
          <w:rFonts w:ascii="Arial" w:hAnsi="Arial" w:cs="Arial"/>
          <w:sz w:val="24"/>
          <w:szCs w:val="24"/>
        </w:rPr>
        <w:t>es</w:t>
      </w:r>
      <w:r w:rsidRPr="00961779">
        <w:rPr>
          <w:rFonts w:ascii="Arial" w:hAnsi="Arial" w:cs="Arial"/>
          <w:sz w:val="24"/>
          <w:szCs w:val="24"/>
        </w:rPr>
        <w:t xml:space="preserve"> not arise. There is nothing to suggest that when the appellant accepted the assurances of the respondent on the vaccinations and signed the clause in its current form, she was not aware </w:t>
      </w:r>
      <w:r w:rsidR="00E17B31">
        <w:rPr>
          <w:rFonts w:ascii="Arial" w:hAnsi="Arial" w:cs="Arial"/>
          <w:sz w:val="24"/>
          <w:szCs w:val="24"/>
        </w:rPr>
        <w:t xml:space="preserve">of </w:t>
      </w:r>
      <w:r w:rsidRPr="00961779">
        <w:rPr>
          <w:rFonts w:ascii="Arial" w:hAnsi="Arial" w:cs="Arial"/>
          <w:sz w:val="24"/>
          <w:szCs w:val="24"/>
        </w:rPr>
        <w:t>what she was agreeing to.</w:t>
      </w:r>
    </w:p>
    <w:p w14:paraId="540124ED" w14:textId="77777777" w:rsidR="00E17B31" w:rsidRDefault="00E17B31" w:rsidP="00E17B31">
      <w:pPr>
        <w:spacing w:after="0" w:line="360" w:lineRule="auto"/>
        <w:jc w:val="both"/>
        <w:rPr>
          <w:rFonts w:ascii="Arial" w:hAnsi="Arial" w:cs="Arial"/>
          <w:sz w:val="24"/>
          <w:szCs w:val="24"/>
        </w:rPr>
      </w:pPr>
    </w:p>
    <w:p w14:paraId="4AF26E31" w14:textId="77777777" w:rsidR="003E1123" w:rsidRPr="00961779" w:rsidRDefault="003E1123" w:rsidP="003E1123">
      <w:pPr>
        <w:spacing w:after="0" w:line="360" w:lineRule="auto"/>
        <w:jc w:val="both"/>
        <w:rPr>
          <w:rFonts w:ascii="Arial" w:hAnsi="Arial" w:cs="Arial"/>
          <w:sz w:val="24"/>
          <w:szCs w:val="24"/>
        </w:rPr>
      </w:pPr>
      <w:r>
        <w:rPr>
          <w:rFonts w:ascii="Arial" w:hAnsi="Arial" w:cs="Arial"/>
          <w:sz w:val="24"/>
          <w:szCs w:val="24"/>
        </w:rPr>
        <w:t xml:space="preserve">Consequently, the appeal </w:t>
      </w:r>
      <w:r w:rsidR="00E17B31">
        <w:rPr>
          <w:rFonts w:ascii="Arial" w:hAnsi="Arial" w:cs="Arial"/>
          <w:sz w:val="24"/>
          <w:szCs w:val="24"/>
        </w:rPr>
        <w:t>is</w:t>
      </w:r>
      <w:r>
        <w:rPr>
          <w:rFonts w:ascii="Arial" w:hAnsi="Arial" w:cs="Arial"/>
          <w:sz w:val="24"/>
          <w:szCs w:val="24"/>
        </w:rPr>
        <w:t xml:space="preserve"> dismissed with costs.</w:t>
      </w:r>
    </w:p>
    <w:p w14:paraId="517A1C53" w14:textId="77777777" w:rsidR="00FF4712" w:rsidRPr="00BD7C87" w:rsidRDefault="00FF4712" w:rsidP="009653F8">
      <w:pPr>
        <w:spacing w:after="0" w:line="360" w:lineRule="auto"/>
        <w:jc w:val="both"/>
        <w:rPr>
          <w:rFonts w:ascii="Arial" w:hAnsi="Arial" w:cs="Arial"/>
          <w:i/>
          <w:sz w:val="24"/>
          <w:szCs w:val="24"/>
        </w:rPr>
      </w:pPr>
      <w:r>
        <w:rPr>
          <w:rFonts w:ascii="Arial" w:hAnsi="Arial" w:cs="Arial"/>
          <w:sz w:val="24"/>
          <w:szCs w:val="24"/>
        </w:rPr>
        <w:t>__________________________________________________________________</w:t>
      </w:r>
    </w:p>
    <w:p w14:paraId="549D83C7" w14:textId="77777777" w:rsidR="00FF4712" w:rsidRPr="00A9489D" w:rsidRDefault="00FF4712" w:rsidP="00FF4712">
      <w:pPr>
        <w:spacing w:after="0" w:line="240" w:lineRule="auto"/>
        <w:jc w:val="center"/>
        <w:rPr>
          <w:rFonts w:ascii="Arial" w:hAnsi="Arial" w:cs="Arial"/>
          <w:b/>
          <w:sz w:val="24"/>
          <w:szCs w:val="24"/>
        </w:rPr>
      </w:pPr>
      <w:r w:rsidRPr="00A9489D">
        <w:rPr>
          <w:rFonts w:ascii="Arial" w:hAnsi="Arial" w:cs="Arial"/>
          <w:b/>
          <w:sz w:val="24"/>
          <w:szCs w:val="24"/>
        </w:rPr>
        <w:t xml:space="preserve">APPEAL </w:t>
      </w:r>
      <w:r w:rsidR="00225E79" w:rsidRPr="00A9489D">
        <w:rPr>
          <w:rFonts w:ascii="Arial" w:hAnsi="Arial" w:cs="Arial"/>
          <w:b/>
          <w:sz w:val="24"/>
          <w:szCs w:val="24"/>
        </w:rPr>
        <w:t>JUDGMENT</w:t>
      </w:r>
      <w:r w:rsidR="00EB4727">
        <w:rPr>
          <w:rFonts w:ascii="Arial" w:hAnsi="Arial" w:cs="Arial"/>
          <w:b/>
          <w:sz w:val="24"/>
          <w:szCs w:val="24"/>
        </w:rPr>
        <w:t xml:space="preserve"> </w:t>
      </w:r>
    </w:p>
    <w:p w14:paraId="39D54B26" w14:textId="77777777"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____________________________________________________________________</w:t>
      </w:r>
    </w:p>
    <w:p w14:paraId="46B0D32F" w14:textId="77777777" w:rsidR="00FF4712" w:rsidRDefault="00FF4712" w:rsidP="00FF4712">
      <w:pPr>
        <w:spacing w:after="0" w:line="480" w:lineRule="auto"/>
        <w:jc w:val="both"/>
        <w:rPr>
          <w:rFonts w:ascii="Arial" w:hAnsi="Arial" w:cs="Arial"/>
          <w:sz w:val="24"/>
          <w:szCs w:val="24"/>
        </w:rPr>
      </w:pPr>
      <w:r w:rsidRPr="00861369">
        <w:rPr>
          <w:rFonts w:ascii="Arial" w:hAnsi="Arial" w:cs="Arial"/>
          <w:sz w:val="24"/>
          <w:szCs w:val="24"/>
        </w:rPr>
        <w:t>MAINGA JA (</w:t>
      </w:r>
      <w:r w:rsidR="00BD7C87">
        <w:rPr>
          <w:rFonts w:ascii="Arial" w:hAnsi="Arial" w:cs="Arial"/>
          <w:sz w:val="24"/>
          <w:szCs w:val="24"/>
        </w:rPr>
        <w:t>DAMASEB DCJ</w:t>
      </w:r>
      <w:r w:rsidR="00270C55" w:rsidRPr="00861369">
        <w:rPr>
          <w:rFonts w:ascii="Arial" w:hAnsi="Arial" w:cs="Arial"/>
          <w:sz w:val="24"/>
          <w:szCs w:val="24"/>
        </w:rPr>
        <w:t xml:space="preserve"> and </w:t>
      </w:r>
      <w:r w:rsidR="00BD7C87">
        <w:rPr>
          <w:rFonts w:ascii="Arial" w:hAnsi="Arial" w:cs="Arial"/>
          <w:sz w:val="24"/>
          <w:szCs w:val="24"/>
        </w:rPr>
        <w:t>HOFF J</w:t>
      </w:r>
      <w:r w:rsidRPr="00861369">
        <w:rPr>
          <w:rFonts w:ascii="Arial" w:hAnsi="Arial" w:cs="Arial"/>
          <w:sz w:val="24"/>
          <w:szCs w:val="24"/>
        </w:rPr>
        <w:t>A concurring)</w:t>
      </w:r>
      <w:r w:rsidR="00971F56">
        <w:rPr>
          <w:rFonts w:ascii="Arial" w:hAnsi="Arial" w:cs="Arial"/>
          <w:sz w:val="24"/>
          <w:szCs w:val="24"/>
        </w:rPr>
        <w:t>:</w:t>
      </w:r>
    </w:p>
    <w:p w14:paraId="08A29EE0" w14:textId="77777777" w:rsidR="005807E4" w:rsidRPr="005807E4" w:rsidRDefault="005807E4" w:rsidP="00FF4712">
      <w:pPr>
        <w:spacing w:after="0" w:line="480" w:lineRule="auto"/>
        <w:jc w:val="both"/>
        <w:rPr>
          <w:rFonts w:ascii="Arial" w:hAnsi="Arial" w:cs="Arial"/>
          <w:sz w:val="24"/>
          <w:szCs w:val="24"/>
          <w:u w:val="single"/>
        </w:rPr>
      </w:pPr>
      <w:r w:rsidRPr="005807E4">
        <w:rPr>
          <w:rFonts w:ascii="Arial" w:hAnsi="Arial" w:cs="Arial"/>
          <w:sz w:val="24"/>
          <w:szCs w:val="24"/>
          <w:u w:val="single"/>
        </w:rPr>
        <w:t>Introduction</w:t>
      </w:r>
    </w:p>
    <w:p w14:paraId="61B5A0F5" w14:textId="483E553D" w:rsidR="008C5045"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8C5045">
        <w:rPr>
          <w:rFonts w:ascii="Arial" w:hAnsi="Arial" w:cs="Arial"/>
          <w:sz w:val="24"/>
          <w:szCs w:val="24"/>
        </w:rPr>
        <w:t xml:space="preserve">The plaintiff (Mrs H) and the defendant (Mr H) </w:t>
      </w:r>
      <w:r w:rsidR="00CA4248" w:rsidRPr="00E17B31">
        <w:rPr>
          <w:rFonts w:ascii="Arial" w:hAnsi="Arial" w:cs="Arial"/>
          <w:i/>
          <w:sz w:val="24"/>
          <w:szCs w:val="24"/>
        </w:rPr>
        <w:t>a quo</w:t>
      </w:r>
      <w:r w:rsidR="00CA4248">
        <w:rPr>
          <w:rFonts w:ascii="Arial" w:hAnsi="Arial" w:cs="Arial"/>
          <w:sz w:val="24"/>
          <w:szCs w:val="24"/>
        </w:rPr>
        <w:t xml:space="preserve"> are </w:t>
      </w:r>
      <w:r w:rsidR="008C5045">
        <w:rPr>
          <w:rFonts w:ascii="Arial" w:hAnsi="Arial" w:cs="Arial"/>
          <w:sz w:val="24"/>
          <w:szCs w:val="24"/>
        </w:rPr>
        <w:t xml:space="preserve">appellant and respondent in this </w:t>
      </w:r>
      <w:r w:rsidR="00E17B31">
        <w:rPr>
          <w:rFonts w:ascii="Arial" w:hAnsi="Arial" w:cs="Arial"/>
          <w:sz w:val="24"/>
          <w:szCs w:val="24"/>
        </w:rPr>
        <w:t>C</w:t>
      </w:r>
      <w:r w:rsidR="008C5045">
        <w:rPr>
          <w:rFonts w:ascii="Arial" w:hAnsi="Arial" w:cs="Arial"/>
          <w:sz w:val="24"/>
          <w:szCs w:val="24"/>
        </w:rPr>
        <w:t xml:space="preserve">ourt </w:t>
      </w:r>
      <w:r w:rsidR="00CA4248">
        <w:rPr>
          <w:rFonts w:ascii="Arial" w:hAnsi="Arial" w:cs="Arial"/>
          <w:sz w:val="24"/>
          <w:szCs w:val="24"/>
        </w:rPr>
        <w:t xml:space="preserve">and </w:t>
      </w:r>
      <w:r w:rsidR="008C5045">
        <w:rPr>
          <w:rFonts w:ascii="Arial" w:hAnsi="Arial" w:cs="Arial"/>
          <w:sz w:val="24"/>
          <w:szCs w:val="24"/>
        </w:rPr>
        <w:t xml:space="preserve">were formerly married. They divorced in a divorce action instituted under </w:t>
      </w:r>
      <w:r w:rsidR="00E17B31">
        <w:rPr>
          <w:rFonts w:ascii="Arial" w:hAnsi="Arial" w:cs="Arial"/>
          <w:sz w:val="24"/>
          <w:szCs w:val="24"/>
        </w:rPr>
        <w:t>C</w:t>
      </w:r>
      <w:r w:rsidR="008C5045">
        <w:rPr>
          <w:rFonts w:ascii="Arial" w:hAnsi="Arial" w:cs="Arial"/>
          <w:sz w:val="24"/>
          <w:szCs w:val="24"/>
        </w:rPr>
        <w:t xml:space="preserve">ase </w:t>
      </w:r>
      <w:r w:rsidR="00E17B31">
        <w:rPr>
          <w:rFonts w:ascii="Arial" w:hAnsi="Arial" w:cs="Arial"/>
          <w:sz w:val="24"/>
          <w:szCs w:val="24"/>
        </w:rPr>
        <w:t>N</w:t>
      </w:r>
      <w:r w:rsidR="008C5045">
        <w:rPr>
          <w:rFonts w:ascii="Arial" w:hAnsi="Arial" w:cs="Arial"/>
          <w:sz w:val="24"/>
          <w:szCs w:val="24"/>
        </w:rPr>
        <w:t>o</w:t>
      </w:r>
      <w:r w:rsidR="00E17B31">
        <w:rPr>
          <w:rFonts w:ascii="Arial" w:hAnsi="Arial" w:cs="Arial"/>
          <w:sz w:val="24"/>
          <w:szCs w:val="24"/>
        </w:rPr>
        <w:t>.</w:t>
      </w:r>
      <w:r w:rsidR="008C5045">
        <w:rPr>
          <w:rFonts w:ascii="Arial" w:hAnsi="Arial" w:cs="Arial"/>
          <w:sz w:val="24"/>
          <w:szCs w:val="24"/>
        </w:rPr>
        <w:t xml:space="preserve"> </w:t>
      </w:r>
      <w:r w:rsidR="00CD0013">
        <w:rPr>
          <w:rFonts w:ascii="Arial" w:hAnsi="Arial" w:cs="Arial"/>
          <w:sz w:val="24"/>
          <w:szCs w:val="24"/>
        </w:rPr>
        <w:t>I</w:t>
      </w:r>
      <w:r w:rsidR="007B3E4F">
        <w:rPr>
          <w:rFonts w:ascii="Arial" w:hAnsi="Arial" w:cs="Arial"/>
          <w:sz w:val="24"/>
          <w:szCs w:val="24"/>
        </w:rPr>
        <w:t xml:space="preserve"> 1750/2012. In the process of that divorce, on 22 June 2017 and in Windhoek, both parties acting in person entered into a settlement agreement in respect of the patrimonial consequences of their erstwhile marriage.</w:t>
      </w:r>
    </w:p>
    <w:p w14:paraId="0FECCFF1" w14:textId="77777777" w:rsidR="007B3E4F" w:rsidRDefault="007B3E4F" w:rsidP="007B3E4F">
      <w:pPr>
        <w:tabs>
          <w:tab w:val="left" w:pos="0"/>
        </w:tabs>
        <w:spacing w:after="0" w:line="480" w:lineRule="auto"/>
        <w:jc w:val="both"/>
        <w:rPr>
          <w:rFonts w:ascii="Arial" w:hAnsi="Arial" w:cs="Arial"/>
          <w:sz w:val="24"/>
          <w:szCs w:val="24"/>
        </w:rPr>
      </w:pPr>
    </w:p>
    <w:p w14:paraId="0AF20A79" w14:textId="777B176B" w:rsidR="007B3E4F"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7B3E4F">
        <w:rPr>
          <w:rFonts w:ascii="Arial" w:hAnsi="Arial" w:cs="Arial"/>
          <w:sz w:val="24"/>
          <w:szCs w:val="24"/>
        </w:rPr>
        <w:t xml:space="preserve">This appeal is against the entire judgment and order of the </w:t>
      </w:r>
      <w:r w:rsidR="00E17B31">
        <w:rPr>
          <w:rFonts w:ascii="Arial" w:hAnsi="Arial" w:cs="Arial"/>
          <w:sz w:val="24"/>
          <w:szCs w:val="24"/>
        </w:rPr>
        <w:t>c</w:t>
      </w:r>
      <w:r w:rsidR="007B3E4F">
        <w:rPr>
          <w:rFonts w:ascii="Arial" w:hAnsi="Arial" w:cs="Arial"/>
          <w:sz w:val="24"/>
          <w:szCs w:val="24"/>
        </w:rPr>
        <w:t xml:space="preserve">ourt </w:t>
      </w:r>
      <w:r w:rsidR="007B3E4F">
        <w:rPr>
          <w:rFonts w:ascii="Arial" w:hAnsi="Arial" w:cs="Arial"/>
          <w:i/>
          <w:sz w:val="24"/>
          <w:szCs w:val="24"/>
        </w:rPr>
        <w:t xml:space="preserve">a quo </w:t>
      </w:r>
      <w:r w:rsidR="007B3E4F">
        <w:rPr>
          <w:rFonts w:ascii="Arial" w:hAnsi="Arial" w:cs="Arial"/>
          <w:sz w:val="24"/>
          <w:szCs w:val="24"/>
        </w:rPr>
        <w:t xml:space="preserve">and concerns the order </w:t>
      </w:r>
      <w:r w:rsidR="00CA4248">
        <w:rPr>
          <w:rFonts w:ascii="Arial" w:hAnsi="Arial" w:cs="Arial"/>
          <w:sz w:val="24"/>
          <w:szCs w:val="24"/>
        </w:rPr>
        <w:t>up</w:t>
      </w:r>
      <w:r w:rsidR="007B3E4F">
        <w:rPr>
          <w:rFonts w:ascii="Arial" w:hAnsi="Arial" w:cs="Arial"/>
          <w:sz w:val="24"/>
          <w:szCs w:val="24"/>
        </w:rPr>
        <w:t>holding respondent’s special plea to appellant’s claim.</w:t>
      </w:r>
    </w:p>
    <w:p w14:paraId="02888719" w14:textId="77777777" w:rsidR="007B3E4F" w:rsidRDefault="007B3E4F" w:rsidP="007B3E4F">
      <w:pPr>
        <w:pStyle w:val="ListParagraph"/>
        <w:spacing w:after="0" w:line="480" w:lineRule="auto"/>
        <w:jc w:val="both"/>
        <w:rPr>
          <w:rFonts w:ascii="Arial" w:hAnsi="Arial" w:cs="Arial"/>
          <w:sz w:val="24"/>
          <w:szCs w:val="24"/>
        </w:rPr>
      </w:pPr>
    </w:p>
    <w:p w14:paraId="4AB373F7" w14:textId="560ACD84" w:rsidR="007B3E4F"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7B3E4F">
        <w:rPr>
          <w:rFonts w:ascii="Arial" w:hAnsi="Arial" w:cs="Arial"/>
          <w:sz w:val="24"/>
          <w:szCs w:val="24"/>
        </w:rPr>
        <w:t>For the purposes of this judgment the relevant terms of the settlement agreement are in this form:</w:t>
      </w:r>
    </w:p>
    <w:p w14:paraId="6174B92D" w14:textId="77777777" w:rsidR="007B3E4F" w:rsidRPr="007B3E4F" w:rsidRDefault="007B3E4F" w:rsidP="007B3E4F">
      <w:pPr>
        <w:pStyle w:val="ListParagraph"/>
        <w:spacing w:after="0" w:line="360" w:lineRule="auto"/>
        <w:jc w:val="both"/>
        <w:rPr>
          <w:rFonts w:ascii="Arial" w:hAnsi="Arial" w:cs="Arial"/>
          <w:b/>
        </w:rPr>
      </w:pPr>
      <w:r w:rsidRPr="007B3E4F">
        <w:rPr>
          <w:rFonts w:ascii="Arial" w:hAnsi="Arial" w:cs="Arial"/>
          <w:b/>
        </w:rPr>
        <w:lastRenderedPageBreak/>
        <w:t>‘SETTLEMENT AGREEMENT</w:t>
      </w:r>
    </w:p>
    <w:p w14:paraId="55F0DA26" w14:textId="77777777" w:rsidR="007B3E4F" w:rsidRDefault="007B3E4F" w:rsidP="007B3E4F">
      <w:pPr>
        <w:pStyle w:val="ListParagraph"/>
        <w:spacing w:after="0" w:line="360" w:lineRule="auto"/>
        <w:jc w:val="both"/>
        <w:rPr>
          <w:rFonts w:ascii="Arial" w:hAnsi="Arial" w:cs="Arial"/>
        </w:rPr>
      </w:pPr>
    </w:p>
    <w:p w14:paraId="13EDC5BD" w14:textId="77777777" w:rsidR="007B3E4F" w:rsidRDefault="007B3E4F" w:rsidP="007B3E4F">
      <w:pPr>
        <w:pStyle w:val="ListParagraph"/>
        <w:spacing w:after="0" w:line="360" w:lineRule="auto"/>
        <w:ind w:left="1440" w:hanging="720"/>
        <w:jc w:val="both"/>
        <w:rPr>
          <w:rFonts w:ascii="Arial" w:hAnsi="Arial" w:cs="Arial"/>
        </w:rPr>
      </w:pPr>
      <w:r>
        <w:rPr>
          <w:rFonts w:ascii="Arial" w:hAnsi="Arial" w:cs="Arial"/>
        </w:rPr>
        <w:t>2.2</w:t>
      </w:r>
      <w:r>
        <w:rPr>
          <w:rFonts w:ascii="Arial" w:hAnsi="Arial" w:cs="Arial"/>
        </w:rPr>
        <w:tab/>
        <w:t>The defendant shall retain, as her sole and exclusive property, all horses and genetic bloodlines connected and/or associated with the Neu-Heusis horse stud that is kept on Farm Neu-Heusis (registered with the Namibian Horse Breeders Association under number F10025) as at 20 June 2017, or wherever else the stud or portions of the stud may be.</w:t>
      </w:r>
    </w:p>
    <w:p w14:paraId="23C7A6A6" w14:textId="77777777" w:rsidR="0082146A" w:rsidRDefault="0082146A" w:rsidP="007B3E4F">
      <w:pPr>
        <w:pStyle w:val="ListParagraph"/>
        <w:spacing w:after="0" w:line="360" w:lineRule="auto"/>
        <w:ind w:left="1440" w:hanging="720"/>
        <w:jc w:val="both"/>
        <w:rPr>
          <w:rFonts w:ascii="Arial" w:hAnsi="Arial" w:cs="Arial"/>
        </w:rPr>
      </w:pPr>
    </w:p>
    <w:p w14:paraId="3D50F09E" w14:textId="77777777" w:rsidR="007B3E4F" w:rsidRDefault="007B3E4F" w:rsidP="007B3E4F">
      <w:pPr>
        <w:pStyle w:val="ListParagraph"/>
        <w:spacing w:after="0" w:line="360" w:lineRule="auto"/>
        <w:ind w:left="1440" w:hanging="720"/>
        <w:jc w:val="both"/>
        <w:rPr>
          <w:rFonts w:ascii="Arial" w:hAnsi="Arial" w:cs="Arial"/>
        </w:rPr>
      </w:pPr>
      <w:r>
        <w:rPr>
          <w:rFonts w:ascii="Arial" w:hAnsi="Arial" w:cs="Arial"/>
        </w:rPr>
        <w:t>5</w:t>
      </w:r>
      <w:r w:rsidR="0082146A">
        <w:rPr>
          <w:rFonts w:ascii="Arial" w:hAnsi="Arial" w:cs="Arial"/>
        </w:rPr>
        <w:t>.</w:t>
      </w:r>
      <w:r>
        <w:rPr>
          <w:rFonts w:ascii="Arial" w:hAnsi="Arial" w:cs="Arial"/>
        </w:rPr>
        <w:tab/>
        <w:t>In the event of the defendant not collecting and removing the horses from Farm Neu-Heusis by 8 July 2017, the defendant shall bear all risks associated with the horses including, but not limited to, the risk of injury, sickness and/or death by natural causes, and the plaintiff shall be exempted from any liability concerning the horses and their continuous stay on Farm Neu-Heusis</w:t>
      </w:r>
      <w:r w:rsidR="0082146A">
        <w:rPr>
          <w:rFonts w:ascii="Arial" w:hAnsi="Arial" w:cs="Arial"/>
        </w:rPr>
        <w:t>.</w:t>
      </w:r>
    </w:p>
    <w:p w14:paraId="652BADB8" w14:textId="77777777" w:rsidR="0082146A" w:rsidRDefault="0082146A" w:rsidP="007B3E4F">
      <w:pPr>
        <w:pStyle w:val="ListParagraph"/>
        <w:spacing w:after="0" w:line="360" w:lineRule="auto"/>
        <w:ind w:left="1440" w:hanging="720"/>
        <w:jc w:val="both"/>
        <w:rPr>
          <w:rFonts w:ascii="Arial" w:hAnsi="Arial" w:cs="Arial"/>
        </w:rPr>
      </w:pPr>
    </w:p>
    <w:p w14:paraId="57B46141" w14:textId="77777777" w:rsidR="0082146A" w:rsidRDefault="0082146A" w:rsidP="007B3E4F">
      <w:pPr>
        <w:pStyle w:val="ListParagraph"/>
        <w:spacing w:after="0" w:line="360" w:lineRule="auto"/>
        <w:ind w:left="1440" w:hanging="720"/>
        <w:jc w:val="both"/>
        <w:rPr>
          <w:rFonts w:ascii="Arial" w:hAnsi="Arial" w:cs="Arial"/>
        </w:rPr>
      </w:pPr>
      <w:r>
        <w:rPr>
          <w:rFonts w:ascii="Arial" w:hAnsi="Arial" w:cs="Arial"/>
        </w:rPr>
        <w:t>7.</w:t>
      </w:r>
      <w:r>
        <w:rPr>
          <w:rFonts w:ascii="Arial" w:hAnsi="Arial" w:cs="Arial"/>
        </w:rPr>
        <w:tab/>
        <w:t>The plaintiff otherwise confirms and warrants that each of the above-mentioned horses returned in terms of this agreement, are as identified or referred to during the inspection conducted on Farm Neu-Heusis on 20 June 2017.</w:t>
      </w:r>
    </w:p>
    <w:p w14:paraId="3E03ECA8" w14:textId="77777777" w:rsidR="0082146A" w:rsidRDefault="0082146A" w:rsidP="007B3E4F">
      <w:pPr>
        <w:pStyle w:val="ListParagraph"/>
        <w:spacing w:after="0" w:line="360" w:lineRule="auto"/>
        <w:ind w:left="1440" w:hanging="720"/>
        <w:jc w:val="both"/>
        <w:rPr>
          <w:rFonts w:ascii="Arial" w:hAnsi="Arial" w:cs="Arial"/>
        </w:rPr>
      </w:pPr>
    </w:p>
    <w:p w14:paraId="379AAE0B" w14:textId="77777777" w:rsidR="0082146A" w:rsidRDefault="0082146A" w:rsidP="007B3E4F">
      <w:pPr>
        <w:pStyle w:val="ListParagraph"/>
        <w:spacing w:after="0" w:line="360" w:lineRule="auto"/>
        <w:ind w:left="1440" w:hanging="720"/>
        <w:jc w:val="both"/>
        <w:rPr>
          <w:rFonts w:ascii="Arial" w:hAnsi="Arial" w:cs="Arial"/>
        </w:rPr>
      </w:pPr>
      <w:r>
        <w:rPr>
          <w:rFonts w:ascii="Arial" w:hAnsi="Arial" w:cs="Arial"/>
        </w:rPr>
        <w:t>8</w:t>
      </w:r>
      <w:r w:rsidR="00DD5ABA">
        <w:rPr>
          <w:rFonts w:ascii="Arial" w:hAnsi="Arial" w:cs="Arial"/>
        </w:rPr>
        <w:t>.</w:t>
      </w:r>
      <w:r w:rsidR="00DD5ABA">
        <w:rPr>
          <w:rFonts w:ascii="Arial" w:hAnsi="Arial" w:cs="Arial"/>
        </w:rPr>
        <w:tab/>
      </w:r>
      <w:r w:rsidR="00177803">
        <w:rPr>
          <w:rFonts w:ascii="Arial" w:hAnsi="Arial" w:cs="Arial"/>
        </w:rPr>
        <w:t>The plaintiff shall immediately arrange for a veterinarian to administer the full range of necessary vaccinations on the horses by 29 June 2017, and shall perform a follow up vaccination no longer than two weeks thereafter (and prior to the 8</w:t>
      </w:r>
      <w:r w:rsidR="00177803" w:rsidRPr="00177803">
        <w:rPr>
          <w:rFonts w:ascii="Arial" w:hAnsi="Arial" w:cs="Arial"/>
          <w:vertAlign w:val="superscript"/>
        </w:rPr>
        <w:t>th</w:t>
      </w:r>
      <w:r w:rsidR="00177803">
        <w:rPr>
          <w:rFonts w:ascii="Arial" w:hAnsi="Arial" w:cs="Arial"/>
        </w:rPr>
        <w:t xml:space="preserve"> of July 2017). The costs for such vaccination shall be borne by the defendant.</w:t>
      </w:r>
    </w:p>
    <w:p w14:paraId="44139AA3" w14:textId="77777777" w:rsidR="00177803" w:rsidRDefault="00177803" w:rsidP="007B3E4F">
      <w:pPr>
        <w:pStyle w:val="ListParagraph"/>
        <w:spacing w:after="0" w:line="360" w:lineRule="auto"/>
        <w:ind w:left="1440" w:hanging="720"/>
        <w:jc w:val="both"/>
        <w:rPr>
          <w:rFonts w:ascii="Arial" w:hAnsi="Arial" w:cs="Arial"/>
        </w:rPr>
      </w:pPr>
    </w:p>
    <w:p w14:paraId="3F20335C" w14:textId="77777777" w:rsidR="00177803" w:rsidRDefault="00177803" w:rsidP="007B3E4F">
      <w:pPr>
        <w:pStyle w:val="ListParagraph"/>
        <w:spacing w:after="0" w:line="360" w:lineRule="auto"/>
        <w:ind w:left="1440" w:hanging="720"/>
        <w:jc w:val="both"/>
        <w:rPr>
          <w:rFonts w:ascii="Arial" w:hAnsi="Arial" w:cs="Arial"/>
        </w:rPr>
      </w:pPr>
      <w:r>
        <w:rPr>
          <w:rFonts w:ascii="Arial" w:hAnsi="Arial" w:cs="Arial"/>
        </w:rPr>
        <w:t>10.</w:t>
      </w:r>
      <w:r>
        <w:rPr>
          <w:rFonts w:ascii="Arial" w:hAnsi="Arial" w:cs="Arial"/>
        </w:rPr>
        <w:tab/>
        <w:t xml:space="preserve">By no later than 29 June 2017, the plaintiff shall provide the defendant with all records and/or invoices of vaccinations and other relevant veterinary records, if any, pertaining to and/or connected with the horses of the Neu-Heusis Stud. </w:t>
      </w:r>
      <w:r w:rsidR="007D46E3">
        <w:rPr>
          <w:rFonts w:ascii="Arial" w:hAnsi="Arial" w:cs="Arial"/>
        </w:rPr>
        <w:t xml:space="preserve">However, it is recorded herewith, that the plaintiff shall do his utmost to obtain </w:t>
      </w:r>
      <w:r w:rsidR="00CD0013">
        <w:rPr>
          <w:rFonts w:ascii="Arial" w:hAnsi="Arial" w:cs="Arial"/>
        </w:rPr>
        <w:t>proof of such records and invoices but, if not available, the defendant shall accept the plaintiff’s assurance that such vaccinations were administered to the Neu-Heusis Stud from 2011 to 2016.</w:t>
      </w:r>
    </w:p>
    <w:p w14:paraId="515F2996" w14:textId="77777777" w:rsidR="00CD0013" w:rsidRDefault="00CD0013" w:rsidP="007B3E4F">
      <w:pPr>
        <w:pStyle w:val="ListParagraph"/>
        <w:spacing w:after="0" w:line="360" w:lineRule="auto"/>
        <w:ind w:left="1440" w:hanging="720"/>
        <w:jc w:val="both"/>
        <w:rPr>
          <w:rFonts w:ascii="Arial" w:hAnsi="Arial" w:cs="Arial"/>
        </w:rPr>
      </w:pPr>
    </w:p>
    <w:p w14:paraId="4ACB3F2D" w14:textId="77777777" w:rsidR="00CD0013" w:rsidRDefault="00CD0013" w:rsidP="007B3E4F">
      <w:pPr>
        <w:pStyle w:val="ListParagraph"/>
        <w:spacing w:after="0" w:line="360" w:lineRule="auto"/>
        <w:ind w:left="1440" w:hanging="720"/>
        <w:jc w:val="both"/>
        <w:rPr>
          <w:rFonts w:ascii="Arial" w:hAnsi="Arial" w:cs="Arial"/>
        </w:rPr>
      </w:pPr>
      <w:r>
        <w:rPr>
          <w:rFonts w:ascii="Arial" w:hAnsi="Arial" w:cs="Arial"/>
        </w:rPr>
        <w:lastRenderedPageBreak/>
        <w:t>26.</w:t>
      </w:r>
      <w:r>
        <w:rPr>
          <w:rFonts w:ascii="Arial" w:hAnsi="Arial" w:cs="Arial"/>
        </w:rPr>
        <w:tab/>
        <w:t>The parties record the terms of this settlement to be in full and final settlement of all present, past and future claims that the parties may have against each other.</w:t>
      </w:r>
      <w:r w:rsidR="00CA4248">
        <w:rPr>
          <w:rFonts w:ascii="Arial" w:hAnsi="Arial" w:cs="Arial"/>
        </w:rPr>
        <w:t>’</w:t>
      </w:r>
    </w:p>
    <w:p w14:paraId="72437976" w14:textId="77777777" w:rsidR="007B3E4F" w:rsidRPr="008521EA" w:rsidRDefault="007B3E4F" w:rsidP="008521EA">
      <w:pPr>
        <w:spacing w:after="0" w:line="480" w:lineRule="auto"/>
        <w:jc w:val="both"/>
        <w:rPr>
          <w:rFonts w:ascii="Arial" w:hAnsi="Arial" w:cs="Arial"/>
        </w:rPr>
      </w:pPr>
    </w:p>
    <w:p w14:paraId="21979516" w14:textId="3CEFC950" w:rsidR="00CD0013"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CD0013">
        <w:rPr>
          <w:rFonts w:ascii="Arial" w:hAnsi="Arial" w:cs="Arial"/>
          <w:sz w:val="24"/>
          <w:szCs w:val="24"/>
        </w:rPr>
        <w:t>On 4 December 2018 the appellant, on the strength of the above clauses of the settlement agreement brought</w:t>
      </w:r>
      <w:r w:rsidR="00E17B31">
        <w:rPr>
          <w:rFonts w:ascii="Arial" w:hAnsi="Arial" w:cs="Arial"/>
          <w:sz w:val="24"/>
          <w:szCs w:val="24"/>
        </w:rPr>
        <w:t xml:space="preserve"> an</w:t>
      </w:r>
      <w:r w:rsidR="00CD0013">
        <w:rPr>
          <w:rFonts w:ascii="Arial" w:hAnsi="Arial" w:cs="Arial"/>
          <w:sz w:val="24"/>
          <w:szCs w:val="24"/>
        </w:rPr>
        <w:t xml:space="preserve"> action against the respondent in the High Court claiming damages </w:t>
      </w:r>
      <w:r w:rsidR="00DA0644">
        <w:rPr>
          <w:rFonts w:ascii="Arial" w:hAnsi="Arial" w:cs="Arial"/>
          <w:sz w:val="24"/>
          <w:szCs w:val="24"/>
        </w:rPr>
        <w:t xml:space="preserve">in four claims in the amount </w:t>
      </w:r>
      <w:r w:rsidR="00CD0013">
        <w:rPr>
          <w:rFonts w:ascii="Arial" w:hAnsi="Arial" w:cs="Arial"/>
          <w:sz w:val="24"/>
          <w:szCs w:val="24"/>
        </w:rPr>
        <w:t>of N$1 054 962,40 plus interest on the amounts of the four claims at the rate of 20</w:t>
      </w:r>
      <w:r w:rsidR="00BC420D">
        <w:rPr>
          <w:rFonts w:ascii="Arial" w:hAnsi="Arial" w:cs="Arial"/>
          <w:sz w:val="24"/>
          <w:szCs w:val="24"/>
        </w:rPr>
        <w:t xml:space="preserve"> </w:t>
      </w:r>
      <w:r w:rsidR="00E17B31">
        <w:rPr>
          <w:rFonts w:ascii="Arial" w:hAnsi="Arial" w:cs="Arial"/>
          <w:sz w:val="24"/>
          <w:szCs w:val="24"/>
        </w:rPr>
        <w:t xml:space="preserve">per cent </w:t>
      </w:r>
      <w:r w:rsidR="00CD0013">
        <w:rPr>
          <w:rFonts w:ascii="Arial" w:hAnsi="Arial" w:cs="Arial"/>
          <w:sz w:val="24"/>
          <w:szCs w:val="24"/>
        </w:rPr>
        <w:t>per annum from the date of judgment until date of payment, costs of suit consequent upon employment of one instructing and one instructed l</w:t>
      </w:r>
      <w:r w:rsidR="00F11FDD">
        <w:rPr>
          <w:rFonts w:ascii="Arial" w:hAnsi="Arial" w:cs="Arial"/>
          <w:sz w:val="24"/>
          <w:szCs w:val="24"/>
        </w:rPr>
        <w:t>egal practitioner</w:t>
      </w:r>
      <w:r w:rsidR="00CD0013">
        <w:rPr>
          <w:rFonts w:ascii="Arial" w:hAnsi="Arial" w:cs="Arial"/>
          <w:sz w:val="24"/>
          <w:szCs w:val="24"/>
        </w:rPr>
        <w:t xml:space="preserve">. </w:t>
      </w:r>
    </w:p>
    <w:p w14:paraId="4F3F3227" w14:textId="77777777" w:rsidR="00CD0013" w:rsidRDefault="00CD0013" w:rsidP="00CD0013">
      <w:pPr>
        <w:tabs>
          <w:tab w:val="left" w:pos="0"/>
        </w:tabs>
        <w:spacing w:after="0" w:line="480" w:lineRule="auto"/>
        <w:jc w:val="both"/>
        <w:rPr>
          <w:rFonts w:ascii="Arial" w:hAnsi="Arial" w:cs="Arial"/>
          <w:sz w:val="24"/>
          <w:szCs w:val="24"/>
        </w:rPr>
      </w:pPr>
    </w:p>
    <w:p w14:paraId="4673CEBF" w14:textId="24AA8652" w:rsidR="007B3E4F"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CD0013">
        <w:rPr>
          <w:rFonts w:ascii="Arial" w:hAnsi="Arial" w:cs="Arial"/>
          <w:sz w:val="24"/>
          <w:szCs w:val="24"/>
        </w:rPr>
        <w:t>Appellant alleged that it was an implied term that the provisions of clause 26 would not relate to any claims pursuant to the agreement itself and</w:t>
      </w:r>
      <w:r w:rsidR="004E4059">
        <w:rPr>
          <w:rFonts w:ascii="Arial" w:hAnsi="Arial" w:cs="Arial"/>
          <w:sz w:val="24"/>
          <w:szCs w:val="24"/>
        </w:rPr>
        <w:t xml:space="preserve"> </w:t>
      </w:r>
      <w:r w:rsidR="00CD0013">
        <w:rPr>
          <w:rFonts w:ascii="Arial" w:hAnsi="Arial" w:cs="Arial"/>
          <w:sz w:val="24"/>
          <w:szCs w:val="24"/>
        </w:rPr>
        <w:t>/</w:t>
      </w:r>
      <w:r w:rsidR="004E4059">
        <w:rPr>
          <w:rFonts w:ascii="Arial" w:hAnsi="Arial" w:cs="Arial"/>
          <w:sz w:val="24"/>
          <w:szCs w:val="24"/>
        </w:rPr>
        <w:t xml:space="preserve"> </w:t>
      </w:r>
      <w:r w:rsidR="00CD0013">
        <w:rPr>
          <w:rFonts w:ascii="Arial" w:hAnsi="Arial" w:cs="Arial"/>
          <w:sz w:val="24"/>
          <w:szCs w:val="24"/>
        </w:rPr>
        <w:t xml:space="preserve">or the enforcement thereof and that she complied with all of her obligations in terms of the agreement and that </w:t>
      </w:r>
      <w:r w:rsidR="002E456A">
        <w:rPr>
          <w:rFonts w:ascii="Arial" w:hAnsi="Arial" w:cs="Arial"/>
          <w:sz w:val="24"/>
          <w:szCs w:val="24"/>
        </w:rPr>
        <w:t>the respondent has breached the agreement in that:</w:t>
      </w:r>
    </w:p>
    <w:p w14:paraId="63CF414A" w14:textId="77777777" w:rsidR="002E456A" w:rsidRDefault="002E456A" w:rsidP="00DA7E4D">
      <w:pPr>
        <w:pStyle w:val="ListParagraph"/>
        <w:spacing w:line="480" w:lineRule="auto"/>
        <w:jc w:val="both"/>
        <w:rPr>
          <w:rFonts w:ascii="Arial" w:hAnsi="Arial" w:cs="Arial"/>
          <w:sz w:val="24"/>
          <w:szCs w:val="24"/>
        </w:rPr>
      </w:pPr>
    </w:p>
    <w:p w14:paraId="21088DCD" w14:textId="77777777" w:rsidR="002E456A" w:rsidRPr="0017110F" w:rsidRDefault="0017110F" w:rsidP="0017110F">
      <w:pPr>
        <w:pStyle w:val="ListParagraph"/>
        <w:spacing w:line="360" w:lineRule="auto"/>
        <w:ind w:left="1440" w:hanging="720"/>
        <w:jc w:val="both"/>
        <w:rPr>
          <w:rFonts w:ascii="Arial" w:hAnsi="Arial" w:cs="Arial"/>
        </w:rPr>
      </w:pPr>
      <w:r w:rsidRPr="0017110F">
        <w:rPr>
          <w:rFonts w:ascii="Arial" w:hAnsi="Arial" w:cs="Arial"/>
        </w:rPr>
        <w:t>‘</w:t>
      </w:r>
      <w:r w:rsidR="002E456A" w:rsidRPr="0017110F">
        <w:rPr>
          <w:rFonts w:ascii="Arial" w:hAnsi="Arial" w:cs="Arial"/>
        </w:rPr>
        <w:t>7.1</w:t>
      </w:r>
      <w:r w:rsidR="002E456A" w:rsidRPr="0017110F">
        <w:rPr>
          <w:rFonts w:ascii="Arial" w:hAnsi="Arial" w:cs="Arial"/>
        </w:rPr>
        <w:tab/>
        <w:t>Despite the defendant having expressly assure</w:t>
      </w:r>
      <w:r w:rsidRPr="0017110F">
        <w:rPr>
          <w:rFonts w:ascii="Arial" w:hAnsi="Arial" w:cs="Arial"/>
        </w:rPr>
        <w:t>d</w:t>
      </w:r>
      <w:r w:rsidR="002E456A" w:rsidRPr="0017110F">
        <w:rPr>
          <w:rFonts w:ascii="Arial" w:hAnsi="Arial" w:cs="Arial"/>
        </w:rPr>
        <w:t xml:space="preserve"> that the relevant and necessary vaccinations were administered to the horses during 2011 to 2016, this was not the case.</w:t>
      </w:r>
    </w:p>
    <w:p w14:paraId="6034A3BF" w14:textId="77777777" w:rsidR="002E456A" w:rsidRPr="0017110F" w:rsidRDefault="002E456A" w:rsidP="0017110F">
      <w:pPr>
        <w:pStyle w:val="ListParagraph"/>
        <w:spacing w:line="360" w:lineRule="auto"/>
        <w:jc w:val="both"/>
        <w:rPr>
          <w:rFonts w:ascii="Arial" w:hAnsi="Arial" w:cs="Arial"/>
        </w:rPr>
      </w:pPr>
    </w:p>
    <w:p w14:paraId="5E7AD204" w14:textId="77777777" w:rsidR="002E456A" w:rsidRPr="0017110F" w:rsidRDefault="002E456A" w:rsidP="0017110F">
      <w:pPr>
        <w:pStyle w:val="ListParagraph"/>
        <w:spacing w:line="360" w:lineRule="auto"/>
        <w:ind w:left="1440" w:hanging="720"/>
        <w:jc w:val="both"/>
        <w:rPr>
          <w:rFonts w:ascii="Arial" w:hAnsi="Arial" w:cs="Arial"/>
        </w:rPr>
      </w:pPr>
      <w:r w:rsidRPr="0017110F">
        <w:rPr>
          <w:rFonts w:ascii="Arial" w:hAnsi="Arial" w:cs="Arial"/>
        </w:rPr>
        <w:t>7.2</w:t>
      </w:r>
      <w:r w:rsidRPr="0017110F">
        <w:rPr>
          <w:rFonts w:ascii="Arial" w:hAnsi="Arial" w:cs="Arial"/>
        </w:rPr>
        <w:tab/>
        <w:t xml:space="preserve">The representation by the </w:t>
      </w:r>
      <w:r w:rsidR="0017110F" w:rsidRPr="0017110F">
        <w:rPr>
          <w:rFonts w:ascii="Arial" w:hAnsi="Arial" w:cs="Arial"/>
        </w:rPr>
        <w:t>defendant was false, in that no</w:t>
      </w:r>
      <w:r w:rsidRPr="0017110F">
        <w:rPr>
          <w:rFonts w:ascii="Arial" w:hAnsi="Arial" w:cs="Arial"/>
        </w:rPr>
        <w:t xml:space="preserve"> vaccinations against Rabies and/or African Horse Sickness and/or Tetanus were administered to the horses, by the defendant (or at all) during 2011 – 2017.</w:t>
      </w:r>
    </w:p>
    <w:p w14:paraId="28D7D86B" w14:textId="77777777" w:rsidR="002E456A" w:rsidRPr="0017110F" w:rsidRDefault="002E456A" w:rsidP="0017110F">
      <w:pPr>
        <w:pStyle w:val="ListParagraph"/>
        <w:spacing w:line="360" w:lineRule="auto"/>
        <w:jc w:val="both"/>
        <w:rPr>
          <w:rFonts w:ascii="Arial" w:hAnsi="Arial" w:cs="Arial"/>
        </w:rPr>
      </w:pPr>
    </w:p>
    <w:p w14:paraId="7B964919" w14:textId="77777777" w:rsidR="002E456A" w:rsidRPr="0017110F" w:rsidRDefault="002E456A" w:rsidP="0017110F">
      <w:pPr>
        <w:pStyle w:val="ListParagraph"/>
        <w:spacing w:line="360" w:lineRule="auto"/>
        <w:ind w:left="1440" w:hanging="720"/>
        <w:jc w:val="both"/>
        <w:rPr>
          <w:rFonts w:ascii="Arial" w:hAnsi="Arial" w:cs="Arial"/>
        </w:rPr>
      </w:pPr>
      <w:r w:rsidRPr="0017110F">
        <w:rPr>
          <w:rFonts w:ascii="Arial" w:hAnsi="Arial" w:cs="Arial"/>
        </w:rPr>
        <w:t>8</w:t>
      </w:r>
      <w:r w:rsidR="009C1E4F" w:rsidRPr="0017110F">
        <w:rPr>
          <w:rFonts w:ascii="Arial" w:hAnsi="Arial" w:cs="Arial"/>
        </w:rPr>
        <w:t>.</w:t>
      </w:r>
      <w:r w:rsidRPr="0017110F">
        <w:rPr>
          <w:rFonts w:ascii="Arial" w:hAnsi="Arial" w:cs="Arial"/>
        </w:rPr>
        <w:tab/>
        <w:t>It was on the strength o</w:t>
      </w:r>
      <w:r w:rsidR="00CA4248">
        <w:rPr>
          <w:rFonts w:ascii="Arial" w:hAnsi="Arial" w:cs="Arial"/>
        </w:rPr>
        <w:t>f</w:t>
      </w:r>
      <w:r w:rsidRPr="0017110F">
        <w:rPr>
          <w:rFonts w:ascii="Arial" w:hAnsi="Arial" w:cs="Arial"/>
        </w:rPr>
        <w:t xml:space="preserve"> the defendant’s misrepresentations that the plaintiff assumed the risk of injury, sickness and/or death by natural causes to the horses and as such exempted the defendant from any liability concerning the horses and their continuous stay on farm Neu-Heusis, and thereafter.</w:t>
      </w:r>
    </w:p>
    <w:p w14:paraId="4F7F482E" w14:textId="77777777" w:rsidR="002E456A" w:rsidRPr="0017110F" w:rsidRDefault="002E456A" w:rsidP="0017110F">
      <w:pPr>
        <w:pStyle w:val="ListParagraph"/>
        <w:spacing w:line="360" w:lineRule="auto"/>
        <w:jc w:val="both"/>
        <w:rPr>
          <w:rFonts w:ascii="Arial" w:hAnsi="Arial" w:cs="Arial"/>
        </w:rPr>
      </w:pPr>
    </w:p>
    <w:p w14:paraId="6100EF8A" w14:textId="77777777" w:rsidR="002E456A" w:rsidRPr="0017110F" w:rsidRDefault="009C1E4F" w:rsidP="0017110F">
      <w:pPr>
        <w:pStyle w:val="ListParagraph"/>
        <w:spacing w:line="360" w:lineRule="auto"/>
        <w:ind w:left="1440" w:hanging="720"/>
        <w:jc w:val="both"/>
        <w:rPr>
          <w:rFonts w:ascii="Arial" w:hAnsi="Arial" w:cs="Arial"/>
        </w:rPr>
      </w:pPr>
      <w:r w:rsidRPr="0017110F">
        <w:rPr>
          <w:rFonts w:ascii="Arial" w:hAnsi="Arial" w:cs="Arial"/>
        </w:rPr>
        <w:t>9.</w:t>
      </w:r>
      <w:r w:rsidR="00E326EE" w:rsidRPr="0017110F">
        <w:rPr>
          <w:rFonts w:ascii="Arial" w:hAnsi="Arial" w:cs="Arial"/>
        </w:rPr>
        <w:tab/>
        <w:t>In the circumstances the defendant is not entitled to the rights that accrue to him in clause 5 of the agreement.</w:t>
      </w:r>
      <w:r w:rsidR="0017110F" w:rsidRPr="0017110F">
        <w:rPr>
          <w:rFonts w:ascii="Arial" w:hAnsi="Arial" w:cs="Arial"/>
        </w:rPr>
        <w:t>’</w:t>
      </w:r>
    </w:p>
    <w:p w14:paraId="7BF2715F" w14:textId="77777777" w:rsidR="002E456A" w:rsidRDefault="002E456A" w:rsidP="002E456A">
      <w:pPr>
        <w:pStyle w:val="ListParagraph"/>
        <w:rPr>
          <w:rFonts w:ascii="Arial" w:hAnsi="Arial" w:cs="Arial"/>
          <w:sz w:val="24"/>
          <w:szCs w:val="24"/>
        </w:rPr>
      </w:pPr>
    </w:p>
    <w:p w14:paraId="1EF44D76" w14:textId="04935EDA" w:rsidR="002E456A"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E326EE">
        <w:rPr>
          <w:rFonts w:ascii="Arial" w:hAnsi="Arial" w:cs="Arial"/>
          <w:sz w:val="24"/>
          <w:szCs w:val="24"/>
        </w:rPr>
        <w:t>The four claims are pleaded in this form:</w:t>
      </w:r>
    </w:p>
    <w:p w14:paraId="1D4C7CC3" w14:textId="77777777" w:rsidR="002E5345" w:rsidRDefault="002E5345" w:rsidP="008C5045">
      <w:pPr>
        <w:tabs>
          <w:tab w:val="left" w:pos="0"/>
        </w:tabs>
        <w:spacing w:after="0" w:line="480" w:lineRule="auto"/>
        <w:jc w:val="both"/>
        <w:rPr>
          <w:rFonts w:ascii="Arial" w:hAnsi="Arial" w:cs="Arial"/>
          <w:sz w:val="24"/>
          <w:szCs w:val="24"/>
        </w:rPr>
      </w:pPr>
    </w:p>
    <w:p w14:paraId="1A5B16F7" w14:textId="77777777" w:rsidR="00E326EE" w:rsidRPr="00BB74BA" w:rsidRDefault="00E326EE" w:rsidP="008C5045">
      <w:pPr>
        <w:tabs>
          <w:tab w:val="left" w:pos="0"/>
        </w:tabs>
        <w:spacing w:after="0" w:line="480" w:lineRule="auto"/>
        <w:jc w:val="both"/>
        <w:rPr>
          <w:rFonts w:ascii="Arial" w:hAnsi="Arial" w:cs="Arial"/>
          <w:sz w:val="24"/>
          <w:szCs w:val="24"/>
          <w:u w:val="single"/>
        </w:rPr>
      </w:pPr>
      <w:r w:rsidRPr="00BB74BA">
        <w:rPr>
          <w:rFonts w:ascii="Arial" w:hAnsi="Arial" w:cs="Arial"/>
          <w:sz w:val="24"/>
          <w:szCs w:val="24"/>
          <w:u w:val="single"/>
        </w:rPr>
        <w:t>Claim 1</w:t>
      </w:r>
    </w:p>
    <w:p w14:paraId="338CB834" w14:textId="77777777" w:rsidR="00E326EE" w:rsidRDefault="00E326EE" w:rsidP="001A1D13">
      <w:pPr>
        <w:tabs>
          <w:tab w:val="left" w:pos="0"/>
        </w:tabs>
        <w:spacing w:after="0" w:line="480" w:lineRule="auto"/>
        <w:jc w:val="both"/>
        <w:rPr>
          <w:rFonts w:ascii="Arial" w:hAnsi="Arial" w:cs="Arial"/>
          <w:sz w:val="24"/>
          <w:szCs w:val="24"/>
        </w:rPr>
      </w:pPr>
      <w:r>
        <w:rPr>
          <w:rFonts w:ascii="Arial" w:hAnsi="Arial" w:cs="Arial"/>
          <w:sz w:val="24"/>
          <w:szCs w:val="24"/>
        </w:rPr>
        <w:t xml:space="preserve">As a result of the fact that the horses had not been vaccinated and/or sufficiently vaccinated and/or had not received booster vaccinations against </w:t>
      </w:r>
      <w:r w:rsidR="00E17B31">
        <w:rPr>
          <w:rFonts w:ascii="Arial" w:hAnsi="Arial" w:cs="Arial"/>
          <w:sz w:val="24"/>
          <w:szCs w:val="24"/>
        </w:rPr>
        <w:t xml:space="preserve">African </w:t>
      </w:r>
      <w:r>
        <w:rPr>
          <w:rFonts w:ascii="Arial" w:hAnsi="Arial" w:cs="Arial"/>
          <w:sz w:val="24"/>
          <w:szCs w:val="24"/>
        </w:rPr>
        <w:t xml:space="preserve">Horse Sickness 1 and 2, Tetanus and Rabies, the appellant would cause to have a veterinarian attend to the horses every six months in place of </w:t>
      </w:r>
      <w:r w:rsidR="00E17B31">
        <w:rPr>
          <w:rFonts w:ascii="Arial" w:hAnsi="Arial" w:cs="Arial"/>
          <w:sz w:val="24"/>
          <w:szCs w:val="24"/>
        </w:rPr>
        <w:t>12</w:t>
      </w:r>
      <w:r>
        <w:rPr>
          <w:rFonts w:ascii="Arial" w:hAnsi="Arial" w:cs="Arial"/>
          <w:sz w:val="24"/>
          <w:szCs w:val="24"/>
        </w:rPr>
        <w:t xml:space="preserve"> months to fully immuni</w:t>
      </w:r>
      <w:r w:rsidR="00E17B31">
        <w:rPr>
          <w:rFonts w:ascii="Arial" w:hAnsi="Arial" w:cs="Arial"/>
          <w:sz w:val="24"/>
          <w:szCs w:val="24"/>
        </w:rPr>
        <w:t>s</w:t>
      </w:r>
      <w:r>
        <w:rPr>
          <w:rFonts w:ascii="Arial" w:hAnsi="Arial" w:cs="Arial"/>
          <w:sz w:val="24"/>
          <w:szCs w:val="24"/>
        </w:rPr>
        <w:t xml:space="preserve">e the horses, which is </w:t>
      </w:r>
      <w:r w:rsidR="0043404C">
        <w:rPr>
          <w:rFonts w:ascii="Arial" w:hAnsi="Arial" w:cs="Arial"/>
          <w:sz w:val="24"/>
          <w:szCs w:val="24"/>
        </w:rPr>
        <w:t xml:space="preserve">an </w:t>
      </w:r>
      <w:r>
        <w:rPr>
          <w:rFonts w:ascii="Arial" w:hAnsi="Arial" w:cs="Arial"/>
          <w:sz w:val="24"/>
          <w:szCs w:val="24"/>
        </w:rPr>
        <w:t xml:space="preserve">additional </w:t>
      </w:r>
      <w:r w:rsidR="00520A5E">
        <w:rPr>
          <w:rFonts w:ascii="Arial" w:hAnsi="Arial" w:cs="Arial"/>
          <w:sz w:val="24"/>
          <w:szCs w:val="24"/>
        </w:rPr>
        <w:t>three</w:t>
      </w:r>
      <w:r>
        <w:rPr>
          <w:rFonts w:ascii="Arial" w:hAnsi="Arial" w:cs="Arial"/>
          <w:sz w:val="24"/>
          <w:szCs w:val="24"/>
        </w:rPr>
        <w:t xml:space="preserve"> vaccinations per horse over three years. The reasonable cost would be N$23 778,30 per ‘vaccination run’ which would have been avoided had respondent </w:t>
      </w:r>
      <w:r w:rsidR="0017110F">
        <w:rPr>
          <w:rFonts w:ascii="Arial" w:hAnsi="Arial" w:cs="Arial"/>
          <w:sz w:val="24"/>
          <w:szCs w:val="24"/>
        </w:rPr>
        <w:t xml:space="preserve">caused </w:t>
      </w:r>
      <w:r>
        <w:rPr>
          <w:rFonts w:ascii="Arial" w:hAnsi="Arial" w:cs="Arial"/>
          <w:sz w:val="24"/>
          <w:szCs w:val="24"/>
        </w:rPr>
        <w:t xml:space="preserve">the vaccinations </w:t>
      </w:r>
      <w:r w:rsidR="0017110F">
        <w:rPr>
          <w:rFonts w:ascii="Arial" w:hAnsi="Arial" w:cs="Arial"/>
          <w:sz w:val="24"/>
          <w:szCs w:val="24"/>
        </w:rPr>
        <w:t xml:space="preserve">administered </w:t>
      </w:r>
      <w:r>
        <w:rPr>
          <w:rFonts w:ascii="Arial" w:hAnsi="Arial" w:cs="Arial"/>
          <w:sz w:val="24"/>
          <w:szCs w:val="24"/>
        </w:rPr>
        <w:t>during 2011</w:t>
      </w:r>
      <w:r w:rsidR="00520A5E">
        <w:rPr>
          <w:rFonts w:ascii="Arial" w:hAnsi="Arial" w:cs="Arial"/>
          <w:sz w:val="24"/>
          <w:szCs w:val="24"/>
        </w:rPr>
        <w:t>-</w:t>
      </w:r>
      <w:r>
        <w:rPr>
          <w:rFonts w:ascii="Arial" w:hAnsi="Arial" w:cs="Arial"/>
          <w:sz w:val="24"/>
          <w:szCs w:val="24"/>
        </w:rPr>
        <w:t xml:space="preserve"> 2017. Therefore</w:t>
      </w:r>
      <w:r w:rsidR="00D93CB4">
        <w:rPr>
          <w:rFonts w:ascii="Arial" w:hAnsi="Arial" w:cs="Arial"/>
          <w:sz w:val="24"/>
          <w:szCs w:val="24"/>
        </w:rPr>
        <w:t>,</w:t>
      </w:r>
      <w:r>
        <w:rPr>
          <w:rFonts w:ascii="Arial" w:hAnsi="Arial" w:cs="Arial"/>
          <w:sz w:val="24"/>
          <w:szCs w:val="24"/>
        </w:rPr>
        <w:t xml:space="preserve"> the appellant would suffer damages in the amount N$71 334,90 over the three year period.</w:t>
      </w:r>
    </w:p>
    <w:p w14:paraId="38837EC1" w14:textId="77777777" w:rsidR="00BB74BA" w:rsidRDefault="00BB74BA" w:rsidP="008C5045">
      <w:pPr>
        <w:tabs>
          <w:tab w:val="left" w:pos="0"/>
        </w:tabs>
        <w:spacing w:after="0" w:line="480" w:lineRule="auto"/>
        <w:jc w:val="both"/>
        <w:rPr>
          <w:rFonts w:ascii="Arial" w:hAnsi="Arial" w:cs="Arial"/>
          <w:sz w:val="24"/>
          <w:szCs w:val="24"/>
        </w:rPr>
      </w:pPr>
    </w:p>
    <w:p w14:paraId="27A2801E" w14:textId="77777777" w:rsidR="00E326EE" w:rsidRPr="00BB74BA" w:rsidRDefault="005F6976" w:rsidP="008C5045">
      <w:pPr>
        <w:tabs>
          <w:tab w:val="left" w:pos="0"/>
        </w:tabs>
        <w:spacing w:after="0" w:line="480" w:lineRule="auto"/>
        <w:jc w:val="both"/>
        <w:rPr>
          <w:rFonts w:ascii="Arial" w:hAnsi="Arial" w:cs="Arial"/>
          <w:sz w:val="24"/>
          <w:szCs w:val="24"/>
          <w:u w:val="single"/>
        </w:rPr>
      </w:pPr>
      <w:r w:rsidRPr="00BB74BA">
        <w:rPr>
          <w:rFonts w:ascii="Arial" w:hAnsi="Arial" w:cs="Arial"/>
          <w:sz w:val="24"/>
          <w:szCs w:val="24"/>
          <w:u w:val="single"/>
        </w:rPr>
        <w:t>Claim 2</w:t>
      </w:r>
    </w:p>
    <w:p w14:paraId="2019B5C0" w14:textId="29C84F35" w:rsidR="005F6976" w:rsidRPr="0025209F" w:rsidRDefault="0025209F" w:rsidP="0025209F">
      <w:pPr>
        <w:tabs>
          <w:tab w:val="left" w:pos="0"/>
        </w:tabs>
        <w:spacing w:after="0" w:line="480" w:lineRule="auto"/>
        <w:jc w:val="both"/>
        <w:rPr>
          <w:rFonts w:ascii="Arial" w:hAnsi="Arial" w:cs="Arial"/>
          <w:sz w:val="24"/>
          <w:szCs w:val="24"/>
        </w:rPr>
      </w:pPr>
      <w:r w:rsidRPr="00BB74BA">
        <w:rPr>
          <w:rFonts w:ascii="Arial" w:hAnsi="Arial" w:cs="Arial"/>
          <w:sz w:val="24"/>
          <w:szCs w:val="24"/>
        </w:rPr>
        <w:t>[7]</w:t>
      </w:r>
      <w:r w:rsidRPr="00BB74BA">
        <w:rPr>
          <w:rFonts w:ascii="Arial" w:hAnsi="Arial" w:cs="Arial"/>
          <w:sz w:val="24"/>
          <w:szCs w:val="24"/>
        </w:rPr>
        <w:tab/>
      </w:r>
      <w:r w:rsidR="005F6976" w:rsidRPr="0025209F">
        <w:rPr>
          <w:rFonts w:ascii="Arial" w:hAnsi="Arial" w:cs="Arial"/>
          <w:sz w:val="24"/>
          <w:szCs w:val="24"/>
        </w:rPr>
        <w:t>For the fact that respondent had failed to vaccinate the horses against African Ho</w:t>
      </w:r>
      <w:r w:rsidR="0017110F" w:rsidRPr="0025209F">
        <w:rPr>
          <w:rFonts w:ascii="Arial" w:hAnsi="Arial" w:cs="Arial"/>
          <w:sz w:val="24"/>
          <w:szCs w:val="24"/>
        </w:rPr>
        <w:t>r</w:t>
      </w:r>
      <w:r w:rsidR="005F6976" w:rsidRPr="0025209F">
        <w:rPr>
          <w:rFonts w:ascii="Arial" w:hAnsi="Arial" w:cs="Arial"/>
          <w:sz w:val="24"/>
          <w:szCs w:val="24"/>
        </w:rPr>
        <w:t>se</w:t>
      </w:r>
      <w:r w:rsidR="00520A5E" w:rsidRPr="0025209F">
        <w:rPr>
          <w:rFonts w:ascii="Arial" w:hAnsi="Arial" w:cs="Arial"/>
          <w:sz w:val="24"/>
          <w:szCs w:val="24"/>
        </w:rPr>
        <w:t xml:space="preserve"> Sickness during the period 2011 - </w:t>
      </w:r>
      <w:r w:rsidR="005F6976" w:rsidRPr="0025209F">
        <w:rPr>
          <w:rFonts w:ascii="Arial" w:hAnsi="Arial" w:cs="Arial"/>
          <w:sz w:val="24"/>
          <w:szCs w:val="24"/>
        </w:rPr>
        <w:t>201</w:t>
      </w:r>
      <w:r w:rsidR="0017110F" w:rsidRPr="0025209F">
        <w:rPr>
          <w:rFonts w:ascii="Arial" w:hAnsi="Arial" w:cs="Arial"/>
          <w:sz w:val="24"/>
          <w:szCs w:val="24"/>
        </w:rPr>
        <w:t xml:space="preserve">7 the horses, particularly </w:t>
      </w:r>
      <w:r w:rsidR="001A1D13" w:rsidRPr="0025209F">
        <w:rPr>
          <w:rFonts w:ascii="Arial" w:hAnsi="Arial" w:cs="Arial"/>
          <w:sz w:val="24"/>
          <w:szCs w:val="24"/>
        </w:rPr>
        <w:t>“</w:t>
      </w:r>
      <w:r w:rsidR="0017110F" w:rsidRPr="0025209F">
        <w:rPr>
          <w:rFonts w:ascii="Arial" w:hAnsi="Arial" w:cs="Arial"/>
          <w:sz w:val="24"/>
          <w:szCs w:val="24"/>
        </w:rPr>
        <w:t>no F</w:t>
      </w:r>
      <w:r w:rsidR="005F6976" w:rsidRPr="0025209F">
        <w:rPr>
          <w:rFonts w:ascii="Arial" w:hAnsi="Arial" w:cs="Arial"/>
          <w:sz w:val="24"/>
          <w:szCs w:val="24"/>
        </w:rPr>
        <w:t xml:space="preserve">athers </w:t>
      </w:r>
      <w:r w:rsidR="0017110F" w:rsidRPr="0025209F">
        <w:rPr>
          <w:rFonts w:ascii="Arial" w:hAnsi="Arial" w:cs="Arial"/>
          <w:sz w:val="24"/>
          <w:szCs w:val="24"/>
        </w:rPr>
        <w:t>G</w:t>
      </w:r>
      <w:r w:rsidR="005F6976" w:rsidRPr="0025209F">
        <w:rPr>
          <w:rFonts w:ascii="Arial" w:hAnsi="Arial" w:cs="Arial"/>
          <w:sz w:val="24"/>
          <w:szCs w:val="24"/>
        </w:rPr>
        <w:t>irl</w:t>
      </w:r>
      <w:r w:rsidR="001A1D13" w:rsidRPr="0025209F">
        <w:rPr>
          <w:rFonts w:ascii="Arial" w:hAnsi="Arial" w:cs="Arial"/>
          <w:sz w:val="24"/>
          <w:szCs w:val="24"/>
        </w:rPr>
        <w:t>”</w:t>
      </w:r>
      <w:r w:rsidR="005F6976" w:rsidRPr="0025209F">
        <w:rPr>
          <w:rFonts w:ascii="Arial" w:hAnsi="Arial" w:cs="Arial"/>
          <w:sz w:val="24"/>
          <w:szCs w:val="24"/>
        </w:rPr>
        <w:t xml:space="preserve">, </w:t>
      </w:r>
      <w:r w:rsidR="001A1D13" w:rsidRPr="0025209F">
        <w:rPr>
          <w:rFonts w:ascii="Arial" w:hAnsi="Arial" w:cs="Arial"/>
          <w:sz w:val="24"/>
          <w:szCs w:val="24"/>
        </w:rPr>
        <w:t>“</w:t>
      </w:r>
      <w:r w:rsidR="005F6976" w:rsidRPr="0025209F">
        <w:rPr>
          <w:rFonts w:ascii="Arial" w:hAnsi="Arial" w:cs="Arial"/>
          <w:sz w:val="24"/>
          <w:szCs w:val="24"/>
        </w:rPr>
        <w:t>All Inclusive</w:t>
      </w:r>
      <w:r w:rsidR="001A1D13" w:rsidRPr="0025209F">
        <w:rPr>
          <w:rFonts w:ascii="Arial" w:hAnsi="Arial" w:cs="Arial"/>
          <w:sz w:val="24"/>
          <w:szCs w:val="24"/>
        </w:rPr>
        <w:t>”</w:t>
      </w:r>
      <w:r w:rsidR="005F6976" w:rsidRPr="0025209F">
        <w:rPr>
          <w:rFonts w:ascii="Arial" w:hAnsi="Arial" w:cs="Arial"/>
          <w:sz w:val="24"/>
          <w:szCs w:val="24"/>
        </w:rPr>
        <w:t xml:space="preserve"> and </w:t>
      </w:r>
      <w:r w:rsidR="001A1D13" w:rsidRPr="0025209F">
        <w:rPr>
          <w:rFonts w:ascii="Arial" w:hAnsi="Arial" w:cs="Arial"/>
          <w:sz w:val="24"/>
          <w:szCs w:val="24"/>
        </w:rPr>
        <w:t>“</w:t>
      </w:r>
      <w:r w:rsidR="005F6976" w:rsidRPr="0025209F">
        <w:rPr>
          <w:rFonts w:ascii="Arial" w:hAnsi="Arial" w:cs="Arial"/>
          <w:sz w:val="24"/>
          <w:szCs w:val="24"/>
        </w:rPr>
        <w:t>Kalkutta</w:t>
      </w:r>
      <w:r w:rsidR="001A1D13" w:rsidRPr="0025209F">
        <w:rPr>
          <w:rFonts w:ascii="Arial" w:hAnsi="Arial" w:cs="Arial"/>
          <w:sz w:val="24"/>
          <w:szCs w:val="24"/>
        </w:rPr>
        <w:t>”</w:t>
      </w:r>
      <w:r w:rsidR="005F6976" w:rsidRPr="0025209F">
        <w:rPr>
          <w:rFonts w:ascii="Arial" w:hAnsi="Arial" w:cs="Arial"/>
          <w:sz w:val="24"/>
          <w:szCs w:val="24"/>
        </w:rPr>
        <w:t xml:space="preserve"> were insufficiently protected and/or immunized against African Horse Sickness, resulting (disclosure by respondent) in their deaths about July 2017 and January – February 2018. The appellant would not have assumed the risk of profit and loss of the three horses had she been aware of the fact that all three were </w:t>
      </w:r>
      <w:r w:rsidR="005F6976" w:rsidRPr="0025209F">
        <w:rPr>
          <w:rFonts w:ascii="Arial" w:hAnsi="Arial" w:cs="Arial"/>
          <w:sz w:val="24"/>
          <w:szCs w:val="24"/>
        </w:rPr>
        <w:lastRenderedPageBreak/>
        <w:t>insufficiently protected and/or immunized. Therefore</w:t>
      </w:r>
      <w:r w:rsidR="00CA4248" w:rsidRPr="0025209F">
        <w:rPr>
          <w:rFonts w:ascii="Arial" w:hAnsi="Arial" w:cs="Arial"/>
          <w:sz w:val="24"/>
          <w:szCs w:val="24"/>
        </w:rPr>
        <w:t>,</w:t>
      </w:r>
      <w:r w:rsidR="005F6976" w:rsidRPr="0025209F">
        <w:rPr>
          <w:rFonts w:ascii="Arial" w:hAnsi="Arial" w:cs="Arial"/>
          <w:sz w:val="24"/>
          <w:szCs w:val="24"/>
        </w:rPr>
        <w:t xml:space="preserve"> the appellant suffered damages in the amount of N$110 000 being the reasonable value at the time of their death, no </w:t>
      </w:r>
      <w:r w:rsidR="0017110F" w:rsidRPr="0025209F">
        <w:rPr>
          <w:rFonts w:ascii="Arial" w:hAnsi="Arial" w:cs="Arial"/>
          <w:sz w:val="24"/>
          <w:szCs w:val="24"/>
        </w:rPr>
        <w:t>F</w:t>
      </w:r>
      <w:r w:rsidR="005F6976" w:rsidRPr="0025209F">
        <w:rPr>
          <w:rFonts w:ascii="Arial" w:hAnsi="Arial" w:cs="Arial"/>
          <w:sz w:val="24"/>
          <w:szCs w:val="24"/>
        </w:rPr>
        <w:t xml:space="preserve">athers </w:t>
      </w:r>
      <w:r w:rsidR="0017110F" w:rsidRPr="0025209F">
        <w:rPr>
          <w:rFonts w:ascii="Arial" w:hAnsi="Arial" w:cs="Arial"/>
          <w:sz w:val="24"/>
          <w:szCs w:val="24"/>
        </w:rPr>
        <w:t>G</w:t>
      </w:r>
      <w:r w:rsidR="005F6976" w:rsidRPr="0025209F">
        <w:rPr>
          <w:rFonts w:ascii="Arial" w:hAnsi="Arial" w:cs="Arial"/>
          <w:sz w:val="24"/>
          <w:szCs w:val="24"/>
        </w:rPr>
        <w:t>irl and All Inclusive N$25 0000 each and Kalkutta N$60 000.</w:t>
      </w:r>
    </w:p>
    <w:p w14:paraId="155E38BB" w14:textId="77777777" w:rsidR="0017110F" w:rsidRDefault="0017110F" w:rsidP="008C5045">
      <w:pPr>
        <w:tabs>
          <w:tab w:val="left" w:pos="0"/>
        </w:tabs>
        <w:spacing w:after="0" w:line="480" w:lineRule="auto"/>
        <w:jc w:val="both"/>
        <w:rPr>
          <w:rFonts w:ascii="Arial" w:hAnsi="Arial" w:cs="Arial"/>
          <w:sz w:val="24"/>
          <w:szCs w:val="24"/>
          <w:u w:val="single"/>
        </w:rPr>
      </w:pPr>
    </w:p>
    <w:p w14:paraId="5AB31754" w14:textId="77777777" w:rsidR="005F6976" w:rsidRPr="00BB74BA" w:rsidRDefault="005F6976" w:rsidP="008C5045">
      <w:pPr>
        <w:tabs>
          <w:tab w:val="left" w:pos="0"/>
        </w:tabs>
        <w:spacing w:after="0" w:line="480" w:lineRule="auto"/>
        <w:jc w:val="both"/>
        <w:rPr>
          <w:rFonts w:ascii="Arial" w:hAnsi="Arial" w:cs="Arial"/>
          <w:sz w:val="24"/>
          <w:szCs w:val="24"/>
          <w:u w:val="single"/>
        </w:rPr>
      </w:pPr>
      <w:r w:rsidRPr="00BB74BA">
        <w:rPr>
          <w:rFonts w:ascii="Arial" w:hAnsi="Arial" w:cs="Arial"/>
          <w:sz w:val="24"/>
          <w:szCs w:val="24"/>
          <w:u w:val="single"/>
        </w:rPr>
        <w:t>Claim 3</w:t>
      </w:r>
    </w:p>
    <w:p w14:paraId="2392D09A" w14:textId="1337F2AF" w:rsidR="005F6976" w:rsidRPr="0025209F" w:rsidRDefault="0025209F" w:rsidP="0025209F">
      <w:pPr>
        <w:tabs>
          <w:tab w:val="left" w:pos="0"/>
        </w:tabs>
        <w:spacing w:after="0" w:line="480" w:lineRule="auto"/>
        <w:jc w:val="both"/>
        <w:rPr>
          <w:rFonts w:ascii="Arial" w:hAnsi="Arial" w:cs="Arial"/>
          <w:sz w:val="24"/>
          <w:szCs w:val="24"/>
        </w:rPr>
      </w:pPr>
      <w:r w:rsidRPr="00BB74BA">
        <w:rPr>
          <w:rFonts w:ascii="Arial" w:hAnsi="Arial" w:cs="Arial"/>
          <w:sz w:val="24"/>
          <w:szCs w:val="24"/>
        </w:rPr>
        <w:t>[8]</w:t>
      </w:r>
      <w:r w:rsidRPr="00BB74BA">
        <w:rPr>
          <w:rFonts w:ascii="Arial" w:hAnsi="Arial" w:cs="Arial"/>
          <w:sz w:val="24"/>
          <w:szCs w:val="24"/>
        </w:rPr>
        <w:tab/>
      </w:r>
      <w:r w:rsidR="005F6976" w:rsidRPr="0025209F">
        <w:rPr>
          <w:rFonts w:ascii="Arial" w:hAnsi="Arial" w:cs="Arial"/>
          <w:sz w:val="24"/>
          <w:szCs w:val="24"/>
        </w:rPr>
        <w:t>The respondent was at all material times aware or ought to have been aware that failure to vaccinate the horses would increase t</w:t>
      </w:r>
      <w:r w:rsidR="00E2441D" w:rsidRPr="0025209F">
        <w:rPr>
          <w:rFonts w:ascii="Arial" w:hAnsi="Arial" w:cs="Arial"/>
          <w:sz w:val="24"/>
          <w:szCs w:val="24"/>
        </w:rPr>
        <w:t>he risk of the horses contracting African Horse Sickness.</w:t>
      </w:r>
    </w:p>
    <w:p w14:paraId="52596AAD" w14:textId="77777777" w:rsidR="00E326EE" w:rsidRDefault="00E326EE" w:rsidP="008C5045">
      <w:pPr>
        <w:tabs>
          <w:tab w:val="left" w:pos="0"/>
        </w:tabs>
        <w:spacing w:after="0" w:line="480" w:lineRule="auto"/>
        <w:jc w:val="both"/>
        <w:rPr>
          <w:rFonts w:ascii="Arial" w:hAnsi="Arial" w:cs="Arial"/>
          <w:sz w:val="24"/>
          <w:szCs w:val="24"/>
        </w:rPr>
      </w:pPr>
    </w:p>
    <w:p w14:paraId="4B5E5AAB" w14:textId="60BBFCAB" w:rsidR="00E2441D"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E2441D">
        <w:rPr>
          <w:rFonts w:ascii="Arial" w:hAnsi="Arial" w:cs="Arial"/>
          <w:sz w:val="24"/>
          <w:szCs w:val="24"/>
        </w:rPr>
        <w:t>There being no cure for African Horse Sickness, once contracted, the horse would in most case</w:t>
      </w:r>
      <w:r w:rsidR="00CA4248">
        <w:rPr>
          <w:rFonts w:ascii="Arial" w:hAnsi="Arial" w:cs="Arial"/>
          <w:sz w:val="24"/>
          <w:szCs w:val="24"/>
        </w:rPr>
        <w:t>s</w:t>
      </w:r>
      <w:r w:rsidR="00E2441D">
        <w:rPr>
          <w:rFonts w:ascii="Arial" w:hAnsi="Arial" w:cs="Arial"/>
          <w:sz w:val="24"/>
          <w:szCs w:val="24"/>
        </w:rPr>
        <w:t xml:space="preserve"> die. Breeding stud horses has the purpose of selling the offspring and the horses themselves from time to time. Failure to have vaccinated the horses has reduced the value of the individual horses because they are susceptible to contracting African Horse Sickness which has a </w:t>
      </w:r>
      <w:r w:rsidR="005B680A">
        <w:rPr>
          <w:rFonts w:ascii="Arial" w:hAnsi="Arial" w:cs="Arial"/>
          <w:sz w:val="24"/>
          <w:szCs w:val="24"/>
        </w:rPr>
        <w:t>direct impact</w:t>
      </w:r>
      <w:r w:rsidR="00E2441D">
        <w:rPr>
          <w:rFonts w:ascii="Arial" w:hAnsi="Arial" w:cs="Arial"/>
          <w:sz w:val="24"/>
          <w:szCs w:val="24"/>
        </w:rPr>
        <w:t xml:space="preserve"> on their marketability and value for the three year period which ended in 2020. After 2020 for the reason of ageing compounded by the risk of </w:t>
      </w:r>
      <w:r w:rsidR="005B680A">
        <w:rPr>
          <w:rFonts w:ascii="Arial" w:hAnsi="Arial" w:cs="Arial"/>
          <w:sz w:val="24"/>
          <w:szCs w:val="24"/>
        </w:rPr>
        <w:t>contracting</w:t>
      </w:r>
      <w:r w:rsidR="00E2441D">
        <w:rPr>
          <w:rFonts w:ascii="Arial" w:hAnsi="Arial" w:cs="Arial"/>
          <w:sz w:val="24"/>
          <w:szCs w:val="24"/>
        </w:rPr>
        <w:t xml:space="preserve"> African Horse Sickness, the horses would not have any reasonable commercial value. Therefore respondent suffered damages in the amount of N$515 000 calculated as follows:</w:t>
      </w:r>
    </w:p>
    <w:p w14:paraId="7DC93A91" w14:textId="77777777" w:rsidR="00E2441D" w:rsidRDefault="00E2441D" w:rsidP="00E2441D">
      <w:pPr>
        <w:tabs>
          <w:tab w:val="left" w:pos="0"/>
        </w:tabs>
        <w:spacing w:after="0" w:line="480" w:lineRule="auto"/>
        <w:jc w:val="both"/>
        <w:rPr>
          <w:rFonts w:ascii="Arial" w:hAnsi="Arial" w:cs="Arial"/>
          <w:sz w:val="24"/>
          <w:szCs w:val="24"/>
        </w:rPr>
      </w:pPr>
    </w:p>
    <w:p w14:paraId="2BD8D4D2" w14:textId="77777777" w:rsidR="00E2441D" w:rsidRPr="0017110F" w:rsidRDefault="00BB74BA" w:rsidP="0017110F">
      <w:pPr>
        <w:tabs>
          <w:tab w:val="left" w:pos="0"/>
        </w:tabs>
        <w:spacing w:after="0" w:line="360" w:lineRule="auto"/>
        <w:ind w:left="720" w:hanging="720"/>
        <w:jc w:val="both"/>
        <w:rPr>
          <w:rFonts w:ascii="Arial" w:hAnsi="Arial" w:cs="Arial"/>
        </w:rPr>
      </w:pPr>
      <w:r>
        <w:rPr>
          <w:rFonts w:ascii="Arial" w:hAnsi="Arial" w:cs="Arial"/>
          <w:sz w:val="24"/>
          <w:szCs w:val="24"/>
        </w:rPr>
        <w:tab/>
      </w:r>
      <w:r w:rsidR="0017110F" w:rsidRPr="0017110F">
        <w:rPr>
          <w:rFonts w:ascii="Arial" w:hAnsi="Arial" w:cs="Arial"/>
        </w:rPr>
        <w:t>‘</w:t>
      </w:r>
      <w:r w:rsidR="00E2441D" w:rsidRPr="0017110F">
        <w:rPr>
          <w:rFonts w:ascii="Arial" w:hAnsi="Arial" w:cs="Arial"/>
        </w:rPr>
        <w:t>24.1</w:t>
      </w:r>
      <w:r w:rsidR="00E2441D" w:rsidRPr="0017110F">
        <w:rPr>
          <w:rFonts w:ascii="Arial" w:hAnsi="Arial" w:cs="Arial"/>
        </w:rPr>
        <w:tab/>
        <w:t xml:space="preserve">An amount of N$258 000 being the decrease in value of each of the </w:t>
      </w:r>
      <w:r w:rsidRPr="0017110F">
        <w:rPr>
          <w:rFonts w:ascii="Arial" w:hAnsi="Arial" w:cs="Arial"/>
        </w:rPr>
        <w:tab/>
      </w:r>
      <w:r w:rsidR="00E2441D" w:rsidRPr="0017110F">
        <w:rPr>
          <w:rFonts w:ascii="Arial" w:hAnsi="Arial" w:cs="Arial"/>
        </w:rPr>
        <w:t>horses listed below, fr</w:t>
      </w:r>
      <w:r w:rsidR="0017110F" w:rsidRPr="0017110F">
        <w:rPr>
          <w:rFonts w:ascii="Arial" w:hAnsi="Arial" w:cs="Arial"/>
        </w:rPr>
        <w:t>om their original value (as plead</w:t>
      </w:r>
      <w:r w:rsidR="00E2441D" w:rsidRPr="0017110F">
        <w:rPr>
          <w:rFonts w:ascii="Arial" w:hAnsi="Arial" w:cs="Arial"/>
        </w:rPr>
        <w:t>ed below) to zero:</w:t>
      </w:r>
    </w:p>
    <w:p w14:paraId="386957C7" w14:textId="77777777" w:rsidR="00E2441D" w:rsidRPr="0017110F" w:rsidRDefault="00E2441D" w:rsidP="0017110F">
      <w:pPr>
        <w:tabs>
          <w:tab w:val="left" w:pos="0"/>
        </w:tabs>
        <w:spacing w:after="0" w:line="360" w:lineRule="auto"/>
        <w:jc w:val="both"/>
        <w:rPr>
          <w:rFonts w:ascii="Arial" w:hAnsi="Arial" w:cs="Arial"/>
        </w:rPr>
      </w:pPr>
    </w:p>
    <w:p w14:paraId="3C593ED1" w14:textId="77777777" w:rsidR="00E2441D" w:rsidRPr="0017110F" w:rsidRDefault="00E2441D" w:rsidP="0017110F">
      <w:pPr>
        <w:tabs>
          <w:tab w:val="left" w:pos="0"/>
        </w:tabs>
        <w:spacing w:after="0" w:line="360" w:lineRule="auto"/>
        <w:jc w:val="both"/>
        <w:rPr>
          <w:rFonts w:ascii="Arial" w:hAnsi="Arial" w:cs="Arial"/>
        </w:rPr>
      </w:pPr>
      <w:r w:rsidRPr="0017110F">
        <w:rPr>
          <w:rFonts w:ascii="Arial" w:hAnsi="Arial" w:cs="Arial"/>
        </w:rPr>
        <w:tab/>
      </w:r>
      <w:r w:rsidRPr="0017110F">
        <w:rPr>
          <w:rFonts w:ascii="Arial" w:hAnsi="Arial" w:cs="Arial"/>
        </w:rPr>
        <w:tab/>
        <w:t>24.1.1</w:t>
      </w:r>
      <w:r w:rsidRPr="0017110F">
        <w:rPr>
          <w:rFonts w:ascii="Arial" w:hAnsi="Arial" w:cs="Arial"/>
        </w:rPr>
        <w:tab/>
      </w:r>
      <w:r w:rsidRPr="0017110F">
        <w:rPr>
          <w:rFonts w:ascii="Arial" w:hAnsi="Arial" w:cs="Arial"/>
        </w:rPr>
        <w:tab/>
        <w:t>Miss Arizona (A1)</w:t>
      </w:r>
      <w:r w:rsidRPr="0017110F">
        <w:rPr>
          <w:rFonts w:ascii="Arial" w:hAnsi="Arial" w:cs="Arial"/>
        </w:rPr>
        <w:tab/>
      </w:r>
      <w:r w:rsidRPr="0017110F">
        <w:rPr>
          <w:rFonts w:ascii="Arial" w:hAnsi="Arial" w:cs="Arial"/>
        </w:rPr>
        <w:tab/>
        <w:t>N$10 000</w:t>
      </w:r>
    </w:p>
    <w:p w14:paraId="46CBA361" w14:textId="77777777" w:rsidR="00E2441D" w:rsidRPr="0017110F" w:rsidRDefault="00E2441D" w:rsidP="0017110F">
      <w:pPr>
        <w:tabs>
          <w:tab w:val="left" w:pos="0"/>
        </w:tabs>
        <w:spacing w:after="0" w:line="360" w:lineRule="auto"/>
        <w:jc w:val="both"/>
        <w:rPr>
          <w:rFonts w:ascii="Arial" w:hAnsi="Arial" w:cs="Arial"/>
        </w:rPr>
      </w:pPr>
      <w:r w:rsidRPr="0017110F">
        <w:rPr>
          <w:rFonts w:ascii="Arial" w:hAnsi="Arial" w:cs="Arial"/>
        </w:rPr>
        <w:tab/>
      </w:r>
      <w:r w:rsidRPr="0017110F">
        <w:rPr>
          <w:rFonts w:ascii="Arial" w:hAnsi="Arial" w:cs="Arial"/>
        </w:rPr>
        <w:tab/>
        <w:t>24.1.2</w:t>
      </w:r>
      <w:r w:rsidRPr="0017110F">
        <w:rPr>
          <w:rFonts w:ascii="Arial" w:hAnsi="Arial" w:cs="Arial"/>
        </w:rPr>
        <w:tab/>
      </w:r>
      <w:r w:rsidRPr="0017110F">
        <w:rPr>
          <w:rFonts w:ascii="Arial" w:hAnsi="Arial" w:cs="Arial"/>
        </w:rPr>
        <w:tab/>
        <w:t>Celine Dion (A2)</w:t>
      </w:r>
      <w:r w:rsidRPr="0017110F">
        <w:rPr>
          <w:rFonts w:ascii="Arial" w:hAnsi="Arial" w:cs="Arial"/>
        </w:rPr>
        <w:tab/>
      </w:r>
      <w:r w:rsidRPr="0017110F">
        <w:rPr>
          <w:rFonts w:ascii="Arial" w:hAnsi="Arial" w:cs="Arial"/>
        </w:rPr>
        <w:tab/>
        <w:t>N$25 000</w:t>
      </w:r>
    </w:p>
    <w:p w14:paraId="0D4796B5" w14:textId="77777777" w:rsidR="00E2441D" w:rsidRPr="0017110F" w:rsidRDefault="00E2441D" w:rsidP="0017110F">
      <w:pPr>
        <w:tabs>
          <w:tab w:val="left" w:pos="0"/>
        </w:tabs>
        <w:spacing w:after="0" w:line="360" w:lineRule="auto"/>
        <w:jc w:val="both"/>
        <w:rPr>
          <w:rFonts w:ascii="Arial" w:hAnsi="Arial" w:cs="Arial"/>
        </w:rPr>
      </w:pPr>
      <w:r w:rsidRPr="0017110F">
        <w:rPr>
          <w:rFonts w:ascii="Arial" w:hAnsi="Arial" w:cs="Arial"/>
        </w:rPr>
        <w:tab/>
      </w:r>
      <w:r w:rsidRPr="0017110F">
        <w:rPr>
          <w:rFonts w:ascii="Arial" w:hAnsi="Arial" w:cs="Arial"/>
        </w:rPr>
        <w:tab/>
        <w:t>24.1.3</w:t>
      </w:r>
      <w:r w:rsidRPr="0017110F">
        <w:rPr>
          <w:rFonts w:ascii="Arial" w:hAnsi="Arial" w:cs="Arial"/>
        </w:rPr>
        <w:tab/>
      </w:r>
      <w:r w:rsidRPr="0017110F">
        <w:rPr>
          <w:rFonts w:ascii="Arial" w:hAnsi="Arial" w:cs="Arial"/>
        </w:rPr>
        <w:tab/>
        <w:t>Kassandra (A12)</w:t>
      </w:r>
      <w:r w:rsidRPr="0017110F">
        <w:rPr>
          <w:rFonts w:ascii="Arial" w:hAnsi="Arial" w:cs="Arial"/>
        </w:rPr>
        <w:tab/>
      </w:r>
      <w:r w:rsidRPr="0017110F">
        <w:rPr>
          <w:rFonts w:ascii="Arial" w:hAnsi="Arial" w:cs="Arial"/>
        </w:rPr>
        <w:tab/>
        <w:t>N$10 000</w:t>
      </w:r>
    </w:p>
    <w:p w14:paraId="0E6D68C3" w14:textId="77777777" w:rsidR="00E2441D" w:rsidRPr="0017110F" w:rsidRDefault="00E2441D" w:rsidP="0017110F">
      <w:pPr>
        <w:tabs>
          <w:tab w:val="left" w:pos="0"/>
        </w:tabs>
        <w:spacing w:after="0" w:line="360" w:lineRule="auto"/>
        <w:jc w:val="both"/>
        <w:rPr>
          <w:rFonts w:ascii="Arial" w:hAnsi="Arial" w:cs="Arial"/>
        </w:rPr>
      </w:pPr>
      <w:r w:rsidRPr="0017110F">
        <w:rPr>
          <w:rFonts w:ascii="Arial" w:hAnsi="Arial" w:cs="Arial"/>
        </w:rPr>
        <w:lastRenderedPageBreak/>
        <w:tab/>
      </w:r>
      <w:r w:rsidRPr="0017110F">
        <w:rPr>
          <w:rFonts w:ascii="Arial" w:hAnsi="Arial" w:cs="Arial"/>
        </w:rPr>
        <w:tab/>
        <w:t>24.1.4</w:t>
      </w:r>
      <w:r w:rsidRPr="0017110F">
        <w:rPr>
          <w:rFonts w:ascii="Arial" w:hAnsi="Arial" w:cs="Arial"/>
        </w:rPr>
        <w:tab/>
      </w:r>
      <w:r w:rsidRPr="0017110F">
        <w:rPr>
          <w:rFonts w:ascii="Arial" w:hAnsi="Arial" w:cs="Arial"/>
        </w:rPr>
        <w:tab/>
        <w:t>Desdemona (A13)</w:t>
      </w:r>
      <w:r w:rsidRPr="0017110F">
        <w:rPr>
          <w:rFonts w:ascii="Arial" w:hAnsi="Arial" w:cs="Arial"/>
        </w:rPr>
        <w:tab/>
      </w:r>
      <w:r w:rsidRPr="0017110F">
        <w:rPr>
          <w:rFonts w:ascii="Arial" w:hAnsi="Arial" w:cs="Arial"/>
        </w:rPr>
        <w:tab/>
        <w:t>N$25 000</w:t>
      </w:r>
    </w:p>
    <w:p w14:paraId="1658AD80" w14:textId="77777777" w:rsidR="00E2441D" w:rsidRPr="0017110F" w:rsidRDefault="00E2441D" w:rsidP="0017110F">
      <w:pPr>
        <w:tabs>
          <w:tab w:val="left" w:pos="0"/>
        </w:tabs>
        <w:spacing w:after="0" w:line="360" w:lineRule="auto"/>
        <w:jc w:val="both"/>
        <w:rPr>
          <w:rFonts w:ascii="Arial" w:hAnsi="Arial" w:cs="Arial"/>
        </w:rPr>
      </w:pPr>
      <w:r w:rsidRPr="0017110F">
        <w:rPr>
          <w:rFonts w:ascii="Arial" w:hAnsi="Arial" w:cs="Arial"/>
        </w:rPr>
        <w:tab/>
      </w:r>
      <w:r w:rsidRPr="0017110F">
        <w:rPr>
          <w:rFonts w:ascii="Arial" w:hAnsi="Arial" w:cs="Arial"/>
        </w:rPr>
        <w:tab/>
        <w:t>24.1.5</w:t>
      </w:r>
      <w:r w:rsidRPr="0017110F">
        <w:rPr>
          <w:rFonts w:ascii="Arial" w:hAnsi="Arial" w:cs="Arial"/>
        </w:rPr>
        <w:tab/>
      </w:r>
      <w:r w:rsidRPr="0017110F">
        <w:rPr>
          <w:rFonts w:ascii="Arial" w:hAnsi="Arial" w:cs="Arial"/>
        </w:rPr>
        <w:tab/>
        <w:t>Laissez Faire (A3)</w:t>
      </w:r>
      <w:r w:rsidRPr="0017110F">
        <w:rPr>
          <w:rFonts w:ascii="Arial" w:hAnsi="Arial" w:cs="Arial"/>
        </w:rPr>
        <w:tab/>
      </w:r>
      <w:r w:rsidRPr="0017110F">
        <w:rPr>
          <w:rFonts w:ascii="Arial" w:hAnsi="Arial" w:cs="Arial"/>
        </w:rPr>
        <w:tab/>
        <w:t>N$15 000</w:t>
      </w:r>
    </w:p>
    <w:p w14:paraId="6304C4DD" w14:textId="77777777" w:rsidR="00E2441D" w:rsidRPr="0017110F" w:rsidRDefault="00E2441D" w:rsidP="0017110F">
      <w:pPr>
        <w:tabs>
          <w:tab w:val="left" w:pos="0"/>
        </w:tabs>
        <w:spacing w:after="0" w:line="360" w:lineRule="auto"/>
        <w:jc w:val="both"/>
        <w:rPr>
          <w:rFonts w:ascii="Arial" w:hAnsi="Arial" w:cs="Arial"/>
        </w:rPr>
      </w:pPr>
      <w:r w:rsidRPr="0017110F">
        <w:rPr>
          <w:rFonts w:ascii="Arial" w:hAnsi="Arial" w:cs="Arial"/>
        </w:rPr>
        <w:tab/>
      </w:r>
      <w:r w:rsidRPr="0017110F">
        <w:rPr>
          <w:rFonts w:ascii="Arial" w:hAnsi="Arial" w:cs="Arial"/>
        </w:rPr>
        <w:tab/>
      </w:r>
      <w:r w:rsidR="00101162" w:rsidRPr="0017110F">
        <w:rPr>
          <w:rFonts w:ascii="Arial" w:hAnsi="Arial" w:cs="Arial"/>
        </w:rPr>
        <w:t>24.1.6</w:t>
      </w:r>
      <w:r w:rsidR="00101162" w:rsidRPr="0017110F">
        <w:rPr>
          <w:rFonts w:ascii="Arial" w:hAnsi="Arial" w:cs="Arial"/>
        </w:rPr>
        <w:tab/>
      </w:r>
      <w:r w:rsidRPr="0017110F">
        <w:rPr>
          <w:rFonts w:ascii="Arial" w:hAnsi="Arial" w:cs="Arial"/>
        </w:rPr>
        <w:tab/>
      </w:r>
      <w:r w:rsidR="005B680A" w:rsidRPr="0017110F">
        <w:rPr>
          <w:rFonts w:ascii="Arial" w:hAnsi="Arial" w:cs="Arial"/>
        </w:rPr>
        <w:t>C’est la vie (A4)</w:t>
      </w:r>
      <w:r w:rsidR="005B680A" w:rsidRPr="0017110F">
        <w:rPr>
          <w:rFonts w:ascii="Arial" w:hAnsi="Arial" w:cs="Arial"/>
        </w:rPr>
        <w:tab/>
      </w:r>
      <w:r w:rsidR="005B680A" w:rsidRPr="0017110F">
        <w:rPr>
          <w:rFonts w:ascii="Arial" w:hAnsi="Arial" w:cs="Arial"/>
        </w:rPr>
        <w:tab/>
        <w:t>N$20 000</w:t>
      </w:r>
    </w:p>
    <w:p w14:paraId="4901496C" w14:textId="77777777" w:rsidR="005B680A" w:rsidRPr="0017110F" w:rsidRDefault="005B680A" w:rsidP="0017110F">
      <w:pPr>
        <w:tabs>
          <w:tab w:val="left" w:pos="0"/>
        </w:tabs>
        <w:spacing w:after="0" w:line="360" w:lineRule="auto"/>
        <w:jc w:val="both"/>
        <w:rPr>
          <w:rFonts w:ascii="Arial" w:hAnsi="Arial" w:cs="Arial"/>
        </w:rPr>
      </w:pPr>
      <w:r w:rsidRPr="0017110F">
        <w:rPr>
          <w:rFonts w:ascii="Arial" w:hAnsi="Arial" w:cs="Arial"/>
        </w:rPr>
        <w:tab/>
      </w:r>
      <w:r w:rsidRPr="0017110F">
        <w:rPr>
          <w:rFonts w:ascii="Arial" w:hAnsi="Arial" w:cs="Arial"/>
        </w:rPr>
        <w:tab/>
        <w:t>24.1.7</w:t>
      </w:r>
      <w:r w:rsidRPr="0017110F">
        <w:rPr>
          <w:rFonts w:ascii="Arial" w:hAnsi="Arial" w:cs="Arial"/>
        </w:rPr>
        <w:tab/>
      </w:r>
      <w:r w:rsidRPr="0017110F">
        <w:rPr>
          <w:rFonts w:ascii="Arial" w:hAnsi="Arial" w:cs="Arial"/>
        </w:rPr>
        <w:tab/>
        <w:t>C’est Si Bon (A5)</w:t>
      </w:r>
      <w:r w:rsidRPr="0017110F">
        <w:rPr>
          <w:rFonts w:ascii="Arial" w:hAnsi="Arial" w:cs="Arial"/>
        </w:rPr>
        <w:tab/>
      </w:r>
      <w:r w:rsidRPr="0017110F">
        <w:rPr>
          <w:rFonts w:ascii="Arial" w:hAnsi="Arial" w:cs="Arial"/>
        </w:rPr>
        <w:tab/>
        <w:t>N$10 000</w:t>
      </w:r>
    </w:p>
    <w:p w14:paraId="516A86BB" w14:textId="77777777" w:rsidR="005B680A" w:rsidRPr="0017110F" w:rsidRDefault="005B680A" w:rsidP="0017110F">
      <w:pPr>
        <w:tabs>
          <w:tab w:val="left" w:pos="0"/>
        </w:tabs>
        <w:spacing w:after="0" w:line="360" w:lineRule="auto"/>
        <w:jc w:val="both"/>
        <w:rPr>
          <w:rFonts w:ascii="Arial" w:hAnsi="Arial" w:cs="Arial"/>
        </w:rPr>
      </w:pPr>
      <w:r w:rsidRPr="0017110F">
        <w:rPr>
          <w:rFonts w:ascii="Arial" w:hAnsi="Arial" w:cs="Arial"/>
        </w:rPr>
        <w:tab/>
      </w:r>
      <w:r w:rsidRPr="0017110F">
        <w:rPr>
          <w:rFonts w:ascii="Arial" w:hAnsi="Arial" w:cs="Arial"/>
        </w:rPr>
        <w:tab/>
        <w:t>24.1.8</w:t>
      </w:r>
      <w:r w:rsidRPr="0017110F">
        <w:rPr>
          <w:rFonts w:ascii="Arial" w:hAnsi="Arial" w:cs="Arial"/>
        </w:rPr>
        <w:tab/>
      </w:r>
      <w:r w:rsidRPr="0017110F">
        <w:rPr>
          <w:rFonts w:ascii="Arial" w:hAnsi="Arial" w:cs="Arial"/>
        </w:rPr>
        <w:tab/>
        <w:t>Laurentio (A</w:t>
      </w:r>
      <w:r w:rsidR="00A9586C">
        <w:rPr>
          <w:rFonts w:ascii="Arial" w:hAnsi="Arial" w:cs="Arial"/>
        </w:rPr>
        <w:t>1</w:t>
      </w:r>
      <w:r w:rsidRPr="0017110F">
        <w:rPr>
          <w:rFonts w:ascii="Arial" w:hAnsi="Arial" w:cs="Arial"/>
        </w:rPr>
        <w:t>4)</w:t>
      </w:r>
      <w:r w:rsidRPr="0017110F">
        <w:rPr>
          <w:rFonts w:ascii="Arial" w:hAnsi="Arial" w:cs="Arial"/>
        </w:rPr>
        <w:tab/>
      </w:r>
      <w:r w:rsidR="00CA4248">
        <w:rPr>
          <w:rFonts w:ascii="Arial" w:hAnsi="Arial" w:cs="Arial"/>
        </w:rPr>
        <w:tab/>
      </w:r>
      <w:r w:rsidRPr="0017110F">
        <w:rPr>
          <w:rFonts w:ascii="Arial" w:hAnsi="Arial" w:cs="Arial"/>
        </w:rPr>
        <w:t>N$18 000</w:t>
      </w:r>
    </w:p>
    <w:p w14:paraId="7EBF8D3F" w14:textId="77777777" w:rsidR="005B680A" w:rsidRPr="0017110F" w:rsidRDefault="005B680A" w:rsidP="0017110F">
      <w:pPr>
        <w:tabs>
          <w:tab w:val="left" w:pos="0"/>
        </w:tabs>
        <w:spacing w:after="0" w:line="360" w:lineRule="auto"/>
        <w:jc w:val="both"/>
        <w:rPr>
          <w:rFonts w:ascii="Arial" w:hAnsi="Arial" w:cs="Arial"/>
        </w:rPr>
      </w:pPr>
      <w:r w:rsidRPr="0017110F">
        <w:rPr>
          <w:rFonts w:ascii="Arial" w:hAnsi="Arial" w:cs="Arial"/>
        </w:rPr>
        <w:tab/>
      </w:r>
      <w:r w:rsidRPr="0017110F">
        <w:rPr>
          <w:rFonts w:ascii="Arial" w:hAnsi="Arial" w:cs="Arial"/>
        </w:rPr>
        <w:tab/>
        <w:t>24.1.9</w:t>
      </w:r>
      <w:r w:rsidRPr="0017110F">
        <w:rPr>
          <w:rFonts w:ascii="Arial" w:hAnsi="Arial" w:cs="Arial"/>
        </w:rPr>
        <w:tab/>
      </w:r>
      <w:r w:rsidRPr="0017110F">
        <w:rPr>
          <w:rFonts w:ascii="Arial" w:hAnsi="Arial" w:cs="Arial"/>
        </w:rPr>
        <w:tab/>
        <w:t>Karisna (A8)</w:t>
      </w:r>
      <w:r w:rsidRPr="0017110F">
        <w:rPr>
          <w:rFonts w:ascii="Arial" w:hAnsi="Arial" w:cs="Arial"/>
        </w:rPr>
        <w:tab/>
      </w:r>
      <w:r w:rsidRPr="0017110F">
        <w:rPr>
          <w:rFonts w:ascii="Arial" w:hAnsi="Arial" w:cs="Arial"/>
        </w:rPr>
        <w:tab/>
      </w:r>
      <w:r w:rsidRPr="0017110F">
        <w:rPr>
          <w:rFonts w:ascii="Arial" w:hAnsi="Arial" w:cs="Arial"/>
        </w:rPr>
        <w:tab/>
        <w:t>N$25 000</w:t>
      </w:r>
    </w:p>
    <w:p w14:paraId="159A9782" w14:textId="77777777" w:rsidR="005B680A" w:rsidRPr="0017110F" w:rsidRDefault="005B680A" w:rsidP="0017110F">
      <w:pPr>
        <w:tabs>
          <w:tab w:val="left" w:pos="0"/>
        </w:tabs>
        <w:spacing w:after="0" w:line="360" w:lineRule="auto"/>
        <w:jc w:val="both"/>
        <w:rPr>
          <w:rFonts w:ascii="Arial" w:hAnsi="Arial" w:cs="Arial"/>
        </w:rPr>
      </w:pPr>
      <w:r w:rsidRPr="0017110F">
        <w:rPr>
          <w:rFonts w:ascii="Arial" w:hAnsi="Arial" w:cs="Arial"/>
        </w:rPr>
        <w:tab/>
      </w:r>
      <w:r w:rsidRPr="0017110F">
        <w:rPr>
          <w:rFonts w:ascii="Arial" w:hAnsi="Arial" w:cs="Arial"/>
        </w:rPr>
        <w:tab/>
        <w:t>24.1.10</w:t>
      </w:r>
      <w:r w:rsidRPr="0017110F">
        <w:rPr>
          <w:rFonts w:ascii="Arial" w:hAnsi="Arial" w:cs="Arial"/>
        </w:rPr>
        <w:tab/>
        <w:t>Kat De Luna (A9)</w:t>
      </w:r>
      <w:r w:rsidRPr="0017110F">
        <w:rPr>
          <w:rFonts w:ascii="Arial" w:hAnsi="Arial" w:cs="Arial"/>
        </w:rPr>
        <w:tab/>
      </w:r>
      <w:r w:rsidRPr="0017110F">
        <w:rPr>
          <w:rFonts w:ascii="Arial" w:hAnsi="Arial" w:cs="Arial"/>
        </w:rPr>
        <w:tab/>
        <w:t>N$40 000</w:t>
      </w:r>
    </w:p>
    <w:p w14:paraId="66B3262C" w14:textId="77777777" w:rsidR="005B680A" w:rsidRPr="0017110F" w:rsidRDefault="005B680A" w:rsidP="0017110F">
      <w:pPr>
        <w:tabs>
          <w:tab w:val="left" w:pos="0"/>
        </w:tabs>
        <w:spacing w:after="0" w:line="360" w:lineRule="auto"/>
        <w:jc w:val="both"/>
        <w:rPr>
          <w:rFonts w:ascii="Arial" w:hAnsi="Arial" w:cs="Arial"/>
        </w:rPr>
      </w:pPr>
      <w:r w:rsidRPr="0017110F">
        <w:rPr>
          <w:rFonts w:ascii="Arial" w:hAnsi="Arial" w:cs="Arial"/>
        </w:rPr>
        <w:tab/>
      </w:r>
      <w:r w:rsidRPr="0017110F">
        <w:rPr>
          <w:rFonts w:ascii="Arial" w:hAnsi="Arial" w:cs="Arial"/>
        </w:rPr>
        <w:tab/>
        <w:t>24.1.11</w:t>
      </w:r>
      <w:r w:rsidRPr="0017110F">
        <w:rPr>
          <w:rFonts w:ascii="Arial" w:hAnsi="Arial" w:cs="Arial"/>
        </w:rPr>
        <w:tab/>
        <w:t>Auld Lang Syne (A10)</w:t>
      </w:r>
      <w:r w:rsidR="00CA4248">
        <w:rPr>
          <w:rFonts w:ascii="Arial" w:hAnsi="Arial" w:cs="Arial"/>
        </w:rPr>
        <w:tab/>
      </w:r>
      <w:r w:rsidRPr="0017110F">
        <w:rPr>
          <w:rFonts w:ascii="Arial" w:hAnsi="Arial" w:cs="Arial"/>
        </w:rPr>
        <w:tab/>
        <w:t>N$60 000</w:t>
      </w:r>
    </w:p>
    <w:p w14:paraId="01CC5EEC" w14:textId="77777777" w:rsidR="005B680A" w:rsidRPr="0017110F" w:rsidRDefault="005B680A" w:rsidP="0017110F">
      <w:pPr>
        <w:tabs>
          <w:tab w:val="left" w:pos="0"/>
        </w:tabs>
        <w:spacing w:after="0" w:line="360" w:lineRule="auto"/>
        <w:jc w:val="both"/>
        <w:rPr>
          <w:rFonts w:ascii="Arial" w:hAnsi="Arial" w:cs="Arial"/>
        </w:rPr>
      </w:pPr>
    </w:p>
    <w:p w14:paraId="18623DA8" w14:textId="77777777" w:rsidR="005B680A" w:rsidRPr="0017110F" w:rsidRDefault="00BB74BA" w:rsidP="0017110F">
      <w:pPr>
        <w:tabs>
          <w:tab w:val="left" w:pos="0"/>
        </w:tabs>
        <w:spacing w:after="0" w:line="360" w:lineRule="auto"/>
        <w:ind w:left="1440" w:hanging="720"/>
        <w:jc w:val="both"/>
        <w:rPr>
          <w:rFonts w:ascii="Arial" w:hAnsi="Arial" w:cs="Arial"/>
        </w:rPr>
      </w:pPr>
      <w:r w:rsidRPr="0017110F">
        <w:rPr>
          <w:rFonts w:ascii="Arial" w:hAnsi="Arial" w:cs="Arial"/>
        </w:rPr>
        <w:t>24.2</w:t>
      </w:r>
      <w:r w:rsidRPr="0017110F">
        <w:rPr>
          <w:rFonts w:ascii="Arial" w:hAnsi="Arial" w:cs="Arial"/>
        </w:rPr>
        <w:tab/>
      </w:r>
      <w:r w:rsidR="005B680A" w:rsidRPr="0017110F">
        <w:rPr>
          <w:rFonts w:ascii="Arial" w:hAnsi="Arial" w:cs="Arial"/>
        </w:rPr>
        <w:t>An amount of N$257 000 being the decrease in value of each of the horses listed below, from their original value (as pleaded below) to their current value as pleaded below:</w:t>
      </w:r>
    </w:p>
    <w:p w14:paraId="0BE4192C" w14:textId="77777777" w:rsidR="005B680A" w:rsidRPr="0017110F" w:rsidRDefault="005B680A" w:rsidP="0017110F">
      <w:pPr>
        <w:tabs>
          <w:tab w:val="left" w:pos="0"/>
        </w:tabs>
        <w:spacing w:after="0" w:line="360" w:lineRule="auto"/>
        <w:ind w:left="2160" w:hanging="1440"/>
        <w:jc w:val="both"/>
        <w:rPr>
          <w:rFonts w:ascii="Arial" w:hAnsi="Arial" w:cs="Arial"/>
        </w:rPr>
      </w:pPr>
    </w:p>
    <w:p w14:paraId="48A66DDF" w14:textId="77777777" w:rsidR="005B680A" w:rsidRPr="0017110F" w:rsidRDefault="00BB74BA" w:rsidP="0017110F">
      <w:pPr>
        <w:tabs>
          <w:tab w:val="left" w:pos="0"/>
        </w:tabs>
        <w:spacing w:after="0" w:line="360" w:lineRule="auto"/>
        <w:jc w:val="both"/>
        <w:rPr>
          <w:rFonts w:ascii="Arial" w:hAnsi="Arial" w:cs="Arial"/>
        </w:rPr>
      </w:pPr>
      <w:r w:rsidRPr="0017110F">
        <w:rPr>
          <w:rFonts w:ascii="Arial" w:hAnsi="Arial" w:cs="Arial"/>
        </w:rPr>
        <w:tab/>
      </w:r>
      <w:r w:rsidRPr="0017110F">
        <w:rPr>
          <w:rFonts w:ascii="Arial" w:hAnsi="Arial" w:cs="Arial"/>
        </w:rPr>
        <w:tab/>
      </w:r>
      <w:r w:rsidR="005B680A" w:rsidRPr="0017110F">
        <w:rPr>
          <w:rFonts w:ascii="Arial" w:hAnsi="Arial" w:cs="Arial"/>
        </w:rPr>
        <w:t>24.2.1</w:t>
      </w:r>
      <w:r w:rsidR="005B680A" w:rsidRPr="0017110F">
        <w:rPr>
          <w:rFonts w:ascii="Arial" w:hAnsi="Arial" w:cs="Arial"/>
        </w:rPr>
        <w:tab/>
        <w:t>No Mercy (S3) from N$30 000 to N$8000</w:t>
      </w:r>
    </w:p>
    <w:p w14:paraId="33D1E964" w14:textId="77777777" w:rsidR="005B680A" w:rsidRPr="0017110F" w:rsidRDefault="00BB74BA" w:rsidP="0017110F">
      <w:pPr>
        <w:tabs>
          <w:tab w:val="left" w:pos="0"/>
        </w:tabs>
        <w:spacing w:after="0" w:line="360" w:lineRule="auto"/>
        <w:jc w:val="both"/>
        <w:rPr>
          <w:rFonts w:ascii="Arial" w:hAnsi="Arial" w:cs="Arial"/>
        </w:rPr>
      </w:pPr>
      <w:r w:rsidRPr="0017110F">
        <w:rPr>
          <w:rFonts w:ascii="Arial" w:hAnsi="Arial" w:cs="Arial"/>
        </w:rPr>
        <w:tab/>
      </w:r>
      <w:r w:rsidRPr="0017110F">
        <w:rPr>
          <w:rFonts w:ascii="Arial" w:hAnsi="Arial" w:cs="Arial"/>
        </w:rPr>
        <w:tab/>
      </w:r>
      <w:r w:rsidR="005B680A" w:rsidRPr="0017110F">
        <w:rPr>
          <w:rFonts w:ascii="Arial" w:hAnsi="Arial" w:cs="Arial"/>
        </w:rPr>
        <w:t>24.2.2</w:t>
      </w:r>
      <w:r w:rsidR="005B680A" w:rsidRPr="0017110F">
        <w:rPr>
          <w:rFonts w:ascii="Arial" w:hAnsi="Arial" w:cs="Arial"/>
        </w:rPr>
        <w:tab/>
        <w:t>No Father’s Boy (A11) from N$12 000 to N$2000</w:t>
      </w:r>
    </w:p>
    <w:p w14:paraId="16F371F4" w14:textId="77777777" w:rsidR="005B680A" w:rsidRPr="0017110F" w:rsidRDefault="00BB74BA" w:rsidP="0017110F">
      <w:pPr>
        <w:tabs>
          <w:tab w:val="left" w:pos="0"/>
        </w:tabs>
        <w:spacing w:after="0" w:line="360" w:lineRule="auto"/>
        <w:jc w:val="both"/>
        <w:rPr>
          <w:rFonts w:ascii="Arial" w:hAnsi="Arial" w:cs="Arial"/>
        </w:rPr>
      </w:pPr>
      <w:r w:rsidRPr="0017110F">
        <w:rPr>
          <w:rFonts w:ascii="Arial" w:hAnsi="Arial" w:cs="Arial"/>
        </w:rPr>
        <w:tab/>
      </w:r>
      <w:r w:rsidRPr="0017110F">
        <w:rPr>
          <w:rFonts w:ascii="Arial" w:hAnsi="Arial" w:cs="Arial"/>
        </w:rPr>
        <w:tab/>
      </w:r>
      <w:r w:rsidR="005B680A" w:rsidRPr="0017110F">
        <w:rPr>
          <w:rFonts w:ascii="Arial" w:hAnsi="Arial" w:cs="Arial"/>
        </w:rPr>
        <w:t>24.2.3 Lexington (S2) from N$75 000 to N$15</w:t>
      </w:r>
      <w:r w:rsidRPr="0017110F">
        <w:rPr>
          <w:rFonts w:ascii="Arial" w:hAnsi="Arial" w:cs="Arial"/>
        </w:rPr>
        <w:t> </w:t>
      </w:r>
      <w:r w:rsidR="005B680A" w:rsidRPr="0017110F">
        <w:rPr>
          <w:rFonts w:ascii="Arial" w:hAnsi="Arial" w:cs="Arial"/>
        </w:rPr>
        <w:t>000</w:t>
      </w:r>
    </w:p>
    <w:p w14:paraId="14676234" w14:textId="77777777" w:rsidR="005B680A" w:rsidRPr="0017110F" w:rsidRDefault="00BB74BA" w:rsidP="0017110F">
      <w:pPr>
        <w:tabs>
          <w:tab w:val="left" w:pos="0"/>
        </w:tabs>
        <w:spacing w:after="0" w:line="360" w:lineRule="auto"/>
        <w:jc w:val="both"/>
        <w:rPr>
          <w:rFonts w:ascii="Arial" w:hAnsi="Arial" w:cs="Arial"/>
        </w:rPr>
      </w:pPr>
      <w:r w:rsidRPr="0017110F">
        <w:rPr>
          <w:rFonts w:ascii="Arial" w:hAnsi="Arial" w:cs="Arial"/>
        </w:rPr>
        <w:tab/>
      </w:r>
      <w:r w:rsidRPr="0017110F">
        <w:rPr>
          <w:rFonts w:ascii="Arial" w:hAnsi="Arial" w:cs="Arial"/>
        </w:rPr>
        <w:tab/>
      </w:r>
      <w:r w:rsidR="005B680A" w:rsidRPr="0017110F">
        <w:rPr>
          <w:rFonts w:ascii="Arial" w:hAnsi="Arial" w:cs="Arial"/>
        </w:rPr>
        <w:t>24.2.4 Never Say never (A6) from N$50 000 from N$15</w:t>
      </w:r>
      <w:r w:rsidRPr="0017110F">
        <w:rPr>
          <w:rFonts w:ascii="Arial" w:hAnsi="Arial" w:cs="Arial"/>
        </w:rPr>
        <w:t> </w:t>
      </w:r>
      <w:r w:rsidR="005B680A" w:rsidRPr="0017110F">
        <w:rPr>
          <w:rFonts w:ascii="Arial" w:hAnsi="Arial" w:cs="Arial"/>
        </w:rPr>
        <w:t>000</w:t>
      </w:r>
    </w:p>
    <w:p w14:paraId="5D2F2015" w14:textId="77777777" w:rsidR="005B680A" w:rsidRPr="0017110F" w:rsidRDefault="00BB74BA" w:rsidP="0017110F">
      <w:pPr>
        <w:tabs>
          <w:tab w:val="left" w:pos="0"/>
        </w:tabs>
        <w:spacing w:after="0" w:line="360" w:lineRule="auto"/>
        <w:jc w:val="both"/>
        <w:rPr>
          <w:rFonts w:ascii="Arial" w:hAnsi="Arial" w:cs="Arial"/>
        </w:rPr>
      </w:pPr>
      <w:r w:rsidRPr="0017110F">
        <w:rPr>
          <w:rFonts w:ascii="Arial" w:hAnsi="Arial" w:cs="Arial"/>
        </w:rPr>
        <w:tab/>
      </w:r>
      <w:r w:rsidRPr="0017110F">
        <w:rPr>
          <w:rFonts w:ascii="Arial" w:hAnsi="Arial" w:cs="Arial"/>
        </w:rPr>
        <w:tab/>
      </w:r>
      <w:r w:rsidR="005B680A" w:rsidRPr="0017110F">
        <w:rPr>
          <w:rFonts w:ascii="Arial" w:hAnsi="Arial" w:cs="Arial"/>
        </w:rPr>
        <w:t>24.2.5 Lancelot (S1) (Now Lou Bega) from N$50 000 to N$15</w:t>
      </w:r>
      <w:r w:rsidRPr="0017110F">
        <w:rPr>
          <w:rFonts w:ascii="Arial" w:hAnsi="Arial" w:cs="Arial"/>
        </w:rPr>
        <w:t> </w:t>
      </w:r>
      <w:r w:rsidR="005B680A" w:rsidRPr="0017110F">
        <w:rPr>
          <w:rFonts w:ascii="Arial" w:hAnsi="Arial" w:cs="Arial"/>
        </w:rPr>
        <w:t>000</w:t>
      </w:r>
    </w:p>
    <w:p w14:paraId="73EEB27F" w14:textId="77777777" w:rsidR="005B680A" w:rsidRPr="0017110F" w:rsidRDefault="00BB74BA" w:rsidP="0017110F">
      <w:pPr>
        <w:tabs>
          <w:tab w:val="left" w:pos="0"/>
        </w:tabs>
        <w:spacing w:after="0" w:line="360" w:lineRule="auto"/>
        <w:jc w:val="both"/>
        <w:rPr>
          <w:rFonts w:ascii="Arial" w:hAnsi="Arial" w:cs="Arial"/>
        </w:rPr>
      </w:pPr>
      <w:r w:rsidRPr="0017110F">
        <w:rPr>
          <w:rFonts w:ascii="Arial" w:hAnsi="Arial" w:cs="Arial"/>
        </w:rPr>
        <w:tab/>
      </w:r>
      <w:r w:rsidRPr="0017110F">
        <w:rPr>
          <w:rFonts w:ascii="Arial" w:hAnsi="Arial" w:cs="Arial"/>
        </w:rPr>
        <w:tab/>
      </w:r>
      <w:r w:rsidR="005B680A" w:rsidRPr="0017110F">
        <w:rPr>
          <w:rFonts w:ascii="Arial" w:hAnsi="Arial" w:cs="Arial"/>
        </w:rPr>
        <w:t>24.2.6</w:t>
      </w:r>
      <w:r w:rsidR="005B680A" w:rsidRPr="0017110F">
        <w:rPr>
          <w:rFonts w:ascii="Arial" w:hAnsi="Arial" w:cs="Arial"/>
        </w:rPr>
        <w:tab/>
        <w:t>Stallion (S3) from N$35 000 to N$10</w:t>
      </w:r>
      <w:r w:rsidRPr="0017110F">
        <w:rPr>
          <w:rFonts w:ascii="Arial" w:hAnsi="Arial" w:cs="Arial"/>
        </w:rPr>
        <w:t> </w:t>
      </w:r>
      <w:r w:rsidR="005B680A" w:rsidRPr="0017110F">
        <w:rPr>
          <w:rFonts w:ascii="Arial" w:hAnsi="Arial" w:cs="Arial"/>
        </w:rPr>
        <w:t>000</w:t>
      </w:r>
    </w:p>
    <w:p w14:paraId="2742AF6B" w14:textId="77777777" w:rsidR="005B680A" w:rsidRPr="0017110F" w:rsidRDefault="00BB74BA" w:rsidP="0017110F">
      <w:pPr>
        <w:tabs>
          <w:tab w:val="left" w:pos="0"/>
        </w:tabs>
        <w:spacing w:after="0" w:line="360" w:lineRule="auto"/>
        <w:jc w:val="both"/>
        <w:rPr>
          <w:rFonts w:ascii="Arial" w:hAnsi="Arial" w:cs="Arial"/>
        </w:rPr>
      </w:pPr>
      <w:r w:rsidRPr="0017110F">
        <w:rPr>
          <w:rFonts w:ascii="Arial" w:hAnsi="Arial" w:cs="Arial"/>
        </w:rPr>
        <w:tab/>
      </w:r>
      <w:r w:rsidRPr="0017110F">
        <w:rPr>
          <w:rFonts w:ascii="Arial" w:hAnsi="Arial" w:cs="Arial"/>
        </w:rPr>
        <w:tab/>
      </w:r>
      <w:r w:rsidR="005B680A" w:rsidRPr="0017110F">
        <w:rPr>
          <w:rFonts w:ascii="Arial" w:hAnsi="Arial" w:cs="Arial"/>
        </w:rPr>
        <w:t>24.2.7 Mare (A19) from N$25 000 to N$</w:t>
      </w:r>
      <w:r w:rsidR="009C2CB0" w:rsidRPr="0017110F">
        <w:rPr>
          <w:rFonts w:ascii="Arial" w:hAnsi="Arial" w:cs="Arial"/>
        </w:rPr>
        <w:t>5</w:t>
      </w:r>
      <w:r w:rsidRPr="0017110F">
        <w:rPr>
          <w:rFonts w:ascii="Arial" w:hAnsi="Arial" w:cs="Arial"/>
        </w:rPr>
        <w:t> </w:t>
      </w:r>
      <w:r w:rsidR="009C2CB0" w:rsidRPr="0017110F">
        <w:rPr>
          <w:rFonts w:ascii="Arial" w:hAnsi="Arial" w:cs="Arial"/>
        </w:rPr>
        <w:t>000</w:t>
      </w:r>
    </w:p>
    <w:p w14:paraId="44506A52" w14:textId="77777777" w:rsidR="009C2CB0" w:rsidRPr="0017110F" w:rsidRDefault="00BB74BA" w:rsidP="0017110F">
      <w:pPr>
        <w:tabs>
          <w:tab w:val="left" w:pos="0"/>
        </w:tabs>
        <w:spacing w:after="0" w:line="360" w:lineRule="auto"/>
        <w:jc w:val="both"/>
        <w:rPr>
          <w:rFonts w:ascii="Arial" w:hAnsi="Arial" w:cs="Arial"/>
        </w:rPr>
      </w:pPr>
      <w:r w:rsidRPr="0017110F">
        <w:rPr>
          <w:rFonts w:ascii="Arial" w:hAnsi="Arial" w:cs="Arial"/>
        </w:rPr>
        <w:tab/>
      </w:r>
      <w:r w:rsidRPr="0017110F">
        <w:rPr>
          <w:rFonts w:ascii="Arial" w:hAnsi="Arial" w:cs="Arial"/>
        </w:rPr>
        <w:tab/>
      </w:r>
      <w:r w:rsidR="009C2CB0" w:rsidRPr="0017110F">
        <w:rPr>
          <w:rFonts w:ascii="Arial" w:hAnsi="Arial" w:cs="Arial"/>
        </w:rPr>
        <w:t>24.2.8 Kalgary (A16) from N$35 000 to N$10</w:t>
      </w:r>
      <w:r w:rsidRPr="0017110F">
        <w:rPr>
          <w:rFonts w:ascii="Arial" w:hAnsi="Arial" w:cs="Arial"/>
        </w:rPr>
        <w:t> </w:t>
      </w:r>
      <w:r w:rsidR="009C2CB0" w:rsidRPr="0017110F">
        <w:rPr>
          <w:rFonts w:ascii="Arial" w:hAnsi="Arial" w:cs="Arial"/>
        </w:rPr>
        <w:t>000</w:t>
      </w:r>
    </w:p>
    <w:p w14:paraId="5C0BAC72" w14:textId="77777777" w:rsidR="009C2CB0" w:rsidRPr="0017110F" w:rsidRDefault="00BB74BA" w:rsidP="0017110F">
      <w:pPr>
        <w:tabs>
          <w:tab w:val="left" w:pos="0"/>
        </w:tabs>
        <w:spacing w:after="0" w:line="360" w:lineRule="auto"/>
        <w:jc w:val="both"/>
        <w:rPr>
          <w:rFonts w:ascii="Arial" w:hAnsi="Arial" w:cs="Arial"/>
        </w:rPr>
      </w:pPr>
      <w:r w:rsidRPr="0017110F">
        <w:rPr>
          <w:rFonts w:ascii="Arial" w:hAnsi="Arial" w:cs="Arial"/>
        </w:rPr>
        <w:tab/>
      </w:r>
      <w:r w:rsidRPr="0017110F">
        <w:rPr>
          <w:rFonts w:ascii="Arial" w:hAnsi="Arial" w:cs="Arial"/>
        </w:rPr>
        <w:tab/>
      </w:r>
      <w:r w:rsidR="009C2CB0" w:rsidRPr="0017110F">
        <w:rPr>
          <w:rFonts w:ascii="Arial" w:hAnsi="Arial" w:cs="Arial"/>
        </w:rPr>
        <w:t>24.2.9 Curacão (A18) from N$35 000 to N$10</w:t>
      </w:r>
      <w:r w:rsidR="0017110F" w:rsidRPr="0017110F">
        <w:rPr>
          <w:rFonts w:ascii="Arial" w:hAnsi="Arial" w:cs="Arial"/>
        </w:rPr>
        <w:t> </w:t>
      </w:r>
      <w:r w:rsidR="009C2CB0" w:rsidRPr="0017110F">
        <w:rPr>
          <w:rFonts w:ascii="Arial" w:hAnsi="Arial" w:cs="Arial"/>
        </w:rPr>
        <w:t>000</w:t>
      </w:r>
      <w:r w:rsidR="0017110F" w:rsidRPr="0017110F">
        <w:rPr>
          <w:rFonts w:ascii="Arial" w:hAnsi="Arial" w:cs="Arial"/>
        </w:rPr>
        <w:t>’</w:t>
      </w:r>
    </w:p>
    <w:p w14:paraId="46E37764" w14:textId="77777777" w:rsidR="00BB74BA" w:rsidRDefault="00BB74BA" w:rsidP="0017110F">
      <w:pPr>
        <w:tabs>
          <w:tab w:val="left" w:pos="0"/>
        </w:tabs>
        <w:spacing w:after="0" w:line="480" w:lineRule="auto"/>
        <w:jc w:val="both"/>
        <w:rPr>
          <w:rFonts w:ascii="Arial" w:hAnsi="Arial" w:cs="Arial"/>
          <w:sz w:val="24"/>
          <w:szCs w:val="24"/>
          <w:u w:val="single"/>
        </w:rPr>
      </w:pPr>
    </w:p>
    <w:p w14:paraId="1F681956" w14:textId="77777777" w:rsidR="005B680A" w:rsidRPr="00BB74BA" w:rsidRDefault="00570D57" w:rsidP="0017110F">
      <w:pPr>
        <w:spacing w:after="0" w:line="480" w:lineRule="auto"/>
        <w:rPr>
          <w:rFonts w:ascii="Arial" w:hAnsi="Arial" w:cs="Arial"/>
          <w:sz w:val="24"/>
          <w:szCs w:val="24"/>
          <w:u w:val="single"/>
        </w:rPr>
      </w:pPr>
      <w:r w:rsidRPr="00BB74BA">
        <w:rPr>
          <w:rFonts w:ascii="Arial" w:hAnsi="Arial" w:cs="Arial"/>
          <w:sz w:val="24"/>
          <w:szCs w:val="24"/>
          <w:u w:val="single"/>
        </w:rPr>
        <w:t>Claim 4</w:t>
      </w:r>
      <w:r w:rsidR="005B680A" w:rsidRPr="00BB74BA">
        <w:rPr>
          <w:rFonts w:ascii="Arial" w:hAnsi="Arial" w:cs="Arial"/>
          <w:sz w:val="24"/>
          <w:szCs w:val="24"/>
        </w:rPr>
        <w:tab/>
      </w:r>
    </w:p>
    <w:p w14:paraId="77A0C231" w14:textId="0A18492D" w:rsidR="00E2441D"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570D57">
        <w:rPr>
          <w:rFonts w:ascii="Arial" w:hAnsi="Arial" w:cs="Arial"/>
          <w:sz w:val="24"/>
          <w:szCs w:val="24"/>
        </w:rPr>
        <w:t>Despite the first list of horses above having no commercial value appellant is still obliged to maintain and care for them and as pleaded above</w:t>
      </w:r>
      <w:r w:rsidR="0017110F">
        <w:rPr>
          <w:rFonts w:ascii="Arial" w:hAnsi="Arial" w:cs="Arial"/>
          <w:sz w:val="24"/>
          <w:szCs w:val="24"/>
        </w:rPr>
        <w:t>,</w:t>
      </w:r>
      <w:r w:rsidR="00570D57">
        <w:rPr>
          <w:rFonts w:ascii="Arial" w:hAnsi="Arial" w:cs="Arial"/>
          <w:sz w:val="24"/>
          <w:szCs w:val="24"/>
        </w:rPr>
        <w:t xml:space="preserve"> appellant is unable to sell them alternatively will only be able to donate them. The reasonable cost of maintaining and caring for a Namibian Warmblood Horse is N$10 862,50 per annum per horse, excluding incidental services and/or other sundries. As a result</w:t>
      </w:r>
      <w:r w:rsidR="00520A5E">
        <w:rPr>
          <w:rFonts w:ascii="Arial" w:hAnsi="Arial" w:cs="Arial"/>
          <w:sz w:val="24"/>
          <w:szCs w:val="24"/>
        </w:rPr>
        <w:t>,</w:t>
      </w:r>
      <w:r w:rsidR="00570D57">
        <w:rPr>
          <w:rFonts w:ascii="Arial" w:hAnsi="Arial" w:cs="Arial"/>
          <w:sz w:val="24"/>
          <w:szCs w:val="24"/>
        </w:rPr>
        <w:t xml:space="preserve"> appellant would suffer damages in the amount of N$358 627,50 for the period June 2017 to June 2020.</w:t>
      </w:r>
    </w:p>
    <w:p w14:paraId="6D46DCB7" w14:textId="3D65EBEA" w:rsidR="00570D57"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lastRenderedPageBreak/>
        <w:t>[11]</w:t>
      </w:r>
      <w:r>
        <w:rPr>
          <w:rFonts w:ascii="Arial" w:hAnsi="Arial" w:cs="Arial"/>
          <w:sz w:val="24"/>
          <w:szCs w:val="24"/>
        </w:rPr>
        <w:tab/>
      </w:r>
      <w:r w:rsidR="00570D57">
        <w:rPr>
          <w:rFonts w:ascii="Arial" w:hAnsi="Arial" w:cs="Arial"/>
          <w:sz w:val="24"/>
          <w:szCs w:val="24"/>
        </w:rPr>
        <w:t>Despite demand, respondent fails to compensate the appellant for her damages in the amount of N$71 334,90, N$110 000, N$515 000 and N$358 627,50.</w:t>
      </w:r>
    </w:p>
    <w:p w14:paraId="528E4FB1" w14:textId="77777777" w:rsidR="00570D57" w:rsidRDefault="00570D57" w:rsidP="00570D57">
      <w:pPr>
        <w:tabs>
          <w:tab w:val="left" w:pos="0"/>
        </w:tabs>
        <w:spacing w:after="0" w:line="480" w:lineRule="auto"/>
        <w:jc w:val="both"/>
        <w:rPr>
          <w:rFonts w:ascii="Arial" w:hAnsi="Arial" w:cs="Arial"/>
          <w:sz w:val="24"/>
          <w:szCs w:val="24"/>
        </w:rPr>
      </w:pPr>
    </w:p>
    <w:p w14:paraId="389412D7" w14:textId="0BEDD08A" w:rsidR="00570D57"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570D57">
        <w:rPr>
          <w:rFonts w:ascii="Arial" w:hAnsi="Arial" w:cs="Arial"/>
          <w:sz w:val="24"/>
          <w:szCs w:val="24"/>
        </w:rPr>
        <w:t>The respondent defended the appellant’s claim. In his plea</w:t>
      </w:r>
      <w:r w:rsidR="0021494B">
        <w:rPr>
          <w:rFonts w:ascii="Arial" w:hAnsi="Arial" w:cs="Arial"/>
          <w:sz w:val="24"/>
          <w:szCs w:val="24"/>
        </w:rPr>
        <w:t>,</w:t>
      </w:r>
      <w:r w:rsidR="00570D57">
        <w:rPr>
          <w:rFonts w:ascii="Arial" w:hAnsi="Arial" w:cs="Arial"/>
          <w:sz w:val="24"/>
          <w:szCs w:val="24"/>
        </w:rPr>
        <w:t xml:space="preserve"> respondent ra</w:t>
      </w:r>
      <w:r w:rsidR="0017110F">
        <w:rPr>
          <w:rFonts w:ascii="Arial" w:hAnsi="Arial" w:cs="Arial"/>
          <w:sz w:val="24"/>
          <w:szCs w:val="24"/>
        </w:rPr>
        <w:t>ised the special plea ave</w:t>
      </w:r>
      <w:r w:rsidR="00BF71A8">
        <w:rPr>
          <w:rFonts w:ascii="Arial" w:hAnsi="Arial" w:cs="Arial"/>
          <w:sz w:val="24"/>
          <w:szCs w:val="24"/>
        </w:rPr>
        <w:t>r</w:t>
      </w:r>
      <w:r w:rsidR="0017110F">
        <w:rPr>
          <w:rFonts w:ascii="Arial" w:hAnsi="Arial" w:cs="Arial"/>
          <w:sz w:val="24"/>
          <w:szCs w:val="24"/>
        </w:rPr>
        <w:t>ring</w:t>
      </w:r>
      <w:r w:rsidR="00570D57">
        <w:rPr>
          <w:rFonts w:ascii="Arial" w:hAnsi="Arial" w:cs="Arial"/>
          <w:sz w:val="24"/>
          <w:szCs w:val="24"/>
        </w:rPr>
        <w:t xml:space="preserve"> that the appellant’s whole cause of action in her particulars of claim </w:t>
      </w:r>
      <w:r w:rsidR="00F11FDD">
        <w:rPr>
          <w:rFonts w:ascii="Arial" w:hAnsi="Arial" w:cs="Arial"/>
          <w:sz w:val="24"/>
          <w:szCs w:val="24"/>
        </w:rPr>
        <w:t>is</w:t>
      </w:r>
      <w:r w:rsidR="00570D57">
        <w:rPr>
          <w:rFonts w:ascii="Arial" w:hAnsi="Arial" w:cs="Arial"/>
          <w:sz w:val="24"/>
          <w:szCs w:val="24"/>
        </w:rPr>
        <w:t xml:space="preserve"> derived from a written settlement agreement concluded between the parties on 22 June 2017</w:t>
      </w:r>
      <w:r w:rsidR="00520A5E">
        <w:rPr>
          <w:rFonts w:ascii="Arial" w:hAnsi="Arial" w:cs="Arial"/>
          <w:sz w:val="24"/>
          <w:szCs w:val="24"/>
        </w:rPr>
        <w:t>,</w:t>
      </w:r>
      <w:r w:rsidR="00570D57">
        <w:rPr>
          <w:rFonts w:ascii="Arial" w:hAnsi="Arial" w:cs="Arial"/>
          <w:sz w:val="24"/>
          <w:szCs w:val="24"/>
        </w:rPr>
        <w:t xml:space="preserve"> which settlement agreement</w:t>
      </w:r>
      <w:r w:rsidR="006D1583">
        <w:rPr>
          <w:rFonts w:ascii="Arial" w:hAnsi="Arial" w:cs="Arial"/>
          <w:sz w:val="24"/>
          <w:szCs w:val="24"/>
        </w:rPr>
        <w:t xml:space="preserve"> was made an order of </w:t>
      </w:r>
      <w:r w:rsidR="0021494B">
        <w:rPr>
          <w:rFonts w:ascii="Arial" w:hAnsi="Arial" w:cs="Arial"/>
          <w:sz w:val="24"/>
          <w:szCs w:val="24"/>
        </w:rPr>
        <w:t xml:space="preserve">the </w:t>
      </w:r>
      <w:r w:rsidR="006D1583">
        <w:rPr>
          <w:rFonts w:ascii="Arial" w:hAnsi="Arial" w:cs="Arial"/>
          <w:sz w:val="24"/>
          <w:szCs w:val="24"/>
        </w:rPr>
        <w:t xml:space="preserve">court </w:t>
      </w:r>
      <w:r w:rsidR="006D1583" w:rsidRPr="00520A5E">
        <w:rPr>
          <w:rFonts w:ascii="Arial" w:hAnsi="Arial" w:cs="Arial"/>
          <w:i/>
          <w:sz w:val="24"/>
          <w:szCs w:val="24"/>
        </w:rPr>
        <w:t>a quo</w:t>
      </w:r>
      <w:r w:rsidR="006D1583">
        <w:rPr>
          <w:rFonts w:ascii="Arial" w:hAnsi="Arial" w:cs="Arial"/>
          <w:sz w:val="24"/>
          <w:szCs w:val="24"/>
        </w:rPr>
        <w:t>. Respondent further averred that all the claims set out in the appellant’s particulars of claim were part and parcel of the disputes and subject matters of disputes which were settled in terms of the settlement agreement.</w:t>
      </w:r>
    </w:p>
    <w:p w14:paraId="23A39E45" w14:textId="77777777" w:rsidR="00BB74BA" w:rsidRPr="00BB74BA" w:rsidRDefault="00BB74BA" w:rsidP="00520A5E">
      <w:pPr>
        <w:spacing w:after="0" w:line="480" w:lineRule="auto"/>
        <w:jc w:val="both"/>
        <w:rPr>
          <w:rFonts w:ascii="Arial" w:hAnsi="Arial" w:cs="Arial"/>
          <w:sz w:val="24"/>
          <w:szCs w:val="24"/>
        </w:rPr>
      </w:pPr>
    </w:p>
    <w:p w14:paraId="56FB8093" w14:textId="4D1DD128" w:rsidR="006D1583"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6D1583">
        <w:rPr>
          <w:rFonts w:ascii="Arial" w:hAnsi="Arial" w:cs="Arial"/>
          <w:sz w:val="24"/>
          <w:szCs w:val="24"/>
        </w:rPr>
        <w:t>Respondent further avers that additional to the terms and conditions in the settlement agreement, clauses 2 (the introduction to clause 2</w:t>
      </w:r>
      <w:r w:rsidR="006D1583">
        <w:rPr>
          <w:rStyle w:val="FootnoteReference"/>
          <w:rFonts w:ascii="Arial" w:hAnsi="Arial" w:cs="Arial"/>
          <w:sz w:val="24"/>
          <w:szCs w:val="24"/>
        </w:rPr>
        <w:footnoteReference w:id="1"/>
      </w:r>
      <w:r w:rsidR="006D1583">
        <w:rPr>
          <w:rFonts w:ascii="Arial" w:hAnsi="Arial" w:cs="Arial"/>
          <w:sz w:val="24"/>
          <w:szCs w:val="24"/>
        </w:rPr>
        <w:t xml:space="preserve"> thereof), 23</w:t>
      </w:r>
      <w:r w:rsidR="006D1583">
        <w:rPr>
          <w:rStyle w:val="FootnoteReference"/>
          <w:rFonts w:ascii="Arial" w:hAnsi="Arial" w:cs="Arial"/>
          <w:sz w:val="24"/>
          <w:szCs w:val="24"/>
        </w:rPr>
        <w:footnoteReference w:id="2"/>
      </w:r>
      <w:r w:rsidR="006D1583">
        <w:rPr>
          <w:rFonts w:ascii="Arial" w:hAnsi="Arial" w:cs="Arial"/>
          <w:sz w:val="24"/>
          <w:szCs w:val="24"/>
        </w:rPr>
        <w:t xml:space="preserve"> and 26</w:t>
      </w:r>
      <w:r w:rsidR="006D1583">
        <w:rPr>
          <w:rStyle w:val="FootnoteReference"/>
          <w:rFonts w:ascii="Arial" w:hAnsi="Arial" w:cs="Arial"/>
          <w:sz w:val="24"/>
          <w:szCs w:val="24"/>
        </w:rPr>
        <w:footnoteReference w:id="3"/>
      </w:r>
      <w:r w:rsidR="006D1583">
        <w:rPr>
          <w:rFonts w:ascii="Arial" w:hAnsi="Arial" w:cs="Arial"/>
          <w:sz w:val="24"/>
          <w:szCs w:val="24"/>
        </w:rPr>
        <w:t xml:space="preserve"> have a direct and express bearing upon the claims being pursued by the appellant and that the particulars of claim are directly relevant to the Neu-Heusis horse stud which horse</w:t>
      </w:r>
      <w:r w:rsidR="00FD2ED1">
        <w:rPr>
          <w:rFonts w:ascii="Arial" w:hAnsi="Arial" w:cs="Arial"/>
          <w:sz w:val="24"/>
          <w:szCs w:val="24"/>
        </w:rPr>
        <w:t>s</w:t>
      </w:r>
      <w:r w:rsidR="006D1583">
        <w:rPr>
          <w:rFonts w:ascii="Arial" w:hAnsi="Arial" w:cs="Arial"/>
          <w:sz w:val="24"/>
          <w:szCs w:val="24"/>
        </w:rPr>
        <w:t xml:space="preserve"> formed the subject matter of clauses </w:t>
      </w:r>
      <w:r w:rsidR="0017110F">
        <w:rPr>
          <w:rFonts w:ascii="Arial" w:hAnsi="Arial" w:cs="Arial"/>
          <w:sz w:val="24"/>
          <w:szCs w:val="24"/>
        </w:rPr>
        <w:t xml:space="preserve">2.2 – 2.4  as well as clauses 4 – </w:t>
      </w:r>
      <w:r w:rsidR="006D1583">
        <w:rPr>
          <w:rFonts w:ascii="Arial" w:hAnsi="Arial" w:cs="Arial"/>
          <w:sz w:val="24"/>
          <w:szCs w:val="24"/>
        </w:rPr>
        <w:t>16 of the settlement agreement and in respect of which clauses 23 and 26 thereof directly relate and apply.</w:t>
      </w:r>
    </w:p>
    <w:p w14:paraId="09807A7F" w14:textId="77777777" w:rsidR="006D1583" w:rsidRDefault="006D1583" w:rsidP="0021494B">
      <w:pPr>
        <w:pStyle w:val="ListParagraph"/>
        <w:spacing w:after="0" w:line="480" w:lineRule="auto"/>
        <w:jc w:val="both"/>
        <w:rPr>
          <w:rFonts w:ascii="Arial" w:hAnsi="Arial" w:cs="Arial"/>
          <w:sz w:val="24"/>
          <w:szCs w:val="24"/>
        </w:rPr>
      </w:pPr>
    </w:p>
    <w:p w14:paraId="20E80D9D" w14:textId="21336E5E" w:rsidR="006D1583"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lastRenderedPageBreak/>
        <w:t>[14]</w:t>
      </w:r>
      <w:r>
        <w:rPr>
          <w:rFonts w:ascii="Arial" w:hAnsi="Arial" w:cs="Arial"/>
          <w:sz w:val="24"/>
          <w:szCs w:val="24"/>
        </w:rPr>
        <w:tab/>
      </w:r>
      <w:r w:rsidR="006D1583">
        <w:rPr>
          <w:rFonts w:ascii="Arial" w:hAnsi="Arial" w:cs="Arial"/>
          <w:sz w:val="24"/>
          <w:szCs w:val="24"/>
        </w:rPr>
        <w:t>In the premises, respondent averred that appellant has no claim whatsoever on the bases set out in her particulars of claim and sought dismissal of the claims with costs.</w:t>
      </w:r>
    </w:p>
    <w:p w14:paraId="015F11B6" w14:textId="77777777" w:rsidR="003E3D9A" w:rsidRDefault="003E3D9A" w:rsidP="0021494B">
      <w:pPr>
        <w:pStyle w:val="ListParagraph"/>
        <w:spacing w:after="0" w:line="480" w:lineRule="auto"/>
        <w:jc w:val="both"/>
        <w:rPr>
          <w:rFonts w:ascii="Arial" w:hAnsi="Arial" w:cs="Arial"/>
          <w:sz w:val="24"/>
          <w:szCs w:val="24"/>
        </w:rPr>
      </w:pPr>
    </w:p>
    <w:p w14:paraId="37372625" w14:textId="4A1BA270" w:rsidR="003E3D9A"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3E3D9A">
        <w:rPr>
          <w:rFonts w:ascii="Arial" w:hAnsi="Arial" w:cs="Arial"/>
          <w:sz w:val="24"/>
          <w:szCs w:val="24"/>
        </w:rPr>
        <w:t xml:space="preserve">The appellant replicated and denies that she, by virtue of the provisions of the settlement agreement is not entitled to institute action against the respondent premised on the enforcement of her rights </w:t>
      </w:r>
      <w:r w:rsidR="0027322F">
        <w:rPr>
          <w:rFonts w:ascii="Arial" w:hAnsi="Arial" w:cs="Arial"/>
          <w:sz w:val="24"/>
          <w:szCs w:val="24"/>
        </w:rPr>
        <w:t xml:space="preserve">stemming from that very settlement agreement. She avers that the settlement agreement </w:t>
      </w:r>
      <w:r w:rsidR="0017110F">
        <w:rPr>
          <w:rFonts w:ascii="Arial" w:hAnsi="Arial" w:cs="Arial"/>
          <w:sz w:val="24"/>
          <w:szCs w:val="24"/>
        </w:rPr>
        <w:t>had</w:t>
      </w:r>
      <w:r w:rsidR="0027322F">
        <w:rPr>
          <w:rFonts w:ascii="Arial" w:hAnsi="Arial" w:cs="Arial"/>
          <w:sz w:val="24"/>
          <w:szCs w:val="24"/>
        </w:rPr>
        <w:t xml:space="preserve"> the </w:t>
      </w:r>
      <w:r w:rsidR="0017110F">
        <w:rPr>
          <w:rFonts w:ascii="Arial" w:hAnsi="Arial" w:cs="Arial"/>
          <w:sz w:val="24"/>
          <w:szCs w:val="24"/>
        </w:rPr>
        <w:t>e</w:t>
      </w:r>
      <w:r w:rsidR="0027322F">
        <w:rPr>
          <w:rFonts w:ascii="Arial" w:hAnsi="Arial" w:cs="Arial"/>
          <w:sz w:val="24"/>
          <w:szCs w:val="24"/>
        </w:rPr>
        <w:t>ffect that a co</w:t>
      </w:r>
      <w:r w:rsidR="00D24512">
        <w:rPr>
          <w:rFonts w:ascii="Arial" w:hAnsi="Arial" w:cs="Arial"/>
          <w:sz w:val="24"/>
          <w:szCs w:val="24"/>
        </w:rPr>
        <w:t>m</w:t>
      </w:r>
      <w:r w:rsidR="0027322F">
        <w:rPr>
          <w:rFonts w:ascii="Arial" w:hAnsi="Arial" w:cs="Arial"/>
          <w:sz w:val="24"/>
          <w:szCs w:val="24"/>
        </w:rPr>
        <w:t xml:space="preserve">promise was reached in respect to the issues </w:t>
      </w:r>
      <w:r w:rsidR="00D24512">
        <w:rPr>
          <w:rFonts w:ascii="Arial" w:hAnsi="Arial" w:cs="Arial"/>
          <w:sz w:val="24"/>
          <w:szCs w:val="24"/>
        </w:rPr>
        <w:t>forming part of the divorce, more particularly the issues pursuant to the parties’ proprietary claims as a consequence of the divorce action and emanating from the ‘accrued estate’.</w:t>
      </w:r>
    </w:p>
    <w:p w14:paraId="59BF27AB" w14:textId="77777777" w:rsidR="00D22B57" w:rsidRDefault="00D22B57" w:rsidP="0021494B">
      <w:pPr>
        <w:pStyle w:val="ListParagraph"/>
        <w:spacing w:after="0" w:line="480" w:lineRule="auto"/>
        <w:jc w:val="both"/>
        <w:rPr>
          <w:rFonts w:ascii="Arial" w:hAnsi="Arial" w:cs="Arial"/>
          <w:sz w:val="24"/>
          <w:szCs w:val="24"/>
        </w:rPr>
      </w:pPr>
    </w:p>
    <w:p w14:paraId="1561A257" w14:textId="38AFC4BF" w:rsidR="00D24512"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D24512">
        <w:rPr>
          <w:rFonts w:ascii="Arial" w:hAnsi="Arial" w:cs="Arial"/>
          <w:sz w:val="24"/>
          <w:szCs w:val="24"/>
        </w:rPr>
        <w:t xml:space="preserve">She further avers </w:t>
      </w:r>
      <w:r w:rsidR="00D22B57">
        <w:rPr>
          <w:rFonts w:ascii="Arial" w:hAnsi="Arial" w:cs="Arial"/>
          <w:sz w:val="24"/>
          <w:szCs w:val="24"/>
        </w:rPr>
        <w:t>that the issues in the current matter related directly to the compromise agreement so are the rights and obligations that arose when the agreement was concluded, thus her cause of action stems directly from the operation of the agreement itself and thus clauses 2,</w:t>
      </w:r>
      <w:r w:rsidR="00442743">
        <w:rPr>
          <w:rFonts w:ascii="Arial" w:hAnsi="Arial" w:cs="Arial"/>
          <w:sz w:val="24"/>
          <w:szCs w:val="24"/>
        </w:rPr>
        <w:t xml:space="preserve"> </w:t>
      </w:r>
      <w:r w:rsidR="00D22B57">
        <w:rPr>
          <w:rFonts w:ascii="Arial" w:hAnsi="Arial" w:cs="Arial"/>
          <w:sz w:val="24"/>
          <w:szCs w:val="24"/>
        </w:rPr>
        <w:t xml:space="preserve">23 and 26 of the settlement agreement are unhelpful to the respondent in as far as the appellant </w:t>
      </w:r>
      <w:r w:rsidR="0043332A">
        <w:rPr>
          <w:rFonts w:ascii="Arial" w:hAnsi="Arial" w:cs="Arial"/>
          <w:sz w:val="24"/>
          <w:szCs w:val="24"/>
        </w:rPr>
        <w:t xml:space="preserve">is </w:t>
      </w:r>
      <w:r w:rsidR="00D22B57">
        <w:rPr>
          <w:rFonts w:ascii="Arial" w:hAnsi="Arial" w:cs="Arial"/>
          <w:sz w:val="24"/>
          <w:szCs w:val="24"/>
        </w:rPr>
        <w:t>seeking enforcement of the agreement itself or seeking contractual damages pursuant to respondent having breached the agreement.</w:t>
      </w:r>
    </w:p>
    <w:p w14:paraId="5D9DA790" w14:textId="77777777" w:rsidR="00161A57" w:rsidRDefault="00161A57" w:rsidP="00520A5E">
      <w:pPr>
        <w:pStyle w:val="ListParagraph"/>
        <w:spacing w:after="0" w:line="480" w:lineRule="auto"/>
        <w:jc w:val="both"/>
        <w:rPr>
          <w:rFonts w:ascii="Arial" w:hAnsi="Arial" w:cs="Arial"/>
          <w:sz w:val="24"/>
          <w:szCs w:val="24"/>
        </w:rPr>
      </w:pPr>
    </w:p>
    <w:p w14:paraId="043235DA" w14:textId="60E1275B" w:rsidR="00161A57"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161A57">
        <w:rPr>
          <w:rFonts w:ascii="Arial" w:hAnsi="Arial" w:cs="Arial"/>
          <w:sz w:val="24"/>
          <w:szCs w:val="24"/>
        </w:rPr>
        <w:t>Appe</w:t>
      </w:r>
      <w:r w:rsidR="0017110F">
        <w:rPr>
          <w:rFonts w:ascii="Arial" w:hAnsi="Arial" w:cs="Arial"/>
          <w:sz w:val="24"/>
          <w:szCs w:val="24"/>
        </w:rPr>
        <w:t>llant continued to aver that ref</w:t>
      </w:r>
      <w:r w:rsidR="00161A57">
        <w:rPr>
          <w:rFonts w:ascii="Arial" w:hAnsi="Arial" w:cs="Arial"/>
          <w:sz w:val="24"/>
          <w:szCs w:val="24"/>
        </w:rPr>
        <w:t>e</w:t>
      </w:r>
      <w:r w:rsidR="0017110F">
        <w:rPr>
          <w:rFonts w:ascii="Arial" w:hAnsi="Arial" w:cs="Arial"/>
          <w:sz w:val="24"/>
          <w:szCs w:val="24"/>
        </w:rPr>
        <w:t>rence</w:t>
      </w:r>
      <w:r w:rsidR="00161A57">
        <w:rPr>
          <w:rFonts w:ascii="Arial" w:hAnsi="Arial" w:cs="Arial"/>
          <w:sz w:val="24"/>
          <w:szCs w:val="24"/>
        </w:rPr>
        <w:t xml:space="preserve"> to full and final settlement of all present, past and future claims that the parties may have against each</w:t>
      </w:r>
      <w:r w:rsidR="00520A5E">
        <w:rPr>
          <w:rFonts w:ascii="Arial" w:hAnsi="Arial" w:cs="Arial"/>
          <w:sz w:val="24"/>
          <w:szCs w:val="24"/>
        </w:rPr>
        <w:t xml:space="preserve"> other</w:t>
      </w:r>
      <w:r w:rsidR="00161A57">
        <w:rPr>
          <w:rFonts w:ascii="Arial" w:hAnsi="Arial" w:cs="Arial"/>
          <w:sz w:val="24"/>
          <w:szCs w:val="24"/>
        </w:rPr>
        <w:t xml:space="preserve">, is reference to claims which </w:t>
      </w:r>
      <w:r w:rsidR="00C92F68">
        <w:rPr>
          <w:rFonts w:ascii="Arial" w:hAnsi="Arial" w:cs="Arial"/>
          <w:sz w:val="24"/>
          <w:szCs w:val="24"/>
        </w:rPr>
        <w:t xml:space="preserve">stemmed from the issues prior to the compromise having </w:t>
      </w:r>
      <w:r w:rsidR="00C92F68">
        <w:rPr>
          <w:rFonts w:ascii="Arial" w:hAnsi="Arial" w:cs="Arial"/>
          <w:sz w:val="24"/>
          <w:szCs w:val="24"/>
        </w:rPr>
        <w:lastRenderedPageBreak/>
        <w:t>been agreed upon and the respondent cannot rely on the clause as by law ap</w:t>
      </w:r>
      <w:r w:rsidR="0017110F">
        <w:rPr>
          <w:rFonts w:ascii="Arial" w:hAnsi="Arial" w:cs="Arial"/>
          <w:sz w:val="24"/>
          <w:szCs w:val="24"/>
        </w:rPr>
        <w:t>pellant is not prohibited to re</w:t>
      </w:r>
      <w:r w:rsidR="00C92F68">
        <w:rPr>
          <w:rFonts w:ascii="Arial" w:hAnsi="Arial" w:cs="Arial"/>
          <w:sz w:val="24"/>
          <w:szCs w:val="24"/>
        </w:rPr>
        <w:t>ly on the agreement.</w:t>
      </w:r>
    </w:p>
    <w:p w14:paraId="1548AD50" w14:textId="77777777" w:rsidR="00C92F68" w:rsidRDefault="00C92F68" w:rsidP="0021494B">
      <w:pPr>
        <w:pStyle w:val="ListParagraph"/>
        <w:spacing w:after="0" w:line="480" w:lineRule="auto"/>
        <w:jc w:val="both"/>
        <w:rPr>
          <w:rFonts w:ascii="Arial" w:hAnsi="Arial" w:cs="Arial"/>
          <w:sz w:val="24"/>
          <w:szCs w:val="24"/>
        </w:rPr>
      </w:pPr>
    </w:p>
    <w:p w14:paraId="202D839F" w14:textId="630C107B" w:rsidR="00C92F68"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C92F68">
        <w:rPr>
          <w:rFonts w:ascii="Arial" w:hAnsi="Arial" w:cs="Arial"/>
          <w:sz w:val="24"/>
          <w:szCs w:val="24"/>
        </w:rPr>
        <w:t>She denies that she has no claim whatsoever against the respondent and she reiterates that her cause of action is founded on the respondent’s alleged misrepresentation prior to the conclusion of the agreement, ultimately a b</w:t>
      </w:r>
      <w:r w:rsidR="0017110F">
        <w:rPr>
          <w:rFonts w:ascii="Arial" w:hAnsi="Arial" w:cs="Arial"/>
          <w:sz w:val="24"/>
          <w:szCs w:val="24"/>
        </w:rPr>
        <w:t>r</w:t>
      </w:r>
      <w:r w:rsidR="00C92F68">
        <w:rPr>
          <w:rFonts w:ascii="Arial" w:hAnsi="Arial" w:cs="Arial"/>
          <w:sz w:val="24"/>
          <w:szCs w:val="24"/>
        </w:rPr>
        <w:t>each of the settlement agreement. She prays for the special plea to be dismissed.</w:t>
      </w:r>
    </w:p>
    <w:p w14:paraId="0D1F2F06" w14:textId="77777777" w:rsidR="00C92F68" w:rsidRDefault="00C92F68" w:rsidP="0021494B">
      <w:pPr>
        <w:pStyle w:val="ListParagraph"/>
        <w:spacing w:after="0" w:line="480" w:lineRule="auto"/>
        <w:jc w:val="both"/>
        <w:rPr>
          <w:rFonts w:ascii="Arial" w:hAnsi="Arial" w:cs="Arial"/>
          <w:sz w:val="24"/>
          <w:szCs w:val="24"/>
        </w:rPr>
      </w:pPr>
    </w:p>
    <w:p w14:paraId="005BBEDE" w14:textId="16DACD8B" w:rsidR="00C92F68"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C92F68">
        <w:rPr>
          <w:rFonts w:ascii="Arial" w:hAnsi="Arial" w:cs="Arial"/>
          <w:sz w:val="24"/>
          <w:szCs w:val="24"/>
        </w:rPr>
        <w:t>She also replicated on the merits, a plea which is also not relevant for the present purposes.</w:t>
      </w:r>
    </w:p>
    <w:p w14:paraId="5AB5FB47" w14:textId="77777777" w:rsidR="00C92F68" w:rsidRDefault="00C92F68" w:rsidP="0021494B">
      <w:pPr>
        <w:spacing w:after="0" w:line="480" w:lineRule="auto"/>
        <w:jc w:val="both"/>
        <w:rPr>
          <w:rFonts w:ascii="Arial" w:hAnsi="Arial" w:cs="Arial"/>
          <w:sz w:val="24"/>
          <w:szCs w:val="24"/>
        </w:rPr>
      </w:pPr>
    </w:p>
    <w:p w14:paraId="1275A837" w14:textId="77777777" w:rsidR="00C92F68" w:rsidRPr="004E0141" w:rsidRDefault="00C92F68" w:rsidP="0021494B">
      <w:pPr>
        <w:spacing w:after="0" w:line="480" w:lineRule="auto"/>
        <w:jc w:val="both"/>
        <w:rPr>
          <w:rFonts w:ascii="Arial" w:hAnsi="Arial" w:cs="Arial"/>
          <w:sz w:val="24"/>
          <w:szCs w:val="24"/>
          <w:u w:val="single"/>
        </w:rPr>
      </w:pPr>
      <w:r w:rsidRPr="004E0141">
        <w:rPr>
          <w:rFonts w:ascii="Arial" w:hAnsi="Arial" w:cs="Arial"/>
          <w:sz w:val="24"/>
          <w:szCs w:val="24"/>
          <w:u w:val="single"/>
        </w:rPr>
        <w:t>Judgment of the High Court</w:t>
      </w:r>
    </w:p>
    <w:p w14:paraId="46C30A8A" w14:textId="6894284C" w:rsidR="00C92F68"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997143">
        <w:rPr>
          <w:rFonts w:ascii="Arial" w:hAnsi="Arial" w:cs="Arial"/>
          <w:sz w:val="24"/>
          <w:szCs w:val="24"/>
        </w:rPr>
        <w:t>The High Court uph</w:t>
      </w:r>
      <w:r w:rsidR="00CC4A57">
        <w:rPr>
          <w:rFonts w:ascii="Arial" w:hAnsi="Arial" w:cs="Arial"/>
          <w:sz w:val="24"/>
          <w:szCs w:val="24"/>
        </w:rPr>
        <w:t>eld the special plea holding that</w:t>
      </w:r>
      <w:r w:rsidR="00997143">
        <w:rPr>
          <w:rFonts w:ascii="Arial" w:hAnsi="Arial" w:cs="Arial"/>
          <w:sz w:val="24"/>
          <w:szCs w:val="24"/>
        </w:rPr>
        <w:t xml:space="preserve"> given </w:t>
      </w:r>
      <w:r w:rsidR="00CC4A57">
        <w:rPr>
          <w:rFonts w:ascii="Arial" w:hAnsi="Arial" w:cs="Arial"/>
          <w:sz w:val="24"/>
          <w:szCs w:val="24"/>
        </w:rPr>
        <w:t xml:space="preserve">the </w:t>
      </w:r>
      <w:r w:rsidR="00997143">
        <w:rPr>
          <w:rFonts w:ascii="Arial" w:hAnsi="Arial" w:cs="Arial"/>
          <w:sz w:val="24"/>
          <w:szCs w:val="24"/>
        </w:rPr>
        <w:t xml:space="preserve">provisions of clause 26 of the settlement agreement – it means both parties at the conclusion of the agreement were well aware of the implications of concluding and signing such an agreement – which they sought to be made an order of court. The court </w:t>
      </w:r>
      <w:r w:rsidR="00997143" w:rsidRPr="00520A5E">
        <w:rPr>
          <w:rFonts w:ascii="Arial" w:hAnsi="Arial" w:cs="Arial"/>
          <w:i/>
          <w:sz w:val="24"/>
          <w:szCs w:val="24"/>
        </w:rPr>
        <w:t>a quo</w:t>
      </w:r>
      <w:r w:rsidR="00997143">
        <w:rPr>
          <w:rFonts w:ascii="Arial" w:hAnsi="Arial" w:cs="Arial"/>
          <w:sz w:val="24"/>
          <w:szCs w:val="24"/>
        </w:rPr>
        <w:t xml:space="preserve"> further held that when one signs a contract he or she is taken to be bound by the ordinary meaning and effect of the words which appear in the contract. Therefore</w:t>
      </w:r>
      <w:r w:rsidR="0021494B">
        <w:rPr>
          <w:rFonts w:ascii="Arial" w:hAnsi="Arial" w:cs="Arial"/>
          <w:sz w:val="24"/>
          <w:szCs w:val="24"/>
        </w:rPr>
        <w:t>,</w:t>
      </w:r>
      <w:r w:rsidR="00997143">
        <w:rPr>
          <w:rFonts w:ascii="Arial" w:hAnsi="Arial" w:cs="Arial"/>
          <w:sz w:val="24"/>
          <w:szCs w:val="24"/>
        </w:rPr>
        <w:t xml:space="preserve"> appellant and respondent were bound to the terms of the agreement and the </w:t>
      </w:r>
      <w:r w:rsidR="008A4115">
        <w:rPr>
          <w:rFonts w:ascii="Arial" w:hAnsi="Arial" w:cs="Arial"/>
          <w:sz w:val="24"/>
          <w:szCs w:val="24"/>
        </w:rPr>
        <w:t>consequences</w:t>
      </w:r>
      <w:r w:rsidR="00997143">
        <w:rPr>
          <w:rFonts w:ascii="Arial" w:hAnsi="Arial" w:cs="Arial"/>
          <w:sz w:val="24"/>
          <w:szCs w:val="24"/>
        </w:rPr>
        <w:t xml:space="preserve"> thereof.</w:t>
      </w:r>
    </w:p>
    <w:p w14:paraId="437831B1" w14:textId="77777777" w:rsidR="004E0141" w:rsidRDefault="004E0141" w:rsidP="004E0141">
      <w:pPr>
        <w:tabs>
          <w:tab w:val="left" w:pos="0"/>
        </w:tabs>
        <w:spacing w:after="0" w:line="480" w:lineRule="auto"/>
        <w:jc w:val="both"/>
        <w:rPr>
          <w:rFonts w:ascii="Arial" w:hAnsi="Arial" w:cs="Arial"/>
          <w:sz w:val="24"/>
          <w:szCs w:val="24"/>
        </w:rPr>
      </w:pPr>
    </w:p>
    <w:p w14:paraId="751719CE" w14:textId="6D476FAD" w:rsidR="008A4115"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8A4115">
        <w:rPr>
          <w:rFonts w:ascii="Arial" w:hAnsi="Arial" w:cs="Arial"/>
          <w:sz w:val="24"/>
          <w:szCs w:val="24"/>
        </w:rPr>
        <w:t xml:space="preserve">The court </w:t>
      </w:r>
      <w:r w:rsidR="008A4115" w:rsidRPr="00520A5E">
        <w:rPr>
          <w:rFonts w:ascii="Arial" w:hAnsi="Arial" w:cs="Arial"/>
          <w:i/>
          <w:sz w:val="24"/>
          <w:szCs w:val="24"/>
        </w:rPr>
        <w:t>a quo</w:t>
      </w:r>
      <w:r w:rsidR="008A4115">
        <w:rPr>
          <w:rFonts w:ascii="Arial" w:hAnsi="Arial" w:cs="Arial"/>
          <w:sz w:val="24"/>
          <w:szCs w:val="24"/>
        </w:rPr>
        <w:t xml:space="preserve"> further found that the settlement agreement</w:t>
      </w:r>
      <w:r w:rsidR="00520A5E">
        <w:rPr>
          <w:rFonts w:ascii="Arial" w:hAnsi="Arial" w:cs="Arial"/>
          <w:sz w:val="24"/>
          <w:szCs w:val="24"/>
        </w:rPr>
        <w:t>,</w:t>
      </w:r>
      <w:r w:rsidR="008A4115">
        <w:rPr>
          <w:rFonts w:ascii="Arial" w:hAnsi="Arial" w:cs="Arial"/>
          <w:sz w:val="24"/>
          <w:szCs w:val="24"/>
        </w:rPr>
        <w:t xml:space="preserve"> appellant and respondent had entered into brought the or</w:t>
      </w:r>
      <w:r w:rsidR="00557B1F">
        <w:rPr>
          <w:rFonts w:ascii="Arial" w:hAnsi="Arial" w:cs="Arial"/>
          <w:sz w:val="24"/>
          <w:szCs w:val="24"/>
        </w:rPr>
        <w:t>i</w:t>
      </w:r>
      <w:r w:rsidR="008A4115">
        <w:rPr>
          <w:rFonts w:ascii="Arial" w:hAnsi="Arial" w:cs="Arial"/>
          <w:sz w:val="24"/>
          <w:szCs w:val="24"/>
        </w:rPr>
        <w:t>ginal dispute and cause of action to an end.</w:t>
      </w:r>
      <w:r w:rsidR="00557B1F">
        <w:rPr>
          <w:rFonts w:ascii="Arial" w:hAnsi="Arial" w:cs="Arial"/>
          <w:sz w:val="24"/>
          <w:szCs w:val="24"/>
        </w:rPr>
        <w:t xml:space="preserve"> </w:t>
      </w:r>
      <w:r w:rsidR="00557B1F">
        <w:rPr>
          <w:rFonts w:ascii="Arial" w:hAnsi="Arial" w:cs="Arial"/>
          <w:sz w:val="24"/>
          <w:szCs w:val="24"/>
        </w:rPr>
        <w:lastRenderedPageBreak/>
        <w:t>The appellant was therefore not entitled under the said circumstances to approach the court on the very cause of action that was settled and eternally put to bed by the parties.</w:t>
      </w:r>
    </w:p>
    <w:p w14:paraId="1245F11F" w14:textId="77777777" w:rsidR="00557B1F" w:rsidRDefault="00557B1F" w:rsidP="00557B1F">
      <w:pPr>
        <w:tabs>
          <w:tab w:val="left" w:pos="0"/>
        </w:tabs>
        <w:spacing w:after="0" w:line="480" w:lineRule="auto"/>
        <w:jc w:val="both"/>
        <w:rPr>
          <w:rFonts w:ascii="Arial" w:hAnsi="Arial" w:cs="Arial"/>
          <w:sz w:val="24"/>
          <w:szCs w:val="24"/>
        </w:rPr>
      </w:pPr>
    </w:p>
    <w:p w14:paraId="203FDA5A" w14:textId="77777777" w:rsidR="00557B1F" w:rsidRPr="004E0141" w:rsidRDefault="00557B1F" w:rsidP="00557B1F">
      <w:pPr>
        <w:tabs>
          <w:tab w:val="left" w:pos="0"/>
        </w:tabs>
        <w:spacing w:after="0" w:line="480" w:lineRule="auto"/>
        <w:jc w:val="both"/>
        <w:rPr>
          <w:rFonts w:ascii="Arial" w:hAnsi="Arial" w:cs="Arial"/>
          <w:sz w:val="24"/>
          <w:szCs w:val="24"/>
          <w:u w:val="single"/>
        </w:rPr>
      </w:pPr>
      <w:r w:rsidRPr="004E0141">
        <w:rPr>
          <w:rFonts w:ascii="Arial" w:hAnsi="Arial" w:cs="Arial"/>
          <w:sz w:val="24"/>
          <w:szCs w:val="24"/>
          <w:u w:val="single"/>
        </w:rPr>
        <w:t>The submissions</w:t>
      </w:r>
    </w:p>
    <w:p w14:paraId="4CA868FD" w14:textId="1A4F3F98" w:rsidR="00557B1F"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557B1F">
        <w:rPr>
          <w:rFonts w:ascii="Arial" w:hAnsi="Arial" w:cs="Arial"/>
          <w:sz w:val="24"/>
          <w:szCs w:val="24"/>
        </w:rPr>
        <w:t>On behalf of the appellant it was argued and laid as background that the appellant’s cause of action is based on a misrepresentation made in clause 10 of the settlement agreement which is in this form:</w:t>
      </w:r>
    </w:p>
    <w:p w14:paraId="73D097E2" w14:textId="77777777" w:rsidR="00557B1F" w:rsidRDefault="00557B1F" w:rsidP="00557B1F">
      <w:pPr>
        <w:tabs>
          <w:tab w:val="left" w:pos="0"/>
        </w:tabs>
        <w:spacing w:after="0" w:line="480" w:lineRule="auto"/>
        <w:jc w:val="both"/>
        <w:rPr>
          <w:rFonts w:ascii="Arial" w:hAnsi="Arial" w:cs="Arial"/>
          <w:sz w:val="24"/>
          <w:szCs w:val="24"/>
        </w:rPr>
      </w:pPr>
    </w:p>
    <w:p w14:paraId="245FC179" w14:textId="77777777" w:rsidR="00557B1F" w:rsidRPr="00BB74BA" w:rsidRDefault="00557B1F" w:rsidP="00BB74BA">
      <w:pPr>
        <w:tabs>
          <w:tab w:val="left" w:pos="0"/>
        </w:tabs>
        <w:spacing w:after="0" w:line="360" w:lineRule="auto"/>
        <w:ind w:left="720"/>
        <w:jc w:val="both"/>
        <w:rPr>
          <w:rFonts w:ascii="Arial" w:hAnsi="Arial" w:cs="Arial"/>
          <w:u w:val="single"/>
        </w:rPr>
      </w:pPr>
      <w:r w:rsidRPr="00BB74BA">
        <w:rPr>
          <w:rFonts w:ascii="Arial" w:hAnsi="Arial" w:cs="Arial"/>
        </w:rPr>
        <w:t>‘By no later than 29 June 2017, the plaintiff shall provide the defendant with all records and/or invoices of vaccinations and other relevant veterinary records, if any, pertaining to and/or connected with the horses of the Neu-Heusis Stud. However, it is recorded herewith</w:t>
      </w:r>
      <w:r w:rsidR="0021494B">
        <w:rPr>
          <w:rFonts w:ascii="Arial" w:hAnsi="Arial" w:cs="Arial"/>
        </w:rPr>
        <w:t>,</w:t>
      </w:r>
      <w:r w:rsidRPr="00BB74BA">
        <w:rPr>
          <w:rFonts w:ascii="Arial" w:hAnsi="Arial" w:cs="Arial"/>
        </w:rPr>
        <w:t xml:space="preserve"> that the plaintiff shall do his utmost to obtain proof of such records and invoice</w:t>
      </w:r>
      <w:r w:rsidR="0021494B">
        <w:rPr>
          <w:rFonts w:ascii="Arial" w:hAnsi="Arial" w:cs="Arial"/>
        </w:rPr>
        <w:t>s</w:t>
      </w:r>
      <w:r w:rsidRPr="00BB74BA">
        <w:rPr>
          <w:rFonts w:ascii="Arial" w:hAnsi="Arial" w:cs="Arial"/>
        </w:rPr>
        <w:t xml:space="preserve"> but, if not available, </w:t>
      </w:r>
      <w:r w:rsidRPr="00BB74BA">
        <w:rPr>
          <w:rFonts w:ascii="Arial" w:hAnsi="Arial" w:cs="Arial"/>
          <w:u w:val="single"/>
        </w:rPr>
        <w:t>the defendant shall accept the plaintiff’s assurance that such vaccinations were administered t</w:t>
      </w:r>
      <w:r w:rsidR="0021494B">
        <w:rPr>
          <w:rFonts w:ascii="Arial" w:hAnsi="Arial" w:cs="Arial"/>
          <w:u w:val="single"/>
        </w:rPr>
        <w:t xml:space="preserve">o the Neu-Heusis stud from 2011 to </w:t>
      </w:r>
      <w:r w:rsidRPr="00BB74BA">
        <w:rPr>
          <w:rFonts w:ascii="Arial" w:hAnsi="Arial" w:cs="Arial"/>
          <w:u w:val="single"/>
        </w:rPr>
        <w:t>2016</w:t>
      </w:r>
      <w:r w:rsidRPr="00683B35">
        <w:rPr>
          <w:rFonts w:ascii="Arial" w:hAnsi="Arial" w:cs="Arial"/>
        </w:rPr>
        <w:t>.’</w:t>
      </w:r>
      <w:r w:rsidR="00683B35">
        <w:rPr>
          <w:rFonts w:ascii="Arial" w:hAnsi="Arial" w:cs="Arial"/>
        </w:rPr>
        <w:t xml:space="preserve"> (My underlining)</w:t>
      </w:r>
    </w:p>
    <w:p w14:paraId="088E08EA" w14:textId="77777777" w:rsidR="00557B1F" w:rsidRDefault="00557B1F" w:rsidP="00557B1F">
      <w:pPr>
        <w:tabs>
          <w:tab w:val="left" w:pos="0"/>
        </w:tabs>
        <w:spacing w:after="0" w:line="480" w:lineRule="auto"/>
        <w:jc w:val="both"/>
        <w:rPr>
          <w:rFonts w:ascii="Arial" w:hAnsi="Arial" w:cs="Arial"/>
          <w:sz w:val="24"/>
          <w:szCs w:val="24"/>
          <w:u w:val="single"/>
        </w:rPr>
      </w:pPr>
    </w:p>
    <w:p w14:paraId="4BF8B733" w14:textId="73FBB4AD" w:rsidR="00557B1F"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557B1F">
        <w:rPr>
          <w:rFonts w:ascii="Arial" w:hAnsi="Arial" w:cs="Arial"/>
          <w:sz w:val="24"/>
          <w:szCs w:val="24"/>
        </w:rPr>
        <w:t xml:space="preserve">It was further contended that after the agreement was concluded, the appellant </w:t>
      </w:r>
      <w:r w:rsidR="00AD0947">
        <w:rPr>
          <w:rFonts w:ascii="Arial" w:hAnsi="Arial" w:cs="Arial"/>
          <w:sz w:val="24"/>
          <w:szCs w:val="24"/>
        </w:rPr>
        <w:t xml:space="preserve">discovered (but not explained how) that the relevant and necessary vaccinations were as a fact not administered to the horses during 2011 to 2017 as per the respondent’s assurance; specifically not vaccinated against </w:t>
      </w:r>
      <w:r w:rsidR="00683B35">
        <w:rPr>
          <w:rFonts w:ascii="Arial" w:hAnsi="Arial" w:cs="Arial"/>
          <w:sz w:val="24"/>
          <w:szCs w:val="24"/>
        </w:rPr>
        <w:t>R</w:t>
      </w:r>
      <w:r w:rsidR="00AD0947">
        <w:rPr>
          <w:rFonts w:ascii="Arial" w:hAnsi="Arial" w:cs="Arial"/>
          <w:sz w:val="24"/>
          <w:szCs w:val="24"/>
        </w:rPr>
        <w:t xml:space="preserve">abies and/or African Horse Sickness and/or Tetanus. Appellant’s claim being founded on contract and delict, as a result appellant instituted action alleging that the respondent breached the agreement and that when respondent made </w:t>
      </w:r>
      <w:r w:rsidR="0021494B">
        <w:rPr>
          <w:rFonts w:ascii="Arial" w:hAnsi="Arial" w:cs="Arial"/>
          <w:sz w:val="24"/>
          <w:szCs w:val="24"/>
        </w:rPr>
        <w:t>the</w:t>
      </w:r>
      <w:r w:rsidR="00AD0947">
        <w:rPr>
          <w:rFonts w:ascii="Arial" w:hAnsi="Arial" w:cs="Arial"/>
          <w:sz w:val="24"/>
          <w:szCs w:val="24"/>
        </w:rPr>
        <w:t xml:space="preserve"> express representation he must have known it was not true, upon the strength of </w:t>
      </w:r>
      <w:r w:rsidR="00840C58">
        <w:rPr>
          <w:rFonts w:ascii="Arial" w:hAnsi="Arial" w:cs="Arial"/>
          <w:sz w:val="24"/>
          <w:szCs w:val="24"/>
        </w:rPr>
        <w:t>which</w:t>
      </w:r>
      <w:r w:rsidR="00AD0947">
        <w:rPr>
          <w:rFonts w:ascii="Arial" w:hAnsi="Arial" w:cs="Arial"/>
          <w:sz w:val="24"/>
          <w:szCs w:val="24"/>
        </w:rPr>
        <w:t xml:space="preserve"> misrepresentation, appellant acted and suffered damages</w:t>
      </w:r>
      <w:r w:rsidR="000E0574">
        <w:rPr>
          <w:rFonts w:ascii="Arial" w:hAnsi="Arial" w:cs="Arial"/>
          <w:sz w:val="24"/>
          <w:szCs w:val="24"/>
        </w:rPr>
        <w:t>.</w:t>
      </w:r>
    </w:p>
    <w:p w14:paraId="1F98F03A" w14:textId="77777777" w:rsidR="004E0141" w:rsidRDefault="004E0141" w:rsidP="004E0141">
      <w:pPr>
        <w:tabs>
          <w:tab w:val="left" w:pos="0"/>
        </w:tabs>
        <w:spacing w:after="0" w:line="480" w:lineRule="auto"/>
        <w:jc w:val="both"/>
        <w:rPr>
          <w:rFonts w:ascii="Arial" w:hAnsi="Arial" w:cs="Arial"/>
          <w:sz w:val="24"/>
          <w:szCs w:val="24"/>
        </w:rPr>
      </w:pPr>
    </w:p>
    <w:p w14:paraId="4944AC99" w14:textId="53295701" w:rsidR="000E0574"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0E0574">
        <w:rPr>
          <w:rFonts w:ascii="Arial" w:hAnsi="Arial" w:cs="Arial"/>
          <w:sz w:val="24"/>
          <w:szCs w:val="24"/>
        </w:rPr>
        <w:t xml:space="preserve">It was contended that </w:t>
      </w:r>
      <w:r w:rsidR="00C167C8">
        <w:rPr>
          <w:rFonts w:ascii="Arial" w:hAnsi="Arial" w:cs="Arial"/>
          <w:sz w:val="24"/>
          <w:szCs w:val="24"/>
        </w:rPr>
        <w:t xml:space="preserve">the </w:t>
      </w:r>
      <w:r w:rsidR="000E0574">
        <w:rPr>
          <w:rFonts w:ascii="Arial" w:hAnsi="Arial" w:cs="Arial"/>
          <w:sz w:val="24"/>
          <w:szCs w:val="24"/>
        </w:rPr>
        <w:t>claim</w:t>
      </w:r>
      <w:r w:rsidR="00C167C8">
        <w:rPr>
          <w:rFonts w:ascii="Arial" w:hAnsi="Arial" w:cs="Arial"/>
          <w:sz w:val="24"/>
          <w:szCs w:val="24"/>
        </w:rPr>
        <w:t>s</w:t>
      </w:r>
      <w:r w:rsidR="000E0574">
        <w:rPr>
          <w:rFonts w:ascii="Arial" w:hAnsi="Arial" w:cs="Arial"/>
          <w:sz w:val="24"/>
          <w:szCs w:val="24"/>
        </w:rPr>
        <w:t xml:space="preserve"> based on contract and delict are new causes of action and do not at all relate to the cause of action that was settled by the compromise.</w:t>
      </w:r>
    </w:p>
    <w:p w14:paraId="6A9E4704" w14:textId="77777777" w:rsidR="004E0141" w:rsidRDefault="004E0141" w:rsidP="0021494B">
      <w:pPr>
        <w:pStyle w:val="ListParagraph"/>
        <w:spacing w:after="0" w:line="480" w:lineRule="auto"/>
        <w:jc w:val="both"/>
        <w:rPr>
          <w:rFonts w:ascii="Arial" w:hAnsi="Arial" w:cs="Arial"/>
          <w:sz w:val="24"/>
          <w:szCs w:val="24"/>
        </w:rPr>
      </w:pPr>
    </w:p>
    <w:p w14:paraId="551751B3" w14:textId="17CA9E58" w:rsidR="000E0574"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0E0574">
        <w:rPr>
          <w:rFonts w:ascii="Arial" w:hAnsi="Arial" w:cs="Arial"/>
          <w:sz w:val="24"/>
          <w:szCs w:val="24"/>
        </w:rPr>
        <w:t xml:space="preserve">It was further argued that by framing the </w:t>
      </w:r>
      <w:r w:rsidR="002C1FC2">
        <w:rPr>
          <w:rFonts w:ascii="Arial" w:hAnsi="Arial" w:cs="Arial"/>
          <w:sz w:val="24"/>
          <w:szCs w:val="24"/>
        </w:rPr>
        <w:t xml:space="preserve">issue for determination as ‘effect the settlement agreement has on the parties’ rights and obligations’ the court </w:t>
      </w:r>
      <w:r w:rsidR="002C1FC2" w:rsidRPr="00683B35">
        <w:rPr>
          <w:rFonts w:ascii="Arial" w:hAnsi="Arial" w:cs="Arial"/>
          <w:i/>
          <w:sz w:val="24"/>
          <w:szCs w:val="24"/>
        </w:rPr>
        <w:t>a quo</w:t>
      </w:r>
      <w:r w:rsidR="002C1FC2">
        <w:rPr>
          <w:rFonts w:ascii="Arial" w:hAnsi="Arial" w:cs="Arial"/>
          <w:sz w:val="24"/>
          <w:szCs w:val="24"/>
        </w:rPr>
        <w:t xml:space="preserve"> considered the effect that the settlement agreement has on the parties’ future rights and obligations arising out of the settlement agreement, irrespective of the consequence of the misrepresentation and the fact that it clearly raised a new, separate and distinct cause(s) of action, far removed from the issues that were settled between the parties in their divorce and as a result the court </w:t>
      </w:r>
      <w:r w:rsidR="002C1FC2" w:rsidRPr="00683B35">
        <w:rPr>
          <w:rFonts w:ascii="Arial" w:hAnsi="Arial" w:cs="Arial"/>
          <w:i/>
          <w:sz w:val="24"/>
          <w:szCs w:val="24"/>
        </w:rPr>
        <w:t>a quo</w:t>
      </w:r>
      <w:r w:rsidR="002C1FC2">
        <w:rPr>
          <w:rFonts w:ascii="Arial" w:hAnsi="Arial" w:cs="Arial"/>
          <w:sz w:val="24"/>
          <w:szCs w:val="24"/>
        </w:rPr>
        <w:t xml:space="preserve"> </w:t>
      </w:r>
      <w:r w:rsidR="00F11FDD">
        <w:rPr>
          <w:rFonts w:ascii="Arial" w:hAnsi="Arial" w:cs="Arial"/>
          <w:sz w:val="24"/>
          <w:szCs w:val="24"/>
        </w:rPr>
        <w:t xml:space="preserve">wrongly </w:t>
      </w:r>
      <w:r w:rsidR="00FF2FB5">
        <w:rPr>
          <w:rFonts w:ascii="Arial" w:hAnsi="Arial" w:cs="Arial"/>
          <w:sz w:val="24"/>
          <w:szCs w:val="24"/>
        </w:rPr>
        <w:t xml:space="preserve">concluded that it had no doubt in its mind ‘that the cause of action </w:t>
      </w:r>
      <w:r w:rsidR="00CC4A57">
        <w:rPr>
          <w:rFonts w:ascii="Arial" w:hAnsi="Arial" w:cs="Arial"/>
          <w:sz w:val="24"/>
          <w:szCs w:val="24"/>
        </w:rPr>
        <w:t>on which the plaintiff relies is</w:t>
      </w:r>
      <w:r w:rsidR="00FF2FB5">
        <w:rPr>
          <w:rFonts w:ascii="Arial" w:hAnsi="Arial" w:cs="Arial"/>
          <w:sz w:val="24"/>
          <w:szCs w:val="24"/>
        </w:rPr>
        <w:t xml:space="preserve"> related to the dispute that previously existed between the parties and which dispute the parties compromised</w:t>
      </w:r>
      <w:r w:rsidR="00683B35">
        <w:rPr>
          <w:rFonts w:ascii="Arial" w:hAnsi="Arial" w:cs="Arial"/>
          <w:sz w:val="24"/>
          <w:szCs w:val="24"/>
        </w:rPr>
        <w:t>’</w:t>
      </w:r>
      <w:r w:rsidR="00FF2FB5">
        <w:rPr>
          <w:rFonts w:ascii="Arial" w:hAnsi="Arial" w:cs="Arial"/>
          <w:sz w:val="24"/>
          <w:szCs w:val="24"/>
        </w:rPr>
        <w:t>.</w:t>
      </w:r>
    </w:p>
    <w:p w14:paraId="7AA6136B" w14:textId="77777777" w:rsidR="004E0141" w:rsidRDefault="004E0141" w:rsidP="00C167C8">
      <w:pPr>
        <w:pStyle w:val="ListParagraph"/>
        <w:spacing w:after="0" w:line="480" w:lineRule="auto"/>
        <w:jc w:val="both"/>
        <w:rPr>
          <w:rFonts w:ascii="Arial" w:hAnsi="Arial" w:cs="Arial"/>
          <w:sz w:val="24"/>
          <w:szCs w:val="24"/>
        </w:rPr>
      </w:pPr>
    </w:p>
    <w:p w14:paraId="5043F671" w14:textId="3E427D38" w:rsidR="00FF2FB5"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FF2FB5">
        <w:rPr>
          <w:rFonts w:ascii="Arial" w:hAnsi="Arial" w:cs="Arial"/>
          <w:sz w:val="24"/>
          <w:szCs w:val="24"/>
        </w:rPr>
        <w:t xml:space="preserve">Counsel restated the requirements for a defence of </w:t>
      </w:r>
      <w:r w:rsidR="004E0141" w:rsidRPr="004E0141">
        <w:rPr>
          <w:rFonts w:ascii="Arial" w:hAnsi="Arial" w:cs="Arial"/>
          <w:i/>
          <w:sz w:val="24"/>
          <w:szCs w:val="24"/>
        </w:rPr>
        <w:t xml:space="preserve">res judicata </w:t>
      </w:r>
      <w:r w:rsidR="00FF2FB5">
        <w:rPr>
          <w:rFonts w:ascii="Arial" w:hAnsi="Arial" w:cs="Arial"/>
          <w:sz w:val="24"/>
          <w:szCs w:val="24"/>
        </w:rPr>
        <w:t xml:space="preserve">and argued that the first suit between the parties (which was settled) was a divorce and division of the joint estate and that in this matter appellant is claiming damages as a result of misrepresentation, founded on breach of contract and/or fraud. It is submitted that appellant is not prohibited from instituting action pursuant to the respondent’s misrepresentation and consequently the court </w:t>
      </w:r>
      <w:r w:rsidR="00FF2FB5" w:rsidRPr="00683B35">
        <w:rPr>
          <w:rFonts w:ascii="Arial" w:hAnsi="Arial" w:cs="Arial"/>
          <w:i/>
          <w:sz w:val="24"/>
          <w:szCs w:val="24"/>
        </w:rPr>
        <w:t>a quo</w:t>
      </w:r>
      <w:r w:rsidR="00FF2FB5">
        <w:rPr>
          <w:rFonts w:ascii="Arial" w:hAnsi="Arial" w:cs="Arial"/>
          <w:sz w:val="24"/>
          <w:szCs w:val="24"/>
        </w:rPr>
        <w:t xml:space="preserve"> failed to recognise that the appellant’s cause of action was a</w:t>
      </w:r>
      <w:r w:rsidR="00CC4A57">
        <w:rPr>
          <w:rFonts w:ascii="Arial" w:hAnsi="Arial" w:cs="Arial"/>
          <w:sz w:val="24"/>
          <w:szCs w:val="24"/>
        </w:rPr>
        <w:t xml:space="preserve"> </w:t>
      </w:r>
      <w:r w:rsidR="00FF2FB5">
        <w:rPr>
          <w:rFonts w:ascii="Arial" w:hAnsi="Arial" w:cs="Arial"/>
          <w:sz w:val="24"/>
          <w:szCs w:val="24"/>
        </w:rPr>
        <w:t xml:space="preserve">new and distinct cause of action and could never, </w:t>
      </w:r>
      <w:r w:rsidR="00FF2FB5">
        <w:rPr>
          <w:rFonts w:ascii="Arial" w:hAnsi="Arial" w:cs="Arial"/>
          <w:sz w:val="24"/>
          <w:szCs w:val="24"/>
        </w:rPr>
        <w:lastRenderedPageBreak/>
        <w:t xml:space="preserve">have been included in the bundle of issues that were compromised and therefore the court </w:t>
      </w:r>
      <w:r w:rsidR="00FF2FB5" w:rsidRPr="00683B35">
        <w:rPr>
          <w:rFonts w:ascii="Arial" w:hAnsi="Arial" w:cs="Arial"/>
          <w:i/>
          <w:sz w:val="24"/>
          <w:szCs w:val="24"/>
        </w:rPr>
        <w:t xml:space="preserve">a quo </w:t>
      </w:r>
      <w:r w:rsidR="00FF2FB5">
        <w:rPr>
          <w:rFonts w:ascii="Arial" w:hAnsi="Arial" w:cs="Arial"/>
          <w:sz w:val="24"/>
          <w:szCs w:val="24"/>
        </w:rPr>
        <w:t>was wrong</w:t>
      </w:r>
      <w:r w:rsidR="00CC4A57">
        <w:rPr>
          <w:rFonts w:ascii="Arial" w:hAnsi="Arial" w:cs="Arial"/>
          <w:sz w:val="24"/>
          <w:szCs w:val="24"/>
        </w:rPr>
        <w:t>. R</w:t>
      </w:r>
      <w:r w:rsidR="00FF2FB5">
        <w:rPr>
          <w:rFonts w:ascii="Arial" w:hAnsi="Arial" w:cs="Arial"/>
          <w:sz w:val="24"/>
          <w:szCs w:val="24"/>
        </w:rPr>
        <w:t xml:space="preserve">elying on </w:t>
      </w:r>
      <w:r w:rsidR="00FF2FB5" w:rsidRPr="00FF2FB5">
        <w:rPr>
          <w:rFonts w:ascii="Arial" w:hAnsi="Arial" w:cs="Arial"/>
          <w:i/>
          <w:sz w:val="24"/>
          <w:szCs w:val="24"/>
        </w:rPr>
        <w:t>Mbambus v Motor Vehicle Accident Fund</w:t>
      </w:r>
      <w:r w:rsidR="00C167C8" w:rsidRPr="00683B35">
        <w:rPr>
          <w:rStyle w:val="FootnoteReference"/>
          <w:rFonts w:ascii="Arial" w:hAnsi="Arial" w:cs="Arial"/>
          <w:sz w:val="24"/>
          <w:szCs w:val="24"/>
        </w:rPr>
        <w:footnoteReference w:id="4"/>
      </w:r>
      <w:r w:rsidR="00FF2FB5">
        <w:rPr>
          <w:rFonts w:ascii="Arial" w:hAnsi="Arial" w:cs="Arial"/>
          <w:sz w:val="24"/>
          <w:szCs w:val="24"/>
        </w:rPr>
        <w:t xml:space="preserve">, counsel argued that a misrepresentation renders a compromise voidable at the instance of an aggrieved party, even if it is made an order of court and submitted </w:t>
      </w:r>
      <w:r w:rsidR="00CC4A57">
        <w:rPr>
          <w:rFonts w:ascii="Arial" w:hAnsi="Arial" w:cs="Arial"/>
          <w:sz w:val="24"/>
          <w:szCs w:val="24"/>
        </w:rPr>
        <w:t>that the</w:t>
      </w:r>
      <w:r w:rsidR="00FF2FB5">
        <w:rPr>
          <w:rFonts w:ascii="Arial" w:hAnsi="Arial" w:cs="Arial"/>
          <w:sz w:val="24"/>
          <w:szCs w:val="24"/>
        </w:rPr>
        <w:t xml:space="preserve"> misrepresentation entitled </w:t>
      </w:r>
      <w:r w:rsidR="00FF053C">
        <w:rPr>
          <w:rFonts w:ascii="Arial" w:hAnsi="Arial" w:cs="Arial"/>
          <w:sz w:val="24"/>
          <w:szCs w:val="24"/>
        </w:rPr>
        <w:t xml:space="preserve">the appellant to stand by the compromise and to claim damages, either in contract or delict and further that the appellant had a valid cause of action, which cannot be ended by a plea of </w:t>
      </w:r>
      <w:r w:rsidR="00FF053C" w:rsidRPr="00FF053C">
        <w:rPr>
          <w:rFonts w:ascii="Arial" w:hAnsi="Arial" w:cs="Arial"/>
          <w:i/>
          <w:sz w:val="24"/>
          <w:szCs w:val="24"/>
        </w:rPr>
        <w:t>res judica</w:t>
      </w:r>
      <w:r w:rsidR="00FF053C">
        <w:rPr>
          <w:rFonts w:ascii="Arial" w:hAnsi="Arial" w:cs="Arial"/>
          <w:i/>
          <w:sz w:val="24"/>
          <w:szCs w:val="24"/>
        </w:rPr>
        <w:t>ta</w:t>
      </w:r>
      <w:r w:rsidR="00FF053C">
        <w:rPr>
          <w:rFonts w:ascii="Arial" w:hAnsi="Arial" w:cs="Arial"/>
          <w:sz w:val="24"/>
          <w:szCs w:val="24"/>
        </w:rPr>
        <w:t>.</w:t>
      </w:r>
    </w:p>
    <w:p w14:paraId="5A522F95" w14:textId="77777777" w:rsidR="00BB74BA" w:rsidRDefault="00BB74BA" w:rsidP="00BB74BA">
      <w:pPr>
        <w:tabs>
          <w:tab w:val="left" w:pos="0"/>
        </w:tabs>
        <w:spacing w:after="0" w:line="480" w:lineRule="auto"/>
        <w:jc w:val="both"/>
        <w:rPr>
          <w:rFonts w:ascii="Arial" w:hAnsi="Arial" w:cs="Arial"/>
          <w:sz w:val="24"/>
          <w:szCs w:val="24"/>
        </w:rPr>
      </w:pPr>
    </w:p>
    <w:p w14:paraId="1DF83B80" w14:textId="4F27A06E" w:rsidR="00FF053C"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FF053C">
        <w:rPr>
          <w:rFonts w:ascii="Arial" w:hAnsi="Arial" w:cs="Arial"/>
          <w:sz w:val="24"/>
          <w:szCs w:val="24"/>
        </w:rPr>
        <w:t>Mr Strydom for the respondent</w:t>
      </w:r>
      <w:r w:rsidR="00CC4A57">
        <w:rPr>
          <w:rFonts w:ascii="Arial" w:hAnsi="Arial" w:cs="Arial"/>
          <w:sz w:val="24"/>
          <w:szCs w:val="24"/>
        </w:rPr>
        <w:t>’s</w:t>
      </w:r>
      <w:r w:rsidR="00FF053C">
        <w:rPr>
          <w:rFonts w:ascii="Arial" w:hAnsi="Arial" w:cs="Arial"/>
          <w:sz w:val="24"/>
          <w:szCs w:val="24"/>
        </w:rPr>
        <w:t xml:space="preserve"> argument is opposite. From the o</w:t>
      </w:r>
      <w:r w:rsidR="00CC4A57">
        <w:rPr>
          <w:rFonts w:ascii="Arial" w:hAnsi="Arial" w:cs="Arial"/>
          <w:sz w:val="24"/>
          <w:szCs w:val="24"/>
        </w:rPr>
        <w:t xml:space="preserve">utset </w:t>
      </w:r>
      <w:r w:rsidR="00FF053C">
        <w:rPr>
          <w:rFonts w:ascii="Arial" w:hAnsi="Arial" w:cs="Arial"/>
          <w:sz w:val="24"/>
          <w:szCs w:val="24"/>
        </w:rPr>
        <w:t xml:space="preserve">he argued that all the current claims in the appellant’s particulars of claim were part and parcel of the disputes and subject matters of disputes which were so settled in terms of the </w:t>
      </w:r>
      <w:r w:rsidR="00BB74BA">
        <w:rPr>
          <w:rFonts w:ascii="Arial" w:hAnsi="Arial" w:cs="Arial"/>
          <w:sz w:val="24"/>
          <w:szCs w:val="24"/>
        </w:rPr>
        <w:t>settlement agreement</w:t>
      </w:r>
      <w:r w:rsidR="00FF053C">
        <w:rPr>
          <w:rFonts w:ascii="Arial" w:hAnsi="Arial" w:cs="Arial"/>
          <w:sz w:val="24"/>
          <w:szCs w:val="24"/>
        </w:rPr>
        <w:t xml:space="preserve"> and as a consequence appellant has no claim whatsoever. He further contended that for the appellant to pursue any claim derived from the settlement agreement, she can only do so upon having either the settlement </w:t>
      </w:r>
      <w:r w:rsidR="00BB74BA">
        <w:rPr>
          <w:rFonts w:ascii="Arial" w:hAnsi="Arial" w:cs="Arial"/>
          <w:sz w:val="24"/>
          <w:szCs w:val="24"/>
        </w:rPr>
        <w:t>agreement set</w:t>
      </w:r>
      <w:r w:rsidR="00FF053C">
        <w:rPr>
          <w:rFonts w:ascii="Arial" w:hAnsi="Arial" w:cs="Arial"/>
          <w:sz w:val="24"/>
          <w:szCs w:val="24"/>
        </w:rPr>
        <w:t xml:space="preserve"> aside or having clauses 23 and 26 thereof set aside. He submitted that the underlying cause which led to the conclusion of the settlement agreement between the parties was to settle and regulate their differences in a compromise</w:t>
      </w:r>
      <w:r w:rsidR="00CC4A57">
        <w:rPr>
          <w:rFonts w:ascii="Arial" w:hAnsi="Arial" w:cs="Arial"/>
          <w:sz w:val="24"/>
          <w:szCs w:val="24"/>
        </w:rPr>
        <w:t>d</w:t>
      </w:r>
      <w:r w:rsidR="00FF053C">
        <w:rPr>
          <w:rFonts w:ascii="Arial" w:hAnsi="Arial" w:cs="Arial"/>
          <w:sz w:val="24"/>
          <w:szCs w:val="24"/>
        </w:rPr>
        <w:t xml:space="preserve"> manner, thereby avoiding or terminating litigation. He also argued that</w:t>
      </w:r>
      <w:r w:rsidR="00CC4A57">
        <w:rPr>
          <w:rFonts w:ascii="Arial" w:hAnsi="Arial" w:cs="Arial"/>
          <w:sz w:val="24"/>
          <w:szCs w:val="24"/>
        </w:rPr>
        <w:t>,</w:t>
      </w:r>
      <w:r w:rsidR="00FF053C">
        <w:rPr>
          <w:rFonts w:ascii="Arial" w:hAnsi="Arial" w:cs="Arial"/>
          <w:sz w:val="24"/>
          <w:szCs w:val="24"/>
        </w:rPr>
        <w:t xml:space="preserve"> </w:t>
      </w:r>
      <w:r w:rsidR="00F11FDD">
        <w:rPr>
          <w:rFonts w:ascii="Arial" w:hAnsi="Arial" w:cs="Arial"/>
          <w:sz w:val="24"/>
          <w:szCs w:val="24"/>
        </w:rPr>
        <w:t xml:space="preserve">it </w:t>
      </w:r>
      <w:r w:rsidR="00FF053C">
        <w:rPr>
          <w:rFonts w:ascii="Arial" w:hAnsi="Arial" w:cs="Arial"/>
          <w:sz w:val="24"/>
          <w:szCs w:val="24"/>
        </w:rPr>
        <w:t xml:space="preserve">is evident from the settlement agreement that the parties and their lawyers at the time were very much attendant to the hostile and acrimonious </w:t>
      </w:r>
      <w:r w:rsidR="00517AEC">
        <w:rPr>
          <w:rFonts w:ascii="Arial" w:hAnsi="Arial" w:cs="Arial"/>
          <w:sz w:val="24"/>
          <w:szCs w:val="24"/>
        </w:rPr>
        <w:t xml:space="preserve">situation between the parties and much effort was invested in ensuring that the parties parted with </w:t>
      </w:r>
      <w:r w:rsidR="008543D6">
        <w:rPr>
          <w:rFonts w:ascii="Arial" w:hAnsi="Arial" w:cs="Arial"/>
          <w:sz w:val="24"/>
          <w:szCs w:val="24"/>
        </w:rPr>
        <w:t>no loose strings remaining and that</w:t>
      </w:r>
      <w:r w:rsidR="00CC4A57">
        <w:rPr>
          <w:rFonts w:ascii="Arial" w:hAnsi="Arial" w:cs="Arial"/>
          <w:sz w:val="24"/>
          <w:szCs w:val="24"/>
        </w:rPr>
        <w:t>,</w:t>
      </w:r>
      <w:r w:rsidR="008543D6">
        <w:rPr>
          <w:rFonts w:ascii="Arial" w:hAnsi="Arial" w:cs="Arial"/>
          <w:sz w:val="24"/>
          <w:szCs w:val="24"/>
        </w:rPr>
        <w:t xml:space="preserve"> that is s</w:t>
      </w:r>
      <w:r w:rsidR="00F11FDD">
        <w:rPr>
          <w:rFonts w:ascii="Arial" w:hAnsi="Arial" w:cs="Arial"/>
          <w:sz w:val="24"/>
          <w:szCs w:val="24"/>
        </w:rPr>
        <w:t>o when regard is had to the effect</w:t>
      </w:r>
      <w:r w:rsidR="008543D6">
        <w:rPr>
          <w:rFonts w:ascii="Arial" w:hAnsi="Arial" w:cs="Arial"/>
          <w:sz w:val="24"/>
          <w:szCs w:val="24"/>
        </w:rPr>
        <w:t xml:space="preserve"> of clauses 1</w:t>
      </w:r>
      <w:r w:rsidR="00BB74BA">
        <w:rPr>
          <w:rFonts w:ascii="Arial" w:hAnsi="Arial" w:cs="Arial"/>
          <w:sz w:val="24"/>
          <w:szCs w:val="24"/>
        </w:rPr>
        <w:t>, 2</w:t>
      </w:r>
      <w:r w:rsidR="008543D6">
        <w:rPr>
          <w:rFonts w:ascii="Arial" w:hAnsi="Arial" w:cs="Arial"/>
          <w:sz w:val="24"/>
          <w:szCs w:val="24"/>
        </w:rPr>
        <w:t xml:space="preserve">, 5, 10, 12, 23, 24 and 26. Counsel </w:t>
      </w:r>
      <w:r w:rsidR="008543D6">
        <w:rPr>
          <w:rFonts w:ascii="Arial" w:hAnsi="Arial" w:cs="Arial"/>
          <w:sz w:val="24"/>
          <w:szCs w:val="24"/>
        </w:rPr>
        <w:lastRenderedPageBreak/>
        <w:t>further submitted that the i</w:t>
      </w:r>
      <w:r w:rsidR="00F11FDD">
        <w:rPr>
          <w:rFonts w:ascii="Arial" w:hAnsi="Arial" w:cs="Arial"/>
          <w:sz w:val="24"/>
          <w:szCs w:val="24"/>
        </w:rPr>
        <w:t>nsertion</w:t>
      </w:r>
      <w:r w:rsidR="008543D6">
        <w:rPr>
          <w:rFonts w:ascii="Arial" w:hAnsi="Arial" w:cs="Arial"/>
          <w:sz w:val="24"/>
          <w:szCs w:val="24"/>
        </w:rPr>
        <w:t xml:space="preserve"> of clause 26 into the settlement agreement was to put an end to all pending disputes between the parties, constituting a compromise between the parties which finally and in perpetuity settle</w:t>
      </w:r>
      <w:r w:rsidR="00EA283D">
        <w:rPr>
          <w:rFonts w:ascii="Arial" w:hAnsi="Arial" w:cs="Arial"/>
          <w:sz w:val="24"/>
          <w:szCs w:val="24"/>
        </w:rPr>
        <w:t>d</w:t>
      </w:r>
      <w:r w:rsidR="008543D6">
        <w:rPr>
          <w:rFonts w:ascii="Arial" w:hAnsi="Arial" w:cs="Arial"/>
          <w:sz w:val="24"/>
          <w:szCs w:val="24"/>
        </w:rPr>
        <w:t xml:space="preserve"> the differences as contained in the settlement agreement o</w:t>
      </w:r>
      <w:r w:rsidR="00CC4A57">
        <w:rPr>
          <w:rFonts w:ascii="Arial" w:hAnsi="Arial" w:cs="Arial"/>
          <w:sz w:val="24"/>
          <w:szCs w:val="24"/>
        </w:rPr>
        <w:t>r</w:t>
      </w:r>
      <w:r w:rsidR="008543D6">
        <w:rPr>
          <w:rFonts w:ascii="Arial" w:hAnsi="Arial" w:cs="Arial"/>
          <w:sz w:val="24"/>
          <w:szCs w:val="24"/>
        </w:rPr>
        <w:t xml:space="preserve"> even elsewhere. Counsel pointed out that the Neu-Heusis horse studs were part of the disputes so settled and submitted that appellant’s cause of a</w:t>
      </w:r>
      <w:r w:rsidR="00CC4A57">
        <w:rPr>
          <w:rFonts w:ascii="Arial" w:hAnsi="Arial" w:cs="Arial"/>
          <w:sz w:val="24"/>
          <w:szCs w:val="24"/>
        </w:rPr>
        <w:t>ction hinges on the allegation in</w:t>
      </w:r>
      <w:r w:rsidR="008543D6">
        <w:rPr>
          <w:rFonts w:ascii="Arial" w:hAnsi="Arial" w:cs="Arial"/>
          <w:sz w:val="24"/>
          <w:szCs w:val="24"/>
        </w:rPr>
        <w:t xml:space="preserve"> para</w:t>
      </w:r>
      <w:r w:rsidR="00C167C8">
        <w:rPr>
          <w:rFonts w:ascii="Arial" w:hAnsi="Arial" w:cs="Arial"/>
          <w:sz w:val="24"/>
          <w:szCs w:val="24"/>
        </w:rPr>
        <w:t xml:space="preserve"> 7</w:t>
      </w:r>
      <w:r w:rsidR="008543D6">
        <w:rPr>
          <w:rFonts w:ascii="Arial" w:hAnsi="Arial" w:cs="Arial"/>
          <w:sz w:val="24"/>
          <w:szCs w:val="24"/>
        </w:rPr>
        <w:t xml:space="preserve"> of her particulars of claim – that the respondent misrepresented to her the fact that the relevant and necessary vaccination</w:t>
      </w:r>
      <w:r w:rsidR="00C167C8">
        <w:rPr>
          <w:rFonts w:ascii="Arial" w:hAnsi="Arial" w:cs="Arial"/>
          <w:sz w:val="24"/>
          <w:szCs w:val="24"/>
        </w:rPr>
        <w:t>s</w:t>
      </w:r>
      <w:r w:rsidR="008543D6">
        <w:rPr>
          <w:rFonts w:ascii="Arial" w:hAnsi="Arial" w:cs="Arial"/>
          <w:sz w:val="24"/>
          <w:szCs w:val="24"/>
        </w:rPr>
        <w:t xml:space="preserve"> were administered to the horses during the period 2011 until 2017.</w:t>
      </w:r>
    </w:p>
    <w:p w14:paraId="570F6535" w14:textId="77777777" w:rsidR="00BB74BA" w:rsidRDefault="00BB74BA" w:rsidP="00683B35">
      <w:pPr>
        <w:tabs>
          <w:tab w:val="left" w:pos="0"/>
        </w:tabs>
        <w:spacing w:after="0" w:line="480" w:lineRule="auto"/>
        <w:jc w:val="both"/>
        <w:rPr>
          <w:rFonts w:ascii="Arial" w:hAnsi="Arial" w:cs="Arial"/>
          <w:sz w:val="24"/>
          <w:szCs w:val="24"/>
        </w:rPr>
      </w:pPr>
    </w:p>
    <w:p w14:paraId="04AA7594" w14:textId="0CDB2BAF" w:rsidR="008543D6"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F11FDD">
        <w:rPr>
          <w:rFonts w:ascii="Arial" w:hAnsi="Arial" w:cs="Arial"/>
          <w:sz w:val="24"/>
          <w:szCs w:val="24"/>
        </w:rPr>
        <w:t>Mr Strydom</w:t>
      </w:r>
      <w:r w:rsidR="00F6735C">
        <w:rPr>
          <w:rFonts w:ascii="Arial" w:hAnsi="Arial" w:cs="Arial"/>
          <w:sz w:val="24"/>
          <w:szCs w:val="24"/>
        </w:rPr>
        <w:t xml:space="preserve"> further contended that the bold statement of misrepresentation is not embodied in the settlement because of clause 10 which provides that the appellant herein shall accept the assurance given by the respondent herein that the required vaccinations were administered during the period in question; which words ‘shall accept the assurance given by the respondent’ connotes bringing about a finali</w:t>
      </w:r>
      <w:r w:rsidR="00747494">
        <w:rPr>
          <w:rFonts w:ascii="Arial" w:hAnsi="Arial" w:cs="Arial"/>
          <w:sz w:val="24"/>
          <w:szCs w:val="24"/>
        </w:rPr>
        <w:t>ty</w:t>
      </w:r>
      <w:r w:rsidR="00F6735C">
        <w:rPr>
          <w:rFonts w:ascii="Arial" w:hAnsi="Arial" w:cs="Arial"/>
          <w:sz w:val="24"/>
          <w:szCs w:val="24"/>
        </w:rPr>
        <w:t xml:space="preserve"> </w:t>
      </w:r>
      <w:r w:rsidR="00F11FDD">
        <w:rPr>
          <w:rFonts w:ascii="Arial" w:hAnsi="Arial" w:cs="Arial"/>
          <w:sz w:val="24"/>
          <w:szCs w:val="24"/>
        </w:rPr>
        <w:t>to</w:t>
      </w:r>
      <w:r w:rsidR="00F6735C">
        <w:rPr>
          <w:rFonts w:ascii="Arial" w:hAnsi="Arial" w:cs="Arial"/>
          <w:sz w:val="24"/>
          <w:szCs w:val="24"/>
        </w:rPr>
        <w:t xml:space="preserve"> the issues whether the horses were so vaccinated or not. Coun</w:t>
      </w:r>
      <w:r w:rsidR="00CC4A57">
        <w:rPr>
          <w:rFonts w:ascii="Arial" w:hAnsi="Arial" w:cs="Arial"/>
          <w:sz w:val="24"/>
          <w:szCs w:val="24"/>
        </w:rPr>
        <w:t xml:space="preserve">sel further pointed out that </w:t>
      </w:r>
      <w:r w:rsidR="00F6735C">
        <w:rPr>
          <w:rFonts w:ascii="Arial" w:hAnsi="Arial" w:cs="Arial"/>
          <w:sz w:val="24"/>
          <w:szCs w:val="24"/>
        </w:rPr>
        <w:t>clause 5 in the settlement agreement exempts respondent from any liability concerning the horses from the date of the agreement and among other things appellant assumed all risks related to injury, sickness or death by natural ca</w:t>
      </w:r>
      <w:r w:rsidR="00CC4A57">
        <w:rPr>
          <w:rFonts w:ascii="Arial" w:hAnsi="Arial" w:cs="Arial"/>
          <w:sz w:val="24"/>
          <w:szCs w:val="24"/>
        </w:rPr>
        <w:t>u</w:t>
      </w:r>
      <w:r w:rsidR="00F6735C">
        <w:rPr>
          <w:rFonts w:ascii="Arial" w:hAnsi="Arial" w:cs="Arial"/>
          <w:sz w:val="24"/>
          <w:szCs w:val="24"/>
        </w:rPr>
        <w:t>ses.</w:t>
      </w:r>
    </w:p>
    <w:p w14:paraId="1A6D61A5" w14:textId="77777777" w:rsidR="00BB74BA" w:rsidRDefault="00BB74BA" w:rsidP="00C167C8">
      <w:pPr>
        <w:pStyle w:val="ListParagraph"/>
        <w:spacing w:after="0" w:line="480" w:lineRule="auto"/>
        <w:jc w:val="both"/>
        <w:rPr>
          <w:rFonts w:ascii="Arial" w:hAnsi="Arial" w:cs="Arial"/>
          <w:sz w:val="24"/>
          <w:szCs w:val="24"/>
        </w:rPr>
      </w:pPr>
    </w:p>
    <w:p w14:paraId="7147B73A" w14:textId="7F7D816D" w:rsidR="003B461B"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3B461B">
        <w:rPr>
          <w:rFonts w:ascii="Arial" w:hAnsi="Arial" w:cs="Arial"/>
          <w:sz w:val="24"/>
          <w:szCs w:val="24"/>
        </w:rPr>
        <w:t xml:space="preserve">Mr Strydom </w:t>
      </w:r>
      <w:r w:rsidR="00CC4A57">
        <w:rPr>
          <w:rFonts w:ascii="Arial" w:hAnsi="Arial" w:cs="Arial"/>
          <w:sz w:val="24"/>
          <w:szCs w:val="24"/>
        </w:rPr>
        <w:t>further contended that there were</w:t>
      </w:r>
      <w:r w:rsidR="003B461B">
        <w:rPr>
          <w:rFonts w:ascii="Arial" w:hAnsi="Arial" w:cs="Arial"/>
          <w:sz w:val="24"/>
          <w:szCs w:val="24"/>
        </w:rPr>
        <w:t xml:space="preserve"> no warranties in the agreement particularly clause 7 indicative that the parties were satisfied to accept the wording in clause 10 and if appellant wanted more than assurances she would have insisted to different types of assurances than what is contained in the settlement agreement  or </w:t>
      </w:r>
      <w:r w:rsidR="003B461B">
        <w:rPr>
          <w:rFonts w:ascii="Arial" w:hAnsi="Arial" w:cs="Arial"/>
          <w:sz w:val="24"/>
          <w:szCs w:val="24"/>
        </w:rPr>
        <w:lastRenderedPageBreak/>
        <w:t>decline</w:t>
      </w:r>
      <w:r w:rsidR="0021494B">
        <w:rPr>
          <w:rFonts w:ascii="Arial" w:hAnsi="Arial" w:cs="Arial"/>
          <w:sz w:val="24"/>
          <w:szCs w:val="24"/>
        </w:rPr>
        <w:t>d</w:t>
      </w:r>
      <w:r w:rsidR="003B461B">
        <w:rPr>
          <w:rFonts w:ascii="Arial" w:hAnsi="Arial" w:cs="Arial"/>
          <w:sz w:val="24"/>
          <w:szCs w:val="24"/>
        </w:rPr>
        <w:t xml:space="preserve"> to have entered into the agreement and that it was for the reason of mutual assent that the parties agreed to the settlement agreement </w:t>
      </w:r>
      <w:r w:rsidR="0021494B">
        <w:rPr>
          <w:rFonts w:ascii="Arial" w:hAnsi="Arial" w:cs="Arial"/>
          <w:sz w:val="24"/>
          <w:szCs w:val="24"/>
        </w:rPr>
        <w:t>and</w:t>
      </w:r>
      <w:r w:rsidR="003B461B">
        <w:rPr>
          <w:rFonts w:ascii="Arial" w:hAnsi="Arial" w:cs="Arial"/>
          <w:sz w:val="24"/>
          <w:szCs w:val="24"/>
        </w:rPr>
        <w:t xml:space="preserve"> willingly employed the wording in clause 10.</w:t>
      </w:r>
    </w:p>
    <w:p w14:paraId="674D266D" w14:textId="77777777" w:rsidR="00BB74BA" w:rsidRDefault="00BB74BA" w:rsidP="00C167C8">
      <w:pPr>
        <w:pStyle w:val="ListParagraph"/>
        <w:spacing w:after="0" w:line="480" w:lineRule="auto"/>
        <w:jc w:val="both"/>
        <w:rPr>
          <w:rFonts w:ascii="Arial" w:hAnsi="Arial" w:cs="Arial"/>
          <w:sz w:val="24"/>
          <w:szCs w:val="24"/>
        </w:rPr>
      </w:pPr>
    </w:p>
    <w:p w14:paraId="15C81544" w14:textId="0D7FEB96" w:rsidR="00557B1F"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3B461B" w:rsidRPr="003B461B">
        <w:rPr>
          <w:rFonts w:ascii="Arial" w:hAnsi="Arial" w:cs="Arial"/>
          <w:sz w:val="24"/>
          <w:szCs w:val="24"/>
        </w:rPr>
        <w:t>Coun</w:t>
      </w:r>
      <w:r w:rsidR="00CC4A57">
        <w:rPr>
          <w:rFonts w:ascii="Arial" w:hAnsi="Arial" w:cs="Arial"/>
          <w:sz w:val="24"/>
          <w:szCs w:val="24"/>
        </w:rPr>
        <w:t>sel further argued  that even if</w:t>
      </w:r>
      <w:r w:rsidR="003B461B" w:rsidRPr="003B461B">
        <w:rPr>
          <w:rFonts w:ascii="Arial" w:hAnsi="Arial" w:cs="Arial"/>
          <w:sz w:val="24"/>
          <w:szCs w:val="24"/>
        </w:rPr>
        <w:t xml:space="preserve"> this Court were to find misrepresentation on the part of the respondent, he submitted that the only remedy av</w:t>
      </w:r>
      <w:r w:rsidR="0021494B">
        <w:rPr>
          <w:rFonts w:ascii="Arial" w:hAnsi="Arial" w:cs="Arial"/>
          <w:sz w:val="24"/>
          <w:szCs w:val="24"/>
        </w:rPr>
        <w:t>a</w:t>
      </w:r>
      <w:r w:rsidR="003B461B" w:rsidRPr="003B461B">
        <w:rPr>
          <w:rFonts w:ascii="Arial" w:hAnsi="Arial" w:cs="Arial"/>
          <w:sz w:val="24"/>
          <w:szCs w:val="24"/>
        </w:rPr>
        <w:t>i</w:t>
      </w:r>
      <w:r w:rsidR="0021494B">
        <w:rPr>
          <w:rFonts w:ascii="Arial" w:hAnsi="Arial" w:cs="Arial"/>
          <w:sz w:val="24"/>
          <w:szCs w:val="24"/>
        </w:rPr>
        <w:t>l</w:t>
      </w:r>
      <w:r w:rsidR="003B461B" w:rsidRPr="003B461B">
        <w:rPr>
          <w:rFonts w:ascii="Arial" w:hAnsi="Arial" w:cs="Arial"/>
          <w:sz w:val="24"/>
          <w:szCs w:val="24"/>
        </w:rPr>
        <w:t xml:space="preserve">able to the appellant would </w:t>
      </w:r>
      <w:r w:rsidR="0021494B">
        <w:rPr>
          <w:rFonts w:ascii="Arial" w:hAnsi="Arial" w:cs="Arial"/>
          <w:sz w:val="24"/>
          <w:szCs w:val="24"/>
        </w:rPr>
        <w:t xml:space="preserve">be </w:t>
      </w:r>
      <w:r w:rsidR="003B461B" w:rsidRPr="003B461B">
        <w:rPr>
          <w:rFonts w:ascii="Arial" w:hAnsi="Arial" w:cs="Arial"/>
          <w:sz w:val="24"/>
          <w:szCs w:val="24"/>
        </w:rPr>
        <w:t>to attack and seek rescission of clause</w:t>
      </w:r>
      <w:r w:rsidR="0021494B">
        <w:rPr>
          <w:rFonts w:ascii="Arial" w:hAnsi="Arial" w:cs="Arial"/>
          <w:sz w:val="24"/>
          <w:szCs w:val="24"/>
        </w:rPr>
        <w:t>s</w:t>
      </w:r>
      <w:r w:rsidR="003B461B" w:rsidRPr="003B461B">
        <w:rPr>
          <w:rFonts w:ascii="Arial" w:hAnsi="Arial" w:cs="Arial"/>
          <w:sz w:val="24"/>
          <w:szCs w:val="24"/>
        </w:rPr>
        <w:t xml:space="preserve"> 10 and 26 on the basis of fraud and that the assertion that the settlement is voidable would only be acceptable in circumstances when the appellant sought relief to set aside the agreement or a declaration of voidability of the agreement or part of the settlement agreement which embodies clauses 10 and 26 but nonetheless counsel still submitted that the ambit and meaning of clause 10 is clear</w:t>
      </w:r>
      <w:r w:rsidR="00E977F6">
        <w:rPr>
          <w:rFonts w:ascii="Arial" w:hAnsi="Arial" w:cs="Arial"/>
          <w:sz w:val="24"/>
          <w:szCs w:val="24"/>
        </w:rPr>
        <w:t xml:space="preserve"> – that </w:t>
      </w:r>
      <w:r w:rsidR="003B461B" w:rsidRPr="003B461B">
        <w:rPr>
          <w:rFonts w:ascii="Arial" w:hAnsi="Arial" w:cs="Arial"/>
          <w:sz w:val="24"/>
          <w:szCs w:val="24"/>
        </w:rPr>
        <w:t>the mere assurance so giv</w:t>
      </w:r>
      <w:r w:rsidR="00BB74BA">
        <w:rPr>
          <w:rFonts w:ascii="Arial" w:hAnsi="Arial" w:cs="Arial"/>
          <w:sz w:val="24"/>
          <w:szCs w:val="24"/>
        </w:rPr>
        <w:t>en renders the issue final.</w:t>
      </w:r>
    </w:p>
    <w:p w14:paraId="37E49A3C" w14:textId="77777777" w:rsidR="00BB74BA" w:rsidRDefault="00BB74BA" w:rsidP="00C167C8">
      <w:pPr>
        <w:pStyle w:val="ListParagraph"/>
        <w:spacing w:after="0" w:line="480" w:lineRule="auto"/>
        <w:jc w:val="both"/>
        <w:rPr>
          <w:rFonts w:ascii="Arial" w:hAnsi="Arial" w:cs="Arial"/>
          <w:sz w:val="24"/>
          <w:szCs w:val="24"/>
        </w:rPr>
      </w:pPr>
    </w:p>
    <w:p w14:paraId="57FDC30B" w14:textId="620FA6D4" w:rsidR="003B461B"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E54AD8">
        <w:rPr>
          <w:rFonts w:ascii="Arial" w:hAnsi="Arial" w:cs="Arial"/>
          <w:sz w:val="24"/>
          <w:szCs w:val="24"/>
        </w:rPr>
        <w:t>It was at this point of Mr Strydom’s sub</w:t>
      </w:r>
      <w:r w:rsidR="00CC4A57">
        <w:rPr>
          <w:rFonts w:ascii="Arial" w:hAnsi="Arial" w:cs="Arial"/>
          <w:sz w:val="24"/>
          <w:szCs w:val="24"/>
        </w:rPr>
        <w:t>mission that my brother Damaseb</w:t>
      </w:r>
      <w:r w:rsidR="00E54AD8">
        <w:rPr>
          <w:rFonts w:ascii="Arial" w:hAnsi="Arial" w:cs="Arial"/>
          <w:sz w:val="24"/>
          <w:szCs w:val="24"/>
        </w:rPr>
        <w:t xml:space="preserve"> DCJ presiding asked the parties to file supplementary heads on the question ‘how would a litigant enforce a payment term contained in </w:t>
      </w:r>
      <w:r w:rsidR="00CC4A57">
        <w:rPr>
          <w:rFonts w:ascii="Arial" w:hAnsi="Arial" w:cs="Arial"/>
          <w:sz w:val="24"/>
          <w:szCs w:val="24"/>
        </w:rPr>
        <w:t xml:space="preserve">a </w:t>
      </w:r>
      <w:r w:rsidR="00E54AD8">
        <w:rPr>
          <w:rFonts w:ascii="Arial" w:hAnsi="Arial" w:cs="Arial"/>
          <w:sz w:val="24"/>
          <w:szCs w:val="24"/>
        </w:rPr>
        <w:t xml:space="preserve">deed of settlement which </w:t>
      </w:r>
      <w:r w:rsidR="00705BBA">
        <w:rPr>
          <w:rFonts w:ascii="Arial" w:hAnsi="Arial" w:cs="Arial"/>
          <w:sz w:val="24"/>
          <w:szCs w:val="24"/>
        </w:rPr>
        <w:t>has been made an order of court</w:t>
      </w:r>
      <w:r w:rsidR="00683B35">
        <w:rPr>
          <w:rFonts w:ascii="Arial" w:hAnsi="Arial" w:cs="Arial"/>
          <w:sz w:val="24"/>
          <w:szCs w:val="24"/>
        </w:rPr>
        <w:t>’</w:t>
      </w:r>
      <w:r w:rsidR="00705BBA">
        <w:rPr>
          <w:rFonts w:ascii="Arial" w:hAnsi="Arial" w:cs="Arial"/>
          <w:sz w:val="24"/>
          <w:szCs w:val="24"/>
        </w:rPr>
        <w:t>?</w:t>
      </w:r>
    </w:p>
    <w:p w14:paraId="3D304F45" w14:textId="77777777" w:rsidR="00BB74BA" w:rsidRDefault="00BB74BA" w:rsidP="00C167C8">
      <w:pPr>
        <w:pStyle w:val="ListParagraph"/>
        <w:spacing w:after="0" w:line="480" w:lineRule="auto"/>
        <w:jc w:val="both"/>
        <w:rPr>
          <w:rFonts w:ascii="Arial" w:hAnsi="Arial" w:cs="Arial"/>
          <w:sz w:val="24"/>
          <w:szCs w:val="24"/>
        </w:rPr>
      </w:pPr>
    </w:p>
    <w:p w14:paraId="015DCE7B" w14:textId="35142D03" w:rsidR="00E54AD8"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E54AD8">
        <w:rPr>
          <w:rFonts w:ascii="Arial" w:hAnsi="Arial" w:cs="Arial"/>
          <w:sz w:val="24"/>
          <w:szCs w:val="24"/>
        </w:rPr>
        <w:t>Mr Strydom addresses this question on the basis of (a) the status of a judgment or order so</w:t>
      </w:r>
      <w:r w:rsidR="00CC4A57">
        <w:rPr>
          <w:rFonts w:ascii="Arial" w:hAnsi="Arial" w:cs="Arial"/>
          <w:sz w:val="24"/>
          <w:szCs w:val="24"/>
        </w:rPr>
        <w:t xml:space="preserve"> rendered by court incorporating</w:t>
      </w:r>
      <w:r w:rsidR="00E54AD8">
        <w:rPr>
          <w:rFonts w:ascii="Arial" w:hAnsi="Arial" w:cs="Arial"/>
          <w:sz w:val="24"/>
          <w:szCs w:val="24"/>
        </w:rPr>
        <w:t xml:space="preserve"> a settlement agreement; and (b) the nature of the enforceability of the said judgment or order. On the status of the judgment in my opinion the arguments and submissions reiterates what Mr Strydom already placed </w:t>
      </w:r>
      <w:r w:rsidR="00E54AD8">
        <w:rPr>
          <w:rFonts w:ascii="Arial" w:hAnsi="Arial" w:cs="Arial"/>
          <w:sz w:val="24"/>
          <w:szCs w:val="24"/>
        </w:rPr>
        <w:lastRenderedPageBreak/>
        <w:t xml:space="preserve">before court – to the effect that once the parties have reached a settlement agreement, they may apply to court to have the settlement </w:t>
      </w:r>
      <w:r w:rsidR="00705BBA">
        <w:rPr>
          <w:rFonts w:ascii="Arial" w:hAnsi="Arial" w:cs="Arial"/>
          <w:sz w:val="24"/>
          <w:szCs w:val="24"/>
        </w:rPr>
        <w:t xml:space="preserve">made </w:t>
      </w:r>
      <w:r w:rsidR="00E54AD8">
        <w:rPr>
          <w:rFonts w:ascii="Arial" w:hAnsi="Arial" w:cs="Arial"/>
          <w:sz w:val="24"/>
          <w:szCs w:val="24"/>
        </w:rPr>
        <w:t xml:space="preserve">an order of court and that it is trite that a settlement should be one that is intended to bring about an end to the suit as a whole and that was the case in this matter when the agreement signaled the end of a protracted and hostile divorce action that ensued between the parties. That intention he argued is founded on the various clauses of the agreement as already stated. He further submitted that the effect </w:t>
      </w:r>
      <w:r w:rsidR="00EB6328">
        <w:rPr>
          <w:rFonts w:ascii="Arial" w:hAnsi="Arial" w:cs="Arial"/>
          <w:sz w:val="24"/>
          <w:szCs w:val="24"/>
        </w:rPr>
        <w:t xml:space="preserve">of a </w:t>
      </w:r>
      <w:r w:rsidR="00EB6328" w:rsidRPr="00705BBA">
        <w:rPr>
          <w:rFonts w:ascii="Arial" w:hAnsi="Arial" w:cs="Arial"/>
          <w:i/>
          <w:sz w:val="24"/>
          <w:szCs w:val="24"/>
        </w:rPr>
        <w:t>transactio</w:t>
      </w:r>
      <w:r w:rsidR="00EB6328">
        <w:rPr>
          <w:rFonts w:ascii="Arial" w:hAnsi="Arial" w:cs="Arial"/>
          <w:sz w:val="24"/>
          <w:szCs w:val="24"/>
        </w:rPr>
        <w:t xml:space="preserve"> is the same as a </w:t>
      </w:r>
      <w:r w:rsidR="004E0141" w:rsidRPr="004E0141">
        <w:rPr>
          <w:rFonts w:ascii="Arial" w:hAnsi="Arial" w:cs="Arial"/>
          <w:i/>
          <w:sz w:val="24"/>
          <w:szCs w:val="24"/>
        </w:rPr>
        <w:t xml:space="preserve">res judicata </w:t>
      </w:r>
      <w:r w:rsidR="00EB6328">
        <w:rPr>
          <w:rFonts w:ascii="Arial" w:hAnsi="Arial" w:cs="Arial"/>
          <w:sz w:val="24"/>
          <w:szCs w:val="24"/>
        </w:rPr>
        <w:t>or a judgment given by consent.</w:t>
      </w:r>
    </w:p>
    <w:p w14:paraId="06C6F1F2" w14:textId="77777777" w:rsidR="004E0141" w:rsidRDefault="004E0141" w:rsidP="004E0141">
      <w:pPr>
        <w:tabs>
          <w:tab w:val="left" w:pos="0"/>
        </w:tabs>
        <w:spacing w:after="0" w:line="480" w:lineRule="auto"/>
        <w:jc w:val="both"/>
        <w:rPr>
          <w:rFonts w:ascii="Arial" w:hAnsi="Arial" w:cs="Arial"/>
          <w:sz w:val="24"/>
          <w:szCs w:val="24"/>
        </w:rPr>
      </w:pPr>
    </w:p>
    <w:p w14:paraId="193C794E" w14:textId="384E7611" w:rsidR="00EB6328"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EB6328">
        <w:rPr>
          <w:rFonts w:ascii="Arial" w:hAnsi="Arial" w:cs="Arial"/>
          <w:sz w:val="24"/>
          <w:szCs w:val="24"/>
        </w:rPr>
        <w:t xml:space="preserve">On the nature of enforceability of the judgment or order incorporating a settlement agreement, Mr Strydom argues </w:t>
      </w:r>
      <w:r w:rsidR="00CC4A57">
        <w:rPr>
          <w:rFonts w:ascii="Arial" w:hAnsi="Arial" w:cs="Arial"/>
          <w:sz w:val="24"/>
          <w:szCs w:val="24"/>
        </w:rPr>
        <w:t xml:space="preserve">that </w:t>
      </w:r>
      <w:r w:rsidR="00EB6328">
        <w:rPr>
          <w:rFonts w:ascii="Arial" w:hAnsi="Arial" w:cs="Arial"/>
          <w:sz w:val="24"/>
          <w:szCs w:val="24"/>
        </w:rPr>
        <w:t xml:space="preserve">once a judgment has been issued, the judgment </w:t>
      </w:r>
      <w:r w:rsidR="00CC4A57">
        <w:rPr>
          <w:rFonts w:ascii="Arial" w:hAnsi="Arial" w:cs="Arial"/>
          <w:sz w:val="24"/>
          <w:szCs w:val="24"/>
        </w:rPr>
        <w:t xml:space="preserve">creditor </w:t>
      </w:r>
      <w:r w:rsidR="00EB6328">
        <w:rPr>
          <w:rFonts w:ascii="Arial" w:hAnsi="Arial" w:cs="Arial"/>
          <w:sz w:val="24"/>
          <w:szCs w:val="24"/>
        </w:rPr>
        <w:t xml:space="preserve">may enforce it by execution. If it is </w:t>
      </w:r>
      <w:r w:rsidR="008168DF">
        <w:rPr>
          <w:rFonts w:ascii="Arial" w:hAnsi="Arial" w:cs="Arial"/>
          <w:sz w:val="24"/>
          <w:szCs w:val="24"/>
        </w:rPr>
        <w:t xml:space="preserve">a </w:t>
      </w:r>
      <w:r w:rsidR="00EB6328">
        <w:rPr>
          <w:rFonts w:ascii="Arial" w:hAnsi="Arial" w:cs="Arial"/>
          <w:sz w:val="24"/>
          <w:szCs w:val="24"/>
        </w:rPr>
        <w:t>judgment sound</w:t>
      </w:r>
      <w:r w:rsidR="005264DB">
        <w:rPr>
          <w:rFonts w:ascii="Arial" w:hAnsi="Arial" w:cs="Arial"/>
          <w:sz w:val="24"/>
          <w:szCs w:val="24"/>
        </w:rPr>
        <w:t>ing</w:t>
      </w:r>
      <w:r w:rsidR="00EB6328">
        <w:rPr>
          <w:rFonts w:ascii="Arial" w:hAnsi="Arial" w:cs="Arial"/>
          <w:sz w:val="24"/>
          <w:szCs w:val="24"/>
        </w:rPr>
        <w:t xml:space="preserve"> in money, execution</w:t>
      </w:r>
      <w:r w:rsidR="004E4059">
        <w:rPr>
          <w:rFonts w:ascii="Arial" w:hAnsi="Arial" w:cs="Arial"/>
          <w:sz w:val="24"/>
          <w:szCs w:val="24"/>
        </w:rPr>
        <w:t xml:space="preserve"> </w:t>
      </w:r>
      <w:r w:rsidR="00EB6328">
        <w:rPr>
          <w:rFonts w:ascii="Arial" w:hAnsi="Arial" w:cs="Arial"/>
          <w:sz w:val="24"/>
          <w:szCs w:val="24"/>
        </w:rPr>
        <w:t xml:space="preserve">by issuing a writ of execution and if it is </w:t>
      </w:r>
      <w:r w:rsidR="00705BBA">
        <w:rPr>
          <w:rFonts w:ascii="Arial" w:hAnsi="Arial" w:cs="Arial"/>
          <w:sz w:val="24"/>
          <w:szCs w:val="24"/>
        </w:rPr>
        <w:t>an</w:t>
      </w:r>
      <w:r w:rsidR="00EB6328">
        <w:rPr>
          <w:rFonts w:ascii="Arial" w:hAnsi="Arial" w:cs="Arial"/>
          <w:sz w:val="24"/>
          <w:szCs w:val="24"/>
        </w:rPr>
        <w:t xml:space="preserve"> order to do or not to do something is enforceable by way of comm</w:t>
      </w:r>
      <w:r w:rsidR="00AC3E30">
        <w:rPr>
          <w:rFonts w:ascii="Arial" w:hAnsi="Arial" w:cs="Arial"/>
          <w:sz w:val="24"/>
          <w:szCs w:val="24"/>
        </w:rPr>
        <w:t>ittal</w:t>
      </w:r>
      <w:r w:rsidR="00EB6328">
        <w:rPr>
          <w:rFonts w:ascii="Arial" w:hAnsi="Arial" w:cs="Arial"/>
          <w:sz w:val="24"/>
          <w:szCs w:val="24"/>
        </w:rPr>
        <w:t xml:space="preserve"> for contempt proceedings</w:t>
      </w:r>
      <w:r w:rsidR="00AC3E30">
        <w:rPr>
          <w:rFonts w:ascii="Arial" w:hAnsi="Arial" w:cs="Arial"/>
          <w:sz w:val="24"/>
          <w:szCs w:val="24"/>
        </w:rPr>
        <w:t>.</w:t>
      </w:r>
    </w:p>
    <w:p w14:paraId="400660A4" w14:textId="77777777" w:rsidR="004E0141" w:rsidRDefault="004E0141" w:rsidP="004E0141">
      <w:pPr>
        <w:tabs>
          <w:tab w:val="left" w:pos="0"/>
        </w:tabs>
        <w:spacing w:after="0" w:line="480" w:lineRule="auto"/>
        <w:jc w:val="both"/>
        <w:rPr>
          <w:rFonts w:ascii="Arial" w:hAnsi="Arial" w:cs="Arial"/>
          <w:sz w:val="24"/>
          <w:szCs w:val="24"/>
        </w:rPr>
      </w:pPr>
    </w:p>
    <w:p w14:paraId="4FB657B8" w14:textId="0E323CAD" w:rsidR="00AC3E30"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AC3E30">
        <w:rPr>
          <w:rFonts w:ascii="Arial" w:hAnsi="Arial" w:cs="Arial"/>
          <w:sz w:val="24"/>
          <w:szCs w:val="24"/>
        </w:rPr>
        <w:t>In a situation like in this case</w:t>
      </w:r>
      <w:r w:rsidR="005264DB">
        <w:rPr>
          <w:rFonts w:ascii="Arial" w:hAnsi="Arial" w:cs="Arial"/>
          <w:sz w:val="24"/>
          <w:szCs w:val="24"/>
        </w:rPr>
        <w:t>,</w:t>
      </w:r>
      <w:r w:rsidR="00AC3E30">
        <w:rPr>
          <w:rFonts w:ascii="Arial" w:hAnsi="Arial" w:cs="Arial"/>
          <w:sz w:val="24"/>
          <w:szCs w:val="24"/>
        </w:rPr>
        <w:t xml:space="preserve"> Mr Strydom argued that if the settlement provides for payment by way of installments, the execution where the debtor has failed to comply with the order can be addressed in two ways, namely</w:t>
      </w:r>
      <w:r w:rsidR="00683B35">
        <w:rPr>
          <w:rFonts w:ascii="Arial" w:hAnsi="Arial" w:cs="Arial"/>
          <w:sz w:val="24"/>
          <w:szCs w:val="24"/>
        </w:rPr>
        <w:t>:</w:t>
      </w:r>
      <w:r w:rsidR="00AC3E30">
        <w:rPr>
          <w:rFonts w:ascii="Arial" w:hAnsi="Arial" w:cs="Arial"/>
          <w:sz w:val="24"/>
          <w:szCs w:val="24"/>
        </w:rPr>
        <w:t xml:space="preserve"> (1) the judgment creditor can apply to the registrar of the court for a writ of execution in respect </w:t>
      </w:r>
      <w:r w:rsidR="00CC4A57">
        <w:rPr>
          <w:rFonts w:ascii="Arial" w:hAnsi="Arial" w:cs="Arial"/>
          <w:sz w:val="24"/>
          <w:szCs w:val="24"/>
        </w:rPr>
        <w:t xml:space="preserve">of that part </w:t>
      </w:r>
      <w:r w:rsidR="00AC3E30">
        <w:rPr>
          <w:rFonts w:ascii="Arial" w:hAnsi="Arial" w:cs="Arial"/>
          <w:sz w:val="24"/>
          <w:szCs w:val="24"/>
        </w:rPr>
        <w:t xml:space="preserve">of the debt </w:t>
      </w:r>
      <w:r w:rsidR="00D21E6C">
        <w:rPr>
          <w:rFonts w:ascii="Arial" w:hAnsi="Arial" w:cs="Arial"/>
          <w:sz w:val="24"/>
          <w:szCs w:val="24"/>
        </w:rPr>
        <w:t xml:space="preserve">which the judgment debtor is in arrears with whereupon the assets of the judgment debtor could </w:t>
      </w:r>
      <w:r w:rsidR="00AC3E30">
        <w:rPr>
          <w:rFonts w:ascii="Arial" w:hAnsi="Arial" w:cs="Arial"/>
          <w:sz w:val="24"/>
          <w:szCs w:val="24"/>
        </w:rPr>
        <w:t>be attached and sold in execution; and (2) the judgment creditor can apply through the registrar to a judge for judgment in the amount i</w:t>
      </w:r>
      <w:r w:rsidR="00D21E6C">
        <w:rPr>
          <w:rFonts w:ascii="Arial" w:hAnsi="Arial" w:cs="Arial"/>
          <w:sz w:val="24"/>
          <w:szCs w:val="24"/>
        </w:rPr>
        <w:t>n arrears and execution can then</w:t>
      </w:r>
      <w:r w:rsidR="00AC3E30">
        <w:rPr>
          <w:rFonts w:ascii="Arial" w:hAnsi="Arial" w:cs="Arial"/>
          <w:sz w:val="24"/>
          <w:szCs w:val="24"/>
        </w:rPr>
        <w:t xml:space="preserve"> follow. Mr Strydom further submitted that once a judgment is </w:t>
      </w:r>
      <w:r w:rsidR="004E0141" w:rsidRPr="004E0141">
        <w:rPr>
          <w:rFonts w:ascii="Arial" w:hAnsi="Arial" w:cs="Arial"/>
          <w:i/>
          <w:sz w:val="24"/>
          <w:szCs w:val="24"/>
        </w:rPr>
        <w:t xml:space="preserve">res judicata </w:t>
      </w:r>
      <w:r w:rsidR="00AC3E30">
        <w:rPr>
          <w:rFonts w:ascii="Arial" w:hAnsi="Arial" w:cs="Arial"/>
          <w:sz w:val="24"/>
          <w:szCs w:val="24"/>
        </w:rPr>
        <w:t xml:space="preserve">the </w:t>
      </w:r>
      <w:r w:rsidR="00AC3E30">
        <w:rPr>
          <w:rFonts w:ascii="Arial" w:hAnsi="Arial" w:cs="Arial"/>
          <w:sz w:val="24"/>
          <w:szCs w:val="24"/>
        </w:rPr>
        <w:lastRenderedPageBreak/>
        <w:t>rules of procedure clearly make</w:t>
      </w:r>
      <w:r w:rsidR="005264DB">
        <w:rPr>
          <w:rFonts w:ascii="Arial" w:hAnsi="Arial" w:cs="Arial"/>
          <w:sz w:val="24"/>
          <w:szCs w:val="24"/>
        </w:rPr>
        <w:t xml:space="preserve"> provision</w:t>
      </w:r>
      <w:r w:rsidR="00AC3E30">
        <w:rPr>
          <w:rFonts w:ascii="Arial" w:hAnsi="Arial" w:cs="Arial"/>
          <w:sz w:val="24"/>
          <w:szCs w:val="24"/>
        </w:rPr>
        <w:t xml:space="preserve"> for the enforcement thereof and instituting proceedings to enforce by a separate action or motion would be super</w:t>
      </w:r>
      <w:r w:rsidR="00FE0880">
        <w:rPr>
          <w:rFonts w:ascii="Arial" w:hAnsi="Arial" w:cs="Arial"/>
          <w:sz w:val="24"/>
          <w:szCs w:val="24"/>
        </w:rPr>
        <w:t>fluous.</w:t>
      </w:r>
    </w:p>
    <w:p w14:paraId="215011CD" w14:textId="77777777" w:rsidR="004E0141" w:rsidRDefault="004E0141" w:rsidP="004E0141">
      <w:pPr>
        <w:tabs>
          <w:tab w:val="left" w:pos="0"/>
        </w:tabs>
        <w:spacing w:after="0" w:line="480" w:lineRule="auto"/>
        <w:jc w:val="both"/>
        <w:rPr>
          <w:rFonts w:ascii="Arial" w:hAnsi="Arial" w:cs="Arial"/>
          <w:sz w:val="24"/>
          <w:szCs w:val="24"/>
        </w:rPr>
      </w:pPr>
    </w:p>
    <w:p w14:paraId="17C7A4CA" w14:textId="397665F5" w:rsidR="00C23D00"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FE0880">
        <w:rPr>
          <w:rFonts w:ascii="Arial" w:hAnsi="Arial" w:cs="Arial"/>
          <w:sz w:val="24"/>
          <w:szCs w:val="24"/>
        </w:rPr>
        <w:t xml:space="preserve">The appellant does not agree with the respondent’s arguments in the supplementary heads of argument. It was submitted on behalf of the appellant that for the appellant to first set aside several of the terms in the settlement agreement (clause 26 in particular) before she could seek any remedy, </w:t>
      </w:r>
      <w:r w:rsidR="004E4059">
        <w:rPr>
          <w:rFonts w:ascii="Arial" w:hAnsi="Arial" w:cs="Arial"/>
          <w:sz w:val="24"/>
          <w:szCs w:val="24"/>
        </w:rPr>
        <w:t xml:space="preserve">this </w:t>
      </w:r>
      <w:r w:rsidR="00FE0880">
        <w:rPr>
          <w:rFonts w:ascii="Arial" w:hAnsi="Arial" w:cs="Arial"/>
          <w:sz w:val="24"/>
          <w:szCs w:val="24"/>
        </w:rPr>
        <w:t xml:space="preserve">cannot be the legal position and it would offend against public policy and that that proposition by the </w:t>
      </w:r>
      <w:r w:rsidR="004E0141">
        <w:rPr>
          <w:rFonts w:ascii="Arial" w:hAnsi="Arial" w:cs="Arial"/>
          <w:sz w:val="24"/>
          <w:szCs w:val="24"/>
        </w:rPr>
        <w:t>respondent was</w:t>
      </w:r>
      <w:r w:rsidR="00FE0880">
        <w:rPr>
          <w:rFonts w:ascii="Arial" w:hAnsi="Arial" w:cs="Arial"/>
          <w:sz w:val="24"/>
          <w:szCs w:val="24"/>
        </w:rPr>
        <w:t xml:space="preserve"> dealt with and dismissed by the Constitutional Court of South Africa</w:t>
      </w:r>
      <w:r w:rsidR="00FE0880">
        <w:rPr>
          <w:rStyle w:val="FootnoteReference"/>
          <w:rFonts w:ascii="Arial" w:hAnsi="Arial" w:cs="Arial"/>
          <w:sz w:val="24"/>
          <w:szCs w:val="24"/>
        </w:rPr>
        <w:footnoteReference w:id="5"/>
      </w:r>
      <w:r w:rsidR="005264DB">
        <w:rPr>
          <w:rFonts w:ascii="Arial" w:hAnsi="Arial" w:cs="Arial"/>
          <w:sz w:val="24"/>
          <w:szCs w:val="24"/>
        </w:rPr>
        <w:t>,</w:t>
      </w:r>
      <w:r w:rsidR="00FE0880">
        <w:rPr>
          <w:rFonts w:ascii="Arial" w:hAnsi="Arial" w:cs="Arial"/>
          <w:sz w:val="24"/>
          <w:szCs w:val="24"/>
        </w:rPr>
        <w:t xml:space="preserve"> in this Court</w:t>
      </w:r>
      <w:r w:rsidR="00FE0880">
        <w:rPr>
          <w:rStyle w:val="FootnoteReference"/>
          <w:rFonts w:ascii="Arial" w:hAnsi="Arial" w:cs="Arial"/>
          <w:sz w:val="24"/>
          <w:szCs w:val="24"/>
        </w:rPr>
        <w:footnoteReference w:id="6"/>
      </w:r>
      <w:r w:rsidR="00FE0880">
        <w:rPr>
          <w:rFonts w:ascii="Arial" w:hAnsi="Arial" w:cs="Arial"/>
          <w:sz w:val="24"/>
          <w:szCs w:val="24"/>
        </w:rPr>
        <w:t xml:space="preserve"> and in two matters in the High Court</w:t>
      </w:r>
      <w:r w:rsidR="00FE0880">
        <w:rPr>
          <w:rStyle w:val="FootnoteReference"/>
          <w:rFonts w:ascii="Arial" w:hAnsi="Arial" w:cs="Arial"/>
          <w:sz w:val="24"/>
          <w:szCs w:val="24"/>
        </w:rPr>
        <w:footnoteReference w:id="7"/>
      </w:r>
      <w:r w:rsidR="005264DB">
        <w:rPr>
          <w:rFonts w:ascii="Arial" w:hAnsi="Arial" w:cs="Arial"/>
          <w:sz w:val="24"/>
          <w:szCs w:val="24"/>
        </w:rPr>
        <w:t>.</w:t>
      </w:r>
      <w:r w:rsidR="00FE0880">
        <w:rPr>
          <w:rFonts w:ascii="Arial" w:hAnsi="Arial" w:cs="Arial"/>
          <w:sz w:val="24"/>
          <w:szCs w:val="24"/>
        </w:rPr>
        <w:t xml:space="preserve"> We are urged to follow the approach of the Constitutional Court of South Africa </w:t>
      </w:r>
      <w:r w:rsidR="00705BBA">
        <w:rPr>
          <w:rFonts w:ascii="Arial" w:hAnsi="Arial" w:cs="Arial"/>
          <w:sz w:val="24"/>
          <w:szCs w:val="24"/>
        </w:rPr>
        <w:t>o</w:t>
      </w:r>
      <w:r w:rsidR="00FE0880">
        <w:rPr>
          <w:rFonts w:ascii="Arial" w:hAnsi="Arial" w:cs="Arial"/>
          <w:sz w:val="24"/>
          <w:szCs w:val="24"/>
        </w:rPr>
        <w:t xml:space="preserve">n the enforceability of settlement agreements. It is contended that rights created by the settlement agreement, and the subsequent cause of action (brought about </w:t>
      </w:r>
      <w:r w:rsidR="00705BBA">
        <w:rPr>
          <w:rFonts w:ascii="Arial" w:hAnsi="Arial" w:cs="Arial"/>
          <w:sz w:val="24"/>
          <w:szCs w:val="24"/>
        </w:rPr>
        <w:t>by</w:t>
      </w:r>
      <w:r w:rsidR="00FE0880">
        <w:rPr>
          <w:rFonts w:ascii="Arial" w:hAnsi="Arial" w:cs="Arial"/>
          <w:sz w:val="24"/>
          <w:szCs w:val="24"/>
        </w:rPr>
        <w:t xml:space="preserve"> misrepresentation) is distinct and separate from the </w:t>
      </w:r>
      <w:r w:rsidR="00687B8D" w:rsidRPr="007C6D0C">
        <w:rPr>
          <w:rFonts w:ascii="Arial" w:hAnsi="Arial" w:cs="Arial"/>
          <w:i/>
          <w:sz w:val="24"/>
          <w:szCs w:val="24"/>
        </w:rPr>
        <w:t>lis</w:t>
      </w:r>
      <w:r w:rsidR="00687B8D">
        <w:rPr>
          <w:rFonts w:ascii="Arial" w:hAnsi="Arial" w:cs="Arial"/>
          <w:sz w:val="24"/>
          <w:szCs w:val="24"/>
        </w:rPr>
        <w:t xml:space="preserve"> that was settled and thus cannot be visited with a special plea of </w:t>
      </w:r>
      <w:r w:rsidR="004E0141" w:rsidRPr="004E0141">
        <w:rPr>
          <w:rFonts w:ascii="Arial" w:hAnsi="Arial" w:cs="Arial"/>
          <w:i/>
          <w:sz w:val="24"/>
          <w:szCs w:val="24"/>
        </w:rPr>
        <w:t xml:space="preserve">res judicata </w:t>
      </w:r>
      <w:r w:rsidR="00687B8D">
        <w:rPr>
          <w:rFonts w:ascii="Arial" w:hAnsi="Arial" w:cs="Arial"/>
          <w:sz w:val="24"/>
          <w:szCs w:val="24"/>
        </w:rPr>
        <w:t xml:space="preserve">and that in the circumstances of appellant’s cause of action, her rights cannot be enforced by way of a writ of execution, contempt of proceedings </w:t>
      </w:r>
      <w:r w:rsidR="00C23D00">
        <w:rPr>
          <w:rFonts w:ascii="Arial" w:hAnsi="Arial" w:cs="Arial"/>
          <w:sz w:val="24"/>
          <w:szCs w:val="24"/>
        </w:rPr>
        <w:t>or a mandamus – the only remedy for the appellant is to have instituted the action.</w:t>
      </w:r>
    </w:p>
    <w:p w14:paraId="61099F84" w14:textId="77777777" w:rsidR="004E0141" w:rsidRDefault="004E0141" w:rsidP="004E0141">
      <w:pPr>
        <w:tabs>
          <w:tab w:val="left" w:pos="0"/>
        </w:tabs>
        <w:spacing w:after="0" w:line="480" w:lineRule="auto"/>
        <w:jc w:val="both"/>
        <w:rPr>
          <w:rFonts w:ascii="Arial" w:hAnsi="Arial" w:cs="Arial"/>
          <w:sz w:val="24"/>
          <w:szCs w:val="24"/>
        </w:rPr>
      </w:pPr>
    </w:p>
    <w:p w14:paraId="49396564" w14:textId="17E4A40E" w:rsidR="00C23D00"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C23D00">
        <w:rPr>
          <w:rFonts w:ascii="Arial" w:hAnsi="Arial" w:cs="Arial"/>
          <w:sz w:val="24"/>
          <w:szCs w:val="24"/>
        </w:rPr>
        <w:t xml:space="preserve">It is further contended that contextually and purposefully interpreted clause 26 relates only to litigation surrounding the compromised </w:t>
      </w:r>
      <w:r w:rsidR="00C23D00" w:rsidRPr="007C6D0C">
        <w:rPr>
          <w:rFonts w:ascii="Arial" w:hAnsi="Arial" w:cs="Arial"/>
          <w:i/>
          <w:sz w:val="24"/>
          <w:szCs w:val="24"/>
        </w:rPr>
        <w:t>lis</w:t>
      </w:r>
      <w:r w:rsidR="00C23D00">
        <w:rPr>
          <w:rFonts w:ascii="Arial" w:hAnsi="Arial" w:cs="Arial"/>
          <w:sz w:val="24"/>
          <w:szCs w:val="24"/>
        </w:rPr>
        <w:t xml:space="preserve"> ie the divorce action.</w:t>
      </w:r>
    </w:p>
    <w:p w14:paraId="39F39062" w14:textId="5C327CA5" w:rsidR="00C23D00"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lastRenderedPageBreak/>
        <w:t>[37]</w:t>
      </w:r>
      <w:r>
        <w:rPr>
          <w:rFonts w:ascii="Arial" w:hAnsi="Arial" w:cs="Arial"/>
          <w:sz w:val="24"/>
          <w:szCs w:val="24"/>
        </w:rPr>
        <w:tab/>
      </w:r>
      <w:r w:rsidR="00C23D00">
        <w:rPr>
          <w:rFonts w:ascii="Arial" w:hAnsi="Arial" w:cs="Arial"/>
          <w:sz w:val="24"/>
          <w:szCs w:val="24"/>
        </w:rPr>
        <w:t xml:space="preserve">Finally it is contended that public policy denotes fairness, justice and reasonableness and a contractual term that deprives a party from seeking redress at any time in the courts of justice for any future injury or wrong committed against him </w:t>
      </w:r>
      <w:r w:rsidR="00705BBA">
        <w:rPr>
          <w:rFonts w:ascii="Arial" w:hAnsi="Arial" w:cs="Arial"/>
          <w:sz w:val="24"/>
          <w:szCs w:val="24"/>
        </w:rPr>
        <w:t xml:space="preserve">or her </w:t>
      </w:r>
      <w:r w:rsidR="00C23D00">
        <w:rPr>
          <w:rFonts w:ascii="Arial" w:hAnsi="Arial" w:cs="Arial"/>
          <w:sz w:val="24"/>
          <w:szCs w:val="24"/>
        </w:rPr>
        <w:t xml:space="preserve">may offend public policy. Counsel further contend that in interpreting clause </w:t>
      </w:r>
      <w:r w:rsidR="00616C24">
        <w:rPr>
          <w:rFonts w:ascii="Arial" w:hAnsi="Arial" w:cs="Arial"/>
          <w:sz w:val="24"/>
          <w:szCs w:val="24"/>
        </w:rPr>
        <w:t>26</w:t>
      </w:r>
      <w:r w:rsidR="005264DB">
        <w:rPr>
          <w:rFonts w:ascii="Arial" w:hAnsi="Arial" w:cs="Arial"/>
          <w:sz w:val="24"/>
          <w:szCs w:val="24"/>
        </w:rPr>
        <w:t>,</w:t>
      </w:r>
      <w:r w:rsidR="00616C24">
        <w:rPr>
          <w:rFonts w:ascii="Arial" w:hAnsi="Arial" w:cs="Arial"/>
          <w:sz w:val="24"/>
          <w:szCs w:val="24"/>
        </w:rPr>
        <w:t xml:space="preserve"> </w:t>
      </w:r>
      <w:r w:rsidR="00C23D00">
        <w:rPr>
          <w:rFonts w:ascii="Arial" w:hAnsi="Arial" w:cs="Arial"/>
          <w:sz w:val="24"/>
          <w:szCs w:val="24"/>
        </w:rPr>
        <w:t xml:space="preserve">regard must </w:t>
      </w:r>
      <w:r w:rsidR="00A24AF1">
        <w:rPr>
          <w:rFonts w:ascii="Arial" w:hAnsi="Arial" w:cs="Arial"/>
          <w:sz w:val="24"/>
          <w:szCs w:val="24"/>
        </w:rPr>
        <w:t>be had to public polic</w:t>
      </w:r>
      <w:r w:rsidR="00C15C9D">
        <w:rPr>
          <w:rFonts w:ascii="Arial" w:hAnsi="Arial" w:cs="Arial"/>
          <w:sz w:val="24"/>
          <w:szCs w:val="24"/>
        </w:rPr>
        <w:t>y, the context of the contract as well as the appellant’s case on the pleadings and submit</w:t>
      </w:r>
      <w:r w:rsidR="00616C24">
        <w:rPr>
          <w:rFonts w:ascii="Arial" w:hAnsi="Arial" w:cs="Arial"/>
          <w:sz w:val="24"/>
          <w:szCs w:val="24"/>
        </w:rPr>
        <w:t>s that for the misrepresentation</w:t>
      </w:r>
      <w:r w:rsidR="00C15C9D">
        <w:rPr>
          <w:rFonts w:ascii="Arial" w:hAnsi="Arial" w:cs="Arial"/>
          <w:sz w:val="24"/>
          <w:szCs w:val="24"/>
        </w:rPr>
        <w:t>, respondent should not be heard to rely on clause 26, thereby preventing the appellant from seeking damages on a new cause of action as that would offend public policy.</w:t>
      </w:r>
    </w:p>
    <w:p w14:paraId="4FF6DE63" w14:textId="77777777" w:rsidR="004E0141" w:rsidRDefault="004E0141" w:rsidP="00C167C8">
      <w:pPr>
        <w:pStyle w:val="ListParagraph"/>
        <w:spacing w:after="0" w:line="480" w:lineRule="auto"/>
        <w:jc w:val="both"/>
        <w:rPr>
          <w:rFonts w:ascii="Arial" w:hAnsi="Arial" w:cs="Arial"/>
          <w:sz w:val="24"/>
          <w:szCs w:val="24"/>
        </w:rPr>
      </w:pPr>
    </w:p>
    <w:p w14:paraId="4CBE4D30" w14:textId="255C2CE1" w:rsidR="00C15C9D"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C15C9D">
        <w:rPr>
          <w:rFonts w:ascii="Arial" w:hAnsi="Arial" w:cs="Arial"/>
          <w:sz w:val="24"/>
          <w:szCs w:val="24"/>
        </w:rPr>
        <w:t xml:space="preserve">The issue for determination remains as was framed by the court </w:t>
      </w:r>
      <w:r w:rsidR="00C15C9D" w:rsidRPr="00D930C0">
        <w:rPr>
          <w:rFonts w:ascii="Arial" w:hAnsi="Arial" w:cs="Arial"/>
          <w:i/>
          <w:sz w:val="24"/>
          <w:szCs w:val="24"/>
        </w:rPr>
        <w:t>a quo</w:t>
      </w:r>
      <w:r w:rsidR="00C15C9D">
        <w:rPr>
          <w:rFonts w:ascii="Arial" w:hAnsi="Arial" w:cs="Arial"/>
          <w:sz w:val="24"/>
          <w:szCs w:val="24"/>
        </w:rPr>
        <w:t xml:space="preserve"> namely, what effect the settlement agreement has on the </w:t>
      </w:r>
      <w:r w:rsidR="004E0141">
        <w:rPr>
          <w:rFonts w:ascii="Arial" w:hAnsi="Arial" w:cs="Arial"/>
          <w:sz w:val="24"/>
          <w:szCs w:val="24"/>
        </w:rPr>
        <w:t>parties’</w:t>
      </w:r>
      <w:r w:rsidR="00C15C9D">
        <w:rPr>
          <w:rFonts w:ascii="Arial" w:hAnsi="Arial" w:cs="Arial"/>
          <w:sz w:val="24"/>
          <w:szCs w:val="24"/>
        </w:rPr>
        <w:t xml:space="preserve"> rights and obligations.</w:t>
      </w:r>
    </w:p>
    <w:p w14:paraId="3BA40061" w14:textId="77777777" w:rsidR="004E0141" w:rsidRDefault="004E0141" w:rsidP="00C167C8">
      <w:pPr>
        <w:pStyle w:val="ListParagraph"/>
        <w:spacing w:after="0" w:line="480" w:lineRule="auto"/>
        <w:jc w:val="both"/>
        <w:rPr>
          <w:rFonts w:ascii="Arial" w:hAnsi="Arial" w:cs="Arial"/>
          <w:sz w:val="24"/>
          <w:szCs w:val="24"/>
        </w:rPr>
      </w:pPr>
    </w:p>
    <w:p w14:paraId="1DAF7031" w14:textId="0038FD5B" w:rsidR="00C15C9D" w:rsidRPr="00C15C9D" w:rsidRDefault="0025209F" w:rsidP="0025209F">
      <w:pPr>
        <w:tabs>
          <w:tab w:val="left" w:pos="0"/>
        </w:tabs>
        <w:spacing w:after="0" w:line="480" w:lineRule="auto"/>
        <w:jc w:val="both"/>
        <w:rPr>
          <w:rFonts w:ascii="Arial" w:hAnsi="Arial" w:cs="Arial"/>
          <w:i/>
          <w:sz w:val="24"/>
          <w:szCs w:val="24"/>
        </w:rPr>
      </w:pPr>
      <w:r w:rsidRPr="00C15C9D">
        <w:rPr>
          <w:rFonts w:ascii="Arial" w:hAnsi="Arial" w:cs="Arial"/>
          <w:sz w:val="24"/>
          <w:szCs w:val="24"/>
        </w:rPr>
        <w:t>[39]</w:t>
      </w:r>
      <w:r w:rsidRPr="00C15C9D">
        <w:rPr>
          <w:rFonts w:ascii="Arial" w:hAnsi="Arial" w:cs="Arial"/>
          <w:sz w:val="24"/>
          <w:szCs w:val="24"/>
        </w:rPr>
        <w:tab/>
      </w:r>
      <w:r w:rsidR="00C15C9D">
        <w:rPr>
          <w:rFonts w:ascii="Arial" w:hAnsi="Arial" w:cs="Arial"/>
          <w:sz w:val="24"/>
          <w:szCs w:val="24"/>
        </w:rPr>
        <w:t xml:space="preserve">The status of the settlement agreement was sufficiently canvassed in the court </w:t>
      </w:r>
      <w:r w:rsidR="00C15C9D" w:rsidRPr="00D930C0">
        <w:rPr>
          <w:rFonts w:ascii="Arial" w:hAnsi="Arial" w:cs="Arial"/>
          <w:i/>
          <w:sz w:val="24"/>
          <w:szCs w:val="24"/>
        </w:rPr>
        <w:t>a quo</w:t>
      </w:r>
      <w:r w:rsidR="00C15C9D">
        <w:rPr>
          <w:rFonts w:ascii="Arial" w:hAnsi="Arial" w:cs="Arial"/>
          <w:sz w:val="24"/>
          <w:szCs w:val="24"/>
        </w:rPr>
        <w:t>, save to say – it is a practice well-established in our legal system.</w:t>
      </w:r>
      <w:r w:rsidR="00C15C9D">
        <w:rPr>
          <w:rStyle w:val="FootnoteReference"/>
          <w:rFonts w:ascii="Arial" w:hAnsi="Arial" w:cs="Arial"/>
          <w:sz w:val="24"/>
          <w:szCs w:val="24"/>
        </w:rPr>
        <w:footnoteReference w:id="8"/>
      </w:r>
      <w:r w:rsidR="00C15C9D">
        <w:rPr>
          <w:rFonts w:ascii="Arial" w:hAnsi="Arial" w:cs="Arial"/>
          <w:sz w:val="24"/>
          <w:szCs w:val="24"/>
        </w:rPr>
        <w:t xml:space="preserve"> The effect of a settlement agreement in this court was articulated </w:t>
      </w:r>
      <w:r w:rsidR="00616C24">
        <w:rPr>
          <w:rFonts w:ascii="Arial" w:hAnsi="Arial" w:cs="Arial"/>
          <w:sz w:val="24"/>
          <w:szCs w:val="24"/>
        </w:rPr>
        <w:t xml:space="preserve">in </w:t>
      </w:r>
      <w:r w:rsidR="00C15C9D" w:rsidRPr="00C15C9D">
        <w:rPr>
          <w:rFonts w:ascii="Arial" w:hAnsi="Arial" w:cs="Arial"/>
          <w:i/>
          <w:sz w:val="24"/>
          <w:szCs w:val="24"/>
        </w:rPr>
        <w:t>Katjizeu</w:t>
      </w:r>
      <w:r w:rsidR="00C15C9D">
        <w:rPr>
          <w:rFonts w:ascii="Arial" w:hAnsi="Arial" w:cs="Arial"/>
          <w:sz w:val="24"/>
          <w:szCs w:val="24"/>
        </w:rPr>
        <w:t>,</w:t>
      </w:r>
      <w:r w:rsidR="00C15C9D">
        <w:rPr>
          <w:rStyle w:val="FootnoteReference"/>
          <w:rFonts w:ascii="Arial" w:hAnsi="Arial" w:cs="Arial"/>
          <w:sz w:val="24"/>
          <w:szCs w:val="24"/>
        </w:rPr>
        <w:footnoteReference w:id="9"/>
      </w:r>
      <w:r w:rsidR="00C15C9D">
        <w:rPr>
          <w:rFonts w:ascii="Arial" w:hAnsi="Arial" w:cs="Arial"/>
          <w:sz w:val="24"/>
          <w:szCs w:val="24"/>
        </w:rPr>
        <w:t xml:space="preserve"> where the court referred with approval to a Canadian case </w:t>
      </w:r>
      <w:r w:rsidR="00C15C9D" w:rsidRPr="00C15C9D">
        <w:rPr>
          <w:rFonts w:ascii="Arial" w:hAnsi="Arial" w:cs="Arial"/>
          <w:i/>
          <w:sz w:val="24"/>
          <w:szCs w:val="24"/>
        </w:rPr>
        <w:t xml:space="preserve">George </w:t>
      </w:r>
      <w:r w:rsidR="00C15C9D">
        <w:rPr>
          <w:rFonts w:ascii="Arial" w:hAnsi="Arial" w:cs="Arial"/>
          <w:i/>
          <w:sz w:val="24"/>
          <w:szCs w:val="24"/>
        </w:rPr>
        <w:t xml:space="preserve">v 1008810 Ontario Ltd </w:t>
      </w:r>
      <w:r w:rsidR="00C15C9D" w:rsidRPr="00C15C9D">
        <w:rPr>
          <w:rFonts w:ascii="Arial" w:hAnsi="Arial" w:cs="Arial"/>
          <w:sz w:val="24"/>
          <w:szCs w:val="24"/>
        </w:rPr>
        <w:t xml:space="preserve"> 2004</w:t>
      </w:r>
      <w:r w:rsidR="00C15C9D">
        <w:rPr>
          <w:rFonts w:ascii="Arial" w:hAnsi="Arial" w:cs="Arial"/>
          <w:sz w:val="24"/>
          <w:szCs w:val="24"/>
        </w:rPr>
        <w:t xml:space="preserve"> Ca</w:t>
      </w:r>
      <w:r w:rsidR="00212E8B">
        <w:rPr>
          <w:rFonts w:ascii="Arial" w:hAnsi="Arial" w:cs="Arial"/>
          <w:sz w:val="24"/>
          <w:szCs w:val="24"/>
        </w:rPr>
        <w:t>n</w:t>
      </w:r>
      <w:r w:rsidR="00C15C9D">
        <w:rPr>
          <w:rFonts w:ascii="Arial" w:hAnsi="Arial" w:cs="Arial"/>
          <w:sz w:val="24"/>
          <w:szCs w:val="24"/>
        </w:rPr>
        <w:t xml:space="preserve">LII 33763 (ON LRB) when the </w:t>
      </w:r>
      <w:r w:rsidR="00D930C0">
        <w:rPr>
          <w:rFonts w:ascii="Arial" w:hAnsi="Arial" w:cs="Arial"/>
          <w:sz w:val="24"/>
          <w:szCs w:val="24"/>
        </w:rPr>
        <w:t>C</w:t>
      </w:r>
      <w:r w:rsidR="00C15C9D">
        <w:rPr>
          <w:rFonts w:ascii="Arial" w:hAnsi="Arial" w:cs="Arial"/>
          <w:sz w:val="24"/>
          <w:szCs w:val="24"/>
        </w:rPr>
        <w:t>ourt at para 23, said:</w:t>
      </w:r>
    </w:p>
    <w:p w14:paraId="6E6FD14E" w14:textId="77777777" w:rsidR="00C15C9D" w:rsidRDefault="00C15C9D" w:rsidP="00C15C9D">
      <w:pPr>
        <w:tabs>
          <w:tab w:val="left" w:pos="0"/>
        </w:tabs>
        <w:spacing w:after="0" w:line="480" w:lineRule="auto"/>
        <w:jc w:val="both"/>
        <w:rPr>
          <w:rFonts w:ascii="Arial" w:hAnsi="Arial" w:cs="Arial"/>
          <w:sz w:val="24"/>
          <w:szCs w:val="24"/>
        </w:rPr>
      </w:pPr>
    </w:p>
    <w:p w14:paraId="52BD7E71" w14:textId="77777777" w:rsidR="00C15C9D" w:rsidRPr="008521EA" w:rsidRDefault="00C15C9D" w:rsidP="008521EA">
      <w:pPr>
        <w:tabs>
          <w:tab w:val="left" w:pos="0"/>
        </w:tabs>
        <w:spacing w:after="0" w:line="360" w:lineRule="auto"/>
        <w:ind w:left="720"/>
        <w:jc w:val="both"/>
        <w:rPr>
          <w:rFonts w:ascii="Arial" w:hAnsi="Arial" w:cs="Arial"/>
        </w:rPr>
      </w:pPr>
      <w:r w:rsidRPr="008521EA">
        <w:rPr>
          <w:rFonts w:ascii="Arial" w:hAnsi="Arial" w:cs="Arial"/>
        </w:rPr>
        <w:t xml:space="preserve">‘At common-law, the effect of a settlement was to put an end to the underlying cause of action: </w:t>
      </w:r>
      <w:r w:rsidRPr="008521EA">
        <w:rPr>
          <w:rFonts w:ascii="Arial" w:hAnsi="Arial" w:cs="Arial"/>
          <w:i/>
        </w:rPr>
        <w:t>Halsbury’s Law of England</w:t>
      </w:r>
      <w:r w:rsidRPr="008521EA">
        <w:rPr>
          <w:rFonts w:ascii="Arial" w:hAnsi="Arial" w:cs="Arial"/>
        </w:rPr>
        <w:t>, 4</w:t>
      </w:r>
      <w:r w:rsidR="00267962" w:rsidRPr="008521EA">
        <w:rPr>
          <w:rFonts w:ascii="Arial" w:hAnsi="Arial" w:cs="Arial"/>
        </w:rPr>
        <w:t xml:space="preserve"> </w:t>
      </w:r>
      <w:r w:rsidRPr="008521EA">
        <w:rPr>
          <w:rFonts w:ascii="Arial" w:hAnsi="Arial" w:cs="Arial"/>
        </w:rPr>
        <w:t>ed, vol 37</w:t>
      </w:r>
      <w:r w:rsidR="000E6C15">
        <w:rPr>
          <w:rFonts w:ascii="Arial" w:hAnsi="Arial" w:cs="Arial"/>
        </w:rPr>
        <w:t xml:space="preserve"> </w:t>
      </w:r>
      <w:r w:rsidRPr="008521EA">
        <w:rPr>
          <w:rFonts w:ascii="Arial" w:hAnsi="Arial" w:cs="Arial"/>
        </w:rPr>
        <w:t>para 391:</w:t>
      </w:r>
    </w:p>
    <w:p w14:paraId="4AA89E79" w14:textId="77777777" w:rsidR="00C15C9D" w:rsidRPr="008521EA" w:rsidRDefault="00C15C9D" w:rsidP="008521EA">
      <w:pPr>
        <w:tabs>
          <w:tab w:val="left" w:pos="0"/>
        </w:tabs>
        <w:spacing w:after="0" w:line="360" w:lineRule="auto"/>
        <w:jc w:val="both"/>
        <w:rPr>
          <w:rFonts w:ascii="Arial" w:hAnsi="Arial" w:cs="Arial"/>
        </w:rPr>
      </w:pPr>
    </w:p>
    <w:p w14:paraId="41D4779A" w14:textId="77777777" w:rsidR="00C15C9D" w:rsidRPr="008521EA" w:rsidRDefault="00C15C9D" w:rsidP="008521EA">
      <w:pPr>
        <w:tabs>
          <w:tab w:val="left" w:pos="0"/>
        </w:tabs>
        <w:spacing w:after="0" w:line="360" w:lineRule="auto"/>
        <w:ind w:left="1440"/>
        <w:jc w:val="both"/>
        <w:rPr>
          <w:rFonts w:ascii="Arial" w:hAnsi="Arial" w:cs="Arial"/>
        </w:rPr>
      </w:pPr>
      <w:r w:rsidRPr="008521EA">
        <w:rPr>
          <w:rFonts w:ascii="Arial" w:hAnsi="Arial" w:cs="Arial"/>
        </w:rPr>
        <w:t xml:space="preserve">“Effect of settlement or compromise. Where the parties settle or compromise pending proceedings, whether before, at or during the trial, the settlement or </w:t>
      </w:r>
      <w:r w:rsidRPr="008521EA">
        <w:rPr>
          <w:rFonts w:ascii="Arial" w:hAnsi="Arial" w:cs="Arial"/>
        </w:rPr>
        <w:lastRenderedPageBreak/>
        <w:t>compromise constitutes a new and independent agreement between them made for good consideration. Its effect</w:t>
      </w:r>
      <w:r w:rsidR="005264DB">
        <w:rPr>
          <w:rFonts w:ascii="Arial" w:hAnsi="Arial" w:cs="Arial"/>
        </w:rPr>
        <w:t>s</w:t>
      </w:r>
      <w:r w:rsidRPr="008521EA">
        <w:rPr>
          <w:rFonts w:ascii="Arial" w:hAnsi="Arial" w:cs="Arial"/>
        </w:rPr>
        <w:t xml:space="preserve"> are (</w:t>
      </w:r>
      <w:r w:rsidRPr="00D930C0">
        <w:rPr>
          <w:rFonts w:ascii="Arial" w:hAnsi="Arial" w:cs="Arial"/>
          <w:i/>
        </w:rPr>
        <w:t>1</w:t>
      </w:r>
      <w:r w:rsidRPr="008521EA">
        <w:rPr>
          <w:rFonts w:ascii="Arial" w:hAnsi="Arial" w:cs="Arial"/>
        </w:rPr>
        <w:t xml:space="preserve">) </w:t>
      </w:r>
      <w:r w:rsidRPr="008521EA">
        <w:rPr>
          <w:rFonts w:ascii="Arial" w:hAnsi="Arial" w:cs="Arial"/>
          <w:i/>
        </w:rPr>
        <w:t>to put an end to the proceedings, for they are thereby spent and exhausted, (2) to preclude the parties fr</w:t>
      </w:r>
      <w:r w:rsidR="00C167C8">
        <w:rPr>
          <w:rFonts w:ascii="Arial" w:hAnsi="Arial" w:cs="Arial"/>
          <w:i/>
        </w:rPr>
        <w:t>o</w:t>
      </w:r>
      <w:r w:rsidRPr="008521EA">
        <w:rPr>
          <w:rFonts w:ascii="Arial" w:hAnsi="Arial" w:cs="Arial"/>
          <w:i/>
        </w:rPr>
        <w:t>m taking any further steps in the action</w:t>
      </w:r>
      <w:r w:rsidR="009C2BE2" w:rsidRPr="008521EA">
        <w:rPr>
          <w:rFonts w:ascii="Arial" w:hAnsi="Arial" w:cs="Arial"/>
          <w:i/>
        </w:rPr>
        <w:t xml:space="preserve"> except where they are provided for liberty to apply to enforce the agreed terms, and (3) to supersede the original cause of action altogether. </w:t>
      </w:r>
      <w:r w:rsidR="009C2BE2" w:rsidRPr="008521EA">
        <w:rPr>
          <w:rFonts w:ascii="Arial" w:hAnsi="Arial" w:cs="Arial"/>
        </w:rPr>
        <w:t xml:space="preserve"> A judgment or order made</w:t>
      </w:r>
      <w:r w:rsidR="005264DB">
        <w:rPr>
          <w:rFonts w:ascii="Arial" w:hAnsi="Arial" w:cs="Arial"/>
        </w:rPr>
        <w:t xml:space="preserve"> by</w:t>
      </w:r>
      <w:r w:rsidR="009C2BE2" w:rsidRPr="008521EA">
        <w:rPr>
          <w:rFonts w:ascii="Arial" w:hAnsi="Arial" w:cs="Arial"/>
        </w:rPr>
        <w:t xml:space="preserve"> consent is binding unless and until it has been set aside in proceedings instituted for that purpose and its acts, moreove</w:t>
      </w:r>
      <w:r w:rsidR="00616C24">
        <w:rPr>
          <w:rFonts w:ascii="Arial" w:hAnsi="Arial" w:cs="Arial"/>
        </w:rPr>
        <w:t>r, as an estoppel by record.”’</w:t>
      </w:r>
    </w:p>
    <w:p w14:paraId="0EFD1B27" w14:textId="77777777" w:rsidR="00267962" w:rsidRDefault="00267962" w:rsidP="009C2BE2">
      <w:pPr>
        <w:tabs>
          <w:tab w:val="left" w:pos="0"/>
        </w:tabs>
        <w:spacing w:after="0" w:line="480" w:lineRule="auto"/>
        <w:ind w:left="1440"/>
        <w:jc w:val="both"/>
        <w:rPr>
          <w:rFonts w:ascii="Arial" w:hAnsi="Arial" w:cs="Arial"/>
          <w:sz w:val="24"/>
          <w:szCs w:val="24"/>
        </w:rPr>
      </w:pPr>
    </w:p>
    <w:p w14:paraId="1F07503B" w14:textId="621950AE" w:rsidR="00267962" w:rsidRPr="0025209F"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267962" w:rsidRPr="0025209F">
        <w:rPr>
          <w:rFonts w:ascii="Arial" w:hAnsi="Arial" w:cs="Arial"/>
          <w:sz w:val="24"/>
          <w:szCs w:val="24"/>
        </w:rPr>
        <w:t xml:space="preserve">In </w:t>
      </w:r>
      <w:r w:rsidR="00267962" w:rsidRPr="0025209F">
        <w:rPr>
          <w:rFonts w:ascii="Arial" w:hAnsi="Arial" w:cs="Arial"/>
          <w:i/>
          <w:sz w:val="24"/>
          <w:szCs w:val="24"/>
        </w:rPr>
        <w:t>Eke v Parsons</w:t>
      </w:r>
      <w:r w:rsidR="005264DB" w:rsidRPr="0025209F">
        <w:rPr>
          <w:rFonts w:ascii="Arial" w:hAnsi="Arial" w:cs="Arial"/>
          <w:i/>
          <w:sz w:val="24"/>
          <w:szCs w:val="24"/>
        </w:rPr>
        <w:t>,</w:t>
      </w:r>
      <w:r w:rsidR="00267962" w:rsidRPr="0025209F">
        <w:rPr>
          <w:rFonts w:ascii="Arial" w:hAnsi="Arial" w:cs="Arial"/>
          <w:sz w:val="24"/>
          <w:szCs w:val="24"/>
        </w:rPr>
        <w:t xml:space="preserve"> </w:t>
      </w:r>
      <w:r w:rsidR="00373334" w:rsidRPr="0025209F">
        <w:rPr>
          <w:rFonts w:ascii="Arial" w:hAnsi="Arial" w:cs="Arial"/>
          <w:sz w:val="24"/>
          <w:szCs w:val="24"/>
        </w:rPr>
        <w:t xml:space="preserve">the matter counsel for the appellant relies on, which we are urged to follow, </w:t>
      </w:r>
      <w:r w:rsidR="00267962" w:rsidRPr="0025209F">
        <w:rPr>
          <w:rFonts w:ascii="Arial" w:hAnsi="Arial" w:cs="Arial"/>
          <w:sz w:val="24"/>
          <w:szCs w:val="24"/>
        </w:rPr>
        <w:t>on the effect of the settlement the court said:</w:t>
      </w:r>
    </w:p>
    <w:p w14:paraId="769DAF96" w14:textId="77777777" w:rsidR="004E0141" w:rsidRDefault="00267962" w:rsidP="00267962">
      <w:pPr>
        <w:pStyle w:val="ListParagraph"/>
        <w:tabs>
          <w:tab w:val="left" w:pos="0"/>
        </w:tabs>
        <w:spacing w:after="0" w:line="480" w:lineRule="auto"/>
        <w:ind w:hanging="720"/>
        <w:jc w:val="both"/>
        <w:rPr>
          <w:rFonts w:ascii="Arial" w:hAnsi="Arial" w:cs="Arial"/>
          <w:sz w:val="24"/>
          <w:szCs w:val="24"/>
        </w:rPr>
      </w:pPr>
      <w:r>
        <w:rPr>
          <w:rFonts w:ascii="Arial" w:hAnsi="Arial" w:cs="Arial"/>
          <w:sz w:val="24"/>
          <w:szCs w:val="24"/>
        </w:rPr>
        <w:tab/>
      </w:r>
    </w:p>
    <w:p w14:paraId="1A660AA0" w14:textId="77777777" w:rsidR="00267962" w:rsidRPr="003C10AD" w:rsidRDefault="004E0141" w:rsidP="003C10AD">
      <w:pPr>
        <w:pStyle w:val="ListParagraph"/>
        <w:tabs>
          <w:tab w:val="left" w:pos="0"/>
        </w:tabs>
        <w:spacing w:after="0" w:line="360" w:lineRule="auto"/>
        <w:ind w:hanging="720"/>
        <w:jc w:val="both"/>
        <w:rPr>
          <w:rFonts w:ascii="Arial" w:hAnsi="Arial" w:cs="Arial"/>
        </w:rPr>
      </w:pPr>
      <w:r>
        <w:rPr>
          <w:rFonts w:ascii="Arial" w:hAnsi="Arial" w:cs="Arial"/>
          <w:sz w:val="24"/>
          <w:szCs w:val="24"/>
        </w:rPr>
        <w:tab/>
      </w:r>
      <w:r w:rsidR="00267962" w:rsidRPr="003C10AD">
        <w:rPr>
          <w:rFonts w:ascii="Arial" w:hAnsi="Arial" w:cs="Arial"/>
        </w:rPr>
        <w:t>‘[31]</w:t>
      </w:r>
      <w:r w:rsidR="00267962" w:rsidRPr="003C10AD">
        <w:rPr>
          <w:rFonts w:ascii="Arial" w:hAnsi="Arial" w:cs="Arial"/>
        </w:rPr>
        <w:tab/>
        <w:t xml:space="preserve">The effect of a settlement order is to change the status of the rights and obligations between the parties. Save for litigation that may be consequent upon the nature of the particular order, the order brings finality to the </w:t>
      </w:r>
      <w:r w:rsidR="00267962" w:rsidRPr="003C10AD">
        <w:rPr>
          <w:rFonts w:ascii="Arial" w:hAnsi="Arial" w:cs="Arial"/>
          <w:i/>
        </w:rPr>
        <w:t>lis</w:t>
      </w:r>
      <w:r w:rsidR="00267962" w:rsidRPr="003C10AD">
        <w:rPr>
          <w:rFonts w:ascii="Arial" w:hAnsi="Arial" w:cs="Arial"/>
        </w:rPr>
        <w:t xml:space="preserve"> between the parties; the </w:t>
      </w:r>
      <w:r w:rsidR="00267962" w:rsidRPr="003C10AD">
        <w:rPr>
          <w:rFonts w:ascii="Arial" w:hAnsi="Arial" w:cs="Arial"/>
          <w:i/>
        </w:rPr>
        <w:t>lis</w:t>
      </w:r>
      <w:r w:rsidR="00267962" w:rsidRPr="003C10AD">
        <w:rPr>
          <w:rFonts w:ascii="Arial" w:hAnsi="Arial" w:cs="Arial"/>
        </w:rPr>
        <w:t xml:space="preserve"> becomes </w:t>
      </w:r>
      <w:r w:rsidR="00267962" w:rsidRPr="008521EA">
        <w:rPr>
          <w:rFonts w:ascii="Arial" w:hAnsi="Arial" w:cs="Arial"/>
          <w:i/>
        </w:rPr>
        <w:t>re</w:t>
      </w:r>
      <w:r w:rsidR="008521EA" w:rsidRPr="008521EA">
        <w:rPr>
          <w:rFonts w:ascii="Arial" w:hAnsi="Arial" w:cs="Arial"/>
          <w:i/>
        </w:rPr>
        <w:t>s</w:t>
      </w:r>
      <w:r w:rsidR="00267962" w:rsidRPr="008521EA">
        <w:rPr>
          <w:rFonts w:ascii="Arial" w:hAnsi="Arial" w:cs="Arial"/>
          <w:i/>
        </w:rPr>
        <w:t xml:space="preserve"> judicata</w:t>
      </w:r>
      <w:r w:rsidR="00267962" w:rsidRPr="003C10AD">
        <w:rPr>
          <w:rFonts w:ascii="Arial" w:hAnsi="Arial" w:cs="Arial"/>
        </w:rPr>
        <w:t xml:space="preserve"> (literally, </w:t>
      </w:r>
      <w:r w:rsidR="00D930C0">
        <w:rPr>
          <w:rFonts w:ascii="Arial" w:hAnsi="Arial" w:cs="Arial"/>
        </w:rPr>
        <w:t>“</w:t>
      </w:r>
      <w:r w:rsidR="00267962" w:rsidRPr="003C10AD">
        <w:rPr>
          <w:rFonts w:ascii="Arial" w:hAnsi="Arial" w:cs="Arial"/>
        </w:rPr>
        <w:t>a matter judge</w:t>
      </w:r>
      <w:r w:rsidR="00616C24">
        <w:rPr>
          <w:rFonts w:ascii="Arial" w:hAnsi="Arial" w:cs="Arial"/>
        </w:rPr>
        <w:t>d</w:t>
      </w:r>
      <w:r w:rsidR="00D930C0">
        <w:rPr>
          <w:rFonts w:ascii="Arial" w:hAnsi="Arial" w:cs="Arial"/>
        </w:rPr>
        <w:t>”</w:t>
      </w:r>
      <w:r w:rsidR="00267962" w:rsidRPr="003C10AD">
        <w:rPr>
          <w:rFonts w:ascii="Arial" w:hAnsi="Arial" w:cs="Arial"/>
        </w:rPr>
        <w:t xml:space="preserve">). It changes the terms of a settlement agreement to an enforceable court order. The type of enforcement may be execution or contempt proceedings. Or it may take any other form permitted by the nature of the order. That form may possibly be some litigation the nature of which will be one step removed from seeking committal for contempt; an example being a </w:t>
      </w:r>
      <w:r w:rsidR="00267962" w:rsidRPr="00D930C0">
        <w:rPr>
          <w:rFonts w:ascii="Arial" w:hAnsi="Arial" w:cs="Arial"/>
          <w:i/>
        </w:rPr>
        <w:t>mandamus</w:t>
      </w:r>
      <w:r w:rsidR="00267962" w:rsidRPr="003C10AD">
        <w:rPr>
          <w:rFonts w:ascii="Arial" w:hAnsi="Arial" w:cs="Arial"/>
        </w:rPr>
        <w:t>.’</w:t>
      </w:r>
    </w:p>
    <w:p w14:paraId="57B25CC9" w14:textId="77777777" w:rsidR="006762D5" w:rsidRDefault="006762D5" w:rsidP="00267962">
      <w:pPr>
        <w:pStyle w:val="ListParagraph"/>
        <w:tabs>
          <w:tab w:val="left" w:pos="0"/>
        </w:tabs>
        <w:spacing w:after="0" w:line="480" w:lineRule="auto"/>
        <w:ind w:hanging="720"/>
        <w:jc w:val="both"/>
        <w:rPr>
          <w:rFonts w:ascii="Arial" w:hAnsi="Arial" w:cs="Arial"/>
          <w:sz w:val="24"/>
          <w:szCs w:val="24"/>
        </w:rPr>
      </w:pPr>
    </w:p>
    <w:p w14:paraId="709E81DA" w14:textId="460FFAD9" w:rsidR="00267962" w:rsidRPr="0025209F"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6762D5" w:rsidRPr="0025209F">
        <w:rPr>
          <w:rFonts w:ascii="Arial" w:hAnsi="Arial" w:cs="Arial"/>
          <w:sz w:val="24"/>
          <w:szCs w:val="24"/>
        </w:rPr>
        <w:t>Once a settlement has been made an order of court, it is an order like any other.</w:t>
      </w:r>
      <w:r w:rsidR="006762D5">
        <w:rPr>
          <w:rStyle w:val="FootnoteReference"/>
          <w:rFonts w:ascii="Arial" w:hAnsi="Arial" w:cs="Arial"/>
          <w:sz w:val="24"/>
          <w:szCs w:val="24"/>
        </w:rPr>
        <w:footnoteReference w:id="10"/>
      </w:r>
      <w:r w:rsidR="006762D5" w:rsidRPr="0025209F">
        <w:rPr>
          <w:rFonts w:ascii="Arial" w:hAnsi="Arial" w:cs="Arial"/>
          <w:sz w:val="24"/>
          <w:szCs w:val="24"/>
        </w:rPr>
        <w:t xml:space="preserve"> It will be interpreted like all other court orders.</w:t>
      </w:r>
      <w:r w:rsidR="006762D5">
        <w:rPr>
          <w:rStyle w:val="FootnoteReference"/>
          <w:rFonts w:ascii="Arial" w:hAnsi="Arial" w:cs="Arial"/>
          <w:sz w:val="24"/>
          <w:szCs w:val="24"/>
        </w:rPr>
        <w:footnoteReference w:id="11"/>
      </w:r>
      <w:r w:rsidR="006762D5" w:rsidRPr="0025209F">
        <w:rPr>
          <w:rFonts w:ascii="Arial" w:hAnsi="Arial" w:cs="Arial"/>
          <w:sz w:val="24"/>
          <w:szCs w:val="24"/>
        </w:rPr>
        <w:t xml:space="preserve"> The well-established test on the interpretation of court order</w:t>
      </w:r>
      <w:r w:rsidR="00270527" w:rsidRPr="0025209F">
        <w:rPr>
          <w:rFonts w:ascii="Arial" w:hAnsi="Arial" w:cs="Arial"/>
          <w:sz w:val="24"/>
          <w:szCs w:val="24"/>
        </w:rPr>
        <w:t>s</w:t>
      </w:r>
      <w:r w:rsidR="006762D5" w:rsidRPr="0025209F">
        <w:rPr>
          <w:rFonts w:ascii="Arial" w:hAnsi="Arial" w:cs="Arial"/>
          <w:sz w:val="24"/>
          <w:szCs w:val="24"/>
        </w:rPr>
        <w:t xml:space="preserve"> is this:</w:t>
      </w:r>
    </w:p>
    <w:p w14:paraId="0BE88B8C" w14:textId="77777777" w:rsidR="006762D5" w:rsidRDefault="006762D5" w:rsidP="006762D5">
      <w:pPr>
        <w:pStyle w:val="ListParagraph"/>
        <w:tabs>
          <w:tab w:val="left" w:pos="0"/>
        </w:tabs>
        <w:spacing w:after="0" w:line="480" w:lineRule="auto"/>
        <w:ind w:left="0"/>
        <w:jc w:val="both"/>
        <w:rPr>
          <w:rFonts w:ascii="Arial" w:hAnsi="Arial" w:cs="Arial"/>
          <w:sz w:val="24"/>
          <w:szCs w:val="24"/>
        </w:rPr>
      </w:pPr>
    </w:p>
    <w:p w14:paraId="733E3D5E" w14:textId="77777777" w:rsidR="006762D5" w:rsidRPr="003C10AD" w:rsidRDefault="006762D5" w:rsidP="003C10AD">
      <w:pPr>
        <w:pStyle w:val="ListParagraph"/>
        <w:tabs>
          <w:tab w:val="left" w:pos="0"/>
        </w:tabs>
        <w:spacing w:after="0" w:line="360" w:lineRule="auto"/>
        <w:jc w:val="both"/>
        <w:rPr>
          <w:rFonts w:ascii="Arial" w:hAnsi="Arial" w:cs="Arial"/>
        </w:rPr>
      </w:pPr>
      <w:r w:rsidRPr="003C10AD">
        <w:rPr>
          <w:rFonts w:ascii="Arial" w:hAnsi="Arial" w:cs="Arial"/>
        </w:rPr>
        <w:lastRenderedPageBreak/>
        <w:t>‘The starting point is to determine the manifest purpose of the order. In interpreting a judgment or order, the court’s intention is to be ascertained primarily from the language of the judgment or order in accordance with the usual well-known rules relating to the interpretation of documents. As in the case of a document, the judgment or order and the court’s reasons for giving it must be read as a whole in order to ascertain its intention.’</w:t>
      </w:r>
      <w:r w:rsidRPr="003C10AD">
        <w:rPr>
          <w:rStyle w:val="FootnoteReference"/>
          <w:rFonts w:ascii="Arial" w:hAnsi="Arial" w:cs="Arial"/>
        </w:rPr>
        <w:footnoteReference w:id="12"/>
      </w:r>
    </w:p>
    <w:p w14:paraId="35C5323D" w14:textId="77777777" w:rsidR="006762D5" w:rsidRDefault="006762D5" w:rsidP="006762D5">
      <w:pPr>
        <w:pStyle w:val="ListParagraph"/>
        <w:tabs>
          <w:tab w:val="left" w:pos="0"/>
        </w:tabs>
        <w:spacing w:after="0" w:line="480" w:lineRule="auto"/>
        <w:ind w:left="0"/>
        <w:jc w:val="both"/>
        <w:rPr>
          <w:rFonts w:ascii="Arial" w:hAnsi="Arial" w:cs="Arial"/>
          <w:sz w:val="24"/>
          <w:szCs w:val="24"/>
        </w:rPr>
      </w:pPr>
    </w:p>
    <w:p w14:paraId="692527FF" w14:textId="62F65484" w:rsidR="006762D5" w:rsidRPr="0025209F" w:rsidRDefault="0025209F" w:rsidP="0025209F">
      <w:pPr>
        <w:tabs>
          <w:tab w:val="left" w:pos="0"/>
        </w:tabs>
        <w:spacing w:after="0" w:line="360" w:lineRule="auto"/>
        <w:jc w:val="both"/>
        <w:rPr>
          <w:rFonts w:ascii="Arial" w:hAnsi="Arial" w:cs="Arial"/>
          <w:sz w:val="24"/>
          <w:szCs w:val="24"/>
        </w:rPr>
      </w:pPr>
      <w:r w:rsidRPr="00E533A7">
        <w:rPr>
          <w:rFonts w:ascii="Arial" w:hAnsi="Arial" w:cs="Arial"/>
          <w:sz w:val="24"/>
          <w:szCs w:val="24"/>
        </w:rPr>
        <w:t>[42]</w:t>
      </w:r>
      <w:r w:rsidRPr="00E533A7">
        <w:rPr>
          <w:rFonts w:ascii="Arial" w:hAnsi="Arial" w:cs="Arial"/>
          <w:sz w:val="24"/>
          <w:szCs w:val="24"/>
        </w:rPr>
        <w:tab/>
      </w:r>
      <w:r w:rsidR="006762D5" w:rsidRPr="0025209F">
        <w:rPr>
          <w:rFonts w:ascii="Arial" w:hAnsi="Arial" w:cs="Arial"/>
          <w:sz w:val="24"/>
          <w:szCs w:val="24"/>
        </w:rPr>
        <w:t>The interpretation of a judgment or order would be equally true of court orders following on settlement agreements, with a slight change specific to settlem</w:t>
      </w:r>
      <w:r w:rsidR="00955B59" w:rsidRPr="0025209F">
        <w:rPr>
          <w:rFonts w:ascii="Arial" w:hAnsi="Arial" w:cs="Arial"/>
          <w:sz w:val="24"/>
          <w:szCs w:val="24"/>
        </w:rPr>
        <w:t>ent agreements:</w:t>
      </w:r>
    </w:p>
    <w:p w14:paraId="517C59AC" w14:textId="77777777" w:rsidR="00955B59" w:rsidRPr="00E533A7" w:rsidRDefault="00955B59" w:rsidP="00E533A7">
      <w:pPr>
        <w:pStyle w:val="ListParagraph"/>
        <w:tabs>
          <w:tab w:val="left" w:pos="0"/>
        </w:tabs>
        <w:spacing w:after="0" w:line="480" w:lineRule="auto"/>
        <w:ind w:left="0"/>
        <w:jc w:val="both"/>
        <w:rPr>
          <w:rFonts w:ascii="Arial" w:hAnsi="Arial" w:cs="Arial"/>
          <w:sz w:val="24"/>
          <w:szCs w:val="24"/>
        </w:rPr>
      </w:pPr>
    </w:p>
    <w:p w14:paraId="2A88F4E0" w14:textId="77777777" w:rsidR="00955B59" w:rsidRPr="00E533A7" w:rsidRDefault="00955B59" w:rsidP="008521EA">
      <w:pPr>
        <w:pStyle w:val="ListParagraph"/>
        <w:tabs>
          <w:tab w:val="left" w:pos="0"/>
        </w:tabs>
        <w:spacing w:after="0" w:line="360" w:lineRule="auto"/>
        <w:jc w:val="both"/>
        <w:rPr>
          <w:rFonts w:ascii="Arial" w:hAnsi="Arial" w:cs="Arial"/>
        </w:rPr>
      </w:pPr>
      <w:r w:rsidRPr="00E533A7">
        <w:rPr>
          <w:rFonts w:ascii="Arial" w:hAnsi="Arial" w:cs="Arial"/>
        </w:rPr>
        <w:t xml:space="preserve">‘The court order in this case records an agreement of settlement and the basic principles of the interpretation of contracts need therefore be applied to ascertain the meaning of the agreement . . . </w:t>
      </w:r>
    </w:p>
    <w:p w14:paraId="63270399" w14:textId="77777777" w:rsidR="00955B59" w:rsidRPr="00E533A7" w:rsidRDefault="00955B59" w:rsidP="008521EA">
      <w:pPr>
        <w:pStyle w:val="ListParagraph"/>
        <w:tabs>
          <w:tab w:val="left" w:pos="0"/>
        </w:tabs>
        <w:spacing w:after="0" w:line="360" w:lineRule="auto"/>
        <w:ind w:left="0"/>
        <w:jc w:val="both"/>
        <w:rPr>
          <w:rFonts w:ascii="Arial" w:hAnsi="Arial" w:cs="Arial"/>
        </w:rPr>
      </w:pPr>
    </w:p>
    <w:p w14:paraId="6AC1F6B2" w14:textId="77777777" w:rsidR="00955B59" w:rsidRPr="00E533A7" w:rsidRDefault="00955B59" w:rsidP="008521EA">
      <w:pPr>
        <w:pStyle w:val="ListParagraph"/>
        <w:tabs>
          <w:tab w:val="left" w:pos="0"/>
        </w:tabs>
        <w:spacing w:after="0" w:line="360" w:lineRule="auto"/>
        <w:jc w:val="both"/>
        <w:rPr>
          <w:rFonts w:ascii="Arial" w:hAnsi="Arial" w:cs="Arial"/>
        </w:rPr>
      </w:pPr>
      <w:r w:rsidRPr="00E533A7">
        <w:rPr>
          <w:rFonts w:ascii="Arial" w:hAnsi="Arial" w:cs="Arial"/>
        </w:rPr>
        <w:t xml:space="preserve">The intention of the parties is ascertained from the language used read in its contextual setting and in the light of admissible evidence. There are three classes of admissible evidence. Evidence of background facts is always admissible. These facts, matters probably present in the mind </w:t>
      </w:r>
      <w:r w:rsidR="00154232" w:rsidRPr="00E533A7">
        <w:rPr>
          <w:rFonts w:ascii="Arial" w:hAnsi="Arial" w:cs="Arial"/>
        </w:rPr>
        <w:t xml:space="preserve">of the parties when they contracted, are part of the context and explain the </w:t>
      </w:r>
      <w:r w:rsidR="00D930C0">
        <w:rPr>
          <w:rFonts w:ascii="Arial" w:hAnsi="Arial" w:cs="Arial"/>
        </w:rPr>
        <w:t>“</w:t>
      </w:r>
      <w:r w:rsidR="00154232" w:rsidRPr="00E533A7">
        <w:rPr>
          <w:rFonts w:ascii="Arial" w:hAnsi="Arial" w:cs="Arial"/>
        </w:rPr>
        <w:t>genesis of the transaction</w:t>
      </w:r>
      <w:r w:rsidR="00D930C0">
        <w:rPr>
          <w:rFonts w:ascii="Arial" w:hAnsi="Arial" w:cs="Arial"/>
        </w:rPr>
        <w:t>”</w:t>
      </w:r>
      <w:r w:rsidR="00154232" w:rsidRPr="00E533A7">
        <w:rPr>
          <w:rFonts w:ascii="Arial" w:hAnsi="Arial" w:cs="Arial"/>
        </w:rPr>
        <w:t xml:space="preserve"> or its </w:t>
      </w:r>
      <w:r w:rsidR="00D930C0">
        <w:rPr>
          <w:rFonts w:ascii="Arial" w:hAnsi="Arial" w:cs="Arial"/>
        </w:rPr>
        <w:t>“</w:t>
      </w:r>
      <w:r w:rsidR="00154232" w:rsidRPr="00E533A7">
        <w:rPr>
          <w:rFonts w:ascii="Arial" w:hAnsi="Arial" w:cs="Arial"/>
        </w:rPr>
        <w:t>factual matrix</w:t>
      </w:r>
      <w:r w:rsidR="00D930C0">
        <w:rPr>
          <w:rFonts w:ascii="Arial" w:hAnsi="Arial" w:cs="Arial"/>
        </w:rPr>
        <w:t>”</w:t>
      </w:r>
      <w:r w:rsidR="00154232" w:rsidRPr="00E533A7">
        <w:rPr>
          <w:rFonts w:ascii="Arial" w:hAnsi="Arial" w:cs="Arial"/>
        </w:rPr>
        <w:t>. It</w:t>
      </w:r>
      <w:r w:rsidR="00616C24" w:rsidRPr="00E533A7">
        <w:rPr>
          <w:rFonts w:ascii="Arial" w:hAnsi="Arial" w:cs="Arial"/>
        </w:rPr>
        <w:t>s</w:t>
      </w:r>
      <w:r w:rsidR="00154232" w:rsidRPr="00E533A7">
        <w:rPr>
          <w:rFonts w:ascii="Arial" w:hAnsi="Arial" w:cs="Arial"/>
        </w:rPr>
        <w:t xml:space="preserve"> aim is to put the Court </w:t>
      </w:r>
      <w:r w:rsidR="00B6019A">
        <w:rPr>
          <w:rFonts w:ascii="Arial" w:hAnsi="Arial" w:cs="Arial"/>
        </w:rPr>
        <w:t>“</w:t>
      </w:r>
      <w:r w:rsidR="00154232" w:rsidRPr="00E533A7">
        <w:rPr>
          <w:rFonts w:ascii="Arial" w:hAnsi="Arial" w:cs="Arial"/>
        </w:rPr>
        <w:t>in the armchair of the author(s)</w:t>
      </w:r>
      <w:r w:rsidR="00B6019A">
        <w:rPr>
          <w:rFonts w:ascii="Arial" w:hAnsi="Arial" w:cs="Arial"/>
        </w:rPr>
        <w:t>”</w:t>
      </w:r>
      <w:r w:rsidR="00154232" w:rsidRPr="00E533A7">
        <w:rPr>
          <w:rFonts w:ascii="Arial" w:hAnsi="Arial" w:cs="Arial"/>
        </w:rPr>
        <w:t xml:space="preserve"> of the document. Evidence of </w:t>
      </w:r>
      <w:r w:rsidR="00B6019A">
        <w:rPr>
          <w:rFonts w:ascii="Arial" w:hAnsi="Arial" w:cs="Arial"/>
        </w:rPr>
        <w:t>“</w:t>
      </w:r>
      <w:r w:rsidR="00154232" w:rsidRPr="00E533A7">
        <w:rPr>
          <w:rFonts w:ascii="Arial" w:hAnsi="Arial" w:cs="Arial"/>
        </w:rPr>
        <w:t>surrounding circumstances</w:t>
      </w:r>
      <w:r w:rsidR="00B6019A">
        <w:rPr>
          <w:rFonts w:ascii="Arial" w:hAnsi="Arial" w:cs="Arial"/>
        </w:rPr>
        <w:t>”</w:t>
      </w:r>
      <w:r w:rsidR="00154232" w:rsidRPr="00E533A7">
        <w:rPr>
          <w:rFonts w:ascii="Arial" w:hAnsi="Arial" w:cs="Arial"/>
        </w:rPr>
        <w:t xml:space="preserve"> is admissible only if a contextual interpretation fails to clear up an ambiguity or uncertainty. Evidence of what passed between the parties during the negotiations that preceded the conclusion of the agreement is admissible only in the case where evidence of the surrounding circumstances does not provide </w:t>
      </w:r>
      <w:r w:rsidR="00B6019A">
        <w:rPr>
          <w:rFonts w:ascii="Arial" w:hAnsi="Arial" w:cs="Arial"/>
        </w:rPr>
        <w:t>“sufficient certainty”</w:t>
      </w:r>
      <w:r w:rsidR="00154232" w:rsidRPr="00E533A7">
        <w:rPr>
          <w:rFonts w:ascii="Arial" w:hAnsi="Arial" w:cs="Arial"/>
        </w:rPr>
        <w:t>.’</w:t>
      </w:r>
      <w:r w:rsidR="00154232" w:rsidRPr="00E533A7">
        <w:rPr>
          <w:rStyle w:val="FootnoteReference"/>
          <w:rFonts w:ascii="Arial" w:hAnsi="Arial" w:cs="Arial"/>
        </w:rPr>
        <w:footnoteReference w:id="13"/>
      </w:r>
    </w:p>
    <w:p w14:paraId="2E21FD02" w14:textId="77777777" w:rsidR="004E0141" w:rsidRDefault="004E0141" w:rsidP="00154232">
      <w:pPr>
        <w:pStyle w:val="ListParagraph"/>
        <w:tabs>
          <w:tab w:val="left" w:pos="0"/>
        </w:tabs>
        <w:spacing w:after="0" w:line="480" w:lineRule="auto"/>
        <w:jc w:val="both"/>
        <w:rPr>
          <w:rFonts w:ascii="Arial" w:hAnsi="Arial" w:cs="Arial"/>
          <w:sz w:val="24"/>
          <w:szCs w:val="24"/>
        </w:rPr>
      </w:pPr>
    </w:p>
    <w:p w14:paraId="68F3F03E" w14:textId="1AD28849" w:rsidR="006762D5" w:rsidRPr="0025209F"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lastRenderedPageBreak/>
        <w:t>[43]</w:t>
      </w:r>
      <w:r>
        <w:rPr>
          <w:rFonts w:ascii="Arial" w:hAnsi="Arial" w:cs="Arial"/>
          <w:sz w:val="24"/>
          <w:szCs w:val="24"/>
        </w:rPr>
        <w:tab/>
      </w:r>
      <w:r w:rsidR="00154232" w:rsidRPr="0025209F">
        <w:rPr>
          <w:rFonts w:ascii="Arial" w:hAnsi="Arial" w:cs="Arial"/>
          <w:sz w:val="24"/>
          <w:szCs w:val="24"/>
        </w:rPr>
        <w:t xml:space="preserve">In </w:t>
      </w:r>
      <w:r w:rsidR="00616C24" w:rsidRPr="0025209F">
        <w:rPr>
          <w:rFonts w:ascii="Arial" w:hAnsi="Arial" w:cs="Arial"/>
          <w:i/>
          <w:sz w:val="24"/>
          <w:szCs w:val="24"/>
        </w:rPr>
        <w:t>Eke</w:t>
      </w:r>
      <w:r w:rsidR="00B6019A" w:rsidRPr="0025209F">
        <w:rPr>
          <w:rFonts w:ascii="Arial" w:hAnsi="Arial" w:cs="Arial"/>
          <w:i/>
          <w:sz w:val="24"/>
          <w:szCs w:val="24"/>
        </w:rPr>
        <w:t xml:space="preserve"> v Parsons</w:t>
      </w:r>
      <w:r w:rsidR="00154232" w:rsidRPr="0025209F">
        <w:rPr>
          <w:rFonts w:ascii="Arial" w:hAnsi="Arial" w:cs="Arial"/>
          <w:i/>
          <w:sz w:val="24"/>
          <w:szCs w:val="24"/>
        </w:rPr>
        <w:t xml:space="preserve"> </w:t>
      </w:r>
      <w:r w:rsidR="00154232" w:rsidRPr="0025209F">
        <w:rPr>
          <w:rFonts w:ascii="Arial" w:hAnsi="Arial" w:cs="Arial"/>
          <w:sz w:val="24"/>
          <w:szCs w:val="24"/>
        </w:rPr>
        <w:t xml:space="preserve">on the enforcement of settlement agreements the court </w:t>
      </w:r>
      <w:r w:rsidR="00616C24" w:rsidRPr="0025209F">
        <w:rPr>
          <w:rFonts w:ascii="Arial" w:hAnsi="Arial" w:cs="Arial"/>
          <w:sz w:val="24"/>
          <w:szCs w:val="24"/>
        </w:rPr>
        <w:t>went on to say</w:t>
      </w:r>
      <w:r w:rsidR="00154232" w:rsidRPr="0025209F">
        <w:rPr>
          <w:rFonts w:ascii="Arial" w:hAnsi="Arial" w:cs="Arial"/>
          <w:sz w:val="24"/>
          <w:szCs w:val="24"/>
        </w:rPr>
        <w:t>:</w:t>
      </w:r>
    </w:p>
    <w:p w14:paraId="71547567" w14:textId="77777777" w:rsidR="00154232" w:rsidRDefault="00154232" w:rsidP="00154232">
      <w:pPr>
        <w:pStyle w:val="ListParagraph"/>
        <w:tabs>
          <w:tab w:val="left" w:pos="0"/>
        </w:tabs>
        <w:spacing w:after="0" w:line="480" w:lineRule="auto"/>
        <w:ind w:left="0"/>
        <w:jc w:val="both"/>
        <w:rPr>
          <w:rFonts w:ascii="Arial" w:hAnsi="Arial" w:cs="Arial"/>
          <w:sz w:val="24"/>
          <w:szCs w:val="24"/>
        </w:rPr>
      </w:pPr>
    </w:p>
    <w:p w14:paraId="5028EC6C" w14:textId="77777777" w:rsidR="00154232" w:rsidRPr="00215D4F" w:rsidRDefault="00154232" w:rsidP="00215D4F">
      <w:pPr>
        <w:pStyle w:val="ListParagraph"/>
        <w:tabs>
          <w:tab w:val="left" w:pos="0"/>
        </w:tabs>
        <w:spacing w:after="0" w:line="360" w:lineRule="auto"/>
        <w:ind w:hanging="720"/>
        <w:jc w:val="both"/>
        <w:rPr>
          <w:rFonts w:ascii="Arial" w:hAnsi="Arial" w:cs="Arial"/>
        </w:rPr>
      </w:pPr>
      <w:r>
        <w:rPr>
          <w:rFonts w:ascii="Arial" w:hAnsi="Arial" w:cs="Arial"/>
          <w:sz w:val="24"/>
          <w:szCs w:val="24"/>
        </w:rPr>
        <w:tab/>
      </w:r>
      <w:r w:rsidRPr="00215D4F">
        <w:rPr>
          <w:rFonts w:ascii="Arial" w:hAnsi="Arial" w:cs="Arial"/>
        </w:rPr>
        <w:t>‘[32]</w:t>
      </w:r>
      <w:r w:rsidRPr="00215D4F">
        <w:rPr>
          <w:rFonts w:ascii="Arial" w:hAnsi="Arial" w:cs="Arial"/>
        </w:rPr>
        <w:tab/>
        <w:t>Litigation antecedent to enforcement is not necessarily objectionable. That is so because ordinarily a settlement agreement and the resultant settlement order will have disposed of the underlying dispute. Generally, litigation preceding enforcement will relate to non-compliance with the settlement order, and not the merits of the original underlying dispute</w:t>
      </w:r>
      <w:r w:rsidR="00C90B7B" w:rsidRPr="00215D4F">
        <w:rPr>
          <w:rFonts w:ascii="Arial" w:hAnsi="Arial" w:cs="Arial"/>
        </w:rPr>
        <w:t>. That means the court will have been spared the need to determine that dispute, which – depending on the nature of the litigation – might have entailed</w:t>
      </w:r>
      <w:r w:rsidR="00181473">
        <w:rPr>
          <w:rFonts w:ascii="Arial" w:hAnsi="Arial" w:cs="Arial"/>
        </w:rPr>
        <w:t xml:space="preserve"> many days of contested hearing</w:t>
      </w:r>
      <w:r w:rsidR="00B6019A">
        <w:rPr>
          <w:rFonts w:ascii="Arial" w:hAnsi="Arial" w:cs="Arial"/>
        </w:rPr>
        <w:t>.</w:t>
      </w:r>
    </w:p>
    <w:p w14:paraId="4D02DCC0" w14:textId="77777777" w:rsidR="00C90B7B" w:rsidRPr="00215D4F" w:rsidRDefault="00C90B7B" w:rsidP="00215D4F">
      <w:pPr>
        <w:pStyle w:val="ListParagraph"/>
        <w:tabs>
          <w:tab w:val="left" w:pos="0"/>
        </w:tabs>
        <w:spacing w:after="0" w:line="360" w:lineRule="auto"/>
        <w:ind w:left="0"/>
        <w:jc w:val="both"/>
        <w:rPr>
          <w:rFonts w:ascii="Arial" w:hAnsi="Arial" w:cs="Arial"/>
        </w:rPr>
      </w:pPr>
    </w:p>
    <w:p w14:paraId="01DB92B6" w14:textId="77777777" w:rsidR="00707D43" w:rsidRDefault="00C90B7B" w:rsidP="00616C24">
      <w:pPr>
        <w:pStyle w:val="ListParagraph"/>
        <w:tabs>
          <w:tab w:val="left" w:pos="0"/>
        </w:tabs>
        <w:spacing w:after="0" w:line="360" w:lineRule="auto"/>
        <w:ind w:hanging="720"/>
        <w:jc w:val="both"/>
        <w:rPr>
          <w:rFonts w:ascii="Arial" w:hAnsi="Arial" w:cs="Arial"/>
        </w:rPr>
      </w:pPr>
      <w:r w:rsidRPr="00215D4F">
        <w:rPr>
          <w:rFonts w:ascii="Arial" w:hAnsi="Arial" w:cs="Arial"/>
        </w:rPr>
        <w:tab/>
        <w:t>[33]</w:t>
      </w:r>
      <w:r w:rsidRPr="00215D4F">
        <w:rPr>
          <w:rFonts w:ascii="Arial" w:hAnsi="Arial" w:cs="Arial"/>
        </w:rPr>
        <w:tab/>
        <w:t xml:space="preserve">Does the mere fact of coming back to court for the determination of issues arising for alleged non-compliance with a settlement order duplicate the use of court resources? No. Not all settlements where enforcement has to be preceded by litigation result in the envisaged antecedent litigation. </w:t>
      </w:r>
    </w:p>
    <w:p w14:paraId="5F98053D" w14:textId="77777777" w:rsidR="00616C24" w:rsidRPr="00215D4F" w:rsidRDefault="00616C24" w:rsidP="00616C24">
      <w:pPr>
        <w:pStyle w:val="ListParagraph"/>
        <w:tabs>
          <w:tab w:val="left" w:pos="0"/>
        </w:tabs>
        <w:spacing w:after="0" w:line="360" w:lineRule="auto"/>
        <w:ind w:hanging="720"/>
        <w:jc w:val="both"/>
        <w:rPr>
          <w:rFonts w:ascii="Arial" w:hAnsi="Arial" w:cs="Arial"/>
        </w:rPr>
      </w:pPr>
    </w:p>
    <w:p w14:paraId="660DED0C" w14:textId="77777777" w:rsidR="00707D43" w:rsidRPr="00215D4F" w:rsidRDefault="00707D43" w:rsidP="00215D4F">
      <w:pPr>
        <w:pStyle w:val="ListParagraph"/>
        <w:tabs>
          <w:tab w:val="left" w:pos="0"/>
        </w:tabs>
        <w:spacing w:after="0" w:line="360" w:lineRule="auto"/>
        <w:jc w:val="both"/>
        <w:rPr>
          <w:rFonts w:ascii="Arial" w:hAnsi="Arial" w:cs="Arial"/>
        </w:rPr>
      </w:pPr>
      <w:r w:rsidRPr="00215D4F">
        <w:rPr>
          <w:rFonts w:ascii="Arial" w:hAnsi="Arial" w:cs="Arial"/>
        </w:rPr>
        <w:t>[34]</w:t>
      </w:r>
      <w:r w:rsidRPr="00215D4F">
        <w:rPr>
          <w:rFonts w:ascii="Arial" w:hAnsi="Arial" w:cs="Arial"/>
        </w:rPr>
        <w:tab/>
        <w:t xml:space="preserve">The less restrictive approach that I prefer does not mean any settlement order proposed by the parties should be accepted. The court must still act in a stewardly manner that ensures that its resources are used efficiently. After all, its “institutional interests . . . are not subordinate to the wishes of the parties”. Where necessary, it must “insist that the parties effect the necessary changes to the proposed terms as a condition for the making of the order”. It may </w:t>
      </w:r>
      <w:r w:rsidR="009905D2" w:rsidRPr="00215D4F">
        <w:rPr>
          <w:rFonts w:ascii="Arial" w:hAnsi="Arial" w:cs="Arial"/>
        </w:rPr>
        <w:t>even</w:t>
      </w:r>
      <w:r w:rsidRPr="00215D4F">
        <w:rPr>
          <w:rFonts w:ascii="Arial" w:hAnsi="Arial" w:cs="Arial"/>
        </w:rPr>
        <w:t xml:space="preserve"> reject the settlement outright</w:t>
      </w:r>
      <w:r w:rsidR="007635BC" w:rsidRPr="00215D4F">
        <w:rPr>
          <w:rFonts w:ascii="Arial" w:hAnsi="Arial" w:cs="Arial"/>
        </w:rPr>
        <w:t>.</w:t>
      </w:r>
    </w:p>
    <w:p w14:paraId="3F4BC7D1" w14:textId="77777777" w:rsidR="007635BC" w:rsidRPr="00215D4F" w:rsidRDefault="007635BC" w:rsidP="00215D4F">
      <w:pPr>
        <w:pStyle w:val="ListParagraph"/>
        <w:tabs>
          <w:tab w:val="left" w:pos="0"/>
        </w:tabs>
        <w:spacing w:after="0" w:line="360" w:lineRule="auto"/>
        <w:jc w:val="both"/>
        <w:rPr>
          <w:rFonts w:ascii="Arial" w:hAnsi="Arial" w:cs="Arial"/>
        </w:rPr>
      </w:pPr>
    </w:p>
    <w:p w14:paraId="593D6A53" w14:textId="77777777" w:rsidR="007635BC" w:rsidRPr="00215D4F" w:rsidRDefault="007635BC" w:rsidP="00215D4F">
      <w:pPr>
        <w:pStyle w:val="ListParagraph"/>
        <w:tabs>
          <w:tab w:val="left" w:pos="0"/>
        </w:tabs>
        <w:spacing w:after="0" w:line="360" w:lineRule="auto"/>
        <w:jc w:val="both"/>
        <w:rPr>
          <w:rFonts w:ascii="Arial" w:hAnsi="Arial" w:cs="Arial"/>
        </w:rPr>
      </w:pPr>
      <w:r w:rsidRPr="00215D4F">
        <w:rPr>
          <w:rFonts w:ascii="Arial" w:hAnsi="Arial" w:cs="Arial"/>
        </w:rPr>
        <w:t>[35]</w:t>
      </w:r>
      <w:r w:rsidRPr="00215D4F">
        <w:rPr>
          <w:rFonts w:ascii="Arial" w:hAnsi="Arial" w:cs="Arial"/>
        </w:rPr>
        <w:tab/>
      </w:r>
      <w:r w:rsidR="009905D2" w:rsidRPr="00215D4F">
        <w:rPr>
          <w:rFonts w:ascii="Arial" w:hAnsi="Arial" w:cs="Arial"/>
        </w:rPr>
        <w:t>A settlement order that makes provision for payment of a judgment debt by instalments does not become unacceptable only because payment is to be in instalments. With an order of this nature, proceedings straight to execution may not be practical because what remains owing may first have to be quantified. That is what necessities another approach to court. Is that objectionable. I think not.</w:t>
      </w:r>
    </w:p>
    <w:p w14:paraId="2424E458" w14:textId="77777777" w:rsidR="009905D2" w:rsidRPr="00215D4F" w:rsidRDefault="009905D2" w:rsidP="00215D4F">
      <w:pPr>
        <w:pStyle w:val="ListParagraph"/>
        <w:tabs>
          <w:tab w:val="left" w:pos="0"/>
        </w:tabs>
        <w:spacing w:after="0" w:line="360" w:lineRule="auto"/>
        <w:jc w:val="both"/>
        <w:rPr>
          <w:rFonts w:ascii="Arial" w:hAnsi="Arial" w:cs="Arial"/>
        </w:rPr>
      </w:pPr>
    </w:p>
    <w:p w14:paraId="3658D6EA" w14:textId="77777777" w:rsidR="009905D2" w:rsidRPr="00215D4F" w:rsidRDefault="009905D2" w:rsidP="00215D4F">
      <w:pPr>
        <w:pStyle w:val="ListParagraph"/>
        <w:tabs>
          <w:tab w:val="left" w:pos="0"/>
        </w:tabs>
        <w:spacing w:after="0" w:line="360" w:lineRule="auto"/>
        <w:jc w:val="both"/>
        <w:rPr>
          <w:rFonts w:ascii="Arial" w:hAnsi="Arial" w:cs="Arial"/>
        </w:rPr>
      </w:pPr>
      <w:r w:rsidRPr="00215D4F">
        <w:rPr>
          <w:rFonts w:ascii="Arial" w:hAnsi="Arial" w:cs="Arial"/>
        </w:rPr>
        <w:t>[36]</w:t>
      </w:r>
      <w:r w:rsidRPr="00215D4F">
        <w:rPr>
          <w:rFonts w:ascii="Arial" w:hAnsi="Arial" w:cs="Arial"/>
        </w:rPr>
        <w:tab/>
        <w:t xml:space="preserve">In sum, what all this means is that even with </w:t>
      </w:r>
      <w:r w:rsidR="00616C24">
        <w:rPr>
          <w:rFonts w:ascii="Arial" w:hAnsi="Arial" w:cs="Arial"/>
        </w:rPr>
        <w:t xml:space="preserve">the </w:t>
      </w:r>
      <w:r w:rsidRPr="00215D4F">
        <w:rPr>
          <w:rFonts w:ascii="Arial" w:hAnsi="Arial" w:cs="Arial"/>
        </w:rPr>
        <w:t xml:space="preserve">possibility of an additional approach to court, settlements </w:t>
      </w:r>
      <w:r w:rsidR="00616C24">
        <w:rPr>
          <w:rFonts w:ascii="Arial" w:hAnsi="Arial" w:cs="Arial"/>
        </w:rPr>
        <w:t>o</w:t>
      </w:r>
      <w:r w:rsidRPr="00215D4F">
        <w:rPr>
          <w:rFonts w:ascii="Arial" w:hAnsi="Arial" w:cs="Arial"/>
        </w:rPr>
        <w:t xml:space="preserve">f this nature </w:t>
      </w:r>
      <w:r w:rsidR="00181473">
        <w:rPr>
          <w:rFonts w:ascii="Arial" w:hAnsi="Arial" w:cs="Arial"/>
        </w:rPr>
        <w:t>d</w:t>
      </w:r>
      <w:r w:rsidRPr="00215D4F">
        <w:rPr>
          <w:rFonts w:ascii="Arial" w:hAnsi="Arial" w:cs="Arial"/>
        </w:rPr>
        <w:t xml:space="preserve">o comport with the efficient use of judicial resources. First, the original underlying dispute is settled and becomes </w:t>
      </w:r>
      <w:r w:rsidRPr="00B6019A">
        <w:rPr>
          <w:rFonts w:ascii="Arial" w:hAnsi="Arial" w:cs="Arial"/>
          <w:i/>
        </w:rPr>
        <w:t>res judicata</w:t>
      </w:r>
      <w:r w:rsidRPr="00215D4F">
        <w:rPr>
          <w:rFonts w:ascii="Arial" w:hAnsi="Arial" w:cs="Arial"/>
        </w:rPr>
        <w:t xml:space="preserve">. </w:t>
      </w:r>
      <w:r w:rsidRPr="00215D4F">
        <w:rPr>
          <w:rFonts w:ascii="Arial" w:hAnsi="Arial" w:cs="Arial"/>
        </w:rPr>
        <w:lastRenderedPageBreak/>
        <w:t xml:space="preserve">Second, what litigation there may be after the settlement order will relate to non-compliance with this order, and not the original underlying dispute. Third, matters that culminate in litigation that precedes enforcement </w:t>
      </w:r>
      <w:r w:rsidR="008F598B" w:rsidRPr="00215D4F">
        <w:rPr>
          <w:rFonts w:ascii="Arial" w:hAnsi="Arial" w:cs="Arial"/>
        </w:rPr>
        <w:t>are fewer that those that don’t.’</w:t>
      </w:r>
    </w:p>
    <w:p w14:paraId="0939ABC6" w14:textId="77777777" w:rsidR="004E0141" w:rsidRDefault="004E0141" w:rsidP="00E533A7">
      <w:pPr>
        <w:spacing w:after="0" w:line="480" w:lineRule="auto"/>
        <w:jc w:val="both"/>
        <w:rPr>
          <w:rFonts w:ascii="Arial" w:hAnsi="Arial" w:cs="Arial"/>
          <w:sz w:val="24"/>
          <w:szCs w:val="24"/>
        </w:rPr>
      </w:pPr>
    </w:p>
    <w:p w14:paraId="047F7977" w14:textId="77777777" w:rsidR="00267962" w:rsidRPr="008F598B" w:rsidRDefault="008F598B" w:rsidP="00267962">
      <w:pPr>
        <w:tabs>
          <w:tab w:val="left" w:pos="0"/>
        </w:tabs>
        <w:spacing w:after="0" w:line="480" w:lineRule="auto"/>
        <w:jc w:val="both"/>
        <w:rPr>
          <w:rFonts w:ascii="Arial" w:hAnsi="Arial" w:cs="Arial"/>
          <w:sz w:val="24"/>
          <w:szCs w:val="24"/>
          <w:u w:val="single"/>
        </w:rPr>
      </w:pPr>
      <w:r w:rsidRPr="008F598B">
        <w:rPr>
          <w:rFonts w:ascii="Arial" w:hAnsi="Arial" w:cs="Arial"/>
          <w:sz w:val="24"/>
          <w:szCs w:val="24"/>
          <w:u w:val="single"/>
        </w:rPr>
        <w:t>Application of the law</w:t>
      </w:r>
    </w:p>
    <w:p w14:paraId="296375FE" w14:textId="084C7F93" w:rsidR="00C15C9D" w:rsidRPr="0025209F"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8F598B" w:rsidRPr="0025209F">
        <w:rPr>
          <w:rFonts w:ascii="Arial" w:hAnsi="Arial" w:cs="Arial"/>
          <w:sz w:val="24"/>
          <w:szCs w:val="24"/>
        </w:rPr>
        <w:t>There are 27 clauses to the settlement agreement; fifteen of those are on the horses. It was only in clause 7 that respondent confirmed and warranted that each of the horse</w:t>
      </w:r>
      <w:r w:rsidR="00181473" w:rsidRPr="0025209F">
        <w:rPr>
          <w:rFonts w:ascii="Arial" w:hAnsi="Arial" w:cs="Arial"/>
          <w:sz w:val="24"/>
          <w:szCs w:val="24"/>
        </w:rPr>
        <w:t>s</w:t>
      </w:r>
      <w:r w:rsidR="008F598B" w:rsidRPr="0025209F">
        <w:rPr>
          <w:rFonts w:ascii="Arial" w:hAnsi="Arial" w:cs="Arial"/>
          <w:sz w:val="24"/>
          <w:szCs w:val="24"/>
        </w:rPr>
        <w:t xml:space="preserve"> returned in terms of the agreement, are as were identified or referred to during the inspection conducted on Farm Neu-Heusis on 20 June 2017. Paragraph 3 of the preamble records that the parties were desirous of settling the matter</w:t>
      </w:r>
      <w:r w:rsidR="00360A85" w:rsidRPr="0025209F">
        <w:rPr>
          <w:rFonts w:ascii="Arial" w:hAnsi="Arial" w:cs="Arial"/>
          <w:sz w:val="24"/>
          <w:szCs w:val="24"/>
        </w:rPr>
        <w:t xml:space="preserve"> between them, which they did voluntarily. In the very first clause respondent in a peremptory to</w:t>
      </w:r>
      <w:r w:rsidR="00616C24" w:rsidRPr="0025209F">
        <w:rPr>
          <w:rFonts w:ascii="Arial" w:hAnsi="Arial" w:cs="Arial"/>
          <w:sz w:val="24"/>
          <w:szCs w:val="24"/>
        </w:rPr>
        <w:t>n</w:t>
      </w:r>
      <w:r w:rsidR="00360A85" w:rsidRPr="0025209F">
        <w:rPr>
          <w:rFonts w:ascii="Arial" w:hAnsi="Arial" w:cs="Arial"/>
          <w:sz w:val="24"/>
          <w:szCs w:val="24"/>
        </w:rPr>
        <w:t xml:space="preserve">e, in obtaining the restitution of conjugal rights (RCR) or the final order of divorce, </w:t>
      </w:r>
      <w:r w:rsidR="00470647" w:rsidRPr="0025209F">
        <w:rPr>
          <w:rFonts w:ascii="Arial" w:hAnsi="Arial" w:cs="Arial"/>
          <w:sz w:val="24"/>
          <w:szCs w:val="24"/>
        </w:rPr>
        <w:t>i</w:t>
      </w:r>
      <w:r w:rsidR="00360A85" w:rsidRPr="0025209F">
        <w:rPr>
          <w:rFonts w:ascii="Arial" w:hAnsi="Arial" w:cs="Arial"/>
          <w:sz w:val="24"/>
          <w:szCs w:val="24"/>
        </w:rPr>
        <w:t>s prohibited to make reference to the appellant’s arrest or conviction.</w:t>
      </w:r>
    </w:p>
    <w:p w14:paraId="67B247BF" w14:textId="77777777" w:rsidR="004E0141" w:rsidRDefault="004E0141" w:rsidP="004E0141">
      <w:pPr>
        <w:pStyle w:val="ListParagraph"/>
        <w:tabs>
          <w:tab w:val="left" w:pos="0"/>
        </w:tabs>
        <w:spacing w:after="0" w:line="480" w:lineRule="auto"/>
        <w:ind w:left="0"/>
        <w:jc w:val="both"/>
        <w:rPr>
          <w:rFonts w:ascii="Arial" w:hAnsi="Arial" w:cs="Arial"/>
          <w:sz w:val="24"/>
          <w:szCs w:val="24"/>
        </w:rPr>
      </w:pPr>
    </w:p>
    <w:p w14:paraId="3D774640" w14:textId="1432DA13" w:rsidR="00360A85" w:rsidRPr="0025209F" w:rsidRDefault="0025209F" w:rsidP="0025209F">
      <w:pPr>
        <w:tabs>
          <w:tab w:val="left" w:pos="0"/>
        </w:tabs>
        <w:spacing w:after="0" w:line="480" w:lineRule="auto"/>
        <w:jc w:val="both"/>
        <w:rPr>
          <w:rFonts w:ascii="Arial" w:hAnsi="Arial" w:cs="Arial"/>
          <w:sz w:val="24"/>
          <w:szCs w:val="24"/>
        </w:rPr>
      </w:pPr>
      <w:r w:rsidRPr="00446464">
        <w:rPr>
          <w:rFonts w:ascii="Arial" w:hAnsi="Arial" w:cs="Arial"/>
          <w:sz w:val="24"/>
          <w:szCs w:val="24"/>
        </w:rPr>
        <w:t>[45]</w:t>
      </w:r>
      <w:r w:rsidRPr="00446464">
        <w:rPr>
          <w:rFonts w:ascii="Arial" w:hAnsi="Arial" w:cs="Arial"/>
          <w:sz w:val="24"/>
          <w:szCs w:val="24"/>
        </w:rPr>
        <w:tab/>
      </w:r>
      <w:r w:rsidR="00360A85" w:rsidRPr="0025209F">
        <w:rPr>
          <w:rFonts w:ascii="Arial" w:hAnsi="Arial" w:cs="Arial"/>
          <w:sz w:val="24"/>
          <w:szCs w:val="24"/>
        </w:rPr>
        <w:t xml:space="preserve">Clause 2 provides for settlement of </w:t>
      </w:r>
      <w:r w:rsidR="00360A85" w:rsidRPr="0025209F">
        <w:rPr>
          <w:rFonts w:ascii="Arial" w:hAnsi="Arial" w:cs="Arial"/>
          <w:sz w:val="24"/>
          <w:szCs w:val="24"/>
          <w:u w:val="single"/>
        </w:rPr>
        <w:t>all</w:t>
      </w:r>
      <w:r w:rsidR="00360A85" w:rsidRPr="0025209F">
        <w:rPr>
          <w:rFonts w:ascii="Arial" w:hAnsi="Arial" w:cs="Arial"/>
          <w:sz w:val="24"/>
          <w:szCs w:val="24"/>
        </w:rPr>
        <w:t xml:space="preserve"> proprietary claims between the parties emanating from the parties’ accrued estate from their marital relationship. </w:t>
      </w:r>
      <w:r w:rsidR="00705BBA" w:rsidRPr="0025209F">
        <w:rPr>
          <w:rFonts w:ascii="Arial" w:hAnsi="Arial" w:cs="Arial"/>
          <w:sz w:val="24"/>
          <w:szCs w:val="24"/>
        </w:rPr>
        <w:t>Under c</w:t>
      </w:r>
      <w:r w:rsidR="00360A85" w:rsidRPr="0025209F">
        <w:rPr>
          <w:rFonts w:ascii="Arial" w:hAnsi="Arial" w:cs="Arial"/>
          <w:sz w:val="24"/>
          <w:szCs w:val="24"/>
        </w:rPr>
        <w:t>lause 2.2 appellant got the same and exclusive ownership of the 27 horses. On 20 June 2017</w:t>
      </w:r>
      <w:r w:rsidR="00B6019A" w:rsidRPr="0025209F">
        <w:rPr>
          <w:rFonts w:ascii="Arial" w:hAnsi="Arial" w:cs="Arial"/>
          <w:sz w:val="24"/>
          <w:szCs w:val="24"/>
        </w:rPr>
        <w:t>,</w:t>
      </w:r>
      <w:r w:rsidR="00360A85" w:rsidRPr="0025209F">
        <w:rPr>
          <w:rFonts w:ascii="Arial" w:hAnsi="Arial" w:cs="Arial"/>
          <w:sz w:val="24"/>
          <w:szCs w:val="24"/>
        </w:rPr>
        <w:t xml:space="preserve"> an inspection of the horses was conducted and all 27 horses identified and recorded by their names</w:t>
      </w:r>
      <w:r w:rsidR="007C1832" w:rsidRPr="0025209F">
        <w:rPr>
          <w:rFonts w:ascii="Arial" w:hAnsi="Arial" w:cs="Arial"/>
          <w:sz w:val="24"/>
          <w:szCs w:val="24"/>
        </w:rPr>
        <w:t>. By 20 June 2017</w:t>
      </w:r>
      <w:r w:rsidR="00810317" w:rsidRPr="0025209F">
        <w:rPr>
          <w:rFonts w:ascii="Arial" w:hAnsi="Arial" w:cs="Arial"/>
          <w:sz w:val="24"/>
          <w:szCs w:val="24"/>
        </w:rPr>
        <w:t>,</w:t>
      </w:r>
      <w:r w:rsidR="007C1832" w:rsidRPr="0025209F">
        <w:rPr>
          <w:rFonts w:ascii="Arial" w:hAnsi="Arial" w:cs="Arial"/>
          <w:sz w:val="24"/>
          <w:szCs w:val="24"/>
        </w:rPr>
        <w:t xml:space="preserve"> everything except for the horses and specific assets that needed to be collected or delivered had to be done. Clause 4 provided for the horses to be removed or collected from Farm Neu-Heusis at the appellant’s own cost by 8 July 2017. In the event they were not collected by that date, clause 5 provided for appellant to bear </w:t>
      </w:r>
      <w:r w:rsidR="007C1832" w:rsidRPr="0025209F">
        <w:rPr>
          <w:rFonts w:ascii="Arial" w:hAnsi="Arial" w:cs="Arial"/>
          <w:sz w:val="24"/>
          <w:szCs w:val="24"/>
          <w:u w:val="single"/>
        </w:rPr>
        <w:t xml:space="preserve">all risks associated with the horses including but not limited to, the risk of injury, sickness and/or death by natural causes, and the respondent shall be </w:t>
      </w:r>
      <w:r w:rsidR="007C1832" w:rsidRPr="0025209F">
        <w:rPr>
          <w:rFonts w:ascii="Arial" w:hAnsi="Arial" w:cs="Arial"/>
          <w:sz w:val="24"/>
          <w:szCs w:val="24"/>
          <w:u w:val="single"/>
        </w:rPr>
        <w:lastRenderedPageBreak/>
        <w:t>exempted from any liability concerning the horses and their continuous stay on Farm Neu-Heusis.</w:t>
      </w:r>
    </w:p>
    <w:p w14:paraId="23CED341" w14:textId="77777777" w:rsidR="00446464" w:rsidRPr="00446464" w:rsidRDefault="00446464" w:rsidP="00181473">
      <w:pPr>
        <w:pStyle w:val="ListParagraph"/>
        <w:spacing w:after="0" w:line="480" w:lineRule="auto"/>
        <w:jc w:val="both"/>
        <w:rPr>
          <w:rFonts w:ascii="Arial" w:hAnsi="Arial" w:cs="Arial"/>
          <w:sz w:val="24"/>
          <w:szCs w:val="24"/>
        </w:rPr>
      </w:pPr>
    </w:p>
    <w:p w14:paraId="508B1B76" w14:textId="2883FE8E" w:rsidR="007C1832" w:rsidRPr="0025209F"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705BBA" w:rsidRPr="0025209F">
        <w:rPr>
          <w:rFonts w:ascii="Arial" w:hAnsi="Arial" w:cs="Arial"/>
          <w:sz w:val="24"/>
          <w:szCs w:val="24"/>
        </w:rPr>
        <w:t>C</w:t>
      </w:r>
      <w:r w:rsidR="007C1832" w:rsidRPr="0025209F">
        <w:rPr>
          <w:rFonts w:ascii="Arial" w:hAnsi="Arial" w:cs="Arial"/>
          <w:sz w:val="24"/>
          <w:szCs w:val="24"/>
        </w:rPr>
        <w:t xml:space="preserve">lause 6 provides for DNA identification of the three horses which respondent had to obtain, and provide written confirmation of DNA to appellant by no later than 31 August 2017. </w:t>
      </w:r>
      <w:r w:rsidR="00705BBA" w:rsidRPr="0025209F">
        <w:rPr>
          <w:rFonts w:ascii="Arial" w:hAnsi="Arial" w:cs="Arial"/>
          <w:sz w:val="24"/>
          <w:szCs w:val="24"/>
        </w:rPr>
        <w:t>In c</w:t>
      </w:r>
      <w:r w:rsidR="007C1832" w:rsidRPr="0025209F">
        <w:rPr>
          <w:rFonts w:ascii="Arial" w:hAnsi="Arial" w:cs="Arial"/>
          <w:sz w:val="24"/>
          <w:szCs w:val="24"/>
        </w:rPr>
        <w:t xml:space="preserve">lause 7 respondent warranted the identification of each of </w:t>
      </w:r>
      <w:r w:rsidR="00470647" w:rsidRPr="0025209F">
        <w:rPr>
          <w:rFonts w:ascii="Arial" w:hAnsi="Arial" w:cs="Arial"/>
          <w:sz w:val="24"/>
          <w:szCs w:val="24"/>
        </w:rPr>
        <w:t xml:space="preserve">the </w:t>
      </w:r>
      <w:r w:rsidR="007C1832" w:rsidRPr="0025209F">
        <w:rPr>
          <w:rFonts w:ascii="Arial" w:hAnsi="Arial" w:cs="Arial"/>
          <w:sz w:val="24"/>
          <w:szCs w:val="24"/>
        </w:rPr>
        <w:t>horses as identified at the inspection of 20 June 2017.</w:t>
      </w:r>
    </w:p>
    <w:p w14:paraId="03A95636" w14:textId="77777777" w:rsidR="004E0141" w:rsidRDefault="004E0141" w:rsidP="004E0141">
      <w:pPr>
        <w:pStyle w:val="ListParagraph"/>
        <w:tabs>
          <w:tab w:val="left" w:pos="0"/>
        </w:tabs>
        <w:spacing w:after="0" w:line="480" w:lineRule="auto"/>
        <w:ind w:left="0"/>
        <w:jc w:val="both"/>
        <w:rPr>
          <w:rFonts w:ascii="Arial" w:hAnsi="Arial" w:cs="Arial"/>
          <w:sz w:val="24"/>
          <w:szCs w:val="24"/>
        </w:rPr>
      </w:pPr>
    </w:p>
    <w:p w14:paraId="125D0F04" w14:textId="47397751" w:rsidR="00A33365" w:rsidRPr="0025209F"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A33365" w:rsidRPr="0025209F">
        <w:rPr>
          <w:rFonts w:ascii="Arial" w:hAnsi="Arial" w:cs="Arial"/>
          <w:sz w:val="24"/>
          <w:szCs w:val="24"/>
        </w:rPr>
        <w:t>Clause 8 provides for immediate arrangement for a veterinarian to administer full range of necessary vaccinations on the horses by 29 June 2017 and a follow-up two weeks thereafter, costs of the vaccinations to be borne by appellant.</w:t>
      </w:r>
    </w:p>
    <w:p w14:paraId="1715C52D" w14:textId="77777777" w:rsidR="004E0141" w:rsidRPr="00446464" w:rsidRDefault="004E0141" w:rsidP="00470647">
      <w:pPr>
        <w:spacing w:after="0" w:line="480" w:lineRule="auto"/>
        <w:jc w:val="both"/>
        <w:rPr>
          <w:rFonts w:ascii="Arial" w:hAnsi="Arial" w:cs="Arial"/>
          <w:sz w:val="24"/>
          <w:szCs w:val="24"/>
        </w:rPr>
      </w:pPr>
    </w:p>
    <w:p w14:paraId="393A1615" w14:textId="56EF8BBB" w:rsidR="00A33365" w:rsidRPr="0025209F"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A33365" w:rsidRPr="0025209F">
        <w:rPr>
          <w:rFonts w:ascii="Arial" w:hAnsi="Arial" w:cs="Arial"/>
          <w:sz w:val="24"/>
          <w:szCs w:val="24"/>
        </w:rPr>
        <w:t>Clause 9 provide</w:t>
      </w:r>
      <w:r w:rsidR="00774B96" w:rsidRPr="0025209F">
        <w:rPr>
          <w:rFonts w:ascii="Arial" w:hAnsi="Arial" w:cs="Arial"/>
          <w:sz w:val="24"/>
          <w:szCs w:val="24"/>
        </w:rPr>
        <w:t>s</w:t>
      </w:r>
      <w:r w:rsidR="00A33365" w:rsidRPr="0025209F">
        <w:rPr>
          <w:rFonts w:ascii="Arial" w:hAnsi="Arial" w:cs="Arial"/>
          <w:sz w:val="24"/>
          <w:szCs w:val="24"/>
        </w:rPr>
        <w:t xml:space="preserve"> for the taking of photos by the appellant and veterinarian of the horses which were not shown to the appellant at the inspection of 20 June 2017 and that upon signature of the agreement the photos be forwarded to appellant’s lawyers together </w:t>
      </w:r>
      <w:r w:rsidR="00A44BA9" w:rsidRPr="0025209F">
        <w:rPr>
          <w:rFonts w:ascii="Arial" w:hAnsi="Arial" w:cs="Arial"/>
          <w:sz w:val="24"/>
          <w:szCs w:val="24"/>
        </w:rPr>
        <w:t>with confirmation by the vet</w:t>
      </w:r>
      <w:r w:rsidR="00616C24" w:rsidRPr="0025209F">
        <w:rPr>
          <w:rFonts w:ascii="Arial" w:hAnsi="Arial" w:cs="Arial"/>
          <w:sz w:val="24"/>
          <w:szCs w:val="24"/>
        </w:rPr>
        <w:t>erinarian of the estimated age</w:t>
      </w:r>
      <w:r w:rsidR="00A44BA9" w:rsidRPr="0025209F">
        <w:rPr>
          <w:rFonts w:ascii="Arial" w:hAnsi="Arial" w:cs="Arial"/>
          <w:sz w:val="24"/>
          <w:szCs w:val="24"/>
        </w:rPr>
        <w:t xml:space="preserve"> of each horse.</w:t>
      </w:r>
    </w:p>
    <w:p w14:paraId="046DE917" w14:textId="77777777" w:rsidR="004E0141" w:rsidRPr="004E0141" w:rsidRDefault="004E0141" w:rsidP="00470647">
      <w:pPr>
        <w:pStyle w:val="ListParagraph"/>
        <w:spacing w:after="0" w:line="480" w:lineRule="auto"/>
        <w:jc w:val="both"/>
        <w:rPr>
          <w:rFonts w:ascii="Arial" w:hAnsi="Arial" w:cs="Arial"/>
          <w:sz w:val="24"/>
          <w:szCs w:val="24"/>
        </w:rPr>
      </w:pPr>
    </w:p>
    <w:p w14:paraId="0793D972" w14:textId="1759990F" w:rsidR="00A44BA9" w:rsidRPr="0025209F" w:rsidRDefault="0025209F" w:rsidP="0025209F">
      <w:pPr>
        <w:tabs>
          <w:tab w:val="left" w:pos="0"/>
        </w:tabs>
        <w:spacing w:after="0" w:line="480" w:lineRule="auto"/>
        <w:jc w:val="both"/>
        <w:rPr>
          <w:rFonts w:ascii="Arial" w:hAnsi="Arial" w:cs="Arial"/>
          <w:sz w:val="24"/>
          <w:szCs w:val="24"/>
        </w:rPr>
      </w:pPr>
      <w:r w:rsidRPr="004E0141">
        <w:rPr>
          <w:rFonts w:ascii="Arial" w:hAnsi="Arial" w:cs="Arial"/>
          <w:sz w:val="24"/>
          <w:szCs w:val="24"/>
        </w:rPr>
        <w:t>[49]</w:t>
      </w:r>
      <w:r w:rsidRPr="004E0141">
        <w:rPr>
          <w:rFonts w:ascii="Arial" w:hAnsi="Arial" w:cs="Arial"/>
          <w:sz w:val="24"/>
          <w:szCs w:val="24"/>
        </w:rPr>
        <w:tab/>
      </w:r>
      <w:r w:rsidR="00A44BA9" w:rsidRPr="0025209F">
        <w:rPr>
          <w:rFonts w:ascii="Arial" w:hAnsi="Arial" w:cs="Arial"/>
          <w:sz w:val="24"/>
          <w:szCs w:val="24"/>
        </w:rPr>
        <w:t>It is clause 10 which triggered the new claim which provides that by 29 June 2017</w:t>
      </w:r>
      <w:r w:rsidR="00B07C7A" w:rsidRPr="0025209F">
        <w:rPr>
          <w:rFonts w:ascii="Arial" w:hAnsi="Arial" w:cs="Arial"/>
          <w:sz w:val="24"/>
          <w:szCs w:val="24"/>
        </w:rPr>
        <w:t xml:space="preserve">, respondent shall have provided the appellant with all records and/or invoices of vaccinations and other relevant veterinary records, if any, connected to the horses – but if not available after an effort to find such records, </w:t>
      </w:r>
      <w:r w:rsidR="00B07C7A" w:rsidRPr="0025209F">
        <w:rPr>
          <w:rFonts w:ascii="Arial" w:hAnsi="Arial" w:cs="Arial"/>
          <w:sz w:val="24"/>
          <w:szCs w:val="24"/>
          <w:u w:val="single"/>
        </w:rPr>
        <w:t xml:space="preserve">the appellant shall accept the </w:t>
      </w:r>
      <w:r w:rsidR="00B07C7A" w:rsidRPr="0025209F">
        <w:rPr>
          <w:rFonts w:ascii="Arial" w:hAnsi="Arial" w:cs="Arial"/>
          <w:sz w:val="24"/>
          <w:szCs w:val="24"/>
          <w:u w:val="single"/>
        </w:rPr>
        <w:lastRenderedPageBreak/>
        <w:t>respondent’s assurance that such vaccinations were administered to the Neu-Heusis stud from 2011 to 2016.</w:t>
      </w:r>
    </w:p>
    <w:p w14:paraId="4E09A5D5" w14:textId="77777777" w:rsidR="004E0141" w:rsidRPr="00737E53" w:rsidRDefault="004E0141" w:rsidP="004E0141">
      <w:pPr>
        <w:pStyle w:val="ListParagraph"/>
        <w:tabs>
          <w:tab w:val="left" w:pos="0"/>
        </w:tabs>
        <w:spacing w:after="0" w:line="480" w:lineRule="auto"/>
        <w:ind w:left="0"/>
        <w:jc w:val="both"/>
        <w:rPr>
          <w:rFonts w:ascii="Arial" w:hAnsi="Arial" w:cs="Arial"/>
          <w:sz w:val="24"/>
          <w:szCs w:val="24"/>
        </w:rPr>
      </w:pPr>
    </w:p>
    <w:p w14:paraId="632BB7CA" w14:textId="558BD20D" w:rsidR="00737E53" w:rsidRPr="0025209F"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737E53" w:rsidRPr="0025209F">
        <w:rPr>
          <w:rFonts w:ascii="Arial" w:hAnsi="Arial" w:cs="Arial"/>
          <w:sz w:val="24"/>
          <w:szCs w:val="24"/>
        </w:rPr>
        <w:t>Clauses 11,12,13,14,15</w:t>
      </w:r>
      <w:r w:rsidR="00705BBA" w:rsidRPr="0025209F">
        <w:rPr>
          <w:rFonts w:ascii="Arial" w:hAnsi="Arial" w:cs="Arial"/>
          <w:sz w:val="24"/>
          <w:szCs w:val="24"/>
        </w:rPr>
        <w:t xml:space="preserve"> and</w:t>
      </w:r>
      <w:r w:rsidR="00737E53" w:rsidRPr="0025209F">
        <w:rPr>
          <w:rFonts w:ascii="Arial" w:hAnsi="Arial" w:cs="Arial"/>
          <w:sz w:val="24"/>
          <w:szCs w:val="24"/>
        </w:rPr>
        <w:t xml:space="preserve"> 16 provide for the appellant to breed the horses under the name ‘NH stud’ meaning change the name of her stud from Neu-Heusis stud to NH stud and she exclusively retained the logo/trademark attached to the Neu-Heusis stud. She also had to prove deregistration by no later than 31 July 2017. She was prohibited to publish the name Neu-Heusis</w:t>
      </w:r>
      <w:r w:rsidR="00116BEE" w:rsidRPr="0025209F">
        <w:rPr>
          <w:rFonts w:ascii="Arial" w:hAnsi="Arial" w:cs="Arial"/>
          <w:sz w:val="24"/>
          <w:szCs w:val="24"/>
        </w:rPr>
        <w:t xml:space="preserve"> in any form, even publication of the word formerly Neu-Heusis stud</w:t>
      </w:r>
      <w:r w:rsidR="00B32D84" w:rsidRPr="0025209F">
        <w:rPr>
          <w:rFonts w:ascii="Arial" w:hAnsi="Arial" w:cs="Arial"/>
          <w:sz w:val="24"/>
          <w:szCs w:val="24"/>
        </w:rPr>
        <w:t xml:space="preserve"> was prohibited – sho</w:t>
      </w:r>
      <w:r w:rsidR="00705BBA" w:rsidRPr="0025209F">
        <w:rPr>
          <w:rFonts w:ascii="Arial" w:hAnsi="Arial" w:cs="Arial"/>
          <w:sz w:val="24"/>
          <w:szCs w:val="24"/>
        </w:rPr>
        <w:t>r</w:t>
      </w:r>
      <w:r w:rsidR="00B32D84" w:rsidRPr="0025209F">
        <w:rPr>
          <w:rFonts w:ascii="Arial" w:hAnsi="Arial" w:cs="Arial"/>
          <w:sz w:val="24"/>
          <w:szCs w:val="24"/>
        </w:rPr>
        <w:t xml:space="preserve">t of it; she was prohibited to use the name Neu-Heusis for any purposes whatsoever. Respondent was to deregister himself from the Namibian Stud Breeders Association and the Namibian Warmblood Association as owner or part owner of the Neu-Heusis stud. He had to cause his name removed from all documentation, or media connected with the name Neu-Heusis stud. He had to prove deregistration to the appellant in writing no later than 7 July 2017. If he desired to form </w:t>
      </w:r>
      <w:r w:rsidR="00B44B69" w:rsidRPr="0025209F">
        <w:rPr>
          <w:rFonts w:ascii="Arial" w:hAnsi="Arial" w:cs="Arial"/>
          <w:sz w:val="24"/>
          <w:szCs w:val="24"/>
        </w:rPr>
        <w:t xml:space="preserve">a </w:t>
      </w:r>
      <w:r w:rsidR="00B32D84" w:rsidRPr="0025209F">
        <w:rPr>
          <w:rFonts w:ascii="Arial" w:hAnsi="Arial" w:cs="Arial"/>
          <w:sz w:val="24"/>
          <w:szCs w:val="24"/>
        </w:rPr>
        <w:t xml:space="preserve">new stud he was prohibited to use the names Neu-Heusis. He was even prohibited to use the bloodlines emanating from horses born of certain mare lines except if he purchased any of the bloodlines on the open market. Respondent is also prohibited to publish the name Neu-Heusis horse stud in any form whatsoever in connection with any horse stud or horses associated with the Neu-Heusis stud, nor publish the words ‘formerly Neu-Heusis </w:t>
      </w:r>
      <w:r w:rsidR="003A4A50" w:rsidRPr="0025209F">
        <w:rPr>
          <w:rFonts w:ascii="Arial" w:hAnsi="Arial" w:cs="Arial"/>
          <w:sz w:val="24"/>
          <w:szCs w:val="24"/>
        </w:rPr>
        <w:t xml:space="preserve"> stud’ in any form with reference to the horse stud. He however retained the </w:t>
      </w:r>
      <w:r w:rsidR="00B32D84" w:rsidRPr="0025209F">
        <w:rPr>
          <w:rFonts w:ascii="Arial" w:hAnsi="Arial" w:cs="Arial"/>
          <w:sz w:val="24"/>
          <w:szCs w:val="24"/>
        </w:rPr>
        <w:t>exclusive use of the name</w:t>
      </w:r>
      <w:r w:rsidR="003A4A50" w:rsidRPr="0025209F">
        <w:rPr>
          <w:rFonts w:ascii="Arial" w:hAnsi="Arial" w:cs="Arial"/>
          <w:sz w:val="24"/>
          <w:szCs w:val="24"/>
        </w:rPr>
        <w:t xml:space="preserve"> Neu-Heusis in respect of his cattle and/or any other animal stud he may wish to register (to the exclusion of horses). </w:t>
      </w:r>
      <w:r w:rsidR="003A4A50" w:rsidRPr="0025209F">
        <w:rPr>
          <w:rFonts w:ascii="Arial" w:hAnsi="Arial" w:cs="Arial"/>
          <w:sz w:val="24"/>
          <w:szCs w:val="24"/>
        </w:rPr>
        <w:lastRenderedPageBreak/>
        <w:t xml:space="preserve">Clause 18 provides for appellant to immediately remove her Facebook post </w:t>
      </w:r>
      <w:r w:rsidR="00616C24" w:rsidRPr="0025209F">
        <w:rPr>
          <w:rFonts w:ascii="Arial" w:hAnsi="Arial" w:cs="Arial"/>
          <w:sz w:val="24"/>
          <w:szCs w:val="24"/>
        </w:rPr>
        <w:t xml:space="preserve">where </w:t>
      </w:r>
      <w:r w:rsidR="003A4A50" w:rsidRPr="0025209F">
        <w:rPr>
          <w:rFonts w:ascii="Arial" w:hAnsi="Arial" w:cs="Arial"/>
          <w:sz w:val="24"/>
          <w:szCs w:val="24"/>
        </w:rPr>
        <w:t xml:space="preserve">reference is made to the death of the horse </w:t>
      </w:r>
      <w:r w:rsidR="00F11FDD" w:rsidRPr="0025209F">
        <w:rPr>
          <w:rFonts w:ascii="Arial" w:hAnsi="Arial" w:cs="Arial"/>
          <w:sz w:val="24"/>
          <w:szCs w:val="24"/>
        </w:rPr>
        <w:t>C</w:t>
      </w:r>
      <w:r w:rsidR="003A4A50" w:rsidRPr="0025209F">
        <w:rPr>
          <w:rFonts w:ascii="Arial" w:hAnsi="Arial" w:cs="Arial"/>
          <w:sz w:val="24"/>
          <w:szCs w:val="24"/>
        </w:rPr>
        <w:t>ountess.</w:t>
      </w:r>
    </w:p>
    <w:p w14:paraId="1F36B14D" w14:textId="77777777" w:rsidR="005C294F" w:rsidRDefault="005C294F" w:rsidP="00470647">
      <w:pPr>
        <w:spacing w:after="0" w:line="480" w:lineRule="auto"/>
        <w:jc w:val="both"/>
        <w:rPr>
          <w:rFonts w:ascii="Arial" w:hAnsi="Arial" w:cs="Arial"/>
          <w:sz w:val="24"/>
          <w:szCs w:val="24"/>
        </w:rPr>
      </w:pPr>
    </w:p>
    <w:p w14:paraId="103CA68D" w14:textId="4CCE106B" w:rsidR="003A4A50" w:rsidRPr="0025209F"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3A4A50" w:rsidRPr="0025209F">
        <w:rPr>
          <w:rFonts w:ascii="Arial" w:hAnsi="Arial" w:cs="Arial"/>
          <w:sz w:val="24"/>
          <w:szCs w:val="24"/>
        </w:rPr>
        <w:t>Clauses 22 and 23 provide:</w:t>
      </w:r>
    </w:p>
    <w:p w14:paraId="01CE1EF5" w14:textId="77777777" w:rsidR="003A4A50" w:rsidRDefault="003A4A50" w:rsidP="003A4A50">
      <w:pPr>
        <w:pStyle w:val="ListParagraph"/>
        <w:tabs>
          <w:tab w:val="left" w:pos="0"/>
        </w:tabs>
        <w:spacing w:after="0" w:line="480" w:lineRule="auto"/>
        <w:ind w:left="0"/>
        <w:jc w:val="both"/>
        <w:rPr>
          <w:rFonts w:ascii="Arial" w:hAnsi="Arial" w:cs="Arial"/>
          <w:sz w:val="24"/>
          <w:szCs w:val="24"/>
        </w:rPr>
      </w:pPr>
    </w:p>
    <w:p w14:paraId="5B86452A" w14:textId="77777777" w:rsidR="003A4A50" w:rsidRPr="00446464" w:rsidRDefault="00762595" w:rsidP="00446464">
      <w:pPr>
        <w:pStyle w:val="ListParagraph"/>
        <w:tabs>
          <w:tab w:val="left" w:pos="0"/>
        </w:tabs>
        <w:spacing w:after="0" w:line="360" w:lineRule="auto"/>
        <w:ind w:left="1440" w:hanging="720"/>
        <w:jc w:val="both"/>
        <w:rPr>
          <w:rFonts w:ascii="Arial" w:hAnsi="Arial" w:cs="Arial"/>
        </w:rPr>
      </w:pPr>
      <w:r>
        <w:rPr>
          <w:rFonts w:ascii="Arial" w:hAnsi="Arial" w:cs="Arial"/>
        </w:rPr>
        <w:t>’</w:t>
      </w:r>
      <w:r w:rsidR="00DD4863" w:rsidRPr="00446464">
        <w:rPr>
          <w:rFonts w:ascii="Arial" w:hAnsi="Arial" w:cs="Arial"/>
        </w:rPr>
        <w:t>22</w:t>
      </w:r>
      <w:r>
        <w:rPr>
          <w:rFonts w:ascii="Arial" w:hAnsi="Arial" w:cs="Arial"/>
        </w:rPr>
        <w:t>.</w:t>
      </w:r>
      <w:r w:rsidR="00DD4863" w:rsidRPr="00446464">
        <w:rPr>
          <w:rFonts w:ascii="Arial" w:hAnsi="Arial" w:cs="Arial"/>
        </w:rPr>
        <w:tab/>
      </w:r>
      <w:r w:rsidR="00A43B45" w:rsidRPr="00446464">
        <w:rPr>
          <w:rFonts w:ascii="Arial" w:hAnsi="Arial" w:cs="Arial"/>
        </w:rPr>
        <w:t>The plaintiff shall cause a letter to be delivered to First National Bank, on or before 7 July 2017, recording that the cheque presented by defendant to First National Bank on 8 April 2011 for payment in the amount of N$60 000 was lawfully presented. The letter should contain the following wording.</w:t>
      </w:r>
    </w:p>
    <w:p w14:paraId="491843E3" w14:textId="77777777" w:rsidR="00A43B45" w:rsidRPr="00446464" w:rsidRDefault="00A43B45" w:rsidP="00446464">
      <w:pPr>
        <w:pStyle w:val="ListParagraph"/>
        <w:tabs>
          <w:tab w:val="left" w:pos="0"/>
        </w:tabs>
        <w:spacing w:after="0" w:line="360" w:lineRule="auto"/>
        <w:ind w:left="0"/>
        <w:jc w:val="both"/>
        <w:rPr>
          <w:rFonts w:ascii="Arial" w:hAnsi="Arial" w:cs="Arial"/>
        </w:rPr>
      </w:pPr>
    </w:p>
    <w:p w14:paraId="42F12DF6" w14:textId="77777777" w:rsidR="00A43B45" w:rsidRPr="00446464" w:rsidRDefault="00A43B45" w:rsidP="00446464">
      <w:pPr>
        <w:pStyle w:val="ListParagraph"/>
        <w:tabs>
          <w:tab w:val="left" w:pos="0"/>
        </w:tabs>
        <w:spacing w:after="0" w:line="360" w:lineRule="auto"/>
        <w:ind w:left="1440"/>
        <w:jc w:val="both"/>
        <w:rPr>
          <w:rFonts w:ascii="Arial" w:hAnsi="Arial" w:cs="Arial"/>
        </w:rPr>
      </w:pPr>
      <w:r w:rsidRPr="00446464">
        <w:rPr>
          <w:rFonts w:ascii="Arial" w:hAnsi="Arial" w:cs="Arial"/>
        </w:rPr>
        <w:t>“I, Egbert Hoff, herewith state that I have withdrawn all my claims against Susanne Hoff in respect of the cheque dated 8 April 2011 in the amount of N$60 000, att</w:t>
      </w:r>
      <w:r w:rsidR="00DD4863" w:rsidRPr="00446464">
        <w:rPr>
          <w:rFonts w:ascii="Arial" w:hAnsi="Arial" w:cs="Arial"/>
        </w:rPr>
        <w:t>a</w:t>
      </w:r>
      <w:r w:rsidRPr="00446464">
        <w:rPr>
          <w:rFonts w:ascii="Arial" w:hAnsi="Arial" w:cs="Arial"/>
        </w:rPr>
        <w:t>ched hereto as annexure “FNB1”.</w:t>
      </w:r>
    </w:p>
    <w:p w14:paraId="397D0FAF" w14:textId="77777777" w:rsidR="00A43B45" w:rsidRPr="00446464" w:rsidRDefault="00A43B45" w:rsidP="00446464">
      <w:pPr>
        <w:pStyle w:val="ListParagraph"/>
        <w:tabs>
          <w:tab w:val="left" w:pos="0"/>
        </w:tabs>
        <w:spacing w:after="0" w:line="360" w:lineRule="auto"/>
        <w:ind w:left="0"/>
        <w:jc w:val="both"/>
        <w:rPr>
          <w:rFonts w:ascii="Arial" w:hAnsi="Arial" w:cs="Arial"/>
        </w:rPr>
      </w:pPr>
    </w:p>
    <w:p w14:paraId="0DCF73D6" w14:textId="77777777" w:rsidR="00A43B45" w:rsidRPr="00446464" w:rsidRDefault="00A43B45" w:rsidP="00446464">
      <w:pPr>
        <w:pStyle w:val="ListParagraph"/>
        <w:tabs>
          <w:tab w:val="left" w:pos="0"/>
        </w:tabs>
        <w:spacing w:after="0" w:line="360" w:lineRule="auto"/>
        <w:ind w:left="1440"/>
        <w:jc w:val="both"/>
        <w:rPr>
          <w:rFonts w:ascii="Arial" w:hAnsi="Arial" w:cs="Arial"/>
        </w:rPr>
      </w:pPr>
      <w:r w:rsidRPr="00446464">
        <w:rPr>
          <w:rFonts w:ascii="Arial" w:hAnsi="Arial" w:cs="Arial"/>
        </w:rPr>
        <w:t>A copy of the letter, evidencing delivery, shall be provided to the defend</w:t>
      </w:r>
      <w:r w:rsidR="00DD4863" w:rsidRPr="00446464">
        <w:rPr>
          <w:rFonts w:ascii="Arial" w:hAnsi="Arial" w:cs="Arial"/>
        </w:rPr>
        <w:t>a</w:t>
      </w:r>
      <w:r w:rsidRPr="00446464">
        <w:rPr>
          <w:rFonts w:ascii="Arial" w:hAnsi="Arial" w:cs="Arial"/>
        </w:rPr>
        <w:t>nt’s attorneys of record by no later than 7 July 2017.</w:t>
      </w:r>
    </w:p>
    <w:p w14:paraId="6A9B8240" w14:textId="77777777" w:rsidR="00A43B45" w:rsidRPr="00446464" w:rsidRDefault="00A43B45" w:rsidP="00446464">
      <w:pPr>
        <w:pStyle w:val="ListParagraph"/>
        <w:tabs>
          <w:tab w:val="left" w:pos="0"/>
        </w:tabs>
        <w:spacing w:after="0" w:line="360" w:lineRule="auto"/>
        <w:ind w:left="0"/>
        <w:jc w:val="both"/>
        <w:rPr>
          <w:rFonts w:ascii="Arial" w:hAnsi="Arial" w:cs="Arial"/>
        </w:rPr>
      </w:pPr>
    </w:p>
    <w:p w14:paraId="6AE0C337" w14:textId="77777777" w:rsidR="00DD4863" w:rsidRPr="00446464" w:rsidRDefault="00616C24" w:rsidP="00446464">
      <w:pPr>
        <w:pStyle w:val="ListParagraph"/>
        <w:tabs>
          <w:tab w:val="left" w:pos="0"/>
        </w:tabs>
        <w:spacing w:after="0" w:line="360" w:lineRule="auto"/>
        <w:ind w:left="1440" w:hanging="720"/>
        <w:jc w:val="both"/>
        <w:rPr>
          <w:rFonts w:ascii="Arial" w:hAnsi="Arial" w:cs="Arial"/>
        </w:rPr>
      </w:pPr>
      <w:r>
        <w:rPr>
          <w:rFonts w:ascii="Arial" w:hAnsi="Arial" w:cs="Arial"/>
        </w:rPr>
        <w:t>23</w:t>
      </w:r>
      <w:r w:rsidR="00762595">
        <w:rPr>
          <w:rFonts w:ascii="Arial" w:hAnsi="Arial" w:cs="Arial"/>
        </w:rPr>
        <w:t>.</w:t>
      </w:r>
      <w:r>
        <w:rPr>
          <w:rFonts w:ascii="Arial" w:hAnsi="Arial" w:cs="Arial"/>
        </w:rPr>
        <w:tab/>
        <w:t>The defendant</w:t>
      </w:r>
      <w:r w:rsidR="00DD4863" w:rsidRPr="00446464">
        <w:rPr>
          <w:rFonts w:ascii="Arial" w:hAnsi="Arial" w:cs="Arial"/>
        </w:rPr>
        <w:t xml:space="preserve"> agrees to withdraw any and all pending criminal or civil actions she has against the plaintiff as well as the criminal cases instituted against the plaintiff’s erstwhile legal representative, Mr EPF Gous, and the parties will desist from uttering or publishing defamatory remarks about each other, whether in relation to this matter or any other pending matter. It is recorded that the plaintiff has no pending criminal and/or other civil action against the defendant aside from this action.’</w:t>
      </w:r>
    </w:p>
    <w:p w14:paraId="4BADF962" w14:textId="77777777" w:rsidR="00A43B45" w:rsidRDefault="00A43B45" w:rsidP="003A4A50">
      <w:pPr>
        <w:pStyle w:val="ListParagraph"/>
        <w:tabs>
          <w:tab w:val="left" w:pos="0"/>
        </w:tabs>
        <w:spacing w:after="0" w:line="480" w:lineRule="auto"/>
        <w:ind w:left="0"/>
        <w:jc w:val="both"/>
        <w:rPr>
          <w:rFonts w:ascii="Arial" w:hAnsi="Arial" w:cs="Arial"/>
          <w:sz w:val="24"/>
          <w:szCs w:val="24"/>
        </w:rPr>
      </w:pPr>
    </w:p>
    <w:p w14:paraId="6C450DB9" w14:textId="48544464" w:rsidR="003A4A50" w:rsidRPr="0025209F"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3A4A50" w:rsidRPr="0025209F">
        <w:rPr>
          <w:rFonts w:ascii="Arial" w:hAnsi="Arial" w:cs="Arial"/>
          <w:sz w:val="24"/>
          <w:szCs w:val="24"/>
        </w:rPr>
        <w:t xml:space="preserve">From a reading of the clauses of the settlement agreement and the allegations in her claims it is very clear to me that appellant attempts to resurrect a cause of action under the guise of a misrepresentation, which in my opinion was extinguished </w:t>
      </w:r>
      <w:r w:rsidR="003A4A50" w:rsidRPr="0025209F">
        <w:rPr>
          <w:rFonts w:ascii="Arial" w:hAnsi="Arial" w:cs="Arial"/>
          <w:sz w:val="24"/>
          <w:szCs w:val="24"/>
        </w:rPr>
        <w:lastRenderedPageBreak/>
        <w:t>previously between the parties, when no reservations were made in the event som</w:t>
      </w:r>
      <w:r w:rsidR="00616C24" w:rsidRPr="0025209F">
        <w:rPr>
          <w:rFonts w:ascii="Arial" w:hAnsi="Arial" w:cs="Arial"/>
          <w:sz w:val="24"/>
          <w:szCs w:val="24"/>
        </w:rPr>
        <w:t>ething unforeseen at the time of</w:t>
      </w:r>
      <w:r w:rsidR="003A4A50" w:rsidRPr="0025209F">
        <w:rPr>
          <w:rFonts w:ascii="Arial" w:hAnsi="Arial" w:cs="Arial"/>
          <w:sz w:val="24"/>
          <w:szCs w:val="24"/>
        </w:rPr>
        <w:t xml:space="preserve"> signature arose.</w:t>
      </w:r>
    </w:p>
    <w:p w14:paraId="302C6C57" w14:textId="77777777" w:rsidR="004E0141" w:rsidRDefault="004E0141" w:rsidP="004E0141">
      <w:pPr>
        <w:pStyle w:val="ListParagraph"/>
        <w:tabs>
          <w:tab w:val="left" w:pos="0"/>
        </w:tabs>
        <w:spacing w:after="0" w:line="480" w:lineRule="auto"/>
        <w:ind w:left="0"/>
        <w:jc w:val="both"/>
        <w:rPr>
          <w:rFonts w:ascii="Arial" w:hAnsi="Arial" w:cs="Arial"/>
          <w:sz w:val="24"/>
          <w:szCs w:val="24"/>
        </w:rPr>
      </w:pPr>
    </w:p>
    <w:p w14:paraId="33452271" w14:textId="4F17B5EB" w:rsidR="00737E53" w:rsidRPr="0025209F"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3A4A50" w:rsidRPr="0025209F">
        <w:rPr>
          <w:rFonts w:ascii="Arial" w:hAnsi="Arial" w:cs="Arial"/>
          <w:sz w:val="24"/>
          <w:szCs w:val="24"/>
        </w:rPr>
        <w:t>The settlement agreement was signed on 22 June 2017</w:t>
      </w:r>
      <w:r w:rsidR="00B44B69" w:rsidRPr="0025209F">
        <w:rPr>
          <w:rFonts w:ascii="Arial" w:hAnsi="Arial" w:cs="Arial"/>
          <w:sz w:val="24"/>
          <w:szCs w:val="24"/>
        </w:rPr>
        <w:t>.</w:t>
      </w:r>
      <w:r w:rsidR="003A4A50" w:rsidRPr="0025209F">
        <w:rPr>
          <w:rFonts w:ascii="Arial" w:hAnsi="Arial" w:cs="Arial"/>
          <w:sz w:val="24"/>
          <w:szCs w:val="24"/>
        </w:rPr>
        <w:t xml:space="preserve"> </w:t>
      </w:r>
      <w:r w:rsidR="00B44B69" w:rsidRPr="0025209F">
        <w:rPr>
          <w:rFonts w:ascii="Arial" w:hAnsi="Arial" w:cs="Arial"/>
          <w:sz w:val="24"/>
          <w:szCs w:val="24"/>
        </w:rPr>
        <w:t>C</w:t>
      </w:r>
      <w:r w:rsidR="003A4A50" w:rsidRPr="0025209F">
        <w:rPr>
          <w:rFonts w:ascii="Arial" w:hAnsi="Arial" w:cs="Arial"/>
          <w:sz w:val="24"/>
          <w:szCs w:val="24"/>
        </w:rPr>
        <w:t>lause 9 provide</w:t>
      </w:r>
      <w:r w:rsidR="00B44B69" w:rsidRPr="0025209F">
        <w:rPr>
          <w:rFonts w:ascii="Arial" w:hAnsi="Arial" w:cs="Arial"/>
          <w:sz w:val="24"/>
          <w:szCs w:val="24"/>
        </w:rPr>
        <w:t>s</w:t>
      </w:r>
      <w:r w:rsidR="003A4A50" w:rsidRPr="0025209F">
        <w:rPr>
          <w:rFonts w:ascii="Arial" w:hAnsi="Arial" w:cs="Arial"/>
          <w:sz w:val="24"/>
          <w:szCs w:val="24"/>
        </w:rPr>
        <w:t xml:space="preserve"> that on or before 29 June 2017, the respondent and/or the veterinarian shall take photographs of the horses, not shown to appellant during the inspection of Farm Neu-Heusis on 20 June 2017, and after signature of the agreement the photos shall immediately </w:t>
      </w:r>
      <w:r w:rsidR="00616C24" w:rsidRPr="0025209F">
        <w:rPr>
          <w:rFonts w:ascii="Arial" w:hAnsi="Arial" w:cs="Arial"/>
          <w:sz w:val="24"/>
          <w:szCs w:val="24"/>
        </w:rPr>
        <w:t xml:space="preserve">be </w:t>
      </w:r>
      <w:r w:rsidR="003A4A50" w:rsidRPr="0025209F">
        <w:rPr>
          <w:rFonts w:ascii="Arial" w:hAnsi="Arial" w:cs="Arial"/>
          <w:sz w:val="24"/>
          <w:szCs w:val="24"/>
        </w:rPr>
        <w:t>forwarded to appellant</w:t>
      </w:r>
      <w:r w:rsidR="00B44B69" w:rsidRPr="0025209F">
        <w:rPr>
          <w:rFonts w:ascii="Arial" w:hAnsi="Arial" w:cs="Arial"/>
          <w:sz w:val="24"/>
          <w:szCs w:val="24"/>
        </w:rPr>
        <w:t>’s</w:t>
      </w:r>
      <w:r w:rsidR="003A4A50" w:rsidRPr="0025209F">
        <w:rPr>
          <w:rFonts w:ascii="Arial" w:hAnsi="Arial" w:cs="Arial"/>
          <w:sz w:val="24"/>
          <w:szCs w:val="24"/>
        </w:rPr>
        <w:t xml:space="preserve"> lawyers</w:t>
      </w:r>
      <w:r w:rsidR="00BD18D4" w:rsidRPr="0025209F">
        <w:rPr>
          <w:rFonts w:ascii="Arial" w:hAnsi="Arial" w:cs="Arial"/>
          <w:sz w:val="24"/>
          <w:szCs w:val="24"/>
        </w:rPr>
        <w:t xml:space="preserve"> </w:t>
      </w:r>
      <w:r w:rsidR="00AA7348" w:rsidRPr="0025209F">
        <w:rPr>
          <w:rFonts w:ascii="Arial" w:hAnsi="Arial" w:cs="Arial"/>
          <w:sz w:val="24"/>
          <w:szCs w:val="24"/>
        </w:rPr>
        <w:t xml:space="preserve">– together </w:t>
      </w:r>
      <w:r w:rsidR="003A4A50" w:rsidRPr="0025209F">
        <w:rPr>
          <w:rFonts w:ascii="Arial" w:hAnsi="Arial" w:cs="Arial"/>
          <w:sz w:val="24"/>
          <w:szCs w:val="24"/>
        </w:rPr>
        <w:t>with confirmation by the veterinarian of the estimated age of each horse. The photos were taken and form part of the record and were most probabl</w:t>
      </w:r>
      <w:r w:rsidR="00616C24" w:rsidRPr="0025209F">
        <w:rPr>
          <w:rFonts w:ascii="Arial" w:hAnsi="Arial" w:cs="Arial"/>
          <w:sz w:val="24"/>
          <w:szCs w:val="24"/>
        </w:rPr>
        <w:t>y</w:t>
      </w:r>
      <w:r w:rsidR="003A4A50" w:rsidRPr="0025209F">
        <w:rPr>
          <w:rFonts w:ascii="Arial" w:hAnsi="Arial" w:cs="Arial"/>
          <w:sz w:val="24"/>
          <w:szCs w:val="24"/>
        </w:rPr>
        <w:t xml:space="preserve"> forwarded to appellant’s lawyers. Clause 10 also provide</w:t>
      </w:r>
      <w:r w:rsidR="00B44B69" w:rsidRPr="0025209F">
        <w:rPr>
          <w:rFonts w:ascii="Arial" w:hAnsi="Arial" w:cs="Arial"/>
          <w:sz w:val="24"/>
          <w:szCs w:val="24"/>
        </w:rPr>
        <w:t>s</w:t>
      </w:r>
      <w:r w:rsidR="003A4A50" w:rsidRPr="0025209F">
        <w:rPr>
          <w:rFonts w:ascii="Arial" w:hAnsi="Arial" w:cs="Arial"/>
          <w:sz w:val="24"/>
          <w:szCs w:val="24"/>
        </w:rPr>
        <w:t xml:space="preserve"> that by no later than 29 June 2017, respondent shall provide to appellant </w:t>
      </w:r>
      <w:r w:rsidR="00181473" w:rsidRPr="0025209F">
        <w:rPr>
          <w:rFonts w:ascii="Arial" w:hAnsi="Arial" w:cs="Arial"/>
          <w:sz w:val="24"/>
          <w:szCs w:val="24"/>
        </w:rPr>
        <w:t xml:space="preserve">with </w:t>
      </w:r>
      <w:r w:rsidR="003A4A50" w:rsidRPr="0025209F">
        <w:rPr>
          <w:rFonts w:ascii="Arial" w:hAnsi="Arial" w:cs="Arial"/>
          <w:sz w:val="24"/>
          <w:szCs w:val="24"/>
        </w:rPr>
        <w:t>proof of all records and/or invoices of vaccinations and other relevant veterinary records, if any, pertaining to the horses</w:t>
      </w:r>
      <w:r w:rsidR="00A4495A" w:rsidRPr="0025209F">
        <w:rPr>
          <w:rFonts w:ascii="Arial" w:hAnsi="Arial" w:cs="Arial"/>
          <w:sz w:val="24"/>
          <w:szCs w:val="24"/>
        </w:rPr>
        <w:t xml:space="preserve">. What follows is that, however the respondent ‘shall do his utmost to obtain proof, but if not available, </w:t>
      </w:r>
      <w:r w:rsidR="00A4495A" w:rsidRPr="0025209F">
        <w:rPr>
          <w:rFonts w:ascii="Arial" w:hAnsi="Arial" w:cs="Arial"/>
          <w:sz w:val="24"/>
          <w:szCs w:val="24"/>
          <w:u w:val="single"/>
        </w:rPr>
        <w:t>the defendant (appellant) shall accept the plaintiff’s assurance that such vaccinations were administered</w:t>
      </w:r>
      <w:r w:rsidR="00A4495A" w:rsidRPr="0025209F">
        <w:rPr>
          <w:rFonts w:ascii="Arial" w:hAnsi="Arial" w:cs="Arial"/>
          <w:sz w:val="24"/>
          <w:szCs w:val="24"/>
        </w:rPr>
        <w:t xml:space="preserve"> to the Neu-Heusis stud from 2011 to 2016</w:t>
      </w:r>
      <w:r w:rsidR="00BD18D4" w:rsidRPr="0025209F">
        <w:rPr>
          <w:rFonts w:ascii="Arial" w:hAnsi="Arial" w:cs="Arial"/>
          <w:sz w:val="24"/>
          <w:szCs w:val="24"/>
          <w:u w:val="single"/>
        </w:rPr>
        <w:t>’</w:t>
      </w:r>
      <w:r w:rsidR="00A4495A" w:rsidRPr="0025209F">
        <w:rPr>
          <w:rFonts w:ascii="Arial" w:hAnsi="Arial" w:cs="Arial"/>
          <w:sz w:val="24"/>
          <w:szCs w:val="24"/>
        </w:rPr>
        <w:t xml:space="preserve">. From 2011 </w:t>
      </w:r>
      <w:r w:rsidR="00616C24" w:rsidRPr="0025209F">
        <w:rPr>
          <w:rFonts w:ascii="Arial" w:hAnsi="Arial" w:cs="Arial"/>
          <w:sz w:val="24"/>
          <w:szCs w:val="24"/>
        </w:rPr>
        <w:t>to June</w:t>
      </w:r>
      <w:r w:rsidR="00A4495A" w:rsidRPr="0025209F">
        <w:rPr>
          <w:rFonts w:ascii="Arial" w:hAnsi="Arial" w:cs="Arial"/>
          <w:sz w:val="24"/>
          <w:szCs w:val="24"/>
        </w:rPr>
        <w:t xml:space="preserve"> 2017 when the agreement was signed is </w:t>
      </w:r>
      <w:r w:rsidR="00BD18D4" w:rsidRPr="0025209F">
        <w:rPr>
          <w:rFonts w:ascii="Arial" w:hAnsi="Arial" w:cs="Arial"/>
          <w:sz w:val="24"/>
          <w:szCs w:val="24"/>
        </w:rPr>
        <w:t>si</w:t>
      </w:r>
      <w:r w:rsidR="00810317" w:rsidRPr="0025209F">
        <w:rPr>
          <w:rFonts w:ascii="Arial" w:hAnsi="Arial" w:cs="Arial"/>
          <w:sz w:val="24"/>
          <w:szCs w:val="24"/>
        </w:rPr>
        <w:t>x</w:t>
      </w:r>
      <w:r w:rsidR="00BD18D4" w:rsidRPr="0025209F">
        <w:rPr>
          <w:rFonts w:ascii="Arial" w:hAnsi="Arial" w:cs="Arial"/>
          <w:sz w:val="24"/>
          <w:szCs w:val="24"/>
        </w:rPr>
        <w:t xml:space="preserve"> and a half </w:t>
      </w:r>
      <w:r w:rsidR="00616C24" w:rsidRPr="0025209F">
        <w:rPr>
          <w:rFonts w:ascii="Arial" w:hAnsi="Arial" w:cs="Arial"/>
          <w:sz w:val="24"/>
          <w:szCs w:val="24"/>
        </w:rPr>
        <w:t>years</w:t>
      </w:r>
      <w:r w:rsidR="00A4495A" w:rsidRPr="0025209F">
        <w:rPr>
          <w:rFonts w:ascii="Arial" w:hAnsi="Arial" w:cs="Arial"/>
          <w:sz w:val="24"/>
          <w:szCs w:val="24"/>
        </w:rPr>
        <w:t>. It is not clear from t</w:t>
      </w:r>
      <w:r w:rsidR="00616C24" w:rsidRPr="0025209F">
        <w:rPr>
          <w:rFonts w:ascii="Arial" w:hAnsi="Arial" w:cs="Arial"/>
          <w:sz w:val="24"/>
          <w:szCs w:val="24"/>
        </w:rPr>
        <w:t>he pleading</w:t>
      </w:r>
      <w:r w:rsidR="00181473" w:rsidRPr="0025209F">
        <w:rPr>
          <w:rFonts w:ascii="Arial" w:hAnsi="Arial" w:cs="Arial"/>
          <w:sz w:val="24"/>
          <w:szCs w:val="24"/>
        </w:rPr>
        <w:t>(s)</w:t>
      </w:r>
      <w:r w:rsidR="00616C24" w:rsidRPr="0025209F">
        <w:rPr>
          <w:rFonts w:ascii="Arial" w:hAnsi="Arial" w:cs="Arial"/>
          <w:sz w:val="24"/>
          <w:szCs w:val="24"/>
        </w:rPr>
        <w:t xml:space="preserve"> where appellant was</w:t>
      </w:r>
      <w:r w:rsidR="00A4495A" w:rsidRPr="0025209F">
        <w:rPr>
          <w:rFonts w:ascii="Arial" w:hAnsi="Arial" w:cs="Arial"/>
          <w:sz w:val="24"/>
          <w:szCs w:val="24"/>
        </w:rPr>
        <w:t xml:space="preserve"> between 2011 to June 2017. I assume that she was not residing on Farm Neu-Heusis hence the provisions of clause 10. Six and </w:t>
      </w:r>
      <w:r w:rsidR="00BD18D4" w:rsidRPr="0025209F">
        <w:rPr>
          <w:rFonts w:ascii="Arial" w:hAnsi="Arial" w:cs="Arial"/>
          <w:sz w:val="24"/>
          <w:szCs w:val="24"/>
        </w:rPr>
        <w:t xml:space="preserve">a </w:t>
      </w:r>
      <w:r w:rsidR="00A4495A" w:rsidRPr="0025209F">
        <w:rPr>
          <w:rFonts w:ascii="Arial" w:hAnsi="Arial" w:cs="Arial"/>
          <w:sz w:val="24"/>
          <w:szCs w:val="24"/>
        </w:rPr>
        <w:t xml:space="preserve">half years is a long period – one would have expected her to insist on the records or make reservations in that regard. </w:t>
      </w:r>
      <w:r w:rsidR="00B44B69" w:rsidRPr="0025209F">
        <w:rPr>
          <w:rFonts w:ascii="Arial" w:hAnsi="Arial" w:cs="Arial"/>
          <w:sz w:val="24"/>
          <w:szCs w:val="24"/>
        </w:rPr>
        <w:t>The f</w:t>
      </w:r>
      <w:r w:rsidR="00A4495A" w:rsidRPr="0025209F">
        <w:rPr>
          <w:rFonts w:ascii="Arial" w:hAnsi="Arial" w:cs="Arial"/>
          <w:sz w:val="24"/>
          <w:szCs w:val="24"/>
        </w:rPr>
        <w:t>our claims are based on the importance of the vaccinations of the horses</w:t>
      </w:r>
      <w:r w:rsidR="00616C24" w:rsidRPr="0025209F">
        <w:rPr>
          <w:rFonts w:ascii="Arial" w:hAnsi="Arial" w:cs="Arial"/>
          <w:sz w:val="24"/>
          <w:szCs w:val="24"/>
        </w:rPr>
        <w:t xml:space="preserve"> and yet that reality was not accorded its importance in the agreement, by accepting respondent’s assurance</w:t>
      </w:r>
      <w:r w:rsidR="00470647" w:rsidRPr="0025209F">
        <w:rPr>
          <w:rFonts w:ascii="Arial" w:hAnsi="Arial" w:cs="Arial"/>
          <w:sz w:val="24"/>
          <w:szCs w:val="24"/>
        </w:rPr>
        <w:t>s</w:t>
      </w:r>
      <w:r w:rsidR="00616C24" w:rsidRPr="0025209F">
        <w:rPr>
          <w:rFonts w:ascii="Arial" w:hAnsi="Arial" w:cs="Arial"/>
          <w:sz w:val="24"/>
          <w:szCs w:val="24"/>
        </w:rPr>
        <w:t xml:space="preserve"> only</w:t>
      </w:r>
      <w:r w:rsidR="00A4495A" w:rsidRPr="0025209F">
        <w:rPr>
          <w:rFonts w:ascii="Arial" w:hAnsi="Arial" w:cs="Arial"/>
          <w:sz w:val="24"/>
          <w:szCs w:val="24"/>
        </w:rPr>
        <w:t xml:space="preserve">. She states that there is no cure for African Horse Sickness, and if not </w:t>
      </w:r>
      <w:r w:rsidR="00A4495A" w:rsidRPr="0025209F">
        <w:rPr>
          <w:rFonts w:ascii="Arial" w:hAnsi="Arial" w:cs="Arial"/>
          <w:sz w:val="24"/>
          <w:szCs w:val="24"/>
        </w:rPr>
        <w:lastRenderedPageBreak/>
        <w:t>vaccinated or properly so, the value of individual horses would be reduced and they would be susceptible to contracting the African Ho</w:t>
      </w:r>
      <w:r w:rsidR="00232AF8" w:rsidRPr="0025209F">
        <w:rPr>
          <w:rFonts w:ascii="Arial" w:hAnsi="Arial" w:cs="Arial"/>
          <w:sz w:val="24"/>
          <w:szCs w:val="24"/>
        </w:rPr>
        <w:t>r</w:t>
      </w:r>
      <w:r w:rsidR="00A4495A" w:rsidRPr="0025209F">
        <w:rPr>
          <w:rFonts w:ascii="Arial" w:hAnsi="Arial" w:cs="Arial"/>
          <w:sz w:val="24"/>
          <w:szCs w:val="24"/>
        </w:rPr>
        <w:t>se Sickness and they would have no commercial value.</w:t>
      </w:r>
    </w:p>
    <w:p w14:paraId="7E4724E9" w14:textId="77777777" w:rsidR="004E0141" w:rsidRDefault="004E0141" w:rsidP="004E0141">
      <w:pPr>
        <w:pStyle w:val="ListParagraph"/>
        <w:tabs>
          <w:tab w:val="left" w:pos="0"/>
        </w:tabs>
        <w:spacing w:after="0" w:line="480" w:lineRule="auto"/>
        <w:ind w:left="0"/>
        <w:jc w:val="both"/>
        <w:rPr>
          <w:rFonts w:ascii="Arial" w:hAnsi="Arial" w:cs="Arial"/>
          <w:sz w:val="24"/>
          <w:szCs w:val="24"/>
        </w:rPr>
      </w:pPr>
    </w:p>
    <w:p w14:paraId="0A5FF303" w14:textId="4EE7FB4D" w:rsidR="00D5334C" w:rsidRPr="0025209F"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r>
      <w:r w:rsidR="00D5334C" w:rsidRPr="0025209F">
        <w:rPr>
          <w:rFonts w:ascii="Arial" w:hAnsi="Arial" w:cs="Arial"/>
          <w:sz w:val="24"/>
          <w:szCs w:val="24"/>
        </w:rPr>
        <w:t xml:space="preserve">Appellant insisted on things like </w:t>
      </w:r>
      <w:r w:rsidR="006F4D06" w:rsidRPr="0025209F">
        <w:rPr>
          <w:rFonts w:ascii="Arial" w:hAnsi="Arial" w:cs="Arial"/>
          <w:sz w:val="24"/>
          <w:szCs w:val="24"/>
        </w:rPr>
        <w:t>proof of DNA identification (clause 7) by no later than 31 August 2017</w:t>
      </w:r>
      <w:r w:rsidR="00232AF8" w:rsidRPr="0025209F">
        <w:rPr>
          <w:rFonts w:ascii="Arial" w:hAnsi="Arial" w:cs="Arial"/>
          <w:sz w:val="24"/>
          <w:szCs w:val="24"/>
        </w:rPr>
        <w:t>,</w:t>
      </w:r>
      <w:r w:rsidR="006F4D06" w:rsidRPr="0025209F">
        <w:rPr>
          <w:rFonts w:ascii="Arial" w:hAnsi="Arial" w:cs="Arial"/>
          <w:sz w:val="24"/>
          <w:szCs w:val="24"/>
        </w:rPr>
        <w:t xml:space="preserve"> that the horses be vaccinated by 29 June 2017 and a follow-up vaccination no longer than two weeks, the inspection of the horses, the photos taken and forwarded to her lawyers </w:t>
      </w:r>
      <w:r w:rsidR="000F1E04" w:rsidRPr="0025209F">
        <w:rPr>
          <w:rFonts w:ascii="Arial" w:hAnsi="Arial" w:cs="Arial"/>
          <w:sz w:val="24"/>
          <w:szCs w:val="24"/>
        </w:rPr>
        <w:t xml:space="preserve">and all the dos and </w:t>
      </w:r>
      <w:r w:rsidR="004E0141" w:rsidRPr="0025209F">
        <w:rPr>
          <w:rFonts w:ascii="Arial" w:hAnsi="Arial" w:cs="Arial"/>
          <w:sz w:val="24"/>
          <w:szCs w:val="24"/>
        </w:rPr>
        <w:t>don’ts</w:t>
      </w:r>
      <w:r w:rsidR="000F1E04" w:rsidRPr="0025209F">
        <w:rPr>
          <w:rFonts w:ascii="Arial" w:hAnsi="Arial" w:cs="Arial"/>
          <w:sz w:val="24"/>
          <w:szCs w:val="24"/>
        </w:rPr>
        <w:t xml:space="preserve"> in clauses 11</w:t>
      </w:r>
      <w:r w:rsidR="004E0141" w:rsidRPr="0025209F">
        <w:rPr>
          <w:rFonts w:ascii="Arial" w:hAnsi="Arial" w:cs="Arial"/>
          <w:sz w:val="24"/>
          <w:szCs w:val="24"/>
        </w:rPr>
        <w:t>, 12, 13,14,15,16</w:t>
      </w:r>
      <w:r w:rsidR="000F1E04" w:rsidRPr="0025209F">
        <w:rPr>
          <w:rFonts w:ascii="Arial" w:hAnsi="Arial" w:cs="Arial"/>
          <w:sz w:val="24"/>
          <w:szCs w:val="24"/>
        </w:rPr>
        <w:t xml:space="preserve"> and 18 but accepted the assurances of the respondent </w:t>
      </w:r>
      <w:r w:rsidR="000E493D" w:rsidRPr="0025209F">
        <w:rPr>
          <w:rFonts w:ascii="Arial" w:hAnsi="Arial" w:cs="Arial"/>
          <w:sz w:val="24"/>
          <w:szCs w:val="24"/>
        </w:rPr>
        <w:t xml:space="preserve">that </w:t>
      </w:r>
      <w:r w:rsidR="000F1E04" w:rsidRPr="0025209F">
        <w:rPr>
          <w:rFonts w:ascii="Arial" w:hAnsi="Arial" w:cs="Arial"/>
          <w:sz w:val="24"/>
          <w:szCs w:val="24"/>
        </w:rPr>
        <w:t xml:space="preserve">vaccinations were administered to the horses </w:t>
      </w:r>
      <w:r w:rsidR="0036696C" w:rsidRPr="0025209F">
        <w:rPr>
          <w:rFonts w:ascii="Arial" w:hAnsi="Arial" w:cs="Arial"/>
          <w:sz w:val="24"/>
          <w:szCs w:val="24"/>
        </w:rPr>
        <w:t>f</w:t>
      </w:r>
      <w:r w:rsidR="000F1E04" w:rsidRPr="0025209F">
        <w:rPr>
          <w:rFonts w:ascii="Arial" w:hAnsi="Arial" w:cs="Arial"/>
          <w:sz w:val="24"/>
          <w:szCs w:val="24"/>
        </w:rPr>
        <w:t xml:space="preserve">rom 2011-2016. In clause 5 she took all risks associated with the horses, including, but not limited to, the risk of injury, sickness and/or death by natural causes and respondent exempted from </w:t>
      </w:r>
      <w:r w:rsidR="000F1E04" w:rsidRPr="0025209F">
        <w:rPr>
          <w:rFonts w:ascii="Arial" w:hAnsi="Arial" w:cs="Arial"/>
          <w:sz w:val="24"/>
          <w:szCs w:val="24"/>
          <w:u w:val="single"/>
        </w:rPr>
        <w:t>any</w:t>
      </w:r>
      <w:r w:rsidR="000F1E04" w:rsidRPr="0025209F">
        <w:rPr>
          <w:rFonts w:ascii="Arial" w:hAnsi="Arial" w:cs="Arial"/>
          <w:sz w:val="24"/>
          <w:szCs w:val="24"/>
        </w:rPr>
        <w:t xml:space="preserve"> liability concerning the horses and their continuous stay on the Farm Neu-Heusis.</w:t>
      </w:r>
    </w:p>
    <w:p w14:paraId="1DFA7104" w14:textId="77777777" w:rsidR="004E0141" w:rsidRPr="004E0141" w:rsidRDefault="004E0141" w:rsidP="00470647">
      <w:pPr>
        <w:pStyle w:val="ListParagraph"/>
        <w:spacing w:after="0" w:line="480" w:lineRule="auto"/>
        <w:jc w:val="both"/>
        <w:rPr>
          <w:rFonts w:ascii="Arial" w:hAnsi="Arial" w:cs="Arial"/>
          <w:sz w:val="24"/>
          <w:szCs w:val="24"/>
        </w:rPr>
      </w:pPr>
    </w:p>
    <w:p w14:paraId="2BCE5F66" w14:textId="344D1F1E" w:rsidR="000F1E04" w:rsidRPr="0025209F"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r>
      <w:r w:rsidR="000F1E04" w:rsidRPr="0025209F">
        <w:rPr>
          <w:rFonts w:ascii="Arial" w:hAnsi="Arial" w:cs="Arial"/>
          <w:sz w:val="24"/>
          <w:szCs w:val="24"/>
        </w:rPr>
        <w:t>In clause 22</w:t>
      </w:r>
      <w:r w:rsidR="00BD18D4" w:rsidRPr="0025209F">
        <w:rPr>
          <w:rFonts w:ascii="Arial" w:hAnsi="Arial" w:cs="Arial"/>
          <w:sz w:val="24"/>
          <w:szCs w:val="24"/>
        </w:rPr>
        <w:t>,</w:t>
      </w:r>
      <w:r w:rsidR="000F1E04" w:rsidRPr="0025209F">
        <w:rPr>
          <w:rFonts w:ascii="Arial" w:hAnsi="Arial" w:cs="Arial"/>
          <w:sz w:val="24"/>
          <w:szCs w:val="24"/>
        </w:rPr>
        <w:t xml:space="preserve"> the letter to the bank had to contain certain wording and a copy of the said letter, evidencing delivery, ‘shall be provided to the defendant’s</w:t>
      </w:r>
      <w:r w:rsidR="009F01C7" w:rsidRPr="0025209F">
        <w:rPr>
          <w:rFonts w:ascii="Arial" w:hAnsi="Arial" w:cs="Arial"/>
          <w:sz w:val="24"/>
          <w:szCs w:val="24"/>
        </w:rPr>
        <w:t xml:space="preserve"> [appellant</w:t>
      </w:r>
      <w:r w:rsidR="00181473" w:rsidRPr="0025209F">
        <w:rPr>
          <w:rFonts w:ascii="Arial" w:hAnsi="Arial" w:cs="Arial"/>
          <w:sz w:val="24"/>
          <w:szCs w:val="24"/>
        </w:rPr>
        <w:t>’s</w:t>
      </w:r>
      <w:r w:rsidR="008015C3" w:rsidRPr="0025209F">
        <w:rPr>
          <w:rFonts w:ascii="Arial" w:hAnsi="Arial" w:cs="Arial"/>
          <w:sz w:val="24"/>
          <w:szCs w:val="24"/>
        </w:rPr>
        <w:t>]</w:t>
      </w:r>
      <w:r w:rsidR="00181473" w:rsidRPr="0025209F">
        <w:rPr>
          <w:rFonts w:ascii="Arial" w:hAnsi="Arial" w:cs="Arial"/>
          <w:sz w:val="24"/>
          <w:szCs w:val="24"/>
        </w:rPr>
        <w:t xml:space="preserve"> </w:t>
      </w:r>
      <w:r w:rsidR="009F01C7" w:rsidRPr="0025209F">
        <w:rPr>
          <w:rFonts w:ascii="Arial" w:hAnsi="Arial" w:cs="Arial"/>
          <w:sz w:val="24"/>
          <w:szCs w:val="24"/>
        </w:rPr>
        <w:t>attorneys of record no later than 7 July 2017</w:t>
      </w:r>
      <w:r w:rsidR="008015C3" w:rsidRPr="0025209F">
        <w:rPr>
          <w:rFonts w:ascii="Arial" w:hAnsi="Arial" w:cs="Arial"/>
          <w:sz w:val="24"/>
          <w:szCs w:val="24"/>
        </w:rPr>
        <w:t>’</w:t>
      </w:r>
      <w:r w:rsidR="009F01C7" w:rsidRPr="0025209F">
        <w:rPr>
          <w:rFonts w:ascii="Arial" w:hAnsi="Arial" w:cs="Arial"/>
          <w:sz w:val="24"/>
          <w:szCs w:val="24"/>
        </w:rPr>
        <w:t xml:space="preserve">. All pending cases, criminal and civil, </w:t>
      </w:r>
      <w:r w:rsidR="00B44B69" w:rsidRPr="0025209F">
        <w:rPr>
          <w:rFonts w:ascii="Arial" w:hAnsi="Arial" w:cs="Arial"/>
          <w:sz w:val="24"/>
          <w:szCs w:val="24"/>
        </w:rPr>
        <w:t xml:space="preserve">were </w:t>
      </w:r>
      <w:r w:rsidR="009F01C7" w:rsidRPr="0025209F">
        <w:rPr>
          <w:rFonts w:ascii="Arial" w:hAnsi="Arial" w:cs="Arial"/>
          <w:sz w:val="24"/>
          <w:szCs w:val="24"/>
        </w:rPr>
        <w:t>withdrawn against each other.</w:t>
      </w:r>
    </w:p>
    <w:p w14:paraId="272EA7B2" w14:textId="77777777" w:rsidR="004E0141" w:rsidRDefault="004E0141" w:rsidP="004E0141">
      <w:pPr>
        <w:pStyle w:val="ListParagraph"/>
        <w:tabs>
          <w:tab w:val="left" w:pos="0"/>
        </w:tabs>
        <w:spacing w:after="0" w:line="480" w:lineRule="auto"/>
        <w:ind w:left="0"/>
        <w:jc w:val="both"/>
        <w:rPr>
          <w:rFonts w:ascii="Arial" w:hAnsi="Arial" w:cs="Arial"/>
          <w:sz w:val="24"/>
          <w:szCs w:val="24"/>
        </w:rPr>
      </w:pPr>
    </w:p>
    <w:p w14:paraId="43E410C2" w14:textId="1234FFFA" w:rsidR="009F01C7" w:rsidRPr="0025209F"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9F01C7" w:rsidRPr="0025209F">
        <w:rPr>
          <w:rFonts w:ascii="Arial" w:hAnsi="Arial" w:cs="Arial"/>
          <w:sz w:val="24"/>
          <w:szCs w:val="24"/>
        </w:rPr>
        <w:t>I cannot find any reason why she was lackadaisical in accepting clause 10 as it is</w:t>
      </w:r>
      <w:r w:rsidR="00470647" w:rsidRPr="0025209F">
        <w:rPr>
          <w:rFonts w:ascii="Arial" w:hAnsi="Arial" w:cs="Arial"/>
          <w:sz w:val="24"/>
          <w:szCs w:val="24"/>
        </w:rPr>
        <w:t>.</w:t>
      </w:r>
      <w:r w:rsidR="009F01C7" w:rsidRPr="0025209F">
        <w:rPr>
          <w:rFonts w:ascii="Arial" w:hAnsi="Arial" w:cs="Arial"/>
          <w:sz w:val="24"/>
          <w:szCs w:val="24"/>
        </w:rPr>
        <w:t xml:space="preserve"> </w:t>
      </w:r>
      <w:r w:rsidR="00470647" w:rsidRPr="0025209F">
        <w:rPr>
          <w:rFonts w:ascii="Arial" w:hAnsi="Arial" w:cs="Arial"/>
          <w:sz w:val="24"/>
          <w:szCs w:val="24"/>
        </w:rPr>
        <w:t>T</w:t>
      </w:r>
      <w:r w:rsidR="009F01C7" w:rsidRPr="0025209F">
        <w:rPr>
          <w:rFonts w:ascii="Arial" w:hAnsi="Arial" w:cs="Arial"/>
          <w:sz w:val="24"/>
          <w:szCs w:val="24"/>
        </w:rPr>
        <w:t>he clauses read holistically including the fact that the clauses on the horses are the majority and drafted in detail</w:t>
      </w:r>
      <w:r w:rsidR="000E493D" w:rsidRPr="0025209F">
        <w:rPr>
          <w:rFonts w:ascii="Arial" w:hAnsi="Arial" w:cs="Arial"/>
          <w:sz w:val="24"/>
          <w:szCs w:val="24"/>
        </w:rPr>
        <w:t>,</w:t>
      </w:r>
      <w:r w:rsidR="009F01C7" w:rsidRPr="0025209F">
        <w:rPr>
          <w:rFonts w:ascii="Arial" w:hAnsi="Arial" w:cs="Arial"/>
          <w:sz w:val="24"/>
          <w:szCs w:val="24"/>
        </w:rPr>
        <w:t xml:space="preserve"> I must accept that she wanted to and did settle and the claim she attempts to bring against the respondent is </w:t>
      </w:r>
      <w:r w:rsidR="009F01C7" w:rsidRPr="0025209F">
        <w:rPr>
          <w:rFonts w:ascii="Arial" w:hAnsi="Arial" w:cs="Arial"/>
          <w:i/>
          <w:sz w:val="24"/>
          <w:szCs w:val="24"/>
        </w:rPr>
        <w:t>res judicata</w:t>
      </w:r>
      <w:r w:rsidR="009F01C7" w:rsidRPr="0025209F">
        <w:rPr>
          <w:rFonts w:ascii="Arial" w:hAnsi="Arial" w:cs="Arial"/>
          <w:sz w:val="24"/>
          <w:szCs w:val="24"/>
        </w:rPr>
        <w:t>. In my opinion</w:t>
      </w:r>
      <w:r w:rsidR="00181473" w:rsidRPr="0025209F">
        <w:rPr>
          <w:rFonts w:ascii="Arial" w:hAnsi="Arial" w:cs="Arial"/>
          <w:sz w:val="24"/>
          <w:szCs w:val="24"/>
        </w:rPr>
        <w:t xml:space="preserve">, six </w:t>
      </w:r>
      <w:r w:rsidR="00181473" w:rsidRPr="0025209F">
        <w:rPr>
          <w:rFonts w:ascii="Arial" w:hAnsi="Arial" w:cs="Arial"/>
          <w:sz w:val="24"/>
          <w:szCs w:val="24"/>
        </w:rPr>
        <w:lastRenderedPageBreak/>
        <w:t xml:space="preserve">and a half </w:t>
      </w:r>
      <w:r w:rsidR="000E493D" w:rsidRPr="0025209F">
        <w:rPr>
          <w:rFonts w:ascii="Arial" w:hAnsi="Arial" w:cs="Arial"/>
          <w:sz w:val="24"/>
          <w:szCs w:val="24"/>
        </w:rPr>
        <w:t>year</w:t>
      </w:r>
      <w:r w:rsidR="00470647" w:rsidRPr="0025209F">
        <w:rPr>
          <w:rFonts w:ascii="Arial" w:hAnsi="Arial" w:cs="Arial"/>
          <w:sz w:val="24"/>
          <w:szCs w:val="24"/>
        </w:rPr>
        <w:t>s</w:t>
      </w:r>
      <w:r w:rsidR="000E493D" w:rsidRPr="0025209F">
        <w:rPr>
          <w:rFonts w:ascii="Arial" w:hAnsi="Arial" w:cs="Arial"/>
          <w:sz w:val="24"/>
          <w:szCs w:val="24"/>
        </w:rPr>
        <w:t xml:space="preserve"> </w:t>
      </w:r>
      <w:r w:rsidR="009F01C7" w:rsidRPr="0025209F">
        <w:rPr>
          <w:rFonts w:ascii="Arial" w:hAnsi="Arial" w:cs="Arial"/>
          <w:sz w:val="24"/>
          <w:szCs w:val="24"/>
        </w:rPr>
        <w:t>is</w:t>
      </w:r>
      <w:r w:rsidR="00B44B69" w:rsidRPr="0025209F">
        <w:rPr>
          <w:rFonts w:ascii="Arial" w:hAnsi="Arial" w:cs="Arial"/>
          <w:sz w:val="24"/>
          <w:szCs w:val="24"/>
        </w:rPr>
        <w:t xml:space="preserve"> a</w:t>
      </w:r>
      <w:r w:rsidR="009F01C7" w:rsidRPr="0025209F">
        <w:rPr>
          <w:rFonts w:ascii="Arial" w:hAnsi="Arial" w:cs="Arial"/>
          <w:sz w:val="24"/>
          <w:szCs w:val="24"/>
        </w:rPr>
        <w:t xml:space="preserve"> long</w:t>
      </w:r>
      <w:r w:rsidR="00B44B69" w:rsidRPr="0025209F">
        <w:rPr>
          <w:rFonts w:ascii="Arial" w:hAnsi="Arial" w:cs="Arial"/>
          <w:sz w:val="24"/>
          <w:szCs w:val="24"/>
        </w:rPr>
        <w:t xml:space="preserve"> time</w:t>
      </w:r>
      <w:r w:rsidR="009F01C7" w:rsidRPr="0025209F">
        <w:rPr>
          <w:rFonts w:ascii="Arial" w:hAnsi="Arial" w:cs="Arial"/>
          <w:sz w:val="24"/>
          <w:szCs w:val="24"/>
        </w:rPr>
        <w:t xml:space="preserve"> and she should have insisted on the records or seek reservations in that regard.</w:t>
      </w:r>
    </w:p>
    <w:p w14:paraId="1F63CC0E" w14:textId="77777777" w:rsidR="00446464" w:rsidRDefault="00446464" w:rsidP="009F01C7">
      <w:pPr>
        <w:pStyle w:val="ListParagraph"/>
        <w:tabs>
          <w:tab w:val="left" w:pos="0"/>
        </w:tabs>
        <w:spacing w:after="0" w:line="480" w:lineRule="auto"/>
        <w:ind w:left="0"/>
        <w:jc w:val="both"/>
        <w:rPr>
          <w:rFonts w:ascii="Arial" w:hAnsi="Arial" w:cs="Arial"/>
          <w:sz w:val="24"/>
          <w:szCs w:val="24"/>
        </w:rPr>
      </w:pPr>
    </w:p>
    <w:p w14:paraId="5297E5F0" w14:textId="1217BB63" w:rsidR="00EA3D2E" w:rsidRPr="0025209F"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r>
      <w:r w:rsidR="009F01C7" w:rsidRPr="0025209F">
        <w:rPr>
          <w:rFonts w:ascii="Arial" w:hAnsi="Arial" w:cs="Arial"/>
          <w:sz w:val="24"/>
          <w:szCs w:val="24"/>
        </w:rPr>
        <w:t xml:space="preserve">Counsel for the appellant in the supplementary heads of argument relies on the decision </w:t>
      </w:r>
      <w:r w:rsidR="000E493D" w:rsidRPr="0025209F">
        <w:rPr>
          <w:rFonts w:ascii="Arial" w:hAnsi="Arial" w:cs="Arial"/>
          <w:sz w:val="24"/>
          <w:szCs w:val="24"/>
        </w:rPr>
        <w:t xml:space="preserve">of </w:t>
      </w:r>
      <w:r w:rsidR="009F01C7" w:rsidRPr="0025209F">
        <w:rPr>
          <w:rFonts w:ascii="Arial" w:hAnsi="Arial" w:cs="Arial"/>
          <w:i/>
          <w:sz w:val="24"/>
          <w:szCs w:val="24"/>
        </w:rPr>
        <w:t>Eke</w:t>
      </w:r>
      <w:r w:rsidR="00D0303F" w:rsidRPr="0025209F">
        <w:rPr>
          <w:rFonts w:ascii="Arial" w:hAnsi="Arial" w:cs="Arial"/>
          <w:i/>
          <w:sz w:val="24"/>
          <w:szCs w:val="24"/>
        </w:rPr>
        <w:t xml:space="preserve"> v Parsons</w:t>
      </w:r>
      <w:r w:rsidR="009F01C7" w:rsidRPr="0025209F">
        <w:rPr>
          <w:rFonts w:ascii="Arial" w:hAnsi="Arial" w:cs="Arial"/>
          <w:sz w:val="24"/>
          <w:szCs w:val="24"/>
        </w:rPr>
        <w:t xml:space="preserve">, paras 29 to 36 thereof, but that decision under the circumstances does not assist appellant’s case. In para 32 indeed the court said, </w:t>
      </w:r>
      <w:r w:rsidR="004E4059" w:rsidRPr="0025209F">
        <w:rPr>
          <w:rFonts w:ascii="Arial" w:hAnsi="Arial" w:cs="Arial"/>
          <w:sz w:val="24"/>
          <w:szCs w:val="24"/>
        </w:rPr>
        <w:t>‘</w:t>
      </w:r>
      <w:r w:rsidR="009F01C7" w:rsidRPr="0025209F">
        <w:rPr>
          <w:rFonts w:ascii="Arial" w:hAnsi="Arial" w:cs="Arial"/>
          <w:sz w:val="24"/>
          <w:szCs w:val="24"/>
        </w:rPr>
        <w:t>litigation antecedent to enforcement is not necessarily objectionable . . . and that ‘generally, litigation preceding enforcement will relate to non-compliance with the settlement order, and not the merits of the original underlying dispute</w:t>
      </w:r>
      <w:r w:rsidR="004E4059" w:rsidRPr="0025209F">
        <w:rPr>
          <w:rFonts w:ascii="Arial" w:hAnsi="Arial" w:cs="Arial"/>
          <w:sz w:val="24"/>
          <w:szCs w:val="24"/>
        </w:rPr>
        <w:t>’</w:t>
      </w:r>
      <w:r w:rsidR="009F01C7" w:rsidRPr="0025209F">
        <w:rPr>
          <w:rFonts w:ascii="Arial" w:hAnsi="Arial" w:cs="Arial"/>
          <w:sz w:val="24"/>
          <w:szCs w:val="24"/>
        </w:rPr>
        <w:t>, but as I have already indicated, in casu, the effect of the settlement agreement between the parties given the manifest purpose of the order, the language of the settlement agreement clauses, including the extent the parties wen</w:t>
      </w:r>
      <w:r w:rsidR="000E493D" w:rsidRPr="0025209F">
        <w:rPr>
          <w:rFonts w:ascii="Arial" w:hAnsi="Arial" w:cs="Arial"/>
          <w:sz w:val="24"/>
          <w:szCs w:val="24"/>
        </w:rPr>
        <w:t xml:space="preserve">t into in providing particularity </w:t>
      </w:r>
      <w:r w:rsidR="009F01C7" w:rsidRPr="0025209F">
        <w:rPr>
          <w:rFonts w:ascii="Arial" w:hAnsi="Arial" w:cs="Arial"/>
          <w:sz w:val="24"/>
          <w:szCs w:val="24"/>
        </w:rPr>
        <w:t xml:space="preserve">for the </w:t>
      </w:r>
      <w:r w:rsidR="000E493D" w:rsidRPr="0025209F">
        <w:rPr>
          <w:rFonts w:ascii="Arial" w:hAnsi="Arial" w:cs="Arial"/>
          <w:sz w:val="24"/>
          <w:szCs w:val="24"/>
        </w:rPr>
        <w:t>horses between the parties, there</w:t>
      </w:r>
      <w:r w:rsidR="009F01C7" w:rsidRPr="0025209F">
        <w:rPr>
          <w:rFonts w:ascii="Arial" w:hAnsi="Arial" w:cs="Arial"/>
          <w:sz w:val="24"/>
          <w:szCs w:val="24"/>
        </w:rPr>
        <w:t xml:space="preserve"> can be no doubt that the order brought finality to the </w:t>
      </w:r>
      <w:r w:rsidR="009F01C7" w:rsidRPr="0025209F">
        <w:rPr>
          <w:rFonts w:ascii="Arial" w:hAnsi="Arial" w:cs="Arial"/>
          <w:i/>
          <w:sz w:val="24"/>
          <w:szCs w:val="24"/>
        </w:rPr>
        <w:t>lis</w:t>
      </w:r>
      <w:r w:rsidR="009F01C7" w:rsidRPr="0025209F">
        <w:rPr>
          <w:rFonts w:ascii="Arial" w:hAnsi="Arial" w:cs="Arial"/>
          <w:sz w:val="24"/>
          <w:szCs w:val="24"/>
        </w:rPr>
        <w:t xml:space="preserve"> between the parties</w:t>
      </w:r>
      <w:r w:rsidR="00B44B69" w:rsidRPr="0025209F">
        <w:rPr>
          <w:rFonts w:ascii="Arial" w:hAnsi="Arial" w:cs="Arial"/>
          <w:sz w:val="24"/>
          <w:szCs w:val="24"/>
        </w:rPr>
        <w:t>.</w:t>
      </w:r>
      <w:r w:rsidR="009F01C7" w:rsidRPr="0025209F">
        <w:rPr>
          <w:rFonts w:ascii="Arial" w:hAnsi="Arial" w:cs="Arial"/>
          <w:sz w:val="24"/>
          <w:szCs w:val="24"/>
        </w:rPr>
        <w:t xml:space="preserve"> </w:t>
      </w:r>
      <w:r w:rsidR="00B44B69" w:rsidRPr="0025209F">
        <w:rPr>
          <w:rFonts w:ascii="Arial" w:hAnsi="Arial" w:cs="Arial"/>
          <w:sz w:val="24"/>
          <w:szCs w:val="24"/>
        </w:rPr>
        <w:t>T</w:t>
      </w:r>
      <w:r w:rsidR="009F01C7" w:rsidRPr="0025209F">
        <w:rPr>
          <w:rFonts w:ascii="Arial" w:hAnsi="Arial" w:cs="Arial"/>
          <w:sz w:val="24"/>
          <w:szCs w:val="24"/>
        </w:rPr>
        <w:t xml:space="preserve">he </w:t>
      </w:r>
      <w:r w:rsidR="009F01C7" w:rsidRPr="0025209F">
        <w:rPr>
          <w:rFonts w:ascii="Arial" w:hAnsi="Arial" w:cs="Arial"/>
          <w:i/>
          <w:sz w:val="24"/>
          <w:szCs w:val="24"/>
        </w:rPr>
        <w:t>lis</w:t>
      </w:r>
      <w:r w:rsidR="009F01C7" w:rsidRPr="0025209F">
        <w:rPr>
          <w:rFonts w:ascii="Arial" w:hAnsi="Arial" w:cs="Arial"/>
          <w:sz w:val="24"/>
          <w:szCs w:val="24"/>
        </w:rPr>
        <w:t xml:space="preserve"> became </w:t>
      </w:r>
      <w:r w:rsidR="009F01C7" w:rsidRPr="0025209F">
        <w:rPr>
          <w:rFonts w:ascii="Arial" w:hAnsi="Arial" w:cs="Arial"/>
          <w:i/>
          <w:sz w:val="24"/>
          <w:szCs w:val="24"/>
        </w:rPr>
        <w:t>res judicata</w:t>
      </w:r>
      <w:r w:rsidR="00EA3D2E" w:rsidRPr="0025209F">
        <w:rPr>
          <w:rFonts w:ascii="Arial" w:hAnsi="Arial" w:cs="Arial"/>
          <w:sz w:val="24"/>
          <w:szCs w:val="24"/>
        </w:rPr>
        <w:t>.</w:t>
      </w:r>
    </w:p>
    <w:p w14:paraId="285D1283" w14:textId="77777777" w:rsidR="00EA3D2E" w:rsidRDefault="00EA3D2E" w:rsidP="009F01C7">
      <w:pPr>
        <w:pStyle w:val="ListParagraph"/>
        <w:tabs>
          <w:tab w:val="left" w:pos="0"/>
        </w:tabs>
        <w:spacing w:after="0" w:line="480" w:lineRule="auto"/>
        <w:ind w:left="0"/>
        <w:jc w:val="both"/>
        <w:rPr>
          <w:rFonts w:ascii="Arial" w:hAnsi="Arial" w:cs="Arial"/>
          <w:sz w:val="24"/>
          <w:szCs w:val="24"/>
        </w:rPr>
      </w:pPr>
    </w:p>
    <w:p w14:paraId="159BFBC4" w14:textId="5C98B77A" w:rsidR="009F01C7" w:rsidRPr="0025209F"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r>
      <w:r w:rsidR="00EA3D2E" w:rsidRPr="0025209F">
        <w:rPr>
          <w:rFonts w:ascii="Arial" w:hAnsi="Arial" w:cs="Arial"/>
          <w:sz w:val="24"/>
          <w:szCs w:val="24"/>
        </w:rPr>
        <w:t>Given the language of the settlement agreement, clause 26 just provided for having settled then present, past and future disputes. Clause 26 cannot be read in isolation – it should be read with other clauses of the agreement and the issue whether it limits appellant to sue on the agreement do</w:t>
      </w:r>
      <w:r w:rsidR="00A53FB4" w:rsidRPr="0025209F">
        <w:rPr>
          <w:rFonts w:ascii="Arial" w:hAnsi="Arial" w:cs="Arial"/>
          <w:sz w:val="24"/>
          <w:szCs w:val="24"/>
        </w:rPr>
        <w:t>es</w:t>
      </w:r>
      <w:r w:rsidR="00EA3D2E" w:rsidRPr="0025209F">
        <w:rPr>
          <w:rFonts w:ascii="Arial" w:hAnsi="Arial" w:cs="Arial"/>
          <w:sz w:val="24"/>
          <w:szCs w:val="24"/>
        </w:rPr>
        <w:t xml:space="preserve"> not arise. There is nothing to suggest that when the appellant accepted the assurances of the</w:t>
      </w:r>
      <w:r w:rsidR="009F01C7" w:rsidRPr="0025209F">
        <w:rPr>
          <w:rFonts w:ascii="Arial" w:hAnsi="Arial" w:cs="Arial"/>
          <w:sz w:val="24"/>
          <w:szCs w:val="24"/>
        </w:rPr>
        <w:t xml:space="preserve"> </w:t>
      </w:r>
      <w:r w:rsidR="00EA3D2E" w:rsidRPr="0025209F">
        <w:rPr>
          <w:rFonts w:ascii="Arial" w:hAnsi="Arial" w:cs="Arial"/>
          <w:sz w:val="24"/>
          <w:szCs w:val="24"/>
        </w:rPr>
        <w:t>respondent on the vaccinations and signed the clause in its current form, she was not aware what she was agreeing to.</w:t>
      </w:r>
    </w:p>
    <w:p w14:paraId="1C164F51" w14:textId="77777777" w:rsidR="004E0141" w:rsidRDefault="004E0141" w:rsidP="004E0141">
      <w:pPr>
        <w:pStyle w:val="ListParagraph"/>
        <w:tabs>
          <w:tab w:val="left" w:pos="0"/>
        </w:tabs>
        <w:spacing w:after="0" w:line="480" w:lineRule="auto"/>
        <w:ind w:left="0"/>
        <w:jc w:val="both"/>
        <w:rPr>
          <w:rFonts w:ascii="Arial" w:hAnsi="Arial" w:cs="Arial"/>
          <w:sz w:val="24"/>
          <w:szCs w:val="24"/>
        </w:rPr>
      </w:pPr>
    </w:p>
    <w:p w14:paraId="1EEDAA59" w14:textId="64D081E5" w:rsidR="00EA3D2E" w:rsidRPr="0025209F" w:rsidRDefault="0025209F" w:rsidP="0025209F">
      <w:pPr>
        <w:tabs>
          <w:tab w:val="left" w:pos="0"/>
        </w:tabs>
        <w:spacing w:after="0" w:line="480" w:lineRule="auto"/>
        <w:jc w:val="both"/>
        <w:rPr>
          <w:rFonts w:ascii="Arial" w:hAnsi="Arial" w:cs="Arial"/>
          <w:sz w:val="24"/>
          <w:szCs w:val="24"/>
        </w:rPr>
      </w:pPr>
      <w:r>
        <w:rPr>
          <w:rFonts w:ascii="Arial" w:hAnsi="Arial" w:cs="Arial"/>
          <w:sz w:val="24"/>
          <w:szCs w:val="24"/>
        </w:rPr>
        <w:lastRenderedPageBreak/>
        <w:t>[59]</w:t>
      </w:r>
      <w:r>
        <w:rPr>
          <w:rFonts w:ascii="Arial" w:hAnsi="Arial" w:cs="Arial"/>
          <w:sz w:val="24"/>
          <w:szCs w:val="24"/>
        </w:rPr>
        <w:tab/>
      </w:r>
      <w:r w:rsidR="00EA3D2E" w:rsidRPr="0025209F">
        <w:rPr>
          <w:rFonts w:ascii="Arial" w:hAnsi="Arial" w:cs="Arial"/>
          <w:sz w:val="24"/>
          <w:szCs w:val="24"/>
        </w:rPr>
        <w:t>Consequently</w:t>
      </w:r>
      <w:r w:rsidR="00A53FB4" w:rsidRPr="0025209F">
        <w:rPr>
          <w:rFonts w:ascii="Arial" w:hAnsi="Arial" w:cs="Arial"/>
          <w:sz w:val="24"/>
          <w:szCs w:val="24"/>
        </w:rPr>
        <w:t>,</w:t>
      </w:r>
      <w:r w:rsidR="00EA3D2E" w:rsidRPr="0025209F">
        <w:rPr>
          <w:rFonts w:ascii="Arial" w:hAnsi="Arial" w:cs="Arial"/>
          <w:sz w:val="24"/>
          <w:szCs w:val="24"/>
        </w:rPr>
        <w:t xml:space="preserve"> I would find no reason to disagree with the High Court’s finding (</w:t>
      </w:r>
      <w:r w:rsidR="00EA3D2E" w:rsidRPr="0025209F">
        <w:rPr>
          <w:rFonts w:ascii="Arial" w:hAnsi="Arial" w:cs="Arial"/>
          <w:i/>
          <w:sz w:val="24"/>
          <w:szCs w:val="24"/>
        </w:rPr>
        <w:t>albeit</w:t>
      </w:r>
      <w:r w:rsidR="00EA3D2E" w:rsidRPr="0025209F">
        <w:rPr>
          <w:rFonts w:ascii="Arial" w:hAnsi="Arial" w:cs="Arial"/>
          <w:sz w:val="24"/>
          <w:szCs w:val="24"/>
        </w:rPr>
        <w:t xml:space="preserve"> for different reasons) that the settlement agreement is final as per its clauses. Accordingly</w:t>
      </w:r>
      <w:r w:rsidR="00A53FB4" w:rsidRPr="0025209F">
        <w:rPr>
          <w:rFonts w:ascii="Arial" w:hAnsi="Arial" w:cs="Arial"/>
          <w:sz w:val="24"/>
          <w:szCs w:val="24"/>
        </w:rPr>
        <w:t>,</w:t>
      </w:r>
      <w:r w:rsidR="00EA3D2E" w:rsidRPr="0025209F">
        <w:rPr>
          <w:rFonts w:ascii="Arial" w:hAnsi="Arial" w:cs="Arial"/>
          <w:sz w:val="24"/>
          <w:szCs w:val="24"/>
        </w:rPr>
        <w:t xml:space="preserve"> the </w:t>
      </w:r>
      <w:r w:rsidR="00A43B45" w:rsidRPr="0025209F">
        <w:rPr>
          <w:rFonts w:ascii="Arial" w:hAnsi="Arial" w:cs="Arial"/>
          <w:sz w:val="24"/>
          <w:szCs w:val="24"/>
        </w:rPr>
        <w:t>appeal stands</w:t>
      </w:r>
      <w:r w:rsidR="00EA3D2E" w:rsidRPr="0025209F">
        <w:rPr>
          <w:rFonts w:ascii="Arial" w:hAnsi="Arial" w:cs="Arial"/>
          <w:sz w:val="24"/>
          <w:szCs w:val="24"/>
        </w:rPr>
        <w:t xml:space="preserve"> to be dismissed and costs to follow the order.</w:t>
      </w:r>
    </w:p>
    <w:p w14:paraId="1EACDC98" w14:textId="77777777" w:rsidR="00EA3D2E" w:rsidRDefault="00EA3D2E" w:rsidP="009F01C7">
      <w:pPr>
        <w:pStyle w:val="ListParagraph"/>
        <w:tabs>
          <w:tab w:val="left" w:pos="0"/>
        </w:tabs>
        <w:spacing w:after="0" w:line="480" w:lineRule="auto"/>
        <w:ind w:left="0"/>
        <w:jc w:val="both"/>
        <w:rPr>
          <w:rFonts w:ascii="Arial" w:hAnsi="Arial" w:cs="Arial"/>
          <w:sz w:val="24"/>
          <w:szCs w:val="24"/>
        </w:rPr>
      </w:pPr>
    </w:p>
    <w:p w14:paraId="689778E6" w14:textId="33934F69" w:rsidR="009F01C7" w:rsidRPr="0025209F" w:rsidRDefault="0025209F" w:rsidP="0025209F">
      <w:pPr>
        <w:tabs>
          <w:tab w:val="left" w:pos="0"/>
        </w:tabs>
        <w:spacing w:after="0" w:line="480" w:lineRule="auto"/>
        <w:jc w:val="both"/>
        <w:rPr>
          <w:rFonts w:ascii="Arial" w:hAnsi="Arial" w:cs="Arial"/>
          <w:sz w:val="24"/>
          <w:szCs w:val="24"/>
        </w:rPr>
      </w:pPr>
      <w:r w:rsidRPr="007C1832">
        <w:rPr>
          <w:rFonts w:ascii="Arial" w:hAnsi="Arial" w:cs="Arial"/>
          <w:sz w:val="24"/>
          <w:szCs w:val="24"/>
        </w:rPr>
        <w:t>[60]</w:t>
      </w:r>
      <w:r w:rsidRPr="007C1832">
        <w:rPr>
          <w:rFonts w:ascii="Arial" w:hAnsi="Arial" w:cs="Arial"/>
          <w:sz w:val="24"/>
          <w:szCs w:val="24"/>
        </w:rPr>
        <w:tab/>
      </w:r>
      <w:r w:rsidR="00EA3D2E" w:rsidRPr="0025209F">
        <w:rPr>
          <w:rFonts w:ascii="Arial" w:hAnsi="Arial" w:cs="Arial"/>
          <w:sz w:val="24"/>
          <w:szCs w:val="24"/>
        </w:rPr>
        <w:t>I therefore make the following order:</w:t>
      </w:r>
    </w:p>
    <w:p w14:paraId="16060CEA" w14:textId="77777777" w:rsidR="00EA3D2E" w:rsidRDefault="00EA3D2E" w:rsidP="00557B1F">
      <w:pPr>
        <w:tabs>
          <w:tab w:val="left" w:pos="0"/>
        </w:tabs>
        <w:spacing w:after="0" w:line="480" w:lineRule="auto"/>
        <w:jc w:val="both"/>
        <w:rPr>
          <w:rFonts w:ascii="Arial" w:hAnsi="Arial" w:cs="Arial"/>
          <w:sz w:val="24"/>
          <w:szCs w:val="24"/>
        </w:rPr>
      </w:pPr>
    </w:p>
    <w:p w14:paraId="012A1C11" w14:textId="375292EC" w:rsidR="00557B1F" w:rsidRPr="0025209F" w:rsidRDefault="0025209F" w:rsidP="0025209F">
      <w:pPr>
        <w:tabs>
          <w:tab w:val="left" w:pos="0"/>
        </w:tabs>
        <w:spacing w:after="0" w:line="480" w:lineRule="auto"/>
        <w:ind w:left="108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B44B69" w:rsidRPr="0025209F">
        <w:rPr>
          <w:rFonts w:ascii="Arial" w:hAnsi="Arial" w:cs="Arial"/>
          <w:sz w:val="24"/>
          <w:szCs w:val="24"/>
        </w:rPr>
        <w:t>The a</w:t>
      </w:r>
      <w:r w:rsidR="00EA3D2E" w:rsidRPr="0025209F">
        <w:rPr>
          <w:rFonts w:ascii="Arial" w:hAnsi="Arial" w:cs="Arial"/>
          <w:sz w:val="24"/>
          <w:szCs w:val="24"/>
        </w:rPr>
        <w:t>ppeal is dismissed</w:t>
      </w:r>
      <w:r w:rsidR="00D0303F" w:rsidRPr="0025209F">
        <w:rPr>
          <w:rFonts w:ascii="Arial" w:hAnsi="Arial" w:cs="Arial"/>
          <w:sz w:val="24"/>
          <w:szCs w:val="24"/>
        </w:rPr>
        <w:t>.</w:t>
      </w:r>
    </w:p>
    <w:p w14:paraId="47836E59" w14:textId="77777777" w:rsidR="004E0141" w:rsidRDefault="004E0141" w:rsidP="004E0141">
      <w:pPr>
        <w:pStyle w:val="ListParagraph"/>
        <w:tabs>
          <w:tab w:val="left" w:pos="0"/>
        </w:tabs>
        <w:spacing w:after="0" w:line="480" w:lineRule="auto"/>
        <w:ind w:left="1080"/>
        <w:jc w:val="both"/>
        <w:rPr>
          <w:rFonts w:ascii="Arial" w:hAnsi="Arial" w:cs="Arial"/>
          <w:sz w:val="24"/>
          <w:szCs w:val="24"/>
        </w:rPr>
      </w:pPr>
    </w:p>
    <w:p w14:paraId="182D32B0" w14:textId="79B79DA6" w:rsidR="00EA3D2E" w:rsidRPr="0025209F" w:rsidRDefault="0025209F" w:rsidP="0025209F">
      <w:pPr>
        <w:tabs>
          <w:tab w:val="left" w:pos="0"/>
        </w:tabs>
        <w:spacing w:after="0" w:line="480" w:lineRule="auto"/>
        <w:ind w:left="1080" w:hanging="360"/>
        <w:jc w:val="both"/>
        <w:rPr>
          <w:rFonts w:ascii="Arial" w:hAnsi="Arial" w:cs="Arial"/>
          <w:sz w:val="24"/>
          <w:szCs w:val="24"/>
        </w:rPr>
      </w:pPr>
      <w:r w:rsidRPr="00EA3D2E">
        <w:rPr>
          <w:rFonts w:ascii="Arial" w:hAnsi="Arial" w:cs="Arial"/>
          <w:sz w:val="24"/>
          <w:szCs w:val="24"/>
        </w:rPr>
        <w:t>(b)</w:t>
      </w:r>
      <w:r w:rsidRPr="00EA3D2E">
        <w:rPr>
          <w:rFonts w:ascii="Arial" w:hAnsi="Arial" w:cs="Arial"/>
          <w:sz w:val="24"/>
          <w:szCs w:val="24"/>
        </w:rPr>
        <w:tab/>
      </w:r>
      <w:r w:rsidR="000E493D" w:rsidRPr="0025209F">
        <w:rPr>
          <w:rFonts w:ascii="Arial" w:hAnsi="Arial" w:cs="Arial"/>
          <w:sz w:val="24"/>
          <w:szCs w:val="24"/>
        </w:rPr>
        <w:t>Appellant</w:t>
      </w:r>
      <w:r w:rsidR="00EA3D2E" w:rsidRPr="0025209F">
        <w:rPr>
          <w:rFonts w:ascii="Arial" w:hAnsi="Arial" w:cs="Arial"/>
          <w:sz w:val="24"/>
          <w:szCs w:val="24"/>
        </w:rPr>
        <w:t xml:space="preserve"> to pay costs consequent upon the employment of one instructing and one instruct</w:t>
      </w:r>
      <w:r w:rsidR="00B80ECC" w:rsidRPr="0025209F">
        <w:rPr>
          <w:rFonts w:ascii="Arial" w:hAnsi="Arial" w:cs="Arial"/>
          <w:sz w:val="24"/>
          <w:szCs w:val="24"/>
        </w:rPr>
        <w:t>ed</w:t>
      </w:r>
      <w:r w:rsidR="00EA3D2E" w:rsidRPr="0025209F">
        <w:rPr>
          <w:rFonts w:ascii="Arial" w:hAnsi="Arial" w:cs="Arial"/>
          <w:sz w:val="24"/>
          <w:szCs w:val="24"/>
        </w:rPr>
        <w:t xml:space="preserve"> </w:t>
      </w:r>
      <w:r w:rsidR="00B44B69" w:rsidRPr="0025209F">
        <w:rPr>
          <w:rFonts w:ascii="Arial" w:hAnsi="Arial" w:cs="Arial"/>
          <w:sz w:val="24"/>
          <w:szCs w:val="24"/>
        </w:rPr>
        <w:t>legal practitioner</w:t>
      </w:r>
      <w:r w:rsidR="00EA3D2E" w:rsidRPr="0025209F">
        <w:rPr>
          <w:rFonts w:ascii="Arial" w:hAnsi="Arial" w:cs="Arial"/>
          <w:sz w:val="24"/>
          <w:szCs w:val="24"/>
        </w:rPr>
        <w:t>.</w:t>
      </w:r>
    </w:p>
    <w:p w14:paraId="18FE4D87" w14:textId="77777777" w:rsidR="00A53FB4" w:rsidRDefault="00A53FB4" w:rsidP="00557B1F">
      <w:pPr>
        <w:tabs>
          <w:tab w:val="left" w:pos="0"/>
        </w:tabs>
        <w:spacing w:after="0" w:line="480" w:lineRule="auto"/>
        <w:jc w:val="both"/>
        <w:rPr>
          <w:rFonts w:ascii="Arial" w:hAnsi="Arial" w:cs="Arial"/>
          <w:sz w:val="24"/>
          <w:szCs w:val="24"/>
        </w:rPr>
      </w:pPr>
    </w:p>
    <w:p w14:paraId="6EF0E15F" w14:textId="77777777" w:rsidR="00B44B69" w:rsidRDefault="00B44B69" w:rsidP="00557B1F">
      <w:pPr>
        <w:tabs>
          <w:tab w:val="left" w:pos="0"/>
        </w:tabs>
        <w:spacing w:after="0" w:line="480" w:lineRule="auto"/>
        <w:jc w:val="both"/>
        <w:rPr>
          <w:rFonts w:ascii="Arial" w:hAnsi="Arial" w:cs="Arial"/>
          <w:sz w:val="24"/>
          <w:szCs w:val="24"/>
        </w:rPr>
      </w:pPr>
    </w:p>
    <w:p w14:paraId="2A02F598" w14:textId="77777777" w:rsidR="006373D0" w:rsidRDefault="006373D0" w:rsidP="00E341CC">
      <w:pPr>
        <w:tabs>
          <w:tab w:val="left" w:pos="1134"/>
        </w:tabs>
        <w:spacing w:after="0" w:line="240" w:lineRule="auto"/>
        <w:jc w:val="both"/>
        <w:rPr>
          <w:rFonts w:ascii="Arial" w:hAnsi="Arial" w:cs="Arial"/>
          <w:sz w:val="24"/>
          <w:szCs w:val="24"/>
        </w:rPr>
      </w:pPr>
    </w:p>
    <w:p w14:paraId="4E949A44" w14:textId="77777777" w:rsidR="00FF4712" w:rsidRPr="00B35813" w:rsidRDefault="00FF4712" w:rsidP="00D36262">
      <w:pPr>
        <w:spacing w:after="0" w:line="240" w:lineRule="auto"/>
        <w:jc w:val="both"/>
        <w:rPr>
          <w:rFonts w:ascii="Arial" w:hAnsi="Arial" w:cs="Arial"/>
          <w:sz w:val="24"/>
          <w:szCs w:val="24"/>
        </w:rPr>
      </w:pPr>
      <w:r>
        <w:rPr>
          <w:rFonts w:ascii="Arial" w:hAnsi="Arial" w:cs="Arial"/>
          <w:sz w:val="24"/>
          <w:szCs w:val="24"/>
        </w:rPr>
        <w:t>_______________</w:t>
      </w:r>
      <w:r w:rsidR="00D36262">
        <w:rPr>
          <w:rFonts w:ascii="Arial" w:hAnsi="Arial" w:cs="Arial"/>
          <w:sz w:val="24"/>
          <w:szCs w:val="24"/>
        </w:rPr>
        <w:t>____</w:t>
      </w:r>
    </w:p>
    <w:p w14:paraId="35EEF892" w14:textId="77777777" w:rsidR="00FF4712" w:rsidRDefault="00E55E04" w:rsidP="00D36262">
      <w:pPr>
        <w:spacing w:after="0" w:line="240" w:lineRule="auto"/>
        <w:jc w:val="both"/>
        <w:rPr>
          <w:rFonts w:ascii="Arial" w:hAnsi="Arial" w:cs="Arial"/>
          <w:b/>
          <w:sz w:val="24"/>
          <w:szCs w:val="24"/>
        </w:rPr>
      </w:pPr>
      <w:r>
        <w:rPr>
          <w:rFonts w:ascii="Arial" w:hAnsi="Arial" w:cs="Arial"/>
          <w:b/>
          <w:sz w:val="24"/>
          <w:szCs w:val="24"/>
        </w:rPr>
        <w:t xml:space="preserve">MAINGA </w:t>
      </w:r>
      <w:r w:rsidR="00FF4712">
        <w:rPr>
          <w:rFonts w:ascii="Arial" w:hAnsi="Arial" w:cs="Arial"/>
          <w:b/>
          <w:sz w:val="24"/>
          <w:szCs w:val="24"/>
        </w:rPr>
        <w:t>JA</w:t>
      </w:r>
    </w:p>
    <w:p w14:paraId="2BC2D906" w14:textId="77777777" w:rsidR="00B77F9B" w:rsidRDefault="00B77F9B" w:rsidP="00D36262">
      <w:pPr>
        <w:spacing w:after="0" w:line="240" w:lineRule="auto"/>
        <w:jc w:val="both"/>
        <w:rPr>
          <w:rFonts w:ascii="Arial" w:hAnsi="Arial" w:cs="Arial"/>
          <w:b/>
          <w:sz w:val="24"/>
          <w:szCs w:val="24"/>
        </w:rPr>
      </w:pPr>
    </w:p>
    <w:p w14:paraId="6D0C88CE" w14:textId="77777777" w:rsidR="00B77F9B" w:rsidRDefault="00B77F9B" w:rsidP="00D36262">
      <w:pPr>
        <w:spacing w:after="0" w:line="240" w:lineRule="auto"/>
        <w:jc w:val="both"/>
        <w:rPr>
          <w:rFonts w:ascii="Arial" w:hAnsi="Arial" w:cs="Arial"/>
          <w:sz w:val="24"/>
          <w:szCs w:val="24"/>
        </w:rPr>
      </w:pPr>
    </w:p>
    <w:p w14:paraId="14E92792" w14:textId="77777777" w:rsidR="00371205" w:rsidRDefault="00371205" w:rsidP="00D36262">
      <w:pPr>
        <w:spacing w:after="0" w:line="240" w:lineRule="auto"/>
        <w:jc w:val="both"/>
        <w:rPr>
          <w:rFonts w:ascii="Arial" w:hAnsi="Arial" w:cs="Arial"/>
          <w:sz w:val="24"/>
          <w:szCs w:val="24"/>
        </w:rPr>
      </w:pPr>
    </w:p>
    <w:p w14:paraId="4F9FD2B2" w14:textId="77777777" w:rsidR="00A53FB4" w:rsidRDefault="00A53FB4" w:rsidP="00D36262">
      <w:pPr>
        <w:spacing w:after="0" w:line="240" w:lineRule="auto"/>
        <w:jc w:val="both"/>
        <w:rPr>
          <w:rFonts w:ascii="Arial" w:hAnsi="Arial" w:cs="Arial"/>
          <w:sz w:val="24"/>
          <w:szCs w:val="24"/>
        </w:rPr>
      </w:pPr>
    </w:p>
    <w:p w14:paraId="4162DB85" w14:textId="77777777" w:rsidR="00B77F9B" w:rsidRPr="00B53471" w:rsidRDefault="00D36262" w:rsidP="00D36262">
      <w:pPr>
        <w:spacing w:after="0" w:line="240" w:lineRule="auto"/>
        <w:jc w:val="both"/>
        <w:rPr>
          <w:rFonts w:ascii="Arial" w:hAnsi="Arial" w:cs="Arial"/>
          <w:sz w:val="24"/>
          <w:szCs w:val="24"/>
        </w:rPr>
      </w:pPr>
      <w:r>
        <w:rPr>
          <w:rFonts w:ascii="Arial" w:hAnsi="Arial" w:cs="Arial"/>
          <w:sz w:val="24"/>
          <w:szCs w:val="24"/>
        </w:rPr>
        <w:t>___________________</w:t>
      </w:r>
    </w:p>
    <w:p w14:paraId="088C4387" w14:textId="77777777" w:rsidR="00B77F9B" w:rsidRDefault="008C5045" w:rsidP="00D36262">
      <w:pPr>
        <w:spacing w:after="0" w:line="240" w:lineRule="auto"/>
        <w:jc w:val="both"/>
        <w:rPr>
          <w:rFonts w:ascii="Arial" w:hAnsi="Arial" w:cs="Arial"/>
          <w:b/>
          <w:sz w:val="24"/>
          <w:szCs w:val="24"/>
        </w:rPr>
      </w:pPr>
      <w:r>
        <w:rPr>
          <w:rFonts w:ascii="Arial" w:hAnsi="Arial" w:cs="Arial"/>
          <w:b/>
          <w:sz w:val="24"/>
          <w:szCs w:val="24"/>
        </w:rPr>
        <w:t>DAMASEB DCJ</w:t>
      </w:r>
    </w:p>
    <w:p w14:paraId="08074D17" w14:textId="77777777" w:rsidR="008C5045" w:rsidRDefault="008C5045" w:rsidP="00D36262">
      <w:pPr>
        <w:spacing w:after="0" w:line="240" w:lineRule="auto"/>
        <w:jc w:val="both"/>
        <w:rPr>
          <w:rFonts w:ascii="Arial" w:hAnsi="Arial" w:cs="Arial"/>
          <w:b/>
          <w:sz w:val="24"/>
          <w:szCs w:val="24"/>
        </w:rPr>
      </w:pPr>
    </w:p>
    <w:p w14:paraId="1B2523EE" w14:textId="77777777" w:rsidR="008C5045" w:rsidRDefault="008C5045" w:rsidP="00D36262">
      <w:pPr>
        <w:spacing w:after="0" w:line="240" w:lineRule="auto"/>
        <w:jc w:val="both"/>
        <w:rPr>
          <w:rFonts w:ascii="Arial" w:hAnsi="Arial" w:cs="Arial"/>
          <w:b/>
          <w:sz w:val="24"/>
          <w:szCs w:val="24"/>
        </w:rPr>
      </w:pPr>
    </w:p>
    <w:p w14:paraId="7AE01A41" w14:textId="77777777" w:rsidR="00470647" w:rsidRDefault="00470647" w:rsidP="00D36262">
      <w:pPr>
        <w:spacing w:after="0" w:line="240" w:lineRule="auto"/>
        <w:jc w:val="both"/>
        <w:rPr>
          <w:rFonts w:ascii="Arial" w:hAnsi="Arial" w:cs="Arial"/>
          <w:b/>
          <w:sz w:val="24"/>
          <w:szCs w:val="24"/>
        </w:rPr>
      </w:pPr>
    </w:p>
    <w:p w14:paraId="025C23AE" w14:textId="77777777" w:rsidR="008C5045" w:rsidRDefault="008C5045" w:rsidP="00D36262">
      <w:pPr>
        <w:spacing w:after="0" w:line="240" w:lineRule="auto"/>
        <w:jc w:val="both"/>
        <w:rPr>
          <w:rFonts w:ascii="Arial" w:hAnsi="Arial" w:cs="Arial"/>
          <w:b/>
          <w:sz w:val="24"/>
          <w:szCs w:val="24"/>
        </w:rPr>
      </w:pPr>
    </w:p>
    <w:p w14:paraId="23D18BA0" w14:textId="77777777" w:rsidR="00A53FB4" w:rsidRDefault="00A53FB4" w:rsidP="00D36262">
      <w:pPr>
        <w:spacing w:after="0" w:line="240" w:lineRule="auto"/>
        <w:jc w:val="both"/>
        <w:rPr>
          <w:rFonts w:ascii="Arial" w:hAnsi="Arial" w:cs="Arial"/>
          <w:b/>
          <w:sz w:val="24"/>
          <w:szCs w:val="24"/>
        </w:rPr>
      </w:pPr>
    </w:p>
    <w:p w14:paraId="38E6428F" w14:textId="77777777" w:rsidR="008C5045" w:rsidRDefault="008C5045" w:rsidP="00D36262">
      <w:pPr>
        <w:spacing w:after="0" w:line="240" w:lineRule="auto"/>
        <w:jc w:val="both"/>
        <w:rPr>
          <w:rFonts w:ascii="Arial" w:hAnsi="Arial" w:cs="Arial"/>
          <w:sz w:val="24"/>
          <w:szCs w:val="24"/>
        </w:rPr>
      </w:pPr>
      <w:r>
        <w:rPr>
          <w:rFonts w:ascii="Arial" w:hAnsi="Arial" w:cs="Arial"/>
          <w:sz w:val="24"/>
          <w:szCs w:val="24"/>
        </w:rPr>
        <w:t>___________________</w:t>
      </w:r>
    </w:p>
    <w:p w14:paraId="749432BA" w14:textId="77777777" w:rsidR="008C5045" w:rsidRDefault="008C5045" w:rsidP="00D36262">
      <w:pPr>
        <w:spacing w:after="0" w:line="240" w:lineRule="auto"/>
        <w:jc w:val="both"/>
        <w:rPr>
          <w:rFonts w:ascii="Arial" w:hAnsi="Arial" w:cs="Arial"/>
          <w:b/>
          <w:sz w:val="24"/>
          <w:szCs w:val="24"/>
        </w:rPr>
      </w:pPr>
      <w:r>
        <w:rPr>
          <w:rFonts w:ascii="Arial" w:hAnsi="Arial" w:cs="Arial"/>
          <w:b/>
          <w:sz w:val="24"/>
          <w:szCs w:val="24"/>
        </w:rPr>
        <w:t>HOFF JA</w:t>
      </w:r>
    </w:p>
    <w:tbl>
      <w:tblPr>
        <w:tblW w:w="0" w:type="auto"/>
        <w:tblLook w:val="04A0" w:firstRow="1" w:lastRow="0" w:firstColumn="1" w:lastColumn="0" w:noHBand="0" w:noVBand="1"/>
      </w:tblPr>
      <w:tblGrid>
        <w:gridCol w:w="4867"/>
        <w:gridCol w:w="4254"/>
      </w:tblGrid>
      <w:tr w:rsidR="00B4276E" w:rsidRPr="00500CF6" w14:paraId="3BD67550" w14:textId="77777777" w:rsidTr="008C5045">
        <w:tc>
          <w:tcPr>
            <w:tcW w:w="4867" w:type="dxa"/>
            <w:shd w:val="clear" w:color="auto" w:fill="auto"/>
          </w:tcPr>
          <w:p w14:paraId="746AEE0C" w14:textId="77777777" w:rsidR="00D0303F" w:rsidRDefault="00BA2238" w:rsidP="00500CF6">
            <w:pPr>
              <w:spacing w:after="0" w:line="480" w:lineRule="auto"/>
              <w:ind w:right="-146"/>
              <w:rPr>
                <w:rFonts w:ascii="Arial" w:hAnsi="Arial" w:cs="Arial"/>
                <w:sz w:val="24"/>
                <w:szCs w:val="24"/>
              </w:rPr>
            </w:pPr>
            <w:r>
              <w:rPr>
                <w:rFonts w:ascii="Arial" w:hAnsi="Arial" w:cs="Arial"/>
                <w:sz w:val="24"/>
                <w:szCs w:val="24"/>
              </w:rPr>
              <w:br w:type="page"/>
            </w:r>
          </w:p>
          <w:p w14:paraId="453B3287" w14:textId="77777777" w:rsidR="00D0303F" w:rsidRDefault="00D0303F" w:rsidP="00500CF6">
            <w:pPr>
              <w:spacing w:after="0" w:line="480" w:lineRule="auto"/>
              <w:ind w:right="-146"/>
              <w:rPr>
                <w:rFonts w:ascii="Arial" w:hAnsi="Arial" w:cs="Arial"/>
                <w:sz w:val="24"/>
                <w:szCs w:val="24"/>
              </w:rPr>
            </w:pPr>
          </w:p>
          <w:p w14:paraId="0B0E3BBD" w14:textId="77777777" w:rsidR="00D0303F" w:rsidRDefault="00D0303F" w:rsidP="00500CF6">
            <w:pPr>
              <w:spacing w:after="0" w:line="480" w:lineRule="auto"/>
              <w:ind w:right="-146"/>
              <w:rPr>
                <w:rFonts w:ascii="Arial" w:hAnsi="Arial" w:cs="Arial"/>
                <w:sz w:val="24"/>
                <w:szCs w:val="24"/>
              </w:rPr>
            </w:pPr>
          </w:p>
          <w:p w14:paraId="3C167B35" w14:textId="77777777" w:rsidR="00D0303F" w:rsidRDefault="00D0303F" w:rsidP="00500CF6">
            <w:pPr>
              <w:spacing w:after="0" w:line="480" w:lineRule="auto"/>
              <w:ind w:right="-146"/>
              <w:rPr>
                <w:rFonts w:ascii="Arial" w:hAnsi="Arial" w:cs="Arial"/>
                <w:sz w:val="24"/>
                <w:szCs w:val="24"/>
              </w:rPr>
            </w:pPr>
          </w:p>
          <w:p w14:paraId="458166E9" w14:textId="77777777" w:rsidR="000C319E" w:rsidRPr="00500CF6" w:rsidRDefault="000C319E" w:rsidP="00500CF6">
            <w:pPr>
              <w:spacing w:after="0" w:line="480" w:lineRule="auto"/>
              <w:ind w:right="-146"/>
              <w:rPr>
                <w:rFonts w:ascii="Arial" w:hAnsi="Arial" w:cs="Arial"/>
                <w:sz w:val="24"/>
                <w:szCs w:val="24"/>
              </w:rPr>
            </w:pPr>
            <w:r w:rsidRPr="00500CF6">
              <w:rPr>
                <w:rFonts w:ascii="Arial" w:hAnsi="Arial" w:cs="Arial"/>
                <w:sz w:val="24"/>
                <w:szCs w:val="24"/>
              </w:rPr>
              <w:t>APPEARANCES:</w:t>
            </w:r>
          </w:p>
          <w:p w14:paraId="1055DD80" w14:textId="77777777" w:rsidR="004169A7" w:rsidRPr="00500CF6" w:rsidRDefault="004169A7" w:rsidP="00500CF6">
            <w:pPr>
              <w:spacing w:after="0" w:line="480" w:lineRule="auto"/>
              <w:ind w:right="-146"/>
              <w:rPr>
                <w:rFonts w:ascii="Arial" w:hAnsi="Arial" w:cs="Arial"/>
                <w:sz w:val="24"/>
                <w:szCs w:val="24"/>
              </w:rPr>
            </w:pPr>
          </w:p>
          <w:p w14:paraId="491F3DB5" w14:textId="77777777" w:rsidR="00B4276E" w:rsidRPr="00500CF6" w:rsidRDefault="00B4276E" w:rsidP="00500CF6">
            <w:pPr>
              <w:spacing w:after="0" w:line="480" w:lineRule="auto"/>
              <w:ind w:right="-146"/>
              <w:rPr>
                <w:rFonts w:ascii="Arial" w:hAnsi="Arial" w:cs="Arial"/>
                <w:sz w:val="24"/>
                <w:szCs w:val="24"/>
              </w:rPr>
            </w:pPr>
            <w:r w:rsidRPr="00500CF6">
              <w:rPr>
                <w:rFonts w:ascii="Arial" w:hAnsi="Arial" w:cs="Arial"/>
                <w:sz w:val="24"/>
                <w:szCs w:val="24"/>
              </w:rPr>
              <w:t>Appellant:</w:t>
            </w:r>
          </w:p>
        </w:tc>
        <w:tc>
          <w:tcPr>
            <w:tcW w:w="4254" w:type="dxa"/>
            <w:shd w:val="clear" w:color="auto" w:fill="auto"/>
          </w:tcPr>
          <w:p w14:paraId="4E8F2A29" w14:textId="77777777" w:rsidR="000C319E" w:rsidRDefault="000C319E" w:rsidP="00500CF6">
            <w:pPr>
              <w:spacing w:after="0" w:line="480" w:lineRule="auto"/>
              <w:rPr>
                <w:rFonts w:ascii="Arial" w:hAnsi="Arial" w:cs="Arial"/>
                <w:sz w:val="24"/>
                <w:szCs w:val="24"/>
              </w:rPr>
            </w:pPr>
          </w:p>
          <w:p w14:paraId="655145D4" w14:textId="77777777" w:rsidR="00D0303F" w:rsidRDefault="00D0303F" w:rsidP="00500CF6">
            <w:pPr>
              <w:spacing w:after="0" w:line="480" w:lineRule="auto"/>
              <w:rPr>
                <w:rFonts w:ascii="Arial" w:hAnsi="Arial" w:cs="Arial"/>
                <w:sz w:val="24"/>
                <w:szCs w:val="24"/>
              </w:rPr>
            </w:pPr>
          </w:p>
          <w:p w14:paraId="79F0B52C" w14:textId="77777777" w:rsidR="00D0303F" w:rsidRPr="00500CF6" w:rsidRDefault="00D0303F" w:rsidP="00500CF6">
            <w:pPr>
              <w:spacing w:after="0" w:line="480" w:lineRule="auto"/>
              <w:rPr>
                <w:rFonts w:ascii="Arial" w:hAnsi="Arial" w:cs="Arial"/>
                <w:sz w:val="24"/>
                <w:szCs w:val="24"/>
              </w:rPr>
            </w:pPr>
          </w:p>
          <w:p w14:paraId="22634D0D" w14:textId="77777777" w:rsidR="004169A7" w:rsidRPr="00500CF6" w:rsidRDefault="004169A7" w:rsidP="00500CF6">
            <w:pPr>
              <w:spacing w:after="0" w:line="480" w:lineRule="auto"/>
              <w:rPr>
                <w:rFonts w:ascii="Arial" w:hAnsi="Arial" w:cs="Arial"/>
                <w:sz w:val="24"/>
                <w:szCs w:val="24"/>
              </w:rPr>
            </w:pPr>
          </w:p>
          <w:p w14:paraId="568FAD22" w14:textId="77777777" w:rsidR="00D0303F" w:rsidRDefault="00D0303F" w:rsidP="00E61DC7">
            <w:pPr>
              <w:spacing w:after="0" w:line="480" w:lineRule="auto"/>
              <w:rPr>
                <w:rFonts w:ascii="Arial" w:hAnsi="Arial" w:cs="Arial"/>
                <w:sz w:val="24"/>
                <w:szCs w:val="24"/>
              </w:rPr>
            </w:pPr>
          </w:p>
          <w:p w14:paraId="60F1E125" w14:textId="77777777" w:rsidR="00D0303F" w:rsidRDefault="00D0303F" w:rsidP="00E61DC7">
            <w:pPr>
              <w:spacing w:after="0" w:line="480" w:lineRule="auto"/>
              <w:rPr>
                <w:rFonts w:ascii="Arial" w:hAnsi="Arial" w:cs="Arial"/>
                <w:sz w:val="24"/>
                <w:szCs w:val="24"/>
              </w:rPr>
            </w:pPr>
          </w:p>
          <w:p w14:paraId="3A572295" w14:textId="77777777" w:rsidR="00B4276E" w:rsidRPr="00500CF6" w:rsidRDefault="009B0523" w:rsidP="00E61DC7">
            <w:pPr>
              <w:spacing w:after="0" w:line="480" w:lineRule="auto"/>
              <w:rPr>
                <w:rFonts w:ascii="Arial" w:hAnsi="Arial" w:cs="Arial"/>
                <w:sz w:val="24"/>
                <w:szCs w:val="24"/>
              </w:rPr>
            </w:pPr>
            <w:r>
              <w:rPr>
                <w:rFonts w:ascii="Arial" w:hAnsi="Arial" w:cs="Arial"/>
                <w:sz w:val="24"/>
                <w:szCs w:val="24"/>
              </w:rPr>
              <w:t>J</w:t>
            </w:r>
            <w:r w:rsidR="008C5045">
              <w:rPr>
                <w:rFonts w:ascii="Arial" w:hAnsi="Arial" w:cs="Arial"/>
                <w:sz w:val="24"/>
                <w:szCs w:val="24"/>
              </w:rPr>
              <w:t xml:space="preserve"> P Ravenscroft</w:t>
            </w:r>
            <w:r w:rsidR="00E61DC7">
              <w:rPr>
                <w:rFonts w:ascii="Arial" w:hAnsi="Arial" w:cs="Arial"/>
                <w:sz w:val="24"/>
                <w:szCs w:val="24"/>
              </w:rPr>
              <w:t>-</w:t>
            </w:r>
            <w:r w:rsidR="008C5045">
              <w:rPr>
                <w:rFonts w:ascii="Arial" w:hAnsi="Arial" w:cs="Arial"/>
                <w:sz w:val="24"/>
                <w:szCs w:val="24"/>
              </w:rPr>
              <w:t>Jones</w:t>
            </w:r>
            <w:r w:rsidR="00EB15BF" w:rsidRPr="00500CF6">
              <w:rPr>
                <w:rFonts w:ascii="Arial" w:hAnsi="Arial" w:cs="Arial"/>
                <w:sz w:val="24"/>
                <w:szCs w:val="24"/>
              </w:rPr>
              <w:t xml:space="preserve"> </w:t>
            </w:r>
          </w:p>
        </w:tc>
      </w:tr>
      <w:tr w:rsidR="00B4276E" w:rsidRPr="00500CF6" w14:paraId="17C5A0F5" w14:textId="77777777" w:rsidTr="008C5045">
        <w:tc>
          <w:tcPr>
            <w:tcW w:w="4867" w:type="dxa"/>
            <w:shd w:val="clear" w:color="auto" w:fill="auto"/>
          </w:tcPr>
          <w:p w14:paraId="2D5F46F8" w14:textId="77777777" w:rsidR="00B4276E" w:rsidRPr="00500CF6" w:rsidRDefault="00B4276E" w:rsidP="00500CF6">
            <w:pPr>
              <w:spacing w:after="0" w:line="480" w:lineRule="auto"/>
              <w:rPr>
                <w:rFonts w:ascii="Arial" w:hAnsi="Arial" w:cs="Arial"/>
                <w:sz w:val="24"/>
                <w:szCs w:val="24"/>
              </w:rPr>
            </w:pPr>
          </w:p>
        </w:tc>
        <w:tc>
          <w:tcPr>
            <w:tcW w:w="4254" w:type="dxa"/>
            <w:shd w:val="clear" w:color="auto" w:fill="auto"/>
          </w:tcPr>
          <w:p w14:paraId="3B3267D1" w14:textId="77777777" w:rsidR="00B4276E" w:rsidRPr="00500CF6" w:rsidRDefault="00594B41" w:rsidP="008C5045">
            <w:pPr>
              <w:spacing w:after="0" w:line="480" w:lineRule="auto"/>
              <w:rPr>
                <w:rFonts w:ascii="Arial" w:hAnsi="Arial" w:cs="Arial"/>
                <w:sz w:val="24"/>
                <w:szCs w:val="24"/>
              </w:rPr>
            </w:pPr>
            <w:r w:rsidRPr="00500CF6">
              <w:rPr>
                <w:rFonts w:ascii="Arial" w:hAnsi="Arial" w:cs="Arial"/>
                <w:sz w:val="24"/>
                <w:szCs w:val="24"/>
              </w:rPr>
              <w:t xml:space="preserve">Instructed by </w:t>
            </w:r>
            <w:r w:rsidR="008C5045">
              <w:rPr>
                <w:rFonts w:ascii="Arial" w:hAnsi="Arial" w:cs="Arial"/>
                <w:sz w:val="24"/>
                <w:szCs w:val="24"/>
              </w:rPr>
              <w:t>Ellis Shilengudwa Inc.</w:t>
            </w:r>
          </w:p>
        </w:tc>
      </w:tr>
      <w:tr w:rsidR="00573B8D" w:rsidRPr="00500CF6" w14:paraId="2D8C03BC" w14:textId="77777777" w:rsidTr="008C5045">
        <w:tc>
          <w:tcPr>
            <w:tcW w:w="4867" w:type="dxa"/>
            <w:shd w:val="clear" w:color="auto" w:fill="auto"/>
          </w:tcPr>
          <w:p w14:paraId="13BC9D4A" w14:textId="77777777" w:rsidR="004169A7" w:rsidRPr="00500CF6" w:rsidRDefault="004169A7" w:rsidP="00500CF6">
            <w:pPr>
              <w:spacing w:after="0" w:line="480" w:lineRule="auto"/>
              <w:rPr>
                <w:rFonts w:ascii="Arial" w:hAnsi="Arial" w:cs="Arial"/>
                <w:sz w:val="24"/>
                <w:szCs w:val="24"/>
              </w:rPr>
            </w:pPr>
          </w:p>
          <w:p w14:paraId="45EAE1E5" w14:textId="77777777" w:rsidR="00573B8D" w:rsidRPr="00500CF6" w:rsidRDefault="00573B8D" w:rsidP="00446464">
            <w:pPr>
              <w:spacing w:after="0" w:line="480" w:lineRule="auto"/>
              <w:rPr>
                <w:rFonts w:ascii="Arial" w:hAnsi="Arial" w:cs="Arial"/>
                <w:sz w:val="24"/>
                <w:szCs w:val="24"/>
              </w:rPr>
            </w:pPr>
            <w:r w:rsidRPr="00500CF6">
              <w:rPr>
                <w:rFonts w:ascii="Arial" w:hAnsi="Arial" w:cs="Arial"/>
                <w:sz w:val="24"/>
                <w:szCs w:val="24"/>
              </w:rPr>
              <w:t>Respondent:</w:t>
            </w:r>
          </w:p>
        </w:tc>
        <w:tc>
          <w:tcPr>
            <w:tcW w:w="4254" w:type="dxa"/>
            <w:shd w:val="clear" w:color="auto" w:fill="auto"/>
          </w:tcPr>
          <w:p w14:paraId="5EE8E901" w14:textId="77777777" w:rsidR="004169A7" w:rsidRPr="00500CF6" w:rsidRDefault="004169A7" w:rsidP="00500CF6">
            <w:pPr>
              <w:spacing w:after="0" w:line="480" w:lineRule="auto"/>
              <w:rPr>
                <w:rFonts w:ascii="Arial" w:hAnsi="Arial" w:cs="Arial"/>
                <w:sz w:val="24"/>
                <w:szCs w:val="24"/>
              </w:rPr>
            </w:pPr>
          </w:p>
          <w:p w14:paraId="283FAAE6" w14:textId="77777777" w:rsidR="00573B8D" w:rsidRPr="00500CF6" w:rsidRDefault="009B0523" w:rsidP="00E61DC7">
            <w:pPr>
              <w:spacing w:after="0" w:line="480" w:lineRule="auto"/>
              <w:rPr>
                <w:rFonts w:ascii="Arial" w:hAnsi="Arial" w:cs="Arial"/>
                <w:sz w:val="24"/>
                <w:szCs w:val="24"/>
              </w:rPr>
            </w:pPr>
            <w:r>
              <w:rPr>
                <w:rFonts w:ascii="Arial" w:hAnsi="Arial" w:cs="Arial"/>
                <w:sz w:val="24"/>
                <w:szCs w:val="24"/>
              </w:rPr>
              <w:t>J</w:t>
            </w:r>
            <w:r w:rsidR="00250D0E">
              <w:rPr>
                <w:rFonts w:ascii="Arial" w:hAnsi="Arial" w:cs="Arial"/>
                <w:sz w:val="24"/>
                <w:szCs w:val="24"/>
              </w:rPr>
              <w:t xml:space="preserve"> </w:t>
            </w:r>
            <w:r w:rsidR="008C5045">
              <w:rPr>
                <w:rFonts w:ascii="Arial" w:hAnsi="Arial" w:cs="Arial"/>
                <w:sz w:val="24"/>
                <w:szCs w:val="24"/>
              </w:rPr>
              <w:t>A N Strydom</w:t>
            </w:r>
          </w:p>
        </w:tc>
      </w:tr>
      <w:tr w:rsidR="00573B8D" w:rsidRPr="00500CF6" w14:paraId="30020A32" w14:textId="77777777" w:rsidTr="008C5045">
        <w:trPr>
          <w:trHeight w:val="328"/>
        </w:trPr>
        <w:tc>
          <w:tcPr>
            <w:tcW w:w="4867" w:type="dxa"/>
            <w:shd w:val="clear" w:color="auto" w:fill="auto"/>
          </w:tcPr>
          <w:p w14:paraId="6F781664" w14:textId="77777777" w:rsidR="00573B8D" w:rsidRPr="00500CF6" w:rsidRDefault="00573B8D" w:rsidP="00500CF6">
            <w:pPr>
              <w:spacing w:after="0" w:line="480" w:lineRule="auto"/>
              <w:rPr>
                <w:rFonts w:ascii="Arial" w:hAnsi="Arial" w:cs="Arial"/>
                <w:sz w:val="24"/>
                <w:szCs w:val="24"/>
              </w:rPr>
            </w:pPr>
          </w:p>
        </w:tc>
        <w:tc>
          <w:tcPr>
            <w:tcW w:w="4254" w:type="dxa"/>
            <w:shd w:val="clear" w:color="auto" w:fill="auto"/>
          </w:tcPr>
          <w:p w14:paraId="6CFFE506" w14:textId="77777777" w:rsidR="00573B8D" w:rsidRPr="00500CF6" w:rsidRDefault="008C5045" w:rsidP="008C5045">
            <w:pPr>
              <w:spacing w:after="0" w:line="480" w:lineRule="auto"/>
              <w:rPr>
                <w:rFonts w:ascii="Arial" w:hAnsi="Arial" w:cs="Arial"/>
                <w:sz w:val="24"/>
                <w:szCs w:val="24"/>
              </w:rPr>
            </w:pPr>
            <w:r>
              <w:rPr>
                <w:rFonts w:ascii="Arial" w:hAnsi="Arial" w:cs="Arial"/>
                <w:sz w:val="24"/>
                <w:szCs w:val="24"/>
              </w:rPr>
              <w:t>Instructed by Theunissen, Louw &amp; Partners</w:t>
            </w:r>
          </w:p>
        </w:tc>
      </w:tr>
    </w:tbl>
    <w:p w14:paraId="594DF31C" w14:textId="77777777" w:rsidR="00B266CC" w:rsidRDefault="00B266CC" w:rsidP="007D275A">
      <w:pPr>
        <w:spacing w:after="0" w:line="480" w:lineRule="auto"/>
        <w:jc w:val="both"/>
      </w:pPr>
    </w:p>
    <w:sectPr w:rsidR="00B266CC" w:rsidSect="00BB1B5D">
      <w:headerReference w:type="default" r:id="rId12"/>
      <w:pgSz w:w="12240" w:h="15840"/>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44BC5" w14:textId="77777777" w:rsidR="004420CF" w:rsidRDefault="004420CF" w:rsidP="00F74879">
      <w:pPr>
        <w:spacing w:after="0" w:line="240" w:lineRule="auto"/>
      </w:pPr>
      <w:r>
        <w:separator/>
      </w:r>
    </w:p>
  </w:endnote>
  <w:endnote w:type="continuationSeparator" w:id="0">
    <w:p w14:paraId="049BA914" w14:textId="77777777" w:rsidR="004420CF" w:rsidRDefault="004420CF" w:rsidP="00F7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C58AD" w14:textId="77777777" w:rsidR="004420CF" w:rsidRDefault="004420CF" w:rsidP="00F74879">
      <w:pPr>
        <w:spacing w:after="0" w:line="240" w:lineRule="auto"/>
      </w:pPr>
      <w:r>
        <w:separator/>
      </w:r>
    </w:p>
  </w:footnote>
  <w:footnote w:type="continuationSeparator" w:id="0">
    <w:p w14:paraId="3B3F3EE9" w14:textId="77777777" w:rsidR="004420CF" w:rsidRDefault="004420CF" w:rsidP="00F74879">
      <w:pPr>
        <w:spacing w:after="0" w:line="240" w:lineRule="auto"/>
      </w:pPr>
      <w:r>
        <w:continuationSeparator/>
      </w:r>
    </w:p>
  </w:footnote>
  <w:footnote w:id="1">
    <w:p w14:paraId="068E5AC0" w14:textId="77777777" w:rsidR="00154232" w:rsidRPr="003E3D9A" w:rsidRDefault="00154232" w:rsidP="004E0141">
      <w:pPr>
        <w:pStyle w:val="FootnoteText"/>
        <w:jc w:val="both"/>
        <w:rPr>
          <w:rFonts w:ascii="Arial" w:hAnsi="Arial" w:cs="Arial"/>
          <w:lang w:val="en-ZA"/>
        </w:rPr>
      </w:pPr>
      <w:r w:rsidRPr="003E3D9A">
        <w:rPr>
          <w:rStyle w:val="FootnoteReference"/>
          <w:rFonts w:ascii="Arial" w:hAnsi="Arial" w:cs="Arial"/>
        </w:rPr>
        <w:footnoteRef/>
      </w:r>
      <w:r w:rsidRPr="003E3D9A">
        <w:rPr>
          <w:rFonts w:ascii="Arial" w:hAnsi="Arial" w:cs="Arial"/>
        </w:rPr>
        <w:t xml:space="preserve"> </w:t>
      </w:r>
      <w:r w:rsidR="00520A5E">
        <w:rPr>
          <w:rFonts w:ascii="Arial" w:hAnsi="Arial" w:cs="Arial"/>
        </w:rPr>
        <w:t>‘</w:t>
      </w:r>
      <w:r>
        <w:rPr>
          <w:rFonts w:ascii="Arial" w:hAnsi="Arial" w:cs="Arial"/>
        </w:rPr>
        <w:t>In settlement of all proprietary claims between the parties pursuant to this divorce action and emanating from the parties’ accrued estate form the marital relationship . . .</w:t>
      </w:r>
      <w:r w:rsidR="00520A5E">
        <w:rPr>
          <w:rFonts w:ascii="Arial" w:hAnsi="Arial" w:cs="Arial"/>
        </w:rPr>
        <w:t>’</w:t>
      </w:r>
      <w:r>
        <w:rPr>
          <w:rFonts w:ascii="Arial" w:hAnsi="Arial" w:cs="Arial"/>
        </w:rPr>
        <w:t>.</w:t>
      </w:r>
    </w:p>
  </w:footnote>
  <w:footnote w:id="2">
    <w:p w14:paraId="1E3C1E44" w14:textId="77777777" w:rsidR="00154232" w:rsidRPr="003E3D9A" w:rsidRDefault="00154232" w:rsidP="003E3D9A">
      <w:pPr>
        <w:pStyle w:val="FootnoteText"/>
        <w:jc w:val="both"/>
        <w:rPr>
          <w:rFonts w:ascii="Arial" w:hAnsi="Arial" w:cs="Arial"/>
          <w:lang w:val="en-ZA"/>
        </w:rPr>
      </w:pPr>
      <w:r w:rsidRPr="003E3D9A">
        <w:rPr>
          <w:rStyle w:val="FootnoteReference"/>
          <w:rFonts w:ascii="Arial" w:hAnsi="Arial" w:cs="Arial"/>
        </w:rPr>
        <w:footnoteRef/>
      </w:r>
      <w:r w:rsidRPr="003E3D9A">
        <w:rPr>
          <w:rFonts w:ascii="Arial" w:hAnsi="Arial" w:cs="Arial"/>
        </w:rPr>
        <w:t xml:space="preserve"> </w:t>
      </w:r>
      <w:r>
        <w:rPr>
          <w:rFonts w:ascii="Arial" w:hAnsi="Arial" w:cs="Arial"/>
        </w:rPr>
        <w:t>‘. . .  It is recorded that the plaintiff has no pending criminal and/or civil action against the defendant.</w:t>
      </w:r>
      <w:r w:rsidR="0021494B">
        <w:rPr>
          <w:rFonts w:ascii="Arial" w:hAnsi="Arial" w:cs="Arial"/>
        </w:rPr>
        <w:t>’</w:t>
      </w:r>
    </w:p>
  </w:footnote>
  <w:footnote w:id="3">
    <w:p w14:paraId="0361D81F" w14:textId="77777777" w:rsidR="00154232" w:rsidRPr="003E3D9A" w:rsidRDefault="00154232">
      <w:pPr>
        <w:pStyle w:val="FootnoteText"/>
        <w:rPr>
          <w:rFonts w:ascii="Arial" w:hAnsi="Arial" w:cs="Arial"/>
          <w:lang w:val="en-ZA"/>
        </w:rPr>
      </w:pPr>
      <w:r w:rsidRPr="003E3D9A">
        <w:rPr>
          <w:rStyle w:val="FootnoteReference"/>
          <w:rFonts w:ascii="Arial" w:hAnsi="Arial" w:cs="Arial"/>
        </w:rPr>
        <w:footnoteRef/>
      </w:r>
      <w:r w:rsidRPr="003E3D9A">
        <w:rPr>
          <w:rFonts w:ascii="Arial" w:hAnsi="Arial" w:cs="Arial"/>
        </w:rPr>
        <w:t xml:space="preserve"> See </w:t>
      </w:r>
      <w:r>
        <w:rPr>
          <w:rFonts w:ascii="Arial" w:hAnsi="Arial" w:cs="Arial"/>
        </w:rPr>
        <w:t xml:space="preserve">provisions of clause 26 para </w:t>
      </w:r>
      <w:r w:rsidR="0017110F">
        <w:rPr>
          <w:rFonts w:ascii="Arial" w:hAnsi="Arial" w:cs="Arial"/>
        </w:rPr>
        <w:t>3</w:t>
      </w:r>
      <w:r>
        <w:rPr>
          <w:rFonts w:ascii="Arial" w:hAnsi="Arial" w:cs="Arial"/>
        </w:rPr>
        <w:t xml:space="preserve"> above.</w:t>
      </w:r>
    </w:p>
  </w:footnote>
  <w:footnote w:id="4">
    <w:p w14:paraId="5BACC054" w14:textId="77777777" w:rsidR="00C167C8" w:rsidRPr="00C167C8" w:rsidRDefault="00C167C8" w:rsidP="00C167C8">
      <w:pPr>
        <w:pStyle w:val="FootnoteText"/>
        <w:jc w:val="both"/>
        <w:rPr>
          <w:rFonts w:ascii="Arial" w:hAnsi="Arial" w:cs="Arial"/>
          <w:lang w:val="en-ZA"/>
        </w:rPr>
      </w:pPr>
      <w:r w:rsidRPr="00C167C8">
        <w:rPr>
          <w:rStyle w:val="FootnoteReference"/>
          <w:rFonts w:ascii="Arial" w:hAnsi="Arial" w:cs="Arial"/>
        </w:rPr>
        <w:footnoteRef/>
      </w:r>
      <w:r w:rsidRPr="00C167C8">
        <w:rPr>
          <w:rFonts w:ascii="Arial" w:hAnsi="Arial" w:cs="Arial"/>
        </w:rPr>
        <w:t xml:space="preserve"> </w:t>
      </w:r>
      <w:r w:rsidR="0021494B" w:rsidRPr="0021494B">
        <w:rPr>
          <w:rFonts w:ascii="Arial" w:hAnsi="Arial" w:cs="Arial"/>
          <w:i/>
        </w:rPr>
        <w:t>Mbambus v Motor Vehicle Accident Fund</w:t>
      </w:r>
      <w:r w:rsidR="0021494B">
        <w:rPr>
          <w:rFonts w:ascii="Arial" w:hAnsi="Arial" w:cs="Arial"/>
        </w:rPr>
        <w:t xml:space="preserve"> </w:t>
      </w:r>
      <w:r>
        <w:rPr>
          <w:rFonts w:ascii="Arial" w:hAnsi="Arial" w:cs="Arial"/>
        </w:rPr>
        <w:t>2013 (2) NR 458 (HC) para 7.</w:t>
      </w:r>
    </w:p>
  </w:footnote>
  <w:footnote w:id="5">
    <w:p w14:paraId="0D5B30A8" w14:textId="77777777" w:rsidR="00154232" w:rsidRPr="00BB74BA" w:rsidRDefault="00154232" w:rsidP="006136BD">
      <w:pPr>
        <w:pStyle w:val="FootnoteText"/>
        <w:jc w:val="both"/>
        <w:rPr>
          <w:rFonts w:ascii="Arial" w:hAnsi="Arial" w:cs="Arial"/>
        </w:rPr>
      </w:pPr>
      <w:r w:rsidRPr="00BB74BA">
        <w:rPr>
          <w:rStyle w:val="FootnoteReference"/>
          <w:rFonts w:ascii="Arial" w:hAnsi="Arial" w:cs="Arial"/>
        </w:rPr>
        <w:footnoteRef/>
      </w:r>
      <w:r w:rsidR="00683B35">
        <w:rPr>
          <w:rFonts w:ascii="Arial" w:hAnsi="Arial" w:cs="Arial"/>
          <w:i/>
        </w:rPr>
        <w:t xml:space="preserve"> </w:t>
      </w:r>
      <w:r w:rsidR="00BB74BA" w:rsidRPr="00622012">
        <w:rPr>
          <w:rFonts w:ascii="Arial" w:hAnsi="Arial" w:cs="Arial"/>
          <w:i/>
        </w:rPr>
        <w:t>Eke v Parsons</w:t>
      </w:r>
      <w:r w:rsidR="00622012">
        <w:rPr>
          <w:rFonts w:ascii="Arial" w:hAnsi="Arial" w:cs="Arial"/>
        </w:rPr>
        <w:t xml:space="preserve"> 2016 (3) SA 37 (CC) para</w:t>
      </w:r>
      <w:r w:rsidR="005264DB">
        <w:rPr>
          <w:rFonts w:ascii="Arial" w:hAnsi="Arial" w:cs="Arial"/>
        </w:rPr>
        <w:t>s</w:t>
      </w:r>
      <w:r w:rsidR="00622012">
        <w:rPr>
          <w:rFonts w:ascii="Arial" w:hAnsi="Arial" w:cs="Arial"/>
        </w:rPr>
        <w:t xml:space="preserve"> 29-30</w:t>
      </w:r>
      <w:r w:rsidR="008521EA">
        <w:rPr>
          <w:rFonts w:ascii="Arial" w:hAnsi="Arial" w:cs="Arial"/>
        </w:rPr>
        <w:t>.</w:t>
      </w:r>
    </w:p>
  </w:footnote>
  <w:footnote w:id="6">
    <w:p w14:paraId="7E666436" w14:textId="77777777" w:rsidR="00683B35" w:rsidRDefault="00154232" w:rsidP="006136BD">
      <w:pPr>
        <w:pStyle w:val="FootnoteText"/>
        <w:jc w:val="both"/>
        <w:rPr>
          <w:rFonts w:ascii="Arial" w:hAnsi="Arial" w:cs="Arial"/>
          <w:i/>
        </w:rPr>
      </w:pPr>
      <w:r w:rsidRPr="00BB74BA">
        <w:rPr>
          <w:rStyle w:val="FootnoteReference"/>
          <w:rFonts w:ascii="Arial" w:hAnsi="Arial" w:cs="Arial"/>
        </w:rPr>
        <w:footnoteRef/>
      </w:r>
      <w:r w:rsidR="00683B35">
        <w:rPr>
          <w:rFonts w:ascii="Arial" w:hAnsi="Arial" w:cs="Arial"/>
          <w:i/>
        </w:rPr>
        <w:t xml:space="preserve"> </w:t>
      </w:r>
      <w:r w:rsidR="00622012" w:rsidRPr="00622012">
        <w:rPr>
          <w:rFonts w:ascii="Arial" w:hAnsi="Arial" w:cs="Arial"/>
          <w:i/>
        </w:rPr>
        <w:t>Ex parte</w:t>
      </w:r>
      <w:r w:rsidR="00683B35">
        <w:rPr>
          <w:rFonts w:ascii="Arial" w:hAnsi="Arial" w:cs="Arial"/>
          <w:i/>
        </w:rPr>
        <w:t xml:space="preserve"> </w:t>
      </w:r>
      <w:r w:rsidR="00622012" w:rsidRPr="00622012">
        <w:rPr>
          <w:rFonts w:ascii="Arial" w:hAnsi="Arial" w:cs="Arial"/>
          <w:i/>
        </w:rPr>
        <w:t xml:space="preserve">Judge-President of the High Court (Attorney-General of Namibia Intervening): </w:t>
      </w:r>
    </w:p>
    <w:p w14:paraId="391F5AE3" w14:textId="77777777" w:rsidR="00154232" w:rsidRPr="00BB74BA" w:rsidRDefault="00622012" w:rsidP="006136BD">
      <w:pPr>
        <w:pStyle w:val="FootnoteText"/>
        <w:jc w:val="both"/>
        <w:rPr>
          <w:rFonts w:ascii="Arial" w:hAnsi="Arial" w:cs="Arial"/>
        </w:rPr>
      </w:pPr>
      <w:r w:rsidRPr="00622012">
        <w:rPr>
          <w:rFonts w:ascii="Arial" w:hAnsi="Arial" w:cs="Arial"/>
          <w:i/>
        </w:rPr>
        <w:t>In re Kazekondjo</w:t>
      </w:r>
      <w:r>
        <w:rPr>
          <w:rFonts w:ascii="Arial" w:hAnsi="Arial" w:cs="Arial"/>
        </w:rPr>
        <w:t xml:space="preserve"> </w:t>
      </w:r>
      <w:r>
        <w:rPr>
          <w:rFonts w:ascii="Arial" w:hAnsi="Arial" w:cs="Arial"/>
          <w:i/>
        </w:rPr>
        <w:t>&amp;</w:t>
      </w:r>
      <w:r w:rsidRPr="00622012">
        <w:rPr>
          <w:rFonts w:ascii="Arial" w:hAnsi="Arial" w:cs="Arial"/>
          <w:i/>
        </w:rPr>
        <w:t xml:space="preserve"> others v Minister of Safety and Security &amp; others</w:t>
      </w:r>
      <w:r w:rsidR="005264DB">
        <w:rPr>
          <w:rFonts w:ascii="Arial" w:hAnsi="Arial" w:cs="Arial"/>
        </w:rPr>
        <w:t xml:space="preserve"> 2022 (1) NR</w:t>
      </w:r>
      <w:r w:rsidR="00D930C0">
        <w:rPr>
          <w:rFonts w:ascii="Arial" w:hAnsi="Arial" w:cs="Arial"/>
        </w:rPr>
        <w:t xml:space="preserve"> 1</w:t>
      </w:r>
      <w:r w:rsidR="005264DB">
        <w:rPr>
          <w:rFonts w:ascii="Arial" w:hAnsi="Arial" w:cs="Arial"/>
        </w:rPr>
        <w:t xml:space="preserve"> (SC).</w:t>
      </w:r>
    </w:p>
  </w:footnote>
  <w:footnote w:id="7">
    <w:p w14:paraId="02EE8644" w14:textId="77777777" w:rsidR="00154232" w:rsidRPr="00BB74BA" w:rsidRDefault="00154232" w:rsidP="006136BD">
      <w:pPr>
        <w:pStyle w:val="FootnoteText"/>
        <w:jc w:val="both"/>
        <w:rPr>
          <w:rFonts w:ascii="Arial" w:hAnsi="Arial" w:cs="Arial"/>
        </w:rPr>
      </w:pPr>
      <w:r w:rsidRPr="00BB74BA">
        <w:rPr>
          <w:rStyle w:val="FootnoteReference"/>
          <w:rFonts w:ascii="Arial" w:hAnsi="Arial" w:cs="Arial"/>
        </w:rPr>
        <w:footnoteRef/>
      </w:r>
      <w:r w:rsidRPr="00BB74BA">
        <w:rPr>
          <w:rFonts w:ascii="Arial" w:hAnsi="Arial" w:cs="Arial"/>
        </w:rPr>
        <w:t xml:space="preserve"> </w:t>
      </w:r>
      <w:r w:rsidR="00622012" w:rsidRPr="00622012">
        <w:rPr>
          <w:rFonts w:ascii="Arial" w:hAnsi="Arial" w:cs="Arial"/>
          <w:i/>
        </w:rPr>
        <w:t>Hamuteta v Ministry of Home Affairs and Immigration</w:t>
      </w:r>
      <w:r w:rsidR="00622012">
        <w:rPr>
          <w:rFonts w:ascii="Arial" w:hAnsi="Arial" w:cs="Arial"/>
        </w:rPr>
        <w:t xml:space="preserve"> HC-MD-LAB-APP-AAA-2019-00072 [202</w:t>
      </w:r>
      <w:r w:rsidR="008521EA">
        <w:rPr>
          <w:rFonts w:ascii="Arial" w:hAnsi="Arial" w:cs="Arial"/>
        </w:rPr>
        <w:t>0</w:t>
      </w:r>
      <w:r w:rsidR="00622012">
        <w:rPr>
          <w:rFonts w:ascii="Arial" w:hAnsi="Arial" w:cs="Arial"/>
        </w:rPr>
        <w:t xml:space="preserve">] NALCMD 37 (30 November 2020), </w:t>
      </w:r>
      <w:r w:rsidR="00622012" w:rsidRPr="00622012">
        <w:rPr>
          <w:rFonts w:ascii="Arial" w:hAnsi="Arial" w:cs="Arial"/>
          <w:i/>
        </w:rPr>
        <w:t>Auas Valley Residents Association v Minister of Environment and Tourism</w:t>
      </w:r>
      <w:r w:rsidR="00622012">
        <w:rPr>
          <w:rFonts w:ascii="Arial" w:hAnsi="Arial" w:cs="Arial"/>
        </w:rPr>
        <w:t xml:space="preserve"> (HC-MD-CIV-APP-ALT-2019/00002 [2020] NAHCMD (7 May 2020).</w:t>
      </w:r>
    </w:p>
  </w:footnote>
  <w:footnote w:id="8">
    <w:p w14:paraId="13A1A357" w14:textId="77777777" w:rsidR="00154232" w:rsidRPr="00622012" w:rsidRDefault="00154232">
      <w:pPr>
        <w:pStyle w:val="FootnoteText"/>
        <w:rPr>
          <w:rFonts w:ascii="Arial" w:hAnsi="Arial" w:cs="Arial"/>
        </w:rPr>
      </w:pPr>
      <w:r w:rsidRPr="00622012">
        <w:rPr>
          <w:rStyle w:val="FootnoteReference"/>
          <w:rFonts w:ascii="Arial" w:hAnsi="Arial" w:cs="Arial"/>
        </w:rPr>
        <w:footnoteRef/>
      </w:r>
      <w:r w:rsidRPr="00622012">
        <w:rPr>
          <w:rFonts w:ascii="Arial" w:hAnsi="Arial" w:cs="Arial"/>
        </w:rPr>
        <w:t xml:space="preserve"> </w:t>
      </w:r>
      <w:r w:rsidR="00622012" w:rsidRPr="00622012">
        <w:rPr>
          <w:rFonts w:ascii="Arial" w:hAnsi="Arial" w:cs="Arial"/>
          <w:i/>
        </w:rPr>
        <w:t xml:space="preserve">Van Schalkwyk v </w:t>
      </w:r>
      <w:r w:rsidR="008521EA" w:rsidRPr="00622012">
        <w:rPr>
          <w:rFonts w:ascii="Arial" w:hAnsi="Arial" w:cs="Arial"/>
          <w:i/>
        </w:rPr>
        <w:t>Van Schalkwyk</w:t>
      </w:r>
      <w:r w:rsidR="00622012" w:rsidRPr="00622012">
        <w:rPr>
          <w:rFonts w:ascii="Arial" w:hAnsi="Arial" w:cs="Arial"/>
          <w:i/>
        </w:rPr>
        <w:t xml:space="preserve"> </w:t>
      </w:r>
      <w:r w:rsidR="00622012">
        <w:rPr>
          <w:rFonts w:ascii="Arial" w:hAnsi="Arial" w:cs="Arial"/>
        </w:rPr>
        <w:t>1947 (4) SA 86 (O) at 95.</w:t>
      </w:r>
    </w:p>
  </w:footnote>
  <w:footnote w:id="9">
    <w:p w14:paraId="3B0402C5" w14:textId="77777777" w:rsidR="00154232" w:rsidRPr="00622012" w:rsidRDefault="00154232">
      <w:pPr>
        <w:pStyle w:val="FootnoteText"/>
        <w:rPr>
          <w:rFonts w:ascii="Arial" w:hAnsi="Arial" w:cs="Arial"/>
        </w:rPr>
      </w:pPr>
      <w:r w:rsidRPr="00622012">
        <w:rPr>
          <w:rStyle w:val="FootnoteReference"/>
          <w:rFonts w:ascii="Arial" w:hAnsi="Arial" w:cs="Arial"/>
        </w:rPr>
        <w:footnoteRef/>
      </w:r>
      <w:r w:rsidRPr="00622012">
        <w:rPr>
          <w:rFonts w:ascii="Arial" w:hAnsi="Arial" w:cs="Arial"/>
        </w:rPr>
        <w:t xml:space="preserve"> </w:t>
      </w:r>
      <w:r w:rsidR="00614423" w:rsidRPr="00614423">
        <w:rPr>
          <w:rFonts w:ascii="Arial" w:hAnsi="Arial" w:cs="Arial"/>
          <w:i/>
        </w:rPr>
        <w:t xml:space="preserve">Government of the Republic of Namibia </w:t>
      </w:r>
      <w:r w:rsidR="005264DB">
        <w:rPr>
          <w:rFonts w:ascii="Arial" w:hAnsi="Arial" w:cs="Arial"/>
          <w:i/>
        </w:rPr>
        <w:t xml:space="preserve">&amp; others </w:t>
      </w:r>
      <w:r w:rsidR="00614423" w:rsidRPr="00614423">
        <w:rPr>
          <w:rFonts w:ascii="Arial" w:hAnsi="Arial" w:cs="Arial"/>
          <w:i/>
        </w:rPr>
        <w:t>v Katjizeu</w:t>
      </w:r>
      <w:r w:rsidR="005264DB">
        <w:rPr>
          <w:rFonts w:ascii="Arial" w:hAnsi="Arial" w:cs="Arial"/>
          <w:i/>
        </w:rPr>
        <w:t xml:space="preserve"> &amp; others</w:t>
      </w:r>
      <w:r w:rsidR="00614423">
        <w:rPr>
          <w:rFonts w:ascii="Arial" w:hAnsi="Arial" w:cs="Arial"/>
        </w:rPr>
        <w:t xml:space="preserve"> 2015 (1) NR 45 (SC) at 54E-G.</w:t>
      </w:r>
    </w:p>
  </w:footnote>
  <w:footnote w:id="10">
    <w:p w14:paraId="23EB18F5" w14:textId="77777777" w:rsidR="00154232" w:rsidRPr="003C10AD" w:rsidRDefault="00154232">
      <w:pPr>
        <w:pStyle w:val="FootnoteText"/>
        <w:rPr>
          <w:rFonts w:ascii="Arial" w:hAnsi="Arial" w:cs="Arial"/>
        </w:rPr>
      </w:pPr>
      <w:r w:rsidRPr="003C10AD">
        <w:rPr>
          <w:rStyle w:val="FootnoteReference"/>
          <w:rFonts w:ascii="Arial" w:hAnsi="Arial" w:cs="Arial"/>
        </w:rPr>
        <w:footnoteRef/>
      </w:r>
      <w:r w:rsidRPr="003C10AD">
        <w:rPr>
          <w:rFonts w:ascii="Arial" w:hAnsi="Arial" w:cs="Arial"/>
        </w:rPr>
        <w:t xml:space="preserve"> </w:t>
      </w:r>
      <w:r w:rsidR="00B6019A">
        <w:rPr>
          <w:rFonts w:ascii="Arial" w:hAnsi="Arial" w:cs="Arial"/>
          <w:i/>
        </w:rPr>
        <w:t>Eke v Parsons</w:t>
      </w:r>
      <w:r w:rsidR="005264DB">
        <w:rPr>
          <w:rFonts w:ascii="Arial" w:hAnsi="Arial" w:cs="Arial"/>
        </w:rPr>
        <w:t xml:space="preserve"> para 29</w:t>
      </w:r>
      <w:r w:rsidR="003C10AD" w:rsidRPr="003C10AD">
        <w:rPr>
          <w:rFonts w:ascii="Arial" w:hAnsi="Arial" w:cs="Arial"/>
        </w:rPr>
        <w:t>.</w:t>
      </w:r>
    </w:p>
  </w:footnote>
  <w:footnote w:id="11">
    <w:p w14:paraId="0D293D3C" w14:textId="77777777" w:rsidR="00154232" w:rsidRPr="00181473" w:rsidRDefault="00154232">
      <w:pPr>
        <w:pStyle w:val="FootnoteText"/>
        <w:rPr>
          <w:rFonts w:ascii="Arial" w:hAnsi="Arial" w:cs="Arial"/>
          <w:i/>
        </w:rPr>
      </w:pPr>
      <w:r w:rsidRPr="003C10AD">
        <w:rPr>
          <w:rStyle w:val="FootnoteReference"/>
          <w:rFonts w:ascii="Arial" w:hAnsi="Arial" w:cs="Arial"/>
        </w:rPr>
        <w:footnoteRef/>
      </w:r>
      <w:r w:rsidRPr="003C10AD">
        <w:rPr>
          <w:rFonts w:ascii="Arial" w:hAnsi="Arial" w:cs="Arial"/>
        </w:rPr>
        <w:t xml:space="preserve"> </w:t>
      </w:r>
      <w:r w:rsidR="00181473">
        <w:rPr>
          <w:rFonts w:ascii="Arial" w:hAnsi="Arial" w:cs="Arial"/>
          <w:i/>
        </w:rPr>
        <w:t>Ibid.</w:t>
      </w:r>
    </w:p>
  </w:footnote>
  <w:footnote w:id="12">
    <w:p w14:paraId="021ECC31" w14:textId="77777777" w:rsidR="00154232" w:rsidRPr="003C10AD" w:rsidRDefault="00154232" w:rsidP="00980C94">
      <w:pPr>
        <w:pStyle w:val="FootnoteText"/>
        <w:jc w:val="both"/>
        <w:rPr>
          <w:rFonts w:ascii="Arial" w:hAnsi="Arial" w:cs="Arial"/>
        </w:rPr>
      </w:pPr>
      <w:r w:rsidRPr="003C10AD">
        <w:rPr>
          <w:rStyle w:val="FootnoteReference"/>
          <w:rFonts w:ascii="Arial" w:hAnsi="Arial" w:cs="Arial"/>
        </w:rPr>
        <w:footnoteRef/>
      </w:r>
      <w:r w:rsidRPr="003C10AD">
        <w:rPr>
          <w:rFonts w:ascii="Arial" w:hAnsi="Arial" w:cs="Arial"/>
        </w:rPr>
        <w:t xml:space="preserve"> </w:t>
      </w:r>
      <w:r w:rsidR="00181473">
        <w:rPr>
          <w:rFonts w:ascii="Arial" w:hAnsi="Arial" w:cs="Arial"/>
          <w:i/>
        </w:rPr>
        <w:t>Ibid</w:t>
      </w:r>
      <w:r w:rsidRPr="003C10AD">
        <w:rPr>
          <w:rFonts w:ascii="Arial" w:hAnsi="Arial" w:cs="Arial"/>
        </w:rPr>
        <w:t xml:space="preserve">. See also </w:t>
      </w:r>
      <w:r w:rsidRPr="003C10AD">
        <w:rPr>
          <w:rFonts w:ascii="Arial" w:hAnsi="Arial" w:cs="Arial"/>
          <w:i/>
        </w:rPr>
        <w:t>Finishing Touch 163</w:t>
      </w:r>
      <w:r w:rsidR="00181473">
        <w:rPr>
          <w:rFonts w:ascii="Arial" w:hAnsi="Arial" w:cs="Arial"/>
          <w:i/>
        </w:rPr>
        <w:t xml:space="preserve"> (Pty) Ltd</w:t>
      </w:r>
      <w:r w:rsidRPr="003C10AD">
        <w:rPr>
          <w:rFonts w:ascii="Arial" w:hAnsi="Arial" w:cs="Arial"/>
          <w:i/>
        </w:rPr>
        <w:t xml:space="preserve"> v BHP Billiton Energy Coal</w:t>
      </w:r>
      <w:r w:rsidRPr="003C10AD">
        <w:rPr>
          <w:rFonts w:ascii="Arial" w:hAnsi="Arial" w:cs="Arial"/>
        </w:rPr>
        <w:t xml:space="preserve"> S</w:t>
      </w:r>
      <w:r w:rsidR="00181473">
        <w:rPr>
          <w:rFonts w:ascii="Arial" w:hAnsi="Arial" w:cs="Arial"/>
        </w:rPr>
        <w:t>o</w:t>
      </w:r>
      <w:r w:rsidR="00AC693D">
        <w:rPr>
          <w:rFonts w:ascii="Arial" w:hAnsi="Arial" w:cs="Arial"/>
        </w:rPr>
        <w:t>u</w:t>
      </w:r>
      <w:r w:rsidR="00181473">
        <w:rPr>
          <w:rFonts w:ascii="Arial" w:hAnsi="Arial" w:cs="Arial"/>
        </w:rPr>
        <w:t>th Africa Ltd &amp; others</w:t>
      </w:r>
      <w:r w:rsidRPr="003C10AD">
        <w:rPr>
          <w:rFonts w:ascii="Arial" w:hAnsi="Arial" w:cs="Arial"/>
        </w:rPr>
        <w:t xml:space="preserve"> 2013 (2) SA 204 (SCA) para 13, </w:t>
      </w:r>
      <w:r w:rsidRPr="003C10AD">
        <w:rPr>
          <w:rFonts w:ascii="Arial" w:hAnsi="Arial" w:cs="Arial"/>
          <w:i/>
        </w:rPr>
        <w:t>Firestone South Africa (Pty) Ltd v Genticuro</w:t>
      </w:r>
      <w:r w:rsidRPr="003C10AD">
        <w:rPr>
          <w:rFonts w:ascii="Arial" w:hAnsi="Arial" w:cs="Arial"/>
        </w:rPr>
        <w:t xml:space="preserve"> AG 1977 (4) SA 298 (A).</w:t>
      </w:r>
    </w:p>
  </w:footnote>
  <w:footnote w:id="13">
    <w:p w14:paraId="728C1969" w14:textId="77777777" w:rsidR="00154232" w:rsidRPr="005C294F" w:rsidRDefault="00154232" w:rsidP="00980C94">
      <w:pPr>
        <w:pStyle w:val="FootnoteText"/>
        <w:jc w:val="both"/>
        <w:rPr>
          <w:rFonts w:ascii="Arial" w:hAnsi="Arial" w:cs="Arial"/>
        </w:rPr>
      </w:pPr>
      <w:r w:rsidRPr="00215D4F">
        <w:rPr>
          <w:rStyle w:val="FootnoteReference"/>
          <w:rFonts w:ascii="Arial" w:hAnsi="Arial" w:cs="Arial"/>
        </w:rPr>
        <w:footnoteRef/>
      </w:r>
      <w:r w:rsidR="00AC693D">
        <w:rPr>
          <w:rFonts w:ascii="Arial" w:hAnsi="Arial" w:cs="Arial"/>
        </w:rPr>
        <w:t xml:space="preserve"> </w:t>
      </w:r>
      <w:r w:rsidR="00470647" w:rsidRPr="00215D4F">
        <w:rPr>
          <w:rFonts w:ascii="Arial" w:hAnsi="Arial" w:cs="Arial"/>
        </w:rPr>
        <w:t xml:space="preserve">See above note </w:t>
      </w:r>
      <w:r w:rsidR="00470647">
        <w:rPr>
          <w:rFonts w:ascii="Arial" w:hAnsi="Arial" w:cs="Arial"/>
        </w:rPr>
        <w:t>5</w:t>
      </w:r>
      <w:r w:rsidR="00470647" w:rsidRPr="00215D4F">
        <w:rPr>
          <w:rFonts w:ascii="Arial" w:hAnsi="Arial" w:cs="Arial"/>
        </w:rPr>
        <w:t xml:space="preserve"> para </w:t>
      </w:r>
      <w:r w:rsidR="00470647" w:rsidRPr="005C294F">
        <w:rPr>
          <w:rFonts w:ascii="Arial" w:hAnsi="Arial" w:cs="Arial"/>
        </w:rPr>
        <w:t>30.</w:t>
      </w:r>
      <w:r w:rsidR="00470647">
        <w:rPr>
          <w:rFonts w:ascii="Arial" w:hAnsi="Arial" w:cs="Arial"/>
        </w:rPr>
        <w:t xml:space="preserve"> See also </w:t>
      </w:r>
      <w:r w:rsidRPr="00215D4F">
        <w:rPr>
          <w:rFonts w:ascii="Arial" w:hAnsi="Arial" w:cs="Arial"/>
          <w:i/>
        </w:rPr>
        <w:t>Engelbrecht &amp; another NNO v S</w:t>
      </w:r>
      <w:r w:rsidR="00707D43" w:rsidRPr="00215D4F">
        <w:rPr>
          <w:rFonts w:ascii="Arial" w:hAnsi="Arial" w:cs="Arial"/>
          <w:i/>
        </w:rPr>
        <w:t>enwes</w:t>
      </w:r>
      <w:r w:rsidRPr="00215D4F">
        <w:rPr>
          <w:rFonts w:ascii="Arial" w:hAnsi="Arial" w:cs="Arial"/>
          <w:i/>
        </w:rPr>
        <w:t xml:space="preserve"> Ltd</w:t>
      </w:r>
      <w:r w:rsidRPr="00215D4F">
        <w:rPr>
          <w:rFonts w:ascii="Arial" w:hAnsi="Arial" w:cs="Arial"/>
        </w:rPr>
        <w:t xml:space="preserve"> 2007 (3) SA 29</w:t>
      </w:r>
      <w:r w:rsidR="00470647">
        <w:rPr>
          <w:rFonts w:ascii="Arial" w:hAnsi="Arial" w:cs="Arial"/>
        </w:rPr>
        <w:t xml:space="preserve"> </w:t>
      </w:r>
      <w:r w:rsidR="00181473">
        <w:rPr>
          <w:rFonts w:ascii="Arial" w:hAnsi="Arial" w:cs="Arial"/>
        </w:rPr>
        <w:t xml:space="preserve">(SCA) </w:t>
      </w:r>
      <w:r w:rsidR="00470647">
        <w:rPr>
          <w:rFonts w:ascii="Arial" w:hAnsi="Arial" w:cs="Arial"/>
        </w:rPr>
        <w:t xml:space="preserve">paras 6 and 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2E33" w14:textId="77777777" w:rsidR="00154232" w:rsidRPr="007D275A" w:rsidRDefault="00154232">
    <w:pPr>
      <w:pStyle w:val="Header"/>
      <w:jc w:val="right"/>
      <w:rPr>
        <w:rFonts w:ascii="Arial" w:hAnsi="Arial" w:cs="Arial"/>
        <w:sz w:val="24"/>
        <w:szCs w:val="24"/>
      </w:rPr>
    </w:pPr>
    <w:r w:rsidRPr="007D275A">
      <w:rPr>
        <w:rFonts w:ascii="Arial" w:hAnsi="Arial" w:cs="Arial"/>
        <w:sz w:val="24"/>
        <w:szCs w:val="24"/>
      </w:rPr>
      <w:fldChar w:fldCharType="begin"/>
    </w:r>
    <w:r w:rsidRPr="007D275A">
      <w:rPr>
        <w:rFonts w:ascii="Arial" w:hAnsi="Arial" w:cs="Arial"/>
        <w:sz w:val="24"/>
        <w:szCs w:val="24"/>
      </w:rPr>
      <w:instrText xml:space="preserve"> PAGE   \* MERGEFORMAT </w:instrText>
    </w:r>
    <w:r w:rsidRPr="007D275A">
      <w:rPr>
        <w:rFonts w:ascii="Arial" w:hAnsi="Arial" w:cs="Arial"/>
        <w:sz w:val="24"/>
        <w:szCs w:val="24"/>
      </w:rPr>
      <w:fldChar w:fldCharType="separate"/>
    </w:r>
    <w:r w:rsidR="000F39A1">
      <w:rPr>
        <w:rFonts w:ascii="Arial" w:hAnsi="Arial" w:cs="Arial"/>
        <w:noProof/>
        <w:sz w:val="24"/>
        <w:szCs w:val="24"/>
      </w:rPr>
      <w:t>31</w:t>
    </w:r>
    <w:r w:rsidRPr="007D275A">
      <w:rPr>
        <w:rFonts w:ascii="Arial" w:hAnsi="Arial" w:cs="Arial"/>
        <w:noProof/>
        <w:sz w:val="24"/>
        <w:szCs w:val="24"/>
      </w:rPr>
      <w:fldChar w:fldCharType="end"/>
    </w:r>
  </w:p>
  <w:p w14:paraId="2EF731E5" w14:textId="77777777" w:rsidR="00154232" w:rsidRDefault="00154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A6B"/>
    <w:multiLevelType w:val="hybridMultilevel"/>
    <w:tmpl w:val="8E002AD4"/>
    <w:lvl w:ilvl="0" w:tplc="BF8AAE5A">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66767"/>
    <w:multiLevelType w:val="hybridMultilevel"/>
    <w:tmpl w:val="691821F8"/>
    <w:lvl w:ilvl="0" w:tplc="1C09000F">
      <w:start w:val="1"/>
      <w:numFmt w:val="decimal"/>
      <w:lvlText w:val="%1."/>
      <w:lvlJc w:val="left"/>
      <w:pPr>
        <w:ind w:left="1425" w:hanging="360"/>
      </w:pPr>
    </w:lvl>
    <w:lvl w:ilvl="1" w:tplc="1C090019" w:tentative="1">
      <w:start w:val="1"/>
      <w:numFmt w:val="lowerLetter"/>
      <w:lvlText w:val="%2."/>
      <w:lvlJc w:val="left"/>
      <w:pPr>
        <w:ind w:left="2145" w:hanging="360"/>
      </w:pPr>
    </w:lvl>
    <w:lvl w:ilvl="2" w:tplc="1C09001B" w:tentative="1">
      <w:start w:val="1"/>
      <w:numFmt w:val="lowerRoman"/>
      <w:lvlText w:val="%3."/>
      <w:lvlJc w:val="right"/>
      <w:pPr>
        <w:ind w:left="2865" w:hanging="180"/>
      </w:pPr>
    </w:lvl>
    <w:lvl w:ilvl="3" w:tplc="1C09000F" w:tentative="1">
      <w:start w:val="1"/>
      <w:numFmt w:val="decimal"/>
      <w:lvlText w:val="%4."/>
      <w:lvlJc w:val="left"/>
      <w:pPr>
        <w:ind w:left="3585" w:hanging="360"/>
      </w:pPr>
    </w:lvl>
    <w:lvl w:ilvl="4" w:tplc="1C090019" w:tentative="1">
      <w:start w:val="1"/>
      <w:numFmt w:val="lowerLetter"/>
      <w:lvlText w:val="%5."/>
      <w:lvlJc w:val="left"/>
      <w:pPr>
        <w:ind w:left="4305" w:hanging="360"/>
      </w:pPr>
    </w:lvl>
    <w:lvl w:ilvl="5" w:tplc="1C09001B" w:tentative="1">
      <w:start w:val="1"/>
      <w:numFmt w:val="lowerRoman"/>
      <w:lvlText w:val="%6."/>
      <w:lvlJc w:val="right"/>
      <w:pPr>
        <w:ind w:left="5025" w:hanging="180"/>
      </w:pPr>
    </w:lvl>
    <w:lvl w:ilvl="6" w:tplc="1C09000F" w:tentative="1">
      <w:start w:val="1"/>
      <w:numFmt w:val="decimal"/>
      <w:lvlText w:val="%7."/>
      <w:lvlJc w:val="left"/>
      <w:pPr>
        <w:ind w:left="5745" w:hanging="360"/>
      </w:pPr>
    </w:lvl>
    <w:lvl w:ilvl="7" w:tplc="1C090019" w:tentative="1">
      <w:start w:val="1"/>
      <w:numFmt w:val="lowerLetter"/>
      <w:lvlText w:val="%8."/>
      <w:lvlJc w:val="left"/>
      <w:pPr>
        <w:ind w:left="6465" w:hanging="360"/>
      </w:pPr>
    </w:lvl>
    <w:lvl w:ilvl="8" w:tplc="1C09001B" w:tentative="1">
      <w:start w:val="1"/>
      <w:numFmt w:val="lowerRoman"/>
      <w:lvlText w:val="%9."/>
      <w:lvlJc w:val="right"/>
      <w:pPr>
        <w:ind w:left="7185" w:hanging="180"/>
      </w:pPr>
    </w:lvl>
  </w:abstractNum>
  <w:abstractNum w:abstractNumId="2" w15:restartNumberingAfterBreak="0">
    <w:nsid w:val="068F3FD4"/>
    <w:multiLevelType w:val="multilevel"/>
    <w:tmpl w:val="D88CF3CA"/>
    <w:lvl w:ilvl="0">
      <w:start w:val="1"/>
      <w:numFmt w:val="decimal"/>
      <w:lvlText w:val="%1."/>
      <w:lvlJc w:val="left"/>
      <w:pPr>
        <w:ind w:left="720" w:hanging="360"/>
      </w:pPr>
    </w:lvl>
    <w:lvl w:ilvl="1">
      <w:start w:val="1"/>
      <w:numFmt w:val="decimal"/>
      <w:isLgl/>
      <w:lvlText w:val="%1.%2"/>
      <w:lvlJc w:val="left"/>
      <w:pPr>
        <w:ind w:left="127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7F62191"/>
    <w:multiLevelType w:val="hybridMultilevel"/>
    <w:tmpl w:val="D15AF782"/>
    <w:lvl w:ilvl="0" w:tplc="5338F6AC">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08927B3F"/>
    <w:multiLevelType w:val="hybridMultilevel"/>
    <w:tmpl w:val="59A6C3CE"/>
    <w:lvl w:ilvl="0" w:tplc="E698EB7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00DB9"/>
    <w:multiLevelType w:val="hybridMultilevel"/>
    <w:tmpl w:val="DB56124E"/>
    <w:lvl w:ilvl="0" w:tplc="200E3D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AEF3515"/>
    <w:multiLevelType w:val="hybridMultilevel"/>
    <w:tmpl w:val="7F88ED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66495"/>
    <w:multiLevelType w:val="hybridMultilevel"/>
    <w:tmpl w:val="05CEF77A"/>
    <w:lvl w:ilvl="0" w:tplc="8F2896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D0621"/>
    <w:multiLevelType w:val="hybridMultilevel"/>
    <w:tmpl w:val="217253D4"/>
    <w:lvl w:ilvl="0" w:tplc="BACE1E84">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15:restartNumberingAfterBreak="0">
    <w:nsid w:val="13E4380F"/>
    <w:multiLevelType w:val="hybridMultilevel"/>
    <w:tmpl w:val="C762A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369C4"/>
    <w:multiLevelType w:val="hybridMultilevel"/>
    <w:tmpl w:val="BC185946"/>
    <w:lvl w:ilvl="0" w:tplc="80A81AE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A6A7B61"/>
    <w:multiLevelType w:val="hybridMultilevel"/>
    <w:tmpl w:val="2DFEA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263C2"/>
    <w:multiLevelType w:val="hybridMultilevel"/>
    <w:tmpl w:val="17D6CC92"/>
    <w:lvl w:ilvl="0" w:tplc="3ECC68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3176A"/>
    <w:multiLevelType w:val="hybridMultilevel"/>
    <w:tmpl w:val="503A5958"/>
    <w:lvl w:ilvl="0" w:tplc="D576C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0C4E2B"/>
    <w:multiLevelType w:val="hybridMultilevel"/>
    <w:tmpl w:val="3370B664"/>
    <w:lvl w:ilvl="0" w:tplc="03D67906">
      <w:start w:val="1"/>
      <w:numFmt w:val="decimal"/>
      <w:lvlText w:val="[%1]"/>
      <w:lvlJc w:val="left"/>
      <w:pPr>
        <w:ind w:left="1800" w:hanging="360"/>
      </w:pPr>
      <w:rPr>
        <w:rFonts w:hint="default"/>
        <w:i w:val="0"/>
      </w:rPr>
    </w:lvl>
    <w:lvl w:ilvl="1" w:tplc="1C090019" w:tentative="1">
      <w:start w:val="1"/>
      <w:numFmt w:val="lowerLetter"/>
      <w:lvlText w:val="%2."/>
      <w:lvlJc w:val="left"/>
      <w:pPr>
        <w:ind w:left="2913" w:hanging="360"/>
      </w:pPr>
    </w:lvl>
    <w:lvl w:ilvl="2" w:tplc="1C09001B" w:tentative="1">
      <w:start w:val="1"/>
      <w:numFmt w:val="lowerRoman"/>
      <w:lvlText w:val="%3."/>
      <w:lvlJc w:val="right"/>
      <w:pPr>
        <w:ind w:left="3633" w:hanging="180"/>
      </w:pPr>
    </w:lvl>
    <w:lvl w:ilvl="3" w:tplc="1C09000F" w:tentative="1">
      <w:start w:val="1"/>
      <w:numFmt w:val="decimal"/>
      <w:lvlText w:val="%4."/>
      <w:lvlJc w:val="left"/>
      <w:pPr>
        <w:ind w:left="4353" w:hanging="360"/>
      </w:pPr>
    </w:lvl>
    <w:lvl w:ilvl="4" w:tplc="1C090019" w:tentative="1">
      <w:start w:val="1"/>
      <w:numFmt w:val="lowerLetter"/>
      <w:lvlText w:val="%5."/>
      <w:lvlJc w:val="left"/>
      <w:pPr>
        <w:ind w:left="5073" w:hanging="360"/>
      </w:pPr>
    </w:lvl>
    <w:lvl w:ilvl="5" w:tplc="1C09001B" w:tentative="1">
      <w:start w:val="1"/>
      <w:numFmt w:val="lowerRoman"/>
      <w:lvlText w:val="%6."/>
      <w:lvlJc w:val="right"/>
      <w:pPr>
        <w:ind w:left="5793" w:hanging="180"/>
      </w:pPr>
    </w:lvl>
    <w:lvl w:ilvl="6" w:tplc="1C09000F" w:tentative="1">
      <w:start w:val="1"/>
      <w:numFmt w:val="decimal"/>
      <w:lvlText w:val="%7."/>
      <w:lvlJc w:val="left"/>
      <w:pPr>
        <w:ind w:left="6513" w:hanging="360"/>
      </w:pPr>
    </w:lvl>
    <w:lvl w:ilvl="7" w:tplc="1C090019" w:tentative="1">
      <w:start w:val="1"/>
      <w:numFmt w:val="lowerLetter"/>
      <w:lvlText w:val="%8."/>
      <w:lvlJc w:val="left"/>
      <w:pPr>
        <w:ind w:left="7233" w:hanging="360"/>
      </w:pPr>
    </w:lvl>
    <w:lvl w:ilvl="8" w:tplc="1C09001B" w:tentative="1">
      <w:start w:val="1"/>
      <w:numFmt w:val="lowerRoman"/>
      <w:lvlText w:val="%9."/>
      <w:lvlJc w:val="right"/>
      <w:pPr>
        <w:ind w:left="7953" w:hanging="180"/>
      </w:pPr>
    </w:lvl>
  </w:abstractNum>
  <w:abstractNum w:abstractNumId="15" w15:restartNumberingAfterBreak="0">
    <w:nsid w:val="243E07B4"/>
    <w:multiLevelType w:val="hybridMultilevel"/>
    <w:tmpl w:val="49A6E802"/>
    <w:lvl w:ilvl="0" w:tplc="343E830E">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24923FD1"/>
    <w:multiLevelType w:val="hybridMultilevel"/>
    <w:tmpl w:val="EADCB6FC"/>
    <w:lvl w:ilvl="0" w:tplc="6AF25F5C">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7" w15:restartNumberingAfterBreak="0">
    <w:nsid w:val="24E810FD"/>
    <w:multiLevelType w:val="hybridMultilevel"/>
    <w:tmpl w:val="060EC80C"/>
    <w:lvl w:ilvl="0" w:tplc="E75EAB8E">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8" w15:restartNumberingAfterBreak="0">
    <w:nsid w:val="25B6620D"/>
    <w:multiLevelType w:val="hybridMultilevel"/>
    <w:tmpl w:val="3BC42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B93DF7"/>
    <w:multiLevelType w:val="hybridMultilevel"/>
    <w:tmpl w:val="9C6ED776"/>
    <w:lvl w:ilvl="0" w:tplc="FF760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323A84"/>
    <w:multiLevelType w:val="hybridMultilevel"/>
    <w:tmpl w:val="786647DA"/>
    <w:lvl w:ilvl="0" w:tplc="11CC0A60">
      <w:start w:val="1"/>
      <w:numFmt w:val="decimal"/>
      <w:lvlText w:val="%1."/>
      <w:lvlJc w:val="left"/>
      <w:pPr>
        <w:ind w:left="1440" w:hanging="735"/>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1" w15:restartNumberingAfterBreak="0">
    <w:nsid w:val="28DA6505"/>
    <w:multiLevelType w:val="hybridMultilevel"/>
    <w:tmpl w:val="B16E4D14"/>
    <w:lvl w:ilvl="0" w:tplc="A202C4B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C514E25"/>
    <w:multiLevelType w:val="hybridMultilevel"/>
    <w:tmpl w:val="2FA09A16"/>
    <w:lvl w:ilvl="0" w:tplc="39827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09169AC"/>
    <w:multiLevelType w:val="hybridMultilevel"/>
    <w:tmpl w:val="73FC1E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2C2761A"/>
    <w:multiLevelType w:val="hybridMultilevel"/>
    <w:tmpl w:val="138E854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3A384132"/>
    <w:multiLevelType w:val="hybridMultilevel"/>
    <w:tmpl w:val="D01656A8"/>
    <w:lvl w:ilvl="0" w:tplc="108646CE">
      <w:start w:val="1"/>
      <w:numFmt w:val="lowerRoman"/>
      <w:lvlText w:val="(%1)"/>
      <w:lvlJc w:val="left"/>
      <w:pPr>
        <w:ind w:left="975" w:hanging="72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6" w15:restartNumberingAfterBreak="0">
    <w:nsid w:val="3D82715F"/>
    <w:multiLevelType w:val="hybridMultilevel"/>
    <w:tmpl w:val="910E5B8C"/>
    <w:lvl w:ilvl="0" w:tplc="8C0896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DF63E2"/>
    <w:multiLevelType w:val="multilevel"/>
    <w:tmpl w:val="41C6CF58"/>
    <w:lvl w:ilvl="0">
      <w:start w:val="24"/>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3862BE0"/>
    <w:multiLevelType w:val="hybridMultilevel"/>
    <w:tmpl w:val="3864CE80"/>
    <w:lvl w:ilvl="0" w:tplc="8654A9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AD739F"/>
    <w:multiLevelType w:val="multilevel"/>
    <w:tmpl w:val="E586E206"/>
    <w:lvl w:ilvl="0">
      <w:start w:val="2"/>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121251E"/>
    <w:multiLevelType w:val="hybridMultilevel"/>
    <w:tmpl w:val="74D4638E"/>
    <w:lvl w:ilvl="0" w:tplc="08EA4C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A943731"/>
    <w:multiLevelType w:val="hybridMultilevel"/>
    <w:tmpl w:val="47AAB09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B31244A"/>
    <w:multiLevelType w:val="hybridMultilevel"/>
    <w:tmpl w:val="E1E4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E045DB"/>
    <w:multiLevelType w:val="hybridMultilevel"/>
    <w:tmpl w:val="5E60E658"/>
    <w:lvl w:ilvl="0" w:tplc="248C7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F45B06"/>
    <w:multiLevelType w:val="hybridMultilevel"/>
    <w:tmpl w:val="C938057A"/>
    <w:lvl w:ilvl="0" w:tplc="856AB18C">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5" w15:restartNumberingAfterBreak="0">
    <w:nsid w:val="6EFA3238"/>
    <w:multiLevelType w:val="multilevel"/>
    <w:tmpl w:val="741A99EC"/>
    <w:lvl w:ilvl="0">
      <w:start w:val="1"/>
      <w:numFmt w:val="decimal"/>
      <w:lvlText w:val="%1."/>
      <w:lvlJc w:val="left"/>
      <w:pPr>
        <w:ind w:left="135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6" w15:restartNumberingAfterBreak="0">
    <w:nsid w:val="732D55EB"/>
    <w:multiLevelType w:val="hybridMultilevel"/>
    <w:tmpl w:val="57ACF03E"/>
    <w:lvl w:ilvl="0" w:tplc="EE2258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551CA7"/>
    <w:multiLevelType w:val="hybridMultilevel"/>
    <w:tmpl w:val="F9C6E2F4"/>
    <w:lvl w:ilvl="0" w:tplc="A3B2657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757A11C9"/>
    <w:multiLevelType w:val="hybridMultilevel"/>
    <w:tmpl w:val="E0000628"/>
    <w:lvl w:ilvl="0" w:tplc="D9C26624">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611870"/>
    <w:multiLevelType w:val="hybridMultilevel"/>
    <w:tmpl w:val="692E604C"/>
    <w:lvl w:ilvl="0" w:tplc="B3B80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DF38D5"/>
    <w:multiLevelType w:val="hybridMultilevel"/>
    <w:tmpl w:val="B9A0C68E"/>
    <w:lvl w:ilvl="0" w:tplc="5338F6AC">
      <w:start w:val="1"/>
      <w:numFmt w:val="lowerRoman"/>
      <w:lvlText w:val="(%1)"/>
      <w:lvlJc w:val="left"/>
      <w:pPr>
        <w:ind w:left="3555" w:hanging="720"/>
      </w:pPr>
      <w:rPr>
        <w:rFonts w:hint="default"/>
      </w:rPr>
    </w:lvl>
    <w:lvl w:ilvl="1" w:tplc="1C090019" w:tentative="1">
      <w:start w:val="1"/>
      <w:numFmt w:val="lowerLetter"/>
      <w:lvlText w:val="%2."/>
      <w:lvlJc w:val="left"/>
      <w:pPr>
        <w:ind w:left="3915" w:hanging="360"/>
      </w:pPr>
    </w:lvl>
    <w:lvl w:ilvl="2" w:tplc="1C09001B" w:tentative="1">
      <w:start w:val="1"/>
      <w:numFmt w:val="lowerRoman"/>
      <w:lvlText w:val="%3."/>
      <w:lvlJc w:val="right"/>
      <w:pPr>
        <w:ind w:left="4635" w:hanging="180"/>
      </w:pPr>
    </w:lvl>
    <w:lvl w:ilvl="3" w:tplc="1C09000F" w:tentative="1">
      <w:start w:val="1"/>
      <w:numFmt w:val="decimal"/>
      <w:lvlText w:val="%4."/>
      <w:lvlJc w:val="left"/>
      <w:pPr>
        <w:ind w:left="5355" w:hanging="360"/>
      </w:pPr>
    </w:lvl>
    <w:lvl w:ilvl="4" w:tplc="1C090019" w:tentative="1">
      <w:start w:val="1"/>
      <w:numFmt w:val="lowerLetter"/>
      <w:lvlText w:val="%5."/>
      <w:lvlJc w:val="left"/>
      <w:pPr>
        <w:ind w:left="6075" w:hanging="360"/>
      </w:pPr>
    </w:lvl>
    <w:lvl w:ilvl="5" w:tplc="1C09001B" w:tentative="1">
      <w:start w:val="1"/>
      <w:numFmt w:val="lowerRoman"/>
      <w:lvlText w:val="%6."/>
      <w:lvlJc w:val="right"/>
      <w:pPr>
        <w:ind w:left="6795" w:hanging="180"/>
      </w:pPr>
    </w:lvl>
    <w:lvl w:ilvl="6" w:tplc="1C09000F" w:tentative="1">
      <w:start w:val="1"/>
      <w:numFmt w:val="decimal"/>
      <w:lvlText w:val="%7."/>
      <w:lvlJc w:val="left"/>
      <w:pPr>
        <w:ind w:left="7515" w:hanging="360"/>
      </w:pPr>
    </w:lvl>
    <w:lvl w:ilvl="7" w:tplc="1C090019" w:tentative="1">
      <w:start w:val="1"/>
      <w:numFmt w:val="lowerLetter"/>
      <w:lvlText w:val="%8."/>
      <w:lvlJc w:val="left"/>
      <w:pPr>
        <w:ind w:left="8235" w:hanging="360"/>
      </w:pPr>
    </w:lvl>
    <w:lvl w:ilvl="8" w:tplc="1C09001B" w:tentative="1">
      <w:start w:val="1"/>
      <w:numFmt w:val="lowerRoman"/>
      <w:lvlText w:val="%9."/>
      <w:lvlJc w:val="right"/>
      <w:pPr>
        <w:ind w:left="8955" w:hanging="180"/>
      </w:pPr>
    </w:lvl>
  </w:abstractNum>
  <w:abstractNum w:abstractNumId="41" w15:restartNumberingAfterBreak="0">
    <w:nsid w:val="7AD9360D"/>
    <w:multiLevelType w:val="hybridMultilevel"/>
    <w:tmpl w:val="6234BA2E"/>
    <w:lvl w:ilvl="0" w:tplc="00B45626">
      <w:start w:val="2"/>
      <w:numFmt w:val="lowerRoman"/>
      <w:lvlText w:val="(%1)"/>
      <w:lvlJc w:val="left"/>
      <w:pPr>
        <w:ind w:left="1418" w:hanging="720"/>
      </w:pPr>
      <w:rPr>
        <w:rFonts w:hint="default"/>
      </w:rPr>
    </w:lvl>
    <w:lvl w:ilvl="1" w:tplc="1C090019" w:tentative="1">
      <w:start w:val="1"/>
      <w:numFmt w:val="lowerLetter"/>
      <w:lvlText w:val="%2."/>
      <w:lvlJc w:val="left"/>
      <w:pPr>
        <w:ind w:left="1778" w:hanging="360"/>
      </w:pPr>
    </w:lvl>
    <w:lvl w:ilvl="2" w:tplc="1C09001B" w:tentative="1">
      <w:start w:val="1"/>
      <w:numFmt w:val="lowerRoman"/>
      <w:lvlText w:val="%3."/>
      <w:lvlJc w:val="right"/>
      <w:pPr>
        <w:ind w:left="2498" w:hanging="180"/>
      </w:pPr>
    </w:lvl>
    <w:lvl w:ilvl="3" w:tplc="1C09000F" w:tentative="1">
      <w:start w:val="1"/>
      <w:numFmt w:val="decimal"/>
      <w:lvlText w:val="%4."/>
      <w:lvlJc w:val="left"/>
      <w:pPr>
        <w:ind w:left="3218" w:hanging="360"/>
      </w:pPr>
    </w:lvl>
    <w:lvl w:ilvl="4" w:tplc="1C090019" w:tentative="1">
      <w:start w:val="1"/>
      <w:numFmt w:val="lowerLetter"/>
      <w:lvlText w:val="%5."/>
      <w:lvlJc w:val="left"/>
      <w:pPr>
        <w:ind w:left="3938" w:hanging="360"/>
      </w:pPr>
    </w:lvl>
    <w:lvl w:ilvl="5" w:tplc="1C09001B" w:tentative="1">
      <w:start w:val="1"/>
      <w:numFmt w:val="lowerRoman"/>
      <w:lvlText w:val="%6."/>
      <w:lvlJc w:val="right"/>
      <w:pPr>
        <w:ind w:left="4658" w:hanging="180"/>
      </w:pPr>
    </w:lvl>
    <w:lvl w:ilvl="6" w:tplc="1C09000F" w:tentative="1">
      <w:start w:val="1"/>
      <w:numFmt w:val="decimal"/>
      <w:lvlText w:val="%7."/>
      <w:lvlJc w:val="left"/>
      <w:pPr>
        <w:ind w:left="5378" w:hanging="360"/>
      </w:pPr>
    </w:lvl>
    <w:lvl w:ilvl="7" w:tplc="1C090019" w:tentative="1">
      <w:start w:val="1"/>
      <w:numFmt w:val="lowerLetter"/>
      <w:lvlText w:val="%8."/>
      <w:lvlJc w:val="left"/>
      <w:pPr>
        <w:ind w:left="6098" w:hanging="360"/>
      </w:pPr>
    </w:lvl>
    <w:lvl w:ilvl="8" w:tplc="1C09001B" w:tentative="1">
      <w:start w:val="1"/>
      <w:numFmt w:val="lowerRoman"/>
      <w:lvlText w:val="%9."/>
      <w:lvlJc w:val="right"/>
      <w:pPr>
        <w:ind w:left="6818" w:hanging="180"/>
      </w:pPr>
    </w:lvl>
  </w:abstractNum>
  <w:abstractNum w:abstractNumId="42" w15:restartNumberingAfterBreak="0">
    <w:nsid w:val="7D1435E3"/>
    <w:multiLevelType w:val="hybridMultilevel"/>
    <w:tmpl w:val="2104EDBC"/>
    <w:lvl w:ilvl="0" w:tplc="F254135C">
      <w:start w:val="2"/>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16cid:durableId="1991277954">
    <w:abstractNumId w:val="32"/>
  </w:num>
  <w:num w:numId="2" w16cid:durableId="769737045">
    <w:abstractNumId w:val="9"/>
  </w:num>
  <w:num w:numId="3" w16cid:durableId="545875141">
    <w:abstractNumId w:val="2"/>
  </w:num>
  <w:num w:numId="4" w16cid:durableId="1039669745">
    <w:abstractNumId w:val="26"/>
  </w:num>
  <w:num w:numId="5" w16cid:durableId="39129979">
    <w:abstractNumId w:val="37"/>
  </w:num>
  <w:num w:numId="6" w16cid:durableId="196354793">
    <w:abstractNumId w:val="25"/>
  </w:num>
  <w:num w:numId="7" w16cid:durableId="2024741456">
    <w:abstractNumId w:val="33"/>
  </w:num>
  <w:num w:numId="8" w16cid:durableId="199363297">
    <w:abstractNumId w:val="8"/>
  </w:num>
  <w:num w:numId="9" w16cid:durableId="481388044">
    <w:abstractNumId w:val="4"/>
  </w:num>
  <w:num w:numId="10" w16cid:durableId="608242768">
    <w:abstractNumId w:val="0"/>
  </w:num>
  <w:num w:numId="11" w16cid:durableId="122579614">
    <w:abstractNumId w:val="7"/>
  </w:num>
  <w:num w:numId="12" w16cid:durableId="1880967020">
    <w:abstractNumId w:val="34"/>
  </w:num>
  <w:num w:numId="13" w16cid:durableId="426776123">
    <w:abstractNumId w:val="11"/>
  </w:num>
  <w:num w:numId="14" w16cid:durableId="865824200">
    <w:abstractNumId w:val="18"/>
  </w:num>
  <w:num w:numId="15" w16cid:durableId="2119255211">
    <w:abstractNumId w:val="13"/>
  </w:num>
  <w:num w:numId="16" w16cid:durableId="814638642">
    <w:abstractNumId w:val="6"/>
  </w:num>
  <w:num w:numId="17" w16cid:durableId="1835755921">
    <w:abstractNumId w:val="15"/>
  </w:num>
  <w:num w:numId="18" w16cid:durableId="2110000878">
    <w:abstractNumId w:val="12"/>
  </w:num>
  <w:num w:numId="19" w16cid:durableId="2070683271">
    <w:abstractNumId w:val="38"/>
  </w:num>
  <w:num w:numId="20" w16cid:durableId="536354771">
    <w:abstractNumId w:val="22"/>
  </w:num>
  <w:num w:numId="21" w16cid:durableId="805048320">
    <w:abstractNumId w:val="21"/>
  </w:num>
  <w:num w:numId="22" w16cid:durableId="1259018392">
    <w:abstractNumId w:val="39"/>
  </w:num>
  <w:num w:numId="23" w16cid:durableId="304044930">
    <w:abstractNumId w:val="5"/>
  </w:num>
  <w:num w:numId="24" w16cid:durableId="268657977">
    <w:abstractNumId w:val="30"/>
  </w:num>
  <w:num w:numId="25" w16cid:durableId="218326367">
    <w:abstractNumId w:val="10"/>
  </w:num>
  <w:num w:numId="26" w16cid:durableId="1541286004">
    <w:abstractNumId w:val="35"/>
  </w:num>
  <w:num w:numId="27" w16cid:durableId="1319186827">
    <w:abstractNumId w:val="36"/>
  </w:num>
  <w:num w:numId="28" w16cid:durableId="1143423621">
    <w:abstractNumId w:val="14"/>
  </w:num>
  <w:num w:numId="29" w16cid:durableId="983201440">
    <w:abstractNumId w:val="24"/>
  </w:num>
  <w:num w:numId="30" w16cid:durableId="2122994086">
    <w:abstractNumId w:val="42"/>
  </w:num>
  <w:num w:numId="31" w16cid:durableId="1652176214">
    <w:abstractNumId w:val="16"/>
  </w:num>
  <w:num w:numId="32" w16cid:durableId="406466503">
    <w:abstractNumId w:val="17"/>
  </w:num>
  <w:num w:numId="33" w16cid:durableId="529027180">
    <w:abstractNumId w:val="40"/>
  </w:num>
  <w:num w:numId="34" w16cid:durableId="1737239050">
    <w:abstractNumId w:val="1"/>
  </w:num>
  <w:num w:numId="35" w16cid:durableId="1991666735">
    <w:abstractNumId w:val="23"/>
  </w:num>
  <w:num w:numId="36" w16cid:durableId="214973244">
    <w:abstractNumId w:val="20"/>
  </w:num>
  <w:num w:numId="37" w16cid:durableId="627710164">
    <w:abstractNumId w:val="3"/>
  </w:num>
  <w:num w:numId="38" w16cid:durableId="2099713063">
    <w:abstractNumId w:val="41"/>
  </w:num>
  <w:num w:numId="39" w16cid:durableId="1583174080">
    <w:abstractNumId w:val="29"/>
  </w:num>
  <w:num w:numId="40" w16cid:durableId="741028868">
    <w:abstractNumId w:val="27"/>
  </w:num>
  <w:num w:numId="41" w16cid:durableId="1790394749">
    <w:abstractNumId w:val="19"/>
  </w:num>
  <w:num w:numId="42" w16cid:durableId="1333533348">
    <w:abstractNumId w:val="28"/>
  </w:num>
  <w:num w:numId="43" w16cid:durableId="157708269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712"/>
    <w:rsid w:val="000050DF"/>
    <w:rsid w:val="000056DD"/>
    <w:rsid w:val="00012D8E"/>
    <w:rsid w:val="00012F9A"/>
    <w:rsid w:val="000151D2"/>
    <w:rsid w:val="00017D09"/>
    <w:rsid w:val="000203EA"/>
    <w:rsid w:val="00030D4C"/>
    <w:rsid w:val="000335A8"/>
    <w:rsid w:val="000443B4"/>
    <w:rsid w:val="00054CA1"/>
    <w:rsid w:val="00055D77"/>
    <w:rsid w:val="00060424"/>
    <w:rsid w:val="00065103"/>
    <w:rsid w:val="00065B89"/>
    <w:rsid w:val="00071968"/>
    <w:rsid w:val="00072413"/>
    <w:rsid w:val="00077C37"/>
    <w:rsid w:val="0008788C"/>
    <w:rsid w:val="000908B3"/>
    <w:rsid w:val="000950EE"/>
    <w:rsid w:val="000A6107"/>
    <w:rsid w:val="000B54B4"/>
    <w:rsid w:val="000B648D"/>
    <w:rsid w:val="000C074D"/>
    <w:rsid w:val="000C0F76"/>
    <w:rsid w:val="000C2B11"/>
    <w:rsid w:val="000C319E"/>
    <w:rsid w:val="000C4ED6"/>
    <w:rsid w:val="000C5A04"/>
    <w:rsid w:val="000C705B"/>
    <w:rsid w:val="000D51B3"/>
    <w:rsid w:val="000D6360"/>
    <w:rsid w:val="000E0574"/>
    <w:rsid w:val="000E06A7"/>
    <w:rsid w:val="000E493D"/>
    <w:rsid w:val="000E6C15"/>
    <w:rsid w:val="000F0436"/>
    <w:rsid w:val="000F1E04"/>
    <w:rsid w:val="000F39A1"/>
    <w:rsid w:val="000F5E3D"/>
    <w:rsid w:val="000F5E43"/>
    <w:rsid w:val="00101162"/>
    <w:rsid w:val="001015D5"/>
    <w:rsid w:val="00114718"/>
    <w:rsid w:val="00116BEE"/>
    <w:rsid w:val="00123AF3"/>
    <w:rsid w:val="001244BA"/>
    <w:rsid w:val="0013440A"/>
    <w:rsid w:val="0013493D"/>
    <w:rsid w:val="00135D84"/>
    <w:rsid w:val="00136208"/>
    <w:rsid w:val="00140AFD"/>
    <w:rsid w:val="00154232"/>
    <w:rsid w:val="00154629"/>
    <w:rsid w:val="0015567B"/>
    <w:rsid w:val="00161A57"/>
    <w:rsid w:val="001644ED"/>
    <w:rsid w:val="001646E3"/>
    <w:rsid w:val="00166C42"/>
    <w:rsid w:val="0017110F"/>
    <w:rsid w:val="00171EA7"/>
    <w:rsid w:val="00172435"/>
    <w:rsid w:val="0017295B"/>
    <w:rsid w:val="001738E6"/>
    <w:rsid w:val="00174781"/>
    <w:rsid w:val="00177803"/>
    <w:rsid w:val="00181473"/>
    <w:rsid w:val="0019122B"/>
    <w:rsid w:val="00191A8B"/>
    <w:rsid w:val="00195AA8"/>
    <w:rsid w:val="001973B0"/>
    <w:rsid w:val="001973F0"/>
    <w:rsid w:val="001A1D13"/>
    <w:rsid w:val="001A35C8"/>
    <w:rsid w:val="001A46D4"/>
    <w:rsid w:val="001A6DE8"/>
    <w:rsid w:val="001A77BC"/>
    <w:rsid w:val="001B2CEB"/>
    <w:rsid w:val="001B38F6"/>
    <w:rsid w:val="001C5EF1"/>
    <w:rsid w:val="001D0702"/>
    <w:rsid w:val="001D35DD"/>
    <w:rsid w:val="001D4B4C"/>
    <w:rsid w:val="001D641E"/>
    <w:rsid w:val="001D7A7E"/>
    <w:rsid w:val="001E0ABD"/>
    <w:rsid w:val="001E2873"/>
    <w:rsid w:val="001E4864"/>
    <w:rsid w:val="001E4978"/>
    <w:rsid w:val="001F4247"/>
    <w:rsid w:val="00202E8B"/>
    <w:rsid w:val="00206785"/>
    <w:rsid w:val="0021229D"/>
    <w:rsid w:val="00212E8B"/>
    <w:rsid w:val="0021494B"/>
    <w:rsid w:val="00215D4F"/>
    <w:rsid w:val="00222709"/>
    <w:rsid w:val="00225E79"/>
    <w:rsid w:val="00232AF8"/>
    <w:rsid w:val="00233593"/>
    <w:rsid w:val="00234EC1"/>
    <w:rsid w:val="002474E1"/>
    <w:rsid w:val="00250D0E"/>
    <w:rsid w:val="0025125F"/>
    <w:rsid w:val="0025209F"/>
    <w:rsid w:val="00255089"/>
    <w:rsid w:val="002553B5"/>
    <w:rsid w:val="0026172A"/>
    <w:rsid w:val="00261D26"/>
    <w:rsid w:val="0026498E"/>
    <w:rsid w:val="00265AC1"/>
    <w:rsid w:val="00265B49"/>
    <w:rsid w:val="00267962"/>
    <w:rsid w:val="00267E61"/>
    <w:rsid w:val="00270527"/>
    <w:rsid w:val="00270C55"/>
    <w:rsid w:val="0027322F"/>
    <w:rsid w:val="00275892"/>
    <w:rsid w:val="0027621D"/>
    <w:rsid w:val="0028553D"/>
    <w:rsid w:val="002907E6"/>
    <w:rsid w:val="00293ACC"/>
    <w:rsid w:val="002C04BD"/>
    <w:rsid w:val="002C1FC2"/>
    <w:rsid w:val="002C3677"/>
    <w:rsid w:val="002C4248"/>
    <w:rsid w:val="002C50CA"/>
    <w:rsid w:val="002D0560"/>
    <w:rsid w:val="002D2B44"/>
    <w:rsid w:val="002E456A"/>
    <w:rsid w:val="002E5345"/>
    <w:rsid w:val="002F08F0"/>
    <w:rsid w:val="002F3C81"/>
    <w:rsid w:val="002F3FB6"/>
    <w:rsid w:val="002F7D3A"/>
    <w:rsid w:val="00301690"/>
    <w:rsid w:val="00301DEC"/>
    <w:rsid w:val="003114FE"/>
    <w:rsid w:val="00312D39"/>
    <w:rsid w:val="00317D01"/>
    <w:rsid w:val="003243BC"/>
    <w:rsid w:val="00324C23"/>
    <w:rsid w:val="00330168"/>
    <w:rsid w:val="003301DB"/>
    <w:rsid w:val="00335379"/>
    <w:rsid w:val="00335797"/>
    <w:rsid w:val="003401D3"/>
    <w:rsid w:val="00345847"/>
    <w:rsid w:val="00353A17"/>
    <w:rsid w:val="0035463F"/>
    <w:rsid w:val="003555C6"/>
    <w:rsid w:val="00360A85"/>
    <w:rsid w:val="0036696C"/>
    <w:rsid w:val="00366A5D"/>
    <w:rsid w:val="00371205"/>
    <w:rsid w:val="00373334"/>
    <w:rsid w:val="0038409F"/>
    <w:rsid w:val="00390931"/>
    <w:rsid w:val="00395F8D"/>
    <w:rsid w:val="0039733A"/>
    <w:rsid w:val="003A0BBD"/>
    <w:rsid w:val="003A28E3"/>
    <w:rsid w:val="003A292A"/>
    <w:rsid w:val="003A2D54"/>
    <w:rsid w:val="003A4A50"/>
    <w:rsid w:val="003A63BD"/>
    <w:rsid w:val="003B061F"/>
    <w:rsid w:val="003B306C"/>
    <w:rsid w:val="003B45FF"/>
    <w:rsid w:val="003B461B"/>
    <w:rsid w:val="003C10AD"/>
    <w:rsid w:val="003C3002"/>
    <w:rsid w:val="003D7C0A"/>
    <w:rsid w:val="003E1123"/>
    <w:rsid w:val="003E3379"/>
    <w:rsid w:val="003E3D9A"/>
    <w:rsid w:val="003E52E0"/>
    <w:rsid w:val="003F5C5F"/>
    <w:rsid w:val="00402032"/>
    <w:rsid w:val="004026E8"/>
    <w:rsid w:val="004032A5"/>
    <w:rsid w:val="00406B4C"/>
    <w:rsid w:val="00410198"/>
    <w:rsid w:val="0041472C"/>
    <w:rsid w:val="0041555E"/>
    <w:rsid w:val="00416416"/>
    <w:rsid w:val="004169A7"/>
    <w:rsid w:val="00420A3B"/>
    <w:rsid w:val="00421449"/>
    <w:rsid w:val="00421BB0"/>
    <w:rsid w:val="00423B4F"/>
    <w:rsid w:val="0042765C"/>
    <w:rsid w:val="00427BC7"/>
    <w:rsid w:val="00430CF7"/>
    <w:rsid w:val="004314E6"/>
    <w:rsid w:val="00431C6D"/>
    <w:rsid w:val="0043332A"/>
    <w:rsid w:val="0043404C"/>
    <w:rsid w:val="004420CF"/>
    <w:rsid w:val="00442743"/>
    <w:rsid w:val="0044373E"/>
    <w:rsid w:val="00445F0E"/>
    <w:rsid w:val="00446464"/>
    <w:rsid w:val="0045561C"/>
    <w:rsid w:val="00455681"/>
    <w:rsid w:val="0045728B"/>
    <w:rsid w:val="00462FE0"/>
    <w:rsid w:val="004643E5"/>
    <w:rsid w:val="00465752"/>
    <w:rsid w:val="00465EAB"/>
    <w:rsid w:val="00466472"/>
    <w:rsid w:val="00470647"/>
    <w:rsid w:val="00471F7E"/>
    <w:rsid w:val="00480323"/>
    <w:rsid w:val="00486796"/>
    <w:rsid w:val="00490D0C"/>
    <w:rsid w:val="00491BF8"/>
    <w:rsid w:val="004924ED"/>
    <w:rsid w:val="004A1A41"/>
    <w:rsid w:val="004A4629"/>
    <w:rsid w:val="004A686F"/>
    <w:rsid w:val="004A68B6"/>
    <w:rsid w:val="004C4137"/>
    <w:rsid w:val="004C7CBC"/>
    <w:rsid w:val="004D08DA"/>
    <w:rsid w:val="004D0ADA"/>
    <w:rsid w:val="004D2D9E"/>
    <w:rsid w:val="004E0141"/>
    <w:rsid w:val="004E1D79"/>
    <w:rsid w:val="004E4059"/>
    <w:rsid w:val="004E797E"/>
    <w:rsid w:val="004E7D39"/>
    <w:rsid w:val="004F13E8"/>
    <w:rsid w:val="004F4659"/>
    <w:rsid w:val="004F602A"/>
    <w:rsid w:val="004F66F0"/>
    <w:rsid w:val="00500CF6"/>
    <w:rsid w:val="00506610"/>
    <w:rsid w:val="00514A73"/>
    <w:rsid w:val="00514B86"/>
    <w:rsid w:val="00517AEC"/>
    <w:rsid w:val="00520828"/>
    <w:rsid w:val="00520A5E"/>
    <w:rsid w:val="005259DF"/>
    <w:rsid w:val="005264DB"/>
    <w:rsid w:val="00530D38"/>
    <w:rsid w:val="00531CFE"/>
    <w:rsid w:val="00532772"/>
    <w:rsid w:val="00534008"/>
    <w:rsid w:val="00536E3F"/>
    <w:rsid w:val="005450C4"/>
    <w:rsid w:val="00556530"/>
    <w:rsid w:val="00557B1F"/>
    <w:rsid w:val="00562DAF"/>
    <w:rsid w:val="00564690"/>
    <w:rsid w:val="00564AA1"/>
    <w:rsid w:val="00570D57"/>
    <w:rsid w:val="00570D69"/>
    <w:rsid w:val="00573B8D"/>
    <w:rsid w:val="00574A74"/>
    <w:rsid w:val="005807E4"/>
    <w:rsid w:val="00582912"/>
    <w:rsid w:val="00585667"/>
    <w:rsid w:val="0058633C"/>
    <w:rsid w:val="00594B41"/>
    <w:rsid w:val="005A08B9"/>
    <w:rsid w:val="005A3C44"/>
    <w:rsid w:val="005A43F0"/>
    <w:rsid w:val="005A7EB6"/>
    <w:rsid w:val="005B1FB0"/>
    <w:rsid w:val="005B3865"/>
    <w:rsid w:val="005B4210"/>
    <w:rsid w:val="005B4527"/>
    <w:rsid w:val="005B5141"/>
    <w:rsid w:val="005B680A"/>
    <w:rsid w:val="005C2370"/>
    <w:rsid w:val="005C294F"/>
    <w:rsid w:val="005C5860"/>
    <w:rsid w:val="005C6E3F"/>
    <w:rsid w:val="005D3F48"/>
    <w:rsid w:val="005D5D82"/>
    <w:rsid w:val="005D6041"/>
    <w:rsid w:val="005D68F4"/>
    <w:rsid w:val="005E28B4"/>
    <w:rsid w:val="005E30D5"/>
    <w:rsid w:val="005E3BDD"/>
    <w:rsid w:val="005E5164"/>
    <w:rsid w:val="005F0241"/>
    <w:rsid w:val="005F6976"/>
    <w:rsid w:val="006001C9"/>
    <w:rsid w:val="0060091A"/>
    <w:rsid w:val="00604BAC"/>
    <w:rsid w:val="00607B89"/>
    <w:rsid w:val="006136BD"/>
    <w:rsid w:val="00614423"/>
    <w:rsid w:val="00614983"/>
    <w:rsid w:val="00616C24"/>
    <w:rsid w:val="00622012"/>
    <w:rsid w:val="00623669"/>
    <w:rsid w:val="00636B02"/>
    <w:rsid w:val="006373D0"/>
    <w:rsid w:val="006404C1"/>
    <w:rsid w:val="006423F6"/>
    <w:rsid w:val="006506DE"/>
    <w:rsid w:val="006545D0"/>
    <w:rsid w:val="00655606"/>
    <w:rsid w:val="00671A08"/>
    <w:rsid w:val="00672DC9"/>
    <w:rsid w:val="006762D5"/>
    <w:rsid w:val="00677512"/>
    <w:rsid w:val="006826B1"/>
    <w:rsid w:val="00683B35"/>
    <w:rsid w:val="00687B8D"/>
    <w:rsid w:val="00690143"/>
    <w:rsid w:val="006964BD"/>
    <w:rsid w:val="00697DF4"/>
    <w:rsid w:val="006C3CEC"/>
    <w:rsid w:val="006C6D3F"/>
    <w:rsid w:val="006D1583"/>
    <w:rsid w:val="006D2E2E"/>
    <w:rsid w:val="006D3968"/>
    <w:rsid w:val="006D6870"/>
    <w:rsid w:val="006E0FA1"/>
    <w:rsid w:val="006E116F"/>
    <w:rsid w:val="006E22C9"/>
    <w:rsid w:val="006E7C7E"/>
    <w:rsid w:val="006F2401"/>
    <w:rsid w:val="006F3114"/>
    <w:rsid w:val="006F3164"/>
    <w:rsid w:val="006F359F"/>
    <w:rsid w:val="006F4D06"/>
    <w:rsid w:val="006F7CA3"/>
    <w:rsid w:val="0070074D"/>
    <w:rsid w:val="007008DD"/>
    <w:rsid w:val="007039B2"/>
    <w:rsid w:val="00705BBA"/>
    <w:rsid w:val="00707D43"/>
    <w:rsid w:val="00714A3E"/>
    <w:rsid w:val="00737051"/>
    <w:rsid w:val="0073788F"/>
    <w:rsid w:val="00737E53"/>
    <w:rsid w:val="0074091C"/>
    <w:rsid w:val="00740B8A"/>
    <w:rsid w:val="007417B9"/>
    <w:rsid w:val="0074364A"/>
    <w:rsid w:val="00747452"/>
    <w:rsid w:val="00747494"/>
    <w:rsid w:val="00750CE9"/>
    <w:rsid w:val="00753705"/>
    <w:rsid w:val="007544E9"/>
    <w:rsid w:val="00756B3C"/>
    <w:rsid w:val="00760A86"/>
    <w:rsid w:val="00762595"/>
    <w:rsid w:val="007635BC"/>
    <w:rsid w:val="00766C13"/>
    <w:rsid w:val="0076702F"/>
    <w:rsid w:val="007718F3"/>
    <w:rsid w:val="00774B96"/>
    <w:rsid w:val="007815F8"/>
    <w:rsid w:val="00781DCE"/>
    <w:rsid w:val="00782B8E"/>
    <w:rsid w:val="00787637"/>
    <w:rsid w:val="00794440"/>
    <w:rsid w:val="007946AA"/>
    <w:rsid w:val="00797F4E"/>
    <w:rsid w:val="007A19F8"/>
    <w:rsid w:val="007A75FD"/>
    <w:rsid w:val="007B29D2"/>
    <w:rsid w:val="007B35CE"/>
    <w:rsid w:val="007B3E4F"/>
    <w:rsid w:val="007B6882"/>
    <w:rsid w:val="007C1832"/>
    <w:rsid w:val="007C6D0C"/>
    <w:rsid w:val="007D14AC"/>
    <w:rsid w:val="007D275A"/>
    <w:rsid w:val="007D46E3"/>
    <w:rsid w:val="007D6AFF"/>
    <w:rsid w:val="007E0FA9"/>
    <w:rsid w:val="007E1992"/>
    <w:rsid w:val="007F571B"/>
    <w:rsid w:val="007F594E"/>
    <w:rsid w:val="007F6E96"/>
    <w:rsid w:val="007F737D"/>
    <w:rsid w:val="008015C3"/>
    <w:rsid w:val="0080196B"/>
    <w:rsid w:val="0080731A"/>
    <w:rsid w:val="00810317"/>
    <w:rsid w:val="00813FFF"/>
    <w:rsid w:val="00814BD5"/>
    <w:rsid w:val="008168DF"/>
    <w:rsid w:val="00816C7C"/>
    <w:rsid w:val="00820C53"/>
    <w:rsid w:val="0082146A"/>
    <w:rsid w:val="00822C36"/>
    <w:rsid w:val="008307F0"/>
    <w:rsid w:val="00831D8F"/>
    <w:rsid w:val="00833C14"/>
    <w:rsid w:val="00840C58"/>
    <w:rsid w:val="00850843"/>
    <w:rsid w:val="008521EA"/>
    <w:rsid w:val="008543D6"/>
    <w:rsid w:val="00861369"/>
    <w:rsid w:val="0086345B"/>
    <w:rsid w:val="008653DA"/>
    <w:rsid w:val="00871918"/>
    <w:rsid w:val="0087504D"/>
    <w:rsid w:val="00882821"/>
    <w:rsid w:val="00884583"/>
    <w:rsid w:val="0088462B"/>
    <w:rsid w:val="00884740"/>
    <w:rsid w:val="00890402"/>
    <w:rsid w:val="008A4115"/>
    <w:rsid w:val="008A51FB"/>
    <w:rsid w:val="008B0909"/>
    <w:rsid w:val="008C31B3"/>
    <w:rsid w:val="008C4C1D"/>
    <w:rsid w:val="008C5045"/>
    <w:rsid w:val="008C654D"/>
    <w:rsid w:val="008C680E"/>
    <w:rsid w:val="008D14F7"/>
    <w:rsid w:val="008D6B55"/>
    <w:rsid w:val="008D6CE9"/>
    <w:rsid w:val="008D7AE9"/>
    <w:rsid w:val="008E7FF9"/>
    <w:rsid w:val="008F204B"/>
    <w:rsid w:val="008F22A3"/>
    <w:rsid w:val="008F276B"/>
    <w:rsid w:val="008F598B"/>
    <w:rsid w:val="008F6F82"/>
    <w:rsid w:val="0090365D"/>
    <w:rsid w:val="0091440B"/>
    <w:rsid w:val="009173BB"/>
    <w:rsid w:val="009177A0"/>
    <w:rsid w:val="00935DA8"/>
    <w:rsid w:val="00936D44"/>
    <w:rsid w:val="00943CCD"/>
    <w:rsid w:val="009444FB"/>
    <w:rsid w:val="00947A48"/>
    <w:rsid w:val="00951146"/>
    <w:rsid w:val="00955B59"/>
    <w:rsid w:val="00956B81"/>
    <w:rsid w:val="00957E6F"/>
    <w:rsid w:val="009653F8"/>
    <w:rsid w:val="009672D4"/>
    <w:rsid w:val="00967F66"/>
    <w:rsid w:val="00970B6B"/>
    <w:rsid w:val="00971F56"/>
    <w:rsid w:val="00975E1C"/>
    <w:rsid w:val="00980C94"/>
    <w:rsid w:val="009811CF"/>
    <w:rsid w:val="00986FBE"/>
    <w:rsid w:val="009900E7"/>
    <w:rsid w:val="009905D2"/>
    <w:rsid w:val="00991667"/>
    <w:rsid w:val="00992CD7"/>
    <w:rsid w:val="009943FD"/>
    <w:rsid w:val="00994872"/>
    <w:rsid w:val="00994D07"/>
    <w:rsid w:val="00997143"/>
    <w:rsid w:val="009A2E1E"/>
    <w:rsid w:val="009A39AC"/>
    <w:rsid w:val="009B0523"/>
    <w:rsid w:val="009C07E3"/>
    <w:rsid w:val="009C11DC"/>
    <w:rsid w:val="009C1E4F"/>
    <w:rsid w:val="009C2BE2"/>
    <w:rsid w:val="009C2CB0"/>
    <w:rsid w:val="009C386D"/>
    <w:rsid w:val="009D3434"/>
    <w:rsid w:val="009D6BF9"/>
    <w:rsid w:val="009E6EA7"/>
    <w:rsid w:val="009E70DD"/>
    <w:rsid w:val="009F01C7"/>
    <w:rsid w:val="009F0204"/>
    <w:rsid w:val="00A030FF"/>
    <w:rsid w:val="00A04AD1"/>
    <w:rsid w:val="00A152C2"/>
    <w:rsid w:val="00A24AF1"/>
    <w:rsid w:val="00A3295D"/>
    <w:rsid w:val="00A33365"/>
    <w:rsid w:val="00A35967"/>
    <w:rsid w:val="00A400B5"/>
    <w:rsid w:val="00A42646"/>
    <w:rsid w:val="00A43B45"/>
    <w:rsid w:val="00A43C74"/>
    <w:rsid w:val="00A4495A"/>
    <w:rsid w:val="00A44BA9"/>
    <w:rsid w:val="00A44E78"/>
    <w:rsid w:val="00A455D2"/>
    <w:rsid w:val="00A460B4"/>
    <w:rsid w:val="00A53FB4"/>
    <w:rsid w:val="00A5583D"/>
    <w:rsid w:val="00A613EA"/>
    <w:rsid w:val="00A63189"/>
    <w:rsid w:val="00A66293"/>
    <w:rsid w:val="00A66C20"/>
    <w:rsid w:val="00A7280E"/>
    <w:rsid w:val="00A7350E"/>
    <w:rsid w:val="00A817EC"/>
    <w:rsid w:val="00A8292B"/>
    <w:rsid w:val="00A83C06"/>
    <w:rsid w:val="00A858E6"/>
    <w:rsid w:val="00A920DA"/>
    <w:rsid w:val="00A9267E"/>
    <w:rsid w:val="00A92859"/>
    <w:rsid w:val="00A94C08"/>
    <w:rsid w:val="00A9586C"/>
    <w:rsid w:val="00A95AA3"/>
    <w:rsid w:val="00AA1DEF"/>
    <w:rsid w:val="00AA7348"/>
    <w:rsid w:val="00AA7F1B"/>
    <w:rsid w:val="00AB42A1"/>
    <w:rsid w:val="00AB5115"/>
    <w:rsid w:val="00AC3E30"/>
    <w:rsid w:val="00AC693D"/>
    <w:rsid w:val="00AC6A9B"/>
    <w:rsid w:val="00AD0947"/>
    <w:rsid w:val="00AD2219"/>
    <w:rsid w:val="00AD5720"/>
    <w:rsid w:val="00AD5A8B"/>
    <w:rsid w:val="00AD6AEF"/>
    <w:rsid w:val="00AE71C2"/>
    <w:rsid w:val="00AF6921"/>
    <w:rsid w:val="00B05DBA"/>
    <w:rsid w:val="00B07399"/>
    <w:rsid w:val="00B07C7A"/>
    <w:rsid w:val="00B11039"/>
    <w:rsid w:val="00B1135A"/>
    <w:rsid w:val="00B14237"/>
    <w:rsid w:val="00B22D89"/>
    <w:rsid w:val="00B22F37"/>
    <w:rsid w:val="00B26106"/>
    <w:rsid w:val="00B266CC"/>
    <w:rsid w:val="00B27395"/>
    <w:rsid w:val="00B31609"/>
    <w:rsid w:val="00B32D84"/>
    <w:rsid w:val="00B33182"/>
    <w:rsid w:val="00B33EAF"/>
    <w:rsid w:val="00B34948"/>
    <w:rsid w:val="00B4276E"/>
    <w:rsid w:val="00B44B69"/>
    <w:rsid w:val="00B466C2"/>
    <w:rsid w:val="00B538A6"/>
    <w:rsid w:val="00B6019A"/>
    <w:rsid w:val="00B63973"/>
    <w:rsid w:val="00B6794C"/>
    <w:rsid w:val="00B67E26"/>
    <w:rsid w:val="00B7409A"/>
    <w:rsid w:val="00B76B8F"/>
    <w:rsid w:val="00B77F9B"/>
    <w:rsid w:val="00B80ECC"/>
    <w:rsid w:val="00B85DB2"/>
    <w:rsid w:val="00B869DA"/>
    <w:rsid w:val="00B94AA7"/>
    <w:rsid w:val="00BA2238"/>
    <w:rsid w:val="00BA33EB"/>
    <w:rsid w:val="00BA52DD"/>
    <w:rsid w:val="00BB1B5D"/>
    <w:rsid w:val="00BB74BA"/>
    <w:rsid w:val="00BB7DCD"/>
    <w:rsid w:val="00BC420D"/>
    <w:rsid w:val="00BD18D4"/>
    <w:rsid w:val="00BD2D2F"/>
    <w:rsid w:val="00BD5547"/>
    <w:rsid w:val="00BD6C32"/>
    <w:rsid w:val="00BD7C87"/>
    <w:rsid w:val="00BE271A"/>
    <w:rsid w:val="00BE3B16"/>
    <w:rsid w:val="00BE3E73"/>
    <w:rsid w:val="00BE5221"/>
    <w:rsid w:val="00BF1BEE"/>
    <w:rsid w:val="00BF3060"/>
    <w:rsid w:val="00BF481F"/>
    <w:rsid w:val="00BF587A"/>
    <w:rsid w:val="00BF71A8"/>
    <w:rsid w:val="00C03AC8"/>
    <w:rsid w:val="00C06A6C"/>
    <w:rsid w:val="00C120AE"/>
    <w:rsid w:val="00C13593"/>
    <w:rsid w:val="00C13FBD"/>
    <w:rsid w:val="00C151E1"/>
    <w:rsid w:val="00C15C9D"/>
    <w:rsid w:val="00C167C8"/>
    <w:rsid w:val="00C16CD1"/>
    <w:rsid w:val="00C210C7"/>
    <w:rsid w:val="00C219D4"/>
    <w:rsid w:val="00C23D00"/>
    <w:rsid w:val="00C272A8"/>
    <w:rsid w:val="00C455CC"/>
    <w:rsid w:val="00C46168"/>
    <w:rsid w:val="00C4694F"/>
    <w:rsid w:val="00C50848"/>
    <w:rsid w:val="00C55060"/>
    <w:rsid w:val="00C5570B"/>
    <w:rsid w:val="00C57E2D"/>
    <w:rsid w:val="00C57F0A"/>
    <w:rsid w:val="00C648E9"/>
    <w:rsid w:val="00C720E7"/>
    <w:rsid w:val="00C75400"/>
    <w:rsid w:val="00C822E1"/>
    <w:rsid w:val="00C83142"/>
    <w:rsid w:val="00C8728C"/>
    <w:rsid w:val="00C90B7B"/>
    <w:rsid w:val="00C92C8B"/>
    <w:rsid w:val="00C92F68"/>
    <w:rsid w:val="00C94565"/>
    <w:rsid w:val="00C9778B"/>
    <w:rsid w:val="00C97E9D"/>
    <w:rsid w:val="00CA3953"/>
    <w:rsid w:val="00CA4248"/>
    <w:rsid w:val="00CB0991"/>
    <w:rsid w:val="00CC4A57"/>
    <w:rsid w:val="00CD0013"/>
    <w:rsid w:val="00CD0297"/>
    <w:rsid w:val="00CD1578"/>
    <w:rsid w:val="00CD3009"/>
    <w:rsid w:val="00CE1A05"/>
    <w:rsid w:val="00CE56C4"/>
    <w:rsid w:val="00CF70CA"/>
    <w:rsid w:val="00CF7969"/>
    <w:rsid w:val="00D0303F"/>
    <w:rsid w:val="00D033C2"/>
    <w:rsid w:val="00D03CC8"/>
    <w:rsid w:val="00D0579D"/>
    <w:rsid w:val="00D127FC"/>
    <w:rsid w:val="00D13378"/>
    <w:rsid w:val="00D17327"/>
    <w:rsid w:val="00D21C3F"/>
    <w:rsid w:val="00D21E6C"/>
    <w:rsid w:val="00D22B57"/>
    <w:rsid w:val="00D22F0C"/>
    <w:rsid w:val="00D23871"/>
    <w:rsid w:val="00D24512"/>
    <w:rsid w:val="00D309CF"/>
    <w:rsid w:val="00D36262"/>
    <w:rsid w:val="00D42933"/>
    <w:rsid w:val="00D4343C"/>
    <w:rsid w:val="00D43CE4"/>
    <w:rsid w:val="00D46C30"/>
    <w:rsid w:val="00D47D46"/>
    <w:rsid w:val="00D51C6C"/>
    <w:rsid w:val="00D5334C"/>
    <w:rsid w:val="00D53799"/>
    <w:rsid w:val="00D53806"/>
    <w:rsid w:val="00D539A6"/>
    <w:rsid w:val="00D558AE"/>
    <w:rsid w:val="00D612BC"/>
    <w:rsid w:val="00D62B0B"/>
    <w:rsid w:val="00D7249C"/>
    <w:rsid w:val="00D73C33"/>
    <w:rsid w:val="00D75F0D"/>
    <w:rsid w:val="00D82466"/>
    <w:rsid w:val="00D83A13"/>
    <w:rsid w:val="00D84F10"/>
    <w:rsid w:val="00D866A9"/>
    <w:rsid w:val="00D86BD4"/>
    <w:rsid w:val="00D92541"/>
    <w:rsid w:val="00D930C0"/>
    <w:rsid w:val="00D93CB4"/>
    <w:rsid w:val="00D97179"/>
    <w:rsid w:val="00DA0644"/>
    <w:rsid w:val="00DA1305"/>
    <w:rsid w:val="00DA7E4D"/>
    <w:rsid w:val="00DB103E"/>
    <w:rsid w:val="00DB6253"/>
    <w:rsid w:val="00DC314D"/>
    <w:rsid w:val="00DD1168"/>
    <w:rsid w:val="00DD4863"/>
    <w:rsid w:val="00DD5ABA"/>
    <w:rsid w:val="00DE6D95"/>
    <w:rsid w:val="00DE7ABA"/>
    <w:rsid w:val="00DF4388"/>
    <w:rsid w:val="00E01B17"/>
    <w:rsid w:val="00E049B5"/>
    <w:rsid w:val="00E053BB"/>
    <w:rsid w:val="00E11255"/>
    <w:rsid w:val="00E16803"/>
    <w:rsid w:val="00E17B31"/>
    <w:rsid w:val="00E20870"/>
    <w:rsid w:val="00E239EA"/>
    <w:rsid w:val="00E23AEF"/>
    <w:rsid w:val="00E2441D"/>
    <w:rsid w:val="00E326EE"/>
    <w:rsid w:val="00E341CC"/>
    <w:rsid w:val="00E3554F"/>
    <w:rsid w:val="00E42110"/>
    <w:rsid w:val="00E43C3B"/>
    <w:rsid w:val="00E44F60"/>
    <w:rsid w:val="00E4679E"/>
    <w:rsid w:val="00E476ED"/>
    <w:rsid w:val="00E533A7"/>
    <w:rsid w:val="00E54AD8"/>
    <w:rsid w:val="00E55E04"/>
    <w:rsid w:val="00E61889"/>
    <w:rsid w:val="00E61DC7"/>
    <w:rsid w:val="00E6587D"/>
    <w:rsid w:val="00E67342"/>
    <w:rsid w:val="00E71781"/>
    <w:rsid w:val="00E71DFE"/>
    <w:rsid w:val="00E74A2C"/>
    <w:rsid w:val="00E80D1C"/>
    <w:rsid w:val="00E8375E"/>
    <w:rsid w:val="00E852D6"/>
    <w:rsid w:val="00E85692"/>
    <w:rsid w:val="00E91E4A"/>
    <w:rsid w:val="00E9294B"/>
    <w:rsid w:val="00E977F6"/>
    <w:rsid w:val="00EA283D"/>
    <w:rsid w:val="00EA30E1"/>
    <w:rsid w:val="00EA3D2E"/>
    <w:rsid w:val="00EA524A"/>
    <w:rsid w:val="00EB0259"/>
    <w:rsid w:val="00EB15BF"/>
    <w:rsid w:val="00EB4727"/>
    <w:rsid w:val="00EB6328"/>
    <w:rsid w:val="00EB67CF"/>
    <w:rsid w:val="00EC35E4"/>
    <w:rsid w:val="00EC7158"/>
    <w:rsid w:val="00ED22AD"/>
    <w:rsid w:val="00ED3082"/>
    <w:rsid w:val="00ED4960"/>
    <w:rsid w:val="00ED5E15"/>
    <w:rsid w:val="00ED6E0B"/>
    <w:rsid w:val="00EE6158"/>
    <w:rsid w:val="00EF58F8"/>
    <w:rsid w:val="00F01DB5"/>
    <w:rsid w:val="00F04BA6"/>
    <w:rsid w:val="00F11FDD"/>
    <w:rsid w:val="00F135E1"/>
    <w:rsid w:val="00F178EE"/>
    <w:rsid w:val="00F230C4"/>
    <w:rsid w:val="00F23C14"/>
    <w:rsid w:val="00F33815"/>
    <w:rsid w:val="00F342B7"/>
    <w:rsid w:val="00F34C87"/>
    <w:rsid w:val="00F43057"/>
    <w:rsid w:val="00F5063E"/>
    <w:rsid w:val="00F566FE"/>
    <w:rsid w:val="00F56D4C"/>
    <w:rsid w:val="00F60601"/>
    <w:rsid w:val="00F6154D"/>
    <w:rsid w:val="00F6735C"/>
    <w:rsid w:val="00F711E6"/>
    <w:rsid w:val="00F7287F"/>
    <w:rsid w:val="00F74879"/>
    <w:rsid w:val="00F75986"/>
    <w:rsid w:val="00F77238"/>
    <w:rsid w:val="00F779A3"/>
    <w:rsid w:val="00F84737"/>
    <w:rsid w:val="00F8730E"/>
    <w:rsid w:val="00F95665"/>
    <w:rsid w:val="00FA1F52"/>
    <w:rsid w:val="00FA4039"/>
    <w:rsid w:val="00FA61C8"/>
    <w:rsid w:val="00FB68D5"/>
    <w:rsid w:val="00FB78DB"/>
    <w:rsid w:val="00FC2028"/>
    <w:rsid w:val="00FC6063"/>
    <w:rsid w:val="00FD2ED1"/>
    <w:rsid w:val="00FE0880"/>
    <w:rsid w:val="00FE2481"/>
    <w:rsid w:val="00FE7836"/>
    <w:rsid w:val="00FF053C"/>
    <w:rsid w:val="00FF2FB5"/>
    <w:rsid w:val="00FF3BE5"/>
    <w:rsid w:val="00FF47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FAC5"/>
  <w15:docId w15:val="{F081D641-1A92-4746-B516-C3C851D5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71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F471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F471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F471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F471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471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F471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FF4712"/>
    <w:rPr>
      <w:rFonts w:ascii="Cambria" w:eastAsia="Times New Roman" w:hAnsi="Cambria" w:cs="Times New Roman"/>
      <w:b/>
      <w:bCs/>
      <w:color w:val="4F81BD"/>
    </w:rPr>
  </w:style>
  <w:style w:type="character" w:customStyle="1" w:styleId="Heading4Char">
    <w:name w:val="Heading 4 Char"/>
    <w:link w:val="Heading4"/>
    <w:uiPriority w:val="9"/>
    <w:rsid w:val="00FF4712"/>
    <w:rPr>
      <w:rFonts w:ascii="Cambria" w:eastAsia="Times New Roman" w:hAnsi="Cambria" w:cs="Times New Roman"/>
      <w:b/>
      <w:bCs/>
      <w:i/>
      <w:iCs/>
      <w:color w:val="4F81BD"/>
    </w:rPr>
  </w:style>
  <w:style w:type="table" w:styleId="TableGrid">
    <w:name w:val="Table Grid"/>
    <w:basedOn w:val="TableNormal"/>
    <w:uiPriority w:val="59"/>
    <w:rsid w:val="00FF47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F4712"/>
    <w:pPr>
      <w:ind w:left="720"/>
      <w:contextualSpacing/>
    </w:pPr>
  </w:style>
  <w:style w:type="paragraph" w:styleId="Header">
    <w:name w:val="header"/>
    <w:basedOn w:val="Normal"/>
    <w:link w:val="HeaderChar"/>
    <w:uiPriority w:val="99"/>
    <w:unhideWhenUsed/>
    <w:rsid w:val="00FF4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12"/>
  </w:style>
  <w:style w:type="character" w:customStyle="1" w:styleId="FooterChar">
    <w:name w:val="Footer Char"/>
    <w:basedOn w:val="DefaultParagraphFont"/>
    <w:link w:val="Footer"/>
    <w:uiPriority w:val="99"/>
    <w:rsid w:val="00FF4712"/>
  </w:style>
  <w:style w:type="paragraph" w:styleId="Footer">
    <w:name w:val="footer"/>
    <w:basedOn w:val="Normal"/>
    <w:link w:val="FooterChar"/>
    <w:uiPriority w:val="99"/>
    <w:unhideWhenUsed/>
    <w:rsid w:val="00FF4712"/>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rsid w:val="00FF4712"/>
    <w:pPr>
      <w:spacing w:line="240" w:lineRule="auto"/>
    </w:pPr>
    <w:rPr>
      <w:sz w:val="20"/>
      <w:szCs w:val="20"/>
    </w:rPr>
  </w:style>
  <w:style w:type="character" w:customStyle="1" w:styleId="CommentTextChar">
    <w:name w:val="Comment Text Char"/>
    <w:link w:val="CommentText"/>
    <w:uiPriority w:val="99"/>
    <w:semiHidden/>
    <w:rsid w:val="00FF4712"/>
    <w:rPr>
      <w:sz w:val="20"/>
      <w:szCs w:val="20"/>
    </w:rPr>
  </w:style>
  <w:style w:type="character" w:customStyle="1" w:styleId="CommentSubjectChar">
    <w:name w:val="Comment Subject Char"/>
    <w:link w:val="CommentSubject"/>
    <w:uiPriority w:val="99"/>
    <w:semiHidden/>
    <w:rsid w:val="00FF4712"/>
    <w:rPr>
      <w:b/>
      <w:bCs/>
      <w:sz w:val="20"/>
      <w:szCs w:val="20"/>
    </w:rPr>
  </w:style>
  <w:style w:type="paragraph" w:styleId="CommentSubject">
    <w:name w:val="annotation subject"/>
    <w:basedOn w:val="CommentText"/>
    <w:next w:val="CommentText"/>
    <w:link w:val="CommentSubjectChar"/>
    <w:uiPriority w:val="99"/>
    <w:semiHidden/>
    <w:unhideWhenUsed/>
    <w:rsid w:val="00FF4712"/>
    <w:rPr>
      <w:b/>
      <w:bCs/>
    </w:rPr>
  </w:style>
  <w:style w:type="character" w:customStyle="1" w:styleId="BalloonTextChar">
    <w:name w:val="Balloon Text Char"/>
    <w:link w:val="BalloonText"/>
    <w:uiPriority w:val="99"/>
    <w:semiHidden/>
    <w:rsid w:val="00FF4712"/>
    <w:rPr>
      <w:rFonts w:ascii="Tahoma" w:hAnsi="Tahoma" w:cs="Tahoma"/>
      <w:sz w:val="16"/>
      <w:szCs w:val="16"/>
    </w:rPr>
  </w:style>
  <w:style w:type="paragraph" w:styleId="BalloonText">
    <w:name w:val="Balloon Text"/>
    <w:basedOn w:val="Normal"/>
    <w:link w:val="BalloonTextChar"/>
    <w:uiPriority w:val="99"/>
    <w:semiHidden/>
    <w:unhideWhenUsed/>
    <w:rsid w:val="00FF4712"/>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FF471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F4712"/>
    <w:rPr>
      <w:rFonts w:ascii="Cambria" w:eastAsia="Times New Roman" w:hAnsi="Cambria" w:cs="Times New Roman"/>
      <w:color w:val="17365D"/>
      <w:spacing w:val="5"/>
      <w:kern w:val="28"/>
      <w:sz w:val="52"/>
      <w:szCs w:val="52"/>
    </w:rPr>
  </w:style>
  <w:style w:type="paragraph" w:styleId="NoSpacing">
    <w:name w:val="No Spacing"/>
    <w:uiPriority w:val="1"/>
    <w:qFormat/>
    <w:rsid w:val="00FF4712"/>
    <w:rPr>
      <w:sz w:val="22"/>
      <w:szCs w:val="22"/>
      <w:lang w:val="en-US" w:eastAsia="en-US"/>
    </w:rPr>
  </w:style>
  <w:style w:type="character" w:styleId="Hyperlink">
    <w:name w:val="Hyperlink"/>
    <w:uiPriority w:val="99"/>
    <w:unhideWhenUsed/>
    <w:rsid w:val="00FF4712"/>
    <w:rPr>
      <w:color w:val="0000FF"/>
      <w:u w:val="single"/>
    </w:rPr>
  </w:style>
  <w:style w:type="paragraph" w:styleId="Subtitle">
    <w:name w:val="Subtitle"/>
    <w:basedOn w:val="Normal"/>
    <w:next w:val="Normal"/>
    <w:link w:val="SubtitleChar"/>
    <w:uiPriority w:val="11"/>
    <w:qFormat/>
    <w:rsid w:val="00FF4712"/>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FF4712"/>
    <w:rPr>
      <w:rFonts w:ascii="Cambria" w:eastAsia="Times New Roman" w:hAnsi="Cambria" w:cs="Times New Roman"/>
      <w:i/>
      <w:iCs/>
      <w:color w:val="4F81BD"/>
      <w:spacing w:val="15"/>
      <w:sz w:val="24"/>
      <w:szCs w:val="24"/>
    </w:rPr>
  </w:style>
  <w:style w:type="character" w:styleId="Emphasis">
    <w:name w:val="Emphasis"/>
    <w:uiPriority w:val="20"/>
    <w:qFormat/>
    <w:rsid w:val="00FF4712"/>
    <w:rPr>
      <w:i/>
      <w:iCs/>
    </w:rPr>
  </w:style>
  <w:style w:type="character" w:styleId="Strong">
    <w:name w:val="Strong"/>
    <w:uiPriority w:val="22"/>
    <w:qFormat/>
    <w:rsid w:val="00FF4712"/>
    <w:rPr>
      <w:b/>
      <w:bCs/>
    </w:rPr>
  </w:style>
  <w:style w:type="character" w:styleId="SubtleEmphasis">
    <w:name w:val="Subtle Emphasis"/>
    <w:uiPriority w:val="19"/>
    <w:qFormat/>
    <w:rsid w:val="00FF4712"/>
    <w:rPr>
      <w:i/>
      <w:iCs/>
      <w:color w:val="808080"/>
    </w:rPr>
  </w:style>
  <w:style w:type="character" w:styleId="IntenseEmphasis">
    <w:name w:val="Intense Emphasis"/>
    <w:uiPriority w:val="21"/>
    <w:qFormat/>
    <w:rsid w:val="00FF4712"/>
    <w:rPr>
      <w:b/>
      <w:bCs/>
      <w:i/>
      <w:iCs/>
      <w:color w:val="4F81BD"/>
    </w:rPr>
  </w:style>
  <w:style w:type="paragraph" w:styleId="Quote">
    <w:name w:val="Quote"/>
    <w:basedOn w:val="Normal"/>
    <w:next w:val="Normal"/>
    <w:link w:val="QuoteChar"/>
    <w:uiPriority w:val="29"/>
    <w:qFormat/>
    <w:rsid w:val="00FF4712"/>
    <w:rPr>
      <w:i/>
      <w:iCs/>
      <w:color w:val="000000"/>
    </w:rPr>
  </w:style>
  <w:style w:type="character" w:customStyle="1" w:styleId="QuoteChar">
    <w:name w:val="Quote Char"/>
    <w:link w:val="Quote"/>
    <w:uiPriority w:val="29"/>
    <w:rsid w:val="00FF4712"/>
    <w:rPr>
      <w:i/>
      <w:iCs/>
      <w:color w:val="000000"/>
    </w:rPr>
  </w:style>
  <w:style w:type="character" w:styleId="BookTitle">
    <w:name w:val="Book Title"/>
    <w:uiPriority w:val="33"/>
    <w:qFormat/>
    <w:rsid w:val="00FF4712"/>
    <w:rPr>
      <w:b/>
      <w:bCs/>
      <w:smallCaps/>
      <w:spacing w:val="5"/>
    </w:rPr>
  </w:style>
  <w:style w:type="paragraph" w:styleId="FootnoteText">
    <w:name w:val="footnote text"/>
    <w:basedOn w:val="Normal"/>
    <w:link w:val="FootnoteTextChar"/>
    <w:uiPriority w:val="99"/>
    <w:semiHidden/>
    <w:unhideWhenUsed/>
    <w:rsid w:val="00F74879"/>
    <w:pPr>
      <w:spacing w:after="0" w:line="240" w:lineRule="auto"/>
    </w:pPr>
    <w:rPr>
      <w:sz w:val="20"/>
      <w:szCs w:val="20"/>
    </w:rPr>
  </w:style>
  <w:style w:type="character" w:customStyle="1" w:styleId="FootnoteTextChar">
    <w:name w:val="Footnote Text Char"/>
    <w:link w:val="FootnoteText"/>
    <w:uiPriority w:val="99"/>
    <w:semiHidden/>
    <w:rsid w:val="00F74879"/>
    <w:rPr>
      <w:sz w:val="20"/>
      <w:szCs w:val="20"/>
    </w:rPr>
  </w:style>
  <w:style w:type="character" w:styleId="FootnoteReference">
    <w:name w:val="footnote reference"/>
    <w:uiPriority w:val="99"/>
    <w:semiHidden/>
    <w:unhideWhenUsed/>
    <w:rsid w:val="00F748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2023-06-22T18:30:00+00:00</Judgment_x0020_Date>
    <Year xmlns="63bdd487-88aa-4c54-b893-ddaa81ed2e7c">2023</Year>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F591AB-1162-4488-8283-F2DC1B0A166E}">
  <ds:schemaRefs>
    <ds:schemaRef ds:uri="http://schemas.microsoft.com/sharepoint/v3/contenttype/forms"/>
  </ds:schemaRefs>
</ds:datastoreItem>
</file>

<file path=customXml/itemProps2.xml><?xml version="1.0" encoding="utf-8"?>
<ds:datastoreItem xmlns:ds="http://schemas.openxmlformats.org/officeDocument/2006/customXml" ds:itemID="{5E7849D9-7088-4A21-832A-7E4502DEAB80}">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3.xml><?xml version="1.0" encoding="utf-8"?>
<ds:datastoreItem xmlns:ds="http://schemas.openxmlformats.org/officeDocument/2006/customXml" ds:itemID="{B7A5EE39-8AE3-46C5-8F87-699372EC4B59}">
  <ds:schemaRefs>
    <ds:schemaRef ds:uri="http://schemas.openxmlformats.org/officeDocument/2006/bibliography"/>
  </ds:schemaRefs>
</ds:datastoreItem>
</file>

<file path=customXml/itemProps4.xml><?xml version="1.0" encoding="utf-8"?>
<ds:datastoreItem xmlns:ds="http://schemas.openxmlformats.org/officeDocument/2006/customXml" ds:itemID="{6C78A159-CFBC-422D-9AA6-078D2E664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31</Pages>
  <Words>6913</Words>
  <Characters>39407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Hoff  v Hoff (SA 100-2021) [2023] NASC (23 June 2023)</dc:title>
  <dc:creator>ybasson</dc:creator>
  <cp:lastModifiedBy>Mariana Anguelov</cp:lastModifiedBy>
  <cp:revision>41</cp:revision>
  <cp:lastPrinted>2023-06-23T07:43:00Z</cp:lastPrinted>
  <dcterms:created xsi:type="dcterms:W3CDTF">2023-06-05T13:24:00Z</dcterms:created>
  <dcterms:modified xsi:type="dcterms:W3CDTF">2023-06-26T17:18:00Z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